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05" w:rsidRPr="006F351D" w:rsidRDefault="00775105" w:rsidP="00F90E14">
      <w:pPr>
        <w:spacing w:after="0"/>
        <w:ind w:right="-261"/>
        <w:jc w:val="both"/>
        <w:rPr>
          <w:rFonts w:ascii="Times New Roman" w:hAnsi="Times New Roman"/>
          <w:sz w:val="24"/>
          <w:szCs w:val="24"/>
        </w:rPr>
      </w:pPr>
    </w:p>
    <w:p w:rsidR="00F80FBC" w:rsidRDefault="00F80FBC" w:rsidP="00F80FBC">
      <w:pPr>
        <w:spacing w:after="0" w:line="240" w:lineRule="auto"/>
        <w:ind w:right="-2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Likumprojekts</w:t>
      </w:r>
    </w:p>
    <w:p w:rsidR="00F80FBC" w:rsidRPr="00592B0A" w:rsidRDefault="00F80FBC" w:rsidP="00F80FB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592B0A">
        <w:rPr>
          <w:rFonts w:ascii="Times New Roman" w:hAnsi="Times New Roman"/>
          <w:b/>
          <w:color w:val="000000"/>
          <w:sz w:val="24"/>
          <w:szCs w:val="24"/>
        </w:rPr>
        <w:t>Grozījumi Eiropas teritoriālās sadarbības grupu likumā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F80FBC" w:rsidRDefault="00F80FBC" w:rsidP="00F80FBC">
      <w:pPr>
        <w:spacing w:after="0" w:line="240" w:lineRule="auto"/>
        <w:ind w:right="-261"/>
        <w:jc w:val="both"/>
        <w:rPr>
          <w:rFonts w:ascii="Times New Roman" w:hAnsi="Times New Roman"/>
          <w:b/>
          <w:sz w:val="24"/>
          <w:szCs w:val="24"/>
        </w:rPr>
      </w:pPr>
    </w:p>
    <w:p w:rsidR="003B4F0B" w:rsidRPr="006F351D" w:rsidRDefault="003B4F0B" w:rsidP="00F80FBC">
      <w:pPr>
        <w:spacing w:after="0" w:line="240" w:lineRule="auto"/>
        <w:ind w:right="-261"/>
        <w:jc w:val="center"/>
        <w:rPr>
          <w:rFonts w:ascii="Times New Roman" w:hAnsi="Times New Roman"/>
          <w:b/>
          <w:sz w:val="24"/>
          <w:szCs w:val="24"/>
        </w:rPr>
      </w:pPr>
    </w:p>
    <w:p w:rsidR="00F80FBC" w:rsidRDefault="00F80FBC" w:rsidP="00F80FBC">
      <w:pPr>
        <w:spacing w:after="0" w:line="240" w:lineRule="auto"/>
        <w:ind w:left="98" w:right="209"/>
        <w:jc w:val="both"/>
        <w:rPr>
          <w:rFonts w:ascii="Times New Roman" w:hAnsi="Times New Roman"/>
          <w:color w:val="000000"/>
          <w:sz w:val="24"/>
          <w:szCs w:val="24"/>
        </w:rPr>
      </w:pPr>
      <w:r w:rsidRPr="00931D63">
        <w:rPr>
          <w:rFonts w:ascii="Times New Roman" w:hAnsi="Times New Roman"/>
          <w:sz w:val="24"/>
          <w:szCs w:val="24"/>
        </w:rPr>
        <w:t xml:space="preserve">Likumprojekts ir sagatavots, lai nodrošinātu Eiropas teritoriālās sadarbības grupu likuma atbilstību </w:t>
      </w:r>
      <w:r w:rsidRPr="00931D63">
        <w:rPr>
          <w:rFonts w:ascii="Times New Roman" w:hAnsi="Times New Roman"/>
          <w:color w:val="000000"/>
          <w:sz w:val="24"/>
          <w:szCs w:val="24"/>
        </w:rPr>
        <w:t>2013. gada 17. decembra Eiropas Parlamenta un Eiropas Padomes regulas (ES) Nr.1302/2013, ar ko groza regulu (EK) Nr.1082/2006 par Eiropas teritoriālās sadarbības grupu attiecībā uz šādu grupu izveides un darbības precizēšanu, vienkāršošanu un uzlabošanu (turpmāk – Regula</w:t>
      </w:r>
      <w:r>
        <w:rPr>
          <w:rFonts w:ascii="Times New Roman" w:hAnsi="Times New Roman"/>
          <w:color w:val="000000"/>
          <w:sz w:val="24"/>
          <w:szCs w:val="24"/>
        </w:rPr>
        <w:t xml:space="preserve"> 1302/2013</w:t>
      </w:r>
      <w:r w:rsidRPr="00931D63">
        <w:rPr>
          <w:rFonts w:ascii="Times New Roman" w:hAnsi="Times New Roman"/>
          <w:color w:val="000000"/>
          <w:sz w:val="24"/>
          <w:szCs w:val="24"/>
        </w:rPr>
        <w:t>), prasībām.</w:t>
      </w:r>
    </w:p>
    <w:p w:rsidR="00F80FBC" w:rsidRDefault="00F80FBC" w:rsidP="00F80FBC">
      <w:pPr>
        <w:pStyle w:val="naisf"/>
        <w:spacing w:before="120" w:beforeAutospacing="0" w:after="0" w:afterAutospacing="0"/>
        <w:ind w:left="142"/>
        <w:jc w:val="both"/>
        <w:rPr>
          <w:color w:val="000000"/>
        </w:rPr>
      </w:pPr>
      <w:r>
        <w:rPr>
          <w:color w:val="000000" w:themeColor="text1"/>
          <w:shd w:val="clear" w:color="auto" w:fill="FEFEFE"/>
        </w:rPr>
        <w:t xml:space="preserve">Ar Likumprojektu ir paredzēts pielāgot nacionālās procedūras, kas attiecas uz Eiropas teritoriālās sadarbības grupu (turpmāk – ETSG) reģistrēšanu Latvijā, kā arī ETSG dalībnieku, kas reģistrēti Latvijā, apstiprināšanu dalībai grupās, </w:t>
      </w:r>
      <w:r w:rsidRPr="00931D63">
        <w:rPr>
          <w:color w:val="000000"/>
        </w:rPr>
        <w:t>Regula</w:t>
      </w:r>
      <w:r>
        <w:rPr>
          <w:color w:val="000000"/>
        </w:rPr>
        <w:t>s 1302/2013 prasībām, tostarp:</w:t>
      </w:r>
    </w:p>
    <w:p w:rsidR="00F80FBC" w:rsidRDefault="00F80FBC" w:rsidP="00F80FBC">
      <w:pPr>
        <w:pStyle w:val="naisf"/>
        <w:spacing w:before="120" w:beforeAutospacing="0" w:after="0" w:afterAutospacing="0"/>
        <w:ind w:left="142"/>
        <w:jc w:val="both"/>
        <w:rPr>
          <w:color w:val="000000"/>
        </w:rPr>
      </w:pPr>
    </w:p>
    <w:p w:rsidR="00F80FBC" w:rsidRPr="00F83F40" w:rsidRDefault="00F80FBC" w:rsidP="00F80FBC">
      <w:pPr>
        <w:pStyle w:val="ListParagraph"/>
        <w:numPr>
          <w:ilvl w:val="0"/>
          <w:numId w:val="18"/>
        </w:numPr>
        <w:spacing w:before="120"/>
        <w:ind w:right="67"/>
        <w:rPr>
          <w:color w:val="000000"/>
        </w:rPr>
      </w:pPr>
      <w:r w:rsidRPr="00931D63">
        <w:t xml:space="preserve">tiek paredzēta iespēja </w:t>
      </w:r>
      <w:r>
        <w:t xml:space="preserve">ETSG </w:t>
      </w:r>
      <w:r w:rsidRPr="00931D63">
        <w:t xml:space="preserve">dibināt ne tikai vismaz divās Eiropas Savienības dalībvalstīs esošiem tiesību subjektiem, bet arī </w:t>
      </w:r>
      <w:r>
        <w:t>tādos gadījumos, ja ETSG</w:t>
      </w:r>
      <w:r w:rsidRPr="00931D63">
        <w:t xml:space="preserve"> sastāvā</w:t>
      </w:r>
      <w:r>
        <w:t xml:space="preserve"> bez ES dalībvalstu pārstāvjiem</w:t>
      </w:r>
      <w:r w:rsidRPr="00931D63">
        <w:t xml:space="preserve"> ir </w:t>
      </w:r>
      <w:r>
        <w:t xml:space="preserve">dalībnieki </w:t>
      </w:r>
      <w:r w:rsidRPr="00931D63">
        <w:t xml:space="preserve">no </w:t>
      </w:r>
      <w:r>
        <w:t xml:space="preserve">ES dalībvalstij </w:t>
      </w:r>
      <w:r w:rsidRPr="00931D63">
        <w:t xml:space="preserve">kaimiņos esošas </w:t>
      </w:r>
      <w:r>
        <w:t>valsts;</w:t>
      </w:r>
    </w:p>
    <w:p w:rsidR="00F80FBC" w:rsidRPr="00AE4E09" w:rsidRDefault="00F80FBC" w:rsidP="00F80FBC">
      <w:pPr>
        <w:pStyle w:val="naisf"/>
        <w:numPr>
          <w:ilvl w:val="0"/>
          <w:numId w:val="18"/>
        </w:numPr>
        <w:spacing w:before="120" w:beforeAutospacing="0" w:after="0" w:afterAutospacing="0"/>
        <w:jc w:val="both"/>
        <w:rPr>
          <w:color w:val="000000" w:themeColor="text1"/>
          <w:shd w:val="clear" w:color="auto" w:fill="FEFEFE"/>
        </w:rPr>
      </w:pPr>
      <w:r w:rsidRPr="00931D63">
        <w:t xml:space="preserve">tiek paplašināts potenciālais </w:t>
      </w:r>
      <w:r>
        <w:t xml:space="preserve">ETSG dalībnieku </w:t>
      </w:r>
      <w:r w:rsidRPr="00931D63">
        <w:t xml:space="preserve">loks, papildinot tos ar privāto tiesību juridiskajām personām </w:t>
      </w:r>
      <w:r>
        <w:t xml:space="preserve">(valsts un pašvaldību kapitālsabiedrības vai kapitālsabiedrības, kas </w:t>
      </w:r>
      <w:r w:rsidRPr="00592B0A">
        <w:rPr>
          <w:color w:val="000000"/>
        </w:rPr>
        <w:t>atrodas valsts vai pašvaldības iestādes, pašvaldības, citas atvasinātas publiskas personas vai tās institūcijas padotībā vai izšķirošā ietekmē vai šiem kritērijiem atbilstošas privāto tiesību juridiskās personas izšķirošā ietekmē</w:t>
      </w:r>
      <w:r>
        <w:rPr>
          <w:color w:val="000000"/>
        </w:rPr>
        <w:t>);</w:t>
      </w:r>
    </w:p>
    <w:p w:rsidR="00F80FBC" w:rsidRPr="00173F25" w:rsidRDefault="00F80FBC" w:rsidP="00F80FBC">
      <w:pPr>
        <w:pStyle w:val="ListParagraph"/>
        <w:numPr>
          <w:ilvl w:val="0"/>
          <w:numId w:val="18"/>
        </w:numPr>
        <w:spacing w:before="120"/>
        <w:ind w:right="67"/>
        <w:rPr>
          <w:color w:val="000000" w:themeColor="text1"/>
          <w:shd w:val="clear" w:color="auto" w:fill="FEFEFE"/>
        </w:rPr>
      </w:pPr>
      <w:r w:rsidRPr="00931D63">
        <w:t xml:space="preserve">tiek pagarināti termiņi (no trīs mēnešiem uz sešiem mēnešiem), kuros Vides aizsardzības un reģionālās attīstības ministrijai ir jāpieņem lēmums par </w:t>
      </w:r>
      <w:r>
        <w:t>ETSG reģistrēšanu, ja</w:t>
      </w:r>
      <w:r w:rsidR="00D1160B">
        <w:t xml:space="preserve"> ETSG pl</w:t>
      </w:r>
      <w:r w:rsidR="00B51B33">
        <w:t>ānots reģistrēt Latvijā un, kuros</w:t>
      </w:r>
      <w:r w:rsidR="00D1160B">
        <w:t xml:space="preserve"> jāpieņe</w:t>
      </w:r>
      <w:r w:rsidR="00B51B33">
        <w:t>m lēmums par Latvijā reģistrētas juridiskās personas</w:t>
      </w:r>
      <w:r w:rsidR="00D1160B">
        <w:t xml:space="preserve"> apstiprināšanu dalībai ETSG.</w:t>
      </w:r>
    </w:p>
    <w:p w:rsidR="00F80FBC" w:rsidRDefault="00F80FBC" w:rsidP="00FB5822">
      <w:pPr>
        <w:pStyle w:val="naisf"/>
        <w:spacing w:before="120" w:beforeAutospacing="0" w:after="0" w:afterAutospacing="0"/>
        <w:jc w:val="both"/>
        <w:rPr>
          <w:color w:val="000000" w:themeColor="text1"/>
          <w:shd w:val="clear" w:color="auto" w:fill="FEFEFE"/>
        </w:rPr>
      </w:pPr>
    </w:p>
    <w:p w:rsidR="00F80FBC" w:rsidRDefault="00F80FBC" w:rsidP="00FB5822">
      <w:pPr>
        <w:pStyle w:val="naisf"/>
        <w:spacing w:before="120" w:beforeAutospacing="0" w:after="0" w:afterAutospacing="0"/>
        <w:jc w:val="both"/>
        <w:rPr>
          <w:color w:val="000000" w:themeColor="text1"/>
          <w:shd w:val="clear" w:color="auto" w:fill="FEFEFE"/>
        </w:rPr>
      </w:pPr>
    </w:p>
    <w:p w:rsidR="00F80FBC" w:rsidRDefault="00F80FBC" w:rsidP="00FB5822">
      <w:pPr>
        <w:pStyle w:val="naisf"/>
        <w:spacing w:before="120" w:beforeAutospacing="0" w:after="0" w:afterAutospacing="0"/>
        <w:jc w:val="both"/>
        <w:rPr>
          <w:color w:val="000000" w:themeColor="text1"/>
          <w:shd w:val="clear" w:color="auto" w:fill="FEFEFE"/>
        </w:rPr>
      </w:pPr>
    </w:p>
    <w:p w:rsidR="00C65A6F" w:rsidRDefault="005D26E2" w:rsidP="002D03BB">
      <w:pPr>
        <w:pStyle w:val="naisf"/>
        <w:spacing w:before="12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Likumprojekts a</w:t>
      </w:r>
      <w:r w:rsidR="00D1160B">
        <w:rPr>
          <w:color w:val="000000"/>
          <w:u w:val="single"/>
        </w:rPr>
        <w:t xml:space="preserve">trodas </w:t>
      </w:r>
      <w:r w:rsidR="00AD6EDA">
        <w:rPr>
          <w:color w:val="000000"/>
          <w:u w:val="single"/>
        </w:rPr>
        <w:t>izstrādes procesā</w:t>
      </w:r>
    </w:p>
    <w:p w:rsidR="00C65A6F" w:rsidRDefault="00C65A6F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</w:p>
    <w:p w:rsidR="00460FEC" w:rsidRPr="005D26E2" w:rsidRDefault="005D26E2" w:rsidP="002D03BB">
      <w:pPr>
        <w:pStyle w:val="naisf"/>
        <w:spacing w:before="120" w:beforeAutospacing="0" w:after="0" w:afterAutospacing="0"/>
        <w:jc w:val="both"/>
        <w:rPr>
          <w:color w:val="000000"/>
          <w:u w:val="single"/>
        </w:rPr>
      </w:pPr>
      <w:r w:rsidRPr="005D26E2">
        <w:rPr>
          <w:color w:val="000000"/>
          <w:u w:val="single"/>
        </w:rPr>
        <w:t>Komentārus un priekšlikum</w:t>
      </w:r>
      <w:r>
        <w:rPr>
          <w:color w:val="000000"/>
          <w:u w:val="single"/>
        </w:rPr>
        <w:t>u</w:t>
      </w:r>
      <w:r w:rsidRPr="005D26E2">
        <w:rPr>
          <w:color w:val="000000"/>
          <w:u w:val="single"/>
        </w:rPr>
        <w:t>s iesniegt</w:t>
      </w:r>
      <w:r>
        <w:rPr>
          <w:color w:val="000000"/>
          <w:u w:val="single"/>
        </w:rPr>
        <w:t xml:space="preserve"> Dainim Špeļam līdz 18.02</w:t>
      </w:r>
      <w:r w:rsidRPr="005D26E2">
        <w:rPr>
          <w:color w:val="000000"/>
          <w:u w:val="single"/>
        </w:rPr>
        <w:t xml:space="preserve">.2015.  </w:t>
      </w:r>
    </w:p>
    <w:p w:rsidR="00460FEC" w:rsidRDefault="00460FEC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</w:p>
    <w:p w:rsidR="005D26E2" w:rsidRDefault="005D26E2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</w:p>
    <w:p w:rsidR="005D26E2" w:rsidRDefault="005D26E2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460FEC" w:rsidRDefault="00460FEC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Informāciju sagatavoja:</w:t>
      </w:r>
    </w:p>
    <w:p w:rsidR="00460FEC" w:rsidRPr="004B5C51" w:rsidRDefault="00460FEC" w:rsidP="00460FE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80FBC" w:rsidRPr="00F83F40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>Dainis Špeļs</w:t>
      </w:r>
    </w:p>
    <w:p w:rsidR="00F80FBC" w:rsidRPr="00F83F40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>Juridiskā departamenta</w:t>
      </w:r>
    </w:p>
    <w:p w:rsidR="00B51B33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>Eiropas Savienības fondu projektu</w:t>
      </w:r>
    </w:p>
    <w:p w:rsidR="00F80FBC" w:rsidRPr="00F83F40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>tiesiskā nodrošinājuma nodaļas jurists</w:t>
      </w:r>
    </w:p>
    <w:p w:rsidR="00F80FBC" w:rsidRPr="00F83F40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>tālrunis: 67026511</w:t>
      </w:r>
    </w:p>
    <w:p w:rsidR="00F80FBC" w:rsidRPr="00F83F40" w:rsidRDefault="00F80FBC" w:rsidP="00F80FB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83F40">
        <w:rPr>
          <w:rFonts w:ascii="Times New Roman" w:hAnsi="Times New Roman"/>
          <w:sz w:val="20"/>
          <w:szCs w:val="20"/>
          <w:lang w:eastAsia="lv-LV"/>
        </w:rPr>
        <w:t xml:space="preserve">e-pasts: </w:t>
      </w:r>
      <w:hyperlink r:id="rId7" w:history="1">
        <w:r w:rsidRPr="00703136">
          <w:rPr>
            <w:rFonts w:ascii="Times New Roman" w:hAnsi="Times New Roman"/>
            <w:color w:val="0563C1"/>
            <w:sz w:val="20"/>
            <w:szCs w:val="20"/>
            <w:u w:val="single"/>
            <w:lang w:eastAsia="lv-LV"/>
          </w:rPr>
          <w:t>Dainis.Spels@varam.gov.lv</w:t>
        </w:r>
      </w:hyperlink>
    </w:p>
    <w:p w:rsidR="00460FEC" w:rsidRDefault="00460FEC" w:rsidP="002D03BB">
      <w:pPr>
        <w:pStyle w:val="naisf"/>
        <w:spacing w:before="120" w:beforeAutospacing="0" w:after="0" w:afterAutospacing="0"/>
        <w:jc w:val="both"/>
        <w:rPr>
          <w:color w:val="000000"/>
        </w:rPr>
      </w:pPr>
    </w:p>
    <w:sectPr w:rsidR="00460FEC" w:rsidSect="001439E0">
      <w:pgSz w:w="11906" w:h="16838"/>
      <w:pgMar w:top="709" w:right="1466" w:bottom="113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54" w:rsidRDefault="00CB2F54" w:rsidP="00954AF0">
      <w:pPr>
        <w:spacing w:after="0" w:line="240" w:lineRule="auto"/>
      </w:pPr>
      <w:r>
        <w:separator/>
      </w:r>
    </w:p>
  </w:endnote>
  <w:endnote w:type="continuationSeparator" w:id="0">
    <w:p w:rsidR="00CB2F54" w:rsidRDefault="00CB2F54" w:rsidP="009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54" w:rsidRDefault="00CB2F54" w:rsidP="00954AF0">
      <w:pPr>
        <w:spacing w:after="0" w:line="240" w:lineRule="auto"/>
      </w:pPr>
      <w:r>
        <w:separator/>
      </w:r>
    </w:p>
  </w:footnote>
  <w:footnote w:type="continuationSeparator" w:id="0">
    <w:p w:rsidR="00CB2F54" w:rsidRDefault="00CB2F54" w:rsidP="009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F75"/>
    <w:multiLevelType w:val="hybridMultilevel"/>
    <w:tmpl w:val="3EB657F6"/>
    <w:lvl w:ilvl="0" w:tplc="6708F9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D877FD"/>
    <w:multiLevelType w:val="multilevel"/>
    <w:tmpl w:val="DD48B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D87DBB"/>
    <w:multiLevelType w:val="hybridMultilevel"/>
    <w:tmpl w:val="12382A6C"/>
    <w:lvl w:ilvl="0" w:tplc="7F72D342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CC97F2D"/>
    <w:multiLevelType w:val="hybridMultilevel"/>
    <w:tmpl w:val="ECA2C6FC"/>
    <w:lvl w:ilvl="0" w:tplc="49ACDCB6">
      <w:start w:val="23"/>
      <w:numFmt w:val="bullet"/>
      <w:pStyle w:val="ListParagraph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>
    <w:nsid w:val="1D383688"/>
    <w:multiLevelType w:val="hybridMultilevel"/>
    <w:tmpl w:val="5636C5E0"/>
    <w:lvl w:ilvl="0" w:tplc="BFBE55DA">
      <w:start w:val="1"/>
      <w:numFmt w:val="decimal"/>
      <w:lvlText w:val="%1.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6827369"/>
    <w:multiLevelType w:val="hybridMultilevel"/>
    <w:tmpl w:val="A816C82C"/>
    <w:lvl w:ilvl="0" w:tplc="227C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CD824A0"/>
    <w:multiLevelType w:val="multilevel"/>
    <w:tmpl w:val="859E6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5532B1"/>
    <w:multiLevelType w:val="hybridMultilevel"/>
    <w:tmpl w:val="892CF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2675"/>
    <w:multiLevelType w:val="hybridMultilevel"/>
    <w:tmpl w:val="3DB23586"/>
    <w:lvl w:ilvl="0" w:tplc="4B0C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C9C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3342"/>
    <w:multiLevelType w:val="hybridMultilevel"/>
    <w:tmpl w:val="D76CDEEC"/>
    <w:lvl w:ilvl="0" w:tplc="E2E64394">
      <w:start w:val="1"/>
      <w:numFmt w:val="decimal"/>
      <w:lvlText w:val="%1)"/>
      <w:lvlJc w:val="left"/>
      <w:pPr>
        <w:ind w:left="458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78" w:hanging="360"/>
      </w:pPr>
    </w:lvl>
    <w:lvl w:ilvl="2" w:tplc="0426001B" w:tentative="1">
      <w:start w:val="1"/>
      <w:numFmt w:val="lowerRoman"/>
      <w:lvlText w:val="%3."/>
      <w:lvlJc w:val="right"/>
      <w:pPr>
        <w:ind w:left="1898" w:hanging="180"/>
      </w:pPr>
    </w:lvl>
    <w:lvl w:ilvl="3" w:tplc="0426000F" w:tentative="1">
      <w:start w:val="1"/>
      <w:numFmt w:val="decimal"/>
      <w:lvlText w:val="%4."/>
      <w:lvlJc w:val="left"/>
      <w:pPr>
        <w:ind w:left="2618" w:hanging="360"/>
      </w:pPr>
    </w:lvl>
    <w:lvl w:ilvl="4" w:tplc="04260019" w:tentative="1">
      <w:start w:val="1"/>
      <w:numFmt w:val="lowerLetter"/>
      <w:lvlText w:val="%5."/>
      <w:lvlJc w:val="left"/>
      <w:pPr>
        <w:ind w:left="3338" w:hanging="360"/>
      </w:pPr>
    </w:lvl>
    <w:lvl w:ilvl="5" w:tplc="0426001B" w:tentative="1">
      <w:start w:val="1"/>
      <w:numFmt w:val="lowerRoman"/>
      <w:lvlText w:val="%6."/>
      <w:lvlJc w:val="right"/>
      <w:pPr>
        <w:ind w:left="4058" w:hanging="180"/>
      </w:pPr>
    </w:lvl>
    <w:lvl w:ilvl="6" w:tplc="0426000F" w:tentative="1">
      <w:start w:val="1"/>
      <w:numFmt w:val="decimal"/>
      <w:lvlText w:val="%7."/>
      <w:lvlJc w:val="left"/>
      <w:pPr>
        <w:ind w:left="4778" w:hanging="360"/>
      </w:pPr>
    </w:lvl>
    <w:lvl w:ilvl="7" w:tplc="04260019" w:tentative="1">
      <w:start w:val="1"/>
      <w:numFmt w:val="lowerLetter"/>
      <w:lvlText w:val="%8."/>
      <w:lvlJc w:val="left"/>
      <w:pPr>
        <w:ind w:left="5498" w:hanging="360"/>
      </w:pPr>
    </w:lvl>
    <w:lvl w:ilvl="8" w:tplc="042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1">
    <w:nsid w:val="59D74561"/>
    <w:multiLevelType w:val="multilevel"/>
    <w:tmpl w:val="DA7C4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>
    <w:nsid w:val="5AB345BA"/>
    <w:multiLevelType w:val="hybridMultilevel"/>
    <w:tmpl w:val="7F22B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D3B12"/>
    <w:multiLevelType w:val="hybridMultilevel"/>
    <w:tmpl w:val="BDC0E9B4"/>
    <w:lvl w:ilvl="0" w:tplc="4B0C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57947"/>
    <w:multiLevelType w:val="hybridMultilevel"/>
    <w:tmpl w:val="0C28D76E"/>
    <w:lvl w:ilvl="0" w:tplc="4B0C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E55D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204B3"/>
    <w:multiLevelType w:val="hybridMultilevel"/>
    <w:tmpl w:val="C8980626"/>
    <w:lvl w:ilvl="0" w:tplc="5F5A9D5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41173"/>
    <w:multiLevelType w:val="hybridMultilevel"/>
    <w:tmpl w:val="0688F910"/>
    <w:lvl w:ilvl="0" w:tplc="74602A4C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786870F3"/>
    <w:multiLevelType w:val="multilevel"/>
    <w:tmpl w:val="AE62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55"/>
    <w:rsid w:val="00045275"/>
    <w:rsid w:val="00046F88"/>
    <w:rsid w:val="00066820"/>
    <w:rsid w:val="0008190D"/>
    <w:rsid w:val="000A01E8"/>
    <w:rsid w:val="000B590C"/>
    <w:rsid w:val="000C1CDB"/>
    <w:rsid w:val="00120293"/>
    <w:rsid w:val="001316E4"/>
    <w:rsid w:val="001439E0"/>
    <w:rsid w:val="001D18F3"/>
    <w:rsid w:val="001E6E19"/>
    <w:rsid w:val="001F3663"/>
    <w:rsid w:val="00216AE8"/>
    <w:rsid w:val="00246E04"/>
    <w:rsid w:val="00260D27"/>
    <w:rsid w:val="002D03BB"/>
    <w:rsid w:val="002F185A"/>
    <w:rsid w:val="003223D8"/>
    <w:rsid w:val="00356915"/>
    <w:rsid w:val="003B4F0B"/>
    <w:rsid w:val="003D4C55"/>
    <w:rsid w:val="00460FEC"/>
    <w:rsid w:val="004B626B"/>
    <w:rsid w:val="004B7AFB"/>
    <w:rsid w:val="004C4425"/>
    <w:rsid w:val="00531775"/>
    <w:rsid w:val="00537E04"/>
    <w:rsid w:val="005B1F0D"/>
    <w:rsid w:val="005B24CF"/>
    <w:rsid w:val="005D26E2"/>
    <w:rsid w:val="005D699E"/>
    <w:rsid w:val="005F0B44"/>
    <w:rsid w:val="006957F7"/>
    <w:rsid w:val="00697FD5"/>
    <w:rsid w:val="006A41E0"/>
    <w:rsid w:val="006A4A2E"/>
    <w:rsid w:val="006A5C86"/>
    <w:rsid w:val="006C37BD"/>
    <w:rsid w:val="006E280F"/>
    <w:rsid w:val="006F351D"/>
    <w:rsid w:val="006F48B1"/>
    <w:rsid w:val="00700182"/>
    <w:rsid w:val="00701212"/>
    <w:rsid w:val="007044FE"/>
    <w:rsid w:val="007463F4"/>
    <w:rsid w:val="00775105"/>
    <w:rsid w:val="0079113E"/>
    <w:rsid w:val="007F05A3"/>
    <w:rsid w:val="007F7533"/>
    <w:rsid w:val="008066F5"/>
    <w:rsid w:val="00807EED"/>
    <w:rsid w:val="00865ACF"/>
    <w:rsid w:val="0086662D"/>
    <w:rsid w:val="008804C4"/>
    <w:rsid w:val="0089592D"/>
    <w:rsid w:val="008D0760"/>
    <w:rsid w:val="008D5E00"/>
    <w:rsid w:val="008F3B37"/>
    <w:rsid w:val="00925978"/>
    <w:rsid w:val="00954AF0"/>
    <w:rsid w:val="009629B2"/>
    <w:rsid w:val="009933A6"/>
    <w:rsid w:val="009A5A79"/>
    <w:rsid w:val="009A60C1"/>
    <w:rsid w:val="009C4B6D"/>
    <w:rsid w:val="009D1C91"/>
    <w:rsid w:val="00A144D6"/>
    <w:rsid w:val="00A16990"/>
    <w:rsid w:val="00A1722E"/>
    <w:rsid w:val="00A30350"/>
    <w:rsid w:val="00A519A4"/>
    <w:rsid w:val="00A53165"/>
    <w:rsid w:val="00A86E2C"/>
    <w:rsid w:val="00AA2D9E"/>
    <w:rsid w:val="00AB168B"/>
    <w:rsid w:val="00AC08DF"/>
    <w:rsid w:val="00AD2151"/>
    <w:rsid w:val="00AD6EDA"/>
    <w:rsid w:val="00AF2FB1"/>
    <w:rsid w:val="00AF5456"/>
    <w:rsid w:val="00B26423"/>
    <w:rsid w:val="00B34A2A"/>
    <w:rsid w:val="00B43EFF"/>
    <w:rsid w:val="00B51B33"/>
    <w:rsid w:val="00B53CC7"/>
    <w:rsid w:val="00B8331C"/>
    <w:rsid w:val="00B923CE"/>
    <w:rsid w:val="00BA03E4"/>
    <w:rsid w:val="00C015C1"/>
    <w:rsid w:val="00C03F9D"/>
    <w:rsid w:val="00C057B2"/>
    <w:rsid w:val="00C21F3E"/>
    <w:rsid w:val="00C37004"/>
    <w:rsid w:val="00C57BAE"/>
    <w:rsid w:val="00C65A6F"/>
    <w:rsid w:val="00C66887"/>
    <w:rsid w:val="00C775E9"/>
    <w:rsid w:val="00CB2F54"/>
    <w:rsid w:val="00CD36BA"/>
    <w:rsid w:val="00D1160B"/>
    <w:rsid w:val="00D126E1"/>
    <w:rsid w:val="00D41DC1"/>
    <w:rsid w:val="00D55B61"/>
    <w:rsid w:val="00DA709D"/>
    <w:rsid w:val="00DC5E1E"/>
    <w:rsid w:val="00DC5FEB"/>
    <w:rsid w:val="00DD134F"/>
    <w:rsid w:val="00DD314C"/>
    <w:rsid w:val="00DF0D9E"/>
    <w:rsid w:val="00E31C1C"/>
    <w:rsid w:val="00E40FE9"/>
    <w:rsid w:val="00E73271"/>
    <w:rsid w:val="00EA15ED"/>
    <w:rsid w:val="00F25D0A"/>
    <w:rsid w:val="00F676BF"/>
    <w:rsid w:val="00F67839"/>
    <w:rsid w:val="00F80FBC"/>
    <w:rsid w:val="00F90E14"/>
    <w:rsid w:val="00F91C23"/>
    <w:rsid w:val="00F96C44"/>
    <w:rsid w:val="00FB0119"/>
    <w:rsid w:val="00FB5822"/>
    <w:rsid w:val="00FC1D8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3EC9-1185-4ED3-B66B-5013E2A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4AF0"/>
    <w:pPr>
      <w:spacing w:after="0" w:line="240" w:lineRule="auto"/>
      <w:ind w:left="57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AF0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54AF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A5A79"/>
    <w:pPr>
      <w:numPr>
        <w:numId w:val="1"/>
      </w:numPr>
      <w:spacing w:after="0" w:line="240" w:lineRule="auto"/>
      <w:ind w:left="180" w:hanging="180"/>
      <w:contextualSpacing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1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0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46F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6F88"/>
    <w:rPr>
      <w:rFonts w:ascii="Times New Roman" w:eastAsia="Times New Roman" w:hAnsi="Times New Roman"/>
      <w:sz w:val="24"/>
    </w:rPr>
  </w:style>
  <w:style w:type="paragraph" w:customStyle="1" w:styleId="naisf">
    <w:name w:val="naisf"/>
    <w:basedOn w:val="Normal"/>
    <w:rsid w:val="00A3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A30350"/>
    <w:rPr>
      <w:color w:val="0000FF"/>
      <w:u w:val="single"/>
    </w:rPr>
  </w:style>
  <w:style w:type="character" w:customStyle="1" w:styleId="Bodytext0">
    <w:name w:val="Body text_"/>
    <w:basedOn w:val="DefaultParagraphFont"/>
    <w:link w:val="BodyText25"/>
    <w:rsid w:val="007F7533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5">
    <w:name w:val="Body Text25"/>
    <w:basedOn w:val="Normal"/>
    <w:link w:val="Bodytext0"/>
    <w:rsid w:val="007F7533"/>
    <w:pPr>
      <w:shd w:val="clear" w:color="auto" w:fill="FFFFFF"/>
      <w:spacing w:before="3300" w:after="0" w:line="274" w:lineRule="exact"/>
      <w:ind w:hanging="540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2F185A"/>
    <w:rPr>
      <w:rFonts w:ascii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5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80FB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nis.Spel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janisp</dc:creator>
  <cp:lastModifiedBy>Dainis Špeļs</cp:lastModifiedBy>
  <cp:revision>2</cp:revision>
  <cp:lastPrinted>2012-11-14T09:59:00Z</cp:lastPrinted>
  <dcterms:created xsi:type="dcterms:W3CDTF">2015-02-10T06:50:00Z</dcterms:created>
  <dcterms:modified xsi:type="dcterms:W3CDTF">2015-02-10T06:50:00Z</dcterms:modified>
</cp:coreProperties>
</file>