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2D1B349" w14:textId="77777777" w:rsidR="00165D83" w:rsidRDefault="00165D83" w:rsidP="00165D83">
      <w:pPr>
        <w:autoSpaceDE w:val="0"/>
        <w:autoSpaceDN w:val="0"/>
        <w:adjustRightInd w:val="0"/>
        <w:spacing w:after="120"/>
        <w:ind w:firstLine="720"/>
        <w:jc w:val="right"/>
        <w:rPr>
          <w:b/>
          <w:bCs/>
          <w:color w:val="000000"/>
          <w:szCs w:val="24"/>
        </w:rPr>
      </w:pPr>
      <w:r w:rsidRPr="00163E6F">
        <w:rPr>
          <w:b/>
          <w:bCs/>
          <w:color w:val="000000"/>
          <w:szCs w:val="24"/>
        </w:rPr>
        <w:t>1.pielikums</w:t>
      </w:r>
    </w:p>
    <w:p w14:paraId="438B46CC" w14:textId="1B03883F" w:rsidR="00531FA6" w:rsidRPr="00531FA6" w:rsidRDefault="00531FA6" w:rsidP="00165D83">
      <w:pPr>
        <w:autoSpaceDE w:val="0"/>
        <w:autoSpaceDN w:val="0"/>
        <w:adjustRightInd w:val="0"/>
        <w:spacing w:after="120"/>
        <w:ind w:firstLine="720"/>
        <w:jc w:val="right"/>
        <w:rPr>
          <w:bCs/>
          <w:color w:val="000000"/>
          <w:szCs w:val="24"/>
        </w:rPr>
      </w:pPr>
      <w:r w:rsidRPr="00531FA6">
        <w:rPr>
          <w:bCs/>
          <w:color w:val="000000"/>
          <w:szCs w:val="24"/>
        </w:rPr>
        <w:t>Pamatnostādnēm “</w:t>
      </w:r>
      <w:r w:rsidRPr="00531FA6">
        <w:rPr>
          <w:sz w:val="22"/>
        </w:rPr>
        <w:t>Kūdras ilgtspējīgas izmantošanas stratēģija 2018. - 2050. gadam”</w:t>
      </w:r>
    </w:p>
    <w:p w14:paraId="4E1A7884" w14:textId="77777777" w:rsidR="00324160" w:rsidRPr="00163E6F" w:rsidRDefault="00324160" w:rsidP="00324160"/>
    <w:p w14:paraId="091DEA3F" w14:textId="36665276" w:rsidR="00531FA6" w:rsidRDefault="00531FA6" w:rsidP="007B70DB">
      <w:pPr>
        <w:pStyle w:val="Heading1"/>
      </w:pPr>
      <w:bookmarkStart w:id="0" w:name="_Toc497573976"/>
      <w:r>
        <w:t>Situācijas apraksts</w:t>
      </w:r>
      <w:bookmarkStart w:id="1" w:name="_GoBack"/>
      <w:bookmarkEnd w:id="1"/>
    </w:p>
    <w:p w14:paraId="688E51FF" w14:textId="77777777" w:rsidR="00165D83" w:rsidRPr="00163E6F" w:rsidRDefault="00165D83" w:rsidP="007B70DB">
      <w:pPr>
        <w:pStyle w:val="Heading1"/>
      </w:pPr>
      <w:r w:rsidRPr="00163E6F">
        <w:t>Situācijas raksturojums purvu un kūdras izmantošanā</w:t>
      </w:r>
      <w:bookmarkEnd w:id="0"/>
      <w:r w:rsidRPr="00163E6F">
        <w:t xml:space="preserve"> </w:t>
      </w:r>
    </w:p>
    <w:p w14:paraId="36EC7FA6" w14:textId="77777777" w:rsidR="00165D83" w:rsidRPr="00163E6F" w:rsidRDefault="00165D83" w:rsidP="007B70DB">
      <w:pPr>
        <w:pStyle w:val="Heading2"/>
      </w:pPr>
      <w:bookmarkStart w:id="2" w:name="_Toc497573977"/>
      <w:r w:rsidRPr="00163E6F">
        <w:t>Normatīvais regulējums</w:t>
      </w:r>
      <w:bookmarkEnd w:id="2"/>
    </w:p>
    <w:p w14:paraId="29E9DF3E" w14:textId="77777777" w:rsidR="00165D83" w:rsidRPr="00163E6F" w:rsidRDefault="00957AE0" w:rsidP="00165D83">
      <w:pPr>
        <w:autoSpaceDE w:val="0"/>
        <w:autoSpaceDN w:val="0"/>
        <w:adjustRightInd w:val="0"/>
        <w:spacing w:after="120"/>
        <w:ind w:firstLine="720"/>
        <w:rPr>
          <w:szCs w:val="24"/>
          <w:highlight w:val="white"/>
        </w:rPr>
      </w:pPr>
      <w:r w:rsidRPr="00163E6F">
        <w:rPr>
          <w:szCs w:val="24"/>
          <w:highlight w:val="white"/>
        </w:rPr>
        <w:t>N</w:t>
      </w:r>
      <w:r w:rsidR="00165D83" w:rsidRPr="00163E6F">
        <w:rPr>
          <w:szCs w:val="24"/>
          <w:highlight w:val="white"/>
        </w:rPr>
        <w:t>ormatīvo aktu sistēma</w:t>
      </w:r>
      <w:r w:rsidRPr="00163E6F">
        <w:rPr>
          <w:szCs w:val="24"/>
          <w:highlight w:val="white"/>
        </w:rPr>
        <w:t>s</w:t>
      </w:r>
      <w:r w:rsidR="00165D83" w:rsidRPr="00163E6F">
        <w:rPr>
          <w:szCs w:val="24"/>
          <w:highlight w:val="white"/>
        </w:rPr>
        <w:t>, kas reglamentē zemes dzīļu resursu, ta</w:t>
      </w:r>
      <w:r w:rsidRPr="00163E6F">
        <w:rPr>
          <w:szCs w:val="24"/>
          <w:highlight w:val="white"/>
        </w:rPr>
        <w:t>jā skaitā kūdras, izmantošanas i</w:t>
      </w:r>
      <w:r w:rsidR="00165D83" w:rsidRPr="00163E6F">
        <w:rPr>
          <w:szCs w:val="24"/>
          <w:highlight w:val="white"/>
        </w:rPr>
        <w:t xml:space="preserve">etvaru nosaka </w:t>
      </w:r>
      <w:r w:rsidR="00165D83" w:rsidRPr="00163E6F">
        <w:rPr>
          <w:b/>
          <w:bCs/>
          <w:szCs w:val="24"/>
          <w:highlight w:val="white"/>
        </w:rPr>
        <w:t>likums „Par zemes dzīlēm”</w:t>
      </w:r>
      <w:r w:rsidR="00165D83" w:rsidRPr="00163E6F">
        <w:rPr>
          <w:szCs w:val="24"/>
          <w:highlight w:val="white"/>
        </w:rPr>
        <w:t xml:space="preserve"> un saskaņā ar to izdotie Ministru kabineta noteikumi. Likuma mērķis ir nodrošināt zemes dzīļu kompleksu, racionālu, vidi saudzējošu un ilgtspējīgu izmantošanu, kā arī noteikt zemes dzīļu aizsardzības prasības.</w:t>
      </w:r>
    </w:p>
    <w:p w14:paraId="0C26227F"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Ministru kabineta 2011.gada 6.septembra noteikumi Nr.696  </w:t>
      </w:r>
      <w:r w:rsidRPr="00163E6F">
        <w:rPr>
          <w:bCs/>
          <w:szCs w:val="24"/>
        </w:rPr>
        <w:t xml:space="preserve">“Zemes dzīļu izmantošanas licenču un bieži sastopamo derīgo izrakteņu ieguves atļauju izsniegšanas kārtība” </w:t>
      </w:r>
      <w:r w:rsidRPr="00163E6F">
        <w:rPr>
          <w:szCs w:val="24"/>
        </w:rPr>
        <w:t>nosaka kārtību, kādā Valsts vides dienests izsniedz zemes dzīļu izmantošanas licences (turpmāk – licences). Kūdras izpētei vai ieguvei nepieciešams saņemt licenci. Lai veicinātu racionālu dabas resursu ieguvi un teritorijas izmantošanu noteiktas platības, no kurām valsts un pašvaldību zemē jārīko konkurss vai izsole par zemes nomas tiesībām un licences saņemšanu. Konkurss vai izsole jārīko, ja platība kūdras ieguvei ir lielāka par 150 ha</w:t>
      </w:r>
    </w:p>
    <w:p w14:paraId="2E0614DD"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Ministru kabineta 2012.gada 21.augusta noteikumi Nr.570 </w:t>
      </w:r>
      <w:r w:rsidRPr="00163E6F">
        <w:rPr>
          <w:bCs/>
          <w:szCs w:val="24"/>
        </w:rPr>
        <w:t>“Derīgo izrakteņu ieguves kārtība”</w:t>
      </w:r>
      <w:r w:rsidRPr="00163E6F">
        <w:rPr>
          <w:szCs w:val="24"/>
        </w:rPr>
        <w:t xml:space="preserve"> nosaka prasības visiem ar derīgo izrakteņu ieguvi saistīto darbu etapiem: ģeoloģiskajai izpētei, ģeoloģiskās izpētes pārskatam, derīgo izrakteņu krājumu akceptēšanai VSIA „Latvijas Vides, ģeoloģijas un meteoroloģijas centrs”</w:t>
      </w:r>
      <w:r w:rsidR="00957AE0" w:rsidRPr="00163E6F">
        <w:rPr>
          <w:szCs w:val="24"/>
        </w:rPr>
        <w:t xml:space="preserve"> (turpmāk – LVĢMC)</w:t>
      </w:r>
      <w:r w:rsidRPr="00163E6F">
        <w:rPr>
          <w:szCs w:val="24"/>
        </w:rPr>
        <w:t xml:space="preserve">. Noteiktas prasības ieguves projektiem un to saskaņošanas kārtība. Regulēti visi derīgo izrakteņu ieguves posmi: derīgo izrakteņu ieguves vietas sagatavošana ieguvei, ieguves vietas ekspluatācija, iegūto derīgo izrakteņu un atlikušo derīgo izrakteņu krājumu uzskaite un ieguves vietas rekultivācija. </w:t>
      </w:r>
    </w:p>
    <w:p w14:paraId="3A5B3B00"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Ministru kabineta 2012.gada 28.augusta noteikumi Nr.578 “Noteikumi par ģeoloģiskās informācijas sistēmu” nosaka ģeoloģiskās informācijas sistēmas saturu un tās izmantošanas noteikumus. Minētajā sistēmā ietilpst arī datubāze “Kūdra”. Ģeoloģiskajai informācijai var noteikt komercinformācijas statusu. </w:t>
      </w:r>
    </w:p>
    <w:p w14:paraId="58F34B3C" w14:textId="77777777" w:rsidR="00165D83" w:rsidRPr="00163E6F" w:rsidRDefault="00165D83" w:rsidP="00165D83">
      <w:pPr>
        <w:autoSpaceDE w:val="0"/>
        <w:autoSpaceDN w:val="0"/>
        <w:adjustRightInd w:val="0"/>
        <w:spacing w:after="120"/>
        <w:jc w:val="left"/>
        <w:rPr>
          <w:szCs w:val="24"/>
        </w:rPr>
      </w:pPr>
      <w:r w:rsidRPr="00163E6F">
        <w:rPr>
          <w:color w:val="7030A0"/>
          <w:szCs w:val="24"/>
        </w:rPr>
        <w:tab/>
      </w:r>
      <w:r w:rsidRPr="00163E6F">
        <w:rPr>
          <w:szCs w:val="24"/>
        </w:rPr>
        <w:t>Ministru kabineta 2012.gada 18.septembra noteikumi Nr.633 “Zemes dzīļu izmantošanas kārtība iekšzemes publiskajos ūdeņos un jūrā” attiecas uz sapropeļa ieguvi ezeros.</w:t>
      </w:r>
    </w:p>
    <w:p w14:paraId="089A2DA5" w14:textId="77777777" w:rsidR="00165D83" w:rsidRPr="00163E6F" w:rsidRDefault="00165D83" w:rsidP="00165D83">
      <w:pPr>
        <w:autoSpaceDE w:val="0"/>
        <w:autoSpaceDN w:val="0"/>
        <w:adjustRightInd w:val="0"/>
        <w:spacing w:after="120"/>
        <w:ind w:firstLine="720"/>
        <w:rPr>
          <w:szCs w:val="24"/>
        </w:rPr>
      </w:pPr>
      <w:r w:rsidRPr="00163E6F">
        <w:rPr>
          <w:szCs w:val="24"/>
        </w:rPr>
        <w:t>Ministru kabineta 2006.gada 19. decembra noteikumi Nr. 1055 „Noteikumi par valsts nodevu par zemes dzīļu izmantošanas licenci, bieži sastopamo derīgo izrakteņu ieguves atļauju un atradnes pasi” nosaka valsts nodevu apjomu par kūdras un sapropeļa ieguvei nepieciešamajiem dokumentiem: licenci ģeoloģiskajai izpētei, atradnes pasi, licenci derīgo izrakteņu ieguvei. Ministru kabineta 2013.gada 3.septembra noteikumi Nr. 752 “Valsts sabiedrības ar ierobežotu atbildību “Latvijas Vides, ģeoloģijas un meteoroloģijas centrs” maksas pakalpojumu cenrādis” nosaka maksu par derīgo</w:t>
      </w:r>
      <w:r w:rsidR="001B1B87">
        <w:rPr>
          <w:szCs w:val="24"/>
        </w:rPr>
        <w:t xml:space="preserve"> izrakteņu krājumu akceptēšanu.</w:t>
      </w:r>
    </w:p>
    <w:p w14:paraId="1DD5B530"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Ministru kabineta 2007. gada 30. oktobra noteikumi Nr. 735 </w:t>
      </w:r>
      <w:r w:rsidRPr="00163E6F">
        <w:rPr>
          <w:bCs/>
          <w:szCs w:val="24"/>
        </w:rPr>
        <w:t>„Noteikumi par publiskas personas zemes nomu”</w:t>
      </w:r>
      <w:r w:rsidRPr="00163E6F">
        <w:rPr>
          <w:szCs w:val="24"/>
        </w:rPr>
        <w:t xml:space="preserve"> nosaka publiskas personas zemesgabala nomas maksas aprēķināšanas </w:t>
      </w:r>
      <w:r w:rsidRPr="00163E6F">
        <w:rPr>
          <w:szCs w:val="24"/>
        </w:rPr>
        <w:lastRenderedPageBreak/>
        <w:t xml:space="preserve">kārtība, ja publiskas personas zemesgabals tiek iznomāts zemes dzīļu izmantošanai. </w:t>
      </w:r>
      <w:r w:rsidR="00957AE0" w:rsidRPr="00163E6F">
        <w:rPr>
          <w:szCs w:val="24"/>
        </w:rPr>
        <w:t>Šobrīd d</w:t>
      </w:r>
      <w:r w:rsidRPr="00163E6F">
        <w:rPr>
          <w:szCs w:val="24"/>
        </w:rPr>
        <w:t>ivas trešdaļas kūdras ieguves platību pieder publiskai personai – 55% valstij un 16% pašvaldībām.</w:t>
      </w:r>
    </w:p>
    <w:p w14:paraId="2A94A64A" w14:textId="77777777" w:rsidR="00165D83" w:rsidRPr="00163E6F" w:rsidRDefault="00165D83" w:rsidP="00165D83">
      <w:pPr>
        <w:autoSpaceDE w:val="0"/>
        <w:autoSpaceDN w:val="0"/>
        <w:adjustRightInd w:val="0"/>
        <w:spacing w:after="120"/>
        <w:ind w:firstLine="720"/>
        <w:rPr>
          <w:szCs w:val="24"/>
        </w:rPr>
      </w:pPr>
      <w:r w:rsidRPr="00163E6F">
        <w:rPr>
          <w:b/>
          <w:bCs/>
          <w:szCs w:val="24"/>
        </w:rPr>
        <w:t xml:space="preserve">Dabas resursu nodokļa likuma </w:t>
      </w:r>
      <w:r w:rsidRPr="00163E6F">
        <w:rPr>
          <w:szCs w:val="24"/>
        </w:rPr>
        <w:t>mērķis ir veicināt dabas resursu ekonomiski efektīvu izmantošanu, ierobežot vides piesārņošanu, samazināt vidi piesārņojošas produkcijas ražošanu un realizāciju, veicināt jaunu, vidi saudzējošu tehnoloģiju ieviešanu, atbalstīt tautsaimniecības ilgtspējīgu attīstību, kā arī finansiāli nodrošināt vides aizsardzības pasākumus. Likuma 1. pielikumā noteiktas nodokļa likmes par dabas resursu, tajā skaitā kūdras un sapropeļa ieguvi. Ministru kabineta 2007.gada 19.jūnija noteikumi Nr.404 “Dabas resursu nodokļa aprēķināšanas un maksāšanas kārtība un kārtība, kādā izsniedz dabas resursu lietošanas atļauju” nosaka nodokļa aprēķināšanas un samaksas kārtību.</w:t>
      </w:r>
    </w:p>
    <w:p w14:paraId="23BC3309" w14:textId="77777777" w:rsidR="00165D83" w:rsidRPr="00163E6F" w:rsidRDefault="00165D83" w:rsidP="00165D83">
      <w:pPr>
        <w:autoSpaceDE w:val="0"/>
        <w:autoSpaceDN w:val="0"/>
        <w:adjustRightInd w:val="0"/>
        <w:spacing w:after="120"/>
        <w:ind w:firstLine="720"/>
        <w:rPr>
          <w:szCs w:val="24"/>
        </w:rPr>
      </w:pPr>
      <w:r w:rsidRPr="00163E6F">
        <w:rPr>
          <w:b/>
          <w:bCs/>
          <w:szCs w:val="24"/>
        </w:rPr>
        <w:t>Likums</w:t>
      </w:r>
      <w:r w:rsidRPr="00163E6F">
        <w:rPr>
          <w:szCs w:val="24"/>
        </w:rPr>
        <w:t xml:space="preserve"> </w:t>
      </w:r>
      <w:r w:rsidRPr="00163E6F">
        <w:rPr>
          <w:b/>
          <w:bCs/>
          <w:szCs w:val="24"/>
        </w:rPr>
        <w:t xml:space="preserve">„Par ietekmes uz vidi novērtējumu” </w:t>
      </w:r>
      <w:r w:rsidRPr="00163E6F">
        <w:rPr>
          <w:szCs w:val="24"/>
        </w:rPr>
        <w:t>nosaka, ka ietekmes uz vidi novērtējums jāveic kūdras ieguvei 150 ha vai lielākā platībā. Sākotnējais ietekmes uz vidi novērtējums jāveic ieguvei 25 ha vai lielākā platībā. Likuma mērķis ir novērst vai samazināt paredzēto darbību vai plānošanas dokumentu īstenošanas nelabvēlīgo ietekmi uz vidi. Ietekmes uz vidi novērtējums izdarāms pēc iespējas agrākā paredzētās darbības plānošanas, projektēšanas</w:t>
      </w:r>
      <w:r w:rsidR="001B1B87">
        <w:rPr>
          <w:szCs w:val="24"/>
        </w:rPr>
        <w:t xml:space="preserve"> un lēmumu pieņemšanas stadijā.</w:t>
      </w:r>
    </w:p>
    <w:p w14:paraId="05FEA50F"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Sugu un biotopu aizsardzības prasības Latvijā nosaka </w:t>
      </w:r>
      <w:r w:rsidRPr="00163E6F">
        <w:rPr>
          <w:b/>
          <w:bCs/>
          <w:szCs w:val="24"/>
        </w:rPr>
        <w:t>Sugu un biotopu aizsardzības likums</w:t>
      </w:r>
      <w:r w:rsidRPr="00163E6F">
        <w:rPr>
          <w:szCs w:val="24"/>
        </w:rPr>
        <w:t xml:space="preserve">. Likuma mērķi ir šādi: 1) nodrošināt bioloģisko daudzveidību, saglabājot faunu, floru un biotopus; 2) regulēt sugu un biotopu aizsardzību, apsaimniekošanu un uzraudzību; 3) veicināt populāciju un biotopu saglabāšanu atbilstoši ekonomiskajiem un sociālajiem priekšnoteikumiem, kā arī kultūrvēsturiskajām tradīcijām; 4) regulēt īpaši aizsargājamo sugu un biotopu noteikšanas kārtību; 5) nodrošināt nepieciešamo pasākumu veikšanu, lai skaitliski uzturētu savvaļā dzīvojošo savvaļas putnu sugu populācijas atbilstoši ekoloģijas, zinātnes, kultūras prasībām un ņemot vērā saimnieciskās un rekreatīvās prasības vai lai tuvinātu šo sugu populācijas minētajam līmenim. Atbilstoši šim likumam ir izveidoti īpaši aizsargājamo sugu un biotopu saraksti, kuros tiek iekļautas apdraudētas, izzūdošas vai retas sugas un biotopi vai sugas, kuras apdzīvo specifiskus biotopus. Šajos sarakstos ir iekļautas gan sugas, kas tradicionāli aizsargātas Latvijā, gan arī sugas, kuru aizsardzību paredz ES Putnu </w:t>
      </w:r>
      <w:r w:rsidRPr="00163E6F">
        <w:rPr>
          <w:b/>
          <w:bCs/>
          <w:szCs w:val="24"/>
        </w:rPr>
        <w:t>(</w:t>
      </w:r>
      <w:r w:rsidRPr="00163E6F">
        <w:rPr>
          <w:szCs w:val="24"/>
        </w:rPr>
        <w:t>Eiropas Parlamenta un Padomes 2009. gada 30. novembra direktīva 2009/147/EK par savvaļas putnu aizsardzību)</w:t>
      </w:r>
      <w:r w:rsidRPr="00163E6F">
        <w:rPr>
          <w:b/>
          <w:bCs/>
          <w:szCs w:val="24"/>
        </w:rPr>
        <w:t xml:space="preserve"> </w:t>
      </w:r>
      <w:r w:rsidRPr="00163E6F">
        <w:rPr>
          <w:szCs w:val="24"/>
        </w:rPr>
        <w:t>vai Biotopu direktīva (Eiropas Padomes 1992. gada 21. maija direktīva 92/43/EEK par dabisko dzīvotņu, savvaļas faunas un floras aizsardzību). Latvijā īpaši aizsargājamo sugu un biotopu sarakstos iekļautas</w:t>
      </w:r>
      <w:r w:rsidRPr="00163E6F">
        <w:rPr>
          <w:b/>
          <w:bCs/>
          <w:szCs w:val="24"/>
        </w:rPr>
        <w:t xml:space="preserve"> </w:t>
      </w:r>
      <w:r w:rsidRPr="00163E6F">
        <w:rPr>
          <w:szCs w:val="24"/>
        </w:rPr>
        <w:t>721 augu un dzīvnieku sugas</w:t>
      </w:r>
      <w:r w:rsidRPr="00163E6F">
        <w:rPr>
          <w:b/>
          <w:bCs/>
          <w:szCs w:val="24"/>
        </w:rPr>
        <w:t xml:space="preserve"> </w:t>
      </w:r>
      <w:r w:rsidRPr="00163E6F">
        <w:rPr>
          <w:szCs w:val="24"/>
        </w:rPr>
        <w:t>un</w:t>
      </w:r>
      <w:r w:rsidRPr="00163E6F">
        <w:rPr>
          <w:b/>
          <w:bCs/>
          <w:szCs w:val="24"/>
        </w:rPr>
        <w:t xml:space="preserve"> </w:t>
      </w:r>
      <w:r w:rsidRPr="00163E6F">
        <w:rPr>
          <w:szCs w:val="24"/>
        </w:rPr>
        <w:t>89 biotopi</w:t>
      </w:r>
      <w:r w:rsidRPr="00163E6F">
        <w:rPr>
          <w:b/>
          <w:bCs/>
          <w:szCs w:val="24"/>
        </w:rPr>
        <w:t xml:space="preserve">. </w:t>
      </w:r>
      <w:r w:rsidRPr="00163E6F">
        <w:rPr>
          <w:szCs w:val="24"/>
        </w:rPr>
        <w:t xml:space="preserve">Šo sugu un biotopu sarakstus ir apstiprinājis Ministru kabinets. </w:t>
      </w:r>
    </w:p>
    <w:p w14:paraId="150EDA30" w14:textId="77777777" w:rsidR="00165D83" w:rsidRPr="00163E6F" w:rsidRDefault="00165D83" w:rsidP="00165D83">
      <w:pPr>
        <w:autoSpaceDE w:val="0"/>
        <w:autoSpaceDN w:val="0"/>
        <w:adjustRightInd w:val="0"/>
        <w:spacing w:after="120"/>
        <w:ind w:firstLine="720"/>
        <w:rPr>
          <w:szCs w:val="24"/>
        </w:rPr>
      </w:pPr>
      <w:r w:rsidRPr="00163E6F">
        <w:rPr>
          <w:szCs w:val="24"/>
        </w:rPr>
        <w:t>Sugu un biotopu aizsardzība tiek nodrošināta īpaši aizsargājamās dabas teritorijās (tai skaitā</w:t>
      </w:r>
      <w:r w:rsidRPr="00163E6F">
        <w:rPr>
          <w:b/>
          <w:bCs/>
          <w:szCs w:val="24"/>
        </w:rPr>
        <w:t xml:space="preserve"> </w:t>
      </w:r>
      <w:r w:rsidRPr="00163E6F">
        <w:rPr>
          <w:i/>
          <w:iCs/>
          <w:szCs w:val="24"/>
        </w:rPr>
        <w:t>Natura 2000</w:t>
      </w:r>
      <w:r w:rsidRPr="00163E6F">
        <w:rPr>
          <w:szCs w:val="24"/>
        </w:rPr>
        <w:t xml:space="preserve"> teritoriju tīklā</w:t>
      </w:r>
      <w:r w:rsidRPr="00163E6F">
        <w:rPr>
          <w:b/>
          <w:bCs/>
          <w:szCs w:val="24"/>
        </w:rPr>
        <w:t>)</w:t>
      </w:r>
      <w:r w:rsidRPr="00163E6F">
        <w:rPr>
          <w:szCs w:val="24"/>
        </w:rPr>
        <w:t xml:space="preserve"> un mikroliegumos. Mikrolieguma izveidošanas kārtību un aizsardzības prasības nosaka 2012. gada 18. decembra Ministru kabineta noteikumi Nr. 940 „Noteikumi par mikroliegumu izveidošanas un apsaimniekošanas kārtību, to aizsardzību, kā arī mikroliegumu un to buferzonu noteikšanu”. Papildus tam, sugu un biotopu aizsardzība tiek nodrošināta, paredzot attiecīgu izvērtējumu darbībām, kuru rezultātā var tikt iznīcinātas īpaši aizsargājamu sugu dzīvotnes vai aizsargājami biotopi. </w:t>
      </w:r>
    </w:p>
    <w:p w14:paraId="75D51D94"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Īpaši aizsargājamās dabas teritorijas tiek izveidotas un apsaimniekotas saskaņā ar </w:t>
      </w:r>
      <w:r w:rsidRPr="00163E6F">
        <w:rPr>
          <w:b/>
          <w:szCs w:val="24"/>
        </w:rPr>
        <w:t>likumu</w:t>
      </w:r>
      <w:r w:rsidRPr="00163E6F">
        <w:rPr>
          <w:szCs w:val="24"/>
        </w:rPr>
        <w:t xml:space="preserve"> </w:t>
      </w:r>
      <w:r w:rsidR="007F24F6" w:rsidRPr="00163E6F">
        <w:rPr>
          <w:b/>
          <w:bCs/>
          <w:szCs w:val="24"/>
        </w:rPr>
        <w:t>„</w:t>
      </w:r>
      <w:r w:rsidRPr="00163E6F">
        <w:rPr>
          <w:b/>
          <w:szCs w:val="24"/>
        </w:rPr>
        <w:t>Par īpaši aizsargājamām dabas teritorijām</w:t>
      </w:r>
      <w:r w:rsidRPr="00163E6F">
        <w:rPr>
          <w:b/>
          <w:bCs/>
          <w:szCs w:val="24"/>
        </w:rPr>
        <w:t xml:space="preserve">” </w:t>
      </w:r>
      <w:r w:rsidRPr="00163E6F">
        <w:rPr>
          <w:szCs w:val="24"/>
        </w:rPr>
        <w:t>un Ministru kabineta 2010.gada 16.marta noteikumiem Nr.264 “Īpaši aizsargājamo dabas teritoriju vispārējie aizsardzības un izmantošanas noteikumi”, kā arī ar to dabas aizsardzības plāniem un individuālajiem aizsardzības un izmantošanas noteikumiem.</w:t>
      </w:r>
    </w:p>
    <w:p w14:paraId="0BDCB52C" w14:textId="77777777" w:rsidR="00165D83" w:rsidRPr="00163E6F" w:rsidRDefault="00165D83" w:rsidP="00165D83">
      <w:pPr>
        <w:autoSpaceDE w:val="0"/>
        <w:autoSpaceDN w:val="0"/>
        <w:adjustRightInd w:val="0"/>
        <w:spacing w:after="120"/>
        <w:rPr>
          <w:szCs w:val="24"/>
        </w:rPr>
      </w:pPr>
      <w:r w:rsidRPr="00163E6F">
        <w:rPr>
          <w:szCs w:val="24"/>
        </w:rPr>
        <w:lastRenderedPageBreak/>
        <w:tab/>
      </w:r>
      <w:r w:rsidRPr="00163E6F">
        <w:rPr>
          <w:b/>
          <w:bCs/>
          <w:szCs w:val="24"/>
        </w:rPr>
        <w:t>Aizsargjoslu likums</w:t>
      </w:r>
      <w:r w:rsidRPr="00163E6F">
        <w:rPr>
          <w:szCs w:val="24"/>
        </w:rPr>
        <w:t xml:space="preserve"> nosaka aizsargjoslas ap purviem un saimnieciskās darbības aprobežojumus aizsargjoslās.</w:t>
      </w:r>
    </w:p>
    <w:p w14:paraId="2D1F1CF2" w14:textId="77777777" w:rsidR="00165D83" w:rsidRPr="00163E6F" w:rsidRDefault="00165D83" w:rsidP="00165D83">
      <w:pPr>
        <w:autoSpaceDE w:val="0"/>
        <w:autoSpaceDN w:val="0"/>
        <w:adjustRightInd w:val="0"/>
        <w:spacing w:after="120"/>
        <w:rPr>
          <w:szCs w:val="24"/>
        </w:rPr>
      </w:pPr>
      <w:r w:rsidRPr="00163E6F">
        <w:rPr>
          <w:szCs w:val="24"/>
        </w:rPr>
        <w:tab/>
      </w:r>
      <w:r w:rsidRPr="00163E6F">
        <w:rPr>
          <w:b/>
          <w:bCs/>
          <w:szCs w:val="24"/>
        </w:rPr>
        <w:t xml:space="preserve">Teritorijas attīstībās plānošanas likuma </w:t>
      </w:r>
      <w:r w:rsidRPr="00163E6F">
        <w:rPr>
          <w:szCs w:val="24"/>
        </w:rPr>
        <w:t xml:space="preserve">mērķis ir panākt, ka teritorijas attīstība tiek plānota tā, lai varētu paaugstināt dzīves vides kvalitāti, ilgtspējīgi, efektīvi un racionāli izmantot teritoriju un citus resursus, kā arī mērķtiecīgi un līdzsvaroti attīstīt ekonomiku. Vietējās pašvaldības teritorijas plānojumā nosaka funkcionālo zonējumu, publisko infrastruktūru, reglamentē teritorijas izmantošanas un apbūves noteikumus, kā arī citus teritorijas izmantošanas nosacījumus un aprobežojumus, tajā skaitā attiecībā uz derīgo izrakteņu ieguvi. </w:t>
      </w:r>
    </w:p>
    <w:p w14:paraId="1DA64017"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Tā kā kūdras ieguve saistīta ar nosusināšanu, uz to attiecas arī meliorāciju regulējošie normatīvie akti. </w:t>
      </w:r>
      <w:r w:rsidRPr="00163E6F">
        <w:rPr>
          <w:b/>
          <w:bCs/>
          <w:szCs w:val="24"/>
        </w:rPr>
        <w:t>Meliorācijas likuma</w:t>
      </w:r>
      <w:r w:rsidRPr="00163E6F">
        <w:rPr>
          <w:szCs w:val="24"/>
        </w:rPr>
        <w:t xml:space="preserve"> mērķis ir nodrošināt tādu meliorācijas sistēmu pārvaldības mehānismu, kas veicina dabas resursu ilgtspējīgu apsaimniekošanu un izmantošanu, nodrošina iedzīvotāju drošībai un labklājībai, infrastruktūras attīstībai nepieciešamo ūdens režīmu, kā arī racionālu meliorācijas sistēmu būvniecību, ekspluatāciju, uzturēšanu un pārvaldību lauku apvidu un pilsētu zemē. </w:t>
      </w:r>
    </w:p>
    <w:p w14:paraId="0DF57379" w14:textId="77777777" w:rsidR="00165D83" w:rsidRDefault="00165D83" w:rsidP="00165D83">
      <w:pPr>
        <w:autoSpaceDE w:val="0"/>
        <w:autoSpaceDN w:val="0"/>
        <w:adjustRightInd w:val="0"/>
        <w:spacing w:after="120"/>
        <w:ind w:firstLine="720"/>
        <w:rPr>
          <w:szCs w:val="24"/>
        </w:rPr>
      </w:pPr>
      <w:r w:rsidRPr="00163E6F">
        <w:rPr>
          <w:szCs w:val="24"/>
        </w:rPr>
        <w:t xml:space="preserve">Meliorācijas sistēmu būvniecība un pārbūve notiek saskaņā ar </w:t>
      </w:r>
      <w:r w:rsidRPr="00163E6F">
        <w:rPr>
          <w:b/>
          <w:bCs/>
          <w:szCs w:val="24"/>
        </w:rPr>
        <w:t>Būvniecības likumu</w:t>
      </w:r>
      <w:r w:rsidRPr="00163E6F">
        <w:rPr>
          <w:szCs w:val="24"/>
        </w:rPr>
        <w:t xml:space="preserve">. Vispārīgās būvniecības prasības ir noteiktas Ministru kabineta 2014.gada 19.augusta noteikumos Nr.500 „Vispārīgie būvnoteikumi”. Piemēro arī speciālos būvnoteikumus: Ministru kabineta 2014.gada 16.septembra noteikumi Nr.550 „Hidrotehnisko un meliorācijas būvju būvnoteikumi”, Ministru kabineta 2015.gada 30.jūnija noteikumi Nr.329 „Noteikumi par Latvijas būvnormatīvu LBN 224-15 „Meliorācijas sistēmas un hidrotehniskās būves””. Kārtību kādā notiek meliorācijas sistēmu ekspluatācija nosaka Ministru kabineta 2010.gada 3.augusta noteikumi Nr.714 „Meliorācijas sistēmas ekspluatācijas un uzturēšanas noteikumi” un Ministru kabineta 2012.gada 2.maija noteikumi Nr.306 „Noteikumi par ekspluatācijas aizsargjoslas ap meliorācijas būvēm un ierīcēm noteikšanas metodiku lauksaimniecībā izmantojamās zemēs un meža zemēs”. </w:t>
      </w:r>
    </w:p>
    <w:p w14:paraId="1C5B9684" w14:textId="77777777" w:rsidR="00F524FA" w:rsidRPr="007428EA" w:rsidRDefault="00F524FA" w:rsidP="00F524FA">
      <w:pPr>
        <w:spacing w:after="120"/>
        <w:ind w:firstLine="720"/>
        <w:rPr>
          <w:szCs w:val="24"/>
        </w:rPr>
      </w:pPr>
      <w:r w:rsidRPr="007428EA">
        <w:rPr>
          <w:b/>
          <w:szCs w:val="24"/>
        </w:rPr>
        <w:t xml:space="preserve">Enerģētikas attīstības pamatnostādnēs 2016. – 2020. gadam </w:t>
      </w:r>
      <w:r w:rsidRPr="007428EA">
        <w:rPr>
          <w:szCs w:val="24"/>
        </w:rPr>
        <w:t xml:space="preserve">(apstiprināts ar 2016. gada 9. februāra Ministru kabineta rīkojumu Nr. 129 „Par enerģētikas attīstības pamatnostādnēm 2016. – 2020. gadam”) minēts, ka </w:t>
      </w:r>
      <w:r w:rsidRPr="007428EA">
        <w:rPr>
          <w:rFonts w:eastAsia="Times New Roman"/>
          <w:color w:val="000000"/>
          <w:szCs w:val="24"/>
        </w:rPr>
        <w:t xml:space="preserve">2013. gadā vietējie energoresursi nodrošināja 34,9% no kopējā primāro energoresursu patēriņa. Lielākā daļa no tiem bija atjaunojami energoresursi – koksnes biomasa, hidroresursi, vējš, biogāze, biodegvielas un vietējie energoresursi – kūdra, atkritumi. Norādīts, ka enerģētiskās neatkarības nodrošināšanai zināms potenciāls ir kūdras ieguvei. </w:t>
      </w:r>
      <w:bookmarkStart w:id="3" w:name="_Toc392432493"/>
      <w:r w:rsidRPr="007428EA">
        <w:rPr>
          <w:color w:val="000000"/>
          <w:szCs w:val="24"/>
        </w:rPr>
        <w:t>Enerģētiskās kūdras ieguvi jau sagatavotās kūdras atradnēs, kuru izstrādei ir spēkā esošas licences, var uzsākt aptuveni 4000 ha platībā, iegūstot vismaz 700 tūkst. t enerģētiskās kūdras gadā</w:t>
      </w:r>
      <w:r w:rsidRPr="007428EA">
        <w:rPr>
          <w:rStyle w:val="FootnoteReference"/>
          <w:iCs/>
          <w:color w:val="000000"/>
          <w:szCs w:val="24"/>
        </w:rPr>
        <w:footnoteReference w:id="1"/>
      </w:r>
      <w:r w:rsidRPr="007428EA">
        <w:rPr>
          <w:color w:val="000000"/>
          <w:szCs w:val="24"/>
        </w:rPr>
        <w:t xml:space="preserve">. </w:t>
      </w:r>
      <w:r w:rsidRPr="007428EA">
        <w:rPr>
          <w:color w:val="000000"/>
        </w:rPr>
        <w:t>Latvijā</w:t>
      </w:r>
      <w:r w:rsidRPr="007428EA">
        <w:rPr>
          <w:color w:val="000000"/>
          <w:szCs w:val="24"/>
        </w:rPr>
        <w:t xml:space="preserve"> 2015. gadā darbojas vairāk nekā 300 ūdenssildāmie katli, kuros tehnoloģiski būtu iespējams sadedzināt kūdru.</w:t>
      </w:r>
      <w:bookmarkEnd w:id="3"/>
      <w:r w:rsidRPr="007428EA">
        <w:rPr>
          <w:color w:val="000000"/>
          <w:szCs w:val="24"/>
        </w:rPr>
        <w:t xml:space="preserve"> Enerģijas ražošanai var izmantot ap 462 tūkst. t kūdras gadā. Tajā pat laikā, izmantojot kūdru kā kurināmo, ir svarīgi, ka nepasliktinās vides kvalitāte, it īpaši tas nav pieļaujami blīvāk apdzīvotajās vietās. Vienlaikus ir svarīgi, lai kūdras izmantošana neapdraud SEG emisiju samazināšanas mērķu sasniegšanu. Kūdras izmantošana katlos, kuru jauda pārsniedz 20 MW radītu papildus slogu Latvijas Eiropas Savienības (ES) Emisijas kvotu tirdzniecības sistēmas (ETS) dalībniekiem. Savukārt kūdras izmantošana zemākas jaudas katlos negatīvi ietekmētu valsts atbildībā esošā ES ETS neiekļauto darbību SEG emisiju samazināšanas mērķa izpildē</w:t>
      </w:r>
      <w:r w:rsidR="009F769B">
        <w:rPr>
          <w:color w:val="000000"/>
          <w:szCs w:val="24"/>
        </w:rPr>
        <w:t xml:space="preserve">. </w:t>
      </w:r>
      <w:r w:rsidRPr="007428EA">
        <w:rPr>
          <w:szCs w:val="24"/>
        </w:rPr>
        <w:t>Runājot par siltumapgādi, pie iespējām minēts: „</w:t>
      </w:r>
      <w:r w:rsidRPr="007428EA">
        <w:rPr>
          <w:i/>
        </w:rPr>
        <w:t>Vietējo energoresursu plašāka izmantošana, īpaši centralizētā siltumapgādē, kā, piemēram, ģeotermālās enerģijas iespējas un kūdras izmantošana enerģijas ražošanai ņemot vērā vides, it īpaši gaisa kvalitātes, prasības</w:t>
      </w:r>
      <w:r w:rsidRPr="007428EA">
        <w:rPr>
          <w:szCs w:val="24"/>
        </w:rPr>
        <w:t xml:space="preserve">.” </w:t>
      </w:r>
    </w:p>
    <w:p w14:paraId="00AA0A38" w14:textId="77777777" w:rsidR="00F524FA" w:rsidRPr="007428EA" w:rsidRDefault="00F524FA" w:rsidP="00F524FA">
      <w:pPr>
        <w:spacing w:after="120"/>
        <w:ind w:firstLine="720"/>
      </w:pPr>
      <w:r w:rsidRPr="007428EA">
        <w:rPr>
          <w:color w:val="000000"/>
          <w:szCs w:val="24"/>
        </w:rPr>
        <w:lastRenderedPageBreak/>
        <w:t xml:space="preserve">Mērķa „Primāro energoresursu diversifikācija” sasniegšanai norādīti rīcības virzieni: „1.1. </w:t>
      </w:r>
      <w:r w:rsidRPr="007428EA">
        <w:rPr>
          <w:i/>
          <w:color w:val="000000"/>
        </w:rPr>
        <w:t xml:space="preserve">Izvērtēt kūdras, ģeotermālās enerģijas iegūšanas un citu alternatīvo avotu efektīvas izmantošanas iespējas un ar to iegūšanu saistītos apstākļus, ņemot vērā tās iegūšanas un izmantošanas ietekmi uz vidi.”; „4.2.2. Veicināt biomasas un kūdras izmantošanu energoapgādē, piešķirot tam Eiropas Savienības (turpmāk – ES) </w:t>
      </w:r>
      <w:r w:rsidRPr="007428EA">
        <w:rPr>
          <w:i/>
          <w:color w:val="000000"/>
          <w:sz w:val="23"/>
        </w:rPr>
        <w:t>fondu atbalstu, nodrošināt atbilstošu attīrīšanas tehnoloģiju uzstādīšanu šo iekārtu radīto gaisu piesārņojošo vielu emisiju ierobežošanai</w:t>
      </w:r>
      <w:r w:rsidRPr="007428EA">
        <w:rPr>
          <w:color w:val="000000"/>
          <w:szCs w:val="24"/>
        </w:rPr>
        <w:t>.”</w:t>
      </w:r>
    </w:p>
    <w:p w14:paraId="1656A5AB" w14:textId="77777777" w:rsidR="00F524FA" w:rsidRPr="00163E6F" w:rsidRDefault="00F524FA" w:rsidP="009F769B">
      <w:pPr>
        <w:spacing w:after="120"/>
        <w:ind w:firstLine="720"/>
        <w:rPr>
          <w:szCs w:val="24"/>
        </w:rPr>
      </w:pPr>
      <w:r w:rsidRPr="007428EA">
        <w:rPr>
          <w:szCs w:val="24"/>
        </w:rPr>
        <w:t>Informatīvajā ziņojumā</w:t>
      </w:r>
      <w:r w:rsidRPr="007428EA">
        <w:rPr>
          <w:b/>
          <w:szCs w:val="24"/>
        </w:rPr>
        <w:t xml:space="preserve"> Latvijas Enerģētikas ilgtermiņa stratēģija 2030 - konkurētspējīga enerģētika sabiedrībai</w:t>
      </w:r>
      <w:r w:rsidRPr="007428EA">
        <w:rPr>
          <w:szCs w:val="24"/>
        </w:rPr>
        <w:t xml:space="preserve"> (apstiprināts 2013. gada 28. maijā MK) sadaļā par energoapgādes drošības jautājumiem kā viens no darbības virzieniem minēts: „</w:t>
      </w:r>
      <w:r w:rsidRPr="007428EA">
        <w:rPr>
          <w:i/>
        </w:rPr>
        <w:t>veicināt vietējo energoresursu ieguves potenciālu, tajā skaitā kūdras ieguvi un slānekļa gāzes un naftas potenciāla tālāku izpēti, kā arī pieņemt atbilstošu regulējumu ogļūdeņražu izpētes un ieguves investīciju vides nostiprināšanai</w:t>
      </w:r>
      <w:r w:rsidRPr="007428EA">
        <w:rPr>
          <w:szCs w:val="24"/>
        </w:rPr>
        <w:t>.”</w:t>
      </w:r>
    </w:p>
    <w:p w14:paraId="22739F07" w14:textId="77777777" w:rsidR="00430A48" w:rsidRPr="008B63BF" w:rsidRDefault="00430A48" w:rsidP="00430A48">
      <w:pPr>
        <w:pStyle w:val="CommentText"/>
        <w:ind w:firstLine="720"/>
        <w:rPr>
          <w:sz w:val="24"/>
          <w:szCs w:val="24"/>
          <w:lang w:eastAsia="x-none"/>
        </w:rPr>
      </w:pPr>
      <w:r w:rsidRPr="008B63BF">
        <w:rPr>
          <w:sz w:val="24"/>
          <w:szCs w:val="24"/>
        </w:rPr>
        <w:t xml:space="preserve">Saskaņā ar </w:t>
      </w:r>
      <w:r w:rsidRPr="008B63BF">
        <w:rPr>
          <w:b/>
          <w:sz w:val="24"/>
          <w:szCs w:val="24"/>
        </w:rPr>
        <w:t xml:space="preserve">ANO Vispārējās konvencijas par klimata pārmaiņām (turpmāk – Klimata pārmaiņu konvencija) </w:t>
      </w:r>
      <w:r w:rsidRPr="008B63BF">
        <w:rPr>
          <w:sz w:val="24"/>
          <w:szCs w:val="24"/>
        </w:rPr>
        <w:t>prasībām dalībvalstīm, tajā skaitā Latvijai, katru gadu Klimata pārmaiņu konvencijas sekretariātam) ir jāsniedz inventarizācija par siltumnīcefekta gāzu (</w:t>
      </w:r>
      <w:r w:rsidRPr="008B63BF">
        <w:rPr>
          <w:sz w:val="24"/>
          <w:szCs w:val="24"/>
        </w:rPr>
        <w:fldChar w:fldCharType="begin"/>
      </w:r>
      <w:r w:rsidRPr="008B63BF">
        <w:rPr>
          <w:sz w:val="24"/>
          <w:szCs w:val="24"/>
        </w:rPr>
        <w:instrText xml:space="preserve"> XE "SEG" </w:instrText>
      </w:r>
      <w:r w:rsidRPr="008B63BF">
        <w:rPr>
          <w:sz w:val="24"/>
          <w:szCs w:val="24"/>
        </w:rPr>
        <w:fldChar w:fldCharType="end"/>
      </w:r>
      <w:r w:rsidRPr="008B63BF">
        <w:rPr>
          <w:sz w:val="24"/>
          <w:szCs w:val="24"/>
        </w:rPr>
        <w:t xml:space="preserve">SEG) emisijām un to piesaisti valstī. </w:t>
      </w:r>
      <w:r w:rsidRPr="008B63BF">
        <w:rPr>
          <w:sz w:val="24"/>
          <w:szCs w:val="24"/>
        </w:rPr>
        <w:fldChar w:fldCharType="begin"/>
      </w:r>
      <w:r w:rsidRPr="008B63BF">
        <w:rPr>
          <w:sz w:val="24"/>
          <w:szCs w:val="24"/>
        </w:rPr>
        <w:instrText xml:space="preserve"> XE "SEG" </w:instrText>
      </w:r>
      <w:r w:rsidRPr="008B63BF">
        <w:rPr>
          <w:sz w:val="24"/>
          <w:szCs w:val="24"/>
        </w:rPr>
        <w:fldChar w:fldCharType="end"/>
      </w:r>
      <w:r w:rsidRPr="008B63BF">
        <w:rPr>
          <w:sz w:val="24"/>
          <w:szCs w:val="24"/>
        </w:rPr>
        <w:t>SEG inventarizācijas sagatavošana notiek saskaņā ar Klimata pārmaiņu starpvaldību padomes (</w:t>
      </w:r>
      <w:r w:rsidRPr="008B63BF">
        <w:rPr>
          <w:sz w:val="24"/>
          <w:szCs w:val="24"/>
        </w:rPr>
        <w:fldChar w:fldCharType="begin"/>
      </w:r>
      <w:r w:rsidRPr="008B63BF">
        <w:rPr>
          <w:sz w:val="24"/>
          <w:szCs w:val="24"/>
        </w:rPr>
        <w:instrText xml:space="preserve"> XE "IPCC" </w:instrText>
      </w:r>
      <w:r w:rsidRPr="008B63BF">
        <w:rPr>
          <w:sz w:val="24"/>
          <w:szCs w:val="24"/>
        </w:rPr>
        <w:fldChar w:fldCharType="end"/>
      </w:r>
      <w:r w:rsidRPr="008B63BF">
        <w:rPr>
          <w:sz w:val="24"/>
          <w:szCs w:val="24"/>
        </w:rPr>
        <w:t>KPSP) izstrādātām un Līgumslēdzēju pušu Konferencē (COP) apstiprinātām metodoloģijām, un ziņošanas vadlīnijām</w:t>
      </w:r>
      <w:r w:rsidRPr="008B63BF">
        <w:rPr>
          <w:rStyle w:val="FootnoteReference"/>
          <w:sz w:val="24"/>
          <w:szCs w:val="24"/>
        </w:rPr>
        <w:footnoteReference w:id="2"/>
      </w:r>
      <w:r w:rsidRPr="008B63BF">
        <w:rPr>
          <w:sz w:val="24"/>
          <w:szCs w:val="24"/>
        </w:rPr>
        <w:t>.</w:t>
      </w:r>
      <w:r w:rsidRPr="008B63BF">
        <w:rPr>
          <w:rFonts w:ascii="Calibri" w:hAnsi="Calibri"/>
          <w:sz w:val="24"/>
          <w:szCs w:val="24"/>
          <w:lang w:val="x-none" w:eastAsia="x-none"/>
        </w:rPr>
        <w:t xml:space="preserve"> </w:t>
      </w:r>
    </w:p>
    <w:p w14:paraId="48A88D95" w14:textId="77777777" w:rsidR="00430A48" w:rsidRPr="008B63BF" w:rsidRDefault="00430A48" w:rsidP="00430A48">
      <w:pPr>
        <w:pStyle w:val="CommentText"/>
        <w:rPr>
          <w:rFonts w:ascii="Calibri" w:hAnsi="Calibri"/>
          <w:lang w:eastAsia="x-none"/>
        </w:rPr>
      </w:pPr>
    </w:p>
    <w:p w14:paraId="054C7642" w14:textId="77777777" w:rsidR="00430A48" w:rsidRPr="007428EA" w:rsidRDefault="00430A48" w:rsidP="00430A48">
      <w:pPr>
        <w:ind w:firstLine="720"/>
        <w:rPr>
          <w:szCs w:val="24"/>
        </w:rPr>
      </w:pPr>
      <w:r w:rsidRPr="007428EA">
        <w:rPr>
          <w:szCs w:val="24"/>
        </w:rPr>
        <w:t xml:space="preserve">Aptverot tikai 3% no pasaules zemes, kūdrāji satur apmēram 500 Gt oglekļa kūdrā. Kūdras ieguves rezultātā rodas ievērojamas oglekļa dioksīda un metāna emisijas. Eiropas Parlamenta un Padomes 2009. gada 23.aprīļa direktīvas par atjaunojamo energoresursu izmantošanas veicināšanu un ar ko groza un sekojoši atceļ Direktīvas 2001/77/EK un 2003/30/EK 2.panta a) apakšpunkts noteic, ka </w:t>
      </w:r>
      <w:r w:rsidRPr="007428EA">
        <w:rPr>
          <w:i/>
          <w:szCs w:val="24"/>
        </w:rPr>
        <w:t>“enerģija, kas iegūta no atjaunojamajiem energoresursiem” ir enerģija no atjaunojamajiem nefosiliem energoresursiem, proti, vēja, saules, aerotermālā, ģeotermālā, hidrotermālā un jūras enerģija, hidroenerģija un biomasas enerģija; atkritumu poligonu un notekūdeņu attīrīšanas iekārtu gāzes un biogāzes enerģija”</w:t>
      </w:r>
      <w:r w:rsidRPr="007428EA">
        <w:rPr>
          <w:szCs w:val="24"/>
        </w:rPr>
        <w:t xml:space="preserve">. Savukārt, Enerģētikas likuma 1.panta 1.punkts noteic, ka </w:t>
      </w:r>
      <w:r w:rsidRPr="007428EA">
        <w:rPr>
          <w:i/>
          <w:szCs w:val="24"/>
        </w:rPr>
        <w:t>“atjaunojamie energoresursi — vēja, saules, ģeotermālā, viļņu, paisuma un bēguma, ūdens enerģija, kā arī aerotermālā enerģija (siltumenerģija, kura uzkrājas gaisā), ģeotermālā enerģija (siltumenerģija, kura atrodas zem cietzemes virsmas) un hidrotermālā enerģija (siltumenerģija, kura atrodas virszemes ūdeņos), atkritumu poligonu un notekūdeņu attīrīšanas iekārtu gāzes, biogāze un biomasa”</w:t>
      </w:r>
      <w:r w:rsidRPr="007428EA">
        <w:rPr>
          <w:szCs w:val="24"/>
        </w:rPr>
        <w:t xml:space="preserve">. Kurināmo (energoresursu) klasifikācija tiek veikta, ņemot vērā spēkā esošo tiesisko regulējumu, kas ir noteikts un tiek piemērots gan valsts līmenī, gan arī vienoti </w:t>
      </w:r>
      <w:r w:rsidRPr="007428EA">
        <w:t>ES</w:t>
      </w:r>
      <w:r w:rsidRPr="007428EA">
        <w:rPr>
          <w:szCs w:val="24"/>
        </w:rPr>
        <w:t xml:space="preserve"> līmenī. LR Centrālā statistikas pārvalde apkopo informāciju par energoresursu ražošanu, importu, eksportu un patēriņu valstī saskaņā ar Regulas (EK) Nr. 1099/2008 par enerģētikas statistiku B pielikumu un izstrādā Latvijas Energobilanci. Šīs regulas B pielikuma ir definēts, ka kūdra ir energoprodukts. Šī definīcija neskar atjaunojamās enerģijas resursu definīciju Direktīvā </w:t>
      </w:r>
      <w:hyperlink r:id="rId9" w:tgtFrame="_blank" w:history="1">
        <w:r w:rsidRPr="007428EA">
          <w:rPr>
            <w:rStyle w:val="Hyperlink"/>
            <w:szCs w:val="24"/>
          </w:rPr>
          <w:t>2009/28/EK</w:t>
        </w:r>
      </w:hyperlink>
      <w:r w:rsidRPr="007428EA">
        <w:rPr>
          <w:szCs w:val="24"/>
        </w:rPr>
        <w:t xml:space="preserve"> par atjaunojamo energoresursu izmantošanas veicināšanu un 2006. gada KPSP vadlīnijas valsts SEG uzskaitei. Līdz ar to ne Direktīvā </w:t>
      </w:r>
      <w:hyperlink r:id="rId10" w:tgtFrame="_blank" w:history="1">
        <w:r w:rsidRPr="007428EA">
          <w:rPr>
            <w:rStyle w:val="Hyperlink"/>
            <w:szCs w:val="24"/>
          </w:rPr>
          <w:t>2009/28/EK</w:t>
        </w:r>
      </w:hyperlink>
      <w:r w:rsidRPr="007428EA">
        <w:rPr>
          <w:szCs w:val="24"/>
        </w:rPr>
        <w:t xml:space="preserve">, ne arī atbilstošos </w:t>
      </w:r>
      <w:r w:rsidRPr="007428EA">
        <w:t>Latvija</w:t>
      </w:r>
      <w:r w:rsidRPr="007428EA">
        <w:rPr>
          <w:szCs w:val="24"/>
        </w:rPr>
        <w:t>s tiesību aktos nav definēts termins „kūdra”.</w:t>
      </w:r>
    </w:p>
    <w:p w14:paraId="61616F62" w14:textId="77777777" w:rsidR="00430A48" w:rsidRDefault="00430A48" w:rsidP="00430A48"/>
    <w:p w14:paraId="71FADF49" w14:textId="77777777" w:rsidR="00430A48" w:rsidRPr="008B63BF" w:rsidRDefault="00430A48" w:rsidP="00430A48">
      <w:pPr>
        <w:pStyle w:val="CommentText"/>
        <w:ind w:firstLine="720"/>
        <w:rPr>
          <w:sz w:val="24"/>
          <w:szCs w:val="24"/>
          <w:lang w:eastAsia="x-none"/>
        </w:rPr>
      </w:pPr>
      <w:r>
        <w:rPr>
          <w:sz w:val="24"/>
          <w:szCs w:val="24"/>
          <w:lang w:eastAsia="x-none"/>
        </w:rPr>
        <w:t xml:space="preserve">Tajā pašā laikā </w:t>
      </w:r>
      <w:r w:rsidRPr="008B63BF">
        <w:rPr>
          <w:sz w:val="24"/>
          <w:szCs w:val="24"/>
          <w:lang w:eastAsia="x-none"/>
        </w:rPr>
        <w:t>KPSP 2006. gada vadlīnijās enerģētikas sektora sadaļā</w:t>
      </w:r>
      <w:r w:rsidRPr="008B63BF">
        <w:rPr>
          <w:rStyle w:val="FootnoteReference"/>
          <w:sz w:val="24"/>
          <w:szCs w:val="24"/>
          <w:lang w:eastAsia="x-none"/>
        </w:rPr>
        <w:footnoteReference w:id="3"/>
      </w:r>
      <w:r w:rsidRPr="008B63BF">
        <w:rPr>
          <w:sz w:val="24"/>
          <w:szCs w:val="24"/>
          <w:lang w:eastAsia="x-none"/>
        </w:rPr>
        <w:t xml:space="preserve"> kūdra tiek izdalīta atsevišķi ar norādi, ka </w:t>
      </w:r>
      <w:r>
        <w:rPr>
          <w:sz w:val="24"/>
          <w:szCs w:val="24"/>
          <w:lang w:eastAsia="x-none"/>
        </w:rPr>
        <w:t>lai</w:t>
      </w:r>
      <w:r w:rsidRPr="008B63BF">
        <w:rPr>
          <w:sz w:val="24"/>
          <w:szCs w:val="24"/>
          <w:lang w:eastAsia="x-none"/>
        </w:rPr>
        <w:t xml:space="preserve"> arī kūdra nav </w:t>
      </w:r>
      <w:r>
        <w:rPr>
          <w:sz w:val="24"/>
          <w:szCs w:val="24"/>
          <w:lang w:eastAsia="x-none"/>
        </w:rPr>
        <w:t>specifiski noteikta kā</w:t>
      </w:r>
      <w:r w:rsidRPr="008B63BF">
        <w:rPr>
          <w:sz w:val="24"/>
          <w:szCs w:val="24"/>
          <w:lang w:eastAsia="x-none"/>
        </w:rPr>
        <w:t xml:space="preserve"> fosilais kurināmais, tās </w:t>
      </w:r>
      <w:r>
        <w:rPr>
          <w:sz w:val="24"/>
          <w:szCs w:val="24"/>
          <w:lang w:eastAsia="x-none"/>
        </w:rPr>
        <w:t>SEG</w:t>
      </w:r>
      <w:r w:rsidRPr="008B63BF">
        <w:rPr>
          <w:sz w:val="24"/>
          <w:szCs w:val="24"/>
          <w:lang w:eastAsia="x-none"/>
        </w:rPr>
        <w:t xml:space="preserve"> emisijas raksturlielumi</w:t>
      </w:r>
      <w:r>
        <w:rPr>
          <w:sz w:val="24"/>
          <w:szCs w:val="24"/>
          <w:lang w:eastAsia="x-none"/>
        </w:rPr>
        <w:t>,</w:t>
      </w:r>
      <w:r w:rsidRPr="008B63BF">
        <w:rPr>
          <w:sz w:val="24"/>
          <w:szCs w:val="24"/>
          <w:lang w:eastAsia="x-none"/>
        </w:rPr>
        <w:t xml:space="preserve"> kas aprakstīti dzīves cikla pētījumos, ir salīdzināmi ar fosilā kurināmā rādītājiem. Tāpēc CO</w:t>
      </w:r>
      <w:r w:rsidRPr="008B63BF">
        <w:rPr>
          <w:sz w:val="24"/>
          <w:szCs w:val="24"/>
          <w:vertAlign w:val="subscript"/>
          <w:lang w:eastAsia="x-none"/>
        </w:rPr>
        <w:t>2</w:t>
      </w:r>
      <w:r w:rsidRPr="008B63BF">
        <w:rPr>
          <w:sz w:val="24"/>
          <w:szCs w:val="24"/>
          <w:lang w:eastAsia="x-none"/>
        </w:rPr>
        <w:t xml:space="preserve"> emisijas no kūdras sadegšan</w:t>
      </w:r>
      <w:r w:rsidRPr="009C66B7">
        <w:rPr>
          <w:sz w:val="24"/>
          <w:szCs w:val="24"/>
          <w:lang w:eastAsia="x-none"/>
        </w:rPr>
        <w:t>as ir iekļautas valstu emisijās</w:t>
      </w:r>
      <w:r w:rsidRPr="008B63BF">
        <w:rPr>
          <w:sz w:val="24"/>
          <w:szCs w:val="24"/>
          <w:lang w:eastAsia="x-none"/>
        </w:rPr>
        <w:t xml:space="preserve"> pie fosilajiem kurināmajiem. Turklāt Eiropas Komisijas 2012.gada 21.jūnija regulas Nr.601/2012 par siltumnīcefekta gāzu emisiju monitoringu un ziņošanu saskaņā ar Eiropas Parlamenta un Padomes Direktīvu 2003/87/EK 38.panta 2.punkts nosaka: “</w:t>
      </w:r>
      <w:r w:rsidRPr="00574834">
        <w:rPr>
          <w:i/>
          <w:sz w:val="24"/>
          <w:szCs w:val="24"/>
          <w:lang w:eastAsia="x-none"/>
        </w:rPr>
        <w:t>3.  Jaukta sastāva kurināmā vai materiālu kūdras, ksilīta un fosilās frakcijas nav uzskatāmas par biomasu</w:t>
      </w:r>
      <w:r>
        <w:rPr>
          <w:sz w:val="24"/>
          <w:szCs w:val="24"/>
          <w:lang w:eastAsia="x-none"/>
        </w:rPr>
        <w:t>”</w:t>
      </w:r>
      <w:r w:rsidRPr="008B63BF">
        <w:rPr>
          <w:sz w:val="24"/>
          <w:szCs w:val="24"/>
          <w:lang w:eastAsia="x-none"/>
        </w:rPr>
        <w:t>.</w:t>
      </w:r>
      <w:r>
        <w:rPr>
          <w:sz w:val="24"/>
          <w:szCs w:val="24"/>
          <w:lang w:eastAsia="x-none"/>
        </w:rPr>
        <w:t xml:space="preserve"> </w:t>
      </w:r>
      <w:r w:rsidRPr="008B63BF">
        <w:rPr>
          <w:sz w:val="24"/>
          <w:szCs w:val="24"/>
          <w:lang w:eastAsia="x-none"/>
        </w:rPr>
        <w:t>Šīs regulas VI pielikuma 1.tabulā ir dots kūdras CO</w:t>
      </w:r>
      <w:r w:rsidRPr="008B63BF">
        <w:rPr>
          <w:sz w:val="24"/>
          <w:szCs w:val="24"/>
          <w:vertAlign w:val="subscript"/>
          <w:lang w:eastAsia="x-none"/>
        </w:rPr>
        <w:t>2</w:t>
      </w:r>
      <w:r w:rsidRPr="008B63BF">
        <w:rPr>
          <w:sz w:val="24"/>
          <w:szCs w:val="24"/>
          <w:lang w:eastAsia="x-none"/>
        </w:rPr>
        <w:t xml:space="preserve"> emisijas faktors 106 (t CO</w:t>
      </w:r>
      <w:r w:rsidRPr="008B63BF">
        <w:rPr>
          <w:sz w:val="24"/>
          <w:szCs w:val="24"/>
          <w:vertAlign w:val="subscript"/>
          <w:lang w:eastAsia="x-none"/>
        </w:rPr>
        <w:t>2</w:t>
      </w:r>
      <w:r w:rsidRPr="008B63BF">
        <w:rPr>
          <w:sz w:val="24"/>
          <w:szCs w:val="24"/>
          <w:lang w:eastAsia="x-none"/>
        </w:rPr>
        <w:t>/TJ). Bet biomasai CO</w:t>
      </w:r>
      <w:r w:rsidRPr="008B63BF">
        <w:rPr>
          <w:sz w:val="24"/>
          <w:szCs w:val="24"/>
          <w:vertAlign w:val="subscript"/>
          <w:lang w:eastAsia="x-none"/>
        </w:rPr>
        <w:t>2</w:t>
      </w:r>
      <w:r w:rsidRPr="008B63BF">
        <w:rPr>
          <w:sz w:val="24"/>
          <w:szCs w:val="24"/>
          <w:lang w:eastAsia="x-none"/>
        </w:rPr>
        <w:t xml:space="preserve"> emisijas faktors ir 0. </w:t>
      </w:r>
    </w:p>
    <w:p w14:paraId="3D5BB123" w14:textId="77777777" w:rsidR="00165D83" w:rsidRPr="00163E6F" w:rsidRDefault="00165D83" w:rsidP="00165D83">
      <w:pPr>
        <w:autoSpaceDE w:val="0"/>
        <w:autoSpaceDN w:val="0"/>
        <w:adjustRightInd w:val="0"/>
        <w:spacing w:after="120"/>
        <w:jc w:val="left"/>
        <w:rPr>
          <w:b/>
          <w:bCs/>
          <w:szCs w:val="24"/>
        </w:rPr>
      </w:pPr>
    </w:p>
    <w:p w14:paraId="01A76DA6" w14:textId="77777777" w:rsidR="00165D83" w:rsidRPr="00163E6F" w:rsidRDefault="00165D83" w:rsidP="00165D83">
      <w:pPr>
        <w:autoSpaceDE w:val="0"/>
        <w:autoSpaceDN w:val="0"/>
        <w:adjustRightInd w:val="0"/>
        <w:spacing w:after="120"/>
        <w:jc w:val="left"/>
        <w:rPr>
          <w:b/>
          <w:bCs/>
          <w:szCs w:val="24"/>
        </w:rPr>
      </w:pPr>
      <w:r w:rsidRPr="00163E6F">
        <w:rPr>
          <w:b/>
          <w:bCs/>
          <w:szCs w:val="24"/>
        </w:rPr>
        <w:t xml:space="preserve">Kūdras resursu īpašumtiesības </w:t>
      </w:r>
    </w:p>
    <w:p w14:paraId="0F263C4B" w14:textId="77777777" w:rsidR="00165D83" w:rsidRPr="00163E6F" w:rsidRDefault="00165D83" w:rsidP="00165D83">
      <w:pPr>
        <w:autoSpaceDE w:val="0"/>
        <w:autoSpaceDN w:val="0"/>
        <w:adjustRightInd w:val="0"/>
        <w:spacing w:after="120"/>
        <w:rPr>
          <w:szCs w:val="24"/>
        </w:rPr>
      </w:pPr>
      <w:r w:rsidRPr="00163E6F">
        <w:rPr>
          <w:szCs w:val="24"/>
        </w:rPr>
        <w:tab/>
        <w:t xml:space="preserve">Zemes dzīles, tajā skaitā kūdras resursi, Latvijā pieder zemes īpašniekam. Saskaņā ar Civillikuma 1042.pantu zemes īpašniekam pieder ne vien tās virsa, bet arī gaisa telpa virs tās, kā arī zemes slāņi zem tās un visi izrakteņi, kas tajos atrodas. Šāds regulējums noteikts arī likumā „Par zemes dzīlēm”. </w:t>
      </w:r>
    </w:p>
    <w:p w14:paraId="48E3CB8F"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Valstij īpašuma tiesību jomā ir jānodrošina saprātīgs līdzsvars starp valsts regulējumu un personas rīcības brīvību, atstājot personai izvēles tiesības tajās sfērās, kur īpašs regulējums nav nepieciešams. Īpašuma tiesības var ierobežot, ja ierobežojumi ir attaisnojami, proti, ja tie ir noteikti saskaņā ar likumu, tiem ir leģitīms mērķis un tie ir samērīgi. Leģitīma mērķa esamība liecina par to, ka īpašuma tiesību ierobežojums ir noteikts sabiedrības interesēm. Pašlaik izplatītākais zemes dzīļu izmantošanas ierobežojums ir aizliegums iegūt derīgos izrakteņus, tajā skaitā kūdru, īpaši aizsargājamās dabas teritorijās. </w:t>
      </w:r>
    </w:p>
    <w:p w14:paraId="660508C6"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Attiecībā uz valsts un pašvaldību zemēm tiesības izmantot zemes dzīles var iegūt konkursa kārtībā, savukārt privātpersonas pašas ir tiesīgas lemt par </w:t>
      </w:r>
      <w:r w:rsidR="004C16D6" w:rsidRPr="00163E6F">
        <w:rPr>
          <w:szCs w:val="24"/>
        </w:rPr>
        <w:t>savā īpašumā esošo zemi. Tādējādi s</w:t>
      </w:r>
      <w:r w:rsidRPr="00163E6F">
        <w:rPr>
          <w:szCs w:val="24"/>
        </w:rPr>
        <w:t>adrumstalotās īpašumtiesības uz zemes dzīlēm ir traucēklis ģeoloģiskās kartēšanas un izpētes darbu veikšanai</w:t>
      </w:r>
      <w:r w:rsidR="004C16D6" w:rsidRPr="00163E6F">
        <w:rPr>
          <w:szCs w:val="24"/>
        </w:rPr>
        <w:t xml:space="preserve"> arī kūdras nozarē</w:t>
      </w:r>
      <w:r w:rsidRPr="00163E6F">
        <w:rPr>
          <w:szCs w:val="24"/>
        </w:rPr>
        <w:t>.</w:t>
      </w:r>
    </w:p>
    <w:p w14:paraId="6A2E7196" w14:textId="77777777" w:rsidR="00165D83" w:rsidRPr="00163E6F" w:rsidRDefault="00165D83" w:rsidP="00165D83">
      <w:pPr>
        <w:autoSpaceDE w:val="0"/>
        <w:autoSpaceDN w:val="0"/>
        <w:adjustRightInd w:val="0"/>
        <w:spacing w:after="120"/>
        <w:ind w:firstLine="720"/>
        <w:rPr>
          <w:b/>
          <w:bCs/>
          <w:szCs w:val="24"/>
          <w:highlight w:val="white"/>
        </w:rPr>
      </w:pPr>
    </w:p>
    <w:p w14:paraId="12C889A5" w14:textId="77777777" w:rsidR="00165D83" w:rsidRPr="00163E6F" w:rsidRDefault="00165D83" w:rsidP="00650503">
      <w:pPr>
        <w:autoSpaceDE w:val="0"/>
        <w:autoSpaceDN w:val="0"/>
        <w:adjustRightInd w:val="0"/>
        <w:spacing w:after="120"/>
        <w:rPr>
          <w:b/>
          <w:bCs/>
          <w:szCs w:val="24"/>
          <w:highlight w:val="white"/>
        </w:rPr>
      </w:pPr>
      <w:r w:rsidRPr="00163E6F">
        <w:rPr>
          <w:b/>
          <w:bCs/>
          <w:szCs w:val="24"/>
          <w:highlight w:val="white"/>
        </w:rPr>
        <w:t>Kūdras nozares pārvaldība</w:t>
      </w:r>
    </w:p>
    <w:p w14:paraId="325545F9" w14:textId="77777777" w:rsidR="00165D83" w:rsidRPr="00163E6F" w:rsidRDefault="00165D83" w:rsidP="00165D83">
      <w:pPr>
        <w:autoSpaceDE w:val="0"/>
        <w:autoSpaceDN w:val="0"/>
        <w:adjustRightInd w:val="0"/>
        <w:spacing w:after="120"/>
        <w:ind w:firstLine="720"/>
        <w:rPr>
          <w:szCs w:val="24"/>
          <w:highlight w:val="white"/>
        </w:rPr>
      </w:pPr>
      <w:r w:rsidRPr="00163E6F">
        <w:rPr>
          <w:szCs w:val="24"/>
          <w:highlight w:val="white"/>
        </w:rPr>
        <w:t>Pašlaik zemes dzīļu, tajā skaidrā kūdras, pārvaldība</w:t>
      </w:r>
      <w:r w:rsidR="00F32ADB" w:rsidRPr="00163E6F">
        <w:rPr>
          <w:szCs w:val="24"/>
          <w:highlight w:val="white"/>
        </w:rPr>
        <w:t>s funkcijas</w:t>
      </w:r>
      <w:r w:rsidRPr="00163E6F">
        <w:rPr>
          <w:szCs w:val="24"/>
          <w:highlight w:val="white"/>
        </w:rPr>
        <w:t xml:space="preserve"> sadalīta</w:t>
      </w:r>
      <w:r w:rsidR="00F32ADB" w:rsidRPr="00163E6F">
        <w:rPr>
          <w:szCs w:val="24"/>
          <w:highlight w:val="white"/>
        </w:rPr>
        <w:t>s</w:t>
      </w:r>
      <w:r w:rsidRPr="00163E6F">
        <w:rPr>
          <w:szCs w:val="24"/>
          <w:highlight w:val="white"/>
        </w:rPr>
        <w:t xml:space="preserve"> starp vairākām institūcijām. </w:t>
      </w:r>
    </w:p>
    <w:p w14:paraId="0C6A42CB" w14:textId="77777777" w:rsidR="00165D83" w:rsidRPr="00163E6F" w:rsidRDefault="00165D83" w:rsidP="00165D83">
      <w:pPr>
        <w:autoSpaceDE w:val="0"/>
        <w:autoSpaceDN w:val="0"/>
        <w:adjustRightInd w:val="0"/>
        <w:spacing w:after="120"/>
        <w:ind w:firstLine="720"/>
        <w:rPr>
          <w:szCs w:val="24"/>
        </w:rPr>
      </w:pPr>
      <w:r w:rsidRPr="00163E6F">
        <w:rPr>
          <w:b/>
          <w:bCs/>
          <w:szCs w:val="24"/>
        </w:rPr>
        <w:t>Valsts vides dienests</w:t>
      </w:r>
      <w:r w:rsidRPr="00163E6F">
        <w:rPr>
          <w:szCs w:val="24"/>
        </w:rPr>
        <w:t xml:space="preserve"> (</w:t>
      </w:r>
      <w:r w:rsidR="0011718B" w:rsidRPr="00163E6F">
        <w:rPr>
          <w:szCs w:val="24"/>
        </w:rPr>
        <w:t>VARAM</w:t>
      </w:r>
      <w:r w:rsidRPr="00163E6F">
        <w:rPr>
          <w:szCs w:val="24"/>
        </w:rPr>
        <w:t xml:space="preserve"> padotības iestāde) izsniedz zemes dzīļu izmantošanas licences</w:t>
      </w:r>
      <w:r w:rsidR="00E54BA9" w:rsidRPr="00163E6F">
        <w:rPr>
          <w:szCs w:val="24"/>
        </w:rPr>
        <w:t xml:space="preserve"> un</w:t>
      </w:r>
      <w:r w:rsidRPr="00163E6F">
        <w:rPr>
          <w:szCs w:val="24"/>
        </w:rPr>
        <w:t xml:space="preserve"> dabas resursu lietošanas atļaujas, veic zemes dzīļu izmantošanas kontroli</w:t>
      </w:r>
      <w:r w:rsidR="00E54BA9" w:rsidRPr="00163E6F">
        <w:rPr>
          <w:szCs w:val="24"/>
        </w:rPr>
        <w:t>, nosaka derīgo izrakteņu ieguves limitus un saskaņo derīgo izrakteņu ieguves projektus</w:t>
      </w:r>
      <w:r w:rsidRPr="00163E6F">
        <w:rPr>
          <w:szCs w:val="24"/>
        </w:rPr>
        <w:t xml:space="preserve">. </w:t>
      </w:r>
    </w:p>
    <w:p w14:paraId="63911759" w14:textId="77777777" w:rsidR="00165D83" w:rsidRPr="00163E6F" w:rsidRDefault="00165D83" w:rsidP="00165D83">
      <w:pPr>
        <w:autoSpaceDE w:val="0"/>
        <w:autoSpaceDN w:val="0"/>
        <w:adjustRightInd w:val="0"/>
        <w:spacing w:after="120"/>
        <w:ind w:firstLine="720"/>
        <w:rPr>
          <w:szCs w:val="24"/>
        </w:rPr>
      </w:pPr>
      <w:r w:rsidRPr="00163E6F">
        <w:rPr>
          <w:b/>
          <w:bCs/>
          <w:szCs w:val="24"/>
        </w:rPr>
        <w:t xml:space="preserve">Pašvaldības </w:t>
      </w:r>
      <w:r w:rsidRPr="00163E6F">
        <w:rPr>
          <w:szCs w:val="24"/>
        </w:rPr>
        <w:t xml:space="preserve">ir tiesīgas izsniegt kūdras ieguves atļauju ieguvei līdz 5 hektāru platībā vienam īpašniekam piederoša īpašuma robežās. </w:t>
      </w:r>
    </w:p>
    <w:p w14:paraId="5039949D" w14:textId="77777777" w:rsidR="00165D83" w:rsidRPr="00163E6F" w:rsidRDefault="00165D83" w:rsidP="00165D83">
      <w:pPr>
        <w:autoSpaceDE w:val="0"/>
        <w:autoSpaceDN w:val="0"/>
        <w:adjustRightInd w:val="0"/>
        <w:spacing w:after="120"/>
        <w:ind w:firstLine="720"/>
        <w:rPr>
          <w:szCs w:val="24"/>
        </w:rPr>
      </w:pPr>
      <w:r w:rsidRPr="00163E6F">
        <w:rPr>
          <w:b/>
          <w:bCs/>
          <w:szCs w:val="24"/>
        </w:rPr>
        <w:t>VSIA „Latvijas Vides, ģeoloģijas un meteoroloģijas centrs”</w:t>
      </w:r>
      <w:r w:rsidRPr="00163E6F">
        <w:rPr>
          <w:szCs w:val="24"/>
        </w:rPr>
        <w:t>, kuras kapitāldaļu turētāja ir VARAM, uztur ģeoloģiskās informācijas sistēmu, akceptē derīgo izrakteņu krājumus, sniedz maksas pakalpojumus saistībā ar ģeoloģisko informāciju</w:t>
      </w:r>
      <w:r w:rsidR="0011718B" w:rsidRPr="00163E6F">
        <w:rPr>
          <w:szCs w:val="24"/>
        </w:rPr>
        <w:t>, kā arī sniedz ģeoloģisko informāciju valsts pārvaldes funkciju ietvaros</w:t>
      </w:r>
      <w:r w:rsidRPr="00163E6F">
        <w:rPr>
          <w:szCs w:val="24"/>
        </w:rPr>
        <w:t xml:space="preserve">. </w:t>
      </w:r>
    </w:p>
    <w:p w14:paraId="4C07185C"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Tā kā Latvijā zemes dzīles pieder zemes īpašniekam, kā zemes īpašnieki vai tiesiskie valdītāji dzīļu apsaimniekošanā iesaistīti gan </w:t>
      </w:r>
      <w:r w:rsidRPr="00163E6F">
        <w:rPr>
          <w:b/>
          <w:bCs/>
          <w:szCs w:val="24"/>
        </w:rPr>
        <w:t>AS</w:t>
      </w:r>
      <w:r w:rsidRPr="00163E6F">
        <w:rPr>
          <w:szCs w:val="24"/>
        </w:rPr>
        <w:t xml:space="preserve"> </w:t>
      </w:r>
      <w:r w:rsidRPr="00163E6F">
        <w:rPr>
          <w:b/>
          <w:bCs/>
          <w:szCs w:val="24"/>
        </w:rPr>
        <w:t xml:space="preserve">„Latvijas Valsts meži” </w:t>
      </w:r>
      <w:r w:rsidRPr="00163E6F">
        <w:rPr>
          <w:szCs w:val="24"/>
        </w:rPr>
        <w:t>(apsaimnieko Zemkopības ministrijās valdījumā esošo valsts zemi)</w:t>
      </w:r>
      <w:r w:rsidRPr="00163E6F">
        <w:rPr>
          <w:b/>
          <w:bCs/>
          <w:szCs w:val="24"/>
        </w:rPr>
        <w:t xml:space="preserve">, </w:t>
      </w:r>
      <w:r w:rsidRPr="00163E6F">
        <w:rPr>
          <w:szCs w:val="24"/>
        </w:rPr>
        <w:t>gan</w:t>
      </w:r>
      <w:r w:rsidRPr="00163E6F">
        <w:rPr>
          <w:b/>
          <w:bCs/>
          <w:szCs w:val="24"/>
        </w:rPr>
        <w:t xml:space="preserve"> pašvaldības </w:t>
      </w:r>
      <w:r w:rsidRPr="00163E6F">
        <w:rPr>
          <w:szCs w:val="24"/>
        </w:rPr>
        <w:t>(t.sk. Rīgas pašvaldības SIA “</w:t>
      </w:r>
      <w:r w:rsidRPr="00163E6F">
        <w:rPr>
          <w:b/>
          <w:bCs/>
          <w:szCs w:val="24"/>
        </w:rPr>
        <w:t>Rīgas meži</w:t>
      </w:r>
      <w:r w:rsidRPr="00163E6F">
        <w:rPr>
          <w:szCs w:val="24"/>
        </w:rPr>
        <w:t>”)</w:t>
      </w:r>
      <w:r w:rsidRPr="00163E6F">
        <w:rPr>
          <w:b/>
          <w:bCs/>
          <w:szCs w:val="24"/>
        </w:rPr>
        <w:t>,</w:t>
      </w:r>
      <w:r w:rsidRPr="00163E6F">
        <w:rPr>
          <w:szCs w:val="24"/>
        </w:rPr>
        <w:t xml:space="preserve"> nelielos apjomos arī </w:t>
      </w:r>
      <w:r w:rsidRPr="00163E6F">
        <w:rPr>
          <w:b/>
          <w:bCs/>
          <w:szCs w:val="24"/>
        </w:rPr>
        <w:t>Dabas aizsardzības pārvalde</w:t>
      </w:r>
      <w:r w:rsidRPr="00163E6F">
        <w:rPr>
          <w:szCs w:val="24"/>
        </w:rPr>
        <w:t xml:space="preserve"> (apsaimnieko </w:t>
      </w:r>
      <w:r w:rsidR="0027048A" w:rsidRPr="00163E6F">
        <w:rPr>
          <w:szCs w:val="24"/>
        </w:rPr>
        <w:t xml:space="preserve">VARAM </w:t>
      </w:r>
      <w:r w:rsidRPr="00163E6F">
        <w:rPr>
          <w:szCs w:val="24"/>
        </w:rPr>
        <w:t xml:space="preserve">valdījumā esošo valsts zemi). </w:t>
      </w:r>
    </w:p>
    <w:p w14:paraId="473E6CA5" w14:textId="77777777" w:rsidR="00165D83" w:rsidRPr="00163E6F" w:rsidRDefault="00165D83" w:rsidP="00165D83">
      <w:pPr>
        <w:autoSpaceDE w:val="0"/>
        <w:autoSpaceDN w:val="0"/>
        <w:adjustRightInd w:val="0"/>
        <w:spacing w:after="120" w:line="276" w:lineRule="auto"/>
        <w:ind w:firstLine="720"/>
        <w:rPr>
          <w:b/>
          <w:bCs/>
          <w:szCs w:val="24"/>
        </w:rPr>
      </w:pPr>
    </w:p>
    <w:p w14:paraId="40DACD02" w14:textId="77777777" w:rsidR="00165D83" w:rsidRPr="00163E6F" w:rsidRDefault="009A341E" w:rsidP="00650503">
      <w:pPr>
        <w:autoSpaceDE w:val="0"/>
        <w:autoSpaceDN w:val="0"/>
        <w:adjustRightInd w:val="0"/>
        <w:spacing w:after="120" w:line="276" w:lineRule="auto"/>
        <w:rPr>
          <w:szCs w:val="24"/>
        </w:rPr>
      </w:pPr>
      <w:r w:rsidRPr="00163E6F">
        <w:rPr>
          <w:b/>
          <w:bCs/>
          <w:szCs w:val="24"/>
        </w:rPr>
        <w:t>Informācijas pieejamība</w:t>
      </w:r>
      <w:r w:rsidR="00274E8D" w:rsidRPr="00163E6F">
        <w:rPr>
          <w:b/>
          <w:bCs/>
          <w:szCs w:val="24"/>
        </w:rPr>
        <w:t xml:space="preserve"> </w:t>
      </w:r>
      <w:r w:rsidR="00274E8D" w:rsidRPr="00163E6F">
        <w:rPr>
          <w:rStyle w:val="FootnoteReference"/>
          <w:b/>
          <w:bCs/>
          <w:szCs w:val="24"/>
        </w:rPr>
        <w:footnoteReference w:id="4"/>
      </w:r>
      <w:r w:rsidR="00274E8D" w:rsidRPr="00163E6F">
        <w:rPr>
          <w:b/>
          <w:bCs/>
          <w:szCs w:val="24"/>
          <w:vertAlign w:val="superscript"/>
        </w:rPr>
        <w:t>,</w:t>
      </w:r>
      <w:r w:rsidR="00274E8D" w:rsidRPr="00163E6F">
        <w:rPr>
          <w:rStyle w:val="FootnoteReference"/>
          <w:b/>
          <w:bCs/>
          <w:szCs w:val="24"/>
        </w:rPr>
        <w:footnoteReference w:id="5"/>
      </w:r>
    </w:p>
    <w:p w14:paraId="24F7A21D"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 xml:space="preserve">LVĢMC likumā „Par zemes dzīlēm” un citos normatīvajos aktos noteiktajā kārtībā iegūst, apkopo ģeoloģisko informāciju un to uzglabā ģeoloģiskās informācijas sistēmā. Ģeoloģiskās informācijas sistēmu veido </w:t>
      </w:r>
      <w:r w:rsidR="00E24300" w:rsidRPr="00163E6F">
        <w:rPr>
          <w:szCs w:val="24"/>
        </w:rPr>
        <w:t xml:space="preserve">kādreizējais </w:t>
      </w:r>
      <w:r w:rsidR="006A2F45" w:rsidRPr="00163E6F">
        <w:rPr>
          <w:szCs w:val="24"/>
        </w:rPr>
        <w:t>V</w:t>
      </w:r>
      <w:r w:rsidRPr="00163E6F">
        <w:rPr>
          <w:szCs w:val="24"/>
        </w:rPr>
        <w:t>alsts ģeoloģijas fonds (uztur un papildina LVĢMC), kurā atrodas pārskati par ģeoloģisko izpēti, tematiskiem pētījumiem, zemes dzīļu monitoringu, inženierģeoloģisko un ģeoekoloģisko izpēti un citiem darbiem (p</w:t>
      </w:r>
      <w:r w:rsidR="006A2F45" w:rsidRPr="00163E6F">
        <w:rPr>
          <w:szCs w:val="24"/>
        </w:rPr>
        <w:t>apīra vai elektroniskā formā); V</w:t>
      </w:r>
      <w:r w:rsidRPr="00163E6F">
        <w:rPr>
          <w:szCs w:val="24"/>
        </w:rPr>
        <w:t>alsts ģeoloģijas arhīvs, kurā atrodas ģeoloģiskās izpētes darbu pirmmateriāli (piemēram, lauku darbu žurnāli); zinātniski tehniskās literatūras bibliotēka; urbumu seržu glabātava, kurā atrodas urbumu serdes un citi paraugi; elektronis</w:t>
      </w:r>
      <w:r w:rsidR="0027048A" w:rsidRPr="00163E6F">
        <w:rPr>
          <w:szCs w:val="24"/>
        </w:rPr>
        <w:t>kas datubāzes, t.sk. „Kūdra</w:t>
      </w:r>
      <w:r w:rsidR="00E24300" w:rsidRPr="00163E6F">
        <w:rPr>
          <w:szCs w:val="24"/>
        </w:rPr>
        <w:t xml:space="preserve">”, </w:t>
      </w:r>
      <w:r w:rsidRPr="00163E6F">
        <w:rPr>
          <w:szCs w:val="24"/>
        </w:rPr>
        <w:t>datubāzu saīsināts apkopojums tīmekļa lietotājiem – Derīgo izrakteņu atradņu reģistrs, kurā iekļauta informācija par derīgo izrakteņu atradnēm.</w:t>
      </w:r>
    </w:p>
    <w:p w14:paraId="4B130AF3" w14:textId="77777777" w:rsidR="006A2F45" w:rsidRPr="00163E6F" w:rsidRDefault="00165D83" w:rsidP="006A2F45">
      <w:pPr>
        <w:autoSpaceDE w:val="0"/>
        <w:autoSpaceDN w:val="0"/>
        <w:adjustRightInd w:val="0"/>
        <w:spacing w:before="120" w:after="120"/>
        <w:ind w:firstLine="720"/>
        <w:rPr>
          <w:szCs w:val="24"/>
        </w:rPr>
      </w:pPr>
      <w:r w:rsidRPr="00163E6F">
        <w:rPr>
          <w:szCs w:val="24"/>
        </w:rPr>
        <w:t xml:space="preserve">Ģeoloģiskās informācijas sistēmā ietilpst gan agrāk, t.sk. pagājušajā gadsimtā, radīta ģeoloģiskā </w:t>
      </w:r>
      <w:r w:rsidR="008F3912" w:rsidRPr="00163E6F">
        <w:rPr>
          <w:szCs w:val="24"/>
        </w:rPr>
        <w:t>informācija, gan tagad iegūtā</w:t>
      </w:r>
      <w:r w:rsidRPr="00163E6F">
        <w:rPr>
          <w:szCs w:val="24"/>
        </w:rPr>
        <w:t xml:space="preserve">. Daļa informācijas pieejama </w:t>
      </w:r>
      <w:r w:rsidR="008F3912" w:rsidRPr="00163E6F">
        <w:rPr>
          <w:szCs w:val="24"/>
        </w:rPr>
        <w:t xml:space="preserve">LVĢMC </w:t>
      </w:r>
      <w:r w:rsidRPr="00163E6F">
        <w:rPr>
          <w:szCs w:val="24"/>
        </w:rPr>
        <w:t xml:space="preserve">tīmekļa vietnē, tomēr pieeja ģeoloģiskajai informācijai ir apgrūtināta, kas kavē tās plašu izmantošanu. </w:t>
      </w:r>
      <w:r w:rsidR="006A2F45" w:rsidRPr="00163E6F">
        <w:rPr>
          <w:szCs w:val="24"/>
        </w:rPr>
        <w:t xml:space="preserve">Tas saistīts ar to, ka kūdras atradņu telpiskie dati lielākoties ir papīra formātā, nav digitalizēti, sistematizēti un elektroniski apstrādājami, kas ļautu nepieciešamās informācijas mērķtiecīgu, ātru, vispusīgu apstrādi un analīzi, iegūstot pilnvērtīgu informāciju par kūdras atradni raksturojošiem kvalitatīvajiem un kvantitatīvajiem rādītājiem. Šāda veida datu neesamība, kā arī elektroniski izveidoto datu bāzu nesavietojamība ar telpiskajiem datiem apgrūtina vai daļēji padara neiespējamu datu pilnvērtīgu lietošanu, kā arī operatīvas un kvalitatīvas nepieciešamās informācijas iegūšanu visiem lietotājiem, tostarp valsts institūciju vajadzībām. Elektroniski izveidotajām telpisko datu kopām pievienotie atribūtu lauki nesatur pilnvērtīgu informāciju par atradnē ietilpstošo resursu raksturojošiem rādītājiem. Tāpat, kā viens no būtiskākajiem apstākļiem, kas būtiski ietekmē pieejamo datu kvalitāti, to analīzi un iegūto rezultātu interpretāciju, ir tas, ka informācija un dati, kas raksturo katru kūdras atradni atsevišķi, ir </w:t>
      </w:r>
      <w:r w:rsidR="0027048A" w:rsidRPr="00163E6F">
        <w:rPr>
          <w:szCs w:val="24"/>
        </w:rPr>
        <w:t>novecojuši</w:t>
      </w:r>
      <w:r w:rsidR="006A2F45" w:rsidRPr="00163E6F">
        <w:rPr>
          <w:szCs w:val="24"/>
        </w:rPr>
        <w:t xml:space="preserve">. Tās iegūšanas laiks ir no 1978.gada līdz 1997.gadam. Savukārt daļai atradņu informācija par atradni ir tikusi ievākta vairāk nekā pirms 50 gadiem. Pilnvērtīga Latvijas kūdras resursu inventarizācija un kūdras fonda aktualizācija nav veikta kopš pagājušā gadsimta 80.gadu sākuma. </w:t>
      </w:r>
    </w:p>
    <w:p w14:paraId="3497F301" w14:textId="77777777" w:rsidR="00165D83" w:rsidRPr="00163E6F" w:rsidRDefault="006A2F45" w:rsidP="006A2F45">
      <w:pPr>
        <w:autoSpaceDE w:val="0"/>
        <w:autoSpaceDN w:val="0"/>
        <w:adjustRightInd w:val="0"/>
        <w:spacing w:after="120"/>
        <w:ind w:firstLine="720"/>
        <w:rPr>
          <w:szCs w:val="24"/>
        </w:rPr>
      </w:pPr>
      <w:r w:rsidRPr="00163E6F">
        <w:rPr>
          <w:szCs w:val="24"/>
        </w:rPr>
        <w:t>Ir nepieciešams risināt jautājumu par Latvijas kūdras resursu sākotnējās informācijas, kura atrodas dažādu valsts institūciju turējumā, pievienošanu Valsts ģeoloģijas fonda materiāliem. Piemēram, Latvijas Lauksaimniecības muzejā esošā informācija par Latvijas kūdras fonda izveidošanu, kā arī tālākajās fonda inventarizācijās sagatavotie materiāli – kūdras atradņu pases, to piesaistes abrisi u.c. informācija.</w:t>
      </w:r>
    </w:p>
    <w:p w14:paraId="44524854" w14:textId="77777777" w:rsidR="00165D83" w:rsidRPr="00163E6F" w:rsidRDefault="00165D83" w:rsidP="00165D83">
      <w:pPr>
        <w:autoSpaceDE w:val="0"/>
        <w:autoSpaceDN w:val="0"/>
        <w:adjustRightInd w:val="0"/>
        <w:spacing w:after="120"/>
        <w:ind w:firstLine="720"/>
        <w:rPr>
          <w:szCs w:val="24"/>
        </w:rPr>
      </w:pPr>
      <w:r w:rsidRPr="00163E6F">
        <w:rPr>
          <w:szCs w:val="24"/>
        </w:rPr>
        <w:t>Informācija par kūdras atradņu ģeoloģisko, inženierģeoloģisko, izstrādē esošo kūdras atradņu izstrādes projekta dokumentāciju un vēsturiski sagatavoto kūdras fonda pasu datiem par atradnēm, kuras iekļautas kūdras fondā, neatrodas vienuviet. Viens no pilnīgākajiem un būtiskākajiem pamatinformācijas avotiem par kūdras resursiem ir</w:t>
      </w:r>
      <w:r w:rsidR="008F3912" w:rsidRPr="00163E6F">
        <w:rPr>
          <w:szCs w:val="24"/>
        </w:rPr>
        <w:t xml:space="preserve"> kādreizējā</w:t>
      </w:r>
      <w:r w:rsidRPr="00163E6F">
        <w:rPr>
          <w:szCs w:val="24"/>
        </w:rPr>
        <w:t xml:space="preserve"> </w:t>
      </w:r>
      <w:r w:rsidRPr="00163E6F">
        <w:rPr>
          <w:b/>
          <w:bCs/>
          <w:szCs w:val="24"/>
        </w:rPr>
        <w:t>Valsts ģeoloģijas fonda</w:t>
      </w:r>
      <w:r w:rsidR="005B4C84" w:rsidRPr="00163E6F">
        <w:rPr>
          <w:bCs/>
          <w:szCs w:val="24"/>
        </w:rPr>
        <w:t xml:space="preserve"> (fonda krājumus uztur LVĢMC)</w:t>
      </w:r>
      <w:r w:rsidRPr="00163E6F">
        <w:rPr>
          <w:szCs w:val="24"/>
        </w:rPr>
        <w:t xml:space="preserve"> informācija. Galvenais Valsts ģeoloģijas fonda uzdevums ir nodrošināt interesentus, potenciālos un esošos zemes dzīļu izmantotājus, kā arī valsts un nevalstiskās organizācijas ar informāciju par Latvijas zemes dzīlēm, ģeoloģisko uzbūvi, derīgajiem izrakteņiem un dzīlēs notiekošajiem procesiem.</w:t>
      </w:r>
    </w:p>
    <w:p w14:paraId="23AD85A0" w14:textId="77777777" w:rsidR="00165D83" w:rsidRPr="00163E6F" w:rsidRDefault="00165D83" w:rsidP="00165D83">
      <w:pPr>
        <w:autoSpaceDE w:val="0"/>
        <w:autoSpaceDN w:val="0"/>
        <w:adjustRightInd w:val="0"/>
        <w:spacing w:after="120"/>
        <w:ind w:firstLine="720"/>
        <w:rPr>
          <w:szCs w:val="24"/>
        </w:rPr>
      </w:pPr>
      <w:r w:rsidRPr="00163E6F">
        <w:rPr>
          <w:b/>
          <w:bCs/>
          <w:szCs w:val="24"/>
        </w:rPr>
        <w:t>VSIA „Meliorprojekts”</w:t>
      </w:r>
      <w:r w:rsidRPr="00163E6F">
        <w:rPr>
          <w:szCs w:val="24"/>
        </w:rPr>
        <w:t xml:space="preserve"> pieejami dažādi ģeoloģiskās un inženierizpētes pirmmateriāli, kūdras atradņu izstrādes un nosusināšanas projekti, dokumentācija u.c. materiāli. Uzņēmuma arhīvā esošie materiāli ir pieejamie tikai papīra formātā. Arhīva materiāli satur informāciju, kura iegūta un sagatavota līdz 1990.gadam. </w:t>
      </w:r>
    </w:p>
    <w:p w14:paraId="52EC0D10" w14:textId="77777777" w:rsidR="00165D83" w:rsidRPr="00163E6F" w:rsidRDefault="00165D83" w:rsidP="00165D83">
      <w:pPr>
        <w:autoSpaceDE w:val="0"/>
        <w:autoSpaceDN w:val="0"/>
        <w:adjustRightInd w:val="0"/>
        <w:spacing w:after="120"/>
        <w:ind w:firstLine="720"/>
        <w:rPr>
          <w:szCs w:val="24"/>
        </w:rPr>
      </w:pPr>
      <w:r w:rsidRPr="00163E6F">
        <w:rPr>
          <w:b/>
          <w:bCs/>
          <w:szCs w:val="24"/>
        </w:rPr>
        <w:t>Latvijas Lauksaimniecības muzejā</w:t>
      </w:r>
      <w:r w:rsidRPr="00163E6F">
        <w:rPr>
          <w:szCs w:val="24"/>
        </w:rPr>
        <w:t xml:space="preserve">, kas atrodas Talsos, pieejami pagājušajā gadsimtā veikto kūdras atradņu inventarizācijas materiāli, kas ietver gan sākotnējo Latvijas Kūdras fonda </w:t>
      </w:r>
      <w:r w:rsidRPr="00163E6F">
        <w:rPr>
          <w:szCs w:val="24"/>
        </w:rPr>
        <w:lastRenderedPageBreak/>
        <w:t>izveidošanas informāciju, gan arī to vēlāku inventarizāciju (1962.gads un 1980.gads) rezultātā iegūto informāciju (atradņu pases, atradņu piesaistes abrisi un novietojuma shēmas).</w:t>
      </w:r>
    </w:p>
    <w:p w14:paraId="44BDF2A8" w14:textId="77777777" w:rsidR="00165D83" w:rsidRPr="00163E6F" w:rsidRDefault="00165D83" w:rsidP="00165D83">
      <w:pPr>
        <w:autoSpaceDE w:val="0"/>
        <w:autoSpaceDN w:val="0"/>
        <w:adjustRightInd w:val="0"/>
        <w:spacing w:after="120"/>
        <w:ind w:firstLine="720"/>
        <w:rPr>
          <w:szCs w:val="24"/>
        </w:rPr>
      </w:pPr>
      <w:r w:rsidRPr="00163E6F">
        <w:rPr>
          <w:b/>
          <w:bCs/>
          <w:szCs w:val="24"/>
        </w:rPr>
        <w:t xml:space="preserve">Privāti arhīvi </w:t>
      </w:r>
      <w:r w:rsidRPr="00163E6F">
        <w:rPr>
          <w:szCs w:val="24"/>
        </w:rPr>
        <w:t>ietver juridisku (pārsvarā kūdras ražošanas uzņēmumu) un fizisku personu turējumā esošus dažādos laika posmos veiktu ģeoloģisko izpēšu materiālus, kūdras atradņu nosusināšanas projektu dokumentāciju u.c. materiālus.</w:t>
      </w:r>
    </w:p>
    <w:p w14:paraId="4612FAB0" w14:textId="77777777" w:rsidR="00165D83" w:rsidRPr="00163E6F" w:rsidRDefault="00165D83" w:rsidP="00165D83">
      <w:pPr>
        <w:autoSpaceDE w:val="0"/>
        <w:autoSpaceDN w:val="0"/>
        <w:adjustRightInd w:val="0"/>
        <w:spacing w:after="120"/>
        <w:ind w:firstLine="720"/>
        <w:rPr>
          <w:szCs w:val="24"/>
        </w:rPr>
      </w:pPr>
    </w:p>
    <w:p w14:paraId="6127FBBD" w14:textId="77777777" w:rsidR="00165D83" w:rsidRPr="00163E6F" w:rsidRDefault="00165D83" w:rsidP="00650503">
      <w:pPr>
        <w:autoSpaceDE w:val="0"/>
        <w:autoSpaceDN w:val="0"/>
        <w:adjustRightInd w:val="0"/>
        <w:spacing w:after="120"/>
        <w:rPr>
          <w:b/>
          <w:bCs/>
          <w:szCs w:val="24"/>
        </w:rPr>
      </w:pPr>
      <w:r w:rsidRPr="00163E6F">
        <w:rPr>
          <w:b/>
          <w:bCs/>
          <w:szCs w:val="24"/>
        </w:rPr>
        <w:t xml:space="preserve">Ar purviem un kūdru saistītie termini </w:t>
      </w:r>
    </w:p>
    <w:p w14:paraId="55F17EA4" w14:textId="77777777" w:rsidR="00165D83" w:rsidRPr="00163E6F" w:rsidRDefault="00165D83" w:rsidP="00165D83">
      <w:pPr>
        <w:autoSpaceDE w:val="0"/>
        <w:autoSpaceDN w:val="0"/>
        <w:adjustRightInd w:val="0"/>
        <w:spacing w:after="120"/>
        <w:ind w:firstLine="720"/>
        <w:rPr>
          <w:szCs w:val="24"/>
        </w:rPr>
      </w:pPr>
      <w:r w:rsidRPr="00163E6F">
        <w:rPr>
          <w:szCs w:val="24"/>
        </w:rPr>
        <w:t>Šaj</w:t>
      </w:r>
      <w:r w:rsidR="00B70D54" w:rsidRPr="00163E6F">
        <w:rPr>
          <w:szCs w:val="24"/>
        </w:rPr>
        <w:t>ā stratēģijā purvi tiek</w:t>
      </w:r>
      <w:r w:rsidRPr="00163E6F">
        <w:rPr>
          <w:szCs w:val="24"/>
        </w:rPr>
        <w:t xml:space="preserve"> analizēti dažādos aspektos: kūdras atradnes, licences laukumi (teritorija</w:t>
      </w:r>
      <w:r w:rsidR="00B70D54" w:rsidRPr="00163E6F">
        <w:rPr>
          <w:szCs w:val="24"/>
        </w:rPr>
        <w:t>, kuras robežas tiek noteiktas</w:t>
      </w:r>
      <w:r w:rsidRPr="00163E6F">
        <w:rPr>
          <w:szCs w:val="24"/>
        </w:rPr>
        <w:t xml:space="preserve"> zemes dzīļu </w:t>
      </w:r>
      <w:r w:rsidR="00B70D54" w:rsidRPr="00163E6F">
        <w:rPr>
          <w:szCs w:val="24"/>
        </w:rPr>
        <w:t>izmantošanas licence</w:t>
      </w:r>
      <w:r w:rsidRPr="00163E6F">
        <w:rPr>
          <w:szCs w:val="24"/>
        </w:rPr>
        <w:t xml:space="preserve">), kūdras ieguves vietas (teritorija, kurā notiek kūdras ieguve, tā var atšķirties no licences laukuma), vēsturiskās kūdras ieguves vietas (teritorija, kur agrāk notikusi kūdras ieguve, tā pārtraukta un nav atjaunota), SEG piesaistes un emisiju vieta, dabas aizsardzības teritorijas. </w:t>
      </w:r>
    </w:p>
    <w:p w14:paraId="2C943285" w14:textId="77777777" w:rsidR="00165D83" w:rsidRPr="00163E6F" w:rsidRDefault="005B4C84" w:rsidP="00165D83">
      <w:pPr>
        <w:autoSpaceDE w:val="0"/>
        <w:autoSpaceDN w:val="0"/>
        <w:adjustRightInd w:val="0"/>
        <w:spacing w:after="120"/>
        <w:ind w:firstLine="720"/>
        <w:rPr>
          <w:szCs w:val="24"/>
        </w:rPr>
      </w:pPr>
      <w:r w:rsidRPr="00163E6F">
        <w:rPr>
          <w:szCs w:val="24"/>
        </w:rPr>
        <w:t>Katras nozares specifika apskatāmo teritoriju dēvē dažādi – par purvu, kūdras atradni, purvainu mežu</w:t>
      </w:r>
      <w:r w:rsidR="00165D83" w:rsidRPr="00163E6F">
        <w:rPr>
          <w:szCs w:val="24"/>
        </w:rPr>
        <w:t xml:space="preserve"> vai aizsargājam</w:t>
      </w:r>
      <w:r w:rsidRPr="00163E6F">
        <w:rPr>
          <w:szCs w:val="24"/>
        </w:rPr>
        <w:t>u biotopu.</w:t>
      </w:r>
      <w:r w:rsidR="00165D83" w:rsidRPr="00163E6F">
        <w:rPr>
          <w:szCs w:val="24"/>
        </w:rPr>
        <w:t xml:space="preserve"> Dati par purvu platībām ir atšķirīgi atkarībā no informācijas avota un informācijas mērķa. Izpratne par purvu atkarīga no nozares</w:t>
      </w:r>
      <w:r w:rsidR="0034433D" w:rsidRPr="00163E6F">
        <w:rPr>
          <w:szCs w:val="24"/>
        </w:rPr>
        <w:t xml:space="preserve"> un</w:t>
      </w:r>
      <w:r w:rsidR="00165D83" w:rsidRPr="00163E6F">
        <w:rPr>
          <w:szCs w:val="24"/>
        </w:rPr>
        <w:t xml:space="preserve"> zemes izmantošanas </w:t>
      </w:r>
      <w:r w:rsidR="0034433D" w:rsidRPr="00163E6F">
        <w:rPr>
          <w:szCs w:val="24"/>
        </w:rPr>
        <w:t>veida. Piemēram,</w:t>
      </w:r>
      <w:r w:rsidR="00165D83" w:rsidRPr="00163E6F">
        <w:rPr>
          <w:szCs w:val="24"/>
        </w:rPr>
        <w:t xml:space="preserve"> mežsaimniecībā dati veidojas no tā, vai koki ir 5m vai augstāki</w:t>
      </w:r>
      <w:r w:rsidR="008A0717" w:rsidRPr="00163E6F">
        <w:rPr>
          <w:rStyle w:val="FootnoteReference"/>
          <w:szCs w:val="24"/>
        </w:rPr>
        <w:footnoteReference w:id="6"/>
      </w:r>
      <w:r w:rsidR="00165D83" w:rsidRPr="00163E6F">
        <w:rPr>
          <w:szCs w:val="24"/>
        </w:rPr>
        <w:t xml:space="preserve">: ja zemāki koki - tad purvs, ja augstāki - tad mežs. Dabas aizsardzības speciālistiem interesē biotops, purvos izdala vairākus aizsargājamos biotopus. Pēc aptuvenām aplēsēm neskarti purvi kopumā aizņem 4,9% valsts teritorijas jeb 316 900 ha. </w:t>
      </w:r>
    </w:p>
    <w:p w14:paraId="4C62E318" w14:textId="77777777" w:rsidR="00165D83" w:rsidRPr="00163E6F" w:rsidRDefault="00165D83" w:rsidP="00165D83">
      <w:pPr>
        <w:autoSpaceDE w:val="0"/>
        <w:autoSpaceDN w:val="0"/>
        <w:adjustRightInd w:val="0"/>
        <w:spacing w:after="120"/>
        <w:ind w:firstLine="720"/>
        <w:rPr>
          <w:szCs w:val="24"/>
        </w:rPr>
      </w:pPr>
      <w:r w:rsidRPr="00163E6F">
        <w:rPr>
          <w:szCs w:val="24"/>
        </w:rPr>
        <w:t>Purvi, kas tiek uzskatīti par kūdras atradnēm (platības ar kūdras slāni 0,3 m un biezāku, vidēji vismaz 0,5 m biezu, kas nav mazākas par 1 ha, tai skai</w:t>
      </w:r>
      <w:r w:rsidR="0034433D" w:rsidRPr="00163E6F">
        <w:rPr>
          <w:szCs w:val="24"/>
        </w:rPr>
        <w:t>tā ar mežu), Latvijā aizņem 10,5% no valsts teritorijas. Kopumā</w:t>
      </w:r>
      <w:r w:rsidRPr="00163E6F">
        <w:rPr>
          <w:szCs w:val="24"/>
        </w:rPr>
        <w:t xml:space="preserve"> </w:t>
      </w:r>
      <w:r w:rsidR="0034433D" w:rsidRPr="00163E6F">
        <w:rPr>
          <w:szCs w:val="24"/>
        </w:rPr>
        <w:t xml:space="preserve">ir apzināti </w:t>
      </w:r>
      <w:r w:rsidRPr="00163E6F">
        <w:rPr>
          <w:szCs w:val="24"/>
        </w:rPr>
        <w:t>6,8 tūkstoši purvu</w:t>
      </w:r>
      <w:r w:rsidR="00BC3E28" w:rsidRPr="00163E6F">
        <w:rPr>
          <w:rStyle w:val="FootnoteReference"/>
          <w:szCs w:val="24"/>
        </w:rPr>
        <w:footnoteReference w:id="7"/>
      </w:r>
      <w:r w:rsidRPr="00163E6F">
        <w:rPr>
          <w:szCs w:val="24"/>
        </w:rPr>
        <w:t xml:space="preserve"> jeb kūdras atradņu. Kūdras atradnes ietver purvus ar rūpnieciski izmantojamiem kūdras krājumiem, dažus slapjos meža tipus, nosusinātos purvus un kūdras ieguves vietas, kā arī nosusinātas lauksaimniecības un mežsaimniecības zemes.</w:t>
      </w:r>
    </w:p>
    <w:p w14:paraId="08AEF434" w14:textId="77777777" w:rsidR="00165D83" w:rsidRPr="00163E6F" w:rsidRDefault="00165D83" w:rsidP="00165D83">
      <w:pPr>
        <w:autoSpaceDE w:val="0"/>
        <w:autoSpaceDN w:val="0"/>
        <w:adjustRightInd w:val="0"/>
        <w:spacing w:after="120"/>
        <w:ind w:firstLine="720"/>
        <w:rPr>
          <w:szCs w:val="24"/>
        </w:rPr>
      </w:pPr>
      <w:r w:rsidRPr="00163E6F">
        <w:rPr>
          <w:szCs w:val="24"/>
        </w:rPr>
        <w:t>Vienojoties ar kūdras ražošanas nozari</w:t>
      </w:r>
      <w:r w:rsidR="00D13C9D" w:rsidRPr="00163E6F">
        <w:rPr>
          <w:rStyle w:val="FootnoteReference"/>
          <w:szCs w:val="24"/>
        </w:rPr>
        <w:footnoteReference w:id="8"/>
      </w:r>
      <w:r w:rsidRPr="00163E6F">
        <w:rPr>
          <w:szCs w:val="24"/>
        </w:rPr>
        <w:t xml:space="preserve">, nolemts, ka par rūpnieciski izmantojamu atradni uzskata kūdras atradni, kuras kopējā platība pie nulles robežas (kūdras slāņa 0,3 m dziļuma robeža) ir ne mazāka par 25 ha, tās kūdras iegulas vidējais slāņa dziļums atradnes nenosusinātā stāvoklī ir vienāds vai lielāks par 2,0 m. Izmantojot vēl dažus kritērijus, ģeotelpiskās informācijas kamerālas analīzes gaitā izdalīts 1461 ģeotelpiskais objekts ar kopējo platību 501 079ha. </w:t>
      </w:r>
    </w:p>
    <w:p w14:paraId="3ADB1242"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Ievērojot iepriekš minēto, runājot par purviem vai organiskajām augsnēm </w:t>
      </w:r>
      <w:r w:rsidR="00F32ADB" w:rsidRPr="00163E6F">
        <w:rPr>
          <w:szCs w:val="24"/>
        </w:rPr>
        <w:t>bieži</w:t>
      </w:r>
      <w:r w:rsidRPr="00163E6F">
        <w:rPr>
          <w:szCs w:val="24"/>
        </w:rPr>
        <w:t xml:space="preserve"> tiek lietots</w:t>
      </w:r>
      <w:r w:rsidR="00F32ADB" w:rsidRPr="00163E6F">
        <w:rPr>
          <w:szCs w:val="24"/>
        </w:rPr>
        <w:t xml:space="preserve"> arī</w:t>
      </w:r>
      <w:r w:rsidRPr="00163E6F">
        <w:rPr>
          <w:szCs w:val="24"/>
        </w:rPr>
        <w:t xml:space="preserve"> termins „kūdrājs”. Kopumā saistībā ar purviem, dabas aizsardzību un kūdras izmantošanu tiek izmantoti ļoti daudz terminu. Ir nepieciešams speciālistu vidū panākt vienošanos par vienotu terminu lietošanu. To sekmētu arī attiecīgu vadlīniju izstrāde vai publikācijas.</w:t>
      </w:r>
    </w:p>
    <w:p w14:paraId="01583DA1" w14:textId="77777777" w:rsidR="00165D83" w:rsidRPr="00163E6F" w:rsidRDefault="00165D83" w:rsidP="007B70DB">
      <w:pPr>
        <w:pStyle w:val="Heading1"/>
      </w:pPr>
      <w:bookmarkStart w:id="4" w:name="_Toc497573978"/>
      <w:r w:rsidRPr="00163E6F">
        <w:lastRenderedPageBreak/>
        <w:t>Purvu raksturojums</w:t>
      </w:r>
      <w:bookmarkEnd w:id="4"/>
      <w:r w:rsidRPr="00163E6F">
        <w:t xml:space="preserve"> </w:t>
      </w:r>
    </w:p>
    <w:p w14:paraId="31410030" w14:textId="77777777" w:rsidR="00165D83" w:rsidRPr="00163E6F" w:rsidRDefault="00165D83" w:rsidP="006A01B9">
      <w:pPr>
        <w:pStyle w:val="Heading2"/>
        <w:rPr>
          <w:i/>
          <w:iCs/>
          <w:color w:val="FF0000"/>
        </w:rPr>
      </w:pPr>
      <w:bookmarkStart w:id="5" w:name="_Toc497573979"/>
      <w:r w:rsidRPr="00163E6F">
        <w:t>Purvu izplatība pasaulē</w:t>
      </w:r>
      <w:r w:rsidR="009D7CA4" w:rsidRPr="00163E6F">
        <w:rPr>
          <w:rStyle w:val="FootnoteReference"/>
          <w:b w:val="0"/>
          <w:bCs w:val="0"/>
          <w:szCs w:val="24"/>
        </w:rPr>
        <w:footnoteReference w:id="9"/>
      </w:r>
      <w:bookmarkEnd w:id="5"/>
    </w:p>
    <w:p w14:paraId="25B0FBD8" w14:textId="77777777" w:rsidR="00165D83" w:rsidRPr="00163E6F" w:rsidRDefault="00165D83" w:rsidP="00165D83">
      <w:pPr>
        <w:autoSpaceDE w:val="0"/>
        <w:autoSpaceDN w:val="0"/>
        <w:adjustRightInd w:val="0"/>
        <w:spacing w:after="120"/>
        <w:ind w:firstLine="720"/>
        <w:rPr>
          <w:szCs w:val="24"/>
        </w:rPr>
      </w:pPr>
      <w:r w:rsidRPr="00163E6F">
        <w:rPr>
          <w:szCs w:val="24"/>
        </w:rPr>
        <w:t>Pasaules kontekstā kūdras purvi ieņem nozīmīgu vietu starp visiem pieejamajiem dabas resursiem, kā arī ekosistēmas un dabas daudzveidības saglabāšanā. Visā pasaulē purvi ir 175 valstīs un kopumā sedz 4 milj. km</w:t>
      </w:r>
      <w:r w:rsidRPr="00163E6F">
        <w:rPr>
          <w:szCs w:val="24"/>
          <w:vertAlign w:val="superscript"/>
        </w:rPr>
        <w:t>2</w:t>
      </w:r>
      <w:r w:rsidRPr="00163E6F">
        <w:rPr>
          <w:szCs w:val="24"/>
        </w:rPr>
        <w:t xml:space="preserve"> jeb 3% no pasaules zemes teritorijas. 1. attēlā ir redzama kūdras purvu platību attiecība pret valsts platību. Purvainākās teritorijas atrodas </w:t>
      </w:r>
      <w:r w:rsidR="00DB4CE3" w:rsidRPr="00163E6F">
        <w:rPr>
          <w:szCs w:val="24"/>
        </w:rPr>
        <w:t>Ziemeļu puslodē</w:t>
      </w:r>
      <w:r w:rsidRPr="00163E6F">
        <w:rPr>
          <w:szCs w:val="24"/>
        </w:rPr>
        <w:t xml:space="preserve"> un Indonēzijā. </w:t>
      </w:r>
    </w:p>
    <w:p w14:paraId="11BA5A9C" w14:textId="77777777" w:rsidR="00165D83" w:rsidRPr="00163E6F" w:rsidRDefault="00165D83" w:rsidP="003A41CC">
      <w:pPr>
        <w:autoSpaceDE w:val="0"/>
        <w:autoSpaceDN w:val="0"/>
        <w:adjustRightInd w:val="0"/>
        <w:spacing w:after="200"/>
        <w:jc w:val="center"/>
        <w:rPr>
          <w:szCs w:val="24"/>
        </w:rPr>
      </w:pPr>
      <w:r w:rsidRPr="00163E6F">
        <w:rPr>
          <w:rFonts w:ascii="Calibri" w:hAnsi="Calibri" w:cs="Calibri"/>
          <w:noProof/>
          <w:sz w:val="22"/>
          <w:lang w:eastAsia="lv-LV"/>
        </w:rPr>
        <w:drawing>
          <wp:inline distT="0" distB="0" distL="0" distR="0" wp14:anchorId="20339B4E" wp14:editId="76D9B37C">
            <wp:extent cx="5334000" cy="29241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5334000" cy="2924175"/>
                    </a:xfrm>
                    <a:prstGeom prst="rect">
                      <a:avLst/>
                    </a:prstGeom>
                    <a:noFill/>
                    <a:ln w="9525">
                      <a:noFill/>
                      <a:miter lim="800000"/>
                      <a:headEnd/>
                      <a:tailEnd/>
                    </a:ln>
                  </pic:spPr>
                </pic:pic>
              </a:graphicData>
            </a:graphic>
          </wp:inline>
        </w:drawing>
      </w:r>
    </w:p>
    <w:p w14:paraId="3532D94B" w14:textId="77777777" w:rsidR="00165D83" w:rsidRPr="00163E6F" w:rsidRDefault="00165D83" w:rsidP="00165D83">
      <w:pPr>
        <w:autoSpaceDE w:val="0"/>
        <w:autoSpaceDN w:val="0"/>
        <w:adjustRightInd w:val="0"/>
        <w:spacing w:after="120"/>
        <w:ind w:left="567"/>
        <w:jc w:val="center"/>
        <w:rPr>
          <w:szCs w:val="24"/>
        </w:rPr>
      </w:pPr>
      <w:r w:rsidRPr="00163E6F">
        <w:rPr>
          <w:szCs w:val="24"/>
        </w:rPr>
        <w:t>1. att. Kūdras purvu platību sadalījums pasaulē attiecībā pret valsts teritoriju, %</w:t>
      </w:r>
    </w:p>
    <w:p w14:paraId="7AC6E06E" w14:textId="77777777" w:rsidR="00165D83" w:rsidRPr="00163E6F" w:rsidRDefault="00165D83" w:rsidP="00830376">
      <w:pPr>
        <w:autoSpaceDE w:val="0"/>
        <w:autoSpaceDN w:val="0"/>
        <w:adjustRightInd w:val="0"/>
        <w:spacing w:after="120"/>
        <w:ind w:firstLine="709"/>
        <w:rPr>
          <w:szCs w:val="24"/>
        </w:rPr>
      </w:pPr>
      <w:r w:rsidRPr="00163E6F">
        <w:rPr>
          <w:szCs w:val="24"/>
        </w:rPr>
        <w:t xml:space="preserve">Tuvākajās kaimiņvalstīs purvi izskatās un pēc uzbūves ir līdzīgi Latvijas purviem, bet tie, kas atrodas tālāk vai pat citā klimatiskajā joslā ir ievērojami atšķirīgi no </w:t>
      </w:r>
      <w:r w:rsidR="00B67D72" w:rsidRPr="00163E6F">
        <w:rPr>
          <w:szCs w:val="24"/>
        </w:rPr>
        <w:t>Latvijā</w:t>
      </w:r>
      <w:r w:rsidRPr="00163E6F">
        <w:rPr>
          <w:szCs w:val="24"/>
        </w:rPr>
        <w:t xml:space="preserve"> pierastās purvu ainas. Piemēram, tropiskie purvi lielāko daļu gada ir zem ūdens un izskatās pēc ezeriem. Pasaulē lielākās tropisko purvu platības atrodas Indonēzijā. Lai gan Indonēzija ierindojas tikai 6. vietā pasaulē pēc purvu teritorijas lieluma īpatsvara kopējā valsts teritorijā, kur purvu teritorija aizņem 11% no valsts kopējās teritorijas (1. tabula) un 4. vietā pēc purvu platības (2. tabula), tropisko purvu platību rangā Indonēzija ir pirmajā vietā.</w:t>
      </w:r>
    </w:p>
    <w:p w14:paraId="3A9CDDC6" w14:textId="77777777" w:rsidR="00165D83" w:rsidRPr="00163E6F" w:rsidRDefault="00165D83" w:rsidP="00830376">
      <w:pPr>
        <w:autoSpaceDE w:val="0"/>
        <w:autoSpaceDN w:val="0"/>
        <w:adjustRightInd w:val="0"/>
        <w:spacing w:after="120"/>
        <w:ind w:firstLine="709"/>
        <w:rPr>
          <w:szCs w:val="24"/>
        </w:rPr>
      </w:pPr>
      <w:r w:rsidRPr="00163E6F">
        <w:rPr>
          <w:szCs w:val="24"/>
        </w:rPr>
        <w:t>Valstis, kurās purvu platība pārsniedz 10% no kopējās valsts teritorijas ir Somija, Igaunija, Zviedrija, Baltkrievija, Kanāda, Indonēzija un Latvija.</w:t>
      </w:r>
    </w:p>
    <w:p w14:paraId="2EF4D643" w14:textId="77777777" w:rsidR="00165D83" w:rsidRPr="00163E6F" w:rsidRDefault="00165D83" w:rsidP="00165D83">
      <w:pPr>
        <w:keepNext/>
        <w:autoSpaceDE w:val="0"/>
        <w:autoSpaceDN w:val="0"/>
        <w:adjustRightInd w:val="0"/>
        <w:jc w:val="right"/>
        <w:rPr>
          <w:szCs w:val="24"/>
        </w:rPr>
      </w:pPr>
      <w:r w:rsidRPr="00163E6F">
        <w:rPr>
          <w:szCs w:val="24"/>
        </w:rPr>
        <w:t>1. tabula</w:t>
      </w:r>
    </w:p>
    <w:p w14:paraId="01CCA04F" w14:textId="77777777" w:rsidR="00165D83" w:rsidRPr="00163E6F" w:rsidRDefault="00165D83" w:rsidP="00165D83">
      <w:pPr>
        <w:keepNext/>
        <w:autoSpaceDE w:val="0"/>
        <w:autoSpaceDN w:val="0"/>
        <w:adjustRightInd w:val="0"/>
        <w:jc w:val="center"/>
        <w:rPr>
          <w:b/>
          <w:bCs/>
          <w:sz w:val="22"/>
        </w:rPr>
      </w:pPr>
      <w:r w:rsidRPr="00163E6F">
        <w:rPr>
          <w:b/>
          <w:bCs/>
          <w:sz w:val="22"/>
        </w:rPr>
        <w:t xml:space="preserve">Valstu rangs pēc purvu īpatsvara atkarībā no teritorijas </w:t>
      </w:r>
    </w:p>
    <w:p w14:paraId="222EB39E" w14:textId="77777777" w:rsidR="00165D83" w:rsidRPr="00163E6F" w:rsidRDefault="00165D83" w:rsidP="00165D83">
      <w:pPr>
        <w:autoSpaceDE w:val="0"/>
        <w:autoSpaceDN w:val="0"/>
        <w:adjustRightInd w:val="0"/>
        <w:jc w:val="center"/>
        <w:rPr>
          <w:b/>
          <w:bCs/>
          <w:sz w:val="22"/>
        </w:rPr>
      </w:pPr>
      <w:r w:rsidRPr="00163E6F">
        <w:rPr>
          <w:b/>
          <w:bCs/>
          <w:sz w:val="22"/>
        </w:rPr>
        <w:t>lieluma 2016. gadā, %</w:t>
      </w:r>
    </w:p>
    <w:tbl>
      <w:tblPr>
        <w:tblW w:w="0" w:type="auto"/>
        <w:jc w:val="center"/>
        <w:tblLayout w:type="fixed"/>
        <w:tblLook w:val="0000" w:firstRow="0" w:lastRow="0" w:firstColumn="0" w:lastColumn="0" w:noHBand="0" w:noVBand="0"/>
      </w:tblPr>
      <w:tblGrid>
        <w:gridCol w:w="822"/>
        <w:gridCol w:w="1531"/>
        <w:gridCol w:w="1977"/>
        <w:gridCol w:w="1985"/>
        <w:gridCol w:w="2126"/>
      </w:tblGrid>
      <w:tr w:rsidR="00165D83" w:rsidRPr="00163E6F" w14:paraId="3FBE7088" w14:textId="77777777" w:rsidTr="009120E9">
        <w:trPr>
          <w:trHeight w:val="953"/>
          <w:jc w:val="center"/>
        </w:trPr>
        <w:tc>
          <w:tcPr>
            <w:tcW w:w="822" w:type="dxa"/>
            <w:tcBorders>
              <w:top w:val="single" w:sz="3" w:space="0" w:color="000000"/>
              <w:left w:val="single" w:sz="3" w:space="0" w:color="000000"/>
              <w:bottom w:val="single" w:sz="3" w:space="0" w:color="000000"/>
              <w:right w:val="single" w:sz="3" w:space="0" w:color="000000"/>
            </w:tcBorders>
            <w:vAlign w:val="center"/>
          </w:tcPr>
          <w:p w14:paraId="74AD81B9" w14:textId="77777777" w:rsidR="00165D83" w:rsidRPr="00163E6F" w:rsidRDefault="00165D83">
            <w:pPr>
              <w:autoSpaceDE w:val="0"/>
              <w:autoSpaceDN w:val="0"/>
              <w:adjustRightInd w:val="0"/>
              <w:jc w:val="center"/>
            </w:pPr>
            <w:r w:rsidRPr="00163E6F">
              <w:rPr>
                <w:b/>
                <w:bCs/>
                <w:sz w:val="22"/>
              </w:rPr>
              <w:t>Vieta</w:t>
            </w:r>
          </w:p>
        </w:tc>
        <w:tc>
          <w:tcPr>
            <w:tcW w:w="1531" w:type="dxa"/>
            <w:tcBorders>
              <w:top w:val="single" w:sz="3" w:space="0" w:color="000000"/>
              <w:left w:val="single" w:sz="3" w:space="0" w:color="000000"/>
              <w:bottom w:val="single" w:sz="3" w:space="0" w:color="000000"/>
              <w:right w:val="single" w:sz="3" w:space="0" w:color="000000"/>
            </w:tcBorders>
            <w:vAlign w:val="center"/>
          </w:tcPr>
          <w:p w14:paraId="3F56986F" w14:textId="77777777" w:rsidR="00165D83" w:rsidRPr="00163E6F" w:rsidRDefault="00165D83">
            <w:pPr>
              <w:autoSpaceDE w:val="0"/>
              <w:autoSpaceDN w:val="0"/>
              <w:adjustRightInd w:val="0"/>
              <w:jc w:val="center"/>
            </w:pPr>
            <w:r w:rsidRPr="00163E6F">
              <w:rPr>
                <w:b/>
                <w:bCs/>
                <w:sz w:val="22"/>
              </w:rPr>
              <w:t>Valsts</w:t>
            </w:r>
          </w:p>
        </w:tc>
        <w:tc>
          <w:tcPr>
            <w:tcW w:w="1977" w:type="dxa"/>
            <w:tcBorders>
              <w:top w:val="single" w:sz="3" w:space="0" w:color="000000"/>
              <w:left w:val="single" w:sz="3" w:space="0" w:color="000000"/>
              <w:bottom w:val="single" w:sz="3" w:space="0" w:color="000000"/>
              <w:right w:val="single" w:sz="3" w:space="0" w:color="000000"/>
            </w:tcBorders>
            <w:vAlign w:val="center"/>
          </w:tcPr>
          <w:p w14:paraId="7822A879" w14:textId="77777777" w:rsidR="00165D83" w:rsidRPr="00163E6F" w:rsidRDefault="00165D83">
            <w:pPr>
              <w:autoSpaceDE w:val="0"/>
              <w:autoSpaceDN w:val="0"/>
              <w:adjustRightInd w:val="0"/>
              <w:jc w:val="center"/>
            </w:pPr>
            <w:r w:rsidRPr="00163E6F">
              <w:rPr>
                <w:b/>
                <w:bCs/>
                <w:sz w:val="22"/>
              </w:rPr>
              <w:t>Kūdras purvu platība, km</w:t>
            </w:r>
            <w:r w:rsidRPr="00163E6F">
              <w:rPr>
                <w:b/>
                <w:bCs/>
                <w:sz w:val="22"/>
                <w:vertAlign w:val="superscript"/>
              </w:rPr>
              <w:t>2</w:t>
            </w:r>
          </w:p>
        </w:tc>
        <w:tc>
          <w:tcPr>
            <w:tcW w:w="1985" w:type="dxa"/>
            <w:tcBorders>
              <w:top w:val="single" w:sz="3" w:space="0" w:color="000000"/>
              <w:left w:val="single" w:sz="3" w:space="0" w:color="000000"/>
              <w:bottom w:val="single" w:sz="3" w:space="0" w:color="000000"/>
              <w:right w:val="single" w:sz="3" w:space="0" w:color="000000"/>
            </w:tcBorders>
            <w:vAlign w:val="center"/>
          </w:tcPr>
          <w:p w14:paraId="64A6151A" w14:textId="77777777" w:rsidR="00165D83" w:rsidRPr="00163E6F" w:rsidRDefault="00165D83">
            <w:pPr>
              <w:autoSpaceDE w:val="0"/>
              <w:autoSpaceDN w:val="0"/>
              <w:adjustRightInd w:val="0"/>
              <w:jc w:val="center"/>
            </w:pPr>
            <w:r w:rsidRPr="00163E6F">
              <w:rPr>
                <w:b/>
                <w:bCs/>
                <w:sz w:val="22"/>
              </w:rPr>
              <w:t>Valsts teritorijas kopējā platība, km</w:t>
            </w:r>
            <w:r w:rsidRPr="00163E6F">
              <w:rPr>
                <w:b/>
                <w:bCs/>
                <w:sz w:val="22"/>
                <w:vertAlign w:val="superscript"/>
              </w:rPr>
              <w:t>2</w:t>
            </w:r>
          </w:p>
        </w:tc>
        <w:tc>
          <w:tcPr>
            <w:tcW w:w="2126" w:type="dxa"/>
            <w:tcBorders>
              <w:top w:val="single" w:sz="3" w:space="0" w:color="000000"/>
              <w:left w:val="single" w:sz="3" w:space="0" w:color="000000"/>
              <w:bottom w:val="single" w:sz="3" w:space="0" w:color="000000"/>
              <w:right w:val="single" w:sz="3" w:space="0" w:color="000000"/>
            </w:tcBorders>
            <w:vAlign w:val="center"/>
          </w:tcPr>
          <w:p w14:paraId="52847D0E" w14:textId="77777777" w:rsidR="00165D83" w:rsidRPr="00163E6F" w:rsidRDefault="00165D83">
            <w:pPr>
              <w:autoSpaceDE w:val="0"/>
              <w:autoSpaceDN w:val="0"/>
              <w:adjustRightInd w:val="0"/>
              <w:jc w:val="center"/>
            </w:pPr>
            <w:r w:rsidRPr="00163E6F">
              <w:rPr>
                <w:b/>
                <w:bCs/>
                <w:sz w:val="22"/>
              </w:rPr>
              <w:t>Purvu īpatsvars kopējā teritorijā, %</w:t>
            </w:r>
          </w:p>
        </w:tc>
      </w:tr>
      <w:tr w:rsidR="00165D83" w:rsidRPr="00163E6F" w14:paraId="6585FCDD"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07EFE135" w14:textId="77777777" w:rsidR="00165D83" w:rsidRPr="00163E6F" w:rsidRDefault="00165D83">
            <w:pPr>
              <w:autoSpaceDE w:val="0"/>
              <w:autoSpaceDN w:val="0"/>
              <w:adjustRightInd w:val="0"/>
              <w:jc w:val="center"/>
            </w:pPr>
            <w:r w:rsidRPr="00163E6F">
              <w:rPr>
                <w:bCs/>
                <w:sz w:val="22"/>
              </w:rPr>
              <w:t>1.</w:t>
            </w:r>
          </w:p>
        </w:tc>
        <w:tc>
          <w:tcPr>
            <w:tcW w:w="1531" w:type="dxa"/>
            <w:tcBorders>
              <w:top w:val="single" w:sz="3" w:space="0" w:color="000000"/>
              <w:left w:val="single" w:sz="3" w:space="0" w:color="000000"/>
              <w:bottom w:val="single" w:sz="3" w:space="0" w:color="000000"/>
              <w:right w:val="single" w:sz="3" w:space="0" w:color="000000"/>
            </w:tcBorders>
            <w:vAlign w:val="bottom"/>
          </w:tcPr>
          <w:p w14:paraId="189F72E4" w14:textId="77777777" w:rsidR="00165D83" w:rsidRPr="00163E6F" w:rsidRDefault="00165D83">
            <w:pPr>
              <w:autoSpaceDE w:val="0"/>
              <w:autoSpaceDN w:val="0"/>
              <w:adjustRightInd w:val="0"/>
              <w:jc w:val="left"/>
            </w:pPr>
            <w:r w:rsidRPr="00163E6F">
              <w:rPr>
                <w:sz w:val="22"/>
              </w:rPr>
              <w:t>Somija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380756FE" w14:textId="77777777" w:rsidR="00165D83" w:rsidRPr="00163E6F" w:rsidRDefault="00165D83">
            <w:pPr>
              <w:autoSpaceDE w:val="0"/>
              <w:autoSpaceDN w:val="0"/>
              <w:adjustRightInd w:val="0"/>
              <w:jc w:val="center"/>
            </w:pPr>
            <w:r w:rsidRPr="00163E6F">
              <w:rPr>
                <w:sz w:val="22"/>
              </w:rPr>
              <w:t>89 000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0CA110AA" w14:textId="77777777" w:rsidR="00165D83" w:rsidRPr="00163E6F" w:rsidRDefault="00165D83">
            <w:pPr>
              <w:autoSpaceDE w:val="0"/>
              <w:autoSpaceDN w:val="0"/>
              <w:adjustRightInd w:val="0"/>
              <w:jc w:val="center"/>
            </w:pPr>
            <w:r w:rsidRPr="00163E6F">
              <w:rPr>
                <w:sz w:val="22"/>
              </w:rPr>
              <w:t>338145</w:t>
            </w:r>
          </w:p>
        </w:tc>
        <w:tc>
          <w:tcPr>
            <w:tcW w:w="2126" w:type="dxa"/>
            <w:tcBorders>
              <w:top w:val="single" w:sz="3" w:space="0" w:color="000000"/>
              <w:left w:val="single" w:sz="3" w:space="0" w:color="000000"/>
              <w:bottom w:val="single" w:sz="3" w:space="0" w:color="000000"/>
              <w:right w:val="single" w:sz="3" w:space="0" w:color="000000"/>
            </w:tcBorders>
            <w:vAlign w:val="bottom"/>
          </w:tcPr>
          <w:p w14:paraId="1A08FAB0" w14:textId="77777777" w:rsidR="00165D83" w:rsidRPr="00163E6F" w:rsidRDefault="00165D83">
            <w:pPr>
              <w:autoSpaceDE w:val="0"/>
              <w:autoSpaceDN w:val="0"/>
              <w:adjustRightInd w:val="0"/>
              <w:jc w:val="center"/>
            </w:pPr>
            <w:r w:rsidRPr="00163E6F">
              <w:rPr>
                <w:sz w:val="22"/>
              </w:rPr>
              <w:t>26</w:t>
            </w:r>
          </w:p>
        </w:tc>
      </w:tr>
      <w:tr w:rsidR="00165D83" w:rsidRPr="00163E6F" w14:paraId="7303E9D4"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60429CB3" w14:textId="77777777" w:rsidR="00165D83" w:rsidRPr="00163E6F" w:rsidRDefault="00165D83">
            <w:pPr>
              <w:autoSpaceDE w:val="0"/>
              <w:autoSpaceDN w:val="0"/>
              <w:adjustRightInd w:val="0"/>
              <w:jc w:val="center"/>
            </w:pPr>
            <w:r w:rsidRPr="00163E6F">
              <w:rPr>
                <w:bCs/>
                <w:sz w:val="22"/>
              </w:rPr>
              <w:t>2.</w:t>
            </w:r>
          </w:p>
        </w:tc>
        <w:tc>
          <w:tcPr>
            <w:tcW w:w="1531" w:type="dxa"/>
            <w:tcBorders>
              <w:top w:val="single" w:sz="3" w:space="0" w:color="000000"/>
              <w:left w:val="single" w:sz="3" w:space="0" w:color="000000"/>
              <w:bottom w:val="single" w:sz="3" w:space="0" w:color="000000"/>
              <w:right w:val="single" w:sz="3" w:space="0" w:color="000000"/>
            </w:tcBorders>
            <w:vAlign w:val="bottom"/>
          </w:tcPr>
          <w:p w14:paraId="768266E0" w14:textId="77777777" w:rsidR="00165D83" w:rsidRPr="00163E6F" w:rsidRDefault="00165D83">
            <w:pPr>
              <w:autoSpaceDE w:val="0"/>
              <w:autoSpaceDN w:val="0"/>
              <w:adjustRightInd w:val="0"/>
              <w:jc w:val="left"/>
            </w:pPr>
            <w:r w:rsidRPr="00163E6F">
              <w:rPr>
                <w:sz w:val="22"/>
              </w:rPr>
              <w:t>Igaunija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03B19624" w14:textId="77777777" w:rsidR="00165D83" w:rsidRPr="00163E6F" w:rsidRDefault="00165D83">
            <w:pPr>
              <w:autoSpaceDE w:val="0"/>
              <w:autoSpaceDN w:val="0"/>
              <w:adjustRightInd w:val="0"/>
              <w:jc w:val="center"/>
            </w:pPr>
            <w:r w:rsidRPr="00163E6F">
              <w:rPr>
                <w:sz w:val="22"/>
              </w:rPr>
              <w:t>9 000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4ED992CF" w14:textId="77777777" w:rsidR="00165D83" w:rsidRPr="00163E6F" w:rsidRDefault="00165D83">
            <w:pPr>
              <w:autoSpaceDE w:val="0"/>
              <w:autoSpaceDN w:val="0"/>
              <w:adjustRightInd w:val="0"/>
              <w:jc w:val="center"/>
            </w:pPr>
            <w:r w:rsidRPr="00163E6F">
              <w:rPr>
                <w:sz w:val="22"/>
              </w:rPr>
              <w:t>45339</w:t>
            </w:r>
          </w:p>
        </w:tc>
        <w:tc>
          <w:tcPr>
            <w:tcW w:w="2126" w:type="dxa"/>
            <w:tcBorders>
              <w:top w:val="single" w:sz="3" w:space="0" w:color="000000"/>
              <w:left w:val="single" w:sz="3" w:space="0" w:color="000000"/>
              <w:bottom w:val="single" w:sz="3" w:space="0" w:color="000000"/>
              <w:right w:val="single" w:sz="3" w:space="0" w:color="000000"/>
            </w:tcBorders>
            <w:vAlign w:val="bottom"/>
          </w:tcPr>
          <w:p w14:paraId="0BE1DDBA" w14:textId="77777777" w:rsidR="00165D83" w:rsidRPr="00163E6F" w:rsidRDefault="00165D83">
            <w:pPr>
              <w:autoSpaceDE w:val="0"/>
              <w:autoSpaceDN w:val="0"/>
              <w:adjustRightInd w:val="0"/>
              <w:jc w:val="center"/>
            </w:pPr>
            <w:r w:rsidRPr="00163E6F">
              <w:rPr>
                <w:sz w:val="22"/>
              </w:rPr>
              <w:t>20</w:t>
            </w:r>
          </w:p>
        </w:tc>
      </w:tr>
      <w:tr w:rsidR="00165D83" w:rsidRPr="00163E6F" w14:paraId="73B160C7"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782E723B" w14:textId="77777777" w:rsidR="00165D83" w:rsidRPr="00163E6F" w:rsidRDefault="00165D83">
            <w:pPr>
              <w:autoSpaceDE w:val="0"/>
              <w:autoSpaceDN w:val="0"/>
              <w:adjustRightInd w:val="0"/>
              <w:jc w:val="center"/>
            </w:pPr>
            <w:r w:rsidRPr="00163E6F">
              <w:rPr>
                <w:bCs/>
                <w:sz w:val="22"/>
              </w:rPr>
              <w:t>3.</w:t>
            </w:r>
          </w:p>
        </w:tc>
        <w:tc>
          <w:tcPr>
            <w:tcW w:w="1531" w:type="dxa"/>
            <w:tcBorders>
              <w:top w:val="single" w:sz="3" w:space="0" w:color="000000"/>
              <w:left w:val="single" w:sz="3" w:space="0" w:color="000000"/>
              <w:bottom w:val="single" w:sz="3" w:space="0" w:color="000000"/>
              <w:right w:val="single" w:sz="3" w:space="0" w:color="000000"/>
            </w:tcBorders>
            <w:vAlign w:val="bottom"/>
          </w:tcPr>
          <w:p w14:paraId="28E14A54" w14:textId="77777777" w:rsidR="00165D83" w:rsidRPr="00163E6F" w:rsidRDefault="00165D83">
            <w:pPr>
              <w:autoSpaceDE w:val="0"/>
              <w:autoSpaceDN w:val="0"/>
              <w:adjustRightInd w:val="0"/>
              <w:jc w:val="left"/>
            </w:pPr>
            <w:r w:rsidRPr="00163E6F">
              <w:rPr>
                <w:sz w:val="22"/>
              </w:rPr>
              <w:t>Zviedrija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65ED4CF5" w14:textId="77777777" w:rsidR="00165D83" w:rsidRPr="00163E6F" w:rsidRDefault="00165D83">
            <w:pPr>
              <w:autoSpaceDE w:val="0"/>
              <w:autoSpaceDN w:val="0"/>
              <w:adjustRightInd w:val="0"/>
              <w:jc w:val="center"/>
            </w:pPr>
            <w:r w:rsidRPr="00163E6F">
              <w:rPr>
                <w:sz w:val="22"/>
              </w:rPr>
              <w:t>66 000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5BAE480A" w14:textId="77777777" w:rsidR="00165D83" w:rsidRPr="00163E6F" w:rsidRDefault="00165D83">
            <w:pPr>
              <w:autoSpaceDE w:val="0"/>
              <w:autoSpaceDN w:val="0"/>
              <w:adjustRightInd w:val="0"/>
              <w:jc w:val="center"/>
            </w:pPr>
            <w:r w:rsidRPr="00163E6F">
              <w:rPr>
                <w:sz w:val="22"/>
              </w:rPr>
              <w:t>447435</w:t>
            </w:r>
          </w:p>
        </w:tc>
        <w:tc>
          <w:tcPr>
            <w:tcW w:w="2126" w:type="dxa"/>
            <w:tcBorders>
              <w:top w:val="single" w:sz="3" w:space="0" w:color="000000"/>
              <w:left w:val="single" w:sz="3" w:space="0" w:color="000000"/>
              <w:bottom w:val="single" w:sz="3" w:space="0" w:color="000000"/>
              <w:right w:val="single" w:sz="3" w:space="0" w:color="000000"/>
            </w:tcBorders>
            <w:vAlign w:val="bottom"/>
          </w:tcPr>
          <w:p w14:paraId="480E9D32" w14:textId="77777777" w:rsidR="00165D83" w:rsidRPr="00163E6F" w:rsidRDefault="00165D83">
            <w:pPr>
              <w:autoSpaceDE w:val="0"/>
              <w:autoSpaceDN w:val="0"/>
              <w:adjustRightInd w:val="0"/>
              <w:jc w:val="center"/>
            </w:pPr>
            <w:r w:rsidRPr="00163E6F">
              <w:rPr>
                <w:sz w:val="22"/>
              </w:rPr>
              <w:t>15</w:t>
            </w:r>
          </w:p>
        </w:tc>
      </w:tr>
      <w:tr w:rsidR="00165D83" w:rsidRPr="00163E6F" w14:paraId="612A3873"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76DA956C" w14:textId="77777777" w:rsidR="00165D83" w:rsidRPr="00163E6F" w:rsidRDefault="00165D83">
            <w:pPr>
              <w:autoSpaceDE w:val="0"/>
              <w:autoSpaceDN w:val="0"/>
              <w:adjustRightInd w:val="0"/>
              <w:jc w:val="center"/>
            </w:pPr>
            <w:r w:rsidRPr="00163E6F">
              <w:rPr>
                <w:bCs/>
                <w:sz w:val="22"/>
              </w:rPr>
              <w:lastRenderedPageBreak/>
              <w:t>4.</w:t>
            </w:r>
          </w:p>
        </w:tc>
        <w:tc>
          <w:tcPr>
            <w:tcW w:w="1531" w:type="dxa"/>
            <w:tcBorders>
              <w:top w:val="single" w:sz="3" w:space="0" w:color="000000"/>
              <w:left w:val="single" w:sz="3" w:space="0" w:color="000000"/>
              <w:bottom w:val="single" w:sz="3" w:space="0" w:color="000000"/>
              <w:right w:val="single" w:sz="3" w:space="0" w:color="000000"/>
            </w:tcBorders>
            <w:vAlign w:val="bottom"/>
          </w:tcPr>
          <w:p w14:paraId="3AA33610" w14:textId="77777777" w:rsidR="00165D83" w:rsidRPr="00163E6F" w:rsidRDefault="00165D83">
            <w:pPr>
              <w:autoSpaceDE w:val="0"/>
              <w:autoSpaceDN w:val="0"/>
              <w:adjustRightInd w:val="0"/>
              <w:jc w:val="left"/>
            </w:pPr>
            <w:r w:rsidRPr="00163E6F">
              <w:rPr>
                <w:sz w:val="22"/>
              </w:rPr>
              <w:t>Baltkrievija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225DD7F6" w14:textId="77777777" w:rsidR="00165D83" w:rsidRPr="00163E6F" w:rsidRDefault="00165D83">
            <w:pPr>
              <w:autoSpaceDE w:val="0"/>
              <w:autoSpaceDN w:val="0"/>
              <w:adjustRightInd w:val="0"/>
              <w:jc w:val="center"/>
            </w:pPr>
            <w:r w:rsidRPr="00163E6F">
              <w:rPr>
                <w:sz w:val="22"/>
              </w:rPr>
              <w:t>24 000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0532AB2C" w14:textId="77777777" w:rsidR="00165D83" w:rsidRPr="00163E6F" w:rsidRDefault="00165D83">
            <w:pPr>
              <w:autoSpaceDE w:val="0"/>
              <w:autoSpaceDN w:val="0"/>
              <w:adjustRightInd w:val="0"/>
              <w:jc w:val="center"/>
            </w:pPr>
            <w:r w:rsidRPr="00163E6F">
              <w:rPr>
                <w:sz w:val="22"/>
              </w:rPr>
              <w:t>207600</w:t>
            </w:r>
          </w:p>
        </w:tc>
        <w:tc>
          <w:tcPr>
            <w:tcW w:w="2126" w:type="dxa"/>
            <w:tcBorders>
              <w:top w:val="single" w:sz="3" w:space="0" w:color="000000"/>
              <w:left w:val="single" w:sz="3" w:space="0" w:color="000000"/>
              <w:bottom w:val="single" w:sz="3" w:space="0" w:color="000000"/>
              <w:right w:val="single" w:sz="3" w:space="0" w:color="000000"/>
            </w:tcBorders>
            <w:vAlign w:val="bottom"/>
          </w:tcPr>
          <w:p w14:paraId="03DD704F" w14:textId="77777777" w:rsidR="00165D83" w:rsidRPr="00163E6F" w:rsidRDefault="00165D83">
            <w:pPr>
              <w:autoSpaceDE w:val="0"/>
              <w:autoSpaceDN w:val="0"/>
              <w:adjustRightInd w:val="0"/>
              <w:jc w:val="center"/>
            </w:pPr>
            <w:r w:rsidRPr="00163E6F">
              <w:rPr>
                <w:sz w:val="22"/>
              </w:rPr>
              <w:t>12</w:t>
            </w:r>
          </w:p>
        </w:tc>
      </w:tr>
      <w:tr w:rsidR="00165D83" w:rsidRPr="00163E6F" w14:paraId="7EBB0329"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2BC484FF" w14:textId="77777777" w:rsidR="00165D83" w:rsidRPr="00163E6F" w:rsidRDefault="00165D83">
            <w:pPr>
              <w:autoSpaceDE w:val="0"/>
              <w:autoSpaceDN w:val="0"/>
              <w:adjustRightInd w:val="0"/>
              <w:jc w:val="center"/>
            </w:pPr>
            <w:r w:rsidRPr="00163E6F">
              <w:rPr>
                <w:bCs/>
                <w:sz w:val="22"/>
              </w:rPr>
              <w:t>5.</w:t>
            </w:r>
          </w:p>
        </w:tc>
        <w:tc>
          <w:tcPr>
            <w:tcW w:w="1531" w:type="dxa"/>
            <w:tcBorders>
              <w:top w:val="single" w:sz="3" w:space="0" w:color="000000"/>
              <w:left w:val="single" w:sz="3" w:space="0" w:color="000000"/>
              <w:bottom w:val="single" w:sz="3" w:space="0" w:color="000000"/>
              <w:right w:val="single" w:sz="3" w:space="0" w:color="000000"/>
            </w:tcBorders>
            <w:vAlign w:val="bottom"/>
          </w:tcPr>
          <w:p w14:paraId="2D2EEFB9" w14:textId="77777777" w:rsidR="00165D83" w:rsidRPr="00163E6F" w:rsidRDefault="00165D83">
            <w:pPr>
              <w:autoSpaceDE w:val="0"/>
              <w:autoSpaceDN w:val="0"/>
              <w:adjustRightInd w:val="0"/>
              <w:jc w:val="left"/>
            </w:pPr>
            <w:r w:rsidRPr="00163E6F">
              <w:rPr>
                <w:sz w:val="22"/>
              </w:rPr>
              <w:t>Kanāda</w:t>
            </w:r>
          </w:p>
        </w:tc>
        <w:tc>
          <w:tcPr>
            <w:tcW w:w="1977" w:type="dxa"/>
            <w:tcBorders>
              <w:top w:val="single" w:sz="3" w:space="0" w:color="000000"/>
              <w:left w:val="single" w:sz="3" w:space="0" w:color="000000"/>
              <w:bottom w:val="single" w:sz="3" w:space="0" w:color="000000"/>
              <w:right w:val="single" w:sz="3" w:space="0" w:color="000000"/>
            </w:tcBorders>
            <w:vAlign w:val="bottom"/>
          </w:tcPr>
          <w:p w14:paraId="7CAF51D0" w14:textId="77777777" w:rsidR="00165D83" w:rsidRPr="00163E6F" w:rsidRDefault="00165D83">
            <w:pPr>
              <w:autoSpaceDE w:val="0"/>
              <w:autoSpaceDN w:val="0"/>
              <w:adjustRightInd w:val="0"/>
              <w:jc w:val="center"/>
            </w:pPr>
            <w:r w:rsidRPr="00163E6F">
              <w:rPr>
                <w:sz w:val="22"/>
              </w:rPr>
              <w:t>1 100 000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6CE28EF2" w14:textId="77777777" w:rsidR="00165D83" w:rsidRPr="00163E6F" w:rsidRDefault="00165D83">
            <w:pPr>
              <w:autoSpaceDE w:val="0"/>
              <w:autoSpaceDN w:val="0"/>
              <w:adjustRightInd w:val="0"/>
              <w:jc w:val="center"/>
            </w:pPr>
            <w:r w:rsidRPr="00163E6F">
              <w:rPr>
                <w:sz w:val="22"/>
              </w:rPr>
              <w:t>9985000</w:t>
            </w:r>
          </w:p>
        </w:tc>
        <w:tc>
          <w:tcPr>
            <w:tcW w:w="2126" w:type="dxa"/>
            <w:tcBorders>
              <w:top w:val="single" w:sz="3" w:space="0" w:color="000000"/>
              <w:left w:val="single" w:sz="3" w:space="0" w:color="000000"/>
              <w:bottom w:val="single" w:sz="3" w:space="0" w:color="000000"/>
              <w:right w:val="single" w:sz="3" w:space="0" w:color="000000"/>
            </w:tcBorders>
            <w:vAlign w:val="bottom"/>
          </w:tcPr>
          <w:p w14:paraId="4A92D9D1" w14:textId="77777777" w:rsidR="00165D83" w:rsidRPr="00163E6F" w:rsidRDefault="00165D83">
            <w:pPr>
              <w:autoSpaceDE w:val="0"/>
              <w:autoSpaceDN w:val="0"/>
              <w:adjustRightInd w:val="0"/>
              <w:jc w:val="center"/>
            </w:pPr>
            <w:r w:rsidRPr="00163E6F">
              <w:rPr>
                <w:sz w:val="22"/>
              </w:rPr>
              <w:t>11</w:t>
            </w:r>
          </w:p>
        </w:tc>
      </w:tr>
      <w:tr w:rsidR="00165D83" w:rsidRPr="00163E6F" w14:paraId="02630F12"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67752CBC" w14:textId="77777777" w:rsidR="00165D83" w:rsidRPr="00163E6F" w:rsidRDefault="00165D83">
            <w:pPr>
              <w:autoSpaceDE w:val="0"/>
              <w:autoSpaceDN w:val="0"/>
              <w:adjustRightInd w:val="0"/>
              <w:jc w:val="center"/>
            </w:pPr>
            <w:r w:rsidRPr="00163E6F">
              <w:rPr>
                <w:bCs/>
                <w:sz w:val="22"/>
              </w:rPr>
              <w:t>6.</w:t>
            </w:r>
          </w:p>
        </w:tc>
        <w:tc>
          <w:tcPr>
            <w:tcW w:w="1531" w:type="dxa"/>
            <w:tcBorders>
              <w:top w:val="single" w:sz="3" w:space="0" w:color="000000"/>
              <w:left w:val="single" w:sz="3" w:space="0" w:color="000000"/>
              <w:bottom w:val="single" w:sz="3" w:space="0" w:color="000000"/>
              <w:right w:val="single" w:sz="3" w:space="0" w:color="000000"/>
            </w:tcBorders>
            <w:vAlign w:val="bottom"/>
          </w:tcPr>
          <w:p w14:paraId="1542176B" w14:textId="77777777" w:rsidR="00165D83" w:rsidRPr="00163E6F" w:rsidRDefault="00165D83">
            <w:pPr>
              <w:autoSpaceDE w:val="0"/>
              <w:autoSpaceDN w:val="0"/>
              <w:adjustRightInd w:val="0"/>
              <w:jc w:val="left"/>
            </w:pPr>
            <w:r w:rsidRPr="00163E6F">
              <w:rPr>
                <w:sz w:val="22"/>
              </w:rPr>
              <w:t>Indonēzija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238925A9" w14:textId="77777777" w:rsidR="00165D83" w:rsidRPr="00163E6F" w:rsidRDefault="00165D83">
            <w:pPr>
              <w:autoSpaceDE w:val="0"/>
              <w:autoSpaceDN w:val="0"/>
              <w:adjustRightInd w:val="0"/>
              <w:jc w:val="center"/>
            </w:pPr>
            <w:r w:rsidRPr="00163E6F">
              <w:rPr>
                <w:sz w:val="22"/>
              </w:rPr>
              <w:t>207 000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5F768A4D" w14:textId="77777777" w:rsidR="00165D83" w:rsidRPr="00163E6F" w:rsidRDefault="00165D83">
            <w:pPr>
              <w:autoSpaceDE w:val="0"/>
              <w:autoSpaceDN w:val="0"/>
              <w:adjustRightInd w:val="0"/>
              <w:jc w:val="center"/>
            </w:pPr>
            <w:r w:rsidRPr="00163E6F">
              <w:rPr>
                <w:sz w:val="22"/>
              </w:rPr>
              <w:t>1 905 000</w:t>
            </w:r>
          </w:p>
        </w:tc>
        <w:tc>
          <w:tcPr>
            <w:tcW w:w="2126" w:type="dxa"/>
            <w:tcBorders>
              <w:top w:val="single" w:sz="3" w:space="0" w:color="000000"/>
              <w:left w:val="single" w:sz="3" w:space="0" w:color="000000"/>
              <w:bottom w:val="single" w:sz="3" w:space="0" w:color="000000"/>
              <w:right w:val="single" w:sz="3" w:space="0" w:color="000000"/>
            </w:tcBorders>
            <w:vAlign w:val="bottom"/>
          </w:tcPr>
          <w:p w14:paraId="61A497DE" w14:textId="77777777" w:rsidR="00165D83" w:rsidRPr="00163E6F" w:rsidRDefault="00165D83">
            <w:pPr>
              <w:autoSpaceDE w:val="0"/>
              <w:autoSpaceDN w:val="0"/>
              <w:adjustRightInd w:val="0"/>
              <w:jc w:val="center"/>
            </w:pPr>
            <w:r w:rsidRPr="00163E6F">
              <w:rPr>
                <w:sz w:val="22"/>
              </w:rPr>
              <w:t>11</w:t>
            </w:r>
          </w:p>
        </w:tc>
      </w:tr>
      <w:tr w:rsidR="00165D83" w:rsidRPr="00163E6F" w14:paraId="6646BA13"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shd w:val="clear" w:color="auto" w:fill="DBE5F1"/>
            <w:vAlign w:val="bottom"/>
          </w:tcPr>
          <w:p w14:paraId="2D45DCD6" w14:textId="77777777" w:rsidR="00165D83" w:rsidRPr="00163E6F" w:rsidRDefault="00165D83">
            <w:pPr>
              <w:autoSpaceDE w:val="0"/>
              <w:autoSpaceDN w:val="0"/>
              <w:adjustRightInd w:val="0"/>
              <w:jc w:val="center"/>
            </w:pPr>
            <w:r w:rsidRPr="00163E6F">
              <w:rPr>
                <w:bCs/>
                <w:sz w:val="22"/>
              </w:rPr>
              <w:t>7.</w:t>
            </w:r>
          </w:p>
        </w:tc>
        <w:tc>
          <w:tcPr>
            <w:tcW w:w="1531" w:type="dxa"/>
            <w:tcBorders>
              <w:top w:val="single" w:sz="3" w:space="0" w:color="000000"/>
              <w:left w:val="single" w:sz="3" w:space="0" w:color="000000"/>
              <w:bottom w:val="single" w:sz="3" w:space="0" w:color="000000"/>
              <w:right w:val="single" w:sz="3" w:space="0" w:color="000000"/>
            </w:tcBorders>
            <w:shd w:val="clear" w:color="auto" w:fill="DBE5F1"/>
            <w:vAlign w:val="bottom"/>
          </w:tcPr>
          <w:p w14:paraId="6C35D988" w14:textId="77777777" w:rsidR="00165D83" w:rsidRPr="00163E6F" w:rsidRDefault="00165D83">
            <w:pPr>
              <w:autoSpaceDE w:val="0"/>
              <w:autoSpaceDN w:val="0"/>
              <w:adjustRightInd w:val="0"/>
              <w:jc w:val="left"/>
            </w:pPr>
            <w:r w:rsidRPr="00163E6F">
              <w:rPr>
                <w:sz w:val="22"/>
              </w:rPr>
              <w:t>Latvija</w:t>
            </w:r>
          </w:p>
        </w:tc>
        <w:tc>
          <w:tcPr>
            <w:tcW w:w="1977" w:type="dxa"/>
            <w:tcBorders>
              <w:top w:val="single" w:sz="3" w:space="0" w:color="000000"/>
              <w:left w:val="single" w:sz="3" w:space="0" w:color="000000"/>
              <w:bottom w:val="single" w:sz="3" w:space="0" w:color="000000"/>
              <w:right w:val="single" w:sz="3" w:space="0" w:color="000000"/>
            </w:tcBorders>
            <w:shd w:val="clear" w:color="auto" w:fill="DBE5F1"/>
            <w:vAlign w:val="bottom"/>
          </w:tcPr>
          <w:p w14:paraId="68E71470" w14:textId="77777777" w:rsidR="00165D83" w:rsidRPr="00163E6F" w:rsidRDefault="00165D83" w:rsidP="007F4710">
            <w:pPr>
              <w:autoSpaceDE w:val="0"/>
              <w:autoSpaceDN w:val="0"/>
              <w:adjustRightInd w:val="0"/>
              <w:jc w:val="center"/>
            </w:pPr>
            <w:r w:rsidRPr="00163E6F">
              <w:rPr>
                <w:sz w:val="22"/>
              </w:rPr>
              <w:t>6</w:t>
            </w:r>
            <w:r w:rsidR="007F4710" w:rsidRPr="00163E6F">
              <w:rPr>
                <w:sz w:val="22"/>
              </w:rPr>
              <w:t>782</w:t>
            </w:r>
          </w:p>
        </w:tc>
        <w:tc>
          <w:tcPr>
            <w:tcW w:w="1985" w:type="dxa"/>
            <w:tcBorders>
              <w:top w:val="single" w:sz="3" w:space="0" w:color="000000"/>
              <w:left w:val="single" w:sz="3" w:space="0" w:color="000000"/>
              <w:bottom w:val="single" w:sz="3" w:space="0" w:color="000000"/>
              <w:right w:val="single" w:sz="3" w:space="0" w:color="000000"/>
            </w:tcBorders>
            <w:shd w:val="clear" w:color="auto" w:fill="DBE5F1"/>
            <w:vAlign w:val="bottom"/>
          </w:tcPr>
          <w:p w14:paraId="04080B65" w14:textId="77777777" w:rsidR="00165D83" w:rsidRPr="00163E6F" w:rsidRDefault="00165D83">
            <w:pPr>
              <w:autoSpaceDE w:val="0"/>
              <w:autoSpaceDN w:val="0"/>
              <w:adjustRightInd w:val="0"/>
              <w:jc w:val="center"/>
            </w:pPr>
            <w:r w:rsidRPr="00163E6F">
              <w:rPr>
                <w:sz w:val="22"/>
              </w:rPr>
              <w:t>64589</w:t>
            </w:r>
          </w:p>
        </w:tc>
        <w:tc>
          <w:tcPr>
            <w:tcW w:w="2126" w:type="dxa"/>
            <w:tcBorders>
              <w:top w:val="single" w:sz="3" w:space="0" w:color="000000"/>
              <w:left w:val="single" w:sz="3" w:space="0" w:color="000000"/>
              <w:bottom w:val="single" w:sz="3" w:space="0" w:color="000000"/>
              <w:right w:val="single" w:sz="3" w:space="0" w:color="000000"/>
            </w:tcBorders>
            <w:shd w:val="clear" w:color="auto" w:fill="DBE5F1"/>
            <w:vAlign w:val="bottom"/>
          </w:tcPr>
          <w:p w14:paraId="43A9DB16" w14:textId="77777777" w:rsidR="00165D83" w:rsidRPr="00163E6F" w:rsidRDefault="00165D83">
            <w:pPr>
              <w:autoSpaceDE w:val="0"/>
              <w:autoSpaceDN w:val="0"/>
              <w:adjustRightInd w:val="0"/>
              <w:jc w:val="center"/>
            </w:pPr>
            <w:r w:rsidRPr="00163E6F">
              <w:rPr>
                <w:sz w:val="22"/>
              </w:rPr>
              <w:t>10</w:t>
            </w:r>
            <w:r w:rsidR="007F4710" w:rsidRPr="00163E6F">
              <w:rPr>
                <w:sz w:val="22"/>
              </w:rPr>
              <w:t>,5</w:t>
            </w:r>
          </w:p>
        </w:tc>
      </w:tr>
      <w:tr w:rsidR="00165D83" w:rsidRPr="00163E6F" w14:paraId="71FD5752"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425D5800" w14:textId="77777777" w:rsidR="00165D83" w:rsidRPr="00163E6F" w:rsidRDefault="00165D83">
            <w:pPr>
              <w:autoSpaceDE w:val="0"/>
              <w:autoSpaceDN w:val="0"/>
              <w:adjustRightInd w:val="0"/>
              <w:jc w:val="center"/>
            </w:pPr>
            <w:r w:rsidRPr="00163E6F">
              <w:rPr>
                <w:bCs/>
                <w:sz w:val="22"/>
              </w:rPr>
              <w:t>8.</w:t>
            </w:r>
          </w:p>
        </w:tc>
        <w:tc>
          <w:tcPr>
            <w:tcW w:w="1531" w:type="dxa"/>
            <w:tcBorders>
              <w:top w:val="single" w:sz="3" w:space="0" w:color="000000"/>
              <w:left w:val="single" w:sz="3" w:space="0" w:color="000000"/>
              <w:bottom w:val="single" w:sz="3" w:space="0" w:color="000000"/>
              <w:right w:val="single" w:sz="3" w:space="0" w:color="000000"/>
            </w:tcBorders>
            <w:vAlign w:val="bottom"/>
          </w:tcPr>
          <w:p w14:paraId="1205BD76" w14:textId="77777777" w:rsidR="00165D83" w:rsidRPr="00163E6F" w:rsidRDefault="00165D83">
            <w:pPr>
              <w:autoSpaceDE w:val="0"/>
              <w:autoSpaceDN w:val="0"/>
              <w:adjustRightInd w:val="0"/>
              <w:jc w:val="left"/>
            </w:pPr>
            <w:r w:rsidRPr="00163E6F">
              <w:rPr>
                <w:sz w:val="22"/>
              </w:rPr>
              <w:t>Krievija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014219F5" w14:textId="77777777" w:rsidR="00165D83" w:rsidRPr="00163E6F" w:rsidRDefault="00165D83">
            <w:pPr>
              <w:autoSpaceDE w:val="0"/>
              <w:autoSpaceDN w:val="0"/>
              <w:adjustRightInd w:val="0"/>
              <w:jc w:val="center"/>
            </w:pPr>
            <w:r w:rsidRPr="00163E6F">
              <w:rPr>
                <w:sz w:val="22"/>
              </w:rPr>
              <w:t>1 390 000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5FEA876C" w14:textId="77777777" w:rsidR="00165D83" w:rsidRPr="00163E6F" w:rsidRDefault="00165D83">
            <w:pPr>
              <w:autoSpaceDE w:val="0"/>
              <w:autoSpaceDN w:val="0"/>
              <w:adjustRightInd w:val="0"/>
              <w:jc w:val="center"/>
            </w:pPr>
            <w:r w:rsidRPr="00163E6F">
              <w:rPr>
                <w:sz w:val="22"/>
              </w:rPr>
              <w:t>17100000</w:t>
            </w:r>
          </w:p>
        </w:tc>
        <w:tc>
          <w:tcPr>
            <w:tcW w:w="2126" w:type="dxa"/>
            <w:tcBorders>
              <w:top w:val="single" w:sz="3" w:space="0" w:color="000000"/>
              <w:left w:val="single" w:sz="3" w:space="0" w:color="000000"/>
              <w:bottom w:val="single" w:sz="3" w:space="0" w:color="000000"/>
              <w:right w:val="single" w:sz="3" w:space="0" w:color="000000"/>
            </w:tcBorders>
            <w:vAlign w:val="bottom"/>
          </w:tcPr>
          <w:p w14:paraId="435A15A6" w14:textId="77777777" w:rsidR="00165D83" w:rsidRPr="00163E6F" w:rsidRDefault="00165D83">
            <w:pPr>
              <w:autoSpaceDE w:val="0"/>
              <w:autoSpaceDN w:val="0"/>
              <w:adjustRightInd w:val="0"/>
              <w:jc w:val="center"/>
            </w:pPr>
            <w:r w:rsidRPr="00163E6F">
              <w:rPr>
                <w:sz w:val="22"/>
              </w:rPr>
              <w:t>8</w:t>
            </w:r>
          </w:p>
        </w:tc>
      </w:tr>
      <w:tr w:rsidR="00165D83" w:rsidRPr="00163E6F" w14:paraId="7F568E59"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1F0BD2B6" w14:textId="77777777" w:rsidR="00165D83" w:rsidRPr="00163E6F" w:rsidRDefault="00165D83">
            <w:pPr>
              <w:autoSpaceDE w:val="0"/>
              <w:autoSpaceDN w:val="0"/>
              <w:adjustRightInd w:val="0"/>
              <w:jc w:val="center"/>
            </w:pPr>
            <w:r w:rsidRPr="00163E6F">
              <w:rPr>
                <w:bCs/>
                <w:sz w:val="22"/>
              </w:rPr>
              <w:t>9.</w:t>
            </w:r>
          </w:p>
        </w:tc>
        <w:tc>
          <w:tcPr>
            <w:tcW w:w="1531" w:type="dxa"/>
            <w:tcBorders>
              <w:top w:val="single" w:sz="3" w:space="0" w:color="000000"/>
              <w:left w:val="single" w:sz="3" w:space="0" w:color="000000"/>
              <w:bottom w:val="single" w:sz="3" w:space="0" w:color="000000"/>
              <w:right w:val="single" w:sz="3" w:space="0" w:color="000000"/>
            </w:tcBorders>
            <w:vAlign w:val="bottom"/>
          </w:tcPr>
          <w:p w14:paraId="239F5594" w14:textId="77777777" w:rsidR="00165D83" w:rsidRPr="00163E6F" w:rsidRDefault="00165D83">
            <w:pPr>
              <w:autoSpaceDE w:val="0"/>
              <w:autoSpaceDN w:val="0"/>
              <w:adjustRightInd w:val="0"/>
              <w:jc w:val="left"/>
            </w:pPr>
            <w:r w:rsidRPr="00163E6F">
              <w:rPr>
                <w:sz w:val="22"/>
              </w:rPr>
              <w:t>Norvēģija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32A2D0DB" w14:textId="77777777" w:rsidR="00165D83" w:rsidRPr="00163E6F" w:rsidRDefault="00165D83">
            <w:pPr>
              <w:autoSpaceDE w:val="0"/>
              <w:autoSpaceDN w:val="0"/>
              <w:adjustRightInd w:val="0"/>
              <w:jc w:val="center"/>
            </w:pPr>
            <w:r w:rsidRPr="00163E6F">
              <w:rPr>
                <w:sz w:val="22"/>
              </w:rPr>
              <w:t>28 000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2B331CFA" w14:textId="77777777" w:rsidR="00165D83" w:rsidRPr="00163E6F" w:rsidRDefault="00165D83">
            <w:pPr>
              <w:autoSpaceDE w:val="0"/>
              <w:autoSpaceDN w:val="0"/>
              <w:adjustRightInd w:val="0"/>
              <w:jc w:val="center"/>
            </w:pPr>
            <w:r w:rsidRPr="00163E6F">
              <w:rPr>
                <w:sz w:val="22"/>
              </w:rPr>
              <w:t>385178</w:t>
            </w:r>
          </w:p>
        </w:tc>
        <w:tc>
          <w:tcPr>
            <w:tcW w:w="2126" w:type="dxa"/>
            <w:tcBorders>
              <w:top w:val="single" w:sz="3" w:space="0" w:color="000000"/>
              <w:left w:val="single" w:sz="3" w:space="0" w:color="000000"/>
              <w:bottom w:val="single" w:sz="3" w:space="0" w:color="000000"/>
              <w:right w:val="single" w:sz="3" w:space="0" w:color="000000"/>
            </w:tcBorders>
            <w:vAlign w:val="bottom"/>
          </w:tcPr>
          <w:p w14:paraId="62EB7E3B" w14:textId="77777777" w:rsidR="00165D83" w:rsidRPr="00163E6F" w:rsidRDefault="00165D83">
            <w:pPr>
              <w:autoSpaceDE w:val="0"/>
              <w:autoSpaceDN w:val="0"/>
              <w:adjustRightInd w:val="0"/>
              <w:jc w:val="center"/>
            </w:pPr>
            <w:r w:rsidRPr="00163E6F">
              <w:rPr>
                <w:sz w:val="22"/>
              </w:rPr>
              <w:t>7</w:t>
            </w:r>
          </w:p>
        </w:tc>
      </w:tr>
      <w:tr w:rsidR="00165D83" w:rsidRPr="00163E6F" w14:paraId="3DC74C43"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369FE245" w14:textId="77777777" w:rsidR="00165D83" w:rsidRPr="00163E6F" w:rsidRDefault="00165D83">
            <w:pPr>
              <w:autoSpaceDE w:val="0"/>
              <w:autoSpaceDN w:val="0"/>
              <w:adjustRightInd w:val="0"/>
              <w:jc w:val="center"/>
            </w:pPr>
            <w:r w:rsidRPr="00163E6F">
              <w:rPr>
                <w:bCs/>
                <w:sz w:val="22"/>
              </w:rPr>
              <w:t>10.</w:t>
            </w:r>
          </w:p>
        </w:tc>
        <w:tc>
          <w:tcPr>
            <w:tcW w:w="1531" w:type="dxa"/>
            <w:tcBorders>
              <w:top w:val="single" w:sz="3" w:space="0" w:color="000000"/>
              <w:left w:val="single" w:sz="3" w:space="0" w:color="000000"/>
              <w:bottom w:val="single" w:sz="3" w:space="0" w:color="000000"/>
              <w:right w:val="single" w:sz="3" w:space="0" w:color="000000"/>
            </w:tcBorders>
            <w:vAlign w:val="bottom"/>
          </w:tcPr>
          <w:p w14:paraId="2EB8474F" w14:textId="77777777" w:rsidR="00165D83" w:rsidRPr="00163E6F" w:rsidRDefault="00165D83">
            <w:pPr>
              <w:autoSpaceDE w:val="0"/>
              <w:autoSpaceDN w:val="0"/>
              <w:adjustRightInd w:val="0"/>
              <w:jc w:val="left"/>
            </w:pPr>
            <w:r w:rsidRPr="00163E6F">
              <w:rPr>
                <w:sz w:val="22"/>
              </w:rPr>
              <w:t>Lielbritānija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6E947E29" w14:textId="77777777" w:rsidR="00165D83" w:rsidRPr="00163E6F" w:rsidRDefault="00165D83">
            <w:pPr>
              <w:autoSpaceDE w:val="0"/>
              <w:autoSpaceDN w:val="0"/>
              <w:adjustRightInd w:val="0"/>
              <w:jc w:val="center"/>
            </w:pPr>
            <w:r w:rsidRPr="00163E6F">
              <w:rPr>
                <w:sz w:val="22"/>
              </w:rPr>
              <w:t>17 500</w:t>
            </w:r>
          </w:p>
        </w:tc>
        <w:tc>
          <w:tcPr>
            <w:tcW w:w="1985" w:type="dxa"/>
            <w:tcBorders>
              <w:top w:val="single" w:sz="3" w:space="0" w:color="000000"/>
              <w:left w:val="single" w:sz="3" w:space="0" w:color="000000"/>
              <w:bottom w:val="single" w:sz="3" w:space="0" w:color="000000"/>
              <w:right w:val="single" w:sz="3" w:space="0" w:color="000000"/>
            </w:tcBorders>
            <w:vAlign w:val="bottom"/>
          </w:tcPr>
          <w:p w14:paraId="51B8CA47" w14:textId="77777777" w:rsidR="00165D83" w:rsidRPr="00163E6F" w:rsidRDefault="00165D83">
            <w:pPr>
              <w:autoSpaceDE w:val="0"/>
              <w:autoSpaceDN w:val="0"/>
              <w:adjustRightInd w:val="0"/>
              <w:jc w:val="center"/>
            </w:pPr>
            <w:r w:rsidRPr="00163E6F">
              <w:rPr>
                <w:sz w:val="22"/>
              </w:rPr>
              <w:t>243610</w:t>
            </w:r>
          </w:p>
        </w:tc>
        <w:tc>
          <w:tcPr>
            <w:tcW w:w="2126" w:type="dxa"/>
            <w:tcBorders>
              <w:top w:val="single" w:sz="3" w:space="0" w:color="000000"/>
              <w:left w:val="single" w:sz="3" w:space="0" w:color="000000"/>
              <w:bottom w:val="single" w:sz="3" w:space="0" w:color="000000"/>
              <w:right w:val="single" w:sz="3" w:space="0" w:color="000000"/>
            </w:tcBorders>
            <w:vAlign w:val="bottom"/>
          </w:tcPr>
          <w:p w14:paraId="3934E879" w14:textId="77777777" w:rsidR="00165D83" w:rsidRPr="00163E6F" w:rsidRDefault="00165D83">
            <w:pPr>
              <w:autoSpaceDE w:val="0"/>
              <w:autoSpaceDN w:val="0"/>
              <w:adjustRightInd w:val="0"/>
              <w:jc w:val="center"/>
            </w:pPr>
            <w:r w:rsidRPr="00163E6F">
              <w:rPr>
                <w:sz w:val="22"/>
              </w:rPr>
              <w:t>7</w:t>
            </w:r>
          </w:p>
        </w:tc>
      </w:tr>
      <w:tr w:rsidR="00165D83" w:rsidRPr="00163E6F" w14:paraId="3883389F"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21C58C2B" w14:textId="77777777" w:rsidR="00165D83" w:rsidRPr="00163E6F" w:rsidRDefault="00165D83">
            <w:pPr>
              <w:autoSpaceDE w:val="0"/>
              <w:autoSpaceDN w:val="0"/>
              <w:adjustRightInd w:val="0"/>
              <w:jc w:val="center"/>
            </w:pPr>
            <w:r w:rsidRPr="00163E6F">
              <w:rPr>
                <w:bCs/>
                <w:sz w:val="22"/>
              </w:rPr>
              <w:t>11.</w:t>
            </w:r>
          </w:p>
        </w:tc>
        <w:tc>
          <w:tcPr>
            <w:tcW w:w="1531" w:type="dxa"/>
            <w:tcBorders>
              <w:top w:val="single" w:sz="3" w:space="0" w:color="000000"/>
              <w:left w:val="single" w:sz="3" w:space="0" w:color="000000"/>
              <w:bottom w:val="single" w:sz="3" w:space="0" w:color="000000"/>
              <w:right w:val="single" w:sz="3" w:space="0" w:color="000000"/>
            </w:tcBorders>
            <w:vAlign w:val="bottom"/>
          </w:tcPr>
          <w:p w14:paraId="329F21B1" w14:textId="77777777" w:rsidR="00165D83" w:rsidRPr="00163E6F" w:rsidRDefault="00165D83">
            <w:pPr>
              <w:autoSpaceDE w:val="0"/>
              <w:autoSpaceDN w:val="0"/>
              <w:adjustRightInd w:val="0"/>
              <w:jc w:val="left"/>
            </w:pPr>
            <w:r w:rsidRPr="00163E6F">
              <w:rPr>
                <w:sz w:val="22"/>
              </w:rPr>
              <w:t>ASV</w:t>
            </w:r>
          </w:p>
        </w:tc>
        <w:tc>
          <w:tcPr>
            <w:tcW w:w="1977" w:type="dxa"/>
            <w:tcBorders>
              <w:top w:val="single" w:sz="3" w:space="0" w:color="000000"/>
              <w:left w:val="single" w:sz="3" w:space="0" w:color="000000"/>
              <w:bottom w:val="single" w:sz="3" w:space="0" w:color="000000"/>
              <w:right w:val="single" w:sz="3" w:space="0" w:color="000000"/>
            </w:tcBorders>
            <w:vAlign w:val="bottom"/>
          </w:tcPr>
          <w:p w14:paraId="1DDC5580" w14:textId="77777777" w:rsidR="00165D83" w:rsidRPr="00163E6F" w:rsidRDefault="00165D83">
            <w:pPr>
              <w:autoSpaceDE w:val="0"/>
              <w:autoSpaceDN w:val="0"/>
              <w:adjustRightInd w:val="0"/>
              <w:jc w:val="center"/>
            </w:pPr>
            <w:r w:rsidRPr="00163E6F">
              <w:rPr>
                <w:sz w:val="22"/>
              </w:rPr>
              <w:t>625 000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28C8CCF1" w14:textId="77777777" w:rsidR="00165D83" w:rsidRPr="00163E6F" w:rsidRDefault="00165D83">
            <w:pPr>
              <w:autoSpaceDE w:val="0"/>
              <w:autoSpaceDN w:val="0"/>
              <w:adjustRightInd w:val="0"/>
              <w:jc w:val="center"/>
            </w:pPr>
            <w:r w:rsidRPr="00163E6F">
              <w:rPr>
                <w:sz w:val="22"/>
              </w:rPr>
              <w:t>9834000</w:t>
            </w:r>
          </w:p>
        </w:tc>
        <w:tc>
          <w:tcPr>
            <w:tcW w:w="2126" w:type="dxa"/>
            <w:tcBorders>
              <w:top w:val="single" w:sz="3" w:space="0" w:color="000000"/>
              <w:left w:val="single" w:sz="3" w:space="0" w:color="000000"/>
              <w:bottom w:val="single" w:sz="3" w:space="0" w:color="000000"/>
              <w:right w:val="single" w:sz="3" w:space="0" w:color="000000"/>
            </w:tcBorders>
            <w:vAlign w:val="bottom"/>
          </w:tcPr>
          <w:p w14:paraId="3A6B114B" w14:textId="77777777" w:rsidR="00165D83" w:rsidRPr="00163E6F" w:rsidRDefault="00165D83">
            <w:pPr>
              <w:autoSpaceDE w:val="0"/>
              <w:autoSpaceDN w:val="0"/>
              <w:adjustRightInd w:val="0"/>
              <w:jc w:val="center"/>
            </w:pPr>
            <w:r w:rsidRPr="00163E6F">
              <w:rPr>
                <w:sz w:val="22"/>
              </w:rPr>
              <w:t>6</w:t>
            </w:r>
          </w:p>
        </w:tc>
      </w:tr>
      <w:tr w:rsidR="00165D83" w:rsidRPr="00163E6F" w14:paraId="1E4420A8"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1D200574" w14:textId="77777777" w:rsidR="00165D83" w:rsidRPr="00163E6F" w:rsidRDefault="00165D83">
            <w:pPr>
              <w:autoSpaceDE w:val="0"/>
              <w:autoSpaceDN w:val="0"/>
              <w:adjustRightInd w:val="0"/>
              <w:jc w:val="center"/>
            </w:pPr>
            <w:r w:rsidRPr="00163E6F">
              <w:rPr>
                <w:bCs/>
                <w:sz w:val="22"/>
              </w:rPr>
              <w:t>12.</w:t>
            </w:r>
          </w:p>
        </w:tc>
        <w:tc>
          <w:tcPr>
            <w:tcW w:w="1531" w:type="dxa"/>
            <w:tcBorders>
              <w:top w:val="single" w:sz="3" w:space="0" w:color="000000"/>
              <w:left w:val="single" w:sz="3" w:space="0" w:color="000000"/>
              <w:bottom w:val="single" w:sz="3" w:space="0" w:color="000000"/>
              <w:right w:val="single" w:sz="3" w:space="0" w:color="000000"/>
            </w:tcBorders>
            <w:vAlign w:val="bottom"/>
          </w:tcPr>
          <w:p w14:paraId="707DF6E0" w14:textId="77777777" w:rsidR="00165D83" w:rsidRPr="00163E6F" w:rsidRDefault="00165D83">
            <w:pPr>
              <w:autoSpaceDE w:val="0"/>
              <w:autoSpaceDN w:val="0"/>
              <w:adjustRightInd w:val="0"/>
              <w:jc w:val="left"/>
            </w:pPr>
            <w:r w:rsidRPr="00163E6F">
              <w:rPr>
                <w:sz w:val="22"/>
              </w:rPr>
              <w:t>Lietuva</w:t>
            </w:r>
          </w:p>
        </w:tc>
        <w:tc>
          <w:tcPr>
            <w:tcW w:w="1977" w:type="dxa"/>
            <w:tcBorders>
              <w:top w:val="single" w:sz="3" w:space="0" w:color="000000"/>
              <w:left w:val="single" w:sz="3" w:space="0" w:color="000000"/>
              <w:bottom w:val="single" w:sz="3" w:space="0" w:color="000000"/>
              <w:right w:val="single" w:sz="3" w:space="0" w:color="000000"/>
            </w:tcBorders>
            <w:vAlign w:val="bottom"/>
          </w:tcPr>
          <w:p w14:paraId="2B74D102" w14:textId="77777777" w:rsidR="00165D83" w:rsidRPr="00163E6F" w:rsidRDefault="00165D83">
            <w:pPr>
              <w:autoSpaceDE w:val="0"/>
              <w:autoSpaceDN w:val="0"/>
              <w:adjustRightInd w:val="0"/>
              <w:jc w:val="center"/>
            </w:pPr>
            <w:r w:rsidRPr="00163E6F">
              <w:rPr>
                <w:sz w:val="22"/>
              </w:rPr>
              <w:t>3 500</w:t>
            </w:r>
          </w:p>
        </w:tc>
        <w:tc>
          <w:tcPr>
            <w:tcW w:w="1985" w:type="dxa"/>
            <w:tcBorders>
              <w:top w:val="single" w:sz="3" w:space="0" w:color="000000"/>
              <w:left w:val="single" w:sz="3" w:space="0" w:color="000000"/>
              <w:bottom w:val="single" w:sz="3" w:space="0" w:color="000000"/>
              <w:right w:val="single" w:sz="3" w:space="0" w:color="000000"/>
            </w:tcBorders>
            <w:vAlign w:val="bottom"/>
          </w:tcPr>
          <w:p w14:paraId="3B830747" w14:textId="77777777" w:rsidR="00165D83" w:rsidRPr="00163E6F" w:rsidRDefault="00165D83">
            <w:pPr>
              <w:autoSpaceDE w:val="0"/>
              <w:autoSpaceDN w:val="0"/>
              <w:adjustRightInd w:val="0"/>
              <w:jc w:val="center"/>
            </w:pPr>
            <w:r w:rsidRPr="00163E6F">
              <w:rPr>
                <w:sz w:val="22"/>
              </w:rPr>
              <w:t>65300</w:t>
            </w:r>
          </w:p>
        </w:tc>
        <w:tc>
          <w:tcPr>
            <w:tcW w:w="2126" w:type="dxa"/>
            <w:tcBorders>
              <w:top w:val="single" w:sz="3" w:space="0" w:color="000000"/>
              <w:left w:val="single" w:sz="3" w:space="0" w:color="000000"/>
              <w:bottom w:val="single" w:sz="3" w:space="0" w:color="000000"/>
              <w:right w:val="single" w:sz="3" w:space="0" w:color="000000"/>
            </w:tcBorders>
            <w:vAlign w:val="bottom"/>
          </w:tcPr>
          <w:p w14:paraId="2CBB088F" w14:textId="77777777" w:rsidR="00165D83" w:rsidRPr="00163E6F" w:rsidRDefault="00165D83">
            <w:pPr>
              <w:autoSpaceDE w:val="0"/>
              <w:autoSpaceDN w:val="0"/>
              <w:adjustRightInd w:val="0"/>
              <w:jc w:val="center"/>
            </w:pPr>
            <w:r w:rsidRPr="00163E6F">
              <w:rPr>
                <w:sz w:val="22"/>
              </w:rPr>
              <w:t>5</w:t>
            </w:r>
          </w:p>
        </w:tc>
      </w:tr>
      <w:tr w:rsidR="00165D83" w:rsidRPr="00163E6F" w14:paraId="34E513A5"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36A5842E" w14:textId="77777777" w:rsidR="00165D83" w:rsidRPr="00163E6F" w:rsidRDefault="00165D83">
            <w:pPr>
              <w:autoSpaceDE w:val="0"/>
              <w:autoSpaceDN w:val="0"/>
              <w:adjustRightInd w:val="0"/>
              <w:jc w:val="center"/>
            </w:pPr>
            <w:r w:rsidRPr="00163E6F">
              <w:rPr>
                <w:bCs/>
                <w:sz w:val="22"/>
              </w:rPr>
              <w:t>13.</w:t>
            </w:r>
          </w:p>
        </w:tc>
        <w:tc>
          <w:tcPr>
            <w:tcW w:w="1531" w:type="dxa"/>
            <w:tcBorders>
              <w:top w:val="single" w:sz="3" w:space="0" w:color="000000"/>
              <w:left w:val="single" w:sz="3" w:space="0" w:color="000000"/>
              <w:bottom w:val="single" w:sz="3" w:space="0" w:color="000000"/>
              <w:right w:val="single" w:sz="3" w:space="0" w:color="000000"/>
            </w:tcBorders>
            <w:vAlign w:val="bottom"/>
          </w:tcPr>
          <w:p w14:paraId="06CCA691" w14:textId="77777777" w:rsidR="00165D83" w:rsidRPr="00163E6F" w:rsidRDefault="00165D83">
            <w:pPr>
              <w:autoSpaceDE w:val="0"/>
              <w:autoSpaceDN w:val="0"/>
              <w:adjustRightInd w:val="0"/>
              <w:jc w:val="left"/>
            </w:pPr>
            <w:r w:rsidRPr="00163E6F">
              <w:rPr>
                <w:sz w:val="22"/>
              </w:rPr>
              <w:t>Vācija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741EB195" w14:textId="77777777" w:rsidR="00165D83" w:rsidRPr="00163E6F" w:rsidRDefault="00165D83">
            <w:pPr>
              <w:autoSpaceDE w:val="0"/>
              <w:autoSpaceDN w:val="0"/>
              <w:adjustRightInd w:val="0"/>
              <w:jc w:val="center"/>
            </w:pPr>
            <w:r w:rsidRPr="00163E6F">
              <w:rPr>
                <w:sz w:val="22"/>
              </w:rPr>
              <w:t>14 000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588FA813" w14:textId="77777777" w:rsidR="00165D83" w:rsidRPr="00163E6F" w:rsidRDefault="00165D83">
            <w:pPr>
              <w:autoSpaceDE w:val="0"/>
              <w:autoSpaceDN w:val="0"/>
              <w:adjustRightInd w:val="0"/>
              <w:jc w:val="center"/>
            </w:pPr>
            <w:r w:rsidRPr="00163E6F">
              <w:rPr>
                <w:sz w:val="22"/>
              </w:rPr>
              <w:t>357376</w:t>
            </w:r>
          </w:p>
        </w:tc>
        <w:tc>
          <w:tcPr>
            <w:tcW w:w="2126" w:type="dxa"/>
            <w:tcBorders>
              <w:top w:val="single" w:sz="3" w:space="0" w:color="000000"/>
              <w:left w:val="single" w:sz="3" w:space="0" w:color="000000"/>
              <w:bottom w:val="single" w:sz="3" w:space="0" w:color="000000"/>
              <w:right w:val="single" w:sz="3" w:space="0" w:color="000000"/>
            </w:tcBorders>
            <w:vAlign w:val="bottom"/>
          </w:tcPr>
          <w:p w14:paraId="1A2FBFFD" w14:textId="77777777" w:rsidR="00165D83" w:rsidRPr="00163E6F" w:rsidRDefault="00165D83">
            <w:pPr>
              <w:autoSpaceDE w:val="0"/>
              <w:autoSpaceDN w:val="0"/>
              <w:adjustRightInd w:val="0"/>
              <w:jc w:val="center"/>
            </w:pPr>
            <w:r w:rsidRPr="00163E6F">
              <w:rPr>
                <w:sz w:val="22"/>
              </w:rPr>
              <w:t>4</w:t>
            </w:r>
          </w:p>
        </w:tc>
      </w:tr>
      <w:tr w:rsidR="00165D83" w:rsidRPr="00163E6F" w14:paraId="0DC4699D"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532F6666" w14:textId="77777777" w:rsidR="00165D83" w:rsidRPr="00163E6F" w:rsidRDefault="00165D83">
            <w:pPr>
              <w:autoSpaceDE w:val="0"/>
              <w:autoSpaceDN w:val="0"/>
              <w:adjustRightInd w:val="0"/>
              <w:jc w:val="center"/>
            </w:pPr>
            <w:r w:rsidRPr="00163E6F">
              <w:rPr>
                <w:bCs/>
                <w:sz w:val="22"/>
              </w:rPr>
              <w:t>14.</w:t>
            </w:r>
          </w:p>
        </w:tc>
        <w:tc>
          <w:tcPr>
            <w:tcW w:w="1531" w:type="dxa"/>
            <w:tcBorders>
              <w:top w:val="single" w:sz="3" w:space="0" w:color="000000"/>
              <w:left w:val="single" w:sz="3" w:space="0" w:color="000000"/>
              <w:bottom w:val="single" w:sz="3" w:space="0" w:color="000000"/>
              <w:right w:val="single" w:sz="3" w:space="0" w:color="000000"/>
            </w:tcBorders>
            <w:vAlign w:val="bottom"/>
          </w:tcPr>
          <w:p w14:paraId="5C783F81" w14:textId="77777777" w:rsidR="00165D83" w:rsidRPr="00163E6F" w:rsidRDefault="00165D83">
            <w:pPr>
              <w:autoSpaceDE w:val="0"/>
              <w:autoSpaceDN w:val="0"/>
              <w:adjustRightInd w:val="0"/>
              <w:jc w:val="left"/>
            </w:pPr>
            <w:r w:rsidRPr="00163E6F">
              <w:rPr>
                <w:sz w:val="22"/>
              </w:rPr>
              <w:t>Polija</w:t>
            </w:r>
          </w:p>
        </w:tc>
        <w:tc>
          <w:tcPr>
            <w:tcW w:w="1977" w:type="dxa"/>
            <w:tcBorders>
              <w:top w:val="single" w:sz="3" w:space="0" w:color="000000"/>
              <w:left w:val="single" w:sz="3" w:space="0" w:color="000000"/>
              <w:bottom w:val="single" w:sz="3" w:space="0" w:color="000000"/>
              <w:right w:val="single" w:sz="3" w:space="0" w:color="000000"/>
            </w:tcBorders>
            <w:vAlign w:val="bottom"/>
          </w:tcPr>
          <w:p w14:paraId="0C2919A6" w14:textId="77777777" w:rsidR="00165D83" w:rsidRPr="00163E6F" w:rsidRDefault="00165D83">
            <w:pPr>
              <w:autoSpaceDE w:val="0"/>
              <w:autoSpaceDN w:val="0"/>
              <w:adjustRightInd w:val="0"/>
              <w:jc w:val="center"/>
            </w:pPr>
            <w:r w:rsidRPr="00163E6F">
              <w:rPr>
                <w:sz w:val="22"/>
              </w:rPr>
              <w:t>12 000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1FC9AA5B" w14:textId="77777777" w:rsidR="00165D83" w:rsidRPr="00163E6F" w:rsidRDefault="00165D83">
            <w:pPr>
              <w:autoSpaceDE w:val="0"/>
              <w:autoSpaceDN w:val="0"/>
              <w:adjustRightInd w:val="0"/>
              <w:jc w:val="center"/>
            </w:pPr>
            <w:r w:rsidRPr="00163E6F">
              <w:rPr>
                <w:sz w:val="22"/>
              </w:rPr>
              <w:t>312679</w:t>
            </w:r>
          </w:p>
        </w:tc>
        <w:tc>
          <w:tcPr>
            <w:tcW w:w="2126" w:type="dxa"/>
            <w:tcBorders>
              <w:top w:val="single" w:sz="3" w:space="0" w:color="000000"/>
              <w:left w:val="single" w:sz="3" w:space="0" w:color="000000"/>
              <w:bottom w:val="single" w:sz="3" w:space="0" w:color="000000"/>
              <w:right w:val="single" w:sz="3" w:space="0" w:color="000000"/>
            </w:tcBorders>
            <w:vAlign w:val="bottom"/>
          </w:tcPr>
          <w:p w14:paraId="16992F9D" w14:textId="77777777" w:rsidR="00165D83" w:rsidRPr="00163E6F" w:rsidRDefault="00165D83">
            <w:pPr>
              <w:autoSpaceDE w:val="0"/>
              <w:autoSpaceDN w:val="0"/>
              <w:adjustRightInd w:val="0"/>
              <w:jc w:val="center"/>
            </w:pPr>
            <w:r w:rsidRPr="00163E6F">
              <w:rPr>
                <w:sz w:val="22"/>
              </w:rPr>
              <w:t>4</w:t>
            </w:r>
          </w:p>
        </w:tc>
      </w:tr>
      <w:tr w:rsidR="00165D83" w:rsidRPr="00163E6F" w14:paraId="65B3EDD9" w14:textId="77777777" w:rsidTr="009120E9">
        <w:trPr>
          <w:trHeight w:val="300"/>
          <w:jc w:val="center"/>
        </w:trPr>
        <w:tc>
          <w:tcPr>
            <w:tcW w:w="822" w:type="dxa"/>
            <w:tcBorders>
              <w:top w:val="single" w:sz="3" w:space="0" w:color="000000"/>
              <w:left w:val="single" w:sz="3" w:space="0" w:color="000000"/>
              <w:bottom w:val="single" w:sz="3" w:space="0" w:color="000000"/>
              <w:right w:val="single" w:sz="3" w:space="0" w:color="000000"/>
            </w:tcBorders>
            <w:vAlign w:val="bottom"/>
          </w:tcPr>
          <w:p w14:paraId="43145BC4" w14:textId="77777777" w:rsidR="00165D83" w:rsidRPr="00163E6F" w:rsidRDefault="00165D83">
            <w:pPr>
              <w:autoSpaceDE w:val="0"/>
              <w:autoSpaceDN w:val="0"/>
              <w:adjustRightInd w:val="0"/>
              <w:jc w:val="center"/>
            </w:pPr>
            <w:r w:rsidRPr="00163E6F">
              <w:rPr>
                <w:bCs/>
                <w:sz w:val="22"/>
              </w:rPr>
              <w:t>15.</w:t>
            </w:r>
          </w:p>
        </w:tc>
        <w:tc>
          <w:tcPr>
            <w:tcW w:w="1531" w:type="dxa"/>
            <w:tcBorders>
              <w:top w:val="single" w:sz="3" w:space="0" w:color="000000"/>
              <w:left w:val="single" w:sz="3" w:space="0" w:color="000000"/>
              <w:bottom w:val="single" w:sz="3" w:space="0" w:color="000000"/>
              <w:right w:val="single" w:sz="3" w:space="0" w:color="000000"/>
            </w:tcBorders>
            <w:vAlign w:val="bottom"/>
          </w:tcPr>
          <w:p w14:paraId="7F113CB9" w14:textId="77777777" w:rsidR="00165D83" w:rsidRPr="00163E6F" w:rsidRDefault="00165D83">
            <w:pPr>
              <w:autoSpaceDE w:val="0"/>
              <w:autoSpaceDN w:val="0"/>
              <w:adjustRightInd w:val="0"/>
              <w:jc w:val="left"/>
            </w:pPr>
            <w:r w:rsidRPr="00163E6F">
              <w:rPr>
                <w:sz w:val="22"/>
              </w:rPr>
              <w:t>Ukraina</w:t>
            </w:r>
          </w:p>
        </w:tc>
        <w:tc>
          <w:tcPr>
            <w:tcW w:w="1977" w:type="dxa"/>
            <w:tcBorders>
              <w:top w:val="single" w:sz="3" w:space="0" w:color="000000"/>
              <w:left w:val="single" w:sz="3" w:space="0" w:color="000000"/>
              <w:bottom w:val="single" w:sz="3" w:space="0" w:color="000000"/>
              <w:right w:val="single" w:sz="3" w:space="0" w:color="000000"/>
            </w:tcBorders>
            <w:vAlign w:val="bottom"/>
          </w:tcPr>
          <w:p w14:paraId="53539332" w14:textId="77777777" w:rsidR="00165D83" w:rsidRPr="00163E6F" w:rsidRDefault="00165D83">
            <w:pPr>
              <w:autoSpaceDE w:val="0"/>
              <w:autoSpaceDN w:val="0"/>
              <w:adjustRightInd w:val="0"/>
              <w:jc w:val="center"/>
            </w:pPr>
            <w:r w:rsidRPr="00163E6F">
              <w:rPr>
                <w:sz w:val="22"/>
              </w:rPr>
              <w:t>10 000</w:t>
            </w:r>
          </w:p>
        </w:tc>
        <w:tc>
          <w:tcPr>
            <w:tcW w:w="1985" w:type="dxa"/>
            <w:tcBorders>
              <w:top w:val="single" w:sz="3" w:space="0" w:color="000000"/>
              <w:left w:val="single" w:sz="3" w:space="0" w:color="000000"/>
              <w:bottom w:val="single" w:sz="3" w:space="0" w:color="000000"/>
              <w:right w:val="single" w:sz="3" w:space="0" w:color="000000"/>
            </w:tcBorders>
            <w:vAlign w:val="bottom"/>
          </w:tcPr>
          <w:p w14:paraId="4842C718" w14:textId="77777777" w:rsidR="00165D83" w:rsidRPr="00163E6F" w:rsidRDefault="00165D83">
            <w:pPr>
              <w:autoSpaceDE w:val="0"/>
              <w:autoSpaceDN w:val="0"/>
              <w:adjustRightInd w:val="0"/>
              <w:jc w:val="center"/>
            </w:pPr>
            <w:r w:rsidRPr="00163E6F">
              <w:rPr>
                <w:sz w:val="22"/>
              </w:rPr>
              <w:t>603628</w:t>
            </w:r>
          </w:p>
        </w:tc>
        <w:tc>
          <w:tcPr>
            <w:tcW w:w="2126" w:type="dxa"/>
            <w:tcBorders>
              <w:top w:val="single" w:sz="3" w:space="0" w:color="000000"/>
              <w:left w:val="single" w:sz="3" w:space="0" w:color="000000"/>
              <w:bottom w:val="single" w:sz="3" w:space="0" w:color="000000"/>
              <w:right w:val="single" w:sz="3" w:space="0" w:color="000000"/>
            </w:tcBorders>
            <w:vAlign w:val="bottom"/>
          </w:tcPr>
          <w:p w14:paraId="44DCCD11" w14:textId="77777777" w:rsidR="00165D83" w:rsidRPr="00163E6F" w:rsidRDefault="00165D83">
            <w:pPr>
              <w:autoSpaceDE w:val="0"/>
              <w:autoSpaceDN w:val="0"/>
              <w:adjustRightInd w:val="0"/>
              <w:jc w:val="center"/>
            </w:pPr>
            <w:r w:rsidRPr="00163E6F">
              <w:rPr>
                <w:sz w:val="22"/>
              </w:rPr>
              <w:t>2</w:t>
            </w:r>
          </w:p>
        </w:tc>
      </w:tr>
    </w:tbl>
    <w:p w14:paraId="42B89485" w14:textId="77777777" w:rsidR="00165D83" w:rsidRPr="00163E6F" w:rsidRDefault="00165D83" w:rsidP="00165D83">
      <w:pPr>
        <w:autoSpaceDE w:val="0"/>
        <w:autoSpaceDN w:val="0"/>
        <w:adjustRightInd w:val="0"/>
        <w:spacing w:after="120"/>
        <w:ind w:firstLine="720"/>
        <w:rPr>
          <w:szCs w:val="24"/>
        </w:rPr>
      </w:pPr>
    </w:p>
    <w:p w14:paraId="3E26815E" w14:textId="77777777" w:rsidR="00165D83" w:rsidRPr="00163E6F" w:rsidRDefault="00165D83" w:rsidP="00165D83">
      <w:pPr>
        <w:autoSpaceDE w:val="0"/>
        <w:autoSpaceDN w:val="0"/>
        <w:adjustRightInd w:val="0"/>
        <w:spacing w:after="120"/>
        <w:ind w:firstLine="720"/>
        <w:rPr>
          <w:szCs w:val="24"/>
        </w:rPr>
      </w:pPr>
      <w:r w:rsidRPr="00163E6F">
        <w:rPr>
          <w:szCs w:val="24"/>
        </w:rPr>
        <w:t>Somijā kūdras purvi aizņem 26% no kopējā</w:t>
      </w:r>
      <w:r w:rsidR="002F0B35" w:rsidRPr="00163E6F">
        <w:rPr>
          <w:szCs w:val="24"/>
        </w:rPr>
        <w:t xml:space="preserve">s valsts teritorijas – </w:t>
      </w:r>
      <w:r w:rsidRPr="00163E6F">
        <w:rPr>
          <w:szCs w:val="24"/>
        </w:rPr>
        <w:t>89 000 km</w:t>
      </w:r>
      <w:r w:rsidRPr="00163E6F">
        <w:rPr>
          <w:szCs w:val="24"/>
          <w:vertAlign w:val="superscript"/>
        </w:rPr>
        <w:t>2</w:t>
      </w:r>
      <w:r w:rsidRPr="00163E6F">
        <w:rPr>
          <w:szCs w:val="24"/>
        </w:rPr>
        <w:t xml:space="preserve">. </w:t>
      </w:r>
      <w:r w:rsidR="002F0B35" w:rsidRPr="00163E6F">
        <w:rPr>
          <w:szCs w:val="24"/>
        </w:rPr>
        <w:t>Tādējādi, Somijā ir pasaulē piektā lielākā purvu platība vienā valstī</w:t>
      </w:r>
      <w:r w:rsidRPr="00163E6F">
        <w:rPr>
          <w:szCs w:val="24"/>
        </w:rPr>
        <w:t>. Kūdras purvu platība attiecībā pret valsts teritorijas platību Somiju ievieto pirmajā vietā pasaulē. Tie ir izvietoti visā Somijā, bet lielāks blīvums ir valsts Rietumos un Ziemeļos. Kūdras purvu platība, kas ir piemērota komerciālajai darbībai ir 6 220 km</w:t>
      </w:r>
      <w:r w:rsidRPr="00163E6F">
        <w:rPr>
          <w:szCs w:val="24"/>
          <w:vertAlign w:val="superscript"/>
        </w:rPr>
        <w:t>2</w:t>
      </w:r>
      <w:r w:rsidRPr="00163E6F">
        <w:rPr>
          <w:szCs w:val="24"/>
        </w:rPr>
        <w:t>, no kuriem aptuveni 22% satur augstas kvalitātes kūdru, kas piemērota dārzkopībai un augsnes uzlabošanai. Atlikušie 78% kūdras platību ir piemēroti enerģētiskās kūdras ražošanai (Peat in Finland, 2016).</w:t>
      </w:r>
    </w:p>
    <w:p w14:paraId="663DBED3" w14:textId="77777777" w:rsidR="00165D83" w:rsidRPr="00163E6F" w:rsidRDefault="00165D83" w:rsidP="00165D83">
      <w:pPr>
        <w:autoSpaceDE w:val="0"/>
        <w:autoSpaceDN w:val="0"/>
        <w:adjustRightInd w:val="0"/>
        <w:spacing w:after="120"/>
        <w:ind w:firstLine="720"/>
        <w:rPr>
          <w:szCs w:val="24"/>
        </w:rPr>
      </w:pPr>
      <w:r w:rsidRPr="00163E6F">
        <w:rPr>
          <w:szCs w:val="24"/>
        </w:rPr>
        <w:t>Igaunijā kūdrāji aizņem aptuveni 20% no tās kopējās teritorijas. Kūdras purvu kopējā platība Igaunijā ir 9000 km</w:t>
      </w:r>
      <w:r w:rsidRPr="00163E6F">
        <w:rPr>
          <w:szCs w:val="24"/>
          <w:vertAlign w:val="superscript"/>
        </w:rPr>
        <w:t>2</w:t>
      </w:r>
      <w:r w:rsidRPr="00163E6F">
        <w:rPr>
          <w:szCs w:val="24"/>
        </w:rPr>
        <w:t xml:space="preserve"> (1. tabula). Ievērojama daļa kūdras tiek izmantota, lai ražotu briketes, no kurām lielākā daļa ir paredzētas eksportam (Peat in Estonia, 2016). </w:t>
      </w:r>
    </w:p>
    <w:p w14:paraId="69CE9006" w14:textId="77777777" w:rsidR="00165D83" w:rsidRPr="00163E6F" w:rsidRDefault="00165D83" w:rsidP="00165D83">
      <w:pPr>
        <w:autoSpaceDE w:val="0"/>
        <w:autoSpaceDN w:val="0"/>
        <w:adjustRightInd w:val="0"/>
        <w:spacing w:after="120"/>
        <w:ind w:firstLine="720"/>
        <w:rPr>
          <w:szCs w:val="24"/>
        </w:rPr>
      </w:pPr>
      <w:r w:rsidRPr="00163E6F">
        <w:rPr>
          <w:szCs w:val="24"/>
        </w:rPr>
        <w:t>Krievijā ir vislielākās kūdrāju platības pasaulē – 1 390 000 km</w:t>
      </w:r>
      <w:r w:rsidRPr="00163E6F">
        <w:rPr>
          <w:szCs w:val="24"/>
          <w:vertAlign w:val="superscript"/>
        </w:rPr>
        <w:t>2</w:t>
      </w:r>
      <w:r w:rsidRPr="00163E6F">
        <w:rPr>
          <w:szCs w:val="24"/>
        </w:rPr>
        <w:t xml:space="preserve"> (2. tabula), no kurām 85% atrodas Sibīrijā. Kūdras produkcijas lielākā daļa tiek izmantota lauksaimniecībā un dārzkopībā (Peat in Russia, 2016).  </w:t>
      </w:r>
    </w:p>
    <w:p w14:paraId="34781B2F" w14:textId="77777777" w:rsidR="00165D83" w:rsidRPr="00163E6F" w:rsidRDefault="00165D83" w:rsidP="00165D83">
      <w:pPr>
        <w:keepNext/>
        <w:autoSpaceDE w:val="0"/>
        <w:autoSpaceDN w:val="0"/>
        <w:adjustRightInd w:val="0"/>
        <w:spacing w:after="200"/>
        <w:jc w:val="right"/>
        <w:rPr>
          <w:szCs w:val="24"/>
        </w:rPr>
      </w:pPr>
      <w:r w:rsidRPr="00163E6F">
        <w:rPr>
          <w:szCs w:val="24"/>
        </w:rPr>
        <w:lastRenderedPageBreak/>
        <w:t>2. tabula</w:t>
      </w:r>
    </w:p>
    <w:p w14:paraId="7EB7AE37" w14:textId="77777777" w:rsidR="00165D83" w:rsidRPr="00163E6F" w:rsidRDefault="00165D83" w:rsidP="00650503">
      <w:pPr>
        <w:keepNext/>
        <w:autoSpaceDE w:val="0"/>
        <w:autoSpaceDN w:val="0"/>
        <w:adjustRightInd w:val="0"/>
        <w:jc w:val="center"/>
        <w:rPr>
          <w:b/>
          <w:bCs/>
          <w:szCs w:val="24"/>
        </w:rPr>
      </w:pPr>
      <w:r w:rsidRPr="00163E6F">
        <w:rPr>
          <w:b/>
          <w:bCs/>
          <w:szCs w:val="24"/>
        </w:rPr>
        <w:t>Valstu rangs pēc kūdras purvu platības valsts teritorijā 2016. gadā, km</w:t>
      </w:r>
      <w:r w:rsidRPr="00163E6F">
        <w:rPr>
          <w:b/>
          <w:bCs/>
          <w:szCs w:val="24"/>
          <w:vertAlign w:val="superscript"/>
        </w:rPr>
        <w:t>2</w:t>
      </w:r>
    </w:p>
    <w:tbl>
      <w:tblPr>
        <w:tblW w:w="0" w:type="auto"/>
        <w:tblInd w:w="108" w:type="dxa"/>
        <w:tblLayout w:type="fixed"/>
        <w:tblLook w:val="0000" w:firstRow="0" w:lastRow="0" w:firstColumn="0" w:lastColumn="0" w:noHBand="0" w:noVBand="0"/>
      </w:tblPr>
      <w:tblGrid>
        <w:gridCol w:w="1318"/>
        <w:gridCol w:w="1940"/>
        <w:gridCol w:w="2537"/>
        <w:gridCol w:w="1943"/>
        <w:gridCol w:w="1657"/>
      </w:tblGrid>
      <w:tr w:rsidR="00165D83" w:rsidRPr="00163E6F" w14:paraId="419C5D19" w14:textId="77777777">
        <w:trPr>
          <w:trHeight w:val="1295"/>
        </w:trPr>
        <w:tc>
          <w:tcPr>
            <w:tcW w:w="1318" w:type="dxa"/>
            <w:tcBorders>
              <w:top w:val="single" w:sz="3" w:space="0" w:color="000000"/>
              <w:left w:val="single" w:sz="3" w:space="0" w:color="000000"/>
              <w:bottom w:val="single" w:sz="3" w:space="0" w:color="000000"/>
              <w:right w:val="single" w:sz="3" w:space="0" w:color="000000"/>
            </w:tcBorders>
            <w:vAlign w:val="center"/>
          </w:tcPr>
          <w:p w14:paraId="67A37382" w14:textId="77777777" w:rsidR="00165D83" w:rsidRPr="00163E6F" w:rsidRDefault="00165D83">
            <w:pPr>
              <w:keepNext/>
              <w:autoSpaceDE w:val="0"/>
              <w:autoSpaceDN w:val="0"/>
              <w:adjustRightInd w:val="0"/>
              <w:jc w:val="center"/>
            </w:pPr>
            <w:r w:rsidRPr="00163E6F">
              <w:rPr>
                <w:b/>
                <w:bCs/>
                <w:sz w:val="22"/>
              </w:rPr>
              <w:t>Vieta</w:t>
            </w:r>
          </w:p>
        </w:tc>
        <w:tc>
          <w:tcPr>
            <w:tcW w:w="1940" w:type="dxa"/>
            <w:tcBorders>
              <w:top w:val="single" w:sz="3" w:space="0" w:color="000000"/>
              <w:left w:val="nil"/>
              <w:bottom w:val="single" w:sz="3" w:space="0" w:color="000000"/>
              <w:right w:val="single" w:sz="3" w:space="0" w:color="000000"/>
            </w:tcBorders>
            <w:vAlign w:val="center"/>
          </w:tcPr>
          <w:p w14:paraId="04932210" w14:textId="77777777" w:rsidR="00165D83" w:rsidRPr="00163E6F" w:rsidRDefault="00165D83">
            <w:pPr>
              <w:keepNext/>
              <w:autoSpaceDE w:val="0"/>
              <w:autoSpaceDN w:val="0"/>
              <w:adjustRightInd w:val="0"/>
              <w:jc w:val="center"/>
            </w:pPr>
            <w:r w:rsidRPr="00163E6F">
              <w:rPr>
                <w:b/>
                <w:bCs/>
                <w:sz w:val="22"/>
              </w:rPr>
              <w:t>Valsts</w:t>
            </w:r>
          </w:p>
        </w:tc>
        <w:tc>
          <w:tcPr>
            <w:tcW w:w="2537" w:type="dxa"/>
            <w:tcBorders>
              <w:top w:val="single" w:sz="3" w:space="0" w:color="000000"/>
              <w:left w:val="nil"/>
              <w:bottom w:val="single" w:sz="3" w:space="0" w:color="000000"/>
              <w:right w:val="single" w:sz="3" w:space="0" w:color="000000"/>
            </w:tcBorders>
            <w:vAlign w:val="center"/>
          </w:tcPr>
          <w:p w14:paraId="1B8E7F81" w14:textId="77777777" w:rsidR="00165D83" w:rsidRPr="00163E6F" w:rsidRDefault="00165D83">
            <w:pPr>
              <w:keepNext/>
              <w:autoSpaceDE w:val="0"/>
              <w:autoSpaceDN w:val="0"/>
              <w:adjustRightInd w:val="0"/>
              <w:jc w:val="center"/>
            </w:pPr>
            <w:r w:rsidRPr="00163E6F">
              <w:rPr>
                <w:b/>
                <w:bCs/>
                <w:sz w:val="22"/>
              </w:rPr>
              <w:t>Kūdras purvu platība, km</w:t>
            </w:r>
            <w:r w:rsidRPr="00163E6F">
              <w:rPr>
                <w:b/>
                <w:bCs/>
                <w:sz w:val="22"/>
                <w:vertAlign w:val="superscript"/>
              </w:rPr>
              <w:t>2</w:t>
            </w:r>
          </w:p>
        </w:tc>
        <w:tc>
          <w:tcPr>
            <w:tcW w:w="1943" w:type="dxa"/>
            <w:tcBorders>
              <w:top w:val="single" w:sz="3" w:space="0" w:color="000000"/>
              <w:left w:val="nil"/>
              <w:bottom w:val="single" w:sz="3" w:space="0" w:color="000000"/>
              <w:right w:val="single" w:sz="3" w:space="0" w:color="000000"/>
            </w:tcBorders>
            <w:vAlign w:val="center"/>
          </w:tcPr>
          <w:p w14:paraId="44BE3A79" w14:textId="77777777" w:rsidR="00165D83" w:rsidRPr="00163E6F" w:rsidRDefault="00165D83">
            <w:pPr>
              <w:keepNext/>
              <w:autoSpaceDE w:val="0"/>
              <w:autoSpaceDN w:val="0"/>
              <w:adjustRightInd w:val="0"/>
              <w:jc w:val="center"/>
            </w:pPr>
            <w:r w:rsidRPr="00163E6F">
              <w:rPr>
                <w:b/>
                <w:bCs/>
                <w:sz w:val="22"/>
              </w:rPr>
              <w:t>Valsts teritorijas kopējā platība, km</w:t>
            </w:r>
            <w:r w:rsidRPr="00163E6F">
              <w:rPr>
                <w:b/>
                <w:bCs/>
                <w:sz w:val="22"/>
                <w:vertAlign w:val="superscript"/>
              </w:rPr>
              <w:t>2</w:t>
            </w:r>
          </w:p>
        </w:tc>
        <w:tc>
          <w:tcPr>
            <w:tcW w:w="1657" w:type="dxa"/>
            <w:tcBorders>
              <w:top w:val="single" w:sz="3" w:space="0" w:color="000000"/>
              <w:left w:val="nil"/>
              <w:bottom w:val="single" w:sz="3" w:space="0" w:color="000000"/>
              <w:right w:val="single" w:sz="3" w:space="0" w:color="000000"/>
            </w:tcBorders>
            <w:vAlign w:val="center"/>
          </w:tcPr>
          <w:p w14:paraId="50D62027" w14:textId="77777777" w:rsidR="00165D83" w:rsidRPr="00163E6F" w:rsidRDefault="00165D83">
            <w:pPr>
              <w:keepNext/>
              <w:autoSpaceDE w:val="0"/>
              <w:autoSpaceDN w:val="0"/>
              <w:adjustRightInd w:val="0"/>
              <w:jc w:val="center"/>
            </w:pPr>
            <w:r w:rsidRPr="00163E6F">
              <w:rPr>
                <w:b/>
                <w:bCs/>
                <w:sz w:val="22"/>
              </w:rPr>
              <w:t>Purvu īpatsvars kopējā teritorijā, %</w:t>
            </w:r>
          </w:p>
        </w:tc>
      </w:tr>
      <w:tr w:rsidR="00165D83" w:rsidRPr="00163E6F" w14:paraId="71C1C14C"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26AC5543" w14:textId="77777777" w:rsidR="00165D83" w:rsidRPr="00163E6F" w:rsidRDefault="00165D83">
            <w:pPr>
              <w:keepNext/>
              <w:autoSpaceDE w:val="0"/>
              <w:autoSpaceDN w:val="0"/>
              <w:adjustRightInd w:val="0"/>
              <w:jc w:val="center"/>
            </w:pPr>
            <w:r w:rsidRPr="00163E6F">
              <w:rPr>
                <w:bCs/>
                <w:sz w:val="22"/>
              </w:rPr>
              <w:t>1.</w:t>
            </w:r>
          </w:p>
        </w:tc>
        <w:tc>
          <w:tcPr>
            <w:tcW w:w="1940" w:type="dxa"/>
            <w:tcBorders>
              <w:top w:val="nil"/>
              <w:left w:val="nil"/>
              <w:bottom w:val="single" w:sz="3" w:space="0" w:color="000000"/>
              <w:right w:val="single" w:sz="3" w:space="0" w:color="000000"/>
            </w:tcBorders>
            <w:vAlign w:val="bottom"/>
          </w:tcPr>
          <w:p w14:paraId="3C4FA243" w14:textId="77777777" w:rsidR="00165D83" w:rsidRPr="00163E6F" w:rsidRDefault="00165D83">
            <w:pPr>
              <w:keepNext/>
              <w:autoSpaceDE w:val="0"/>
              <w:autoSpaceDN w:val="0"/>
              <w:adjustRightInd w:val="0"/>
              <w:jc w:val="left"/>
            </w:pPr>
            <w:r w:rsidRPr="00163E6F">
              <w:rPr>
                <w:sz w:val="22"/>
              </w:rPr>
              <w:t>Krievija</w:t>
            </w:r>
          </w:p>
        </w:tc>
        <w:tc>
          <w:tcPr>
            <w:tcW w:w="2537" w:type="dxa"/>
            <w:tcBorders>
              <w:top w:val="nil"/>
              <w:left w:val="nil"/>
              <w:bottom w:val="single" w:sz="3" w:space="0" w:color="000000"/>
              <w:right w:val="single" w:sz="3" w:space="0" w:color="000000"/>
            </w:tcBorders>
            <w:vAlign w:val="bottom"/>
          </w:tcPr>
          <w:p w14:paraId="5610C3A6" w14:textId="77777777" w:rsidR="00165D83" w:rsidRPr="00163E6F" w:rsidRDefault="00165D83">
            <w:pPr>
              <w:keepNext/>
              <w:autoSpaceDE w:val="0"/>
              <w:autoSpaceDN w:val="0"/>
              <w:adjustRightInd w:val="0"/>
              <w:jc w:val="center"/>
            </w:pPr>
            <w:r w:rsidRPr="00163E6F">
              <w:rPr>
                <w:sz w:val="22"/>
              </w:rPr>
              <w:t>1 390 000</w:t>
            </w:r>
          </w:p>
        </w:tc>
        <w:tc>
          <w:tcPr>
            <w:tcW w:w="1943" w:type="dxa"/>
            <w:tcBorders>
              <w:top w:val="nil"/>
              <w:left w:val="nil"/>
              <w:bottom w:val="single" w:sz="3" w:space="0" w:color="000000"/>
              <w:right w:val="single" w:sz="3" w:space="0" w:color="000000"/>
            </w:tcBorders>
            <w:vAlign w:val="bottom"/>
          </w:tcPr>
          <w:p w14:paraId="5C2E92F1" w14:textId="77777777" w:rsidR="00165D83" w:rsidRPr="00163E6F" w:rsidRDefault="00165D83">
            <w:pPr>
              <w:keepNext/>
              <w:autoSpaceDE w:val="0"/>
              <w:autoSpaceDN w:val="0"/>
              <w:adjustRightInd w:val="0"/>
              <w:jc w:val="center"/>
            </w:pPr>
            <w:r w:rsidRPr="00163E6F">
              <w:rPr>
                <w:sz w:val="22"/>
              </w:rPr>
              <w:t>17100000</w:t>
            </w:r>
          </w:p>
        </w:tc>
        <w:tc>
          <w:tcPr>
            <w:tcW w:w="1657" w:type="dxa"/>
            <w:tcBorders>
              <w:top w:val="nil"/>
              <w:left w:val="nil"/>
              <w:bottom w:val="single" w:sz="3" w:space="0" w:color="000000"/>
              <w:right w:val="single" w:sz="3" w:space="0" w:color="000000"/>
            </w:tcBorders>
            <w:vAlign w:val="bottom"/>
          </w:tcPr>
          <w:p w14:paraId="01C80703" w14:textId="77777777" w:rsidR="00165D83" w:rsidRPr="00163E6F" w:rsidRDefault="00165D83">
            <w:pPr>
              <w:keepNext/>
              <w:autoSpaceDE w:val="0"/>
              <w:autoSpaceDN w:val="0"/>
              <w:adjustRightInd w:val="0"/>
              <w:jc w:val="center"/>
            </w:pPr>
            <w:r w:rsidRPr="00163E6F">
              <w:rPr>
                <w:sz w:val="22"/>
              </w:rPr>
              <w:t>8</w:t>
            </w:r>
          </w:p>
        </w:tc>
      </w:tr>
      <w:tr w:rsidR="00165D83" w:rsidRPr="00163E6F" w14:paraId="416DC146"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31217E31" w14:textId="77777777" w:rsidR="00165D83" w:rsidRPr="00163E6F" w:rsidRDefault="00165D83">
            <w:pPr>
              <w:keepNext/>
              <w:autoSpaceDE w:val="0"/>
              <w:autoSpaceDN w:val="0"/>
              <w:adjustRightInd w:val="0"/>
              <w:jc w:val="center"/>
            </w:pPr>
            <w:r w:rsidRPr="00163E6F">
              <w:rPr>
                <w:bCs/>
                <w:sz w:val="22"/>
              </w:rPr>
              <w:t>2.</w:t>
            </w:r>
          </w:p>
        </w:tc>
        <w:tc>
          <w:tcPr>
            <w:tcW w:w="1940" w:type="dxa"/>
            <w:tcBorders>
              <w:top w:val="nil"/>
              <w:left w:val="nil"/>
              <w:bottom w:val="single" w:sz="3" w:space="0" w:color="000000"/>
              <w:right w:val="single" w:sz="3" w:space="0" w:color="000000"/>
            </w:tcBorders>
            <w:vAlign w:val="bottom"/>
          </w:tcPr>
          <w:p w14:paraId="6CF2F8D6" w14:textId="77777777" w:rsidR="00165D83" w:rsidRPr="00163E6F" w:rsidRDefault="00165D83">
            <w:pPr>
              <w:keepNext/>
              <w:autoSpaceDE w:val="0"/>
              <w:autoSpaceDN w:val="0"/>
              <w:adjustRightInd w:val="0"/>
              <w:jc w:val="left"/>
            </w:pPr>
            <w:r w:rsidRPr="00163E6F">
              <w:rPr>
                <w:sz w:val="22"/>
              </w:rPr>
              <w:t>Kanāda</w:t>
            </w:r>
          </w:p>
        </w:tc>
        <w:tc>
          <w:tcPr>
            <w:tcW w:w="2537" w:type="dxa"/>
            <w:tcBorders>
              <w:top w:val="nil"/>
              <w:left w:val="nil"/>
              <w:bottom w:val="single" w:sz="3" w:space="0" w:color="000000"/>
              <w:right w:val="single" w:sz="3" w:space="0" w:color="000000"/>
            </w:tcBorders>
            <w:vAlign w:val="bottom"/>
          </w:tcPr>
          <w:p w14:paraId="40411E2E" w14:textId="77777777" w:rsidR="00165D83" w:rsidRPr="00163E6F" w:rsidRDefault="00165D83">
            <w:pPr>
              <w:keepNext/>
              <w:autoSpaceDE w:val="0"/>
              <w:autoSpaceDN w:val="0"/>
              <w:adjustRightInd w:val="0"/>
              <w:jc w:val="center"/>
            </w:pPr>
            <w:r w:rsidRPr="00163E6F">
              <w:rPr>
                <w:sz w:val="22"/>
              </w:rPr>
              <w:t>1 100 000</w:t>
            </w:r>
          </w:p>
        </w:tc>
        <w:tc>
          <w:tcPr>
            <w:tcW w:w="1943" w:type="dxa"/>
            <w:tcBorders>
              <w:top w:val="nil"/>
              <w:left w:val="nil"/>
              <w:bottom w:val="single" w:sz="3" w:space="0" w:color="000000"/>
              <w:right w:val="single" w:sz="3" w:space="0" w:color="000000"/>
            </w:tcBorders>
            <w:vAlign w:val="bottom"/>
          </w:tcPr>
          <w:p w14:paraId="1D2FAF0B" w14:textId="77777777" w:rsidR="00165D83" w:rsidRPr="00163E6F" w:rsidRDefault="00165D83">
            <w:pPr>
              <w:keepNext/>
              <w:autoSpaceDE w:val="0"/>
              <w:autoSpaceDN w:val="0"/>
              <w:adjustRightInd w:val="0"/>
              <w:jc w:val="center"/>
            </w:pPr>
            <w:r w:rsidRPr="00163E6F">
              <w:rPr>
                <w:sz w:val="22"/>
              </w:rPr>
              <w:t>9985000</w:t>
            </w:r>
          </w:p>
        </w:tc>
        <w:tc>
          <w:tcPr>
            <w:tcW w:w="1657" w:type="dxa"/>
            <w:tcBorders>
              <w:top w:val="nil"/>
              <w:left w:val="nil"/>
              <w:bottom w:val="single" w:sz="3" w:space="0" w:color="000000"/>
              <w:right w:val="single" w:sz="3" w:space="0" w:color="000000"/>
            </w:tcBorders>
            <w:vAlign w:val="bottom"/>
          </w:tcPr>
          <w:p w14:paraId="495AF4CA" w14:textId="77777777" w:rsidR="00165D83" w:rsidRPr="00163E6F" w:rsidRDefault="00165D83">
            <w:pPr>
              <w:keepNext/>
              <w:autoSpaceDE w:val="0"/>
              <w:autoSpaceDN w:val="0"/>
              <w:adjustRightInd w:val="0"/>
              <w:jc w:val="center"/>
            </w:pPr>
            <w:r w:rsidRPr="00163E6F">
              <w:rPr>
                <w:sz w:val="22"/>
              </w:rPr>
              <w:t>11</w:t>
            </w:r>
          </w:p>
        </w:tc>
      </w:tr>
      <w:tr w:rsidR="00165D83" w:rsidRPr="00163E6F" w14:paraId="16AAE4CD"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2A9C76BE" w14:textId="77777777" w:rsidR="00165D83" w:rsidRPr="00163E6F" w:rsidRDefault="00165D83">
            <w:pPr>
              <w:keepNext/>
              <w:autoSpaceDE w:val="0"/>
              <w:autoSpaceDN w:val="0"/>
              <w:adjustRightInd w:val="0"/>
              <w:jc w:val="center"/>
            </w:pPr>
            <w:r w:rsidRPr="00163E6F">
              <w:rPr>
                <w:bCs/>
                <w:sz w:val="22"/>
              </w:rPr>
              <w:t>3.</w:t>
            </w:r>
          </w:p>
        </w:tc>
        <w:tc>
          <w:tcPr>
            <w:tcW w:w="1940" w:type="dxa"/>
            <w:tcBorders>
              <w:top w:val="nil"/>
              <w:left w:val="nil"/>
              <w:bottom w:val="single" w:sz="3" w:space="0" w:color="000000"/>
              <w:right w:val="single" w:sz="3" w:space="0" w:color="000000"/>
            </w:tcBorders>
            <w:vAlign w:val="bottom"/>
          </w:tcPr>
          <w:p w14:paraId="4F842878" w14:textId="77777777" w:rsidR="00165D83" w:rsidRPr="00163E6F" w:rsidRDefault="00165D83">
            <w:pPr>
              <w:keepNext/>
              <w:autoSpaceDE w:val="0"/>
              <w:autoSpaceDN w:val="0"/>
              <w:adjustRightInd w:val="0"/>
              <w:jc w:val="left"/>
            </w:pPr>
            <w:r w:rsidRPr="00163E6F">
              <w:rPr>
                <w:sz w:val="22"/>
              </w:rPr>
              <w:t>ASV</w:t>
            </w:r>
          </w:p>
        </w:tc>
        <w:tc>
          <w:tcPr>
            <w:tcW w:w="2537" w:type="dxa"/>
            <w:tcBorders>
              <w:top w:val="nil"/>
              <w:left w:val="nil"/>
              <w:bottom w:val="single" w:sz="3" w:space="0" w:color="000000"/>
              <w:right w:val="single" w:sz="3" w:space="0" w:color="000000"/>
            </w:tcBorders>
            <w:vAlign w:val="bottom"/>
          </w:tcPr>
          <w:p w14:paraId="1C116E72" w14:textId="77777777" w:rsidR="00165D83" w:rsidRPr="00163E6F" w:rsidRDefault="00165D83">
            <w:pPr>
              <w:keepNext/>
              <w:autoSpaceDE w:val="0"/>
              <w:autoSpaceDN w:val="0"/>
              <w:adjustRightInd w:val="0"/>
              <w:jc w:val="center"/>
            </w:pPr>
            <w:r w:rsidRPr="00163E6F">
              <w:rPr>
                <w:sz w:val="22"/>
              </w:rPr>
              <w:t>625 000</w:t>
            </w:r>
          </w:p>
        </w:tc>
        <w:tc>
          <w:tcPr>
            <w:tcW w:w="1943" w:type="dxa"/>
            <w:tcBorders>
              <w:top w:val="nil"/>
              <w:left w:val="nil"/>
              <w:bottom w:val="single" w:sz="3" w:space="0" w:color="000000"/>
              <w:right w:val="single" w:sz="3" w:space="0" w:color="000000"/>
            </w:tcBorders>
            <w:vAlign w:val="bottom"/>
          </w:tcPr>
          <w:p w14:paraId="63C6BFA3" w14:textId="77777777" w:rsidR="00165D83" w:rsidRPr="00163E6F" w:rsidRDefault="00165D83">
            <w:pPr>
              <w:keepNext/>
              <w:autoSpaceDE w:val="0"/>
              <w:autoSpaceDN w:val="0"/>
              <w:adjustRightInd w:val="0"/>
              <w:jc w:val="center"/>
            </w:pPr>
            <w:r w:rsidRPr="00163E6F">
              <w:rPr>
                <w:sz w:val="22"/>
              </w:rPr>
              <w:t>9834000</w:t>
            </w:r>
          </w:p>
        </w:tc>
        <w:tc>
          <w:tcPr>
            <w:tcW w:w="1657" w:type="dxa"/>
            <w:tcBorders>
              <w:top w:val="nil"/>
              <w:left w:val="nil"/>
              <w:bottom w:val="single" w:sz="3" w:space="0" w:color="000000"/>
              <w:right w:val="single" w:sz="3" w:space="0" w:color="000000"/>
            </w:tcBorders>
            <w:vAlign w:val="bottom"/>
          </w:tcPr>
          <w:p w14:paraId="5AB2C135" w14:textId="77777777" w:rsidR="00165D83" w:rsidRPr="00163E6F" w:rsidRDefault="00165D83">
            <w:pPr>
              <w:keepNext/>
              <w:autoSpaceDE w:val="0"/>
              <w:autoSpaceDN w:val="0"/>
              <w:adjustRightInd w:val="0"/>
              <w:jc w:val="center"/>
            </w:pPr>
            <w:r w:rsidRPr="00163E6F">
              <w:rPr>
                <w:sz w:val="22"/>
              </w:rPr>
              <w:t>6</w:t>
            </w:r>
          </w:p>
        </w:tc>
      </w:tr>
      <w:tr w:rsidR="00165D83" w:rsidRPr="00163E6F" w14:paraId="4BFE2BCB"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35183815" w14:textId="77777777" w:rsidR="00165D83" w:rsidRPr="00163E6F" w:rsidRDefault="00165D83">
            <w:pPr>
              <w:keepNext/>
              <w:autoSpaceDE w:val="0"/>
              <w:autoSpaceDN w:val="0"/>
              <w:adjustRightInd w:val="0"/>
              <w:jc w:val="center"/>
            </w:pPr>
            <w:r w:rsidRPr="00163E6F">
              <w:rPr>
                <w:bCs/>
                <w:sz w:val="22"/>
              </w:rPr>
              <w:t>4.</w:t>
            </w:r>
          </w:p>
        </w:tc>
        <w:tc>
          <w:tcPr>
            <w:tcW w:w="1940" w:type="dxa"/>
            <w:tcBorders>
              <w:top w:val="nil"/>
              <w:left w:val="nil"/>
              <w:bottom w:val="single" w:sz="3" w:space="0" w:color="000000"/>
              <w:right w:val="single" w:sz="3" w:space="0" w:color="000000"/>
            </w:tcBorders>
            <w:vAlign w:val="bottom"/>
          </w:tcPr>
          <w:p w14:paraId="7D2C4C86" w14:textId="77777777" w:rsidR="00165D83" w:rsidRPr="00163E6F" w:rsidRDefault="00165D83">
            <w:pPr>
              <w:keepNext/>
              <w:autoSpaceDE w:val="0"/>
              <w:autoSpaceDN w:val="0"/>
              <w:adjustRightInd w:val="0"/>
              <w:jc w:val="left"/>
            </w:pPr>
            <w:r w:rsidRPr="00163E6F">
              <w:rPr>
                <w:sz w:val="22"/>
              </w:rPr>
              <w:t>Indonēzija</w:t>
            </w:r>
          </w:p>
        </w:tc>
        <w:tc>
          <w:tcPr>
            <w:tcW w:w="2537" w:type="dxa"/>
            <w:tcBorders>
              <w:top w:val="nil"/>
              <w:left w:val="nil"/>
              <w:bottom w:val="single" w:sz="3" w:space="0" w:color="000000"/>
              <w:right w:val="single" w:sz="3" w:space="0" w:color="000000"/>
            </w:tcBorders>
            <w:vAlign w:val="bottom"/>
          </w:tcPr>
          <w:p w14:paraId="2780BB26" w14:textId="77777777" w:rsidR="00165D83" w:rsidRPr="00163E6F" w:rsidRDefault="00165D83">
            <w:pPr>
              <w:keepNext/>
              <w:autoSpaceDE w:val="0"/>
              <w:autoSpaceDN w:val="0"/>
              <w:adjustRightInd w:val="0"/>
              <w:jc w:val="center"/>
            </w:pPr>
            <w:r w:rsidRPr="00163E6F">
              <w:rPr>
                <w:sz w:val="22"/>
              </w:rPr>
              <w:t>207 000</w:t>
            </w:r>
          </w:p>
        </w:tc>
        <w:tc>
          <w:tcPr>
            <w:tcW w:w="1943" w:type="dxa"/>
            <w:tcBorders>
              <w:top w:val="nil"/>
              <w:left w:val="nil"/>
              <w:bottom w:val="single" w:sz="3" w:space="0" w:color="000000"/>
              <w:right w:val="single" w:sz="3" w:space="0" w:color="000000"/>
            </w:tcBorders>
            <w:vAlign w:val="bottom"/>
          </w:tcPr>
          <w:p w14:paraId="10986E0F" w14:textId="77777777" w:rsidR="00165D83" w:rsidRPr="00163E6F" w:rsidRDefault="00165D83">
            <w:pPr>
              <w:keepNext/>
              <w:autoSpaceDE w:val="0"/>
              <w:autoSpaceDN w:val="0"/>
              <w:adjustRightInd w:val="0"/>
              <w:jc w:val="center"/>
            </w:pPr>
            <w:r w:rsidRPr="00163E6F">
              <w:rPr>
                <w:sz w:val="22"/>
              </w:rPr>
              <w:t>1 905 000</w:t>
            </w:r>
          </w:p>
        </w:tc>
        <w:tc>
          <w:tcPr>
            <w:tcW w:w="1657" w:type="dxa"/>
            <w:tcBorders>
              <w:top w:val="nil"/>
              <w:left w:val="nil"/>
              <w:bottom w:val="single" w:sz="3" w:space="0" w:color="000000"/>
              <w:right w:val="single" w:sz="3" w:space="0" w:color="000000"/>
            </w:tcBorders>
            <w:vAlign w:val="bottom"/>
          </w:tcPr>
          <w:p w14:paraId="42C2F357" w14:textId="77777777" w:rsidR="00165D83" w:rsidRPr="00163E6F" w:rsidRDefault="00165D83">
            <w:pPr>
              <w:keepNext/>
              <w:autoSpaceDE w:val="0"/>
              <w:autoSpaceDN w:val="0"/>
              <w:adjustRightInd w:val="0"/>
              <w:jc w:val="center"/>
            </w:pPr>
            <w:r w:rsidRPr="00163E6F">
              <w:rPr>
                <w:sz w:val="22"/>
              </w:rPr>
              <w:t>11</w:t>
            </w:r>
          </w:p>
        </w:tc>
      </w:tr>
      <w:tr w:rsidR="00165D83" w:rsidRPr="00163E6F" w14:paraId="2A23601B"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70E2E6C1" w14:textId="77777777" w:rsidR="00165D83" w:rsidRPr="00163E6F" w:rsidRDefault="00165D83">
            <w:pPr>
              <w:keepNext/>
              <w:autoSpaceDE w:val="0"/>
              <w:autoSpaceDN w:val="0"/>
              <w:adjustRightInd w:val="0"/>
              <w:jc w:val="center"/>
            </w:pPr>
            <w:r w:rsidRPr="00163E6F">
              <w:rPr>
                <w:bCs/>
                <w:sz w:val="22"/>
              </w:rPr>
              <w:t>5.</w:t>
            </w:r>
          </w:p>
        </w:tc>
        <w:tc>
          <w:tcPr>
            <w:tcW w:w="1940" w:type="dxa"/>
            <w:tcBorders>
              <w:top w:val="nil"/>
              <w:left w:val="nil"/>
              <w:bottom w:val="single" w:sz="3" w:space="0" w:color="000000"/>
              <w:right w:val="single" w:sz="3" w:space="0" w:color="000000"/>
            </w:tcBorders>
            <w:vAlign w:val="bottom"/>
          </w:tcPr>
          <w:p w14:paraId="4BBB7C6A" w14:textId="77777777" w:rsidR="00165D83" w:rsidRPr="00163E6F" w:rsidRDefault="00165D83">
            <w:pPr>
              <w:keepNext/>
              <w:autoSpaceDE w:val="0"/>
              <w:autoSpaceDN w:val="0"/>
              <w:adjustRightInd w:val="0"/>
              <w:jc w:val="left"/>
            </w:pPr>
            <w:r w:rsidRPr="00163E6F">
              <w:rPr>
                <w:sz w:val="22"/>
              </w:rPr>
              <w:t>Somija</w:t>
            </w:r>
          </w:p>
        </w:tc>
        <w:tc>
          <w:tcPr>
            <w:tcW w:w="2537" w:type="dxa"/>
            <w:tcBorders>
              <w:top w:val="nil"/>
              <w:left w:val="nil"/>
              <w:bottom w:val="single" w:sz="3" w:space="0" w:color="000000"/>
              <w:right w:val="single" w:sz="3" w:space="0" w:color="000000"/>
            </w:tcBorders>
            <w:vAlign w:val="bottom"/>
          </w:tcPr>
          <w:p w14:paraId="72A0C38C" w14:textId="77777777" w:rsidR="00165D83" w:rsidRPr="00163E6F" w:rsidRDefault="00165D83">
            <w:pPr>
              <w:keepNext/>
              <w:autoSpaceDE w:val="0"/>
              <w:autoSpaceDN w:val="0"/>
              <w:adjustRightInd w:val="0"/>
              <w:jc w:val="center"/>
            </w:pPr>
            <w:r w:rsidRPr="00163E6F">
              <w:rPr>
                <w:sz w:val="22"/>
              </w:rPr>
              <w:t>89 000</w:t>
            </w:r>
          </w:p>
        </w:tc>
        <w:tc>
          <w:tcPr>
            <w:tcW w:w="1943" w:type="dxa"/>
            <w:tcBorders>
              <w:top w:val="nil"/>
              <w:left w:val="nil"/>
              <w:bottom w:val="single" w:sz="3" w:space="0" w:color="000000"/>
              <w:right w:val="single" w:sz="3" w:space="0" w:color="000000"/>
            </w:tcBorders>
            <w:vAlign w:val="bottom"/>
          </w:tcPr>
          <w:p w14:paraId="1C7AD849" w14:textId="77777777" w:rsidR="00165D83" w:rsidRPr="00163E6F" w:rsidRDefault="00165D83">
            <w:pPr>
              <w:keepNext/>
              <w:autoSpaceDE w:val="0"/>
              <w:autoSpaceDN w:val="0"/>
              <w:adjustRightInd w:val="0"/>
              <w:jc w:val="center"/>
            </w:pPr>
            <w:r w:rsidRPr="00163E6F">
              <w:rPr>
                <w:sz w:val="22"/>
              </w:rPr>
              <w:t>338145</w:t>
            </w:r>
          </w:p>
        </w:tc>
        <w:tc>
          <w:tcPr>
            <w:tcW w:w="1657" w:type="dxa"/>
            <w:tcBorders>
              <w:top w:val="nil"/>
              <w:left w:val="nil"/>
              <w:bottom w:val="single" w:sz="3" w:space="0" w:color="000000"/>
              <w:right w:val="single" w:sz="3" w:space="0" w:color="000000"/>
            </w:tcBorders>
            <w:vAlign w:val="bottom"/>
          </w:tcPr>
          <w:p w14:paraId="2FC816E7" w14:textId="77777777" w:rsidR="00165D83" w:rsidRPr="00163E6F" w:rsidRDefault="00165D83">
            <w:pPr>
              <w:keepNext/>
              <w:autoSpaceDE w:val="0"/>
              <w:autoSpaceDN w:val="0"/>
              <w:adjustRightInd w:val="0"/>
              <w:jc w:val="center"/>
            </w:pPr>
            <w:r w:rsidRPr="00163E6F">
              <w:rPr>
                <w:sz w:val="22"/>
              </w:rPr>
              <w:t>26</w:t>
            </w:r>
          </w:p>
        </w:tc>
      </w:tr>
      <w:tr w:rsidR="00165D83" w:rsidRPr="00163E6F" w14:paraId="6C543B8D"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2A2AAA86" w14:textId="77777777" w:rsidR="00165D83" w:rsidRPr="00163E6F" w:rsidRDefault="00165D83">
            <w:pPr>
              <w:keepNext/>
              <w:autoSpaceDE w:val="0"/>
              <w:autoSpaceDN w:val="0"/>
              <w:adjustRightInd w:val="0"/>
              <w:jc w:val="center"/>
            </w:pPr>
            <w:r w:rsidRPr="00163E6F">
              <w:rPr>
                <w:bCs/>
                <w:sz w:val="22"/>
              </w:rPr>
              <w:t>6.</w:t>
            </w:r>
          </w:p>
        </w:tc>
        <w:tc>
          <w:tcPr>
            <w:tcW w:w="1940" w:type="dxa"/>
            <w:tcBorders>
              <w:top w:val="nil"/>
              <w:left w:val="nil"/>
              <w:bottom w:val="single" w:sz="3" w:space="0" w:color="000000"/>
              <w:right w:val="single" w:sz="3" w:space="0" w:color="000000"/>
            </w:tcBorders>
            <w:vAlign w:val="bottom"/>
          </w:tcPr>
          <w:p w14:paraId="41DCB1CB" w14:textId="77777777" w:rsidR="00165D83" w:rsidRPr="00163E6F" w:rsidRDefault="00165D83">
            <w:pPr>
              <w:keepNext/>
              <w:autoSpaceDE w:val="0"/>
              <w:autoSpaceDN w:val="0"/>
              <w:adjustRightInd w:val="0"/>
              <w:jc w:val="left"/>
            </w:pPr>
            <w:r w:rsidRPr="00163E6F">
              <w:rPr>
                <w:sz w:val="22"/>
              </w:rPr>
              <w:t>Zviedrija</w:t>
            </w:r>
          </w:p>
        </w:tc>
        <w:tc>
          <w:tcPr>
            <w:tcW w:w="2537" w:type="dxa"/>
            <w:tcBorders>
              <w:top w:val="nil"/>
              <w:left w:val="nil"/>
              <w:bottom w:val="single" w:sz="3" w:space="0" w:color="000000"/>
              <w:right w:val="single" w:sz="3" w:space="0" w:color="000000"/>
            </w:tcBorders>
            <w:vAlign w:val="bottom"/>
          </w:tcPr>
          <w:p w14:paraId="4A9D8DCA" w14:textId="77777777" w:rsidR="00165D83" w:rsidRPr="00163E6F" w:rsidRDefault="00165D83">
            <w:pPr>
              <w:keepNext/>
              <w:autoSpaceDE w:val="0"/>
              <w:autoSpaceDN w:val="0"/>
              <w:adjustRightInd w:val="0"/>
              <w:jc w:val="center"/>
            </w:pPr>
            <w:r w:rsidRPr="00163E6F">
              <w:rPr>
                <w:sz w:val="22"/>
              </w:rPr>
              <w:t>66 000</w:t>
            </w:r>
          </w:p>
        </w:tc>
        <w:tc>
          <w:tcPr>
            <w:tcW w:w="1943" w:type="dxa"/>
            <w:tcBorders>
              <w:top w:val="nil"/>
              <w:left w:val="nil"/>
              <w:bottom w:val="single" w:sz="3" w:space="0" w:color="000000"/>
              <w:right w:val="single" w:sz="3" w:space="0" w:color="000000"/>
            </w:tcBorders>
            <w:vAlign w:val="bottom"/>
          </w:tcPr>
          <w:p w14:paraId="19555E72" w14:textId="77777777" w:rsidR="00165D83" w:rsidRPr="00163E6F" w:rsidRDefault="00165D83">
            <w:pPr>
              <w:keepNext/>
              <w:autoSpaceDE w:val="0"/>
              <w:autoSpaceDN w:val="0"/>
              <w:adjustRightInd w:val="0"/>
              <w:jc w:val="center"/>
            </w:pPr>
            <w:r w:rsidRPr="00163E6F">
              <w:rPr>
                <w:sz w:val="22"/>
              </w:rPr>
              <w:t>447435</w:t>
            </w:r>
          </w:p>
        </w:tc>
        <w:tc>
          <w:tcPr>
            <w:tcW w:w="1657" w:type="dxa"/>
            <w:tcBorders>
              <w:top w:val="nil"/>
              <w:left w:val="nil"/>
              <w:bottom w:val="single" w:sz="3" w:space="0" w:color="000000"/>
              <w:right w:val="single" w:sz="3" w:space="0" w:color="000000"/>
            </w:tcBorders>
            <w:vAlign w:val="bottom"/>
          </w:tcPr>
          <w:p w14:paraId="7B14E9A4" w14:textId="77777777" w:rsidR="00165D83" w:rsidRPr="00163E6F" w:rsidRDefault="00165D83">
            <w:pPr>
              <w:keepNext/>
              <w:autoSpaceDE w:val="0"/>
              <w:autoSpaceDN w:val="0"/>
              <w:adjustRightInd w:val="0"/>
              <w:jc w:val="center"/>
            </w:pPr>
            <w:r w:rsidRPr="00163E6F">
              <w:rPr>
                <w:sz w:val="22"/>
              </w:rPr>
              <w:t>15</w:t>
            </w:r>
          </w:p>
        </w:tc>
      </w:tr>
      <w:tr w:rsidR="00165D83" w:rsidRPr="00163E6F" w14:paraId="62040110"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767D7D8A" w14:textId="77777777" w:rsidR="00165D83" w:rsidRPr="00163E6F" w:rsidRDefault="00165D83">
            <w:pPr>
              <w:keepNext/>
              <w:autoSpaceDE w:val="0"/>
              <w:autoSpaceDN w:val="0"/>
              <w:adjustRightInd w:val="0"/>
              <w:jc w:val="center"/>
            </w:pPr>
            <w:r w:rsidRPr="00163E6F">
              <w:rPr>
                <w:bCs/>
                <w:sz w:val="22"/>
              </w:rPr>
              <w:t>7.</w:t>
            </w:r>
          </w:p>
        </w:tc>
        <w:tc>
          <w:tcPr>
            <w:tcW w:w="1940" w:type="dxa"/>
            <w:tcBorders>
              <w:top w:val="nil"/>
              <w:left w:val="nil"/>
              <w:bottom w:val="single" w:sz="3" w:space="0" w:color="000000"/>
              <w:right w:val="single" w:sz="3" w:space="0" w:color="000000"/>
            </w:tcBorders>
            <w:vAlign w:val="bottom"/>
          </w:tcPr>
          <w:p w14:paraId="474617EF" w14:textId="77777777" w:rsidR="00165D83" w:rsidRPr="00163E6F" w:rsidRDefault="00165D83">
            <w:pPr>
              <w:keepNext/>
              <w:autoSpaceDE w:val="0"/>
              <w:autoSpaceDN w:val="0"/>
              <w:adjustRightInd w:val="0"/>
              <w:jc w:val="left"/>
            </w:pPr>
            <w:r w:rsidRPr="00163E6F">
              <w:rPr>
                <w:sz w:val="22"/>
              </w:rPr>
              <w:t>Norvēģija</w:t>
            </w:r>
          </w:p>
        </w:tc>
        <w:tc>
          <w:tcPr>
            <w:tcW w:w="2537" w:type="dxa"/>
            <w:tcBorders>
              <w:top w:val="nil"/>
              <w:left w:val="nil"/>
              <w:bottom w:val="single" w:sz="3" w:space="0" w:color="000000"/>
              <w:right w:val="single" w:sz="3" w:space="0" w:color="000000"/>
            </w:tcBorders>
            <w:vAlign w:val="bottom"/>
          </w:tcPr>
          <w:p w14:paraId="67110EF4" w14:textId="77777777" w:rsidR="00165D83" w:rsidRPr="00163E6F" w:rsidRDefault="00165D83">
            <w:pPr>
              <w:keepNext/>
              <w:autoSpaceDE w:val="0"/>
              <w:autoSpaceDN w:val="0"/>
              <w:adjustRightInd w:val="0"/>
              <w:jc w:val="center"/>
            </w:pPr>
            <w:r w:rsidRPr="00163E6F">
              <w:rPr>
                <w:sz w:val="22"/>
              </w:rPr>
              <w:t>28 000</w:t>
            </w:r>
          </w:p>
        </w:tc>
        <w:tc>
          <w:tcPr>
            <w:tcW w:w="1943" w:type="dxa"/>
            <w:tcBorders>
              <w:top w:val="nil"/>
              <w:left w:val="nil"/>
              <w:bottom w:val="single" w:sz="3" w:space="0" w:color="000000"/>
              <w:right w:val="single" w:sz="3" w:space="0" w:color="000000"/>
            </w:tcBorders>
            <w:vAlign w:val="bottom"/>
          </w:tcPr>
          <w:p w14:paraId="14778C65" w14:textId="77777777" w:rsidR="00165D83" w:rsidRPr="00163E6F" w:rsidRDefault="00165D83">
            <w:pPr>
              <w:keepNext/>
              <w:autoSpaceDE w:val="0"/>
              <w:autoSpaceDN w:val="0"/>
              <w:adjustRightInd w:val="0"/>
              <w:jc w:val="center"/>
            </w:pPr>
            <w:r w:rsidRPr="00163E6F">
              <w:rPr>
                <w:sz w:val="22"/>
              </w:rPr>
              <w:t>385178</w:t>
            </w:r>
          </w:p>
        </w:tc>
        <w:tc>
          <w:tcPr>
            <w:tcW w:w="1657" w:type="dxa"/>
            <w:tcBorders>
              <w:top w:val="nil"/>
              <w:left w:val="nil"/>
              <w:bottom w:val="single" w:sz="3" w:space="0" w:color="000000"/>
              <w:right w:val="single" w:sz="3" w:space="0" w:color="000000"/>
            </w:tcBorders>
            <w:vAlign w:val="bottom"/>
          </w:tcPr>
          <w:p w14:paraId="4951CBCB" w14:textId="77777777" w:rsidR="00165D83" w:rsidRPr="00163E6F" w:rsidRDefault="00165D83">
            <w:pPr>
              <w:keepNext/>
              <w:autoSpaceDE w:val="0"/>
              <w:autoSpaceDN w:val="0"/>
              <w:adjustRightInd w:val="0"/>
              <w:jc w:val="center"/>
            </w:pPr>
            <w:r w:rsidRPr="00163E6F">
              <w:rPr>
                <w:sz w:val="22"/>
              </w:rPr>
              <w:t>7</w:t>
            </w:r>
          </w:p>
        </w:tc>
      </w:tr>
      <w:tr w:rsidR="00165D83" w:rsidRPr="00163E6F" w14:paraId="531013B5"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4EA9A63E" w14:textId="77777777" w:rsidR="00165D83" w:rsidRPr="00163E6F" w:rsidRDefault="00165D83">
            <w:pPr>
              <w:keepNext/>
              <w:autoSpaceDE w:val="0"/>
              <w:autoSpaceDN w:val="0"/>
              <w:adjustRightInd w:val="0"/>
              <w:jc w:val="center"/>
            </w:pPr>
            <w:r w:rsidRPr="00163E6F">
              <w:rPr>
                <w:bCs/>
                <w:sz w:val="22"/>
              </w:rPr>
              <w:t>8.</w:t>
            </w:r>
          </w:p>
        </w:tc>
        <w:tc>
          <w:tcPr>
            <w:tcW w:w="1940" w:type="dxa"/>
            <w:tcBorders>
              <w:top w:val="nil"/>
              <w:left w:val="nil"/>
              <w:bottom w:val="single" w:sz="3" w:space="0" w:color="000000"/>
              <w:right w:val="single" w:sz="3" w:space="0" w:color="000000"/>
            </w:tcBorders>
            <w:vAlign w:val="bottom"/>
          </w:tcPr>
          <w:p w14:paraId="5D5B73C9" w14:textId="77777777" w:rsidR="00165D83" w:rsidRPr="00163E6F" w:rsidRDefault="00165D83">
            <w:pPr>
              <w:keepNext/>
              <w:autoSpaceDE w:val="0"/>
              <w:autoSpaceDN w:val="0"/>
              <w:adjustRightInd w:val="0"/>
              <w:jc w:val="left"/>
            </w:pPr>
            <w:r w:rsidRPr="00163E6F">
              <w:rPr>
                <w:sz w:val="22"/>
              </w:rPr>
              <w:t>Baltkrievija</w:t>
            </w:r>
          </w:p>
        </w:tc>
        <w:tc>
          <w:tcPr>
            <w:tcW w:w="2537" w:type="dxa"/>
            <w:tcBorders>
              <w:top w:val="nil"/>
              <w:left w:val="nil"/>
              <w:bottom w:val="single" w:sz="3" w:space="0" w:color="000000"/>
              <w:right w:val="single" w:sz="3" w:space="0" w:color="000000"/>
            </w:tcBorders>
            <w:vAlign w:val="bottom"/>
          </w:tcPr>
          <w:p w14:paraId="1875C901" w14:textId="77777777" w:rsidR="00165D83" w:rsidRPr="00163E6F" w:rsidRDefault="00165D83">
            <w:pPr>
              <w:keepNext/>
              <w:autoSpaceDE w:val="0"/>
              <w:autoSpaceDN w:val="0"/>
              <w:adjustRightInd w:val="0"/>
              <w:jc w:val="center"/>
            </w:pPr>
            <w:r w:rsidRPr="00163E6F">
              <w:rPr>
                <w:sz w:val="22"/>
              </w:rPr>
              <w:t>24 000</w:t>
            </w:r>
          </w:p>
        </w:tc>
        <w:tc>
          <w:tcPr>
            <w:tcW w:w="1943" w:type="dxa"/>
            <w:tcBorders>
              <w:top w:val="nil"/>
              <w:left w:val="nil"/>
              <w:bottom w:val="single" w:sz="3" w:space="0" w:color="000000"/>
              <w:right w:val="single" w:sz="3" w:space="0" w:color="000000"/>
            </w:tcBorders>
            <w:vAlign w:val="bottom"/>
          </w:tcPr>
          <w:p w14:paraId="79ACDCD0" w14:textId="77777777" w:rsidR="00165D83" w:rsidRPr="00163E6F" w:rsidRDefault="00165D83">
            <w:pPr>
              <w:keepNext/>
              <w:autoSpaceDE w:val="0"/>
              <w:autoSpaceDN w:val="0"/>
              <w:adjustRightInd w:val="0"/>
              <w:jc w:val="center"/>
            </w:pPr>
            <w:r w:rsidRPr="00163E6F">
              <w:rPr>
                <w:sz w:val="22"/>
              </w:rPr>
              <w:t>207600</w:t>
            </w:r>
          </w:p>
        </w:tc>
        <w:tc>
          <w:tcPr>
            <w:tcW w:w="1657" w:type="dxa"/>
            <w:tcBorders>
              <w:top w:val="nil"/>
              <w:left w:val="nil"/>
              <w:bottom w:val="single" w:sz="3" w:space="0" w:color="000000"/>
              <w:right w:val="single" w:sz="3" w:space="0" w:color="000000"/>
            </w:tcBorders>
            <w:vAlign w:val="bottom"/>
          </w:tcPr>
          <w:p w14:paraId="77A01344" w14:textId="77777777" w:rsidR="00165D83" w:rsidRPr="00163E6F" w:rsidRDefault="00165D83">
            <w:pPr>
              <w:keepNext/>
              <w:autoSpaceDE w:val="0"/>
              <w:autoSpaceDN w:val="0"/>
              <w:adjustRightInd w:val="0"/>
              <w:jc w:val="center"/>
            </w:pPr>
            <w:r w:rsidRPr="00163E6F">
              <w:rPr>
                <w:sz w:val="22"/>
              </w:rPr>
              <w:t>12</w:t>
            </w:r>
          </w:p>
        </w:tc>
      </w:tr>
      <w:tr w:rsidR="00165D83" w:rsidRPr="00163E6F" w14:paraId="0336182A"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2AD0F846" w14:textId="77777777" w:rsidR="00165D83" w:rsidRPr="00163E6F" w:rsidRDefault="00165D83">
            <w:pPr>
              <w:keepNext/>
              <w:autoSpaceDE w:val="0"/>
              <w:autoSpaceDN w:val="0"/>
              <w:adjustRightInd w:val="0"/>
              <w:jc w:val="center"/>
            </w:pPr>
            <w:r w:rsidRPr="00163E6F">
              <w:rPr>
                <w:bCs/>
                <w:sz w:val="22"/>
              </w:rPr>
              <w:t>9.</w:t>
            </w:r>
          </w:p>
        </w:tc>
        <w:tc>
          <w:tcPr>
            <w:tcW w:w="1940" w:type="dxa"/>
            <w:tcBorders>
              <w:top w:val="nil"/>
              <w:left w:val="nil"/>
              <w:bottom w:val="single" w:sz="3" w:space="0" w:color="000000"/>
              <w:right w:val="single" w:sz="3" w:space="0" w:color="000000"/>
            </w:tcBorders>
            <w:vAlign w:val="bottom"/>
          </w:tcPr>
          <w:p w14:paraId="2DD15006" w14:textId="77777777" w:rsidR="00165D83" w:rsidRPr="00163E6F" w:rsidRDefault="00165D83">
            <w:pPr>
              <w:keepNext/>
              <w:autoSpaceDE w:val="0"/>
              <w:autoSpaceDN w:val="0"/>
              <w:adjustRightInd w:val="0"/>
              <w:jc w:val="left"/>
            </w:pPr>
            <w:r w:rsidRPr="00163E6F">
              <w:rPr>
                <w:sz w:val="22"/>
              </w:rPr>
              <w:t>Lielbritānija</w:t>
            </w:r>
          </w:p>
        </w:tc>
        <w:tc>
          <w:tcPr>
            <w:tcW w:w="2537" w:type="dxa"/>
            <w:tcBorders>
              <w:top w:val="nil"/>
              <w:left w:val="nil"/>
              <w:bottom w:val="single" w:sz="3" w:space="0" w:color="000000"/>
              <w:right w:val="single" w:sz="3" w:space="0" w:color="000000"/>
            </w:tcBorders>
            <w:vAlign w:val="bottom"/>
          </w:tcPr>
          <w:p w14:paraId="51F7D1AB" w14:textId="77777777" w:rsidR="00165D83" w:rsidRPr="00163E6F" w:rsidRDefault="00165D83">
            <w:pPr>
              <w:keepNext/>
              <w:autoSpaceDE w:val="0"/>
              <w:autoSpaceDN w:val="0"/>
              <w:adjustRightInd w:val="0"/>
              <w:jc w:val="center"/>
            </w:pPr>
            <w:r w:rsidRPr="00163E6F">
              <w:rPr>
                <w:sz w:val="22"/>
              </w:rPr>
              <w:t>17 500</w:t>
            </w:r>
          </w:p>
        </w:tc>
        <w:tc>
          <w:tcPr>
            <w:tcW w:w="1943" w:type="dxa"/>
            <w:tcBorders>
              <w:top w:val="nil"/>
              <w:left w:val="nil"/>
              <w:bottom w:val="single" w:sz="3" w:space="0" w:color="000000"/>
              <w:right w:val="single" w:sz="3" w:space="0" w:color="000000"/>
            </w:tcBorders>
            <w:vAlign w:val="bottom"/>
          </w:tcPr>
          <w:p w14:paraId="2B335EA5" w14:textId="77777777" w:rsidR="00165D83" w:rsidRPr="00163E6F" w:rsidRDefault="00165D83">
            <w:pPr>
              <w:keepNext/>
              <w:autoSpaceDE w:val="0"/>
              <w:autoSpaceDN w:val="0"/>
              <w:adjustRightInd w:val="0"/>
              <w:jc w:val="center"/>
            </w:pPr>
            <w:r w:rsidRPr="00163E6F">
              <w:rPr>
                <w:sz w:val="22"/>
              </w:rPr>
              <w:t>243610</w:t>
            </w:r>
          </w:p>
        </w:tc>
        <w:tc>
          <w:tcPr>
            <w:tcW w:w="1657" w:type="dxa"/>
            <w:tcBorders>
              <w:top w:val="nil"/>
              <w:left w:val="nil"/>
              <w:bottom w:val="single" w:sz="3" w:space="0" w:color="000000"/>
              <w:right w:val="single" w:sz="3" w:space="0" w:color="000000"/>
            </w:tcBorders>
            <w:vAlign w:val="bottom"/>
          </w:tcPr>
          <w:p w14:paraId="6CC2AB64" w14:textId="77777777" w:rsidR="00165D83" w:rsidRPr="00163E6F" w:rsidRDefault="00165D83">
            <w:pPr>
              <w:keepNext/>
              <w:autoSpaceDE w:val="0"/>
              <w:autoSpaceDN w:val="0"/>
              <w:adjustRightInd w:val="0"/>
              <w:jc w:val="center"/>
            </w:pPr>
            <w:r w:rsidRPr="00163E6F">
              <w:rPr>
                <w:sz w:val="22"/>
              </w:rPr>
              <w:t>7</w:t>
            </w:r>
          </w:p>
        </w:tc>
      </w:tr>
      <w:tr w:rsidR="00165D83" w:rsidRPr="00163E6F" w14:paraId="02CD25A4"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4D49A80C" w14:textId="77777777" w:rsidR="00165D83" w:rsidRPr="00163E6F" w:rsidRDefault="00165D83">
            <w:pPr>
              <w:keepNext/>
              <w:autoSpaceDE w:val="0"/>
              <w:autoSpaceDN w:val="0"/>
              <w:adjustRightInd w:val="0"/>
              <w:jc w:val="center"/>
            </w:pPr>
            <w:r w:rsidRPr="00163E6F">
              <w:rPr>
                <w:bCs/>
                <w:sz w:val="22"/>
              </w:rPr>
              <w:t>10.</w:t>
            </w:r>
          </w:p>
        </w:tc>
        <w:tc>
          <w:tcPr>
            <w:tcW w:w="1940" w:type="dxa"/>
            <w:tcBorders>
              <w:top w:val="nil"/>
              <w:left w:val="nil"/>
              <w:bottom w:val="single" w:sz="3" w:space="0" w:color="000000"/>
              <w:right w:val="single" w:sz="3" w:space="0" w:color="000000"/>
            </w:tcBorders>
            <w:vAlign w:val="bottom"/>
          </w:tcPr>
          <w:p w14:paraId="1DC0B552" w14:textId="77777777" w:rsidR="00165D83" w:rsidRPr="00163E6F" w:rsidRDefault="00165D83">
            <w:pPr>
              <w:keepNext/>
              <w:autoSpaceDE w:val="0"/>
              <w:autoSpaceDN w:val="0"/>
              <w:adjustRightInd w:val="0"/>
              <w:jc w:val="left"/>
            </w:pPr>
            <w:r w:rsidRPr="00163E6F">
              <w:rPr>
                <w:sz w:val="22"/>
              </w:rPr>
              <w:t>Vācija</w:t>
            </w:r>
          </w:p>
        </w:tc>
        <w:tc>
          <w:tcPr>
            <w:tcW w:w="2537" w:type="dxa"/>
            <w:tcBorders>
              <w:top w:val="nil"/>
              <w:left w:val="nil"/>
              <w:bottom w:val="single" w:sz="3" w:space="0" w:color="000000"/>
              <w:right w:val="single" w:sz="3" w:space="0" w:color="000000"/>
            </w:tcBorders>
            <w:vAlign w:val="bottom"/>
          </w:tcPr>
          <w:p w14:paraId="04F8D6EC" w14:textId="77777777" w:rsidR="00165D83" w:rsidRPr="00163E6F" w:rsidRDefault="00165D83">
            <w:pPr>
              <w:keepNext/>
              <w:autoSpaceDE w:val="0"/>
              <w:autoSpaceDN w:val="0"/>
              <w:adjustRightInd w:val="0"/>
              <w:jc w:val="center"/>
            </w:pPr>
            <w:r w:rsidRPr="00163E6F">
              <w:rPr>
                <w:sz w:val="22"/>
              </w:rPr>
              <w:t>14 000</w:t>
            </w:r>
          </w:p>
        </w:tc>
        <w:tc>
          <w:tcPr>
            <w:tcW w:w="1943" w:type="dxa"/>
            <w:tcBorders>
              <w:top w:val="nil"/>
              <w:left w:val="nil"/>
              <w:bottom w:val="single" w:sz="3" w:space="0" w:color="000000"/>
              <w:right w:val="single" w:sz="3" w:space="0" w:color="000000"/>
            </w:tcBorders>
            <w:vAlign w:val="bottom"/>
          </w:tcPr>
          <w:p w14:paraId="5959BDD3" w14:textId="77777777" w:rsidR="00165D83" w:rsidRPr="00163E6F" w:rsidRDefault="00165D83">
            <w:pPr>
              <w:keepNext/>
              <w:autoSpaceDE w:val="0"/>
              <w:autoSpaceDN w:val="0"/>
              <w:adjustRightInd w:val="0"/>
              <w:jc w:val="center"/>
            </w:pPr>
            <w:r w:rsidRPr="00163E6F">
              <w:rPr>
                <w:sz w:val="22"/>
              </w:rPr>
              <w:t>357376</w:t>
            </w:r>
          </w:p>
        </w:tc>
        <w:tc>
          <w:tcPr>
            <w:tcW w:w="1657" w:type="dxa"/>
            <w:tcBorders>
              <w:top w:val="nil"/>
              <w:left w:val="nil"/>
              <w:bottom w:val="single" w:sz="3" w:space="0" w:color="000000"/>
              <w:right w:val="single" w:sz="3" w:space="0" w:color="000000"/>
            </w:tcBorders>
            <w:vAlign w:val="bottom"/>
          </w:tcPr>
          <w:p w14:paraId="62D43A4A" w14:textId="77777777" w:rsidR="00165D83" w:rsidRPr="00163E6F" w:rsidRDefault="00165D83">
            <w:pPr>
              <w:keepNext/>
              <w:autoSpaceDE w:val="0"/>
              <w:autoSpaceDN w:val="0"/>
              <w:adjustRightInd w:val="0"/>
              <w:jc w:val="center"/>
            </w:pPr>
            <w:r w:rsidRPr="00163E6F">
              <w:rPr>
                <w:sz w:val="22"/>
              </w:rPr>
              <w:t>4</w:t>
            </w:r>
          </w:p>
        </w:tc>
      </w:tr>
      <w:tr w:rsidR="00165D83" w:rsidRPr="00163E6F" w14:paraId="5A759289"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1329C89E" w14:textId="77777777" w:rsidR="00165D83" w:rsidRPr="00163E6F" w:rsidRDefault="00165D83">
            <w:pPr>
              <w:keepNext/>
              <w:autoSpaceDE w:val="0"/>
              <w:autoSpaceDN w:val="0"/>
              <w:adjustRightInd w:val="0"/>
              <w:jc w:val="center"/>
            </w:pPr>
            <w:r w:rsidRPr="00163E6F">
              <w:rPr>
                <w:bCs/>
                <w:sz w:val="22"/>
              </w:rPr>
              <w:t>11.</w:t>
            </w:r>
          </w:p>
        </w:tc>
        <w:tc>
          <w:tcPr>
            <w:tcW w:w="1940" w:type="dxa"/>
            <w:tcBorders>
              <w:top w:val="nil"/>
              <w:left w:val="nil"/>
              <w:bottom w:val="single" w:sz="3" w:space="0" w:color="000000"/>
              <w:right w:val="single" w:sz="3" w:space="0" w:color="000000"/>
            </w:tcBorders>
            <w:vAlign w:val="bottom"/>
          </w:tcPr>
          <w:p w14:paraId="4502062E" w14:textId="77777777" w:rsidR="00165D83" w:rsidRPr="00163E6F" w:rsidRDefault="00165D83">
            <w:pPr>
              <w:keepNext/>
              <w:autoSpaceDE w:val="0"/>
              <w:autoSpaceDN w:val="0"/>
              <w:adjustRightInd w:val="0"/>
              <w:jc w:val="left"/>
            </w:pPr>
            <w:r w:rsidRPr="00163E6F">
              <w:rPr>
                <w:sz w:val="22"/>
              </w:rPr>
              <w:t>Polija</w:t>
            </w:r>
          </w:p>
        </w:tc>
        <w:tc>
          <w:tcPr>
            <w:tcW w:w="2537" w:type="dxa"/>
            <w:tcBorders>
              <w:top w:val="nil"/>
              <w:left w:val="nil"/>
              <w:bottom w:val="single" w:sz="3" w:space="0" w:color="000000"/>
              <w:right w:val="single" w:sz="3" w:space="0" w:color="000000"/>
            </w:tcBorders>
            <w:vAlign w:val="bottom"/>
          </w:tcPr>
          <w:p w14:paraId="79B3E6B4" w14:textId="77777777" w:rsidR="00165D83" w:rsidRPr="00163E6F" w:rsidRDefault="00165D83">
            <w:pPr>
              <w:keepNext/>
              <w:autoSpaceDE w:val="0"/>
              <w:autoSpaceDN w:val="0"/>
              <w:adjustRightInd w:val="0"/>
              <w:jc w:val="center"/>
            </w:pPr>
            <w:r w:rsidRPr="00163E6F">
              <w:rPr>
                <w:sz w:val="22"/>
              </w:rPr>
              <w:t>12 000</w:t>
            </w:r>
          </w:p>
        </w:tc>
        <w:tc>
          <w:tcPr>
            <w:tcW w:w="1943" w:type="dxa"/>
            <w:tcBorders>
              <w:top w:val="nil"/>
              <w:left w:val="nil"/>
              <w:bottom w:val="single" w:sz="3" w:space="0" w:color="000000"/>
              <w:right w:val="single" w:sz="3" w:space="0" w:color="000000"/>
            </w:tcBorders>
            <w:vAlign w:val="bottom"/>
          </w:tcPr>
          <w:p w14:paraId="05A678FC" w14:textId="77777777" w:rsidR="00165D83" w:rsidRPr="00163E6F" w:rsidRDefault="00165D83">
            <w:pPr>
              <w:keepNext/>
              <w:autoSpaceDE w:val="0"/>
              <w:autoSpaceDN w:val="0"/>
              <w:adjustRightInd w:val="0"/>
              <w:jc w:val="center"/>
            </w:pPr>
            <w:r w:rsidRPr="00163E6F">
              <w:rPr>
                <w:sz w:val="22"/>
              </w:rPr>
              <w:t>312679</w:t>
            </w:r>
          </w:p>
        </w:tc>
        <w:tc>
          <w:tcPr>
            <w:tcW w:w="1657" w:type="dxa"/>
            <w:tcBorders>
              <w:top w:val="nil"/>
              <w:left w:val="nil"/>
              <w:bottom w:val="single" w:sz="3" w:space="0" w:color="000000"/>
              <w:right w:val="single" w:sz="3" w:space="0" w:color="000000"/>
            </w:tcBorders>
            <w:vAlign w:val="bottom"/>
          </w:tcPr>
          <w:p w14:paraId="5E7C1D1C" w14:textId="77777777" w:rsidR="00165D83" w:rsidRPr="00163E6F" w:rsidRDefault="00165D83">
            <w:pPr>
              <w:keepNext/>
              <w:autoSpaceDE w:val="0"/>
              <w:autoSpaceDN w:val="0"/>
              <w:adjustRightInd w:val="0"/>
              <w:jc w:val="center"/>
            </w:pPr>
            <w:r w:rsidRPr="00163E6F">
              <w:rPr>
                <w:sz w:val="22"/>
              </w:rPr>
              <w:t>4</w:t>
            </w:r>
          </w:p>
        </w:tc>
      </w:tr>
      <w:tr w:rsidR="00165D83" w:rsidRPr="00163E6F" w14:paraId="7B49002E"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6B838A07" w14:textId="77777777" w:rsidR="00165D83" w:rsidRPr="00163E6F" w:rsidRDefault="00165D83">
            <w:pPr>
              <w:keepNext/>
              <w:autoSpaceDE w:val="0"/>
              <w:autoSpaceDN w:val="0"/>
              <w:adjustRightInd w:val="0"/>
              <w:jc w:val="center"/>
            </w:pPr>
            <w:r w:rsidRPr="00163E6F">
              <w:rPr>
                <w:bCs/>
                <w:sz w:val="22"/>
              </w:rPr>
              <w:t>12.</w:t>
            </w:r>
          </w:p>
        </w:tc>
        <w:tc>
          <w:tcPr>
            <w:tcW w:w="1940" w:type="dxa"/>
            <w:tcBorders>
              <w:top w:val="nil"/>
              <w:left w:val="nil"/>
              <w:bottom w:val="single" w:sz="3" w:space="0" w:color="000000"/>
              <w:right w:val="single" w:sz="3" w:space="0" w:color="000000"/>
            </w:tcBorders>
            <w:vAlign w:val="bottom"/>
          </w:tcPr>
          <w:p w14:paraId="30531CD7" w14:textId="77777777" w:rsidR="00165D83" w:rsidRPr="00163E6F" w:rsidRDefault="00165D83">
            <w:pPr>
              <w:keepNext/>
              <w:autoSpaceDE w:val="0"/>
              <w:autoSpaceDN w:val="0"/>
              <w:adjustRightInd w:val="0"/>
              <w:jc w:val="left"/>
            </w:pPr>
            <w:r w:rsidRPr="00163E6F">
              <w:rPr>
                <w:sz w:val="22"/>
              </w:rPr>
              <w:t>Ukraina</w:t>
            </w:r>
          </w:p>
        </w:tc>
        <w:tc>
          <w:tcPr>
            <w:tcW w:w="2537" w:type="dxa"/>
            <w:tcBorders>
              <w:top w:val="nil"/>
              <w:left w:val="nil"/>
              <w:bottom w:val="single" w:sz="3" w:space="0" w:color="000000"/>
              <w:right w:val="single" w:sz="3" w:space="0" w:color="000000"/>
            </w:tcBorders>
            <w:vAlign w:val="bottom"/>
          </w:tcPr>
          <w:p w14:paraId="7F8625F7" w14:textId="77777777" w:rsidR="00165D83" w:rsidRPr="00163E6F" w:rsidRDefault="00165D83">
            <w:pPr>
              <w:keepNext/>
              <w:autoSpaceDE w:val="0"/>
              <w:autoSpaceDN w:val="0"/>
              <w:adjustRightInd w:val="0"/>
              <w:jc w:val="center"/>
            </w:pPr>
            <w:r w:rsidRPr="00163E6F">
              <w:rPr>
                <w:sz w:val="22"/>
              </w:rPr>
              <w:t>10 000</w:t>
            </w:r>
          </w:p>
        </w:tc>
        <w:tc>
          <w:tcPr>
            <w:tcW w:w="1943" w:type="dxa"/>
            <w:tcBorders>
              <w:top w:val="nil"/>
              <w:left w:val="nil"/>
              <w:bottom w:val="single" w:sz="3" w:space="0" w:color="000000"/>
              <w:right w:val="single" w:sz="3" w:space="0" w:color="000000"/>
            </w:tcBorders>
            <w:vAlign w:val="bottom"/>
          </w:tcPr>
          <w:p w14:paraId="586B67F8" w14:textId="77777777" w:rsidR="00165D83" w:rsidRPr="00163E6F" w:rsidRDefault="00165D83">
            <w:pPr>
              <w:keepNext/>
              <w:autoSpaceDE w:val="0"/>
              <w:autoSpaceDN w:val="0"/>
              <w:adjustRightInd w:val="0"/>
              <w:jc w:val="center"/>
            </w:pPr>
            <w:r w:rsidRPr="00163E6F">
              <w:rPr>
                <w:sz w:val="22"/>
              </w:rPr>
              <w:t>603628</w:t>
            </w:r>
          </w:p>
        </w:tc>
        <w:tc>
          <w:tcPr>
            <w:tcW w:w="1657" w:type="dxa"/>
            <w:tcBorders>
              <w:top w:val="nil"/>
              <w:left w:val="nil"/>
              <w:bottom w:val="single" w:sz="3" w:space="0" w:color="000000"/>
              <w:right w:val="single" w:sz="3" w:space="0" w:color="000000"/>
            </w:tcBorders>
            <w:vAlign w:val="bottom"/>
          </w:tcPr>
          <w:p w14:paraId="2B807D05" w14:textId="77777777" w:rsidR="00165D83" w:rsidRPr="00163E6F" w:rsidRDefault="00165D83">
            <w:pPr>
              <w:keepNext/>
              <w:autoSpaceDE w:val="0"/>
              <w:autoSpaceDN w:val="0"/>
              <w:adjustRightInd w:val="0"/>
              <w:jc w:val="center"/>
            </w:pPr>
            <w:r w:rsidRPr="00163E6F">
              <w:rPr>
                <w:sz w:val="22"/>
              </w:rPr>
              <w:t>2</w:t>
            </w:r>
          </w:p>
        </w:tc>
      </w:tr>
      <w:tr w:rsidR="00165D83" w:rsidRPr="00163E6F" w14:paraId="725BBCCB" w14:textId="77777777">
        <w:trPr>
          <w:trHeight w:val="300"/>
        </w:trPr>
        <w:tc>
          <w:tcPr>
            <w:tcW w:w="1318" w:type="dxa"/>
            <w:tcBorders>
              <w:top w:val="nil"/>
              <w:left w:val="single" w:sz="3" w:space="0" w:color="000000"/>
              <w:bottom w:val="single" w:sz="3" w:space="0" w:color="000000"/>
              <w:right w:val="single" w:sz="3" w:space="0" w:color="000000"/>
            </w:tcBorders>
            <w:vAlign w:val="bottom"/>
          </w:tcPr>
          <w:p w14:paraId="3A98DCF9" w14:textId="77777777" w:rsidR="00165D83" w:rsidRPr="00163E6F" w:rsidRDefault="00165D83">
            <w:pPr>
              <w:keepNext/>
              <w:autoSpaceDE w:val="0"/>
              <w:autoSpaceDN w:val="0"/>
              <w:adjustRightInd w:val="0"/>
              <w:jc w:val="center"/>
            </w:pPr>
            <w:r w:rsidRPr="00163E6F">
              <w:rPr>
                <w:bCs/>
                <w:sz w:val="22"/>
              </w:rPr>
              <w:t>13.</w:t>
            </w:r>
          </w:p>
        </w:tc>
        <w:tc>
          <w:tcPr>
            <w:tcW w:w="1940" w:type="dxa"/>
            <w:tcBorders>
              <w:top w:val="nil"/>
              <w:left w:val="nil"/>
              <w:bottom w:val="single" w:sz="3" w:space="0" w:color="000000"/>
              <w:right w:val="single" w:sz="3" w:space="0" w:color="000000"/>
            </w:tcBorders>
            <w:vAlign w:val="bottom"/>
          </w:tcPr>
          <w:p w14:paraId="15620477" w14:textId="77777777" w:rsidR="00165D83" w:rsidRPr="00163E6F" w:rsidRDefault="00165D83">
            <w:pPr>
              <w:keepNext/>
              <w:autoSpaceDE w:val="0"/>
              <w:autoSpaceDN w:val="0"/>
              <w:adjustRightInd w:val="0"/>
              <w:jc w:val="left"/>
            </w:pPr>
            <w:r w:rsidRPr="00163E6F">
              <w:rPr>
                <w:sz w:val="22"/>
              </w:rPr>
              <w:t>Igaunija</w:t>
            </w:r>
          </w:p>
        </w:tc>
        <w:tc>
          <w:tcPr>
            <w:tcW w:w="2537" w:type="dxa"/>
            <w:tcBorders>
              <w:top w:val="nil"/>
              <w:left w:val="nil"/>
              <w:bottom w:val="single" w:sz="3" w:space="0" w:color="000000"/>
              <w:right w:val="single" w:sz="3" w:space="0" w:color="000000"/>
            </w:tcBorders>
            <w:vAlign w:val="bottom"/>
          </w:tcPr>
          <w:p w14:paraId="6C52120F" w14:textId="77777777" w:rsidR="00165D83" w:rsidRPr="00163E6F" w:rsidRDefault="00165D83">
            <w:pPr>
              <w:keepNext/>
              <w:autoSpaceDE w:val="0"/>
              <w:autoSpaceDN w:val="0"/>
              <w:adjustRightInd w:val="0"/>
              <w:jc w:val="center"/>
            </w:pPr>
            <w:r w:rsidRPr="00163E6F">
              <w:rPr>
                <w:sz w:val="22"/>
              </w:rPr>
              <w:t>9 000</w:t>
            </w:r>
          </w:p>
        </w:tc>
        <w:tc>
          <w:tcPr>
            <w:tcW w:w="1943" w:type="dxa"/>
            <w:tcBorders>
              <w:top w:val="nil"/>
              <w:left w:val="nil"/>
              <w:bottom w:val="single" w:sz="3" w:space="0" w:color="000000"/>
              <w:right w:val="single" w:sz="3" w:space="0" w:color="000000"/>
            </w:tcBorders>
            <w:vAlign w:val="bottom"/>
          </w:tcPr>
          <w:p w14:paraId="238BB892" w14:textId="77777777" w:rsidR="00165D83" w:rsidRPr="00163E6F" w:rsidRDefault="00165D83">
            <w:pPr>
              <w:keepNext/>
              <w:autoSpaceDE w:val="0"/>
              <w:autoSpaceDN w:val="0"/>
              <w:adjustRightInd w:val="0"/>
              <w:jc w:val="center"/>
            </w:pPr>
            <w:r w:rsidRPr="00163E6F">
              <w:rPr>
                <w:sz w:val="22"/>
              </w:rPr>
              <w:t>45339</w:t>
            </w:r>
          </w:p>
        </w:tc>
        <w:tc>
          <w:tcPr>
            <w:tcW w:w="1657" w:type="dxa"/>
            <w:tcBorders>
              <w:top w:val="nil"/>
              <w:left w:val="nil"/>
              <w:bottom w:val="single" w:sz="3" w:space="0" w:color="000000"/>
              <w:right w:val="single" w:sz="3" w:space="0" w:color="000000"/>
            </w:tcBorders>
            <w:vAlign w:val="bottom"/>
          </w:tcPr>
          <w:p w14:paraId="42347AE7" w14:textId="77777777" w:rsidR="00165D83" w:rsidRPr="00163E6F" w:rsidRDefault="00165D83">
            <w:pPr>
              <w:keepNext/>
              <w:autoSpaceDE w:val="0"/>
              <w:autoSpaceDN w:val="0"/>
              <w:adjustRightInd w:val="0"/>
              <w:jc w:val="center"/>
            </w:pPr>
            <w:r w:rsidRPr="00163E6F">
              <w:rPr>
                <w:sz w:val="22"/>
              </w:rPr>
              <w:t>20</w:t>
            </w:r>
          </w:p>
        </w:tc>
      </w:tr>
      <w:tr w:rsidR="00165D83" w:rsidRPr="00163E6F" w14:paraId="2E1F38B6" w14:textId="77777777">
        <w:trPr>
          <w:trHeight w:val="300"/>
        </w:trPr>
        <w:tc>
          <w:tcPr>
            <w:tcW w:w="1318" w:type="dxa"/>
            <w:tcBorders>
              <w:top w:val="nil"/>
              <w:left w:val="single" w:sz="3" w:space="0" w:color="000000"/>
              <w:bottom w:val="single" w:sz="3" w:space="0" w:color="000000"/>
              <w:right w:val="single" w:sz="3" w:space="0" w:color="000000"/>
            </w:tcBorders>
            <w:shd w:val="clear" w:color="auto" w:fill="DBE5F1"/>
            <w:vAlign w:val="bottom"/>
          </w:tcPr>
          <w:p w14:paraId="44669F86" w14:textId="77777777" w:rsidR="00165D83" w:rsidRPr="00163E6F" w:rsidRDefault="00165D83">
            <w:pPr>
              <w:keepNext/>
              <w:autoSpaceDE w:val="0"/>
              <w:autoSpaceDN w:val="0"/>
              <w:adjustRightInd w:val="0"/>
              <w:jc w:val="center"/>
            </w:pPr>
            <w:r w:rsidRPr="00163E6F">
              <w:rPr>
                <w:bCs/>
                <w:sz w:val="22"/>
              </w:rPr>
              <w:t>14.</w:t>
            </w:r>
          </w:p>
        </w:tc>
        <w:tc>
          <w:tcPr>
            <w:tcW w:w="1940" w:type="dxa"/>
            <w:tcBorders>
              <w:top w:val="nil"/>
              <w:left w:val="nil"/>
              <w:bottom w:val="single" w:sz="3" w:space="0" w:color="000000"/>
              <w:right w:val="single" w:sz="3" w:space="0" w:color="000000"/>
            </w:tcBorders>
            <w:shd w:val="clear" w:color="auto" w:fill="DBE5F1"/>
            <w:vAlign w:val="bottom"/>
          </w:tcPr>
          <w:p w14:paraId="3002A130" w14:textId="77777777" w:rsidR="00165D83" w:rsidRPr="00163E6F" w:rsidRDefault="00165D83">
            <w:pPr>
              <w:keepNext/>
              <w:autoSpaceDE w:val="0"/>
              <w:autoSpaceDN w:val="0"/>
              <w:adjustRightInd w:val="0"/>
              <w:jc w:val="left"/>
            </w:pPr>
            <w:r w:rsidRPr="00163E6F">
              <w:rPr>
                <w:sz w:val="22"/>
              </w:rPr>
              <w:t>Latvija</w:t>
            </w:r>
          </w:p>
        </w:tc>
        <w:tc>
          <w:tcPr>
            <w:tcW w:w="2537" w:type="dxa"/>
            <w:tcBorders>
              <w:top w:val="nil"/>
              <w:left w:val="nil"/>
              <w:bottom w:val="single" w:sz="3" w:space="0" w:color="000000"/>
              <w:right w:val="single" w:sz="3" w:space="0" w:color="000000"/>
            </w:tcBorders>
            <w:shd w:val="clear" w:color="auto" w:fill="DBE5F1"/>
            <w:vAlign w:val="bottom"/>
          </w:tcPr>
          <w:p w14:paraId="6FEE692E" w14:textId="77777777" w:rsidR="00165D83" w:rsidRPr="00163E6F" w:rsidRDefault="00165D83" w:rsidP="007F4710">
            <w:pPr>
              <w:keepNext/>
              <w:autoSpaceDE w:val="0"/>
              <w:autoSpaceDN w:val="0"/>
              <w:adjustRightInd w:val="0"/>
              <w:jc w:val="center"/>
            </w:pPr>
            <w:r w:rsidRPr="00163E6F">
              <w:rPr>
                <w:sz w:val="22"/>
              </w:rPr>
              <w:t>6</w:t>
            </w:r>
            <w:r w:rsidR="007F4710" w:rsidRPr="00163E6F">
              <w:rPr>
                <w:sz w:val="22"/>
              </w:rPr>
              <w:t>782</w:t>
            </w:r>
          </w:p>
        </w:tc>
        <w:tc>
          <w:tcPr>
            <w:tcW w:w="1943" w:type="dxa"/>
            <w:tcBorders>
              <w:top w:val="nil"/>
              <w:left w:val="nil"/>
              <w:bottom w:val="single" w:sz="3" w:space="0" w:color="000000"/>
              <w:right w:val="single" w:sz="3" w:space="0" w:color="000000"/>
            </w:tcBorders>
            <w:shd w:val="clear" w:color="auto" w:fill="DBE5F1"/>
            <w:vAlign w:val="bottom"/>
          </w:tcPr>
          <w:p w14:paraId="2845F323" w14:textId="77777777" w:rsidR="00165D83" w:rsidRPr="00163E6F" w:rsidRDefault="00165D83">
            <w:pPr>
              <w:keepNext/>
              <w:autoSpaceDE w:val="0"/>
              <w:autoSpaceDN w:val="0"/>
              <w:adjustRightInd w:val="0"/>
              <w:jc w:val="center"/>
            </w:pPr>
            <w:r w:rsidRPr="00163E6F">
              <w:rPr>
                <w:sz w:val="22"/>
              </w:rPr>
              <w:t>64589</w:t>
            </w:r>
          </w:p>
        </w:tc>
        <w:tc>
          <w:tcPr>
            <w:tcW w:w="1657" w:type="dxa"/>
            <w:tcBorders>
              <w:top w:val="nil"/>
              <w:left w:val="nil"/>
              <w:bottom w:val="single" w:sz="3" w:space="0" w:color="000000"/>
              <w:right w:val="single" w:sz="3" w:space="0" w:color="000000"/>
            </w:tcBorders>
            <w:shd w:val="clear" w:color="auto" w:fill="DBE5F1"/>
            <w:vAlign w:val="bottom"/>
          </w:tcPr>
          <w:p w14:paraId="1E8D4F12" w14:textId="77777777" w:rsidR="00165D83" w:rsidRPr="00163E6F" w:rsidRDefault="00165D83">
            <w:pPr>
              <w:keepNext/>
              <w:autoSpaceDE w:val="0"/>
              <w:autoSpaceDN w:val="0"/>
              <w:adjustRightInd w:val="0"/>
              <w:jc w:val="center"/>
            </w:pPr>
            <w:r w:rsidRPr="00163E6F">
              <w:rPr>
                <w:sz w:val="22"/>
              </w:rPr>
              <w:t>10</w:t>
            </w:r>
            <w:r w:rsidR="007F4710" w:rsidRPr="00163E6F">
              <w:rPr>
                <w:sz w:val="22"/>
              </w:rPr>
              <w:t>,5</w:t>
            </w:r>
          </w:p>
        </w:tc>
      </w:tr>
      <w:tr w:rsidR="00165D83" w:rsidRPr="00163E6F" w14:paraId="6DD3A4DC" w14:textId="77777777">
        <w:trPr>
          <w:trHeight w:val="300"/>
        </w:trPr>
        <w:tc>
          <w:tcPr>
            <w:tcW w:w="1318" w:type="dxa"/>
            <w:tcBorders>
              <w:top w:val="single" w:sz="3" w:space="0" w:color="000000"/>
              <w:left w:val="single" w:sz="3" w:space="0" w:color="000000"/>
              <w:bottom w:val="single" w:sz="3" w:space="0" w:color="000000"/>
              <w:right w:val="single" w:sz="3" w:space="0" w:color="000000"/>
            </w:tcBorders>
            <w:vAlign w:val="bottom"/>
          </w:tcPr>
          <w:p w14:paraId="7ECF696B" w14:textId="77777777" w:rsidR="00165D83" w:rsidRPr="00163E6F" w:rsidRDefault="00165D83">
            <w:pPr>
              <w:keepNext/>
              <w:autoSpaceDE w:val="0"/>
              <w:autoSpaceDN w:val="0"/>
              <w:adjustRightInd w:val="0"/>
              <w:jc w:val="center"/>
            </w:pPr>
            <w:r w:rsidRPr="00163E6F">
              <w:rPr>
                <w:bCs/>
                <w:sz w:val="22"/>
              </w:rPr>
              <w:t>15.</w:t>
            </w:r>
          </w:p>
        </w:tc>
        <w:tc>
          <w:tcPr>
            <w:tcW w:w="1940" w:type="dxa"/>
            <w:tcBorders>
              <w:top w:val="nil"/>
              <w:left w:val="nil"/>
              <w:bottom w:val="single" w:sz="3" w:space="0" w:color="000000"/>
              <w:right w:val="single" w:sz="3" w:space="0" w:color="000000"/>
            </w:tcBorders>
            <w:vAlign w:val="bottom"/>
          </w:tcPr>
          <w:p w14:paraId="760C1CC3" w14:textId="77777777" w:rsidR="00165D83" w:rsidRPr="00163E6F" w:rsidRDefault="00165D83">
            <w:pPr>
              <w:keepNext/>
              <w:autoSpaceDE w:val="0"/>
              <w:autoSpaceDN w:val="0"/>
              <w:adjustRightInd w:val="0"/>
              <w:jc w:val="left"/>
            </w:pPr>
            <w:r w:rsidRPr="00163E6F">
              <w:rPr>
                <w:sz w:val="22"/>
              </w:rPr>
              <w:t>Lietuva</w:t>
            </w:r>
          </w:p>
        </w:tc>
        <w:tc>
          <w:tcPr>
            <w:tcW w:w="2537" w:type="dxa"/>
            <w:tcBorders>
              <w:top w:val="nil"/>
              <w:left w:val="nil"/>
              <w:bottom w:val="single" w:sz="3" w:space="0" w:color="000000"/>
              <w:right w:val="single" w:sz="3" w:space="0" w:color="000000"/>
            </w:tcBorders>
            <w:vAlign w:val="bottom"/>
          </w:tcPr>
          <w:p w14:paraId="49B85E73" w14:textId="77777777" w:rsidR="00165D83" w:rsidRPr="00163E6F" w:rsidRDefault="00165D83">
            <w:pPr>
              <w:keepNext/>
              <w:autoSpaceDE w:val="0"/>
              <w:autoSpaceDN w:val="0"/>
              <w:adjustRightInd w:val="0"/>
              <w:jc w:val="center"/>
            </w:pPr>
            <w:r w:rsidRPr="00163E6F">
              <w:rPr>
                <w:sz w:val="22"/>
              </w:rPr>
              <w:t>3 500</w:t>
            </w:r>
          </w:p>
        </w:tc>
        <w:tc>
          <w:tcPr>
            <w:tcW w:w="1943" w:type="dxa"/>
            <w:tcBorders>
              <w:top w:val="nil"/>
              <w:left w:val="nil"/>
              <w:bottom w:val="single" w:sz="3" w:space="0" w:color="000000"/>
              <w:right w:val="single" w:sz="3" w:space="0" w:color="000000"/>
            </w:tcBorders>
            <w:vAlign w:val="bottom"/>
          </w:tcPr>
          <w:p w14:paraId="410C3420" w14:textId="77777777" w:rsidR="00165D83" w:rsidRPr="00163E6F" w:rsidRDefault="00165D83">
            <w:pPr>
              <w:keepNext/>
              <w:autoSpaceDE w:val="0"/>
              <w:autoSpaceDN w:val="0"/>
              <w:adjustRightInd w:val="0"/>
              <w:jc w:val="center"/>
            </w:pPr>
            <w:r w:rsidRPr="00163E6F">
              <w:rPr>
                <w:sz w:val="22"/>
              </w:rPr>
              <w:t>65300</w:t>
            </w:r>
          </w:p>
        </w:tc>
        <w:tc>
          <w:tcPr>
            <w:tcW w:w="1657" w:type="dxa"/>
            <w:tcBorders>
              <w:top w:val="nil"/>
              <w:left w:val="nil"/>
              <w:bottom w:val="single" w:sz="3" w:space="0" w:color="000000"/>
              <w:right w:val="single" w:sz="3" w:space="0" w:color="000000"/>
            </w:tcBorders>
            <w:vAlign w:val="bottom"/>
          </w:tcPr>
          <w:p w14:paraId="0C387B02" w14:textId="77777777" w:rsidR="00165D83" w:rsidRPr="00163E6F" w:rsidRDefault="00165D83">
            <w:pPr>
              <w:keepNext/>
              <w:autoSpaceDE w:val="0"/>
              <w:autoSpaceDN w:val="0"/>
              <w:adjustRightInd w:val="0"/>
              <w:jc w:val="center"/>
            </w:pPr>
            <w:r w:rsidRPr="00163E6F">
              <w:rPr>
                <w:sz w:val="22"/>
              </w:rPr>
              <w:t>5</w:t>
            </w:r>
          </w:p>
        </w:tc>
      </w:tr>
    </w:tbl>
    <w:p w14:paraId="6B688168" w14:textId="77777777" w:rsidR="00165D83" w:rsidRPr="00163E6F" w:rsidRDefault="00165D83" w:rsidP="00165D83">
      <w:pPr>
        <w:autoSpaceDE w:val="0"/>
        <w:autoSpaceDN w:val="0"/>
        <w:adjustRightInd w:val="0"/>
        <w:spacing w:after="120"/>
        <w:ind w:firstLine="720"/>
        <w:rPr>
          <w:szCs w:val="24"/>
        </w:rPr>
      </w:pPr>
    </w:p>
    <w:p w14:paraId="23396BCB"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Kanāda ieņem otro vietu </w:t>
      </w:r>
      <w:r w:rsidR="00991A4F" w:rsidRPr="00163E6F">
        <w:rPr>
          <w:szCs w:val="24"/>
        </w:rPr>
        <w:t xml:space="preserve">purvu platību ziņā – </w:t>
      </w:r>
      <w:r w:rsidRPr="00163E6F">
        <w:rPr>
          <w:szCs w:val="24"/>
        </w:rPr>
        <w:t>tās purvu kopējā platība ir 1 100 000 km</w:t>
      </w:r>
      <w:r w:rsidRPr="00163E6F">
        <w:rPr>
          <w:szCs w:val="24"/>
          <w:vertAlign w:val="superscript"/>
        </w:rPr>
        <w:t>2</w:t>
      </w:r>
      <w:r w:rsidRPr="00163E6F">
        <w:rPr>
          <w:szCs w:val="24"/>
        </w:rPr>
        <w:t xml:space="preserve">. Tomēr Kanāda ir galvenais kūdras ražotājs un eksportētājs pasaulē. Galvenie eksporta tirgi ir </w:t>
      </w:r>
      <w:r w:rsidR="00991A4F" w:rsidRPr="00163E6F">
        <w:rPr>
          <w:szCs w:val="24"/>
        </w:rPr>
        <w:t>ASV, Meksika, Dienvidamerika, Japāna, Koreja, Ziemeļāfrika</w:t>
      </w:r>
      <w:r w:rsidRPr="00163E6F">
        <w:rPr>
          <w:szCs w:val="24"/>
        </w:rPr>
        <w:t xml:space="preserve">, </w:t>
      </w:r>
      <w:r w:rsidR="00991A4F" w:rsidRPr="00163E6F">
        <w:rPr>
          <w:szCs w:val="24"/>
        </w:rPr>
        <w:t>u.c. Galvenokārt</w:t>
      </w:r>
      <w:r w:rsidR="000D2E49" w:rsidRPr="00163E6F">
        <w:rPr>
          <w:szCs w:val="24"/>
        </w:rPr>
        <w:t>,</w:t>
      </w:r>
      <w:r w:rsidR="00991A4F" w:rsidRPr="00163E6F">
        <w:rPr>
          <w:szCs w:val="24"/>
        </w:rPr>
        <w:t xml:space="preserve"> tiek eksportēts</w:t>
      </w:r>
      <w:r w:rsidRPr="00163E6F">
        <w:rPr>
          <w:szCs w:val="24"/>
        </w:rPr>
        <w:t xml:space="preserve"> dārzkopībai nepieciešamais kūdras substrāts (Peat and peatlands).</w:t>
      </w:r>
    </w:p>
    <w:p w14:paraId="6CE90BB5"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Trešā lielākā valsts pēc </w:t>
      </w:r>
      <w:r w:rsidR="006F327D" w:rsidRPr="00163E6F">
        <w:rPr>
          <w:szCs w:val="24"/>
        </w:rPr>
        <w:t>kūdras purvu</w:t>
      </w:r>
      <w:r w:rsidRPr="00163E6F">
        <w:rPr>
          <w:szCs w:val="24"/>
        </w:rPr>
        <w:t xml:space="preserve"> platības ir ASV</w:t>
      </w:r>
      <w:r w:rsidR="006F327D" w:rsidRPr="00163E6F">
        <w:rPr>
          <w:szCs w:val="24"/>
        </w:rPr>
        <w:t xml:space="preserve"> –</w:t>
      </w:r>
      <w:r w:rsidRPr="00163E6F">
        <w:rPr>
          <w:szCs w:val="24"/>
        </w:rPr>
        <w:t xml:space="preserve"> 625 000 km</w:t>
      </w:r>
      <w:r w:rsidRPr="00163E6F">
        <w:rPr>
          <w:szCs w:val="24"/>
          <w:vertAlign w:val="superscript"/>
        </w:rPr>
        <w:t>2</w:t>
      </w:r>
      <w:r w:rsidRPr="00163E6F">
        <w:rPr>
          <w:szCs w:val="24"/>
        </w:rPr>
        <w:t xml:space="preserve">, no kuriem lielākā daļa atrodas Aļaskā. ASV galvenās kūdras atradnes ir ziemeļu štatos - Minesotas, Mičiganas un Viskonsīnas, arī gar austrumu piekrasti no Menas štata līdz Floridas štatam un gar </w:t>
      </w:r>
      <w:r w:rsidR="006F327D" w:rsidRPr="00163E6F">
        <w:rPr>
          <w:szCs w:val="24"/>
        </w:rPr>
        <w:t>Meksikas</w:t>
      </w:r>
      <w:r w:rsidRPr="00163E6F">
        <w:rPr>
          <w:szCs w:val="24"/>
        </w:rPr>
        <w:t xml:space="preserve"> līča piekrastes reģionu, līdz Luiziānas štatam.</w:t>
      </w:r>
    </w:p>
    <w:p w14:paraId="43730B1A" w14:textId="77777777" w:rsidR="00165D83" w:rsidRPr="00163E6F" w:rsidRDefault="00165D83" w:rsidP="006A01B9">
      <w:pPr>
        <w:pStyle w:val="Heading2"/>
      </w:pPr>
      <w:bookmarkStart w:id="6" w:name="_Toc497573980"/>
      <w:r w:rsidRPr="00163E6F">
        <w:t>Purvi Latvijā</w:t>
      </w:r>
      <w:bookmarkEnd w:id="6"/>
    </w:p>
    <w:p w14:paraId="2F7DB119" w14:textId="77777777" w:rsidR="00101261" w:rsidRPr="00163E6F" w:rsidRDefault="00101261" w:rsidP="00101261">
      <w:pPr>
        <w:autoSpaceDE w:val="0"/>
        <w:autoSpaceDN w:val="0"/>
        <w:adjustRightInd w:val="0"/>
        <w:spacing w:after="120"/>
        <w:ind w:firstLine="720"/>
        <w:rPr>
          <w:szCs w:val="24"/>
        </w:rPr>
      </w:pPr>
      <w:r w:rsidRPr="00163E6F">
        <w:rPr>
          <w:szCs w:val="24"/>
        </w:rPr>
        <w:t xml:space="preserve">Purvs ir raksturojams kā pārmērīgi slapja vieta, kur augsnes cilmiezi sedz kūdras kārta, kuras biezums dabīgajā stāvoklī ir lielāks par 30 cm. Purvu rašanās un veidošanās var notikt dažādi, bet </w:t>
      </w:r>
      <w:r w:rsidR="000D2E49" w:rsidRPr="00163E6F">
        <w:rPr>
          <w:szCs w:val="24"/>
        </w:rPr>
        <w:t>galvenie no tiem ir</w:t>
      </w:r>
      <w:r w:rsidRPr="00163E6F">
        <w:rPr>
          <w:szCs w:val="24"/>
        </w:rPr>
        <w:t xml:space="preserve"> brīvu ūdeņu aizaugšana un sauszemes pārpurvošanās. Brīvu ūdeņu aizaugšanas gadījumā purvs veidojas, attīstoties ūdens augiem un uzkrājoties to atliekām. Tā rezultātā ūdens daudzums baseinā laika gaitā samazinās un uzkrājas kūdras kārta. Sauszemes pārpurvošanās gadījumā, purvs veidojas, savairojoties augiem, kas saista ūdeni un rada velēnu, tādā veidā ūdens daudzums uz sauszemes pieaug.</w:t>
      </w:r>
    </w:p>
    <w:p w14:paraId="03FFDEF5" w14:textId="196B4C03" w:rsidR="00165D83" w:rsidRPr="00163E6F" w:rsidRDefault="004C2FD6" w:rsidP="00165D83">
      <w:pPr>
        <w:autoSpaceDE w:val="0"/>
        <w:autoSpaceDN w:val="0"/>
        <w:adjustRightInd w:val="0"/>
        <w:spacing w:after="120"/>
        <w:ind w:firstLine="720"/>
        <w:rPr>
          <w:szCs w:val="24"/>
        </w:rPr>
      </w:pPr>
      <w:r w:rsidRPr="00163E6F">
        <w:rPr>
          <w:szCs w:val="24"/>
        </w:rPr>
        <w:t>Kūdras purvu platības</w:t>
      </w:r>
      <w:r w:rsidR="00165D83" w:rsidRPr="00163E6F">
        <w:rPr>
          <w:szCs w:val="24"/>
        </w:rPr>
        <w:t xml:space="preserve"> aizņem</w:t>
      </w:r>
      <w:r w:rsidR="00761110" w:rsidRPr="00163E6F">
        <w:rPr>
          <w:szCs w:val="24"/>
        </w:rPr>
        <w:t xml:space="preserve"> ap</w:t>
      </w:r>
      <w:r w:rsidR="00165D83" w:rsidRPr="00163E6F">
        <w:rPr>
          <w:szCs w:val="24"/>
        </w:rPr>
        <w:t xml:space="preserve"> 10</w:t>
      </w:r>
      <w:r w:rsidR="00761110" w:rsidRPr="00163E6F">
        <w:rPr>
          <w:szCs w:val="24"/>
        </w:rPr>
        <w:t>,5</w:t>
      </w:r>
      <w:r w:rsidR="00165D83" w:rsidRPr="00163E6F">
        <w:rPr>
          <w:szCs w:val="24"/>
        </w:rPr>
        <w:t xml:space="preserve">% no Latvijas teritorijas </w:t>
      </w:r>
      <w:r w:rsidRPr="00163E6F">
        <w:rPr>
          <w:szCs w:val="24"/>
        </w:rPr>
        <w:t>6</w:t>
      </w:r>
      <w:r w:rsidR="000D2E49" w:rsidRPr="00163E6F">
        <w:rPr>
          <w:szCs w:val="24"/>
        </w:rPr>
        <w:t>782</w:t>
      </w:r>
      <w:r w:rsidRPr="00163E6F">
        <w:rPr>
          <w:szCs w:val="24"/>
        </w:rPr>
        <w:t>km</w:t>
      </w:r>
      <w:r w:rsidRPr="00163E6F">
        <w:rPr>
          <w:szCs w:val="24"/>
          <w:vertAlign w:val="superscript"/>
        </w:rPr>
        <w:t>2</w:t>
      </w:r>
      <w:r w:rsidR="00165D83" w:rsidRPr="00163E6F">
        <w:rPr>
          <w:szCs w:val="24"/>
        </w:rPr>
        <w:t>, 70%</w:t>
      </w:r>
      <w:r w:rsidR="00761110" w:rsidRPr="00163E6F">
        <w:rPr>
          <w:szCs w:val="24"/>
        </w:rPr>
        <w:t xml:space="preserve"> no purvu teritorijas ir dabīga</w:t>
      </w:r>
      <w:r w:rsidR="00165D83" w:rsidRPr="00163E6F">
        <w:rPr>
          <w:szCs w:val="24"/>
        </w:rPr>
        <w:t xml:space="preserve"> </w:t>
      </w:r>
      <w:r w:rsidR="00761110" w:rsidRPr="00163E6F">
        <w:rPr>
          <w:szCs w:val="24"/>
        </w:rPr>
        <w:t>(</w:t>
      </w:r>
      <w:r w:rsidR="00165D83" w:rsidRPr="00163E6F">
        <w:rPr>
          <w:szCs w:val="24"/>
        </w:rPr>
        <w:t>neskarta</w:t>
      </w:r>
      <w:r w:rsidR="00761110" w:rsidRPr="00163E6F">
        <w:rPr>
          <w:szCs w:val="24"/>
        </w:rPr>
        <w:t>),</w:t>
      </w:r>
      <w:r w:rsidR="00165D83" w:rsidRPr="00163E6F">
        <w:rPr>
          <w:szCs w:val="24"/>
        </w:rPr>
        <w:t xml:space="preserve"> no tā 20% ir Natura 2000 aizsardzībā 128 000 ha un 50% ir citi dabīgie purvāji</w:t>
      </w:r>
      <w:r w:rsidR="00B4062E">
        <w:rPr>
          <w:szCs w:val="24"/>
        </w:rPr>
        <w:t xml:space="preserve"> (2.att.)</w:t>
      </w:r>
      <w:r w:rsidR="00165D83" w:rsidRPr="00163E6F">
        <w:rPr>
          <w:szCs w:val="24"/>
        </w:rPr>
        <w:t xml:space="preserve">. </w:t>
      </w:r>
    </w:p>
    <w:p w14:paraId="0A190C70"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Pēc veģetācijas īpašībām, kūdru veidojošo augu botāniskā sastāva, izšķir augstos jeb sūnu purvus, zemos jeb zāļu purv</w:t>
      </w:r>
      <w:r w:rsidR="009B3F32" w:rsidRPr="00163E6F">
        <w:rPr>
          <w:szCs w:val="24"/>
        </w:rPr>
        <w:t xml:space="preserve">us un pārejas purvus. Latvijā </w:t>
      </w:r>
      <w:r w:rsidR="00836A60" w:rsidRPr="00163E6F">
        <w:rPr>
          <w:szCs w:val="24"/>
        </w:rPr>
        <w:t>41</w:t>
      </w:r>
      <w:r w:rsidR="00687C14" w:rsidRPr="00163E6F">
        <w:rPr>
          <w:szCs w:val="24"/>
        </w:rPr>
        <w:t>,7</w:t>
      </w:r>
      <w:r w:rsidR="009B3F32" w:rsidRPr="00163E6F">
        <w:rPr>
          <w:szCs w:val="24"/>
        </w:rPr>
        <w:t xml:space="preserve">% ir augstie purvi, </w:t>
      </w:r>
      <w:r w:rsidR="00836A60" w:rsidRPr="00163E6F">
        <w:rPr>
          <w:szCs w:val="24"/>
        </w:rPr>
        <w:t>49,3</w:t>
      </w:r>
      <w:r w:rsidRPr="00163E6F">
        <w:rPr>
          <w:szCs w:val="24"/>
        </w:rPr>
        <w:t xml:space="preserve">% </w:t>
      </w:r>
      <w:r w:rsidR="009B3F32" w:rsidRPr="00163E6F">
        <w:rPr>
          <w:szCs w:val="24"/>
        </w:rPr>
        <w:t>ir</w:t>
      </w:r>
      <w:r w:rsidRPr="00163E6F">
        <w:rPr>
          <w:szCs w:val="24"/>
        </w:rPr>
        <w:t xml:space="preserve"> zem</w:t>
      </w:r>
      <w:r w:rsidR="009B3F32" w:rsidRPr="00163E6F">
        <w:rPr>
          <w:szCs w:val="24"/>
        </w:rPr>
        <w:t>ie purvi un 9% pārejas purvi</w:t>
      </w:r>
      <w:r w:rsidRPr="00163E6F">
        <w:rPr>
          <w:szCs w:val="24"/>
        </w:rPr>
        <w:t>.</w:t>
      </w:r>
    </w:p>
    <w:p w14:paraId="7DFED756" w14:textId="77777777" w:rsidR="006A74D5" w:rsidRPr="00163E6F" w:rsidRDefault="006A74D5" w:rsidP="00165D83">
      <w:pPr>
        <w:autoSpaceDE w:val="0"/>
        <w:autoSpaceDN w:val="0"/>
        <w:adjustRightInd w:val="0"/>
        <w:spacing w:after="120"/>
        <w:ind w:firstLine="720"/>
        <w:rPr>
          <w:szCs w:val="24"/>
        </w:rPr>
      </w:pPr>
      <w:r w:rsidRPr="00163E6F">
        <w:rPr>
          <w:szCs w:val="24"/>
        </w:rPr>
        <w:t>Augstie purvi veidojas vājas minerālās barošanās apstākļos, galvenokārt, lēzenu zemieņu ūdensšķirtņu rajonos. Šādās vietā galvenie kūdras veidotāji ir sfagnu jeb baltās sūnas, kas ļoti mazā mērā ir atkarīgas no augsnes un var iztikt ar nokrišņu minerālvielām. Augstajiem purviem ir kupolveida forma, ko nosaka sfagnu augšanas ātrums, it īpaši purva centrālajā, visvairāk apūdeņotajā daļā, kas izveidojas augstāka par nomalēm, no kurām ūdens daļēji aiztek.</w:t>
      </w:r>
    </w:p>
    <w:p w14:paraId="3497F65A" w14:textId="77777777" w:rsidR="00C25575" w:rsidRPr="00163E6F" w:rsidRDefault="00C25575" w:rsidP="00165D83">
      <w:pPr>
        <w:autoSpaceDE w:val="0"/>
        <w:autoSpaceDN w:val="0"/>
        <w:adjustRightInd w:val="0"/>
        <w:spacing w:after="120"/>
        <w:ind w:firstLine="720"/>
        <w:rPr>
          <w:szCs w:val="24"/>
        </w:rPr>
      </w:pPr>
      <w:r w:rsidRPr="00163E6F">
        <w:rPr>
          <w:szCs w:val="24"/>
        </w:rPr>
        <w:t xml:space="preserve">Zemie purvi veidojas ieplakās, upju ielejās, kur pieplūst virsūdeņi vai gruntsūdeņi. Daļa šo purvu aizņem aizsaukušu senezeru vietas. Šajos purvos galvenie kūdras veidotājaugi ir dažādi zālaugi (grīšļi, spilves, niedres u.c.), kā arī zaļās jeb hipnu sūnas, purvu bērzi un melnalkšņi. </w:t>
      </w:r>
    </w:p>
    <w:p w14:paraId="44D2BB21" w14:textId="77777777" w:rsidR="00C25575" w:rsidRPr="00163E6F" w:rsidRDefault="00C25575" w:rsidP="00165D83">
      <w:pPr>
        <w:autoSpaceDE w:val="0"/>
        <w:autoSpaceDN w:val="0"/>
        <w:adjustRightInd w:val="0"/>
        <w:spacing w:after="120"/>
        <w:ind w:firstLine="720"/>
        <w:rPr>
          <w:szCs w:val="24"/>
        </w:rPr>
      </w:pPr>
      <w:r w:rsidRPr="00163E6F">
        <w:rPr>
          <w:szCs w:val="24"/>
        </w:rPr>
        <w:t>Pārejas tipa purviem ir raksturīga samērā vāja minerālā barošanās un liels apūdeņojums. Pēc augu sastāva šī tipa purvos kūdru veido</w:t>
      </w:r>
      <w:r w:rsidR="00050D31" w:rsidRPr="00163E6F">
        <w:rPr>
          <w:szCs w:val="24"/>
        </w:rPr>
        <w:t xml:space="preserve"> </w:t>
      </w:r>
      <w:r w:rsidRPr="00163E6F">
        <w:rPr>
          <w:szCs w:val="24"/>
        </w:rPr>
        <w:t>mazāk prasīgie zemo purvu un prasīgākie augsto purvu augi – grīšļi, sfagnu un hipnu sūnas, zilenes, priedes, bērzi. Kūdras īpašības ir vidējas starp augsto un zemo purvu kūdru.</w:t>
      </w:r>
    </w:p>
    <w:p w14:paraId="6361B20F"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 </w:t>
      </w:r>
      <w:r w:rsidR="00382ADD" w:rsidRPr="009712CF">
        <w:rPr>
          <w:noProof/>
          <w:szCs w:val="24"/>
          <w:lang w:eastAsia="lv-LV"/>
        </w:rPr>
        <w:drawing>
          <wp:inline distT="0" distB="0" distL="0" distR="0" wp14:anchorId="0E65A48E" wp14:editId="6C6684F2">
            <wp:extent cx="5391785" cy="3070860"/>
            <wp:effectExtent l="0" t="0" r="0" b="0"/>
            <wp:docPr id="6" name="Chart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5F8D7D2"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 </w:t>
      </w:r>
      <w:r w:rsidRPr="00382ADD">
        <w:rPr>
          <w:szCs w:val="24"/>
        </w:rPr>
        <w:t>2.att.</w:t>
      </w:r>
      <w:r w:rsidRPr="00163E6F">
        <w:rPr>
          <w:szCs w:val="24"/>
        </w:rPr>
        <w:t xml:space="preserve"> Purvu izmantošana Latvijā </w:t>
      </w:r>
    </w:p>
    <w:p w14:paraId="267C5C1F" w14:textId="77777777" w:rsidR="003F7FF1" w:rsidRPr="00163E6F" w:rsidRDefault="003F7FF1" w:rsidP="003F7FF1">
      <w:pPr>
        <w:autoSpaceDE w:val="0"/>
        <w:autoSpaceDN w:val="0"/>
        <w:adjustRightInd w:val="0"/>
        <w:spacing w:after="120"/>
        <w:ind w:firstLine="720"/>
        <w:rPr>
          <w:szCs w:val="24"/>
        </w:rPr>
      </w:pPr>
      <w:r w:rsidRPr="00163E6F">
        <w:rPr>
          <w:szCs w:val="24"/>
        </w:rPr>
        <w:t xml:space="preserve">No ekonomiskā viedokļa, galvenais purvu resurss ir kūdra. Tomēr, purvu resursu izmantošana notiek ne tikai kūdras ieguves veidā to ar cilvēka un tehnikas darbību apstrādājot, bet arī pasīvi. Pasīvā veidā purvi izmantojami kā ainavas veidotāji, kā rekreācijas un izziņas avoti, kā bioloģiskās daudzveidības saglabātāji, kā ūdens uzkrājēji, kā oglekļa uzkrājēji, kas regulē klimatu, kā arī citos veidos. </w:t>
      </w:r>
    </w:p>
    <w:p w14:paraId="0BE6DA05" w14:textId="77777777" w:rsidR="00165D83" w:rsidRPr="00163E6F" w:rsidRDefault="00165D83" w:rsidP="006A01B9">
      <w:pPr>
        <w:pStyle w:val="Heading1"/>
      </w:pPr>
      <w:bookmarkStart w:id="7" w:name="_Toc497573981"/>
      <w:r w:rsidRPr="00163E6F">
        <w:t>Kūdras raksturojums</w:t>
      </w:r>
      <w:bookmarkEnd w:id="7"/>
    </w:p>
    <w:p w14:paraId="3246B39B" w14:textId="77777777" w:rsidR="00165D83" w:rsidRPr="00163E6F" w:rsidRDefault="00165D83" w:rsidP="006A01B9">
      <w:pPr>
        <w:pStyle w:val="Heading2"/>
      </w:pPr>
      <w:bookmarkStart w:id="8" w:name="_Toc497573982"/>
      <w:r w:rsidRPr="00163E6F">
        <w:t>Kas ir kūdra</w:t>
      </w:r>
      <w:bookmarkEnd w:id="8"/>
    </w:p>
    <w:p w14:paraId="5D650737" w14:textId="77777777" w:rsidR="00165D83" w:rsidRPr="00163E6F" w:rsidRDefault="00165D83" w:rsidP="00165D83">
      <w:pPr>
        <w:autoSpaceDE w:val="0"/>
        <w:autoSpaceDN w:val="0"/>
        <w:adjustRightInd w:val="0"/>
        <w:spacing w:after="120"/>
        <w:ind w:firstLine="720"/>
        <w:rPr>
          <w:szCs w:val="24"/>
        </w:rPr>
      </w:pPr>
      <w:r w:rsidRPr="00163E6F">
        <w:rPr>
          <w:szCs w:val="24"/>
        </w:rPr>
        <w:t>Ministru kabineta noteikumos Nr.570 (datums) „Derīgo izrakteņu ieguves kārtība” kūdra ir definēta kā „organogēns nogulumiezis, kura sausne satur ne vairāk par 50% minerālvielu un kas ir veidojies, paaugstināta mitruma un skābekļa nepietiekamības apstākļos sadaloties augu biomasai”.</w:t>
      </w:r>
    </w:p>
    <w:p w14:paraId="07D2B4E2" w14:textId="77777777" w:rsidR="00060BE8" w:rsidRPr="00163E6F" w:rsidRDefault="005969AF" w:rsidP="00060BE8">
      <w:pPr>
        <w:autoSpaceDE w:val="0"/>
        <w:autoSpaceDN w:val="0"/>
        <w:adjustRightInd w:val="0"/>
        <w:spacing w:after="120"/>
        <w:ind w:firstLine="720"/>
        <w:rPr>
          <w:szCs w:val="24"/>
        </w:rPr>
      </w:pPr>
      <w:r w:rsidRPr="00163E6F">
        <w:rPr>
          <w:szCs w:val="24"/>
        </w:rPr>
        <w:lastRenderedPageBreak/>
        <w:t xml:space="preserve">Kūdra ir organogēns nogulumiezis, kas veidojas no augu atliekām. Dabiskās kūdras krāsa ir brūna līdz melna, tā ir poraina, ar vizuāli atšķiramām augu atliekām un viegli sadalās gabalos. </w:t>
      </w:r>
      <w:r w:rsidR="00101261" w:rsidRPr="00163E6F">
        <w:rPr>
          <w:szCs w:val="24"/>
        </w:rPr>
        <w:t xml:space="preserve">Kūdra uzkrājas purvos un sastāv </w:t>
      </w:r>
      <w:r w:rsidR="00670141" w:rsidRPr="00163E6F">
        <w:rPr>
          <w:szCs w:val="24"/>
        </w:rPr>
        <w:t xml:space="preserve">no purvu augu atliekām dažādās </w:t>
      </w:r>
      <w:r w:rsidR="00101261" w:rsidRPr="00163E6F">
        <w:rPr>
          <w:szCs w:val="24"/>
        </w:rPr>
        <w:t xml:space="preserve">sadalīšanās pakāpēs. </w:t>
      </w:r>
      <w:r w:rsidR="00670141" w:rsidRPr="00163E6F">
        <w:rPr>
          <w:szCs w:val="24"/>
        </w:rPr>
        <w:t xml:space="preserve">Bioķīmisku procesu iespaidā augu atliekas pārveidojas par tumšu, amorfu organisko vielu – humusu. Humusa saturs raksturo kūdras sadalīšanās pakāpi, ko nosaka mikroskopiski. </w:t>
      </w:r>
      <w:r w:rsidR="00101261" w:rsidRPr="00163E6F">
        <w:rPr>
          <w:szCs w:val="24"/>
        </w:rPr>
        <w:t xml:space="preserve">Sadalīšanās </w:t>
      </w:r>
      <w:r w:rsidR="00670141" w:rsidRPr="00163E6F">
        <w:rPr>
          <w:szCs w:val="24"/>
        </w:rPr>
        <w:t xml:space="preserve">pakāpe atkarīga no </w:t>
      </w:r>
      <w:r w:rsidR="00101261" w:rsidRPr="00163E6F">
        <w:rPr>
          <w:szCs w:val="24"/>
        </w:rPr>
        <w:t>mitruma un gaisa pieplūdes apstākļi</w:t>
      </w:r>
      <w:r w:rsidR="00670141" w:rsidRPr="00163E6F">
        <w:rPr>
          <w:szCs w:val="24"/>
        </w:rPr>
        <w:t>em</w:t>
      </w:r>
      <w:r w:rsidR="00101261" w:rsidRPr="00163E6F">
        <w:rPr>
          <w:szCs w:val="24"/>
        </w:rPr>
        <w:t>.</w:t>
      </w:r>
    </w:p>
    <w:p w14:paraId="3971E4CB" w14:textId="77777777" w:rsidR="00F96E85" w:rsidRPr="00163E6F" w:rsidRDefault="00F96E85" w:rsidP="00F96E85">
      <w:pPr>
        <w:autoSpaceDE w:val="0"/>
        <w:autoSpaceDN w:val="0"/>
        <w:adjustRightInd w:val="0"/>
        <w:spacing w:after="120"/>
        <w:ind w:firstLine="720"/>
        <w:rPr>
          <w:i/>
          <w:iCs/>
          <w:color w:val="FF0000"/>
          <w:szCs w:val="24"/>
        </w:rPr>
      </w:pPr>
      <w:r w:rsidRPr="00163E6F">
        <w:rPr>
          <w:szCs w:val="24"/>
        </w:rPr>
        <w:t>Vidējais kūdras biezums Latvijā ir 1,5 – 3m, bet maksimālais – 17,9m (Mežmaļu – Bajāru purvā pie Baldones). Kūdras resursu veidošanās un uzkrāšanās joprojām turpinās, vidēji kūdras biezums palielinās no 1 līdz 4 mm gadā. Kūdras daudzums, kas uzkrājas purvā, nav konkrēti izmērāms, jo tas ir atkarīgs no kūdru veidojošo augu ikgadējā pieauguma un to sadalīšanās apstākļiem, atkarībā no ārēj</w:t>
      </w:r>
      <w:r w:rsidR="002036F3" w:rsidRPr="00163E6F">
        <w:rPr>
          <w:szCs w:val="24"/>
        </w:rPr>
        <w:t>ās ietekmes un laikapstākļiem, t</w:t>
      </w:r>
      <w:r w:rsidRPr="00163E6F">
        <w:rPr>
          <w:szCs w:val="24"/>
        </w:rPr>
        <w:t>āpēc katru gadu kūdras pieaugums var atšķirties. Lielāks kūdras daudzuma pieaugums parasti ir novērojams augstajos purvos.</w:t>
      </w:r>
    </w:p>
    <w:p w14:paraId="61631D68" w14:textId="77777777" w:rsidR="00060BE8" w:rsidRPr="00163E6F" w:rsidRDefault="00060BE8" w:rsidP="00060BE8">
      <w:pPr>
        <w:autoSpaceDE w:val="0"/>
        <w:autoSpaceDN w:val="0"/>
        <w:adjustRightInd w:val="0"/>
        <w:spacing w:after="120"/>
        <w:ind w:firstLine="720"/>
        <w:rPr>
          <w:szCs w:val="24"/>
        </w:rPr>
      </w:pPr>
    </w:p>
    <w:p w14:paraId="326BFA92" w14:textId="77777777" w:rsidR="00165D83" w:rsidRPr="00163E6F" w:rsidRDefault="00165D83" w:rsidP="006A01B9">
      <w:pPr>
        <w:pStyle w:val="Heading2"/>
      </w:pPr>
      <w:bookmarkStart w:id="9" w:name="_Toc497573983"/>
      <w:r w:rsidRPr="00163E6F">
        <w:t>Kūdras īpašības</w:t>
      </w:r>
      <w:bookmarkEnd w:id="9"/>
    </w:p>
    <w:p w14:paraId="73787A11" w14:textId="77777777" w:rsidR="0049765D" w:rsidRPr="00163E6F" w:rsidRDefault="00165D83" w:rsidP="00165D83">
      <w:pPr>
        <w:autoSpaceDE w:val="0"/>
        <w:autoSpaceDN w:val="0"/>
        <w:adjustRightInd w:val="0"/>
        <w:spacing w:after="120"/>
        <w:ind w:firstLine="720"/>
        <w:rPr>
          <w:szCs w:val="24"/>
        </w:rPr>
      </w:pPr>
      <w:r w:rsidRPr="00163E6F">
        <w:rPr>
          <w:szCs w:val="24"/>
        </w:rPr>
        <w:t>Kūdras īpašības iedala tehniskajās un fizikālajās, ķīmiskajās un fizikāli ķīmiskajās.</w:t>
      </w:r>
      <w:r w:rsidR="00050D31" w:rsidRPr="00163E6F">
        <w:rPr>
          <w:szCs w:val="24"/>
        </w:rPr>
        <w:t xml:space="preserve"> Galvenie faktori, kas nosaka kūdras ķīmisko sastāvu, tās fizikālās un tehniskās īpašības, ir veidošanās apstākļi un augu sastāvs.</w:t>
      </w:r>
      <w:r w:rsidRPr="00163E6F">
        <w:rPr>
          <w:szCs w:val="24"/>
        </w:rPr>
        <w:t xml:space="preserve"> </w:t>
      </w:r>
      <w:r w:rsidR="00050D31" w:rsidRPr="00163E6F">
        <w:rPr>
          <w:szCs w:val="24"/>
        </w:rPr>
        <w:t>T</w:t>
      </w:r>
      <w:r w:rsidRPr="00163E6F">
        <w:rPr>
          <w:szCs w:val="24"/>
        </w:rPr>
        <w:t>ehniskās īpašības ir botāniskais sastāvs, sadalīšanās pakāpe, pelnainība, mitrums, sadegšanas siltums, skābums, bet fizikālās īpašības ir blīvums, mehāniskā izturība, mitrumietilpība un ūdens uzsūcamība, frakciju sastāvs, struktūra un porainība, dispersitāte, birstamība, rukums u. c. Ķīmiskās īpašības raksturo ķīmiskais sastāvs, elementsastāvs u. c., bet fizikāli ķīmiskās īpašības raksturo kūdras siltumvadītspēja, elektrova</w:t>
      </w:r>
      <w:r w:rsidR="0049765D" w:rsidRPr="00163E6F">
        <w:rPr>
          <w:szCs w:val="24"/>
        </w:rPr>
        <w:t>dītspēja, katjonu sastāvs u. c.</w:t>
      </w:r>
    </w:p>
    <w:p w14:paraId="6FEFE5DE" w14:textId="77777777" w:rsidR="0049765D" w:rsidRPr="00163E6F" w:rsidRDefault="0049765D" w:rsidP="0049765D">
      <w:pPr>
        <w:autoSpaceDE w:val="0"/>
        <w:autoSpaceDN w:val="0"/>
        <w:adjustRightInd w:val="0"/>
        <w:spacing w:after="120"/>
        <w:ind w:firstLine="720"/>
        <w:rPr>
          <w:szCs w:val="24"/>
        </w:rPr>
      </w:pPr>
      <w:r w:rsidRPr="00163E6F">
        <w:rPr>
          <w:szCs w:val="24"/>
        </w:rPr>
        <w:t>Atkarībā no purva tipa (augstais, zemais vai pārejas), atšķiras arī kūdras īpašības.</w:t>
      </w:r>
      <w:r w:rsidR="00165D83" w:rsidRPr="00163E6F">
        <w:rPr>
          <w:szCs w:val="24"/>
        </w:rPr>
        <w:t xml:space="preserve"> </w:t>
      </w:r>
      <w:r w:rsidRPr="00163E6F">
        <w:rPr>
          <w:szCs w:val="24"/>
        </w:rPr>
        <w:t>Kopumā kūdrai raksturīgs mitrums 75 – 95%, tā satur līdz 20% minerālvielu (pelnu) un organiskos komponentus, kuri sastāv no oglekļa, ūdeņraža, slāpekļa, skābekļa, sēra un bituma. Kūdras satur viegli hidrolizējamu vielu (hemicelulozi, humīnskābes, fulvoskābes) un nehidrolizējamus komponentus (celulozi, lignīnu). Dabiskas kūdras blīvums ir 1400 – 1600kg/m</w:t>
      </w:r>
      <w:r w:rsidRPr="00163E6F">
        <w:rPr>
          <w:szCs w:val="24"/>
          <w:vertAlign w:val="superscript"/>
        </w:rPr>
        <w:t>3</w:t>
      </w:r>
      <w:r w:rsidRPr="00163E6F">
        <w:rPr>
          <w:szCs w:val="24"/>
        </w:rPr>
        <w:t>, raksturīga liela porainība (līdz 70 – 80%), augsta mitrumietilpība un spēja uzsūkt gāzes. Kūdras sadedzes siltums ir 11,3 – 14,6MJ/kg (2700- 3500kcal/kg)</w:t>
      </w:r>
      <w:r w:rsidR="008565E8" w:rsidRPr="00163E6F">
        <w:rPr>
          <w:szCs w:val="24"/>
        </w:rPr>
        <w:t xml:space="preserve"> (salīdzinājumam sausai malkai – 3000kcal/kg)</w:t>
      </w:r>
      <w:r w:rsidRPr="00163E6F">
        <w:rPr>
          <w:szCs w:val="24"/>
        </w:rPr>
        <w:t>. Pēc sadalīšanās pakāpes izšķir:</w:t>
      </w:r>
    </w:p>
    <w:p w14:paraId="6152740D" w14:textId="77777777" w:rsidR="0049765D" w:rsidRPr="00163E6F" w:rsidRDefault="00110A33" w:rsidP="0049765D">
      <w:pPr>
        <w:pStyle w:val="ListParagraph"/>
        <w:numPr>
          <w:ilvl w:val="0"/>
          <w:numId w:val="2"/>
        </w:numPr>
        <w:autoSpaceDE w:val="0"/>
        <w:autoSpaceDN w:val="0"/>
        <w:adjustRightInd w:val="0"/>
        <w:spacing w:after="120"/>
        <w:rPr>
          <w:szCs w:val="24"/>
        </w:rPr>
      </w:pPr>
      <w:r w:rsidRPr="00163E6F">
        <w:rPr>
          <w:szCs w:val="24"/>
        </w:rPr>
        <w:t>m</w:t>
      </w:r>
      <w:r w:rsidR="0049765D" w:rsidRPr="00163E6F">
        <w:rPr>
          <w:szCs w:val="24"/>
        </w:rPr>
        <w:t>az sadalījušos kūdru (&lt; 20%),</w:t>
      </w:r>
    </w:p>
    <w:p w14:paraId="333B010C" w14:textId="77777777" w:rsidR="0049765D" w:rsidRPr="00163E6F" w:rsidRDefault="00110A33" w:rsidP="0049765D">
      <w:pPr>
        <w:pStyle w:val="ListParagraph"/>
        <w:numPr>
          <w:ilvl w:val="0"/>
          <w:numId w:val="2"/>
        </w:numPr>
        <w:autoSpaceDE w:val="0"/>
        <w:autoSpaceDN w:val="0"/>
        <w:adjustRightInd w:val="0"/>
        <w:spacing w:after="120"/>
        <w:rPr>
          <w:szCs w:val="24"/>
        </w:rPr>
      </w:pPr>
      <w:r w:rsidRPr="00163E6F">
        <w:rPr>
          <w:szCs w:val="24"/>
        </w:rPr>
        <w:t>v</w:t>
      </w:r>
      <w:r w:rsidR="0049765D" w:rsidRPr="00163E6F">
        <w:rPr>
          <w:szCs w:val="24"/>
        </w:rPr>
        <w:t>idēji sadalījušos kūdru (20 – 35%),</w:t>
      </w:r>
    </w:p>
    <w:p w14:paraId="79A3F988" w14:textId="77777777" w:rsidR="0049765D" w:rsidRPr="00163E6F" w:rsidRDefault="00110A33" w:rsidP="0049765D">
      <w:pPr>
        <w:pStyle w:val="ListParagraph"/>
        <w:numPr>
          <w:ilvl w:val="0"/>
          <w:numId w:val="2"/>
        </w:numPr>
        <w:autoSpaceDE w:val="0"/>
        <w:autoSpaceDN w:val="0"/>
        <w:adjustRightInd w:val="0"/>
        <w:spacing w:after="120"/>
        <w:rPr>
          <w:szCs w:val="24"/>
        </w:rPr>
      </w:pPr>
      <w:r w:rsidRPr="00163E6F">
        <w:rPr>
          <w:szCs w:val="24"/>
        </w:rPr>
        <w:t>l</w:t>
      </w:r>
      <w:r w:rsidR="0049765D" w:rsidRPr="00163E6F">
        <w:rPr>
          <w:szCs w:val="24"/>
        </w:rPr>
        <w:t>abi sadalījušos kūdru (&gt; 35%).</w:t>
      </w:r>
    </w:p>
    <w:p w14:paraId="22A8BDE2" w14:textId="77777777" w:rsidR="0049765D" w:rsidRPr="00163E6F" w:rsidRDefault="0049765D" w:rsidP="0049765D">
      <w:pPr>
        <w:autoSpaceDE w:val="0"/>
        <w:autoSpaceDN w:val="0"/>
        <w:adjustRightInd w:val="0"/>
        <w:spacing w:after="120"/>
        <w:ind w:firstLine="720"/>
        <w:rPr>
          <w:szCs w:val="24"/>
        </w:rPr>
      </w:pPr>
      <w:r w:rsidRPr="00163E6F">
        <w:rPr>
          <w:szCs w:val="24"/>
        </w:rPr>
        <w:t>Parasti kūdras</w:t>
      </w:r>
      <w:r w:rsidRPr="00163E6F">
        <w:rPr>
          <w:color w:val="FFFFFF"/>
          <w:szCs w:val="24"/>
        </w:rPr>
        <w:t xml:space="preserve">. </w:t>
      </w:r>
      <w:r w:rsidRPr="00163E6F">
        <w:rPr>
          <w:szCs w:val="24"/>
        </w:rPr>
        <w:t xml:space="preserve">augšējais slānis lielākajā skaitā atradņu ir ar vāju sadalīšanās pakāpi, kam piemīt vērtīgas īpašības, līdz ar to tas ir populārākais dārzkopības materiāls. Bet kūdras apakšējais slānis satur kūdru ar lielāku sadalīšanās pakāpi, kam ir lielāka enerģētiskā vērtība. </w:t>
      </w:r>
    </w:p>
    <w:p w14:paraId="3E895B19" w14:textId="77777777" w:rsidR="00165D83" w:rsidRPr="00163E6F" w:rsidRDefault="00165D83" w:rsidP="006A01B9">
      <w:pPr>
        <w:pStyle w:val="Heading2"/>
      </w:pPr>
      <w:bookmarkStart w:id="10" w:name="_Toc497573984"/>
      <w:r w:rsidRPr="00163E6F">
        <w:t>Kūdras produktu izmantošana</w:t>
      </w:r>
      <w:bookmarkEnd w:id="10"/>
    </w:p>
    <w:p w14:paraId="36789950"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Tā kā kūdrai piemīt unikālas fizikālās un ķīmiskās īpašības, to var plaši pielietot un izmantot kā izejvielu dažādu produktu radīšanai un kā resursu dažādu nozaru attīstībai. </w:t>
      </w:r>
      <w:r w:rsidR="006E33AD" w:rsidRPr="00163E6F">
        <w:rPr>
          <w:szCs w:val="24"/>
        </w:rPr>
        <w:t xml:space="preserve">Tālāk apskatīti galvenie kūdras un no tās </w:t>
      </w:r>
      <w:r w:rsidR="006F0406" w:rsidRPr="00163E6F">
        <w:rPr>
          <w:szCs w:val="24"/>
        </w:rPr>
        <w:t>iegūstamo</w:t>
      </w:r>
      <w:r w:rsidR="006E33AD" w:rsidRPr="00163E6F">
        <w:rPr>
          <w:szCs w:val="24"/>
        </w:rPr>
        <w:t xml:space="preserve"> produktu pielietošanas veidi</w:t>
      </w:r>
      <w:r w:rsidRPr="00163E6F">
        <w:rPr>
          <w:szCs w:val="24"/>
        </w:rPr>
        <w:t>.</w:t>
      </w:r>
    </w:p>
    <w:p w14:paraId="4B9E53A0" w14:textId="77777777" w:rsidR="00165D83" w:rsidRPr="00163E6F" w:rsidRDefault="00A97858" w:rsidP="00165D83">
      <w:pPr>
        <w:autoSpaceDE w:val="0"/>
        <w:autoSpaceDN w:val="0"/>
        <w:adjustRightInd w:val="0"/>
        <w:spacing w:after="120"/>
        <w:ind w:firstLine="720"/>
        <w:rPr>
          <w:szCs w:val="24"/>
        </w:rPr>
      </w:pPr>
      <w:r w:rsidRPr="00163E6F">
        <w:rPr>
          <w:b/>
          <w:iCs/>
          <w:szCs w:val="24"/>
        </w:rPr>
        <w:t>T</w:t>
      </w:r>
      <w:r w:rsidR="00165D83" w:rsidRPr="00163E6F">
        <w:rPr>
          <w:b/>
          <w:iCs/>
          <w:szCs w:val="24"/>
        </w:rPr>
        <w:t>ekstilrūpniecībā</w:t>
      </w:r>
      <w:r w:rsidRPr="00163E6F">
        <w:rPr>
          <w:i/>
          <w:iCs/>
          <w:szCs w:val="24"/>
        </w:rPr>
        <w:t xml:space="preserve"> </w:t>
      </w:r>
      <w:r w:rsidRPr="00163E6F">
        <w:rPr>
          <w:iCs/>
          <w:szCs w:val="24"/>
        </w:rPr>
        <w:t>– k</w:t>
      </w:r>
      <w:r w:rsidR="00165D83" w:rsidRPr="00163E6F">
        <w:rPr>
          <w:szCs w:val="24"/>
        </w:rPr>
        <w:t xml:space="preserve">ūdras šķiedru iegūst no sadalītajām spilvju atliekām, kas sadalījušies gadu gaitā. Šķiedru satur spilvju kātiņi un lapu fragmenti. Spilves tiek izmantotas arī veģetācijas periodā, ievācot to ziedus un izmantojot tos kā mīksto pildījumu dīvāniem un spilveniem. Kūdras sastāvā esošās humīnskābes spēj absorbēt sāļus un sviedrus, un to sastāvā ir melanīns, kas aizsargā </w:t>
      </w:r>
      <w:r w:rsidR="00165D83" w:rsidRPr="00163E6F">
        <w:rPr>
          <w:szCs w:val="24"/>
        </w:rPr>
        <w:lastRenderedPageBreak/>
        <w:t>pret saules ultravioleto starojumu. Lai veidotu apģērbus no kūdras šķiedras, ieteicams izmantot 50% kūdras šķiedras un 50% vilnas.</w:t>
      </w:r>
    </w:p>
    <w:p w14:paraId="13FAF87F"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Ar kūdras </w:t>
      </w:r>
      <w:r w:rsidRPr="00163E6F">
        <w:rPr>
          <w:b/>
          <w:szCs w:val="24"/>
        </w:rPr>
        <w:t>pakaišiem</w:t>
      </w:r>
      <w:r w:rsidRPr="00163E6F">
        <w:rPr>
          <w:szCs w:val="24"/>
        </w:rPr>
        <w:t xml:space="preserve"> ir iespējams nodrošināt nepieciešamos sanitāros apstākļus mājlopu novietnēs. Pakaišiem tiek izmantota augstā tipa sfagnu sūnu kūdra, jo tai piemīt augsta mitruma uzsūktspēja un tā neitralizē nepatīkamos aromātus. </w:t>
      </w:r>
    </w:p>
    <w:p w14:paraId="1E1BCBAC" w14:textId="77777777" w:rsidR="00165D83" w:rsidRPr="00163E6F" w:rsidRDefault="00165D83" w:rsidP="00165D83">
      <w:pPr>
        <w:autoSpaceDE w:val="0"/>
        <w:autoSpaceDN w:val="0"/>
        <w:adjustRightInd w:val="0"/>
        <w:spacing w:after="120"/>
        <w:ind w:firstLine="720"/>
        <w:rPr>
          <w:szCs w:val="24"/>
        </w:rPr>
      </w:pPr>
      <w:r w:rsidRPr="00163E6F">
        <w:rPr>
          <w:iCs/>
          <w:szCs w:val="24"/>
        </w:rPr>
        <w:t xml:space="preserve">Kūdras izmantošana </w:t>
      </w:r>
      <w:r w:rsidRPr="00163E6F">
        <w:rPr>
          <w:b/>
          <w:iCs/>
          <w:szCs w:val="24"/>
        </w:rPr>
        <w:t>pārtikas pārvadāšanai</w:t>
      </w:r>
      <w:r w:rsidRPr="00163E6F">
        <w:rPr>
          <w:iCs/>
          <w:szCs w:val="24"/>
        </w:rPr>
        <w:t xml:space="preserve">. </w:t>
      </w:r>
      <w:r w:rsidRPr="00163E6F">
        <w:rPr>
          <w:szCs w:val="24"/>
        </w:rPr>
        <w:t>Pasaulē kūdra tikusi izmantota kā augļu un dārzeņu iepakojuma materiāls, lai transportēšanas laikā tie saglabātos svaigi un nedeformēti.</w:t>
      </w:r>
    </w:p>
    <w:p w14:paraId="2B614D6B" w14:textId="77777777" w:rsidR="00165D83" w:rsidRPr="00163E6F" w:rsidRDefault="00165D83" w:rsidP="00165D83">
      <w:pPr>
        <w:autoSpaceDE w:val="0"/>
        <w:autoSpaceDN w:val="0"/>
        <w:adjustRightInd w:val="0"/>
        <w:spacing w:after="120"/>
        <w:ind w:firstLine="720"/>
        <w:rPr>
          <w:szCs w:val="24"/>
        </w:rPr>
      </w:pPr>
      <w:r w:rsidRPr="00163E6F">
        <w:rPr>
          <w:b/>
          <w:szCs w:val="24"/>
        </w:rPr>
        <w:t>Enerģētikā</w:t>
      </w:r>
      <w:r w:rsidRPr="00163E6F">
        <w:rPr>
          <w:szCs w:val="24"/>
        </w:rPr>
        <w:t xml:space="preserve"> kā kurināmais materiāls tiek izmantota frēzkūdra. Ir valstis, kurās kūdru izmanto māju apkurei. Kūdras izmantošana māju apkurei ir izplatīta, piemēram, Īrijā un Skotijā, jo šajās teritorijās, kuras ir klinšainas, mežu blīvums nav pietiekams, lai ar to spētu nodrošināt visas mājsaimniecības apkures vajadzībām, bet kūdras krājumi ir pietiekami, tāpēc viensē</w:t>
      </w:r>
      <w:r w:rsidR="009B1FD4" w:rsidRPr="00163E6F">
        <w:rPr>
          <w:szCs w:val="24"/>
        </w:rPr>
        <w:t>tās to lieto krāšņu kurināšanai</w:t>
      </w:r>
      <w:r w:rsidRPr="00163E6F">
        <w:rPr>
          <w:szCs w:val="24"/>
        </w:rPr>
        <w:t xml:space="preserve">. </w:t>
      </w:r>
    </w:p>
    <w:p w14:paraId="4EE3C3BC" w14:textId="77777777" w:rsidR="009B1FD4" w:rsidRPr="00163E6F" w:rsidRDefault="009B1FD4" w:rsidP="009B1FD4">
      <w:pPr>
        <w:autoSpaceDE w:val="0"/>
        <w:autoSpaceDN w:val="0"/>
        <w:adjustRightInd w:val="0"/>
        <w:spacing w:after="120"/>
        <w:ind w:firstLine="720"/>
        <w:rPr>
          <w:szCs w:val="24"/>
        </w:rPr>
      </w:pPr>
      <w:r w:rsidRPr="00163E6F">
        <w:rPr>
          <w:szCs w:val="24"/>
        </w:rPr>
        <w:t>Kūdra, līdzīgi kā enerģētiskā koksne, ir augu izcelsmes cietais kurināmais. Abu šo kurināmo sastāvs ir līdzīgs. Līdzīgas ir šo kurināmo citas īpašības – sadegšanas siltums, mitrums, īpatnējais svars un sadedzināšanas tehnoloģijas. Kūdras līdzsadedzināšana 30 % apjomā koksnei ir tehnoloģiski iespējama praktiski bez esošo katlagregātu speciālas pielāgošanas. Kūdras piejaukums šķeldai līdz 30% labvēlīgi ietekmē sadedzināšanas iekārtu īpašības, jo kūdras sastāvā esošie sēra un alumīnija silikāti palīdz attīrīt iekārtas.</w:t>
      </w:r>
    </w:p>
    <w:p w14:paraId="12D8D02D" w14:textId="77777777" w:rsidR="00165D83" w:rsidRPr="00163E6F" w:rsidRDefault="00165D83" w:rsidP="00165D83">
      <w:pPr>
        <w:autoSpaceDE w:val="0"/>
        <w:autoSpaceDN w:val="0"/>
        <w:adjustRightInd w:val="0"/>
        <w:spacing w:after="120"/>
        <w:ind w:firstLine="720"/>
        <w:rPr>
          <w:szCs w:val="24"/>
        </w:rPr>
      </w:pPr>
      <w:r w:rsidRPr="00163E6F">
        <w:rPr>
          <w:iCs/>
          <w:szCs w:val="24"/>
        </w:rPr>
        <w:t xml:space="preserve">Kūdras izmantošana </w:t>
      </w:r>
      <w:r w:rsidRPr="00163E6F">
        <w:rPr>
          <w:b/>
          <w:iCs/>
          <w:szCs w:val="24"/>
        </w:rPr>
        <w:t>ūdenssaimniecībā</w:t>
      </w:r>
      <w:r w:rsidRPr="00163E6F">
        <w:rPr>
          <w:bCs/>
          <w:szCs w:val="24"/>
        </w:rPr>
        <w:t>.</w:t>
      </w:r>
      <w:r w:rsidRPr="00163E6F">
        <w:rPr>
          <w:b/>
          <w:bCs/>
          <w:szCs w:val="24"/>
        </w:rPr>
        <w:t xml:space="preserve"> </w:t>
      </w:r>
      <w:r w:rsidRPr="00163E6F">
        <w:rPr>
          <w:szCs w:val="24"/>
        </w:rPr>
        <w:t>Kūdra ir izmantojama kā ūdens mīkstinātājs akvārijos, jo tā satur vielas, kas ir nepieciešamas ūdens augu attīstībai un zivju produktīvajai sistēmai, ar kūdru ir iespējams ierobežot aļģu un mikroorganismu izplatību. Kūdru iespējams izmantot ūdens filtrācijā.</w:t>
      </w:r>
    </w:p>
    <w:p w14:paraId="22B70FC3" w14:textId="77777777" w:rsidR="00165D83" w:rsidRPr="00163E6F" w:rsidRDefault="00165D83" w:rsidP="00165D83">
      <w:pPr>
        <w:autoSpaceDE w:val="0"/>
        <w:autoSpaceDN w:val="0"/>
        <w:adjustRightInd w:val="0"/>
        <w:spacing w:after="120"/>
        <w:ind w:firstLine="567"/>
        <w:rPr>
          <w:szCs w:val="24"/>
        </w:rPr>
      </w:pPr>
      <w:r w:rsidRPr="00163E6F">
        <w:rPr>
          <w:b/>
          <w:iCs/>
          <w:szCs w:val="24"/>
        </w:rPr>
        <w:t>Kūdras ķīmiskā pārstrāde</w:t>
      </w:r>
      <w:r w:rsidRPr="00163E6F">
        <w:rPr>
          <w:i/>
          <w:iCs/>
          <w:szCs w:val="24"/>
        </w:rPr>
        <w:t>.</w:t>
      </w:r>
      <w:r w:rsidRPr="00163E6F">
        <w:rPr>
          <w:szCs w:val="24"/>
        </w:rPr>
        <w:t xml:space="preserve"> </w:t>
      </w:r>
      <w:r w:rsidR="00330E88" w:rsidRPr="00163E6F">
        <w:rPr>
          <w:szCs w:val="24"/>
        </w:rPr>
        <w:t xml:space="preserve">Ir </w:t>
      </w:r>
      <w:r w:rsidRPr="00163E6F">
        <w:rPr>
          <w:szCs w:val="24"/>
        </w:rPr>
        <w:t>dažādas ķīmiskās metodes kūdras apstrādei</w:t>
      </w:r>
      <w:r w:rsidR="00330E88" w:rsidRPr="00163E6F">
        <w:rPr>
          <w:szCs w:val="24"/>
        </w:rPr>
        <w:t>, lai realizētu tās tālāku izmantošanu</w:t>
      </w:r>
      <w:r w:rsidRPr="00163E6F">
        <w:rPr>
          <w:szCs w:val="24"/>
        </w:rPr>
        <w:t>:</w:t>
      </w:r>
    </w:p>
    <w:p w14:paraId="63E47545"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iCs/>
          <w:szCs w:val="24"/>
        </w:rPr>
        <w:t>Ekstrakcija</w:t>
      </w:r>
      <w:r w:rsidRPr="00163E6F">
        <w:rPr>
          <w:szCs w:val="24"/>
        </w:rPr>
        <w:t xml:space="preserve"> </w:t>
      </w:r>
      <w:r w:rsidR="00B93894" w:rsidRPr="00163E6F">
        <w:rPr>
          <w:szCs w:val="24"/>
        </w:rPr>
        <w:t>–</w:t>
      </w:r>
      <w:r w:rsidRPr="00163E6F">
        <w:rPr>
          <w:szCs w:val="24"/>
        </w:rPr>
        <w:t xml:space="preserve"> metode, ar kuras palīdzību iegūst kūdras vasku, ko var plaši izmantot rūpniecībā, medicīnā un citur; </w:t>
      </w:r>
    </w:p>
    <w:p w14:paraId="4E73B234"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iCs/>
          <w:szCs w:val="24"/>
        </w:rPr>
        <w:t>Pirolīze</w:t>
      </w:r>
      <w:r w:rsidRPr="00163E6F">
        <w:rPr>
          <w:szCs w:val="24"/>
        </w:rPr>
        <w:t xml:space="preserve"> </w:t>
      </w:r>
      <w:r w:rsidR="00B93894" w:rsidRPr="00163E6F">
        <w:rPr>
          <w:szCs w:val="24"/>
        </w:rPr>
        <w:t>–</w:t>
      </w:r>
      <w:r w:rsidRPr="00163E6F">
        <w:rPr>
          <w:szCs w:val="24"/>
        </w:rPr>
        <w:t xml:space="preserve"> metode, kuras rezultātā tiek sadalītas kūdras organiskās vielas koksā, šķidrajā kurināmajā un deggāzē. Pirolīzes procesa rezultātā tiek iegūti šādi produkti: naftas sorbenti, aktīvās ogles, darva; </w:t>
      </w:r>
    </w:p>
    <w:p w14:paraId="47886270"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iCs/>
          <w:szCs w:val="24"/>
        </w:rPr>
        <w:t>Hidrolīze</w:t>
      </w:r>
      <w:r w:rsidRPr="00163E6F">
        <w:rPr>
          <w:i/>
          <w:iCs/>
          <w:szCs w:val="24"/>
        </w:rPr>
        <w:t xml:space="preserve"> </w:t>
      </w:r>
      <w:r w:rsidRPr="00163E6F">
        <w:rPr>
          <w:szCs w:val="24"/>
        </w:rPr>
        <w:t>ir metode, kuras rezultātā no kūdras iegūt produktus ar bioloģisku aktivitāti.</w:t>
      </w:r>
    </w:p>
    <w:p w14:paraId="56352B97" w14:textId="77777777" w:rsidR="00165D83" w:rsidRPr="00163E6F" w:rsidRDefault="00165D83" w:rsidP="00165D83">
      <w:pPr>
        <w:autoSpaceDE w:val="0"/>
        <w:autoSpaceDN w:val="0"/>
        <w:adjustRightInd w:val="0"/>
        <w:spacing w:after="120"/>
        <w:ind w:firstLine="567"/>
        <w:rPr>
          <w:szCs w:val="24"/>
        </w:rPr>
      </w:pPr>
      <w:r w:rsidRPr="00163E6F">
        <w:rPr>
          <w:szCs w:val="24"/>
        </w:rPr>
        <w:t xml:space="preserve">Kūdru </w:t>
      </w:r>
      <w:r w:rsidRPr="00163E6F">
        <w:rPr>
          <w:b/>
          <w:szCs w:val="24"/>
        </w:rPr>
        <w:t>celtniecībā</w:t>
      </w:r>
      <w:r w:rsidRPr="00163E6F">
        <w:rPr>
          <w:szCs w:val="24"/>
        </w:rPr>
        <w:t xml:space="preserve"> var izmantot kā piemaisījumu dažādām celtniecības saistvielām, kā rezultātā veidojas pavisam cits materiāls. Ja kūdru sajauc kopā ar darvu un ģipsi, veidojas izolācijas materiāls. Vēsturiski kūdra ir tikusi izmantota celtniecībā - 17. un 18. gadsimtā Īrijā izmantoja žāvētus kūdras blokus, lai būvētu mājas. Latvijā kūdru izmanto siltumizolācijas materiālu ražošanā (kūdras – koksnes siltumplāksnes u.c.). </w:t>
      </w:r>
    </w:p>
    <w:p w14:paraId="50D635F1" w14:textId="77777777" w:rsidR="00165D83" w:rsidRPr="00163E6F" w:rsidRDefault="00165D83" w:rsidP="00165D83">
      <w:pPr>
        <w:autoSpaceDE w:val="0"/>
        <w:autoSpaceDN w:val="0"/>
        <w:adjustRightInd w:val="0"/>
        <w:spacing w:after="120"/>
        <w:ind w:firstLine="567"/>
        <w:rPr>
          <w:szCs w:val="24"/>
        </w:rPr>
      </w:pPr>
      <w:r w:rsidRPr="00163E6F">
        <w:rPr>
          <w:szCs w:val="24"/>
        </w:rPr>
        <w:t xml:space="preserve">Kūdra tiek izmantota </w:t>
      </w:r>
      <w:r w:rsidRPr="00163E6F">
        <w:rPr>
          <w:b/>
          <w:szCs w:val="24"/>
        </w:rPr>
        <w:t>dārzkopībā</w:t>
      </w:r>
      <w:r w:rsidRPr="00163E6F">
        <w:rPr>
          <w:szCs w:val="24"/>
        </w:rPr>
        <w:t xml:space="preserve"> kā augsnes uzlabotājs. Kūdru sajauc ar mālu, kaļķi vai citām piedevām, tādējādi ir iespējams uzlabot augsnes struktūru un paaugstināt augsnes skābuma līmeni. Viena no kūdrai piemītošajām ir spēja saglabāt mitrumu, tāpēc tā ir izmantojama </w:t>
      </w:r>
      <w:r w:rsidRPr="00163E6F">
        <w:rPr>
          <w:b/>
          <w:szCs w:val="24"/>
        </w:rPr>
        <w:t>lauksaimniecībā</w:t>
      </w:r>
      <w:r w:rsidRPr="00163E6F">
        <w:rPr>
          <w:szCs w:val="24"/>
        </w:rPr>
        <w:t xml:space="preserve">, kad augsne ir sausa, </w:t>
      </w:r>
      <w:r w:rsidR="00857CEC" w:rsidRPr="00163E6F">
        <w:rPr>
          <w:szCs w:val="24"/>
        </w:rPr>
        <w:t>tādējādi nodrošinot</w:t>
      </w:r>
      <w:r w:rsidRPr="00163E6F">
        <w:rPr>
          <w:szCs w:val="24"/>
        </w:rPr>
        <w:t xml:space="preserve"> mitrumu augiem. Dārzkopībā tiek izmantots kūdras substrāts siltumnīcām un stādiņu audzēšanai. Stādu audzēšanai izmanto kūdras podiņus, ko kopā ar izaudzēto stādu iestāda zemē, tādā veidā netiek traumēta auga sakne, kad to pārstāda.</w:t>
      </w:r>
    </w:p>
    <w:p w14:paraId="44E04294" w14:textId="77777777" w:rsidR="004E1B8C" w:rsidRPr="00163E6F" w:rsidRDefault="004E1B8C" w:rsidP="00165D83">
      <w:pPr>
        <w:autoSpaceDE w:val="0"/>
        <w:autoSpaceDN w:val="0"/>
        <w:adjustRightInd w:val="0"/>
        <w:spacing w:after="120"/>
        <w:ind w:firstLine="567"/>
        <w:rPr>
          <w:i/>
          <w:iCs/>
          <w:szCs w:val="24"/>
        </w:rPr>
      </w:pPr>
      <w:r w:rsidRPr="00163E6F">
        <w:rPr>
          <w:iCs/>
          <w:szCs w:val="24"/>
        </w:rPr>
        <w:lastRenderedPageBreak/>
        <w:t xml:space="preserve">Kūdras izmantošana </w:t>
      </w:r>
      <w:r w:rsidRPr="00163E6F">
        <w:rPr>
          <w:b/>
          <w:iCs/>
          <w:szCs w:val="24"/>
        </w:rPr>
        <w:t>lopkopībā</w:t>
      </w:r>
      <w:r w:rsidRPr="00163E6F">
        <w:rPr>
          <w:i/>
          <w:iCs/>
          <w:szCs w:val="24"/>
        </w:rPr>
        <w:t xml:space="preserve">. </w:t>
      </w:r>
      <w:r w:rsidRPr="00163E6F">
        <w:rPr>
          <w:szCs w:val="24"/>
        </w:rPr>
        <w:t>Vēsturiski kūdras pelnus izmantoja par piedevu mājlopu barībai, jo uzskatīja, ka to pievienošana barībai pagarina gremošanas procesu un dzīvnieki no pārtikas uzņem vairāk barības vielu. Kūdru kā piedevu lopbarībai izmanto arī pašlaik, tā spēj ārstēt zarnu slimības un stimulē sivēnu augšanu. Kūdras preparāti spēj uzlabot dzīvnieku imūnsistēmu un veikt organisma detoksikāciju, jo kūdrā ir augsts humusvielu saturs.</w:t>
      </w:r>
    </w:p>
    <w:p w14:paraId="6A671469" w14:textId="77777777" w:rsidR="00165D83" w:rsidRPr="00163E6F" w:rsidRDefault="00165D83" w:rsidP="00165D83">
      <w:pPr>
        <w:autoSpaceDE w:val="0"/>
        <w:autoSpaceDN w:val="0"/>
        <w:adjustRightInd w:val="0"/>
        <w:spacing w:after="120"/>
        <w:ind w:firstLine="567"/>
        <w:rPr>
          <w:szCs w:val="24"/>
        </w:rPr>
      </w:pPr>
      <w:r w:rsidRPr="00163E6F">
        <w:rPr>
          <w:szCs w:val="24"/>
        </w:rPr>
        <w:t xml:space="preserve">Kūdras (dziedniecības dūņu) preparāti </w:t>
      </w:r>
      <w:r w:rsidRPr="00163E6F">
        <w:rPr>
          <w:b/>
          <w:szCs w:val="24"/>
        </w:rPr>
        <w:t>ārstniecībā</w:t>
      </w:r>
      <w:r w:rsidRPr="00163E6F">
        <w:rPr>
          <w:szCs w:val="24"/>
        </w:rPr>
        <w:t xml:space="preserve"> tiek izmantoti šādās jomās:</w:t>
      </w:r>
    </w:p>
    <w:p w14:paraId="0F86E886"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balneoloģijā (kūdras kompreses, ārstnieciskās vannas, kūdras maskas);</w:t>
      </w:r>
    </w:p>
    <w:p w14:paraId="45931121"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fizioterapijā (muguras sāpju, artrīta, ortopēdiskās saslimšanas un neiroloģisko traucējumu ārstēšanai, pateicoties kūdras zemajai siltumvadītspējai un augstajai siltuma saglabāšanas spējai);</w:t>
      </w:r>
    </w:p>
    <w:p w14:paraId="3604FE86"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reimatoloģijā un sporta medicīnā (kūdras paketes tiek izmantotas uz dažādām ķermeņa daļām, lai tās pārkarsētu, tādējādi paaugstinot asins cirkulāciju un veicinot vielmaiņas atkritumvielu iznīcināšanu;</w:t>
      </w:r>
    </w:p>
    <w:p w14:paraId="78A524DB" w14:textId="77777777" w:rsidR="00165D83" w:rsidRPr="00163E6F" w:rsidRDefault="00165D83" w:rsidP="00165D83">
      <w:pPr>
        <w:autoSpaceDE w:val="0"/>
        <w:autoSpaceDN w:val="0"/>
        <w:adjustRightInd w:val="0"/>
        <w:spacing w:after="120"/>
        <w:ind w:firstLine="567"/>
        <w:rPr>
          <w:szCs w:val="24"/>
        </w:rPr>
      </w:pPr>
      <w:r w:rsidRPr="00163E6F">
        <w:rPr>
          <w:iCs/>
          <w:szCs w:val="24"/>
        </w:rPr>
        <w:t xml:space="preserve">Kūdra kā </w:t>
      </w:r>
      <w:r w:rsidRPr="00163E6F">
        <w:rPr>
          <w:b/>
          <w:iCs/>
          <w:szCs w:val="24"/>
        </w:rPr>
        <w:t>filtrācijas materiāls un biosorbents</w:t>
      </w:r>
      <w:r w:rsidRPr="00163E6F">
        <w:rPr>
          <w:iCs/>
          <w:szCs w:val="24"/>
        </w:rPr>
        <w:t>.</w:t>
      </w:r>
      <w:r w:rsidRPr="00163E6F">
        <w:rPr>
          <w:i/>
          <w:iCs/>
          <w:szCs w:val="24"/>
        </w:rPr>
        <w:t xml:space="preserve"> </w:t>
      </w:r>
      <w:r w:rsidRPr="00163E6F">
        <w:rPr>
          <w:szCs w:val="24"/>
        </w:rPr>
        <w:t xml:space="preserve">Kūdrai piemītošās fizikālās un ķīmiskās īpašības, ( liela īpatnējā virsma, attīstīta porainība, jonu apmaiņas spēja) ļauj no kūdras izgatavot dažādus sorbentus, kas spēj filtrēt pat mikrobus un dažādas ķīmiskās vielas. To var izmantot dažāda veida ūdens un gruntsūdeņu piesārņojuma attīrīšanai no fosfora un slāpekļa savienojumiem un no dažādām organiskajām vielām. Kūdru izmantoto, lai filtrētu dažādas gāzes un šķidrumus. Kūdras šķiedru pasaulē izmanto biofiltrācijas sistēmās. No kūdras ir iespējams izgatavot plaši pielietojamu produktu </w:t>
      </w:r>
      <w:r w:rsidR="00F86817" w:rsidRPr="00163E6F">
        <w:rPr>
          <w:szCs w:val="24"/>
        </w:rPr>
        <w:t>–</w:t>
      </w:r>
      <w:r w:rsidRPr="00163E6F">
        <w:rPr>
          <w:szCs w:val="24"/>
        </w:rPr>
        <w:t xml:space="preserve"> aktivēto ogli</w:t>
      </w:r>
      <w:r w:rsidR="00F86817" w:rsidRPr="00163E6F">
        <w:rPr>
          <w:szCs w:val="24"/>
        </w:rPr>
        <w:t>, kuru izmanto sekojošās nozarēs</w:t>
      </w:r>
      <w:r w:rsidRPr="00163E6F">
        <w:rPr>
          <w:szCs w:val="24"/>
        </w:rPr>
        <w:t>:</w:t>
      </w:r>
    </w:p>
    <w:p w14:paraId="7283DF04"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pārtikas rūpniecībā lai attīrītu sulas, sīrupus, melasi, glicerīnu, augu eļļas, alkoholiskos dzērienus.;</w:t>
      </w:r>
    </w:p>
    <w:p w14:paraId="480F873A"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ķīmiskajā rūpniecībā, lai attīrītu glicerīnus, antifrīzus, atšķaidītājus, gāzes, gāzu izmešus;</w:t>
      </w:r>
    </w:p>
    <w:p w14:paraId="16C38FC5"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ūdens attīrīšanā, lai pildītu visstingrākās ūdens attīrīšanas prasības;</w:t>
      </w:r>
    </w:p>
    <w:p w14:paraId="676F27EB"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gaisa, gāzu un gāzu maisījumu attīrīšanā, respiratoriem, gāzmaskām;</w:t>
      </w:r>
    </w:p>
    <w:p w14:paraId="2E5B5AC8"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farmācijas rūpniecībā, lai attīrītu farmaceitiskos līdzekļus un zāles, pārtikas piedevas, augstas tīrības ķīmiskos reaktīvus;</w:t>
      </w:r>
    </w:p>
    <w:p w14:paraId="01B68087" w14:textId="77777777" w:rsidR="00165D83" w:rsidRPr="00163E6F" w:rsidRDefault="00165D83" w:rsidP="005337DA">
      <w:pPr>
        <w:numPr>
          <w:ilvl w:val="0"/>
          <w:numId w:val="1"/>
        </w:numPr>
        <w:autoSpaceDE w:val="0"/>
        <w:autoSpaceDN w:val="0"/>
        <w:adjustRightInd w:val="0"/>
        <w:ind w:left="851" w:hanging="284"/>
        <w:rPr>
          <w:szCs w:val="24"/>
        </w:rPr>
      </w:pPr>
      <w:r w:rsidRPr="00163E6F">
        <w:rPr>
          <w:szCs w:val="24"/>
        </w:rPr>
        <w:t>gumijas riepu ražošanā.</w:t>
      </w:r>
    </w:p>
    <w:p w14:paraId="516D74A9" w14:textId="77777777" w:rsidR="00165D83" w:rsidRPr="00163E6F" w:rsidRDefault="00165D83" w:rsidP="00165D83">
      <w:pPr>
        <w:autoSpaceDE w:val="0"/>
        <w:autoSpaceDN w:val="0"/>
        <w:adjustRightInd w:val="0"/>
        <w:spacing w:after="120"/>
        <w:ind w:firstLine="720"/>
        <w:rPr>
          <w:szCs w:val="24"/>
        </w:rPr>
      </w:pPr>
    </w:p>
    <w:p w14:paraId="6F216B62" w14:textId="77777777" w:rsidR="00165D83" w:rsidRPr="00163E6F" w:rsidRDefault="006A01B9" w:rsidP="006A01B9">
      <w:pPr>
        <w:pStyle w:val="Heading1"/>
      </w:pPr>
      <w:bookmarkStart w:id="11" w:name="_Toc497573985"/>
      <w:r w:rsidRPr="00163E6F">
        <w:t>Latvijas kūdras resursi</w:t>
      </w:r>
      <w:r w:rsidR="00FE454F" w:rsidRPr="002A102D">
        <w:rPr>
          <w:rStyle w:val="FootnoteReference"/>
          <w:bCs w:val="0"/>
          <w:szCs w:val="24"/>
        </w:rPr>
        <w:footnoteReference w:id="10"/>
      </w:r>
      <w:r w:rsidR="00FE454F" w:rsidRPr="002A102D">
        <w:rPr>
          <w:vertAlign w:val="superscript"/>
        </w:rPr>
        <w:t>,</w:t>
      </w:r>
      <w:r w:rsidR="00FE454F" w:rsidRPr="002A102D">
        <w:rPr>
          <w:rStyle w:val="FootnoteReference"/>
          <w:szCs w:val="24"/>
        </w:rPr>
        <w:footnoteReference w:id="11"/>
      </w:r>
      <w:bookmarkEnd w:id="11"/>
    </w:p>
    <w:p w14:paraId="70218656" w14:textId="77777777" w:rsidR="006A01B9" w:rsidRPr="00163E6F" w:rsidRDefault="006A01B9" w:rsidP="006A01B9">
      <w:pPr>
        <w:pStyle w:val="Heading2"/>
      </w:pPr>
      <w:bookmarkStart w:id="12" w:name="_Toc497573986"/>
      <w:r w:rsidRPr="00163E6F">
        <w:t>Kūdras resursu raksturojums</w:t>
      </w:r>
      <w:bookmarkEnd w:id="12"/>
    </w:p>
    <w:p w14:paraId="512B7545" w14:textId="77777777" w:rsidR="00165D83" w:rsidRPr="00163E6F" w:rsidRDefault="00165D83" w:rsidP="00165D83">
      <w:pPr>
        <w:autoSpaceDE w:val="0"/>
        <w:autoSpaceDN w:val="0"/>
        <w:adjustRightInd w:val="0"/>
        <w:spacing w:after="120"/>
        <w:ind w:firstLine="720"/>
        <w:rPr>
          <w:szCs w:val="24"/>
        </w:rPr>
      </w:pPr>
      <w:r w:rsidRPr="00163E6F">
        <w:rPr>
          <w:szCs w:val="24"/>
        </w:rPr>
        <w:t>Latvija ir 7. lielākā valsts pēc kūdras purv</w:t>
      </w:r>
      <w:r w:rsidR="00FE454F" w:rsidRPr="00163E6F">
        <w:rPr>
          <w:szCs w:val="24"/>
        </w:rPr>
        <w:t>u īpatsvara valsts teritorijā, savukārt, p</w:t>
      </w:r>
      <w:r w:rsidRPr="00163E6F">
        <w:rPr>
          <w:szCs w:val="24"/>
        </w:rPr>
        <w:t>ēc kūdras purvu platības Latvija</w:t>
      </w:r>
      <w:r w:rsidR="00FE454F" w:rsidRPr="00163E6F">
        <w:rPr>
          <w:szCs w:val="24"/>
        </w:rPr>
        <w:t xml:space="preserve"> ierindojas 14. vietā pasaulē. Pasaules mērogā Latvijā</w:t>
      </w:r>
      <w:r w:rsidRPr="00163E6F">
        <w:rPr>
          <w:szCs w:val="24"/>
        </w:rPr>
        <w:t xml:space="preserve"> atrodas 0,4% no pasaules kūdras krājumiem. </w:t>
      </w:r>
    </w:p>
    <w:p w14:paraId="0B3EC4CA" w14:textId="77777777" w:rsidR="00975B58" w:rsidRPr="00163E6F" w:rsidRDefault="00975B58" w:rsidP="00975B58">
      <w:pPr>
        <w:autoSpaceDE w:val="0"/>
        <w:autoSpaceDN w:val="0"/>
        <w:adjustRightInd w:val="0"/>
        <w:spacing w:after="120"/>
        <w:ind w:firstLine="720"/>
        <w:rPr>
          <w:szCs w:val="24"/>
        </w:rPr>
      </w:pPr>
      <w:r w:rsidRPr="00163E6F">
        <w:rPr>
          <w:szCs w:val="24"/>
        </w:rPr>
        <w:t>Kūdras resursi nav precīzi noteikti, un tie varētu būt ap 11,3 miljardi m³, jeb 1,7 miljardi t. No kopējiem resursiem 1,1 miljards tonnas ir kurināmā kūdra ar vidējo siltumietilpību 5,2 - 5,3 kcal/kg. Kurināšanai izmantojamie krājumi ir ap 230 milj. t kūdras vai 663 milj. MWh enerģijas. Turklāt 30 miljoni tonnu no šiem krājumiem atrodas kūdras ieguvei jau sagatavotās platībās.</w:t>
      </w:r>
    </w:p>
    <w:p w14:paraId="0210425E" w14:textId="77777777" w:rsidR="00975B58" w:rsidRPr="00163E6F" w:rsidRDefault="00165D83" w:rsidP="00165D83">
      <w:pPr>
        <w:autoSpaceDE w:val="0"/>
        <w:autoSpaceDN w:val="0"/>
        <w:adjustRightInd w:val="0"/>
        <w:spacing w:after="120"/>
        <w:ind w:firstLine="720"/>
        <w:rPr>
          <w:szCs w:val="24"/>
        </w:rPr>
      </w:pPr>
      <w:r w:rsidRPr="00163E6F">
        <w:rPr>
          <w:szCs w:val="24"/>
        </w:rPr>
        <w:lastRenderedPageBreak/>
        <w:t>Kūdras fondā</w:t>
      </w:r>
      <w:r w:rsidR="00975B58" w:rsidRPr="00163E6F">
        <w:rPr>
          <w:rStyle w:val="FootnoteReference"/>
          <w:szCs w:val="24"/>
        </w:rPr>
        <w:footnoteReference w:id="12"/>
      </w:r>
      <w:r w:rsidRPr="00163E6F">
        <w:rPr>
          <w:szCs w:val="24"/>
        </w:rPr>
        <w:t xml:space="preserve"> </w:t>
      </w:r>
      <w:r w:rsidR="00975B58" w:rsidRPr="00163E6F">
        <w:rPr>
          <w:szCs w:val="24"/>
        </w:rPr>
        <w:t xml:space="preserve">ir </w:t>
      </w:r>
      <w:r w:rsidRPr="00163E6F">
        <w:rPr>
          <w:szCs w:val="24"/>
        </w:rPr>
        <w:t xml:space="preserve">iekļautas 5799 atradnes. No tām 7 ir lielākas par 5000 ha, 87 ar platību no 1001 līdz 5000 ha, 109 ar platību no 501 - 1000 ha. No kopējās platības 49,3% aizņem zemā tipa purvi, 41,7% - augstā tipa, bet 9% - pārejas. Neskartā stāvoklī atrodas 69,7% purvu platību, 23,4% ir nosusinātas, 3,9% izmanto kūdras ieguvei, 1,8% kūdras krājumi jau ir izmantoti, bet 1,2% ierīkotas ūdenskrātuves. Lielākā daļa kūdras atradņu atrodas valsts austrumu un centrālajos rajonos, to vidējais dziļums ir 2 </w:t>
      </w:r>
      <w:r w:rsidR="00163E6F">
        <w:rPr>
          <w:szCs w:val="24"/>
        </w:rPr>
        <w:t>–</w:t>
      </w:r>
      <w:r w:rsidRPr="00163E6F">
        <w:rPr>
          <w:szCs w:val="24"/>
        </w:rPr>
        <w:t xml:space="preserve"> 5 m, maksimālais sasniedz 12 m.</w:t>
      </w:r>
    </w:p>
    <w:p w14:paraId="44CEC07A" w14:textId="77777777" w:rsidR="00165D83" w:rsidRPr="00163E6F" w:rsidRDefault="00165D83" w:rsidP="00165D83">
      <w:pPr>
        <w:autoSpaceDE w:val="0"/>
        <w:autoSpaceDN w:val="0"/>
        <w:adjustRightInd w:val="0"/>
        <w:spacing w:after="120"/>
        <w:ind w:firstLine="720"/>
        <w:rPr>
          <w:szCs w:val="24"/>
        </w:rPr>
      </w:pPr>
      <w:r w:rsidRPr="00163E6F">
        <w:rPr>
          <w:szCs w:val="24"/>
        </w:rPr>
        <w:t>Laika posmā no 2010. gada 1.novembra līdz 2013. gada 31.oktobrim, Latvijas Universitātes Ģeogrāfijas un Zemes zinātņu fakultāte sadarbībā ar LVĢMC īstenoja projektu „Inovācija kūdras izpētē un jaunu to saturošu produktu izveidē”.</w:t>
      </w:r>
      <w:r w:rsidRPr="00163E6F">
        <w:rPr>
          <w:b/>
          <w:bCs/>
          <w:szCs w:val="24"/>
        </w:rPr>
        <w:t xml:space="preserve"> </w:t>
      </w:r>
      <w:r w:rsidRPr="00163E6F">
        <w:rPr>
          <w:szCs w:val="24"/>
        </w:rPr>
        <w:t xml:space="preserve">Viens no projekta uzdevumiem bija veikt Valsts ģeoloģijas fondā uzkrātās kartogrāfiskās informācijas par Latvijas kūdras resursiem pārveidošana digitālā formā, kā arī sasaiste ar ģeotelpisko pamatinformāciju, un datu sistematizēšana atbilstoši ģeogrāfisko informācijas sistēmu pamatprincipiem. </w:t>
      </w:r>
    </w:p>
    <w:p w14:paraId="4ABAE83B" w14:textId="77777777" w:rsidR="00165D83" w:rsidRPr="00163E6F" w:rsidRDefault="00165D83" w:rsidP="00165D83">
      <w:pPr>
        <w:autoSpaceDE w:val="0"/>
        <w:autoSpaceDN w:val="0"/>
        <w:adjustRightInd w:val="0"/>
        <w:spacing w:after="120"/>
        <w:ind w:firstLine="720"/>
        <w:rPr>
          <w:szCs w:val="24"/>
        </w:rPr>
      </w:pPr>
      <w:r w:rsidRPr="00163E6F">
        <w:rPr>
          <w:szCs w:val="24"/>
        </w:rPr>
        <w:t>Sagatavotā informācija sniedz ziņas par 9563 kūdras iegulām (3.attēls). Nereti vienā kūdras purvā pēc ģeoloģiskās izpētes datiem ir noteiktas vairākas robežas (kūdras slāņa „0 m” dziļuma vai kūdras s</w:t>
      </w:r>
      <w:r w:rsidR="00163E6F">
        <w:rPr>
          <w:szCs w:val="24"/>
        </w:rPr>
        <w:t xml:space="preserve">lāņa rūpnieciski iegūstamā „0,7 – </w:t>
      </w:r>
      <w:r w:rsidRPr="00163E6F">
        <w:rPr>
          <w:szCs w:val="24"/>
        </w:rPr>
        <w:t>1</w:t>
      </w:r>
      <w:r w:rsidR="00163E6F">
        <w:rPr>
          <w:szCs w:val="24"/>
        </w:rPr>
        <w:t>,</w:t>
      </w:r>
      <w:r w:rsidRPr="00163E6F">
        <w:rPr>
          <w:szCs w:val="24"/>
        </w:rPr>
        <w:t>2 m” dziļuma, kā arī purvu tipu robežas), kas ir atspoguļotas datu masīvā. Informācijas sagatavošanai izmantoti 1962. un 1980. gada Kūdras fonda, meklēšanas un revīzijas, kā arī detālās izpētes un atradņu pasu dati.</w:t>
      </w:r>
      <w:r w:rsidR="00CB1E20" w:rsidRPr="00163E6F">
        <w:rPr>
          <w:rStyle w:val="FootnoteReference"/>
          <w:szCs w:val="24"/>
        </w:rPr>
        <w:footnoteReference w:id="13"/>
      </w:r>
      <w:r w:rsidRPr="00163E6F">
        <w:rPr>
          <w:szCs w:val="24"/>
        </w:rPr>
        <w:t xml:space="preserve">  </w:t>
      </w:r>
    </w:p>
    <w:p w14:paraId="7F6BFD17" w14:textId="77777777" w:rsidR="00165D83" w:rsidRPr="00163E6F" w:rsidRDefault="00165D83" w:rsidP="00803BA6">
      <w:pPr>
        <w:autoSpaceDE w:val="0"/>
        <w:autoSpaceDN w:val="0"/>
        <w:adjustRightInd w:val="0"/>
        <w:spacing w:before="120" w:after="120" w:line="360" w:lineRule="auto"/>
        <w:jc w:val="center"/>
        <w:rPr>
          <w:szCs w:val="24"/>
        </w:rPr>
      </w:pPr>
      <w:r w:rsidRPr="00163E6F">
        <w:rPr>
          <w:rFonts w:ascii="Calibri" w:hAnsi="Calibri" w:cs="Calibri"/>
          <w:noProof/>
          <w:sz w:val="22"/>
          <w:lang w:eastAsia="lv-LV"/>
        </w:rPr>
        <w:drawing>
          <wp:inline distT="0" distB="0" distL="0" distR="0" wp14:anchorId="7B41EB5B" wp14:editId="2AEEF6B9">
            <wp:extent cx="5362575" cy="3781425"/>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srcRect/>
                    <a:stretch>
                      <a:fillRect/>
                    </a:stretch>
                  </pic:blipFill>
                  <pic:spPr bwMode="auto">
                    <a:xfrm>
                      <a:off x="0" y="0"/>
                      <a:ext cx="5362575" cy="3781425"/>
                    </a:xfrm>
                    <a:prstGeom prst="rect">
                      <a:avLst/>
                    </a:prstGeom>
                    <a:noFill/>
                    <a:ln w="9525">
                      <a:noFill/>
                      <a:miter lim="800000"/>
                      <a:headEnd/>
                      <a:tailEnd/>
                    </a:ln>
                  </pic:spPr>
                </pic:pic>
              </a:graphicData>
            </a:graphic>
          </wp:inline>
        </w:drawing>
      </w:r>
    </w:p>
    <w:p w14:paraId="6CD95D81" w14:textId="77777777" w:rsidR="00165D83" w:rsidRPr="00163E6F" w:rsidRDefault="00165D83" w:rsidP="00165D83">
      <w:pPr>
        <w:autoSpaceDE w:val="0"/>
        <w:autoSpaceDN w:val="0"/>
        <w:adjustRightInd w:val="0"/>
        <w:spacing w:before="120" w:after="120" w:line="360" w:lineRule="auto"/>
        <w:jc w:val="center"/>
        <w:rPr>
          <w:szCs w:val="24"/>
        </w:rPr>
      </w:pPr>
      <w:r w:rsidRPr="00163E6F">
        <w:rPr>
          <w:szCs w:val="24"/>
        </w:rPr>
        <w:t>3.att. Latvijas kūdras resursi atbilstoši ģeoloģijas fonda informācijai</w:t>
      </w:r>
    </w:p>
    <w:p w14:paraId="69E50B55" w14:textId="77777777" w:rsidR="00165D83" w:rsidRPr="00163E6F" w:rsidRDefault="00165D83" w:rsidP="00165D83">
      <w:pPr>
        <w:autoSpaceDE w:val="0"/>
        <w:autoSpaceDN w:val="0"/>
        <w:adjustRightInd w:val="0"/>
        <w:spacing w:after="120"/>
        <w:ind w:firstLine="567"/>
        <w:rPr>
          <w:szCs w:val="24"/>
        </w:rPr>
      </w:pPr>
      <w:r w:rsidRPr="00163E6F">
        <w:rPr>
          <w:szCs w:val="24"/>
        </w:rPr>
        <w:t>Saskaņā ar LVĢMC publicēto Derīgo izrakteņu (būvmateriālu izejvielu, kūdras, sapropeļa un dziedniecības dūņu) bilances par 2015.gadu kopsavilkumu</w:t>
      </w:r>
      <w:r w:rsidR="000473B2" w:rsidRPr="00163E6F">
        <w:rPr>
          <w:szCs w:val="24"/>
        </w:rPr>
        <w:t xml:space="preserve"> (3.tabula)</w:t>
      </w:r>
      <w:r w:rsidRPr="00163E6F">
        <w:rPr>
          <w:szCs w:val="24"/>
        </w:rPr>
        <w:t xml:space="preserve">, kas ietver ziņas par aktīvajā </w:t>
      </w:r>
      <w:r w:rsidRPr="00163E6F">
        <w:rPr>
          <w:szCs w:val="24"/>
        </w:rPr>
        <w:lastRenderedPageBreak/>
        <w:t>apritē esošajām derīgo izrakteņu atradnēm un tajās esošo resursu izmaiņām, kūdras atradnēs, kurās 2015.gadā ir notikusi ieguve, ir sekojoši kūdras resursu krājumi:</w:t>
      </w:r>
    </w:p>
    <w:p w14:paraId="12F0A442" w14:textId="77777777" w:rsidR="000473B2" w:rsidRPr="00163E6F" w:rsidRDefault="00165D83" w:rsidP="000473B2">
      <w:pPr>
        <w:autoSpaceDE w:val="0"/>
        <w:autoSpaceDN w:val="0"/>
        <w:adjustRightInd w:val="0"/>
        <w:spacing w:after="120"/>
        <w:jc w:val="right"/>
        <w:rPr>
          <w:szCs w:val="24"/>
        </w:rPr>
      </w:pPr>
      <w:r w:rsidRPr="00163E6F">
        <w:rPr>
          <w:szCs w:val="24"/>
        </w:rPr>
        <w:t>3.tabula</w:t>
      </w:r>
    </w:p>
    <w:p w14:paraId="34DA2C6D" w14:textId="77777777" w:rsidR="00165D83" w:rsidRPr="00163E6F" w:rsidRDefault="00165D83" w:rsidP="00165D83">
      <w:pPr>
        <w:autoSpaceDE w:val="0"/>
        <w:autoSpaceDN w:val="0"/>
        <w:adjustRightInd w:val="0"/>
        <w:spacing w:after="120"/>
        <w:jc w:val="center"/>
        <w:rPr>
          <w:i/>
          <w:iCs/>
          <w:szCs w:val="24"/>
        </w:rPr>
      </w:pPr>
      <w:r w:rsidRPr="00163E6F">
        <w:rPr>
          <w:szCs w:val="24"/>
        </w:rPr>
        <w:t>Izvilkums no derīgo izrakteņu krājumu 2015.gada bilances</w:t>
      </w:r>
      <w:r w:rsidR="000D12F0" w:rsidRPr="00163E6F">
        <w:rPr>
          <w:rStyle w:val="FootnoteReference"/>
          <w:szCs w:val="24"/>
        </w:rPr>
        <w:footnoteReference w:id="14"/>
      </w:r>
      <w:r w:rsidRPr="00163E6F">
        <w:rPr>
          <w:szCs w:val="24"/>
        </w:rPr>
        <w:t xml:space="preserve"> </w:t>
      </w:r>
    </w:p>
    <w:tbl>
      <w:tblPr>
        <w:tblW w:w="0" w:type="auto"/>
        <w:jc w:val="center"/>
        <w:tblLayout w:type="fixed"/>
        <w:tblLook w:val="0000" w:firstRow="0" w:lastRow="0" w:firstColumn="0" w:lastColumn="0" w:noHBand="0" w:noVBand="0"/>
      </w:tblPr>
      <w:tblGrid>
        <w:gridCol w:w="1355"/>
        <w:gridCol w:w="2795"/>
        <w:gridCol w:w="1276"/>
        <w:gridCol w:w="1843"/>
        <w:gridCol w:w="1363"/>
      </w:tblGrid>
      <w:tr w:rsidR="00165D83" w:rsidRPr="00163E6F" w14:paraId="123C0DA5" w14:textId="77777777" w:rsidTr="00687C14">
        <w:trPr>
          <w:trHeight w:val="1"/>
          <w:jc w:val="center"/>
        </w:trPr>
        <w:tc>
          <w:tcPr>
            <w:tcW w:w="1355" w:type="dxa"/>
            <w:tcBorders>
              <w:top w:val="single" w:sz="3" w:space="0" w:color="000000"/>
              <w:left w:val="single" w:sz="3" w:space="0" w:color="000000"/>
              <w:bottom w:val="single" w:sz="3" w:space="0" w:color="000000"/>
              <w:right w:val="single" w:sz="3" w:space="0" w:color="000000"/>
            </w:tcBorders>
            <w:vAlign w:val="center"/>
          </w:tcPr>
          <w:p w14:paraId="30E73122" w14:textId="77777777" w:rsidR="00165D83" w:rsidRPr="00163E6F" w:rsidRDefault="00165D83">
            <w:pPr>
              <w:autoSpaceDE w:val="0"/>
              <w:autoSpaceDN w:val="0"/>
              <w:adjustRightInd w:val="0"/>
              <w:jc w:val="center"/>
              <w:rPr>
                <w:rFonts w:ascii="Calibri" w:hAnsi="Calibri" w:cs="Calibri"/>
              </w:rPr>
            </w:pPr>
            <w:r w:rsidRPr="00163E6F">
              <w:rPr>
                <w:b/>
                <w:bCs/>
                <w:szCs w:val="24"/>
              </w:rPr>
              <w:t>Derīgais izraktenis</w:t>
            </w:r>
          </w:p>
        </w:tc>
        <w:tc>
          <w:tcPr>
            <w:tcW w:w="2795" w:type="dxa"/>
            <w:tcBorders>
              <w:top w:val="single" w:sz="3" w:space="0" w:color="000000"/>
              <w:left w:val="single" w:sz="3" w:space="0" w:color="000000"/>
              <w:bottom w:val="single" w:sz="3" w:space="0" w:color="000000"/>
              <w:right w:val="single" w:sz="3" w:space="0" w:color="000000"/>
            </w:tcBorders>
            <w:vAlign w:val="center"/>
          </w:tcPr>
          <w:p w14:paraId="3054AF88" w14:textId="77777777" w:rsidR="00165D83" w:rsidRPr="00163E6F" w:rsidRDefault="00165D83">
            <w:pPr>
              <w:autoSpaceDE w:val="0"/>
              <w:autoSpaceDN w:val="0"/>
              <w:adjustRightInd w:val="0"/>
              <w:jc w:val="center"/>
              <w:rPr>
                <w:rFonts w:ascii="Calibri" w:hAnsi="Calibri" w:cs="Calibri"/>
              </w:rPr>
            </w:pPr>
            <w:r w:rsidRPr="00163E6F">
              <w:rPr>
                <w:b/>
                <w:bCs/>
                <w:szCs w:val="24"/>
              </w:rPr>
              <w:t>Mērvienība</w:t>
            </w:r>
          </w:p>
        </w:tc>
        <w:tc>
          <w:tcPr>
            <w:tcW w:w="1276" w:type="dxa"/>
            <w:tcBorders>
              <w:top w:val="single" w:sz="3" w:space="0" w:color="000000"/>
              <w:left w:val="single" w:sz="3" w:space="0" w:color="000000"/>
              <w:bottom w:val="single" w:sz="3" w:space="0" w:color="000000"/>
              <w:right w:val="single" w:sz="3" w:space="0" w:color="000000"/>
            </w:tcBorders>
            <w:vAlign w:val="center"/>
          </w:tcPr>
          <w:p w14:paraId="3BDEC781" w14:textId="77777777" w:rsidR="00165D83" w:rsidRPr="00163E6F" w:rsidRDefault="00165D83">
            <w:pPr>
              <w:autoSpaceDE w:val="0"/>
              <w:autoSpaceDN w:val="0"/>
              <w:adjustRightInd w:val="0"/>
              <w:jc w:val="center"/>
              <w:rPr>
                <w:rFonts w:ascii="Calibri" w:hAnsi="Calibri" w:cs="Calibri"/>
              </w:rPr>
            </w:pPr>
            <w:r w:rsidRPr="00163E6F">
              <w:rPr>
                <w:b/>
                <w:bCs/>
                <w:szCs w:val="24"/>
              </w:rPr>
              <w:t>Krājumu kategorija</w:t>
            </w:r>
          </w:p>
        </w:tc>
        <w:tc>
          <w:tcPr>
            <w:tcW w:w="1843" w:type="dxa"/>
            <w:tcBorders>
              <w:top w:val="single" w:sz="3" w:space="0" w:color="000000"/>
              <w:left w:val="single" w:sz="3" w:space="0" w:color="000000"/>
              <w:bottom w:val="single" w:sz="3" w:space="0" w:color="000000"/>
              <w:right w:val="single" w:sz="3" w:space="0" w:color="000000"/>
            </w:tcBorders>
            <w:vAlign w:val="center"/>
          </w:tcPr>
          <w:p w14:paraId="6C986432" w14:textId="77777777" w:rsidR="00165D83" w:rsidRPr="00163E6F" w:rsidRDefault="00165D83">
            <w:pPr>
              <w:autoSpaceDE w:val="0"/>
              <w:autoSpaceDN w:val="0"/>
              <w:adjustRightInd w:val="0"/>
              <w:jc w:val="center"/>
              <w:rPr>
                <w:b/>
                <w:bCs/>
                <w:szCs w:val="24"/>
              </w:rPr>
            </w:pPr>
            <w:r w:rsidRPr="00163E6F">
              <w:rPr>
                <w:b/>
                <w:bCs/>
                <w:szCs w:val="24"/>
              </w:rPr>
              <w:t>Krājumi</w:t>
            </w:r>
          </w:p>
          <w:p w14:paraId="2D48C52E" w14:textId="77777777" w:rsidR="00165D83" w:rsidRPr="00163E6F" w:rsidRDefault="00165D83">
            <w:pPr>
              <w:autoSpaceDE w:val="0"/>
              <w:autoSpaceDN w:val="0"/>
              <w:adjustRightInd w:val="0"/>
              <w:jc w:val="center"/>
              <w:rPr>
                <w:b/>
                <w:bCs/>
                <w:szCs w:val="24"/>
              </w:rPr>
            </w:pPr>
            <w:r w:rsidRPr="00163E6F">
              <w:rPr>
                <w:b/>
                <w:bCs/>
                <w:szCs w:val="24"/>
              </w:rPr>
              <w:t>2016.g.</w:t>
            </w:r>
          </w:p>
          <w:p w14:paraId="5BC148A8" w14:textId="77777777" w:rsidR="00165D83" w:rsidRPr="00163E6F" w:rsidRDefault="00165D83">
            <w:pPr>
              <w:autoSpaceDE w:val="0"/>
              <w:autoSpaceDN w:val="0"/>
              <w:adjustRightInd w:val="0"/>
              <w:jc w:val="center"/>
              <w:rPr>
                <w:rFonts w:ascii="Calibri" w:hAnsi="Calibri" w:cs="Calibri"/>
              </w:rPr>
            </w:pPr>
            <w:r w:rsidRPr="00163E6F">
              <w:rPr>
                <w:b/>
                <w:bCs/>
                <w:szCs w:val="24"/>
              </w:rPr>
              <w:t>1. janvārī</w:t>
            </w:r>
          </w:p>
        </w:tc>
        <w:tc>
          <w:tcPr>
            <w:tcW w:w="1363" w:type="dxa"/>
            <w:tcBorders>
              <w:top w:val="single" w:sz="3" w:space="0" w:color="000000"/>
              <w:left w:val="single" w:sz="3" w:space="0" w:color="000000"/>
              <w:bottom w:val="single" w:sz="3" w:space="0" w:color="000000"/>
              <w:right w:val="single" w:sz="3" w:space="0" w:color="000000"/>
            </w:tcBorders>
            <w:vAlign w:val="center"/>
          </w:tcPr>
          <w:p w14:paraId="210D31CB" w14:textId="77777777" w:rsidR="00165D83" w:rsidRPr="00163E6F" w:rsidRDefault="00165D83">
            <w:pPr>
              <w:autoSpaceDE w:val="0"/>
              <w:autoSpaceDN w:val="0"/>
              <w:adjustRightInd w:val="0"/>
              <w:jc w:val="center"/>
              <w:rPr>
                <w:rFonts w:ascii="Calibri" w:hAnsi="Calibri" w:cs="Calibri"/>
              </w:rPr>
            </w:pPr>
            <w:r w:rsidRPr="00163E6F">
              <w:rPr>
                <w:b/>
                <w:bCs/>
                <w:szCs w:val="24"/>
              </w:rPr>
              <w:t>Atradņu skaits</w:t>
            </w:r>
          </w:p>
        </w:tc>
      </w:tr>
      <w:tr w:rsidR="00165D83" w:rsidRPr="00163E6F" w14:paraId="375F2EB3" w14:textId="77777777" w:rsidTr="00687C14">
        <w:trPr>
          <w:trHeight w:val="1"/>
          <w:jc w:val="center"/>
        </w:trPr>
        <w:tc>
          <w:tcPr>
            <w:tcW w:w="1355" w:type="dxa"/>
            <w:vMerge w:val="restart"/>
            <w:tcBorders>
              <w:top w:val="single" w:sz="3" w:space="0" w:color="000000"/>
              <w:left w:val="single" w:sz="3" w:space="0" w:color="000000"/>
              <w:bottom w:val="single" w:sz="3" w:space="0" w:color="000000"/>
              <w:right w:val="single" w:sz="3" w:space="0" w:color="000000"/>
            </w:tcBorders>
            <w:vAlign w:val="center"/>
          </w:tcPr>
          <w:p w14:paraId="24E41EB4" w14:textId="77777777" w:rsidR="00165D83" w:rsidRPr="00163E6F" w:rsidRDefault="00165D83">
            <w:pPr>
              <w:autoSpaceDE w:val="0"/>
              <w:autoSpaceDN w:val="0"/>
              <w:adjustRightInd w:val="0"/>
              <w:spacing w:before="120" w:after="120"/>
              <w:jc w:val="center"/>
              <w:rPr>
                <w:rFonts w:ascii="Calibri" w:hAnsi="Calibri" w:cs="Calibri"/>
              </w:rPr>
            </w:pPr>
            <w:r w:rsidRPr="00163E6F">
              <w:rPr>
                <w:szCs w:val="24"/>
              </w:rPr>
              <w:t>Kūdra</w:t>
            </w:r>
          </w:p>
        </w:tc>
        <w:tc>
          <w:tcPr>
            <w:tcW w:w="2795" w:type="dxa"/>
            <w:tcBorders>
              <w:top w:val="single" w:sz="3" w:space="0" w:color="000000"/>
              <w:left w:val="single" w:sz="3" w:space="0" w:color="000000"/>
              <w:bottom w:val="single" w:sz="3" w:space="0" w:color="000000"/>
              <w:right w:val="single" w:sz="3" w:space="0" w:color="000000"/>
            </w:tcBorders>
            <w:vAlign w:val="center"/>
          </w:tcPr>
          <w:p w14:paraId="5E7A95DD" w14:textId="77777777" w:rsidR="00165D83" w:rsidRPr="00163E6F" w:rsidRDefault="004837FC">
            <w:pPr>
              <w:autoSpaceDE w:val="0"/>
              <w:autoSpaceDN w:val="0"/>
              <w:adjustRightInd w:val="0"/>
              <w:spacing w:before="120" w:after="120"/>
              <w:rPr>
                <w:rFonts w:ascii="Calibri" w:hAnsi="Calibri" w:cs="Calibri"/>
              </w:rPr>
            </w:pPr>
            <w:r w:rsidRPr="00163E6F">
              <w:rPr>
                <w:szCs w:val="24"/>
              </w:rPr>
              <w:t xml:space="preserve">tūkst. t ar mitrumu </w:t>
            </w:r>
            <w:r w:rsidR="00165D83" w:rsidRPr="00163E6F">
              <w:rPr>
                <w:szCs w:val="24"/>
              </w:rPr>
              <w:t>40%</w:t>
            </w:r>
          </w:p>
        </w:tc>
        <w:tc>
          <w:tcPr>
            <w:tcW w:w="1276" w:type="dxa"/>
            <w:tcBorders>
              <w:top w:val="single" w:sz="3" w:space="0" w:color="000000"/>
              <w:left w:val="single" w:sz="3" w:space="0" w:color="000000"/>
              <w:bottom w:val="single" w:sz="3" w:space="0" w:color="000000"/>
              <w:right w:val="single" w:sz="3" w:space="0" w:color="000000"/>
            </w:tcBorders>
            <w:vAlign w:val="center"/>
          </w:tcPr>
          <w:p w14:paraId="1FD41B26"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A</w:t>
            </w:r>
          </w:p>
        </w:tc>
        <w:tc>
          <w:tcPr>
            <w:tcW w:w="1843" w:type="dxa"/>
            <w:tcBorders>
              <w:top w:val="single" w:sz="3" w:space="0" w:color="000000"/>
              <w:left w:val="single" w:sz="3" w:space="0" w:color="000000"/>
              <w:bottom w:val="single" w:sz="3" w:space="0" w:color="000000"/>
              <w:right w:val="single" w:sz="3" w:space="0" w:color="000000"/>
            </w:tcBorders>
            <w:vAlign w:val="center"/>
          </w:tcPr>
          <w:p w14:paraId="27224ECF"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129876.61</w:t>
            </w:r>
          </w:p>
        </w:tc>
        <w:tc>
          <w:tcPr>
            <w:tcW w:w="1363" w:type="dxa"/>
            <w:tcBorders>
              <w:top w:val="single" w:sz="3" w:space="0" w:color="000000"/>
              <w:left w:val="single" w:sz="3" w:space="0" w:color="000000"/>
              <w:bottom w:val="single" w:sz="3" w:space="0" w:color="000000"/>
              <w:right w:val="single" w:sz="3" w:space="0" w:color="000000"/>
            </w:tcBorders>
            <w:vAlign w:val="center"/>
          </w:tcPr>
          <w:p w14:paraId="6A36120B"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86</w:t>
            </w:r>
          </w:p>
        </w:tc>
      </w:tr>
      <w:tr w:rsidR="00165D83" w:rsidRPr="00163E6F" w14:paraId="7C282A22" w14:textId="77777777" w:rsidTr="00687C14">
        <w:trPr>
          <w:trHeight w:val="1"/>
          <w:jc w:val="center"/>
        </w:trPr>
        <w:tc>
          <w:tcPr>
            <w:tcW w:w="1355" w:type="dxa"/>
            <w:vMerge/>
            <w:tcBorders>
              <w:top w:val="single" w:sz="3" w:space="0" w:color="000000"/>
              <w:left w:val="single" w:sz="3" w:space="0" w:color="000000"/>
              <w:bottom w:val="single" w:sz="3" w:space="0" w:color="000000"/>
              <w:right w:val="single" w:sz="3" w:space="0" w:color="000000"/>
            </w:tcBorders>
          </w:tcPr>
          <w:p w14:paraId="598F68C9" w14:textId="77777777" w:rsidR="00165D83" w:rsidRPr="00163E6F" w:rsidRDefault="00165D83">
            <w:pPr>
              <w:autoSpaceDE w:val="0"/>
              <w:autoSpaceDN w:val="0"/>
              <w:adjustRightInd w:val="0"/>
              <w:spacing w:after="200" w:line="276" w:lineRule="auto"/>
              <w:jc w:val="left"/>
              <w:rPr>
                <w:rFonts w:ascii="Calibri" w:hAnsi="Calibri" w:cs="Calibri"/>
              </w:rPr>
            </w:pPr>
          </w:p>
        </w:tc>
        <w:tc>
          <w:tcPr>
            <w:tcW w:w="2795" w:type="dxa"/>
            <w:tcBorders>
              <w:top w:val="single" w:sz="3" w:space="0" w:color="000000"/>
              <w:left w:val="single" w:sz="3" w:space="0" w:color="000000"/>
              <w:bottom w:val="single" w:sz="3" w:space="0" w:color="000000"/>
              <w:right w:val="single" w:sz="3" w:space="0" w:color="000000"/>
            </w:tcBorders>
          </w:tcPr>
          <w:p w14:paraId="6DB3C61A" w14:textId="77777777" w:rsidR="00165D83" w:rsidRPr="00163E6F" w:rsidRDefault="004837FC">
            <w:pPr>
              <w:autoSpaceDE w:val="0"/>
              <w:autoSpaceDN w:val="0"/>
              <w:adjustRightInd w:val="0"/>
              <w:spacing w:before="120" w:after="120"/>
              <w:jc w:val="left"/>
              <w:rPr>
                <w:rFonts w:ascii="Calibri" w:hAnsi="Calibri" w:cs="Calibri"/>
              </w:rPr>
            </w:pPr>
            <w:r w:rsidRPr="00163E6F">
              <w:rPr>
                <w:szCs w:val="24"/>
              </w:rPr>
              <w:t xml:space="preserve">tūkst. t ar mitrumu </w:t>
            </w:r>
            <w:r w:rsidR="00165D83" w:rsidRPr="00163E6F">
              <w:rPr>
                <w:szCs w:val="24"/>
              </w:rPr>
              <w:t>40%</w:t>
            </w:r>
          </w:p>
        </w:tc>
        <w:tc>
          <w:tcPr>
            <w:tcW w:w="1276" w:type="dxa"/>
            <w:tcBorders>
              <w:top w:val="single" w:sz="3" w:space="0" w:color="000000"/>
              <w:left w:val="single" w:sz="3" w:space="0" w:color="000000"/>
              <w:bottom w:val="single" w:sz="3" w:space="0" w:color="000000"/>
              <w:right w:val="single" w:sz="3" w:space="0" w:color="000000"/>
            </w:tcBorders>
            <w:vAlign w:val="center"/>
          </w:tcPr>
          <w:p w14:paraId="24C3C08B"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N</w:t>
            </w:r>
          </w:p>
        </w:tc>
        <w:tc>
          <w:tcPr>
            <w:tcW w:w="1843" w:type="dxa"/>
            <w:tcBorders>
              <w:top w:val="single" w:sz="3" w:space="0" w:color="000000"/>
              <w:left w:val="single" w:sz="3" w:space="0" w:color="000000"/>
              <w:bottom w:val="single" w:sz="3" w:space="0" w:color="000000"/>
              <w:right w:val="single" w:sz="3" w:space="0" w:color="000000"/>
            </w:tcBorders>
            <w:vAlign w:val="center"/>
          </w:tcPr>
          <w:p w14:paraId="04BE59F5"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23128.19</w:t>
            </w:r>
          </w:p>
        </w:tc>
        <w:tc>
          <w:tcPr>
            <w:tcW w:w="1363" w:type="dxa"/>
            <w:tcBorders>
              <w:top w:val="single" w:sz="3" w:space="0" w:color="000000"/>
              <w:left w:val="single" w:sz="3" w:space="0" w:color="000000"/>
              <w:bottom w:val="single" w:sz="3" w:space="0" w:color="000000"/>
              <w:right w:val="single" w:sz="3" w:space="0" w:color="000000"/>
            </w:tcBorders>
            <w:vAlign w:val="center"/>
          </w:tcPr>
          <w:p w14:paraId="158DCE18" w14:textId="77777777" w:rsidR="00165D83" w:rsidRPr="00163E6F" w:rsidRDefault="00165D83" w:rsidP="00A6422A">
            <w:pPr>
              <w:autoSpaceDE w:val="0"/>
              <w:autoSpaceDN w:val="0"/>
              <w:adjustRightInd w:val="0"/>
              <w:spacing w:before="120" w:after="120"/>
              <w:jc w:val="center"/>
              <w:rPr>
                <w:rFonts w:ascii="Calibri" w:hAnsi="Calibri" w:cs="Calibri"/>
              </w:rPr>
            </w:pPr>
            <w:r w:rsidRPr="00163E6F">
              <w:rPr>
                <w:szCs w:val="24"/>
              </w:rPr>
              <w:t>-</w:t>
            </w:r>
          </w:p>
        </w:tc>
      </w:tr>
    </w:tbl>
    <w:p w14:paraId="2BE55C21" w14:textId="77777777" w:rsidR="00165D83" w:rsidRPr="00163E6F" w:rsidRDefault="00165D83" w:rsidP="00165D83">
      <w:pPr>
        <w:autoSpaceDE w:val="0"/>
        <w:autoSpaceDN w:val="0"/>
        <w:adjustRightInd w:val="0"/>
        <w:spacing w:after="120"/>
        <w:ind w:firstLine="567"/>
        <w:rPr>
          <w:szCs w:val="24"/>
        </w:rPr>
      </w:pPr>
    </w:p>
    <w:p w14:paraId="190C288B" w14:textId="77777777" w:rsidR="00165D83" w:rsidRPr="00163E6F" w:rsidRDefault="003A7ECD" w:rsidP="00165D83">
      <w:pPr>
        <w:autoSpaceDE w:val="0"/>
        <w:autoSpaceDN w:val="0"/>
        <w:adjustRightInd w:val="0"/>
        <w:spacing w:after="120"/>
        <w:ind w:firstLine="720"/>
        <w:rPr>
          <w:szCs w:val="24"/>
        </w:rPr>
      </w:pPr>
      <w:r w:rsidRPr="00163E6F">
        <w:rPr>
          <w:szCs w:val="24"/>
        </w:rPr>
        <w:t>Pēc Latvijas plānošanas reģionu izvērtējuma, l</w:t>
      </w:r>
      <w:r w:rsidR="00165D83" w:rsidRPr="00163E6F">
        <w:rPr>
          <w:szCs w:val="24"/>
        </w:rPr>
        <w:t xml:space="preserve">ielākais kūdras atradņu īpatsvars atrodas Latgales plānošanas reģionā </w:t>
      </w:r>
      <w:r w:rsidRPr="00163E6F">
        <w:rPr>
          <w:szCs w:val="24"/>
        </w:rPr>
        <w:t>–</w:t>
      </w:r>
      <w:r w:rsidR="00165D83" w:rsidRPr="00163E6F">
        <w:rPr>
          <w:szCs w:val="24"/>
        </w:rPr>
        <w:t xml:space="preserve"> 31% no kopējā resursu apjoma. Vidzemes plānošanas reģionā atrodas 25%, 17% ietilpst Rīgas plānošanas reģionā, un</w:t>
      </w:r>
      <w:r w:rsidRPr="00163E6F">
        <w:rPr>
          <w:szCs w:val="24"/>
        </w:rPr>
        <w:t>,</w:t>
      </w:r>
      <w:r w:rsidR="00165D83" w:rsidRPr="00163E6F">
        <w:rPr>
          <w:szCs w:val="24"/>
        </w:rPr>
        <w:t xml:space="preserve"> attiecīgi</w:t>
      </w:r>
      <w:r w:rsidRPr="00163E6F">
        <w:rPr>
          <w:szCs w:val="24"/>
        </w:rPr>
        <w:t>,</w:t>
      </w:r>
      <w:r w:rsidR="00165D83" w:rsidRPr="00163E6F">
        <w:rPr>
          <w:szCs w:val="24"/>
        </w:rPr>
        <w:t xml:space="preserve"> Kurzemes un Zemgales plānošanas reģionos koncentrēti 1</w:t>
      </w:r>
      <w:r w:rsidR="00AA07F6" w:rsidRPr="00163E6F">
        <w:rPr>
          <w:szCs w:val="24"/>
        </w:rPr>
        <w:t>3% un 14</w:t>
      </w:r>
      <w:r w:rsidR="00165D83" w:rsidRPr="00163E6F">
        <w:rPr>
          <w:szCs w:val="24"/>
        </w:rPr>
        <w:t xml:space="preserve">% </w:t>
      </w:r>
      <w:r w:rsidRPr="00163E6F">
        <w:rPr>
          <w:szCs w:val="24"/>
        </w:rPr>
        <w:t>kūdras atradņu. Kūdras resursu procentuālais</w:t>
      </w:r>
      <w:r w:rsidR="00165D83" w:rsidRPr="00163E6F">
        <w:rPr>
          <w:szCs w:val="24"/>
        </w:rPr>
        <w:t xml:space="preserve"> sadalījums pa Latvijas plānošanas reģioniem attēlots 4.attēlā. Savukārt kūdras atradņu telpiskais novietojums attēlots 5.attēlā.</w:t>
      </w:r>
    </w:p>
    <w:p w14:paraId="027C2C13" w14:textId="77777777" w:rsidR="003A7ECD" w:rsidRPr="00163E6F" w:rsidRDefault="00165D83" w:rsidP="003A7ECD">
      <w:pPr>
        <w:autoSpaceDE w:val="0"/>
        <w:autoSpaceDN w:val="0"/>
        <w:adjustRightInd w:val="0"/>
        <w:spacing w:before="120"/>
        <w:jc w:val="center"/>
        <w:rPr>
          <w:szCs w:val="24"/>
        </w:rPr>
      </w:pPr>
      <w:r w:rsidRPr="00163E6F">
        <w:rPr>
          <w:rFonts w:ascii="Calibri" w:hAnsi="Calibri" w:cs="Calibri"/>
          <w:noProof/>
          <w:sz w:val="22"/>
          <w:lang w:eastAsia="lv-LV"/>
        </w:rPr>
        <w:drawing>
          <wp:inline distT="0" distB="0" distL="0" distR="0" wp14:anchorId="2C7BEA01" wp14:editId="28CCF731">
            <wp:extent cx="5285297" cy="2983057"/>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283669" cy="2982138"/>
                    </a:xfrm>
                    <a:prstGeom prst="rect">
                      <a:avLst/>
                    </a:prstGeom>
                    <a:noFill/>
                    <a:ln w="9525">
                      <a:noFill/>
                      <a:miter lim="800000"/>
                      <a:headEnd/>
                      <a:tailEnd/>
                    </a:ln>
                  </pic:spPr>
                </pic:pic>
              </a:graphicData>
            </a:graphic>
          </wp:inline>
        </w:drawing>
      </w:r>
    </w:p>
    <w:p w14:paraId="70B384A1" w14:textId="77777777" w:rsidR="00165D83" w:rsidRPr="00163E6F" w:rsidRDefault="00165D83" w:rsidP="00165D83">
      <w:pPr>
        <w:autoSpaceDE w:val="0"/>
        <w:autoSpaceDN w:val="0"/>
        <w:adjustRightInd w:val="0"/>
        <w:spacing w:before="120"/>
        <w:jc w:val="left"/>
        <w:rPr>
          <w:szCs w:val="24"/>
        </w:rPr>
      </w:pPr>
      <w:r w:rsidRPr="00163E6F">
        <w:rPr>
          <w:szCs w:val="24"/>
        </w:rPr>
        <w:t>4.att. Latvijas Kūdras resursu % sadalījums pa Latvijas plānošanas reģioniem</w:t>
      </w:r>
    </w:p>
    <w:p w14:paraId="31F40961" w14:textId="77777777" w:rsidR="00165D83" w:rsidRPr="00163E6F" w:rsidRDefault="00165D83" w:rsidP="003A7ECD">
      <w:pPr>
        <w:autoSpaceDE w:val="0"/>
        <w:autoSpaceDN w:val="0"/>
        <w:adjustRightInd w:val="0"/>
        <w:spacing w:before="120" w:after="120" w:line="360" w:lineRule="auto"/>
        <w:jc w:val="center"/>
        <w:rPr>
          <w:szCs w:val="24"/>
        </w:rPr>
      </w:pPr>
      <w:r w:rsidRPr="00163E6F">
        <w:rPr>
          <w:rFonts w:ascii="Calibri" w:hAnsi="Calibri" w:cs="Calibri"/>
          <w:noProof/>
          <w:sz w:val="22"/>
          <w:lang w:eastAsia="lv-LV"/>
        </w:rPr>
        <w:lastRenderedPageBreak/>
        <w:drawing>
          <wp:inline distT="0" distB="0" distL="0" distR="0" wp14:anchorId="5A33C992" wp14:editId="0FC8DDC7">
            <wp:extent cx="5362575" cy="37814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5362575" cy="3781425"/>
                    </a:xfrm>
                    <a:prstGeom prst="rect">
                      <a:avLst/>
                    </a:prstGeom>
                    <a:noFill/>
                    <a:ln w="9525">
                      <a:noFill/>
                      <a:miter lim="800000"/>
                      <a:headEnd/>
                      <a:tailEnd/>
                    </a:ln>
                  </pic:spPr>
                </pic:pic>
              </a:graphicData>
            </a:graphic>
          </wp:inline>
        </w:drawing>
      </w:r>
    </w:p>
    <w:p w14:paraId="7A18A693" w14:textId="77777777" w:rsidR="00165D83" w:rsidRPr="00163E6F" w:rsidRDefault="00165D83" w:rsidP="00165D83">
      <w:pPr>
        <w:autoSpaceDE w:val="0"/>
        <w:autoSpaceDN w:val="0"/>
        <w:adjustRightInd w:val="0"/>
        <w:spacing w:before="120" w:after="120" w:line="360" w:lineRule="auto"/>
        <w:jc w:val="center"/>
        <w:rPr>
          <w:szCs w:val="24"/>
        </w:rPr>
      </w:pPr>
      <w:r w:rsidRPr="00163E6F">
        <w:rPr>
          <w:szCs w:val="24"/>
        </w:rPr>
        <w:t>5.att. Latvijas kūdras resursu telpiskais izvietojums Latvijas plānošanas reģionos</w:t>
      </w:r>
    </w:p>
    <w:p w14:paraId="1EBB5B87" w14:textId="77777777" w:rsidR="00165D83" w:rsidRPr="00163E6F" w:rsidRDefault="00165D83" w:rsidP="006A01B9">
      <w:pPr>
        <w:pStyle w:val="Heading2"/>
      </w:pPr>
      <w:bookmarkStart w:id="13" w:name="_Toc497573987"/>
      <w:r w:rsidRPr="00163E6F">
        <w:t>Kūdras ieguves licences laukumi un kūdras ieguves vietas</w:t>
      </w:r>
      <w:bookmarkEnd w:id="13"/>
    </w:p>
    <w:p w14:paraId="14B302EB" w14:textId="77777777" w:rsidR="00165D83" w:rsidRPr="00163E6F" w:rsidRDefault="00165D83" w:rsidP="00165D83">
      <w:pPr>
        <w:autoSpaceDE w:val="0"/>
        <w:autoSpaceDN w:val="0"/>
        <w:adjustRightInd w:val="0"/>
        <w:spacing w:after="120"/>
        <w:ind w:firstLine="720"/>
        <w:rPr>
          <w:szCs w:val="24"/>
        </w:rPr>
      </w:pPr>
      <w:r w:rsidRPr="00163E6F">
        <w:rPr>
          <w:szCs w:val="24"/>
        </w:rPr>
        <w:t>Uz 2016.</w:t>
      </w:r>
      <w:r w:rsidR="00DE542D" w:rsidRPr="00163E6F">
        <w:rPr>
          <w:szCs w:val="24"/>
        </w:rPr>
        <w:t xml:space="preserve"> </w:t>
      </w:r>
      <w:r w:rsidRPr="00163E6F">
        <w:rPr>
          <w:szCs w:val="24"/>
        </w:rPr>
        <w:t>gada 1.</w:t>
      </w:r>
      <w:r w:rsidR="00DE542D" w:rsidRPr="00163E6F">
        <w:rPr>
          <w:szCs w:val="24"/>
        </w:rPr>
        <w:t xml:space="preserve"> </w:t>
      </w:r>
      <w:r w:rsidRPr="00163E6F">
        <w:rPr>
          <w:szCs w:val="24"/>
        </w:rPr>
        <w:t xml:space="preserve">septembri kūdras resursu ieguvei bija izsniegtas 116 zemes dzīļu izmantošanas licences. Kopējā ģeogrāfiskā platība, kas iegūta licenču laukumu digitalizācijas rezultātā, ir </w:t>
      </w:r>
      <w:r w:rsidR="002243C2" w:rsidRPr="00163E6F">
        <w:rPr>
          <w:szCs w:val="24"/>
        </w:rPr>
        <w:t>–</w:t>
      </w:r>
      <w:r w:rsidRPr="00163E6F">
        <w:rPr>
          <w:szCs w:val="24"/>
        </w:rPr>
        <w:t xml:space="preserve"> 25 333 ha. </w:t>
      </w:r>
      <w:r w:rsidR="00DE542D" w:rsidRPr="00163E6F">
        <w:rPr>
          <w:szCs w:val="24"/>
        </w:rPr>
        <w:t>2016. gadā bija 86 kūdras ieguves vietas, kuru telpiskais izvietojums parādīts 6. attēlā.</w:t>
      </w:r>
    </w:p>
    <w:p w14:paraId="32839FAE" w14:textId="77777777" w:rsidR="00DE542D" w:rsidRPr="00163E6F" w:rsidRDefault="00DE542D" w:rsidP="003A40B3">
      <w:pPr>
        <w:autoSpaceDE w:val="0"/>
        <w:autoSpaceDN w:val="0"/>
        <w:adjustRightInd w:val="0"/>
        <w:spacing w:after="120"/>
        <w:ind w:firstLine="720"/>
        <w:jc w:val="center"/>
        <w:rPr>
          <w:szCs w:val="24"/>
        </w:rPr>
      </w:pPr>
      <w:r w:rsidRPr="00163E6F">
        <w:rPr>
          <w:rFonts w:ascii="Calibri" w:hAnsi="Calibri" w:cs="Calibri"/>
          <w:noProof/>
          <w:sz w:val="22"/>
          <w:lang w:eastAsia="lv-LV"/>
        </w:rPr>
        <w:drawing>
          <wp:inline distT="0" distB="0" distL="0" distR="0" wp14:anchorId="27F0D8D0" wp14:editId="5DBA5BE8">
            <wp:extent cx="4630453" cy="2769079"/>
            <wp:effectExtent l="1905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4635907" cy="2772341"/>
                    </a:xfrm>
                    <a:prstGeom prst="rect">
                      <a:avLst/>
                    </a:prstGeom>
                    <a:noFill/>
                    <a:ln w="9525">
                      <a:noFill/>
                      <a:miter lim="800000"/>
                      <a:headEnd/>
                      <a:tailEnd/>
                    </a:ln>
                  </pic:spPr>
                </pic:pic>
              </a:graphicData>
            </a:graphic>
          </wp:inline>
        </w:drawing>
      </w:r>
    </w:p>
    <w:p w14:paraId="7E91936D" w14:textId="77777777" w:rsidR="00DE542D" w:rsidRPr="00163E6F" w:rsidRDefault="00FB146E" w:rsidP="00DE542D">
      <w:pPr>
        <w:autoSpaceDE w:val="0"/>
        <w:autoSpaceDN w:val="0"/>
        <w:adjustRightInd w:val="0"/>
        <w:spacing w:after="120"/>
        <w:ind w:left="567"/>
        <w:jc w:val="center"/>
        <w:rPr>
          <w:szCs w:val="24"/>
        </w:rPr>
      </w:pPr>
      <w:r w:rsidRPr="00163E6F">
        <w:rPr>
          <w:szCs w:val="24"/>
        </w:rPr>
        <w:t>6</w:t>
      </w:r>
      <w:r w:rsidR="00DE542D" w:rsidRPr="00163E6F">
        <w:rPr>
          <w:szCs w:val="24"/>
        </w:rPr>
        <w:t>.att. Kūdras ieguves vietas Latvijā 2016. gadā</w:t>
      </w:r>
    </w:p>
    <w:p w14:paraId="31D1A5CC"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Licenču laukumu sadalījums pēc zemes īpašumu tiesībām: 55% no teritorijām, kurās tiek realizēta kūdras ieguve, atrodas valsts īpašumā, 16% pašvaldību īpašumā, 15% juridisko personu īpašumā, 5% fizisko personu īpašumā un 9% no licences laukumiem ir dalīts īpašuma tiesī</w:t>
      </w:r>
      <w:r w:rsidR="00DE542D" w:rsidRPr="00163E6F">
        <w:rPr>
          <w:szCs w:val="24"/>
        </w:rPr>
        <w:t>bu statuss (7</w:t>
      </w:r>
      <w:r w:rsidRPr="00163E6F">
        <w:rPr>
          <w:szCs w:val="24"/>
        </w:rPr>
        <w:t>.attēls).</w:t>
      </w:r>
    </w:p>
    <w:p w14:paraId="52D25DD9" w14:textId="77777777" w:rsidR="00165D83" w:rsidRPr="00163E6F" w:rsidRDefault="00165D83" w:rsidP="00DC266D">
      <w:pPr>
        <w:autoSpaceDE w:val="0"/>
        <w:autoSpaceDN w:val="0"/>
        <w:adjustRightInd w:val="0"/>
        <w:spacing w:after="120"/>
        <w:ind w:firstLine="720"/>
        <w:jc w:val="center"/>
        <w:rPr>
          <w:szCs w:val="24"/>
        </w:rPr>
      </w:pPr>
      <w:r w:rsidRPr="00163E6F">
        <w:rPr>
          <w:rFonts w:ascii="Calibri" w:hAnsi="Calibri" w:cs="Calibri"/>
          <w:noProof/>
          <w:sz w:val="22"/>
          <w:lang w:eastAsia="lv-LV"/>
        </w:rPr>
        <w:drawing>
          <wp:inline distT="0" distB="0" distL="0" distR="0" wp14:anchorId="5164C3E6" wp14:editId="21BC289F">
            <wp:extent cx="4414928" cy="2842372"/>
            <wp:effectExtent l="19050" t="0" r="4672"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4418642" cy="2844763"/>
                    </a:xfrm>
                    <a:prstGeom prst="rect">
                      <a:avLst/>
                    </a:prstGeom>
                    <a:noFill/>
                    <a:ln w="9525">
                      <a:noFill/>
                      <a:miter lim="800000"/>
                      <a:headEnd/>
                      <a:tailEnd/>
                    </a:ln>
                  </pic:spPr>
                </pic:pic>
              </a:graphicData>
            </a:graphic>
          </wp:inline>
        </w:drawing>
      </w:r>
    </w:p>
    <w:p w14:paraId="6B672665" w14:textId="77777777" w:rsidR="00165D83" w:rsidRPr="00163E6F" w:rsidRDefault="00DE542D" w:rsidP="00165D83">
      <w:pPr>
        <w:autoSpaceDE w:val="0"/>
        <w:autoSpaceDN w:val="0"/>
        <w:adjustRightInd w:val="0"/>
        <w:spacing w:before="120" w:after="120" w:line="360" w:lineRule="auto"/>
        <w:jc w:val="center"/>
        <w:rPr>
          <w:szCs w:val="24"/>
        </w:rPr>
      </w:pPr>
      <w:r w:rsidRPr="00163E6F">
        <w:rPr>
          <w:szCs w:val="24"/>
        </w:rPr>
        <w:t>7</w:t>
      </w:r>
      <w:r w:rsidR="00165D83" w:rsidRPr="00163E6F">
        <w:rPr>
          <w:szCs w:val="24"/>
        </w:rPr>
        <w:t>.att. Kūdras ieguves Licenču % sadalījums atbilstoši īpašuma tiesību statusam</w:t>
      </w:r>
    </w:p>
    <w:p w14:paraId="6F38E55A" w14:textId="77777777" w:rsidR="00165D83" w:rsidRPr="00163E6F" w:rsidRDefault="00165D83" w:rsidP="00165D83">
      <w:pPr>
        <w:autoSpaceDE w:val="0"/>
        <w:autoSpaceDN w:val="0"/>
        <w:adjustRightInd w:val="0"/>
        <w:spacing w:after="120"/>
        <w:ind w:left="360" w:firstLine="360"/>
        <w:rPr>
          <w:sz w:val="22"/>
        </w:rPr>
      </w:pPr>
      <w:r w:rsidRPr="00163E6F">
        <w:rPr>
          <w:i/>
          <w:iCs/>
          <w:sz w:val="22"/>
        </w:rPr>
        <w:t>*Dalīts īpašuma tiesību statuss - izsniegtās zemes dzīļu licences laukums ietilpst vairāku nekustamo īpašumu robežās, un īpašuma tiesības uz šiem nekustamajiem īpašumiem pieder dažāda tipa īpašniekiem.</w:t>
      </w:r>
      <w:r w:rsidRPr="00163E6F">
        <w:rPr>
          <w:sz w:val="22"/>
        </w:rPr>
        <w:t xml:space="preserve"> </w:t>
      </w:r>
    </w:p>
    <w:p w14:paraId="74C3A6DA" w14:textId="77777777" w:rsidR="00165D83" w:rsidRPr="00163E6F" w:rsidRDefault="00165D83" w:rsidP="00165D83">
      <w:pPr>
        <w:autoSpaceDE w:val="0"/>
        <w:autoSpaceDN w:val="0"/>
        <w:adjustRightInd w:val="0"/>
        <w:spacing w:after="120"/>
        <w:ind w:left="360" w:firstLine="360"/>
        <w:rPr>
          <w:szCs w:val="24"/>
        </w:rPr>
      </w:pPr>
    </w:p>
    <w:p w14:paraId="10E4EE76" w14:textId="77777777" w:rsidR="00165D83" w:rsidRPr="00163E6F" w:rsidRDefault="00165D83" w:rsidP="00165D83">
      <w:pPr>
        <w:autoSpaceDE w:val="0"/>
        <w:autoSpaceDN w:val="0"/>
        <w:adjustRightInd w:val="0"/>
        <w:spacing w:after="120"/>
        <w:ind w:left="360" w:firstLine="360"/>
        <w:rPr>
          <w:szCs w:val="24"/>
        </w:rPr>
      </w:pPr>
      <w:r w:rsidRPr="00163E6F">
        <w:rPr>
          <w:szCs w:val="24"/>
        </w:rPr>
        <w:t>Pēc zemes lietošanas veidiem</w:t>
      </w:r>
      <w:r w:rsidR="008E1E8A" w:rsidRPr="00163E6F">
        <w:rPr>
          <w:rStyle w:val="FootnoteReference"/>
          <w:szCs w:val="24"/>
        </w:rPr>
        <w:footnoteReference w:id="15"/>
      </w:r>
      <w:r w:rsidRPr="00163E6F">
        <w:rPr>
          <w:szCs w:val="24"/>
        </w:rPr>
        <w:t xml:space="preserve"> licencētās platības tiek sadalītas šādi: 67,62% - pārējās zemes, 19,16% meža zemes, 11,31% purvs, 0,06% ūdeņi, 1,22% lauksaimnieciskā darbība un 0,62% infrastruktūras objekti (</w:t>
      </w:r>
      <w:r w:rsidR="00DE542D" w:rsidRPr="00F524FA">
        <w:rPr>
          <w:szCs w:val="24"/>
        </w:rPr>
        <w:t>8</w:t>
      </w:r>
      <w:r w:rsidRPr="00F524FA">
        <w:rPr>
          <w:szCs w:val="24"/>
        </w:rPr>
        <w:t>.attēls</w:t>
      </w:r>
      <w:r w:rsidRPr="00163E6F">
        <w:rPr>
          <w:szCs w:val="24"/>
        </w:rPr>
        <w:t>).</w:t>
      </w:r>
    </w:p>
    <w:p w14:paraId="399CE2AF" w14:textId="77777777" w:rsidR="00165D83" w:rsidRPr="00163E6F" w:rsidRDefault="00382ADD" w:rsidP="00165D83">
      <w:pPr>
        <w:autoSpaceDE w:val="0"/>
        <w:autoSpaceDN w:val="0"/>
        <w:adjustRightInd w:val="0"/>
        <w:spacing w:after="120"/>
        <w:ind w:firstLine="567"/>
        <w:rPr>
          <w:szCs w:val="24"/>
        </w:rPr>
      </w:pPr>
      <w:r w:rsidRPr="009712CF">
        <w:rPr>
          <w:noProof/>
          <w:szCs w:val="24"/>
          <w:lang w:eastAsia="lv-LV"/>
        </w:rPr>
        <w:lastRenderedPageBreak/>
        <w:drawing>
          <wp:inline distT="0" distB="0" distL="0" distR="0" wp14:anchorId="34071BF2" wp14:editId="0FC7D946">
            <wp:extent cx="5490210" cy="3533775"/>
            <wp:effectExtent l="0" t="0" r="15240" b="9525"/>
            <wp:docPr id="14"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2B127CB" w14:textId="77777777" w:rsidR="00165D83" w:rsidRPr="00163E6F" w:rsidRDefault="00DE542D" w:rsidP="00165D83">
      <w:pPr>
        <w:autoSpaceDE w:val="0"/>
        <w:autoSpaceDN w:val="0"/>
        <w:adjustRightInd w:val="0"/>
        <w:spacing w:before="120" w:after="120" w:line="360" w:lineRule="auto"/>
        <w:jc w:val="center"/>
        <w:rPr>
          <w:color w:val="FF0000"/>
          <w:szCs w:val="24"/>
        </w:rPr>
      </w:pPr>
      <w:r w:rsidRPr="00382ADD">
        <w:rPr>
          <w:szCs w:val="24"/>
        </w:rPr>
        <w:t>8</w:t>
      </w:r>
      <w:r w:rsidR="00165D83" w:rsidRPr="00382ADD">
        <w:rPr>
          <w:szCs w:val="24"/>
        </w:rPr>
        <w:t>.att</w:t>
      </w:r>
      <w:r w:rsidR="00165D83" w:rsidRPr="00163E6F">
        <w:rPr>
          <w:szCs w:val="24"/>
        </w:rPr>
        <w:t>. Kūdras ieguves Licenču laukumu % sadalījums atbilstoši zemes lietojuma veidiem</w:t>
      </w:r>
    </w:p>
    <w:p w14:paraId="715076E0" w14:textId="77777777" w:rsidR="00165D83" w:rsidRPr="00163E6F" w:rsidRDefault="00165D83" w:rsidP="00165D83">
      <w:pPr>
        <w:autoSpaceDE w:val="0"/>
        <w:autoSpaceDN w:val="0"/>
        <w:adjustRightInd w:val="0"/>
        <w:spacing w:after="120"/>
        <w:ind w:firstLine="720"/>
        <w:rPr>
          <w:szCs w:val="24"/>
        </w:rPr>
      </w:pPr>
      <w:r w:rsidRPr="00163E6F">
        <w:rPr>
          <w:szCs w:val="24"/>
        </w:rPr>
        <w:t>Izvērtējot kūdras ieguves vietas (licences laukus) pēc zemes lietošanas veidiem jāsecina, ka zemes platībās, uz kurām izsniegta zemes dzīļu izmantošanas licence, ne vienmēr tiek realizēta ar derīgo izrakteņu ieguvi saistīta darbība vai attiecīgās licences turētājs pēc kūdras ieguves teritorijas ierīkošanas, nav veicis nepieciešamās darbības zemes lietojuma veida maiņai normatīvajos aktos noteiktajā kārtībā. Tas ietekmē korektu pieņēmumu un secinājumu izdarīšanu saistībā ar SEG emisiju uzskaiti no kūdras nozares saimnieciskajā darbībā iesaistīto platību kopapjoma.</w:t>
      </w:r>
    </w:p>
    <w:p w14:paraId="36ED714D" w14:textId="77777777" w:rsidR="00165D83" w:rsidRPr="00163E6F" w:rsidRDefault="00165D83" w:rsidP="00165D83">
      <w:pPr>
        <w:autoSpaceDE w:val="0"/>
        <w:autoSpaceDN w:val="0"/>
        <w:adjustRightInd w:val="0"/>
        <w:spacing w:after="120"/>
        <w:jc w:val="left"/>
        <w:rPr>
          <w:szCs w:val="24"/>
        </w:rPr>
      </w:pPr>
      <w:r w:rsidRPr="00163E6F">
        <w:rPr>
          <w:szCs w:val="24"/>
        </w:rPr>
        <w:t xml:space="preserve">Pēc LKA apkopotajiem datiem, uz 2017. gada 1. janvāri licencētās platības plānošanas reģionos (9. attēls): </w:t>
      </w:r>
    </w:p>
    <w:p w14:paraId="4E206F9D"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szCs w:val="24"/>
        </w:rPr>
        <w:t>Latgales plānošanas reģionā licencētās platības aizņem 4 836 ha. Latgales plānošanas reģionā ir 15 licencēti purvi, šie purvi atrodas Daugavpils, Rēzeknes, Ludzas, Preiļu un Balvu novados. Šajos purvos savu saimniecisko darbību veic 12 uzņēmumi;</w:t>
      </w:r>
    </w:p>
    <w:p w14:paraId="4D66AF4E"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szCs w:val="24"/>
        </w:rPr>
        <w:t>Vidzemes plānošanas reģionā licencētās platības aizņem 5 287 ha. Šīs licencētās platības atrodas 20 purvos un tajās savu saimniecisko darbību veic 16 uzņēmumi. Šie purvi atrodas Valmieras, Madonas, Cēsu, Valkas, Gulbenes un Alūksnes novados;</w:t>
      </w:r>
    </w:p>
    <w:p w14:paraId="776011EF"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szCs w:val="24"/>
        </w:rPr>
        <w:t>Rīgas plānošanas reģionā licencētās kūdras ieguves platības aizņem 6 245 ha. Šo platību ietvaros Rīgas plānošanas reģionā ir 36 purvi, tajos savu saimniecisko darbību veic 23 uzņēmumi. Licencētie kūdras ieguves purvi atrodas Limbažu, Tukuma, Ogres, Mālpils un Rīgas novados;</w:t>
      </w:r>
    </w:p>
    <w:p w14:paraId="3B9CEC6B"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szCs w:val="24"/>
        </w:rPr>
        <w:t>Zemgales plānošanas reģionā licencētās platības aizņem 5 561 ha. Zemgales plānošanas reģionā ir 19 licencēti purvi, kuros saimniecisko darbību veic 14 uzņēmumi. Purvi atrodas Aizkraukles, Bauskas, Jēkabpils un Jelgavas novados;</w:t>
      </w:r>
    </w:p>
    <w:p w14:paraId="0E26A29C" w14:textId="77777777" w:rsidR="00165D83" w:rsidRPr="00163E6F" w:rsidRDefault="00165D83" w:rsidP="00165D83">
      <w:pPr>
        <w:numPr>
          <w:ilvl w:val="0"/>
          <w:numId w:val="1"/>
        </w:numPr>
        <w:autoSpaceDE w:val="0"/>
        <w:autoSpaceDN w:val="0"/>
        <w:adjustRightInd w:val="0"/>
        <w:spacing w:after="120"/>
        <w:ind w:left="851" w:hanging="284"/>
        <w:rPr>
          <w:szCs w:val="24"/>
        </w:rPr>
      </w:pPr>
      <w:r w:rsidRPr="00163E6F">
        <w:rPr>
          <w:szCs w:val="24"/>
        </w:rPr>
        <w:t xml:space="preserve">Kurzemes plānošanas reģionā ir vismazākās licencētās platības starp Latvijas reģioniem – 3 706 ha. Šajā reģionā ir 28 licencētie purvi, kuros savu saimniecisko darbību veic 16 </w:t>
      </w:r>
      <w:r w:rsidRPr="00163E6F">
        <w:rPr>
          <w:szCs w:val="24"/>
        </w:rPr>
        <w:lastRenderedPageBreak/>
        <w:t xml:space="preserve">uzņēmumi. Licencēto purvu platības ir izvietotas Saldus, Talsu, Kuldīgas, Liepājas un Ventspils novados. </w:t>
      </w:r>
    </w:p>
    <w:p w14:paraId="7B38F710" w14:textId="77777777" w:rsidR="00165D83" w:rsidRPr="00163E6F" w:rsidRDefault="00165D83" w:rsidP="00165D83">
      <w:pPr>
        <w:autoSpaceDE w:val="0"/>
        <w:autoSpaceDN w:val="0"/>
        <w:adjustRightInd w:val="0"/>
        <w:spacing w:after="120"/>
        <w:ind w:left="851"/>
        <w:rPr>
          <w:szCs w:val="24"/>
        </w:rPr>
      </w:pPr>
    </w:p>
    <w:p w14:paraId="536B0A16" w14:textId="77777777" w:rsidR="00165D83" w:rsidRPr="00163E6F" w:rsidRDefault="00165D83" w:rsidP="00165D83">
      <w:pPr>
        <w:autoSpaceDE w:val="0"/>
        <w:autoSpaceDN w:val="0"/>
        <w:adjustRightInd w:val="0"/>
        <w:spacing w:after="120"/>
        <w:ind w:left="284" w:hanging="284"/>
        <w:jc w:val="center"/>
        <w:rPr>
          <w:b/>
          <w:bCs/>
          <w:szCs w:val="24"/>
        </w:rPr>
      </w:pPr>
      <w:r w:rsidRPr="00163E6F">
        <w:rPr>
          <w:rFonts w:ascii="Calibri" w:hAnsi="Calibri" w:cs="Calibri"/>
          <w:noProof/>
          <w:sz w:val="22"/>
          <w:lang w:eastAsia="lv-LV"/>
        </w:rPr>
        <w:drawing>
          <wp:inline distT="0" distB="0" distL="0" distR="0" wp14:anchorId="0F8CDE2F" wp14:editId="2A347243">
            <wp:extent cx="4333875" cy="2933700"/>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4333875" cy="2933700"/>
                    </a:xfrm>
                    <a:prstGeom prst="rect">
                      <a:avLst/>
                    </a:prstGeom>
                    <a:noFill/>
                    <a:ln w="9525">
                      <a:noFill/>
                      <a:miter lim="800000"/>
                      <a:headEnd/>
                      <a:tailEnd/>
                    </a:ln>
                  </pic:spPr>
                </pic:pic>
              </a:graphicData>
            </a:graphic>
          </wp:inline>
        </w:drawing>
      </w:r>
    </w:p>
    <w:p w14:paraId="4C6ECFC6" w14:textId="77777777" w:rsidR="00165D83" w:rsidRPr="00163E6F" w:rsidRDefault="00165D83" w:rsidP="00165D83">
      <w:pPr>
        <w:autoSpaceDE w:val="0"/>
        <w:autoSpaceDN w:val="0"/>
        <w:adjustRightInd w:val="0"/>
        <w:spacing w:after="200"/>
        <w:ind w:left="927"/>
        <w:jc w:val="center"/>
        <w:rPr>
          <w:szCs w:val="24"/>
        </w:rPr>
      </w:pPr>
      <w:r w:rsidRPr="00163E6F">
        <w:rPr>
          <w:szCs w:val="24"/>
        </w:rPr>
        <w:t>9.att. Licencētās kūdras ieguves platības plānošanas reģionos uz 2017. gada 1. janvāri</w:t>
      </w:r>
    </w:p>
    <w:p w14:paraId="5225BA57" w14:textId="77777777" w:rsidR="00165D83" w:rsidRPr="00163E6F" w:rsidRDefault="00165D83" w:rsidP="00165D83">
      <w:pPr>
        <w:autoSpaceDE w:val="0"/>
        <w:autoSpaceDN w:val="0"/>
        <w:adjustRightInd w:val="0"/>
        <w:spacing w:after="120"/>
        <w:jc w:val="left"/>
        <w:rPr>
          <w:szCs w:val="24"/>
        </w:rPr>
      </w:pPr>
    </w:p>
    <w:p w14:paraId="0C6A8C87" w14:textId="77777777" w:rsidR="00165D83" w:rsidRPr="00163E6F" w:rsidRDefault="00165D83" w:rsidP="006A01B9">
      <w:pPr>
        <w:pStyle w:val="Heading1"/>
      </w:pPr>
      <w:bookmarkStart w:id="14" w:name="_Toc497573988"/>
      <w:r w:rsidRPr="00163E6F">
        <w:t xml:space="preserve">Kūdras ieguves </w:t>
      </w:r>
      <w:r w:rsidR="000D12F0" w:rsidRPr="00163E6F">
        <w:t>nozīme Latvijas tautsaimniecībā</w:t>
      </w:r>
      <w:r w:rsidR="00AD5D1F" w:rsidRPr="00163E6F">
        <w:rPr>
          <w:rStyle w:val="FootnoteReference"/>
          <w:b w:val="0"/>
          <w:bCs w:val="0"/>
          <w:szCs w:val="24"/>
        </w:rPr>
        <w:footnoteReference w:id="16"/>
      </w:r>
      <w:r w:rsidR="00AD5D1F" w:rsidRPr="00163E6F">
        <w:rPr>
          <w:vertAlign w:val="superscript"/>
        </w:rPr>
        <w:t>,</w:t>
      </w:r>
      <w:r w:rsidR="00AD5D1F" w:rsidRPr="00163E6F">
        <w:rPr>
          <w:rStyle w:val="FootnoteReference"/>
          <w:b w:val="0"/>
          <w:bCs w:val="0"/>
          <w:szCs w:val="24"/>
        </w:rPr>
        <w:footnoteReference w:id="17"/>
      </w:r>
      <w:bookmarkEnd w:id="14"/>
      <w:r w:rsidRPr="00163E6F">
        <w:t xml:space="preserve"> </w:t>
      </w:r>
    </w:p>
    <w:p w14:paraId="6E9DC040" w14:textId="77777777" w:rsidR="00165D83" w:rsidRPr="00163E6F" w:rsidRDefault="00165D83" w:rsidP="006A01B9">
      <w:pPr>
        <w:pStyle w:val="Heading2"/>
      </w:pPr>
      <w:bookmarkStart w:id="15" w:name="_Toc497573989"/>
      <w:r w:rsidRPr="00163E6F">
        <w:t>Kūdras ieguves vēsture</w:t>
      </w:r>
      <w:r w:rsidR="00FE46F1" w:rsidRPr="00163E6F">
        <w:t xml:space="preserve"> Latvijā</w:t>
      </w:r>
      <w:bookmarkEnd w:id="15"/>
    </w:p>
    <w:p w14:paraId="34E553B5" w14:textId="77777777" w:rsidR="00165D83" w:rsidRPr="00163E6F" w:rsidRDefault="00165D83" w:rsidP="00165D83">
      <w:pPr>
        <w:autoSpaceDE w:val="0"/>
        <w:autoSpaceDN w:val="0"/>
        <w:adjustRightInd w:val="0"/>
        <w:spacing w:after="120"/>
        <w:ind w:firstLine="720"/>
        <w:rPr>
          <w:szCs w:val="24"/>
        </w:rPr>
      </w:pPr>
      <w:r w:rsidRPr="00163E6F">
        <w:rPr>
          <w:szCs w:val="24"/>
        </w:rPr>
        <w:t>Par kūdras ieguves pirmsākumiem Latvijā tiek uzskatīts 17. gs. beigas un 18. gs. sākums, kad Hercogs Jēkabs ar rīkojumu ir licis, pievienot kūdru kā papildus kurināmo malkai. Šajā laikā Kurzemē ieguva kūdru kurināšanai un māju jumtu segšanai.18. gs. Kurzemē kūdras ieguve kļuva arvien populārāka un 18. gs. vidū to sāka iegūt arī Vidzemē. Galvenais iemesls kūdras ieguves paplašināšanai bija sarūkošās mežu platības un malkas trūkums.</w:t>
      </w:r>
    </w:p>
    <w:p w14:paraId="5CC9155A" w14:textId="77777777" w:rsidR="00165D83" w:rsidRPr="00163E6F" w:rsidRDefault="00165D83" w:rsidP="00165D83">
      <w:pPr>
        <w:autoSpaceDE w:val="0"/>
        <w:autoSpaceDN w:val="0"/>
        <w:adjustRightInd w:val="0"/>
        <w:spacing w:after="120"/>
        <w:ind w:firstLine="720"/>
        <w:rPr>
          <w:szCs w:val="24"/>
        </w:rPr>
      </w:pPr>
      <w:r w:rsidRPr="00163E6F">
        <w:rPr>
          <w:szCs w:val="24"/>
        </w:rPr>
        <w:t>Līdz 19. gs. vidum Latvijā kūdras ieguves metode bija tikai roku darbs – kūdras griešana ar parastām lāpstām nenosusinātos purvos. Viena cilvēka darba apjoms vidēji dienā bija 2,5 tūkst. kūdras ķieģelīšu izgriešana. Pirms Pirmā pasaules kara gan kurināmās, gan pakaišu kūdras ieguve Latvijā notika 324 purvos, no tiem 48 purvos ieguva kurināmo kūdru ar mašīnu palīdzību. 1912. gadā Rīgā tika nodibināta Baltijas Hidrotehniskā nodaļa ar purvu pētīšanas laboratoriju, kuras vadītājs bija Pēteris Nomals.</w:t>
      </w:r>
    </w:p>
    <w:p w14:paraId="29450C4B" w14:textId="77777777" w:rsidR="00165D83" w:rsidRPr="00163E6F" w:rsidRDefault="00165D83" w:rsidP="00165D83">
      <w:pPr>
        <w:autoSpaceDE w:val="0"/>
        <w:autoSpaceDN w:val="0"/>
        <w:adjustRightInd w:val="0"/>
        <w:spacing w:after="120"/>
        <w:ind w:firstLine="720"/>
        <w:rPr>
          <w:szCs w:val="24"/>
        </w:rPr>
      </w:pPr>
      <w:r w:rsidRPr="00163E6F">
        <w:rPr>
          <w:szCs w:val="24"/>
        </w:rPr>
        <w:t>Pirmā pasaules kara laikā kūdras ieguves apjomi ievērojami samazinājās, jo bija atļauts malku cirst bez ierobežojumiem. Nepieciešamības pēc kūdras samazinājās arī sakarā ar mājlopu skaita samazinājumu, kā rezultātā samazinājās nepieciešamība pēc kūdras pakaišiem.</w:t>
      </w:r>
    </w:p>
    <w:p w14:paraId="58F5509E"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Par bezdarba apkarošanai atvēlētajiem līdzekļiem Tautas labklājības ministrija uzbūvēja trīs pakaišu kūdras fabrikas. Pirmā bija 1933. gadā Ploču purvā pie Liepājas, otrā - 1934. gadā Salaspils purvā pie Rīgas un trešā - 1934. gadā Pētermuižas purvā pie Līvāniem Šajos gados Latvijā tika veicināta kūdras izmantošana un purvu un kūdras intensīva pētīšana. Diemžēl Padomju okupācija 1940. gadā un Otrais pasaules karš nobremzēja Latvijas kūdras rūpniecības attīstību.</w:t>
      </w:r>
    </w:p>
    <w:p w14:paraId="5622A027" w14:textId="77777777" w:rsidR="00165D83" w:rsidRPr="00163E6F" w:rsidRDefault="00165D83" w:rsidP="00165D83">
      <w:pPr>
        <w:autoSpaceDE w:val="0"/>
        <w:autoSpaceDN w:val="0"/>
        <w:adjustRightInd w:val="0"/>
        <w:spacing w:after="120"/>
        <w:ind w:firstLine="720"/>
        <w:rPr>
          <w:szCs w:val="24"/>
        </w:rPr>
      </w:pPr>
      <w:r w:rsidRPr="00163E6F">
        <w:rPr>
          <w:szCs w:val="24"/>
        </w:rPr>
        <w:t>Taču pilnvērtīga frēzkūdras ieguve Latvijā tiek uzsākta no pagājušā gadsimta 40. gadu otrās puses (1947.gads), kad notiek kūdras ieguves procesu mehanizācija, un tā rezultātā tiek arī veicināta kūdras izmantošana lauksaimniecībā. Līdztekus kūdras izmantošanai lauksaimniecībā pakaišu un mēslošanas vajadzībām, 50. gadu otrajā pusē tika uzsākta kūdras izmantošana enerģētikā, kas ir pirmsākumi intensīvai jaunu frēzkūdras ieguves platību apgūšanai.</w:t>
      </w:r>
    </w:p>
    <w:p w14:paraId="0966E172"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1954. gadā Latvijā sāka ražot kūdras izolācijas plātnes, un sāka palielināties kūdras izmantošana lauksaimniecībā kā pakaiši un augsnes auglības uzlabošanai. Līdz 1964. gadam Līvānu kūdras fabrikā ražoja kūdras izolācijas plātnes un segmentus cauruļu izolācijai. Latvijas inženieri ir devuši savu ieguldījumu arī kūdras ieguves tehnoloģiskajā attīstībā. 1968. gadā Latvijas inženieri izstrādāja pneimatiskās bunkurmašīnas modeli – PPF-5, kas paredzēta pakaišu frēzkūdras ieguvei. Latvijā izgatavoja ap 800 tādu mašīnu, no kurām 50 tika eksportētas uz Somiju, un tur tika atzītas par piemērotām frēzkūdras iegūšanai. 1975. gadā Latvijā sāka darboties kūdras presēšanas un pakošanas cehs, kurā maz sadalījušos sūnu kūdru iepakoja polietilēna maisos. Šī sapakotā produkcija tika paredzēta eksportam uz Rietumeiropu. </w:t>
      </w:r>
    </w:p>
    <w:p w14:paraId="4AE38DC2" w14:textId="77777777" w:rsidR="00165D83" w:rsidRPr="00163E6F" w:rsidRDefault="00165D83" w:rsidP="00165D83">
      <w:pPr>
        <w:autoSpaceDE w:val="0"/>
        <w:autoSpaceDN w:val="0"/>
        <w:adjustRightInd w:val="0"/>
        <w:spacing w:after="120"/>
        <w:ind w:firstLine="720"/>
        <w:rPr>
          <w:szCs w:val="24"/>
        </w:rPr>
      </w:pPr>
      <w:r w:rsidRPr="00163E6F">
        <w:rPr>
          <w:szCs w:val="24"/>
        </w:rPr>
        <w:t>1983. gadā Latvijā uzsāka kūdras substrāta ražošanu un nedaudz vēlāk uzsāka kūdras ķīmisko pārstrādi. 1985. gadā no Latvijas eksportēja 52 tūkst. t kūdras. “Zilākalnā” uzbūvēja eksperimentālu cehu melases ražošanai no kūdras.</w:t>
      </w:r>
    </w:p>
    <w:p w14:paraId="16C21FEC" w14:textId="77777777" w:rsidR="00165D83" w:rsidRPr="00163E6F" w:rsidRDefault="00165D83" w:rsidP="00165D83">
      <w:pPr>
        <w:autoSpaceDE w:val="0"/>
        <w:autoSpaceDN w:val="0"/>
        <w:adjustRightInd w:val="0"/>
        <w:spacing w:after="120"/>
        <w:ind w:firstLine="720"/>
        <w:rPr>
          <w:szCs w:val="24"/>
        </w:rPr>
      </w:pPr>
      <w:r w:rsidRPr="00163E6F">
        <w:rPr>
          <w:szCs w:val="24"/>
        </w:rPr>
        <w:t>Lai kūdras ieguves uzņēmumi varētu sekmīgi veikt savu darbību un attīstīties, bija nepieciešami kvalificēti darbinieki kūdras novirzienā. Pirmie speciālisti tika sagatavoti 50. gados Latvijas Valsts Universitātē, kas tagad ir Latvijas Universitāte, bet pēc tam, līdz 1969. gadam, kūdras speciālisti tika sagatavoti Latvijas Lauksaimniecības akadēmijā, kas tagad ir Latvijas Lauksaimniecības universitāte. Kopā tika aizvadīti 7 izlaidumi un šajā laikā sagatavoti 49 inženieri kūdras jomā.</w:t>
      </w:r>
    </w:p>
    <w:p w14:paraId="304F6F69"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Pēc 1991. gada strauji samazinājās kūdras ieguve un pat bija purvi, kuros ieguve tika pārtraukta, jo likvidēja kolhozus un sovhozus, kas tajā laikā bija galvenie kūdras patērētāji, tieši pakaišu kūdras patērētāji. Kūdru turpināja iegūt tikai kurināmajam un eksportam. Šajā laikā kurināmās kūdras ieguves apjoms palielinājās, sāka nostiprināties valsts enerģētiskā neatkarība, bet tas bija tikai uz īsu brīdi, jo Rīgas TEC-1 kūdras patēriņš 1996. gadā neizskaidrojamu iemeslu dēļ sāka samazināties līdz 2003. gadā kūdras izmantošana kurināšanai tika izbeigta. Nozare bija spiesta pilnībā pārorientēties uz dārzkopības kūdras ieguvi, pārstrādi un tirdzniecību. </w:t>
      </w:r>
    </w:p>
    <w:p w14:paraId="7271DE57"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1996. gadā tika nodibināta Latvijas Kūdras ražotāju asociācija ar mērķi veicināt kūdras ieguvi un izmantošanu, arī enerģētikā. </w:t>
      </w:r>
    </w:p>
    <w:p w14:paraId="156BAF96" w14:textId="77777777" w:rsidR="00165D83" w:rsidRPr="00163E6F" w:rsidRDefault="00165D83" w:rsidP="00165D83">
      <w:pPr>
        <w:autoSpaceDE w:val="0"/>
        <w:autoSpaceDN w:val="0"/>
        <w:adjustRightInd w:val="0"/>
        <w:spacing w:after="120"/>
        <w:rPr>
          <w:szCs w:val="24"/>
        </w:rPr>
      </w:pPr>
    </w:p>
    <w:p w14:paraId="5F3BCA42" w14:textId="77777777" w:rsidR="00165D83" w:rsidRPr="00163E6F" w:rsidRDefault="00165D83" w:rsidP="006A01B9">
      <w:pPr>
        <w:pStyle w:val="Heading2"/>
      </w:pPr>
      <w:bookmarkStart w:id="16" w:name="_Toc497573990"/>
      <w:r w:rsidRPr="00163E6F">
        <w:t>Kūdras ieguves nozare mūsdienās</w:t>
      </w:r>
      <w:bookmarkEnd w:id="16"/>
    </w:p>
    <w:p w14:paraId="13CB2BBB"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Kūdras nozare netiek subsidēta, tai nav samazināts akcīzes nodoklis degvielai, netiek piemēroti nekādi nodokļu atvieglojumi. Nozare ir patstāvīga un tā darbojas pēc tirgus principiem. </w:t>
      </w:r>
    </w:p>
    <w:p w14:paraId="74597208" w14:textId="77777777" w:rsidR="00F37A21" w:rsidRPr="00163E6F" w:rsidRDefault="00445071" w:rsidP="00F37A21">
      <w:pPr>
        <w:autoSpaceDE w:val="0"/>
        <w:autoSpaceDN w:val="0"/>
        <w:adjustRightInd w:val="0"/>
        <w:spacing w:after="120"/>
        <w:ind w:firstLine="720"/>
        <w:rPr>
          <w:szCs w:val="24"/>
        </w:rPr>
      </w:pPr>
      <w:r w:rsidRPr="00163E6F">
        <w:rPr>
          <w:szCs w:val="24"/>
        </w:rPr>
        <w:t xml:space="preserve">Kūdras ieguvei ir sezonāls raksturs – to iegūst tikai gada siltajā sezonā. </w:t>
      </w:r>
      <w:r w:rsidR="00165D83" w:rsidRPr="00163E6F">
        <w:rPr>
          <w:szCs w:val="24"/>
        </w:rPr>
        <w:t xml:space="preserve">Kūdras ieguves apjoms gadā atkarīgs no nokrišņu daudzuma un saulaino dienu skaita sezonā. </w:t>
      </w:r>
      <w:r w:rsidR="00193997" w:rsidRPr="00163E6F">
        <w:rPr>
          <w:szCs w:val="24"/>
        </w:rPr>
        <w:t xml:space="preserve">Ieguves apjomu svārstības atspoguļo labvēlīgos un nelabvēlīgos gadus kūdras ieguvei. Kad ieguves apjoms ir lielāks, </w:t>
      </w:r>
      <w:r w:rsidR="00193997" w:rsidRPr="00163E6F">
        <w:rPr>
          <w:szCs w:val="24"/>
        </w:rPr>
        <w:lastRenderedPageBreak/>
        <w:t xml:space="preserve">tad attiecīgajā gadā ir bijis vairāk saulaino dienu pēc kārtas, kas ir noteicošais faktors, lai varētu iegūt kūdru. </w:t>
      </w:r>
      <w:r w:rsidR="00165D83" w:rsidRPr="00163E6F">
        <w:rPr>
          <w:szCs w:val="24"/>
        </w:rPr>
        <w:t>To atspoguļo kūdras ieguves apjomi pēdējo 10 gadu laikā</w:t>
      </w:r>
      <w:r w:rsidR="00DE596A" w:rsidRPr="00163E6F">
        <w:rPr>
          <w:szCs w:val="24"/>
        </w:rPr>
        <w:t xml:space="preserve"> (skat. 10.attēlu)</w:t>
      </w:r>
      <w:r w:rsidR="00165D83" w:rsidRPr="00163E6F">
        <w:rPr>
          <w:szCs w:val="24"/>
        </w:rPr>
        <w:t>.</w:t>
      </w:r>
      <w:r w:rsidR="00F37A21" w:rsidRPr="00163E6F">
        <w:rPr>
          <w:szCs w:val="24"/>
        </w:rPr>
        <w:t xml:space="preserve"> Raksturīgi, ka tekošajā ieguves sezonā tiek veidoti kūdras uzkrājumi, kuri tiek realizēti nākamā gada laikā.</w:t>
      </w:r>
    </w:p>
    <w:p w14:paraId="26789997" w14:textId="77777777" w:rsidR="005C6B8E" w:rsidRPr="00163E6F" w:rsidRDefault="005C6B8E" w:rsidP="005C6B8E">
      <w:pPr>
        <w:autoSpaceDE w:val="0"/>
        <w:autoSpaceDN w:val="0"/>
        <w:adjustRightInd w:val="0"/>
        <w:spacing w:after="120"/>
        <w:ind w:firstLine="720"/>
        <w:rPr>
          <w:szCs w:val="24"/>
        </w:rPr>
      </w:pPr>
      <w:r w:rsidRPr="00163E6F">
        <w:rPr>
          <w:szCs w:val="24"/>
        </w:rPr>
        <w:t>Lielākais kūdras ieguves apjoma kritums desmit gadu periodā, salīdzinājumā ar iepriekšējo gadu, ir bijis no 2006. gada uz 2007. gadu. 2007. gadā kūdras ieguve samazinājās par 458,86 tūkst. tonnām, salīdzinot ar iepriekšējo gadu, kūdras ieguves apjoms 2007. gadā</w:t>
      </w:r>
      <w:r w:rsidR="00DE596A" w:rsidRPr="00163E6F">
        <w:rPr>
          <w:szCs w:val="24"/>
        </w:rPr>
        <w:t xml:space="preserve"> bija vien 541,16 tūkst. tonnas.</w:t>
      </w:r>
    </w:p>
    <w:p w14:paraId="7BA8F2EB" w14:textId="77777777" w:rsidR="00165D83" w:rsidRPr="00163E6F" w:rsidRDefault="00382ADD" w:rsidP="00165D83">
      <w:pPr>
        <w:autoSpaceDE w:val="0"/>
        <w:autoSpaceDN w:val="0"/>
        <w:adjustRightInd w:val="0"/>
        <w:spacing w:after="120"/>
        <w:jc w:val="center"/>
        <w:rPr>
          <w:szCs w:val="24"/>
        </w:rPr>
      </w:pPr>
      <w:r w:rsidRPr="009712CF">
        <w:rPr>
          <w:noProof/>
          <w:szCs w:val="24"/>
          <w:lang w:eastAsia="lv-LV"/>
        </w:rPr>
        <w:drawing>
          <wp:inline distT="0" distB="0" distL="0" distR="0" wp14:anchorId="00E71B6A" wp14:editId="3D1361D6">
            <wp:extent cx="4873625" cy="2338070"/>
            <wp:effectExtent l="0" t="0" r="0" b="0"/>
            <wp:docPr id="17" name="Diagramma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1B7C2300" w14:textId="77777777" w:rsidR="00165D83" w:rsidRPr="00163E6F" w:rsidRDefault="00165D83" w:rsidP="00165D83">
      <w:pPr>
        <w:autoSpaceDE w:val="0"/>
        <w:autoSpaceDN w:val="0"/>
        <w:adjustRightInd w:val="0"/>
        <w:spacing w:after="120"/>
        <w:jc w:val="center"/>
        <w:rPr>
          <w:szCs w:val="24"/>
        </w:rPr>
      </w:pPr>
      <w:r w:rsidRPr="00382ADD">
        <w:rPr>
          <w:szCs w:val="24"/>
        </w:rPr>
        <w:t>10.att.</w:t>
      </w:r>
      <w:r w:rsidRPr="00163E6F">
        <w:rPr>
          <w:szCs w:val="24"/>
        </w:rPr>
        <w:t xml:space="preserve"> Kūdras ieguves apjomi Latvijā no 2006. – 2016. gadam, tūkst. tonnas</w:t>
      </w:r>
    </w:p>
    <w:p w14:paraId="045773C5" w14:textId="77777777" w:rsidR="00165D83" w:rsidRPr="00163E6F" w:rsidRDefault="00165D83" w:rsidP="00165D83">
      <w:pPr>
        <w:autoSpaceDE w:val="0"/>
        <w:autoSpaceDN w:val="0"/>
        <w:adjustRightInd w:val="0"/>
        <w:spacing w:after="120"/>
        <w:jc w:val="left"/>
        <w:rPr>
          <w:szCs w:val="24"/>
        </w:rPr>
      </w:pPr>
    </w:p>
    <w:p w14:paraId="2A010BF5" w14:textId="77777777" w:rsidR="005C6B8E" w:rsidRPr="00163E6F" w:rsidRDefault="005C6B8E" w:rsidP="00D91523">
      <w:pPr>
        <w:autoSpaceDE w:val="0"/>
        <w:autoSpaceDN w:val="0"/>
        <w:adjustRightInd w:val="0"/>
        <w:spacing w:after="120"/>
        <w:ind w:firstLine="709"/>
        <w:rPr>
          <w:szCs w:val="24"/>
        </w:rPr>
      </w:pPr>
      <w:r w:rsidRPr="00163E6F">
        <w:rPr>
          <w:szCs w:val="24"/>
        </w:rPr>
        <w:t>Latvijā, galvenokārt, kūdru iegūst dārzkopības vajadzībām, pavisam nedaudz aktivētās ogles ražošanai un citām vajadzībām. Lielākoties kūdra tiek izmantota kā substrāts. Baltijas valstu kūdra ir pieprasīta visā pasaulē, tajā audzē dārzeņus, garšaugus, puķes, koku stādus, to izmanto apzaļumošanai. Latvijā tiek ražoti šādi kūdras produkti:</w:t>
      </w:r>
    </w:p>
    <w:p w14:paraId="0534831C" w14:textId="77777777" w:rsidR="005C6B8E" w:rsidRPr="00163E6F" w:rsidRDefault="005C6B8E" w:rsidP="005C6B8E">
      <w:pPr>
        <w:numPr>
          <w:ilvl w:val="0"/>
          <w:numId w:val="1"/>
        </w:numPr>
        <w:autoSpaceDE w:val="0"/>
        <w:autoSpaceDN w:val="0"/>
        <w:adjustRightInd w:val="0"/>
        <w:ind w:left="851" w:hanging="284"/>
        <w:rPr>
          <w:szCs w:val="24"/>
        </w:rPr>
      </w:pPr>
      <w:r w:rsidRPr="00163E6F">
        <w:rPr>
          <w:szCs w:val="24"/>
        </w:rPr>
        <w:t>frēzkūdra un gabalkūdra</w:t>
      </w:r>
      <w:r w:rsidR="002E1AC3" w:rsidRPr="00163E6F">
        <w:rPr>
          <w:szCs w:val="24"/>
        </w:rPr>
        <w:t>;</w:t>
      </w:r>
    </w:p>
    <w:p w14:paraId="4A967920" w14:textId="77777777" w:rsidR="005C6B8E" w:rsidRPr="00163E6F" w:rsidRDefault="005C6B8E" w:rsidP="005C6B8E">
      <w:pPr>
        <w:numPr>
          <w:ilvl w:val="0"/>
          <w:numId w:val="1"/>
        </w:numPr>
        <w:autoSpaceDE w:val="0"/>
        <w:autoSpaceDN w:val="0"/>
        <w:adjustRightInd w:val="0"/>
        <w:ind w:left="851" w:hanging="284"/>
        <w:rPr>
          <w:szCs w:val="24"/>
        </w:rPr>
      </w:pPr>
      <w:r w:rsidRPr="00163E6F">
        <w:rPr>
          <w:szCs w:val="24"/>
        </w:rPr>
        <w:t>grieztā sūnu kūdra (nepārstrād</w:t>
      </w:r>
      <w:r w:rsidR="002E1AC3" w:rsidRPr="00163E6F">
        <w:rPr>
          <w:szCs w:val="24"/>
        </w:rPr>
        <w:t>āta un plucināta jeb drupināta);</w:t>
      </w:r>
    </w:p>
    <w:p w14:paraId="09B1A40F" w14:textId="77777777" w:rsidR="005C6B8E" w:rsidRPr="00163E6F" w:rsidRDefault="005C6B8E" w:rsidP="005C6B8E">
      <w:pPr>
        <w:numPr>
          <w:ilvl w:val="0"/>
          <w:numId w:val="1"/>
        </w:numPr>
        <w:autoSpaceDE w:val="0"/>
        <w:autoSpaceDN w:val="0"/>
        <w:adjustRightInd w:val="0"/>
        <w:ind w:left="851" w:hanging="284"/>
        <w:rPr>
          <w:szCs w:val="24"/>
        </w:rPr>
      </w:pPr>
      <w:r w:rsidRPr="00163E6F">
        <w:rPr>
          <w:szCs w:val="24"/>
        </w:rPr>
        <w:t>fr</w:t>
      </w:r>
      <w:r w:rsidR="002E1AC3" w:rsidRPr="00163E6F">
        <w:rPr>
          <w:szCs w:val="24"/>
        </w:rPr>
        <w:t>akcionēta un neitralizēta kūdra;</w:t>
      </w:r>
    </w:p>
    <w:p w14:paraId="7EEF8858" w14:textId="77777777" w:rsidR="005C6B8E" w:rsidRPr="00163E6F" w:rsidRDefault="005C6B8E" w:rsidP="005C6B8E">
      <w:pPr>
        <w:numPr>
          <w:ilvl w:val="0"/>
          <w:numId w:val="1"/>
        </w:numPr>
        <w:autoSpaceDE w:val="0"/>
        <w:autoSpaceDN w:val="0"/>
        <w:adjustRightInd w:val="0"/>
        <w:ind w:left="851" w:hanging="284"/>
        <w:rPr>
          <w:szCs w:val="24"/>
        </w:rPr>
      </w:pPr>
      <w:r w:rsidRPr="00163E6F">
        <w:rPr>
          <w:szCs w:val="24"/>
        </w:rPr>
        <w:t>kūdras maisījumi un s</w:t>
      </w:r>
      <w:r w:rsidR="002E1AC3" w:rsidRPr="00163E6F">
        <w:rPr>
          <w:szCs w:val="24"/>
        </w:rPr>
        <w:t>ubstrāti dārzkopjiem amatieriem;</w:t>
      </w:r>
    </w:p>
    <w:p w14:paraId="464EA150" w14:textId="77777777" w:rsidR="005C6B8E" w:rsidRPr="00163E6F" w:rsidRDefault="002E1AC3" w:rsidP="005C6B8E">
      <w:pPr>
        <w:numPr>
          <w:ilvl w:val="0"/>
          <w:numId w:val="1"/>
        </w:numPr>
        <w:autoSpaceDE w:val="0"/>
        <w:autoSpaceDN w:val="0"/>
        <w:adjustRightInd w:val="0"/>
        <w:ind w:left="851" w:hanging="284"/>
        <w:rPr>
          <w:szCs w:val="24"/>
        </w:rPr>
      </w:pPr>
      <w:r w:rsidRPr="00163E6F">
        <w:rPr>
          <w:szCs w:val="24"/>
        </w:rPr>
        <w:t>profesionālie kūdras substrāti;</w:t>
      </w:r>
    </w:p>
    <w:p w14:paraId="518F51F4" w14:textId="77777777" w:rsidR="005C6B8E" w:rsidRPr="00163E6F" w:rsidRDefault="002E1AC3" w:rsidP="005C6B8E">
      <w:pPr>
        <w:numPr>
          <w:ilvl w:val="0"/>
          <w:numId w:val="1"/>
        </w:numPr>
        <w:autoSpaceDE w:val="0"/>
        <w:autoSpaceDN w:val="0"/>
        <w:adjustRightInd w:val="0"/>
        <w:ind w:left="851" w:hanging="284"/>
        <w:rPr>
          <w:szCs w:val="24"/>
        </w:rPr>
      </w:pPr>
      <w:r w:rsidRPr="00163E6F">
        <w:rPr>
          <w:szCs w:val="24"/>
        </w:rPr>
        <w:t>kūdras granulas;</w:t>
      </w:r>
    </w:p>
    <w:p w14:paraId="0247D9F5" w14:textId="77777777" w:rsidR="005C6B8E" w:rsidRPr="00163E6F" w:rsidRDefault="002E1AC3" w:rsidP="005C6B8E">
      <w:pPr>
        <w:numPr>
          <w:ilvl w:val="0"/>
          <w:numId w:val="1"/>
        </w:numPr>
        <w:autoSpaceDE w:val="0"/>
        <w:autoSpaceDN w:val="0"/>
        <w:adjustRightInd w:val="0"/>
        <w:ind w:left="851" w:hanging="284"/>
        <w:rPr>
          <w:szCs w:val="24"/>
        </w:rPr>
      </w:pPr>
      <w:r w:rsidRPr="00163E6F">
        <w:rPr>
          <w:szCs w:val="24"/>
        </w:rPr>
        <w:t>dziednieciskās dūņas.</w:t>
      </w:r>
    </w:p>
    <w:p w14:paraId="19813717" w14:textId="77777777" w:rsidR="00165D83" w:rsidRPr="00163E6F" w:rsidRDefault="00165D83" w:rsidP="00165D83">
      <w:pPr>
        <w:autoSpaceDE w:val="0"/>
        <w:autoSpaceDN w:val="0"/>
        <w:adjustRightInd w:val="0"/>
        <w:spacing w:after="120"/>
        <w:ind w:firstLine="720"/>
        <w:rPr>
          <w:szCs w:val="24"/>
        </w:rPr>
      </w:pPr>
    </w:p>
    <w:p w14:paraId="0D2B31D8" w14:textId="77777777" w:rsidR="00165D83" w:rsidRPr="00163E6F" w:rsidRDefault="00165D83" w:rsidP="006A01B9">
      <w:pPr>
        <w:pStyle w:val="Heading2"/>
      </w:pPr>
      <w:bookmarkStart w:id="17" w:name="_Toc497573991"/>
      <w:r w:rsidRPr="00163E6F">
        <w:t>Kūdras ieguves ietekme uz nodarbinātību</w:t>
      </w:r>
      <w:bookmarkEnd w:id="17"/>
    </w:p>
    <w:p w14:paraId="4D23F6B2"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Latvijā Centrālās Statistikas Pārvaldē nav pieejama oficiāla statistiska informācija par kopējo nodarbināto skaitu kūdras ieguves un pārstrādes jomā. Norādīti tikai kopējie dati par ieguves rūpniecību. Kūdras ieguves nozarei raksturīgs liels sezonas strādnieku īpatsvars, tas pamatots ar roku darbu grieztās kūdras ieguvē. </w:t>
      </w:r>
      <w:r w:rsidR="002E3E84" w:rsidRPr="00163E6F">
        <w:rPr>
          <w:szCs w:val="24"/>
        </w:rPr>
        <w:t>Kūdras ieguvē strādājošiem netiek piemēroti sezonas strādnieku nodokļu atvieglojumi.</w:t>
      </w:r>
    </w:p>
    <w:p w14:paraId="77BBF296" w14:textId="77777777" w:rsidR="00165D83" w:rsidRPr="00163E6F" w:rsidRDefault="00165D83" w:rsidP="00165D83">
      <w:pPr>
        <w:autoSpaceDE w:val="0"/>
        <w:autoSpaceDN w:val="0"/>
        <w:adjustRightInd w:val="0"/>
        <w:spacing w:after="120"/>
        <w:ind w:firstLine="720"/>
        <w:rPr>
          <w:szCs w:val="24"/>
        </w:rPr>
      </w:pPr>
      <w:r w:rsidRPr="00163E6F">
        <w:rPr>
          <w:szCs w:val="24"/>
        </w:rPr>
        <w:t>Pēc Valsts Ieņēmuma dienesta sniegtajiem datiem</w:t>
      </w:r>
      <w:r w:rsidR="00E96DDA" w:rsidRPr="00163E6F">
        <w:rPr>
          <w:szCs w:val="24"/>
        </w:rPr>
        <w:t xml:space="preserve"> 2016.gadā bija 66 kūdras nozarē strādājoši uzņēmumi, kas veica saimniecisko darbību 86 kūdras purvos. Kopumā 2016.gadā</w:t>
      </w:r>
      <w:r w:rsidRPr="00163E6F">
        <w:rPr>
          <w:szCs w:val="24"/>
        </w:rPr>
        <w:t xml:space="preserve"> kūdras ieguvē un </w:t>
      </w:r>
      <w:r w:rsidRPr="00163E6F">
        <w:rPr>
          <w:szCs w:val="24"/>
        </w:rPr>
        <w:lastRenderedPageBreak/>
        <w:t>pārstrādē bija nodarbināti 2038 darbinieki</w:t>
      </w:r>
      <w:r w:rsidR="00E96DDA" w:rsidRPr="00163E6F">
        <w:rPr>
          <w:szCs w:val="24"/>
        </w:rPr>
        <w:t>, bet vidējais nodarbināto skaits kūdras ieguves jomā ir 2040 nodarbinātie vidēji gadā</w:t>
      </w:r>
      <w:r w:rsidRPr="00163E6F">
        <w:rPr>
          <w:szCs w:val="24"/>
        </w:rPr>
        <w:t xml:space="preserve">. Vasaras sezonā darba vietu skaits pieaug līdz 3000. </w:t>
      </w:r>
    </w:p>
    <w:p w14:paraId="0056623A" w14:textId="77777777" w:rsidR="00E96DDA" w:rsidRPr="00163E6F" w:rsidRDefault="00E96DDA" w:rsidP="00E96DDA">
      <w:pPr>
        <w:autoSpaceDE w:val="0"/>
        <w:autoSpaceDN w:val="0"/>
        <w:adjustRightInd w:val="0"/>
        <w:spacing w:after="120"/>
        <w:ind w:firstLine="720"/>
        <w:rPr>
          <w:szCs w:val="24"/>
        </w:rPr>
      </w:pPr>
      <w:r w:rsidRPr="00163E6F">
        <w:rPr>
          <w:szCs w:val="24"/>
        </w:rPr>
        <w:t xml:space="preserve">Kūdra tiek iegūta visos Latvijas reģionos un kūdras ieguves uzņēmumi nodrošina ar darba vietām cilvēkus reģionos. Lielākā kūdras ieguves uzņēmumu koncentrācija ir vērojama Rīgas reģionā un Vidzemes Ziemeļu daļā. Tā kā Latgalē ir liela purvu koncentrācija, pastāv potenciāls paplašināt kūdras ieguves apjomus tieši Latgales reģiona purvos. </w:t>
      </w:r>
    </w:p>
    <w:p w14:paraId="0D02F6C2" w14:textId="77777777" w:rsidR="00165D83" w:rsidRPr="00163E6F" w:rsidRDefault="00165D83" w:rsidP="00165D83">
      <w:pPr>
        <w:autoSpaceDE w:val="0"/>
        <w:autoSpaceDN w:val="0"/>
        <w:adjustRightInd w:val="0"/>
        <w:spacing w:after="120"/>
        <w:ind w:firstLine="720"/>
        <w:rPr>
          <w:szCs w:val="24"/>
        </w:rPr>
      </w:pPr>
      <w:r w:rsidRPr="00163E6F">
        <w:rPr>
          <w:szCs w:val="24"/>
        </w:rPr>
        <w:t>Tiek prognozēts, ka tuvāko gadu laikā strādājošo skaits būtiski nepalielināsies kūdras ieguvē un pārstrādē, taču pieaugot kūdras produktu pārstrādes operāciju īpatsvaram, varētu pieaugt strādājošo skaits pārstrādē un saistīto pakalpojumu sniegšanā (loģistikā, iepirkumā, mārketingā</w:t>
      </w:r>
      <w:r w:rsidR="00704FB8" w:rsidRPr="00163E6F">
        <w:rPr>
          <w:szCs w:val="24"/>
        </w:rPr>
        <w:t xml:space="preserve"> u.c.</w:t>
      </w:r>
      <w:r w:rsidRPr="00163E6F">
        <w:rPr>
          <w:szCs w:val="24"/>
        </w:rPr>
        <w:t>).</w:t>
      </w:r>
    </w:p>
    <w:p w14:paraId="45C11FFC" w14:textId="77777777" w:rsidR="00165D83" w:rsidRPr="00163E6F" w:rsidRDefault="00165D83" w:rsidP="00165D83">
      <w:pPr>
        <w:autoSpaceDE w:val="0"/>
        <w:autoSpaceDN w:val="0"/>
        <w:adjustRightInd w:val="0"/>
        <w:spacing w:after="120"/>
        <w:ind w:firstLine="720"/>
        <w:rPr>
          <w:szCs w:val="24"/>
        </w:rPr>
      </w:pPr>
      <w:r w:rsidRPr="00163E6F">
        <w:rPr>
          <w:szCs w:val="24"/>
        </w:rPr>
        <w:t>Kūdras ie</w:t>
      </w:r>
      <w:r w:rsidR="00704FB8" w:rsidRPr="00163E6F">
        <w:rPr>
          <w:szCs w:val="24"/>
        </w:rPr>
        <w:t>guvē nodarbināto skaits saistīts</w:t>
      </w:r>
      <w:r w:rsidRPr="00163E6F">
        <w:rPr>
          <w:szCs w:val="24"/>
        </w:rPr>
        <w:t xml:space="preserve"> arī</w:t>
      </w:r>
      <w:r w:rsidR="00704FB8" w:rsidRPr="00163E6F">
        <w:rPr>
          <w:szCs w:val="24"/>
        </w:rPr>
        <w:t xml:space="preserve"> ar kūdras ieguves tehnoloģiju – </w:t>
      </w:r>
      <w:r w:rsidRPr="00163E6F">
        <w:rPr>
          <w:szCs w:val="24"/>
        </w:rPr>
        <w:t xml:space="preserve">jo lielāks ir frēzkūdras īpatsvars, jo mazāks nodarbināto skaits. Tā kā lielākā daļa kūdras ieguves vietas ilgstoši ir izstrādē un jaunas platības klāt nāk </w:t>
      </w:r>
      <w:r w:rsidR="00704FB8" w:rsidRPr="00163E6F">
        <w:rPr>
          <w:szCs w:val="24"/>
        </w:rPr>
        <w:t>skaitliski</w:t>
      </w:r>
      <w:r w:rsidRPr="00163E6F">
        <w:rPr>
          <w:szCs w:val="24"/>
        </w:rPr>
        <w:t xml:space="preserve"> maz un lēni, grieztās kūdras īpatsvars samazinās. </w:t>
      </w:r>
    </w:p>
    <w:p w14:paraId="1CF4CE8C" w14:textId="77777777" w:rsidR="00165D83" w:rsidRPr="00163E6F" w:rsidRDefault="00165D83" w:rsidP="00165D83">
      <w:pPr>
        <w:autoSpaceDE w:val="0"/>
        <w:autoSpaceDN w:val="0"/>
        <w:adjustRightInd w:val="0"/>
        <w:spacing w:after="120"/>
        <w:rPr>
          <w:color w:val="FF0000"/>
          <w:szCs w:val="24"/>
        </w:rPr>
      </w:pPr>
    </w:p>
    <w:p w14:paraId="76A48A67" w14:textId="77777777" w:rsidR="00165D83" w:rsidRPr="00163E6F" w:rsidRDefault="00165D83" w:rsidP="006A01B9">
      <w:pPr>
        <w:pStyle w:val="Heading2"/>
      </w:pPr>
      <w:bookmarkStart w:id="18" w:name="_Toc497573992"/>
      <w:r w:rsidRPr="00163E6F">
        <w:t>Kūdras ieguves ietekme uz pievienotās vērtības radīšanu</w:t>
      </w:r>
      <w:bookmarkEnd w:id="18"/>
    </w:p>
    <w:p w14:paraId="215E7E71" w14:textId="77777777" w:rsidR="00165D83" w:rsidRPr="00163E6F" w:rsidRDefault="00165D83" w:rsidP="00165D83">
      <w:pPr>
        <w:autoSpaceDE w:val="0"/>
        <w:autoSpaceDN w:val="0"/>
        <w:adjustRightInd w:val="0"/>
        <w:spacing w:after="120"/>
        <w:ind w:firstLine="720"/>
        <w:rPr>
          <w:szCs w:val="24"/>
        </w:rPr>
      </w:pPr>
      <w:r w:rsidRPr="00163E6F">
        <w:rPr>
          <w:szCs w:val="24"/>
        </w:rPr>
        <w:t>Vērtējot kūdras ieguves un pārstrādes jomas attīstības iespējas, svarīgi ir saprast kāda pievienotā vērtība tiek radīta. Tā kā par šo rādītāju nav pieejama oficiāla statistika, tad pievienotās vērtības novērtēšanai tika izmantoti Latvijas Kūdras asociācijas biedru aptaujas dati.</w:t>
      </w:r>
    </w:p>
    <w:p w14:paraId="4125739E" w14:textId="77777777" w:rsidR="00165D83" w:rsidRPr="00163E6F" w:rsidRDefault="00165D83" w:rsidP="00165D83">
      <w:pPr>
        <w:autoSpaceDE w:val="0"/>
        <w:autoSpaceDN w:val="0"/>
        <w:adjustRightInd w:val="0"/>
        <w:spacing w:after="120"/>
        <w:ind w:firstLine="720"/>
        <w:rPr>
          <w:szCs w:val="24"/>
        </w:rPr>
      </w:pPr>
      <w:r w:rsidRPr="00163E6F">
        <w:rPr>
          <w:szCs w:val="24"/>
        </w:rPr>
        <w:t>Pievienotā vērtība veidojas kā starpība starp visu preču un pakalpojumu kopējo vērtību un ražošanā izlietotā starpprodukta vērtību. Pievienotā vērtība veidojas katrā ķēdes posmā, un šajā gadījumā pievienotā vērtība tika novērtēta kūdras ieguves un pārstrādes uzņēmuma līmenī, t.i. ražošanas posmā. Tika aprēķināts, ka 2015. gadā 1 t kūdras radīja pievienoto vērtību 98 EUR apmērā, bet 2016. gadā tā bija nedaudz augstāka – 103 EUR apmērā, kas liecina par kūdras vērtības pieaugumu. Tomēr jāatzīmē, ka šis ir ļoti indikatīvs rādītājs, jo maksimālo un minimālo vērtību izkliede ir ļoti liela, kas norāda uz to, ka situācijas uzņēmumos ir ļoti dažādas un ir pat tādi uzņēmumi, kur pievienotā vērtība ir negatīva, kas norāda uz to, ka ražošanas un citas saistītās izmaksas ir augstākas par kūdras vērtību (11. att.).</w:t>
      </w:r>
    </w:p>
    <w:p w14:paraId="54D14193" w14:textId="77777777" w:rsidR="00165D83" w:rsidRPr="00163E6F" w:rsidRDefault="00165D83" w:rsidP="00165D83">
      <w:pPr>
        <w:autoSpaceDE w:val="0"/>
        <w:autoSpaceDN w:val="0"/>
        <w:adjustRightInd w:val="0"/>
        <w:spacing w:after="120"/>
        <w:rPr>
          <w:szCs w:val="24"/>
          <w:highlight w:val="yellow"/>
        </w:rPr>
      </w:pPr>
    </w:p>
    <w:p w14:paraId="7ACD81AF" w14:textId="77777777" w:rsidR="00165D83" w:rsidRPr="00163E6F" w:rsidRDefault="00165D83" w:rsidP="00165D83">
      <w:pPr>
        <w:autoSpaceDE w:val="0"/>
        <w:autoSpaceDN w:val="0"/>
        <w:adjustRightInd w:val="0"/>
        <w:spacing w:after="200"/>
        <w:jc w:val="left"/>
        <w:rPr>
          <w:szCs w:val="24"/>
          <w:highlight w:val="yellow"/>
        </w:rPr>
      </w:pPr>
      <w:r w:rsidRPr="00163E6F">
        <w:rPr>
          <w:rFonts w:ascii="Calibri" w:hAnsi="Calibri" w:cs="Calibri"/>
          <w:noProof/>
          <w:sz w:val="22"/>
          <w:lang w:eastAsia="lv-LV"/>
        </w:rPr>
        <w:drawing>
          <wp:inline distT="0" distB="0" distL="0" distR="0" wp14:anchorId="6F85AF75" wp14:editId="76A91556">
            <wp:extent cx="5353050" cy="2628900"/>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srcRect/>
                    <a:stretch>
                      <a:fillRect/>
                    </a:stretch>
                  </pic:blipFill>
                  <pic:spPr bwMode="auto">
                    <a:xfrm>
                      <a:off x="0" y="0"/>
                      <a:ext cx="5353050" cy="2628900"/>
                    </a:xfrm>
                    <a:prstGeom prst="rect">
                      <a:avLst/>
                    </a:prstGeom>
                    <a:noFill/>
                    <a:ln w="9525">
                      <a:noFill/>
                      <a:miter lim="800000"/>
                      <a:headEnd/>
                      <a:tailEnd/>
                    </a:ln>
                  </pic:spPr>
                </pic:pic>
              </a:graphicData>
            </a:graphic>
          </wp:inline>
        </w:drawing>
      </w:r>
    </w:p>
    <w:p w14:paraId="38F51C3F" w14:textId="77777777" w:rsidR="00165D83" w:rsidRPr="00163E6F" w:rsidRDefault="00165D83" w:rsidP="00165D83">
      <w:pPr>
        <w:autoSpaceDE w:val="0"/>
        <w:autoSpaceDN w:val="0"/>
        <w:adjustRightInd w:val="0"/>
        <w:spacing w:after="120"/>
        <w:jc w:val="center"/>
        <w:rPr>
          <w:szCs w:val="24"/>
        </w:rPr>
      </w:pPr>
      <w:r w:rsidRPr="00163E6F">
        <w:rPr>
          <w:szCs w:val="24"/>
        </w:rPr>
        <w:t>11. att. Pievienotā vērtība, ko vidēji gūst kūdras ieguves un pārstrādes uzņēmums no 1 t kūdras 2015. un 2016. gadā (EUR/t kūdras)</w:t>
      </w:r>
    </w:p>
    <w:p w14:paraId="2E497887"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Pievienotajai vērtībai ir liela nozīmei kūdras ieguves un pārstrādes jomā, jo pieaugot pievienotajai vērtībai, pieaug uzņēmumu konkurence, kas savukārt ļauj īstenot efektīvu kūdras ieguvi un pārstrādi.</w:t>
      </w:r>
    </w:p>
    <w:p w14:paraId="53A18C23" w14:textId="77777777" w:rsidR="00165D83" w:rsidRPr="00163E6F" w:rsidRDefault="00165D83" w:rsidP="006A01B9">
      <w:pPr>
        <w:pStyle w:val="Heading2"/>
      </w:pPr>
      <w:bookmarkStart w:id="19" w:name="_Toc497573993"/>
      <w:r w:rsidRPr="00163E6F">
        <w:t>Kūdras un kūdras produktu ārējā tirdzniecība</w:t>
      </w:r>
      <w:bookmarkEnd w:id="19"/>
    </w:p>
    <w:p w14:paraId="778A0449"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Kūdras ieguve sastāda lielāko daļu no ieguves nozares ekonomikas. Kūdras un kūdras produktu eksportu lielā mērā ietekmē ieguves apjomi, savukārt, kūdras ieguves apjomus attiecīgajā gadā ietekmē ieguvei labvēlīgie laikapstākļi. </w:t>
      </w:r>
    </w:p>
    <w:p w14:paraId="04D3621A" w14:textId="77777777" w:rsidR="00165D83" w:rsidRPr="00163E6F" w:rsidRDefault="00165D83" w:rsidP="00165D83">
      <w:pPr>
        <w:autoSpaceDE w:val="0"/>
        <w:autoSpaceDN w:val="0"/>
        <w:adjustRightInd w:val="0"/>
        <w:spacing w:after="120"/>
        <w:ind w:firstLine="720"/>
        <w:rPr>
          <w:szCs w:val="24"/>
        </w:rPr>
      </w:pPr>
      <w:r w:rsidRPr="00163E6F">
        <w:rPr>
          <w:szCs w:val="24"/>
        </w:rPr>
        <w:t>La</w:t>
      </w:r>
      <w:r w:rsidR="00DA0B4A" w:rsidRPr="00163E6F">
        <w:rPr>
          <w:szCs w:val="24"/>
        </w:rPr>
        <w:t xml:space="preserve">tvijas kopējā eksportā galvenais eksporta tirgus </w:t>
      </w:r>
      <w:r w:rsidR="00C05558" w:rsidRPr="00163E6F">
        <w:rPr>
          <w:szCs w:val="24"/>
        </w:rPr>
        <w:t>ir Eiropas valstis, tā</w:t>
      </w:r>
      <w:r w:rsidRPr="00163E6F">
        <w:rPr>
          <w:szCs w:val="24"/>
        </w:rPr>
        <w:t>pat ir arī ar kūdras eksportu, jo lielākā daļa Latvijā iegūtās kūdras tiek eksportēta uz Eiropas valstīm. Arī Āzijas valstis ir kā nozīmīgs partneris Latvijā iegūtās kūdras eksportam. Nozīmīgākie importa partneri Latvijai arī ir Eiropas un Āzijas valstis, tāpēc turpmāk sīkāk tiks analizēti Eiropas un Āzijas importa un eksporta apjomi.</w:t>
      </w:r>
    </w:p>
    <w:p w14:paraId="3C674368" w14:textId="77777777" w:rsidR="00DA0B4A" w:rsidRPr="00163E6F" w:rsidRDefault="00DA0B4A" w:rsidP="00DA0B4A">
      <w:pPr>
        <w:pStyle w:val="Heading3"/>
      </w:pPr>
      <w:bookmarkStart w:id="20" w:name="_Toc497573994"/>
      <w:r w:rsidRPr="00163E6F">
        <w:t>Kūdras un tās produktu eksports</w:t>
      </w:r>
      <w:bookmarkEnd w:id="20"/>
    </w:p>
    <w:p w14:paraId="6091BCF4" w14:textId="77777777" w:rsidR="00165D83" w:rsidRPr="00163E6F" w:rsidRDefault="00165D83" w:rsidP="00C05558">
      <w:pPr>
        <w:autoSpaceDE w:val="0"/>
        <w:autoSpaceDN w:val="0"/>
        <w:adjustRightInd w:val="0"/>
        <w:spacing w:after="120"/>
        <w:ind w:firstLine="709"/>
        <w:rPr>
          <w:szCs w:val="24"/>
        </w:rPr>
      </w:pPr>
      <w:r w:rsidRPr="00163E6F">
        <w:rPr>
          <w:szCs w:val="24"/>
        </w:rPr>
        <w:t xml:space="preserve">Tā kā kūdras eksports sastāda galveno daļu no visas ieguves rūpniecības eksporta, ir jāsaprot cik liela ietekme tam ir kopējā Latvijas eksportā. </w:t>
      </w:r>
      <w:r w:rsidRPr="00382ADD">
        <w:rPr>
          <w:szCs w:val="24"/>
        </w:rPr>
        <w:t>12. attēlā</w:t>
      </w:r>
      <w:r w:rsidRPr="00163E6F">
        <w:rPr>
          <w:szCs w:val="24"/>
        </w:rPr>
        <w:t xml:space="preserve"> ir apkopota informācija par kūdras eksporta īpatsvaru kopējā eksportā un to tendence. </w:t>
      </w:r>
    </w:p>
    <w:p w14:paraId="520AC41E" w14:textId="77777777" w:rsidR="00165D83" w:rsidRPr="00163E6F" w:rsidRDefault="00165D83" w:rsidP="00C05558">
      <w:pPr>
        <w:autoSpaceDE w:val="0"/>
        <w:autoSpaceDN w:val="0"/>
        <w:adjustRightInd w:val="0"/>
        <w:spacing w:after="120"/>
        <w:ind w:firstLine="709"/>
        <w:rPr>
          <w:szCs w:val="24"/>
        </w:rPr>
      </w:pPr>
      <w:r w:rsidRPr="00163E6F">
        <w:rPr>
          <w:szCs w:val="24"/>
        </w:rPr>
        <w:t>2010. gadā kūdras eksports sastādīja 6% no kopējā Latvijas eksporta. Uz 2011. gadu kūdras eksporta īpatsvars pieauga par 2% un bija 8%. Arī 2012. gadā salīdzinot ar 2011. gadu kūdras eksporta īpatsvars kopējā Latvijas eksportā palielinājās par 2% un bija 10%. 2013. gadā, salīdzinot ar 2012. gadu tas palielinājās paar 3% un bija 13%, savukārt 2014. gadā, salīdzinot ar 2013. gadu kūdras īpatsvars kopējā eksportā samazinājās par 3% un bija 10%, 2015. gadā, tas turpināja samazināties, salīdzinot ar iepriekšējo gadu un bija 9% no kopējā Latvijas eksporta šajā gadā.</w:t>
      </w:r>
    </w:p>
    <w:p w14:paraId="021286D2" w14:textId="77777777" w:rsidR="00165D83" w:rsidRPr="00163E6F" w:rsidRDefault="00382ADD" w:rsidP="00165D83">
      <w:pPr>
        <w:autoSpaceDE w:val="0"/>
        <w:autoSpaceDN w:val="0"/>
        <w:adjustRightInd w:val="0"/>
        <w:spacing w:after="200"/>
        <w:jc w:val="center"/>
        <w:rPr>
          <w:b/>
          <w:bCs/>
          <w:szCs w:val="24"/>
        </w:rPr>
      </w:pPr>
      <w:r w:rsidRPr="009712CF">
        <w:rPr>
          <w:noProof/>
          <w:szCs w:val="24"/>
          <w:lang w:eastAsia="lv-LV"/>
        </w:rPr>
        <w:drawing>
          <wp:inline distT="0" distB="0" distL="0" distR="0" wp14:anchorId="2B9D2EA7" wp14:editId="48138ECA">
            <wp:extent cx="5876925" cy="2657475"/>
            <wp:effectExtent l="0" t="0" r="0" b="0"/>
            <wp:docPr id="19" name="Diagramma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1BCAEA8D" w14:textId="77777777" w:rsidR="00165D83" w:rsidRPr="00163E6F" w:rsidRDefault="00165D83" w:rsidP="00165D83">
      <w:pPr>
        <w:autoSpaceDE w:val="0"/>
        <w:autoSpaceDN w:val="0"/>
        <w:adjustRightInd w:val="0"/>
        <w:spacing w:after="200"/>
        <w:jc w:val="center"/>
        <w:rPr>
          <w:szCs w:val="24"/>
        </w:rPr>
      </w:pPr>
      <w:r w:rsidRPr="00382ADD">
        <w:rPr>
          <w:szCs w:val="24"/>
        </w:rPr>
        <w:t>12. att.</w:t>
      </w:r>
      <w:r w:rsidRPr="00163E6F">
        <w:rPr>
          <w:szCs w:val="24"/>
        </w:rPr>
        <w:t xml:space="preserve"> Latvijas kopējais eksporta apjoms un kūdras eksports no 2010. – 2015. gadam, tūkst. EUR</w:t>
      </w:r>
    </w:p>
    <w:p w14:paraId="5294E8E8" w14:textId="77777777" w:rsidR="00165D83" w:rsidRPr="00163E6F" w:rsidRDefault="00165D83" w:rsidP="00165D83">
      <w:pPr>
        <w:autoSpaceDE w:val="0"/>
        <w:autoSpaceDN w:val="0"/>
        <w:adjustRightInd w:val="0"/>
        <w:spacing w:after="200"/>
        <w:ind w:firstLine="720"/>
        <w:rPr>
          <w:szCs w:val="24"/>
        </w:rPr>
      </w:pPr>
      <w:r w:rsidRPr="00163E6F">
        <w:rPr>
          <w:szCs w:val="24"/>
        </w:rPr>
        <w:t xml:space="preserve">13. attēlā ir redzams kūdras eksports tonnās un eiro no 2010. – 2016. gadam. 2010. gadā tika eksportētas 1,206 milj. tonnu kūdras, kas veidoja 76,81 milj. EUR eksporta apjomu. 2011. gadā kūdras eksports bija par 66000 tonnām mazāks nekā 2010. gadā, tas bija 1,140 milj. tonnu, bet 2011. gada kūdras eksports naudas izteiksmē bija palielinājies, salīdzinot ar 2010. gadu par 17,78 milj. EUR, tas 2011. gadā bija 94,59 milj. EUR. 2012. gadā kūdras eksporta apjoms krasi neatšķīrās no 2011. gada, tikai par 20000 tonnām palielinājās. 2012. gadā tas bija 1,160 milj. tonnas jeb 100,79 </w:t>
      </w:r>
      <w:r w:rsidRPr="00163E6F">
        <w:rPr>
          <w:szCs w:val="24"/>
        </w:rPr>
        <w:lastRenderedPageBreak/>
        <w:t>milj. EUR, kas bija par 6,2 milj. EUR vairāk nekā 2011. gadā. 2013. gada eksporta dati rāda to, ka kūdras eksporta apjoms bija 1,235 milj. tonnas jeb 115,6 milj. EUR, un tas veidoja aptuveni 90% no visu ieguves nozares produktu eksporta. 2014. gadā bija ievērojams eksporta kāpums, tas palielinājās par 85000 tonnām un bija 1,320 milj. tonnas jeb 121,23 milj. EUR, kas ir par 10,92 milj. EUR vairāk nekā 2013. gadā. 2015. gadā bija kūdras eksporta apjoma samazinājums, salīdzinājumā ar 2014. gadu, tas samazinājās par 45000 tonnām un bija 1.257 milj. tonnas, bet naudas izteiksmē kūdras eksports 2015. gadā bija par 5,63 milj. EUR vairāk nekā 2014. gadā un tas bija 121,23 milj. EUR. 2016. gadā bija lielākais kūdras eksporta pieaugums pētāmajā periodā, salīdzinot ar iepriekšējo gadu. Tas bija par 182000 tonnām vairāk nekā 2015. gadā un sasniedza 1,457 milj. tonnas un par 8,99 milj. EUR vairāk nekā 2015. gadā un sasniedza 130,22 milj. EUR.</w:t>
      </w:r>
    </w:p>
    <w:p w14:paraId="35B7FA47" w14:textId="77777777" w:rsidR="00165D83" w:rsidRPr="00163E6F" w:rsidRDefault="00165D83" w:rsidP="00165D83">
      <w:pPr>
        <w:autoSpaceDE w:val="0"/>
        <w:autoSpaceDN w:val="0"/>
        <w:adjustRightInd w:val="0"/>
        <w:spacing w:after="200"/>
        <w:ind w:firstLine="720"/>
        <w:rPr>
          <w:szCs w:val="24"/>
        </w:rPr>
      </w:pPr>
      <w:r w:rsidRPr="00163E6F">
        <w:rPr>
          <w:rFonts w:ascii="Calibri" w:hAnsi="Calibri" w:cs="Calibri"/>
          <w:noProof/>
          <w:sz w:val="22"/>
          <w:lang w:eastAsia="lv-LV"/>
        </w:rPr>
        <w:drawing>
          <wp:inline distT="0" distB="0" distL="0" distR="0" wp14:anchorId="5B88408D" wp14:editId="1521488D">
            <wp:extent cx="4286250" cy="193357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srcRect/>
                    <a:stretch>
                      <a:fillRect/>
                    </a:stretch>
                  </pic:blipFill>
                  <pic:spPr bwMode="auto">
                    <a:xfrm>
                      <a:off x="0" y="0"/>
                      <a:ext cx="4286250" cy="1933575"/>
                    </a:xfrm>
                    <a:prstGeom prst="rect">
                      <a:avLst/>
                    </a:prstGeom>
                    <a:noFill/>
                    <a:ln w="9525">
                      <a:noFill/>
                      <a:miter lim="800000"/>
                      <a:headEnd/>
                      <a:tailEnd/>
                    </a:ln>
                  </pic:spPr>
                </pic:pic>
              </a:graphicData>
            </a:graphic>
          </wp:inline>
        </w:drawing>
      </w:r>
    </w:p>
    <w:p w14:paraId="6E094224" w14:textId="77777777" w:rsidR="00165D83" w:rsidRPr="00163E6F" w:rsidRDefault="00165D83" w:rsidP="00165D83">
      <w:pPr>
        <w:autoSpaceDE w:val="0"/>
        <w:autoSpaceDN w:val="0"/>
        <w:adjustRightInd w:val="0"/>
        <w:spacing w:after="120"/>
        <w:jc w:val="center"/>
        <w:rPr>
          <w:szCs w:val="24"/>
        </w:rPr>
      </w:pPr>
      <w:r w:rsidRPr="00163E6F">
        <w:rPr>
          <w:szCs w:val="24"/>
        </w:rPr>
        <w:t>13. att. Latvijas kūdras eksports no 2010. – 2016. gadam, milj. EUR, milj. tonnās</w:t>
      </w:r>
    </w:p>
    <w:p w14:paraId="743B62CD" w14:textId="77777777" w:rsidR="00165D83" w:rsidRPr="00163E6F" w:rsidRDefault="00165D83" w:rsidP="00165D83">
      <w:pPr>
        <w:autoSpaceDE w:val="0"/>
        <w:autoSpaceDN w:val="0"/>
        <w:adjustRightInd w:val="0"/>
        <w:spacing w:after="120"/>
        <w:jc w:val="center"/>
        <w:rPr>
          <w:szCs w:val="24"/>
        </w:rPr>
      </w:pPr>
    </w:p>
    <w:p w14:paraId="254A38E7" w14:textId="77777777" w:rsidR="00165D83" w:rsidRPr="00163E6F" w:rsidRDefault="00165D83" w:rsidP="00165D83">
      <w:pPr>
        <w:autoSpaceDE w:val="0"/>
        <w:autoSpaceDN w:val="0"/>
        <w:adjustRightInd w:val="0"/>
        <w:spacing w:after="120"/>
        <w:ind w:firstLine="720"/>
        <w:rPr>
          <w:szCs w:val="24"/>
        </w:rPr>
      </w:pPr>
      <w:r w:rsidRPr="00163E6F">
        <w:rPr>
          <w:szCs w:val="24"/>
        </w:rPr>
        <w:t>Laika periodā no 2010. – 2016. gadam kūdras eksportam ir tendence pieaugt. Kopā no Latvijas kūdra un kūdras produkcija 2016. gadā tika eksportēta uz 101 pasaules valsti. 14</w:t>
      </w:r>
      <w:r w:rsidRPr="00382ADD">
        <w:rPr>
          <w:szCs w:val="24"/>
        </w:rPr>
        <w:t>. attēlā</w:t>
      </w:r>
      <w:r w:rsidRPr="00163E6F">
        <w:rPr>
          <w:szCs w:val="24"/>
        </w:rPr>
        <w:t xml:space="preserve"> ir apkopotas 10 pasaules valstis, uz kurām visvairāk tika eksportēta Latvijas kūdra 2016. gadā.</w:t>
      </w:r>
    </w:p>
    <w:p w14:paraId="2B75B516" w14:textId="77777777" w:rsidR="00165D83" w:rsidRPr="00163E6F" w:rsidRDefault="00165D83" w:rsidP="00165D83">
      <w:pPr>
        <w:autoSpaceDE w:val="0"/>
        <w:autoSpaceDN w:val="0"/>
        <w:adjustRightInd w:val="0"/>
        <w:spacing w:after="120"/>
        <w:ind w:firstLine="720"/>
        <w:rPr>
          <w:szCs w:val="24"/>
        </w:rPr>
      </w:pPr>
      <w:r w:rsidRPr="00163E6F">
        <w:rPr>
          <w:szCs w:val="24"/>
        </w:rPr>
        <w:t>No Latvijas kūdra galvenokārt t</w:t>
      </w:r>
      <w:r w:rsidR="00D07A1C" w:rsidRPr="00163E6F">
        <w:rPr>
          <w:szCs w:val="24"/>
        </w:rPr>
        <w:t>iek eksportēta uz Rietumeiropu</w:t>
      </w:r>
      <w:r w:rsidRPr="00163E6F">
        <w:rPr>
          <w:szCs w:val="24"/>
        </w:rPr>
        <w:t>. Pēc Centrālās Statistikas pārvaldes datiem 2016. gadā pirmajā vietā pēc eksportētā apjoma tiek ierindota Vācija ar 317 tūkst. tonnu kūdras eksportu jeb 24,9 milj. EUR (</w:t>
      </w:r>
      <w:r w:rsidRPr="00382ADD">
        <w:rPr>
          <w:szCs w:val="24"/>
        </w:rPr>
        <w:t>14. att.).</w:t>
      </w:r>
      <w:r w:rsidRPr="00163E6F">
        <w:rPr>
          <w:szCs w:val="24"/>
        </w:rPr>
        <w:t xml:space="preserve"> Otrajā vietā pēc eksportētā apjoma ir Itālija, uz to tika eksportētas 218 tūkst. tonnas jeb 19,3 milj. EUR. Trešajā vietā ir Nīderlande, uz kuru tika eksportētas 115 tūkst. tonnas un vērtība bija 8,3 milj. EUR, tālāk seko Beļģija ar 107 tūkst. tonnām un 6,8 milj. EUR, tad pēc eksportētā apjoma seko Ķīna ar 79 tūkst. tonnu eksportu, kas naudas izteiksmē bija 16,05 milj. EUR, tad seko Spānija – 73 tūkst. tonnu, 6,6 milj. EUR, Polija  - 66 tūkst. tonnu, 5,9 milj. EUR, Lietuva – 62 tūkst. tonnu, 3,2 milj. EUR, Dienvidkoreja – 35 tūkst. tonnu, 4,1 milj. EUR un Francija – 33 tūkst. tonnu, 3,6 milj. EUR.</w:t>
      </w:r>
    </w:p>
    <w:p w14:paraId="5DB0C530" w14:textId="77777777" w:rsidR="00165D83" w:rsidRPr="00163E6F" w:rsidRDefault="00382ADD" w:rsidP="00165D83">
      <w:pPr>
        <w:autoSpaceDE w:val="0"/>
        <w:autoSpaceDN w:val="0"/>
        <w:adjustRightInd w:val="0"/>
        <w:spacing w:after="200"/>
        <w:jc w:val="center"/>
        <w:rPr>
          <w:b/>
          <w:bCs/>
          <w:szCs w:val="24"/>
        </w:rPr>
      </w:pPr>
      <w:r w:rsidRPr="009712CF">
        <w:rPr>
          <w:noProof/>
          <w:szCs w:val="24"/>
          <w:lang w:eastAsia="lv-LV"/>
        </w:rPr>
        <w:lastRenderedPageBreak/>
        <w:drawing>
          <wp:inline distT="0" distB="0" distL="0" distR="0" wp14:anchorId="3159B838" wp14:editId="59FD1834">
            <wp:extent cx="4572000" cy="2743200"/>
            <wp:effectExtent l="0" t="0" r="0" b="0"/>
            <wp:docPr id="20" name="Diagramma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6189A51E" w14:textId="77777777" w:rsidR="00165D83" w:rsidRPr="00163E6F" w:rsidRDefault="00165D83" w:rsidP="00165D83">
      <w:pPr>
        <w:autoSpaceDE w:val="0"/>
        <w:autoSpaceDN w:val="0"/>
        <w:adjustRightInd w:val="0"/>
        <w:spacing w:after="200"/>
        <w:jc w:val="center"/>
        <w:rPr>
          <w:szCs w:val="24"/>
        </w:rPr>
      </w:pPr>
      <w:r w:rsidRPr="00382ADD">
        <w:rPr>
          <w:szCs w:val="24"/>
        </w:rPr>
        <w:t>14. att.</w:t>
      </w:r>
      <w:r w:rsidRPr="00163E6F">
        <w:rPr>
          <w:szCs w:val="24"/>
        </w:rPr>
        <w:t xml:space="preserve"> Top 10 kūdras un kūdras produktu eksporta valstis 2016. gadā, tūkst. tonnās, milj. EUR</w:t>
      </w:r>
    </w:p>
    <w:p w14:paraId="78905234" w14:textId="77777777" w:rsidR="00165D83" w:rsidRPr="00163E6F" w:rsidRDefault="00165D83" w:rsidP="00165D83">
      <w:pPr>
        <w:autoSpaceDE w:val="0"/>
        <w:autoSpaceDN w:val="0"/>
        <w:adjustRightInd w:val="0"/>
        <w:spacing w:after="120"/>
        <w:ind w:firstLine="720"/>
        <w:rPr>
          <w:szCs w:val="24"/>
        </w:rPr>
      </w:pPr>
      <w:r w:rsidRPr="00163E6F">
        <w:rPr>
          <w:szCs w:val="24"/>
        </w:rPr>
        <w:t>No šiem datiem var aprēķināt par kādu naudas vērtību 2016. gadā tika pārdotas 1000 t Latvijas kūdra šajās 10 lielākajās eksporta valstīs. Aprēķini tika veikti ņemot par pamatu informāciju par eksportētās kūdras daudzumu tonnās un apjomu eiro. Uz katrām 1000 eksportētajām tonnām no Ķīnas tika iegūti 203,17 tūkst. EUR, no Dienvidkorejas – 116,35 tūkst. EUR, no Francijas – 110,08 tūkst. EUR, no Spānijas – 90,89 tūkst. EUR, no Polijas 89,69 tūkst. EUR, no Itālijas – 88,35 tūkst. EUR, no Vācijas – 78,47 tūkst. EUR, no Nīderlandes – 72,03 tūkst. EUR, no Beļģijas – 63,89 tūkst. EUR un no Lietuvas – 51,65 tūkst. EUR. Pēc šīs informācijas var secināt, ka 2016. gadā vislielākais labums no eksportētā kūdras un kūdras izstrādājumu daudzuma ir bijis no Ķīnas, jo uz Āzijas valstīm eksportē substrātus, nevis nepārstrādātu kūdru.</w:t>
      </w:r>
    </w:p>
    <w:p w14:paraId="53AE7AB8" w14:textId="77777777" w:rsidR="00165D83" w:rsidRPr="00163E6F" w:rsidRDefault="00165D83" w:rsidP="00750AC6">
      <w:pPr>
        <w:autoSpaceDE w:val="0"/>
        <w:autoSpaceDN w:val="0"/>
        <w:adjustRightInd w:val="0"/>
        <w:spacing w:after="120"/>
        <w:ind w:firstLine="720"/>
        <w:rPr>
          <w:szCs w:val="24"/>
        </w:rPr>
      </w:pPr>
      <w:r w:rsidRPr="00382ADD">
        <w:rPr>
          <w:szCs w:val="24"/>
        </w:rPr>
        <w:t>15. attēls</w:t>
      </w:r>
      <w:r w:rsidRPr="00163E6F">
        <w:rPr>
          <w:szCs w:val="24"/>
        </w:rPr>
        <w:t xml:space="preserve"> rāda eksporta apjomu eiro uz Eiropu un Āziju no 2012. gada līdz 2016. gadam. 2012. gadā kūdras eksports uz Āziju bija 16.08 milj. EUR, bet uz Eiropu šajā gadā bija 79.86 milj. EUR. 2013. gadā, salīdzinot ar 2012. gadu, uz Āziju eksports samazinājās par 0.76 milj. EUR un bija 15.32, bet uz Eiropu tas palielinājās par 9.28 milj. EUR un tas bija 89.14 milj. EUR. 2014. gadā eksports uz Āziju salīdzinājumā ar 2013. gadu palielinājās par 5.14 milj. EUR un bija 20.46 milj. EUR, bet eksports uz Eiropu samazinājās par 1.47 milj. EUR un bija 87.67 milj. EUR. 2015. gadā, salīdzinājumā ar 2014. gadu eksports uz Āziju palielinājās par 6.72 milj. EUR un bija 27.18 milj. EUR, bet uz Eiropu samazinājās par 2.99 EUR un bija 84.68 milj. EUR. 2016. gadā, salīdzinot ar iepriekšējo gadu, kūdras eksports uz Āziju palielinājās par 5.36 milj. EUR un bija 32.54 milj. EUR, bet uz Eiropu eksports samazinājās par 1.55 milj. EUR un bija 83.13 milj. EUR. </w:t>
      </w:r>
    </w:p>
    <w:p w14:paraId="67A6B8FC" w14:textId="77777777" w:rsidR="00165D83" w:rsidRPr="00163E6F" w:rsidRDefault="00165D83" w:rsidP="00750AC6">
      <w:pPr>
        <w:autoSpaceDE w:val="0"/>
        <w:autoSpaceDN w:val="0"/>
        <w:adjustRightInd w:val="0"/>
        <w:spacing w:after="120"/>
        <w:ind w:firstLine="720"/>
        <w:rPr>
          <w:szCs w:val="24"/>
        </w:rPr>
      </w:pPr>
      <w:r w:rsidRPr="00163E6F">
        <w:rPr>
          <w:szCs w:val="24"/>
        </w:rPr>
        <w:t>No Latvijas lielākoties tiek eksportēta aglomerēta un neaglomerēta kūdra, ieskaitot kūdras drupni, nevis kūdras izstrādājumi.</w:t>
      </w:r>
    </w:p>
    <w:p w14:paraId="02139B14" w14:textId="77777777" w:rsidR="00165D83" w:rsidRPr="00163E6F" w:rsidRDefault="00382ADD" w:rsidP="00165D83">
      <w:pPr>
        <w:autoSpaceDE w:val="0"/>
        <w:autoSpaceDN w:val="0"/>
        <w:adjustRightInd w:val="0"/>
        <w:spacing w:after="200"/>
        <w:jc w:val="center"/>
        <w:rPr>
          <w:szCs w:val="24"/>
        </w:rPr>
      </w:pPr>
      <w:r w:rsidRPr="009712CF">
        <w:rPr>
          <w:noProof/>
          <w:szCs w:val="24"/>
          <w:lang w:eastAsia="lv-LV"/>
        </w:rPr>
        <w:lastRenderedPageBreak/>
        <w:drawing>
          <wp:inline distT="0" distB="0" distL="0" distR="0" wp14:anchorId="5D967741" wp14:editId="7069D5D2">
            <wp:extent cx="4647565" cy="2190750"/>
            <wp:effectExtent l="0" t="0" r="635" b="0"/>
            <wp:docPr id="21" name="Diagramma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45310796" w14:textId="77777777" w:rsidR="00165D83" w:rsidRPr="00163E6F" w:rsidRDefault="00165D83" w:rsidP="00165D83">
      <w:pPr>
        <w:autoSpaceDE w:val="0"/>
        <w:autoSpaceDN w:val="0"/>
        <w:adjustRightInd w:val="0"/>
        <w:spacing w:after="200"/>
        <w:jc w:val="center"/>
        <w:rPr>
          <w:szCs w:val="24"/>
        </w:rPr>
      </w:pPr>
      <w:r w:rsidRPr="00382ADD">
        <w:rPr>
          <w:szCs w:val="24"/>
        </w:rPr>
        <w:t>15. att</w:t>
      </w:r>
      <w:r w:rsidRPr="00163E6F">
        <w:rPr>
          <w:szCs w:val="24"/>
        </w:rPr>
        <w:t>. Kūdras un kūdras produktu eksports uz Āziju un Eiropu 2012. – 2016. gadam, milj. EUR</w:t>
      </w:r>
    </w:p>
    <w:p w14:paraId="04FCDD9D" w14:textId="77777777" w:rsidR="00165D83" w:rsidRPr="00163E6F" w:rsidRDefault="00165D83" w:rsidP="00165D83">
      <w:pPr>
        <w:autoSpaceDE w:val="0"/>
        <w:autoSpaceDN w:val="0"/>
        <w:adjustRightInd w:val="0"/>
        <w:spacing w:after="200"/>
        <w:ind w:firstLine="720"/>
        <w:rPr>
          <w:szCs w:val="24"/>
        </w:rPr>
      </w:pPr>
      <w:r w:rsidRPr="00163E6F">
        <w:rPr>
          <w:szCs w:val="24"/>
        </w:rPr>
        <w:t>Kūdras un kūdras produktu eksporta apjomam tonnās pa gadiem izmaiņu tendence atšķiras no eksporta apjomiem naudas izteiksmē.</w:t>
      </w:r>
    </w:p>
    <w:p w14:paraId="73CE8B86" w14:textId="77777777" w:rsidR="00165D83" w:rsidRPr="00163E6F" w:rsidRDefault="00165D83" w:rsidP="00165D83">
      <w:pPr>
        <w:autoSpaceDE w:val="0"/>
        <w:autoSpaceDN w:val="0"/>
        <w:adjustRightInd w:val="0"/>
        <w:spacing w:after="200"/>
        <w:ind w:firstLine="720"/>
        <w:rPr>
          <w:szCs w:val="24"/>
        </w:rPr>
      </w:pPr>
      <w:r w:rsidRPr="00382ADD">
        <w:rPr>
          <w:szCs w:val="24"/>
        </w:rPr>
        <w:t>16. attēlā</w:t>
      </w:r>
      <w:r w:rsidRPr="00163E6F">
        <w:rPr>
          <w:szCs w:val="24"/>
        </w:rPr>
        <w:t xml:space="preserve"> ir redzamas izmaiņas no 2012. – 2016. gadam kūdras un kūdras eksporta apjomos tonnās uz Āziju un uz Eiropu. 2012. gadā eksporta apjoms uz Āzijas valstīm bija 119 476 tonnas, bet uz Eiropu 982 441 tonnas. 2013. gadā, salīdzinot ar 2012. gadu eksporta apjoms uz Āziju pieauga par 7 958 tonnām un bija 127 434 tonnas, bet uz Eiropas valstīm tas palielinājās par 55 750 tonnām un bija 1038191 tonnas. Arī 2014. gadā, salīdzinot ar iepriekšējo gadu kūdras un kūdras produktu eksporta apjomi turpināja palielināties gan uz Eiropu, gan uz Āziju. Tas 2014. gadā bija palielinājies par 16 744 tonnām uz Āziju un bija 144 178 tonnas, bet uz Eiropu palielinājās par 47 994 tonnām un bija 1 086 185 tonnas. Savukārt, 2015. gadā, salīdzinot ar 2014. gadu bija ievērojams eksporta apjomu samazinājums, kas saistāms ar Krievijas embargo</w:t>
      </w:r>
      <w:r w:rsidR="00750AC6" w:rsidRPr="00163E6F">
        <w:rPr>
          <w:szCs w:val="24"/>
        </w:rPr>
        <w:t>.</w:t>
      </w:r>
      <w:r w:rsidRPr="00163E6F">
        <w:rPr>
          <w:szCs w:val="24"/>
        </w:rPr>
        <w:t xml:space="preserve"> Uz Āzijas valstīm tas samazinājās par 27 725 tonnām un bija 116 453 tonnas, bet uz Eiropu tas samazinājās par 244 094 tonnām un bija 842 091 tonnas, kas ir mazākais eksporta apjoms analizējamajā periodā. 2016. gadā kūdras un tās produktu eksporta apjomi atkal palielinājās, salīdzinot ar iepriekšējo gadu – uz Āziju palielinājās par 87 312 tonnām un bija 203 765 tonnas, bet uz Eiropu palielinājās par 163 743 tonnām un 2016. gadā šis apjoms bija 1 005 834 tonnas.</w:t>
      </w:r>
    </w:p>
    <w:p w14:paraId="55CB9C6C" w14:textId="77777777" w:rsidR="00165D83" w:rsidRPr="00163E6F" w:rsidRDefault="00382ADD" w:rsidP="00165D83">
      <w:pPr>
        <w:autoSpaceDE w:val="0"/>
        <w:autoSpaceDN w:val="0"/>
        <w:adjustRightInd w:val="0"/>
        <w:spacing w:after="200"/>
        <w:jc w:val="center"/>
        <w:rPr>
          <w:szCs w:val="24"/>
        </w:rPr>
      </w:pPr>
      <w:r w:rsidRPr="009712CF">
        <w:rPr>
          <w:noProof/>
          <w:szCs w:val="24"/>
          <w:lang w:eastAsia="lv-LV"/>
        </w:rPr>
        <w:drawing>
          <wp:inline distT="0" distB="0" distL="0" distR="0" wp14:anchorId="273CD7FF" wp14:editId="64370B1B">
            <wp:extent cx="4359910" cy="1682750"/>
            <wp:effectExtent l="0" t="0" r="2540" b="12700"/>
            <wp:docPr id="22" name="Diagramma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F3CC81A" w14:textId="77777777" w:rsidR="00165D83" w:rsidRPr="00163E6F" w:rsidRDefault="00165D83" w:rsidP="00165D83">
      <w:pPr>
        <w:autoSpaceDE w:val="0"/>
        <w:autoSpaceDN w:val="0"/>
        <w:adjustRightInd w:val="0"/>
        <w:spacing w:after="200"/>
        <w:jc w:val="center"/>
        <w:rPr>
          <w:szCs w:val="24"/>
        </w:rPr>
      </w:pPr>
      <w:r w:rsidRPr="00382ADD">
        <w:rPr>
          <w:szCs w:val="24"/>
        </w:rPr>
        <w:t>16. att.</w:t>
      </w:r>
      <w:r w:rsidRPr="00163E6F">
        <w:rPr>
          <w:szCs w:val="24"/>
        </w:rPr>
        <w:t xml:space="preserve"> Kūdras un kūdras produktu eksports uz Āziju un Eiropu 2012. – 2016. gadam, milj. tonnās</w:t>
      </w:r>
    </w:p>
    <w:p w14:paraId="59D58AB9" w14:textId="77777777" w:rsidR="00165D83" w:rsidRPr="00163E6F" w:rsidRDefault="00165D83" w:rsidP="00165D83">
      <w:pPr>
        <w:autoSpaceDE w:val="0"/>
        <w:autoSpaceDN w:val="0"/>
        <w:adjustRightInd w:val="0"/>
        <w:spacing w:after="200"/>
        <w:ind w:firstLine="720"/>
        <w:rPr>
          <w:szCs w:val="24"/>
        </w:rPr>
      </w:pPr>
      <w:r w:rsidRPr="00163E6F">
        <w:rPr>
          <w:szCs w:val="24"/>
        </w:rPr>
        <w:t>2015. gada kūdras un kūdras produktu eksporta samazinājuma pamatā ir Krievijas embargo attiecībā uz dārzeņiem, kas ietekmēja dārzeņu audzēšanas apjomus un līdz ar to kūdras patēriņu Eiropā, kas nepieciešams dārzkopībā.</w:t>
      </w:r>
    </w:p>
    <w:p w14:paraId="7037D005"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Āzijas valstis, kas ir lielākās Latvijas kūdras eksporta sadarbības partneres ir Ķīna, Japāna, Dienvidkoreja un Saūda Arābija (</w:t>
      </w:r>
      <w:r w:rsidRPr="00F524FA">
        <w:rPr>
          <w:szCs w:val="24"/>
        </w:rPr>
        <w:t>skatīt 17. attēlu</w:t>
      </w:r>
      <w:r w:rsidRPr="00163E6F">
        <w:rPr>
          <w:szCs w:val="24"/>
        </w:rPr>
        <w:t>). Vislielākie eksporta apjomi no Āzijas valstīm nonāk Ķīnā un ar katru gadu tie palielinās. 2012. gadā eksporta apjoms uz Ķīnu bija 5,4 milj. EUR. 2013. gadā par 1,2 milj. EUR palielinājās, salīdzinot ar 2012. gadu un bija 6,6 milj. EUR. 2014. gadā eksports uz Ķīnu sasniedza 9,6 milj. EUR. 2014. gadā kūdras un kūdras produktu eksports uz Ķīnu palielinājās par 3 milj. EUR, salīdzinot ar iepriekšējo gadu, un tas bija 12,6 milj. EUR. 2016. gadā eksportam uz Ķīnu bija vislielākais kāpums analizējamajā periodā, tas palielinājās par 3,5 milj. EUR, salīdzinot ar iepriekšējo gadu, un bija 16,1 milj. EUR. Ķīnā arvien palielinās kūdras patēriņš, jo tur arvien vairāk audzē dārzeņus. Otra lielākā kūdras eksporta valsts Āzijā ir Japāna, kur 2012. gadā eksports bija 3,2 milj. EUR, 2013. gadā – 2,7 milj. EUR, 2014. gadā – 2,9 milj. EUR, 2015. gadā – 3,1 milj. EUR, un 2016. gadā 3,6 milj. EUR. Dienvidkoreja ir viena no Āzijas valstīm, uz kuru pēdējos gados palielinās eksports. 2012. gadā eksports uz Dienvidkoreju bija 2 milj. EUR, 2013. gadā – 2,4 milj. EUR, 2014. gadā – 3 milj. EUR, 2015. gadā – 2,9 milj. EUR, bet 2016. gadā – 4,1 milj. EUR. Ceturtā lielākā Āzijas valsts, uz kuru tiek eksportēta kūdra no Latvijas, ir Saūda Arābija. 2012. gadā eksports uz Saūda Arābiju bija 0,6 milj. EUR, 2013. gādā – 0,8 milj. EUR, 2014. gadā – 0,7 milj. EUR, 2015. gadā – 1,1 milj. EUR, un 2016. gadā 0,6 milj. EUR.</w:t>
      </w:r>
    </w:p>
    <w:p w14:paraId="2834307A" w14:textId="77777777" w:rsidR="00165D83" w:rsidRPr="00163E6F" w:rsidRDefault="00F524FA" w:rsidP="00165D83">
      <w:pPr>
        <w:autoSpaceDE w:val="0"/>
        <w:autoSpaceDN w:val="0"/>
        <w:adjustRightInd w:val="0"/>
        <w:spacing w:after="200"/>
        <w:jc w:val="center"/>
        <w:rPr>
          <w:szCs w:val="24"/>
        </w:rPr>
      </w:pPr>
      <w:r w:rsidRPr="009712CF">
        <w:rPr>
          <w:noProof/>
          <w:szCs w:val="24"/>
          <w:lang w:eastAsia="lv-LV"/>
        </w:rPr>
        <w:drawing>
          <wp:inline distT="0" distB="0" distL="0" distR="0" wp14:anchorId="2EB1F0DD" wp14:editId="7B7210E5">
            <wp:extent cx="4856480" cy="2026920"/>
            <wp:effectExtent l="0" t="0" r="1270" b="0"/>
            <wp:docPr id="23" name="Diagramma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5347815" w14:textId="77777777" w:rsidR="00165D83" w:rsidRPr="00163E6F" w:rsidRDefault="00165D83" w:rsidP="00165D83">
      <w:pPr>
        <w:autoSpaceDE w:val="0"/>
        <w:autoSpaceDN w:val="0"/>
        <w:adjustRightInd w:val="0"/>
        <w:spacing w:after="200"/>
        <w:jc w:val="center"/>
        <w:rPr>
          <w:szCs w:val="24"/>
        </w:rPr>
      </w:pPr>
      <w:r w:rsidRPr="00F524FA">
        <w:rPr>
          <w:szCs w:val="24"/>
        </w:rPr>
        <w:t>17. att.</w:t>
      </w:r>
      <w:r w:rsidRPr="00163E6F">
        <w:rPr>
          <w:szCs w:val="24"/>
        </w:rPr>
        <w:t xml:space="preserve"> Latvijas kūdras un kūdras produktu eksports uz lielākajām Āzijas valstīm pēc eksporta apjoma no 2012. – 2016. gadam, milj. EUR</w:t>
      </w:r>
    </w:p>
    <w:p w14:paraId="78EFAD92" w14:textId="77777777" w:rsidR="00165D83" w:rsidRPr="00163E6F" w:rsidRDefault="00165D83" w:rsidP="00165D83">
      <w:pPr>
        <w:autoSpaceDE w:val="0"/>
        <w:autoSpaceDN w:val="0"/>
        <w:adjustRightInd w:val="0"/>
        <w:spacing w:after="200"/>
        <w:ind w:firstLine="720"/>
        <w:rPr>
          <w:szCs w:val="24"/>
        </w:rPr>
      </w:pPr>
      <w:r w:rsidRPr="00163E6F">
        <w:rPr>
          <w:szCs w:val="24"/>
        </w:rPr>
        <w:t xml:space="preserve">Lielākās eksporta valstis Eiropā, uz kurām nonāk Latvijas kūdra ir Vācija, Itālija, Nīderlande un Beļģija (skat. </w:t>
      </w:r>
      <w:r w:rsidRPr="00F524FA">
        <w:rPr>
          <w:szCs w:val="24"/>
        </w:rPr>
        <w:t>18. att</w:t>
      </w:r>
      <w:r w:rsidR="00F524FA">
        <w:rPr>
          <w:szCs w:val="24"/>
        </w:rPr>
        <w:t>ēlu</w:t>
      </w:r>
      <w:r w:rsidRPr="00163E6F">
        <w:rPr>
          <w:szCs w:val="24"/>
        </w:rPr>
        <w:t>). Vislielākie eksporta apjomi visos analizējamajos gados ir uz Vāciju. 2012. gadā uz Vāciju eksports bija 22,5 milj. EUR, 2013. gadā – 21,2 milj. EUR, 2014. gadā – 24,2 milj. EUR, 2015. gadā – 21,9 milj. EUR, bet 2016. gadā kūdras eksports uz Vāciju palielinājās par 3 milj. EUR un bija 24,9 milj. EUR. Otra liekākā Eiropas valsts pēc kūdras eksporta apjoma no Latvijas ir Itālija. 2012. gadā uz Itāliju kūdras eksports bija 19,3 milj. EUR, tad 2013. gadā tas palielinājās par 4,1 milj. EUR un bija 23,4 milj. EUR. 2014. gadā bija kūdras eksporta samazinājums uz Itāliju, salīdzinot ar iepriekšējo gadu, tas samazinājās par 2,6 milj. EUR un bija 20,8 milj. EUR. 2015. gadā, salīdzinājumā ar 2014. gadu kūdras eksports uz Itāliju samazinājās par 1,3 milj. EUR un bija 19,5 milj. EUR. 2016. gadā eksports uz Itāliju bija minimāli atšķirīgs no 2015. gada, tas bija samazinājies vien par 0,2 milj. EUR un bija 19,3 milj. EUR.</w:t>
      </w:r>
    </w:p>
    <w:p w14:paraId="1DE2A244" w14:textId="77777777" w:rsidR="00165D83" w:rsidRPr="00163E6F" w:rsidRDefault="00F524FA" w:rsidP="00165D83">
      <w:pPr>
        <w:autoSpaceDE w:val="0"/>
        <w:autoSpaceDN w:val="0"/>
        <w:adjustRightInd w:val="0"/>
        <w:spacing w:after="200"/>
        <w:jc w:val="center"/>
        <w:rPr>
          <w:b/>
          <w:bCs/>
          <w:szCs w:val="24"/>
        </w:rPr>
      </w:pPr>
      <w:r w:rsidRPr="009712CF">
        <w:rPr>
          <w:noProof/>
          <w:szCs w:val="24"/>
          <w:lang w:eastAsia="lv-LV"/>
        </w:rPr>
        <w:lastRenderedPageBreak/>
        <w:drawing>
          <wp:inline distT="0" distB="0" distL="0" distR="0" wp14:anchorId="61FF0D63" wp14:editId="10B173E5">
            <wp:extent cx="4105910" cy="2044700"/>
            <wp:effectExtent l="0" t="0" r="8890" b="0"/>
            <wp:docPr id="24" name="Diagramma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A77D7A8" w14:textId="77777777" w:rsidR="00165D83" w:rsidRPr="00163E6F" w:rsidRDefault="00165D83" w:rsidP="00165D83">
      <w:pPr>
        <w:tabs>
          <w:tab w:val="left" w:pos="1110"/>
        </w:tabs>
        <w:autoSpaceDE w:val="0"/>
        <w:autoSpaceDN w:val="0"/>
        <w:adjustRightInd w:val="0"/>
        <w:spacing w:after="200"/>
        <w:jc w:val="center"/>
        <w:rPr>
          <w:szCs w:val="24"/>
        </w:rPr>
      </w:pPr>
      <w:r w:rsidRPr="00F524FA">
        <w:rPr>
          <w:szCs w:val="24"/>
        </w:rPr>
        <w:t>18. att.</w:t>
      </w:r>
      <w:r w:rsidRPr="00163E6F">
        <w:rPr>
          <w:b/>
          <w:bCs/>
          <w:szCs w:val="24"/>
        </w:rPr>
        <w:t xml:space="preserve"> </w:t>
      </w:r>
      <w:r w:rsidRPr="00163E6F">
        <w:rPr>
          <w:szCs w:val="24"/>
        </w:rPr>
        <w:t>Latvijas kūdras un kūdras produktu eksports uz lielākajām Eiropas valstīm pēc eksporta apjoma no 2012. – 2016. gadam, milj. EUR</w:t>
      </w:r>
    </w:p>
    <w:p w14:paraId="0299106B" w14:textId="77777777" w:rsidR="00165D83" w:rsidRPr="00163E6F" w:rsidRDefault="00165D83" w:rsidP="00165D83">
      <w:pPr>
        <w:autoSpaceDE w:val="0"/>
        <w:autoSpaceDN w:val="0"/>
        <w:adjustRightInd w:val="0"/>
        <w:spacing w:after="120"/>
        <w:ind w:firstLine="720"/>
        <w:rPr>
          <w:szCs w:val="24"/>
        </w:rPr>
      </w:pPr>
      <w:r w:rsidRPr="00163E6F">
        <w:rPr>
          <w:szCs w:val="24"/>
        </w:rPr>
        <w:t>Nozīmīgi kūdras eksporta partneri Latvijai Eiropā ir arī Beļģija un Nīderlande. Uz Beļģiju kūdras eksports 2012. gadā bija 4,2 milj. EUR, tad 2013. gadā, tas palielinājās par 0,4 milj. EUR un bija 4,6 milj. EUR. 2014. gadā, salīdzinot ar 2013. gadu kūdras eksports uz Beļģiju palielinājās par 1,4 milj. EUR un bija 6,0 milj. EUR. 2015. gadā, salīdzinot ar iepriekšējo gadu, tas palielinājās par 1,3 milj. EUR un līdz ar to kūdras eksports uz Beļģiju bija 7,3 milj. EUR. 2016. gadā tas, salīdzinot ar 2015. gadu, samazinājās par 0.5 milj. EUR un bija 6,8 milj. EUR. Uz Nīderlandi 2012. gadā tika eksportēta kūdra 9.2 milj. EUR apmērā. 2013. gadā šis eksports samazinājās par 0,5 milj. EUR, salīdzinot ar iepriekšējo gadu, un bija 8,7 milj. EUR. 2014. gadā kūdras eksports uz Nīderlandi samazinājās par 1,5 milj. EUR, salīdzinot ar 2013. gadu, un bija 7,2 milj. EUR. 2015. gadā kūdras un kūdras produktu eksports uz Nīderlandi bija 6,9 milj. EUR, kas ir par 0,3 milj. EUR mazāk, nekā 2014. gadā, bet 2016. gadā tas bija 8,3 milj. EUR, kas ir par 1,4 milj. EUR vairāk nekā 2015. gadā.</w:t>
      </w:r>
    </w:p>
    <w:p w14:paraId="451777D1" w14:textId="77777777" w:rsidR="00B17307" w:rsidRPr="00163E6F" w:rsidRDefault="00B17307" w:rsidP="006A01B9">
      <w:pPr>
        <w:pStyle w:val="Heading3"/>
      </w:pPr>
      <w:bookmarkStart w:id="21" w:name="_Toc497573995"/>
      <w:r w:rsidRPr="00163E6F">
        <w:t>Kūdras un kūdras produktu imports</w:t>
      </w:r>
      <w:bookmarkEnd w:id="21"/>
    </w:p>
    <w:p w14:paraId="305C6771"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Latvijā pārsvarā tiek importēti kūdras produkti, mazāk tīra kūdra. </w:t>
      </w:r>
      <w:r w:rsidRPr="00F524FA">
        <w:rPr>
          <w:szCs w:val="24"/>
        </w:rPr>
        <w:t>19. attēlā</w:t>
      </w:r>
      <w:r w:rsidRPr="00163E6F">
        <w:rPr>
          <w:szCs w:val="24"/>
        </w:rPr>
        <w:t xml:space="preserve"> ir redzams kūdras un kūdras produktu imports Latvijā no 2012. – 2016. gadam.</w:t>
      </w:r>
    </w:p>
    <w:p w14:paraId="63F934B6" w14:textId="77777777" w:rsidR="00165D83" w:rsidRPr="00163E6F" w:rsidRDefault="00165D83" w:rsidP="00165D83">
      <w:pPr>
        <w:autoSpaceDE w:val="0"/>
        <w:autoSpaceDN w:val="0"/>
        <w:adjustRightInd w:val="0"/>
        <w:spacing w:after="120"/>
        <w:ind w:firstLine="720"/>
        <w:rPr>
          <w:szCs w:val="24"/>
        </w:rPr>
      </w:pPr>
      <w:r w:rsidRPr="00163E6F">
        <w:rPr>
          <w:szCs w:val="24"/>
        </w:rPr>
        <w:t>2012. gadā kūdras un kūdras produktu imports Latvijā bija 32 tūkst./t jeb 2,4 milj. EUR. 2013. gadā, salīdzinot ar iepriekšējo gadu, kūdras un kūdras produktu imports palielinājās par 23 tūkst. tonnām jeb par 1,16 milj. EUR un bija 55 tūkst. tonnas jeb 3,56 milj. EUR. 2014. gadā kūdras un kūdras produktu imports bija 45 tūkst. tonnas jeb 3,06 milj. EUR, kas ir par 10 tūkst. tonnām mazāk un par 0,5 milj. EUR mazāk nekā 2013. gadā. 2015. gadā tas palielinājās par 10 tūkst. tonnām jeb par 0,7 milj. EUR un bija 55 tūkst. tonnas jeb 3,76 milj. EUR. 2016. gadā kūdras un kūdras produktu imports Latvijā bija 39 tūkst. tonnu jeb 3,99 milj. EUR.</w:t>
      </w:r>
    </w:p>
    <w:p w14:paraId="6A682213" w14:textId="77777777" w:rsidR="00165D83" w:rsidRPr="00163E6F" w:rsidRDefault="00F524FA" w:rsidP="00165D83">
      <w:pPr>
        <w:tabs>
          <w:tab w:val="left" w:pos="1110"/>
        </w:tabs>
        <w:autoSpaceDE w:val="0"/>
        <w:autoSpaceDN w:val="0"/>
        <w:adjustRightInd w:val="0"/>
        <w:spacing w:after="200"/>
        <w:jc w:val="center"/>
        <w:rPr>
          <w:b/>
          <w:bCs/>
          <w:szCs w:val="24"/>
        </w:rPr>
      </w:pPr>
      <w:r w:rsidRPr="009712CF">
        <w:rPr>
          <w:noProof/>
          <w:szCs w:val="24"/>
          <w:lang w:eastAsia="lv-LV"/>
        </w:rPr>
        <w:lastRenderedPageBreak/>
        <w:drawing>
          <wp:inline distT="0" distB="0" distL="0" distR="0" wp14:anchorId="02B7E55F" wp14:editId="63E7246F">
            <wp:extent cx="4105910" cy="1984375"/>
            <wp:effectExtent l="0" t="0" r="8890" b="0"/>
            <wp:docPr id="25" name="Diagramma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7F02BB0" w14:textId="77777777" w:rsidR="00165D83" w:rsidRPr="00163E6F" w:rsidRDefault="00165D83" w:rsidP="00165D83">
      <w:pPr>
        <w:autoSpaceDE w:val="0"/>
        <w:autoSpaceDN w:val="0"/>
        <w:adjustRightInd w:val="0"/>
        <w:spacing w:after="200"/>
        <w:jc w:val="center"/>
        <w:rPr>
          <w:szCs w:val="24"/>
        </w:rPr>
      </w:pPr>
    </w:p>
    <w:p w14:paraId="13C8D149" w14:textId="77777777" w:rsidR="00165D83" w:rsidRPr="00163E6F" w:rsidRDefault="00165D83" w:rsidP="00165D83">
      <w:pPr>
        <w:autoSpaceDE w:val="0"/>
        <w:autoSpaceDN w:val="0"/>
        <w:adjustRightInd w:val="0"/>
        <w:spacing w:after="120"/>
        <w:rPr>
          <w:szCs w:val="24"/>
        </w:rPr>
      </w:pPr>
      <w:r w:rsidRPr="00F524FA">
        <w:rPr>
          <w:szCs w:val="24"/>
        </w:rPr>
        <w:t>19. att.</w:t>
      </w:r>
      <w:r w:rsidRPr="00163E6F">
        <w:rPr>
          <w:szCs w:val="24"/>
        </w:rPr>
        <w:t xml:space="preserve"> Kūdras un kūdras produktu imports Latvijā 2012. – 2016. gadam, tūkst. tonnās, milj. EUR</w:t>
      </w:r>
    </w:p>
    <w:p w14:paraId="1A11A8E6" w14:textId="77777777" w:rsidR="00165D83" w:rsidRPr="00163E6F" w:rsidRDefault="00165D83" w:rsidP="00165D83">
      <w:pPr>
        <w:autoSpaceDE w:val="0"/>
        <w:autoSpaceDN w:val="0"/>
        <w:adjustRightInd w:val="0"/>
        <w:spacing w:after="120"/>
        <w:ind w:firstLine="720"/>
        <w:rPr>
          <w:szCs w:val="24"/>
        </w:rPr>
      </w:pPr>
      <w:r w:rsidRPr="00163E6F">
        <w:rPr>
          <w:szCs w:val="24"/>
        </w:rPr>
        <w:t>Lielākā kūdras un kūdras produktu importētājvalsts Latvijā ir Igaunija, kuras importa apjoms ir 13,9 tūkst. tonnas, nākamā ir Baltkrievija – 11,2 tūkst. tonnas, tad Lietuva – 8,9 tūkst. tonnas, tai seko Krievija ar 5,2 tūkst. tonnu importu un p</w:t>
      </w:r>
      <w:r w:rsidR="00750AC6" w:rsidRPr="00163E6F">
        <w:rPr>
          <w:szCs w:val="24"/>
        </w:rPr>
        <w:t>ēc tam Vācija, kuras k</w:t>
      </w:r>
      <w:r w:rsidRPr="00163E6F">
        <w:rPr>
          <w:szCs w:val="24"/>
        </w:rPr>
        <w:t>ūdras un kūdras produktu imports 2016. gadā bija 0,1 tūkst. tonnas</w:t>
      </w:r>
      <w:r w:rsidR="00750AC6" w:rsidRPr="00163E6F">
        <w:rPr>
          <w:szCs w:val="24"/>
        </w:rPr>
        <w:t xml:space="preserve"> (20.attēls)</w:t>
      </w:r>
      <w:r w:rsidRPr="00163E6F">
        <w:rPr>
          <w:szCs w:val="24"/>
        </w:rPr>
        <w:t>.</w:t>
      </w:r>
    </w:p>
    <w:p w14:paraId="32894F0E" w14:textId="77777777" w:rsidR="00165D83" w:rsidRPr="00163E6F" w:rsidRDefault="00F524FA" w:rsidP="00165D83">
      <w:pPr>
        <w:autoSpaceDE w:val="0"/>
        <w:autoSpaceDN w:val="0"/>
        <w:adjustRightInd w:val="0"/>
        <w:spacing w:after="200"/>
        <w:jc w:val="center"/>
        <w:rPr>
          <w:b/>
          <w:bCs/>
          <w:szCs w:val="24"/>
        </w:rPr>
      </w:pPr>
      <w:r w:rsidRPr="009712CF">
        <w:rPr>
          <w:noProof/>
          <w:szCs w:val="24"/>
          <w:lang w:eastAsia="lv-LV"/>
        </w:rPr>
        <w:drawing>
          <wp:inline distT="0" distB="0" distL="0" distR="0" wp14:anchorId="356D95A3" wp14:editId="48125A7E">
            <wp:extent cx="4028440" cy="2113280"/>
            <wp:effectExtent l="0" t="0" r="10160" b="1270"/>
            <wp:docPr id="26" name="Diagramma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8AA9B36" w14:textId="77777777" w:rsidR="00165D83" w:rsidRPr="00F524FA" w:rsidRDefault="00165D83" w:rsidP="00165D83">
      <w:pPr>
        <w:autoSpaceDE w:val="0"/>
        <w:autoSpaceDN w:val="0"/>
        <w:adjustRightInd w:val="0"/>
        <w:spacing w:after="200"/>
        <w:jc w:val="center"/>
        <w:rPr>
          <w:szCs w:val="24"/>
        </w:rPr>
      </w:pPr>
      <w:r w:rsidRPr="00F524FA">
        <w:rPr>
          <w:szCs w:val="24"/>
        </w:rPr>
        <w:t>20. att. Kūdras un kūdras produktu lielākās importa valstis 2016. gadā, tūkst. tonnas</w:t>
      </w:r>
    </w:p>
    <w:p w14:paraId="24113944" w14:textId="77777777" w:rsidR="00165D83" w:rsidRPr="00F524FA" w:rsidRDefault="00165D83" w:rsidP="00165D83">
      <w:pPr>
        <w:autoSpaceDE w:val="0"/>
        <w:autoSpaceDN w:val="0"/>
        <w:adjustRightInd w:val="0"/>
        <w:spacing w:after="120"/>
        <w:ind w:firstLine="720"/>
        <w:rPr>
          <w:szCs w:val="24"/>
        </w:rPr>
      </w:pPr>
      <w:r w:rsidRPr="00F524FA">
        <w:rPr>
          <w:szCs w:val="24"/>
        </w:rPr>
        <w:t>Eiropas Savienības valstis ir Latvijas svarīgākie partneri ārējā tirdzniecībā. Lielākās valstis no kurām Latvijā tiek importēti kūdras produkti un kūdra ir Igaunija, Lietuva, Polija un Vācija (21. attēls). Kūdras un kūdras produktu imports no Igaunijas pētāmajos gados ievērojami pārsniedz importu no pārējām Eiropas Savienības valstīm. Igaunijas imports Latvijā 2012. gadā bija 1,43 milj. EUR. 2013. gadā tas samazinājās par 0,18 milj. EUR un bija 1,25 milj. EUR, tad 2014. gadā tas palielinājās par 0,08 milj. EUR un bija 1,33 milj. EUR, 2015. gadā kūdras imports no Igaunijas bija 1,47 milj. EUR, kas bija par 0,14 milj. EUR vairāk nekā 2014. gadā. 2016. gadā kūdras produktu importa apjoms no Igaunijas samazinājās par 0,1 milj. EUR un bija 1,37 milj. EUR.</w:t>
      </w:r>
    </w:p>
    <w:p w14:paraId="43CEA697" w14:textId="77777777" w:rsidR="00165D83" w:rsidRPr="00163E6F" w:rsidRDefault="00165D83" w:rsidP="00165D83">
      <w:pPr>
        <w:autoSpaceDE w:val="0"/>
        <w:autoSpaceDN w:val="0"/>
        <w:adjustRightInd w:val="0"/>
        <w:spacing w:after="120"/>
        <w:ind w:firstLine="720"/>
        <w:rPr>
          <w:szCs w:val="24"/>
        </w:rPr>
      </w:pPr>
      <w:r w:rsidRPr="00F524FA">
        <w:rPr>
          <w:szCs w:val="24"/>
        </w:rPr>
        <w:t>Otra lielākā kūdras produktu importētājvalsts no ES valstīm Latvijā ir Lietuva (skat. 21. att.).</w:t>
      </w:r>
      <w:r w:rsidRPr="00163E6F">
        <w:rPr>
          <w:szCs w:val="24"/>
        </w:rPr>
        <w:t xml:space="preserve"> 2012. gadā kūdras produktu imports no Lietuvas bija 0,37 milj. EUR, tad nākamajā gadā tas palielinājās par 0,53 milj. EUR un bija 0,90 milj. EUR. 2014. gadā šis imports samazinājās par 0,46 milj. EUR, salīdzinot ar 2013. gadu, un tas bija 0,44 milj. EUR. 2015. gadā kūdras produktu imports no Lietuvas bija 0,67 milj. EUR, 2016. gadā – 0,76 milj. EUR. </w:t>
      </w:r>
    </w:p>
    <w:p w14:paraId="69D9D43B"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Kūdras un kūdras produktu imports no Polijas analizējamajā periodā ir bijis tikai 2013. gadā – 0,28 milj. EUR un 2016. gadā – 0,31 milj. EUR. Arī no Vācijas šis imports nav bijis visos pētāmajos gados, tas bija 2013. gadā – 0,16 milj. EUR, 2014. gadā – 0,04 milj. EUR un 2016. gadā 0,02 milj. EUR.</w:t>
      </w:r>
    </w:p>
    <w:p w14:paraId="64AFD26B" w14:textId="77777777" w:rsidR="00165D83" w:rsidRPr="00163E6F" w:rsidRDefault="00F524FA" w:rsidP="00165D83">
      <w:pPr>
        <w:tabs>
          <w:tab w:val="left" w:pos="1470"/>
        </w:tabs>
        <w:autoSpaceDE w:val="0"/>
        <w:autoSpaceDN w:val="0"/>
        <w:adjustRightInd w:val="0"/>
        <w:spacing w:after="200"/>
        <w:jc w:val="center"/>
        <w:rPr>
          <w:szCs w:val="24"/>
        </w:rPr>
      </w:pPr>
      <w:r w:rsidRPr="009712CF">
        <w:rPr>
          <w:noProof/>
          <w:szCs w:val="24"/>
          <w:lang w:eastAsia="lv-LV"/>
        </w:rPr>
        <w:drawing>
          <wp:inline distT="0" distB="0" distL="0" distR="0" wp14:anchorId="03266A2B" wp14:editId="73C3B7A7">
            <wp:extent cx="5257800" cy="2181225"/>
            <wp:effectExtent l="0" t="0" r="0" b="0"/>
            <wp:docPr id="27" name="Diagramma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8283DCB" w14:textId="77777777" w:rsidR="00165D83" w:rsidRPr="00163E6F" w:rsidRDefault="00165D83" w:rsidP="00165D83">
      <w:pPr>
        <w:tabs>
          <w:tab w:val="left" w:pos="1470"/>
        </w:tabs>
        <w:autoSpaceDE w:val="0"/>
        <w:autoSpaceDN w:val="0"/>
        <w:adjustRightInd w:val="0"/>
        <w:spacing w:after="200"/>
        <w:jc w:val="center"/>
        <w:rPr>
          <w:szCs w:val="24"/>
        </w:rPr>
      </w:pPr>
      <w:r w:rsidRPr="00F524FA">
        <w:rPr>
          <w:szCs w:val="24"/>
        </w:rPr>
        <w:t>21. att.</w:t>
      </w:r>
      <w:r w:rsidRPr="00163E6F">
        <w:rPr>
          <w:szCs w:val="24"/>
        </w:rPr>
        <w:t xml:space="preserve"> Kūdras un kūdras produktu imports Latvijā no lielākajām Eiropas Savienības valstīm pēc importa apjoma no 2012. – 2016. gadam, milj. EUR</w:t>
      </w:r>
    </w:p>
    <w:p w14:paraId="4AD7764D" w14:textId="77777777" w:rsidR="00165D83" w:rsidRPr="00163E6F" w:rsidRDefault="00165D83" w:rsidP="006A01B9">
      <w:pPr>
        <w:pStyle w:val="Heading2"/>
      </w:pPr>
      <w:bookmarkStart w:id="22" w:name="_Toc497573996"/>
      <w:r w:rsidRPr="00163E6F">
        <w:t>Kūdras ieguves un pārstrādes rūpniecības mijiedarbība ar citām nozarēm</w:t>
      </w:r>
      <w:bookmarkEnd w:id="22"/>
    </w:p>
    <w:p w14:paraId="46E254D8" w14:textId="77777777" w:rsidR="00165D83" w:rsidRPr="00163E6F" w:rsidRDefault="00165D83" w:rsidP="00165D83">
      <w:pPr>
        <w:autoSpaceDE w:val="0"/>
        <w:autoSpaceDN w:val="0"/>
        <w:adjustRightInd w:val="0"/>
        <w:ind w:firstLine="720"/>
        <w:rPr>
          <w:szCs w:val="24"/>
        </w:rPr>
      </w:pPr>
      <w:r w:rsidRPr="00163E6F">
        <w:rPr>
          <w:szCs w:val="24"/>
        </w:rPr>
        <w:t xml:space="preserve">Kūdras ieguve un pārstrāde ir ļoti specifisks un tehnoloģiski ietilpīgs process, bet kūdras produktu ražošana var būt diversificēta, kas nosaka to, ka kūdras nokļūšana līdz gala patērētājam notiek pa vairākiem posmiem, kas kopumā veido kūdras produktu vērtību ķēdi (22. att.). </w:t>
      </w:r>
    </w:p>
    <w:p w14:paraId="73DDB962" w14:textId="77777777" w:rsidR="00165D83" w:rsidRPr="00163E6F" w:rsidRDefault="00165D83" w:rsidP="00165D83">
      <w:pPr>
        <w:autoSpaceDE w:val="0"/>
        <w:autoSpaceDN w:val="0"/>
        <w:adjustRightInd w:val="0"/>
        <w:spacing w:after="200"/>
        <w:jc w:val="center"/>
        <w:rPr>
          <w:szCs w:val="24"/>
          <w:highlight w:val="yellow"/>
        </w:rPr>
      </w:pPr>
      <w:r w:rsidRPr="00163E6F">
        <w:rPr>
          <w:rFonts w:ascii="Calibri" w:hAnsi="Calibri" w:cs="Calibri"/>
          <w:noProof/>
          <w:sz w:val="22"/>
          <w:lang w:eastAsia="lv-LV"/>
        </w:rPr>
        <w:lastRenderedPageBreak/>
        <w:drawing>
          <wp:inline distT="0" distB="0" distL="0" distR="0" wp14:anchorId="249C0F8E" wp14:editId="120D7675">
            <wp:extent cx="3943350" cy="4810125"/>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a:stretch>
                      <a:fillRect/>
                    </a:stretch>
                  </pic:blipFill>
                  <pic:spPr bwMode="auto">
                    <a:xfrm>
                      <a:off x="0" y="0"/>
                      <a:ext cx="3943350" cy="4810125"/>
                    </a:xfrm>
                    <a:prstGeom prst="rect">
                      <a:avLst/>
                    </a:prstGeom>
                    <a:noFill/>
                    <a:ln w="9525">
                      <a:noFill/>
                      <a:miter lim="800000"/>
                      <a:headEnd/>
                      <a:tailEnd/>
                    </a:ln>
                  </pic:spPr>
                </pic:pic>
              </a:graphicData>
            </a:graphic>
          </wp:inline>
        </w:drawing>
      </w:r>
    </w:p>
    <w:p w14:paraId="1C1DD96B" w14:textId="77777777" w:rsidR="00165D83" w:rsidRPr="00163E6F" w:rsidRDefault="00165D83" w:rsidP="00165D83">
      <w:pPr>
        <w:tabs>
          <w:tab w:val="left" w:pos="1470"/>
        </w:tabs>
        <w:autoSpaceDE w:val="0"/>
        <w:autoSpaceDN w:val="0"/>
        <w:adjustRightInd w:val="0"/>
        <w:spacing w:after="120"/>
        <w:jc w:val="center"/>
        <w:rPr>
          <w:szCs w:val="24"/>
        </w:rPr>
      </w:pPr>
      <w:r w:rsidRPr="00163E6F">
        <w:rPr>
          <w:szCs w:val="24"/>
        </w:rPr>
        <w:t>22. att. Kūdras produktu vērtību ķēdes veidošanās shematisks attēlojums</w:t>
      </w:r>
    </w:p>
    <w:p w14:paraId="402A983E" w14:textId="77777777" w:rsidR="00165D83" w:rsidRPr="00163E6F" w:rsidRDefault="00165D83" w:rsidP="00165D83">
      <w:pPr>
        <w:autoSpaceDE w:val="0"/>
        <w:autoSpaceDN w:val="0"/>
        <w:adjustRightInd w:val="0"/>
        <w:spacing w:after="120"/>
        <w:jc w:val="left"/>
        <w:rPr>
          <w:szCs w:val="24"/>
          <w:highlight w:val="yellow"/>
        </w:rPr>
      </w:pPr>
    </w:p>
    <w:p w14:paraId="3D1F491B" w14:textId="77777777" w:rsidR="00165D83" w:rsidRPr="00163E6F" w:rsidRDefault="00165D83" w:rsidP="00165D83">
      <w:pPr>
        <w:autoSpaceDE w:val="0"/>
        <w:autoSpaceDN w:val="0"/>
        <w:adjustRightInd w:val="0"/>
        <w:spacing w:after="120"/>
        <w:ind w:firstLine="720"/>
        <w:rPr>
          <w:szCs w:val="24"/>
        </w:rPr>
      </w:pPr>
      <w:r w:rsidRPr="00163E6F">
        <w:rPr>
          <w:szCs w:val="24"/>
        </w:rPr>
        <w:t>Kūdras produktu vērtību ķēdes veidošanās raksturs nosaka to, ka kūdras ieguve un pārstrāde ietekmē citas nozares un dod ieguldījumu to attīstībā. Ir apzināts, ka galvenās ar kūdras ieguvi un pārstrādi saistītās nozares ir sekojošas: loģistika, degvielas tirdzniecība, iepakojuma ražošana, elektroenerģijas ražošana, koka palešu ražošana, bankas, apdrošināšana, grāmatvedības pakalpojumi, būvniecības pakalpojumi, tehnikas remontēšana, zemes dzīļu ģeoloģiskā izpēte, u.c. (23. att.). Saskaņā ar Latvijas Kūdras asociācijas sniegto informāciju, lai sagatavotu vienu hektāru kūdras ieguve</w:t>
      </w:r>
      <w:r w:rsidR="00302775" w:rsidRPr="00163E6F">
        <w:rPr>
          <w:szCs w:val="24"/>
        </w:rPr>
        <w:t xml:space="preserve">s vietas, jāveic investīcijas 5 – </w:t>
      </w:r>
      <w:r w:rsidRPr="00163E6F">
        <w:rPr>
          <w:szCs w:val="24"/>
        </w:rPr>
        <w:t>7 tūkst. eiro apmērā, turklāt produkciju šajā vietā iegūs tikai pēc pieciem gadiem.</w:t>
      </w:r>
    </w:p>
    <w:p w14:paraId="74446EB1" w14:textId="77777777" w:rsidR="00165D83" w:rsidRPr="00163E6F" w:rsidRDefault="00165D83" w:rsidP="00165D83">
      <w:pPr>
        <w:autoSpaceDE w:val="0"/>
        <w:autoSpaceDN w:val="0"/>
        <w:adjustRightInd w:val="0"/>
        <w:jc w:val="center"/>
        <w:rPr>
          <w:szCs w:val="24"/>
          <w:highlight w:val="yellow"/>
        </w:rPr>
      </w:pPr>
      <w:r w:rsidRPr="00163E6F">
        <w:rPr>
          <w:rFonts w:ascii="Calibri" w:hAnsi="Calibri" w:cs="Calibri"/>
          <w:noProof/>
          <w:sz w:val="22"/>
          <w:lang w:eastAsia="lv-LV"/>
        </w:rPr>
        <w:lastRenderedPageBreak/>
        <w:drawing>
          <wp:inline distT="0" distB="0" distL="0" distR="0" wp14:anchorId="29861F00" wp14:editId="19601B31">
            <wp:extent cx="3821502" cy="4364966"/>
            <wp:effectExtent l="19050" t="0" r="7548"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srcRect/>
                    <a:stretch>
                      <a:fillRect/>
                    </a:stretch>
                  </pic:blipFill>
                  <pic:spPr bwMode="auto">
                    <a:xfrm>
                      <a:off x="0" y="0"/>
                      <a:ext cx="3827262" cy="4371545"/>
                    </a:xfrm>
                    <a:prstGeom prst="rect">
                      <a:avLst/>
                    </a:prstGeom>
                    <a:noFill/>
                    <a:ln w="9525">
                      <a:noFill/>
                      <a:miter lim="800000"/>
                      <a:headEnd/>
                      <a:tailEnd/>
                    </a:ln>
                  </pic:spPr>
                </pic:pic>
              </a:graphicData>
            </a:graphic>
          </wp:inline>
        </w:drawing>
      </w:r>
    </w:p>
    <w:p w14:paraId="00576CFF" w14:textId="77777777" w:rsidR="00165D83" w:rsidRPr="00163E6F" w:rsidRDefault="00165D83" w:rsidP="00165D83">
      <w:pPr>
        <w:tabs>
          <w:tab w:val="left" w:pos="1470"/>
        </w:tabs>
        <w:autoSpaceDE w:val="0"/>
        <w:autoSpaceDN w:val="0"/>
        <w:adjustRightInd w:val="0"/>
        <w:spacing w:after="200"/>
        <w:jc w:val="center"/>
        <w:rPr>
          <w:szCs w:val="24"/>
        </w:rPr>
      </w:pPr>
      <w:r w:rsidRPr="00163E6F">
        <w:rPr>
          <w:szCs w:val="24"/>
        </w:rPr>
        <w:t>23. att. Kūdras ieguves un pārstrādes uzņēmumu mijiedarbība ar citu nozaru uzņēmumiem</w:t>
      </w:r>
    </w:p>
    <w:p w14:paraId="34FD2D4E" w14:textId="77777777" w:rsidR="00165D83" w:rsidRPr="00163E6F" w:rsidRDefault="00165D83" w:rsidP="00165D83">
      <w:pPr>
        <w:autoSpaceDE w:val="0"/>
        <w:autoSpaceDN w:val="0"/>
        <w:adjustRightInd w:val="0"/>
        <w:jc w:val="left"/>
        <w:rPr>
          <w:szCs w:val="24"/>
          <w:highlight w:val="yellow"/>
        </w:rPr>
      </w:pPr>
    </w:p>
    <w:p w14:paraId="6FBFEBCA" w14:textId="77777777" w:rsidR="00165D83" w:rsidRPr="00163E6F" w:rsidRDefault="00165D83" w:rsidP="00165D83">
      <w:pPr>
        <w:autoSpaceDE w:val="0"/>
        <w:autoSpaceDN w:val="0"/>
        <w:adjustRightInd w:val="0"/>
        <w:spacing w:after="200"/>
        <w:ind w:firstLine="720"/>
        <w:rPr>
          <w:szCs w:val="24"/>
        </w:rPr>
      </w:pPr>
      <w:r w:rsidRPr="00163E6F">
        <w:rPr>
          <w:szCs w:val="24"/>
        </w:rPr>
        <w:t xml:space="preserve">Lai noskaidrotu, kādu finansiālo ietekmi kūdras ieguves un pārstrādes uzņēmumi rada uz citu nozaru uzņēmumiem, tika veikta 22 kūdras ieguves un pārstrādes uzņēmumu aptauja. Aptaujā tika noskaidrots, kādus ārpakalpojumus izmanto kūdras ieguves un pārstrādes uzņēmumi un cik tas viņiem izmaksā. Iegūtie rezultāti norāda, ka kūdras ieguves un pārstrādes uzņēmumi ar savu darbību ir ietekmējuši virkni citu uzņēmumu un radījušie tiem ienākumus gandrīz 10 milj. EUR apmērā. Saskaņā ar kūdras ieguves un pārstrādes uzņēmumu norādīto informāciju, kūdras ieguve un pārstrāde ir degvielas patēriņa ietilpīgs process un kopsummā 2016. gadā aptaujātie uzņēmumi patērēja 5.2 milj. l dīzeļdegvielas, tādā veidā radot ienākumus degvielas tirdzniecības uzņēmumiem 5.7 milj. EUR apmērā. Nākamā lielā uzņēmumu grupa, kas ir tiešie ieguvēji no kūdras ieguves un pārstrādes uzņēmumu darbības, ir loģistikas uzņēmumi, kas veic iekšzemes un starptautiskos kravu pārvadājumus. Kopumā 2016. gadā kūdras ieguves uzņēmumi izmantoja starptautisko pārvadājumu uzņēmumu sniegtos pakalpojumus 1.8 milj. EUR apmērā, bet iekšzemes pārvadājumu uzņēmumu pakalpojumus 0.6 milj. EUR apmērā. Tāpat 2016. gadā kūdras ieguves uzņēmumi būtisku ienākumu veidoja tādiem uzņēmumiem kā – iepakojuma ražošanas uzņēmumi (0.7 milj. EUR); palešu ražošanas uzņēmumi (0.6 milj. EUR); tehnikas remontēšanas uzņēmumi (0.2 milj. EUR); un ģeoloģiskās izpētes un inventarizācijas uzņēmumi (0.2 milj. EUR). </w:t>
      </w:r>
    </w:p>
    <w:p w14:paraId="30C5A689" w14:textId="77777777" w:rsidR="00165D83" w:rsidRPr="00163E6F" w:rsidRDefault="00165D83" w:rsidP="00165D83">
      <w:pPr>
        <w:autoSpaceDE w:val="0"/>
        <w:autoSpaceDN w:val="0"/>
        <w:adjustRightInd w:val="0"/>
        <w:spacing w:after="200"/>
        <w:ind w:firstLine="720"/>
        <w:rPr>
          <w:szCs w:val="24"/>
        </w:rPr>
      </w:pPr>
      <w:r w:rsidRPr="00163E6F">
        <w:rPr>
          <w:szCs w:val="24"/>
        </w:rPr>
        <w:t xml:space="preserve">Detalizētāka informācija par to, cik katra iegūtā kūdras tonna rada ienākumus citiem uzņēmumiem, kuru pakalpojumus izmanto kūdras ieguves un pārstrādes uzņēmumi, apkopota </w:t>
      </w:r>
      <w:r w:rsidR="00D91042" w:rsidRPr="00163E6F">
        <w:rPr>
          <w:szCs w:val="24"/>
        </w:rPr>
        <w:t>4</w:t>
      </w:r>
      <w:r w:rsidRPr="00163E6F">
        <w:rPr>
          <w:szCs w:val="24"/>
        </w:rPr>
        <w:t>. tabulā.</w:t>
      </w:r>
      <w:r w:rsidR="00997065" w:rsidRPr="00163E6F">
        <w:rPr>
          <w:szCs w:val="24"/>
        </w:rPr>
        <w:t xml:space="preserve"> Tajā apkopotā informācija norāda un to, ka kūdras ieguves un pārstrādes uzņēmumu sekmīga darbība pozitīvi ietekmē citu saistīto nozaru uzņēmumus.</w:t>
      </w:r>
    </w:p>
    <w:p w14:paraId="29929CE1" w14:textId="77777777" w:rsidR="00165D83" w:rsidRPr="00163E6F" w:rsidRDefault="00D91042" w:rsidP="00165D83">
      <w:pPr>
        <w:keepNext/>
        <w:autoSpaceDE w:val="0"/>
        <w:autoSpaceDN w:val="0"/>
        <w:adjustRightInd w:val="0"/>
        <w:jc w:val="right"/>
        <w:rPr>
          <w:szCs w:val="24"/>
        </w:rPr>
      </w:pPr>
      <w:r w:rsidRPr="00163E6F">
        <w:rPr>
          <w:szCs w:val="24"/>
        </w:rPr>
        <w:lastRenderedPageBreak/>
        <w:t>4</w:t>
      </w:r>
      <w:r w:rsidR="00165D83" w:rsidRPr="00163E6F">
        <w:rPr>
          <w:szCs w:val="24"/>
        </w:rPr>
        <w:t>. tabula</w:t>
      </w:r>
    </w:p>
    <w:p w14:paraId="789925AC" w14:textId="77777777" w:rsidR="00165D83" w:rsidRPr="00163E6F" w:rsidRDefault="00165D83" w:rsidP="00165D83">
      <w:pPr>
        <w:autoSpaceDE w:val="0"/>
        <w:autoSpaceDN w:val="0"/>
        <w:adjustRightInd w:val="0"/>
        <w:spacing w:after="120"/>
        <w:jc w:val="center"/>
        <w:rPr>
          <w:szCs w:val="24"/>
        </w:rPr>
      </w:pPr>
      <w:r w:rsidRPr="00163E6F">
        <w:rPr>
          <w:b/>
          <w:bCs/>
          <w:szCs w:val="24"/>
        </w:rPr>
        <w:t>Kūdras ieguves un pārstrādes uzņēmumu finansiālā ietekme uz citu nozaru uzņēmumiem 2016. gadā (EUR/t kūdras un EUR kopā)</w:t>
      </w:r>
    </w:p>
    <w:tbl>
      <w:tblPr>
        <w:tblW w:w="0" w:type="auto"/>
        <w:jc w:val="center"/>
        <w:tblLayout w:type="fixed"/>
        <w:tblLook w:val="0000" w:firstRow="0" w:lastRow="0" w:firstColumn="0" w:lastColumn="0" w:noHBand="0" w:noVBand="0"/>
      </w:tblPr>
      <w:tblGrid>
        <w:gridCol w:w="5116"/>
        <w:gridCol w:w="960"/>
        <w:gridCol w:w="960"/>
        <w:gridCol w:w="960"/>
        <w:gridCol w:w="1237"/>
      </w:tblGrid>
      <w:tr w:rsidR="00165D83" w:rsidRPr="00163E6F" w14:paraId="0A7E91AC" w14:textId="77777777">
        <w:trPr>
          <w:trHeight w:val="255"/>
          <w:jc w:val="center"/>
        </w:trPr>
        <w:tc>
          <w:tcPr>
            <w:tcW w:w="5116" w:type="dxa"/>
            <w:vMerge w:val="restart"/>
            <w:tcBorders>
              <w:top w:val="single" w:sz="3" w:space="0" w:color="000000"/>
              <w:left w:val="single" w:sz="3" w:space="0" w:color="000000"/>
              <w:bottom w:val="nil"/>
              <w:right w:val="single" w:sz="3" w:space="0" w:color="000000"/>
            </w:tcBorders>
            <w:vAlign w:val="center"/>
          </w:tcPr>
          <w:p w14:paraId="264731B2" w14:textId="77777777" w:rsidR="00165D83" w:rsidRPr="00163E6F" w:rsidRDefault="00165D83">
            <w:pPr>
              <w:autoSpaceDE w:val="0"/>
              <w:autoSpaceDN w:val="0"/>
              <w:adjustRightInd w:val="0"/>
              <w:spacing w:before="60" w:after="60"/>
              <w:jc w:val="center"/>
            </w:pPr>
            <w:r w:rsidRPr="00163E6F">
              <w:rPr>
                <w:b/>
                <w:bCs/>
                <w:sz w:val="22"/>
              </w:rPr>
              <w:t>Saistītā uzņēmuma veids</w:t>
            </w:r>
          </w:p>
        </w:tc>
        <w:tc>
          <w:tcPr>
            <w:tcW w:w="960" w:type="dxa"/>
            <w:tcBorders>
              <w:top w:val="single" w:sz="3" w:space="0" w:color="000000"/>
              <w:left w:val="nil"/>
              <w:bottom w:val="single" w:sz="3" w:space="0" w:color="000000"/>
              <w:right w:val="single" w:sz="3" w:space="0" w:color="000000"/>
            </w:tcBorders>
            <w:vAlign w:val="center"/>
          </w:tcPr>
          <w:p w14:paraId="144A3709" w14:textId="77777777" w:rsidR="00165D83" w:rsidRPr="00163E6F" w:rsidRDefault="00165D83">
            <w:pPr>
              <w:autoSpaceDE w:val="0"/>
              <w:autoSpaceDN w:val="0"/>
              <w:adjustRightInd w:val="0"/>
              <w:spacing w:before="60" w:after="60"/>
              <w:jc w:val="center"/>
            </w:pPr>
            <w:r w:rsidRPr="00163E6F">
              <w:rPr>
                <w:b/>
                <w:bCs/>
                <w:sz w:val="22"/>
              </w:rPr>
              <w:t>Vid.</w:t>
            </w:r>
          </w:p>
        </w:tc>
        <w:tc>
          <w:tcPr>
            <w:tcW w:w="960" w:type="dxa"/>
            <w:tcBorders>
              <w:top w:val="single" w:sz="3" w:space="0" w:color="000000"/>
              <w:left w:val="nil"/>
              <w:bottom w:val="single" w:sz="3" w:space="0" w:color="000000"/>
              <w:right w:val="single" w:sz="3" w:space="0" w:color="000000"/>
            </w:tcBorders>
            <w:vAlign w:val="center"/>
          </w:tcPr>
          <w:p w14:paraId="7E2DFEAD" w14:textId="77777777" w:rsidR="00165D83" w:rsidRPr="00163E6F" w:rsidRDefault="00165D83">
            <w:pPr>
              <w:autoSpaceDE w:val="0"/>
              <w:autoSpaceDN w:val="0"/>
              <w:adjustRightInd w:val="0"/>
              <w:spacing w:before="60" w:after="60"/>
              <w:jc w:val="center"/>
            </w:pPr>
            <w:r w:rsidRPr="00163E6F">
              <w:rPr>
                <w:b/>
                <w:bCs/>
                <w:sz w:val="22"/>
              </w:rPr>
              <w:t>Min.</w:t>
            </w:r>
          </w:p>
        </w:tc>
        <w:tc>
          <w:tcPr>
            <w:tcW w:w="960" w:type="dxa"/>
            <w:tcBorders>
              <w:top w:val="single" w:sz="3" w:space="0" w:color="000000"/>
              <w:left w:val="nil"/>
              <w:bottom w:val="single" w:sz="3" w:space="0" w:color="000000"/>
              <w:right w:val="single" w:sz="3" w:space="0" w:color="000000"/>
            </w:tcBorders>
            <w:vAlign w:val="center"/>
          </w:tcPr>
          <w:p w14:paraId="45902BB5" w14:textId="77777777" w:rsidR="00165D83" w:rsidRPr="00163E6F" w:rsidRDefault="00165D83">
            <w:pPr>
              <w:autoSpaceDE w:val="0"/>
              <w:autoSpaceDN w:val="0"/>
              <w:adjustRightInd w:val="0"/>
              <w:spacing w:before="60" w:after="60"/>
              <w:jc w:val="center"/>
            </w:pPr>
            <w:r w:rsidRPr="00163E6F">
              <w:rPr>
                <w:b/>
                <w:bCs/>
                <w:sz w:val="22"/>
              </w:rPr>
              <w:t>Max.</w:t>
            </w:r>
          </w:p>
        </w:tc>
        <w:tc>
          <w:tcPr>
            <w:tcW w:w="1237" w:type="dxa"/>
            <w:tcBorders>
              <w:top w:val="single" w:sz="3" w:space="0" w:color="000000"/>
              <w:left w:val="nil"/>
              <w:bottom w:val="single" w:sz="3" w:space="0" w:color="000000"/>
              <w:right w:val="single" w:sz="3" w:space="0" w:color="000000"/>
            </w:tcBorders>
            <w:vAlign w:val="center"/>
          </w:tcPr>
          <w:p w14:paraId="46E99825" w14:textId="77777777" w:rsidR="00165D83" w:rsidRPr="00163E6F" w:rsidRDefault="00165D83">
            <w:pPr>
              <w:autoSpaceDE w:val="0"/>
              <w:autoSpaceDN w:val="0"/>
              <w:adjustRightInd w:val="0"/>
              <w:spacing w:before="60" w:after="60"/>
              <w:jc w:val="center"/>
            </w:pPr>
            <w:r w:rsidRPr="00163E6F">
              <w:rPr>
                <w:b/>
                <w:bCs/>
                <w:sz w:val="22"/>
              </w:rPr>
              <w:t>Kopā</w:t>
            </w:r>
          </w:p>
        </w:tc>
      </w:tr>
      <w:tr w:rsidR="00165D83" w:rsidRPr="00163E6F" w14:paraId="2C984849" w14:textId="77777777">
        <w:trPr>
          <w:trHeight w:val="300"/>
          <w:jc w:val="center"/>
        </w:trPr>
        <w:tc>
          <w:tcPr>
            <w:tcW w:w="5116" w:type="dxa"/>
            <w:vMerge/>
            <w:tcBorders>
              <w:top w:val="nil"/>
              <w:left w:val="single" w:sz="3" w:space="0" w:color="000000"/>
              <w:bottom w:val="single" w:sz="3" w:space="0" w:color="000000"/>
              <w:right w:val="single" w:sz="3" w:space="0" w:color="000000"/>
            </w:tcBorders>
            <w:vAlign w:val="center"/>
          </w:tcPr>
          <w:p w14:paraId="34A718E0" w14:textId="77777777" w:rsidR="00165D83" w:rsidRPr="00163E6F" w:rsidRDefault="00165D83">
            <w:pPr>
              <w:autoSpaceDE w:val="0"/>
              <w:autoSpaceDN w:val="0"/>
              <w:adjustRightInd w:val="0"/>
              <w:spacing w:after="200" w:line="276" w:lineRule="auto"/>
              <w:jc w:val="left"/>
            </w:pPr>
          </w:p>
        </w:tc>
        <w:tc>
          <w:tcPr>
            <w:tcW w:w="2880" w:type="dxa"/>
            <w:gridSpan w:val="3"/>
            <w:tcBorders>
              <w:top w:val="nil"/>
              <w:left w:val="nil"/>
              <w:bottom w:val="single" w:sz="3" w:space="0" w:color="000000"/>
              <w:right w:val="single" w:sz="3" w:space="0" w:color="000000"/>
            </w:tcBorders>
            <w:vAlign w:val="center"/>
          </w:tcPr>
          <w:p w14:paraId="0972155B" w14:textId="77777777" w:rsidR="00165D83" w:rsidRPr="00163E6F" w:rsidRDefault="00165D83">
            <w:pPr>
              <w:autoSpaceDE w:val="0"/>
              <w:autoSpaceDN w:val="0"/>
              <w:adjustRightInd w:val="0"/>
              <w:spacing w:before="60" w:after="60"/>
              <w:jc w:val="center"/>
            </w:pPr>
            <w:r w:rsidRPr="00163E6F">
              <w:rPr>
                <w:b/>
                <w:bCs/>
                <w:i/>
                <w:iCs/>
                <w:sz w:val="22"/>
              </w:rPr>
              <w:t>EUR/t kūdras</w:t>
            </w:r>
          </w:p>
        </w:tc>
        <w:tc>
          <w:tcPr>
            <w:tcW w:w="1237" w:type="dxa"/>
            <w:tcBorders>
              <w:top w:val="nil"/>
              <w:left w:val="nil"/>
              <w:bottom w:val="single" w:sz="3" w:space="0" w:color="000000"/>
              <w:right w:val="single" w:sz="3" w:space="0" w:color="000000"/>
            </w:tcBorders>
            <w:vAlign w:val="center"/>
          </w:tcPr>
          <w:p w14:paraId="78A9FE93" w14:textId="77777777" w:rsidR="00165D83" w:rsidRPr="00163E6F" w:rsidRDefault="00165D83">
            <w:pPr>
              <w:autoSpaceDE w:val="0"/>
              <w:autoSpaceDN w:val="0"/>
              <w:adjustRightInd w:val="0"/>
              <w:spacing w:before="60" w:after="60"/>
              <w:jc w:val="center"/>
            </w:pPr>
            <w:r w:rsidRPr="00163E6F">
              <w:rPr>
                <w:b/>
                <w:bCs/>
                <w:i/>
                <w:iCs/>
                <w:sz w:val="22"/>
              </w:rPr>
              <w:t>EUR</w:t>
            </w:r>
          </w:p>
        </w:tc>
      </w:tr>
      <w:tr w:rsidR="00165D83" w:rsidRPr="00163E6F" w14:paraId="78865869" w14:textId="77777777">
        <w:trPr>
          <w:trHeight w:val="300"/>
          <w:jc w:val="center"/>
        </w:trPr>
        <w:tc>
          <w:tcPr>
            <w:tcW w:w="5116" w:type="dxa"/>
            <w:tcBorders>
              <w:top w:val="nil"/>
              <w:left w:val="single" w:sz="3" w:space="0" w:color="000000"/>
              <w:bottom w:val="single" w:sz="3" w:space="0" w:color="000000"/>
              <w:right w:val="single" w:sz="3" w:space="0" w:color="000000"/>
            </w:tcBorders>
            <w:vAlign w:val="bottom"/>
          </w:tcPr>
          <w:p w14:paraId="6919EE29" w14:textId="77777777" w:rsidR="00165D83" w:rsidRPr="00163E6F" w:rsidRDefault="00165D83">
            <w:pPr>
              <w:autoSpaceDE w:val="0"/>
              <w:autoSpaceDN w:val="0"/>
              <w:adjustRightInd w:val="0"/>
              <w:spacing w:before="60" w:after="60"/>
              <w:jc w:val="left"/>
            </w:pPr>
            <w:r w:rsidRPr="00163E6F">
              <w:rPr>
                <w:sz w:val="22"/>
              </w:rPr>
              <w:t>Starptautisko pārvadājumu uzņēmumi</w:t>
            </w:r>
          </w:p>
        </w:tc>
        <w:tc>
          <w:tcPr>
            <w:tcW w:w="960" w:type="dxa"/>
            <w:tcBorders>
              <w:top w:val="nil"/>
              <w:left w:val="nil"/>
              <w:bottom w:val="single" w:sz="3" w:space="0" w:color="000000"/>
              <w:right w:val="single" w:sz="3" w:space="0" w:color="000000"/>
            </w:tcBorders>
            <w:vAlign w:val="bottom"/>
          </w:tcPr>
          <w:p w14:paraId="22D28C57" w14:textId="77777777" w:rsidR="00165D83" w:rsidRPr="00163E6F" w:rsidRDefault="00165D83">
            <w:pPr>
              <w:autoSpaceDE w:val="0"/>
              <w:autoSpaceDN w:val="0"/>
              <w:adjustRightInd w:val="0"/>
              <w:spacing w:before="60" w:after="60"/>
              <w:jc w:val="right"/>
            </w:pPr>
            <w:r w:rsidRPr="00163E6F">
              <w:rPr>
                <w:sz w:val="22"/>
              </w:rPr>
              <w:t>55.30</w:t>
            </w:r>
          </w:p>
        </w:tc>
        <w:tc>
          <w:tcPr>
            <w:tcW w:w="960" w:type="dxa"/>
            <w:tcBorders>
              <w:top w:val="nil"/>
              <w:left w:val="nil"/>
              <w:bottom w:val="single" w:sz="3" w:space="0" w:color="000000"/>
              <w:right w:val="single" w:sz="3" w:space="0" w:color="000000"/>
            </w:tcBorders>
            <w:vAlign w:val="bottom"/>
          </w:tcPr>
          <w:p w14:paraId="025E993C" w14:textId="77777777" w:rsidR="00165D83" w:rsidRPr="00163E6F" w:rsidRDefault="00165D83">
            <w:pPr>
              <w:autoSpaceDE w:val="0"/>
              <w:autoSpaceDN w:val="0"/>
              <w:adjustRightInd w:val="0"/>
              <w:spacing w:before="60" w:after="60"/>
              <w:jc w:val="right"/>
            </w:pPr>
            <w:r w:rsidRPr="00163E6F">
              <w:rPr>
                <w:sz w:val="22"/>
              </w:rPr>
              <w:t>36.43</w:t>
            </w:r>
          </w:p>
        </w:tc>
        <w:tc>
          <w:tcPr>
            <w:tcW w:w="960" w:type="dxa"/>
            <w:tcBorders>
              <w:top w:val="nil"/>
              <w:left w:val="nil"/>
              <w:bottom w:val="single" w:sz="3" w:space="0" w:color="000000"/>
              <w:right w:val="single" w:sz="3" w:space="0" w:color="000000"/>
            </w:tcBorders>
            <w:vAlign w:val="bottom"/>
          </w:tcPr>
          <w:p w14:paraId="02294C0C" w14:textId="77777777" w:rsidR="00165D83" w:rsidRPr="00163E6F" w:rsidRDefault="00165D83">
            <w:pPr>
              <w:autoSpaceDE w:val="0"/>
              <w:autoSpaceDN w:val="0"/>
              <w:adjustRightInd w:val="0"/>
              <w:spacing w:before="60" w:after="60"/>
              <w:jc w:val="right"/>
            </w:pPr>
            <w:r w:rsidRPr="00163E6F">
              <w:rPr>
                <w:sz w:val="22"/>
              </w:rPr>
              <w:t>74.16</w:t>
            </w:r>
          </w:p>
        </w:tc>
        <w:tc>
          <w:tcPr>
            <w:tcW w:w="1237" w:type="dxa"/>
            <w:tcBorders>
              <w:top w:val="nil"/>
              <w:left w:val="nil"/>
              <w:bottom w:val="single" w:sz="3" w:space="0" w:color="000000"/>
              <w:right w:val="single" w:sz="3" w:space="0" w:color="000000"/>
            </w:tcBorders>
            <w:vAlign w:val="bottom"/>
          </w:tcPr>
          <w:p w14:paraId="05571326" w14:textId="77777777" w:rsidR="00165D83" w:rsidRPr="00163E6F" w:rsidRDefault="00165D83">
            <w:pPr>
              <w:autoSpaceDE w:val="0"/>
              <w:autoSpaceDN w:val="0"/>
              <w:adjustRightInd w:val="0"/>
              <w:spacing w:before="60" w:after="60"/>
              <w:jc w:val="right"/>
            </w:pPr>
            <w:r w:rsidRPr="00163E6F">
              <w:rPr>
                <w:sz w:val="22"/>
              </w:rPr>
              <w:t>1 844 013</w:t>
            </w:r>
          </w:p>
        </w:tc>
      </w:tr>
      <w:tr w:rsidR="00165D83" w:rsidRPr="00163E6F" w14:paraId="7F7DC16E"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54FAB4E2" w14:textId="77777777" w:rsidR="00165D83" w:rsidRPr="00163E6F" w:rsidRDefault="00165D83">
            <w:pPr>
              <w:autoSpaceDE w:val="0"/>
              <w:autoSpaceDN w:val="0"/>
              <w:adjustRightInd w:val="0"/>
              <w:spacing w:before="60" w:after="60"/>
              <w:jc w:val="left"/>
            </w:pPr>
            <w:r w:rsidRPr="00163E6F">
              <w:rPr>
                <w:sz w:val="22"/>
              </w:rPr>
              <w:t>Iekšzemes pārvadājumu uzņēmumi</w:t>
            </w:r>
          </w:p>
        </w:tc>
        <w:tc>
          <w:tcPr>
            <w:tcW w:w="960" w:type="dxa"/>
            <w:tcBorders>
              <w:top w:val="nil"/>
              <w:left w:val="nil"/>
              <w:bottom w:val="single" w:sz="3" w:space="0" w:color="000000"/>
              <w:right w:val="single" w:sz="3" w:space="0" w:color="000000"/>
            </w:tcBorders>
            <w:vAlign w:val="bottom"/>
          </w:tcPr>
          <w:p w14:paraId="30FA351E" w14:textId="77777777" w:rsidR="00165D83" w:rsidRPr="00163E6F" w:rsidRDefault="00165D83">
            <w:pPr>
              <w:autoSpaceDE w:val="0"/>
              <w:autoSpaceDN w:val="0"/>
              <w:adjustRightInd w:val="0"/>
              <w:spacing w:before="60" w:after="60"/>
              <w:jc w:val="right"/>
            </w:pPr>
            <w:r w:rsidRPr="00163E6F">
              <w:rPr>
                <w:sz w:val="22"/>
              </w:rPr>
              <w:t>16.31</w:t>
            </w:r>
          </w:p>
        </w:tc>
        <w:tc>
          <w:tcPr>
            <w:tcW w:w="960" w:type="dxa"/>
            <w:tcBorders>
              <w:top w:val="nil"/>
              <w:left w:val="nil"/>
              <w:bottom w:val="single" w:sz="3" w:space="0" w:color="000000"/>
              <w:right w:val="single" w:sz="3" w:space="0" w:color="000000"/>
            </w:tcBorders>
            <w:vAlign w:val="bottom"/>
          </w:tcPr>
          <w:p w14:paraId="09D492C6" w14:textId="77777777" w:rsidR="00165D83" w:rsidRPr="00163E6F" w:rsidRDefault="00165D83">
            <w:pPr>
              <w:autoSpaceDE w:val="0"/>
              <w:autoSpaceDN w:val="0"/>
              <w:adjustRightInd w:val="0"/>
              <w:spacing w:before="60" w:after="60"/>
              <w:jc w:val="right"/>
            </w:pPr>
            <w:r w:rsidRPr="00163E6F">
              <w:rPr>
                <w:sz w:val="22"/>
              </w:rPr>
              <w:t>4.33</w:t>
            </w:r>
          </w:p>
        </w:tc>
        <w:tc>
          <w:tcPr>
            <w:tcW w:w="960" w:type="dxa"/>
            <w:tcBorders>
              <w:top w:val="nil"/>
              <w:left w:val="nil"/>
              <w:bottom w:val="single" w:sz="3" w:space="0" w:color="000000"/>
              <w:right w:val="single" w:sz="3" w:space="0" w:color="000000"/>
            </w:tcBorders>
            <w:vAlign w:val="bottom"/>
          </w:tcPr>
          <w:p w14:paraId="3B0F655C" w14:textId="77777777" w:rsidR="00165D83" w:rsidRPr="00163E6F" w:rsidRDefault="00165D83">
            <w:pPr>
              <w:autoSpaceDE w:val="0"/>
              <w:autoSpaceDN w:val="0"/>
              <w:adjustRightInd w:val="0"/>
              <w:spacing w:before="60" w:after="60"/>
              <w:jc w:val="right"/>
            </w:pPr>
            <w:r w:rsidRPr="00163E6F">
              <w:rPr>
                <w:sz w:val="22"/>
              </w:rPr>
              <w:t>28.30</w:t>
            </w:r>
          </w:p>
        </w:tc>
        <w:tc>
          <w:tcPr>
            <w:tcW w:w="1237" w:type="dxa"/>
            <w:tcBorders>
              <w:top w:val="nil"/>
              <w:left w:val="nil"/>
              <w:bottom w:val="single" w:sz="3" w:space="0" w:color="000000"/>
              <w:right w:val="single" w:sz="3" w:space="0" w:color="000000"/>
            </w:tcBorders>
            <w:vAlign w:val="bottom"/>
          </w:tcPr>
          <w:p w14:paraId="58B0536F" w14:textId="77777777" w:rsidR="00165D83" w:rsidRPr="00163E6F" w:rsidRDefault="00165D83">
            <w:pPr>
              <w:autoSpaceDE w:val="0"/>
              <w:autoSpaceDN w:val="0"/>
              <w:adjustRightInd w:val="0"/>
              <w:spacing w:before="60" w:after="60"/>
              <w:jc w:val="right"/>
            </w:pPr>
            <w:r w:rsidRPr="00163E6F">
              <w:rPr>
                <w:sz w:val="22"/>
              </w:rPr>
              <w:t>570 313</w:t>
            </w:r>
          </w:p>
        </w:tc>
      </w:tr>
      <w:tr w:rsidR="00165D83" w:rsidRPr="00163E6F" w14:paraId="3A7D047D"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16729FAF" w14:textId="77777777" w:rsidR="00165D83" w:rsidRPr="00163E6F" w:rsidRDefault="00165D83">
            <w:pPr>
              <w:autoSpaceDE w:val="0"/>
              <w:autoSpaceDN w:val="0"/>
              <w:adjustRightInd w:val="0"/>
              <w:spacing w:before="60" w:after="60"/>
              <w:jc w:val="left"/>
            </w:pPr>
            <w:r w:rsidRPr="00163E6F">
              <w:rPr>
                <w:sz w:val="22"/>
              </w:rPr>
              <w:t>Iepakojuma ražošanas uzņēmumi</w:t>
            </w:r>
          </w:p>
        </w:tc>
        <w:tc>
          <w:tcPr>
            <w:tcW w:w="960" w:type="dxa"/>
            <w:tcBorders>
              <w:top w:val="nil"/>
              <w:left w:val="nil"/>
              <w:bottom w:val="single" w:sz="3" w:space="0" w:color="000000"/>
              <w:right w:val="single" w:sz="3" w:space="0" w:color="000000"/>
            </w:tcBorders>
            <w:vAlign w:val="bottom"/>
          </w:tcPr>
          <w:p w14:paraId="4664C6D4" w14:textId="77777777" w:rsidR="00165D83" w:rsidRPr="00163E6F" w:rsidRDefault="00165D83">
            <w:pPr>
              <w:autoSpaceDE w:val="0"/>
              <w:autoSpaceDN w:val="0"/>
              <w:adjustRightInd w:val="0"/>
              <w:spacing w:before="60" w:after="60"/>
              <w:jc w:val="right"/>
            </w:pPr>
            <w:r w:rsidRPr="00163E6F">
              <w:rPr>
                <w:sz w:val="22"/>
              </w:rPr>
              <w:t>6.82</w:t>
            </w:r>
          </w:p>
        </w:tc>
        <w:tc>
          <w:tcPr>
            <w:tcW w:w="960" w:type="dxa"/>
            <w:tcBorders>
              <w:top w:val="nil"/>
              <w:left w:val="nil"/>
              <w:bottom w:val="single" w:sz="3" w:space="0" w:color="000000"/>
              <w:right w:val="single" w:sz="3" w:space="0" w:color="000000"/>
            </w:tcBorders>
            <w:vAlign w:val="bottom"/>
          </w:tcPr>
          <w:p w14:paraId="232C8D15" w14:textId="77777777" w:rsidR="00165D83" w:rsidRPr="00163E6F" w:rsidRDefault="00165D83">
            <w:pPr>
              <w:autoSpaceDE w:val="0"/>
              <w:autoSpaceDN w:val="0"/>
              <w:adjustRightInd w:val="0"/>
              <w:spacing w:before="60" w:after="60"/>
              <w:jc w:val="right"/>
            </w:pPr>
            <w:r w:rsidRPr="00163E6F">
              <w:rPr>
                <w:sz w:val="22"/>
              </w:rPr>
              <w:t>1.18</w:t>
            </w:r>
          </w:p>
        </w:tc>
        <w:tc>
          <w:tcPr>
            <w:tcW w:w="960" w:type="dxa"/>
            <w:tcBorders>
              <w:top w:val="nil"/>
              <w:left w:val="nil"/>
              <w:bottom w:val="single" w:sz="3" w:space="0" w:color="000000"/>
              <w:right w:val="single" w:sz="3" w:space="0" w:color="000000"/>
            </w:tcBorders>
            <w:vAlign w:val="bottom"/>
          </w:tcPr>
          <w:p w14:paraId="7F2D1ED7" w14:textId="77777777" w:rsidR="00165D83" w:rsidRPr="00163E6F" w:rsidRDefault="00165D83">
            <w:pPr>
              <w:autoSpaceDE w:val="0"/>
              <w:autoSpaceDN w:val="0"/>
              <w:adjustRightInd w:val="0"/>
              <w:spacing w:before="60" w:after="60"/>
              <w:jc w:val="right"/>
            </w:pPr>
            <w:r w:rsidRPr="00163E6F">
              <w:rPr>
                <w:sz w:val="22"/>
              </w:rPr>
              <w:t>22.98</w:t>
            </w:r>
          </w:p>
        </w:tc>
        <w:tc>
          <w:tcPr>
            <w:tcW w:w="1237" w:type="dxa"/>
            <w:tcBorders>
              <w:top w:val="nil"/>
              <w:left w:val="nil"/>
              <w:bottom w:val="single" w:sz="3" w:space="0" w:color="000000"/>
              <w:right w:val="single" w:sz="3" w:space="0" w:color="000000"/>
            </w:tcBorders>
            <w:vAlign w:val="bottom"/>
          </w:tcPr>
          <w:p w14:paraId="01051180" w14:textId="77777777" w:rsidR="00165D83" w:rsidRPr="00163E6F" w:rsidRDefault="00165D83">
            <w:pPr>
              <w:autoSpaceDE w:val="0"/>
              <w:autoSpaceDN w:val="0"/>
              <w:adjustRightInd w:val="0"/>
              <w:spacing w:before="60" w:after="60"/>
              <w:jc w:val="right"/>
            </w:pPr>
            <w:r w:rsidRPr="00163E6F">
              <w:rPr>
                <w:sz w:val="22"/>
              </w:rPr>
              <w:t>658 387</w:t>
            </w:r>
          </w:p>
        </w:tc>
      </w:tr>
      <w:tr w:rsidR="00165D83" w:rsidRPr="00163E6F" w14:paraId="24DE407E"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6921F099" w14:textId="77777777" w:rsidR="00165D83" w:rsidRPr="00163E6F" w:rsidRDefault="00165D83">
            <w:pPr>
              <w:autoSpaceDE w:val="0"/>
              <w:autoSpaceDN w:val="0"/>
              <w:adjustRightInd w:val="0"/>
              <w:spacing w:before="60" w:after="60"/>
              <w:jc w:val="left"/>
            </w:pPr>
            <w:r w:rsidRPr="00163E6F">
              <w:rPr>
                <w:sz w:val="22"/>
              </w:rPr>
              <w:t>Palešu ražošanas uzņēmumi</w:t>
            </w:r>
          </w:p>
        </w:tc>
        <w:tc>
          <w:tcPr>
            <w:tcW w:w="960" w:type="dxa"/>
            <w:tcBorders>
              <w:top w:val="nil"/>
              <w:left w:val="nil"/>
              <w:bottom w:val="single" w:sz="3" w:space="0" w:color="000000"/>
              <w:right w:val="single" w:sz="3" w:space="0" w:color="000000"/>
            </w:tcBorders>
            <w:vAlign w:val="bottom"/>
          </w:tcPr>
          <w:p w14:paraId="561803EF" w14:textId="77777777" w:rsidR="00165D83" w:rsidRPr="00163E6F" w:rsidRDefault="00165D83">
            <w:pPr>
              <w:autoSpaceDE w:val="0"/>
              <w:autoSpaceDN w:val="0"/>
              <w:adjustRightInd w:val="0"/>
              <w:spacing w:before="60" w:after="60"/>
              <w:jc w:val="right"/>
            </w:pPr>
            <w:r w:rsidRPr="00163E6F">
              <w:rPr>
                <w:sz w:val="22"/>
              </w:rPr>
              <w:t>6.44</w:t>
            </w:r>
          </w:p>
        </w:tc>
        <w:tc>
          <w:tcPr>
            <w:tcW w:w="960" w:type="dxa"/>
            <w:tcBorders>
              <w:top w:val="nil"/>
              <w:left w:val="nil"/>
              <w:bottom w:val="single" w:sz="3" w:space="0" w:color="000000"/>
              <w:right w:val="single" w:sz="3" w:space="0" w:color="000000"/>
            </w:tcBorders>
            <w:vAlign w:val="bottom"/>
          </w:tcPr>
          <w:p w14:paraId="725BC64E" w14:textId="77777777" w:rsidR="00165D83" w:rsidRPr="00163E6F" w:rsidRDefault="00165D83">
            <w:pPr>
              <w:autoSpaceDE w:val="0"/>
              <w:autoSpaceDN w:val="0"/>
              <w:adjustRightInd w:val="0"/>
              <w:spacing w:before="60" w:after="60"/>
              <w:jc w:val="right"/>
            </w:pPr>
            <w:r w:rsidRPr="00163E6F">
              <w:rPr>
                <w:sz w:val="22"/>
              </w:rPr>
              <w:t>0.48</w:t>
            </w:r>
          </w:p>
        </w:tc>
        <w:tc>
          <w:tcPr>
            <w:tcW w:w="960" w:type="dxa"/>
            <w:tcBorders>
              <w:top w:val="nil"/>
              <w:left w:val="nil"/>
              <w:bottom w:val="single" w:sz="3" w:space="0" w:color="000000"/>
              <w:right w:val="single" w:sz="3" w:space="0" w:color="000000"/>
            </w:tcBorders>
            <w:vAlign w:val="bottom"/>
          </w:tcPr>
          <w:p w14:paraId="45D3A069" w14:textId="77777777" w:rsidR="00165D83" w:rsidRPr="00163E6F" w:rsidRDefault="00165D83">
            <w:pPr>
              <w:autoSpaceDE w:val="0"/>
              <w:autoSpaceDN w:val="0"/>
              <w:adjustRightInd w:val="0"/>
              <w:spacing w:before="60" w:after="60"/>
              <w:jc w:val="right"/>
            </w:pPr>
            <w:r w:rsidRPr="00163E6F">
              <w:rPr>
                <w:sz w:val="22"/>
              </w:rPr>
              <w:t>16.80</w:t>
            </w:r>
          </w:p>
        </w:tc>
        <w:tc>
          <w:tcPr>
            <w:tcW w:w="1237" w:type="dxa"/>
            <w:tcBorders>
              <w:top w:val="nil"/>
              <w:left w:val="nil"/>
              <w:bottom w:val="single" w:sz="3" w:space="0" w:color="000000"/>
              <w:right w:val="single" w:sz="3" w:space="0" w:color="000000"/>
            </w:tcBorders>
            <w:vAlign w:val="bottom"/>
          </w:tcPr>
          <w:p w14:paraId="62BDC292" w14:textId="77777777" w:rsidR="00165D83" w:rsidRPr="00163E6F" w:rsidRDefault="00165D83">
            <w:pPr>
              <w:autoSpaceDE w:val="0"/>
              <w:autoSpaceDN w:val="0"/>
              <w:adjustRightInd w:val="0"/>
              <w:spacing w:before="60" w:after="60"/>
              <w:jc w:val="right"/>
            </w:pPr>
            <w:r w:rsidRPr="00163E6F">
              <w:rPr>
                <w:sz w:val="22"/>
              </w:rPr>
              <w:t>579 876</w:t>
            </w:r>
          </w:p>
        </w:tc>
      </w:tr>
      <w:tr w:rsidR="00165D83" w:rsidRPr="00163E6F" w14:paraId="0938C40E"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7D5CF95C" w14:textId="77777777" w:rsidR="00165D83" w:rsidRPr="00163E6F" w:rsidRDefault="00165D83">
            <w:pPr>
              <w:autoSpaceDE w:val="0"/>
              <w:autoSpaceDN w:val="0"/>
              <w:adjustRightInd w:val="0"/>
              <w:spacing w:before="60" w:after="60"/>
              <w:jc w:val="left"/>
            </w:pPr>
            <w:r w:rsidRPr="00163E6F">
              <w:rPr>
                <w:sz w:val="22"/>
              </w:rPr>
              <w:t>Degvielas tirdzniecības uzņēmumi</w:t>
            </w:r>
          </w:p>
        </w:tc>
        <w:tc>
          <w:tcPr>
            <w:tcW w:w="960" w:type="dxa"/>
            <w:tcBorders>
              <w:top w:val="nil"/>
              <w:left w:val="nil"/>
              <w:bottom w:val="single" w:sz="3" w:space="0" w:color="000000"/>
              <w:right w:val="single" w:sz="3" w:space="0" w:color="000000"/>
            </w:tcBorders>
            <w:vAlign w:val="bottom"/>
          </w:tcPr>
          <w:p w14:paraId="72D74B96" w14:textId="77777777" w:rsidR="00165D83" w:rsidRPr="00163E6F" w:rsidRDefault="00165D83">
            <w:pPr>
              <w:autoSpaceDE w:val="0"/>
              <w:autoSpaceDN w:val="0"/>
              <w:adjustRightInd w:val="0"/>
              <w:spacing w:before="60" w:after="60"/>
              <w:jc w:val="right"/>
            </w:pPr>
            <w:r w:rsidRPr="00163E6F">
              <w:rPr>
                <w:sz w:val="22"/>
              </w:rPr>
              <w:t>11.94</w:t>
            </w:r>
          </w:p>
        </w:tc>
        <w:tc>
          <w:tcPr>
            <w:tcW w:w="960" w:type="dxa"/>
            <w:tcBorders>
              <w:top w:val="nil"/>
              <w:left w:val="nil"/>
              <w:bottom w:val="single" w:sz="3" w:space="0" w:color="000000"/>
              <w:right w:val="single" w:sz="3" w:space="0" w:color="000000"/>
            </w:tcBorders>
            <w:vAlign w:val="bottom"/>
          </w:tcPr>
          <w:p w14:paraId="487B9B6C" w14:textId="77777777" w:rsidR="00165D83" w:rsidRPr="00163E6F" w:rsidRDefault="00165D83">
            <w:pPr>
              <w:autoSpaceDE w:val="0"/>
              <w:autoSpaceDN w:val="0"/>
              <w:adjustRightInd w:val="0"/>
              <w:spacing w:before="60" w:after="60"/>
              <w:jc w:val="right"/>
            </w:pPr>
            <w:r w:rsidRPr="00163E6F">
              <w:rPr>
                <w:sz w:val="22"/>
              </w:rPr>
              <w:t>3.79</w:t>
            </w:r>
          </w:p>
        </w:tc>
        <w:tc>
          <w:tcPr>
            <w:tcW w:w="960" w:type="dxa"/>
            <w:tcBorders>
              <w:top w:val="nil"/>
              <w:left w:val="nil"/>
              <w:bottom w:val="single" w:sz="3" w:space="0" w:color="000000"/>
              <w:right w:val="single" w:sz="3" w:space="0" w:color="000000"/>
            </w:tcBorders>
            <w:vAlign w:val="bottom"/>
          </w:tcPr>
          <w:p w14:paraId="490667A9" w14:textId="77777777" w:rsidR="00165D83" w:rsidRPr="00163E6F" w:rsidRDefault="00165D83">
            <w:pPr>
              <w:autoSpaceDE w:val="0"/>
              <w:autoSpaceDN w:val="0"/>
              <w:adjustRightInd w:val="0"/>
              <w:spacing w:before="60" w:after="60"/>
              <w:jc w:val="right"/>
            </w:pPr>
            <w:r w:rsidRPr="00163E6F">
              <w:rPr>
                <w:sz w:val="22"/>
              </w:rPr>
              <w:t>25.51</w:t>
            </w:r>
          </w:p>
        </w:tc>
        <w:tc>
          <w:tcPr>
            <w:tcW w:w="1237" w:type="dxa"/>
            <w:tcBorders>
              <w:top w:val="nil"/>
              <w:left w:val="nil"/>
              <w:bottom w:val="single" w:sz="3" w:space="0" w:color="000000"/>
              <w:right w:val="single" w:sz="3" w:space="0" w:color="000000"/>
            </w:tcBorders>
            <w:vAlign w:val="bottom"/>
          </w:tcPr>
          <w:p w14:paraId="15C387AD" w14:textId="77777777" w:rsidR="00165D83" w:rsidRPr="00163E6F" w:rsidRDefault="00165D83">
            <w:pPr>
              <w:autoSpaceDE w:val="0"/>
              <w:autoSpaceDN w:val="0"/>
              <w:adjustRightInd w:val="0"/>
              <w:spacing w:before="60" w:after="60"/>
              <w:jc w:val="right"/>
            </w:pPr>
            <w:r w:rsidRPr="00163E6F">
              <w:rPr>
                <w:sz w:val="22"/>
              </w:rPr>
              <w:t>5 692 468</w:t>
            </w:r>
          </w:p>
        </w:tc>
      </w:tr>
      <w:tr w:rsidR="00165D83" w:rsidRPr="00163E6F" w14:paraId="6FE05E9E"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61C5F625" w14:textId="77777777" w:rsidR="00165D83" w:rsidRPr="00163E6F" w:rsidRDefault="00165D83">
            <w:pPr>
              <w:autoSpaceDE w:val="0"/>
              <w:autoSpaceDN w:val="0"/>
              <w:adjustRightInd w:val="0"/>
              <w:spacing w:before="60" w:after="60"/>
              <w:jc w:val="left"/>
            </w:pPr>
            <w:r w:rsidRPr="00163E6F">
              <w:rPr>
                <w:sz w:val="22"/>
              </w:rPr>
              <w:t>Tehnikas remontēšanas uzņēmumi</w:t>
            </w:r>
          </w:p>
        </w:tc>
        <w:tc>
          <w:tcPr>
            <w:tcW w:w="960" w:type="dxa"/>
            <w:tcBorders>
              <w:top w:val="nil"/>
              <w:left w:val="nil"/>
              <w:bottom w:val="single" w:sz="3" w:space="0" w:color="000000"/>
              <w:right w:val="single" w:sz="3" w:space="0" w:color="000000"/>
            </w:tcBorders>
            <w:vAlign w:val="bottom"/>
          </w:tcPr>
          <w:p w14:paraId="0280D7F7" w14:textId="77777777" w:rsidR="00165D83" w:rsidRPr="00163E6F" w:rsidRDefault="00165D83">
            <w:pPr>
              <w:autoSpaceDE w:val="0"/>
              <w:autoSpaceDN w:val="0"/>
              <w:adjustRightInd w:val="0"/>
              <w:spacing w:before="60" w:after="60"/>
              <w:jc w:val="right"/>
            </w:pPr>
            <w:r w:rsidRPr="00163E6F">
              <w:rPr>
                <w:sz w:val="22"/>
              </w:rPr>
              <w:t>2.62</w:t>
            </w:r>
          </w:p>
        </w:tc>
        <w:tc>
          <w:tcPr>
            <w:tcW w:w="960" w:type="dxa"/>
            <w:tcBorders>
              <w:top w:val="nil"/>
              <w:left w:val="nil"/>
              <w:bottom w:val="single" w:sz="3" w:space="0" w:color="000000"/>
              <w:right w:val="single" w:sz="3" w:space="0" w:color="000000"/>
            </w:tcBorders>
            <w:vAlign w:val="bottom"/>
          </w:tcPr>
          <w:p w14:paraId="23E9CF23" w14:textId="77777777" w:rsidR="00165D83" w:rsidRPr="00163E6F" w:rsidRDefault="00165D83">
            <w:pPr>
              <w:autoSpaceDE w:val="0"/>
              <w:autoSpaceDN w:val="0"/>
              <w:adjustRightInd w:val="0"/>
              <w:spacing w:before="60" w:after="60"/>
              <w:jc w:val="right"/>
            </w:pPr>
            <w:r w:rsidRPr="00163E6F">
              <w:rPr>
                <w:sz w:val="22"/>
              </w:rPr>
              <w:t>0.08</w:t>
            </w:r>
          </w:p>
        </w:tc>
        <w:tc>
          <w:tcPr>
            <w:tcW w:w="960" w:type="dxa"/>
            <w:tcBorders>
              <w:top w:val="nil"/>
              <w:left w:val="nil"/>
              <w:bottom w:val="single" w:sz="3" w:space="0" w:color="000000"/>
              <w:right w:val="single" w:sz="3" w:space="0" w:color="000000"/>
            </w:tcBorders>
            <w:vAlign w:val="bottom"/>
          </w:tcPr>
          <w:p w14:paraId="5BBC323B" w14:textId="77777777" w:rsidR="00165D83" w:rsidRPr="00163E6F" w:rsidRDefault="00165D83">
            <w:pPr>
              <w:autoSpaceDE w:val="0"/>
              <w:autoSpaceDN w:val="0"/>
              <w:adjustRightInd w:val="0"/>
              <w:spacing w:before="60" w:after="60"/>
              <w:jc w:val="right"/>
            </w:pPr>
            <w:r w:rsidRPr="00163E6F">
              <w:rPr>
                <w:sz w:val="22"/>
              </w:rPr>
              <w:t>6.42</w:t>
            </w:r>
          </w:p>
        </w:tc>
        <w:tc>
          <w:tcPr>
            <w:tcW w:w="1237" w:type="dxa"/>
            <w:tcBorders>
              <w:top w:val="nil"/>
              <w:left w:val="nil"/>
              <w:bottom w:val="single" w:sz="3" w:space="0" w:color="000000"/>
              <w:right w:val="single" w:sz="3" w:space="0" w:color="000000"/>
            </w:tcBorders>
            <w:vAlign w:val="bottom"/>
          </w:tcPr>
          <w:p w14:paraId="5DDFDAF9" w14:textId="77777777" w:rsidR="00165D83" w:rsidRPr="00163E6F" w:rsidRDefault="00165D83">
            <w:pPr>
              <w:autoSpaceDE w:val="0"/>
              <w:autoSpaceDN w:val="0"/>
              <w:adjustRightInd w:val="0"/>
              <w:spacing w:before="60" w:after="60"/>
              <w:jc w:val="right"/>
            </w:pPr>
            <w:r w:rsidRPr="00163E6F">
              <w:rPr>
                <w:sz w:val="22"/>
              </w:rPr>
              <w:t>162 152</w:t>
            </w:r>
          </w:p>
        </w:tc>
      </w:tr>
      <w:tr w:rsidR="00165D83" w:rsidRPr="00163E6F" w14:paraId="5559E7D3" w14:textId="77777777">
        <w:trPr>
          <w:trHeight w:val="300"/>
          <w:jc w:val="center"/>
        </w:trPr>
        <w:tc>
          <w:tcPr>
            <w:tcW w:w="5116" w:type="dxa"/>
            <w:tcBorders>
              <w:top w:val="nil"/>
              <w:left w:val="single" w:sz="3" w:space="0" w:color="000000"/>
              <w:bottom w:val="single" w:sz="3" w:space="0" w:color="000000"/>
              <w:right w:val="single" w:sz="3" w:space="0" w:color="000000"/>
            </w:tcBorders>
            <w:vAlign w:val="bottom"/>
          </w:tcPr>
          <w:p w14:paraId="0D9ABD47" w14:textId="77777777" w:rsidR="00165D83" w:rsidRPr="00163E6F" w:rsidRDefault="00165D83">
            <w:pPr>
              <w:autoSpaceDE w:val="0"/>
              <w:autoSpaceDN w:val="0"/>
              <w:adjustRightInd w:val="0"/>
              <w:spacing w:before="60" w:after="60"/>
              <w:jc w:val="left"/>
            </w:pPr>
            <w:r w:rsidRPr="00163E6F">
              <w:rPr>
                <w:sz w:val="22"/>
              </w:rPr>
              <w:t>Būvniecības uzņēmumi</w:t>
            </w:r>
          </w:p>
        </w:tc>
        <w:tc>
          <w:tcPr>
            <w:tcW w:w="960" w:type="dxa"/>
            <w:tcBorders>
              <w:top w:val="nil"/>
              <w:left w:val="nil"/>
              <w:bottom w:val="single" w:sz="3" w:space="0" w:color="000000"/>
              <w:right w:val="single" w:sz="3" w:space="0" w:color="000000"/>
            </w:tcBorders>
            <w:vAlign w:val="bottom"/>
          </w:tcPr>
          <w:p w14:paraId="045BF33C" w14:textId="77777777" w:rsidR="00165D83" w:rsidRPr="00163E6F" w:rsidRDefault="00165D83">
            <w:pPr>
              <w:autoSpaceDE w:val="0"/>
              <w:autoSpaceDN w:val="0"/>
              <w:adjustRightInd w:val="0"/>
              <w:spacing w:before="60" w:after="60"/>
              <w:jc w:val="right"/>
            </w:pPr>
            <w:r w:rsidRPr="00163E6F">
              <w:rPr>
                <w:sz w:val="22"/>
              </w:rPr>
              <w:t>1.13</w:t>
            </w:r>
          </w:p>
        </w:tc>
        <w:tc>
          <w:tcPr>
            <w:tcW w:w="960" w:type="dxa"/>
            <w:tcBorders>
              <w:top w:val="nil"/>
              <w:left w:val="nil"/>
              <w:bottom w:val="single" w:sz="3" w:space="0" w:color="000000"/>
              <w:right w:val="single" w:sz="3" w:space="0" w:color="000000"/>
            </w:tcBorders>
            <w:vAlign w:val="bottom"/>
          </w:tcPr>
          <w:p w14:paraId="568EFF3D" w14:textId="77777777" w:rsidR="00165D83" w:rsidRPr="00163E6F" w:rsidRDefault="00165D83">
            <w:pPr>
              <w:autoSpaceDE w:val="0"/>
              <w:autoSpaceDN w:val="0"/>
              <w:adjustRightInd w:val="0"/>
              <w:spacing w:before="60" w:after="60"/>
              <w:jc w:val="right"/>
            </w:pPr>
            <w:r w:rsidRPr="00163E6F">
              <w:rPr>
                <w:sz w:val="22"/>
              </w:rPr>
              <w:t>0.32</w:t>
            </w:r>
          </w:p>
        </w:tc>
        <w:tc>
          <w:tcPr>
            <w:tcW w:w="960" w:type="dxa"/>
            <w:tcBorders>
              <w:top w:val="nil"/>
              <w:left w:val="nil"/>
              <w:bottom w:val="single" w:sz="3" w:space="0" w:color="000000"/>
              <w:right w:val="single" w:sz="3" w:space="0" w:color="000000"/>
            </w:tcBorders>
            <w:vAlign w:val="bottom"/>
          </w:tcPr>
          <w:p w14:paraId="46E2BB13" w14:textId="77777777" w:rsidR="00165D83" w:rsidRPr="00163E6F" w:rsidRDefault="00165D83">
            <w:pPr>
              <w:autoSpaceDE w:val="0"/>
              <w:autoSpaceDN w:val="0"/>
              <w:adjustRightInd w:val="0"/>
              <w:spacing w:before="60" w:after="60"/>
              <w:jc w:val="right"/>
            </w:pPr>
            <w:r w:rsidRPr="00163E6F">
              <w:rPr>
                <w:sz w:val="22"/>
              </w:rPr>
              <w:t>2.01</w:t>
            </w:r>
          </w:p>
        </w:tc>
        <w:tc>
          <w:tcPr>
            <w:tcW w:w="1237" w:type="dxa"/>
            <w:tcBorders>
              <w:top w:val="nil"/>
              <w:left w:val="nil"/>
              <w:bottom w:val="single" w:sz="3" w:space="0" w:color="000000"/>
              <w:right w:val="single" w:sz="3" w:space="0" w:color="000000"/>
            </w:tcBorders>
            <w:vAlign w:val="bottom"/>
          </w:tcPr>
          <w:p w14:paraId="032FA1AC" w14:textId="77777777" w:rsidR="00165D83" w:rsidRPr="00163E6F" w:rsidRDefault="00165D83">
            <w:pPr>
              <w:autoSpaceDE w:val="0"/>
              <w:autoSpaceDN w:val="0"/>
              <w:adjustRightInd w:val="0"/>
              <w:spacing w:before="60" w:after="60"/>
              <w:jc w:val="right"/>
            </w:pPr>
            <w:r w:rsidRPr="00163E6F">
              <w:rPr>
                <w:sz w:val="22"/>
              </w:rPr>
              <w:t>127 422</w:t>
            </w:r>
          </w:p>
        </w:tc>
      </w:tr>
      <w:tr w:rsidR="00165D83" w:rsidRPr="00163E6F" w14:paraId="4B2D4DD5" w14:textId="77777777">
        <w:trPr>
          <w:trHeight w:val="300"/>
          <w:jc w:val="center"/>
        </w:trPr>
        <w:tc>
          <w:tcPr>
            <w:tcW w:w="5116" w:type="dxa"/>
            <w:tcBorders>
              <w:top w:val="nil"/>
              <w:left w:val="single" w:sz="3" w:space="0" w:color="000000"/>
              <w:bottom w:val="single" w:sz="3" w:space="0" w:color="000000"/>
              <w:right w:val="single" w:sz="3" w:space="0" w:color="000000"/>
            </w:tcBorders>
            <w:vAlign w:val="bottom"/>
          </w:tcPr>
          <w:p w14:paraId="751F672A" w14:textId="77777777" w:rsidR="00165D83" w:rsidRPr="00163E6F" w:rsidRDefault="00165D83">
            <w:pPr>
              <w:autoSpaceDE w:val="0"/>
              <w:autoSpaceDN w:val="0"/>
              <w:adjustRightInd w:val="0"/>
              <w:spacing w:before="60" w:after="60"/>
              <w:jc w:val="left"/>
            </w:pPr>
            <w:r w:rsidRPr="00163E6F">
              <w:rPr>
                <w:sz w:val="22"/>
              </w:rPr>
              <w:t>Bankas</w:t>
            </w:r>
          </w:p>
        </w:tc>
        <w:tc>
          <w:tcPr>
            <w:tcW w:w="960" w:type="dxa"/>
            <w:tcBorders>
              <w:top w:val="nil"/>
              <w:left w:val="nil"/>
              <w:bottom w:val="single" w:sz="3" w:space="0" w:color="000000"/>
              <w:right w:val="single" w:sz="3" w:space="0" w:color="000000"/>
            </w:tcBorders>
            <w:vAlign w:val="bottom"/>
          </w:tcPr>
          <w:p w14:paraId="50C59B1C" w14:textId="77777777" w:rsidR="00165D83" w:rsidRPr="00163E6F" w:rsidRDefault="00165D83">
            <w:pPr>
              <w:autoSpaceDE w:val="0"/>
              <w:autoSpaceDN w:val="0"/>
              <w:adjustRightInd w:val="0"/>
              <w:spacing w:before="60" w:after="60"/>
              <w:jc w:val="right"/>
            </w:pPr>
            <w:r w:rsidRPr="00163E6F">
              <w:rPr>
                <w:sz w:val="22"/>
              </w:rPr>
              <w:t>0.50</w:t>
            </w:r>
          </w:p>
        </w:tc>
        <w:tc>
          <w:tcPr>
            <w:tcW w:w="960" w:type="dxa"/>
            <w:tcBorders>
              <w:top w:val="nil"/>
              <w:left w:val="nil"/>
              <w:bottom w:val="single" w:sz="3" w:space="0" w:color="000000"/>
              <w:right w:val="single" w:sz="3" w:space="0" w:color="000000"/>
            </w:tcBorders>
            <w:vAlign w:val="bottom"/>
          </w:tcPr>
          <w:p w14:paraId="47DC6DE5" w14:textId="77777777" w:rsidR="00165D83" w:rsidRPr="00163E6F" w:rsidRDefault="00165D83">
            <w:pPr>
              <w:autoSpaceDE w:val="0"/>
              <w:autoSpaceDN w:val="0"/>
              <w:adjustRightInd w:val="0"/>
              <w:spacing w:before="60" w:after="60"/>
              <w:jc w:val="right"/>
            </w:pPr>
            <w:r w:rsidRPr="00163E6F">
              <w:rPr>
                <w:sz w:val="22"/>
              </w:rPr>
              <w:t>0.03</w:t>
            </w:r>
          </w:p>
        </w:tc>
        <w:tc>
          <w:tcPr>
            <w:tcW w:w="960" w:type="dxa"/>
            <w:tcBorders>
              <w:top w:val="nil"/>
              <w:left w:val="nil"/>
              <w:bottom w:val="single" w:sz="3" w:space="0" w:color="000000"/>
              <w:right w:val="single" w:sz="3" w:space="0" w:color="000000"/>
            </w:tcBorders>
            <w:vAlign w:val="bottom"/>
          </w:tcPr>
          <w:p w14:paraId="6E70B32B" w14:textId="77777777" w:rsidR="00165D83" w:rsidRPr="00163E6F" w:rsidRDefault="00165D83">
            <w:pPr>
              <w:autoSpaceDE w:val="0"/>
              <w:autoSpaceDN w:val="0"/>
              <w:adjustRightInd w:val="0"/>
              <w:spacing w:before="60" w:after="60"/>
              <w:jc w:val="right"/>
            </w:pPr>
            <w:r w:rsidRPr="00163E6F">
              <w:rPr>
                <w:sz w:val="22"/>
              </w:rPr>
              <w:t>1.16</w:t>
            </w:r>
          </w:p>
        </w:tc>
        <w:tc>
          <w:tcPr>
            <w:tcW w:w="1237" w:type="dxa"/>
            <w:tcBorders>
              <w:top w:val="nil"/>
              <w:left w:val="nil"/>
              <w:bottom w:val="single" w:sz="3" w:space="0" w:color="000000"/>
              <w:right w:val="single" w:sz="3" w:space="0" w:color="000000"/>
            </w:tcBorders>
            <w:vAlign w:val="bottom"/>
          </w:tcPr>
          <w:p w14:paraId="749675AC" w14:textId="77777777" w:rsidR="00165D83" w:rsidRPr="00163E6F" w:rsidRDefault="00165D83">
            <w:pPr>
              <w:autoSpaceDE w:val="0"/>
              <w:autoSpaceDN w:val="0"/>
              <w:adjustRightInd w:val="0"/>
              <w:spacing w:before="60" w:after="60"/>
              <w:jc w:val="right"/>
            </w:pPr>
            <w:r w:rsidRPr="00163E6F">
              <w:rPr>
                <w:sz w:val="22"/>
              </w:rPr>
              <w:t>37 281</w:t>
            </w:r>
          </w:p>
        </w:tc>
      </w:tr>
      <w:tr w:rsidR="00165D83" w:rsidRPr="00163E6F" w14:paraId="00F9E383"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240FB215" w14:textId="77777777" w:rsidR="00165D83" w:rsidRPr="00163E6F" w:rsidRDefault="00165D83">
            <w:pPr>
              <w:autoSpaceDE w:val="0"/>
              <w:autoSpaceDN w:val="0"/>
              <w:adjustRightInd w:val="0"/>
              <w:spacing w:before="60" w:after="60"/>
              <w:jc w:val="left"/>
            </w:pPr>
            <w:r w:rsidRPr="00163E6F">
              <w:rPr>
                <w:sz w:val="22"/>
              </w:rPr>
              <w:t>Apdrošināšanas uzņēmumi</w:t>
            </w:r>
          </w:p>
        </w:tc>
        <w:tc>
          <w:tcPr>
            <w:tcW w:w="960" w:type="dxa"/>
            <w:tcBorders>
              <w:top w:val="nil"/>
              <w:left w:val="nil"/>
              <w:bottom w:val="single" w:sz="3" w:space="0" w:color="000000"/>
              <w:right w:val="single" w:sz="3" w:space="0" w:color="000000"/>
            </w:tcBorders>
            <w:vAlign w:val="bottom"/>
          </w:tcPr>
          <w:p w14:paraId="092F90F8" w14:textId="77777777" w:rsidR="00165D83" w:rsidRPr="00163E6F" w:rsidRDefault="00165D83">
            <w:pPr>
              <w:autoSpaceDE w:val="0"/>
              <w:autoSpaceDN w:val="0"/>
              <w:adjustRightInd w:val="0"/>
              <w:spacing w:before="60" w:after="60"/>
              <w:jc w:val="right"/>
            </w:pPr>
            <w:r w:rsidRPr="00163E6F">
              <w:rPr>
                <w:sz w:val="22"/>
              </w:rPr>
              <w:t>0.82</w:t>
            </w:r>
          </w:p>
        </w:tc>
        <w:tc>
          <w:tcPr>
            <w:tcW w:w="960" w:type="dxa"/>
            <w:tcBorders>
              <w:top w:val="nil"/>
              <w:left w:val="nil"/>
              <w:bottom w:val="single" w:sz="3" w:space="0" w:color="000000"/>
              <w:right w:val="single" w:sz="3" w:space="0" w:color="000000"/>
            </w:tcBorders>
            <w:vAlign w:val="bottom"/>
          </w:tcPr>
          <w:p w14:paraId="00D93C8F" w14:textId="77777777" w:rsidR="00165D83" w:rsidRPr="00163E6F" w:rsidRDefault="00165D83">
            <w:pPr>
              <w:autoSpaceDE w:val="0"/>
              <w:autoSpaceDN w:val="0"/>
              <w:adjustRightInd w:val="0"/>
              <w:spacing w:before="60" w:after="60"/>
              <w:jc w:val="right"/>
            </w:pPr>
            <w:r w:rsidRPr="00163E6F">
              <w:rPr>
                <w:sz w:val="22"/>
              </w:rPr>
              <w:t>0.16</w:t>
            </w:r>
          </w:p>
        </w:tc>
        <w:tc>
          <w:tcPr>
            <w:tcW w:w="960" w:type="dxa"/>
            <w:tcBorders>
              <w:top w:val="nil"/>
              <w:left w:val="nil"/>
              <w:bottom w:val="single" w:sz="3" w:space="0" w:color="000000"/>
              <w:right w:val="single" w:sz="3" w:space="0" w:color="000000"/>
            </w:tcBorders>
            <w:vAlign w:val="bottom"/>
          </w:tcPr>
          <w:p w14:paraId="28F4F1D9" w14:textId="77777777" w:rsidR="00165D83" w:rsidRPr="00163E6F" w:rsidRDefault="00165D83">
            <w:pPr>
              <w:autoSpaceDE w:val="0"/>
              <w:autoSpaceDN w:val="0"/>
              <w:adjustRightInd w:val="0"/>
              <w:spacing w:before="60" w:after="60"/>
              <w:jc w:val="right"/>
            </w:pPr>
            <w:r w:rsidRPr="00163E6F">
              <w:rPr>
                <w:sz w:val="22"/>
              </w:rPr>
              <w:t>2.83</w:t>
            </w:r>
          </w:p>
        </w:tc>
        <w:tc>
          <w:tcPr>
            <w:tcW w:w="1237" w:type="dxa"/>
            <w:tcBorders>
              <w:top w:val="nil"/>
              <w:left w:val="nil"/>
              <w:bottom w:val="single" w:sz="3" w:space="0" w:color="000000"/>
              <w:right w:val="single" w:sz="3" w:space="0" w:color="000000"/>
            </w:tcBorders>
            <w:vAlign w:val="bottom"/>
          </w:tcPr>
          <w:p w14:paraId="57EED8A4" w14:textId="77777777" w:rsidR="00165D83" w:rsidRPr="00163E6F" w:rsidRDefault="00165D83">
            <w:pPr>
              <w:autoSpaceDE w:val="0"/>
              <w:autoSpaceDN w:val="0"/>
              <w:adjustRightInd w:val="0"/>
              <w:spacing w:before="60" w:after="60"/>
              <w:jc w:val="right"/>
            </w:pPr>
            <w:r w:rsidRPr="00163E6F">
              <w:rPr>
                <w:sz w:val="22"/>
              </w:rPr>
              <w:t>95 082</w:t>
            </w:r>
          </w:p>
        </w:tc>
      </w:tr>
      <w:tr w:rsidR="00165D83" w:rsidRPr="00163E6F" w14:paraId="5F92FC8E"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0D99BECF" w14:textId="77777777" w:rsidR="00165D83" w:rsidRPr="00163E6F" w:rsidRDefault="00165D83">
            <w:pPr>
              <w:autoSpaceDE w:val="0"/>
              <w:autoSpaceDN w:val="0"/>
              <w:adjustRightInd w:val="0"/>
              <w:spacing w:before="60" w:after="60"/>
              <w:jc w:val="left"/>
            </w:pPr>
            <w:r w:rsidRPr="00163E6F">
              <w:rPr>
                <w:sz w:val="22"/>
              </w:rPr>
              <w:t>Grāmatvedības uzņēmumi</w:t>
            </w:r>
          </w:p>
        </w:tc>
        <w:tc>
          <w:tcPr>
            <w:tcW w:w="960" w:type="dxa"/>
            <w:tcBorders>
              <w:top w:val="nil"/>
              <w:left w:val="nil"/>
              <w:bottom w:val="single" w:sz="3" w:space="0" w:color="000000"/>
              <w:right w:val="single" w:sz="3" w:space="0" w:color="000000"/>
            </w:tcBorders>
            <w:vAlign w:val="bottom"/>
          </w:tcPr>
          <w:p w14:paraId="5E39B0BD" w14:textId="77777777" w:rsidR="00165D83" w:rsidRPr="00163E6F" w:rsidRDefault="00165D83">
            <w:pPr>
              <w:autoSpaceDE w:val="0"/>
              <w:autoSpaceDN w:val="0"/>
              <w:adjustRightInd w:val="0"/>
              <w:spacing w:before="60" w:after="60"/>
              <w:jc w:val="right"/>
            </w:pPr>
            <w:r w:rsidRPr="00163E6F">
              <w:rPr>
                <w:sz w:val="22"/>
              </w:rPr>
              <w:t>0.85</w:t>
            </w:r>
          </w:p>
        </w:tc>
        <w:tc>
          <w:tcPr>
            <w:tcW w:w="960" w:type="dxa"/>
            <w:tcBorders>
              <w:top w:val="nil"/>
              <w:left w:val="nil"/>
              <w:bottom w:val="single" w:sz="3" w:space="0" w:color="000000"/>
              <w:right w:val="single" w:sz="3" w:space="0" w:color="000000"/>
            </w:tcBorders>
            <w:vAlign w:val="bottom"/>
          </w:tcPr>
          <w:p w14:paraId="663E2813" w14:textId="77777777" w:rsidR="00165D83" w:rsidRPr="00163E6F" w:rsidRDefault="00165D83">
            <w:pPr>
              <w:autoSpaceDE w:val="0"/>
              <w:autoSpaceDN w:val="0"/>
              <w:adjustRightInd w:val="0"/>
              <w:spacing w:before="60" w:after="60"/>
              <w:jc w:val="right"/>
            </w:pPr>
            <w:r w:rsidRPr="00163E6F">
              <w:rPr>
                <w:sz w:val="22"/>
              </w:rPr>
              <w:t>0.15</w:t>
            </w:r>
          </w:p>
        </w:tc>
        <w:tc>
          <w:tcPr>
            <w:tcW w:w="960" w:type="dxa"/>
            <w:tcBorders>
              <w:top w:val="nil"/>
              <w:left w:val="nil"/>
              <w:bottom w:val="single" w:sz="3" w:space="0" w:color="000000"/>
              <w:right w:val="single" w:sz="3" w:space="0" w:color="000000"/>
            </w:tcBorders>
            <w:vAlign w:val="bottom"/>
          </w:tcPr>
          <w:p w14:paraId="79944826" w14:textId="77777777" w:rsidR="00165D83" w:rsidRPr="00163E6F" w:rsidRDefault="00165D83">
            <w:pPr>
              <w:autoSpaceDE w:val="0"/>
              <w:autoSpaceDN w:val="0"/>
              <w:adjustRightInd w:val="0"/>
              <w:spacing w:before="60" w:after="60"/>
              <w:jc w:val="right"/>
            </w:pPr>
            <w:r w:rsidRPr="00163E6F">
              <w:rPr>
                <w:sz w:val="22"/>
              </w:rPr>
              <w:t>2.41</w:t>
            </w:r>
          </w:p>
        </w:tc>
        <w:tc>
          <w:tcPr>
            <w:tcW w:w="1237" w:type="dxa"/>
            <w:tcBorders>
              <w:top w:val="nil"/>
              <w:left w:val="nil"/>
              <w:bottom w:val="single" w:sz="3" w:space="0" w:color="000000"/>
              <w:right w:val="single" w:sz="3" w:space="0" w:color="000000"/>
            </w:tcBorders>
            <w:vAlign w:val="bottom"/>
          </w:tcPr>
          <w:p w14:paraId="48A0E58C" w14:textId="77777777" w:rsidR="00165D83" w:rsidRPr="00163E6F" w:rsidRDefault="00165D83">
            <w:pPr>
              <w:autoSpaceDE w:val="0"/>
              <w:autoSpaceDN w:val="0"/>
              <w:adjustRightInd w:val="0"/>
              <w:spacing w:before="60" w:after="60"/>
              <w:jc w:val="right"/>
            </w:pPr>
            <w:r w:rsidRPr="00163E6F">
              <w:rPr>
                <w:sz w:val="22"/>
              </w:rPr>
              <w:t>36 114</w:t>
            </w:r>
          </w:p>
        </w:tc>
      </w:tr>
      <w:tr w:rsidR="00165D83" w:rsidRPr="00163E6F" w14:paraId="67EB73E1" w14:textId="77777777">
        <w:trPr>
          <w:trHeight w:val="255"/>
          <w:jc w:val="center"/>
        </w:trPr>
        <w:tc>
          <w:tcPr>
            <w:tcW w:w="5116" w:type="dxa"/>
            <w:tcBorders>
              <w:top w:val="nil"/>
              <w:left w:val="single" w:sz="3" w:space="0" w:color="000000"/>
              <w:bottom w:val="single" w:sz="3" w:space="0" w:color="000000"/>
              <w:right w:val="single" w:sz="3" w:space="0" w:color="000000"/>
            </w:tcBorders>
            <w:vAlign w:val="bottom"/>
          </w:tcPr>
          <w:p w14:paraId="24EFC57B" w14:textId="77777777" w:rsidR="00165D83" w:rsidRPr="00163E6F" w:rsidRDefault="00165D83">
            <w:pPr>
              <w:autoSpaceDE w:val="0"/>
              <w:autoSpaceDN w:val="0"/>
              <w:adjustRightInd w:val="0"/>
              <w:spacing w:before="60" w:after="60"/>
              <w:jc w:val="left"/>
            </w:pPr>
            <w:r w:rsidRPr="00163E6F">
              <w:rPr>
                <w:sz w:val="22"/>
              </w:rPr>
              <w:t>Ģeoloģiskās izpētes un inventarizācijas uzņēmumi</w:t>
            </w:r>
          </w:p>
        </w:tc>
        <w:tc>
          <w:tcPr>
            <w:tcW w:w="960" w:type="dxa"/>
            <w:tcBorders>
              <w:top w:val="nil"/>
              <w:left w:val="nil"/>
              <w:bottom w:val="single" w:sz="3" w:space="0" w:color="000000"/>
              <w:right w:val="single" w:sz="3" w:space="0" w:color="000000"/>
            </w:tcBorders>
            <w:vAlign w:val="bottom"/>
          </w:tcPr>
          <w:p w14:paraId="1D77B6C2" w14:textId="77777777" w:rsidR="00165D83" w:rsidRPr="00163E6F" w:rsidRDefault="00165D83">
            <w:pPr>
              <w:autoSpaceDE w:val="0"/>
              <w:autoSpaceDN w:val="0"/>
              <w:adjustRightInd w:val="0"/>
              <w:spacing w:before="60" w:after="60"/>
              <w:jc w:val="right"/>
            </w:pPr>
            <w:r w:rsidRPr="00163E6F">
              <w:rPr>
                <w:sz w:val="22"/>
              </w:rPr>
              <w:t>2.28</w:t>
            </w:r>
          </w:p>
        </w:tc>
        <w:tc>
          <w:tcPr>
            <w:tcW w:w="960" w:type="dxa"/>
            <w:tcBorders>
              <w:top w:val="nil"/>
              <w:left w:val="nil"/>
              <w:bottom w:val="single" w:sz="3" w:space="0" w:color="000000"/>
              <w:right w:val="single" w:sz="3" w:space="0" w:color="000000"/>
            </w:tcBorders>
            <w:vAlign w:val="bottom"/>
          </w:tcPr>
          <w:p w14:paraId="14AAF75D" w14:textId="77777777" w:rsidR="00165D83" w:rsidRPr="00163E6F" w:rsidRDefault="00165D83">
            <w:pPr>
              <w:autoSpaceDE w:val="0"/>
              <w:autoSpaceDN w:val="0"/>
              <w:adjustRightInd w:val="0"/>
              <w:spacing w:before="60" w:after="60"/>
              <w:jc w:val="right"/>
            </w:pPr>
            <w:r w:rsidRPr="00163E6F">
              <w:rPr>
                <w:sz w:val="22"/>
              </w:rPr>
              <w:t>0.32</w:t>
            </w:r>
          </w:p>
        </w:tc>
        <w:tc>
          <w:tcPr>
            <w:tcW w:w="960" w:type="dxa"/>
            <w:tcBorders>
              <w:top w:val="nil"/>
              <w:left w:val="nil"/>
              <w:bottom w:val="single" w:sz="3" w:space="0" w:color="000000"/>
              <w:right w:val="single" w:sz="3" w:space="0" w:color="000000"/>
            </w:tcBorders>
            <w:vAlign w:val="bottom"/>
          </w:tcPr>
          <w:p w14:paraId="7DE057D0" w14:textId="77777777" w:rsidR="00165D83" w:rsidRPr="00163E6F" w:rsidRDefault="00165D83">
            <w:pPr>
              <w:autoSpaceDE w:val="0"/>
              <w:autoSpaceDN w:val="0"/>
              <w:adjustRightInd w:val="0"/>
              <w:spacing w:before="60" w:after="60"/>
              <w:jc w:val="right"/>
            </w:pPr>
            <w:r w:rsidRPr="00163E6F">
              <w:rPr>
                <w:sz w:val="22"/>
              </w:rPr>
              <w:t>7.04</w:t>
            </w:r>
          </w:p>
        </w:tc>
        <w:tc>
          <w:tcPr>
            <w:tcW w:w="1237" w:type="dxa"/>
            <w:tcBorders>
              <w:top w:val="nil"/>
              <w:left w:val="nil"/>
              <w:bottom w:val="single" w:sz="3" w:space="0" w:color="000000"/>
              <w:right w:val="single" w:sz="3" w:space="0" w:color="000000"/>
            </w:tcBorders>
            <w:vAlign w:val="bottom"/>
          </w:tcPr>
          <w:p w14:paraId="2295CD23" w14:textId="77777777" w:rsidR="00165D83" w:rsidRPr="00163E6F" w:rsidRDefault="00165D83">
            <w:pPr>
              <w:autoSpaceDE w:val="0"/>
              <w:autoSpaceDN w:val="0"/>
              <w:adjustRightInd w:val="0"/>
              <w:spacing w:before="60" w:after="60"/>
              <w:jc w:val="right"/>
            </w:pPr>
            <w:r w:rsidRPr="00163E6F">
              <w:rPr>
                <w:sz w:val="22"/>
              </w:rPr>
              <w:t>191 483</w:t>
            </w:r>
          </w:p>
        </w:tc>
      </w:tr>
    </w:tbl>
    <w:p w14:paraId="4EC97978" w14:textId="77777777" w:rsidR="00165D83" w:rsidRPr="00163E6F" w:rsidRDefault="00165D83" w:rsidP="00165D83">
      <w:pPr>
        <w:autoSpaceDE w:val="0"/>
        <w:autoSpaceDN w:val="0"/>
        <w:adjustRightInd w:val="0"/>
        <w:spacing w:after="120"/>
        <w:jc w:val="left"/>
        <w:rPr>
          <w:szCs w:val="24"/>
          <w:highlight w:val="yellow"/>
        </w:rPr>
      </w:pPr>
    </w:p>
    <w:p w14:paraId="2245DEAA" w14:textId="77777777" w:rsidR="00165D83" w:rsidRPr="00163E6F" w:rsidRDefault="00165D83" w:rsidP="006A01B9">
      <w:pPr>
        <w:pStyle w:val="Heading2"/>
      </w:pPr>
      <w:bookmarkStart w:id="23" w:name="_Toc497573997"/>
      <w:r w:rsidRPr="00163E6F">
        <w:t>Kūdras ieguves un pārstrādes rūpniecības ietekme uz valsts un pašvaldību budžetu</w:t>
      </w:r>
      <w:bookmarkEnd w:id="23"/>
    </w:p>
    <w:p w14:paraId="6D7BF313" w14:textId="77777777" w:rsidR="00165D83" w:rsidRPr="00163E6F" w:rsidRDefault="00165D83" w:rsidP="00165D83">
      <w:pPr>
        <w:autoSpaceDE w:val="0"/>
        <w:autoSpaceDN w:val="0"/>
        <w:adjustRightInd w:val="0"/>
        <w:spacing w:after="120"/>
        <w:ind w:firstLine="720"/>
        <w:rPr>
          <w:szCs w:val="24"/>
        </w:rPr>
      </w:pPr>
      <w:r w:rsidRPr="00163E6F">
        <w:rPr>
          <w:szCs w:val="24"/>
        </w:rPr>
        <w:t>Kūdras ieguves uzņēmumiem maksājamie nodokļi ir Valsts sociālās apdrošināšanas obligātās iemaksas (VSAOI), Iedzīvotāju ienākuma nodoklis (IIN), Uzņēmuma ienākuma nodoklis (UIN), Dabas resursu nodoklis (DRN) un citi nodokļi, kas ir, piemēram, zemes nodoklis, akcīzes nodoklis.</w:t>
      </w:r>
    </w:p>
    <w:p w14:paraId="6934DC65" w14:textId="33D92766" w:rsidR="00165D83" w:rsidRPr="00163E6F" w:rsidRDefault="00165D83" w:rsidP="00531FA6">
      <w:pPr>
        <w:autoSpaceDE w:val="0"/>
        <w:autoSpaceDN w:val="0"/>
        <w:adjustRightInd w:val="0"/>
        <w:spacing w:after="120"/>
        <w:ind w:firstLine="720"/>
        <w:rPr>
          <w:szCs w:val="24"/>
        </w:rPr>
      </w:pPr>
      <w:r w:rsidRPr="00163E6F">
        <w:rPr>
          <w:szCs w:val="24"/>
        </w:rPr>
        <w:t xml:space="preserve">No visiem nodokļiem, ko maksā kūdras ieguvēji, pašvaldību budžetā nonāk IIN daļa un DRN daļa. Pārējie nodokļu </w:t>
      </w:r>
      <w:r w:rsidR="00531FA6">
        <w:rPr>
          <w:szCs w:val="24"/>
        </w:rPr>
        <w:t>maksājumi nonāk valsts budžetā</w:t>
      </w:r>
      <w:r w:rsidRPr="00163E6F">
        <w:rPr>
          <w:szCs w:val="24"/>
        </w:rPr>
        <w:t>.</w:t>
      </w:r>
    </w:p>
    <w:p w14:paraId="62CB421E"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Latvijas Republikas likumā “Par iedzīvotāja ienākuma nodokli” 26. pantā ir noteikts, ka nodokļu iemaksas no iedzīvotāju ienākuma nodokļos tiek ieskaitītas 67% apmērā no kopējās nodokļa summas valsts sociālās apdrošināšanas speciālajā budžetā un 33%  maksātāja deklarētās dzīvesvietas pašvaldības budžetā. </w:t>
      </w:r>
    </w:p>
    <w:p w14:paraId="2AB45C8E" w14:textId="09F2CFFE" w:rsidR="00165D83" w:rsidRPr="00163E6F" w:rsidRDefault="00165D83" w:rsidP="00165D83">
      <w:pPr>
        <w:autoSpaceDE w:val="0"/>
        <w:autoSpaceDN w:val="0"/>
        <w:adjustRightInd w:val="0"/>
        <w:spacing w:after="120"/>
        <w:ind w:firstLine="720"/>
        <w:rPr>
          <w:szCs w:val="24"/>
        </w:rPr>
      </w:pPr>
      <w:r w:rsidRPr="00163E6F">
        <w:rPr>
          <w:szCs w:val="24"/>
        </w:rPr>
        <w:t>Likuma “Par iedzīvotāju ienākuma nodokli” 26.</w:t>
      </w:r>
      <w:r w:rsidR="00531FA6">
        <w:rPr>
          <w:szCs w:val="24"/>
        </w:rPr>
        <w:t xml:space="preserve"> </w:t>
      </w:r>
      <w:r w:rsidRPr="00163E6F">
        <w:rPr>
          <w:szCs w:val="24"/>
        </w:rPr>
        <w:t xml:space="preserve">panta 1.daļā ir noteikts, ka </w:t>
      </w:r>
      <w:r w:rsidRPr="00163E6F">
        <w:rPr>
          <w:szCs w:val="24"/>
          <w:highlight w:val="white"/>
        </w:rPr>
        <w:t>nodokļa summas, no kurām atskaitītas šā likuma </w:t>
      </w:r>
      <w:r w:rsidRPr="00163E6F">
        <w:rPr>
          <w:szCs w:val="24"/>
          <w:highlight w:val="white"/>
          <w:u w:val="single"/>
        </w:rPr>
        <w:t>19.panta</w:t>
      </w:r>
      <w:r w:rsidRPr="00163E6F">
        <w:rPr>
          <w:szCs w:val="24"/>
          <w:highlight w:val="white"/>
        </w:rPr>
        <w:t> ceturtajā daļā minētās summas, tiek ieskaitītas maksātāja deklarētās dzīvesvietas pašvaldības budžetā un valsts pamatbudžetā atbilstoši gadskārtējā valsts budžeta likumā noteiktajam sadalījumam. Likuma “Par valsts budžetu 2017.</w:t>
      </w:r>
      <w:r w:rsidR="00531FA6">
        <w:rPr>
          <w:szCs w:val="24"/>
          <w:highlight w:val="white"/>
        </w:rPr>
        <w:t xml:space="preserve"> </w:t>
      </w:r>
      <w:r w:rsidRPr="00163E6F">
        <w:rPr>
          <w:szCs w:val="24"/>
          <w:highlight w:val="white"/>
        </w:rPr>
        <w:t>gadam” 17.</w:t>
      </w:r>
      <w:r w:rsidR="00531FA6">
        <w:rPr>
          <w:szCs w:val="24"/>
          <w:highlight w:val="white"/>
        </w:rPr>
        <w:t xml:space="preserve"> </w:t>
      </w:r>
      <w:r w:rsidRPr="00163E6F">
        <w:rPr>
          <w:szCs w:val="24"/>
          <w:highlight w:val="white"/>
        </w:rPr>
        <w:t>pants paredz noteikt, ka iedzīvotāju ienākuma nodokļa ieņēmumu sadalījums starp valsts budžetu un pašvaldību budžetiem ir šāds: pašvaldību budžetiem — 80 procentu apmērā un valsts budžetam — 20 procentu apmērā.</w:t>
      </w:r>
    </w:p>
    <w:p w14:paraId="644F7D63" w14:textId="77777777" w:rsidR="00165D83" w:rsidRPr="00163E6F" w:rsidRDefault="00165D83" w:rsidP="00165D83">
      <w:pPr>
        <w:autoSpaceDE w:val="0"/>
        <w:autoSpaceDN w:val="0"/>
        <w:adjustRightInd w:val="0"/>
        <w:spacing w:after="120"/>
        <w:ind w:firstLine="720"/>
        <w:rPr>
          <w:szCs w:val="24"/>
        </w:rPr>
      </w:pPr>
      <w:r w:rsidRPr="00163E6F">
        <w:rPr>
          <w:szCs w:val="24"/>
        </w:rPr>
        <w:t>Savukārt, Dabas resursu nodokļa likuma 28. pantā ir noteikts, ka “nodokļa maksājumus par dabas resursu ieguvi vai izmantošanu vai vides piesārņošanu limitos noteiktajos apmēros ieskaita 40</w:t>
      </w:r>
      <w:r w:rsidR="003F7D08" w:rsidRPr="00163E6F">
        <w:rPr>
          <w:szCs w:val="24"/>
        </w:rPr>
        <w:t> </w:t>
      </w:r>
      <w:r w:rsidRPr="00163E6F">
        <w:rPr>
          <w:szCs w:val="24"/>
        </w:rPr>
        <w:t xml:space="preserve">% valsts pamatbudžetā un 60% tās vietējās pašvaldības vides aizsardzības speciālajā budžetā, kuras teritorijā tiek veikta attiecīgā darbība. Šie pašvaldības vides aizsardzības speciālā budžeta </w:t>
      </w:r>
      <w:r w:rsidRPr="00163E6F">
        <w:rPr>
          <w:szCs w:val="24"/>
        </w:rPr>
        <w:lastRenderedPageBreak/>
        <w:t>līdzekļi un pašvaldības izveidotā vides aizsardzības fonda līdzekļi izmantojami tikai tādu pasākumu un projektu finansēšanai, kuri saistīti ar vides aizsardzību.</w:t>
      </w:r>
    </w:p>
    <w:p w14:paraId="588A3BF2" w14:textId="0699F13B" w:rsidR="00165D83" w:rsidRPr="00163E6F" w:rsidRDefault="00531FA6" w:rsidP="00165D83">
      <w:pPr>
        <w:autoSpaceDE w:val="0"/>
        <w:autoSpaceDN w:val="0"/>
        <w:adjustRightInd w:val="0"/>
        <w:spacing w:after="120"/>
        <w:ind w:firstLine="720"/>
        <w:rPr>
          <w:szCs w:val="24"/>
        </w:rPr>
      </w:pPr>
      <w:r>
        <w:rPr>
          <w:szCs w:val="24"/>
        </w:rPr>
        <w:t>24</w:t>
      </w:r>
      <w:r w:rsidR="00165D83" w:rsidRPr="00F524FA">
        <w:rPr>
          <w:szCs w:val="24"/>
        </w:rPr>
        <w:t>. attēlā</w:t>
      </w:r>
      <w:r w:rsidR="00165D83" w:rsidRPr="00163E6F">
        <w:rPr>
          <w:szCs w:val="24"/>
        </w:rPr>
        <w:t xml:space="preserve"> ir apkopoti kopējie samaksātie nodokļi no kūdras ieguvējiem Latvijā no 2014. līdz 2016. gadam. Vislielāko maksājumu daļu no 2014. līdz 2016. gadam sastāda VSAOI, kas 2015. gadā tas bija vislielākajā apjomā salīdzināmajā periodā - 8.04 milj. EUR apmērā un 2016. gadā samazinājās par 0.76 milj. EUR un bija 7.28 milj. EUR. Pēc šīs informācijas var secināt, ka arī nodarbināto skaits kūdras ieguves jomā 2015. gadā ir bijis lielāks nekā 2014. gadā un 2016. gadā, salīdzinājumā ar 2015. gadu nodarbināto skaits ir samazinājies. </w:t>
      </w:r>
    </w:p>
    <w:p w14:paraId="4A2A8BDB" w14:textId="77777777" w:rsidR="00165D83" w:rsidRPr="00163E6F" w:rsidRDefault="00165D83" w:rsidP="00165D83">
      <w:pPr>
        <w:autoSpaceDE w:val="0"/>
        <w:autoSpaceDN w:val="0"/>
        <w:adjustRightInd w:val="0"/>
        <w:spacing w:after="120"/>
        <w:ind w:firstLine="720"/>
        <w:rPr>
          <w:szCs w:val="24"/>
        </w:rPr>
      </w:pPr>
      <w:r w:rsidRPr="00163E6F">
        <w:rPr>
          <w:szCs w:val="24"/>
        </w:rPr>
        <w:t>VSAOI ieņēmumiem seko ieņēmumi no IIN, kam ir vērojama pakāpeniska pieaugšana laika periodā no 2014. - 2016. gadam – no 3.92 milj. EUR 2014. gadā uz 4.62 milj. EUR 2016. gadā. Pēc šo rādītāju informācijas var secināt, ka vidējais atalgojums kūdras ieguves jomā strādājošajiem ir paaugstinājies laika periodā no 2014. – 2016. gadam.</w:t>
      </w:r>
    </w:p>
    <w:p w14:paraId="5D441B56"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Nodokļu ieņēmumi no uzņēmuma ienākuma nodokļa 2014. gadā bija 1.48 milj. EUR, 2015. gadā bija 2.2 milj. EUR, bet 2016. gadā 2.59 milj. EUR. </w:t>
      </w:r>
    </w:p>
    <w:p w14:paraId="18D996B9" w14:textId="77777777" w:rsidR="00165D83" w:rsidRPr="00163E6F" w:rsidRDefault="00165D83" w:rsidP="00165D83">
      <w:pPr>
        <w:autoSpaceDE w:val="0"/>
        <w:autoSpaceDN w:val="0"/>
        <w:adjustRightInd w:val="0"/>
        <w:spacing w:after="120"/>
        <w:ind w:firstLine="720"/>
        <w:rPr>
          <w:szCs w:val="24"/>
        </w:rPr>
      </w:pPr>
      <w:r w:rsidRPr="00163E6F">
        <w:rPr>
          <w:szCs w:val="24"/>
        </w:rPr>
        <w:t>Pārējie nodokļi, neieskaitot PVN 2014. gadā valsts budžetā tika iemaksāti 0.03 milj. EUR apmērā, 2015. gadā 1.30 milj. EUR apmērā, bet 2016. gadā 0.61 milj. EUR apmērā. Pārējo nodokļu sastāvā tiek iekļauti nekustamā īpašuma nodoklis, akcīzes nodoklis, u.c., kas nav jāmaksā visiem kūdras ieguvējiem.</w:t>
      </w:r>
    </w:p>
    <w:p w14:paraId="6E7800EF" w14:textId="49C5B1C1" w:rsidR="00165D83" w:rsidRPr="00163E6F" w:rsidRDefault="00165D83" w:rsidP="00165D83">
      <w:pPr>
        <w:autoSpaceDE w:val="0"/>
        <w:autoSpaceDN w:val="0"/>
        <w:adjustRightInd w:val="0"/>
        <w:spacing w:after="120"/>
        <w:ind w:firstLine="720"/>
        <w:rPr>
          <w:szCs w:val="24"/>
        </w:rPr>
      </w:pPr>
      <w:r w:rsidRPr="00163E6F">
        <w:rPr>
          <w:szCs w:val="24"/>
        </w:rPr>
        <w:t xml:space="preserve">Dabas resursu nodoklis, ko kūdras ieguvēji ir maksājuši 2014. gadā bija 0.47 milj. EUR, 2015. gadā tas bija 0.58 milj. EUR, 2016. gadā no kūdras ieguves rūpniecības tika iemaksāts par 0.02 milj. EUR mazāk nekā 2015. gadā – 0.40 milj. EUR. No 2014. – 2015. gadam dabas resursu nodokļa likme nav mainījusies, kas ir noteikta 2006. gada „Dabas resursu nodokļa likumā” - 0.55 EUR par iegūto tonnu. Pēc šīs informācijas var secināt, ka šī nodokļa apmaksas izmaiņas ir tieši saistītas ar kūdras ieguves apjoma izmaiņām attiecīgajos gados, kas ir attēlota </w:t>
      </w:r>
      <w:r w:rsidR="00531FA6">
        <w:rPr>
          <w:szCs w:val="24"/>
        </w:rPr>
        <w:t>24</w:t>
      </w:r>
      <w:r w:rsidRPr="00F524FA">
        <w:rPr>
          <w:szCs w:val="24"/>
        </w:rPr>
        <w:t>. attēlā.</w:t>
      </w:r>
    </w:p>
    <w:p w14:paraId="0CC8C6D7" w14:textId="77777777" w:rsidR="00165D83" w:rsidRPr="00163E6F" w:rsidRDefault="00F524FA" w:rsidP="00165D83">
      <w:pPr>
        <w:autoSpaceDE w:val="0"/>
        <w:autoSpaceDN w:val="0"/>
        <w:adjustRightInd w:val="0"/>
        <w:spacing w:after="200"/>
        <w:jc w:val="center"/>
        <w:rPr>
          <w:szCs w:val="24"/>
        </w:rPr>
      </w:pPr>
      <w:r w:rsidRPr="009712CF">
        <w:rPr>
          <w:noProof/>
          <w:szCs w:val="24"/>
          <w:lang w:eastAsia="lv-LV"/>
        </w:rPr>
        <w:drawing>
          <wp:inline distT="0" distB="0" distL="0" distR="0" wp14:anchorId="3579BC33" wp14:editId="1A35B218">
            <wp:extent cx="5524500" cy="2952750"/>
            <wp:effectExtent l="0" t="0" r="0" b="0"/>
            <wp:docPr id="29"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D80DCE2" w14:textId="1DA033DF" w:rsidR="00165D83" w:rsidRPr="00163E6F" w:rsidRDefault="00531FA6" w:rsidP="00165D83">
      <w:pPr>
        <w:tabs>
          <w:tab w:val="left" w:pos="1065"/>
        </w:tabs>
        <w:autoSpaceDE w:val="0"/>
        <w:autoSpaceDN w:val="0"/>
        <w:adjustRightInd w:val="0"/>
        <w:spacing w:after="200"/>
        <w:jc w:val="center"/>
        <w:rPr>
          <w:szCs w:val="24"/>
        </w:rPr>
      </w:pPr>
      <w:r>
        <w:rPr>
          <w:szCs w:val="24"/>
        </w:rPr>
        <w:t>24</w:t>
      </w:r>
      <w:r w:rsidR="00165D83" w:rsidRPr="00F524FA">
        <w:rPr>
          <w:szCs w:val="24"/>
        </w:rPr>
        <w:t>. att.</w:t>
      </w:r>
      <w:r w:rsidR="00165D83" w:rsidRPr="00163E6F">
        <w:rPr>
          <w:szCs w:val="24"/>
        </w:rPr>
        <w:t xml:space="preserve"> Kūdras ieguves rūpniecības samaksātie nodokļi 2014. - 2016. gadam Latvijā, milj. EUR</w:t>
      </w:r>
    </w:p>
    <w:p w14:paraId="23A6751D" w14:textId="6CB470B0" w:rsidR="00165D83" w:rsidRPr="00163E6F" w:rsidRDefault="00165D83" w:rsidP="00165D83">
      <w:pPr>
        <w:autoSpaceDE w:val="0"/>
        <w:autoSpaceDN w:val="0"/>
        <w:adjustRightInd w:val="0"/>
        <w:spacing w:after="120"/>
        <w:ind w:firstLine="720"/>
        <w:rPr>
          <w:szCs w:val="24"/>
        </w:rPr>
      </w:pPr>
      <w:r w:rsidRPr="00163E6F">
        <w:rPr>
          <w:szCs w:val="24"/>
        </w:rPr>
        <w:t xml:space="preserve">No </w:t>
      </w:r>
      <w:r w:rsidR="00531FA6">
        <w:rPr>
          <w:szCs w:val="24"/>
        </w:rPr>
        <w:t>25</w:t>
      </w:r>
      <w:r w:rsidRPr="00F524FA">
        <w:rPr>
          <w:szCs w:val="24"/>
        </w:rPr>
        <w:t>. attēlā</w:t>
      </w:r>
      <w:r w:rsidRPr="00163E6F">
        <w:rPr>
          <w:szCs w:val="24"/>
        </w:rPr>
        <w:t xml:space="preserve"> redzamajiem nodokļiem, iemaksas IIN un DRN tiek sadalītas valsts un pašvaldības budžetos. 4.23. attēlā ir apkopota informācija par IIN un DRN sadalījumu valsts un </w:t>
      </w:r>
      <w:r w:rsidRPr="00163E6F">
        <w:rPr>
          <w:szCs w:val="24"/>
        </w:rPr>
        <w:lastRenderedPageBreak/>
        <w:t>pašvaldību budžetos. 2014. gadā no kūdras ieguvēju samaksātā IIN valsts budžetā nonāca 2.2 milj. EUR, bet pašvaldību budžetā 1.09 milj. EUR, 2015. gadā, salīdzinot ar iepriekšējo gadu šī IIN daļa valsts budžetā pieauga par 0.7 milj. EUR un bija 2.9 milj. EUR, bet pašvaldību budžetā tā pieauga par 0.34 milj. EUR un bija 1.43 milj. EUR. Arī 2016. gadā kūdras ieguvēju samaksātā IIN daļa valstij palielinājās, salīdzinot ar iepriekšējo gadu, par 0.2 milj. EUR un bija 3.1. milj. EUR, bet tā daļa, ko iemaksā pašvaldību budžetā palielinājās par 0.09 milj. EUR un bija 1.52 milj. EUR. Kopumā no IIN lielākā daļa nonāk valsts budžetā, atbilstoši tam kā tas ir paredzēts LR likumā „Par iedzīvotāju ienākuma nodokli”. Kā jau arī iepriekš tika minēts, šis nodokļa ieņēmumu pieaugums ar katru gadu varētu liecināt arī par darba algu pieaugumu kūdras ieguvē strādājošajiem.</w:t>
      </w:r>
    </w:p>
    <w:p w14:paraId="43E7970D" w14:textId="77777777" w:rsidR="00165D83" w:rsidRPr="00163E6F" w:rsidRDefault="00165D83" w:rsidP="00165D83">
      <w:pPr>
        <w:autoSpaceDE w:val="0"/>
        <w:autoSpaceDN w:val="0"/>
        <w:adjustRightInd w:val="0"/>
        <w:spacing w:after="120"/>
        <w:ind w:firstLine="720"/>
        <w:rPr>
          <w:szCs w:val="24"/>
        </w:rPr>
      </w:pPr>
      <w:r w:rsidRPr="00163E6F">
        <w:rPr>
          <w:szCs w:val="24"/>
        </w:rPr>
        <w:t>DRN iemaksas no kūdras ieguvējiem valsts budžetā 2014. gadā bija 0.19 milj. EUR, bet pašvaldību budžetos nonāca 0.28 milj. EUR. 2015. gadā šī nodokļa iemaksas valsts un pašvaldību budžetos bija visaugstākās šajos pētāmajos gados – valsts budžetā 0.23 mij. EUR, kas ir par 0.04 milj. EUR vairāk nekā iepriekšējā gadā un pašvaldību budžetos 0.35 milj. EUR, kas ir par 0.07 milj. EUR vairāk nekā iepriekšējā gadā. 2016. gadā DRN no kūdras ieguvējiem valsts budžetā tika iemaksāts 0.16 milj. EUR apmērā, kas ir par 0.07 milj. EUR mazāk nekā 2015. gadā un pašvaldību budžetā 0.24 milj. EUR apmērā, kas ir par 0.11 milj. EUR mazāk nekā 2015. gadā.</w:t>
      </w:r>
    </w:p>
    <w:p w14:paraId="269AAC6F" w14:textId="77777777" w:rsidR="00165D83" w:rsidRPr="00163E6F" w:rsidRDefault="00165D83" w:rsidP="00165D83">
      <w:pPr>
        <w:autoSpaceDE w:val="0"/>
        <w:autoSpaceDN w:val="0"/>
        <w:adjustRightInd w:val="0"/>
        <w:spacing w:after="120"/>
        <w:rPr>
          <w:szCs w:val="24"/>
        </w:rPr>
      </w:pPr>
    </w:p>
    <w:p w14:paraId="16D5E895" w14:textId="77777777" w:rsidR="00165D83" w:rsidRPr="00163E6F" w:rsidRDefault="00F524FA" w:rsidP="00165D83">
      <w:pPr>
        <w:autoSpaceDE w:val="0"/>
        <w:autoSpaceDN w:val="0"/>
        <w:adjustRightInd w:val="0"/>
        <w:spacing w:after="200"/>
        <w:jc w:val="center"/>
        <w:rPr>
          <w:szCs w:val="24"/>
        </w:rPr>
      </w:pPr>
      <w:r w:rsidRPr="009712CF">
        <w:rPr>
          <w:noProof/>
          <w:szCs w:val="24"/>
          <w:lang w:eastAsia="lv-LV"/>
        </w:rPr>
        <w:drawing>
          <wp:inline distT="0" distB="0" distL="0" distR="0" wp14:anchorId="18FDF3B9" wp14:editId="617BD21A">
            <wp:extent cx="4714875" cy="2647950"/>
            <wp:effectExtent l="0" t="0" r="0" b="0"/>
            <wp:docPr id="30"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7484FD5" w14:textId="6CDD1636" w:rsidR="00165D83" w:rsidRPr="00163E6F" w:rsidRDefault="00531FA6" w:rsidP="00165D83">
      <w:pPr>
        <w:autoSpaceDE w:val="0"/>
        <w:autoSpaceDN w:val="0"/>
        <w:adjustRightInd w:val="0"/>
        <w:spacing w:after="200"/>
        <w:jc w:val="center"/>
        <w:rPr>
          <w:szCs w:val="24"/>
        </w:rPr>
      </w:pPr>
      <w:r>
        <w:rPr>
          <w:szCs w:val="24"/>
        </w:rPr>
        <w:t>25</w:t>
      </w:r>
      <w:r w:rsidR="00165D83" w:rsidRPr="00F524FA">
        <w:rPr>
          <w:szCs w:val="24"/>
        </w:rPr>
        <w:t>.att.</w:t>
      </w:r>
      <w:r w:rsidR="00165D83" w:rsidRPr="00163E6F">
        <w:rPr>
          <w:szCs w:val="24"/>
        </w:rPr>
        <w:t xml:space="preserve"> Kūdras ražotāju samaksātā DRN un IIN sadalījums valsts un pašvaldības budžetos no 2014. -2016. gadam Latvijā, milj. EUR</w:t>
      </w:r>
    </w:p>
    <w:p w14:paraId="1C2B5E98" w14:textId="77777777" w:rsidR="00165D83" w:rsidRPr="00163E6F" w:rsidRDefault="00165D83" w:rsidP="003F7D08">
      <w:pPr>
        <w:autoSpaceDE w:val="0"/>
        <w:autoSpaceDN w:val="0"/>
        <w:adjustRightInd w:val="0"/>
        <w:spacing w:after="120"/>
        <w:ind w:firstLine="709"/>
        <w:rPr>
          <w:szCs w:val="24"/>
        </w:rPr>
      </w:pPr>
      <w:r w:rsidRPr="00163E6F">
        <w:rPr>
          <w:szCs w:val="24"/>
        </w:rPr>
        <w:t>DRN iemaksas valsts un pašvaldību budžetos ir tieši atkarīgas no iegūtā kūdras daudzuma. Šīs svārstības iemaksām valsts un pašvaldības budžetos no 2014. – 2015. gadam ir skaidrojamas ar kūdras ieguves apjomu izmaiņām valstī.</w:t>
      </w:r>
    </w:p>
    <w:p w14:paraId="46D8BA3F" w14:textId="77777777" w:rsidR="00165D83" w:rsidRPr="00163E6F" w:rsidRDefault="00165D83" w:rsidP="00D006B8">
      <w:pPr>
        <w:pStyle w:val="Heading1"/>
      </w:pPr>
      <w:bookmarkStart w:id="24" w:name="_Toc497573998"/>
      <w:r w:rsidRPr="00163E6F">
        <w:lastRenderedPageBreak/>
        <w:t>Kūdras resursu ilgtspējīga izmantošana</w:t>
      </w:r>
      <w:r w:rsidR="002A1A6A" w:rsidRPr="00163E6F">
        <w:rPr>
          <w:rStyle w:val="FootnoteReference"/>
          <w:b w:val="0"/>
          <w:bCs w:val="0"/>
          <w:szCs w:val="24"/>
        </w:rPr>
        <w:footnoteReference w:id="18"/>
      </w:r>
      <w:bookmarkEnd w:id="24"/>
      <w:r w:rsidRPr="00163E6F">
        <w:t xml:space="preserve"> </w:t>
      </w:r>
    </w:p>
    <w:p w14:paraId="036DD23D" w14:textId="77777777" w:rsidR="00D006B8" w:rsidRPr="00163E6F" w:rsidRDefault="00D006B8" w:rsidP="00D006B8">
      <w:pPr>
        <w:pStyle w:val="Heading2"/>
      </w:pPr>
      <w:bookmarkStart w:id="25" w:name="_Toc497573999"/>
      <w:r w:rsidRPr="00163E6F">
        <w:t>Ilgtspējīgas attīstības jēdziens</w:t>
      </w:r>
      <w:bookmarkEnd w:id="25"/>
    </w:p>
    <w:p w14:paraId="27272F5A" w14:textId="77777777" w:rsidR="00165D83" w:rsidRPr="00163E6F" w:rsidRDefault="00165D83" w:rsidP="00165D83">
      <w:pPr>
        <w:autoSpaceDE w:val="0"/>
        <w:autoSpaceDN w:val="0"/>
        <w:adjustRightInd w:val="0"/>
        <w:spacing w:after="120"/>
        <w:ind w:firstLine="720"/>
        <w:rPr>
          <w:szCs w:val="24"/>
        </w:rPr>
      </w:pPr>
      <w:r w:rsidRPr="00163E6F">
        <w:rPr>
          <w:szCs w:val="24"/>
        </w:rPr>
        <w:t>Sabiedrības veselība ir atkarīga no apkārtējās vides stāvokļa un kvalitātes. Bieži rodas konflikti starp vides aizsardzību, sociālajām un ekonomiskajām interesēm. Ilgtspējīga attīstība vienlaikus ir valsts vietējo resursu izmantošana un dabas ilgtspējīga stāvokļa simbioze. Tas lielā mērā saistīts ar dzīves kvalitāti, vienmērīgu nodarbinātību, labu infrastruktūru un Latvijas dabas ainavas saglabāšanu un estētisko pievilcību.</w:t>
      </w:r>
    </w:p>
    <w:p w14:paraId="25504439" w14:textId="77777777" w:rsidR="006D08D1" w:rsidRPr="00163E6F" w:rsidRDefault="00A01E26" w:rsidP="006D08D1">
      <w:pPr>
        <w:autoSpaceDE w:val="0"/>
        <w:autoSpaceDN w:val="0"/>
        <w:adjustRightInd w:val="0"/>
        <w:spacing w:after="120"/>
        <w:ind w:firstLine="720"/>
        <w:rPr>
          <w:szCs w:val="24"/>
        </w:rPr>
      </w:pPr>
      <w:r w:rsidRPr="00163E6F">
        <w:rPr>
          <w:szCs w:val="24"/>
        </w:rPr>
        <w:t xml:space="preserve"> </w:t>
      </w:r>
      <w:r w:rsidR="006D08D1" w:rsidRPr="00163E6F">
        <w:rPr>
          <w:szCs w:val="24"/>
        </w:rPr>
        <w:t xml:space="preserve">Tas nozīmē, ka stingras vides aizsardzības prasības un augsti ekonomiskie rādītāji nav pretrunā, ka ekonomiskā augšupeja nedrīkst degradēt vidi un vienlaikus tiek nodrošināta augsta dzīves kvalitāte. Visas trīs dimensijas ir vienlīdz svarīgas, tās vienlaicīgi mijiedarbojas ilgtspējīgas attīstības nodrošināšanai. Valsts un pašvaldību institūciju uzdevums ir veidot tādu politiku, lai līdzsvarotu šo dimensiju mērķus. </w:t>
      </w:r>
    </w:p>
    <w:p w14:paraId="1355FED9" w14:textId="77777777" w:rsidR="00165D83" w:rsidRPr="00163E6F" w:rsidRDefault="006D08D1" w:rsidP="006D08D1">
      <w:pPr>
        <w:autoSpaceDE w:val="0"/>
        <w:autoSpaceDN w:val="0"/>
        <w:adjustRightInd w:val="0"/>
        <w:spacing w:after="120"/>
        <w:jc w:val="left"/>
        <w:rPr>
          <w:szCs w:val="24"/>
        </w:rPr>
      </w:pPr>
      <w:r w:rsidRPr="00163E6F">
        <w:rPr>
          <w:szCs w:val="24"/>
        </w:rPr>
        <w:t xml:space="preserve"> </w:t>
      </w:r>
      <w:r w:rsidR="00165D83" w:rsidRPr="00163E6F">
        <w:rPr>
          <w:szCs w:val="24"/>
        </w:rPr>
        <w:t>„Ilgtspējīgas politikas pamatā ir šādi principi</w:t>
      </w:r>
      <w:r w:rsidR="00CD5531" w:rsidRPr="00163E6F">
        <w:rPr>
          <w:rStyle w:val="FootnoteReference"/>
          <w:szCs w:val="24"/>
        </w:rPr>
        <w:footnoteReference w:id="19"/>
      </w:r>
      <w:r w:rsidR="00165D83" w:rsidRPr="00163E6F">
        <w:rPr>
          <w:szCs w:val="24"/>
        </w:rPr>
        <w:t xml:space="preserve">: </w:t>
      </w:r>
    </w:p>
    <w:p w14:paraId="651E90E3" w14:textId="77777777" w:rsidR="00165D83" w:rsidRPr="00163E6F" w:rsidRDefault="00165D83" w:rsidP="00000C4D">
      <w:pPr>
        <w:numPr>
          <w:ilvl w:val="0"/>
          <w:numId w:val="1"/>
        </w:numPr>
        <w:autoSpaceDE w:val="0"/>
        <w:autoSpaceDN w:val="0"/>
        <w:adjustRightInd w:val="0"/>
        <w:ind w:left="851" w:hanging="284"/>
        <w:rPr>
          <w:szCs w:val="24"/>
        </w:rPr>
      </w:pPr>
      <w:r w:rsidRPr="00163E6F">
        <w:rPr>
          <w:szCs w:val="24"/>
        </w:rPr>
        <w:t xml:space="preserve">vides kvalitāte – nepieciešamais pamats ilgtspējīgai attīstībai; </w:t>
      </w:r>
    </w:p>
    <w:p w14:paraId="60A94E4C" w14:textId="77777777" w:rsidR="00165D83" w:rsidRPr="00163E6F" w:rsidRDefault="00165D83" w:rsidP="00000C4D">
      <w:pPr>
        <w:numPr>
          <w:ilvl w:val="0"/>
          <w:numId w:val="1"/>
        </w:numPr>
        <w:autoSpaceDE w:val="0"/>
        <w:autoSpaceDN w:val="0"/>
        <w:adjustRightInd w:val="0"/>
        <w:ind w:left="851" w:hanging="284"/>
        <w:rPr>
          <w:szCs w:val="24"/>
        </w:rPr>
      </w:pPr>
      <w:r w:rsidRPr="00163E6F">
        <w:rPr>
          <w:szCs w:val="24"/>
        </w:rPr>
        <w:t xml:space="preserve">ekonomika – līdzeklis, lai sasniegtu ilgtspējīgu attīstību; </w:t>
      </w:r>
    </w:p>
    <w:p w14:paraId="5A2DA0C9" w14:textId="77777777" w:rsidR="00165D83" w:rsidRPr="00163E6F" w:rsidRDefault="00165D83" w:rsidP="00000C4D">
      <w:pPr>
        <w:numPr>
          <w:ilvl w:val="0"/>
          <w:numId w:val="1"/>
        </w:numPr>
        <w:autoSpaceDE w:val="0"/>
        <w:autoSpaceDN w:val="0"/>
        <w:adjustRightInd w:val="0"/>
        <w:ind w:left="851" w:hanging="284"/>
        <w:rPr>
          <w:szCs w:val="24"/>
        </w:rPr>
      </w:pPr>
      <w:r w:rsidRPr="00163E6F">
        <w:rPr>
          <w:szCs w:val="24"/>
        </w:rPr>
        <w:t xml:space="preserve">iedzīvotāju dzīves kvalitāte – ilgtspējīgas attīstības mērķis.” </w:t>
      </w:r>
    </w:p>
    <w:p w14:paraId="237E1D6E" w14:textId="77777777" w:rsidR="00165D83" w:rsidRPr="00163E6F" w:rsidRDefault="00165D83" w:rsidP="00A01E26">
      <w:pPr>
        <w:autoSpaceDE w:val="0"/>
        <w:autoSpaceDN w:val="0"/>
        <w:adjustRightInd w:val="0"/>
        <w:spacing w:after="120"/>
        <w:ind w:firstLine="709"/>
        <w:jc w:val="left"/>
        <w:rPr>
          <w:szCs w:val="24"/>
        </w:rPr>
      </w:pPr>
      <w:r w:rsidRPr="00163E6F">
        <w:rPr>
          <w:szCs w:val="24"/>
        </w:rPr>
        <w:t xml:space="preserve">Citi autori atzīst, kas ilgtspējīga attīstība balstītās uz četrām dimensijām – ekonomika, vide, sabiedrība un labklājība. </w:t>
      </w:r>
    </w:p>
    <w:p w14:paraId="383BD9B5" w14:textId="62771F52" w:rsidR="00D91042" w:rsidRPr="00163E6F" w:rsidRDefault="00D91042" w:rsidP="00D91042">
      <w:pPr>
        <w:autoSpaceDE w:val="0"/>
        <w:autoSpaceDN w:val="0"/>
        <w:adjustRightInd w:val="0"/>
        <w:spacing w:after="120"/>
        <w:ind w:firstLine="562"/>
        <w:rPr>
          <w:szCs w:val="24"/>
        </w:rPr>
      </w:pPr>
      <w:r w:rsidRPr="00163E6F">
        <w:rPr>
          <w:szCs w:val="24"/>
        </w:rPr>
        <w:t>Lai noteiktu vai tautsaimniecība virzās uz ilgtspējīgu attīstību, tā ir jāizvērtē no vairākiem skatu punktiem jeb dimensijām, kas att</w:t>
      </w:r>
      <w:r w:rsidR="00531FA6">
        <w:rPr>
          <w:szCs w:val="24"/>
        </w:rPr>
        <w:t>ēlotas 26</w:t>
      </w:r>
      <w:r w:rsidRPr="00163E6F">
        <w:rPr>
          <w:szCs w:val="24"/>
        </w:rPr>
        <w:t>.attēlā. Ekonomikas dimensija raksturo cilvēku mijiedarbību ar dabu, cilvēku mijiedarbību ar citiem cilvēkiem un cilvēku spēju izmantošanu preču un pakalpojumu ražošanai, lai spētu nodrošināt materiālo bagātību. Ekonomikas dimensija atspoguļo darba ražīgumu un efektivitāti. Vides dimensija atspoguļo ekosistēmas stāvokli un dabas resursu izmantošanu. Sabiedrības dimensija atspoguļo cilvēku sabiedrības veidotās institūcijas, kolektīvus un grupas, kuros uzsvars tiek likts uz kopīgo darbu. Labklājības dimensija ir vērsta uz atsevišķiem indivīdiem un to labsajūtas nodrošināšanu.</w:t>
      </w:r>
    </w:p>
    <w:p w14:paraId="6B1BB8F0" w14:textId="77777777" w:rsidR="00165D83" w:rsidRPr="00163E6F" w:rsidRDefault="00165D83" w:rsidP="00165D83">
      <w:pPr>
        <w:autoSpaceDE w:val="0"/>
        <w:autoSpaceDN w:val="0"/>
        <w:adjustRightInd w:val="0"/>
        <w:spacing w:after="120"/>
        <w:jc w:val="left"/>
        <w:rPr>
          <w:szCs w:val="24"/>
        </w:rPr>
      </w:pPr>
    </w:p>
    <w:p w14:paraId="2192B445" w14:textId="77777777" w:rsidR="00165D83" w:rsidRPr="00163E6F" w:rsidRDefault="00165D83" w:rsidP="00165D83">
      <w:pPr>
        <w:autoSpaceDE w:val="0"/>
        <w:autoSpaceDN w:val="0"/>
        <w:adjustRightInd w:val="0"/>
        <w:spacing w:after="200"/>
        <w:jc w:val="center"/>
        <w:rPr>
          <w:szCs w:val="24"/>
        </w:rPr>
      </w:pPr>
      <w:r w:rsidRPr="00163E6F">
        <w:rPr>
          <w:rFonts w:ascii="Calibri" w:hAnsi="Calibri" w:cs="Calibri"/>
          <w:noProof/>
          <w:sz w:val="22"/>
          <w:lang w:eastAsia="lv-LV"/>
        </w:rPr>
        <w:drawing>
          <wp:inline distT="0" distB="0" distL="0" distR="0" wp14:anchorId="73BF1207" wp14:editId="04238F08">
            <wp:extent cx="2310082" cy="1597397"/>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srcRect/>
                    <a:stretch>
                      <a:fillRect/>
                    </a:stretch>
                  </pic:blipFill>
                  <pic:spPr bwMode="auto">
                    <a:xfrm>
                      <a:off x="0" y="0"/>
                      <a:ext cx="2319106" cy="1603637"/>
                    </a:xfrm>
                    <a:prstGeom prst="rect">
                      <a:avLst/>
                    </a:prstGeom>
                    <a:noFill/>
                    <a:ln w="9525">
                      <a:noFill/>
                      <a:miter lim="800000"/>
                      <a:headEnd/>
                      <a:tailEnd/>
                    </a:ln>
                  </pic:spPr>
                </pic:pic>
              </a:graphicData>
            </a:graphic>
          </wp:inline>
        </w:drawing>
      </w:r>
    </w:p>
    <w:p w14:paraId="141A6FE5" w14:textId="11E5B486" w:rsidR="00165D83" w:rsidRPr="00163E6F" w:rsidRDefault="00531FA6" w:rsidP="00165D83">
      <w:pPr>
        <w:autoSpaceDE w:val="0"/>
        <w:autoSpaceDN w:val="0"/>
        <w:adjustRightInd w:val="0"/>
        <w:spacing w:after="160"/>
        <w:ind w:left="927"/>
        <w:jc w:val="center"/>
        <w:rPr>
          <w:szCs w:val="24"/>
        </w:rPr>
      </w:pPr>
      <w:r>
        <w:rPr>
          <w:szCs w:val="24"/>
        </w:rPr>
        <w:t>26</w:t>
      </w:r>
      <w:r w:rsidR="00165D83" w:rsidRPr="00163E6F">
        <w:rPr>
          <w:szCs w:val="24"/>
        </w:rPr>
        <w:t>.att. Ilgtspējīgas attīstības galvenās dimensijas</w:t>
      </w:r>
    </w:p>
    <w:p w14:paraId="554359D7" w14:textId="77777777" w:rsidR="00165D83" w:rsidRPr="00163E6F" w:rsidRDefault="00D91042" w:rsidP="00076087">
      <w:pPr>
        <w:autoSpaceDE w:val="0"/>
        <w:autoSpaceDN w:val="0"/>
        <w:adjustRightInd w:val="0"/>
        <w:spacing w:after="120"/>
        <w:ind w:firstLine="709"/>
        <w:rPr>
          <w:szCs w:val="24"/>
        </w:rPr>
      </w:pPr>
      <w:r w:rsidRPr="00163E6F">
        <w:rPr>
          <w:szCs w:val="24"/>
        </w:rPr>
        <w:lastRenderedPageBreak/>
        <w:t xml:space="preserve"> </w:t>
      </w:r>
      <w:r w:rsidR="00165D83" w:rsidRPr="00163E6F">
        <w:rPr>
          <w:szCs w:val="24"/>
        </w:rPr>
        <w:t>„Latvijas ilgtspējas stratēģijā 2030” ir izvirzīti četri stratēģiskie principi – jaunrade, tolerance, sadarbība un līdzdalība. Šo izvirzīto principu sasaiste tiek paredzēta arī ar dabas resursu izmantošanu, bioloģiskās daudzveidības saglabāšanu un atjaunojamo energoresursu izmantošanu.</w:t>
      </w:r>
    </w:p>
    <w:p w14:paraId="13DA690C" w14:textId="77777777" w:rsidR="00165D83" w:rsidRPr="00163E6F" w:rsidRDefault="00165D83" w:rsidP="00D006B8">
      <w:pPr>
        <w:pStyle w:val="Heading2"/>
        <w:rPr>
          <w:caps/>
        </w:rPr>
      </w:pPr>
      <w:bookmarkStart w:id="26" w:name="_Toc497574000"/>
      <w:r w:rsidRPr="00163E6F">
        <w:t>Latvijas kūdras</w:t>
      </w:r>
      <w:r w:rsidR="003E70D5" w:rsidRPr="00163E6F">
        <w:t xml:space="preserve"> nozares</w:t>
      </w:r>
      <w:r w:rsidRPr="00163E6F">
        <w:t xml:space="preserve"> ilgtspējas galvenie virzieni</w:t>
      </w:r>
      <w:bookmarkEnd w:id="26"/>
    </w:p>
    <w:p w14:paraId="3CFC9FF7" w14:textId="2CB2B20A" w:rsidR="00165D83" w:rsidRPr="00163E6F" w:rsidRDefault="00076087" w:rsidP="00076087">
      <w:pPr>
        <w:autoSpaceDE w:val="0"/>
        <w:autoSpaceDN w:val="0"/>
        <w:adjustRightInd w:val="0"/>
        <w:spacing w:after="200"/>
        <w:ind w:firstLine="709"/>
        <w:rPr>
          <w:szCs w:val="24"/>
        </w:rPr>
      </w:pPr>
      <w:r w:rsidRPr="00163E6F">
        <w:rPr>
          <w:szCs w:val="24"/>
        </w:rPr>
        <w:t>Tālāk seko identificēto kūdras</w:t>
      </w:r>
      <w:r w:rsidR="003E70D5" w:rsidRPr="00163E6F">
        <w:rPr>
          <w:szCs w:val="24"/>
        </w:rPr>
        <w:t xml:space="preserve"> nozares</w:t>
      </w:r>
      <w:r w:rsidRPr="00163E6F">
        <w:rPr>
          <w:szCs w:val="24"/>
        </w:rPr>
        <w:t xml:space="preserve"> ilgtspējas galveno virzienu īss izklāsts</w:t>
      </w:r>
      <w:r w:rsidR="00165D83" w:rsidRPr="00163E6F">
        <w:rPr>
          <w:szCs w:val="24"/>
        </w:rPr>
        <w:t>, kuru</w:t>
      </w:r>
      <w:r w:rsidRPr="00163E6F">
        <w:rPr>
          <w:szCs w:val="24"/>
        </w:rPr>
        <w:t>s</w:t>
      </w:r>
      <w:r w:rsidR="00165D83" w:rsidRPr="00163E6F">
        <w:rPr>
          <w:szCs w:val="24"/>
        </w:rPr>
        <w:t xml:space="preserve"> ir vērts apspriest un attīstīt. Priekšnosacījums ir visu ieinteresēto pušu aktīva iesaistīšanās, neieinteresēto pušu ie</w:t>
      </w:r>
      <w:r w:rsidR="00531FA6">
        <w:rPr>
          <w:szCs w:val="24"/>
        </w:rPr>
        <w:t>interesēšana</w:t>
      </w:r>
      <w:r w:rsidR="00165D83" w:rsidRPr="00163E6F">
        <w:rPr>
          <w:szCs w:val="24"/>
        </w:rPr>
        <w:t>.</w:t>
      </w:r>
    </w:p>
    <w:p w14:paraId="42919FD2" w14:textId="77777777" w:rsidR="00F32ADB" w:rsidRPr="00163E6F" w:rsidRDefault="00F32ADB" w:rsidP="00F32ADB">
      <w:pPr>
        <w:autoSpaceDE w:val="0"/>
        <w:autoSpaceDN w:val="0"/>
        <w:adjustRightInd w:val="0"/>
        <w:spacing w:before="120"/>
        <w:jc w:val="right"/>
        <w:rPr>
          <w:bCs/>
          <w:szCs w:val="24"/>
        </w:rPr>
      </w:pPr>
      <w:r w:rsidRPr="00163E6F">
        <w:rPr>
          <w:bCs/>
          <w:szCs w:val="24"/>
        </w:rPr>
        <w:t>5.tabula</w:t>
      </w:r>
    </w:p>
    <w:p w14:paraId="67AD1401" w14:textId="77777777" w:rsidR="00165D83" w:rsidRPr="00163E6F" w:rsidRDefault="00165D83" w:rsidP="00165D83">
      <w:pPr>
        <w:autoSpaceDE w:val="0"/>
        <w:autoSpaceDN w:val="0"/>
        <w:adjustRightInd w:val="0"/>
        <w:spacing w:before="120" w:after="200"/>
        <w:jc w:val="center"/>
        <w:rPr>
          <w:b/>
          <w:bCs/>
          <w:caps/>
          <w:szCs w:val="24"/>
        </w:rPr>
      </w:pPr>
      <w:r w:rsidRPr="00163E6F">
        <w:rPr>
          <w:b/>
          <w:bCs/>
          <w:szCs w:val="24"/>
        </w:rPr>
        <w:t xml:space="preserve">Identificētie kūdras ilgtspējas galvenie virzieni </w:t>
      </w:r>
    </w:p>
    <w:tbl>
      <w:tblPr>
        <w:tblW w:w="0" w:type="auto"/>
        <w:tblInd w:w="108" w:type="dxa"/>
        <w:tblLayout w:type="fixed"/>
        <w:tblLook w:val="0000" w:firstRow="0" w:lastRow="0" w:firstColumn="0" w:lastColumn="0" w:noHBand="0" w:noVBand="0"/>
      </w:tblPr>
      <w:tblGrid>
        <w:gridCol w:w="2323"/>
        <w:gridCol w:w="4716"/>
        <w:gridCol w:w="2356"/>
      </w:tblGrid>
      <w:tr w:rsidR="00DA4B8C" w:rsidRPr="00163E6F" w14:paraId="02D01A05"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65BAD2DF" w14:textId="77777777" w:rsidR="00DA4B8C" w:rsidRPr="00163E6F" w:rsidRDefault="00DA4B8C" w:rsidP="005A0EE5">
            <w:pPr>
              <w:autoSpaceDE w:val="0"/>
              <w:autoSpaceDN w:val="0"/>
              <w:adjustRightInd w:val="0"/>
              <w:jc w:val="center"/>
              <w:rPr>
                <w:rFonts w:ascii="Calibri" w:hAnsi="Calibri" w:cs="Calibri"/>
              </w:rPr>
            </w:pPr>
            <w:r w:rsidRPr="00163E6F">
              <w:rPr>
                <w:b/>
                <w:bCs/>
                <w:szCs w:val="24"/>
              </w:rPr>
              <w:t>Stratēģijas segmenti</w:t>
            </w:r>
          </w:p>
        </w:tc>
        <w:tc>
          <w:tcPr>
            <w:tcW w:w="4716" w:type="dxa"/>
            <w:tcBorders>
              <w:top w:val="single" w:sz="3" w:space="0" w:color="000000"/>
              <w:left w:val="single" w:sz="3" w:space="0" w:color="000000"/>
              <w:bottom w:val="single" w:sz="3" w:space="0" w:color="000000"/>
              <w:right w:val="single" w:sz="3" w:space="0" w:color="000000"/>
            </w:tcBorders>
            <w:vAlign w:val="center"/>
          </w:tcPr>
          <w:p w14:paraId="4B38A0AF" w14:textId="77777777" w:rsidR="00DA4B8C" w:rsidRPr="00163E6F" w:rsidRDefault="00DA4B8C" w:rsidP="005A0EE5">
            <w:pPr>
              <w:autoSpaceDE w:val="0"/>
              <w:autoSpaceDN w:val="0"/>
              <w:adjustRightInd w:val="0"/>
              <w:jc w:val="center"/>
              <w:rPr>
                <w:rFonts w:ascii="Calibri" w:hAnsi="Calibri" w:cs="Calibri"/>
              </w:rPr>
            </w:pPr>
            <w:r w:rsidRPr="00163E6F">
              <w:rPr>
                <w:b/>
                <w:bCs/>
                <w:szCs w:val="24"/>
              </w:rPr>
              <w:t>Īss uzdevumu izklāsts</w:t>
            </w:r>
          </w:p>
        </w:tc>
        <w:tc>
          <w:tcPr>
            <w:tcW w:w="2356" w:type="dxa"/>
            <w:tcBorders>
              <w:top w:val="single" w:sz="3" w:space="0" w:color="000000"/>
              <w:left w:val="single" w:sz="3" w:space="0" w:color="000000"/>
              <w:bottom w:val="single" w:sz="3" w:space="0" w:color="000000"/>
              <w:right w:val="single" w:sz="3" w:space="0" w:color="000000"/>
            </w:tcBorders>
            <w:vAlign w:val="center"/>
          </w:tcPr>
          <w:p w14:paraId="56793416" w14:textId="77777777" w:rsidR="00DA4B8C" w:rsidRPr="00163E6F" w:rsidRDefault="00DA4B8C" w:rsidP="005A0EE5">
            <w:pPr>
              <w:autoSpaceDE w:val="0"/>
              <w:autoSpaceDN w:val="0"/>
              <w:adjustRightInd w:val="0"/>
              <w:jc w:val="center"/>
              <w:rPr>
                <w:rFonts w:ascii="Calibri" w:hAnsi="Calibri" w:cs="Calibri"/>
              </w:rPr>
            </w:pPr>
            <w:r w:rsidRPr="00163E6F">
              <w:rPr>
                <w:b/>
                <w:bCs/>
                <w:szCs w:val="24"/>
              </w:rPr>
              <w:t>Iesaistītās un atbildīgās puses</w:t>
            </w:r>
          </w:p>
        </w:tc>
      </w:tr>
      <w:tr w:rsidR="00DA4B8C" w:rsidRPr="00163E6F" w14:paraId="50C7FAD4"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0482E61F" w14:textId="77777777" w:rsidR="00DA4B8C" w:rsidRPr="00163E6F" w:rsidRDefault="00DA4B8C" w:rsidP="005A0EE5">
            <w:pPr>
              <w:autoSpaceDE w:val="0"/>
              <w:autoSpaceDN w:val="0"/>
              <w:adjustRightInd w:val="0"/>
              <w:jc w:val="left"/>
              <w:rPr>
                <w:rFonts w:ascii="Calibri" w:hAnsi="Calibri" w:cs="Calibri"/>
              </w:rPr>
            </w:pPr>
            <w:r w:rsidRPr="00163E6F">
              <w:rPr>
                <w:szCs w:val="24"/>
              </w:rPr>
              <w:t>Labas pārvaldības un informācijas nodrošināšana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2CC2DE80" w14:textId="77777777" w:rsidR="00DA4B8C" w:rsidRPr="00163E6F" w:rsidRDefault="00DA4B8C" w:rsidP="005A0EE5">
            <w:pPr>
              <w:autoSpaceDE w:val="0"/>
              <w:autoSpaceDN w:val="0"/>
              <w:adjustRightInd w:val="0"/>
              <w:ind w:left="-10" w:firstLine="10"/>
              <w:jc w:val="left"/>
              <w:rPr>
                <w:szCs w:val="24"/>
              </w:rPr>
            </w:pPr>
            <w:r w:rsidRPr="00163E6F">
              <w:rPr>
                <w:szCs w:val="24"/>
              </w:rPr>
              <w:t>Tiesiskā regulējuma pilnveidošana, atklāta lēmumu pieņemšana.</w:t>
            </w:r>
          </w:p>
          <w:p w14:paraId="4ADE978E" w14:textId="77777777" w:rsidR="00DA4B8C" w:rsidRPr="00163E6F" w:rsidRDefault="00DA4B8C" w:rsidP="005A0EE5">
            <w:pPr>
              <w:autoSpaceDE w:val="0"/>
              <w:autoSpaceDN w:val="0"/>
              <w:adjustRightInd w:val="0"/>
              <w:ind w:left="-10" w:firstLine="10"/>
              <w:jc w:val="left"/>
              <w:rPr>
                <w:rFonts w:ascii="Calibri" w:hAnsi="Calibri" w:cs="Calibri"/>
              </w:rPr>
            </w:pPr>
            <w:r w:rsidRPr="00163E6F">
              <w:rPr>
                <w:szCs w:val="24"/>
              </w:rPr>
              <w:t>Vienota informācijas sistēmas veidošana (daudzums, kvalitāte, izmantošanas perspektīva, bioloģiskā daudzveidība, tehnoloģiskās iespējas)</w:t>
            </w:r>
          </w:p>
        </w:tc>
        <w:tc>
          <w:tcPr>
            <w:tcW w:w="2356" w:type="dxa"/>
            <w:tcBorders>
              <w:top w:val="single" w:sz="3" w:space="0" w:color="000000"/>
              <w:left w:val="single" w:sz="3" w:space="0" w:color="000000"/>
              <w:bottom w:val="single" w:sz="3" w:space="0" w:color="000000"/>
              <w:right w:val="single" w:sz="3" w:space="0" w:color="000000"/>
            </w:tcBorders>
            <w:vAlign w:val="center"/>
          </w:tcPr>
          <w:p w14:paraId="58690A96" w14:textId="77777777" w:rsidR="00DA4B8C" w:rsidRPr="00163E6F" w:rsidRDefault="00DA4B8C" w:rsidP="005A0EE5">
            <w:pPr>
              <w:autoSpaceDE w:val="0"/>
              <w:autoSpaceDN w:val="0"/>
              <w:adjustRightInd w:val="0"/>
              <w:ind w:left="-10" w:firstLine="10"/>
              <w:jc w:val="left"/>
              <w:rPr>
                <w:rFonts w:ascii="Calibri" w:hAnsi="Calibri" w:cs="Calibri"/>
              </w:rPr>
            </w:pPr>
            <w:r w:rsidRPr="00163E6F">
              <w:rPr>
                <w:szCs w:val="24"/>
              </w:rPr>
              <w:t>VARAM, VVD, LVĢMC, LLU,LU, RTU, LKA</w:t>
            </w:r>
          </w:p>
        </w:tc>
      </w:tr>
      <w:tr w:rsidR="00DA4B8C" w:rsidRPr="00163E6F" w14:paraId="0283173C"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22EE64CB" w14:textId="77777777" w:rsidR="00DA4B8C" w:rsidRPr="00163E6F" w:rsidRDefault="00DA4B8C" w:rsidP="005A0EE5">
            <w:pPr>
              <w:autoSpaceDE w:val="0"/>
              <w:autoSpaceDN w:val="0"/>
              <w:adjustRightInd w:val="0"/>
              <w:jc w:val="left"/>
              <w:rPr>
                <w:rFonts w:ascii="Calibri" w:hAnsi="Calibri" w:cs="Calibri"/>
              </w:rPr>
            </w:pPr>
            <w:r w:rsidRPr="00163E6F">
              <w:rPr>
                <w:szCs w:val="24"/>
              </w:rPr>
              <w:t>Bioloģiskās daudzveidības nodrošināšana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2E9D880E" w14:textId="77777777" w:rsidR="00DA4B8C" w:rsidRPr="00163E6F" w:rsidRDefault="00DA4B8C" w:rsidP="005A0EE5">
            <w:pPr>
              <w:autoSpaceDE w:val="0"/>
              <w:autoSpaceDN w:val="0"/>
              <w:adjustRightInd w:val="0"/>
              <w:jc w:val="left"/>
              <w:rPr>
                <w:rFonts w:ascii="Calibri" w:hAnsi="Calibri" w:cs="Calibri"/>
              </w:rPr>
            </w:pPr>
            <w:r w:rsidRPr="00163E6F">
              <w:rPr>
                <w:szCs w:val="24"/>
              </w:rPr>
              <w:t>Bioloģiskās daudzveidības nodrošināšana, uzturēšana (tiesiskais regulējums, uzraudzība, pētniecība)</w:t>
            </w:r>
          </w:p>
        </w:tc>
        <w:tc>
          <w:tcPr>
            <w:tcW w:w="2356" w:type="dxa"/>
            <w:tcBorders>
              <w:top w:val="single" w:sz="3" w:space="0" w:color="000000"/>
              <w:left w:val="single" w:sz="3" w:space="0" w:color="000000"/>
              <w:bottom w:val="single" w:sz="3" w:space="0" w:color="000000"/>
              <w:right w:val="single" w:sz="3" w:space="0" w:color="000000"/>
            </w:tcBorders>
            <w:vAlign w:val="center"/>
          </w:tcPr>
          <w:p w14:paraId="6C793F6D" w14:textId="77777777" w:rsidR="00DA4B8C" w:rsidRPr="00163E6F" w:rsidRDefault="00DA4B8C" w:rsidP="005A0EE5">
            <w:pPr>
              <w:autoSpaceDE w:val="0"/>
              <w:autoSpaceDN w:val="0"/>
              <w:adjustRightInd w:val="0"/>
              <w:jc w:val="left"/>
              <w:rPr>
                <w:rFonts w:ascii="Calibri" w:hAnsi="Calibri" w:cs="Calibri"/>
              </w:rPr>
            </w:pPr>
            <w:r w:rsidRPr="00163E6F">
              <w:rPr>
                <w:szCs w:val="24"/>
              </w:rPr>
              <w:t>LLU, LU, DU, VVD, DAP</w:t>
            </w:r>
          </w:p>
        </w:tc>
      </w:tr>
      <w:tr w:rsidR="00DA4B8C" w:rsidRPr="00163E6F" w14:paraId="1EB32C62"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7A1F1C27" w14:textId="77777777" w:rsidR="00DA4B8C" w:rsidRPr="00163E6F" w:rsidRDefault="00DA4B8C" w:rsidP="005A0EE5">
            <w:pPr>
              <w:autoSpaceDE w:val="0"/>
              <w:autoSpaceDN w:val="0"/>
              <w:adjustRightInd w:val="0"/>
              <w:jc w:val="left"/>
              <w:rPr>
                <w:szCs w:val="24"/>
              </w:rPr>
            </w:pPr>
            <w:r>
              <w:rPr>
                <w:szCs w:val="24"/>
              </w:rPr>
              <w:t>Oglekļa krātuves uzturēšana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16880FB1" w14:textId="77777777" w:rsidR="00DA4B8C" w:rsidRPr="00163E6F" w:rsidRDefault="00DA4B8C" w:rsidP="005A0EE5">
            <w:pPr>
              <w:autoSpaceDE w:val="0"/>
              <w:autoSpaceDN w:val="0"/>
              <w:adjustRightInd w:val="0"/>
              <w:jc w:val="left"/>
              <w:rPr>
                <w:szCs w:val="24"/>
              </w:rPr>
            </w:pPr>
            <w:r>
              <w:rPr>
                <w:szCs w:val="24"/>
              </w:rPr>
              <w:t>Oglekļa krātuves saglabāšana līdzsvarojot vides, sociālās un ekonomiskās vajadzības</w:t>
            </w:r>
          </w:p>
        </w:tc>
        <w:tc>
          <w:tcPr>
            <w:tcW w:w="2356" w:type="dxa"/>
            <w:tcBorders>
              <w:top w:val="single" w:sz="3" w:space="0" w:color="000000"/>
              <w:left w:val="single" w:sz="3" w:space="0" w:color="000000"/>
              <w:bottom w:val="single" w:sz="3" w:space="0" w:color="000000"/>
              <w:right w:val="single" w:sz="3" w:space="0" w:color="000000"/>
            </w:tcBorders>
            <w:vAlign w:val="center"/>
          </w:tcPr>
          <w:p w14:paraId="7CCEA594" w14:textId="08212BC8" w:rsidR="00DA4B8C" w:rsidRPr="00163E6F" w:rsidRDefault="00DA4B8C" w:rsidP="005A0EE5">
            <w:pPr>
              <w:autoSpaceDE w:val="0"/>
              <w:autoSpaceDN w:val="0"/>
              <w:adjustRightInd w:val="0"/>
              <w:jc w:val="left"/>
              <w:rPr>
                <w:szCs w:val="24"/>
              </w:rPr>
            </w:pPr>
            <w:r>
              <w:rPr>
                <w:szCs w:val="24"/>
              </w:rPr>
              <w:t>VARAM, LLU, LVMI „Silava”</w:t>
            </w:r>
          </w:p>
        </w:tc>
      </w:tr>
      <w:tr w:rsidR="00DA4B8C" w:rsidRPr="00163E6F" w14:paraId="7F7CF637"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5ABA6A9D" w14:textId="77777777" w:rsidR="00DA4B8C" w:rsidRPr="00163E6F" w:rsidRDefault="00DA4B8C" w:rsidP="005A0EE5">
            <w:pPr>
              <w:autoSpaceDE w:val="0"/>
              <w:autoSpaceDN w:val="0"/>
              <w:adjustRightInd w:val="0"/>
              <w:jc w:val="left"/>
              <w:rPr>
                <w:rFonts w:ascii="Calibri" w:hAnsi="Calibri" w:cs="Calibri"/>
              </w:rPr>
            </w:pPr>
            <w:r w:rsidRPr="00163E6F">
              <w:rPr>
                <w:szCs w:val="24"/>
              </w:rPr>
              <w:t xml:space="preserve">Hidroloģiskā režīma un ūdens kvalitātes nodrošināšana </w:t>
            </w:r>
          </w:p>
        </w:tc>
        <w:tc>
          <w:tcPr>
            <w:tcW w:w="4716" w:type="dxa"/>
            <w:tcBorders>
              <w:top w:val="single" w:sz="3" w:space="0" w:color="000000"/>
              <w:left w:val="single" w:sz="3" w:space="0" w:color="000000"/>
              <w:bottom w:val="single" w:sz="3" w:space="0" w:color="000000"/>
              <w:right w:val="single" w:sz="3" w:space="0" w:color="000000"/>
            </w:tcBorders>
            <w:vAlign w:val="center"/>
          </w:tcPr>
          <w:p w14:paraId="3C990006" w14:textId="77777777" w:rsidR="00DA4B8C" w:rsidRPr="00163E6F" w:rsidRDefault="00DA4B8C" w:rsidP="005A0EE5">
            <w:pPr>
              <w:autoSpaceDE w:val="0"/>
              <w:autoSpaceDN w:val="0"/>
              <w:adjustRightInd w:val="0"/>
              <w:jc w:val="left"/>
              <w:rPr>
                <w:rFonts w:ascii="Calibri" w:hAnsi="Calibri" w:cs="Calibri"/>
              </w:rPr>
            </w:pPr>
            <w:r w:rsidRPr="00163E6F">
              <w:rPr>
                <w:szCs w:val="24"/>
              </w:rPr>
              <w:t>Hidroloģiskais režīms, ūdens kvalitāte – lokālā klimata izmaiņas</w:t>
            </w:r>
          </w:p>
        </w:tc>
        <w:tc>
          <w:tcPr>
            <w:tcW w:w="2356" w:type="dxa"/>
            <w:tcBorders>
              <w:top w:val="single" w:sz="3" w:space="0" w:color="000000"/>
              <w:left w:val="single" w:sz="3" w:space="0" w:color="000000"/>
              <w:bottom w:val="single" w:sz="3" w:space="0" w:color="000000"/>
              <w:right w:val="single" w:sz="3" w:space="0" w:color="000000"/>
            </w:tcBorders>
            <w:vAlign w:val="center"/>
          </w:tcPr>
          <w:p w14:paraId="54A2AABD" w14:textId="77777777" w:rsidR="00DA4B8C" w:rsidRPr="00163E6F" w:rsidRDefault="00DA4B8C" w:rsidP="005A0EE5">
            <w:pPr>
              <w:autoSpaceDE w:val="0"/>
              <w:autoSpaceDN w:val="0"/>
              <w:adjustRightInd w:val="0"/>
              <w:jc w:val="left"/>
              <w:rPr>
                <w:rFonts w:ascii="Calibri" w:hAnsi="Calibri" w:cs="Calibri"/>
              </w:rPr>
            </w:pPr>
            <w:r w:rsidRPr="00163E6F">
              <w:rPr>
                <w:szCs w:val="24"/>
              </w:rPr>
              <w:t>VARAM, LLU, LU, VVD,</w:t>
            </w:r>
          </w:p>
        </w:tc>
      </w:tr>
      <w:tr w:rsidR="00DA4B8C" w:rsidRPr="00163E6F" w14:paraId="2248760B"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77FE88D9" w14:textId="77777777" w:rsidR="00DA4B8C" w:rsidRPr="00163E6F" w:rsidRDefault="00DA4B8C" w:rsidP="005A0EE5">
            <w:pPr>
              <w:autoSpaceDE w:val="0"/>
              <w:autoSpaceDN w:val="0"/>
              <w:adjustRightInd w:val="0"/>
              <w:jc w:val="left"/>
              <w:rPr>
                <w:rFonts w:ascii="Calibri" w:hAnsi="Calibri" w:cs="Calibri"/>
              </w:rPr>
            </w:pPr>
            <w:r w:rsidRPr="00163E6F">
              <w:rPr>
                <w:szCs w:val="24"/>
              </w:rPr>
              <w:t>Izglītības, zinātniskās darbības nodrošināšana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7AD4EA2F" w14:textId="77777777" w:rsidR="00DA4B8C" w:rsidRPr="00163E6F" w:rsidRDefault="00DA4B8C" w:rsidP="005A0EE5">
            <w:pPr>
              <w:autoSpaceDE w:val="0"/>
              <w:autoSpaceDN w:val="0"/>
              <w:adjustRightInd w:val="0"/>
              <w:jc w:val="left"/>
              <w:rPr>
                <w:rFonts w:ascii="Calibri" w:hAnsi="Calibri" w:cs="Calibri"/>
              </w:rPr>
            </w:pPr>
            <w:r w:rsidRPr="00163E6F">
              <w:rPr>
                <w:szCs w:val="24"/>
              </w:rPr>
              <w:t>Sabiedrības izglītošana, speciālistu sagatavošana</w:t>
            </w:r>
          </w:p>
        </w:tc>
        <w:tc>
          <w:tcPr>
            <w:tcW w:w="2356" w:type="dxa"/>
            <w:tcBorders>
              <w:top w:val="single" w:sz="3" w:space="0" w:color="000000"/>
              <w:left w:val="single" w:sz="3" w:space="0" w:color="000000"/>
              <w:bottom w:val="single" w:sz="3" w:space="0" w:color="000000"/>
              <w:right w:val="single" w:sz="3" w:space="0" w:color="000000"/>
            </w:tcBorders>
            <w:vAlign w:val="center"/>
          </w:tcPr>
          <w:p w14:paraId="552908EE" w14:textId="77777777" w:rsidR="00DA4B8C" w:rsidRPr="00163E6F" w:rsidRDefault="00DA4B8C" w:rsidP="005A0EE5">
            <w:pPr>
              <w:autoSpaceDE w:val="0"/>
              <w:autoSpaceDN w:val="0"/>
              <w:adjustRightInd w:val="0"/>
              <w:jc w:val="left"/>
              <w:rPr>
                <w:rFonts w:ascii="Calibri" w:hAnsi="Calibri" w:cs="Calibri"/>
              </w:rPr>
            </w:pPr>
            <w:r w:rsidRPr="00163E6F">
              <w:rPr>
                <w:szCs w:val="24"/>
              </w:rPr>
              <w:t>IZM, LLU, LU, DU, VARAM, LKA</w:t>
            </w:r>
          </w:p>
        </w:tc>
      </w:tr>
      <w:tr w:rsidR="00DA4B8C" w:rsidRPr="00163E6F" w14:paraId="06D51289"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50E546D5" w14:textId="77777777" w:rsidR="00DA4B8C" w:rsidRPr="00163E6F" w:rsidRDefault="00DA4B8C" w:rsidP="005A0EE5">
            <w:pPr>
              <w:autoSpaceDE w:val="0"/>
              <w:autoSpaceDN w:val="0"/>
              <w:adjustRightInd w:val="0"/>
              <w:jc w:val="left"/>
              <w:rPr>
                <w:rFonts w:ascii="Calibri" w:hAnsi="Calibri" w:cs="Calibri"/>
              </w:rPr>
            </w:pPr>
            <w:r w:rsidRPr="00163E6F">
              <w:rPr>
                <w:szCs w:val="24"/>
              </w:rPr>
              <w:t>Ekonomisko aktivitāšu nodrošināšana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06DB341F" w14:textId="12F68159" w:rsidR="00DA4B8C" w:rsidRPr="00163E6F" w:rsidRDefault="00DA4B8C" w:rsidP="005A0EE5">
            <w:pPr>
              <w:autoSpaceDE w:val="0"/>
              <w:autoSpaceDN w:val="0"/>
              <w:adjustRightInd w:val="0"/>
              <w:jc w:val="left"/>
              <w:rPr>
                <w:rFonts w:ascii="Calibri" w:hAnsi="Calibri" w:cs="Calibri"/>
              </w:rPr>
            </w:pPr>
            <w:r w:rsidRPr="00163E6F">
              <w:rPr>
                <w:szCs w:val="24"/>
              </w:rPr>
              <w:t>Kūdras izmantošanas, ieguve, pārstrādes un patēriņa (vietējais patēriņš, eksports) nodrošināšana</w:t>
            </w:r>
            <w:r>
              <w:rPr>
                <w:szCs w:val="24"/>
              </w:rPr>
              <w:t>, ņemot vērā vides aizsardzības un klimata pārmaiņu politikas regulējumu</w:t>
            </w:r>
            <w:r w:rsidRPr="00163E6F">
              <w:rPr>
                <w:szCs w:val="24"/>
              </w:rPr>
              <w:t xml:space="preserve">. </w:t>
            </w:r>
            <w:r w:rsidRPr="00163E6F">
              <w:rPr>
                <w:i/>
                <w:iCs/>
                <w:szCs w:val="24"/>
              </w:rPr>
              <w:t>Pamatnosacījums – augstas tehnoloģiskās iedarbe</w:t>
            </w:r>
            <w:r w:rsidR="00FA4341">
              <w:rPr>
                <w:i/>
                <w:iCs/>
                <w:szCs w:val="24"/>
              </w:rPr>
              <w:t>s (augstas pievienotās vērtības</w:t>
            </w:r>
            <w:r w:rsidRPr="00163E6F">
              <w:rPr>
                <w:i/>
                <w:iCs/>
                <w:szCs w:val="24"/>
              </w:rPr>
              <w:t>)</w:t>
            </w:r>
            <w:r w:rsidR="00FA4341">
              <w:rPr>
                <w:i/>
                <w:iCs/>
                <w:szCs w:val="24"/>
              </w:rPr>
              <w:t xml:space="preserve"> </w:t>
            </w:r>
            <w:r w:rsidRPr="00163E6F">
              <w:rPr>
                <w:i/>
                <w:iCs/>
                <w:szCs w:val="24"/>
              </w:rPr>
              <w:t>nodrošināšana</w:t>
            </w:r>
          </w:p>
        </w:tc>
        <w:tc>
          <w:tcPr>
            <w:tcW w:w="2356" w:type="dxa"/>
            <w:tcBorders>
              <w:top w:val="single" w:sz="3" w:space="0" w:color="000000"/>
              <w:left w:val="single" w:sz="3" w:space="0" w:color="000000"/>
              <w:bottom w:val="single" w:sz="3" w:space="0" w:color="000000"/>
              <w:right w:val="single" w:sz="3" w:space="0" w:color="000000"/>
            </w:tcBorders>
            <w:vAlign w:val="center"/>
          </w:tcPr>
          <w:p w14:paraId="226B3B77" w14:textId="77777777" w:rsidR="00DA4B8C" w:rsidRPr="00163E6F" w:rsidRDefault="00DA4B8C" w:rsidP="005A0EE5">
            <w:pPr>
              <w:autoSpaceDE w:val="0"/>
              <w:autoSpaceDN w:val="0"/>
              <w:adjustRightInd w:val="0"/>
              <w:jc w:val="left"/>
              <w:rPr>
                <w:rFonts w:ascii="Calibri" w:hAnsi="Calibri" w:cs="Calibri"/>
              </w:rPr>
            </w:pPr>
            <w:r w:rsidRPr="00163E6F">
              <w:rPr>
                <w:szCs w:val="24"/>
              </w:rPr>
              <w:t>VARAM, EM, FM, LKA</w:t>
            </w:r>
          </w:p>
        </w:tc>
      </w:tr>
      <w:tr w:rsidR="00DA4B8C" w:rsidRPr="00163E6F" w14:paraId="71E98A91"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3734BE21" w14:textId="77777777" w:rsidR="00DA4B8C" w:rsidRPr="00163E6F" w:rsidRDefault="00DA4B8C" w:rsidP="005A0EE5">
            <w:pPr>
              <w:autoSpaceDE w:val="0"/>
              <w:autoSpaceDN w:val="0"/>
              <w:adjustRightInd w:val="0"/>
              <w:jc w:val="left"/>
              <w:rPr>
                <w:rFonts w:ascii="Calibri" w:hAnsi="Calibri" w:cs="Calibri"/>
              </w:rPr>
            </w:pPr>
            <w:r w:rsidRPr="00163E6F">
              <w:rPr>
                <w:szCs w:val="24"/>
              </w:rPr>
              <w:t xml:space="preserve">Rekultivācijas, rekreācijas pasākumu nodrošināšana </w:t>
            </w:r>
          </w:p>
        </w:tc>
        <w:tc>
          <w:tcPr>
            <w:tcW w:w="4716" w:type="dxa"/>
            <w:tcBorders>
              <w:top w:val="single" w:sz="3" w:space="0" w:color="000000"/>
              <w:left w:val="single" w:sz="3" w:space="0" w:color="000000"/>
              <w:bottom w:val="single" w:sz="3" w:space="0" w:color="000000"/>
              <w:right w:val="single" w:sz="3" w:space="0" w:color="000000"/>
            </w:tcBorders>
            <w:vAlign w:val="center"/>
          </w:tcPr>
          <w:p w14:paraId="7D6EBFD7" w14:textId="77777777" w:rsidR="00DA4B8C" w:rsidRPr="00163E6F" w:rsidRDefault="00DA4B8C" w:rsidP="005A0EE5">
            <w:pPr>
              <w:autoSpaceDE w:val="0"/>
              <w:autoSpaceDN w:val="0"/>
              <w:adjustRightInd w:val="0"/>
              <w:jc w:val="left"/>
              <w:rPr>
                <w:rFonts w:ascii="Calibri" w:hAnsi="Calibri" w:cs="Calibri"/>
              </w:rPr>
            </w:pPr>
            <w:r w:rsidRPr="00163E6F">
              <w:rPr>
                <w:szCs w:val="24"/>
              </w:rPr>
              <w:t>Ieguves vietu pēc izstrādes sagatavošana citām tautsaimniecības vajadzībām</w:t>
            </w:r>
          </w:p>
        </w:tc>
        <w:tc>
          <w:tcPr>
            <w:tcW w:w="2356" w:type="dxa"/>
            <w:tcBorders>
              <w:top w:val="single" w:sz="3" w:space="0" w:color="000000"/>
              <w:left w:val="single" w:sz="3" w:space="0" w:color="000000"/>
              <w:bottom w:val="single" w:sz="3" w:space="0" w:color="000000"/>
              <w:right w:val="single" w:sz="3" w:space="0" w:color="000000"/>
            </w:tcBorders>
            <w:vAlign w:val="center"/>
          </w:tcPr>
          <w:p w14:paraId="1CC2A2BA" w14:textId="77777777" w:rsidR="00DA4B8C" w:rsidRPr="00163E6F" w:rsidRDefault="00DA4B8C" w:rsidP="005A0EE5">
            <w:pPr>
              <w:autoSpaceDE w:val="0"/>
              <w:autoSpaceDN w:val="0"/>
              <w:adjustRightInd w:val="0"/>
              <w:jc w:val="left"/>
              <w:rPr>
                <w:rFonts w:ascii="Calibri" w:hAnsi="Calibri" w:cs="Calibri"/>
              </w:rPr>
            </w:pPr>
            <w:r w:rsidRPr="00163E6F">
              <w:rPr>
                <w:szCs w:val="24"/>
              </w:rPr>
              <w:t>VARAM, EM, FM, LKA, ZM</w:t>
            </w:r>
          </w:p>
        </w:tc>
      </w:tr>
      <w:tr w:rsidR="00DA4B8C" w:rsidRPr="00163E6F" w14:paraId="05D1A0E2" w14:textId="77777777" w:rsidTr="005A0EE5">
        <w:trPr>
          <w:trHeight w:val="1"/>
        </w:trPr>
        <w:tc>
          <w:tcPr>
            <w:tcW w:w="2323" w:type="dxa"/>
            <w:tcBorders>
              <w:top w:val="single" w:sz="3" w:space="0" w:color="000000"/>
              <w:left w:val="single" w:sz="3" w:space="0" w:color="000000"/>
              <w:bottom w:val="single" w:sz="3" w:space="0" w:color="000000"/>
              <w:right w:val="single" w:sz="3" w:space="0" w:color="000000"/>
            </w:tcBorders>
            <w:vAlign w:val="center"/>
          </w:tcPr>
          <w:p w14:paraId="2775C414" w14:textId="77777777" w:rsidR="00DA4B8C" w:rsidRPr="00163E6F" w:rsidRDefault="00DA4B8C" w:rsidP="005A0EE5">
            <w:pPr>
              <w:autoSpaceDE w:val="0"/>
              <w:autoSpaceDN w:val="0"/>
              <w:adjustRightInd w:val="0"/>
              <w:jc w:val="left"/>
              <w:rPr>
                <w:rFonts w:ascii="Calibri" w:hAnsi="Calibri" w:cs="Calibri"/>
              </w:rPr>
            </w:pPr>
            <w:r w:rsidRPr="00163E6F">
              <w:rPr>
                <w:szCs w:val="24"/>
              </w:rPr>
              <w:t>Vietējo iedzīvotāju dzīves telpas un darba vietas nodrošināšana</w:t>
            </w:r>
          </w:p>
        </w:tc>
        <w:tc>
          <w:tcPr>
            <w:tcW w:w="4716" w:type="dxa"/>
            <w:tcBorders>
              <w:top w:val="single" w:sz="3" w:space="0" w:color="000000"/>
              <w:left w:val="single" w:sz="3" w:space="0" w:color="000000"/>
              <w:bottom w:val="single" w:sz="3" w:space="0" w:color="000000"/>
              <w:right w:val="single" w:sz="3" w:space="0" w:color="000000"/>
            </w:tcBorders>
            <w:vAlign w:val="center"/>
          </w:tcPr>
          <w:p w14:paraId="6BF00037" w14:textId="77777777" w:rsidR="00DA4B8C" w:rsidRPr="00163E6F" w:rsidRDefault="00DA4B8C" w:rsidP="005A0EE5">
            <w:pPr>
              <w:autoSpaceDE w:val="0"/>
              <w:autoSpaceDN w:val="0"/>
              <w:adjustRightInd w:val="0"/>
              <w:jc w:val="left"/>
              <w:rPr>
                <w:rFonts w:ascii="Calibri" w:hAnsi="Calibri" w:cs="Calibri"/>
              </w:rPr>
            </w:pPr>
            <w:r w:rsidRPr="00163E6F">
              <w:rPr>
                <w:szCs w:val="24"/>
              </w:rPr>
              <w:t>Infrastruktūras nodrošināšana, darba vietu radīšana</w:t>
            </w:r>
          </w:p>
        </w:tc>
        <w:tc>
          <w:tcPr>
            <w:tcW w:w="2356" w:type="dxa"/>
            <w:tcBorders>
              <w:top w:val="single" w:sz="3" w:space="0" w:color="000000"/>
              <w:left w:val="single" w:sz="3" w:space="0" w:color="000000"/>
              <w:bottom w:val="single" w:sz="3" w:space="0" w:color="000000"/>
              <w:right w:val="single" w:sz="3" w:space="0" w:color="000000"/>
            </w:tcBorders>
            <w:vAlign w:val="center"/>
          </w:tcPr>
          <w:p w14:paraId="71452CB9" w14:textId="77777777" w:rsidR="00DA4B8C" w:rsidRPr="00163E6F" w:rsidRDefault="00DA4B8C" w:rsidP="005A0EE5">
            <w:pPr>
              <w:autoSpaceDE w:val="0"/>
              <w:autoSpaceDN w:val="0"/>
              <w:adjustRightInd w:val="0"/>
              <w:jc w:val="left"/>
              <w:rPr>
                <w:rFonts w:ascii="Calibri" w:hAnsi="Calibri" w:cs="Calibri"/>
              </w:rPr>
            </w:pPr>
            <w:r w:rsidRPr="00163E6F">
              <w:rPr>
                <w:szCs w:val="24"/>
              </w:rPr>
              <w:t>VARAM, EM, FM, LKA, ZM, Novadu pašvaldības</w:t>
            </w:r>
          </w:p>
        </w:tc>
      </w:tr>
    </w:tbl>
    <w:p w14:paraId="17068473" w14:textId="47E1E2EB" w:rsidR="00165D83" w:rsidRPr="00163E6F" w:rsidRDefault="00F32ADB" w:rsidP="003E70D5">
      <w:pPr>
        <w:autoSpaceDE w:val="0"/>
        <w:autoSpaceDN w:val="0"/>
        <w:adjustRightInd w:val="0"/>
        <w:spacing w:before="120" w:after="120"/>
        <w:ind w:firstLine="709"/>
        <w:rPr>
          <w:szCs w:val="24"/>
        </w:rPr>
      </w:pPr>
      <w:r w:rsidRPr="00163E6F">
        <w:rPr>
          <w:szCs w:val="24"/>
        </w:rPr>
        <w:t>Tālāk sniegts katra identificētā stratēģijas segmenta darbības, sasniedzamo rezultātu un atbildīgo iestāžu raksturojums tabulu formā (skat.</w:t>
      </w:r>
      <w:r w:rsidR="006A476E" w:rsidRPr="00163E6F">
        <w:rPr>
          <w:szCs w:val="24"/>
        </w:rPr>
        <w:t xml:space="preserve"> 6. – 1</w:t>
      </w:r>
      <w:r w:rsidR="00FE3CA0">
        <w:rPr>
          <w:szCs w:val="24"/>
        </w:rPr>
        <w:t>3</w:t>
      </w:r>
      <w:r w:rsidR="006A476E" w:rsidRPr="00163E6F">
        <w:rPr>
          <w:szCs w:val="24"/>
        </w:rPr>
        <w:t>.tabulu</w:t>
      </w:r>
      <w:r w:rsidRPr="00163E6F">
        <w:rPr>
          <w:szCs w:val="24"/>
        </w:rPr>
        <w:t>)</w:t>
      </w:r>
      <w:r w:rsidR="006A476E" w:rsidRPr="00163E6F">
        <w:rPr>
          <w:szCs w:val="24"/>
        </w:rPr>
        <w:t>.</w:t>
      </w:r>
    </w:p>
    <w:p w14:paraId="70140006" w14:textId="77777777" w:rsidR="00F32ADB" w:rsidRPr="00163E6F" w:rsidRDefault="00F32ADB" w:rsidP="00F32ADB">
      <w:pPr>
        <w:autoSpaceDE w:val="0"/>
        <w:autoSpaceDN w:val="0"/>
        <w:adjustRightInd w:val="0"/>
        <w:spacing w:after="120"/>
        <w:jc w:val="right"/>
        <w:rPr>
          <w:szCs w:val="24"/>
        </w:rPr>
      </w:pPr>
      <w:r w:rsidRPr="00163E6F">
        <w:rPr>
          <w:szCs w:val="24"/>
        </w:rPr>
        <w:t>6.tabula</w:t>
      </w:r>
    </w:p>
    <w:p w14:paraId="4A51D4A0" w14:textId="77777777" w:rsidR="00165D83" w:rsidRPr="00163E6F" w:rsidRDefault="00165D83" w:rsidP="00165D83">
      <w:pPr>
        <w:autoSpaceDE w:val="0"/>
        <w:autoSpaceDN w:val="0"/>
        <w:adjustRightInd w:val="0"/>
        <w:spacing w:after="120"/>
        <w:jc w:val="center"/>
        <w:rPr>
          <w:b/>
          <w:szCs w:val="24"/>
        </w:rPr>
      </w:pPr>
      <w:r w:rsidRPr="00163E6F">
        <w:rPr>
          <w:b/>
          <w:szCs w:val="24"/>
        </w:rPr>
        <w:t xml:space="preserve"> Labas pārvaldības un informācijas nodrošināšana</w:t>
      </w:r>
    </w:p>
    <w:tbl>
      <w:tblPr>
        <w:tblW w:w="0" w:type="auto"/>
        <w:tblInd w:w="108" w:type="dxa"/>
        <w:tblLayout w:type="fixed"/>
        <w:tblLook w:val="0000" w:firstRow="0" w:lastRow="0" w:firstColumn="0" w:lastColumn="0" w:noHBand="0" w:noVBand="0"/>
      </w:tblPr>
      <w:tblGrid>
        <w:gridCol w:w="3109"/>
        <w:gridCol w:w="4041"/>
        <w:gridCol w:w="2245"/>
      </w:tblGrid>
      <w:tr w:rsidR="00165D83" w:rsidRPr="00163E6F" w14:paraId="51D410A9" w14:textId="77777777">
        <w:trPr>
          <w:trHeight w:val="1"/>
        </w:trPr>
        <w:tc>
          <w:tcPr>
            <w:tcW w:w="3109" w:type="dxa"/>
            <w:tcBorders>
              <w:top w:val="single" w:sz="3" w:space="0" w:color="000000"/>
              <w:left w:val="single" w:sz="3" w:space="0" w:color="000000"/>
              <w:bottom w:val="single" w:sz="3" w:space="0" w:color="000000"/>
              <w:right w:val="single" w:sz="3" w:space="0" w:color="000000"/>
            </w:tcBorders>
            <w:vAlign w:val="bottom"/>
          </w:tcPr>
          <w:p w14:paraId="4056CE13"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041" w:type="dxa"/>
            <w:tcBorders>
              <w:top w:val="single" w:sz="3" w:space="0" w:color="000000"/>
              <w:left w:val="single" w:sz="3" w:space="0" w:color="000000"/>
              <w:bottom w:val="single" w:sz="3" w:space="0" w:color="000000"/>
              <w:right w:val="single" w:sz="3" w:space="0" w:color="000000"/>
            </w:tcBorders>
            <w:vAlign w:val="bottom"/>
          </w:tcPr>
          <w:p w14:paraId="5D2C8179"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245" w:type="dxa"/>
            <w:tcBorders>
              <w:top w:val="single" w:sz="3" w:space="0" w:color="000000"/>
              <w:left w:val="single" w:sz="3" w:space="0" w:color="000000"/>
              <w:bottom w:val="single" w:sz="3" w:space="0" w:color="000000"/>
              <w:right w:val="single" w:sz="3" w:space="0" w:color="000000"/>
            </w:tcBorders>
            <w:vAlign w:val="bottom"/>
          </w:tcPr>
          <w:p w14:paraId="0F6FDF3E"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020F0140" w14:textId="77777777">
        <w:trPr>
          <w:trHeight w:val="1"/>
        </w:trPr>
        <w:tc>
          <w:tcPr>
            <w:tcW w:w="3109" w:type="dxa"/>
            <w:tcBorders>
              <w:top w:val="single" w:sz="3" w:space="0" w:color="000000"/>
              <w:left w:val="single" w:sz="3" w:space="0" w:color="000000"/>
              <w:bottom w:val="single" w:sz="3" w:space="0" w:color="000000"/>
              <w:right w:val="single" w:sz="3" w:space="0" w:color="000000"/>
            </w:tcBorders>
          </w:tcPr>
          <w:p w14:paraId="4F8FF3A4" w14:textId="77777777" w:rsidR="00165D83" w:rsidRPr="00163E6F" w:rsidRDefault="00165D83">
            <w:pPr>
              <w:autoSpaceDE w:val="0"/>
              <w:autoSpaceDN w:val="0"/>
              <w:adjustRightInd w:val="0"/>
              <w:jc w:val="left"/>
              <w:rPr>
                <w:rFonts w:ascii="Calibri" w:hAnsi="Calibri" w:cs="Calibri"/>
              </w:rPr>
            </w:pPr>
            <w:r w:rsidRPr="00163E6F">
              <w:rPr>
                <w:szCs w:val="24"/>
              </w:rPr>
              <w:lastRenderedPageBreak/>
              <w:t>Tiesiskā regulējuma pilnveidošana</w:t>
            </w:r>
          </w:p>
        </w:tc>
        <w:tc>
          <w:tcPr>
            <w:tcW w:w="4041" w:type="dxa"/>
            <w:tcBorders>
              <w:top w:val="single" w:sz="3" w:space="0" w:color="000000"/>
              <w:left w:val="single" w:sz="3" w:space="0" w:color="000000"/>
              <w:bottom w:val="single" w:sz="3" w:space="0" w:color="000000"/>
              <w:right w:val="single" w:sz="3" w:space="0" w:color="000000"/>
            </w:tcBorders>
          </w:tcPr>
          <w:p w14:paraId="6082C905" w14:textId="77777777" w:rsidR="00165D83" w:rsidRPr="00163E6F" w:rsidRDefault="00165D83">
            <w:pPr>
              <w:autoSpaceDE w:val="0"/>
              <w:autoSpaceDN w:val="0"/>
              <w:adjustRightInd w:val="0"/>
              <w:jc w:val="left"/>
              <w:rPr>
                <w:szCs w:val="24"/>
              </w:rPr>
            </w:pPr>
            <w:r w:rsidRPr="00163E6F">
              <w:rPr>
                <w:szCs w:val="24"/>
              </w:rPr>
              <w:t>Īpašumtiesības</w:t>
            </w:r>
          </w:p>
          <w:p w14:paraId="1466BAFB" w14:textId="77777777" w:rsidR="00165D83" w:rsidRPr="00163E6F" w:rsidRDefault="00165D83">
            <w:pPr>
              <w:autoSpaceDE w:val="0"/>
              <w:autoSpaceDN w:val="0"/>
              <w:adjustRightInd w:val="0"/>
              <w:jc w:val="left"/>
              <w:rPr>
                <w:szCs w:val="24"/>
              </w:rPr>
            </w:pPr>
            <w:r w:rsidRPr="00163E6F">
              <w:rPr>
                <w:szCs w:val="24"/>
              </w:rPr>
              <w:t>Biotopu aizsardzība, kompensācijas mehānisms</w:t>
            </w:r>
          </w:p>
          <w:p w14:paraId="441FF3D1" w14:textId="77777777" w:rsidR="00165D83" w:rsidRPr="00163E6F" w:rsidRDefault="00165D83">
            <w:pPr>
              <w:autoSpaceDE w:val="0"/>
              <w:autoSpaceDN w:val="0"/>
              <w:adjustRightInd w:val="0"/>
              <w:jc w:val="left"/>
              <w:rPr>
                <w:rFonts w:ascii="Calibri" w:hAnsi="Calibri" w:cs="Calibri"/>
              </w:rPr>
            </w:pPr>
            <w:r w:rsidRPr="00163E6F">
              <w:rPr>
                <w:szCs w:val="24"/>
              </w:rPr>
              <w:t>Asociācijas un sadarbības organizācijas normatīvi</w:t>
            </w:r>
          </w:p>
        </w:tc>
        <w:tc>
          <w:tcPr>
            <w:tcW w:w="2245" w:type="dxa"/>
            <w:tcBorders>
              <w:top w:val="single" w:sz="3" w:space="0" w:color="000000"/>
              <w:left w:val="single" w:sz="3" w:space="0" w:color="000000"/>
              <w:bottom w:val="single" w:sz="3" w:space="0" w:color="000000"/>
              <w:right w:val="single" w:sz="3" w:space="0" w:color="000000"/>
            </w:tcBorders>
          </w:tcPr>
          <w:p w14:paraId="18D98174" w14:textId="77777777" w:rsidR="00165D83" w:rsidRPr="00163E6F" w:rsidRDefault="00165D83">
            <w:pPr>
              <w:autoSpaceDE w:val="0"/>
              <w:autoSpaceDN w:val="0"/>
              <w:adjustRightInd w:val="0"/>
              <w:jc w:val="left"/>
              <w:rPr>
                <w:szCs w:val="24"/>
              </w:rPr>
            </w:pPr>
            <w:r w:rsidRPr="00163E6F">
              <w:rPr>
                <w:szCs w:val="24"/>
              </w:rPr>
              <w:t>VARAM</w:t>
            </w:r>
          </w:p>
          <w:p w14:paraId="6B480186" w14:textId="77777777" w:rsidR="00165D83" w:rsidRPr="00163E6F" w:rsidRDefault="00165D83">
            <w:pPr>
              <w:autoSpaceDE w:val="0"/>
              <w:autoSpaceDN w:val="0"/>
              <w:adjustRightInd w:val="0"/>
              <w:jc w:val="left"/>
              <w:rPr>
                <w:szCs w:val="24"/>
              </w:rPr>
            </w:pPr>
          </w:p>
          <w:p w14:paraId="446F6F56" w14:textId="77777777" w:rsidR="00165D83" w:rsidRPr="00163E6F" w:rsidRDefault="00165D83">
            <w:pPr>
              <w:autoSpaceDE w:val="0"/>
              <w:autoSpaceDN w:val="0"/>
              <w:adjustRightInd w:val="0"/>
              <w:jc w:val="left"/>
              <w:rPr>
                <w:rFonts w:ascii="Calibri" w:hAnsi="Calibri" w:cs="Calibri"/>
              </w:rPr>
            </w:pPr>
            <w:r w:rsidRPr="00163E6F">
              <w:rPr>
                <w:szCs w:val="24"/>
              </w:rPr>
              <w:t>VARAM (MK)</w:t>
            </w:r>
          </w:p>
        </w:tc>
      </w:tr>
      <w:tr w:rsidR="00165D83" w:rsidRPr="00163E6F" w14:paraId="6C91D029" w14:textId="77777777">
        <w:trPr>
          <w:trHeight w:val="1"/>
        </w:trPr>
        <w:tc>
          <w:tcPr>
            <w:tcW w:w="3109" w:type="dxa"/>
            <w:tcBorders>
              <w:top w:val="single" w:sz="3" w:space="0" w:color="000000"/>
              <w:left w:val="single" w:sz="3" w:space="0" w:color="000000"/>
              <w:bottom w:val="single" w:sz="3" w:space="0" w:color="000000"/>
              <w:right w:val="single" w:sz="3" w:space="0" w:color="000000"/>
            </w:tcBorders>
          </w:tcPr>
          <w:p w14:paraId="14AFA0E9" w14:textId="77777777" w:rsidR="00165D83" w:rsidRPr="00163E6F" w:rsidRDefault="00165D83">
            <w:pPr>
              <w:autoSpaceDE w:val="0"/>
              <w:autoSpaceDN w:val="0"/>
              <w:adjustRightInd w:val="0"/>
              <w:jc w:val="left"/>
              <w:rPr>
                <w:rFonts w:ascii="Calibri" w:hAnsi="Calibri" w:cs="Calibri"/>
              </w:rPr>
            </w:pPr>
            <w:r w:rsidRPr="00163E6F">
              <w:rPr>
                <w:szCs w:val="24"/>
              </w:rPr>
              <w:t>Atklāta lēmumu pieņemšana</w:t>
            </w:r>
          </w:p>
        </w:tc>
        <w:tc>
          <w:tcPr>
            <w:tcW w:w="4041" w:type="dxa"/>
            <w:tcBorders>
              <w:top w:val="single" w:sz="3" w:space="0" w:color="000000"/>
              <w:left w:val="single" w:sz="3" w:space="0" w:color="000000"/>
              <w:bottom w:val="single" w:sz="3" w:space="0" w:color="000000"/>
              <w:right w:val="single" w:sz="3" w:space="0" w:color="000000"/>
            </w:tcBorders>
          </w:tcPr>
          <w:p w14:paraId="30BCC804" w14:textId="77777777" w:rsidR="00165D83" w:rsidRPr="00163E6F" w:rsidRDefault="00165D83">
            <w:pPr>
              <w:autoSpaceDE w:val="0"/>
              <w:autoSpaceDN w:val="0"/>
              <w:adjustRightInd w:val="0"/>
              <w:jc w:val="left"/>
              <w:rPr>
                <w:szCs w:val="24"/>
              </w:rPr>
            </w:pPr>
            <w:r w:rsidRPr="00163E6F">
              <w:rPr>
                <w:szCs w:val="24"/>
              </w:rPr>
              <w:t>Latvijas kūdras asociācijas darbības paplašināšana, iesaistot asociācijā visus lielākos kūdras krājumu īpašniekus.</w:t>
            </w:r>
          </w:p>
          <w:p w14:paraId="555202DD" w14:textId="77777777" w:rsidR="00165D83" w:rsidRPr="00163E6F" w:rsidRDefault="00165D83">
            <w:pPr>
              <w:autoSpaceDE w:val="0"/>
              <w:autoSpaceDN w:val="0"/>
              <w:adjustRightInd w:val="0"/>
              <w:jc w:val="left"/>
              <w:rPr>
                <w:szCs w:val="24"/>
              </w:rPr>
            </w:pPr>
            <w:r w:rsidRPr="00163E6F">
              <w:rPr>
                <w:szCs w:val="24"/>
              </w:rPr>
              <w:t>Mazo kūdras krājumu īpašnieku interešu nodrošināšana.</w:t>
            </w:r>
          </w:p>
          <w:p w14:paraId="4644C814" w14:textId="77777777" w:rsidR="00165D83" w:rsidRPr="00163E6F" w:rsidRDefault="00165D83">
            <w:pPr>
              <w:autoSpaceDE w:val="0"/>
              <w:autoSpaceDN w:val="0"/>
              <w:adjustRightInd w:val="0"/>
              <w:jc w:val="left"/>
              <w:rPr>
                <w:rFonts w:ascii="Calibri" w:hAnsi="Calibri" w:cs="Calibri"/>
              </w:rPr>
            </w:pPr>
            <w:r w:rsidRPr="00163E6F">
              <w:rPr>
                <w:szCs w:val="24"/>
              </w:rPr>
              <w:t>Ieinteresēto pušu sadarbība lēmumu pieņemšanas un izpildes līmenī.</w:t>
            </w:r>
          </w:p>
        </w:tc>
        <w:tc>
          <w:tcPr>
            <w:tcW w:w="2245" w:type="dxa"/>
            <w:tcBorders>
              <w:top w:val="single" w:sz="3" w:space="0" w:color="000000"/>
              <w:left w:val="single" w:sz="3" w:space="0" w:color="000000"/>
              <w:bottom w:val="single" w:sz="3" w:space="0" w:color="000000"/>
              <w:right w:val="single" w:sz="3" w:space="0" w:color="000000"/>
            </w:tcBorders>
          </w:tcPr>
          <w:p w14:paraId="57BC8167" w14:textId="77777777" w:rsidR="00165D83" w:rsidRPr="00163E6F" w:rsidRDefault="00165D83">
            <w:pPr>
              <w:autoSpaceDE w:val="0"/>
              <w:autoSpaceDN w:val="0"/>
              <w:adjustRightInd w:val="0"/>
              <w:jc w:val="left"/>
              <w:rPr>
                <w:szCs w:val="24"/>
              </w:rPr>
            </w:pPr>
            <w:r w:rsidRPr="00163E6F">
              <w:rPr>
                <w:szCs w:val="24"/>
              </w:rPr>
              <w:t>VARAM; LKA</w:t>
            </w:r>
          </w:p>
          <w:p w14:paraId="75BD39F6" w14:textId="77777777" w:rsidR="00165D83" w:rsidRPr="00163E6F" w:rsidRDefault="00165D83">
            <w:pPr>
              <w:autoSpaceDE w:val="0"/>
              <w:autoSpaceDN w:val="0"/>
              <w:adjustRightInd w:val="0"/>
              <w:jc w:val="left"/>
              <w:rPr>
                <w:szCs w:val="24"/>
              </w:rPr>
            </w:pPr>
          </w:p>
          <w:p w14:paraId="776581A2" w14:textId="77777777" w:rsidR="00165D83" w:rsidRPr="00163E6F" w:rsidRDefault="00165D83">
            <w:pPr>
              <w:autoSpaceDE w:val="0"/>
              <w:autoSpaceDN w:val="0"/>
              <w:adjustRightInd w:val="0"/>
              <w:jc w:val="left"/>
              <w:rPr>
                <w:szCs w:val="24"/>
              </w:rPr>
            </w:pPr>
            <w:r w:rsidRPr="00163E6F">
              <w:rPr>
                <w:szCs w:val="24"/>
              </w:rPr>
              <w:t>LKA; uzņēmēji (uzņēmēju asociācijas)</w:t>
            </w:r>
          </w:p>
          <w:p w14:paraId="0C2B1A04" w14:textId="77777777" w:rsidR="00165D83" w:rsidRPr="00163E6F" w:rsidRDefault="00165D83">
            <w:pPr>
              <w:autoSpaceDE w:val="0"/>
              <w:autoSpaceDN w:val="0"/>
              <w:adjustRightInd w:val="0"/>
              <w:jc w:val="left"/>
              <w:rPr>
                <w:rFonts w:ascii="Calibri" w:hAnsi="Calibri" w:cs="Calibri"/>
              </w:rPr>
            </w:pPr>
          </w:p>
        </w:tc>
      </w:tr>
      <w:tr w:rsidR="00165D83" w:rsidRPr="00163E6F" w14:paraId="0AD3C457" w14:textId="77777777">
        <w:trPr>
          <w:trHeight w:val="1"/>
        </w:trPr>
        <w:tc>
          <w:tcPr>
            <w:tcW w:w="3109" w:type="dxa"/>
            <w:tcBorders>
              <w:top w:val="single" w:sz="3" w:space="0" w:color="000000"/>
              <w:left w:val="single" w:sz="3" w:space="0" w:color="000000"/>
              <w:bottom w:val="single" w:sz="3" w:space="0" w:color="000000"/>
              <w:right w:val="single" w:sz="3" w:space="0" w:color="000000"/>
            </w:tcBorders>
          </w:tcPr>
          <w:p w14:paraId="30EBA464" w14:textId="77777777" w:rsidR="00165D83" w:rsidRPr="00163E6F" w:rsidRDefault="00165D83">
            <w:pPr>
              <w:autoSpaceDE w:val="0"/>
              <w:autoSpaceDN w:val="0"/>
              <w:adjustRightInd w:val="0"/>
              <w:jc w:val="left"/>
              <w:rPr>
                <w:rFonts w:ascii="Calibri" w:hAnsi="Calibri" w:cs="Calibri"/>
              </w:rPr>
            </w:pPr>
            <w:r w:rsidRPr="00163E6F">
              <w:rPr>
                <w:szCs w:val="24"/>
              </w:rPr>
              <w:t>Vienota informācijas sistēma</w:t>
            </w:r>
          </w:p>
        </w:tc>
        <w:tc>
          <w:tcPr>
            <w:tcW w:w="4041" w:type="dxa"/>
            <w:tcBorders>
              <w:top w:val="single" w:sz="3" w:space="0" w:color="000000"/>
              <w:left w:val="single" w:sz="3" w:space="0" w:color="000000"/>
              <w:bottom w:val="single" w:sz="3" w:space="0" w:color="000000"/>
              <w:right w:val="single" w:sz="3" w:space="0" w:color="000000"/>
            </w:tcBorders>
          </w:tcPr>
          <w:p w14:paraId="5B0E4E98" w14:textId="77777777" w:rsidR="00165D83" w:rsidRPr="00163E6F" w:rsidRDefault="00165D83">
            <w:pPr>
              <w:autoSpaceDE w:val="0"/>
              <w:autoSpaceDN w:val="0"/>
              <w:adjustRightInd w:val="0"/>
              <w:jc w:val="left"/>
              <w:rPr>
                <w:szCs w:val="24"/>
              </w:rPr>
            </w:pPr>
            <w:r w:rsidRPr="00163E6F">
              <w:rPr>
                <w:szCs w:val="24"/>
              </w:rPr>
              <w:t>Kūdras krājumi – krājumu izmaiņas</w:t>
            </w:r>
          </w:p>
          <w:p w14:paraId="4EE9F4E2" w14:textId="77777777" w:rsidR="00165D83" w:rsidRPr="00163E6F" w:rsidRDefault="00165D83">
            <w:pPr>
              <w:autoSpaceDE w:val="0"/>
              <w:autoSpaceDN w:val="0"/>
              <w:adjustRightInd w:val="0"/>
              <w:jc w:val="left"/>
              <w:rPr>
                <w:szCs w:val="24"/>
              </w:rPr>
            </w:pPr>
            <w:r w:rsidRPr="00163E6F">
              <w:rPr>
                <w:szCs w:val="24"/>
              </w:rPr>
              <w:t>Kūdras kvalitātes vērtējums</w:t>
            </w:r>
          </w:p>
          <w:p w14:paraId="00646FE0" w14:textId="77777777" w:rsidR="00165D83" w:rsidRPr="00163E6F" w:rsidRDefault="00165D83">
            <w:pPr>
              <w:autoSpaceDE w:val="0"/>
              <w:autoSpaceDN w:val="0"/>
              <w:adjustRightInd w:val="0"/>
              <w:jc w:val="left"/>
              <w:rPr>
                <w:szCs w:val="24"/>
              </w:rPr>
            </w:pPr>
            <w:r w:rsidRPr="00163E6F">
              <w:rPr>
                <w:szCs w:val="24"/>
              </w:rPr>
              <w:t>Kūdras izmantošanas veids</w:t>
            </w:r>
          </w:p>
          <w:p w14:paraId="28249BD3" w14:textId="77777777" w:rsidR="00165D83" w:rsidRPr="00163E6F" w:rsidRDefault="00165D83">
            <w:pPr>
              <w:autoSpaceDE w:val="0"/>
              <w:autoSpaceDN w:val="0"/>
              <w:adjustRightInd w:val="0"/>
              <w:jc w:val="left"/>
              <w:rPr>
                <w:szCs w:val="24"/>
              </w:rPr>
            </w:pPr>
            <w:r w:rsidRPr="00163E6F">
              <w:rPr>
                <w:szCs w:val="24"/>
              </w:rPr>
              <w:t>Bioloģiskā daudzveidība</w:t>
            </w:r>
          </w:p>
          <w:p w14:paraId="1F7AB104" w14:textId="1D3D75FB" w:rsidR="00165D83" w:rsidRPr="00163E6F" w:rsidRDefault="00165D83">
            <w:pPr>
              <w:autoSpaceDE w:val="0"/>
              <w:autoSpaceDN w:val="0"/>
              <w:adjustRightInd w:val="0"/>
              <w:jc w:val="left"/>
              <w:rPr>
                <w:szCs w:val="24"/>
              </w:rPr>
            </w:pPr>
            <w:r w:rsidRPr="00163E6F">
              <w:rPr>
                <w:szCs w:val="24"/>
              </w:rPr>
              <w:t>Ietekme uz vidi</w:t>
            </w:r>
            <w:r w:rsidR="00FE3CA0">
              <w:rPr>
                <w:szCs w:val="24"/>
              </w:rPr>
              <w:t xml:space="preserve"> un klimata pārmaiņām</w:t>
            </w:r>
          </w:p>
          <w:p w14:paraId="40E5B3A1" w14:textId="77777777" w:rsidR="00165D83" w:rsidRPr="00163E6F" w:rsidRDefault="00165D83">
            <w:pPr>
              <w:autoSpaceDE w:val="0"/>
              <w:autoSpaceDN w:val="0"/>
              <w:adjustRightInd w:val="0"/>
              <w:jc w:val="left"/>
              <w:rPr>
                <w:rFonts w:ascii="Calibri" w:hAnsi="Calibri" w:cs="Calibri"/>
              </w:rPr>
            </w:pPr>
            <w:r w:rsidRPr="00163E6F">
              <w:rPr>
                <w:szCs w:val="24"/>
              </w:rPr>
              <w:t>Tehnoloģijas</w:t>
            </w:r>
          </w:p>
        </w:tc>
        <w:tc>
          <w:tcPr>
            <w:tcW w:w="2245" w:type="dxa"/>
            <w:tcBorders>
              <w:top w:val="single" w:sz="3" w:space="0" w:color="000000"/>
              <w:left w:val="single" w:sz="3" w:space="0" w:color="000000"/>
              <w:bottom w:val="single" w:sz="3" w:space="0" w:color="000000"/>
              <w:right w:val="single" w:sz="3" w:space="0" w:color="000000"/>
            </w:tcBorders>
          </w:tcPr>
          <w:p w14:paraId="472904C6" w14:textId="77777777" w:rsidR="00165D83" w:rsidRPr="00163E6F" w:rsidRDefault="00165D83">
            <w:pPr>
              <w:autoSpaceDE w:val="0"/>
              <w:autoSpaceDN w:val="0"/>
              <w:adjustRightInd w:val="0"/>
              <w:jc w:val="left"/>
              <w:rPr>
                <w:szCs w:val="24"/>
              </w:rPr>
            </w:pPr>
            <w:r w:rsidRPr="00163E6F">
              <w:rPr>
                <w:szCs w:val="24"/>
              </w:rPr>
              <w:t>VVD; LV</w:t>
            </w:r>
            <w:r w:rsidR="00405C34" w:rsidRPr="00163E6F">
              <w:rPr>
                <w:szCs w:val="24"/>
              </w:rPr>
              <w:t>ĢMC</w:t>
            </w:r>
          </w:p>
          <w:p w14:paraId="0BA8FF3E" w14:textId="77777777" w:rsidR="00165D83" w:rsidRPr="00163E6F" w:rsidRDefault="00165D83">
            <w:pPr>
              <w:autoSpaceDE w:val="0"/>
              <w:autoSpaceDN w:val="0"/>
              <w:adjustRightInd w:val="0"/>
              <w:jc w:val="left"/>
              <w:rPr>
                <w:szCs w:val="24"/>
              </w:rPr>
            </w:pPr>
            <w:r w:rsidRPr="00163E6F">
              <w:rPr>
                <w:szCs w:val="24"/>
              </w:rPr>
              <w:t>LLU; LU; DU</w:t>
            </w:r>
          </w:p>
          <w:p w14:paraId="6D54A2CC" w14:textId="77777777" w:rsidR="00165D83" w:rsidRPr="00163E6F" w:rsidRDefault="00165D83">
            <w:pPr>
              <w:autoSpaceDE w:val="0"/>
              <w:autoSpaceDN w:val="0"/>
              <w:adjustRightInd w:val="0"/>
              <w:jc w:val="left"/>
              <w:rPr>
                <w:szCs w:val="24"/>
              </w:rPr>
            </w:pPr>
            <w:r w:rsidRPr="00163E6F">
              <w:rPr>
                <w:szCs w:val="24"/>
              </w:rPr>
              <w:t>VVD; LKA; uzņēmumi</w:t>
            </w:r>
          </w:p>
          <w:p w14:paraId="62F64B91" w14:textId="77777777" w:rsidR="00165D83" w:rsidRPr="00163E6F" w:rsidRDefault="00165D83">
            <w:pPr>
              <w:autoSpaceDE w:val="0"/>
              <w:autoSpaceDN w:val="0"/>
              <w:adjustRightInd w:val="0"/>
              <w:jc w:val="left"/>
              <w:rPr>
                <w:szCs w:val="24"/>
              </w:rPr>
            </w:pPr>
            <w:r w:rsidRPr="00163E6F">
              <w:rPr>
                <w:szCs w:val="24"/>
              </w:rPr>
              <w:t>VARAM; VVD, DAP</w:t>
            </w:r>
          </w:p>
          <w:p w14:paraId="1DBDE367" w14:textId="77777777" w:rsidR="00165D83" w:rsidRPr="00163E6F" w:rsidRDefault="00165D83">
            <w:pPr>
              <w:autoSpaceDE w:val="0"/>
              <w:autoSpaceDN w:val="0"/>
              <w:adjustRightInd w:val="0"/>
              <w:jc w:val="left"/>
              <w:rPr>
                <w:szCs w:val="24"/>
              </w:rPr>
            </w:pPr>
            <w:r w:rsidRPr="00163E6F">
              <w:rPr>
                <w:szCs w:val="24"/>
              </w:rPr>
              <w:t>VARAM; VVD</w:t>
            </w:r>
          </w:p>
          <w:p w14:paraId="18C9A536" w14:textId="77777777" w:rsidR="00165D83" w:rsidRPr="00163E6F" w:rsidRDefault="00165D83">
            <w:pPr>
              <w:autoSpaceDE w:val="0"/>
              <w:autoSpaceDN w:val="0"/>
              <w:adjustRightInd w:val="0"/>
              <w:jc w:val="left"/>
              <w:rPr>
                <w:rFonts w:ascii="Calibri" w:hAnsi="Calibri" w:cs="Calibri"/>
              </w:rPr>
            </w:pPr>
            <w:r w:rsidRPr="00163E6F">
              <w:rPr>
                <w:szCs w:val="24"/>
              </w:rPr>
              <w:t>LU; LLU; DU; uzņēmumi</w:t>
            </w:r>
          </w:p>
        </w:tc>
      </w:tr>
    </w:tbl>
    <w:p w14:paraId="791FE829" w14:textId="77777777" w:rsidR="00165D83" w:rsidRPr="00163E6F" w:rsidRDefault="00165D83" w:rsidP="00165D83">
      <w:pPr>
        <w:autoSpaceDE w:val="0"/>
        <w:autoSpaceDN w:val="0"/>
        <w:adjustRightInd w:val="0"/>
        <w:spacing w:after="200" w:line="276" w:lineRule="auto"/>
        <w:jc w:val="left"/>
        <w:rPr>
          <w:szCs w:val="24"/>
        </w:rPr>
      </w:pPr>
    </w:p>
    <w:p w14:paraId="581A73B0" w14:textId="77777777" w:rsidR="00F32ADB" w:rsidRPr="00163E6F" w:rsidRDefault="00F32ADB" w:rsidP="00F32ADB">
      <w:pPr>
        <w:autoSpaceDE w:val="0"/>
        <w:autoSpaceDN w:val="0"/>
        <w:adjustRightInd w:val="0"/>
        <w:spacing w:after="120"/>
        <w:jc w:val="right"/>
        <w:rPr>
          <w:szCs w:val="24"/>
        </w:rPr>
      </w:pPr>
      <w:r w:rsidRPr="00163E6F">
        <w:rPr>
          <w:szCs w:val="24"/>
        </w:rPr>
        <w:t>7.tabula</w:t>
      </w:r>
    </w:p>
    <w:p w14:paraId="09D51E74" w14:textId="77777777" w:rsidR="00165D83" w:rsidRPr="00163E6F" w:rsidRDefault="00165D83" w:rsidP="00165D83">
      <w:pPr>
        <w:autoSpaceDE w:val="0"/>
        <w:autoSpaceDN w:val="0"/>
        <w:adjustRightInd w:val="0"/>
        <w:spacing w:after="200" w:line="276" w:lineRule="auto"/>
        <w:jc w:val="center"/>
        <w:rPr>
          <w:b/>
          <w:szCs w:val="24"/>
        </w:rPr>
      </w:pPr>
      <w:r w:rsidRPr="00163E6F">
        <w:rPr>
          <w:b/>
          <w:szCs w:val="24"/>
        </w:rPr>
        <w:t>Bioloģiskās daudzveidības nodrošināšana</w:t>
      </w:r>
    </w:p>
    <w:tbl>
      <w:tblPr>
        <w:tblW w:w="0" w:type="auto"/>
        <w:tblInd w:w="108" w:type="dxa"/>
        <w:tblLayout w:type="fixed"/>
        <w:tblLook w:val="0000" w:firstRow="0" w:lastRow="0" w:firstColumn="0" w:lastColumn="0" w:noHBand="0" w:noVBand="0"/>
      </w:tblPr>
      <w:tblGrid>
        <w:gridCol w:w="3151"/>
        <w:gridCol w:w="4144"/>
        <w:gridCol w:w="2100"/>
      </w:tblGrid>
      <w:tr w:rsidR="00165D83" w:rsidRPr="00163E6F" w14:paraId="3FB72849" w14:textId="77777777">
        <w:trPr>
          <w:trHeight w:val="1"/>
        </w:trPr>
        <w:tc>
          <w:tcPr>
            <w:tcW w:w="3151" w:type="dxa"/>
            <w:tcBorders>
              <w:top w:val="single" w:sz="3" w:space="0" w:color="000000"/>
              <w:left w:val="single" w:sz="3" w:space="0" w:color="000000"/>
              <w:bottom w:val="single" w:sz="3" w:space="0" w:color="000000"/>
              <w:right w:val="single" w:sz="3" w:space="0" w:color="000000"/>
            </w:tcBorders>
            <w:vAlign w:val="bottom"/>
          </w:tcPr>
          <w:p w14:paraId="4FFDF0C0"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144" w:type="dxa"/>
            <w:tcBorders>
              <w:top w:val="single" w:sz="3" w:space="0" w:color="000000"/>
              <w:left w:val="single" w:sz="3" w:space="0" w:color="000000"/>
              <w:bottom w:val="single" w:sz="3" w:space="0" w:color="000000"/>
              <w:right w:val="single" w:sz="3" w:space="0" w:color="000000"/>
            </w:tcBorders>
            <w:vAlign w:val="bottom"/>
          </w:tcPr>
          <w:p w14:paraId="5C09E0D2"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100" w:type="dxa"/>
            <w:tcBorders>
              <w:top w:val="single" w:sz="3" w:space="0" w:color="000000"/>
              <w:left w:val="single" w:sz="3" w:space="0" w:color="000000"/>
              <w:bottom w:val="single" w:sz="3" w:space="0" w:color="000000"/>
              <w:right w:val="single" w:sz="3" w:space="0" w:color="000000"/>
            </w:tcBorders>
            <w:vAlign w:val="bottom"/>
          </w:tcPr>
          <w:p w14:paraId="0202C7C9"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21FB9DF4" w14:textId="77777777">
        <w:trPr>
          <w:trHeight w:val="1"/>
        </w:trPr>
        <w:tc>
          <w:tcPr>
            <w:tcW w:w="3151" w:type="dxa"/>
            <w:tcBorders>
              <w:top w:val="single" w:sz="3" w:space="0" w:color="000000"/>
              <w:left w:val="single" w:sz="3" w:space="0" w:color="000000"/>
              <w:bottom w:val="single" w:sz="3" w:space="0" w:color="000000"/>
              <w:right w:val="single" w:sz="3" w:space="0" w:color="000000"/>
            </w:tcBorders>
          </w:tcPr>
          <w:p w14:paraId="7091502F" w14:textId="77777777" w:rsidR="00165D83" w:rsidRPr="00163E6F" w:rsidRDefault="00165D83">
            <w:pPr>
              <w:autoSpaceDE w:val="0"/>
              <w:autoSpaceDN w:val="0"/>
              <w:adjustRightInd w:val="0"/>
              <w:jc w:val="left"/>
              <w:rPr>
                <w:rFonts w:ascii="Calibri" w:hAnsi="Calibri" w:cs="Calibri"/>
              </w:rPr>
            </w:pPr>
            <w:r w:rsidRPr="00163E6F">
              <w:rPr>
                <w:szCs w:val="24"/>
              </w:rPr>
              <w:t xml:space="preserve">Bioloģiskās daudzveidības nodrošināšana </w:t>
            </w:r>
          </w:p>
        </w:tc>
        <w:tc>
          <w:tcPr>
            <w:tcW w:w="4144" w:type="dxa"/>
            <w:tcBorders>
              <w:top w:val="single" w:sz="3" w:space="0" w:color="000000"/>
              <w:left w:val="single" w:sz="3" w:space="0" w:color="000000"/>
              <w:bottom w:val="single" w:sz="3" w:space="0" w:color="000000"/>
              <w:right w:val="single" w:sz="3" w:space="0" w:color="000000"/>
            </w:tcBorders>
          </w:tcPr>
          <w:p w14:paraId="11BE1FDA" w14:textId="77777777" w:rsidR="00165D83" w:rsidRPr="00163E6F" w:rsidRDefault="00165D83">
            <w:pPr>
              <w:autoSpaceDE w:val="0"/>
              <w:autoSpaceDN w:val="0"/>
              <w:adjustRightInd w:val="0"/>
              <w:jc w:val="left"/>
              <w:rPr>
                <w:rFonts w:ascii="Calibri" w:hAnsi="Calibri" w:cs="Calibri"/>
              </w:rPr>
            </w:pPr>
            <w:r w:rsidRPr="00163E6F">
              <w:rPr>
                <w:szCs w:val="24"/>
              </w:rPr>
              <w:t>Uzraudzība; inventarizācija</w:t>
            </w:r>
          </w:p>
        </w:tc>
        <w:tc>
          <w:tcPr>
            <w:tcW w:w="2100" w:type="dxa"/>
            <w:tcBorders>
              <w:top w:val="single" w:sz="3" w:space="0" w:color="000000"/>
              <w:left w:val="single" w:sz="3" w:space="0" w:color="000000"/>
              <w:bottom w:val="single" w:sz="3" w:space="0" w:color="000000"/>
              <w:right w:val="single" w:sz="3" w:space="0" w:color="000000"/>
            </w:tcBorders>
          </w:tcPr>
          <w:p w14:paraId="45D89C93" w14:textId="77777777" w:rsidR="00165D83" w:rsidRPr="00163E6F" w:rsidRDefault="00165D83">
            <w:pPr>
              <w:autoSpaceDE w:val="0"/>
              <w:autoSpaceDN w:val="0"/>
              <w:adjustRightInd w:val="0"/>
              <w:jc w:val="left"/>
              <w:rPr>
                <w:rFonts w:ascii="Calibri" w:hAnsi="Calibri" w:cs="Calibri"/>
              </w:rPr>
            </w:pPr>
            <w:r w:rsidRPr="00163E6F">
              <w:rPr>
                <w:szCs w:val="24"/>
              </w:rPr>
              <w:t>VARAM, VVD; LLU; LU; DU, DAP</w:t>
            </w:r>
          </w:p>
        </w:tc>
      </w:tr>
      <w:tr w:rsidR="00165D83" w:rsidRPr="00163E6F" w14:paraId="71622B99" w14:textId="77777777">
        <w:trPr>
          <w:trHeight w:val="1"/>
        </w:trPr>
        <w:tc>
          <w:tcPr>
            <w:tcW w:w="3151" w:type="dxa"/>
            <w:tcBorders>
              <w:top w:val="single" w:sz="3" w:space="0" w:color="000000"/>
              <w:left w:val="single" w:sz="3" w:space="0" w:color="000000"/>
              <w:bottom w:val="single" w:sz="3" w:space="0" w:color="000000"/>
              <w:right w:val="single" w:sz="3" w:space="0" w:color="000000"/>
            </w:tcBorders>
          </w:tcPr>
          <w:p w14:paraId="4CE7585B" w14:textId="77777777" w:rsidR="00165D83" w:rsidRPr="00163E6F" w:rsidRDefault="00165D83">
            <w:pPr>
              <w:autoSpaceDE w:val="0"/>
              <w:autoSpaceDN w:val="0"/>
              <w:adjustRightInd w:val="0"/>
              <w:jc w:val="left"/>
              <w:rPr>
                <w:rFonts w:ascii="Calibri" w:hAnsi="Calibri" w:cs="Calibri"/>
              </w:rPr>
            </w:pPr>
            <w:r w:rsidRPr="00163E6F">
              <w:rPr>
                <w:szCs w:val="24"/>
              </w:rPr>
              <w:t>Bioloģiskās daudzveidības uzturēšana</w:t>
            </w:r>
          </w:p>
        </w:tc>
        <w:tc>
          <w:tcPr>
            <w:tcW w:w="4144" w:type="dxa"/>
            <w:tcBorders>
              <w:top w:val="single" w:sz="3" w:space="0" w:color="000000"/>
              <w:left w:val="single" w:sz="3" w:space="0" w:color="000000"/>
              <w:bottom w:val="single" w:sz="3" w:space="0" w:color="000000"/>
              <w:right w:val="single" w:sz="3" w:space="0" w:color="000000"/>
            </w:tcBorders>
          </w:tcPr>
          <w:p w14:paraId="6235762B" w14:textId="77777777" w:rsidR="00165D83" w:rsidRPr="00163E6F" w:rsidRDefault="00165D83">
            <w:pPr>
              <w:autoSpaceDE w:val="0"/>
              <w:autoSpaceDN w:val="0"/>
              <w:adjustRightInd w:val="0"/>
              <w:jc w:val="left"/>
              <w:rPr>
                <w:rFonts w:ascii="Calibri" w:hAnsi="Calibri" w:cs="Calibri"/>
              </w:rPr>
            </w:pPr>
            <w:r w:rsidRPr="00163E6F">
              <w:rPr>
                <w:szCs w:val="24"/>
              </w:rPr>
              <w:t xml:space="preserve">Uzraudzīta izmantošana tautsaimniecībā: izglītojošas ekskursijas; ierobežota izmantošana (ogošana, sēņošana, sfagnu sūnas izmantošana) </w:t>
            </w:r>
          </w:p>
        </w:tc>
        <w:tc>
          <w:tcPr>
            <w:tcW w:w="2100" w:type="dxa"/>
            <w:tcBorders>
              <w:top w:val="single" w:sz="3" w:space="0" w:color="000000"/>
              <w:left w:val="single" w:sz="3" w:space="0" w:color="000000"/>
              <w:bottom w:val="single" w:sz="3" w:space="0" w:color="000000"/>
              <w:right w:val="single" w:sz="3" w:space="0" w:color="000000"/>
            </w:tcBorders>
          </w:tcPr>
          <w:p w14:paraId="38034B07" w14:textId="77777777" w:rsidR="00165D83" w:rsidRPr="00163E6F" w:rsidRDefault="00165D83">
            <w:pPr>
              <w:autoSpaceDE w:val="0"/>
              <w:autoSpaceDN w:val="0"/>
              <w:adjustRightInd w:val="0"/>
              <w:jc w:val="left"/>
              <w:rPr>
                <w:rFonts w:ascii="Calibri" w:hAnsi="Calibri" w:cs="Calibri"/>
              </w:rPr>
            </w:pPr>
            <w:r w:rsidRPr="00163E6F">
              <w:rPr>
                <w:szCs w:val="24"/>
              </w:rPr>
              <w:t>VVD; izglītības iestādes, īpašnieki, uzņēmumi</w:t>
            </w:r>
          </w:p>
        </w:tc>
      </w:tr>
    </w:tbl>
    <w:p w14:paraId="5E2F878A" w14:textId="77777777" w:rsidR="00F32ADB" w:rsidRDefault="00F32ADB" w:rsidP="00F32ADB">
      <w:pPr>
        <w:autoSpaceDE w:val="0"/>
        <w:autoSpaceDN w:val="0"/>
        <w:adjustRightInd w:val="0"/>
        <w:spacing w:after="120"/>
        <w:jc w:val="right"/>
        <w:rPr>
          <w:szCs w:val="24"/>
        </w:rPr>
      </w:pPr>
    </w:p>
    <w:p w14:paraId="2BB26884" w14:textId="77777777" w:rsidR="00FE3CA0" w:rsidRPr="00163E6F" w:rsidRDefault="00FE3CA0" w:rsidP="00FE3CA0">
      <w:pPr>
        <w:autoSpaceDE w:val="0"/>
        <w:autoSpaceDN w:val="0"/>
        <w:adjustRightInd w:val="0"/>
        <w:spacing w:after="120"/>
        <w:jc w:val="right"/>
        <w:rPr>
          <w:szCs w:val="24"/>
        </w:rPr>
      </w:pPr>
      <w:r w:rsidRPr="00163E6F">
        <w:rPr>
          <w:szCs w:val="24"/>
        </w:rPr>
        <w:t>8.tabula</w:t>
      </w:r>
    </w:p>
    <w:p w14:paraId="74D95DBF" w14:textId="77777777" w:rsidR="00FE3CA0" w:rsidRPr="00163E6F" w:rsidRDefault="00FE3CA0" w:rsidP="00FE3CA0">
      <w:pPr>
        <w:autoSpaceDE w:val="0"/>
        <w:autoSpaceDN w:val="0"/>
        <w:adjustRightInd w:val="0"/>
        <w:spacing w:after="200" w:line="276" w:lineRule="auto"/>
        <w:jc w:val="center"/>
        <w:rPr>
          <w:b/>
          <w:szCs w:val="24"/>
        </w:rPr>
      </w:pPr>
      <w:r w:rsidRPr="00FE3CA0">
        <w:rPr>
          <w:b/>
          <w:szCs w:val="24"/>
        </w:rPr>
        <w:t xml:space="preserve">Oglekļa krātuves </w:t>
      </w:r>
      <w:r>
        <w:rPr>
          <w:b/>
          <w:szCs w:val="24"/>
        </w:rPr>
        <w:t>uzturēšana</w:t>
      </w:r>
    </w:p>
    <w:tbl>
      <w:tblPr>
        <w:tblW w:w="0" w:type="auto"/>
        <w:tblInd w:w="108" w:type="dxa"/>
        <w:tblLayout w:type="fixed"/>
        <w:tblLook w:val="0000" w:firstRow="0" w:lastRow="0" w:firstColumn="0" w:lastColumn="0" w:noHBand="0" w:noVBand="0"/>
      </w:tblPr>
      <w:tblGrid>
        <w:gridCol w:w="3151"/>
        <w:gridCol w:w="4144"/>
        <w:gridCol w:w="2100"/>
      </w:tblGrid>
      <w:tr w:rsidR="00FE3CA0" w:rsidRPr="00163E6F" w14:paraId="0D552086" w14:textId="77777777" w:rsidTr="005A0EE5">
        <w:trPr>
          <w:trHeight w:val="1"/>
        </w:trPr>
        <w:tc>
          <w:tcPr>
            <w:tcW w:w="3151" w:type="dxa"/>
            <w:tcBorders>
              <w:top w:val="single" w:sz="3" w:space="0" w:color="000000"/>
              <w:left w:val="single" w:sz="3" w:space="0" w:color="000000"/>
              <w:bottom w:val="single" w:sz="3" w:space="0" w:color="000000"/>
              <w:right w:val="single" w:sz="3" w:space="0" w:color="000000"/>
            </w:tcBorders>
            <w:vAlign w:val="bottom"/>
          </w:tcPr>
          <w:p w14:paraId="51EE5794" w14:textId="77777777" w:rsidR="00FE3CA0" w:rsidRPr="00163E6F" w:rsidRDefault="00FE3CA0" w:rsidP="005A0EE5">
            <w:pPr>
              <w:autoSpaceDE w:val="0"/>
              <w:autoSpaceDN w:val="0"/>
              <w:adjustRightInd w:val="0"/>
              <w:jc w:val="center"/>
              <w:rPr>
                <w:rFonts w:ascii="Calibri" w:hAnsi="Calibri" w:cs="Calibri"/>
              </w:rPr>
            </w:pPr>
            <w:r w:rsidRPr="00163E6F">
              <w:rPr>
                <w:b/>
                <w:bCs/>
                <w:szCs w:val="24"/>
              </w:rPr>
              <w:t>Darbība</w:t>
            </w:r>
          </w:p>
        </w:tc>
        <w:tc>
          <w:tcPr>
            <w:tcW w:w="4144" w:type="dxa"/>
            <w:tcBorders>
              <w:top w:val="single" w:sz="3" w:space="0" w:color="000000"/>
              <w:left w:val="single" w:sz="3" w:space="0" w:color="000000"/>
              <w:bottom w:val="single" w:sz="3" w:space="0" w:color="000000"/>
              <w:right w:val="single" w:sz="3" w:space="0" w:color="000000"/>
            </w:tcBorders>
            <w:vAlign w:val="bottom"/>
          </w:tcPr>
          <w:p w14:paraId="3FA2B7E2" w14:textId="77777777" w:rsidR="00FE3CA0" w:rsidRPr="00163E6F" w:rsidRDefault="00FE3CA0" w:rsidP="005A0EE5">
            <w:pPr>
              <w:autoSpaceDE w:val="0"/>
              <w:autoSpaceDN w:val="0"/>
              <w:adjustRightInd w:val="0"/>
              <w:jc w:val="center"/>
              <w:rPr>
                <w:rFonts w:ascii="Calibri" w:hAnsi="Calibri" w:cs="Calibri"/>
              </w:rPr>
            </w:pPr>
            <w:r w:rsidRPr="00163E6F">
              <w:rPr>
                <w:b/>
                <w:bCs/>
                <w:szCs w:val="24"/>
              </w:rPr>
              <w:t>Rezultāti</w:t>
            </w:r>
          </w:p>
        </w:tc>
        <w:tc>
          <w:tcPr>
            <w:tcW w:w="2100" w:type="dxa"/>
            <w:tcBorders>
              <w:top w:val="single" w:sz="3" w:space="0" w:color="000000"/>
              <w:left w:val="single" w:sz="3" w:space="0" w:color="000000"/>
              <w:bottom w:val="single" w:sz="3" w:space="0" w:color="000000"/>
              <w:right w:val="single" w:sz="3" w:space="0" w:color="000000"/>
            </w:tcBorders>
            <w:vAlign w:val="bottom"/>
          </w:tcPr>
          <w:p w14:paraId="60754140" w14:textId="77777777" w:rsidR="00FE3CA0" w:rsidRPr="00163E6F" w:rsidRDefault="00FE3CA0" w:rsidP="005A0EE5">
            <w:pPr>
              <w:autoSpaceDE w:val="0"/>
              <w:autoSpaceDN w:val="0"/>
              <w:adjustRightInd w:val="0"/>
              <w:jc w:val="center"/>
              <w:rPr>
                <w:rFonts w:ascii="Calibri" w:hAnsi="Calibri" w:cs="Calibri"/>
              </w:rPr>
            </w:pPr>
            <w:r w:rsidRPr="00163E6F">
              <w:rPr>
                <w:b/>
                <w:bCs/>
                <w:szCs w:val="24"/>
              </w:rPr>
              <w:t>Atbildīgās iestādes</w:t>
            </w:r>
          </w:p>
        </w:tc>
      </w:tr>
      <w:tr w:rsidR="00FE3CA0" w:rsidRPr="00163E6F" w14:paraId="105F0540" w14:textId="77777777" w:rsidTr="005A0EE5">
        <w:trPr>
          <w:trHeight w:val="1"/>
        </w:trPr>
        <w:tc>
          <w:tcPr>
            <w:tcW w:w="3151" w:type="dxa"/>
            <w:tcBorders>
              <w:top w:val="single" w:sz="3" w:space="0" w:color="000000"/>
              <w:left w:val="single" w:sz="3" w:space="0" w:color="000000"/>
              <w:bottom w:val="single" w:sz="3" w:space="0" w:color="000000"/>
              <w:right w:val="single" w:sz="3" w:space="0" w:color="000000"/>
            </w:tcBorders>
          </w:tcPr>
          <w:p w14:paraId="15CD7A37" w14:textId="77777777" w:rsidR="00FE3CA0" w:rsidRPr="00163E6F" w:rsidRDefault="00FE3CA0" w:rsidP="005A0EE5">
            <w:pPr>
              <w:autoSpaceDE w:val="0"/>
              <w:autoSpaceDN w:val="0"/>
              <w:adjustRightInd w:val="0"/>
              <w:jc w:val="left"/>
              <w:rPr>
                <w:rFonts w:ascii="Calibri" w:hAnsi="Calibri" w:cs="Calibri"/>
              </w:rPr>
            </w:pPr>
            <w:r>
              <w:rPr>
                <w:szCs w:val="24"/>
              </w:rPr>
              <w:t>Oglekļa krātuves saglabāšana</w:t>
            </w:r>
            <w:r w:rsidRPr="00163E6F">
              <w:rPr>
                <w:szCs w:val="24"/>
              </w:rPr>
              <w:t xml:space="preserve"> </w:t>
            </w:r>
            <w:r>
              <w:rPr>
                <w:szCs w:val="24"/>
              </w:rPr>
              <w:t>līdzsvarojot vides, sociālās un ekonomiskās vajadzības</w:t>
            </w:r>
          </w:p>
        </w:tc>
        <w:tc>
          <w:tcPr>
            <w:tcW w:w="4144" w:type="dxa"/>
            <w:tcBorders>
              <w:top w:val="single" w:sz="3" w:space="0" w:color="000000"/>
              <w:left w:val="single" w:sz="3" w:space="0" w:color="000000"/>
              <w:bottom w:val="single" w:sz="3" w:space="0" w:color="000000"/>
              <w:right w:val="single" w:sz="3" w:space="0" w:color="000000"/>
            </w:tcBorders>
          </w:tcPr>
          <w:p w14:paraId="06D6590A" w14:textId="77777777" w:rsidR="00FE3CA0" w:rsidRPr="007C2B46" w:rsidRDefault="00FE3CA0" w:rsidP="005A0EE5">
            <w:pPr>
              <w:autoSpaceDE w:val="0"/>
              <w:autoSpaceDN w:val="0"/>
              <w:adjustRightInd w:val="0"/>
              <w:jc w:val="left"/>
              <w:rPr>
                <w:szCs w:val="24"/>
              </w:rPr>
            </w:pPr>
            <w:r w:rsidRPr="007C2B46">
              <w:rPr>
                <w:szCs w:val="24"/>
              </w:rPr>
              <w:t>Kūdras resursu ieguves plānošana, ieguves uzraudzība</w:t>
            </w:r>
          </w:p>
        </w:tc>
        <w:tc>
          <w:tcPr>
            <w:tcW w:w="2100" w:type="dxa"/>
            <w:tcBorders>
              <w:top w:val="single" w:sz="3" w:space="0" w:color="000000"/>
              <w:left w:val="single" w:sz="3" w:space="0" w:color="000000"/>
              <w:bottom w:val="single" w:sz="3" w:space="0" w:color="000000"/>
              <w:right w:val="single" w:sz="3" w:space="0" w:color="000000"/>
            </w:tcBorders>
          </w:tcPr>
          <w:p w14:paraId="68228BEE" w14:textId="77777777" w:rsidR="00FE3CA0" w:rsidRPr="007C2B46" w:rsidRDefault="00FE3CA0" w:rsidP="005A0EE5">
            <w:pPr>
              <w:autoSpaceDE w:val="0"/>
              <w:autoSpaceDN w:val="0"/>
              <w:adjustRightInd w:val="0"/>
              <w:jc w:val="left"/>
              <w:rPr>
                <w:szCs w:val="24"/>
              </w:rPr>
            </w:pPr>
            <w:r w:rsidRPr="007C2B46">
              <w:rPr>
                <w:szCs w:val="24"/>
              </w:rPr>
              <w:t>VARAM, VVD</w:t>
            </w:r>
          </w:p>
        </w:tc>
      </w:tr>
      <w:tr w:rsidR="00FE3CA0" w:rsidRPr="00163E6F" w14:paraId="2CAFDB28" w14:textId="77777777" w:rsidTr="005A0EE5">
        <w:trPr>
          <w:trHeight w:val="1"/>
        </w:trPr>
        <w:tc>
          <w:tcPr>
            <w:tcW w:w="3151" w:type="dxa"/>
            <w:tcBorders>
              <w:top w:val="single" w:sz="3" w:space="0" w:color="000000"/>
              <w:left w:val="single" w:sz="3" w:space="0" w:color="000000"/>
              <w:bottom w:val="single" w:sz="3" w:space="0" w:color="000000"/>
              <w:right w:val="single" w:sz="3" w:space="0" w:color="000000"/>
            </w:tcBorders>
          </w:tcPr>
          <w:p w14:paraId="28592F49" w14:textId="77777777" w:rsidR="00FE3CA0" w:rsidRPr="00163E6F" w:rsidRDefault="00FE3CA0" w:rsidP="005A0EE5">
            <w:pPr>
              <w:autoSpaceDE w:val="0"/>
              <w:autoSpaceDN w:val="0"/>
              <w:adjustRightInd w:val="0"/>
              <w:jc w:val="left"/>
              <w:rPr>
                <w:rFonts w:ascii="Calibri" w:hAnsi="Calibri" w:cs="Calibri"/>
              </w:rPr>
            </w:pPr>
            <w:r>
              <w:rPr>
                <w:szCs w:val="24"/>
              </w:rPr>
              <w:t>Oglekļa krātuvju uzskaite</w:t>
            </w:r>
          </w:p>
        </w:tc>
        <w:tc>
          <w:tcPr>
            <w:tcW w:w="4144" w:type="dxa"/>
            <w:tcBorders>
              <w:top w:val="single" w:sz="3" w:space="0" w:color="000000"/>
              <w:left w:val="single" w:sz="3" w:space="0" w:color="000000"/>
              <w:bottom w:val="single" w:sz="3" w:space="0" w:color="000000"/>
              <w:right w:val="single" w:sz="3" w:space="0" w:color="000000"/>
            </w:tcBorders>
          </w:tcPr>
          <w:p w14:paraId="0077BE7E" w14:textId="77777777" w:rsidR="00FE3CA0" w:rsidRPr="007C2B46" w:rsidRDefault="00FE3CA0" w:rsidP="005A0EE5">
            <w:pPr>
              <w:autoSpaceDE w:val="0"/>
              <w:autoSpaceDN w:val="0"/>
              <w:adjustRightInd w:val="0"/>
              <w:jc w:val="left"/>
              <w:rPr>
                <w:szCs w:val="24"/>
              </w:rPr>
            </w:pPr>
            <w:r w:rsidRPr="007C2B46">
              <w:rPr>
                <w:szCs w:val="24"/>
              </w:rPr>
              <w:t>SEG emisiju un piesaistes inventarizācija un prognozēšana mitrājos</w:t>
            </w:r>
          </w:p>
        </w:tc>
        <w:tc>
          <w:tcPr>
            <w:tcW w:w="2100" w:type="dxa"/>
            <w:tcBorders>
              <w:top w:val="single" w:sz="3" w:space="0" w:color="000000"/>
              <w:left w:val="single" w:sz="3" w:space="0" w:color="000000"/>
              <w:bottom w:val="single" w:sz="3" w:space="0" w:color="000000"/>
              <w:right w:val="single" w:sz="3" w:space="0" w:color="000000"/>
            </w:tcBorders>
          </w:tcPr>
          <w:p w14:paraId="0CD39961" w14:textId="77777777" w:rsidR="00FE3CA0" w:rsidRPr="00163E6F" w:rsidRDefault="00FE3CA0" w:rsidP="005A0EE5">
            <w:pPr>
              <w:autoSpaceDE w:val="0"/>
              <w:autoSpaceDN w:val="0"/>
              <w:adjustRightInd w:val="0"/>
              <w:jc w:val="left"/>
              <w:rPr>
                <w:rFonts w:ascii="Calibri" w:hAnsi="Calibri" w:cs="Calibri"/>
              </w:rPr>
            </w:pPr>
            <w:r w:rsidRPr="00163E6F">
              <w:rPr>
                <w:szCs w:val="24"/>
              </w:rPr>
              <w:t>VARAM</w:t>
            </w:r>
          </w:p>
        </w:tc>
      </w:tr>
      <w:tr w:rsidR="00FE3CA0" w:rsidRPr="00163E6F" w14:paraId="1109CDC9" w14:textId="77777777" w:rsidTr="005A0EE5">
        <w:trPr>
          <w:trHeight w:val="1"/>
        </w:trPr>
        <w:tc>
          <w:tcPr>
            <w:tcW w:w="3151" w:type="dxa"/>
            <w:tcBorders>
              <w:top w:val="single" w:sz="3" w:space="0" w:color="000000"/>
              <w:left w:val="single" w:sz="3" w:space="0" w:color="000000"/>
              <w:bottom w:val="single" w:sz="3" w:space="0" w:color="000000"/>
              <w:right w:val="single" w:sz="3" w:space="0" w:color="000000"/>
            </w:tcBorders>
          </w:tcPr>
          <w:p w14:paraId="7177665B" w14:textId="77777777" w:rsidR="00FE3CA0" w:rsidRDefault="00FE3CA0" w:rsidP="005A0EE5">
            <w:pPr>
              <w:autoSpaceDE w:val="0"/>
              <w:autoSpaceDN w:val="0"/>
              <w:adjustRightInd w:val="0"/>
              <w:jc w:val="left"/>
              <w:rPr>
                <w:szCs w:val="24"/>
              </w:rPr>
            </w:pPr>
            <w:r>
              <w:rPr>
                <w:szCs w:val="24"/>
              </w:rPr>
              <w:t>Kūdras izmantošanas kompensēšana</w:t>
            </w:r>
          </w:p>
        </w:tc>
        <w:tc>
          <w:tcPr>
            <w:tcW w:w="4144" w:type="dxa"/>
            <w:tcBorders>
              <w:top w:val="single" w:sz="3" w:space="0" w:color="000000"/>
              <w:left w:val="single" w:sz="3" w:space="0" w:color="000000"/>
              <w:bottom w:val="single" w:sz="3" w:space="0" w:color="000000"/>
              <w:right w:val="single" w:sz="3" w:space="0" w:color="000000"/>
            </w:tcBorders>
          </w:tcPr>
          <w:p w14:paraId="0C9EAAEF" w14:textId="77777777" w:rsidR="00FE3CA0" w:rsidRPr="007C2B46" w:rsidRDefault="00FE3CA0" w:rsidP="005A0EE5">
            <w:pPr>
              <w:autoSpaceDE w:val="0"/>
              <w:autoSpaceDN w:val="0"/>
              <w:adjustRightInd w:val="0"/>
              <w:jc w:val="left"/>
              <w:rPr>
                <w:szCs w:val="24"/>
              </w:rPr>
            </w:pPr>
            <w:r>
              <w:rPr>
                <w:szCs w:val="24"/>
              </w:rPr>
              <w:t>Kūdras izmantošanas kompensēšanas mehānisma izstrāde</w:t>
            </w:r>
          </w:p>
        </w:tc>
        <w:tc>
          <w:tcPr>
            <w:tcW w:w="2100" w:type="dxa"/>
            <w:tcBorders>
              <w:top w:val="single" w:sz="3" w:space="0" w:color="000000"/>
              <w:left w:val="single" w:sz="3" w:space="0" w:color="000000"/>
              <w:bottom w:val="single" w:sz="3" w:space="0" w:color="000000"/>
              <w:right w:val="single" w:sz="3" w:space="0" w:color="000000"/>
            </w:tcBorders>
          </w:tcPr>
          <w:p w14:paraId="3E1043E7" w14:textId="77777777" w:rsidR="00FE3CA0" w:rsidRPr="00163E6F" w:rsidRDefault="00FE3CA0" w:rsidP="005A0EE5">
            <w:pPr>
              <w:autoSpaceDE w:val="0"/>
              <w:autoSpaceDN w:val="0"/>
              <w:adjustRightInd w:val="0"/>
              <w:jc w:val="left"/>
              <w:rPr>
                <w:szCs w:val="24"/>
              </w:rPr>
            </w:pPr>
            <w:r>
              <w:rPr>
                <w:szCs w:val="24"/>
              </w:rPr>
              <w:t>VARAM</w:t>
            </w:r>
          </w:p>
        </w:tc>
      </w:tr>
    </w:tbl>
    <w:p w14:paraId="171F6D57" w14:textId="77777777" w:rsidR="00FE3CA0" w:rsidRPr="00163E6F" w:rsidRDefault="00FE3CA0" w:rsidP="00F32ADB">
      <w:pPr>
        <w:autoSpaceDE w:val="0"/>
        <w:autoSpaceDN w:val="0"/>
        <w:adjustRightInd w:val="0"/>
        <w:spacing w:after="120"/>
        <w:jc w:val="right"/>
        <w:rPr>
          <w:szCs w:val="24"/>
        </w:rPr>
      </w:pPr>
    </w:p>
    <w:p w14:paraId="606F95D1" w14:textId="68BC6577" w:rsidR="00F32ADB" w:rsidRPr="00163E6F" w:rsidRDefault="00FE3CA0" w:rsidP="00F32ADB">
      <w:pPr>
        <w:autoSpaceDE w:val="0"/>
        <w:autoSpaceDN w:val="0"/>
        <w:adjustRightInd w:val="0"/>
        <w:spacing w:after="120"/>
        <w:jc w:val="right"/>
        <w:rPr>
          <w:szCs w:val="24"/>
        </w:rPr>
      </w:pPr>
      <w:r>
        <w:rPr>
          <w:szCs w:val="24"/>
        </w:rPr>
        <w:t>9</w:t>
      </w:r>
      <w:r w:rsidR="00F32ADB" w:rsidRPr="00163E6F">
        <w:rPr>
          <w:szCs w:val="24"/>
        </w:rPr>
        <w:t>.tabula</w:t>
      </w:r>
    </w:p>
    <w:p w14:paraId="33D36737" w14:textId="77777777" w:rsidR="00165D83" w:rsidRPr="00163E6F" w:rsidRDefault="00165D83" w:rsidP="00165D83">
      <w:pPr>
        <w:autoSpaceDE w:val="0"/>
        <w:autoSpaceDN w:val="0"/>
        <w:adjustRightInd w:val="0"/>
        <w:spacing w:before="120" w:after="120"/>
        <w:jc w:val="center"/>
        <w:rPr>
          <w:b/>
          <w:szCs w:val="24"/>
        </w:rPr>
      </w:pPr>
      <w:r w:rsidRPr="00163E6F">
        <w:rPr>
          <w:b/>
          <w:szCs w:val="24"/>
        </w:rPr>
        <w:t>Hidroloģiskā režīma un ūdens kvalitātes nodrošināšana</w:t>
      </w:r>
    </w:p>
    <w:tbl>
      <w:tblPr>
        <w:tblW w:w="0" w:type="auto"/>
        <w:tblInd w:w="108" w:type="dxa"/>
        <w:tblLayout w:type="fixed"/>
        <w:tblLook w:val="0000" w:firstRow="0" w:lastRow="0" w:firstColumn="0" w:lastColumn="0" w:noHBand="0" w:noVBand="0"/>
      </w:tblPr>
      <w:tblGrid>
        <w:gridCol w:w="3063"/>
        <w:gridCol w:w="4204"/>
        <w:gridCol w:w="2128"/>
      </w:tblGrid>
      <w:tr w:rsidR="00165D83" w:rsidRPr="00163E6F" w14:paraId="7201CFF7" w14:textId="77777777">
        <w:trPr>
          <w:trHeight w:val="1"/>
        </w:trPr>
        <w:tc>
          <w:tcPr>
            <w:tcW w:w="3063" w:type="dxa"/>
            <w:tcBorders>
              <w:top w:val="single" w:sz="3" w:space="0" w:color="000000"/>
              <w:left w:val="single" w:sz="3" w:space="0" w:color="000000"/>
              <w:bottom w:val="single" w:sz="3" w:space="0" w:color="000000"/>
              <w:right w:val="single" w:sz="3" w:space="0" w:color="000000"/>
            </w:tcBorders>
            <w:vAlign w:val="bottom"/>
          </w:tcPr>
          <w:p w14:paraId="502B7F39"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204" w:type="dxa"/>
            <w:tcBorders>
              <w:top w:val="single" w:sz="3" w:space="0" w:color="000000"/>
              <w:left w:val="single" w:sz="3" w:space="0" w:color="000000"/>
              <w:bottom w:val="single" w:sz="3" w:space="0" w:color="000000"/>
              <w:right w:val="single" w:sz="3" w:space="0" w:color="000000"/>
            </w:tcBorders>
            <w:vAlign w:val="bottom"/>
          </w:tcPr>
          <w:p w14:paraId="2FBC8A2B"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128" w:type="dxa"/>
            <w:tcBorders>
              <w:top w:val="single" w:sz="3" w:space="0" w:color="000000"/>
              <w:left w:val="single" w:sz="3" w:space="0" w:color="000000"/>
              <w:bottom w:val="single" w:sz="3" w:space="0" w:color="000000"/>
              <w:right w:val="single" w:sz="3" w:space="0" w:color="000000"/>
            </w:tcBorders>
            <w:vAlign w:val="bottom"/>
          </w:tcPr>
          <w:p w14:paraId="6F0D7301"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4136B437" w14:textId="77777777">
        <w:trPr>
          <w:trHeight w:val="1"/>
        </w:trPr>
        <w:tc>
          <w:tcPr>
            <w:tcW w:w="3063" w:type="dxa"/>
            <w:tcBorders>
              <w:top w:val="single" w:sz="3" w:space="0" w:color="000000"/>
              <w:left w:val="single" w:sz="3" w:space="0" w:color="000000"/>
              <w:bottom w:val="single" w:sz="3" w:space="0" w:color="000000"/>
              <w:right w:val="single" w:sz="3" w:space="0" w:color="000000"/>
            </w:tcBorders>
          </w:tcPr>
          <w:p w14:paraId="4A94386E" w14:textId="77777777" w:rsidR="00165D83" w:rsidRPr="00163E6F" w:rsidRDefault="00165D83">
            <w:pPr>
              <w:autoSpaceDE w:val="0"/>
              <w:autoSpaceDN w:val="0"/>
              <w:adjustRightInd w:val="0"/>
              <w:jc w:val="left"/>
              <w:rPr>
                <w:rFonts w:ascii="Calibri" w:hAnsi="Calibri" w:cs="Calibri"/>
              </w:rPr>
            </w:pPr>
            <w:r w:rsidRPr="00163E6F">
              <w:rPr>
                <w:szCs w:val="24"/>
              </w:rPr>
              <w:t>Degradētu purvu atjaunošana</w:t>
            </w:r>
          </w:p>
        </w:tc>
        <w:tc>
          <w:tcPr>
            <w:tcW w:w="4204" w:type="dxa"/>
            <w:tcBorders>
              <w:top w:val="single" w:sz="3" w:space="0" w:color="000000"/>
              <w:left w:val="single" w:sz="3" w:space="0" w:color="000000"/>
              <w:bottom w:val="single" w:sz="3" w:space="0" w:color="000000"/>
              <w:right w:val="single" w:sz="3" w:space="0" w:color="000000"/>
            </w:tcBorders>
          </w:tcPr>
          <w:p w14:paraId="3345BDFC" w14:textId="77777777" w:rsidR="00165D83" w:rsidRPr="00163E6F" w:rsidRDefault="00165D83">
            <w:pPr>
              <w:autoSpaceDE w:val="0"/>
              <w:autoSpaceDN w:val="0"/>
              <w:adjustRightInd w:val="0"/>
              <w:jc w:val="left"/>
              <w:rPr>
                <w:rFonts w:ascii="Calibri" w:hAnsi="Calibri" w:cs="Calibri"/>
              </w:rPr>
            </w:pPr>
            <w:r w:rsidRPr="00163E6F">
              <w:rPr>
                <w:szCs w:val="24"/>
              </w:rPr>
              <w:t>Purvu atjaunošana, kur tas iespējams (pēc ekspertu vērtējuma)</w:t>
            </w:r>
          </w:p>
        </w:tc>
        <w:tc>
          <w:tcPr>
            <w:tcW w:w="2128" w:type="dxa"/>
            <w:tcBorders>
              <w:top w:val="single" w:sz="3" w:space="0" w:color="000000"/>
              <w:left w:val="single" w:sz="3" w:space="0" w:color="000000"/>
              <w:bottom w:val="single" w:sz="3" w:space="0" w:color="000000"/>
              <w:right w:val="single" w:sz="3" w:space="0" w:color="000000"/>
            </w:tcBorders>
          </w:tcPr>
          <w:p w14:paraId="15964737" w14:textId="77777777" w:rsidR="00165D83" w:rsidRPr="00163E6F" w:rsidRDefault="00165D83">
            <w:pPr>
              <w:autoSpaceDE w:val="0"/>
              <w:autoSpaceDN w:val="0"/>
              <w:adjustRightInd w:val="0"/>
              <w:jc w:val="left"/>
              <w:rPr>
                <w:rFonts w:ascii="Calibri" w:hAnsi="Calibri" w:cs="Calibri"/>
              </w:rPr>
            </w:pPr>
            <w:r w:rsidRPr="00163E6F">
              <w:rPr>
                <w:szCs w:val="24"/>
              </w:rPr>
              <w:t>VARAM; VVD; LKA, DAP, komersanti</w:t>
            </w:r>
          </w:p>
        </w:tc>
      </w:tr>
      <w:tr w:rsidR="00165D83" w:rsidRPr="00163E6F" w14:paraId="4BDAB2C7" w14:textId="77777777">
        <w:trPr>
          <w:trHeight w:val="1"/>
        </w:trPr>
        <w:tc>
          <w:tcPr>
            <w:tcW w:w="3063" w:type="dxa"/>
            <w:tcBorders>
              <w:top w:val="single" w:sz="3" w:space="0" w:color="000000"/>
              <w:left w:val="single" w:sz="3" w:space="0" w:color="000000"/>
              <w:bottom w:val="single" w:sz="3" w:space="0" w:color="000000"/>
              <w:right w:val="single" w:sz="3" w:space="0" w:color="000000"/>
            </w:tcBorders>
            <w:vAlign w:val="center"/>
          </w:tcPr>
          <w:p w14:paraId="6AAC7466" w14:textId="77777777" w:rsidR="00165D83" w:rsidRPr="00163E6F" w:rsidRDefault="00165D83">
            <w:pPr>
              <w:autoSpaceDE w:val="0"/>
              <w:autoSpaceDN w:val="0"/>
              <w:adjustRightInd w:val="0"/>
              <w:jc w:val="left"/>
              <w:rPr>
                <w:rFonts w:ascii="Calibri" w:hAnsi="Calibri" w:cs="Calibri"/>
              </w:rPr>
            </w:pPr>
            <w:r w:rsidRPr="00163E6F">
              <w:rPr>
                <w:szCs w:val="24"/>
              </w:rPr>
              <w:t>Novērošana un diagnostika</w:t>
            </w:r>
          </w:p>
        </w:tc>
        <w:tc>
          <w:tcPr>
            <w:tcW w:w="4204" w:type="dxa"/>
            <w:tcBorders>
              <w:top w:val="single" w:sz="3" w:space="0" w:color="000000"/>
              <w:left w:val="single" w:sz="3" w:space="0" w:color="000000"/>
              <w:bottom w:val="single" w:sz="3" w:space="0" w:color="000000"/>
              <w:right w:val="single" w:sz="3" w:space="0" w:color="000000"/>
            </w:tcBorders>
            <w:vAlign w:val="center"/>
          </w:tcPr>
          <w:p w14:paraId="74FA65C3" w14:textId="77777777" w:rsidR="00165D83" w:rsidRPr="00163E6F" w:rsidRDefault="00165D83">
            <w:pPr>
              <w:autoSpaceDE w:val="0"/>
              <w:autoSpaceDN w:val="0"/>
              <w:adjustRightInd w:val="0"/>
              <w:jc w:val="left"/>
              <w:rPr>
                <w:rFonts w:ascii="Calibri" w:hAnsi="Calibri" w:cs="Calibri"/>
              </w:rPr>
            </w:pPr>
            <w:r w:rsidRPr="00163E6F">
              <w:rPr>
                <w:szCs w:val="24"/>
              </w:rPr>
              <w:t>Ekosistēmas atjaunošanās (arī ietekme uz apkārtējo vidi: mežsaimniecību, lauksaimniecību, ceļu infrastruktūru)</w:t>
            </w:r>
          </w:p>
        </w:tc>
        <w:tc>
          <w:tcPr>
            <w:tcW w:w="2128" w:type="dxa"/>
            <w:tcBorders>
              <w:top w:val="single" w:sz="3" w:space="0" w:color="000000"/>
              <w:left w:val="single" w:sz="3" w:space="0" w:color="000000"/>
              <w:bottom w:val="single" w:sz="3" w:space="0" w:color="000000"/>
              <w:right w:val="single" w:sz="3" w:space="0" w:color="000000"/>
            </w:tcBorders>
            <w:vAlign w:val="center"/>
          </w:tcPr>
          <w:p w14:paraId="451EDB95" w14:textId="77777777" w:rsidR="00165D83" w:rsidRPr="00163E6F" w:rsidRDefault="00165D83">
            <w:pPr>
              <w:autoSpaceDE w:val="0"/>
              <w:autoSpaceDN w:val="0"/>
              <w:adjustRightInd w:val="0"/>
              <w:jc w:val="left"/>
              <w:rPr>
                <w:rFonts w:ascii="Calibri" w:hAnsi="Calibri" w:cs="Calibri"/>
              </w:rPr>
            </w:pPr>
            <w:r w:rsidRPr="00163E6F">
              <w:rPr>
                <w:szCs w:val="24"/>
              </w:rPr>
              <w:t>LLU; LU; DU; VVD</w:t>
            </w:r>
          </w:p>
        </w:tc>
      </w:tr>
    </w:tbl>
    <w:p w14:paraId="2009595B" w14:textId="77777777" w:rsidR="00F32ADB" w:rsidRPr="00163E6F" w:rsidRDefault="00F32ADB" w:rsidP="00F32ADB">
      <w:pPr>
        <w:autoSpaceDE w:val="0"/>
        <w:autoSpaceDN w:val="0"/>
        <w:adjustRightInd w:val="0"/>
        <w:spacing w:after="120"/>
        <w:jc w:val="right"/>
        <w:rPr>
          <w:szCs w:val="24"/>
        </w:rPr>
      </w:pPr>
    </w:p>
    <w:p w14:paraId="21B5C277" w14:textId="6757BC9D" w:rsidR="00165D83" w:rsidRPr="00163E6F" w:rsidRDefault="00FE3CA0" w:rsidP="00F32ADB">
      <w:pPr>
        <w:autoSpaceDE w:val="0"/>
        <w:autoSpaceDN w:val="0"/>
        <w:adjustRightInd w:val="0"/>
        <w:spacing w:after="120"/>
        <w:jc w:val="right"/>
        <w:rPr>
          <w:szCs w:val="24"/>
        </w:rPr>
      </w:pPr>
      <w:r>
        <w:rPr>
          <w:szCs w:val="24"/>
        </w:rPr>
        <w:t>10</w:t>
      </w:r>
      <w:r w:rsidR="00F32ADB" w:rsidRPr="00163E6F">
        <w:rPr>
          <w:szCs w:val="24"/>
        </w:rPr>
        <w:t>.tabula</w:t>
      </w:r>
    </w:p>
    <w:p w14:paraId="54F210DE" w14:textId="77777777" w:rsidR="00165D83" w:rsidRPr="00163E6F" w:rsidRDefault="00165D83" w:rsidP="00165D83">
      <w:pPr>
        <w:autoSpaceDE w:val="0"/>
        <w:autoSpaceDN w:val="0"/>
        <w:adjustRightInd w:val="0"/>
        <w:spacing w:before="120" w:after="120"/>
        <w:jc w:val="center"/>
        <w:rPr>
          <w:b/>
          <w:szCs w:val="24"/>
        </w:rPr>
      </w:pPr>
      <w:r w:rsidRPr="00163E6F">
        <w:rPr>
          <w:b/>
          <w:szCs w:val="24"/>
        </w:rPr>
        <w:t>Izglītības, zinātniskās darbības nodrošināšana</w:t>
      </w:r>
    </w:p>
    <w:tbl>
      <w:tblPr>
        <w:tblW w:w="9356" w:type="dxa"/>
        <w:tblInd w:w="108" w:type="dxa"/>
        <w:tblLayout w:type="fixed"/>
        <w:tblLook w:val="0000" w:firstRow="0" w:lastRow="0" w:firstColumn="0" w:lastColumn="0" w:noHBand="0" w:noVBand="0"/>
      </w:tblPr>
      <w:tblGrid>
        <w:gridCol w:w="3261"/>
        <w:gridCol w:w="3969"/>
        <w:gridCol w:w="2126"/>
      </w:tblGrid>
      <w:tr w:rsidR="00165D83" w:rsidRPr="00163E6F" w14:paraId="66DE5835" w14:textId="77777777" w:rsidTr="00410D27">
        <w:trPr>
          <w:trHeight w:val="1"/>
        </w:trPr>
        <w:tc>
          <w:tcPr>
            <w:tcW w:w="3261" w:type="dxa"/>
            <w:tcBorders>
              <w:top w:val="single" w:sz="3" w:space="0" w:color="000000"/>
              <w:left w:val="single" w:sz="3" w:space="0" w:color="000000"/>
              <w:bottom w:val="single" w:sz="3" w:space="0" w:color="000000"/>
              <w:right w:val="single" w:sz="3" w:space="0" w:color="000000"/>
            </w:tcBorders>
            <w:vAlign w:val="bottom"/>
          </w:tcPr>
          <w:p w14:paraId="657DF2FB"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3969" w:type="dxa"/>
            <w:tcBorders>
              <w:top w:val="single" w:sz="3" w:space="0" w:color="000000"/>
              <w:left w:val="single" w:sz="3" w:space="0" w:color="000000"/>
              <w:bottom w:val="single" w:sz="3" w:space="0" w:color="000000"/>
              <w:right w:val="single" w:sz="3" w:space="0" w:color="000000"/>
            </w:tcBorders>
            <w:vAlign w:val="bottom"/>
          </w:tcPr>
          <w:p w14:paraId="2BDF7B53"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126" w:type="dxa"/>
            <w:tcBorders>
              <w:top w:val="single" w:sz="3" w:space="0" w:color="000000"/>
              <w:left w:val="single" w:sz="3" w:space="0" w:color="000000"/>
              <w:bottom w:val="single" w:sz="3" w:space="0" w:color="000000"/>
              <w:right w:val="single" w:sz="3" w:space="0" w:color="000000"/>
            </w:tcBorders>
            <w:vAlign w:val="bottom"/>
          </w:tcPr>
          <w:p w14:paraId="378AE776"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650F97C9" w14:textId="77777777" w:rsidTr="00410D27">
        <w:trPr>
          <w:trHeight w:val="1"/>
        </w:trPr>
        <w:tc>
          <w:tcPr>
            <w:tcW w:w="3261" w:type="dxa"/>
            <w:tcBorders>
              <w:top w:val="single" w:sz="3" w:space="0" w:color="000000"/>
              <w:left w:val="single" w:sz="3" w:space="0" w:color="000000"/>
              <w:bottom w:val="single" w:sz="3" w:space="0" w:color="000000"/>
              <w:right w:val="single" w:sz="3" w:space="0" w:color="000000"/>
            </w:tcBorders>
          </w:tcPr>
          <w:p w14:paraId="7AEAC7E3" w14:textId="77777777" w:rsidR="00165D83" w:rsidRPr="00163E6F" w:rsidRDefault="00165D83">
            <w:pPr>
              <w:autoSpaceDE w:val="0"/>
              <w:autoSpaceDN w:val="0"/>
              <w:adjustRightInd w:val="0"/>
              <w:jc w:val="left"/>
              <w:rPr>
                <w:rFonts w:ascii="Calibri" w:hAnsi="Calibri" w:cs="Calibri"/>
              </w:rPr>
            </w:pPr>
            <w:r w:rsidRPr="00163E6F">
              <w:rPr>
                <w:szCs w:val="24"/>
              </w:rPr>
              <w:t>Pamatizglītības nodrošināšana</w:t>
            </w:r>
          </w:p>
        </w:tc>
        <w:tc>
          <w:tcPr>
            <w:tcW w:w="3969" w:type="dxa"/>
            <w:tcBorders>
              <w:top w:val="single" w:sz="3" w:space="0" w:color="000000"/>
              <w:left w:val="single" w:sz="3" w:space="0" w:color="000000"/>
              <w:bottom w:val="single" w:sz="3" w:space="0" w:color="000000"/>
              <w:right w:val="single" w:sz="3" w:space="0" w:color="000000"/>
            </w:tcBorders>
          </w:tcPr>
          <w:p w14:paraId="1C03391E" w14:textId="77777777" w:rsidR="00165D83" w:rsidRPr="00163E6F" w:rsidRDefault="00165D83">
            <w:pPr>
              <w:autoSpaceDE w:val="0"/>
              <w:autoSpaceDN w:val="0"/>
              <w:adjustRightInd w:val="0"/>
              <w:jc w:val="left"/>
              <w:rPr>
                <w:rFonts w:ascii="Calibri" w:hAnsi="Calibri" w:cs="Calibri"/>
              </w:rPr>
            </w:pPr>
            <w:r w:rsidRPr="00163E6F">
              <w:rPr>
                <w:szCs w:val="24"/>
              </w:rPr>
              <w:t>Izglītojošās ekskursijas, praktiskie darbi (bioloģija, ķīmija, fizika)</w:t>
            </w:r>
          </w:p>
        </w:tc>
        <w:tc>
          <w:tcPr>
            <w:tcW w:w="2126" w:type="dxa"/>
            <w:tcBorders>
              <w:top w:val="single" w:sz="3" w:space="0" w:color="000000"/>
              <w:left w:val="single" w:sz="3" w:space="0" w:color="000000"/>
              <w:bottom w:val="single" w:sz="3" w:space="0" w:color="000000"/>
              <w:right w:val="single" w:sz="3" w:space="0" w:color="000000"/>
            </w:tcBorders>
          </w:tcPr>
          <w:p w14:paraId="42B2EBDF" w14:textId="77777777" w:rsidR="00165D83" w:rsidRPr="00163E6F" w:rsidRDefault="00165D83">
            <w:pPr>
              <w:autoSpaceDE w:val="0"/>
              <w:autoSpaceDN w:val="0"/>
              <w:adjustRightInd w:val="0"/>
              <w:jc w:val="left"/>
              <w:rPr>
                <w:rFonts w:ascii="Calibri" w:hAnsi="Calibri" w:cs="Calibri"/>
              </w:rPr>
            </w:pPr>
            <w:r w:rsidRPr="00163E6F">
              <w:rPr>
                <w:szCs w:val="24"/>
              </w:rPr>
              <w:t>IZM; skolas</w:t>
            </w:r>
          </w:p>
        </w:tc>
      </w:tr>
      <w:tr w:rsidR="00165D83" w:rsidRPr="00163E6F" w14:paraId="1A1E5745" w14:textId="77777777" w:rsidTr="00410D27">
        <w:trPr>
          <w:trHeight w:val="1"/>
        </w:trPr>
        <w:tc>
          <w:tcPr>
            <w:tcW w:w="3261" w:type="dxa"/>
            <w:tcBorders>
              <w:top w:val="single" w:sz="3" w:space="0" w:color="000000"/>
              <w:left w:val="single" w:sz="3" w:space="0" w:color="000000"/>
              <w:bottom w:val="single" w:sz="3" w:space="0" w:color="000000"/>
              <w:right w:val="single" w:sz="3" w:space="0" w:color="000000"/>
            </w:tcBorders>
          </w:tcPr>
          <w:p w14:paraId="223EE8B1" w14:textId="77777777" w:rsidR="00165D83" w:rsidRPr="00163E6F" w:rsidRDefault="00165D83">
            <w:pPr>
              <w:autoSpaceDE w:val="0"/>
              <w:autoSpaceDN w:val="0"/>
              <w:adjustRightInd w:val="0"/>
              <w:jc w:val="left"/>
              <w:rPr>
                <w:rFonts w:ascii="Calibri" w:hAnsi="Calibri" w:cs="Calibri"/>
              </w:rPr>
            </w:pPr>
            <w:r w:rsidRPr="00163E6F">
              <w:rPr>
                <w:szCs w:val="24"/>
              </w:rPr>
              <w:t>Vidējā un vidējā profesionālā izglītība</w:t>
            </w:r>
          </w:p>
        </w:tc>
        <w:tc>
          <w:tcPr>
            <w:tcW w:w="3969" w:type="dxa"/>
            <w:tcBorders>
              <w:top w:val="single" w:sz="3" w:space="0" w:color="000000"/>
              <w:left w:val="single" w:sz="3" w:space="0" w:color="000000"/>
              <w:bottom w:val="single" w:sz="3" w:space="0" w:color="000000"/>
              <w:right w:val="single" w:sz="3" w:space="0" w:color="000000"/>
            </w:tcBorders>
          </w:tcPr>
          <w:p w14:paraId="62718CA4" w14:textId="77777777" w:rsidR="00165D83" w:rsidRPr="00163E6F" w:rsidRDefault="00165D83">
            <w:pPr>
              <w:autoSpaceDE w:val="0"/>
              <w:autoSpaceDN w:val="0"/>
              <w:adjustRightInd w:val="0"/>
              <w:jc w:val="left"/>
              <w:rPr>
                <w:rFonts w:ascii="Calibri" w:hAnsi="Calibri" w:cs="Calibri"/>
              </w:rPr>
            </w:pPr>
            <w:r w:rsidRPr="00163E6F">
              <w:rPr>
                <w:szCs w:val="24"/>
              </w:rPr>
              <w:t>Izglītojošās ekskursijas, praktiskie darbi: vidusskolas mācību programmu ietvaros, profesionālo programmu ietvaros</w:t>
            </w:r>
          </w:p>
        </w:tc>
        <w:tc>
          <w:tcPr>
            <w:tcW w:w="2126" w:type="dxa"/>
            <w:tcBorders>
              <w:top w:val="single" w:sz="3" w:space="0" w:color="000000"/>
              <w:left w:val="single" w:sz="3" w:space="0" w:color="000000"/>
              <w:bottom w:val="single" w:sz="3" w:space="0" w:color="000000"/>
              <w:right w:val="single" w:sz="3" w:space="0" w:color="000000"/>
            </w:tcBorders>
          </w:tcPr>
          <w:p w14:paraId="392D4E37" w14:textId="77777777" w:rsidR="00165D83" w:rsidRPr="00163E6F" w:rsidRDefault="00165D83">
            <w:pPr>
              <w:autoSpaceDE w:val="0"/>
              <w:autoSpaceDN w:val="0"/>
              <w:adjustRightInd w:val="0"/>
              <w:jc w:val="left"/>
              <w:rPr>
                <w:rFonts w:ascii="Calibri" w:hAnsi="Calibri" w:cs="Calibri"/>
              </w:rPr>
            </w:pPr>
            <w:r w:rsidRPr="00163E6F">
              <w:rPr>
                <w:szCs w:val="24"/>
              </w:rPr>
              <w:t>IZM; skolas</w:t>
            </w:r>
          </w:p>
        </w:tc>
      </w:tr>
      <w:tr w:rsidR="00165D83" w:rsidRPr="00163E6F" w14:paraId="397E3B13" w14:textId="77777777" w:rsidTr="00410D27">
        <w:trPr>
          <w:trHeight w:val="1"/>
        </w:trPr>
        <w:tc>
          <w:tcPr>
            <w:tcW w:w="3261" w:type="dxa"/>
            <w:tcBorders>
              <w:top w:val="single" w:sz="3" w:space="0" w:color="000000"/>
              <w:left w:val="single" w:sz="3" w:space="0" w:color="000000"/>
              <w:bottom w:val="single" w:sz="3" w:space="0" w:color="000000"/>
              <w:right w:val="single" w:sz="3" w:space="0" w:color="000000"/>
            </w:tcBorders>
          </w:tcPr>
          <w:p w14:paraId="1906A9E4" w14:textId="77777777" w:rsidR="00165D83" w:rsidRPr="00163E6F" w:rsidRDefault="00165D83">
            <w:pPr>
              <w:autoSpaceDE w:val="0"/>
              <w:autoSpaceDN w:val="0"/>
              <w:adjustRightInd w:val="0"/>
              <w:jc w:val="left"/>
              <w:rPr>
                <w:rFonts w:ascii="Calibri" w:hAnsi="Calibri" w:cs="Calibri"/>
              </w:rPr>
            </w:pPr>
            <w:r w:rsidRPr="00163E6F">
              <w:rPr>
                <w:szCs w:val="24"/>
              </w:rPr>
              <w:t>Augstākā izglītība</w:t>
            </w:r>
          </w:p>
        </w:tc>
        <w:tc>
          <w:tcPr>
            <w:tcW w:w="3969" w:type="dxa"/>
            <w:tcBorders>
              <w:top w:val="single" w:sz="3" w:space="0" w:color="000000"/>
              <w:left w:val="single" w:sz="3" w:space="0" w:color="000000"/>
              <w:bottom w:val="single" w:sz="3" w:space="0" w:color="000000"/>
              <w:right w:val="single" w:sz="3" w:space="0" w:color="000000"/>
            </w:tcBorders>
          </w:tcPr>
          <w:p w14:paraId="2FB04FAB" w14:textId="77777777" w:rsidR="00165D83" w:rsidRPr="00163E6F" w:rsidRDefault="00165D83">
            <w:pPr>
              <w:autoSpaceDE w:val="0"/>
              <w:autoSpaceDN w:val="0"/>
              <w:adjustRightInd w:val="0"/>
              <w:jc w:val="left"/>
              <w:rPr>
                <w:rFonts w:ascii="Calibri" w:hAnsi="Calibri" w:cs="Calibri"/>
              </w:rPr>
            </w:pPr>
            <w:r w:rsidRPr="00163E6F">
              <w:rPr>
                <w:szCs w:val="24"/>
              </w:rPr>
              <w:t>Izglītojošas ekskursijas, praktiskie pētījumi, bakalauru darbu un maģistra darbu izstrāde, pētījumi</w:t>
            </w:r>
          </w:p>
        </w:tc>
        <w:tc>
          <w:tcPr>
            <w:tcW w:w="2126" w:type="dxa"/>
            <w:tcBorders>
              <w:top w:val="single" w:sz="3" w:space="0" w:color="000000"/>
              <w:left w:val="single" w:sz="3" w:space="0" w:color="000000"/>
              <w:bottom w:val="single" w:sz="3" w:space="0" w:color="000000"/>
              <w:right w:val="single" w:sz="3" w:space="0" w:color="000000"/>
            </w:tcBorders>
          </w:tcPr>
          <w:p w14:paraId="19ED23AC" w14:textId="77777777" w:rsidR="00165D83" w:rsidRPr="00163E6F" w:rsidRDefault="00165D83">
            <w:pPr>
              <w:autoSpaceDE w:val="0"/>
              <w:autoSpaceDN w:val="0"/>
              <w:adjustRightInd w:val="0"/>
              <w:jc w:val="left"/>
              <w:rPr>
                <w:rFonts w:ascii="Calibri" w:hAnsi="Calibri" w:cs="Calibri"/>
              </w:rPr>
            </w:pPr>
            <w:r w:rsidRPr="00163E6F">
              <w:rPr>
                <w:szCs w:val="24"/>
              </w:rPr>
              <w:t>IZM; LLU; LU; DU; RTU</w:t>
            </w:r>
          </w:p>
        </w:tc>
      </w:tr>
      <w:tr w:rsidR="00165D83" w:rsidRPr="00163E6F" w14:paraId="7E9ED458" w14:textId="77777777" w:rsidTr="00410D27">
        <w:trPr>
          <w:trHeight w:val="1"/>
        </w:trPr>
        <w:tc>
          <w:tcPr>
            <w:tcW w:w="3261" w:type="dxa"/>
            <w:tcBorders>
              <w:top w:val="single" w:sz="3" w:space="0" w:color="000000"/>
              <w:left w:val="single" w:sz="3" w:space="0" w:color="000000"/>
              <w:bottom w:val="single" w:sz="3" w:space="0" w:color="000000"/>
              <w:right w:val="single" w:sz="3" w:space="0" w:color="000000"/>
            </w:tcBorders>
          </w:tcPr>
          <w:p w14:paraId="3AAD2D95" w14:textId="77777777" w:rsidR="00165D83" w:rsidRPr="00163E6F" w:rsidRDefault="00165D83">
            <w:pPr>
              <w:autoSpaceDE w:val="0"/>
              <w:autoSpaceDN w:val="0"/>
              <w:adjustRightInd w:val="0"/>
              <w:jc w:val="left"/>
              <w:rPr>
                <w:rFonts w:ascii="Calibri" w:hAnsi="Calibri" w:cs="Calibri"/>
              </w:rPr>
            </w:pPr>
            <w:r w:rsidRPr="00163E6F">
              <w:rPr>
                <w:szCs w:val="24"/>
              </w:rPr>
              <w:t>Pētniecisko institūtu un privāto pētniecisko organizāciju darbs</w:t>
            </w:r>
          </w:p>
        </w:tc>
        <w:tc>
          <w:tcPr>
            <w:tcW w:w="3969" w:type="dxa"/>
            <w:tcBorders>
              <w:top w:val="single" w:sz="3" w:space="0" w:color="000000"/>
              <w:left w:val="single" w:sz="3" w:space="0" w:color="000000"/>
              <w:bottom w:val="single" w:sz="3" w:space="0" w:color="000000"/>
              <w:right w:val="single" w:sz="3" w:space="0" w:color="000000"/>
            </w:tcBorders>
          </w:tcPr>
          <w:p w14:paraId="20BA7344" w14:textId="77777777" w:rsidR="00165D83" w:rsidRPr="00163E6F" w:rsidRDefault="00165D83">
            <w:pPr>
              <w:autoSpaceDE w:val="0"/>
              <w:autoSpaceDN w:val="0"/>
              <w:adjustRightInd w:val="0"/>
              <w:jc w:val="left"/>
              <w:rPr>
                <w:rFonts w:ascii="Calibri" w:hAnsi="Calibri" w:cs="Calibri"/>
              </w:rPr>
            </w:pPr>
            <w:r w:rsidRPr="00163E6F">
              <w:rPr>
                <w:szCs w:val="24"/>
              </w:rPr>
              <w:t>Pētījumi: jaunas tehnoloģijas, jauni produkti</w:t>
            </w:r>
          </w:p>
        </w:tc>
        <w:tc>
          <w:tcPr>
            <w:tcW w:w="2126" w:type="dxa"/>
            <w:tcBorders>
              <w:top w:val="single" w:sz="3" w:space="0" w:color="000000"/>
              <w:left w:val="single" w:sz="3" w:space="0" w:color="000000"/>
              <w:bottom w:val="single" w:sz="3" w:space="0" w:color="000000"/>
              <w:right w:val="single" w:sz="3" w:space="0" w:color="000000"/>
            </w:tcBorders>
          </w:tcPr>
          <w:p w14:paraId="2BE4ABC8" w14:textId="77777777" w:rsidR="00165D83" w:rsidRPr="00163E6F" w:rsidRDefault="00165D83">
            <w:pPr>
              <w:autoSpaceDE w:val="0"/>
              <w:autoSpaceDN w:val="0"/>
              <w:adjustRightInd w:val="0"/>
              <w:jc w:val="left"/>
              <w:rPr>
                <w:rFonts w:ascii="Calibri" w:hAnsi="Calibri" w:cs="Calibri"/>
              </w:rPr>
            </w:pPr>
            <w:r w:rsidRPr="00163E6F">
              <w:rPr>
                <w:szCs w:val="24"/>
              </w:rPr>
              <w:t xml:space="preserve"> LKA; Uzņēmumi</w:t>
            </w:r>
          </w:p>
        </w:tc>
      </w:tr>
    </w:tbl>
    <w:p w14:paraId="2E45391E" w14:textId="77777777" w:rsidR="00165D83" w:rsidRPr="00163E6F" w:rsidRDefault="00165D83" w:rsidP="00165D83">
      <w:pPr>
        <w:autoSpaceDE w:val="0"/>
        <w:autoSpaceDN w:val="0"/>
        <w:adjustRightInd w:val="0"/>
        <w:spacing w:after="200" w:line="276" w:lineRule="auto"/>
        <w:jc w:val="center"/>
        <w:rPr>
          <w:caps/>
          <w:szCs w:val="24"/>
        </w:rPr>
      </w:pPr>
    </w:p>
    <w:p w14:paraId="30AD0532" w14:textId="0E9B3949" w:rsidR="00F32ADB" w:rsidRPr="00163E6F" w:rsidRDefault="00F32ADB" w:rsidP="00F32ADB">
      <w:pPr>
        <w:autoSpaceDE w:val="0"/>
        <w:autoSpaceDN w:val="0"/>
        <w:adjustRightInd w:val="0"/>
        <w:spacing w:after="120"/>
        <w:jc w:val="right"/>
        <w:rPr>
          <w:szCs w:val="24"/>
        </w:rPr>
      </w:pPr>
      <w:r w:rsidRPr="00163E6F">
        <w:rPr>
          <w:szCs w:val="24"/>
        </w:rPr>
        <w:t>1</w:t>
      </w:r>
      <w:r w:rsidR="00FE3CA0">
        <w:rPr>
          <w:szCs w:val="24"/>
        </w:rPr>
        <w:t>1</w:t>
      </w:r>
      <w:r w:rsidRPr="00163E6F">
        <w:rPr>
          <w:szCs w:val="24"/>
        </w:rPr>
        <w:t>.tabula</w:t>
      </w:r>
    </w:p>
    <w:p w14:paraId="78AD2C12" w14:textId="77777777" w:rsidR="00165D83" w:rsidRPr="00163E6F" w:rsidRDefault="00165D83" w:rsidP="00165D83">
      <w:pPr>
        <w:autoSpaceDE w:val="0"/>
        <w:autoSpaceDN w:val="0"/>
        <w:adjustRightInd w:val="0"/>
        <w:spacing w:after="200" w:line="276" w:lineRule="auto"/>
        <w:jc w:val="center"/>
        <w:rPr>
          <w:b/>
          <w:szCs w:val="24"/>
        </w:rPr>
      </w:pPr>
      <w:r w:rsidRPr="00163E6F">
        <w:rPr>
          <w:b/>
          <w:szCs w:val="24"/>
        </w:rPr>
        <w:t>Ekonomisko aktivitāšu nodrošināšana</w:t>
      </w:r>
    </w:p>
    <w:tbl>
      <w:tblPr>
        <w:tblW w:w="0" w:type="auto"/>
        <w:tblInd w:w="108" w:type="dxa"/>
        <w:tblLayout w:type="fixed"/>
        <w:tblLook w:val="0000" w:firstRow="0" w:lastRow="0" w:firstColumn="0" w:lastColumn="0" w:noHBand="0" w:noVBand="0"/>
      </w:tblPr>
      <w:tblGrid>
        <w:gridCol w:w="3231"/>
        <w:gridCol w:w="4071"/>
        <w:gridCol w:w="2093"/>
      </w:tblGrid>
      <w:tr w:rsidR="00165D83" w:rsidRPr="00163E6F" w14:paraId="07DB178A" w14:textId="77777777">
        <w:trPr>
          <w:trHeight w:val="1"/>
        </w:trPr>
        <w:tc>
          <w:tcPr>
            <w:tcW w:w="3231" w:type="dxa"/>
            <w:tcBorders>
              <w:top w:val="single" w:sz="3" w:space="0" w:color="000000"/>
              <w:left w:val="single" w:sz="3" w:space="0" w:color="000000"/>
              <w:bottom w:val="single" w:sz="3" w:space="0" w:color="000000"/>
              <w:right w:val="single" w:sz="3" w:space="0" w:color="000000"/>
            </w:tcBorders>
            <w:vAlign w:val="bottom"/>
          </w:tcPr>
          <w:p w14:paraId="2680B7BC"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071" w:type="dxa"/>
            <w:tcBorders>
              <w:top w:val="single" w:sz="3" w:space="0" w:color="000000"/>
              <w:left w:val="single" w:sz="3" w:space="0" w:color="000000"/>
              <w:bottom w:val="single" w:sz="3" w:space="0" w:color="000000"/>
              <w:right w:val="single" w:sz="3" w:space="0" w:color="000000"/>
            </w:tcBorders>
            <w:vAlign w:val="bottom"/>
          </w:tcPr>
          <w:p w14:paraId="33157141"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093" w:type="dxa"/>
            <w:tcBorders>
              <w:top w:val="single" w:sz="3" w:space="0" w:color="000000"/>
              <w:left w:val="single" w:sz="3" w:space="0" w:color="000000"/>
              <w:bottom w:val="single" w:sz="3" w:space="0" w:color="000000"/>
              <w:right w:val="single" w:sz="3" w:space="0" w:color="000000"/>
            </w:tcBorders>
            <w:vAlign w:val="bottom"/>
          </w:tcPr>
          <w:p w14:paraId="58A688CD"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2FDBD3DE" w14:textId="77777777">
        <w:trPr>
          <w:trHeight w:val="1"/>
        </w:trPr>
        <w:tc>
          <w:tcPr>
            <w:tcW w:w="3231" w:type="dxa"/>
            <w:tcBorders>
              <w:top w:val="single" w:sz="3" w:space="0" w:color="000000"/>
              <w:left w:val="single" w:sz="3" w:space="0" w:color="000000"/>
              <w:bottom w:val="single" w:sz="3" w:space="0" w:color="000000"/>
              <w:right w:val="single" w:sz="3" w:space="0" w:color="000000"/>
            </w:tcBorders>
          </w:tcPr>
          <w:p w14:paraId="7B22AE4B" w14:textId="77777777" w:rsidR="00165D83" w:rsidRPr="00163E6F" w:rsidRDefault="00165D83">
            <w:pPr>
              <w:autoSpaceDE w:val="0"/>
              <w:autoSpaceDN w:val="0"/>
              <w:adjustRightInd w:val="0"/>
              <w:jc w:val="left"/>
              <w:rPr>
                <w:rFonts w:ascii="Calibri" w:hAnsi="Calibri" w:cs="Calibri"/>
              </w:rPr>
            </w:pPr>
            <w:r w:rsidRPr="00163E6F">
              <w:rPr>
                <w:szCs w:val="24"/>
              </w:rPr>
              <w:t>Kūdras ieguve, izmantošana</w:t>
            </w:r>
          </w:p>
        </w:tc>
        <w:tc>
          <w:tcPr>
            <w:tcW w:w="4071" w:type="dxa"/>
            <w:tcBorders>
              <w:top w:val="single" w:sz="3" w:space="0" w:color="000000"/>
              <w:left w:val="single" w:sz="3" w:space="0" w:color="000000"/>
              <w:bottom w:val="single" w:sz="3" w:space="0" w:color="000000"/>
              <w:right w:val="single" w:sz="3" w:space="0" w:color="000000"/>
            </w:tcBorders>
          </w:tcPr>
          <w:p w14:paraId="7C85770B" w14:textId="77777777" w:rsidR="00165D83" w:rsidRPr="00163E6F" w:rsidRDefault="00165D83">
            <w:pPr>
              <w:autoSpaceDE w:val="0"/>
              <w:autoSpaceDN w:val="0"/>
              <w:adjustRightInd w:val="0"/>
              <w:jc w:val="left"/>
              <w:rPr>
                <w:rFonts w:ascii="Calibri" w:hAnsi="Calibri" w:cs="Calibri"/>
              </w:rPr>
            </w:pPr>
            <w:r w:rsidRPr="00163E6F">
              <w:rPr>
                <w:szCs w:val="24"/>
              </w:rPr>
              <w:t xml:space="preserve">Ieguve un izmantošana </w:t>
            </w:r>
            <w:r w:rsidR="00BD4BC5" w:rsidRPr="00163E6F">
              <w:rPr>
                <w:szCs w:val="24"/>
              </w:rPr>
              <w:t xml:space="preserve">kūdrai ar </w:t>
            </w:r>
            <w:r w:rsidRPr="00163E6F">
              <w:rPr>
                <w:szCs w:val="24"/>
              </w:rPr>
              <w:t>zemu pievienoto vērtību (izvairītos no resursu izšķērdēšanas); ieguve un pārstrāde ar augstu pievienoto vērtību</w:t>
            </w:r>
          </w:p>
        </w:tc>
        <w:tc>
          <w:tcPr>
            <w:tcW w:w="2093" w:type="dxa"/>
            <w:tcBorders>
              <w:top w:val="single" w:sz="3" w:space="0" w:color="000000"/>
              <w:left w:val="single" w:sz="3" w:space="0" w:color="000000"/>
              <w:bottom w:val="single" w:sz="3" w:space="0" w:color="000000"/>
              <w:right w:val="single" w:sz="3" w:space="0" w:color="000000"/>
            </w:tcBorders>
          </w:tcPr>
          <w:p w14:paraId="2734CE51" w14:textId="77777777" w:rsidR="00165D83" w:rsidRPr="00163E6F" w:rsidRDefault="00165D83">
            <w:pPr>
              <w:autoSpaceDE w:val="0"/>
              <w:autoSpaceDN w:val="0"/>
              <w:adjustRightInd w:val="0"/>
              <w:jc w:val="left"/>
              <w:rPr>
                <w:rFonts w:ascii="Calibri" w:hAnsi="Calibri" w:cs="Calibri"/>
              </w:rPr>
            </w:pPr>
            <w:r w:rsidRPr="00163E6F">
              <w:rPr>
                <w:szCs w:val="24"/>
              </w:rPr>
              <w:t>LKA</w:t>
            </w:r>
          </w:p>
        </w:tc>
      </w:tr>
      <w:tr w:rsidR="00165D83" w:rsidRPr="00163E6F" w14:paraId="3A6E9249" w14:textId="77777777">
        <w:trPr>
          <w:trHeight w:val="1"/>
        </w:trPr>
        <w:tc>
          <w:tcPr>
            <w:tcW w:w="3231" w:type="dxa"/>
            <w:tcBorders>
              <w:top w:val="single" w:sz="3" w:space="0" w:color="000000"/>
              <w:left w:val="single" w:sz="3" w:space="0" w:color="000000"/>
              <w:bottom w:val="single" w:sz="3" w:space="0" w:color="000000"/>
              <w:right w:val="single" w:sz="3" w:space="0" w:color="000000"/>
            </w:tcBorders>
          </w:tcPr>
          <w:p w14:paraId="1F5BA858" w14:textId="77777777" w:rsidR="00165D83" w:rsidRPr="00163E6F" w:rsidRDefault="00165D83">
            <w:pPr>
              <w:autoSpaceDE w:val="0"/>
              <w:autoSpaceDN w:val="0"/>
              <w:adjustRightInd w:val="0"/>
              <w:jc w:val="left"/>
              <w:rPr>
                <w:rFonts w:ascii="Calibri" w:hAnsi="Calibri" w:cs="Calibri"/>
              </w:rPr>
            </w:pPr>
            <w:r w:rsidRPr="00163E6F">
              <w:rPr>
                <w:szCs w:val="24"/>
              </w:rPr>
              <w:t>Kūdras ieguve un sagatavošana enerģētikai</w:t>
            </w:r>
          </w:p>
        </w:tc>
        <w:tc>
          <w:tcPr>
            <w:tcW w:w="4071" w:type="dxa"/>
            <w:tcBorders>
              <w:top w:val="single" w:sz="3" w:space="0" w:color="000000"/>
              <w:left w:val="single" w:sz="3" w:space="0" w:color="000000"/>
              <w:bottom w:val="single" w:sz="3" w:space="0" w:color="000000"/>
              <w:right w:val="single" w:sz="3" w:space="0" w:color="000000"/>
            </w:tcBorders>
          </w:tcPr>
          <w:p w14:paraId="1A55F064" w14:textId="77777777" w:rsidR="00165D83" w:rsidRPr="00163E6F" w:rsidRDefault="00165D83">
            <w:pPr>
              <w:autoSpaceDE w:val="0"/>
              <w:autoSpaceDN w:val="0"/>
              <w:adjustRightInd w:val="0"/>
              <w:jc w:val="left"/>
              <w:rPr>
                <w:szCs w:val="24"/>
              </w:rPr>
            </w:pPr>
            <w:r w:rsidRPr="00163E6F">
              <w:rPr>
                <w:szCs w:val="24"/>
              </w:rPr>
              <w:t>Kūdras brikešu un kombinēto brikešu ražošana</w:t>
            </w:r>
          </w:p>
          <w:p w14:paraId="6DF3FD8C" w14:textId="77777777" w:rsidR="00165D83" w:rsidRPr="00163E6F" w:rsidRDefault="00165D83">
            <w:pPr>
              <w:autoSpaceDE w:val="0"/>
              <w:autoSpaceDN w:val="0"/>
              <w:adjustRightInd w:val="0"/>
              <w:jc w:val="left"/>
              <w:rPr>
                <w:rFonts w:ascii="Calibri" w:hAnsi="Calibri" w:cs="Calibri"/>
              </w:rPr>
            </w:pPr>
          </w:p>
        </w:tc>
        <w:tc>
          <w:tcPr>
            <w:tcW w:w="2093" w:type="dxa"/>
            <w:tcBorders>
              <w:top w:val="single" w:sz="3" w:space="0" w:color="000000"/>
              <w:left w:val="single" w:sz="3" w:space="0" w:color="000000"/>
              <w:bottom w:val="single" w:sz="3" w:space="0" w:color="000000"/>
              <w:right w:val="single" w:sz="3" w:space="0" w:color="000000"/>
            </w:tcBorders>
          </w:tcPr>
          <w:p w14:paraId="4452E02A" w14:textId="77777777" w:rsidR="00165D83" w:rsidRPr="00163E6F" w:rsidRDefault="00165D83">
            <w:pPr>
              <w:autoSpaceDE w:val="0"/>
              <w:autoSpaceDN w:val="0"/>
              <w:adjustRightInd w:val="0"/>
              <w:jc w:val="left"/>
              <w:rPr>
                <w:rFonts w:ascii="Calibri" w:hAnsi="Calibri" w:cs="Calibri"/>
              </w:rPr>
            </w:pPr>
            <w:r w:rsidRPr="00163E6F">
              <w:rPr>
                <w:szCs w:val="24"/>
              </w:rPr>
              <w:t>LKA</w:t>
            </w:r>
          </w:p>
        </w:tc>
      </w:tr>
      <w:tr w:rsidR="00165D83" w:rsidRPr="00163E6F" w14:paraId="6250180D" w14:textId="77777777">
        <w:trPr>
          <w:trHeight w:val="1"/>
        </w:trPr>
        <w:tc>
          <w:tcPr>
            <w:tcW w:w="3231" w:type="dxa"/>
            <w:tcBorders>
              <w:top w:val="single" w:sz="3" w:space="0" w:color="000000"/>
              <w:left w:val="single" w:sz="3" w:space="0" w:color="000000"/>
              <w:bottom w:val="single" w:sz="3" w:space="0" w:color="000000"/>
              <w:right w:val="single" w:sz="3" w:space="0" w:color="000000"/>
            </w:tcBorders>
            <w:vAlign w:val="bottom"/>
          </w:tcPr>
          <w:p w14:paraId="3EEECAFE"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071" w:type="dxa"/>
            <w:tcBorders>
              <w:top w:val="single" w:sz="3" w:space="0" w:color="000000"/>
              <w:left w:val="single" w:sz="3" w:space="0" w:color="000000"/>
              <w:bottom w:val="single" w:sz="3" w:space="0" w:color="000000"/>
              <w:right w:val="single" w:sz="3" w:space="0" w:color="000000"/>
            </w:tcBorders>
            <w:vAlign w:val="bottom"/>
          </w:tcPr>
          <w:p w14:paraId="69EE4F42"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093" w:type="dxa"/>
            <w:tcBorders>
              <w:top w:val="single" w:sz="3" w:space="0" w:color="000000"/>
              <w:left w:val="single" w:sz="3" w:space="0" w:color="000000"/>
              <w:bottom w:val="single" w:sz="3" w:space="0" w:color="000000"/>
              <w:right w:val="single" w:sz="3" w:space="0" w:color="000000"/>
            </w:tcBorders>
            <w:vAlign w:val="bottom"/>
          </w:tcPr>
          <w:p w14:paraId="766380C6"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7DB4DDC4" w14:textId="77777777">
        <w:trPr>
          <w:trHeight w:val="1"/>
        </w:trPr>
        <w:tc>
          <w:tcPr>
            <w:tcW w:w="3231" w:type="dxa"/>
            <w:tcBorders>
              <w:top w:val="single" w:sz="3" w:space="0" w:color="000000"/>
              <w:left w:val="single" w:sz="3" w:space="0" w:color="000000"/>
              <w:bottom w:val="single" w:sz="3" w:space="0" w:color="000000"/>
              <w:right w:val="single" w:sz="3" w:space="0" w:color="000000"/>
            </w:tcBorders>
          </w:tcPr>
          <w:p w14:paraId="35B788C2" w14:textId="77777777" w:rsidR="00165D83" w:rsidRPr="00163E6F" w:rsidRDefault="00165D83">
            <w:pPr>
              <w:autoSpaceDE w:val="0"/>
              <w:autoSpaceDN w:val="0"/>
              <w:adjustRightInd w:val="0"/>
              <w:jc w:val="left"/>
              <w:rPr>
                <w:rFonts w:ascii="Calibri" w:hAnsi="Calibri" w:cs="Calibri"/>
              </w:rPr>
            </w:pPr>
            <w:r w:rsidRPr="00163E6F">
              <w:rPr>
                <w:szCs w:val="24"/>
              </w:rPr>
              <w:t>Kūdras ieguve un sagatavošana ķīmiskais rūpniecībai</w:t>
            </w:r>
          </w:p>
        </w:tc>
        <w:tc>
          <w:tcPr>
            <w:tcW w:w="4071" w:type="dxa"/>
            <w:tcBorders>
              <w:top w:val="single" w:sz="3" w:space="0" w:color="000000"/>
              <w:left w:val="single" w:sz="3" w:space="0" w:color="000000"/>
              <w:bottom w:val="single" w:sz="3" w:space="0" w:color="000000"/>
              <w:right w:val="single" w:sz="3" w:space="0" w:color="000000"/>
            </w:tcBorders>
          </w:tcPr>
          <w:p w14:paraId="5D0652BE" w14:textId="77777777" w:rsidR="00165D83" w:rsidRPr="00163E6F" w:rsidRDefault="00165D83">
            <w:pPr>
              <w:autoSpaceDE w:val="0"/>
              <w:autoSpaceDN w:val="0"/>
              <w:adjustRightInd w:val="0"/>
              <w:jc w:val="left"/>
              <w:rPr>
                <w:rFonts w:ascii="Calibri" w:hAnsi="Calibri" w:cs="Calibri"/>
              </w:rPr>
            </w:pPr>
            <w:r w:rsidRPr="00163E6F">
              <w:rPr>
                <w:szCs w:val="24"/>
              </w:rPr>
              <w:t>Augstas pievienotās vērtības produkti</w:t>
            </w:r>
          </w:p>
        </w:tc>
        <w:tc>
          <w:tcPr>
            <w:tcW w:w="2093" w:type="dxa"/>
            <w:tcBorders>
              <w:top w:val="single" w:sz="3" w:space="0" w:color="000000"/>
              <w:left w:val="single" w:sz="3" w:space="0" w:color="000000"/>
              <w:bottom w:val="single" w:sz="3" w:space="0" w:color="000000"/>
              <w:right w:val="single" w:sz="3" w:space="0" w:color="000000"/>
            </w:tcBorders>
          </w:tcPr>
          <w:p w14:paraId="56A11BD0" w14:textId="77777777" w:rsidR="00165D83" w:rsidRPr="00163E6F" w:rsidRDefault="00165D83">
            <w:pPr>
              <w:autoSpaceDE w:val="0"/>
              <w:autoSpaceDN w:val="0"/>
              <w:adjustRightInd w:val="0"/>
              <w:jc w:val="left"/>
              <w:rPr>
                <w:rFonts w:ascii="Calibri" w:hAnsi="Calibri" w:cs="Calibri"/>
              </w:rPr>
            </w:pPr>
            <w:r w:rsidRPr="00163E6F">
              <w:rPr>
                <w:szCs w:val="24"/>
              </w:rPr>
              <w:t>LKA</w:t>
            </w:r>
          </w:p>
        </w:tc>
      </w:tr>
      <w:tr w:rsidR="00165D83" w:rsidRPr="00163E6F" w14:paraId="159ABACE" w14:textId="77777777">
        <w:trPr>
          <w:trHeight w:val="1"/>
        </w:trPr>
        <w:tc>
          <w:tcPr>
            <w:tcW w:w="3231" w:type="dxa"/>
            <w:tcBorders>
              <w:top w:val="single" w:sz="3" w:space="0" w:color="000000"/>
              <w:left w:val="single" w:sz="3" w:space="0" w:color="000000"/>
              <w:bottom w:val="single" w:sz="3" w:space="0" w:color="000000"/>
              <w:right w:val="single" w:sz="3" w:space="0" w:color="000000"/>
            </w:tcBorders>
          </w:tcPr>
          <w:p w14:paraId="1EAC94ED" w14:textId="77777777" w:rsidR="00165D83" w:rsidRPr="00163E6F" w:rsidRDefault="00165D83">
            <w:pPr>
              <w:autoSpaceDE w:val="0"/>
              <w:autoSpaceDN w:val="0"/>
              <w:adjustRightInd w:val="0"/>
              <w:jc w:val="left"/>
              <w:rPr>
                <w:rFonts w:ascii="Calibri" w:hAnsi="Calibri" w:cs="Calibri"/>
              </w:rPr>
            </w:pPr>
            <w:r w:rsidRPr="00163E6F">
              <w:rPr>
                <w:szCs w:val="24"/>
              </w:rPr>
              <w:t>Purvu izmantošana mežsaimniecībā un lauksaimniecībā</w:t>
            </w:r>
          </w:p>
        </w:tc>
        <w:tc>
          <w:tcPr>
            <w:tcW w:w="4071" w:type="dxa"/>
            <w:tcBorders>
              <w:top w:val="single" w:sz="3" w:space="0" w:color="000000"/>
              <w:left w:val="single" w:sz="3" w:space="0" w:color="000000"/>
              <w:bottom w:val="single" w:sz="3" w:space="0" w:color="000000"/>
              <w:right w:val="single" w:sz="3" w:space="0" w:color="000000"/>
            </w:tcBorders>
          </w:tcPr>
          <w:p w14:paraId="5DDA1127" w14:textId="77777777" w:rsidR="00165D83" w:rsidRPr="00163E6F" w:rsidRDefault="00165D83">
            <w:pPr>
              <w:autoSpaceDE w:val="0"/>
              <w:autoSpaceDN w:val="0"/>
              <w:adjustRightInd w:val="0"/>
              <w:jc w:val="left"/>
              <w:rPr>
                <w:rFonts w:ascii="Calibri" w:hAnsi="Calibri" w:cs="Calibri"/>
              </w:rPr>
            </w:pPr>
            <w:r w:rsidRPr="00163E6F">
              <w:rPr>
                <w:szCs w:val="24"/>
              </w:rPr>
              <w:t>Ogu plantācijas; stādu audzētavas; enerģētisko kārklu (citu koku) plantācijas</w:t>
            </w:r>
          </w:p>
        </w:tc>
        <w:tc>
          <w:tcPr>
            <w:tcW w:w="2093" w:type="dxa"/>
            <w:tcBorders>
              <w:top w:val="single" w:sz="3" w:space="0" w:color="000000"/>
              <w:left w:val="single" w:sz="3" w:space="0" w:color="000000"/>
              <w:bottom w:val="single" w:sz="3" w:space="0" w:color="000000"/>
              <w:right w:val="single" w:sz="3" w:space="0" w:color="000000"/>
            </w:tcBorders>
          </w:tcPr>
          <w:p w14:paraId="11D0E2D5" w14:textId="77777777" w:rsidR="00165D83" w:rsidRPr="00163E6F" w:rsidRDefault="00165D83">
            <w:pPr>
              <w:autoSpaceDE w:val="0"/>
              <w:autoSpaceDN w:val="0"/>
              <w:adjustRightInd w:val="0"/>
              <w:jc w:val="left"/>
              <w:rPr>
                <w:rFonts w:ascii="Calibri" w:hAnsi="Calibri" w:cs="Calibri"/>
              </w:rPr>
            </w:pPr>
            <w:r w:rsidRPr="00163E6F">
              <w:rPr>
                <w:szCs w:val="24"/>
              </w:rPr>
              <w:t>LKA; LDA</w:t>
            </w:r>
          </w:p>
        </w:tc>
      </w:tr>
    </w:tbl>
    <w:p w14:paraId="6BFD37DE" w14:textId="77777777" w:rsidR="00F32ADB" w:rsidRPr="00163E6F" w:rsidRDefault="00F32ADB" w:rsidP="00F32ADB">
      <w:pPr>
        <w:autoSpaceDE w:val="0"/>
        <w:autoSpaceDN w:val="0"/>
        <w:adjustRightInd w:val="0"/>
        <w:spacing w:after="120"/>
        <w:jc w:val="right"/>
        <w:rPr>
          <w:szCs w:val="24"/>
        </w:rPr>
      </w:pPr>
    </w:p>
    <w:p w14:paraId="6C5520FA" w14:textId="10821730" w:rsidR="00165D83" w:rsidRPr="00163E6F" w:rsidRDefault="00F32ADB" w:rsidP="00F32ADB">
      <w:pPr>
        <w:autoSpaceDE w:val="0"/>
        <w:autoSpaceDN w:val="0"/>
        <w:adjustRightInd w:val="0"/>
        <w:spacing w:after="120"/>
        <w:jc w:val="right"/>
        <w:rPr>
          <w:szCs w:val="24"/>
        </w:rPr>
      </w:pPr>
      <w:r w:rsidRPr="00163E6F">
        <w:rPr>
          <w:szCs w:val="24"/>
        </w:rPr>
        <w:t>1</w:t>
      </w:r>
      <w:r w:rsidR="00FE3CA0">
        <w:rPr>
          <w:szCs w:val="24"/>
        </w:rPr>
        <w:t>2</w:t>
      </w:r>
      <w:r w:rsidRPr="00163E6F">
        <w:rPr>
          <w:szCs w:val="24"/>
        </w:rPr>
        <w:t>.tabula</w:t>
      </w:r>
    </w:p>
    <w:p w14:paraId="18DF153A" w14:textId="77777777" w:rsidR="00165D83" w:rsidRPr="00163E6F" w:rsidRDefault="00165D83" w:rsidP="00165D83">
      <w:pPr>
        <w:autoSpaceDE w:val="0"/>
        <w:autoSpaceDN w:val="0"/>
        <w:adjustRightInd w:val="0"/>
        <w:spacing w:after="200" w:line="276" w:lineRule="auto"/>
        <w:jc w:val="center"/>
        <w:rPr>
          <w:b/>
          <w:szCs w:val="24"/>
        </w:rPr>
      </w:pPr>
      <w:r w:rsidRPr="00163E6F">
        <w:rPr>
          <w:b/>
          <w:szCs w:val="24"/>
        </w:rPr>
        <w:t>Rekultivācijas, rekreācijas pasākumu nodrošināšana</w:t>
      </w:r>
    </w:p>
    <w:tbl>
      <w:tblPr>
        <w:tblW w:w="0" w:type="auto"/>
        <w:tblInd w:w="108" w:type="dxa"/>
        <w:tblLayout w:type="fixed"/>
        <w:tblLook w:val="0000" w:firstRow="0" w:lastRow="0" w:firstColumn="0" w:lastColumn="0" w:noHBand="0" w:noVBand="0"/>
      </w:tblPr>
      <w:tblGrid>
        <w:gridCol w:w="3087"/>
        <w:gridCol w:w="4175"/>
        <w:gridCol w:w="2133"/>
      </w:tblGrid>
      <w:tr w:rsidR="00165D83" w:rsidRPr="00163E6F" w14:paraId="08B1A3F2" w14:textId="77777777">
        <w:trPr>
          <w:trHeight w:val="1"/>
        </w:trPr>
        <w:tc>
          <w:tcPr>
            <w:tcW w:w="3087" w:type="dxa"/>
            <w:tcBorders>
              <w:top w:val="single" w:sz="3" w:space="0" w:color="000000"/>
              <w:left w:val="single" w:sz="3" w:space="0" w:color="000000"/>
              <w:bottom w:val="single" w:sz="3" w:space="0" w:color="000000"/>
              <w:right w:val="single" w:sz="3" w:space="0" w:color="000000"/>
            </w:tcBorders>
            <w:vAlign w:val="bottom"/>
          </w:tcPr>
          <w:p w14:paraId="413E1608"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175" w:type="dxa"/>
            <w:tcBorders>
              <w:top w:val="single" w:sz="3" w:space="0" w:color="000000"/>
              <w:left w:val="single" w:sz="3" w:space="0" w:color="000000"/>
              <w:bottom w:val="single" w:sz="3" w:space="0" w:color="000000"/>
              <w:right w:val="single" w:sz="3" w:space="0" w:color="000000"/>
            </w:tcBorders>
            <w:vAlign w:val="bottom"/>
          </w:tcPr>
          <w:p w14:paraId="05E00115"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133" w:type="dxa"/>
            <w:tcBorders>
              <w:top w:val="single" w:sz="3" w:space="0" w:color="000000"/>
              <w:left w:val="single" w:sz="3" w:space="0" w:color="000000"/>
              <w:bottom w:val="single" w:sz="3" w:space="0" w:color="000000"/>
              <w:right w:val="single" w:sz="3" w:space="0" w:color="000000"/>
            </w:tcBorders>
            <w:vAlign w:val="bottom"/>
          </w:tcPr>
          <w:p w14:paraId="7D9643BD"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0B3570FA" w14:textId="77777777">
        <w:trPr>
          <w:trHeight w:val="1"/>
        </w:trPr>
        <w:tc>
          <w:tcPr>
            <w:tcW w:w="3087" w:type="dxa"/>
            <w:tcBorders>
              <w:top w:val="single" w:sz="3" w:space="0" w:color="000000"/>
              <w:left w:val="single" w:sz="3" w:space="0" w:color="000000"/>
              <w:bottom w:val="single" w:sz="3" w:space="0" w:color="000000"/>
              <w:right w:val="single" w:sz="3" w:space="0" w:color="000000"/>
            </w:tcBorders>
          </w:tcPr>
          <w:p w14:paraId="21EB3F2D" w14:textId="77777777" w:rsidR="00165D83" w:rsidRPr="00163E6F" w:rsidRDefault="00165D83">
            <w:pPr>
              <w:autoSpaceDE w:val="0"/>
              <w:autoSpaceDN w:val="0"/>
              <w:adjustRightInd w:val="0"/>
              <w:jc w:val="left"/>
              <w:rPr>
                <w:rFonts w:ascii="Calibri" w:hAnsi="Calibri" w:cs="Calibri"/>
              </w:rPr>
            </w:pPr>
            <w:r w:rsidRPr="00163E6F">
              <w:rPr>
                <w:szCs w:val="24"/>
              </w:rPr>
              <w:t>Izmantoto, daļēji izmantoto un citu purvu rekultivācija</w:t>
            </w:r>
          </w:p>
        </w:tc>
        <w:tc>
          <w:tcPr>
            <w:tcW w:w="4175" w:type="dxa"/>
            <w:tcBorders>
              <w:top w:val="single" w:sz="3" w:space="0" w:color="000000"/>
              <w:left w:val="single" w:sz="3" w:space="0" w:color="000000"/>
              <w:bottom w:val="single" w:sz="3" w:space="0" w:color="000000"/>
              <w:right w:val="single" w:sz="3" w:space="0" w:color="000000"/>
            </w:tcBorders>
          </w:tcPr>
          <w:p w14:paraId="58E36708" w14:textId="2A4C7C72" w:rsidR="00165D83" w:rsidRPr="00163E6F" w:rsidRDefault="00165D83">
            <w:pPr>
              <w:autoSpaceDE w:val="0"/>
              <w:autoSpaceDN w:val="0"/>
              <w:adjustRightInd w:val="0"/>
              <w:jc w:val="left"/>
              <w:rPr>
                <w:rFonts w:ascii="Calibri" w:hAnsi="Calibri" w:cs="Calibri"/>
              </w:rPr>
            </w:pPr>
            <w:r w:rsidRPr="00163E6F">
              <w:rPr>
                <w:szCs w:val="24"/>
              </w:rPr>
              <w:t>Zivkopība; apmežošana; purva atjaunošanas pasākumi</w:t>
            </w:r>
            <w:r w:rsidR="00F46B2B">
              <w:rPr>
                <w:szCs w:val="24"/>
              </w:rPr>
              <w:t>, izvēloties piemērotāko rekultivācijas veidu ar viszemāko ietekmi uz SEG emisijām.</w:t>
            </w:r>
          </w:p>
        </w:tc>
        <w:tc>
          <w:tcPr>
            <w:tcW w:w="2133" w:type="dxa"/>
            <w:tcBorders>
              <w:top w:val="single" w:sz="3" w:space="0" w:color="000000"/>
              <w:left w:val="single" w:sz="3" w:space="0" w:color="000000"/>
              <w:bottom w:val="single" w:sz="3" w:space="0" w:color="000000"/>
              <w:right w:val="single" w:sz="3" w:space="0" w:color="000000"/>
            </w:tcBorders>
          </w:tcPr>
          <w:p w14:paraId="26F474E6" w14:textId="77777777" w:rsidR="00165D83" w:rsidRPr="00163E6F" w:rsidRDefault="00165D83">
            <w:pPr>
              <w:autoSpaceDE w:val="0"/>
              <w:autoSpaceDN w:val="0"/>
              <w:adjustRightInd w:val="0"/>
              <w:jc w:val="left"/>
              <w:rPr>
                <w:rFonts w:ascii="Calibri" w:hAnsi="Calibri" w:cs="Calibri"/>
              </w:rPr>
            </w:pPr>
            <w:r w:rsidRPr="00163E6F">
              <w:rPr>
                <w:szCs w:val="24"/>
              </w:rPr>
              <w:t xml:space="preserve">VARAM; VVD; LKA; uzņēmumi; </w:t>
            </w:r>
            <w:r w:rsidRPr="00163E6F">
              <w:rPr>
                <w:szCs w:val="24"/>
              </w:rPr>
              <w:lastRenderedPageBreak/>
              <w:t>novadu pašvaldības</w:t>
            </w:r>
          </w:p>
        </w:tc>
      </w:tr>
      <w:tr w:rsidR="00165D83" w:rsidRPr="00163E6F" w14:paraId="19432663" w14:textId="77777777">
        <w:trPr>
          <w:trHeight w:val="1"/>
        </w:trPr>
        <w:tc>
          <w:tcPr>
            <w:tcW w:w="3087" w:type="dxa"/>
            <w:tcBorders>
              <w:top w:val="single" w:sz="3" w:space="0" w:color="000000"/>
              <w:left w:val="single" w:sz="3" w:space="0" w:color="000000"/>
              <w:bottom w:val="single" w:sz="3" w:space="0" w:color="000000"/>
              <w:right w:val="single" w:sz="3" w:space="0" w:color="000000"/>
            </w:tcBorders>
          </w:tcPr>
          <w:p w14:paraId="1C3BDCFF" w14:textId="77777777" w:rsidR="00165D83" w:rsidRPr="00163E6F" w:rsidRDefault="00165D83">
            <w:pPr>
              <w:autoSpaceDE w:val="0"/>
              <w:autoSpaceDN w:val="0"/>
              <w:adjustRightInd w:val="0"/>
              <w:jc w:val="left"/>
              <w:rPr>
                <w:rFonts w:ascii="Calibri" w:hAnsi="Calibri" w:cs="Calibri"/>
              </w:rPr>
            </w:pPr>
            <w:r w:rsidRPr="00163E6F">
              <w:rPr>
                <w:szCs w:val="24"/>
              </w:rPr>
              <w:lastRenderedPageBreak/>
              <w:t>Meliorācija, apūdeņošana</w:t>
            </w:r>
          </w:p>
        </w:tc>
        <w:tc>
          <w:tcPr>
            <w:tcW w:w="4175" w:type="dxa"/>
            <w:tcBorders>
              <w:top w:val="single" w:sz="3" w:space="0" w:color="000000"/>
              <w:left w:val="single" w:sz="3" w:space="0" w:color="000000"/>
              <w:bottom w:val="single" w:sz="3" w:space="0" w:color="000000"/>
              <w:right w:val="single" w:sz="3" w:space="0" w:color="000000"/>
            </w:tcBorders>
          </w:tcPr>
          <w:p w14:paraId="3F99E2A0" w14:textId="77777777" w:rsidR="00165D83" w:rsidRPr="00163E6F" w:rsidRDefault="00165D83">
            <w:pPr>
              <w:autoSpaceDE w:val="0"/>
              <w:autoSpaceDN w:val="0"/>
              <w:adjustRightInd w:val="0"/>
              <w:jc w:val="left"/>
              <w:rPr>
                <w:rFonts w:ascii="Calibri" w:hAnsi="Calibri" w:cs="Calibri"/>
              </w:rPr>
            </w:pPr>
            <w:r w:rsidRPr="00163E6F">
              <w:rPr>
                <w:szCs w:val="24"/>
              </w:rPr>
              <w:t>Atjaunotas meliorācijas sistēmas, likvidētas meliorācijas sistēmas (paaugstināts ūdens līmenis).</w:t>
            </w:r>
          </w:p>
        </w:tc>
        <w:tc>
          <w:tcPr>
            <w:tcW w:w="2133" w:type="dxa"/>
            <w:tcBorders>
              <w:top w:val="single" w:sz="3" w:space="0" w:color="000000"/>
              <w:left w:val="single" w:sz="3" w:space="0" w:color="000000"/>
              <w:bottom w:val="single" w:sz="3" w:space="0" w:color="000000"/>
              <w:right w:val="single" w:sz="3" w:space="0" w:color="000000"/>
            </w:tcBorders>
          </w:tcPr>
          <w:p w14:paraId="0D97F29D" w14:textId="77777777" w:rsidR="00165D83" w:rsidRPr="00163E6F" w:rsidRDefault="00165D83">
            <w:pPr>
              <w:autoSpaceDE w:val="0"/>
              <w:autoSpaceDN w:val="0"/>
              <w:adjustRightInd w:val="0"/>
              <w:jc w:val="left"/>
              <w:rPr>
                <w:rFonts w:ascii="Calibri" w:hAnsi="Calibri" w:cs="Calibri"/>
              </w:rPr>
            </w:pPr>
            <w:r w:rsidRPr="00163E6F">
              <w:rPr>
                <w:szCs w:val="24"/>
              </w:rPr>
              <w:t>LKA; uzņēmumi; novadu pašvaldības</w:t>
            </w:r>
          </w:p>
        </w:tc>
      </w:tr>
      <w:tr w:rsidR="00165D83" w:rsidRPr="00163E6F" w14:paraId="036ADAE0" w14:textId="77777777">
        <w:trPr>
          <w:trHeight w:val="1"/>
        </w:trPr>
        <w:tc>
          <w:tcPr>
            <w:tcW w:w="3087" w:type="dxa"/>
            <w:tcBorders>
              <w:top w:val="single" w:sz="3" w:space="0" w:color="000000"/>
              <w:left w:val="single" w:sz="3" w:space="0" w:color="000000"/>
              <w:bottom w:val="single" w:sz="3" w:space="0" w:color="000000"/>
              <w:right w:val="single" w:sz="3" w:space="0" w:color="000000"/>
            </w:tcBorders>
          </w:tcPr>
          <w:p w14:paraId="40246407" w14:textId="77777777" w:rsidR="00165D83" w:rsidRPr="00163E6F" w:rsidRDefault="00165D83">
            <w:pPr>
              <w:autoSpaceDE w:val="0"/>
              <w:autoSpaceDN w:val="0"/>
              <w:adjustRightInd w:val="0"/>
              <w:jc w:val="left"/>
              <w:rPr>
                <w:rFonts w:ascii="Calibri" w:hAnsi="Calibri" w:cs="Calibri"/>
              </w:rPr>
            </w:pPr>
            <w:r w:rsidRPr="00163E6F">
              <w:rPr>
                <w:szCs w:val="24"/>
              </w:rPr>
              <w:t>Novērošana un diagnostika</w:t>
            </w:r>
          </w:p>
        </w:tc>
        <w:tc>
          <w:tcPr>
            <w:tcW w:w="4175" w:type="dxa"/>
            <w:tcBorders>
              <w:top w:val="single" w:sz="3" w:space="0" w:color="000000"/>
              <w:left w:val="single" w:sz="3" w:space="0" w:color="000000"/>
              <w:bottom w:val="single" w:sz="3" w:space="0" w:color="000000"/>
              <w:right w:val="single" w:sz="3" w:space="0" w:color="000000"/>
            </w:tcBorders>
          </w:tcPr>
          <w:p w14:paraId="4F1E45FF" w14:textId="77777777" w:rsidR="00165D83" w:rsidRPr="00163E6F" w:rsidRDefault="00165D83">
            <w:pPr>
              <w:autoSpaceDE w:val="0"/>
              <w:autoSpaceDN w:val="0"/>
              <w:adjustRightInd w:val="0"/>
              <w:jc w:val="left"/>
              <w:rPr>
                <w:rFonts w:ascii="Calibri" w:hAnsi="Calibri" w:cs="Calibri"/>
              </w:rPr>
            </w:pPr>
            <w:r w:rsidRPr="00163E6F">
              <w:rPr>
                <w:szCs w:val="24"/>
              </w:rPr>
              <w:t>Ekosistēmas atjaunošanās (arī ietekme uz apkārtējo vidi: mežsaimniecību, lauksaimniecību, ceļu infrastruktūru)</w:t>
            </w:r>
          </w:p>
        </w:tc>
        <w:tc>
          <w:tcPr>
            <w:tcW w:w="2133" w:type="dxa"/>
            <w:tcBorders>
              <w:top w:val="single" w:sz="3" w:space="0" w:color="000000"/>
              <w:left w:val="single" w:sz="3" w:space="0" w:color="000000"/>
              <w:bottom w:val="single" w:sz="3" w:space="0" w:color="000000"/>
              <w:right w:val="single" w:sz="3" w:space="0" w:color="000000"/>
            </w:tcBorders>
          </w:tcPr>
          <w:p w14:paraId="57701F3A" w14:textId="77777777" w:rsidR="00165D83" w:rsidRPr="00163E6F" w:rsidRDefault="00165D83">
            <w:pPr>
              <w:autoSpaceDE w:val="0"/>
              <w:autoSpaceDN w:val="0"/>
              <w:adjustRightInd w:val="0"/>
              <w:jc w:val="left"/>
              <w:rPr>
                <w:rFonts w:ascii="Calibri" w:hAnsi="Calibri" w:cs="Calibri"/>
              </w:rPr>
            </w:pPr>
            <w:r w:rsidRPr="00163E6F">
              <w:rPr>
                <w:szCs w:val="24"/>
              </w:rPr>
              <w:t>LLU; LU; DU; VVD</w:t>
            </w:r>
          </w:p>
        </w:tc>
      </w:tr>
    </w:tbl>
    <w:p w14:paraId="355B7EF2" w14:textId="77777777" w:rsidR="00165D83" w:rsidRPr="00163E6F" w:rsidRDefault="00165D83" w:rsidP="00165D83">
      <w:pPr>
        <w:autoSpaceDE w:val="0"/>
        <w:autoSpaceDN w:val="0"/>
        <w:adjustRightInd w:val="0"/>
        <w:spacing w:after="200" w:line="276" w:lineRule="auto"/>
        <w:jc w:val="center"/>
        <w:rPr>
          <w:szCs w:val="24"/>
        </w:rPr>
      </w:pPr>
    </w:p>
    <w:p w14:paraId="1221CCE7" w14:textId="0E63D110" w:rsidR="00F32ADB" w:rsidRPr="00163E6F" w:rsidRDefault="00F32ADB" w:rsidP="00F32ADB">
      <w:pPr>
        <w:autoSpaceDE w:val="0"/>
        <w:autoSpaceDN w:val="0"/>
        <w:adjustRightInd w:val="0"/>
        <w:spacing w:after="120"/>
        <w:jc w:val="right"/>
        <w:rPr>
          <w:szCs w:val="24"/>
        </w:rPr>
      </w:pPr>
      <w:r w:rsidRPr="00163E6F">
        <w:rPr>
          <w:szCs w:val="24"/>
        </w:rPr>
        <w:t>1</w:t>
      </w:r>
      <w:r w:rsidR="00FE3CA0">
        <w:rPr>
          <w:szCs w:val="24"/>
        </w:rPr>
        <w:t>3</w:t>
      </w:r>
      <w:r w:rsidRPr="00163E6F">
        <w:rPr>
          <w:szCs w:val="24"/>
        </w:rPr>
        <w:t>.tabula</w:t>
      </w:r>
    </w:p>
    <w:p w14:paraId="35BE7C3B" w14:textId="77777777" w:rsidR="00165D83" w:rsidRPr="00163E6F" w:rsidRDefault="00165D83" w:rsidP="00165D83">
      <w:pPr>
        <w:autoSpaceDE w:val="0"/>
        <w:autoSpaceDN w:val="0"/>
        <w:adjustRightInd w:val="0"/>
        <w:spacing w:after="200" w:line="276" w:lineRule="auto"/>
        <w:jc w:val="center"/>
        <w:rPr>
          <w:b/>
          <w:szCs w:val="24"/>
        </w:rPr>
      </w:pPr>
      <w:r w:rsidRPr="00163E6F">
        <w:rPr>
          <w:b/>
          <w:szCs w:val="24"/>
        </w:rPr>
        <w:t>Vietējo iedzīvotāju dzīves telpas un darba vietu nodrošināšana</w:t>
      </w:r>
    </w:p>
    <w:tbl>
      <w:tblPr>
        <w:tblW w:w="0" w:type="auto"/>
        <w:tblInd w:w="108" w:type="dxa"/>
        <w:tblLayout w:type="fixed"/>
        <w:tblLook w:val="0000" w:firstRow="0" w:lastRow="0" w:firstColumn="0" w:lastColumn="0" w:noHBand="0" w:noVBand="0"/>
      </w:tblPr>
      <w:tblGrid>
        <w:gridCol w:w="3024"/>
        <w:gridCol w:w="4206"/>
        <w:gridCol w:w="2126"/>
      </w:tblGrid>
      <w:tr w:rsidR="00165D83" w:rsidRPr="00163E6F" w14:paraId="1655D438" w14:textId="77777777" w:rsidTr="004B562D">
        <w:trPr>
          <w:trHeight w:val="1"/>
        </w:trPr>
        <w:tc>
          <w:tcPr>
            <w:tcW w:w="3024" w:type="dxa"/>
            <w:tcBorders>
              <w:top w:val="single" w:sz="3" w:space="0" w:color="000000"/>
              <w:left w:val="single" w:sz="3" w:space="0" w:color="000000"/>
              <w:bottom w:val="single" w:sz="3" w:space="0" w:color="000000"/>
              <w:right w:val="single" w:sz="3" w:space="0" w:color="000000"/>
            </w:tcBorders>
            <w:vAlign w:val="bottom"/>
          </w:tcPr>
          <w:p w14:paraId="67B0B3C1" w14:textId="77777777" w:rsidR="00165D83" w:rsidRPr="00163E6F" w:rsidRDefault="00165D83">
            <w:pPr>
              <w:autoSpaceDE w:val="0"/>
              <w:autoSpaceDN w:val="0"/>
              <w:adjustRightInd w:val="0"/>
              <w:jc w:val="center"/>
              <w:rPr>
                <w:rFonts w:ascii="Calibri" w:hAnsi="Calibri" w:cs="Calibri"/>
              </w:rPr>
            </w:pPr>
            <w:r w:rsidRPr="00163E6F">
              <w:rPr>
                <w:b/>
                <w:bCs/>
                <w:szCs w:val="24"/>
              </w:rPr>
              <w:t>Darbība</w:t>
            </w:r>
          </w:p>
        </w:tc>
        <w:tc>
          <w:tcPr>
            <w:tcW w:w="4206" w:type="dxa"/>
            <w:tcBorders>
              <w:top w:val="single" w:sz="3" w:space="0" w:color="000000"/>
              <w:left w:val="single" w:sz="3" w:space="0" w:color="000000"/>
              <w:bottom w:val="single" w:sz="3" w:space="0" w:color="000000"/>
              <w:right w:val="single" w:sz="3" w:space="0" w:color="000000"/>
            </w:tcBorders>
            <w:vAlign w:val="bottom"/>
          </w:tcPr>
          <w:p w14:paraId="00ECE888" w14:textId="77777777" w:rsidR="00165D83" w:rsidRPr="00163E6F" w:rsidRDefault="00165D83">
            <w:pPr>
              <w:autoSpaceDE w:val="0"/>
              <w:autoSpaceDN w:val="0"/>
              <w:adjustRightInd w:val="0"/>
              <w:jc w:val="center"/>
              <w:rPr>
                <w:rFonts w:ascii="Calibri" w:hAnsi="Calibri" w:cs="Calibri"/>
              </w:rPr>
            </w:pPr>
            <w:r w:rsidRPr="00163E6F">
              <w:rPr>
                <w:b/>
                <w:bCs/>
                <w:szCs w:val="24"/>
              </w:rPr>
              <w:t>Rezultāti</w:t>
            </w:r>
          </w:p>
        </w:tc>
        <w:tc>
          <w:tcPr>
            <w:tcW w:w="2126" w:type="dxa"/>
            <w:tcBorders>
              <w:top w:val="single" w:sz="3" w:space="0" w:color="000000"/>
              <w:left w:val="single" w:sz="3" w:space="0" w:color="000000"/>
              <w:bottom w:val="single" w:sz="3" w:space="0" w:color="000000"/>
              <w:right w:val="single" w:sz="3" w:space="0" w:color="000000"/>
            </w:tcBorders>
            <w:vAlign w:val="bottom"/>
          </w:tcPr>
          <w:p w14:paraId="1BA14EB9" w14:textId="77777777" w:rsidR="00165D83" w:rsidRPr="00163E6F" w:rsidRDefault="00165D83">
            <w:pPr>
              <w:autoSpaceDE w:val="0"/>
              <w:autoSpaceDN w:val="0"/>
              <w:adjustRightInd w:val="0"/>
              <w:jc w:val="center"/>
              <w:rPr>
                <w:rFonts w:ascii="Calibri" w:hAnsi="Calibri" w:cs="Calibri"/>
              </w:rPr>
            </w:pPr>
            <w:r w:rsidRPr="00163E6F">
              <w:rPr>
                <w:b/>
                <w:bCs/>
                <w:szCs w:val="24"/>
              </w:rPr>
              <w:t>Atbildīgās iestādes</w:t>
            </w:r>
          </w:p>
        </w:tc>
      </w:tr>
      <w:tr w:rsidR="00165D83" w:rsidRPr="00163E6F" w14:paraId="3C57EBD8" w14:textId="77777777" w:rsidTr="004B562D">
        <w:trPr>
          <w:trHeight w:val="1"/>
        </w:trPr>
        <w:tc>
          <w:tcPr>
            <w:tcW w:w="3024" w:type="dxa"/>
            <w:tcBorders>
              <w:top w:val="single" w:sz="3" w:space="0" w:color="000000"/>
              <w:left w:val="single" w:sz="3" w:space="0" w:color="000000"/>
              <w:bottom w:val="single" w:sz="3" w:space="0" w:color="000000"/>
              <w:right w:val="single" w:sz="3" w:space="0" w:color="000000"/>
            </w:tcBorders>
          </w:tcPr>
          <w:p w14:paraId="75BB327B" w14:textId="77777777" w:rsidR="00165D83" w:rsidRPr="00163E6F" w:rsidRDefault="00165D83">
            <w:pPr>
              <w:autoSpaceDE w:val="0"/>
              <w:autoSpaceDN w:val="0"/>
              <w:adjustRightInd w:val="0"/>
              <w:jc w:val="left"/>
              <w:rPr>
                <w:rFonts w:ascii="Calibri" w:hAnsi="Calibri" w:cs="Calibri"/>
              </w:rPr>
            </w:pPr>
            <w:r w:rsidRPr="00163E6F">
              <w:rPr>
                <w:szCs w:val="24"/>
              </w:rPr>
              <w:t xml:space="preserve">Kūdras pārstrādes uzņēmumu izvietošana </w:t>
            </w:r>
          </w:p>
        </w:tc>
        <w:tc>
          <w:tcPr>
            <w:tcW w:w="4206" w:type="dxa"/>
            <w:tcBorders>
              <w:top w:val="single" w:sz="3" w:space="0" w:color="000000"/>
              <w:left w:val="single" w:sz="3" w:space="0" w:color="000000"/>
              <w:bottom w:val="single" w:sz="3" w:space="0" w:color="000000"/>
              <w:right w:val="single" w:sz="3" w:space="0" w:color="000000"/>
            </w:tcBorders>
          </w:tcPr>
          <w:p w14:paraId="298CA1D7" w14:textId="77777777" w:rsidR="00165D83" w:rsidRPr="00163E6F" w:rsidRDefault="00165D83">
            <w:pPr>
              <w:autoSpaceDE w:val="0"/>
              <w:autoSpaceDN w:val="0"/>
              <w:adjustRightInd w:val="0"/>
              <w:jc w:val="left"/>
              <w:rPr>
                <w:rFonts w:ascii="Calibri" w:hAnsi="Calibri" w:cs="Calibri"/>
              </w:rPr>
            </w:pPr>
            <w:r w:rsidRPr="00163E6F">
              <w:rPr>
                <w:szCs w:val="24"/>
              </w:rPr>
              <w:t>Darba vietu radīšana (neliels attālums no dzīves vietas), sociālās infrastruktūras attīstīšana</w:t>
            </w:r>
          </w:p>
        </w:tc>
        <w:tc>
          <w:tcPr>
            <w:tcW w:w="2126" w:type="dxa"/>
            <w:tcBorders>
              <w:top w:val="single" w:sz="3" w:space="0" w:color="000000"/>
              <w:left w:val="single" w:sz="3" w:space="0" w:color="000000"/>
              <w:bottom w:val="single" w:sz="3" w:space="0" w:color="000000"/>
              <w:right w:val="single" w:sz="3" w:space="0" w:color="000000"/>
            </w:tcBorders>
          </w:tcPr>
          <w:p w14:paraId="13298ECC" w14:textId="77777777" w:rsidR="00165D83" w:rsidRPr="00163E6F" w:rsidRDefault="00165D83">
            <w:pPr>
              <w:autoSpaceDE w:val="0"/>
              <w:autoSpaceDN w:val="0"/>
              <w:adjustRightInd w:val="0"/>
              <w:jc w:val="left"/>
              <w:rPr>
                <w:rFonts w:ascii="Calibri" w:hAnsi="Calibri" w:cs="Calibri"/>
              </w:rPr>
            </w:pPr>
            <w:r w:rsidRPr="00163E6F">
              <w:rPr>
                <w:szCs w:val="24"/>
              </w:rPr>
              <w:t>LKA; VARAM; novadu pašvaldības</w:t>
            </w:r>
          </w:p>
        </w:tc>
      </w:tr>
      <w:tr w:rsidR="00165D83" w:rsidRPr="00163E6F" w14:paraId="297E7D3C" w14:textId="77777777" w:rsidTr="004B562D">
        <w:trPr>
          <w:trHeight w:val="1"/>
        </w:trPr>
        <w:tc>
          <w:tcPr>
            <w:tcW w:w="3024" w:type="dxa"/>
            <w:tcBorders>
              <w:top w:val="single" w:sz="3" w:space="0" w:color="000000"/>
              <w:left w:val="single" w:sz="3" w:space="0" w:color="000000"/>
              <w:bottom w:val="single" w:sz="3" w:space="0" w:color="000000"/>
              <w:right w:val="single" w:sz="3" w:space="0" w:color="000000"/>
            </w:tcBorders>
          </w:tcPr>
          <w:p w14:paraId="13FF9F1A" w14:textId="77777777" w:rsidR="00165D83" w:rsidRPr="00163E6F" w:rsidRDefault="00165D83">
            <w:pPr>
              <w:autoSpaceDE w:val="0"/>
              <w:autoSpaceDN w:val="0"/>
              <w:adjustRightInd w:val="0"/>
              <w:jc w:val="left"/>
              <w:rPr>
                <w:rFonts w:ascii="Calibri" w:hAnsi="Calibri" w:cs="Calibri"/>
              </w:rPr>
            </w:pPr>
            <w:r w:rsidRPr="00163E6F">
              <w:rPr>
                <w:szCs w:val="24"/>
              </w:rPr>
              <w:t>Infrastruktūras izveide (autoceļi, dzelzceļu atzari un cita infrastruktūra</w:t>
            </w:r>
          </w:p>
        </w:tc>
        <w:tc>
          <w:tcPr>
            <w:tcW w:w="4206" w:type="dxa"/>
            <w:tcBorders>
              <w:top w:val="single" w:sz="3" w:space="0" w:color="000000"/>
              <w:left w:val="single" w:sz="3" w:space="0" w:color="000000"/>
              <w:bottom w:val="single" w:sz="3" w:space="0" w:color="000000"/>
              <w:right w:val="single" w:sz="3" w:space="0" w:color="000000"/>
            </w:tcBorders>
          </w:tcPr>
          <w:p w14:paraId="508775EC" w14:textId="77777777" w:rsidR="00165D83" w:rsidRPr="00163E6F" w:rsidRDefault="00165D83">
            <w:pPr>
              <w:autoSpaceDE w:val="0"/>
              <w:autoSpaceDN w:val="0"/>
              <w:adjustRightInd w:val="0"/>
              <w:jc w:val="left"/>
              <w:rPr>
                <w:rFonts w:ascii="Calibri" w:hAnsi="Calibri" w:cs="Calibri"/>
              </w:rPr>
            </w:pPr>
            <w:r w:rsidRPr="00163E6F">
              <w:rPr>
                <w:szCs w:val="24"/>
              </w:rPr>
              <w:t>Darbaspēka transports uz un no darba, izejvielu un gatavās produkcijas transports uz realizācijas vietu (arī izmantošana: lauksaimniecība, kurināmais materiāls u.c.)</w:t>
            </w:r>
          </w:p>
        </w:tc>
        <w:tc>
          <w:tcPr>
            <w:tcW w:w="2126" w:type="dxa"/>
            <w:tcBorders>
              <w:top w:val="single" w:sz="3" w:space="0" w:color="000000"/>
              <w:left w:val="single" w:sz="3" w:space="0" w:color="000000"/>
              <w:bottom w:val="single" w:sz="3" w:space="0" w:color="000000"/>
              <w:right w:val="single" w:sz="3" w:space="0" w:color="000000"/>
            </w:tcBorders>
          </w:tcPr>
          <w:p w14:paraId="77C3B187" w14:textId="77777777" w:rsidR="00165D83" w:rsidRPr="00163E6F" w:rsidRDefault="00165D83">
            <w:pPr>
              <w:autoSpaceDE w:val="0"/>
              <w:autoSpaceDN w:val="0"/>
              <w:adjustRightInd w:val="0"/>
              <w:jc w:val="left"/>
              <w:rPr>
                <w:rFonts w:ascii="Calibri" w:hAnsi="Calibri" w:cs="Calibri"/>
              </w:rPr>
            </w:pPr>
            <w:r w:rsidRPr="00163E6F">
              <w:rPr>
                <w:szCs w:val="24"/>
              </w:rPr>
              <w:t>LKA (arī citas asociācijas); uzņēmumi, novadu pašvaldības</w:t>
            </w:r>
          </w:p>
        </w:tc>
      </w:tr>
      <w:tr w:rsidR="00165D83" w:rsidRPr="00163E6F" w14:paraId="2A7CF7A2" w14:textId="77777777" w:rsidTr="004B562D">
        <w:trPr>
          <w:trHeight w:val="1"/>
        </w:trPr>
        <w:tc>
          <w:tcPr>
            <w:tcW w:w="3024" w:type="dxa"/>
            <w:tcBorders>
              <w:top w:val="single" w:sz="3" w:space="0" w:color="000000"/>
              <w:left w:val="single" w:sz="3" w:space="0" w:color="000000"/>
              <w:bottom w:val="single" w:sz="3" w:space="0" w:color="000000"/>
              <w:right w:val="single" w:sz="3" w:space="0" w:color="000000"/>
            </w:tcBorders>
          </w:tcPr>
          <w:p w14:paraId="74971D91" w14:textId="77777777" w:rsidR="00165D83" w:rsidRPr="00163E6F" w:rsidRDefault="00165D83">
            <w:pPr>
              <w:autoSpaceDE w:val="0"/>
              <w:autoSpaceDN w:val="0"/>
              <w:adjustRightInd w:val="0"/>
              <w:jc w:val="left"/>
              <w:rPr>
                <w:rFonts w:ascii="Calibri" w:hAnsi="Calibri" w:cs="Calibri"/>
              </w:rPr>
            </w:pPr>
            <w:r w:rsidRPr="00163E6F">
              <w:rPr>
                <w:szCs w:val="24"/>
              </w:rPr>
              <w:t>Vietējo iedzīvotāju dzīves telpas nodrošināšana</w:t>
            </w:r>
          </w:p>
        </w:tc>
        <w:tc>
          <w:tcPr>
            <w:tcW w:w="4206" w:type="dxa"/>
            <w:tcBorders>
              <w:top w:val="single" w:sz="3" w:space="0" w:color="000000"/>
              <w:left w:val="single" w:sz="3" w:space="0" w:color="000000"/>
              <w:bottom w:val="single" w:sz="3" w:space="0" w:color="000000"/>
              <w:right w:val="single" w:sz="3" w:space="0" w:color="000000"/>
            </w:tcBorders>
          </w:tcPr>
          <w:p w14:paraId="64563B69" w14:textId="77777777" w:rsidR="00165D83" w:rsidRPr="00163E6F" w:rsidRDefault="00165D83">
            <w:pPr>
              <w:autoSpaceDE w:val="0"/>
              <w:autoSpaceDN w:val="0"/>
              <w:adjustRightInd w:val="0"/>
              <w:jc w:val="left"/>
              <w:rPr>
                <w:rFonts w:ascii="Calibri" w:hAnsi="Calibri" w:cs="Calibri"/>
              </w:rPr>
            </w:pPr>
            <w:r w:rsidRPr="00163E6F">
              <w:rPr>
                <w:szCs w:val="24"/>
              </w:rPr>
              <w:t>Attīstīta infrastruktūra apdzīvotā vietā (kūdras ieguvē un pārstrādē strādājošiem un to ģimenēm)</w:t>
            </w:r>
          </w:p>
        </w:tc>
        <w:tc>
          <w:tcPr>
            <w:tcW w:w="2126" w:type="dxa"/>
            <w:tcBorders>
              <w:top w:val="single" w:sz="3" w:space="0" w:color="000000"/>
              <w:left w:val="single" w:sz="3" w:space="0" w:color="000000"/>
              <w:bottom w:val="single" w:sz="3" w:space="0" w:color="000000"/>
              <w:right w:val="single" w:sz="3" w:space="0" w:color="000000"/>
            </w:tcBorders>
          </w:tcPr>
          <w:p w14:paraId="5B320F2C" w14:textId="77777777" w:rsidR="00165D83" w:rsidRPr="00163E6F" w:rsidRDefault="00165D83">
            <w:pPr>
              <w:autoSpaceDE w:val="0"/>
              <w:autoSpaceDN w:val="0"/>
              <w:adjustRightInd w:val="0"/>
              <w:jc w:val="left"/>
              <w:rPr>
                <w:rFonts w:ascii="Calibri" w:hAnsi="Calibri" w:cs="Calibri"/>
              </w:rPr>
            </w:pPr>
            <w:r w:rsidRPr="00163E6F">
              <w:rPr>
                <w:szCs w:val="24"/>
              </w:rPr>
              <w:t>Novadu pašvaldības, uzņēmumi</w:t>
            </w:r>
          </w:p>
        </w:tc>
      </w:tr>
    </w:tbl>
    <w:p w14:paraId="1734C3DE" w14:textId="77777777" w:rsidR="00165D83" w:rsidRPr="00163E6F" w:rsidRDefault="00165D83" w:rsidP="00165D83">
      <w:pPr>
        <w:autoSpaceDE w:val="0"/>
        <w:autoSpaceDN w:val="0"/>
        <w:adjustRightInd w:val="0"/>
        <w:spacing w:after="200" w:line="259" w:lineRule="atLeast"/>
        <w:jc w:val="left"/>
        <w:rPr>
          <w:szCs w:val="24"/>
        </w:rPr>
      </w:pPr>
    </w:p>
    <w:p w14:paraId="5E4AD019" w14:textId="77777777" w:rsidR="00165D83" w:rsidRPr="00163E6F" w:rsidRDefault="00165D83" w:rsidP="00165D83">
      <w:pPr>
        <w:autoSpaceDE w:val="0"/>
        <w:autoSpaceDN w:val="0"/>
        <w:adjustRightInd w:val="0"/>
        <w:spacing w:after="200" w:line="259" w:lineRule="atLeast"/>
        <w:ind w:firstLine="720"/>
        <w:rPr>
          <w:szCs w:val="24"/>
        </w:rPr>
      </w:pPr>
      <w:r w:rsidRPr="00163E6F">
        <w:rPr>
          <w:szCs w:val="24"/>
        </w:rPr>
        <w:t xml:space="preserve">Visi </w:t>
      </w:r>
      <w:r w:rsidR="006A476E" w:rsidRPr="00163E6F">
        <w:rPr>
          <w:szCs w:val="24"/>
        </w:rPr>
        <w:t xml:space="preserve">nosauktie </w:t>
      </w:r>
      <w:r w:rsidRPr="00163E6F">
        <w:rPr>
          <w:szCs w:val="24"/>
        </w:rPr>
        <w:t>stratēģiskie virzieni (septiņi)</w:t>
      </w:r>
      <w:r w:rsidR="00801057" w:rsidRPr="00163E6F">
        <w:rPr>
          <w:szCs w:val="24"/>
        </w:rPr>
        <w:t xml:space="preserve"> ir</w:t>
      </w:r>
      <w:r w:rsidRPr="00163E6F">
        <w:rPr>
          <w:szCs w:val="24"/>
        </w:rPr>
        <w:t xml:space="preserve"> cieši saistīt</w:t>
      </w:r>
      <w:r w:rsidR="00801057" w:rsidRPr="00163E6F">
        <w:rPr>
          <w:szCs w:val="24"/>
        </w:rPr>
        <w:t>i</w:t>
      </w:r>
      <w:r w:rsidRPr="00163E6F">
        <w:rPr>
          <w:szCs w:val="24"/>
        </w:rPr>
        <w:t xml:space="preserve"> (sinerģiski) ar ekonomisko procesu nodrošināšanu (uzņēmējdarbību, darba vietu radīšanu, nodokļu iekasēšanu) un ir detāli jāizstrādā pasākumi plāns atbilstoši valsts stratēģiskajiem plāniem. </w:t>
      </w:r>
    </w:p>
    <w:p w14:paraId="771E2E9D" w14:textId="77777777" w:rsidR="00165D83" w:rsidRPr="00163E6F" w:rsidRDefault="005067E8" w:rsidP="00D006B8">
      <w:pPr>
        <w:pStyle w:val="Heading2"/>
      </w:pPr>
      <w:bookmarkStart w:id="27" w:name="_Toc497574001"/>
      <w:r w:rsidRPr="00163E6F">
        <w:t>Kūdras resursu</w:t>
      </w:r>
      <w:r w:rsidR="00165D83" w:rsidRPr="00163E6F">
        <w:t xml:space="preserve"> ilgtspējīga izmantošana Latvijā</w:t>
      </w:r>
      <w:bookmarkEnd w:id="27"/>
    </w:p>
    <w:p w14:paraId="5BEF2D93" w14:textId="77777777" w:rsidR="00165D83" w:rsidRPr="00163E6F" w:rsidRDefault="00165D83" w:rsidP="005067E8">
      <w:pPr>
        <w:autoSpaceDE w:val="0"/>
        <w:autoSpaceDN w:val="0"/>
        <w:adjustRightInd w:val="0"/>
        <w:spacing w:after="120"/>
        <w:rPr>
          <w:szCs w:val="24"/>
        </w:rPr>
      </w:pPr>
      <w:r w:rsidRPr="00163E6F">
        <w:rPr>
          <w:szCs w:val="24"/>
        </w:rPr>
        <w:tab/>
        <w:t>Kūdras resurss ir lēni atjaunojošs, tas nosaka iespēju harmonizēt sabiedrības intereses ilgtermiņā arī ekosistēmas attīstības aspektā.</w:t>
      </w:r>
      <w:r w:rsidR="005067E8" w:rsidRPr="00163E6F">
        <w:rPr>
          <w:szCs w:val="24"/>
        </w:rPr>
        <w:t xml:space="preserve"> </w:t>
      </w:r>
      <w:r w:rsidRPr="00163E6F">
        <w:rPr>
          <w:szCs w:val="24"/>
        </w:rPr>
        <w:t>Resurss pieejams visos valsts reģionos, tas rada iespēju līdzsvarotai reģionu attīstībai, plānojot cilvēkresursus, infrastruktūru, attīstības centrus ražošanas un pakalpojumu koncentrēšanai saskaņā ar pašvaldību attīstības plāniem.</w:t>
      </w:r>
      <w:r w:rsidR="001E5B99" w:rsidRPr="00163E6F">
        <w:rPr>
          <w:szCs w:val="24"/>
        </w:rPr>
        <w:t xml:space="preserve"> Tāpat šis r</w:t>
      </w:r>
      <w:r w:rsidRPr="00163E6F">
        <w:rPr>
          <w:szCs w:val="24"/>
        </w:rPr>
        <w:t xml:space="preserve">esurss ir interesants investoriem un neprasa </w:t>
      </w:r>
      <w:r w:rsidR="005067E8" w:rsidRPr="00163E6F">
        <w:rPr>
          <w:szCs w:val="24"/>
        </w:rPr>
        <w:t xml:space="preserve">lielus </w:t>
      </w:r>
      <w:r w:rsidRPr="00163E6F">
        <w:rPr>
          <w:szCs w:val="24"/>
        </w:rPr>
        <w:t xml:space="preserve">papildus izdevumus to piesaistei. </w:t>
      </w:r>
    </w:p>
    <w:p w14:paraId="01B45A04" w14:textId="77777777" w:rsidR="00165D83" w:rsidRPr="00163E6F" w:rsidRDefault="005067E8" w:rsidP="00165D83">
      <w:pPr>
        <w:autoSpaceDE w:val="0"/>
        <w:autoSpaceDN w:val="0"/>
        <w:adjustRightInd w:val="0"/>
        <w:spacing w:after="200" w:line="259" w:lineRule="atLeast"/>
        <w:ind w:firstLine="720"/>
        <w:rPr>
          <w:szCs w:val="24"/>
        </w:rPr>
      </w:pPr>
      <w:r w:rsidRPr="00163E6F">
        <w:rPr>
          <w:szCs w:val="24"/>
        </w:rPr>
        <w:t xml:space="preserve">Vienmērīga kūdras ieguve saistīta ar ieguvei pieejamām platībām. Tuvākajos gados beigsies ieguve tajās atradnēs, kur tā uzsākta pirms sešdesmit – septiņdesmit gadiem un deviņdesmitajos gados noslēgti zemes nomas līgumi un saņemtas zemes dzīļu izmantošanas licences jau atbilstoši normatīvajiem aktiem, kas stājās spēkā pēc valsts neatkarības atjaunošanas. Lai tas nenotiktu lēcienveidīgi, svarīgi nodrošināt tādu valsts un pašvaldību zemes platību iznomāšanu, kas nodrošinātu vienmērīgu kūdras ieguvi ik gadu. </w:t>
      </w:r>
      <w:r w:rsidR="00165D83" w:rsidRPr="00163E6F">
        <w:rPr>
          <w:szCs w:val="24"/>
        </w:rPr>
        <w:t xml:space="preserve">Ievērojot pašreizējos ieguves apjomus un potenciāli pieejamos kūdras resursus, tiek lēsts, ka vidēji gada laikā būtu saprātīgi veikt ieguvi līdz 26 000 ha platībā ar iegūstamo kūdras apjomu 1,5 milj.t. Tas nodrošinātu vienmērīgu kūdras ieguvi </w:t>
      </w:r>
      <w:r w:rsidR="00421D08" w:rsidRPr="00163E6F">
        <w:rPr>
          <w:szCs w:val="24"/>
        </w:rPr>
        <w:t>šajā stratēģi</w:t>
      </w:r>
      <w:r w:rsidRPr="00163E6F">
        <w:rPr>
          <w:szCs w:val="24"/>
        </w:rPr>
        <w:t>jā paredzētajam laika periodam līdz 2050.gadam</w:t>
      </w:r>
      <w:r w:rsidR="00165D83" w:rsidRPr="00163E6F">
        <w:rPr>
          <w:szCs w:val="24"/>
        </w:rPr>
        <w:t xml:space="preserve">. </w:t>
      </w:r>
    </w:p>
    <w:p w14:paraId="7EEDF75C" w14:textId="77777777" w:rsidR="00165D83" w:rsidRPr="00163E6F" w:rsidRDefault="00165D83" w:rsidP="005067E8">
      <w:pPr>
        <w:autoSpaceDE w:val="0"/>
        <w:autoSpaceDN w:val="0"/>
        <w:adjustRightInd w:val="0"/>
        <w:spacing w:after="200" w:line="259" w:lineRule="atLeast"/>
        <w:rPr>
          <w:szCs w:val="24"/>
        </w:rPr>
      </w:pPr>
      <w:r w:rsidRPr="00163E6F">
        <w:rPr>
          <w:szCs w:val="24"/>
        </w:rPr>
        <w:lastRenderedPageBreak/>
        <w:tab/>
        <w:t xml:space="preserve"> </w:t>
      </w:r>
      <w:r w:rsidR="002D1C21" w:rsidRPr="00163E6F">
        <w:rPr>
          <w:szCs w:val="24"/>
        </w:rPr>
        <w:t>Purva dziļākie slāņi jeb tā saucamā „tumšā kūdra”, kuru pašlaik maz izmanto lauksaimniecībā, bet kuru var izmantot enerģētikā (kā kurināmo), netiek pilnībā izmantoti, jo pēc tiem nav pieprasījuma.</w:t>
      </w:r>
      <w:r w:rsidRPr="00163E6F">
        <w:rPr>
          <w:szCs w:val="24"/>
        </w:rPr>
        <w:t xml:space="preserve"> Labs noiets ir </w:t>
      </w:r>
      <w:r w:rsidR="002D1C21" w:rsidRPr="00163E6F">
        <w:rPr>
          <w:szCs w:val="24"/>
        </w:rPr>
        <w:t>„</w:t>
      </w:r>
      <w:r w:rsidRPr="00163E6F">
        <w:rPr>
          <w:szCs w:val="24"/>
        </w:rPr>
        <w:t>gaišajai kūdrai</w:t>
      </w:r>
      <w:r w:rsidR="002D1C21" w:rsidRPr="00163E6F">
        <w:rPr>
          <w:szCs w:val="24"/>
        </w:rPr>
        <w:t>”</w:t>
      </w:r>
      <w:r w:rsidRPr="00163E6F">
        <w:rPr>
          <w:szCs w:val="24"/>
        </w:rPr>
        <w:t xml:space="preserve"> purva augšējā slānī, ko izmanto lauksaimniecībā. Uzsākot ieguvi, purva ekosistēma tiek izmainīta, bet, kamēr kūdras atradne nav pienācīgi izstrādāta, nav lietderīgi arī veikt rekultivāciju. Tādēļ no</w:t>
      </w:r>
      <w:r w:rsidR="005067E8" w:rsidRPr="00163E6F">
        <w:rPr>
          <w:szCs w:val="24"/>
        </w:rPr>
        <w:t xml:space="preserve"> ilgtspējīga</w:t>
      </w:r>
      <w:r w:rsidRPr="00163E6F">
        <w:rPr>
          <w:szCs w:val="24"/>
        </w:rPr>
        <w:t xml:space="preserve"> </w:t>
      </w:r>
      <w:r w:rsidR="005067E8" w:rsidRPr="00163E6F">
        <w:rPr>
          <w:szCs w:val="24"/>
        </w:rPr>
        <w:t>kūdras resursu</w:t>
      </w:r>
      <w:r w:rsidRPr="00163E6F">
        <w:rPr>
          <w:szCs w:val="24"/>
        </w:rPr>
        <w:t xml:space="preserve"> izmantošanas viedokļa</w:t>
      </w:r>
      <w:r w:rsidR="005067E8" w:rsidRPr="00163E6F">
        <w:rPr>
          <w:szCs w:val="24"/>
        </w:rPr>
        <w:t>,</w:t>
      </w:r>
      <w:r w:rsidRPr="00163E6F">
        <w:rPr>
          <w:szCs w:val="24"/>
        </w:rPr>
        <w:t xml:space="preserve"> kurināmās kūdras ieguve un izmantošana ir vēlama un atbalstāma. Kūdras izmantošanas paplašināšana palielinātu nodarbinātību laukos, attīstītu vietējo ekonomiku, paaugstinātu valsts energoneatkarību.</w:t>
      </w:r>
      <w:r w:rsidR="005067E8" w:rsidRPr="00163E6F">
        <w:rPr>
          <w:szCs w:val="24"/>
        </w:rPr>
        <w:t xml:space="preserve"> Tomēr, paplašinot kūdras i</w:t>
      </w:r>
      <w:r w:rsidR="002D1C21" w:rsidRPr="00163E6F">
        <w:rPr>
          <w:szCs w:val="24"/>
        </w:rPr>
        <w:t>zmantošanu enerģētikā, jārēķinās arī ar Klimata politikas mērķiem. Tāpat ir jāsaprot enerģētiskās kūdras realizācijas virzieni – vietējais tirgus (lielie enerģētikas uzņēmumi vai stacionārās iekārtas) vai eksports.</w:t>
      </w:r>
    </w:p>
    <w:p w14:paraId="0A376F33" w14:textId="77777777" w:rsidR="00DC6F8D" w:rsidRPr="00163E6F" w:rsidRDefault="00DC6F8D" w:rsidP="00DC6F8D">
      <w:pPr>
        <w:autoSpaceDE w:val="0"/>
        <w:autoSpaceDN w:val="0"/>
        <w:adjustRightInd w:val="0"/>
        <w:spacing w:after="120"/>
        <w:ind w:firstLine="720"/>
        <w:rPr>
          <w:szCs w:val="24"/>
        </w:rPr>
      </w:pPr>
      <w:r w:rsidRPr="00163E6F">
        <w:rPr>
          <w:szCs w:val="24"/>
        </w:rPr>
        <w:t xml:space="preserve">No pašlaik izdoto licenču laukumu platības, 4000 ha būtu piemēroti kurināmās kūdras ieguvei. Ja no šīm platībām tiktu iegūts arī dziļākais slānis </w:t>
      </w:r>
      <w:r w:rsidR="008E00EE" w:rsidRPr="00163E6F">
        <w:rPr>
          <w:szCs w:val="24"/>
        </w:rPr>
        <w:t>–</w:t>
      </w:r>
      <w:r w:rsidRPr="00163E6F">
        <w:rPr>
          <w:szCs w:val="24"/>
        </w:rPr>
        <w:t xml:space="preserve"> enerģētiskā (t.s. tumšā) kūdra, tad varētu iegūt aptuveni 700 000 tonnu kurināmās kūdras gadā, no kā attiecīgi </w:t>
      </w:r>
      <w:r w:rsidR="008E00EE" w:rsidRPr="00163E6F">
        <w:rPr>
          <w:szCs w:val="24"/>
        </w:rPr>
        <w:t>tiktu iegūta enerģija</w:t>
      </w:r>
      <w:r w:rsidRPr="00163E6F">
        <w:rPr>
          <w:szCs w:val="24"/>
        </w:rPr>
        <w:t xml:space="preserve"> līdz 2,1 milj. MWh, kas varētu aizstāt līdzvērtīgu apjomu dabasgāzes 99 855 000 € vērtībā. </w:t>
      </w:r>
    </w:p>
    <w:p w14:paraId="0BB1BBCA" w14:textId="77777777" w:rsidR="009B1FD4" w:rsidRPr="00163E6F" w:rsidRDefault="009B1FD4" w:rsidP="009B1FD4">
      <w:pPr>
        <w:autoSpaceDE w:val="0"/>
        <w:autoSpaceDN w:val="0"/>
        <w:adjustRightInd w:val="0"/>
        <w:spacing w:after="120"/>
        <w:ind w:firstLine="720"/>
        <w:rPr>
          <w:szCs w:val="24"/>
        </w:rPr>
      </w:pPr>
      <w:r w:rsidRPr="00163E6F">
        <w:rPr>
          <w:szCs w:val="24"/>
        </w:rPr>
        <w:t>Kā secināts pētījumā “Kūdras potenciāls Latvijā – ekonomikā, enerģētikā, vides un reģionālajā attīstībā”, piejaucot katlumājās sadedzināmai šķeldai kurināmo kūdru 30% apjomā, tā ļauj par 12 līdz pat 15 % samazināt energoresursa komponentes cenu siltumenerģijā.</w:t>
      </w:r>
      <w:r w:rsidR="008E00EE" w:rsidRPr="00163E6F">
        <w:rPr>
          <w:szCs w:val="24"/>
        </w:rPr>
        <w:t xml:space="preserve"> Tomēr šajā gadījumā būtu jāizvērtē arī atbilstība normatīvajiem aktiem attiecībā uz gaisa piesārņojumu.</w:t>
      </w:r>
    </w:p>
    <w:p w14:paraId="3C7DFA11" w14:textId="77777777" w:rsidR="009B1FD4" w:rsidRPr="00163E6F" w:rsidRDefault="009B1FD4" w:rsidP="009B1FD4">
      <w:pPr>
        <w:autoSpaceDE w:val="0"/>
        <w:autoSpaceDN w:val="0"/>
        <w:adjustRightInd w:val="0"/>
        <w:spacing w:after="120"/>
        <w:ind w:firstLine="720"/>
        <w:rPr>
          <w:szCs w:val="24"/>
        </w:rPr>
      </w:pPr>
      <w:r w:rsidRPr="00163E6F">
        <w:rPr>
          <w:szCs w:val="24"/>
        </w:rPr>
        <w:t>Enerģētiskās jeb kurināmās kūdras izmantošana apkurei ļautu mazināt Latvijas atkarību no fosilo energoresursu importa, mazinātu gāzes monopolu, samazinātu energoresursu izmaksas, palielinātu kokmateriālu eksporta iespējas, kā arī radītu pamatu jaunām darbavietām.</w:t>
      </w:r>
    </w:p>
    <w:p w14:paraId="47EF352B" w14:textId="77777777" w:rsidR="00165D83" w:rsidRPr="00163E6F" w:rsidRDefault="00D006B8" w:rsidP="00D006B8">
      <w:pPr>
        <w:pStyle w:val="Heading1"/>
      </w:pPr>
      <w:bookmarkStart w:id="28" w:name="_Toc497574002"/>
      <w:r w:rsidRPr="00163E6F">
        <w:t>Kūdras atradņu izmantošana</w:t>
      </w:r>
      <w:bookmarkEnd w:id="28"/>
    </w:p>
    <w:p w14:paraId="3ED7880A" w14:textId="77777777" w:rsidR="00165D83" w:rsidRPr="00163E6F" w:rsidRDefault="00165D83" w:rsidP="00D006B8">
      <w:pPr>
        <w:pStyle w:val="Heading2"/>
      </w:pPr>
      <w:bookmarkStart w:id="29" w:name="_Toc497574003"/>
      <w:r w:rsidRPr="00163E6F">
        <w:t>Potenciāli rūpnieciski izmantojamās kūdras atradnes</w:t>
      </w:r>
      <w:bookmarkEnd w:id="29"/>
    </w:p>
    <w:p w14:paraId="6D8AC42B" w14:textId="77777777" w:rsidR="00165D83" w:rsidRPr="00163E6F" w:rsidRDefault="00165D83" w:rsidP="00165D83">
      <w:pPr>
        <w:autoSpaceDE w:val="0"/>
        <w:autoSpaceDN w:val="0"/>
        <w:adjustRightInd w:val="0"/>
        <w:spacing w:after="120"/>
        <w:ind w:firstLine="720"/>
        <w:rPr>
          <w:bCs/>
          <w:szCs w:val="24"/>
        </w:rPr>
      </w:pPr>
      <w:r w:rsidRPr="00163E6F">
        <w:rPr>
          <w:szCs w:val="24"/>
        </w:rPr>
        <w:t>Laika gaitā de</w:t>
      </w:r>
      <w:r w:rsidR="008F3127" w:rsidRPr="00163E6F">
        <w:rPr>
          <w:szCs w:val="24"/>
        </w:rPr>
        <w:t>finīcija, kas ir kūdras atradne un</w:t>
      </w:r>
      <w:r w:rsidRPr="00163E6F">
        <w:rPr>
          <w:szCs w:val="24"/>
        </w:rPr>
        <w:t xml:space="preserve"> kas ir rūpnieciski izmantojama atradne, ir mainījusies. Sadarbībā ar kūdras ražošanas nozari pārstāvošajām organizācijām noteikti atlases kritēriji, kas raksturo rūpnieciski izmantojamu teritoriju, kurā, ievērojot kūdras ieguves tehnoloģiskos procesus un ekonomiskos apsvērumus, ir lietderīgi veikt kūdras ieguvi: </w:t>
      </w:r>
      <w:r w:rsidRPr="00163E6F">
        <w:rPr>
          <w:bCs/>
          <w:szCs w:val="24"/>
        </w:rPr>
        <w:t>Kūdras atradnes kopējā platība pie 0 robežas ir ne mazāka par 25 ha, kūdras iegulas vidējais slāņa dziļums atradnes nenosusinātā stāvoklī ir vienāds vai lielāks par 2,0 m.</w:t>
      </w:r>
    </w:p>
    <w:p w14:paraId="7F948BF8" w14:textId="77777777" w:rsidR="00165D83" w:rsidRPr="00163E6F" w:rsidRDefault="00165D83" w:rsidP="008F3127">
      <w:pPr>
        <w:autoSpaceDE w:val="0"/>
        <w:autoSpaceDN w:val="0"/>
        <w:adjustRightInd w:val="0"/>
        <w:spacing w:after="120"/>
        <w:ind w:firstLine="709"/>
        <w:rPr>
          <w:szCs w:val="24"/>
        </w:rPr>
      </w:pPr>
      <w:r w:rsidRPr="00163E6F">
        <w:rPr>
          <w:szCs w:val="24"/>
        </w:rPr>
        <w:t>Vērtējot iegūtos rezultātus, ir jāņem vērā sekojoši apstākļi:</w:t>
      </w:r>
    </w:p>
    <w:p w14:paraId="00CAAE18" w14:textId="77777777" w:rsidR="00165D83" w:rsidRPr="00163E6F" w:rsidRDefault="00165D83" w:rsidP="00165D83">
      <w:pPr>
        <w:numPr>
          <w:ilvl w:val="0"/>
          <w:numId w:val="1"/>
        </w:numPr>
        <w:autoSpaceDE w:val="0"/>
        <w:autoSpaceDN w:val="0"/>
        <w:adjustRightInd w:val="0"/>
        <w:spacing w:after="120"/>
        <w:ind w:left="720" w:hanging="360"/>
        <w:rPr>
          <w:szCs w:val="24"/>
        </w:rPr>
      </w:pPr>
      <w:r w:rsidRPr="00163E6F">
        <w:rPr>
          <w:szCs w:val="24"/>
        </w:rPr>
        <w:t xml:space="preserve">Kūdras atradnes nulles līnijas („0”) robeža pie 0,3 m kūdras slāņa dziļuma līnijas nenosusinātā stāvoklī, jeb 0,2 m –nosusinātā stāvoklī. Ar nulles līniju norobežotā platība ir kūdras atradnes kopējā platība; </w:t>
      </w:r>
    </w:p>
    <w:p w14:paraId="7A859213" w14:textId="77777777" w:rsidR="00165D83" w:rsidRPr="00163E6F" w:rsidRDefault="00165D83" w:rsidP="00165D83">
      <w:pPr>
        <w:numPr>
          <w:ilvl w:val="0"/>
          <w:numId w:val="1"/>
        </w:numPr>
        <w:autoSpaceDE w:val="0"/>
        <w:autoSpaceDN w:val="0"/>
        <w:adjustRightInd w:val="0"/>
        <w:spacing w:after="120"/>
        <w:ind w:left="720" w:hanging="360"/>
        <w:rPr>
          <w:szCs w:val="24"/>
        </w:rPr>
      </w:pPr>
      <w:r w:rsidRPr="00163E6F">
        <w:rPr>
          <w:szCs w:val="24"/>
        </w:rPr>
        <w:t>Kūdras atradnes rūpnieciski izmantojamā slāņa robeža ir pie kūdras slāņa 1,3 m dziļuma līnijas nenosusinātā stāvoklī un ar šo līniju norobežotā platība ir kūdras atradnes rūpnieciski izmantojamā platība;</w:t>
      </w:r>
    </w:p>
    <w:p w14:paraId="7141EE6B" w14:textId="77777777" w:rsidR="00165D83" w:rsidRPr="00163E6F" w:rsidRDefault="00165D83" w:rsidP="00165D83">
      <w:pPr>
        <w:numPr>
          <w:ilvl w:val="0"/>
          <w:numId w:val="1"/>
        </w:numPr>
        <w:autoSpaceDE w:val="0"/>
        <w:autoSpaceDN w:val="0"/>
        <w:adjustRightInd w:val="0"/>
        <w:spacing w:after="120"/>
        <w:ind w:left="720" w:hanging="360"/>
        <w:rPr>
          <w:szCs w:val="24"/>
        </w:rPr>
      </w:pPr>
      <w:r w:rsidRPr="00163E6F">
        <w:rPr>
          <w:szCs w:val="24"/>
        </w:rPr>
        <w:t>Vēsturiski kūdras atradņu identificēšanā un noteikšanā, atradnēm, kuras iekļautas Latvijas Kūdras fondā, izmantotas kamerālas metodes par pamatu ņemot augšņu kartes, meža ierīcības materiālus, ņemot vērā nenosusinātās meža zemes kategorijas – niedrājs, purvājs, dumbrājs un liekņa, kuru platības iekļautas nulles līnijas robežās.</w:t>
      </w:r>
    </w:p>
    <w:p w14:paraId="09646C7F" w14:textId="570C55F7" w:rsidR="00165D83" w:rsidRPr="00163E6F" w:rsidRDefault="00165D83" w:rsidP="00165D83">
      <w:pPr>
        <w:autoSpaceDE w:val="0"/>
        <w:autoSpaceDN w:val="0"/>
        <w:adjustRightInd w:val="0"/>
        <w:spacing w:after="120"/>
        <w:ind w:firstLine="720"/>
        <w:rPr>
          <w:szCs w:val="24"/>
        </w:rPr>
      </w:pPr>
      <w:r w:rsidRPr="00163E6F">
        <w:rPr>
          <w:szCs w:val="24"/>
        </w:rPr>
        <w:lastRenderedPageBreak/>
        <w:t>Kopumā izvirzītajiem kr</w:t>
      </w:r>
      <w:r w:rsidR="00BD059F" w:rsidRPr="00163E6F">
        <w:rPr>
          <w:szCs w:val="24"/>
        </w:rPr>
        <w:t>itērijiem atbilst 1461 telpiskais objekts</w:t>
      </w:r>
      <w:r w:rsidR="006777FE">
        <w:rPr>
          <w:szCs w:val="24"/>
        </w:rPr>
        <w:t xml:space="preserve"> (27</w:t>
      </w:r>
      <w:r w:rsidRPr="00163E6F">
        <w:rPr>
          <w:szCs w:val="24"/>
        </w:rPr>
        <w:t>.attēls), jeb 1824 telpiskie objekti Latvijas novadu teritoriālajā iedalījumā, ar kopējo lauk</w:t>
      </w:r>
      <w:r w:rsidR="00830376" w:rsidRPr="00163E6F">
        <w:rPr>
          <w:szCs w:val="24"/>
        </w:rPr>
        <w:t xml:space="preserve">umu platību 501 079 ha, kas ir </w:t>
      </w:r>
      <w:r w:rsidRPr="00163E6F">
        <w:rPr>
          <w:szCs w:val="24"/>
        </w:rPr>
        <w:t>70,</w:t>
      </w:r>
      <w:r w:rsidR="00830376" w:rsidRPr="00163E6F">
        <w:rPr>
          <w:szCs w:val="24"/>
        </w:rPr>
        <w:t>5</w:t>
      </w:r>
      <w:r w:rsidRPr="00163E6F">
        <w:rPr>
          <w:szCs w:val="24"/>
        </w:rPr>
        <w:t xml:space="preserve">% no kopējā analizētā teritorijas apjoma. </w:t>
      </w:r>
    </w:p>
    <w:p w14:paraId="6CA2EDB8"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Minētie kritēriji, analizētie materiāli un metodes, kas vēsturiski izmantoti kūdras atradņu identificēšanai un to tālākai iekļaušanai Latvijas Kūdras fondā norāda uz to, ka identificēto atradņu kopums ir izmantojams kā informatīva rakstura materiāls, un tālākai lēmuma pieņemšanai ir veicama katras atradnes detāla izpēte vai inventarizācija, kuras ietvaros var noteikt konkrētus atradni raksturojošos parametrus, un tajā ietilpstošā resursa fizikālās, ķīmiskās un agrotehniskās īpašības, kā arī noteikt kūdras krājumus vai to atlikumus. </w:t>
      </w:r>
    </w:p>
    <w:p w14:paraId="4186A4C7" w14:textId="77777777" w:rsidR="00165D83" w:rsidRPr="00163E6F" w:rsidRDefault="00165D83" w:rsidP="00F27864">
      <w:pPr>
        <w:autoSpaceDE w:val="0"/>
        <w:autoSpaceDN w:val="0"/>
        <w:adjustRightInd w:val="0"/>
        <w:spacing w:before="120" w:after="120" w:line="360" w:lineRule="auto"/>
        <w:jc w:val="center"/>
        <w:rPr>
          <w:i/>
          <w:iCs/>
          <w:color w:val="FF0000"/>
          <w:szCs w:val="24"/>
        </w:rPr>
      </w:pPr>
      <w:r w:rsidRPr="00163E6F">
        <w:rPr>
          <w:rFonts w:ascii="Calibri" w:hAnsi="Calibri" w:cs="Calibri"/>
          <w:noProof/>
          <w:sz w:val="22"/>
          <w:lang w:eastAsia="lv-LV"/>
        </w:rPr>
        <w:drawing>
          <wp:inline distT="0" distB="0" distL="0" distR="0" wp14:anchorId="6332DC61" wp14:editId="313D511A">
            <wp:extent cx="5362575" cy="3781425"/>
            <wp:effectExtent l="1905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srcRect/>
                    <a:stretch>
                      <a:fillRect/>
                    </a:stretch>
                  </pic:blipFill>
                  <pic:spPr bwMode="auto">
                    <a:xfrm>
                      <a:off x="0" y="0"/>
                      <a:ext cx="5362575" cy="3781425"/>
                    </a:xfrm>
                    <a:prstGeom prst="rect">
                      <a:avLst/>
                    </a:prstGeom>
                    <a:noFill/>
                    <a:ln w="9525">
                      <a:noFill/>
                      <a:miter lim="800000"/>
                      <a:headEnd/>
                      <a:tailEnd/>
                    </a:ln>
                  </pic:spPr>
                </pic:pic>
              </a:graphicData>
            </a:graphic>
          </wp:inline>
        </w:drawing>
      </w:r>
    </w:p>
    <w:p w14:paraId="656C46B9" w14:textId="44C136FE" w:rsidR="00165D83" w:rsidRPr="00163E6F" w:rsidRDefault="00531FA6" w:rsidP="00165D83">
      <w:pPr>
        <w:autoSpaceDE w:val="0"/>
        <w:autoSpaceDN w:val="0"/>
        <w:adjustRightInd w:val="0"/>
        <w:spacing w:before="120" w:after="120" w:line="360" w:lineRule="auto"/>
        <w:jc w:val="center"/>
        <w:rPr>
          <w:szCs w:val="24"/>
        </w:rPr>
      </w:pPr>
      <w:r>
        <w:rPr>
          <w:szCs w:val="24"/>
        </w:rPr>
        <w:t>27</w:t>
      </w:r>
      <w:r w:rsidR="00165D83" w:rsidRPr="00163E6F">
        <w:rPr>
          <w:szCs w:val="24"/>
        </w:rPr>
        <w:t>.attēls. Rūpnieciski izmantojamās kūdras atradnes</w:t>
      </w:r>
    </w:p>
    <w:p w14:paraId="05E21EA6"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Atlasītie ģeotelpiskie dati satur informāciju par visiem objektiem, kas atbilst izvirzītajiem kritērijiem, tostarp, vēsturiskajām kūdras ieguves vietām, kurās ir notikusi kūdras ieguve, bet nav veikta ieguves rekultivācija, konservācija, vai to izslēgšana no derīgo izrakteņu atradņu reģistra. </w:t>
      </w:r>
    </w:p>
    <w:p w14:paraId="4EBE67F2" w14:textId="77777777" w:rsidR="00165D83" w:rsidRPr="00163E6F" w:rsidRDefault="00165D83" w:rsidP="00165D83">
      <w:pPr>
        <w:autoSpaceDE w:val="0"/>
        <w:autoSpaceDN w:val="0"/>
        <w:adjustRightInd w:val="0"/>
        <w:spacing w:after="120"/>
        <w:ind w:firstLine="720"/>
        <w:rPr>
          <w:szCs w:val="24"/>
        </w:rPr>
      </w:pPr>
      <w:r w:rsidRPr="00163E6F">
        <w:rPr>
          <w:szCs w:val="24"/>
        </w:rPr>
        <w:t>91 atradnē no identificētajām rūpnieciski izmantojamajām kūdras atradnēm tiek realizēta kūdras resursu ieguve (</w:t>
      </w:r>
      <w:r w:rsidR="008F3127" w:rsidRPr="00163E6F">
        <w:rPr>
          <w:szCs w:val="24"/>
        </w:rPr>
        <w:t>2</w:t>
      </w:r>
      <w:r w:rsidRPr="00163E6F">
        <w:rPr>
          <w:szCs w:val="24"/>
        </w:rPr>
        <w:t xml:space="preserve">.pielikums). </w:t>
      </w:r>
    </w:p>
    <w:p w14:paraId="79A69E1B"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149 no identificētajām rūpnieciski izmantojamajām kūdras atradnēm vai to daļām kūdras ieguve ir tikusi realizēta vēsturiski un dažādu apstākļu ietekmē pārtraukta un nav atjaunota. Par minēto kūdras ieguves vietu rekultivāciju vai konservāciju informācija nav pieejama. Kamēr šis teritorijas nav apsekotas, nav iegūta detāla ģeoloģiskā informācija un nav pieņemts lēmums par atradnes turpmāku statusu – saglabāt atradnes statusu vai izslēgt no atradņu reģistra, atradne vai tās daļa netiek izslēgta no rūpnieciski izmantojamo kūdras atradņu saraksta. Vēsturiski izmantoto kūdras atradņu kopsavilkums apkopots </w:t>
      </w:r>
      <w:r w:rsidR="008F3127" w:rsidRPr="00163E6F">
        <w:rPr>
          <w:szCs w:val="24"/>
        </w:rPr>
        <w:t>3</w:t>
      </w:r>
      <w:r w:rsidRPr="00163E6F">
        <w:rPr>
          <w:szCs w:val="24"/>
        </w:rPr>
        <w:t>.pielikumā.</w:t>
      </w:r>
    </w:p>
    <w:p w14:paraId="080C60EE" w14:textId="081412C5" w:rsidR="00165D83" w:rsidRPr="00163E6F" w:rsidRDefault="00165D83" w:rsidP="00165D83">
      <w:pPr>
        <w:autoSpaceDE w:val="0"/>
        <w:autoSpaceDN w:val="0"/>
        <w:adjustRightInd w:val="0"/>
        <w:spacing w:after="120"/>
        <w:ind w:firstLine="567"/>
        <w:rPr>
          <w:szCs w:val="24"/>
        </w:rPr>
      </w:pPr>
      <w:r w:rsidRPr="00163E6F">
        <w:rPr>
          <w:szCs w:val="24"/>
        </w:rPr>
        <w:lastRenderedPageBreak/>
        <w:t>Rūpnieciski izmantojamo kūdras atradņu dalījumu pēc zemes īpašuma tiesību statusa: 63% ietilpst zemes īpašumos, kuru īpašnieks vai tiesiskais valdītājs ir Latvijas valsts; 34% ietilpst zemes īpašumu sastāvā, kuru īpašnieki vai tiesiskie valdītāji ir fiziskas vai juridiskas personas; 3% pieder no</w:t>
      </w:r>
      <w:r w:rsidR="006777FE">
        <w:rPr>
          <w:szCs w:val="24"/>
        </w:rPr>
        <w:t>vadu vai pilsētu pašvaldībām (28</w:t>
      </w:r>
      <w:r w:rsidRPr="009F769B">
        <w:rPr>
          <w:szCs w:val="24"/>
        </w:rPr>
        <w:t>.attēls</w:t>
      </w:r>
      <w:r w:rsidRPr="00163E6F">
        <w:rPr>
          <w:szCs w:val="24"/>
        </w:rPr>
        <w:t>).</w:t>
      </w:r>
    </w:p>
    <w:p w14:paraId="5DEF4C52" w14:textId="77777777" w:rsidR="00165D83" w:rsidRPr="00163E6F" w:rsidRDefault="009F769B" w:rsidP="00165D83">
      <w:pPr>
        <w:autoSpaceDE w:val="0"/>
        <w:autoSpaceDN w:val="0"/>
        <w:adjustRightInd w:val="0"/>
        <w:spacing w:before="120" w:after="120" w:line="360" w:lineRule="auto"/>
        <w:ind w:firstLine="567"/>
        <w:jc w:val="center"/>
        <w:rPr>
          <w:color w:val="FF0000"/>
          <w:szCs w:val="24"/>
        </w:rPr>
      </w:pPr>
      <w:r w:rsidRPr="009712CF">
        <w:rPr>
          <w:noProof/>
          <w:color w:val="FF0000"/>
          <w:szCs w:val="24"/>
          <w:lang w:eastAsia="lv-LV"/>
        </w:rPr>
        <w:drawing>
          <wp:inline distT="0" distB="0" distL="0" distR="0" wp14:anchorId="66381DBD" wp14:editId="11D9C3E3">
            <wp:extent cx="4893945" cy="3369945"/>
            <wp:effectExtent l="0" t="0" r="1905" b="1905"/>
            <wp:docPr id="3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404FD907" w14:textId="4432798B" w:rsidR="00165D83" w:rsidRPr="00163E6F" w:rsidRDefault="006777FE" w:rsidP="00165D83">
      <w:pPr>
        <w:autoSpaceDE w:val="0"/>
        <w:autoSpaceDN w:val="0"/>
        <w:adjustRightInd w:val="0"/>
        <w:spacing w:before="120" w:after="120"/>
        <w:jc w:val="center"/>
        <w:rPr>
          <w:szCs w:val="24"/>
        </w:rPr>
      </w:pPr>
      <w:r>
        <w:rPr>
          <w:szCs w:val="24"/>
        </w:rPr>
        <w:t>28</w:t>
      </w:r>
      <w:r w:rsidR="00165D83" w:rsidRPr="009F769B">
        <w:rPr>
          <w:szCs w:val="24"/>
        </w:rPr>
        <w:t>.att.</w:t>
      </w:r>
      <w:r w:rsidR="00165D83" w:rsidRPr="00163E6F">
        <w:rPr>
          <w:szCs w:val="24"/>
        </w:rPr>
        <w:t xml:space="preserve"> Rūpnieciski izmantojamo kūdras atradņu dalījums pēc īpašuma tiesību statusa</w:t>
      </w:r>
    </w:p>
    <w:p w14:paraId="5245C951" w14:textId="5F6DA728" w:rsidR="00165D83" w:rsidRPr="00163E6F" w:rsidRDefault="00165D83" w:rsidP="00165D83">
      <w:pPr>
        <w:autoSpaceDE w:val="0"/>
        <w:autoSpaceDN w:val="0"/>
        <w:adjustRightInd w:val="0"/>
        <w:spacing w:after="120"/>
        <w:ind w:firstLine="720"/>
        <w:rPr>
          <w:szCs w:val="24"/>
        </w:rPr>
      </w:pPr>
      <w:r w:rsidRPr="00163E6F">
        <w:rPr>
          <w:szCs w:val="24"/>
        </w:rPr>
        <w:t xml:space="preserve">Rūpnieciski izmantojamo kūdras atradņu teritoriju kopsavilkums, atbilstoši Latvijas novadu teritoriālajam iedalījumam, apkopots </w:t>
      </w:r>
      <w:r w:rsidR="005F441A" w:rsidRPr="00163E6F">
        <w:rPr>
          <w:szCs w:val="24"/>
        </w:rPr>
        <w:t>2</w:t>
      </w:r>
      <w:r w:rsidRPr="00163E6F">
        <w:rPr>
          <w:szCs w:val="24"/>
        </w:rPr>
        <w:t>.</w:t>
      </w:r>
      <w:r w:rsidR="006777FE">
        <w:rPr>
          <w:szCs w:val="24"/>
        </w:rPr>
        <w:t xml:space="preserve"> </w:t>
      </w:r>
      <w:r w:rsidRPr="00163E6F">
        <w:rPr>
          <w:szCs w:val="24"/>
        </w:rPr>
        <w:t>pielikumā. Pielikumā papildus ietverta informācija par atradnes sastāvā ietilpstošajām platībām, uz kurām izsniegta zemes dzīļu izmantošanas licence, teritorijām, kurās kūdras resursu ieguve ir pārtraukta, dabas aizsardzības teritorijām, kurās kūdras resursu ieguve nav atļauta jeb ir atļauta ar ierobežojumiem.</w:t>
      </w:r>
    </w:p>
    <w:p w14:paraId="5A491838" w14:textId="77777777" w:rsidR="00165D83" w:rsidRPr="00163E6F" w:rsidRDefault="00165D83" w:rsidP="00D006B8">
      <w:pPr>
        <w:pStyle w:val="Heading2"/>
      </w:pPr>
      <w:bookmarkStart w:id="30" w:name="_Toc497574004"/>
      <w:r w:rsidRPr="00163E6F">
        <w:t>Potenciāli rūpnieciski izmantojamās kūdras atradnes un dabas aizsardzības teritorijas</w:t>
      </w:r>
      <w:bookmarkEnd w:id="30"/>
    </w:p>
    <w:p w14:paraId="4132F67C" w14:textId="2B02969F" w:rsidR="00165D83" w:rsidRPr="00163E6F" w:rsidRDefault="00165D83" w:rsidP="00165D83">
      <w:pPr>
        <w:autoSpaceDE w:val="0"/>
        <w:autoSpaceDN w:val="0"/>
        <w:adjustRightInd w:val="0"/>
        <w:spacing w:after="120"/>
        <w:ind w:firstLine="720"/>
        <w:rPr>
          <w:szCs w:val="24"/>
        </w:rPr>
      </w:pPr>
      <w:r w:rsidRPr="00163E6F">
        <w:rPr>
          <w:szCs w:val="24"/>
        </w:rPr>
        <w:t>Izvērtējot rūpnieciski izmantojamo atradņu pārklāšanos ar dabas aizsardzības teritorijām, izmantojot dabas datu pārvaldības sistēmas „Ozols” publiskajā daļā</w:t>
      </w:r>
      <w:r w:rsidR="00F27864" w:rsidRPr="00163E6F">
        <w:rPr>
          <w:rStyle w:val="FootnoteReference"/>
          <w:szCs w:val="24"/>
        </w:rPr>
        <w:footnoteReference w:id="20"/>
      </w:r>
      <w:r w:rsidRPr="00163E6F">
        <w:rPr>
          <w:szCs w:val="24"/>
        </w:rPr>
        <w:t xml:space="preserve"> pieejamo informāciju, ir secināms, ka identificēto kūdras atradņu pārklājums ar dabas aizsardzības teritorijām (ĪADT, mikroliegums), ir 40,13% (204 307 ha) no kopējās rūpnieciski izmantojamo atradņu teritorijas. Rūpnieciski izmantojamo atradņu pārklājums ar ĪADT teritorijām attēlots </w:t>
      </w:r>
      <w:r w:rsidR="006777FE">
        <w:rPr>
          <w:szCs w:val="24"/>
        </w:rPr>
        <w:t>29</w:t>
      </w:r>
      <w:r w:rsidRPr="00163E6F">
        <w:rPr>
          <w:szCs w:val="24"/>
        </w:rPr>
        <w:t>.attēlā.</w:t>
      </w:r>
    </w:p>
    <w:p w14:paraId="5B26BA3A" w14:textId="77777777" w:rsidR="00165D83" w:rsidRPr="00163E6F" w:rsidRDefault="00165D83" w:rsidP="00F27864">
      <w:pPr>
        <w:autoSpaceDE w:val="0"/>
        <w:autoSpaceDN w:val="0"/>
        <w:adjustRightInd w:val="0"/>
        <w:spacing w:before="120" w:after="120" w:line="360" w:lineRule="auto"/>
        <w:jc w:val="center"/>
        <w:rPr>
          <w:color w:val="7030A0"/>
          <w:szCs w:val="24"/>
        </w:rPr>
      </w:pPr>
      <w:r w:rsidRPr="00163E6F">
        <w:rPr>
          <w:rFonts w:ascii="Calibri" w:hAnsi="Calibri" w:cs="Calibri"/>
          <w:noProof/>
          <w:sz w:val="22"/>
          <w:lang w:eastAsia="lv-LV"/>
        </w:rPr>
        <w:lastRenderedPageBreak/>
        <w:drawing>
          <wp:inline distT="0" distB="0" distL="0" distR="0" wp14:anchorId="28AFDC78" wp14:editId="7B45D2A5">
            <wp:extent cx="5362575" cy="3781425"/>
            <wp:effectExtent l="1905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srcRect/>
                    <a:stretch>
                      <a:fillRect/>
                    </a:stretch>
                  </pic:blipFill>
                  <pic:spPr bwMode="auto">
                    <a:xfrm>
                      <a:off x="0" y="0"/>
                      <a:ext cx="5362575" cy="3781425"/>
                    </a:xfrm>
                    <a:prstGeom prst="rect">
                      <a:avLst/>
                    </a:prstGeom>
                    <a:noFill/>
                    <a:ln w="9525">
                      <a:noFill/>
                      <a:miter lim="800000"/>
                      <a:headEnd/>
                      <a:tailEnd/>
                    </a:ln>
                  </pic:spPr>
                </pic:pic>
              </a:graphicData>
            </a:graphic>
          </wp:inline>
        </w:drawing>
      </w:r>
    </w:p>
    <w:p w14:paraId="77C33256" w14:textId="7B0E2385" w:rsidR="00165D83" w:rsidRPr="00163E6F" w:rsidRDefault="006777FE" w:rsidP="00165D83">
      <w:pPr>
        <w:autoSpaceDE w:val="0"/>
        <w:autoSpaceDN w:val="0"/>
        <w:adjustRightInd w:val="0"/>
        <w:spacing w:before="120" w:after="120"/>
        <w:jc w:val="center"/>
        <w:rPr>
          <w:szCs w:val="24"/>
        </w:rPr>
      </w:pPr>
      <w:r>
        <w:rPr>
          <w:szCs w:val="24"/>
        </w:rPr>
        <w:t>29</w:t>
      </w:r>
      <w:r w:rsidR="00165D83" w:rsidRPr="00163E6F">
        <w:rPr>
          <w:szCs w:val="24"/>
        </w:rPr>
        <w:t>.attēls. Rūpnieciski izmantojamo kūdras atradņu pārklājums ar dabas aizsardzības teritorijām (ĪADT, mikroliegums)</w:t>
      </w:r>
    </w:p>
    <w:p w14:paraId="166F0355" w14:textId="1B92C37B" w:rsidR="00165D83" w:rsidRPr="00163E6F" w:rsidRDefault="00165D83" w:rsidP="00165D83">
      <w:pPr>
        <w:autoSpaceDE w:val="0"/>
        <w:autoSpaceDN w:val="0"/>
        <w:adjustRightInd w:val="0"/>
        <w:spacing w:after="120"/>
        <w:ind w:firstLine="720"/>
        <w:rPr>
          <w:color w:val="000000"/>
          <w:szCs w:val="24"/>
        </w:rPr>
      </w:pPr>
      <w:r w:rsidRPr="00163E6F">
        <w:rPr>
          <w:szCs w:val="24"/>
        </w:rPr>
        <w:t xml:space="preserve">Analizējot dabas aizsardzības teritorijas, kas ietilpst rūpnieciski izmantojamo kūdras atradņu teritorijās, pēc to veidiem ir secināms, ka atradnēs ietilpstošo mikroliegumu platības kopsummā sastāda 6% jeb 6064 ha, no kopējās kūdras atradņu teritorijas, kuras pārklājas ar dabas aizsardzības teritorijām (ĪADT, mikroliegums). ĪADT zonas teritorijas, kurās kūdras ieguve aizliegta sastāda 90% jeb </w:t>
      </w:r>
      <w:r w:rsidRPr="00163E6F">
        <w:rPr>
          <w:color w:val="000000"/>
          <w:szCs w:val="24"/>
        </w:rPr>
        <w:t>93802 ha, un ĪADT zonas teritorijas, kurās kūdras ieguve atļauta ar nosacīj</w:t>
      </w:r>
      <w:r w:rsidR="006777FE">
        <w:rPr>
          <w:color w:val="000000"/>
          <w:szCs w:val="24"/>
        </w:rPr>
        <w:t>umiem sastāda 4% jeb 4801 ha (30</w:t>
      </w:r>
      <w:r w:rsidRPr="009F769B">
        <w:rPr>
          <w:color w:val="000000"/>
          <w:szCs w:val="24"/>
        </w:rPr>
        <w:t>.attēls</w:t>
      </w:r>
      <w:r w:rsidRPr="00163E6F">
        <w:rPr>
          <w:color w:val="000000"/>
          <w:szCs w:val="24"/>
        </w:rPr>
        <w:t>).</w:t>
      </w:r>
    </w:p>
    <w:p w14:paraId="3BDF918C" w14:textId="77777777" w:rsidR="00165D83" w:rsidRPr="00163E6F" w:rsidRDefault="009F769B" w:rsidP="00165D83">
      <w:pPr>
        <w:autoSpaceDE w:val="0"/>
        <w:autoSpaceDN w:val="0"/>
        <w:adjustRightInd w:val="0"/>
        <w:spacing w:after="120"/>
        <w:ind w:firstLine="720"/>
        <w:rPr>
          <w:color w:val="000000"/>
          <w:szCs w:val="24"/>
        </w:rPr>
      </w:pPr>
      <w:r w:rsidRPr="009712CF">
        <w:rPr>
          <w:noProof/>
          <w:color w:val="000000"/>
          <w:szCs w:val="24"/>
          <w:lang w:eastAsia="lv-LV"/>
        </w:rPr>
        <w:drawing>
          <wp:inline distT="0" distB="0" distL="0" distR="0" wp14:anchorId="6A3CA857" wp14:editId="6951902D">
            <wp:extent cx="5264785" cy="2932430"/>
            <wp:effectExtent l="0" t="0" r="12065" b="1270"/>
            <wp:docPr id="3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ADF6E25" w14:textId="77777777" w:rsidR="00165D83" w:rsidRPr="00163E6F" w:rsidRDefault="00165D83" w:rsidP="00165D83">
      <w:pPr>
        <w:autoSpaceDE w:val="0"/>
        <w:autoSpaceDN w:val="0"/>
        <w:adjustRightInd w:val="0"/>
        <w:spacing w:after="120"/>
        <w:ind w:firstLine="720"/>
        <w:rPr>
          <w:color w:val="000000"/>
          <w:szCs w:val="24"/>
        </w:rPr>
      </w:pPr>
    </w:p>
    <w:p w14:paraId="38914374" w14:textId="0136E0D1" w:rsidR="00165D83" w:rsidRPr="00163E6F" w:rsidRDefault="006777FE" w:rsidP="00165D83">
      <w:pPr>
        <w:autoSpaceDE w:val="0"/>
        <w:autoSpaceDN w:val="0"/>
        <w:adjustRightInd w:val="0"/>
        <w:spacing w:before="120" w:after="120"/>
        <w:jc w:val="center"/>
        <w:rPr>
          <w:szCs w:val="24"/>
        </w:rPr>
      </w:pPr>
      <w:r>
        <w:rPr>
          <w:szCs w:val="24"/>
        </w:rPr>
        <w:t>30</w:t>
      </w:r>
      <w:r w:rsidR="00165D83" w:rsidRPr="009F769B">
        <w:rPr>
          <w:szCs w:val="24"/>
        </w:rPr>
        <w:t>.att.</w:t>
      </w:r>
      <w:r w:rsidR="00165D83" w:rsidRPr="00163E6F">
        <w:rPr>
          <w:szCs w:val="24"/>
        </w:rPr>
        <w:t xml:space="preserve"> Dabas aizsardzības teritoriju % dalījums rūpnieciski izmantojamo teritoriju ietvaros (ĪADT zonas, mikroliegums)</w:t>
      </w:r>
    </w:p>
    <w:p w14:paraId="37D593F4" w14:textId="77777777" w:rsidR="001A1AF2" w:rsidRPr="00163E6F" w:rsidRDefault="00165D83" w:rsidP="001A1AF2">
      <w:pPr>
        <w:autoSpaceDE w:val="0"/>
        <w:autoSpaceDN w:val="0"/>
        <w:adjustRightInd w:val="0"/>
        <w:spacing w:after="120"/>
        <w:ind w:firstLine="720"/>
        <w:rPr>
          <w:szCs w:val="24"/>
        </w:rPr>
      </w:pPr>
      <w:r w:rsidRPr="00163E6F">
        <w:rPr>
          <w:color w:val="000000"/>
          <w:szCs w:val="24"/>
        </w:rPr>
        <w:t xml:space="preserve">Analizēta publiski pieejamā informācija par dabas aizsardzības teritorijām un iegūtie rezultāti pilnībā neatspoguļo faktisko situāciju par kūdras atradņu teritoriju pārklāšanos ar teritorijām, kurās aizliegta vai netiek plānota nekāda veida saimnieciskā darbība attiecībā uz kūdras resursu saimniecisko izmantošanu. </w:t>
      </w:r>
      <w:r w:rsidR="001A1AF2" w:rsidRPr="00163E6F">
        <w:rPr>
          <w:szCs w:val="24"/>
        </w:rPr>
        <w:t>Analīzes rezultātos nav iekļautas teritorijas, kurās dažāda veida dabas aizsardzības pasākumus, apņemšanās un projektus realizē zemes īpašnieki vai tās tiesiskie valdītāji, piemēram, valsts mežu apsaimniekotājs AS „Latvijas valsts meži”, kuras tiesiskajā valdījumā atrodas lielākais kūdras atradņu īpatsvars.</w:t>
      </w:r>
    </w:p>
    <w:p w14:paraId="1799D72D" w14:textId="77777777" w:rsidR="00165D83" w:rsidRPr="00163E6F" w:rsidRDefault="00165D83" w:rsidP="00D006B8">
      <w:pPr>
        <w:pStyle w:val="Heading2"/>
      </w:pPr>
      <w:bookmarkStart w:id="31" w:name="_Toc497574005"/>
      <w:r w:rsidRPr="00163E6F">
        <w:t xml:space="preserve">Atradnes, kur kūdras ieguve pārtraukta, jeb „vēsturiskās” kūdras ieguves vietas </w:t>
      </w:r>
      <w:r w:rsidR="00DF74A8" w:rsidRPr="00163E6F">
        <w:rPr>
          <w:rStyle w:val="FootnoteReference"/>
          <w:b w:val="0"/>
          <w:bCs w:val="0"/>
          <w:szCs w:val="24"/>
        </w:rPr>
        <w:footnoteReference w:id="21"/>
      </w:r>
      <w:bookmarkEnd w:id="31"/>
    </w:p>
    <w:p w14:paraId="03E0A388" w14:textId="77777777" w:rsidR="00165D83" w:rsidRPr="00163E6F" w:rsidRDefault="00165D83" w:rsidP="00165D83">
      <w:pPr>
        <w:autoSpaceDE w:val="0"/>
        <w:autoSpaceDN w:val="0"/>
        <w:adjustRightInd w:val="0"/>
        <w:spacing w:after="120"/>
        <w:rPr>
          <w:bCs/>
          <w:szCs w:val="24"/>
        </w:rPr>
      </w:pPr>
      <w:r w:rsidRPr="00163E6F">
        <w:rPr>
          <w:bCs/>
          <w:szCs w:val="24"/>
        </w:rPr>
        <w:tab/>
        <w:t>Par vēsturiskajām kūdras ieguves vietām tiek sauktas vietas, kur kādreiz notikusi kūdras ieguve, bet tā pārtraukta, šajā teritorijā pašlaik nav spēkā esošas licences, kūdras ieguves vietai nav veikta vai uzsākta tās rekultivācija vai konservācija, vieta nav izslēgta no derīgo izrakteņu atradņu reģistra.</w:t>
      </w:r>
    </w:p>
    <w:p w14:paraId="5BEE4523" w14:textId="127C51AD" w:rsidR="00165D83" w:rsidRPr="00163E6F" w:rsidRDefault="00165D83" w:rsidP="00165D83">
      <w:pPr>
        <w:autoSpaceDE w:val="0"/>
        <w:autoSpaceDN w:val="0"/>
        <w:adjustRightInd w:val="0"/>
        <w:spacing w:after="120"/>
        <w:ind w:firstLine="720"/>
        <w:rPr>
          <w:szCs w:val="24"/>
        </w:rPr>
      </w:pPr>
      <w:r w:rsidRPr="00163E6F">
        <w:rPr>
          <w:szCs w:val="24"/>
        </w:rPr>
        <w:t>Ir veikta vēsturiski kūdras ieguvei izmantoto teritoriju apzināšana. To identifikācijai izmantota informācija par pagājušajā gadsimtā izstrādē esošajām atradņu teritorijām no LPSR kūdras fonda pēc stāvokļa uz 1980.</w:t>
      </w:r>
      <w:r w:rsidR="006777FE">
        <w:rPr>
          <w:szCs w:val="24"/>
        </w:rPr>
        <w:t xml:space="preserve"> </w:t>
      </w:r>
      <w:r w:rsidRPr="00163E6F">
        <w:rPr>
          <w:szCs w:val="24"/>
        </w:rPr>
        <w:t>gada 1.</w:t>
      </w:r>
      <w:r w:rsidR="006777FE">
        <w:rPr>
          <w:szCs w:val="24"/>
        </w:rPr>
        <w:t xml:space="preserve"> </w:t>
      </w:r>
      <w:r w:rsidRPr="00163E6F">
        <w:rPr>
          <w:szCs w:val="24"/>
        </w:rPr>
        <w:t xml:space="preserve">janvāri, aktuālā informācija no kūdras ieguves licenču ģeodatubāzes, kā arī dažāda laika periodu Latvijas Ģeotelpiskās informācijas aģentūras turējumā esošās ortofotokartes un topogrāfiskās kartes. </w:t>
      </w:r>
    </w:p>
    <w:p w14:paraId="5EDF3A69" w14:textId="77777777" w:rsidR="00165D83" w:rsidRPr="00163E6F" w:rsidRDefault="00165D83" w:rsidP="00165D83">
      <w:pPr>
        <w:autoSpaceDE w:val="0"/>
        <w:autoSpaceDN w:val="0"/>
        <w:adjustRightInd w:val="0"/>
        <w:spacing w:after="120"/>
        <w:ind w:firstLine="567"/>
        <w:rPr>
          <w:szCs w:val="24"/>
        </w:rPr>
      </w:pPr>
      <w:r w:rsidRPr="00163E6F">
        <w:rPr>
          <w:szCs w:val="24"/>
        </w:rPr>
        <w:t xml:space="preserve">Teritorijas </w:t>
      </w:r>
      <w:r w:rsidR="009B1CA3" w:rsidRPr="00163E6F">
        <w:rPr>
          <w:szCs w:val="24"/>
        </w:rPr>
        <w:t>izvērtētas</w:t>
      </w:r>
      <w:r w:rsidRPr="00163E6F">
        <w:rPr>
          <w:szCs w:val="24"/>
        </w:rPr>
        <w:t xml:space="preserve">, izmantojot kamerālo metodi, kas ietver teritorijas identifikāciju, izvērtēšanu un tās tālāku interpretēšanu, pamatojoties uz materiālu analīzi un </w:t>
      </w:r>
      <w:r w:rsidR="009B1CA3" w:rsidRPr="00163E6F">
        <w:rPr>
          <w:szCs w:val="24"/>
        </w:rPr>
        <w:t>speciālistu</w:t>
      </w:r>
      <w:r w:rsidRPr="00163E6F">
        <w:rPr>
          <w:szCs w:val="24"/>
        </w:rPr>
        <w:t xml:space="preserve"> pieredzi, tādējādi, iegūstot informāciju par identificējamo objektu. Teritorijas identificētas un to konfigurācija noteikta, izmantojot ortofotokartēs identificējamos situācijas elementus, piemēram, grāvji, mežs, ūdensteces, ceļi un citi situācijas elementi.</w:t>
      </w:r>
    </w:p>
    <w:p w14:paraId="34D0C129" w14:textId="77777777" w:rsidR="00165D83" w:rsidRPr="00163E6F" w:rsidRDefault="00165D83" w:rsidP="00165D83">
      <w:pPr>
        <w:autoSpaceDE w:val="0"/>
        <w:autoSpaceDN w:val="0"/>
        <w:adjustRightInd w:val="0"/>
        <w:spacing w:after="120"/>
        <w:ind w:left="3402" w:hanging="2835"/>
        <w:rPr>
          <w:szCs w:val="24"/>
        </w:rPr>
      </w:pPr>
      <w:r w:rsidRPr="00163E6F">
        <w:rPr>
          <w:szCs w:val="24"/>
        </w:rPr>
        <w:t>Identifikācijai un iegūto ainu interpretācijai veikti sekojoši soļi:</w:t>
      </w:r>
    </w:p>
    <w:p w14:paraId="478F14C4" w14:textId="77777777" w:rsidR="00165D83" w:rsidRPr="00163E6F" w:rsidRDefault="00165D83" w:rsidP="00165D83">
      <w:pPr>
        <w:numPr>
          <w:ilvl w:val="0"/>
          <w:numId w:val="1"/>
        </w:numPr>
        <w:tabs>
          <w:tab w:val="left" w:pos="1080"/>
        </w:tabs>
        <w:autoSpaceDE w:val="0"/>
        <w:autoSpaceDN w:val="0"/>
        <w:adjustRightInd w:val="0"/>
        <w:spacing w:after="120"/>
        <w:ind w:left="851" w:hanging="284"/>
        <w:rPr>
          <w:szCs w:val="24"/>
        </w:rPr>
      </w:pPr>
      <w:r w:rsidRPr="00163E6F">
        <w:rPr>
          <w:szCs w:val="24"/>
        </w:rPr>
        <w:t>tekstuālo datu analīze: apkopota un sistematizēta informācija par vēsturiski izdalītajām kūdras ieguves teritorijām, vienlaicīgi veicot analīzi - kūdras ieguve ir pārtraukta un nav atjaunota, teritorijai nav spēkā esoša derīgo izrakteņu ieguves licence vai atļauja, kūdras ieguves vietai nav veikta vai uzsākta tās rekultivācija vai tās konservācija)*;</w:t>
      </w:r>
    </w:p>
    <w:p w14:paraId="571C78FF" w14:textId="77777777" w:rsidR="00165D83" w:rsidRPr="00163E6F" w:rsidRDefault="00165D83" w:rsidP="00165D83">
      <w:pPr>
        <w:numPr>
          <w:ilvl w:val="0"/>
          <w:numId w:val="1"/>
        </w:numPr>
        <w:tabs>
          <w:tab w:val="left" w:pos="1080"/>
        </w:tabs>
        <w:autoSpaceDE w:val="0"/>
        <w:autoSpaceDN w:val="0"/>
        <w:adjustRightInd w:val="0"/>
        <w:spacing w:after="120"/>
        <w:ind w:left="851" w:hanging="284"/>
        <w:rPr>
          <w:b/>
          <w:bCs/>
          <w:szCs w:val="24"/>
        </w:rPr>
      </w:pPr>
      <w:r w:rsidRPr="00163E6F">
        <w:rPr>
          <w:szCs w:val="24"/>
        </w:rPr>
        <w:t>dešifrēšana (atpazīšana);</w:t>
      </w:r>
    </w:p>
    <w:p w14:paraId="7A5AA7A6" w14:textId="77777777" w:rsidR="00165D83" w:rsidRPr="00163E6F" w:rsidRDefault="00165D83" w:rsidP="00165D83">
      <w:pPr>
        <w:numPr>
          <w:ilvl w:val="0"/>
          <w:numId w:val="1"/>
        </w:numPr>
        <w:tabs>
          <w:tab w:val="left" w:pos="1080"/>
        </w:tabs>
        <w:autoSpaceDE w:val="0"/>
        <w:autoSpaceDN w:val="0"/>
        <w:adjustRightInd w:val="0"/>
        <w:spacing w:after="120"/>
        <w:ind w:left="851" w:hanging="284"/>
        <w:rPr>
          <w:b/>
          <w:bCs/>
          <w:szCs w:val="24"/>
        </w:rPr>
      </w:pPr>
      <w:r w:rsidRPr="00163E6F">
        <w:rPr>
          <w:szCs w:val="24"/>
        </w:rPr>
        <w:t>analīze: klasifikācija, konfigurācijas un parametru noteikšana;</w:t>
      </w:r>
    </w:p>
    <w:p w14:paraId="02DE836B" w14:textId="77777777" w:rsidR="00165D83" w:rsidRPr="00163E6F" w:rsidRDefault="00165D83" w:rsidP="00165D83">
      <w:pPr>
        <w:numPr>
          <w:ilvl w:val="0"/>
          <w:numId w:val="1"/>
        </w:numPr>
        <w:tabs>
          <w:tab w:val="left" w:pos="1080"/>
        </w:tabs>
        <w:autoSpaceDE w:val="0"/>
        <w:autoSpaceDN w:val="0"/>
        <w:adjustRightInd w:val="0"/>
        <w:spacing w:after="120"/>
        <w:ind w:left="851" w:hanging="284"/>
        <w:rPr>
          <w:bCs/>
          <w:szCs w:val="24"/>
        </w:rPr>
      </w:pPr>
      <w:r w:rsidRPr="00163E6F">
        <w:rPr>
          <w:szCs w:val="24"/>
        </w:rPr>
        <w:t>rezultātu fiksācija: grafiskā zīmēšana, noformēšana.</w:t>
      </w:r>
    </w:p>
    <w:p w14:paraId="2D6459F1" w14:textId="77777777" w:rsidR="00165D83" w:rsidRPr="00163E6F" w:rsidRDefault="00165D83" w:rsidP="00165D83">
      <w:pPr>
        <w:autoSpaceDE w:val="0"/>
        <w:autoSpaceDN w:val="0"/>
        <w:adjustRightInd w:val="0"/>
        <w:spacing w:after="120"/>
        <w:ind w:firstLine="720"/>
        <w:rPr>
          <w:i/>
          <w:iCs/>
          <w:color w:val="FF0000"/>
          <w:szCs w:val="24"/>
        </w:rPr>
      </w:pPr>
      <w:r w:rsidRPr="00163E6F">
        <w:rPr>
          <w:szCs w:val="24"/>
        </w:rPr>
        <w:t xml:space="preserve">Kopumā izvērtēšanas rezultātā identificēti </w:t>
      </w:r>
      <w:r w:rsidRPr="00163E6F">
        <w:rPr>
          <w:bCs/>
          <w:szCs w:val="24"/>
        </w:rPr>
        <w:t>190 laukumi</w:t>
      </w:r>
      <w:r w:rsidRPr="00163E6F">
        <w:rPr>
          <w:szCs w:val="24"/>
        </w:rPr>
        <w:t xml:space="preserve">, kuri ir tikuši novērtēti kā objekti, kuros dažādos laika periodos ir realizēta, jeb, iespējams, ir realizēta kūdras resursu ieguve ar dažādām kūdras ieguves metodēm. Šādas teritorijas nosauktas par vēsturiskajām kūdras ieguves teritorijām. Kopējā identificēto laukumu platība sastāda </w:t>
      </w:r>
      <w:r w:rsidRPr="00163E6F">
        <w:rPr>
          <w:bCs/>
          <w:szCs w:val="24"/>
        </w:rPr>
        <w:t>26 228 ha</w:t>
      </w:r>
      <w:r w:rsidRPr="00163E6F">
        <w:rPr>
          <w:szCs w:val="24"/>
        </w:rPr>
        <w:t xml:space="preserve">. </w:t>
      </w:r>
    </w:p>
    <w:p w14:paraId="7DDB439F" w14:textId="1A1CE269" w:rsidR="00165D83" w:rsidRPr="00163E6F" w:rsidRDefault="00165D83" w:rsidP="00165D83">
      <w:pPr>
        <w:autoSpaceDE w:val="0"/>
        <w:autoSpaceDN w:val="0"/>
        <w:adjustRightInd w:val="0"/>
        <w:spacing w:after="120"/>
        <w:ind w:firstLine="720"/>
        <w:rPr>
          <w:szCs w:val="24"/>
        </w:rPr>
      </w:pPr>
      <w:r w:rsidRPr="00163E6F">
        <w:rPr>
          <w:szCs w:val="24"/>
        </w:rPr>
        <w:t xml:space="preserve">Vēsturisko kūdras ieguves teritoriju sadalījumu pēc zemes īpašuma tiesību statusa: 53% īpašnieks vai tiesiskais valdītājs ir valsts, 44% īpašnieki vai tiesiskie valdītāji ir fiziskas vai juridiskas personas, 3% teritoriju pieder novadu vai pilsētu pašvaldībām </w:t>
      </w:r>
      <w:r w:rsidR="006777FE">
        <w:rPr>
          <w:szCs w:val="24"/>
        </w:rPr>
        <w:t>(31</w:t>
      </w:r>
      <w:r w:rsidRPr="009F769B">
        <w:rPr>
          <w:szCs w:val="24"/>
        </w:rPr>
        <w:t>. attēls</w:t>
      </w:r>
      <w:r w:rsidRPr="00163E6F">
        <w:rPr>
          <w:szCs w:val="24"/>
        </w:rPr>
        <w:t>).</w:t>
      </w:r>
    </w:p>
    <w:p w14:paraId="5FBE3022" w14:textId="77777777" w:rsidR="00165D83" w:rsidRPr="00163E6F" w:rsidRDefault="009F769B" w:rsidP="00165D83">
      <w:pPr>
        <w:autoSpaceDE w:val="0"/>
        <w:autoSpaceDN w:val="0"/>
        <w:adjustRightInd w:val="0"/>
        <w:spacing w:before="120" w:after="120" w:line="360" w:lineRule="auto"/>
        <w:jc w:val="center"/>
        <w:rPr>
          <w:color w:val="FF0000"/>
          <w:szCs w:val="24"/>
        </w:rPr>
      </w:pPr>
      <w:r w:rsidRPr="009712CF">
        <w:rPr>
          <w:noProof/>
          <w:color w:val="FF0000"/>
          <w:szCs w:val="24"/>
          <w:lang w:eastAsia="lv-LV"/>
        </w:rPr>
        <w:lastRenderedPageBreak/>
        <w:drawing>
          <wp:inline distT="0" distB="0" distL="0" distR="0" wp14:anchorId="56F5EE08" wp14:editId="33B9830C">
            <wp:extent cx="5417185" cy="3065780"/>
            <wp:effectExtent l="0" t="0" r="12065" b="1270"/>
            <wp:docPr id="3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E496E7B" w14:textId="1DBF92D8" w:rsidR="00165D83" w:rsidRPr="00163E6F" w:rsidRDefault="006777FE" w:rsidP="00165D83">
      <w:pPr>
        <w:autoSpaceDE w:val="0"/>
        <w:autoSpaceDN w:val="0"/>
        <w:adjustRightInd w:val="0"/>
        <w:spacing w:before="120" w:after="120" w:line="360" w:lineRule="auto"/>
        <w:jc w:val="center"/>
        <w:rPr>
          <w:color w:val="FF0000"/>
          <w:szCs w:val="24"/>
        </w:rPr>
      </w:pPr>
      <w:r>
        <w:rPr>
          <w:szCs w:val="24"/>
        </w:rPr>
        <w:t>31</w:t>
      </w:r>
      <w:r w:rsidR="00165D83" w:rsidRPr="009F769B">
        <w:rPr>
          <w:szCs w:val="24"/>
        </w:rPr>
        <w:t>.attēls.</w:t>
      </w:r>
      <w:r w:rsidR="00165D83" w:rsidRPr="00163E6F">
        <w:rPr>
          <w:szCs w:val="24"/>
        </w:rPr>
        <w:t xml:space="preserve"> Vēsturisko kūdras ieguves teritoriju % sadalījums atbilstoši īpašumtiesību statusam</w:t>
      </w:r>
    </w:p>
    <w:p w14:paraId="02202E44" w14:textId="631EC686" w:rsidR="00165D83" w:rsidRPr="00163E6F" w:rsidRDefault="00165D83" w:rsidP="00165D83">
      <w:pPr>
        <w:autoSpaceDE w:val="0"/>
        <w:autoSpaceDN w:val="0"/>
        <w:adjustRightInd w:val="0"/>
        <w:spacing w:after="120"/>
        <w:ind w:firstLine="720"/>
        <w:rPr>
          <w:szCs w:val="24"/>
        </w:rPr>
      </w:pPr>
      <w:r w:rsidRPr="00163E6F">
        <w:rPr>
          <w:szCs w:val="24"/>
        </w:rPr>
        <w:t>Pēc zemes lietošanas veidiem</w:t>
      </w:r>
      <w:r w:rsidR="00DF74A8" w:rsidRPr="00163E6F">
        <w:rPr>
          <w:rStyle w:val="FootnoteReference"/>
          <w:szCs w:val="24"/>
        </w:rPr>
        <w:footnoteReference w:id="22"/>
      </w:r>
      <w:r w:rsidRPr="00163E6F">
        <w:rPr>
          <w:szCs w:val="24"/>
        </w:rPr>
        <w:t xml:space="preserve"> 32,26% no teritorijām ir meža zemes, 18,93% teritorijas ir </w:t>
      </w:r>
      <w:r w:rsidR="00937EB1" w:rsidRPr="00163E6F">
        <w:rPr>
          <w:szCs w:val="24"/>
        </w:rPr>
        <w:t>purvi</w:t>
      </w:r>
      <w:r w:rsidRPr="00163E6F">
        <w:rPr>
          <w:szCs w:val="24"/>
        </w:rPr>
        <w:t xml:space="preserve">, 19,31% </w:t>
      </w:r>
      <w:r w:rsidR="00937EB1" w:rsidRPr="00163E6F">
        <w:rPr>
          <w:szCs w:val="24"/>
        </w:rPr>
        <w:t>ir zemes zem ūdeņiem</w:t>
      </w:r>
      <w:r w:rsidRPr="00163E6F">
        <w:rPr>
          <w:szCs w:val="24"/>
        </w:rPr>
        <w:t xml:space="preserve">, 2,02% </w:t>
      </w:r>
      <w:r w:rsidR="00937EB1" w:rsidRPr="00163E6F">
        <w:rPr>
          <w:szCs w:val="24"/>
        </w:rPr>
        <w:t>ir lauksaimniecības zemes</w:t>
      </w:r>
      <w:r w:rsidRPr="00163E6F">
        <w:rPr>
          <w:szCs w:val="24"/>
        </w:rPr>
        <w:t>, 0,04% apbūve</w:t>
      </w:r>
      <w:r w:rsidR="00937EB1" w:rsidRPr="00163E6F">
        <w:rPr>
          <w:szCs w:val="24"/>
        </w:rPr>
        <w:t>s teritorija</w:t>
      </w:r>
      <w:r w:rsidRPr="00163E6F">
        <w:rPr>
          <w:szCs w:val="24"/>
        </w:rPr>
        <w:t>, 0,01% infrastruktūras o</w:t>
      </w:r>
      <w:r w:rsidR="006777FE">
        <w:rPr>
          <w:szCs w:val="24"/>
        </w:rPr>
        <w:t>bjekti, 27,43% pārējās zemes (32</w:t>
      </w:r>
      <w:r w:rsidRPr="00163E6F">
        <w:rPr>
          <w:szCs w:val="24"/>
        </w:rPr>
        <w:t xml:space="preserve">.attēls). </w:t>
      </w:r>
    </w:p>
    <w:p w14:paraId="279BA86B" w14:textId="77777777" w:rsidR="00165D83" w:rsidRPr="00163E6F" w:rsidRDefault="00165D83" w:rsidP="00165D83">
      <w:pPr>
        <w:autoSpaceDE w:val="0"/>
        <w:autoSpaceDN w:val="0"/>
        <w:adjustRightInd w:val="0"/>
        <w:spacing w:after="120"/>
        <w:jc w:val="left"/>
        <w:rPr>
          <w:b/>
          <w:bCs/>
          <w:szCs w:val="24"/>
        </w:rPr>
      </w:pPr>
    </w:p>
    <w:p w14:paraId="1998CFD1" w14:textId="77777777" w:rsidR="00165D83" w:rsidRPr="00163E6F" w:rsidRDefault="00165D83" w:rsidP="00937EB1">
      <w:pPr>
        <w:autoSpaceDE w:val="0"/>
        <w:autoSpaceDN w:val="0"/>
        <w:adjustRightInd w:val="0"/>
        <w:spacing w:before="120" w:line="360" w:lineRule="auto"/>
        <w:jc w:val="center"/>
        <w:rPr>
          <w:szCs w:val="24"/>
          <w:highlight w:val="yellow"/>
        </w:rPr>
      </w:pPr>
      <w:r w:rsidRPr="00163E6F">
        <w:rPr>
          <w:rFonts w:ascii="Calibri" w:hAnsi="Calibri" w:cs="Calibri"/>
          <w:noProof/>
          <w:sz w:val="22"/>
          <w:lang w:eastAsia="lv-LV"/>
        </w:rPr>
        <w:drawing>
          <wp:inline distT="0" distB="0" distL="0" distR="0" wp14:anchorId="029F1C60" wp14:editId="2D1040C7">
            <wp:extent cx="4977467" cy="298474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4975826" cy="2983756"/>
                    </a:xfrm>
                    <a:prstGeom prst="rect">
                      <a:avLst/>
                    </a:prstGeom>
                    <a:noFill/>
                    <a:ln w="9525">
                      <a:noFill/>
                      <a:miter lim="800000"/>
                      <a:headEnd/>
                      <a:tailEnd/>
                    </a:ln>
                  </pic:spPr>
                </pic:pic>
              </a:graphicData>
            </a:graphic>
          </wp:inline>
        </w:drawing>
      </w:r>
    </w:p>
    <w:p w14:paraId="16693F39" w14:textId="2235244A" w:rsidR="00165D83" w:rsidRPr="00163E6F" w:rsidRDefault="006777FE" w:rsidP="00165D83">
      <w:pPr>
        <w:autoSpaceDE w:val="0"/>
        <w:autoSpaceDN w:val="0"/>
        <w:adjustRightInd w:val="0"/>
        <w:spacing w:before="120" w:line="360" w:lineRule="auto"/>
        <w:jc w:val="left"/>
        <w:rPr>
          <w:color w:val="FF0000"/>
          <w:szCs w:val="24"/>
        </w:rPr>
      </w:pPr>
      <w:r>
        <w:rPr>
          <w:szCs w:val="24"/>
        </w:rPr>
        <w:t>32</w:t>
      </w:r>
      <w:r w:rsidR="00165D83" w:rsidRPr="00163E6F">
        <w:rPr>
          <w:szCs w:val="24"/>
        </w:rPr>
        <w:t xml:space="preserve">.att. Vēsturisko kūdras ieguves teritoriju % sadalījums atbilstoši zemes lietošanas veidiem </w:t>
      </w:r>
    </w:p>
    <w:p w14:paraId="5EAB2D52" w14:textId="77777777" w:rsidR="00165D83" w:rsidRPr="00163E6F" w:rsidRDefault="00165D83" w:rsidP="00165D83">
      <w:pPr>
        <w:autoSpaceDE w:val="0"/>
        <w:autoSpaceDN w:val="0"/>
        <w:adjustRightInd w:val="0"/>
        <w:spacing w:after="120"/>
        <w:ind w:firstLine="720"/>
        <w:rPr>
          <w:szCs w:val="24"/>
        </w:rPr>
      </w:pPr>
      <w:r w:rsidRPr="00163E6F">
        <w:rPr>
          <w:szCs w:val="24"/>
        </w:rPr>
        <w:lastRenderedPageBreak/>
        <w:t>Analizējot informāciju par identificēto vēsturisko kūdras ieguves teritoriju pārklāšanos ar dabas aizsardzības teritorijām, atbilstoši dabas datu pārvaldības sistēmas „Ozols” publiskai daļai</w:t>
      </w:r>
      <w:r w:rsidR="00343407" w:rsidRPr="00163E6F">
        <w:rPr>
          <w:rStyle w:val="FootnoteReference"/>
          <w:szCs w:val="24"/>
        </w:rPr>
        <w:footnoteReference w:id="23"/>
      </w:r>
      <w:r w:rsidRPr="00163E6F">
        <w:rPr>
          <w:szCs w:val="24"/>
        </w:rPr>
        <w:t xml:space="preserve"> ir secināms, ka identificēto kūdras atradņu pārklājums ar dabas aizsardzības teritorijām (ĪADT, biotops, mikroliegums) ir 9202 ha, jeb 34,9% no vēsturisko kūdras ieguves teritorijas. </w:t>
      </w:r>
    </w:p>
    <w:p w14:paraId="67F684CB" w14:textId="77777777" w:rsidR="00165D83" w:rsidRPr="00163E6F" w:rsidRDefault="00165D83" w:rsidP="00165D83">
      <w:pPr>
        <w:autoSpaceDE w:val="0"/>
        <w:autoSpaceDN w:val="0"/>
        <w:adjustRightInd w:val="0"/>
        <w:spacing w:after="120"/>
        <w:ind w:firstLine="720"/>
        <w:rPr>
          <w:szCs w:val="24"/>
        </w:rPr>
      </w:pPr>
      <w:r w:rsidRPr="00163E6F">
        <w:rPr>
          <w:szCs w:val="24"/>
        </w:rPr>
        <w:t>Lai novērtētu izdarīto pieņēmumu patiesumu, tika veikta atsevišķu, savstarpēji nesaistītu, vēsturisko kūdras ieguves vietu apsekošana dabā, dešifrēto laukumu robežu salīdzināšana ar situāciju apvidū, fotofiksācija un izdarīti atsevišķi kūdras iegulas dziļuma mērījumi. Apsekojumu laikā secināts, ka dešifrēšanas laikā iegūtie rezultāti ir novērtējami kā ticami, un tie ir izmantojumi lēmumu pieņemšanai par katr</w:t>
      </w:r>
      <w:r w:rsidR="00AC7FE8" w:rsidRPr="00163E6F">
        <w:rPr>
          <w:szCs w:val="24"/>
        </w:rPr>
        <w:t>as konkrētās teritorijas tālāku</w:t>
      </w:r>
      <w:r w:rsidRPr="00163E6F">
        <w:rPr>
          <w:szCs w:val="24"/>
        </w:rPr>
        <w:t xml:space="preserve"> izmantošanu. Tika izvēlēti un apsekoti četri objekti: Līgotņu purva kūdras atradne, Ķoniņu purva kūdras atradne, Lielais II (Zažēnu) purva kūdras atradne un Dedziņu purva kūdras atradne, kuri reprezentē vēsturiskās kūdras ieguves vietas Kurzemes un Vidzemes reģionos. </w:t>
      </w:r>
    </w:p>
    <w:p w14:paraId="77515010" w14:textId="77777777" w:rsidR="00165D83" w:rsidRPr="00163E6F" w:rsidRDefault="00165D83" w:rsidP="00165D83">
      <w:pPr>
        <w:autoSpaceDE w:val="0"/>
        <w:autoSpaceDN w:val="0"/>
        <w:adjustRightInd w:val="0"/>
        <w:spacing w:after="120"/>
        <w:rPr>
          <w:color w:val="000000"/>
          <w:szCs w:val="24"/>
        </w:rPr>
      </w:pPr>
      <w:r w:rsidRPr="00163E6F">
        <w:rPr>
          <w:b/>
          <w:bCs/>
          <w:szCs w:val="24"/>
        </w:rPr>
        <w:tab/>
      </w:r>
      <w:r w:rsidRPr="00163E6F">
        <w:rPr>
          <w:szCs w:val="24"/>
        </w:rPr>
        <w:t xml:space="preserve">Projekta ietvaros iegūtā informācija par vēsturiskajām kūdras ieguves vietām ir nozīmīgs informācijas avots tālākai šo teritoriju izpētei un izvērtēšanai, lai iegūtu datus un informāciju par tajā esošajiem resursiem un notiekošajiem procesiem </w:t>
      </w:r>
      <w:r w:rsidRPr="00163E6F">
        <w:rPr>
          <w:color w:val="000000"/>
          <w:szCs w:val="24"/>
        </w:rPr>
        <w:t>gan no ģeoloģiskā, saimnieciskā un bioloģiskā aspekta.</w:t>
      </w:r>
    </w:p>
    <w:p w14:paraId="05795A5F" w14:textId="77777777" w:rsidR="00165D83" w:rsidRPr="00163E6F" w:rsidRDefault="00165D83" w:rsidP="00165D83">
      <w:pPr>
        <w:autoSpaceDE w:val="0"/>
        <w:autoSpaceDN w:val="0"/>
        <w:adjustRightInd w:val="0"/>
        <w:spacing w:after="120"/>
        <w:rPr>
          <w:color w:val="000000"/>
          <w:szCs w:val="24"/>
        </w:rPr>
      </w:pPr>
    </w:p>
    <w:p w14:paraId="1B8C9900" w14:textId="77777777" w:rsidR="00165D83" w:rsidRPr="00163E6F" w:rsidRDefault="00165D83" w:rsidP="00D006B8">
      <w:pPr>
        <w:pStyle w:val="Heading2"/>
      </w:pPr>
      <w:bookmarkStart w:id="32" w:name="_Toc497574006"/>
      <w:r w:rsidRPr="00163E6F">
        <w:t>Rekultivācija</w:t>
      </w:r>
      <w:bookmarkEnd w:id="32"/>
      <w:r w:rsidRPr="00163E6F">
        <w:t xml:space="preserve"> </w:t>
      </w:r>
    </w:p>
    <w:p w14:paraId="7BD64819"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Normatīvie akti nosaka derīgo izrakteņu ieguvējam pēc ieguves pabeigšanas veikt derīgo izrakteņu ieguves vietas rekultivāciju. Rekultivācijas mērķis ir nodrošināt pilnvērtīgu ieguves vietas turpmāku izmantošanu pēc derīgo izrakteņu ieguves pabeigšanas, novērst draudus cilvēku veselībai un dzīvībai un apkārtējai videi, kā arī sekmēt ieguves vietas iekļaušanos ainavā. Rekultivāciju var veikt vienlaikus ar derīgo izrakteņu ieguvi. Rekultivācija obligāti jāuzsāk gada laikā pēc derīgo izrakteņu ieguves pabeigšanas, bet to var veikt arī ieguves laikā. </w:t>
      </w:r>
    </w:p>
    <w:p w14:paraId="6698E2A3" w14:textId="77777777" w:rsidR="00165D83" w:rsidRPr="00163E6F" w:rsidRDefault="00165D83" w:rsidP="00165D83">
      <w:pPr>
        <w:autoSpaceDE w:val="0"/>
        <w:autoSpaceDN w:val="0"/>
        <w:adjustRightInd w:val="0"/>
        <w:spacing w:after="120"/>
        <w:rPr>
          <w:szCs w:val="24"/>
        </w:rPr>
      </w:pPr>
      <w:r w:rsidRPr="00163E6F">
        <w:rPr>
          <w:szCs w:val="24"/>
        </w:rPr>
        <w:tab/>
        <w:t xml:space="preserve">Kūdras ieguves vietas var rekultivēt, veicot renaturalizāciju (purvam raksturīgās vides atjaunošanu), sagatavojot izmantošanai lauksaimniecībā, piemēram, izveidojot ogulāju vai mētrāju audzēšanas laukus, sagatavojot izmantošanai mežsaimniecībā, izveidojot ūdenstilpes, sagatavojot rekreācijai vai sagatavojot izmantošanai citā veidā. Rekultivācijas veids jāsaskaņo ar pašvaldību. </w:t>
      </w:r>
    </w:p>
    <w:p w14:paraId="123B754A" w14:textId="77777777" w:rsidR="00165D83" w:rsidRPr="00163E6F" w:rsidRDefault="00165D83" w:rsidP="00165D83">
      <w:pPr>
        <w:autoSpaceDE w:val="0"/>
        <w:autoSpaceDN w:val="0"/>
        <w:adjustRightInd w:val="0"/>
        <w:spacing w:after="120"/>
        <w:rPr>
          <w:szCs w:val="24"/>
        </w:rPr>
      </w:pPr>
      <w:r w:rsidRPr="00163E6F">
        <w:rPr>
          <w:szCs w:val="24"/>
        </w:rPr>
        <w:tab/>
        <w:t xml:space="preserve">Rekultivācijas veids atkarīgs gan no konkrētās vietas apstākļiem (palikušā kūdras slāņa, zem tā esošo nogulumu sastāva, gruntsūdens līmeņa, meliorācijas u.c.) gan no īpašnieka vēlmēm un plāniem, kā arī no tā, vai purvā jau nav sākusies dabiskās purva vides atjaunošanās. </w:t>
      </w:r>
    </w:p>
    <w:p w14:paraId="0E0F44D8" w14:textId="77777777" w:rsidR="00165D83" w:rsidRPr="00163E6F" w:rsidRDefault="00165D83" w:rsidP="00165D83">
      <w:pPr>
        <w:tabs>
          <w:tab w:val="left" w:pos="720"/>
        </w:tabs>
        <w:autoSpaceDE w:val="0"/>
        <w:autoSpaceDN w:val="0"/>
        <w:adjustRightInd w:val="0"/>
        <w:spacing w:after="120"/>
        <w:ind w:firstLine="720"/>
        <w:rPr>
          <w:szCs w:val="24"/>
        </w:rPr>
      </w:pPr>
      <w:r w:rsidRPr="00163E6F">
        <w:rPr>
          <w:szCs w:val="24"/>
        </w:rPr>
        <w:t xml:space="preserve">Projekta „LIFE Restore” speciālisti ir apsekojuši 28 purvus visā Latvijas teritorijā. Apsekoti kūdras lauki, kuros kūdras ieguve pārtraukta pirms 40 gadiem vai pavisam nesen. Ir izdalīti šādi augāja tipi: sausi kūdras lauki, kuros dominē spilves, mitri kūdras lauki, kuros kopā ar spilvēm ieviešas sfagni, applūduši kūdras lauki, kuros dominē spilves, augstā purva veģetācijas veidošanās kūdras laukos, zāļu purva veģetācijas veidošanās kūdras laukos, pārejas purva veģetācijas veidošanās kūdras laukos, kūdras lauku apmežošanās, dabiskas ūdenstilpes kūdras laukos ar niedrēm, cilvēka darbības rezultātā applūdināti kūdras lauki, augstā purva veģetācijas veidošanās kūdras laukos pēc aizsprostu būves un ūdens līmeņa pacelšanas, pārejas un augstā purva veģetācijas veidošanās kūdras karjeros, purva augu reintrodukcija kūdras laukā, dabiski veidojies ilggadīgs zālājs kūdras laukā. Jāpiebilst, ka ir arī tādi vēsturiskie kūdras lauki, kuros augājs neatjaunojas. </w:t>
      </w:r>
    </w:p>
    <w:p w14:paraId="7AD0C558" w14:textId="77777777" w:rsidR="001C0D5C" w:rsidRPr="00163E6F" w:rsidRDefault="001C0D5C" w:rsidP="001C0D5C">
      <w:pPr>
        <w:autoSpaceDE w:val="0"/>
        <w:autoSpaceDN w:val="0"/>
        <w:adjustRightInd w:val="0"/>
        <w:spacing w:after="120"/>
        <w:ind w:firstLine="720"/>
        <w:rPr>
          <w:szCs w:val="24"/>
        </w:rPr>
      </w:pPr>
      <w:r w:rsidRPr="00163E6F">
        <w:rPr>
          <w:szCs w:val="24"/>
        </w:rPr>
        <w:lastRenderedPageBreak/>
        <w:t xml:space="preserve">Vēsturiskajās kūdras ieguves vietās, pabeidzot vai pārtraucot darbus, daļā gadījumu nav pieņemti lēmumi un noformēti dokumenti par atradnes rekultivāciju vai konservāciju. Tas sniedz nepatiesu priekšstatu par atradnē ietilpstošajiem resursiem un resursiem valstī kopumā. </w:t>
      </w:r>
    </w:p>
    <w:p w14:paraId="362FA79F" w14:textId="77777777" w:rsidR="006D7CEE" w:rsidRPr="00163E6F" w:rsidRDefault="006D7CEE" w:rsidP="006D7CEE">
      <w:pPr>
        <w:autoSpaceDE w:val="0"/>
        <w:autoSpaceDN w:val="0"/>
        <w:adjustRightInd w:val="0"/>
        <w:spacing w:after="120"/>
        <w:ind w:firstLine="720"/>
        <w:rPr>
          <w:szCs w:val="24"/>
        </w:rPr>
      </w:pPr>
      <w:r w:rsidRPr="00163E6F">
        <w:rPr>
          <w:szCs w:val="24"/>
        </w:rPr>
        <w:t>Latvijā ir īstenoti arī vairāki purvu atjaunošanas projekti, kuru gaitā izveidoti dambji uz meliorācijas sistēmām, tiek veikti sfagnu audzēšanas mēģinājumi.</w:t>
      </w:r>
    </w:p>
    <w:p w14:paraId="5D3E52E8" w14:textId="77777777" w:rsidR="00165D83" w:rsidRPr="00163E6F" w:rsidRDefault="00165D83" w:rsidP="00165D83">
      <w:pPr>
        <w:autoSpaceDE w:val="0"/>
        <w:autoSpaceDN w:val="0"/>
        <w:adjustRightInd w:val="0"/>
        <w:spacing w:after="120"/>
        <w:ind w:firstLine="562"/>
        <w:rPr>
          <w:szCs w:val="24"/>
        </w:rPr>
      </w:pPr>
      <w:r w:rsidRPr="00163E6F">
        <w:rPr>
          <w:szCs w:val="24"/>
        </w:rPr>
        <w:t xml:space="preserve">Ieteicams izstrādāt vadlīnijas un darbības plānu teritoriju pilnvērtīgai izvērtēšanai no ģeoloģiskajiem (atradnē ietilpstošā resursa atlikuma, kvalitātes u.c. rādītājiem), saimnieciskajiem un bioloģiskajiem aspektiem, tādējādi iegūstot pārliecību par katras šāda veida teritorijas tālāku izmantošanas mērķi un veidu. </w:t>
      </w:r>
    </w:p>
    <w:p w14:paraId="3AFF6772" w14:textId="77777777" w:rsidR="00165D83" w:rsidRPr="00163E6F" w:rsidRDefault="00165D83" w:rsidP="00D006B8">
      <w:pPr>
        <w:pStyle w:val="Heading1"/>
      </w:pPr>
      <w:bookmarkStart w:id="33" w:name="_Toc497574007"/>
      <w:r w:rsidRPr="00163E6F">
        <w:t>Kūdras nozare un izglītība</w:t>
      </w:r>
      <w:bookmarkEnd w:id="33"/>
    </w:p>
    <w:p w14:paraId="73306018"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Kopš pagājušā gadsimta otrās puses praktiski netiek veikta speciālistu sagatavošana kūdras nozarē, kā arī ar to cieši saistītajās nozarēs kā meliorācija un purvu hidroloģija. Nepietiek arī uz purvu un kūdras atradņu izpēti orientētu hidroģeologu. </w:t>
      </w:r>
      <w:r w:rsidR="00803E73" w:rsidRPr="00163E6F">
        <w:rPr>
          <w:szCs w:val="24"/>
        </w:rPr>
        <w:t>Šim nolūkam ir nepieciešami vispusīgi un tai pašā laikā zinoši speciālisti tieši kūdras nozarē, kas spēj gan izvēlēties labākās kūdras ieguves un produkcijas sagatavošanas metodes, gan arī izstrādāt rekultivācijas projektus un citas ar nozari saistītās darbības.</w:t>
      </w:r>
    </w:p>
    <w:p w14:paraId="21E37733" w14:textId="77777777" w:rsidR="00165D83" w:rsidRPr="00163E6F" w:rsidRDefault="00165D83" w:rsidP="00165D83">
      <w:pPr>
        <w:autoSpaceDE w:val="0"/>
        <w:autoSpaceDN w:val="0"/>
        <w:adjustRightInd w:val="0"/>
        <w:spacing w:after="120"/>
        <w:ind w:firstLine="720"/>
        <w:rPr>
          <w:szCs w:val="24"/>
        </w:rPr>
      </w:pPr>
      <w:r w:rsidRPr="00163E6F">
        <w:rPr>
          <w:szCs w:val="24"/>
        </w:rPr>
        <w:t>Līdz šim zināšanas par purviem un kūdras nozari studenti iegūst tikai Latvijas Lauksaimniecības Universitātē un Latvijas Universitātes Ģeogrāfijas un Zemes zinātņu fakultātē, Ģeogrāfijas bakalauru studiju kursā „Purvu zinātne”, kurā studenti iegūst plašas zināšanas gan lekcijās, laboratorijas darbos un lauka semināros, kā arī tiek izstrādāti bakalaura, maģistra un doktora darbi par purvu attīstību, apsaimniekošanu, kūdras īpašībām. Tomēr būtu nepieciešams šo kursu paplašināt un atvērt arī jaunu kursu, kurā būtu iespējams apgūt zināšanas par kūdras resursu izpēti, projektēšanu, kūdras ieguves un pārstrādes tehnoloģijām un rekultivācijas paņēmieniem.</w:t>
      </w:r>
    </w:p>
    <w:p w14:paraId="2E60AA62" w14:textId="0ADA94DA" w:rsidR="00165D83" w:rsidRPr="00163E6F" w:rsidRDefault="00165D83" w:rsidP="00165D83">
      <w:pPr>
        <w:autoSpaceDE w:val="0"/>
        <w:autoSpaceDN w:val="0"/>
        <w:adjustRightInd w:val="0"/>
        <w:spacing w:after="120"/>
        <w:ind w:firstLine="720"/>
        <w:rPr>
          <w:szCs w:val="24"/>
        </w:rPr>
      </w:pPr>
      <w:r w:rsidRPr="00163E6F">
        <w:rPr>
          <w:szCs w:val="24"/>
        </w:rPr>
        <w:t>Līdz šim sabiedrības izglītošana</w:t>
      </w:r>
      <w:r w:rsidR="007A4D8A">
        <w:rPr>
          <w:szCs w:val="24"/>
        </w:rPr>
        <w:t>,</w:t>
      </w:r>
      <w:r w:rsidRPr="00163E6F">
        <w:rPr>
          <w:szCs w:val="24"/>
        </w:rPr>
        <w:t xml:space="preserve"> galvenokārt</w:t>
      </w:r>
      <w:r w:rsidR="007A4D8A">
        <w:rPr>
          <w:szCs w:val="24"/>
        </w:rPr>
        <w:t>,</w:t>
      </w:r>
      <w:r w:rsidRPr="00163E6F">
        <w:rPr>
          <w:szCs w:val="24"/>
        </w:rPr>
        <w:t xml:space="preserve"> notiek tikai purvu aizsardzības virzienā, kas arī nav mazsvarīgi, tomēr ir nepieciešams iepazīstināt sabiedrību arī ar saprātīgas kūdras ieguves un produktu ražošanas ar augstu pievienoto vērtību aspektā, kā arī ar tautsaimniecisko nozīmi, ņemot vērā to, ka kūdras ieguve visbiežāk notiek valsts perifērijā, kur iedzīvotājiem praktiski nav pieejamas citas darba vietas. Kūdras ieguves paņēmienus un prasmes nepieciešams saglabāt arī kā kultūrvēsturisko mantojumu.</w:t>
      </w:r>
    </w:p>
    <w:p w14:paraId="2FDBBFDD" w14:textId="77777777" w:rsidR="00165D83" w:rsidRPr="00163E6F" w:rsidRDefault="00165D83" w:rsidP="00D006B8">
      <w:pPr>
        <w:pStyle w:val="Heading1"/>
      </w:pPr>
      <w:bookmarkStart w:id="34" w:name="_Toc497574008"/>
      <w:r w:rsidRPr="00163E6F">
        <w:t>Kūdras nozare un zinātne</w:t>
      </w:r>
      <w:bookmarkEnd w:id="34"/>
    </w:p>
    <w:p w14:paraId="1C5C4612" w14:textId="77777777" w:rsidR="00165D83" w:rsidRPr="00163E6F" w:rsidRDefault="00165D83" w:rsidP="00165D83">
      <w:pPr>
        <w:autoSpaceDE w:val="0"/>
        <w:autoSpaceDN w:val="0"/>
        <w:adjustRightInd w:val="0"/>
        <w:spacing w:after="120"/>
        <w:ind w:firstLine="720"/>
        <w:rPr>
          <w:szCs w:val="24"/>
        </w:rPr>
      </w:pPr>
      <w:r w:rsidRPr="00163E6F">
        <w:rPr>
          <w:szCs w:val="24"/>
        </w:rPr>
        <w:t>Lai nākamajām paaudzēm tiktu saglabāti gan kūdras, gan zem tās esošā sapropeļa, gan citi purvos iegūstamie resursi, tie ir saprātīgi jāapsaimnieko. Šim nolūkam ir jāizmanto jaunas</w:t>
      </w:r>
      <w:r w:rsidR="00DF63E5" w:rsidRPr="00163E6F">
        <w:rPr>
          <w:szCs w:val="24"/>
        </w:rPr>
        <w:t>,</w:t>
      </w:r>
      <w:r w:rsidRPr="00163E6F">
        <w:rPr>
          <w:szCs w:val="24"/>
        </w:rPr>
        <w:t xml:space="preserve"> modernas kūdras pārstrādes metodes, jārada un jāievieš jauni inovatīvi produkti ar augstāku pievienoto vērtību, kā arī efektīvi jāizmanto izstrādātās vai daļēji izstrādātās purvu platības.</w:t>
      </w:r>
    </w:p>
    <w:p w14:paraId="1AF8F0A4" w14:textId="77777777" w:rsidR="00165D83" w:rsidRPr="00163E6F" w:rsidRDefault="00165D83" w:rsidP="00165D83">
      <w:pPr>
        <w:autoSpaceDE w:val="0"/>
        <w:autoSpaceDN w:val="0"/>
        <w:adjustRightInd w:val="0"/>
        <w:spacing w:after="120"/>
        <w:ind w:firstLine="720"/>
        <w:rPr>
          <w:szCs w:val="24"/>
        </w:rPr>
      </w:pPr>
      <w:r w:rsidRPr="00163E6F">
        <w:rPr>
          <w:szCs w:val="24"/>
        </w:rPr>
        <w:t xml:space="preserve">Apzinoties to, ka kūdra ir lēni atjaunojošs unikāls resurss, ir nepieciešams zinātnisks pamatojums gan kūdras ražošanai, gan izstrādāto platību izmantošanas veidu noteikšanai, kā valstī kopumā, tā pa reģioniem; kā arī nepieciešams izstrādāt metodikas konkrēta izmantošanas veida plānošanai un inovatīvu produktu ar augstu pievienoto vērtību izstrādāšanai, īpašu </w:t>
      </w:r>
      <w:r w:rsidR="00803E73" w:rsidRPr="00163E6F">
        <w:rPr>
          <w:szCs w:val="24"/>
        </w:rPr>
        <w:t>uzmanību pievēršot</w:t>
      </w:r>
      <w:r w:rsidRPr="00163E6F">
        <w:rPr>
          <w:szCs w:val="24"/>
        </w:rPr>
        <w:t xml:space="preserve"> ekonomiski un zinātniski pamatotai purvu rekultivācijai.</w:t>
      </w:r>
    </w:p>
    <w:p w14:paraId="5B347DB9" w14:textId="77777777" w:rsidR="00165D83" w:rsidRPr="00163E6F" w:rsidRDefault="00165D83" w:rsidP="00165D83">
      <w:pPr>
        <w:autoSpaceDE w:val="0"/>
        <w:autoSpaceDN w:val="0"/>
        <w:adjustRightInd w:val="0"/>
        <w:spacing w:after="120"/>
        <w:ind w:firstLine="720"/>
        <w:rPr>
          <w:szCs w:val="24"/>
        </w:rPr>
      </w:pPr>
      <w:r w:rsidRPr="00163E6F">
        <w:rPr>
          <w:szCs w:val="24"/>
        </w:rPr>
        <w:t>Nepieciešams ieviest kūdras ražošanas un tehnoloģiskos risinājumus, kas minimizētu nelabvēlīgu ietekmi uz vidi.</w:t>
      </w:r>
      <w:r w:rsidR="00803E73" w:rsidRPr="00163E6F">
        <w:rPr>
          <w:szCs w:val="24"/>
        </w:rPr>
        <w:t xml:space="preserve"> Jāatzīmē, ka lielākā vērība pēdējos gadu desmitos tiek pievērsta tikai purvu aizsardzībai, tāpēc ir svarīgi veikt zinātniskus pētījumus, lai saprātīgi apsaimniekotu purvus un sekmīgi risinātu izstrādāto purvu apsaimniekošanas problēmas.</w:t>
      </w:r>
    </w:p>
    <w:p w14:paraId="581F7D93" w14:textId="77777777" w:rsidR="00D006B8" w:rsidRPr="00163E6F" w:rsidRDefault="00D006B8" w:rsidP="00D006B8">
      <w:pPr>
        <w:pStyle w:val="Heading1"/>
      </w:pPr>
      <w:bookmarkStart w:id="35" w:name="_Toc497574009"/>
      <w:r w:rsidRPr="00163E6F">
        <w:t xml:space="preserve">Kūdras ieguve un klimata pārmaiņas </w:t>
      </w:r>
      <w:r w:rsidRPr="00163E6F">
        <w:rPr>
          <w:rStyle w:val="FootnoteReference"/>
          <w:b w:val="0"/>
          <w:bCs w:val="0"/>
          <w:szCs w:val="24"/>
        </w:rPr>
        <w:footnoteReference w:id="24"/>
      </w:r>
      <w:bookmarkEnd w:id="35"/>
    </w:p>
    <w:p w14:paraId="4B21576E" w14:textId="3E894E3A" w:rsidR="00D006B8" w:rsidRPr="006777FE" w:rsidRDefault="00D006B8" w:rsidP="00D006B8">
      <w:pPr>
        <w:autoSpaceDE w:val="0"/>
        <w:autoSpaceDN w:val="0"/>
        <w:adjustRightInd w:val="0"/>
        <w:spacing w:after="120"/>
        <w:ind w:firstLine="720"/>
        <w:rPr>
          <w:szCs w:val="24"/>
        </w:rPr>
      </w:pPr>
      <w:r w:rsidRPr="006777FE">
        <w:rPr>
          <w:szCs w:val="24"/>
        </w:rPr>
        <w:t>2016.gad</w:t>
      </w:r>
      <w:r w:rsidR="0033524D">
        <w:rPr>
          <w:szCs w:val="24"/>
        </w:rPr>
        <w:t>ā tika veikts pētījums ar mērķi</w:t>
      </w:r>
      <w:r w:rsidRPr="006777FE">
        <w:rPr>
          <w:szCs w:val="24"/>
        </w:rPr>
        <w:t xml:space="preserve"> apkopot pamatinformāciju par oglekļa dioksīda (CO</w:t>
      </w:r>
      <w:r w:rsidRPr="006777FE">
        <w:rPr>
          <w:szCs w:val="24"/>
          <w:vertAlign w:val="subscript"/>
        </w:rPr>
        <w:t>2</w:t>
      </w:r>
      <w:r w:rsidRPr="006777FE">
        <w:rPr>
          <w:szCs w:val="24"/>
        </w:rPr>
        <w:t>) un citu siltumnīcefekta gāzu (SEG) emisijām no kūdras atradnēm, to ietekmi uz vidi pēdējo divdesmit gadu laikā, kā arī veikt Apvienoto Nāciju Organizācijas Vispārējās konvencijas par klimata izmaiņām (UNFCCC) un Eiropas Savienības (ES) līmeņa lēmumu un zemes sektora SEG emisiju uzskaites metodiku analīzi.</w:t>
      </w:r>
    </w:p>
    <w:p w14:paraId="5923E76F" w14:textId="455F022C" w:rsidR="00D006B8" w:rsidRPr="006777FE" w:rsidRDefault="00D006B8" w:rsidP="00D006B8">
      <w:pPr>
        <w:autoSpaceDE w:val="0"/>
        <w:autoSpaceDN w:val="0"/>
        <w:adjustRightInd w:val="0"/>
        <w:spacing w:after="120"/>
        <w:ind w:firstLine="720"/>
        <w:rPr>
          <w:szCs w:val="24"/>
        </w:rPr>
      </w:pPr>
      <w:r w:rsidRPr="006777FE">
        <w:rPr>
          <w:szCs w:val="24"/>
        </w:rPr>
        <w:t xml:space="preserve">Pētījumā secināts, ka Nacionālajā SEG inventarizācijas ziņojumā mitrājos aprēķinātās emisijas ir mazākas par projekta ietvaros aprēķinātajiem rādītājiem, taču projekta rezultāti vēl precizējami, papildinot Meža resursu monitoringa (MRM) parauglaukumu datu bāzi ar kūdras ieguvei būtiskiem rādītājiem, tajā skaitā MRM parauglaukumos lietderīgi norādīt aptuvenu gruntsūdens līmeni (zemāk vai augstāk par 20 cm), lai sniegtu SEG emisiju aprēķiniem būtisku informāciju. </w:t>
      </w:r>
      <w:r w:rsidR="0033524D" w:rsidRPr="006777FE">
        <w:rPr>
          <w:szCs w:val="24"/>
        </w:rPr>
        <w:t>Latvij</w:t>
      </w:r>
      <w:r w:rsidR="0033524D">
        <w:rPr>
          <w:szCs w:val="24"/>
        </w:rPr>
        <w:t xml:space="preserve">ai </w:t>
      </w:r>
      <w:r w:rsidR="0033524D" w:rsidRPr="006777FE">
        <w:rPr>
          <w:szCs w:val="24"/>
        </w:rPr>
        <w:t xml:space="preserve"> </w:t>
      </w:r>
      <w:r w:rsidR="0033524D">
        <w:rPr>
          <w:szCs w:val="24"/>
        </w:rPr>
        <w:t>būtiski</w:t>
      </w:r>
      <w:r w:rsidR="0033524D" w:rsidRPr="006777FE">
        <w:rPr>
          <w:szCs w:val="24"/>
        </w:rPr>
        <w:t xml:space="preserve"> izstrādā</w:t>
      </w:r>
      <w:r w:rsidR="0033524D">
        <w:rPr>
          <w:szCs w:val="24"/>
        </w:rPr>
        <w:t>t</w:t>
      </w:r>
      <w:r w:rsidR="0033524D" w:rsidRPr="006777FE">
        <w:rPr>
          <w:szCs w:val="24"/>
        </w:rPr>
        <w:t xml:space="preserve"> nacionāl</w:t>
      </w:r>
      <w:r w:rsidR="0033524D">
        <w:rPr>
          <w:szCs w:val="24"/>
        </w:rPr>
        <w:t>os emisijas faktorus</w:t>
      </w:r>
      <w:r w:rsidR="0033524D" w:rsidRPr="006777FE">
        <w:rPr>
          <w:szCs w:val="24"/>
        </w:rPr>
        <w:t xml:space="preserve"> CO</w:t>
      </w:r>
      <w:r w:rsidR="0033524D" w:rsidRPr="0033524D">
        <w:rPr>
          <w:szCs w:val="24"/>
          <w:vertAlign w:val="subscript"/>
        </w:rPr>
        <w:t>2</w:t>
      </w:r>
      <w:r w:rsidR="0033524D" w:rsidRPr="006777FE">
        <w:rPr>
          <w:szCs w:val="24"/>
        </w:rPr>
        <w:t xml:space="preserve"> emisiju rēķināšanai no kūdras ieguves platībām un kūdras ražošanas procesa</w:t>
      </w:r>
      <w:r w:rsidR="0033524D">
        <w:rPr>
          <w:szCs w:val="24"/>
        </w:rPr>
        <w:t xml:space="preserve"> (sevišķi svarīgi, ja šie procesi ir SEG emisiju pamatavoti),</w:t>
      </w:r>
      <w:r w:rsidR="0033524D" w:rsidRPr="006777FE">
        <w:rPr>
          <w:szCs w:val="24"/>
        </w:rPr>
        <w:t xml:space="preserve"> lai nodrošinātu </w:t>
      </w:r>
      <w:r w:rsidR="0033524D">
        <w:rPr>
          <w:szCs w:val="24"/>
        </w:rPr>
        <w:t>atbilstošu  ziņošanu par SEG emisijām</w:t>
      </w:r>
      <w:r w:rsidR="0033524D" w:rsidRPr="006777FE">
        <w:rPr>
          <w:szCs w:val="24"/>
        </w:rPr>
        <w:t xml:space="preserve"> starptautisk</w:t>
      </w:r>
      <w:r w:rsidR="0033524D">
        <w:rPr>
          <w:szCs w:val="24"/>
        </w:rPr>
        <w:t>i</w:t>
      </w:r>
      <w:r w:rsidR="0033524D" w:rsidRPr="006777FE">
        <w:rPr>
          <w:szCs w:val="24"/>
        </w:rPr>
        <w:t xml:space="preserve"> </w:t>
      </w:r>
      <w:r w:rsidR="0033524D">
        <w:rPr>
          <w:szCs w:val="24"/>
        </w:rPr>
        <w:t xml:space="preserve">noteikto </w:t>
      </w:r>
      <w:r w:rsidR="0033524D" w:rsidRPr="006777FE">
        <w:rPr>
          <w:szCs w:val="24"/>
        </w:rPr>
        <w:t>vadlīnij</w:t>
      </w:r>
      <w:r w:rsidR="0033524D">
        <w:rPr>
          <w:szCs w:val="24"/>
        </w:rPr>
        <w:t xml:space="preserve">u </w:t>
      </w:r>
      <w:r w:rsidR="0033524D" w:rsidRPr="006777FE">
        <w:rPr>
          <w:szCs w:val="24"/>
        </w:rPr>
        <w:t xml:space="preserve">SEG inventarizācijas </w:t>
      </w:r>
      <w:r w:rsidR="0033524D">
        <w:rPr>
          <w:szCs w:val="24"/>
        </w:rPr>
        <w:t>sagatavošanai ietvaros.</w:t>
      </w:r>
    </w:p>
    <w:p w14:paraId="51726A4F" w14:textId="77777777" w:rsidR="00D006B8" w:rsidRPr="006777FE" w:rsidRDefault="00D006B8" w:rsidP="00D006B8">
      <w:pPr>
        <w:autoSpaceDE w:val="0"/>
        <w:autoSpaceDN w:val="0"/>
        <w:adjustRightInd w:val="0"/>
        <w:spacing w:after="120"/>
        <w:ind w:firstLine="720"/>
        <w:rPr>
          <w:szCs w:val="24"/>
        </w:rPr>
      </w:pPr>
      <w:r w:rsidRPr="006777FE">
        <w:rPr>
          <w:szCs w:val="24"/>
        </w:rPr>
        <w:t>Pētījumā konstatēts, ka SEG emisijas no izstrādātajām kūdras atradnēm un platībās, kur notiek kūdras ieguve, 2014. gadā bija 1,5 milj. tonnas CO</w:t>
      </w:r>
      <w:r w:rsidRPr="006777FE">
        <w:rPr>
          <w:szCs w:val="24"/>
          <w:vertAlign w:val="subscript"/>
        </w:rPr>
        <w:t>2</w:t>
      </w:r>
      <w:r w:rsidRPr="006777FE">
        <w:rPr>
          <w:szCs w:val="24"/>
        </w:rPr>
        <w:t xml:space="preserve"> ekv., tajā skaitā izšķīdušā organiskā oglekļa (DOC) emisijas, kas nav uzskaitītas nacionālajā SEG inventarizācijā. </w:t>
      </w:r>
    </w:p>
    <w:p w14:paraId="2D654280" w14:textId="77777777" w:rsidR="00D006B8" w:rsidRPr="006777FE" w:rsidRDefault="00D006B8" w:rsidP="00D006B8">
      <w:pPr>
        <w:autoSpaceDE w:val="0"/>
        <w:autoSpaceDN w:val="0"/>
        <w:adjustRightInd w:val="0"/>
        <w:spacing w:after="120"/>
        <w:ind w:firstLine="720"/>
        <w:rPr>
          <w:szCs w:val="24"/>
        </w:rPr>
      </w:pPr>
      <w:r w:rsidRPr="006777FE">
        <w:rPr>
          <w:szCs w:val="24"/>
        </w:rPr>
        <w:t>Kūdras fonda analīze parāda, ka puse kūdras atradņu atrodas zemēs, kas atbilst mežaudžu kritērijiem, un vairāk nekā puse no šīm platībām ir meliorētas, attiecīgi kūdras ieguve nepalielinātu SEG emisijas no augsnes. Kopējās SEG emisijas no kūdras fondā iekļautajām atradnēm to rūpnieciskajās robežās ir 1,4 milj. tonnas CO</w:t>
      </w:r>
      <w:r w:rsidRPr="006777FE">
        <w:rPr>
          <w:szCs w:val="24"/>
          <w:vertAlign w:val="subscript"/>
        </w:rPr>
        <w:t>2</w:t>
      </w:r>
      <w:r w:rsidRPr="006777FE">
        <w:rPr>
          <w:szCs w:val="24"/>
        </w:rPr>
        <w:t> ekv. gadā (CO</w:t>
      </w:r>
      <w:r w:rsidRPr="006777FE">
        <w:rPr>
          <w:szCs w:val="24"/>
          <w:vertAlign w:val="subscript"/>
        </w:rPr>
        <w:t>2</w:t>
      </w:r>
      <w:r w:rsidRPr="006777FE">
        <w:rPr>
          <w:szCs w:val="24"/>
        </w:rPr>
        <w:t xml:space="preserve"> ekv. ir SEG daudzums, pārrēķināts CO</w:t>
      </w:r>
      <w:r w:rsidRPr="006777FE">
        <w:rPr>
          <w:szCs w:val="24"/>
          <w:vertAlign w:val="subscript"/>
        </w:rPr>
        <w:t>2</w:t>
      </w:r>
      <w:r w:rsidRPr="006777FE">
        <w:rPr>
          <w:szCs w:val="24"/>
        </w:rPr>
        <w:t xml:space="preserve"> tonnās, atbilstoši tā ietekmei uz klimata izmaiņām). </w:t>
      </w:r>
    </w:p>
    <w:p w14:paraId="20B4EE43" w14:textId="77777777" w:rsidR="00D006B8" w:rsidRPr="006777FE" w:rsidRDefault="00D006B8" w:rsidP="00D006B8">
      <w:pPr>
        <w:autoSpaceDE w:val="0"/>
        <w:autoSpaceDN w:val="0"/>
        <w:adjustRightInd w:val="0"/>
        <w:spacing w:after="120"/>
        <w:ind w:firstLine="720"/>
        <w:rPr>
          <w:szCs w:val="24"/>
        </w:rPr>
      </w:pPr>
      <w:r w:rsidRPr="006777FE">
        <w:rPr>
          <w:szCs w:val="24"/>
        </w:rPr>
        <w:t xml:space="preserve">Projekta rezultātu ieviešana nacionālajā SEG inventarizācijā būtiski uzlabotu SEG emisiju uzskaites precizitāti, taču, lai ieviestu projekta rezultātus SEG inventarizācijā, kā arī novērstu iespējamo SEG emisiju pārvērtēšanu, ir jāpilnveido MRM zemes izmantošanas uzskaite, iekļaujot tajā mitrāju apsaimniekošanai būtiskus rādītājus. </w:t>
      </w:r>
    </w:p>
    <w:p w14:paraId="5E847D20" w14:textId="5E094DC4" w:rsidR="00C85511" w:rsidRDefault="00C85511" w:rsidP="00C85511">
      <w:pPr>
        <w:autoSpaceDE w:val="0"/>
        <w:autoSpaceDN w:val="0"/>
        <w:adjustRightInd w:val="0"/>
        <w:spacing w:after="120"/>
        <w:ind w:firstLine="720"/>
        <w:rPr>
          <w:szCs w:val="24"/>
        </w:rPr>
      </w:pPr>
      <w:bookmarkStart w:id="36" w:name="_Toc497574010"/>
      <w:r w:rsidRPr="006777FE">
        <w:rPr>
          <w:szCs w:val="24"/>
        </w:rPr>
        <w:t>Mitrāji nav iekļauti saistībās ietekmes uz klimata izmaiņām mazināšanai Kioto protokola otrā saistību periodā</w:t>
      </w:r>
      <w:r>
        <w:rPr>
          <w:szCs w:val="24"/>
        </w:rPr>
        <w:t xml:space="preserve"> (</w:t>
      </w:r>
      <w:r w:rsidRPr="006777FE">
        <w:rPr>
          <w:szCs w:val="24"/>
        </w:rPr>
        <w:t>2013.-2020.</w:t>
      </w:r>
      <w:r>
        <w:rPr>
          <w:szCs w:val="24"/>
        </w:rPr>
        <w:t xml:space="preserve"> </w:t>
      </w:r>
      <w:r w:rsidRPr="006777FE">
        <w:rPr>
          <w:szCs w:val="24"/>
        </w:rPr>
        <w:t>gad</w:t>
      </w:r>
      <w:r>
        <w:rPr>
          <w:szCs w:val="24"/>
        </w:rPr>
        <w:t>ā)</w:t>
      </w:r>
      <w:r w:rsidRPr="006777FE">
        <w:rPr>
          <w:szCs w:val="24"/>
        </w:rPr>
        <w:t>, un paredzams, ka arī pēc 2020. gada SEG emisiju un CO</w:t>
      </w:r>
      <w:r w:rsidRPr="006777FE">
        <w:rPr>
          <w:szCs w:val="24"/>
          <w:vertAlign w:val="subscript"/>
        </w:rPr>
        <w:t>2</w:t>
      </w:r>
      <w:r w:rsidRPr="006777FE">
        <w:rPr>
          <w:szCs w:val="24"/>
        </w:rPr>
        <w:t xml:space="preserve"> emisiju no mitrājiem ziņošana būs brīvprātīga. </w:t>
      </w:r>
      <w:r>
        <w:rPr>
          <w:szCs w:val="24"/>
        </w:rPr>
        <w:t>Tiesa, sarunās par jauno likumdošanas ietvaru laiku pa laikam izskan arī iecere par mitrāju obligātu iekļaušanu.</w:t>
      </w:r>
    </w:p>
    <w:p w14:paraId="1BC12013" w14:textId="77777777" w:rsidR="00C85511" w:rsidRPr="005E1CBC" w:rsidRDefault="00C85511" w:rsidP="00C85511">
      <w:pPr>
        <w:autoSpaceDE w:val="0"/>
        <w:autoSpaceDN w:val="0"/>
        <w:adjustRightInd w:val="0"/>
        <w:spacing w:after="120"/>
        <w:ind w:firstLine="720"/>
        <w:rPr>
          <w:szCs w:val="24"/>
        </w:rPr>
      </w:pPr>
      <w:r w:rsidRPr="005E1CBC">
        <w:rPr>
          <w:szCs w:val="24"/>
        </w:rPr>
        <w:t xml:space="preserve">Emisijas no kūdras sadedzināšanas rēķina kā no cietā kurināmā, un </w:t>
      </w:r>
      <w:r w:rsidRPr="005E1CBC">
        <w:rPr>
          <w:bCs/>
          <w:szCs w:val="24"/>
        </w:rPr>
        <w:t>piemērojamais CO</w:t>
      </w:r>
      <w:r w:rsidRPr="005E1CBC">
        <w:rPr>
          <w:bCs/>
          <w:szCs w:val="24"/>
          <w:vertAlign w:val="subscript"/>
        </w:rPr>
        <w:t>2</w:t>
      </w:r>
      <w:r w:rsidRPr="005E1CBC">
        <w:rPr>
          <w:bCs/>
          <w:szCs w:val="24"/>
        </w:rPr>
        <w:t xml:space="preserve"> emisijas faktors ir lielākais no visiem fosilajiem kurināmajiem, t.i. 103,87 tCO2/TJ </w:t>
      </w:r>
      <w:r w:rsidRPr="005E1CBC">
        <w:rPr>
          <w:szCs w:val="24"/>
        </w:rPr>
        <w:t>(oglēm 94,6 tCO2/TJ, dabasgāzei 54,23 tCO2/TJ).</w:t>
      </w:r>
    </w:p>
    <w:p w14:paraId="26DFC37D" w14:textId="77777777" w:rsidR="00165D83" w:rsidRPr="00163E6F" w:rsidRDefault="00165D83" w:rsidP="00D006B8">
      <w:pPr>
        <w:pStyle w:val="Heading1"/>
      </w:pPr>
      <w:r w:rsidRPr="00163E6F">
        <w:t>Kūdras resursu apsaimniekošana, vides un bioloģiskā</w:t>
      </w:r>
      <w:r w:rsidR="00F17AE0" w:rsidRPr="00163E6F">
        <w:t>s</w:t>
      </w:r>
      <w:r w:rsidRPr="00163E6F">
        <w:t xml:space="preserve"> daudzveidības saglabāšana</w:t>
      </w:r>
      <w:bookmarkEnd w:id="36"/>
    </w:p>
    <w:p w14:paraId="715B48F5" w14:textId="77777777" w:rsidR="00504AF9" w:rsidRPr="00163E6F" w:rsidRDefault="000118CF" w:rsidP="00165D83">
      <w:pPr>
        <w:autoSpaceDE w:val="0"/>
        <w:autoSpaceDN w:val="0"/>
        <w:adjustRightInd w:val="0"/>
        <w:spacing w:after="120"/>
        <w:ind w:firstLine="720"/>
        <w:rPr>
          <w:szCs w:val="24"/>
        </w:rPr>
      </w:pPr>
      <w:r w:rsidRPr="00163E6F">
        <w:rPr>
          <w:color w:val="000000"/>
          <w:szCs w:val="24"/>
        </w:rPr>
        <w:t xml:space="preserve">ES </w:t>
      </w:r>
      <w:r w:rsidR="00165D83" w:rsidRPr="00163E6F">
        <w:rPr>
          <w:color w:val="000000"/>
          <w:szCs w:val="24"/>
        </w:rPr>
        <w:t>B</w:t>
      </w:r>
      <w:r w:rsidR="00165D83" w:rsidRPr="00163E6F">
        <w:rPr>
          <w:szCs w:val="24"/>
        </w:rPr>
        <w:t xml:space="preserve">ioloģiskās daudzveidības stratēģijā ir noteikts, ka līdz 2050. gadam Eiropas Savienības bioloģiskā daudzveidība un tās nodrošinātie ekosistēmu pakalpojumi — tās dabas kapitāls — tiek saglabāti, novērtēti un, cik vien iespējams, atjaunoti gan bioloģiskajai daudzveidībai piemītošās vērtības dēļ, gan tādēļ, ka tie ievērojamā mērā veicina cilvēku labklājību un ekonomisko </w:t>
      </w:r>
      <w:r w:rsidR="00165D83" w:rsidRPr="00163E6F">
        <w:rPr>
          <w:szCs w:val="24"/>
        </w:rPr>
        <w:lastRenderedPageBreak/>
        <w:t>uzplaukumu, arī tālab, lai novērstu katastrofālas izmaiņas, kas saistītas ar bioloģisk</w:t>
      </w:r>
      <w:r w:rsidR="00504AF9" w:rsidRPr="00163E6F">
        <w:rPr>
          <w:szCs w:val="24"/>
        </w:rPr>
        <w:t>ās daudzveidības samazināšanos.</w:t>
      </w:r>
    </w:p>
    <w:p w14:paraId="6CB12D0F" w14:textId="77777777" w:rsidR="00AE49DF" w:rsidRDefault="00165D83" w:rsidP="00165D83">
      <w:pPr>
        <w:autoSpaceDE w:val="0"/>
        <w:autoSpaceDN w:val="0"/>
        <w:adjustRightInd w:val="0"/>
        <w:spacing w:after="120"/>
        <w:ind w:firstLine="644"/>
        <w:rPr>
          <w:szCs w:val="24"/>
        </w:rPr>
      </w:pPr>
      <w:r w:rsidRPr="00163E6F">
        <w:rPr>
          <w:szCs w:val="24"/>
        </w:rPr>
        <w:t xml:space="preserve">Apsaimniekojot kūdras resursus, ir jāizvērtē, kā tieši var mainīties vides un bioloģiskā daudzveidība. Šeit būtu ļoti stingri jāpieturas pie </w:t>
      </w:r>
      <w:r w:rsidRPr="00163E6F">
        <w:rPr>
          <w:color w:val="000000"/>
          <w:szCs w:val="24"/>
        </w:rPr>
        <w:t xml:space="preserve">pozitīvās bilances jeb </w:t>
      </w:r>
      <w:r w:rsidRPr="00163E6F">
        <w:rPr>
          <w:i/>
          <w:iCs/>
          <w:color w:val="000000"/>
          <w:szCs w:val="24"/>
        </w:rPr>
        <w:t>no net loss</w:t>
      </w:r>
      <w:r w:rsidRPr="00163E6F">
        <w:rPr>
          <w:color w:val="000000"/>
          <w:szCs w:val="24"/>
        </w:rPr>
        <w:t xml:space="preserve"> principa – dabas zudumu vienā vietā kompensē ar dabas aizsardzību/atjaunošanu citur, neskarot jau šobrīd aizsargāto bioloģisko daudzveidību. </w:t>
      </w:r>
      <w:r w:rsidRPr="00163E6F">
        <w:rPr>
          <w:szCs w:val="24"/>
        </w:rPr>
        <w:t>Taču, lai pēc iespējas vairāk un ātrāk samazinātu kūdras ražošanas negatīvo ietekmi uz dabu, kūdras lauku rekultivācija ir jāveic tūlīt pēc konkrētā lauka izstrādes, lai visa atradnes teritorija tiktu rekultivēta pakāpeniski.</w:t>
      </w:r>
    </w:p>
    <w:p w14:paraId="0E8D087E" w14:textId="4EAFE048" w:rsidR="005D4642" w:rsidRDefault="00165D83" w:rsidP="00AE49DF">
      <w:pPr>
        <w:autoSpaceDE w:val="0"/>
        <w:autoSpaceDN w:val="0"/>
        <w:adjustRightInd w:val="0"/>
        <w:spacing w:after="120"/>
        <w:ind w:firstLine="644"/>
        <w:rPr>
          <w:szCs w:val="24"/>
        </w:rPr>
      </w:pPr>
      <w:r w:rsidRPr="00163E6F">
        <w:rPr>
          <w:szCs w:val="24"/>
        </w:rPr>
        <w:t>Bioloģiskā daudzveidība ir svarīga ne tikai pati par sevi, tā nodrošina sabiedrībai ekosistēmu pakalpojumus: pārtiku, dzeramo ūdeni, aizsardzību pret plūdiem u. c. Apdraudējumu bioloģiskā daudzveidībai rada dabas resursu pārmērīga izmantošana, invazīvu svešzemju sugu izplatīšanās, klimata pārmaiņas. Gandrīz ceturtajai daļai savvaļas sugu Eiropā patlaban draud izzušana, un vairums ekosistēmu ir būtiski degradējušās. Kūdras izstrādes lauki Latvijā galvenokārt ierīkoti augstajos un zemajos purvos. Neskatoties uz esošajiem kūdras ieguves apjomiem (Latvijā ir izstrādāti apmēram 20 000 ha purvu), purvu biotopi Latvijā joprojām ir plaši izplatīti gandrīz visā valsts teritorijā. Atbilstoši ziņojumam Eiropas Vides informācijas un novērojumu tīklam (EIONET), līdz 2013. gadam Latvijā aizņem: 266200 ha “7110* Aktīvi augstie purvi”, 31700 ha “7120 Degradēti augstie purvi, kuros iespējama vai noris dabiskā atjaunošanās”, 20000 ha “91D0* Purvaini meži”.</w:t>
      </w:r>
      <w:r w:rsidR="008169CF" w:rsidRPr="00163E6F">
        <w:rPr>
          <w:szCs w:val="24"/>
        </w:rPr>
        <w:t xml:space="preserve"> </w:t>
      </w:r>
      <w:r w:rsidR="00970351">
        <w:rPr>
          <w:szCs w:val="24"/>
        </w:rPr>
        <w:t>Taču b</w:t>
      </w:r>
      <w:r w:rsidR="00D349D6">
        <w:rPr>
          <w:szCs w:val="24"/>
        </w:rPr>
        <w:t xml:space="preserve">iotopu </w:t>
      </w:r>
      <w:r w:rsidR="00760579" w:rsidRPr="00760579">
        <w:rPr>
          <w:szCs w:val="24"/>
        </w:rPr>
        <w:t>“7110* Aktīvi augstie purvi”</w:t>
      </w:r>
      <w:r w:rsidR="00760579">
        <w:rPr>
          <w:szCs w:val="24"/>
        </w:rPr>
        <w:t xml:space="preserve"> un </w:t>
      </w:r>
      <w:r w:rsidR="00760579" w:rsidRPr="00760579">
        <w:rPr>
          <w:szCs w:val="24"/>
        </w:rPr>
        <w:t>“91D0* Purvaini meži”</w:t>
      </w:r>
      <w:r w:rsidR="00760579">
        <w:rPr>
          <w:szCs w:val="24"/>
        </w:rPr>
        <w:t xml:space="preserve"> aizsardzības stāvokļa</w:t>
      </w:r>
      <w:r w:rsidR="00D349D6" w:rsidRPr="00163E6F">
        <w:rPr>
          <w:szCs w:val="24"/>
        </w:rPr>
        <w:t xml:space="preserve"> </w:t>
      </w:r>
      <w:r w:rsidR="008169CF" w:rsidRPr="00163E6F">
        <w:rPr>
          <w:szCs w:val="24"/>
        </w:rPr>
        <w:t>novērtējums ir „nelabvēlīgs slikts”.</w:t>
      </w:r>
      <w:r w:rsidR="005D4642">
        <w:rPr>
          <w:szCs w:val="24"/>
        </w:rPr>
        <w:br w:type="page"/>
      </w:r>
    </w:p>
    <w:p w14:paraId="2FC41753" w14:textId="70231FEF" w:rsidR="00165D83" w:rsidRPr="00163E6F" w:rsidRDefault="00165D83" w:rsidP="005D4642">
      <w:pPr>
        <w:jc w:val="left"/>
        <w:rPr>
          <w:szCs w:val="24"/>
        </w:rPr>
      </w:pPr>
      <w:r w:rsidRPr="00163E6F">
        <w:rPr>
          <w:szCs w:val="24"/>
        </w:rPr>
        <w:t xml:space="preserve">Situācijas raksturošanai izmantoti šādi informācijas avoti: </w:t>
      </w:r>
    </w:p>
    <w:p w14:paraId="10BF9975" w14:textId="77777777" w:rsidR="00165D83" w:rsidRPr="00163E6F" w:rsidRDefault="00165D83" w:rsidP="00D174CF">
      <w:pPr>
        <w:numPr>
          <w:ilvl w:val="0"/>
          <w:numId w:val="1"/>
        </w:numPr>
        <w:autoSpaceDE w:val="0"/>
        <w:autoSpaceDN w:val="0"/>
        <w:adjustRightInd w:val="0"/>
        <w:spacing w:after="120"/>
        <w:ind w:left="720" w:hanging="360"/>
        <w:rPr>
          <w:szCs w:val="24"/>
        </w:rPr>
      </w:pPr>
      <w:r w:rsidRPr="00163E6F">
        <w:rPr>
          <w:szCs w:val="24"/>
        </w:rPr>
        <w:t xml:space="preserve">Vides aizsardzības un reģionālās attīstības ministrijas informācija; </w:t>
      </w:r>
    </w:p>
    <w:p w14:paraId="216EC9DD" w14:textId="77777777" w:rsidR="00165D83" w:rsidRPr="00163E6F" w:rsidRDefault="00165D83" w:rsidP="00D174CF">
      <w:pPr>
        <w:numPr>
          <w:ilvl w:val="0"/>
          <w:numId w:val="1"/>
        </w:numPr>
        <w:suppressAutoHyphens/>
        <w:autoSpaceDE w:val="0"/>
        <w:autoSpaceDN w:val="0"/>
        <w:adjustRightInd w:val="0"/>
        <w:spacing w:after="120"/>
        <w:ind w:left="714" w:hanging="357"/>
        <w:rPr>
          <w:szCs w:val="24"/>
        </w:rPr>
      </w:pPr>
      <w:r w:rsidRPr="00163E6F">
        <w:rPr>
          <w:szCs w:val="24"/>
        </w:rPr>
        <w:t>Projekta “Latvijas kūdras atradņu datu kvalitātes analīze, ieteikumu sagatavošana to uzlabošanai un izmantošanai valsts stratēģijas pamatdokumentu sagatavošanā” rezultāti (biedrība “homo ecos:”);</w:t>
      </w:r>
    </w:p>
    <w:p w14:paraId="3242EB24" w14:textId="77777777" w:rsidR="00165D83" w:rsidRPr="00163E6F" w:rsidRDefault="00165D83" w:rsidP="00D174CF">
      <w:pPr>
        <w:numPr>
          <w:ilvl w:val="0"/>
          <w:numId w:val="1"/>
        </w:numPr>
        <w:autoSpaceDE w:val="0"/>
        <w:autoSpaceDN w:val="0"/>
        <w:adjustRightInd w:val="0"/>
        <w:spacing w:after="120"/>
        <w:ind w:left="720" w:hanging="360"/>
        <w:rPr>
          <w:szCs w:val="24"/>
        </w:rPr>
      </w:pPr>
      <w:r w:rsidRPr="00163E6F">
        <w:rPr>
          <w:szCs w:val="24"/>
        </w:rPr>
        <w:t>Projekta LIFE REstore “Degradēto purvu atbildīga apsaimniekošana un ilgtspējīga izmantošana Latvijā” (Sustainable and responsible management and re-use of degraded peatlands in Latvia) informācija;</w:t>
      </w:r>
    </w:p>
    <w:p w14:paraId="4C43A556" w14:textId="77777777" w:rsidR="00165D83" w:rsidRPr="00163E6F" w:rsidRDefault="00165D83" w:rsidP="00D174CF">
      <w:pPr>
        <w:numPr>
          <w:ilvl w:val="0"/>
          <w:numId w:val="1"/>
        </w:numPr>
        <w:suppressAutoHyphens/>
        <w:autoSpaceDE w:val="0"/>
        <w:autoSpaceDN w:val="0"/>
        <w:adjustRightInd w:val="0"/>
        <w:spacing w:after="120"/>
        <w:ind w:left="714" w:hanging="357"/>
        <w:rPr>
          <w:szCs w:val="24"/>
        </w:rPr>
      </w:pPr>
      <w:r w:rsidRPr="00163E6F">
        <w:rPr>
          <w:szCs w:val="24"/>
        </w:rPr>
        <w:t xml:space="preserve">Latvijas Kūdras asociācijas sagatavotā informācija; </w:t>
      </w:r>
    </w:p>
    <w:p w14:paraId="5A2AA53D" w14:textId="77777777" w:rsidR="00165D83" w:rsidRPr="00163E6F" w:rsidRDefault="00165D83" w:rsidP="00D174CF">
      <w:pPr>
        <w:numPr>
          <w:ilvl w:val="0"/>
          <w:numId w:val="1"/>
        </w:numPr>
        <w:suppressAutoHyphens/>
        <w:autoSpaceDE w:val="0"/>
        <w:autoSpaceDN w:val="0"/>
        <w:adjustRightInd w:val="0"/>
        <w:spacing w:after="120"/>
        <w:ind w:left="720" w:hanging="360"/>
        <w:rPr>
          <w:szCs w:val="24"/>
        </w:rPr>
      </w:pPr>
      <w:r w:rsidRPr="00163E6F">
        <w:rPr>
          <w:szCs w:val="24"/>
        </w:rPr>
        <w:t>Pētījums „Kūdras ieguves un izmantošanas sociāliekonomiskais izvērtējums” (A.Lazdiņš, D.Popluga, M.Pelše, S.Lazdāne);</w:t>
      </w:r>
    </w:p>
    <w:p w14:paraId="3111FC90" w14:textId="77777777" w:rsidR="00165D83" w:rsidRPr="00163E6F" w:rsidRDefault="00165D83" w:rsidP="00D174CF">
      <w:pPr>
        <w:numPr>
          <w:ilvl w:val="0"/>
          <w:numId w:val="1"/>
        </w:numPr>
        <w:suppressAutoHyphens/>
        <w:autoSpaceDE w:val="0"/>
        <w:autoSpaceDN w:val="0"/>
        <w:adjustRightInd w:val="0"/>
        <w:spacing w:after="120"/>
        <w:ind w:left="720" w:hanging="360"/>
        <w:rPr>
          <w:szCs w:val="24"/>
        </w:rPr>
      </w:pPr>
      <w:r w:rsidRPr="00163E6F">
        <w:rPr>
          <w:szCs w:val="24"/>
        </w:rPr>
        <w:t xml:space="preserve">Latvijas mežzinātnes institūta “Silava” pētījums “Pamatinformācija par iespējamo CO2 emisiju no kūdras atradnēm, to ietekmi uz vidi pēdējo divdesmit gadu laikā un UNFCCC un ES līmeņa lēmumu un zemes sektora SEG emisiju uzskaites metodikas analīze” (A.Lazdiņš, A.Bārdule, A.Butlers, A.Lupiķis, I.Sietiņa, M.Lukins, G.Petaja); </w:t>
      </w:r>
    </w:p>
    <w:p w14:paraId="1A12ED44" w14:textId="77777777" w:rsidR="00165D83" w:rsidRPr="00163E6F" w:rsidRDefault="00165D83" w:rsidP="00D174CF">
      <w:pPr>
        <w:numPr>
          <w:ilvl w:val="0"/>
          <w:numId w:val="1"/>
        </w:numPr>
        <w:suppressAutoHyphens/>
        <w:autoSpaceDE w:val="0"/>
        <w:autoSpaceDN w:val="0"/>
        <w:adjustRightInd w:val="0"/>
        <w:spacing w:after="120"/>
        <w:ind w:left="720" w:hanging="360"/>
        <w:rPr>
          <w:szCs w:val="24"/>
        </w:rPr>
      </w:pPr>
      <w:r w:rsidRPr="00163E6F">
        <w:rPr>
          <w:szCs w:val="24"/>
        </w:rPr>
        <w:t>LU Ģeogrāfijas un zemes zinātņu fakultātes pētnieku informācija (L.Kalniņa, I.Silamiķele).</w:t>
      </w:r>
    </w:p>
    <w:p w14:paraId="538B7634" w14:textId="77777777" w:rsidR="005D4642" w:rsidRDefault="005D4642" w:rsidP="00D174CF">
      <w:pPr>
        <w:suppressAutoHyphens/>
        <w:autoSpaceDE w:val="0"/>
        <w:autoSpaceDN w:val="0"/>
        <w:adjustRightInd w:val="0"/>
        <w:spacing w:after="120"/>
        <w:ind w:firstLine="720"/>
        <w:rPr>
          <w:szCs w:val="24"/>
        </w:rPr>
      </w:pPr>
    </w:p>
    <w:p w14:paraId="63251215" w14:textId="1D450D55" w:rsidR="00A62FA5" w:rsidRPr="00163E6F" w:rsidRDefault="00165D83" w:rsidP="00D174CF">
      <w:pPr>
        <w:suppressAutoHyphens/>
        <w:autoSpaceDE w:val="0"/>
        <w:autoSpaceDN w:val="0"/>
        <w:adjustRightInd w:val="0"/>
        <w:spacing w:after="120"/>
        <w:ind w:firstLine="720"/>
        <w:rPr>
          <w:szCs w:val="24"/>
        </w:rPr>
      </w:pPr>
      <w:r w:rsidRPr="00163E6F">
        <w:rPr>
          <w:szCs w:val="24"/>
        </w:rPr>
        <w:t xml:space="preserve">Iespēju robežās uz minētajiem un citiem avotiem ir dotas atsauces, tomēr ne pilnībā, jo politikas dokuments nav zinātnisks pētījums. </w:t>
      </w:r>
    </w:p>
    <w:sectPr w:rsidR="00A62FA5" w:rsidRPr="00163E6F" w:rsidSect="00FB146E">
      <w:footerReference w:type="default" r:id="rId43"/>
      <w:pgSz w:w="12240" w:h="15840"/>
      <w:pgMar w:top="1134" w:right="850" w:bottom="1134" w:left="1701" w:header="720" w:footer="720" w:gutter="0"/>
      <w:cols w:space="720"/>
      <w:noEndnote/>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A772E5B" w15:done="0"/>
  <w15:commentEx w15:paraId="02E22312" w15:done="0"/>
  <w15:commentEx w15:paraId="43959664" w15:done="0"/>
  <w15:commentEx w15:paraId="7A81C80B" w15:done="0"/>
  <w15:commentEx w15:paraId="1B26063C" w15:done="0"/>
  <w15:commentEx w15:paraId="13EF7E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37910F" w14:textId="77777777" w:rsidR="00160356" w:rsidRDefault="00160356" w:rsidP="00274E8D">
      <w:r>
        <w:separator/>
      </w:r>
    </w:p>
  </w:endnote>
  <w:endnote w:type="continuationSeparator" w:id="0">
    <w:p w14:paraId="5D81D058" w14:textId="77777777" w:rsidR="00160356" w:rsidRDefault="00160356" w:rsidP="00274E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AFF" w:usb1="C0007841" w:usb2="00000009" w:usb3="00000000" w:csb0="000001FF" w:csb1="00000000"/>
  </w:font>
  <w:font w:name="Calibri">
    <w:panose1 w:val="020F0502020204030204"/>
    <w:charset w:val="BA"/>
    <w:family w:val="swiss"/>
    <w:pitch w:val="variable"/>
    <w:sig w:usb0="E10002FF" w:usb1="4000ACFF" w:usb2="00000009" w:usb3="00000000" w:csb0="0000019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0723962"/>
      <w:docPartObj>
        <w:docPartGallery w:val="Page Numbers (Bottom of Page)"/>
        <w:docPartUnique/>
      </w:docPartObj>
    </w:sdtPr>
    <w:sdtEndPr/>
    <w:sdtContent>
      <w:p w14:paraId="00B7BAB0" w14:textId="77777777" w:rsidR="00D349D6" w:rsidRDefault="00D349D6">
        <w:pPr>
          <w:pStyle w:val="Footer"/>
          <w:jc w:val="right"/>
        </w:pPr>
        <w:r>
          <w:fldChar w:fldCharType="begin"/>
        </w:r>
        <w:r>
          <w:instrText xml:space="preserve"> PAGE   \* MERGEFORMAT </w:instrText>
        </w:r>
        <w:r>
          <w:fldChar w:fldCharType="separate"/>
        </w:r>
        <w:r w:rsidR="001435C7">
          <w:rPr>
            <w:noProof/>
          </w:rPr>
          <w:t>1</w:t>
        </w:r>
        <w:r>
          <w:rPr>
            <w:noProof/>
          </w:rPr>
          <w:fldChar w:fldCharType="end"/>
        </w:r>
      </w:p>
    </w:sdtContent>
  </w:sdt>
  <w:p w14:paraId="2381AEEE" w14:textId="77777777" w:rsidR="00D349D6" w:rsidRDefault="00D349D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254499" w14:textId="77777777" w:rsidR="00160356" w:rsidRDefault="00160356" w:rsidP="00274E8D">
      <w:r>
        <w:separator/>
      </w:r>
    </w:p>
  </w:footnote>
  <w:footnote w:type="continuationSeparator" w:id="0">
    <w:p w14:paraId="3C5F7AF9" w14:textId="77777777" w:rsidR="00160356" w:rsidRDefault="00160356" w:rsidP="00274E8D">
      <w:r>
        <w:continuationSeparator/>
      </w:r>
    </w:p>
  </w:footnote>
  <w:footnote w:id="1">
    <w:p w14:paraId="43E34C88" w14:textId="77777777" w:rsidR="00D349D6" w:rsidRPr="00A94F6F" w:rsidRDefault="00D349D6" w:rsidP="00F524FA">
      <w:pPr>
        <w:pStyle w:val="FootnoteText"/>
      </w:pPr>
      <w:r>
        <w:rPr>
          <w:rStyle w:val="FootnoteReference"/>
        </w:rPr>
        <w:footnoteRef/>
      </w:r>
      <w:r w:rsidRPr="0036334A">
        <w:rPr>
          <w:sz w:val="22"/>
        </w:rPr>
        <w:t xml:space="preserve"> Latvijas Kūdras ražotāju asociācijas informācija.</w:t>
      </w:r>
    </w:p>
  </w:footnote>
  <w:footnote w:id="2">
    <w:p w14:paraId="4054E7CF" w14:textId="77777777" w:rsidR="00430A48" w:rsidRPr="009C66B7" w:rsidRDefault="00430A48" w:rsidP="00430A48">
      <w:pPr>
        <w:pStyle w:val="FootnoteText"/>
      </w:pPr>
      <w:r>
        <w:rPr>
          <w:rStyle w:val="FootnoteReference"/>
        </w:rPr>
        <w:footnoteRef/>
      </w:r>
      <w:r>
        <w:t xml:space="preserve"> </w:t>
      </w:r>
      <w:r w:rsidRPr="009C66B7">
        <w:t>Decision 24/CP.19 Revision of the UNFCCC reporting guidelines on annual inventories for Parties included in Annex I to the Convention (http://unfccc.int/resource/docs/2013/cop19/eng/10a03.pdf)</w:t>
      </w:r>
    </w:p>
  </w:footnote>
  <w:footnote w:id="3">
    <w:p w14:paraId="144DC672" w14:textId="77777777" w:rsidR="00430A48" w:rsidRPr="009C66B7" w:rsidRDefault="00430A48" w:rsidP="00430A48">
      <w:pPr>
        <w:pStyle w:val="FootnoteText"/>
      </w:pPr>
      <w:r w:rsidRPr="009C66B7">
        <w:rPr>
          <w:rStyle w:val="FootnoteReference"/>
        </w:rPr>
        <w:footnoteRef/>
      </w:r>
      <w:r w:rsidRPr="009C66B7">
        <w:t xml:space="preserve"> Although peat is not strictly speaking a fossil fuel, its greenhouse gas emission characteristics have been shown in life cycle studies to be comparable to that of fossil fuels. Therefore, the CO</w:t>
      </w:r>
      <w:r w:rsidRPr="008B63BF">
        <w:rPr>
          <w:vertAlign w:val="subscript"/>
        </w:rPr>
        <w:t>2</w:t>
      </w:r>
      <w:r w:rsidRPr="009C66B7">
        <w:t xml:space="preserve"> emissions from combustion of peat are included in the national emissions as for fossil fuels. http://www.ipcc-nggip.iges.or.jp/public/2006gl/pdf/2_Volume2/V2_1_Ch1_Introduction.pdf</w:t>
      </w:r>
    </w:p>
  </w:footnote>
  <w:footnote w:id="4">
    <w:p w14:paraId="01FBE663" w14:textId="77777777" w:rsidR="00D349D6" w:rsidRDefault="00D349D6">
      <w:pPr>
        <w:pStyle w:val="FootnoteText"/>
      </w:pPr>
      <w:r>
        <w:rPr>
          <w:rStyle w:val="FootnoteReference"/>
        </w:rPr>
        <w:footnoteRef/>
      </w:r>
      <w:r>
        <w:t xml:space="preserve"> Likums „Par zemes dzīlēm”, Ministru kabineta 2012.gada 28.augusta noteikumi Nr. 578 „Noteikumi par ģeoloģiskās informācijas sistēmu”</w:t>
      </w:r>
    </w:p>
  </w:footnote>
  <w:footnote w:id="5">
    <w:p w14:paraId="37C20370" w14:textId="77777777" w:rsidR="00D349D6" w:rsidRDefault="00D349D6">
      <w:pPr>
        <w:pStyle w:val="FootnoteText"/>
      </w:pPr>
      <w:r>
        <w:rPr>
          <w:rStyle w:val="FootnoteReference"/>
        </w:rPr>
        <w:footnoteRef/>
      </w:r>
      <w:r>
        <w:t xml:space="preserve"> Projekta atskaite „Latvijas kūdras atradņu datu kvalitātes analīze, ieteikumu sagatavošana to uzlabošanai un izmantošanai valsts stratēģijas pamatdokumentu sagatavošanā”</w:t>
      </w:r>
    </w:p>
  </w:footnote>
  <w:footnote w:id="6">
    <w:p w14:paraId="290A9E42" w14:textId="77777777" w:rsidR="00D349D6" w:rsidRDefault="00D349D6">
      <w:pPr>
        <w:pStyle w:val="FootnoteText"/>
      </w:pPr>
      <w:r>
        <w:rPr>
          <w:rStyle w:val="FootnoteReference"/>
        </w:rPr>
        <w:footnoteRef/>
      </w:r>
      <w:r>
        <w:t xml:space="preserve"> Meža likums: mežs – ekosistēma visās tās attīstības stadijās, kur galvenais organiskās masas ražotājs ir koki, kuru augstums konkrētajā vietā var sasniegt vismaz piecus metrus un kuru pašreizējā vai potenciālā vainaga projekcija ir vismaz 20% no mežaudzes aizņemtās platības.</w:t>
      </w:r>
    </w:p>
  </w:footnote>
  <w:footnote w:id="7">
    <w:p w14:paraId="176607CC" w14:textId="77777777" w:rsidR="00D349D6" w:rsidRDefault="00D349D6">
      <w:pPr>
        <w:pStyle w:val="FootnoteText"/>
      </w:pPr>
      <w:r>
        <w:rPr>
          <w:rStyle w:val="FootnoteReference"/>
        </w:rPr>
        <w:footnoteRef/>
      </w:r>
      <w:r>
        <w:t xml:space="preserve"> Latvijas PSR Kūdras fonds uz 1980.gada 1.janvāri. Latvijas Valsts meliorācijas projektēšanas institūts.</w:t>
      </w:r>
    </w:p>
  </w:footnote>
  <w:footnote w:id="8">
    <w:p w14:paraId="4045CAF7" w14:textId="77777777" w:rsidR="00D349D6" w:rsidRDefault="00D349D6">
      <w:pPr>
        <w:pStyle w:val="FootnoteText"/>
      </w:pPr>
      <w:r>
        <w:rPr>
          <w:rStyle w:val="FootnoteReference"/>
        </w:rPr>
        <w:footnoteRef/>
      </w:r>
      <w:r>
        <w:t xml:space="preserve"> LVAFA finansēts projekts „Latvijas kūdras atradņu datu kvalitātes analīze, ieteikumu sagatavošana to uzlabošanai un izmantošanai valsts stratēģijas pamatdokumentu sagatavošanā”, izpildītājs – biedrība „homo ecos”.</w:t>
      </w:r>
    </w:p>
  </w:footnote>
  <w:footnote w:id="9">
    <w:p w14:paraId="508845DD" w14:textId="77777777" w:rsidR="00D349D6" w:rsidRDefault="00D349D6">
      <w:pPr>
        <w:pStyle w:val="FootnoteText"/>
      </w:pPr>
      <w:r>
        <w:rPr>
          <w:rStyle w:val="FootnoteReference"/>
        </w:rPr>
        <w:footnoteRef/>
      </w:r>
      <w:r>
        <w:t xml:space="preserve"> Pētījums „Kūdras ieguves un izmantošanas sociāli – ekonomiskais izvērtējums” (A. Lazdiņš, D. Popluga, M. Pelše, S. Lazdāne)</w:t>
      </w:r>
    </w:p>
  </w:footnote>
  <w:footnote w:id="10">
    <w:p w14:paraId="16ED0ADA" w14:textId="77777777" w:rsidR="00D349D6" w:rsidRDefault="00D349D6">
      <w:pPr>
        <w:pStyle w:val="FootnoteText"/>
      </w:pPr>
      <w:r>
        <w:rPr>
          <w:rStyle w:val="FootnoteReference"/>
        </w:rPr>
        <w:footnoteRef/>
      </w:r>
      <w:r>
        <w:t xml:space="preserve"> Pētījums „Kūdras ieguves un izmantošanas sociāli – ekonomiskais izvērtējums” (A. Lazdiņš, D. Popluga, M. Pelše, S. Lazdāne)</w:t>
      </w:r>
    </w:p>
  </w:footnote>
  <w:footnote w:id="11">
    <w:p w14:paraId="1EC5FF53" w14:textId="77777777" w:rsidR="00D349D6" w:rsidRDefault="00D349D6">
      <w:pPr>
        <w:pStyle w:val="FootnoteText"/>
      </w:pPr>
      <w:r>
        <w:rPr>
          <w:rStyle w:val="FootnoteReference"/>
        </w:rPr>
        <w:footnoteRef/>
      </w:r>
      <w:r>
        <w:t xml:space="preserve"> Projekta „Latvijas kūdras atradņu datu kvalitātes analīze, ieteikumu sagatavošana to uzlabošanai un izmantošanai valsts stratēģijas pamatdokumentu sagatavošanā” rezultāti (izpildītājs biedrība „homo ecos”)</w:t>
      </w:r>
    </w:p>
  </w:footnote>
  <w:footnote w:id="12">
    <w:p w14:paraId="2CE0DA7C" w14:textId="77777777" w:rsidR="00D349D6" w:rsidRDefault="00D349D6" w:rsidP="00975B58">
      <w:pPr>
        <w:pStyle w:val="FootnoteText"/>
      </w:pPr>
      <w:r>
        <w:rPr>
          <w:rStyle w:val="FootnoteReference"/>
        </w:rPr>
        <w:footnoteRef/>
      </w:r>
      <w:r>
        <w:t xml:space="preserve"> http://www2.meteo.lv/</w:t>
      </w:r>
    </w:p>
  </w:footnote>
  <w:footnote w:id="13">
    <w:p w14:paraId="492A9DE3" w14:textId="77777777" w:rsidR="00D349D6" w:rsidRDefault="00D349D6">
      <w:pPr>
        <w:pStyle w:val="FootnoteText"/>
      </w:pPr>
      <w:r>
        <w:rPr>
          <w:rStyle w:val="FootnoteReference"/>
        </w:rPr>
        <w:footnoteRef/>
      </w:r>
      <w:r>
        <w:t xml:space="preserve"> http://www2.meteo.lv/kudras_inovacijas/login.php</w:t>
      </w:r>
    </w:p>
  </w:footnote>
  <w:footnote w:id="14">
    <w:p w14:paraId="02F7FB50" w14:textId="77777777" w:rsidR="00D349D6" w:rsidRDefault="00D349D6">
      <w:pPr>
        <w:pStyle w:val="FootnoteText"/>
      </w:pPr>
      <w:r>
        <w:rPr>
          <w:rStyle w:val="FootnoteReference"/>
        </w:rPr>
        <w:footnoteRef/>
      </w:r>
      <w:r>
        <w:t xml:space="preserve"> http://meteo.lv/lapas/geologija/derigo-izraktenu-atradnu-registrs/derigo-izraktenu-krajumu-bilance/derigo-izraktenu-krajumu-bilance?id=1472&amp;nid=659</w:t>
      </w:r>
    </w:p>
  </w:footnote>
  <w:footnote w:id="15">
    <w:p w14:paraId="7E70EA79" w14:textId="77777777" w:rsidR="00D349D6" w:rsidRDefault="00D349D6">
      <w:pPr>
        <w:pStyle w:val="FootnoteText"/>
      </w:pPr>
      <w:r>
        <w:rPr>
          <w:rStyle w:val="FootnoteReference"/>
        </w:rPr>
        <w:footnoteRef/>
      </w:r>
      <w:r>
        <w:t xml:space="preserve"> Ministru kabineta 2007.gada 21.augsuta noteikumi Nr.562 „Noteikumi par zemes lietošanas veidu klasifikācijas kārtību un to noteikšanas kritērijiem”</w:t>
      </w:r>
    </w:p>
  </w:footnote>
  <w:footnote w:id="16">
    <w:p w14:paraId="4CE02FED" w14:textId="77777777" w:rsidR="00D349D6" w:rsidRDefault="00D349D6">
      <w:pPr>
        <w:pStyle w:val="FootnoteText"/>
      </w:pPr>
      <w:r>
        <w:rPr>
          <w:rStyle w:val="FootnoteReference"/>
        </w:rPr>
        <w:footnoteRef/>
      </w:r>
      <w:r>
        <w:t xml:space="preserve"> Pētījums „Kūdras ieguves un izmantošanas sociāli – ekonomiskais izvērtējums” (A. Lazdiņš, D. Popluga, M. Pelše, S. Lazdāne)</w:t>
      </w:r>
    </w:p>
  </w:footnote>
  <w:footnote w:id="17">
    <w:p w14:paraId="4F9B6D57" w14:textId="77777777" w:rsidR="00D349D6" w:rsidRDefault="00D349D6">
      <w:pPr>
        <w:pStyle w:val="FootnoteText"/>
      </w:pPr>
      <w:r>
        <w:rPr>
          <w:rStyle w:val="FootnoteReference"/>
        </w:rPr>
        <w:footnoteRef/>
      </w:r>
      <w:r>
        <w:t xml:space="preserve"> Publikācija „Kūdras ieguve” (A. Šnore, Latvijas Kūdras ražotāju asociācija, Nordik 2013)</w:t>
      </w:r>
    </w:p>
  </w:footnote>
  <w:footnote w:id="18">
    <w:p w14:paraId="18BE7F12" w14:textId="77777777" w:rsidR="00D349D6" w:rsidRDefault="00D349D6">
      <w:pPr>
        <w:pStyle w:val="FootnoteText"/>
      </w:pPr>
      <w:r>
        <w:rPr>
          <w:rStyle w:val="FootnoteReference"/>
        </w:rPr>
        <w:footnoteRef/>
      </w:r>
      <w:r>
        <w:t xml:space="preserve"> Pētījums „Kūdras ieguves un izmantošanas sociāli – ekonomiskais izvērtējums” (A. Lazdiņš, D. Popluga, M. Pelše, S. Lazdāne)</w:t>
      </w:r>
    </w:p>
  </w:footnote>
  <w:footnote w:id="19">
    <w:p w14:paraId="5F1D8E8F" w14:textId="77777777" w:rsidR="00D349D6" w:rsidRDefault="00D349D6">
      <w:pPr>
        <w:pStyle w:val="FootnoteText"/>
      </w:pPr>
      <w:r>
        <w:rPr>
          <w:rStyle w:val="FootnoteReference"/>
        </w:rPr>
        <w:footnoteRef/>
      </w:r>
      <w:r>
        <w:t xml:space="preserve"> Klāvs G., Kundziņa A., Ozoliņš J., Reķis J. (2010) „Atjaunojamo energoresursu izmantošana Latvijas ilgtspējīgas attīstības nodrošināšanai. Latvija: Sorosa fonds, 64 lpp.”</w:t>
      </w:r>
    </w:p>
  </w:footnote>
  <w:footnote w:id="20">
    <w:p w14:paraId="0BF2E68F" w14:textId="77777777" w:rsidR="00D349D6" w:rsidRDefault="00D349D6">
      <w:pPr>
        <w:pStyle w:val="FootnoteText"/>
      </w:pPr>
      <w:r>
        <w:rPr>
          <w:rStyle w:val="FootnoteReference"/>
        </w:rPr>
        <w:footnoteRef/>
      </w:r>
      <w:r>
        <w:t xml:space="preserve"> http://ozols.daba.gov.lv/pub/Life/</w:t>
      </w:r>
    </w:p>
  </w:footnote>
  <w:footnote w:id="21">
    <w:p w14:paraId="0083B0ED" w14:textId="77777777" w:rsidR="00D349D6" w:rsidRDefault="00D349D6">
      <w:pPr>
        <w:pStyle w:val="FootnoteText"/>
      </w:pPr>
      <w:r>
        <w:rPr>
          <w:rStyle w:val="FootnoteReference"/>
        </w:rPr>
        <w:footnoteRef/>
      </w:r>
      <w:r>
        <w:t xml:space="preserve"> Projekta „Latvijas kūdras atradņu datu kvalitātes analīze, ieteikumu sagatavošana to uzlabošanai un izmantošanai valsts stratēģijas pamatdokumentu sagatavošanā” rezultāti (izpildītājs: biedrība „homo ecos”)</w:t>
      </w:r>
    </w:p>
  </w:footnote>
  <w:footnote w:id="22">
    <w:p w14:paraId="572737AF" w14:textId="77777777" w:rsidR="00D349D6" w:rsidRDefault="00D349D6">
      <w:pPr>
        <w:pStyle w:val="FootnoteText"/>
      </w:pPr>
      <w:r>
        <w:rPr>
          <w:rStyle w:val="FootnoteReference"/>
        </w:rPr>
        <w:footnoteRef/>
      </w:r>
      <w:r>
        <w:t xml:space="preserve"> Ministru kabineta 2007.gada 21.augusta noteikumi Nr. 562 „Noteikumi par zemes lietošanas veidu klasifikācijas kārtību un to noteikšanas kritērijiem”</w:t>
      </w:r>
    </w:p>
  </w:footnote>
  <w:footnote w:id="23">
    <w:p w14:paraId="16900846" w14:textId="77777777" w:rsidR="00D349D6" w:rsidRDefault="00D349D6">
      <w:pPr>
        <w:pStyle w:val="FootnoteText"/>
      </w:pPr>
      <w:r>
        <w:rPr>
          <w:rStyle w:val="FootnoteReference"/>
        </w:rPr>
        <w:footnoteRef/>
      </w:r>
      <w:r>
        <w:t xml:space="preserve"> http://ozols.daba.gov.lv/pub/Life/</w:t>
      </w:r>
    </w:p>
  </w:footnote>
  <w:footnote w:id="24">
    <w:p w14:paraId="2E9A2040" w14:textId="77777777" w:rsidR="00D349D6" w:rsidRDefault="00D349D6" w:rsidP="00D006B8">
      <w:pPr>
        <w:pStyle w:val="FootnoteText"/>
      </w:pPr>
      <w:r>
        <w:rPr>
          <w:rStyle w:val="FootnoteReference"/>
        </w:rPr>
        <w:footnoteRef/>
      </w:r>
      <w:r>
        <w:t xml:space="preserve"> Latvijas mežzinātnes institūta „Silava” pētījums „Pamatinformācija par iespējamo CO</w:t>
      </w:r>
      <w:r w:rsidRPr="00E5691E">
        <w:rPr>
          <w:vertAlign w:val="subscript"/>
        </w:rPr>
        <w:t>2</w:t>
      </w:r>
      <w:r>
        <w:t xml:space="preserve"> emisiju no kūdras atradnēm, to ietekmi uz vidi pēdējo divdesmit gadu laikā un UNFCCC un ES līmeņa lēmumu un zemes sektora SEG emisiju uzskaites metodikas analīze” Izpildītāji: Andis Lazdiņš, Arta Bārdule, Aldis Butlers, Ainārs Lupiķis, Irina Sietiņa, Mārtiņš Lukins, Guna Petaja.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6C0ED9FC"/>
    <w:lvl w:ilvl="0">
      <w:numFmt w:val="bullet"/>
      <w:lvlText w:val="*"/>
      <w:lvlJc w:val="left"/>
    </w:lvl>
  </w:abstractNum>
  <w:abstractNum w:abstractNumId="1">
    <w:nsid w:val="15297975"/>
    <w:multiLevelType w:val="hybridMultilevel"/>
    <w:tmpl w:val="52B8CDF0"/>
    <w:lvl w:ilvl="0" w:tplc="33F0003C">
      <w:start w:val="1"/>
      <w:numFmt w:val="bullet"/>
      <w:lvlText w:val="-"/>
      <w:lvlJc w:val="left"/>
      <w:pPr>
        <w:ind w:left="1080" w:hanging="360"/>
      </w:pPr>
      <w:rPr>
        <w:rFonts w:ascii="Times New Roman" w:eastAsia="Calibri" w:hAnsi="Times New Roman" w:cs="Times New Roman" w:hint="default"/>
      </w:rPr>
    </w:lvl>
    <w:lvl w:ilvl="1" w:tplc="04260003" w:tentative="1">
      <w:start w:val="1"/>
      <w:numFmt w:val="bullet"/>
      <w:lvlText w:val="o"/>
      <w:lvlJc w:val="left"/>
      <w:pPr>
        <w:ind w:left="1800" w:hanging="360"/>
      </w:pPr>
      <w:rPr>
        <w:rFonts w:ascii="Courier New" w:hAnsi="Courier New" w:cs="Courier New" w:hint="default"/>
      </w:rPr>
    </w:lvl>
    <w:lvl w:ilvl="2" w:tplc="04260005" w:tentative="1">
      <w:start w:val="1"/>
      <w:numFmt w:val="bullet"/>
      <w:lvlText w:val=""/>
      <w:lvlJc w:val="left"/>
      <w:pPr>
        <w:ind w:left="2520" w:hanging="360"/>
      </w:pPr>
      <w:rPr>
        <w:rFonts w:ascii="Wingdings" w:hAnsi="Wingdings" w:hint="default"/>
      </w:rPr>
    </w:lvl>
    <w:lvl w:ilvl="3" w:tplc="04260001" w:tentative="1">
      <w:start w:val="1"/>
      <w:numFmt w:val="bullet"/>
      <w:lvlText w:val=""/>
      <w:lvlJc w:val="left"/>
      <w:pPr>
        <w:ind w:left="3240" w:hanging="360"/>
      </w:pPr>
      <w:rPr>
        <w:rFonts w:ascii="Symbol" w:hAnsi="Symbol" w:hint="default"/>
      </w:rPr>
    </w:lvl>
    <w:lvl w:ilvl="4" w:tplc="04260003" w:tentative="1">
      <w:start w:val="1"/>
      <w:numFmt w:val="bullet"/>
      <w:lvlText w:val="o"/>
      <w:lvlJc w:val="left"/>
      <w:pPr>
        <w:ind w:left="3960" w:hanging="360"/>
      </w:pPr>
      <w:rPr>
        <w:rFonts w:ascii="Courier New" w:hAnsi="Courier New" w:cs="Courier New" w:hint="default"/>
      </w:rPr>
    </w:lvl>
    <w:lvl w:ilvl="5" w:tplc="04260005" w:tentative="1">
      <w:start w:val="1"/>
      <w:numFmt w:val="bullet"/>
      <w:lvlText w:val=""/>
      <w:lvlJc w:val="left"/>
      <w:pPr>
        <w:ind w:left="4680" w:hanging="360"/>
      </w:pPr>
      <w:rPr>
        <w:rFonts w:ascii="Wingdings" w:hAnsi="Wingdings" w:hint="default"/>
      </w:rPr>
    </w:lvl>
    <w:lvl w:ilvl="6" w:tplc="04260001" w:tentative="1">
      <w:start w:val="1"/>
      <w:numFmt w:val="bullet"/>
      <w:lvlText w:val=""/>
      <w:lvlJc w:val="left"/>
      <w:pPr>
        <w:ind w:left="5400" w:hanging="360"/>
      </w:pPr>
      <w:rPr>
        <w:rFonts w:ascii="Symbol" w:hAnsi="Symbol" w:hint="default"/>
      </w:rPr>
    </w:lvl>
    <w:lvl w:ilvl="7" w:tplc="04260003" w:tentative="1">
      <w:start w:val="1"/>
      <w:numFmt w:val="bullet"/>
      <w:lvlText w:val="o"/>
      <w:lvlJc w:val="left"/>
      <w:pPr>
        <w:ind w:left="6120" w:hanging="360"/>
      </w:pPr>
      <w:rPr>
        <w:rFonts w:ascii="Courier New" w:hAnsi="Courier New" w:cs="Courier New" w:hint="default"/>
      </w:rPr>
    </w:lvl>
    <w:lvl w:ilvl="8" w:tplc="04260005" w:tentative="1">
      <w:start w:val="1"/>
      <w:numFmt w:val="bullet"/>
      <w:lvlText w:val=""/>
      <w:lvlJc w:val="left"/>
      <w:pPr>
        <w:ind w:left="6840" w:hanging="360"/>
      </w:pPr>
      <w:rPr>
        <w:rFonts w:ascii="Wingdings" w:hAnsi="Wingdings" w:hint="default"/>
      </w:rPr>
    </w:lvl>
  </w:abstractNum>
  <w:abstractNum w:abstractNumId="2">
    <w:nsid w:val="53A47403"/>
    <w:multiLevelType w:val="multilevel"/>
    <w:tmpl w:val="042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numFmt w:val="bullet"/>
        <w:lvlText w:val=""/>
        <w:legacy w:legacy="1" w:legacySpace="0" w:legacyIndent="360"/>
        <w:lvlJc w:val="left"/>
        <w:rPr>
          <w:rFonts w:ascii="Symbol" w:hAnsi="Symbol" w:hint="default"/>
        </w:rPr>
      </w:lvl>
    </w:lvlOverride>
  </w:num>
  <w:num w:numId="2">
    <w:abstractNumId w:val="1"/>
  </w:num>
  <w:num w:numId="3">
    <w:abstractNumId w:val="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User">
    <w15:presenceInfo w15:providerId="None" w15:userId="User"/>
  </w15:person>
  <w15:person w15:author="Inga Belasova">
    <w15:presenceInfo w15:providerId="AD" w15:userId="S-1-5-21-1177238915-1417001333-839522115-25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5D83"/>
    <w:rsid w:val="00000206"/>
    <w:rsid w:val="00000C4D"/>
    <w:rsid w:val="000118CF"/>
    <w:rsid w:val="000473B2"/>
    <w:rsid w:val="00050D31"/>
    <w:rsid w:val="00060BE8"/>
    <w:rsid w:val="00072C06"/>
    <w:rsid w:val="00076087"/>
    <w:rsid w:val="00096B50"/>
    <w:rsid w:val="000C1E53"/>
    <w:rsid w:val="000D12F0"/>
    <w:rsid w:val="000D2E49"/>
    <w:rsid w:val="000E69C2"/>
    <w:rsid w:val="00101261"/>
    <w:rsid w:val="001039C3"/>
    <w:rsid w:val="00110A33"/>
    <w:rsid w:val="0011718B"/>
    <w:rsid w:val="001247FF"/>
    <w:rsid w:val="00134FCF"/>
    <w:rsid w:val="001435C7"/>
    <w:rsid w:val="00160356"/>
    <w:rsid w:val="00163E6F"/>
    <w:rsid w:val="00165D83"/>
    <w:rsid w:val="00191174"/>
    <w:rsid w:val="00193997"/>
    <w:rsid w:val="001A0F1E"/>
    <w:rsid w:val="001A1AF2"/>
    <w:rsid w:val="001A2343"/>
    <w:rsid w:val="001B1B87"/>
    <w:rsid w:val="001C0D5C"/>
    <w:rsid w:val="001D74AB"/>
    <w:rsid w:val="001D77CF"/>
    <w:rsid w:val="001E5B99"/>
    <w:rsid w:val="00203008"/>
    <w:rsid w:val="002036F3"/>
    <w:rsid w:val="002101BD"/>
    <w:rsid w:val="002243C2"/>
    <w:rsid w:val="0027048A"/>
    <w:rsid w:val="00274E8D"/>
    <w:rsid w:val="002A102D"/>
    <w:rsid w:val="002A1A6A"/>
    <w:rsid w:val="002C788C"/>
    <w:rsid w:val="002D1C21"/>
    <w:rsid w:val="002D5F75"/>
    <w:rsid w:val="002E1AC3"/>
    <w:rsid w:val="002E3E84"/>
    <w:rsid w:val="002F0B35"/>
    <w:rsid w:val="003007EA"/>
    <w:rsid w:val="00302775"/>
    <w:rsid w:val="00324160"/>
    <w:rsid w:val="00330E88"/>
    <w:rsid w:val="0033524D"/>
    <w:rsid w:val="00336A55"/>
    <w:rsid w:val="00343407"/>
    <w:rsid w:val="0034433D"/>
    <w:rsid w:val="00356B52"/>
    <w:rsid w:val="00382ADD"/>
    <w:rsid w:val="00383CF3"/>
    <w:rsid w:val="003A40B3"/>
    <w:rsid w:val="003A41CC"/>
    <w:rsid w:val="003A7ECD"/>
    <w:rsid w:val="003C0008"/>
    <w:rsid w:val="003E70D5"/>
    <w:rsid w:val="003F074F"/>
    <w:rsid w:val="003F2334"/>
    <w:rsid w:val="003F7D08"/>
    <w:rsid w:val="003F7FF1"/>
    <w:rsid w:val="00405C34"/>
    <w:rsid w:val="00405ED8"/>
    <w:rsid w:val="00410D27"/>
    <w:rsid w:val="00421D08"/>
    <w:rsid w:val="00430A48"/>
    <w:rsid w:val="00431A0E"/>
    <w:rsid w:val="0043252B"/>
    <w:rsid w:val="00445071"/>
    <w:rsid w:val="00477297"/>
    <w:rsid w:val="00480EF6"/>
    <w:rsid w:val="004837FC"/>
    <w:rsid w:val="004900A3"/>
    <w:rsid w:val="00496206"/>
    <w:rsid w:val="0049765D"/>
    <w:rsid w:val="004B562D"/>
    <w:rsid w:val="004B5EAB"/>
    <w:rsid w:val="004C16D6"/>
    <w:rsid w:val="004C2FD6"/>
    <w:rsid w:val="004E1B8C"/>
    <w:rsid w:val="004F6198"/>
    <w:rsid w:val="00504AF9"/>
    <w:rsid w:val="005067E8"/>
    <w:rsid w:val="00531FA6"/>
    <w:rsid w:val="005337DA"/>
    <w:rsid w:val="005969AF"/>
    <w:rsid w:val="005B4C84"/>
    <w:rsid w:val="005C6B8E"/>
    <w:rsid w:val="005D4642"/>
    <w:rsid w:val="005D75E3"/>
    <w:rsid w:val="005F04FE"/>
    <w:rsid w:val="005F1FC1"/>
    <w:rsid w:val="005F441A"/>
    <w:rsid w:val="00600829"/>
    <w:rsid w:val="0061251E"/>
    <w:rsid w:val="00640C17"/>
    <w:rsid w:val="00650503"/>
    <w:rsid w:val="0065790E"/>
    <w:rsid w:val="00670141"/>
    <w:rsid w:val="006777FE"/>
    <w:rsid w:val="00687C14"/>
    <w:rsid w:val="00696289"/>
    <w:rsid w:val="00697EBF"/>
    <w:rsid w:val="006A01B9"/>
    <w:rsid w:val="006A2F45"/>
    <w:rsid w:val="006A39F3"/>
    <w:rsid w:val="006A476E"/>
    <w:rsid w:val="006A74D5"/>
    <w:rsid w:val="006B4BD9"/>
    <w:rsid w:val="006D08D1"/>
    <w:rsid w:val="006D7CEE"/>
    <w:rsid w:val="006E33AD"/>
    <w:rsid w:val="006F0406"/>
    <w:rsid w:val="006F327D"/>
    <w:rsid w:val="00704FB8"/>
    <w:rsid w:val="007125BB"/>
    <w:rsid w:val="00732577"/>
    <w:rsid w:val="00743D44"/>
    <w:rsid w:val="00750AC6"/>
    <w:rsid w:val="00757120"/>
    <w:rsid w:val="00760579"/>
    <w:rsid w:val="00761110"/>
    <w:rsid w:val="00775F53"/>
    <w:rsid w:val="00787086"/>
    <w:rsid w:val="007A4D8A"/>
    <w:rsid w:val="007B70DB"/>
    <w:rsid w:val="007D28D0"/>
    <w:rsid w:val="007E2CA1"/>
    <w:rsid w:val="007E4BA0"/>
    <w:rsid w:val="007F24F6"/>
    <w:rsid w:val="007F39C0"/>
    <w:rsid w:val="007F4710"/>
    <w:rsid w:val="00801057"/>
    <w:rsid w:val="00803BA6"/>
    <w:rsid w:val="00803E73"/>
    <w:rsid w:val="008169CF"/>
    <w:rsid w:val="00830376"/>
    <w:rsid w:val="00836A60"/>
    <w:rsid w:val="00841F54"/>
    <w:rsid w:val="008565E8"/>
    <w:rsid w:val="00857CEC"/>
    <w:rsid w:val="00865459"/>
    <w:rsid w:val="00896968"/>
    <w:rsid w:val="008A0717"/>
    <w:rsid w:val="008A7AB4"/>
    <w:rsid w:val="008B0644"/>
    <w:rsid w:val="008E00EE"/>
    <w:rsid w:val="008E1E8A"/>
    <w:rsid w:val="008F3127"/>
    <w:rsid w:val="008F3912"/>
    <w:rsid w:val="008F3BF4"/>
    <w:rsid w:val="009051FC"/>
    <w:rsid w:val="00910C4A"/>
    <w:rsid w:val="009120E9"/>
    <w:rsid w:val="00924D0D"/>
    <w:rsid w:val="00937EB1"/>
    <w:rsid w:val="00957AE0"/>
    <w:rsid w:val="00970351"/>
    <w:rsid w:val="00975B58"/>
    <w:rsid w:val="00991A4F"/>
    <w:rsid w:val="00992CE6"/>
    <w:rsid w:val="00997065"/>
    <w:rsid w:val="009A29AD"/>
    <w:rsid w:val="009A341E"/>
    <w:rsid w:val="009B1CA3"/>
    <w:rsid w:val="009B1FD4"/>
    <w:rsid w:val="009B3F32"/>
    <w:rsid w:val="009D7CA4"/>
    <w:rsid w:val="009F58B3"/>
    <w:rsid w:val="009F769B"/>
    <w:rsid w:val="00A01E26"/>
    <w:rsid w:val="00A02790"/>
    <w:rsid w:val="00A258AB"/>
    <w:rsid w:val="00A60CF1"/>
    <w:rsid w:val="00A62FA5"/>
    <w:rsid w:val="00A6422A"/>
    <w:rsid w:val="00A75C3D"/>
    <w:rsid w:val="00A80898"/>
    <w:rsid w:val="00A97858"/>
    <w:rsid w:val="00A97BD9"/>
    <w:rsid w:val="00AA07F6"/>
    <w:rsid w:val="00AB080B"/>
    <w:rsid w:val="00AC7FE8"/>
    <w:rsid w:val="00AD5D1F"/>
    <w:rsid w:val="00AD64F1"/>
    <w:rsid w:val="00AE49DF"/>
    <w:rsid w:val="00B17307"/>
    <w:rsid w:val="00B4062E"/>
    <w:rsid w:val="00B62808"/>
    <w:rsid w:val="00B67D72"/>
    <w:rsid w:val="00B70D54"/>
    <w:rsid w:val="00B93894"/>
    <w:rsid w:val="00BC274D"/>
    <w:rsid w:val="00BC31C4"/>
    <w:rsid w:val="00BC3AC4"/>
    <w:rsid w:val="00BC3E28"/>
    <w:rsid w:val="00BD059F"/>
    <w:rsid w:val="00BD4BC5"/>
    <w:rsid w:val="00BD5F7E"/>
    <w:rsid w:val="00C05558"/>
    <w:rsid w:val="00C1316B"/>
    <w:rsid w:val="00C25575"/>
    <w:rsid w:val="00C76527"/>
    <w:rsid w:val="00C85511"/>
    <w:rsid w:val="00CB1E20"/>
    <w:rsid w:val="00CD178D"/>
    <w:rsid w:val="00CD5531"/>
    <w:rsid w:val="00CE21D6"/>
    <w:rsid w:val="00CF2A3A"/>
    <w:rsid w:val="00D006B8"/>
    <w:rsid w:val="00D07A1C"/>
    <w:rsid w:val="00D13C9D"/>
    <w:rsid w:val="00D14316"/>
    <w:rsid w:val="00D174CF"/>
    <w:rsid w:val="00D26724"/>
    <w:rsid w:val="00D349D6"/>
    <w:rsid w:val="00D50031"/>
    <w:rsid w:val="00D50996"/>
    <w:rsid w:val="00D5608B"/>
    <w:rsid w:val="00D62F8F"/>
    <w:rsid w:val="00D842CA"/>
    <w:rsid w:val="00D91042"/>
    <w:rsid w:val="00D91523"/>
    <w:rsid w:val="00DA0B4A"/>
    <w:rsid w:val="00DA4B8C"/>
    <w:rsid w:val="00DB4CE3"/>
    <w:rsid w:val="00DC266D"/>
    <w:rsid w:val="00DC6F8D"/>
    <w:rsid w:val="00DE542D"/>
    <w:rsid w:val="00DE596A"/>
    <w:rsid w:val="00DF63E5"/>
    <w:rsid w:val="00DF74A8"/>
    <w:rsid w:val="00E24300"/>
    <w:rsid w:val="00E45D0E"/>
    <w:rsid w:val="00E54BA9"/>
    <w:rsid w:val="00E54D9B"/>
    <w:rsid w:val="00E5691E"/>
    <w:rsid w:val="00E71FEA"/>
    <w:rsid w:val="00E9015B"/>
    <w:rsid w:val="00E96DDA"/>
    <w:rsid w:val="00EA241A"/>
    <w:rsid w:val="00EB60C3"/>
    <w:rsid w:val="00EF7D2D"/>
    <w:rsid w:val="00F05498"/>
    <w:rsid w:val="00F17AE0"/>
    <w:rsid w:val="00F27864"/>
    <w:rsid w:val="00F32ADB"/>
    <w:rsid w:val="00F3738E"/>
    <w:rsid w:val="00F37A21"/>
    <w:rsid w:val="00F44BE6"/>
    <w:rsid w:val="00F46B2B"/>
    <w:rsid w:val="00F524FA"/>
    <w:rsid w:val="00F86817"/>
    <w:rsid w:val="00F96E85"/>
    <w:rsid w:val="00FA307A"/>
    <w:rsid w:val="00FA313D"/>
    <w:rsid w:val="00FA4341"/>
    <w:rsid w:val="00FB146E"/>
    <w:rsid w:val="00FC02E6"/>
    <w:rsid w:val="00FC1C90"/>
    <w:rsid w:val="00FE063C"/>
    <w:rsid w:val="00FE3CA0"/>
    <w:rsid w:val="00FE454F"/>
    <w:rsid w:val="00FE46F1"/>
    <w:rsid w:val="00FE5568"/>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7A5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Calibri" w:hAnsiTheme="minorHAnsi" w:cstheme="minorBidi"/>
        <w:sz w:val="22"/>
        <w:szCs w:val="22"/>
        <w:lang w:val="lv-LV"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5D83"/>
    <w:pPr>
      <w:jc w:val="both"/>
    </w:pPr>
    <w:rPr>
      <w:rFonts w:ascii="Times New Roman" w:hAnsi="Times New Roman" w:cs="Times New Roman"/>
      <w:sz w:val="24"/>
    </w:rPr>
  </w:style>
  <w:style w:type="paragraph" w:styleId="Heading1">
    <w:name w:val="heading 1"/>
    <w:basedOn w:val="Normal"/>
    <w:next w:val="Normal"/>
    <w:link w:val="Heading1Char"/>
    <w:uiPriority w:val="9"/>
    <w:qFormat/>
    <w:rsid w:val="007B70DB"/>
    <w:pPr>
      <w:keepNext/>
      <w:keepLines/>
      <w:spacing w:before="360" w:after="120"/>
      <w:jc w:val="center"/>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7B70DB"/>
    <w:pPr>
      <w:keepNext/>
      <w:keepLines/>
      <w:spacing w:before="120" w:after="120"/>
      <w:jc w:val="left"/>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6A01B9"/>
    <w:pPr>
      <w:keepNext/>
      <w:keepLines/>
      <w:spacing w:before="200"/>
      <w:ind w:firstLine="72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65D83"/>
    <w:rPr>
      <w:rFonts w:ascii="Tahoma" w:hAnsi="Tahoma" w:cs="Tahoma"/>
      <w:sz w:val="16"/>
      <w:szCs w:val="16"/>
    </w:rPr>
  </w:style>
  <w:style w:type="character" w:customStyle="1" w:styleId="BalloonTextChar">
    <w:name w:val="Balloon Text Char"/>
    <w:basedOn w:val="DefaultParagraphFont"/>
    <w:link w:val="BalloonText"/>
    <w:uiPriority w:val="99"/>
    <w:semiHidden/>
    <w:rsid w:val="00165D83"/>
    <w:rPr>
      <w:rFonts w:ascii="Tahoma" w:hAnsi="Tahoma" w:cs="Tahoma"/>
      <w:sz w:val="16"/>
      <w:szCs w:val="16"/>
    </w:rPr>
  </w:style>
  <w:style w:type="character" w:styleId="CommentReference">
    <w:name w:val="annotation reference"/>
    <w:basedOn w:val="DefaultParagraphFont"/>
    <w:uiPriority w:val="99"/>
    <w:semiHidden/>
    <w:unhideWhenUsed/>
    <w:rsid w:val="00000206"/>
    <w:rPr>
      <w:sz w:val="16"/>
      <w:szCs w:val="16"/>
    </w:rPr>
  </w:style>
  <w:style w:type="paragraph" w:styleId="CommentText">
    <w:name w:val="annotation text"/>
    <w:basedOn w:val="Normal"/>
    <w:link w:val="CommentTextChar"/>
    <w:uiPriority w:val="99"/>
    <w:unhideWhenUsed/>
    <w:rsid w:val="00000206"/>
    <w:rPr>
      <w:sz w:val="20"/>
      <w:szCs w:val="20"/>
    </w:rPr>
  </w:style>
  <w:style w:type="character" w:customStyle="1" w:styleId="CommentTextChar">
    <w:name w:val="Comment Text Char"/>
    <w:basedOn w:val="DefaultParagraphFont"/>
    <w:link w:val="CommentText"/>
    <w:uiPriority w:val="99"/>
    <w:rsid w:val="00000206"/>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000206"/>
    <w:rPr>
      <w:b/>
      <w:bCs/>
    </w:rPr>
  </w:style>
  <w:style w:type="character" w:customStyle="1" w:styleId="CommentSubjectChar">
    <w:name w:val="Comment Subject Char"/>
    <w:basedOn w:val="CommentTextChar"/>
    <w:link w:val="CommentSubject"/>
    <w:uiPriority w:val="99"/>
    <w:semiHidden/>
    <w:rsid w:val="00000206"/>
    <w:rPr>
      <w:rFonts w:ascii="Times New Roman" w:hAnsi="Times New Roman" w:cs="Times New Roman"/>
      <w:b/>
      <w:bCs/>
      <w:sz w:val="20"/>
      <w:szCs w:val="20"/>
    </w:rPr>
  </w:style>
  <w:style w:type="paragraph" w:styleId="FootnoteText">
    <w:name w:val="footnote text"/>
    <w:basedOn w:val="Normal"/>
    <w:link w:val="FootnoteTextChar"/>
    <w:uiPriority w:val="99"/>
    <w:unhideWhenUsed/>
    <w:rsid w:val="00274E8D"/>
    <w:rPr>
      <w:sz w:val="20"/>
      <w:szCs w:val="20"/>
    </w:rPr>
  </w:style>
  <w:style w:type="character" w:customStyle="1" w:styleId="FootnoteTextChar">
    <w:name w:val="Footnote Text Char"/>
    <w:basedOn w:val="DefaultParagraphFont"/>
    <w:link w:val="FootnoteText"/>
    <w:uiPriority w:val="99"/>
    <w:rsid w:val="00274E8D"/>
    <w:rPr>
      <w:rFonts w:ascii="Times New Roman" w:hAnsi="Times New Roman" w:cs="Times New Roman"/>
      <w:sz w:val="20"/>
      <w:szCs w:val="20"/>
    </w:rPr>
  </w:style>
  <w:style w:type="character" w:styleId="FootnoteReference">
    <w:name w:val="footnote reference"/>
    <w:basedOn w:val="DefaultParagraphFont"/>
    <w:uiPriority w:val="99"/>
    <w:unhideWhenUsed/>
    <w:rsid w:val="00274E8D"/>
    <w:rPr>
      <w:vertAlign w:val="superscript"/>
    </w:rPr>
  </w:style>
  <w:style w:type="paragraph" w:styleId="Caption">
    <w:name w:val="caption"/>
    <w:basedOn w:val="Normal"/>
    <w:next w:val="Normal"/>
    <w:uiPriority w:val="35"/>
    <w:unhideWhenUsed/>
    <w:qFormat/>
    <w:rsid w:val="008A0717"/>
    <w:pPr>
      <w:spacing w:after="200"/>
    </w:pPr>
    <w:rPr>
      <w:b/>
      <w:bCs/>
      <w:color w:val="4F81BD" w:themeColor="accent1"/>
      <w:sz w:val="18"/>
      <w:szCs w:val="18"/>
    </w:rPr>
  </w:style>
  <w:style w:type="paragraph" w:styleId="ListParagraph">
    <w:name w:val="List Paragraph"/>
    <w:basedOn w:val="Normal"/>
    <w:uiPriority w:val="34"/>
    <w:qFormat/>
    <w:rsid w:val="004900A3"/>
    <w:pPr>
      <w:ind w:left="720"/>
      <w:contextualSpacing/>
    </w:pPr>
  </w:style>
  <w:style w:type="paragraph" w:styleId="Header">
    <w:name w:val="header"/>
    <w:basedOn w:val="Normal"/>
    <w:link w:val="HeaderChar"/>
    <w:uiPriority w:val="99"/>
    <w:semiHidden/>
    <w:unhideWhenUsed/>
    <w:rsid w:val="00D91042"/>
    <w:pPr>
      <w:tabs>
        <w:tab w:val="center" w:pos="4677"/>
        <w:tab w:val="right" w:pos="9355"/>
      </w:tabs>
    </w:pPr>
  </w:style>
  <w:style w:type="character" w:customStyle="1" w:styleId="HeaderChar">
    <w:name w:val="Header Char"/>
    <w:basedOn w:val="DefaultParagraphFont"/>
    <w:link w:val="Header"/>
    <w:uiPriority w:val="99"/>
    <w:semiHidden/>
    <w:rsid w:val="00D91042"/>
    <w:rPr>
      <w:rFonts w:ascii="Times New Roman" w:hAnsi="Times New Roman" w:cs="Times New Roman"/>
      <w:sz w:val="24"/>
    </w:rPr>
  </w:style>
  <w:style w:type="paragraph" w:styleId="Footer">
    <w:name w:val="footer"/>
    <w:basedOn w:val="Normal"/>
    <w:link w:val="FooterChar"/>
    <w:unhideWhenUsed/>
    <w:rsid w:val="00D91042"/>
    <w:pPr>
      <w:tabs>
        <w:tab w:val="center" w:pos="4677"/>
        <w:tab w:val="right" w:pos="9355"/>
      </w:tabs>
    </w:pPr>
  </w:style>
  <w:style w:type="character" w:customStyle="1" w:styleId="FooterChar">
    <w:name w:val="Footer Char"/>
    <w:basedOn w:val="DefaultParagraphFont"/>
    <w:link w:val="Footer"/>
    <w:uiPriority w:val="99"/>
    <w:rsid w:val="00D91042"/>
    <w:rPr>
      <w:rFonts w:ascii="Times New Roman" w:hAnsi="Times New Roman" w:cs="Times New Roman"/>
      <w:sz w:val="24"/>
    </w:rPr>
  </w:style>
  <w:style w:type="character" w:customStyle="1" w:styleId="Heading1Char">
    <w:name w:val="Heading 1 Char"/>
    <w:basedOn w:val="DefaultParagraphFont"/>
    <w:link w:val="Heading1"/>
    <w:uiPriority w:val="9"/>
    <w:rsid w:val="007B70DB"/>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7B70DB"/>
    <w:rPr>
      <w:rFonts w:ascii="Times New Roman" w:eastAsiaTheme="majorEastAsia" w:hAnsi="Times New Roman" w:cstheme="majorBidi"/>
      <w:b/>
      <w:bCs/>
      <w:sz w:val="24"/>
      <w:szCs w:val="26"/>
    </w:rPr>
  </w:style>
  <w:style w:type="character" w:customStyle="1" w:styleId="Heading3Char">
    <w:name w:val="Heading 3 Char"/>
    <w:basedOn w:val="DefaultParagraphFont"/>
    <w:link w:val="Heading3"/>
    <w:uiPriority w:val="9"/>
    <w:rsid w:val="006A01B9"/>
    <w:rPr>
      <w:rFonts w:ascii="Times New Roman" w:eastAsiaTheme="majorEastAsia" w:hAnsi="Times New Roman" w:cstheme="majorBidi"/>
      <w:b/>
      <w:bCs/>
      <w:sz w:val="24"/>
    </w:rPr>
  </w:style>
  <w:style w:type="paragraph" w:styleId="TOCHeading">
    <w:name w:val="TOC Heading"/>
    <w:basedOn w:val="Heading1"/>
    <w:next w:val="Normal"/>
    <w:uiPriority w:val="39"/>
    <w:semiHidden/>
    <w:unhideWhenUsed/>
    <w:qFormat/>
    <w:rsid w:val="00324160"/>
    <w:pPr>
      <w:spacing w:before="480" w:after="0" w:line="276" w:lineRule="auto"/>
      <w:jc w:val="left"/>
      <w:outlineLvl w:val="9"/>
    </w:pPr>
    <w:rPr>
      <w:rFonts w:asciiTheme="majorHAnsi" w:hAnsiTheme="majorHAnsi"/>
      <w:color w:val="365F91" w:themeColor="accent1" w:themeShade="BF"/>
      <w:lang w:val="en-US"/>
    </w:rPr>
  </w:style>
  <w:style w:type="paragraph" w:styleId="TOC1">
    <w:name w:val="toc 1"/>
    <w:basedOn w:val="Normal"/>
    <w:next w:val="Normal"/>
    <w:autoRedefine/>
    <w:uiPriority w:val="39"/>
    <w:unhideWhenUsed/>
    <w:rsid w:val="00324160"/>
    <w:pPr>
      <w:spacing w:after="100"/>
    </w:pPr>
  </w:style>
  <w:style w:type="paragraph" w:styleId="TOC2">
    <w:name w:val="toc 2"/>
    <w:basedOn w:val="Normal"/>
    <w:next w:val="Normal"/>
    <w:autoRedefine/>
    <w:uiPriority w:val="39"/>
    <w:unhideWhenUsed/>
    <w:rsid w:val="00324160"/>
    <w:pPr>
      <w:spacing w:after="100"/>
      <w:ind w:left="240"/>
    </w:pPr>
  </w:style>
  <w:style w:type="paragraph" w:styleId="TOC3">
    <w:name w:val="toc 3"/>
    <w:basedOn w:val="Normal"/>
    <w:next w:val="Normal"/>
    <w:autoRedefine/>
    <w:uiPriority w:val="39"/>
    <w:unhideWhenUsed/>
    <w:rsid w:val="00324160"/>
    <w:pPr>
      <w:spacing w:after="100"/>
      <w:ind w:left="480"/>
    </w:pPr>
  </w:style>
  <w:style w:type="character" w:styleId="Hyperlink">
    <w:name w:val="Hyperlink"/>
    <w:basedOn w:val="DefaultParagraphFont"/>
    <w:uiPriority w:val="99"/>
    <w:unhideWhenUsed/>
    <w:rsid w:val="00324160"/>
    <w:rPr>
      <w:color w:val="0000FF" w:themeColor="hyperlink"/>
      <w:u w:val="single"/>
    </w:rPr>
  </w:style>
  <w:style w:type="paragraph" w:customStyle="1" w:styleId="tv213">
    <w:name w:val="tv213"/>
    <w:basedOn w:val="Normal"/>
    <w:rsid w:val="00F524FA"/>
    <w:pPr>
      <w:spacing w:before="100" w:beforeAutospacing="1" w:after="100" w:afterAutospacing="1"/>
      <w:jc w:val="left"/>
    </w:pPr>
    <w:rPr>
      <w:rFonts w:eastAsia="Times New Roman"/>
      <w:szCs w:val="24"/>
      <w:lang w:val="en-US" w:eastAsia="lv-LV"/>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Calibri" w:hAnsiTheme="minorHAnsi" w:cstheme="minorBidi"/>
        <w:sz w:val="22"/>
        <w:szCs w:val="22"/>
        <w:lang w:val="lv-LV"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5D83"/>
    <w:pPr>
      <w:jc w:val="both"/>
    </w:pPr>
    <w:rPr>
      <w:rFonts w:ascii="Times New Roman" w:hAnsi="Times New Roman" w:cs="Times New Roman"/>
      <w:sz w:val="24"/>
    </w:rPr>
  </w:style>
  <w:style w:type="paragraph" w:styleId="Heading1">
    <w:name w:val="heading 1"/>
    <w:basedOn w:val="Normal"/>
    <w:next w:val="Normal"/>
    <w:link w:val="Heading1Char"/>
    <w:uiPriority w:val="9"/>
    <w:qFormat/>
    <w:rsid w:val="007B70DB"/>
    <w:pPr>
      <w:keepNext/>
      <w:keepLines/>
      <w:spacing w:before="360" w:after="120"/>
      <w:jc w:val="center"/>
      <w:outlineLvl w:val="0"/>
    </w:pPr>
    <w:rPr>
      <w:rFonts w:eastAsiaTheme="majorEastAsia" w:cstheme="majorBidi"/>
      <w:b/>
      <w:bCs/>
      <w:sz w:val="28"/>
      <w:szCs w:val="28"/>
    </w:rPr>
  </w:style>
  <w:style w:type="paragraph" w:styleId="Heading2">
    <w:name w:val="heading 2"/>
    <w:basedOn w:val="Normal"/>
    <w:next w:val="Normal"/>
    <w:link w:val="Heading2Char"/>
    <w:uiPriority w:val="9"/>
    <w:unhideWhenUsed/>
    <w:qFormat/>
    <w:rsid w:val="007B70DB"/>
    <w:pPr>
      <w:keepNext/>
      <w:keepLines/>
      <w:spacing w:before="120" w:after="120"/>
      <w:jc w:val="left"/>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6A01B9"/>
    <w:pPr>
      <w:keepNext/>
      <w:keepLines/>
      <w:spacing w:before="200"/>
      <w:ind w:firstLine="720"/>
      <w:outlineLvl w:val="2"/>
    </w:pPr>
    <w:rPr>
      <w:rFonts w:eastAsiaTheme="majorEastAsia" w:cstheme="majorBid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165D83"/>
    <w:rPr>
      <w:rFonts w:ascii="Tahoma" w:hAnsi="Tahoma" w:cs="Tahoma"/>
      <w:sz w:val="16"/>
      <w:szCs w:val="16"/>
    </w:rPr>
  </w:style>
  <w:style w:type="character" w:customStyle="1" w:styleId="BalloonTextChar">
    <w:name w:val="Balloon Text Char"/>
    <w:basedOn w:val="DefaultParagraphFont"/>
    <w:link w:val="BalloonText"/>
    <w:uiPriority w:val="99"/>
    <w:semiHidden/>
    <w:rsid w:val="00165D83"/>
    <w:rPr>
      <w:rFonts w:ascii="Tahoma" w:hAnsi="Tahoma" w:cs="Tahoma"/>
      <w:sz w:val="16"/>
      <w:szCs w:val="16"/>
    </w:rPr>
  </w:style>
  <w:style w:type="character" w:styleId="CommentReference">
    <w:name w:val="annotation reference"/>
    <w:basedOn w:val="DefaultParagraphFont"/>
    <w:uiPriority w:val="99"/>
    <w:semiHidden/>
    <w:unhideWhenUsed/>
    <w:rsid w:val="00000206"/>
    <w:rPr>
      <w:sz w:val="16"/>
      <w:szCs w:val="16"/>
    </w:rPr>
  </w:style>
  <w:style w:type="paragraph" w:styleId="CommentText">
    <w:name w:val="annotation text"/>
    <w:basedOn w:val="Normal"/>
    <w:link w:val="CommentTextChar"/>
    <w:uiPriority w:val="99"/>
    <w:unhideWhenUsed/>
    <w:rsid w:val="00000206"/>
    <w:rPr>
      <w:sz w:val="20"/>
      <w:szCs w:val="20"/>
    </w:rPr>
  </w:style>
  <w:style w:type="character" w:customStyle="1" w:styleId="CommentTextChar">
    <w:name w:val="Comment Text Char"/>
    <w:basedOn w:val="DefaultParagraphFont"/>
    <w:link w:val="CommentText"/>
    <w:uiPriority w:val="99"/>
    <w:rsid w:val="00000206"/>
    <w:rPr>
      <w:rFonts w:ascii="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000206"/>
    <w:rPr>
      <w:b/>
      <w:bCs/>
    </w:rPr>
  </w:style>
  <w:style w:type="character" w:customStyle="1" w:styleId="CommentSubjectChar">
    <w:name w:val="Comment Subject Char"/>
    <w:basedOn w:val="CommentTextChar"/>
    <w:link w:val="CommentSubject"/>
    <w:uiPriority w:val="99"/>
    <w:semiHidden/>
    <w:rsid w:val="00000206"/>
    <w:rPr>
      <w:rFonts w:ascii="Times New Roman" w:hAnsi="Times New Roman" w:cs="Times New Roman"/>
      <w:b/>
      <w:bCs/>
      <w:sz w:val="20"/>
      <w:szCs w:val="20"/>
    </w:rPr>
  </w:style>
  <w:style w:type="paragraph" w:styleId="FootnoteText">
    <w:name w:val="footnote text"/>
    <w:basedOn w:val="Normal"/>
    <w:link w:val="FootnoteTextChar"/>
    <w:uiPriority w:val="99"/>
    <w:unhideWhenUsed/>
    <w:rsid w:val="00274E8D"/>
    <w:rPr>
      <w:sz w:val="20"/>
      <w:szCs w:val="20"/>
    </w:rPr>
  </w:style>
  <w:style w:type="character" w:customStyle="1" w:styleId="FootnoteTextChar">
    <w:name w:val="Footnote Text Char"/>
    <w:basedOn w:val="DefaultParagraphFont"/>
    <w:link w:val="FootnoteText"/>
    <w:uiPriority w:val="99"/>
    <w:rsid w:val="00274E8D"/>
    <w:rPr>
      <w:rFonts w:ascii="Times New Roman" w:hAnsi="Times New Roman" w:cs="Times New Roman"/>
      <w:sz w:val="20"/>
      <w:szCs w:val="20"/>
    </w:rPr>
  </w:style>
  <w:style w:type="character" w:styleId="FootnoteReference">
    <w:name w:val="footnote reference"/>
    <w:basedOn w:val="DefaultParagraphFont"/>
    <w:uiPriority w:val="99"/>
    <w:unhideWhenUsed/>
    <w:rsid w:val="00274E8D"/>
    <w:rPr>
      <w:vertAlign w:val="superscript"/>
    </w:rPr>
  </w:style>
  <w:style w:type="paragraph" w:styleId="Caption">
    <w:name w:val="caption"/>
    <w:basedOn w:val="Normal"/>
    <w:next w:val="Normal"/>
    <w:uiPriority w:val="35"/>
    <w:unhideWhenUsed/>
    <w:qFormat/>
    <w:rsid w:val="008A0717"/>
    <w:pPr>
      <w:spacing w:after="200"/>
    </w:pPr>
    <w:rPr>
      <w:b/>
      <w:bCs/>
      <w:color w:val="4F81BD" w:themeColor="accent1"/>
      <w:sz w:val="18"/>
      <w:szCs w:val="18"/>
    </w:rPr>
  </w:style>
  <w:style w:type="paragraph" w:styleId="ListParagraph">
    <w:name w:val="List Paragraph"/>
    <w:basedOn w:val="Normal"/>
    <w:uiPriority w:val="34"/>
    <w:qFormat/>
    <w:rsid w:val="004900A3"/>
    <w:pPr>
      <w:ind w:left="720"/>
      <w:contextualSpacing/>
    </w:pPr>
  </w:style>
  <w:style w:type="paragraph" w:styleId="Header">
    <w:name w:val="header"/>
    <w:basedOn w:val="Normal"/>
    <w:link w:val="HeaderChar"/>
    <w:uiPriority w:val="99"/>
    <w:semiHidden/>
    <w:unhideWhenUsed/>
    <w:rsid w:val="00D91042"/>
    <w:pPr>
      <w:tabs>
        <w:tab w:val="center" w:pos="4677"/>
        <w:tab w:val="right" w:pos="9355"/>
      </w:tabs>
    </w:pPr>
  </w:style>
  <w:style w:type="character" w:customStyle="1" w:styleId="HeaderChar">
    <w:name w:val="Header Char"/>
    <w:basedOn w:val="DefaultParagraphFont"/>
    <w:link w:val="Header"/>
    <w:uiPriority w:val="99"/>
    <w:semiHidden/>
    <w:rsid w:val="00D91042"/>
    <w:rPr>
      <w:rFonts w:ascii="Times New Roman" w:hAnsi="Times New Roman" w:cs="Times New Roman"/>
      <w:sz w:val="24"/>
    </w:rPr>
  </w:style>
  <w:style w:type="paragraph" w:styleId="Footer">
    <w:name w:val="footer"/>
    <w:basedOn w:val="Normal"/>
    <w:link w:val="FooterChar"/>
    <w:unhideWhenUsed/>
    <w:rsid w:val="00D91042"/>
    <w:pPr>
      <w:tabs>
        <w:tab w:val="center" w:pos="4677"/>
        <w:tab w:val="right" w:pos="9355"/>
      </w:tabs>
    </w:pPr>
  </w:style>
  <w:style w:type="character" w:customStyle="1" w:styleId="FooterChar">
    <w:name w:val="Footer Char"/>
    <w:basedOn w:val="DefaultParagraphFont"/>
    <w:link w:val="Footer"/>
    <w:uiPriority w:val="99"/>
    <w:rsid w:val="00D91042"/>
    <w:rPr>
      <w:rFonts w:ascii="Times New Roman" w:hAnsi="Times New Roman" w:cs="Times New Roman"/>
      <w:sz w:val="24"/>
    </w:rPr>
  </w:style>
  <w:style w:type="character" w:customStyle="1" w:styleId="Heading1Char">
    <w:name w:val="Heading 1 Char"/>
    <w:basedOn w:val="DefaultParagraphFont"/>
    <w:link w:val="Heading1"/>
    <w:uiPriority w:val="9"/>
    <w:rsid w:val="007B70DB"/>
    <w:rPr>
      <w:rFonts w:ascii="Times New Roman" w:eastAsiaTheme="majorEastAsia" w:hAnsi="Times New Roman" w:cstheme="majorBidi"/>
      <w:b/>
      <w:bCs/>
      <w:sz w:val="28"/>
      <w:szCs w:val="28"/>
    </w:rPr>
  </w:style>
  <w:style w:type="character" w:customStyle="1" w:styleId="Heading2Char">
    <w:name w:val="Heading 2 Char"/>
    <w:basedOn w:val="DefaultParagraphFont"/>
    <w:link w:val="Heading2"/>
    <w:uiPriority w:val="9"/>
    <w:rsid w:val="007B70DB"/>
    <w:rPr>
      <w:rFonts w:ascii="Times New Roman" w:eastAsiaTheme="majorEastAsia" w:hAnsi="Times New Roman" w:cstheme="majorBidi"/>
      <w:b/>
      <w:bCs/>
      <w:sz w:val="24"/>
      <w:szCs w:val="26"/>
    </w:rPr>
  </w:style>
  <w:style w:type="character" w:customStyle="1" w:styleId="Heading3Char">
    <w:name w:val="Heading 3 Char"/>
    <w:basedOn w:val="DefaultParagraphFont"/>
    <w:link w:val="Heading3"/>
    <w:uiPriority w:val="9"/>
    <w:rsid w:val="006A01B9"/>
    <w:rPr>
      <w:rFonts w:ascii="Times New Roman" w:eastAsiaTheme="majorEastAsia" w:hAnsi="Times New Roman" w:cstheme="majorBidi"/>
      <w:b/>
      <w:bCs/>
      <w:sz w:val="24"/>
    </w:rPr>
  </w:style>
  <w:style w:type="paragraph" w:styleId="TOCHeading">
    <w:name w:val="TOC Heading"/>
    <w:basedOn w:val="Heading1"/>
    <w:next w:val="Normal"/>
    <w:uiPriority w:val="39"/>
    <w:semiHidden/>
    <w:unhideWhenUsed/>
    <w:qFormat/>
    <w:rsid w:val="00324160"/>
    <w:pPr>
      <w:spacing w:before="480" w:after="0" w:line="276" w:lineRule="auto"/>
      <w:jc w:val="left"/>
      <w:outlineLvl w:val="9"/>
    </w:pPr>
    <w:rPr>
      <w:rFonts w:asciiTheme="majorHAnsi" w:hAnsiTheme="majorHAnsi"/>
      <w:color w:val="365F91" w:themeColor="accent1" w:themeShade="BF"/>
      <w:lang w:val="en-US"/>
    </w:rPr>
  </w:style>
  <w:style w:type="paragraph" w:styleId="TOC1">
    <w:name w:val="toc 1"/>
    <w:basedOn w:val="Normal"/>
    <w:next w:val="Normal"/>
    <w:autoRedefine/>
    <w:uiPriority w:val="39"/>
    <w:unhideWhenUsed/>
    <w:rsid w:val="00324160"/>
    <w:pPr>
      <w:spacing w:after="100"/>
    </w:pPr>
  </w:style>
  <w:style w:type="paragraph" w:styleId="TOC2">
    <w:name w:val="toc 2"/>
    <w:basedOn w:val="Normal"/>
    <w:next w:val="Normal"/>
    <w:autoRedefine/>
    <w:uiPriority w:val="39"/>
    <w:unhideWhenUsed/>
    <w:rsid w:val="00324160"/>
    <w:pPr>
      <w:spacing w:after="100"/>
      <w:ind w:left="240"/>
    </w:pPr>
  </w:style>
  <w:style w:type="paragraph" w:styleId="TOC3">
    <w:name w:val="toc 3"/>
    <w:basedOn w:val="Normal"/>
    <w:next w:val="Normal"/>
    <w:autoRedefine/>
    <w:uiPriority w:val="39"/>
    <w:unhideWhenUsed/>
    <w:rsid w:val="00324160"/>
    <w:pPr>
      <w:spacing w:after="100"/>
      <w:ind w:left="480"/>
    </w:pPr>
  </w:style>
  <w:style w:type="character" w:styleId="Hyperlink">
    <w:name w:val="Hyperlink"/>
    <w:basedOn w:val="DefaultParagraphFont"/>
    <w:uiPriority w:val="99"/>
    <w:unhideWhenUsed/>
    <w:rsid w:val="00324160"/>
    <w:rPr>
      <w:color w:val="0000FF" w:themeColor="hyperlink"/>
      <w:u w:val="single"/>
    </w:rPr>
  </w:style>
  <w:style w:type="paragraph" w:customStyle="1" w:styleId="tv213">
    <w:name w:val="tv213"/>
    <w:basedOn w:val="Normal"/>
    <w:rsid w:val="00F524FA"/>
    <w:pPr>
      <w:spacing w:before="100" w:beforeAutospacing="1" w:after="100" w:afterAutospacing="1"/>
      <w:jc w:val="left"/>
    </w:pPr>
    <w:rPr>
      <w:rFonts w:eastAsia="Times New Roman"/>
      <w:szCs w:val="24"/>
      <w:lang w:val="en-US" w:eastAsia="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chart" Target="charts/chart2.xml"/><Relationship Id="rId26" Type="http://schemas.openxmlformats.org/officeDocument/2006/relationships/chart" Target="charts/chart7.xml"/><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chart" Target="charts/chart13.xml"/><Relationship Id="rId42" Type="http://schemas.openxmlformats.org/officeDocument/2006/relationships/image" Target="media/image18.png"/><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image" Target="media/image9.png"/><Relationship Id="rId25" Type="http://schemas.openxmlformats.org/officeDocument/2006/relationships/chart" Target="charts/chart6.xml"/><Relationship Id="rId33" Type="http://schemas.openxmlformats.org/officeDocument/2006/relationships/image" Target="media/image14.png"/><Relationship Id="rId38"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chart" Target="charts/chart3.xml"/><Relationship Id="rId29" Type="http://schemas.openxmlformats.org/officeDocument/2006/relationships/chart" Target="charts/chart10.xml"/><Relationship Id="rId41" Type="http://schemas.openxmlformats.org/officeDocument/2006/relationships/chart" Target="charts/chart1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chart" Target="charts/chart5.xml"/><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chart" Target="charts/chart16.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chart" Target="charts/chart9.xml"/><Relationship Id="rId36" Type="http://schemas.openxmlformats.org/officeDocument/2006/relationships/image" Target="media/image15.png"/><Relationship Id="rId10" Type="http://schemas.openxmlformats.org/officeDocument/2006/relationships/hyperlink" Target="http://eur-lex.europa.eu/LexUriServ/LexUriServ.do?uri=OJ:L:2009:140:0016:01:LV:HTML" TargetMode="External"/><Relationship Id="rId19" Type="http://schemas.openxmlformats.org/officeDocument/2006/relationships/image" Target="media/image10.png"/><Relationship Id="rId31" Type="http://schemas.openxmlformats.org/officeDocument/2006/relationships/chart" Target="charts/chart12.xml"/><Relationship Id="rId4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eur-lex.europa.eu/LexUriServ/LexUriServ.do?uri=OJ:L:2009:140:0016:01:LV:HTML" TargetMode="External"/><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chart" Target="charts/chart8.xml"/><Relationship Id="rId30" Type="http://schemas.openxmlformats.org/officeDocument/2006/relationships/chart" Target="charts/chart11.xml"/><Relationship Id="rId35" Type="http://schemas.openxmlformats.org/officeDocument/2006/relationships/chart" Target="charts/chart14.xml"/><Relationship Id="rId43" Type="http://schemas.openxmlformats.org/officeDocument/2006/relationships/footer" Target="footer1.xml"/><Relationship Id="rId48" Type="http://schemas.microsoft.com/office/2011/relationships/commentsExtended" Target="commentsExtended.xml"/></Relationships>
</file>

<file path=word/charts/_rels/chart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themeOverride" Target="../theme/themeOverride1.xml"/><Relationship Id="rId5" Type="http://schemas.openxmlformats.org/officeDocument/2006/relationships/chartUserShapes" Target="../drawings/drawing1.xml"/><Relationship Id="rId4"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oleObject" Target="file:///D:\Projekts_kudras_datu_analize\Projekta%20atskaite_nodevumi\Datu_analize_nodevumi.xlsx" TargetMode="External"/><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oleObject" Target="file:///D:\Projekts_kudras_datu_analize\Projekta%20atskaite_nodevumi\Datu_analize_nodevumi.xlsx" TargetMode="External"/><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oleObject" Target="file:///D:\Projekts_kudras_datu_analize\Projekta%20atskaite_nodevumi\Datu_analize_nodevumi.xlsx" TargetMode="External"/><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oleObject" Target="file:///D:\Projekts_kudras_datu_analize\Projekta%20atskaite_nodevumi\Datu_analize_nodevumi.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3.2912292213473297E-2"/>
          <c:y val="0.12707501485442699"/>
          <c:w val="0.538549846295443"/>
          <c:h val="0.66284358288770096"/>
        </c:manualLayout>
      </c:layout>
      <c:doughnutChart>
        <c:varyColors val="1"/>
        <c:ser>
          <c:idx val="0"/>
          <c:order val="0"/>
          <c:dPt>
            <c:idx val="0"/>
            <c:bubble3D val="0"/>
            <c:spPr>
              <a:blipFill dpi="0" rotWithShape="1">
                <a:blip xmlns:r="http://schemas.openxmlformats.org/officeDocument/2006/relationships" r:embed="rId2" cstate="print">
                  <a:extLst>
                    <a:ext uri="{28A0092B-C50C-407E-A947-70E740481C1C}">
                      <a14:useLocalDpi xmlns:a14="http://schemas.microsoft.com/office/drawing/2010/main" val="0"/>
                    </a:ext>
                  </a:extLst>
                </a:blip>
                <a:srcRect/>
                <a:stretch>
                  <a:fillRect/>
                </a:stretch>
              </a:blipFill>
            </c:spPr>
            <c:pictureOptions>
              <c:pictureFormat val="stretch"/>
            </c:pictureOptions>
          </c:dPt>
          <c:dPt>
            <c:idx val="1"/>
            <c:bubble3D val="0"/>
            <c:spPr>
              <a:blipFill dpi="0" rotWithShape="1">
                <a:blip xmlns:r="http://schemas.openxmlformats.org/officeDocument/2006/relationships" r:embed="rId3" cstate="print">
                  <a:extLst>
                    <a:ext uri="{28A0092B-C50C-407E-A947-70E740481C1C}">
                      <a14:useLocalDpi xmlns:a14="http://schemas.microsoft.com/office/drawing/2010/main" val="0"/>
                    </a:ext>
                  </a:extLst>
                </a:blip>
                <a:srcRect/>
                <a:stretch>
                  <a:fillRect/>
                </a:stretch>
              </a:blipFill>
            </c:spPr>
            <c:pictureOptions>
              <c:pictureFormat val="stretch"/>
            </c:pictureOptions>
          </c:dPt>
          <c:dPt>
            <c:idx val="2"/>
            <c:bubble3D val="0"/>
          </c:dPt>
          <c:dPt>
            <c:idx val="3"/>
            <c:bubble3D val="0"/>
            <c:spPr>
              <a:solidFill>
                <a:schemeClr val="bg2">
                  <a:lumMod val="25000"/>
                </a:schemeClr>
              </a:solidFill>
            </c:spPr>
          </c:dPt>
          <c:dPt>
            <c:idx val="4"/>
            <c:bubble3D val="0"/>
            <c:spPr>
              <a:solidFill>
                <a:schemeClr val="bg1">
                  <a:lumMod val="50000"/>
                </a:schemeClr>
              </a:solidFill>
            </c:spPr>
          </c:dPt>
          <c:dPt>
            <c:idx val="5"/>
            <c:bubble3D val="0"/>
            <c:spPr>
              <a:solidFill>
                <a:srgbClr val="0070C0"/>
              </a:solidFill>
            </c:spPr>
          </c:dPt>
          <c:dLbls>
            <c:dLbl>
              <c:idx val="0"/>
              <c:spPr/>
              <c:txPr>
                <a:bodyPr/>
                <a:lstStyle/>
                <a:p>
                  <a:pPr>
                    <a:defRPr sz="1199" b="1">
                      <a:solidFill>
                        <a:schemeClr val="bg1"/>
                      </a:solidFill>
                    </a:defRPr>
                  </a:pPr>
                  <a:endParaRPr lang="lv-LV"/>
                </a:p>
              </c:txPr>
              <c:showLegendKey val="0"/>
              <c:showVal val="0"/>
              <c:showCatName val="0"/>
              <c:showSerName val="0"/>
              <c:showPercent val="1"/>
              <c:showBubbleSize val="0"/>
            </c:dLbl>
            <c:dLbl>
              <c:idx val="1"/>
              <c:layout>
                <c:manualLayout>
                  <c:x val="-7.6518313121854406E-2"/>
                  <c:y val="0"/>
                </c:manualLayout>
              </c:layout>
              <c:spPr/>
              <c:txPr>
                <a:bodyPr/>
                <a:lstStyle/>
                <a:p>
                  <a:pPr>
                    <a:defRPr sz="1199" b="1">
                      <a:solidFill>
                        <a:schemeClr val="bg1"/>
                      </a:solidFill>
                    </a:defRPr>
                  </a:pPr>
                  <a:endParaRPr lang="lv-LV"/>
                </a:p>
              </c:txPr>
              <c:showLegendKey val="0"/>
              <c:showVal val="0"/>
              <c:showCatName val="0"/>
              <c:showSerName val="0"/>
              <c:showPercent val="1"/>
              <c:showBubbleSize val="0"/>
              <c:extLst>
                <c:ext xmlns:c15="http://schemas.microsoft.com/office/drawing/2012/chart" uri="{CE6537A1-D6FC-4f65-9D91-7224C49458BB}"/>
              </c:extLst>
            </c:dLbl>
            <c:dLbl>
              <c:idx val="2"/>
              <c:spPr/>
              <c:txPr>
                <a:bodyPr/>
                <a:lstStyle/>
                <a:p>
                  <a:pPr>
                    <a:defRPr sz="1199" b="1"/>
                  </a:pPr>
                  <a:endParaRPr lang="lv-LV"/>
                </a:p>
              </c:txPr>
              <c:showLegendKey val="0"/>
              <c:showVal val="0"/>
              <c:showCatName val="0"/>
              <c:showSerName val="0"/>
              <c:showPercent val="1"/>
              <c:showBubbleSize val="0"/>
            </c:dLbl>
            <c:dLbl>
              <c:idx val="3"/>
              <c:spPr/>
              <c:txPr>
                <a:bodyPr/>
                <a:lstStyle/>
                <a:p>
                  <a:pPr>
                    <a:defRPr sz="1199" b="1">
                      <a:solidFill>
                        <a:schemeClr val="bg1"/>
                      </a:solidFill>
                    </a:defRPr>
                  </a:pPr>
                  <a:endParaRPr lang="lv-LV"/>
                </a:p>
              </c:txPr>
              <c:showLegendKey val="0"/>
              <c:showVal val="0"/>
              <c:showCatName val="0"/>
              <c:showSerName val="0"/>
              <c:showPercent val="1"/>
              <c:showBubbleSize val="0"/>
            </c:dLbl>
            <c:dLbl>
              <c:idx val="4"/>
              <c:layout>
                <c:manualLayout>
                  <c:x val="-1.7335275609119783E-2"/>
                  <c:y val="-0.10235403665828079"/>
                </c:manualLayout>
              </c:layout>
              <c:spPr/>
              <c:txPr>
                <a:bodyPr/>
                <a:lstStyle/>
                <a:p>
                  <a:pPr>
                    <a:defRPr sz="1199" b="1"/>
                  </a:pPr>
                  <a:endParaRPr lang="lv-LV"/>
                </a:p>
              </c:txPr>
              <c:showLegendKey val="0"/>
              <c:showVal val="0"/>
              <c:showCatName val="0"/>
              <c:showSerName val="0"/>
              <c:showPercent val="1"/>
              <c:showBubbleSize val="0"/>
              <c:extLst>
                <c:ext xmlns:c15="http://schemas.microsoft.com/office/drawing/2012/chart" uri="{CE6537A1-D6FC-4f65-9D91-7224C49458BB}"/>
              </c:extLst>
            </c:dLbl>
            <c:dLbl>
              <c:idx val="5"/>
              <c:layout>
                <c:manualLayout>
                  <c:x val="2.4409913033951718E-2"/>
                  <c:y val="-0.12573365569967654"/>
                </c:manualLayout>
              </c:layout>
              <c:showLegendKey val="0"/>
              <c:showVal val="0"/>
              <c:showCatName val="0"/>
              <c:showSerName val="0"/>
              <c:showPercent val="1"/>
              <c:showBubbleSize val="0"/>
              <c:extLst>
                <c:ext xmlns:c15="http://schemas.microsoft.com/office/drawing/2012/chart" uri="{CE6537A1-D6FC-4f65-9D91-7224C49458BB}"/>
              </c:extLst>
            </c:dLbl>
            <c:spPr>
              <a:noFill/>
              <a:ln w="25383">
                <a:noFill/>
              </a:ln>
            </c:spPr>
            <c:txPr>
              <a:bodyPr/>
              <a:lstStyle/>
              <a:p>
                <a:pPr>
                  <a:defRPr sz="1199" b="1"/>
                </a:pPr>
                <a:endParaRPr lang="lv-LV"/>
              </a:p>
            </c:txPr>
            <c:showLegendKey val="0"/>
            <c:showVal val="0"/>
            <c:showCatName val="0"/>
            <c:showSerName val="0"/>
            <c:showPercent val="1"/>
            <c:showBubbleSize val="0"/>
            <c:showLeaderLines val="0"/>
            <c:extLst>
              <c:ext xmlns:c15="http://schemas.microsoft.com/office/drawing/2012/chart" uri="{CE6537A1-D6FC-4f65-9D91-7224C49458BB}"/>
            </c:extLst>
          </c:dLbls>
          <c:cat>
            <c:strRef>
              <c:f>Sheet1!$D$78:$D$83</c:f>
              <c:strCache>
                <c:ptCount val="6"/>
                <c:pt idx="0">
                  <c:v>Natura 2000 - 128 000 ha </c:v>
                </c:pt>
                <c:pt idx="1">
                  <c:v>Pārējie dabiskie purvi - 318 129 ha</c:v>
                </c:pt>
                <c:pt idx="2">
                  <c:v>Nosusināti lauksaimniecībai, mežsaimniecībai - 149 783 ha</c:v>
                </c:pt>
                <c:pt idx="3">
                  <c:v>Kūdras ieguve - 24 964 ha</c:v>
                </c:pt>
                <c:pt idx="4">
                  <c:v>Izstrādāti - 11 522 ha</c:v>
                </c:pt>
                <c:pt idx="5">
                  <c:v>Ūdenskrātuves - 7 681 ha</c:v>
                </c:pt>
              </c:strCache>
            </c:strRef>
          </c:cat>
          <c:val>
            <c:numRef>
              <c:f>Sheet1!$E$78:$E$83</c:f>
              <c:numCache>
                <c:formatCode>0.0%</c:formatCode>
                <c:ptCount val="6"/>
                <c:pt idx="0" formatCode="0%">
                  <c:v>0.2</c:v>
                </c:pt>
                <c:pt idx="1">
                  <c:v>0.497</c:v>
                </c:pt>
                <c:pt idx="2">
                  <c:v>0.23400000000000001</c:v>
                </c:pt>
                <c:pt idx="3">
                  <c:v>3.9E-2</c:v>
                </c:pt>
                <c:pt idx="4">
                  <c:v>1.7999999999999999E-2</c:v>
                </c:pt>
                <c:pt idx="5">
                  <c:v>1.2E-2</c:v>
                </c:pt>
              </c:numCache>
            </c:numRef>
          </c:val>
        </c:ser>
        <c:dLbls>
          <c:showLegendKey val="0"/>
          <c:showVal val="0"/>
          <c:showCatName val="0"/>
          <c:showSerName val="0"/>
          <c:showPercent val="0"/>
          <c:showBubbleSize val="0"/>
          <c:showLeaderLines val="0"/>
        </c:dLbls>
        <c:firstSliceAng val="0"/>
        <c:holeSize val="50"/>
      </c:doughnutChart>
      <c:spPr>
        <a:noFill/>
        <a:ln w="25383">
          <a:noFill/>
        </a:ln>
      </c:spPr>
    </c:plotArea>
    <c:plotVisOnly val="1"/>
    <c:dispBlanksAs val="gap"/>
    <c:showDLblsOverMax val="0"/>
  </c:chart>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v>Imports tonnās</c:v>
          </c:tx>
          <c:spPr>
            <a:solidFill>
              <a:srgbClr val="C0504D"/>
            </a:solidFill>
            <a:ln w="25381">
              <a:noFill/>
            </a:ln>
          </c:spPr>
          <c:invertIfNegative val="0"/>
          <c:dLbls>
            <c:spPr>
              <a:noFill/>
              <a:ln w="25381">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Sheet1!$A$11:$A$15</c:f>
              <c:numCache>
                <c:formatCode>General</c:formatCode>
                <c:ptCount val="5"/>
                <c:pt idx="0">
                  <c:v>2012</c:v>
                </c:pt>
                <c:pt idx="1">
                  <c:v>2013</c:v>
                </c:pt>
                <c:pt idx="2">
                  <c:v>2014</c:v>
                </c:pt>
                <c:pt idx="3">
                  <c:v>2015</c:v>
                </c:pt>
                <c:pt idx="4">
                  <c:v>2016</c:v>
                </c:pt>
              </c:numCache>
            </c:numRef>
          </c:cat>
          <c:val>
            <c:numRef>
              <c:f>Sheet1!$B$11:$B$15</c:f>
              <c:numCache>
                <c:formatCode>#,##0</c:formatCode>
                <c:ptCount val="5"/>
                <c:pt idx="0">
                  <c:v>31.947133999999998</c:v>
                </c:pt>
                <c:pt idx="1">
                  <c:v>55.014887999999999</c:v>
                </c:pt>
                <c:pt idx="2">
                  <c:v>45.359349000000002</c:v>
                </c:pt>
                <c:pt idx="3">
                  <c:v>55.346685999999998</c:v>
                </c:pt>
                <c:pt idx="4">
                  <c:v>39.329658000000002</c:v>
                </c:pt>
              </c:numCache>
            </c:numRef>
          </c:val>
        </c:ser>
        <c:dLbls>
          <c:showLegendKey val="0"/>
          <c:showVal val="0"/>
          <c:showCatName val="0"/>
          <c:showSerName val="0"/>
          <c:showPercent val="0"/>
          <c:showBubbleSize val="0"/>
        </c:dLbls>
        <c:gapWidth val="219"/>
        <c:axId val="145198080"/>
        <c:axId val="145204352"/>
      </c:barChart>
      <c:lineChart>
        <c:grouping val="standard"/>
        <c:varyColors val="0"/>
        <c:ser>
          <c:idx val="1"/>
          <c:order val="1"/>
          <c:tx>
            <c:v>Imports EUR</c:v>
          </c:tx>
          <c:spPr>
            <a:ln w="28553" cap="rnd">
              <a:solidFill>
                <a:schemeClr val="accent4"/>
              </a:solidFill>
              <a:round/>
            </a:ln>
            <a:effectLst/>
          </c:spPr>
          <c:marker>
            <c:symbol val="none"/>
          </c:marker>
          <c:cat>
            <c:numRef>
              <c:f>Sheet1!$A$11:$A$15</c:f>
              <c:numCache>
                <c:formatCode>General</c:formatCode>
                <c:ptCount val="5"/>
                <c:pt idx="0">
                  <c:v>2012</c:v>
                </c:pt>
                <c:pt idx="1">
                  <c:v>2013</c:v>
                </c:pt>
                <c:pt idx="2">
                  <c:v>2014</c:v>
                </c:pt>
                <c:pt idx="3">
                  <c:v>2015</c:v>
                </c:pt>
                <c:pt idx="4">
                  <c:v>2016</c:v>
                </c:pt>
              </c:numCache>
            </c:numRef>
          </c:cat>
          <c:val>
            <c:numRef>
              <c:f>Sheet1!$C$11:$C$15</c:f>
              <c:numCache>
                <c:formatCode>0.00</c:formatCode>
                <c:ptCount val="5"/>
                <c:pt idx="0">
                  <c:v>2.4036770000000001</c:v>
                </c:pt>
                <c:pt idx="1">
                  <c:v>3.5611259999999998</c:v>
                </c:pt>
                <c:pt idx="2">
                  <c:v>3.0577030000000001</c:v>
                </c:pt>
                <c:pt idx="3">
                  <c:v>3.7582879999999999</c:v>
                </c:pt>
                <c:pt idx="4">
                  <c:v>3.9913530000000002</c:v>
                </c:pt>
              </c:numCache>
            </c:numRef>
          </c:val>
          <c:smooth val="0"/>
        </c:ser>
        <c:dLbls>
          <c:showLegendKey val="0"/>
          <c:showVal val="0"/>
          <c:showCatName val="0"/>
          <c:showSerName val="0"/>
          <c:showPercent val="0"/>
          <c:showBubbleSize val="0"/>
        </c:dLbls>
        <c:marker val="1"/>
        <c:smooth val="0"/>
        <c:axId val="145206272"/>
        <c:axId val="145212160"/>
      </c:lineChart>
      <c:catAx>
        <c:axId val="145198080"/>
        <c:scaling>
          <c:orientation val="minMax"/>
        </c:scaling>
        <c:delete val="0"/>
        <c:axPos val="b"/>
        <c:title>
          <c:tx>
            <c:rich>
              <a:bodyPr/>
              <a:lstStyle/>
              <a:p>
                <a:pPr>
                  <a:defRPr sz="999" b="0" i="0" u="none" strike="noStrike" baseline="0">
                    <a:solidFill>
                      <a:srgbClr val="000000"/>
                    </a:solidFill>
                    <a:latin typeface="Times New Roman"/>
                    <a:ea typeface="Times New Roman"/>
                    <a:cs typeface="Times New Roman"/>
                  </a:defRPr>
                </a:pPr>
                <a:r>
                  <a:rPr lang="lv-LV"/>
                  <a:t>Gadi</a:t>
                </a:r>
              </a:p>
            </c:rich>
          </c:tx>
          <c:layout/>
          <c:overlay val="0"/>
          <c:spPr>
            <a:noFill/>
            <a:ln w="25381">
              <a:noFill/>
            </a:ln>
          </c:spPr>
        </c:title>
        <c:numFmt formatCode="General" sourceLinked="1"/>
        <c:majorTickMark val="none"/>
        <c:minorTickMark val="none"/>
        <c:tickLblPos val="nextTo"/>
        <c:spPr>
          <a:noFill/>
          <a:ln w="9518"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204352"/>
        <c:crosses val="autoZero"/>
        <c:auto val="1"/>
        <c:lblAlgn val="ctr"/>
        <c:lblOffset val="100"/>
        <c:noMultiLvlLbl val="0"/>
      </c:catAx>
      <c:valAx>
        <c:axId val="145204352"/>
        <c:scaling>
          <c:orientation val="minMax"/>
        </c:scaling>
        <c:delete val="0"/>
        <c:axPos val="l"/>
        <c:title>
          <c:tx>
            <c:rich>
              <a:bodyPr/>
              <a:lstStyle/>
              <a:p>
                <a:pPr>
                  <a:defRPr sz="999" b="0" i="0" u="none" strike="noStrike" baseline="0">
                    <a:solidFill>
                      <a:srgbClr val="000000"/>
                    </a:solidFill>
                    <a:latin typeface="Times New Roman"/>
                    <a:ea typeface="Times New Roman"/>
                    <a:cs typeface="Times New Roman"/>
                  </a:defRPr>
                </a:pPr>
                <a:r>
                  <a:rPr lang="lv-LV"/>
                  <a:t>Tūkst. tonnas</a:t>
                </a:r>
              </a:p>
            </c:rich>
          </c:tx>
          <c:layout/>
          <c:overlay val="0"/>
          <c:spPr>
            <a:noFill/>
            <a:ln w="25381">
              <a:noFill/>
            </a:ln>
          </c:spPr>
        </c:title>
        <c:numFmt formatCode="#,##0" sourceLinked="1"/>
        <c:majorTickMark val="none"/>
        <c:minorTickMark val="none"/>
        <c:tickLblPos val="nextTo"/>
        <c:spPr>
          <a:ln w="9518">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198080"/>
        <c:crosses val="autoZero"/>
        <c:crossBetween val="between"/>
      </c:valAx>
      <c:catAx>
        <c:axId val="145206272"/>
        <c:scaling>
          <c:orientation val="minMax"/>
        </c:scaling>
        <c:delete val="1"/>
        <c:axPos val="b"/>
        <c:numFmt formatCode="General" sourceLinked="1"/>
        <c:majorTickMark val="out"/>
        <c:minorTickMark val="none"/>
        <c:tickLblPos val="nextTo"/>
        <c:crossAx val="145212160"/>
        <c:crosses val="autoZero"/>
        <c:auto val="1"/>
        <c:lblAlgn val="ctr"/>
        <c:lblOffset val="100"/>
        <c:noMultiLvlLbl val="0"/>
      </c:catAx>
      <c:valAx>
        <c:axId val="145212160"/>
        <c:scaling>
          <c:orientation val="minMax"/>
        </c:scaling>
        <c:delete val="0"/>
        <c:axPos val="r"/>
        <c:title>
          <c:tx>
            <c:rich>
              <a:bodyPr rot="-5400000" spcFirstLastPara="1" vertOverflow="ellipsis" vert="horz" wrap="square" anchor="ctr" anchorCtr="1"/>
              <a:lstStyle/>
              <a:p>
                <a:pPr>
                  <a:defRPr sz="9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Milj. EUR</a:t>
                </a:r>
              </a:p>
            </c:rich>
          </c:tx>
          <c:layout/>
          <c:overlay val="0"/>
          <c:spPr>
            <a:noFill/>
            <a:ln w="25381">
              <a:noFill/>
            </a:ln>
          </c:spPr>
        </c:title>
        <c:numFmt formatCode="0.00" sourceLinked="1"/>
        <c:majorTickMark val="out"/>
        <c:minorTickMark val="none"/>
        <c:tickLblPos val="nextTo"/>
        <c:spPr>
          <a:ln w="9518">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206272"/>
        <c:crosses val="max"/>
        <c:crossBetween val="between"/>
      </c:valAx>
      <c:spPr>
        <a:noFill/>
        <a:ln w="25381">
          <a:noFill/>
        </a:ln>
      </c:spPr>
    </c:plotArea>
    <c:legend>
      <c:legendPos val="r"/>
      <c:layout>
        <c:manualLayout>
          <c:xMode val="edge"/>
          <c:yMode val="edge"/>
          <c:x val="0.21140142517814728"/>
          <c:y val="0.91248478740157479"/>
          <c:w val="0.56769596199524941"/>
          <c:h val="6.1260598425196856E-2"/>
        </c:manualLayout>
      </c:layout>
      <c:overlay val="0"/>
      <c:spPr>
        <a:noFill/>
        <a:ln w="25381">
          <a:noFill/>
        </a:ln>
      </c:spPr>
      <c:txPr>
        <a:bodyPr rot="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'[Diagramma programmā Microsoft Word]Sheet1'!$B$17:$B$21</c:f>
              <c:strCache>
                <c:ptCount val="5"/>
                <c:pt idx="0">
                  <c:v>Igaunija</c:v>
                </c:pt>
                <c:pt idx="1">
                  <c:v>Baltkrievija</c:v>
                </c:pt>
                <c:pt idx="2">
                  <c:v>Lietuva</c:v>
                </c:pt>
                <c:pt idx="3">
                  <c:v>Krievija</c:v>
                </c:pt>
                <c:pt idx="4">
                  <c:v>Vācija</c:v>
                </c:pt>
              </c:strCache>
            </c:strRef>
          </c:cat>
          <c:val>
            <c:numRef>
              <c:f>'[Diagramma programmā Microsoft Word]Sheet1'!$D$17:$D$21</c:f>
              <c:numCache>
                <c:formatCode>0.0</c:formatCode>
                <c:ptCount val="5"/>
                <c:pt idx="0">
                  <c:v>13.850087</c:v>
                </c:pt>
                <c:pt idx="1">
                  <c:v>11.223036</c:v>
                </c:pt>
                <c:pt idx="2">
                  <c:v>8.8746120000000008</c:v>
                </c:pt>
                <c:pt idx="3">
                  <c:v>5.2280579999999999</c:v>
                </c:pt>
                <c:pt idx="4">
                  <c:v>6.9741999999999998E-2</c:v>
                </c:pt>
              </c:numCache>
            </c:numRef>
          </c:val>
          <c:extLst xmlns:c16r2="http://schemas.microsoft.com/office/drawing/2015/06/chart">
            <c:ext xmlns:c16="http://schemas.microsoft.com/office/drawing/2014/chart" uri="{C3380CC4-5D6E-409C-BE32-E72D297353CC}">
              <c16:uniqueId val="{00000000-1C1D-429E-BDAC-F75498CA319B}"/>
            </c:ext>
          </c:extLst>
        </c:ser>
        <c:dLbls>
          <c:dLblPos val="outEnd"/>
          <c:showLegendKey val="0"/>
          <c:showVal val="1"/>
          <c:showCatName val="0"/>
          <c:showSerName val="0"/>
          <c:showPercent val="0"/>
          <c:showBubbleSize val="0"/>
        </c:dLbls>
        <c:gapWidth val="182"/>
        <c:axId val="145159296"/>
        <c:axId val="145228160"/>
      </c:barChart>
      <c:catAx>
        <c:axId val="145159296"/>
        <c:scaling>
          <c:orientation val="minMax"/>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Valstis</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228160"/>
        <c:crosses val="autoZero"/>
        <c:auto val="1"/>
        <c:lblAlgn val="ctr"/>
        <c:lblOffset val="100"/>
        <c:noMultiLvlLbl val="0"/>
      </c:catAx>
      <c:valAx>
        <c:axId val="14522816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Tūkst.</a:t>
                </a:r>
                <a:r>
                  <a:rPr lang="lv-LV" baseline="0"/>
                  <a:t> t</a:t>
                </a:r>
                <a:r>
                  <a:rPr lang="lv-LV"/>
                  <a:t>onnas</a:t>
                </a:r>
              </a:p>
            </c:rich>
          </c:tx>
          <c:layout/>
          <c:overlay val="0"/>
          <c:spPr>
            <a:noFill/>
            <a:ln>
              <a:noFill/>
            </a:ln>
            <a:effectLst/>
          </c:sp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1592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1"/>
          <c:order val="0"/>
          <c:tx>
            <c:strRef>
              <c:f>ES!$C$3</c:f>
              <c:strCache>
                <c:ptCount val="1"/>
                <c:pt idx="0">
                  <c:v>Vācija </c:v>
                </c:pt>
              </c:strCache>
            </c:strRef>
          </c:tx>
          <c:spPr>
            <a:solidFill>
              <a:srgbClr val="8064A2"/>
            </a:solidFill>
            <a:ln w="25379">
              <a:noFill/>
            </a:ln>
          </c:spPr>
          <c:invertIfNegative val="0"/>
          <c:dLbls>
            <c:dLbl>
              <c:idx val="0"/>
              <c:layout>
                <c:manualLayout>
                  <c:x val="-9.8765432098765656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7.4074074074074077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9.8765432098766332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4074074074074077E-3"/>
                  <c:y val="-1.4747606752721242E-16"/>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4814814814814906E-2"/>
                  <c:y val="-1.4747606752721242E-16"/>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79">
                <a:noFill/>
              </a:ln>
            </c:spPr>
            <c:txPr>
              <a:bodyPr rot="0" spcFirstLastPara="1" vertOverflow="ellipsis" vert="horz" wrap="square" lIns="38100" tIns="19050" rIns="38100" bIns="19050" anchor="ctr" anchorCtr="1">
                <a:spAutoFit/>
              </a:bodyPr>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ES!$A$4:$A$10</c:f>
              <c:numCache>
                <c:formatCode>General</c:formatCode>
                <c:ptCount val="7"/>
                <c:pt idx="0">
                  <c:v>2010</c:v>
                </c:pt>
                <c:pt idx="1">
                  <c:v>2011</c:v>
                </c:pt>
                <c:pt idx="2">
                  <c:v>2012</c:v>
                </c:pt>
                <c:pt idx="3">
                  <c:v>2013</c:v>
                </c:pt>
                <c:pt idx="4">
                  <c:v>2014</c:v>
                </c:pt>
                <c:pt idx="5">
                  <c:v>2015</c:v>
                </c:pt>
                <c:pt idx="6">
                  <c:v>2016</c:v>
                </c:pt>
              </c:numCache>
            </c:numRef>
          </c:cat>
          <c:val>
            <c:numRef>
              <c:f>ES!$C$4:$C$10</c:f>
              <c:numCache>
                <c:formatCode>0.00</c:formatCode>
                <c:ptCount val="7"/>
                <c:pt idx="0">
                  <c:v>2.7274E-2</c:v>
                </c:pt>
                <c:pt idx="1">
                  <c:v>7.4973999999999999E-2</c:v>
                </c:pt>
                <c:pt idx="2">
                  <c:v>1.276E-3</c:v>
                </c:pt>
                <c:pt idx="3">
                  <c:v>0.161524</c:v>
                </c:pt>
                <c:pt idx="4">
                  <c:v>3.9337999999999998E-2</c:v>
                </c:pt>
                <c:pt idx="5">
                  <c:v>2.3479999999999998E-3</c:v>
                </c:pt>
                <c:pt idx="6">
                  <c:v>1.9980000000000001E-2</c:v>
                </c:pt>
              </c:numCache>
            </c:numRef>
          </c:val>
        </c:ser>
        <c:ser>
          <c:idx val="2"/>
          <c:order val="1"/>
          <c:tx>
            <c:strRef>
              <c:f>ES!$D$3</c:f>
              <c:strCache>
                <c:ptCount val="1"/>
                <c:pt idx="0">
                  <c:v>Igaunija</c:v>
                </c:pt>
              </c:strCache>
            </c:strRef>
          </c:tx>
          <c:spPr>
            <a:solidFill>
              <a:srgbClr val="F79646"/>
            </a:solidFill>
            <a:ln w="25379">
              <a:noFill/>
            </a:ln>
          </c:spPr>
          <c:invertIfNegative val="0"/>
          <c:dLbls>
            <c:spPr>
              <a:noFill/>
              <a:ln w="25379">
                <a:noFill/>
              </a:ln>
            </c:spPr>
            <c:txPr>
              <a:bodyPr rot="0" spcFirstLastPara="1" vertOverflow="ellipsis" vert="horz" wrap="square" lIns="38100" tIns="19050" rIns="38100" bIns="19050" anchor="ctr" anchorCtr="1">
                <a:spAutoFit/>
              </a:bodyPr>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ES!$A$4:$A$10</c:f>
              <c:numCache>
                <c:formatCode>General</c:formatCode>
                <c:ptCount val="7"/>
                <c:pt idx="0">
                  <c:v>2010</c:v>
                </c:pt>
                <c:pt idx="1">
                  <c:v>2011</c:v>
                </c:pt>
                <c:pt idx="2">
                  <c:v>2012</c:v>
                </c:pt>
                <c:pt idx="3">
                  <c:v>2013</c:v>
                </c:pt>
                <c:pt idx="4">
                  <c:v>2014</c:v>
                </c:pt>
                <c:pt idx="5">
                  <c:v>2015</c:v>
                </c:pt>
                <c:pt idx="6">
                  <c:v>2016</c:v>
                </c:pt>
              </c:numCache>
            </c:numRef>
          </c:cat>
          <c:val>
            <c:numRef>
              <c:f>ES!$D$4:$D$10</c:f>
              <c:numCache>
                <c:formatCode>0.00</c:formatCode>
                <c:ptCount val="7"/>
                <c:pt idx="0">
                  <c:v>1.6948920000000001</c:v>
                </c:pt>
                <c:pt idx="1">
                  <c:v>1.9493929999999999</c:v>
                </c:pt>
                <c:pt idx="2">
                  <c:v>1.425074</c:v>
                </c:pt>
                <c:pt idx="3">
                  <c:v>1.2497210000000001</c:v>
                </c:pt>
                <c:pt idx="4">
                  <c:v>1.3252930000000001</c:v>
                </c:pt>
                <c:pt idx="5">
                  <c:v>1.4747079999999999</c:v>
                </c:pt>
                <c:pt idx="6">
                  <c:v>1.3743399999999999</c:v>
                </c:pt>
              </c:numCache>
            </c:numRef>
          </c:val>
        </c:ser>
        <c:ser>
          <c:idx val="3"/>
          <c:order val="2"/>
          <c:tx>
            <c:strRef>
              <c:f>ES!$E$3</c:f>
              <c:strCache>
                <c:ptCount val="1"/>
                <c:pt idx="0">
                  <c:v>Lietuva</c:v>
                </c:pt>
              </c:strCache>
            </c:strRef>
          </c:tx>
          <c:spPr>
            <a:solidFill>
              <a:schemeClr val="accent2">
                <a:lumMod val="60000"/>
              </a:schemeClr>
            </a:solidFill>
            <a:ln>
              <a:noFill/>
            </a:ln>
            <a:effectLst/>
          </c:spPr>
          <c:invertIfNegative val="0"/>
          <c:dLbls>
            <c:dLbl>
              <c:idx val="0"/>
              <c:layout>
                <c:manualLayout>
                  <c:x val="7.4074074074074077E-3"/>
                  <c:y val="-7.3738033763606211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2345679012345633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9.876543209876543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9.8765432098764528E-3"/>
                  <c:y val="-7.3738033763606211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9.876543209876543E-3"/>
                  <c:y val="0"/>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79">
                <a:noFill/>
              </a:ln>
            </c:spPr>
            <c:txPr>
              <a:bodyPr rot="0" spcFirstLastPara="1" vertOverflow="ellipsis" vert="horz" wrap="square" lIns="38100" tIns="19050" rIns="38100" bIns="19050" anchor="ctr" anchorCtr="1">
                <a:spAutoFit/>
              </a:bodyPr>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ES!$A$4:$A$10</c:f>
              <c:numCache>
                <c:formatCode>General</c:formatCode>
                <c:ptCount val="7"/>
                <c:pt idx="0">
                  <c:v>2010</c:v>
                </c:pt>
                <c:pt idx="1">
                  <c:v>2011</c:v>
                </c:pt>
                <c:pt idx="2">
                  <c:v>2012</c:v>
                </c:pt>
                <c:pt idx="3">
                  <c:v>2013</c:v>
                </c:pt>
                <c:pt idx="4">
                  <c:v>2014</c:v>
                </c:pt>
                <c:pt idx="5">
                  <c:v>2015</c:v>
                </c:pt>
                <c:pt idx="6">
                  <c:v>2016</c:v>
                </c:pt>
              </c:numCache>
            </c:numRef>
          </c:cat>
          <c:val>
            <c:numRef>
              <c:f>ES!$E$4:$E$10</c:f>
              <c:numCache>
                <c:formatCode>0.00</c:formatCode>
                <c:ptCount val="7"/>
                <c:pt idx="0">
                  <c:v>0.41127999999999998</c:v>
                </c:pt>
                <c:pt idx="1">
                  <c:v>0.28883300000000001</c:v>
                </c:pt>
                <c:pt idx="2">
                  <c:v>0.36751699999999998</c:v>
                </c:pt>
                <c:pt idx="3">
                  <c:v>0.902671</c:v>
                </c:pt>
                <c:pt idx="4">
                  <c:v>0.440056</c:v>
                </c:pt>
                <c:pt idx="5">
                  <c:v>0.66603500000000004</c:v>
                </c:pt>
                <c:pt idx="6">
                  <c:v>0.76171299999999997</c:v>
                </c:pt>
              </c:numCache>
            </c:numRef>
          </c:val>
        </c:ser>
        <c:ser>
          <c:idx val="4"/>
          <c:order val="3"/>
          <c:tx>
            <c:strRef>
              <c:f>ES!$F$3</c:f>
              <c:strCache>
                <c:ptCount val="1"/>
                <c:pt idx="0">
                  <c:v>Polija</c:v>
                </c:pt>
              </c:strCache>
            </c:strRef>
          </c:tx>
          <c:spPr>
            <a:solidFill>
              <a:schemeClr val="accent4">
                <a:lumMod val="60000"/>
              </a:schemeClr>
            </a:solidFill>
            <a:ln>
              <a:noFill/>
            </a:ln>
            <a:effectLst/>
          </c:spPr>
          <c:invertIfNegative val="0"/>
          <c:dLbls>
            <c:dLbl>
              <c:idx val="1"/>
              <c:layout>
                <c:manualLayout>
                  <c:x val="7.4074074074073617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2345679012345588E-2"/>
                  <c:y val="-1.4747606752721242E-16"/>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79">
                <a:noFill/>
              </a:ln>
            </c:spPr>
            <c:txPr>
              <a:bodyPr rot="0" spcFirstLastPara="1" vertOverflow="ellipsis" vert="horz" wrap="square" lIns="38100" tIns="19050" rIns="38100" bIns="19050" anchor="ctr" anchorCtr="1">
                <a:spAutoFit/>
              </a:bodyPr>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ES!$A$4:$A$10</c:f>
              <c:numCache>
                <c:formatCode>General</c:formatCode>
                <c:ptCount val="7"/>
                <c:pt idx="0">
                  <c:v>2010</c:v>
                </c:pt>
                <c:pt idx="1">
                  <c:v>2011</c:v>
                </c:pt>
                <c:pt idx="2">
                  <c:v>2012</c:v>
                </c:pt>
                <c:pt idx="3">
                  <c:v>2013</c:v>
                </c:pt>
                <c:pt idx="4">
                  <c:v>2014</c:v>
                </c:pt>
                <c:pt idx="5">
                  <c:v>2015</c:v>
                </c:pt>
                <c:pt idx="6">
                  <c:v>2016</c:v>
                </c:pt>
              </c:numCache>
            </c:numRef>
          </c:cat>
          <c:val>
            <c:numRef>
              <c:f>ES!$F$4:$F$10</c:f>
              <c:numCache>
                <c:formatCode>General</c:formatCode>
                <c:ptCount val="7"/>
                <c:pt idx="3" formatCode="0.00">
                  <c:v>0.28232000000000002</c:v>
                </c:pt>
                <c:pt idx="6" formatCode="0.00">
                  <c:v>0.30813699999999999</c:v>
                </c:pt>
              </c:numCache>
            </c:numRef>
          </c:val>
        </c:ser>
        <c:dLbls>
          <c:showLegendKey val="0"/>
          <c:showVal val="0"/>
          <c:showCatName val="0"/>
          <c:showSerName val="0"/>
          <c:showPercent val="0"/>
          <c:showBubbleSize val="0"/>
        </c:dLbls>
        <c:gapWidth val="219"/>
        <c:overlap val="-27"/>
        <c:axId val="145305600"/>
        <c:axId val="145307520"/>
      </c:barChart>
      <c:catAx>
        <c:axId val="145305600"/>
        <c:scaling>
          <c:orientation val="minMax"/>
        </c:scaling>
        <c:delete val="0"/>
        <c:axPos val="b"/>
        <c:title>
          <c:tx>
            <c:rich>
              <a:bodyPr/>
              <a:lstStyle/>
              <a:p>
                <a:pPr>
                  <a:defRPr sz="999" b="0" i="0" u="none" strike="noStrike" baseline="0">
                    <a:solidFill>
                      <a:srgbClr val="000000"/>
                    </a:solidFill>
                    <a:latin typeface="Times New Roman"/>
                    <a:ea typeface="Times New Roman"/>
                    <a:cs typeface="Times New Roman"/>
                  </a:defRPr>
                </a:pPr>
                <a:r>
                  <a:rPr lang="lv-LV"/>
                  <a:t>Gads</a:t>
                </a:r>
              </a:p>
            </c:rich>
          </c:tx>
          <c:layout/>
          <c:overlay val="0"/>
          <c:spPr>
            <a:noFill/>
            <a:ln w="25379">
              <a:noFill/>
            </a:ln>
          </c:spPr>
        </c:title>
        <c:numFmt formatCode="General" sourceLinked="1"/>
        <c:majorTickMark val="none"/>
        <c:minorTickMark val="none"/>
        <c:tickLblPos val="nextTo"/>
        <c:spPr>
          <a:noFill/>
          <a:ln w="9517"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45307520"/>
        <c:crosses val="autoZero"/>
        <c:auto val="1"/>
        <c:lblAlgn val="ctr"/>
        <c:lblOffset val="100"/>
        <c:noMultiLvlLbl val="0"/>
      </c:catAx>
      <c:valAx>
        <c:axId val="145307520"/>
        <c:scaling>
          <c:orientation val="minMax"/>
        </c:scaling>
        <c:delete val="0"/>
        <c:axPos val="l"/>
        <c:title>
          <c:tx>
            <c:rich>
              <a:bodyPr/>
              <a:lstStyle/>
              <a:p>
                <a:pPr>
                  <a:defRPr sz="999" b="0" i="0" u="none" strike="noStrike" baseline="0">
                    <a:solidFill>
                      <a:srgbClr val="000000"/>
                    </a:solidFill>
                    <a:latin typeface="Times New Roman"/>
                    <a:ea typeface="Times New Roman"/>
                    <a:cs typeface="Times New Roman"/>
                  </a:defRPr>
                </a:pPr>
                <a:r>
                  <a:rPr lang="lv-LV"/>
                  <a:t>Milj. EUR</a:t>
                </a:r>
              </a:p>
            </c:rich>
          </c:tx>
          <c:layout/>
          <c:overlay val="0"/>
          <c:spPr>
            <a:noFill/>
            <a:ln w="25379">
              <a:noFill/>
            </a:ln>
          </c:spPr>
        </c:title>
        <c:numFmt formatCode="0.00" sourceLinked="1"/>
        <c:majorTickMark val="none"/>
        <c:minorTickMark val="none"/>
        <c:tickLblPos val="nextTo"/>
        <c:spPr>
          <a:ln w="9517">
            <a:noFill/>
          </a:ln>
        </c:spPr>
        <c:txPr>
          <a:bodyPr rot="-60000000" spcFirstLastPara="1" vertOverflow="ellipsis" vert="horz" wrap="square" anchor="ctr" anchorCtr="1"/>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crossAx val="145305600"/>
        <c:crosses val="autoZero"/>
        <c:crossBetween val="between"/>
      </c:valAx>
      <c:spPr>
        <a:noFill/>
        <a:ln w="25379">
          <a:noFill/>
        </a:ln>
      </c:spPr>
    </c:plotArea>
    <c:legend>
      <c:legendPos val="r"/>
      <c:layout>
        <c:manualLayout>
          <c:xMode val="edge"/>
          <c:yMode val="edge"/>
          <c:x val="0.85515873015873012"/>
          <c:y val="0.28837209302325584"/>
          <c:w val="0.12896825396825398"/>
          <c:h val="0.41860465116279072"/>
        </c:manualLayout>
      </c:layout>
      <c:overlay val="0"/>
      <c:spPr>
        <a:noFill/>
        <a:ln w="25379">
          <a:noFill/>
        </a:ln>
      </c:spPr>
      <c:txPr>
        <a:bodyPr rot="0" spcFirstLastPara="1" vertOverflow="ellipsis" vert="horz" wrap="square" anchor="ctr" anchorCtr="1"/>
        <a:lstStyle/>
        <a:p>
          <a:pPr>
            <a:defRPr sz="999"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2"/>
          <c:order val="0"/>
          <c:tx>
            <c:v>2014. gads</c:v>
          </c:tx>
          <c:spPr>
            <a:solidFill>
              <a:srgbClr val="F79646"/>
            </a:solidFill>
            <a:ln w="25384">
              <a:noFill/>
            </a:ln>
          </c:spPr>
          <c:invertIfNegative val="0"/>
          <c:dLbls>
            <c:dLbl>
              <c:idx val="1"/>
              <c:layout>
                <c:manualLayout>
                  <c:x val="-1.2277470841006798E-2"/>
                  <c:y val="-1.230769230769234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4732965009208104E-2"/>
                  <c:y val="-7.521280634891811E-1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84">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'Apkopojuma tabula'!$H$4:$H$8</c:f>
              <c:numCache>
                <c:formatCode>0.00</c:formatCode>
                <c:ptCount val="5"/>
                <c:pt idx="0">
                  <c:v>7.1722700000000001</c:v>
                </c:pt>
                <c:pt idx="1">
                  <c:v>3.9211199999999997</c:v>
                </c:pt>
                <c:pt idx="2">
                  <c:v>1.4818</c:v>
                </c:pt>
                <c:pt idx="3">
                  <c:v>2.6650000000000004E-2</c:v>
                </c:pt>
                <c:pt idx="4">
                  <c:v>0.46704000000000001</c:v>
                </c:pt>
              </c:numCache>
            </c:numRef>
          </c:val>
        </c:ser>
        <c:ser>
          <c:idx val="0"/>
          <c:order val="1"/>
          <c:tx>
            <c:v>2015. gads</c:v>
          </c:tx>
          <c:spPr>
            <a:solidFill>
              <a:srgbClr val="C0504D"/>
            </a:solidFill>
            <a:ln w="25384">
              <a:noFill/>
            </a:ln>
          </c:spPr>
          <c:invertIfNegative val="0"/>
          <c:dLbls>
            <c:dLbl>
              <c:idx val="5"/>
              <c:layout>
                <c:manualLayout>
                  <c:x val="-1.2277470841006752E-2"/>
                  <c:y val="-4.1025641025641026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84">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'Apkopojuma tabula'!$B$4:$B$8</c:f>
              <c:strCache>
                <c:ptCount val="5"/>
                <c:pt idx="0">
                  <c:v>VSAOI</c:v>
                </c:pt>
                <c:pt idx="1">
                  <c:v>Iedzīvotāju ienāk.nodoklis</c:v>
                </c:pt>
                <c:pt idx="2">
                  <c:v>Uzņēmuma ienākuma nodoklis</c:v>
                </c:pt>
                <c:pt idx="3">
                  <c:v>Pārējie nodokļi neskaitot PVN</c:v>
                </c:pt>
                <c:pt idx="4">
                  <c:v>Dabas resursu nodoklis</c:v>
                </c:pt>
              </c:strCache>
            </c:strRef>
          </c:cat>
          <c:val>
            <c:numRef>
              <c:f>'Apkopojuma tabula'!$E$4:$E$8</c:f>
              <c:numCache>
                <c:formatCode>0.00</c:formatCode>
                <c:ptCount val="5"/>
                <c:pt idx="0">
                  <c:v>8.0416416000000002</c:v>
                </c:pt>
                <c:pt idx="1">
                  <c:v>4.3265688000000004</c:v>
                </c:pt>
                <c:pt idx="2">
                  <c:v>2.1977796000000001</c:v>
                </c:pt>
                <c:pt idx="3">
                  <c:v>1.2964476</c:v>
                </c:pt>
                <c:pt idx="4">
                  <c:v>0.58171006079999998</c:v>
                </c:pt>
              </c:numCache>
            </c:numRef>
          </c:val>
        </c:ser>
        <c:ser>
          <c:idx val="1"/>
          <c:order val="2"/>
          <c:tx>
            <c:v>2016. gads</c:v>
          </c:tx>
          <c:spPr>
            <a:solidFill>
              <a:srgbClr val="8064A2"/>
            </a:solidFill>
            <a:ln w="25384">
              <a:noFill/>
            </a:ln>
          </c:spPr>
          <c:invertIfNegative val="0"/>
          <c:dLbls>
            <c:dLbl>
              <c:idx val="0"/>
              <c:layout>
                <c:manualLayout>
                  <c:x val="1.2277470841006752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4.9109883364026564E-3"/>
                  <c:y val="-1.2307692307692346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7.3664825046039616E-3"/>
                  <c:y val="-3.7606403174459055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3664825046040518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4732965009208104E-2"/>
                  <c:y val="0"/>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84">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'Apkopojuma tabula'!$B$4:$B$8</c:f>
              <c:strCache>
                <c:ptCount val="5"/>
                <c:pt idx="0">
                  <c:v>VSAOI</c:v>
                </c:pt>
                <c:pt idx="1">
                  <c:v>Iedzīvotāju ienāk.nodoklis</c:v>
                </c:pt>
                <c:pt idx="2">
                  <c:v>Uzņēmuma ienākuma nodoklis</c:v>
                </c:pt>
                <c:pt idx="3">
                  <c:v>Pārējie nodokļi neskaitot PVN</c:v>
                </c:pt>
                <c:pt idx="4">
                  <c:v>Dabas resursu nodoklis</c:v>
                </c:pt>
              </c:strCache>
            </c:strRef>
          </c:cat>
          <c:val>
            <c:numRef>
              <c:f>'Apkopojuma tabula'!$F$4:$F$8</c:f>
              <c:numCache>
                <c:formatCode>0.00</c:formatCode>
                <c:ptCount val="5"/>
                <c:pt idx="0">
                  <c:v>7.2782952000000005</c:v>
                </c:pt>
                <c:pt idx="1">
                  <c:v>4.6181147999999999</c:v>
                </c:pt>
                <c:pt idx="2">
                  <c:v>2.5933511999999999</c:v>
                </c:pt>
                <c:pt idx="3">
                  <c:v>0.61311599999999999</c:v>
                </c:pt>
                <c:pt idx="4">
                  <c:v>0.39763941359999999</c:v>
                </c:pt>
              </c:numCache>
            </c:numRef>
          </c:val>
        </c:ser>
        <c:dLbls>
          <c:showLegendKey val="0"/>
          <c:showVal val="0"/>
          <c:showCatName val="0"/>
          <c:showSerName val="0"/>
          <c:showPercent val="0"/>
          <c:showBubbleSize val="0"/>
        </c:dLbls>
        <c:gapWidth val="219"/>
        <c:overlap val="-27"/>
        <c:axId val="145384192"/>
        <c:axId val="145386112"/>
      </c:barChart>
      <c:catAx>
        <c:axId val="145384192"/>
        <c:scaling>
          <c:orientation val="minMax"/>
        </c:scaling>
        <c:delete val="0"/>
        <c:axPos val="b"/>
        <c:title>
          <c:tx>
            <c:rich>
              <a:bodyPr/>
              <a:lstStyle/>
              <a:p>
                <a:pPr>
                  <a:defRPr sz="999" b="0" i="0" u="none" strike="noStrike" baseline="0">
                    <a:solidFill>
                      <a:srgbClr val="000000"/>
                    </a:solidFill>
                    <a:latin typeface="Times New Roman"/>
                    <a:ea typeface="Times New Roman"/>
                    <a:cs typeface="Times New Roman"/>
                  </a:defRPr>
                </a:pPr>
                <a:r>
                  <a:rPr lang="lv-LV" b="1"/>
                  <a:t>Nodokļu veids</a:t>
                </a:r>
              </a:p>
            </c:rich>
          </c:tx>
          <c:layout>
            <c:manualLayout>
              <c:xMode val="edge"/>
              <c:yMode val="edge"/>
              <c:x val="0.40907050411801971"/>
              <c:y val="0.88211294555922459"/>
            </c:manualLayout>
          </c:layout>
          <c:overlay val="0"/>
          <c:spPr>
            <a:noFill/>
            <a:ln w="25384">
              <a:noFill/>
            </a:ln>
          </c:spPr>
        </c:title>
        <c:numFmt formatCode="General" sourceLinked="1"/>
        <c:majorTickMark val="none"/>
        <c:minorTickMark val="none"/>
        <c:tickLblPos val="nextTo"/>
        <c:spPr>
          <a:noFill/>
          <a:ln w="9519"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386112"/>
        <c:crosses val="autoZero"/>
        <c:auto val="1"/>
        <c:lblAlgn val="ctr"/>
        <c:lblOffset val="100"/>
        <c:noMultiLvlLbl val="0"/>
      </c:catAx>
      <c:valAx>
        <c:axId val="145386112"/>
        <c:scaling>
          <c:orientation val="minMax"/>
        </c:scaling>
        <c:delete val="0"/>
        <c:axPos val="l"/>
        <c:title>
          <c:tx>
            <c:rich>
              <a:bodyPr/>
              <a:lstStyle/>
              <a:p>
                <a:pPr>
                  <a:defRPr sz="999" b="1" i="0" u="none" strike="noStrike" baseline="0">
                    <a:solidFill>
                      <a:srgbClr val="000000"/>
                    </a:solidFill>
                    <a:latin typeface="Times New Roman"/>
                    <a:ea typeface="Times New Roman"/>
                    <a:cs typeface="Times New Roman"/>
                  </a:defRPr>
                </a:pPr>
                <a:r>
                  <a:rPr lang="lv-LV" b="1"/>
                  <a:t>Milj. EUR</a:t>
                </a:r>
              </a:p>
            </c:rich>
          </c:tx>
          <c:layout/>
          <c:overlay val="0"/>
          <c:spPr>
            <a:noFill/>
            <a:ln w="25384">
              <a:noFill/>
            </a:ln>
          </c:spPr>
        </c:title>
        <c:numFmt formatCode="0.00" sourceLinked="1"/>
        <c:majorTickMark val="none"/>
        <c:minorTickMark val="none"/>
        <c:tickLblPos val="nextTo"/>
        <c:spPr>
          <a:ln w="9519">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384192"/>
        <c:crosses val="autoZero"/>
        <c:crossBetween val="between"/>
      </c:valAx>
      <c:spPr>
        <a:noFill/>
        <a:ln w="25384">
          <a:noFill/>
        </a:ln>
      </c:spPr>
    </c:plotArea>
    <c:legend>
      <c:legendPos val="r"/>
      <c:layout>
        <c:manualLayout>
          <c:xMode val="edge"/>
          <c:yMode val="edge"/>
          <c:x val="0.28435114503816794"/>
          <c:y val="0.93246410375173694"/>
          <c:w val="0.43702290076335876"/>
          <c:h val="6.7535896248263089E-2"/>
        </c:manualLayout>
      </c:layout>
      <c:overlay val="0"/>
      <c:spPr>
        <a:noFill/>
        <a:ln w="25384">
          <a:noFill/>
        </a:ln>
      </c:spPr>
      <c:txPr>
        <a:bodyPr rot="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'Apkopojuma tabula'!$G$72</c:f>
              <c:strCache>
                <c:ptCount val="1"/>
                <c:pt idx="0">
                  <c:v>Valsts budžetā</c:v>
                </c:pt>
              </c:strCache>
            </c:strRef>
          </c:tx>
          <c:spPr>
            <a:solidFill>
              <a:srgbClr val="C0504D"/>
            </a:solidFill>
            <a:ln w="25412">
              <a:noFill/>
            </a:ln>
          </c:spPr>
          <c:invertIfNegative val="0"/>
          <c:dLbls>
            <c:dLbl>
              <c:idx val="1"/>
              <c:layout>
                <c:manualLayout>
                  <c:x val="-1.6666666666666666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666E-2"/>
                  <c:y val="-4.6296296296296294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1.6666666666666767E-2"/>
                  <c:y val="0"/>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412">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'Apkopojuma tabula'!$E$73:$F$78</c:f>
              <c:multiLvlStrCache>
                <c:ptCount val="6"/>
                <c:lvl>
                  <c:pt idx="0">
                    <c:v>IIN</c:v>
                  </c:pt>
                  <c:pt idx="1">
                    <c:v>DRN</c:v>
                  </c:pt>
                  <c:pt idx="2">
                    <c:v>IIN</c:v>
                  </c:pt>
                  <c:pt idx="3">
                    <c:v>DRN</c:v>
                  </c:pt>
                  <c:pt idx="4">
                    <c:v>IIN</c:v>
                  </c:pt>
                  <c:pt idx="5">
                    <c:v>DRN</c:v>
                  </c:pt>
                </c:lvl>
                <c:lvl>
                  <c:pt idx="0">
                    <c:v>2014</c:v>
                  </c:pt>
                  <c:pt idx="2">
                    <c:v>2015</c:v>
                  </c:pt>
                  <c:pt idx="4">
                    <c:v>2016</c:v>
                  </c:pt>
                </c:lvl>
              </c:multiLvlStrCache>
            </c:multiLvlStrRef>
          </c:cat>
          <c:val>
            <c:numRef>
              <c:f>'Apkopojuma tabula'!$G$73:$G$78</c:f>
              <c:numCache>
                <c:formatCode>General</c:formatCode>
                <c:ptCount val="6"/>
                <c:pt idx="0">
                  <c:v>2.2000000000000002</c:v>
                </c:pt>
                <c:pt idx="1">
                  <c:v>0.19</c:v>
                </c:pt>
                <c:pt idx="2">
                  <c:v>2.9</c:v>
                </c:pt>
                <c:pt idx="3">
                  <c:v>0.23</c:v>
                </c:pt>
                <c:pt idx="4">
                  <c:v>3.1</c:v>
                </c:pt>
                <c:pt idx="5">
                  <c:v>0.16</c:v>
                </c:pt>
              </c:numCache>
            </c:numRef>
          </c:val>
        </c:ser>
        <c:ser>
          <c:idx val="1"/>
          <c:order val="1"/>
          <c:tx>
            <c:strRef>
              <c:f>'Apkopojuma tabula'!$H$72</c:f>
              <c:strCache>
                <c:ptCount val="1"/>
                <c:pt idx="0">
                  <c:v>Pašvaldības budžetā</c:v>
                </c:pt>
              </c:strCache>
            </c:strRef>
          </c:tx>
          <c:spPr>
            <a:solidFill>
              <a:srgbClr val="8064A2"/>
            </a:solidFill>
            <a:ln w="25412">
              <a:noFill/>
            </a:ln>
          </c:spPr>
          <c:invertIfNegative val="0"/>
          <c:dLbls>
            <c:dLbl>
              <c:idx val="1"/>
              <c:layout>
                <c:manualLayout>
                  <c:x val="1.3888888888888888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5.5555555555555558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5.5555555555555558E-3"/>
                  <c:y val="0"/>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412">
                <a:noFill/>
              </a:ln>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'Apkopojuma tabula'!$E$73:$F$78</c:f>
              <c:multiLvlStrCache>
                <c:ptCount val="6"/>
                <c:lvl>
                  <c:pt idx="0">
                    <c:v>IIN</c:v>
                  </c:pt>
                  <c:pt idx="1">
                    <c:v>DRN</c:v>
                  </c:pt>
                  <c:pt idx="2">
                    <c:v>IIN</c:v>
                  </c:pt>
                  <c:pt idx="3">
                    <c:v>DRN</c:v>
                  </c:pt>
                  <c:pt idx="4">
                    <c:v>IIN</c:v>
                  </c:pt>
                  <c:pt idx="5">
                    <c:v>DRN</c:v>
                  </c:pt>
                </c:lvl>
                <c:lvl>
                  <c:pt idx="0">
                    <c:v>2014</c:v>
                  </c:pt>
                  <c:pt idx="2">
                    <c:v>2015</c:v>
                  </c:pt>
                  <c:pt idx="4">
                    <c:v>2016</c:v>
                  </c:pt>
                </c:lvl>
              </c:multiLvlStrCache>
            </c:multiLvlStrRef>
          </c:cat>
          <c:val>
            <c:numRef>
              <c:f>'Apkopojuma tabula'!$H$73:$H$78</c:f>
              <c:numCache>
                <c:formatCode>General</c:formatCode>
                <c:ptCount val="6"/>
                <c:pt idx="0">
                  <c:v>1.0900000000000001</c:v>
                </c:pt>
                <c:pt idx="1">
                  <c:v>0.28000000000000003</c:v>
                </c:pt>
                <c:pt idx="2">
                  <c:v>1.43</c:v>
                </c:pt>
                <c:pt idx="3">
                  <c:v>0.35</c:v>
                </c:pt>
                <c:pt idx="4">
                  <c:v>1.52</c:v>
                </c:pt>
                <c:pt idx="5">
                  <c:v>0.24</c:v>
                </c:pt>
              </c:numCache>
            </c:numRef>
          </c:val>
        </c:ser>
        <c:dLbls>
          <c:showLegendKey val="0"/>
          <c:showVal val="0"/>
          <c:showCatName val="0"/>
          <c:showSerName val="0"/>
          <c:showPercent val="0"/>
          <c:showBubbleSize val="0"/>
        </c:dLbls>
        <c:gapWidth val="219"/>
        <c:overlap val="-27"/>
        <c:axId val="148730240"/>
        <c:axId val="148732160"/>
      </c:barChart>
      <c:catAx>
        <c:axId val="148730240"/>
        <c:scaling>
          <c:orientation val="minMax"/>
        </c:scaling>
        <c:delete val="0"/>
        <c:axPos val="b"/>
        <c:title>
          <c:tx>
            <c:rich>
              <a:bodyPr/>
              <a:lstStyle/>
              <a:p>
                <a:pPr>
                  <a:defRPr sz="1000" b="0" i="0" u="none" strike="noStrike" baseline="0">
                    <a:solidFill>
                      <a:srgbClr val="000000"/>
                    </a:solidFill>
                    <a:latin typeface="Times New Roman"/>
                    <a:ea typeface="Times New Roman"/>
                    <a:cs typeface="Times New Roman"/>
                  </a:defRPr>
                </a:pPr>
                <a:r>
                  <a:rPr lang="lv-LV"/>
                  <a:t>Gads</a:t>
                </a:r>
              </a:p>
            </c:rich>
          </c:tx>
          <c:layout/>
          <c:overlay val="0"/>
          <c:spPr>
            <a:noFill/>
            <a:ln w="25412">
              <a:noFill/>
            </a:ln>
          </c:spPr>
        </c:title>
        <c:numFmt formatCode="General" sourceLinked="1"/>
        <c:majorTickMark val="none"/>
        <c:minorTickMark val="none"/>
        <c:tickLblPos val="nextTo"/>
        <c:spPr>
          <a:noFill/>
          <a:ln w="953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8732160"/>
        <c:crosses val="autoZero"/>
        <c:auto val="1"/>
        <c:lblAlgn val="ctr"/>
        <c:lblOffset val="100"/>
        <c:noMultiLvlLbl val="0"/>
      </c:catAx>
      <c:valAx>
        <c:axId val="148732160"/>
        <c:scaling>
          <c:orientation val="minMax"/>
        </c:scaling>
        <c:delete val="0"/>
        <c:axPos val="l"/>
        <c:title>
          <c:tx>
            <c:rich>
              <a:bodyPr/>
              <a:lstStyle/>
              <a:p>
                <a:pPr>
                  <a:defRPr sz="1000" b="0" i="0" u="none" strike="noStrike" baseline="0">
                    <a:solidFill>
                      <a:srgbClr val="000000"/>
                    </a:solidFill>
                    <a:latin typeface="Times New Roman"/>
                    <a:ea typeface="Times New Roman"/>
                    <a:cs typeface="Times New Roman"/>
                  </a:defRPr>
                </a:pPr>
                <a:r>
                  <a:rPr lang="lv-LV"/>
                  <a:t>Milj. EUR</a:t>
                </a:r>
              </a:p>
            </c:rich>
          </c:tx>
          <c:layout/>
          <c:overlay val="0"/>
          <c:spPr>
            <a:noFill/>
            <a:ln w="25412">
              <a:noFill/>
            </a:ln>
          </c:spPr>
        </c:title>
        <c:numFmt formatCode="General" sourceLinked="1"/>
        <c:majorTickMark val="none"/>
        <c:minorTickMark val="none"/>
        <c:tickLblPos val="nextTo"/>
        <c:spPr>
          <a:ln w="953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8730240"/>
        <c:crosses val="autoZero"/>
        <c:crossBetween val="between"/>
      </c:valAx>
      <c:spPr>
        <a:noFill/>
        <a:ln w="25412">
          <a:noFill/>
        </a:ln>
      </c:spPr>
    </c:plotArea>
    <c:legend>
      <c:legendPos val="r"/>
      <c:layout>
        <c:manualLayout>
          <c:xMode val="edge"/>
          <c:yMode val="edge"/>
          <c:x val="0.23420578488295024"/>
          <c:y val="0.91357314148681035"/>
          <c:w val="0.47314049586776857"/>
          <c:h val="8.4000000000000005E-2"/>
        </c:manualLayout>
      </c:layout>
      <c:overlay val="0"/>
      <c:spPr>
        <a:noFill/>
        <a:ln w="25412">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spPr>
              <a:noFill/>
              <a:ln>
                <a:noFill/>
              </a:ln>
              <a:effectLst/>
            </c:spPr>
            <c:txPr>
              <a:bodyPr/>
              <a:lstStyle/>
              <a:p>
                <a:pPr>
                  <a:defRPr sz="1000" b="1">
                    <a:latin typeface="Times New Roman" pitchFamily="18" charset="0"/>
                    <a:cs typeface="Times New Roman" pitchFamily="18" charset="0"/>
                  </a:defRPr>
                </a:pPr>
                <a:endParaRPr lang="lv-LV"/>
              </a:p>
            </c:txPr>
            <c:dLblPos val="ctr"/>
            <c:showLegendKey val="0"/>
            <c:showVal val="0"/>
            <c:showCatName val="0"/>
            <c:showSerName val="0"/>
            <c:showPercent val="1"/>
            <c:showBubbleSize val="0"/>
            <c:showLeaderLines val="1"/>
            <c:extLst>
              <c:ext xmlns:c15="http://schemas.microsoft.com/office/drawing/2012/chart" uri="{CE6537A1-D6FC-4f65-9D91-7224C49458BB}"/>
            </c:extLst>
          </c:dLbls>
          <c:cat>
            <c:strRef>
              <c:f>'Rupnieciski_izmantojamās atradn'!$A$19:$A$21</c:f>
              <c:strCache>
                <c:ptCount val="3"/>
                <c:pt idx="0">
                  <c:v>Fiziska/juridiska  persona</c:v>
                </c:pt>
                <c:pt idx="1">
                  <c:v>Pašvaldības</c:v>
                </c:pt>
                <c:pt idx="2">
                  <c:v>Valsts</c:v>
                </c:pt>
              </c:strCache>
            </c:strRef>
          </c:cat>
          <c:val>
            <c:numRef>
              <c:f>'Rupnieciski_izmantojamās atradn'!$B$19:$B$21</c:f>
              <c:numCache>
                <c:formatCode>General</c:formatCode>
                <c:ptCount val="3"/>
                <c:pt idx="0" formatCode="#,##0.00">
                  <c:v>166441.20000000001</c:v>
                </c:pt>
                <c:pt idx="1">
                  <c:v>12232.220000000008</c:v>
                </c:pt>
                <c:pt idx="2" formatCode="#,##0.00">
                  <c:v>306540.17</c:v>
                </c:pt>
              </c:numCache>
            </c:numRef>
          </c:val>
        </c:ser>
        <c:dLbls>
          <c:showLegendKey val="0"/>
          <c:showVal val="0"/>
          <c:showCatName val="0"/>
          <c:showSerName val="0"/>
          <c:showPercent val="1"/>
          <c:showBubbleSize val="0"/>
          <c:showLeaderLines val="1"/>
        </c:dLbls>
        <c:firstSliceAng val="0"/>
      </c:pieChart>
    </c:plotArea>
    <c:legend>
      <c:legendPos val="r"/>
      <c:layout/>
      <c:overlay val="0"/>
    </c:legend>
    <c:plotVisOnly val="1"/>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spPr>
              <a:noFill/>
              <a:ln>
                <a:noFill/>
              </a:ln>
              <a:effectLst/>
            </c:spPr>
            <c:showLegendKey val="0"/>
            <c:showVal val="0"/>
            <c:showCatName val="0"/>
            <c:showSerName val="0"/>
            <c:showPercent val="1"/>
            <c:showBubbleSize val="0"/>
            <c:showLeaderLines val="0"/>
            <c:extLst>
              <c:ext xmlns:c15="http://schemas.microsoft.com/office/drawing/2012/chart" uri="{CE6537A1-D6FC-4f65-9D91-7224C49458BB}"/>
            </c:extLst>
          </c:dLbls>
          <c:cat>
            <c:strRef>
              <c:f>'Rupnieciski_izmantojamās atradn'!$A$5:$A$7</c:f>
              <c:strCache>
                <c:ptCount val="3"/>
                <c:pt idx="0">
                  <c:v>Mikrolieguma teritorijas</c:v>
                </c:pt>
                <c:pt idx="1">
                  <c:v>ĪADT zonas teritorija, kur ieguve atļauta ar nosacījumiem</c:v>
                </c:pt>
                <c:pt idx="2">
                  <c:v>ĪADT zonas teritorija, kur ieguve aizliegta</c:v>
                </c:pt>
              </c:strCache>
            </c:strRef>
          </c:cat>
          <c:val>
            <c:numRef>
              <c:f>'Rupnieciski_izmantojamās atradn'!$B$5:$B$7</c:f>
              <c:numCache>
                <c:formatCode>General</c:formatCode>
                <c:ptCount val="3"/>
                <c:pt idx="0" formatCode="0">
                  <c:v>6064.1200000000044</c:v>
                </c:pt>
                <c:pt idx="1">
                  <c:v>4801</c:v>
                </c:pt>
                <c:pt idx="2">
                  <c:v>93802</c:v>
                </c:pt>
              </c:numCache>
            </c:numRef>
          </c:val>
        </c:ser>
        <c:dLbls>
          <c:showLegendKey val="0"/>
          <c:showVal val="0"/>
          <c:showCatName val="0"/>
          <c:showSerName val="0"/>
          <c:showPercent val="1"/>
          <c:showBubbleSize val="0"/>
          <c:showLeaderLines val="0"/>
        </c:dLbls>
        <c:firstSliceAng val="0"/>
      </c:pieChart>
    </c:plotArea>
    <c:legend>
      <c:legendPos val="r"/>
      <c:layout/>
      <c:overlay val="0"/>
    </c:legend>
    <c:plotVisOnly val="1"/>
    <c:dispBlanksAs val="gap"/>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spPr>
              <a:noFill/>
              <a:ln>
                <a:noFill/>
              </a:ln>
              <a:effectLst/>
            </c:spPr>
            <c:txPr>
              <a:bodyPr/>
              <a:lstStyle/>
              <a:p>
                <a:pPr>
                  <a:defRPr b="1">
                    <a:latin typeface="Times New Roman" pitchFamily="18" charset="0"/>
                    <a:cs typeface="Times New Roman" pitchFamily="18" charset="0"/>
                  </a:defRPr>
                </a:pPr>
                <a:endParaRPr lang="lv-LV"/>
              </a:p>
            </c:txPr>
            <c:showLegendKey val="0"/>
            <c:showVal val="0"/>
            <c:showCatName val="0"/>
            <c:showSerName val="0"/>
            <c:showPercent val="1"/>
            <c:showBubbleSize val="0"/>
            <c:showLeaderLines val="0"/>
            <c:extLst>
              <c:ext xmlns:c15="http://schemas.microsoft.com/office/drawing/2012/chart" uri="{CE6537A1-D6FC-4f65-9D91-7224C49458BB}"/>
            </c:extLst>
          </c:dLbls>
          <c:cat>
            <c:strRef>
              <c:f>'Vēsturiskās atradnes'!$A$4:$A$6</c:f>
              <c:strCache>
                <c:ptCount val="3"/>
                <c:pt idx="0">
                  <c:v>Fiziska/juridiska  persona</c:v>
                </c:pt>
                <c:pt idx="1">
                  <c:v>Pašvaldības</c:v>
                </c:pt>
                <c:pt idx="2">
                  <c:v>Valsts</c:v>
                </c:pt>
              </c:strCache>
            </c:strRef>
          </c:cat>
          <c:val>
            <c:numRef>
              <c:f>'Vēsturiskās atradnes'!$B$4:$B$6</c:f>
              <c:numCache>
                <c:formatCode>General</c:formatCode>
                <c:ptCount val="3"/>
                <c:pt idx="0" formatCode="0.00">
                  <c:v>11509.55</c:v>
                </c:pt>
                <c:pt idx="1">
                  <c:v>911.27000000000055</c:v>
                </c:pt>
                <c:pt idx="2" formatCode="0.00">
                  <c:v>13974.14000000001</c:v>
                </c:pt>
              </c:numCache>
            </c:numRef>
          </c:val>
        </c:ser>
        <c:dLbls>
          <c:showLegendKey val="0"/>
          <c:showVal val="0"/>
          <c:showCatName val="0"/>
          <c:showSerName val="0"/>
          <c:showPercent val="1"/>
          <c:showBubbleSize val="0"/>
          <c:showLeaderLines val="0"/>
        </c:dLbls>
        <c:firstSliceAng val="0"/>
      </c:pieChart>
    </c:plotArea>
    <c:legend>
      <c:legendPos val="r"/>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Lbls>
            <c:numFmt formatCode="0.00%" sourceLinked="0"/>
            <c:spPr>
              <a:noFill/>
              <a:ln>
                <a:noFill/>
              </a:ln>
              <a:effectLst/>
            </c:spPr>
            <c:txPr>
              <a:bodyPr/>
              <a:lstStyle/>
              <a:p>
                <a:pPr>
                  <a:defRPr b="1"/>
                </a:pPr>
                <a:endParaRPr lang="lv-LV"/>
              </a:p>
            </c:txPr>
            <c:dLblPos val="bestFit"/>
            <c:showLegendKey val="0"/>
            <c:showVal val="0"/>
            <c:showCatName val="0"/>
            <c:showSerName val="0"/>
            <c:showPercent val="1"/>
            <c:showBubbleSize val="0"/>
            <c:showLeaderLines val="1"/>
            <c:extLst>
              <c:ext xmlns:c15="http://schemas.microsoft.com/office/drawing/2012/chart" uri="{CE6537A1-D6FC-4f65-9D91-7224C49458BB}"/>
            </c:extLst>
          </c:dLbls>
          <c:cat>
            <c:strRef>
              <c:f>'zemes lietojumi'!$D$28:$J$28</c:f>
              <c:strCache>
                <c:ptCount val="7"/>
                <c:pt idx="0">
                  <c:v>Mežs</c:v>
                </c:pt>
                <c:pt idx="1">
                  <c:v>Purvi</c:v>
                </c:pt>
                <c:pt idx="2">
                  <c:v>Pārējā zeme</c:v>
                </c:pt>
                <c:pt idx="3">
                  <c:v>Zeme zem ceļiem</c:v>
                </c:pt>
                <c:pt idx="4">
                  <c:v>Zeme zem ūdeņiem</c:v>
                </c:pt>
                <c:pt idx="5">
                  <c:v>Zeme zem lauksaimniecībā izmantojamām teritorijām</c:v>
                </c:pt>
                <c:pt idx="6">
                  <c:v>Apbūve</c:v>
                </c:pt>
              </c:strCache>
            </c:strRef>
          </c:cat>
          <c:val>
            <c:numRef>
              <c:f>'zemes lietojumi'!$D$48:$I$48</c:f>
              <c:numCache>
                <c:formatCode>0.00</c:formatCode>
                <c:ptCount val="6"/>
                <c:pt idx="0">
                  <c:v>4983.4681370120697</c:v>
                </c:pt>
                <c:pt idx="1">
                  <c:v>2943.54217105215</c:v>
                </c:pt>
                <c:pt idx="2">
                  <c:v>17592.559463719936</c:v>
                </c:pt>
                <c:pt idx="3">
                  <c:v>15.9</c:v>
                </c:pt>
                <c:pt idx="4">
                  <c:v>162.34</c:v>
                </c:pt>
                <c:pt idx="5">
                  <c:v>317.87694021219869</c:v>
                </c:pt>
              </c:numCache>
            </c:numRef>
          </c:val>
        </c:ser>
        <c:dLbls>
          <c:showLegendKey val="0"/>
          <c:showVal val="0"/>
          <c:showCatName val="0"/>
          <c:showSerName val="0"/>
          <c:showPercent val="1"/>
          <c:showBubbleSize val="0"/>
          <c:showLeaderLines val="1"/>
        </c:dLbls>
        <c:firstSliceAng val="0"/>
      </c:pieChart>
    </c:plotArea>
    <c:legend>
      <c:legendPos val="r"/>
      <c:layout/>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C0504D"/>
            </a:solidFill>
            <a:ln w="25381">
              <a:noFill/>
            </a:ln>
          </c:spPr>
          <c:invertIfNegative val="0"/>
          <c:dLbls>
            <c:dLbl>
              <c:idx val="1"/>
              <c:layout>
                <c:manualLayout>
                  <c:x val="-2.8799469571184665E-3"/>
                  <c:y val="8.3024455543698576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9.8960904025536152E-3"/>
                  <c:y val="-1.7175078456018312E-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0034994596626937E-2"/>
                  <c:y val="-1.382846390392059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6"/>
              <c:layout>
                <c:manualLayout>
                  <c:x val="-6.6679569322916996E-3"/>
                  <c:y val="1.0642865712355322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5.6611793336488869E-3"/>
                  <c:y val="-1.3133883525184853E-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8"/>
              <c:layout>
                <c:manualLayout>
                  <c:x val="-3.6472537251789781E-3"/>
                  <c:y val="-3.923905562325964E-2"/>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81">
                <a:noFill/>
              </a:ln>
            </c:spPr>
            <c:txPr>
              <a:bodyPr rot="0" spcFirstLastPara="1" vertOverflow="ellipsis" vert="horz" wrap="square" lIns="38100" tIns="19050" rIns="38100" bIns="19050" anchor="ctr" anchorCtr="1">
                <a:spAutoFit/>
              </a:bodyPr>
              <a:lstStyle/>
              <a:p>
                <a:pPr>
                  <a:defRPr sz="9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Ieguve!$A$3:$A$13</c:f>
              <c:numCache>
                <c:formatCode>General</c:formatCode>
                <c:ptCount val="11"/>
                <c:pt idx="0">
                  <c:v>2006</c:v>
                </c:pt>
                <c:pt idx="1">
                  <c:v>2007</c:v>
                </c:pt>
                <c:pt idx="2">
                  <c:v>2008</c:v>
                </c:pt>
                <c:pt idx="3">
                  <c:v>2009</c:v>
                </c:pt>
                <c:pt idx="4">
                  <c:v>2010</c:v>
                </c:pt>
                <c:pt idx="5">
                  <c:v>2011</c:v>
                </c:pt>
                <c:pt idx="6">
                  <c:v>2012</c:v>
                </c:pt>
                <c:pt idx="7">
                  <c:v>2013</c:v>
                </c:pt>
                <c:pt idx="8">
                  <c:v>2014</c:v>
                </c:pt>
                <c:pt idx="9">
                  <c:v>2015</c:v>
                </c:pt>
                <c:pt idx="10">
                  <c:v>2016</c:v>
                </c:pt>
              </c:numCache>
            </c:numRef>
          </c:cat>
          <c:val>
            <c:numRef>
              <c:f>Ieguve!$D$3:$D$13</c:f>
              <c:numCache>
                <c:formatCode>General</c:formatCode>
                <c:ptCount val="11"/>
                <c:pt idx="0">
                  <c:v>1000.0200000000001</c:v>
                </c:pt>
                <c:pt idx="1">
                  <c:v>541.16</c:v>
                </c:pt>
                <c:pt idx="2">
                  <c:v>865.53</c:v>
                </c:pt>
                <c:pt idx="3">
                  <c:v>855.55000000000007</c:v>
                </c:pt>
                <c:pt idx="4">
                  <c:v>703.81</c:v>
                </c:pt>
                <c:pt idx="5">
                  <c:v>946.95</c:v>
                </c:pt>
                <c:pt idx="6">
                  <c:v>738.64</c:v>
                </c:pt>
                <c:pt idx="7">
                  <c:v>1237.8900000000001</c:v>
                </c:pt>
                <c:pt idx="8">
                  <c:v>907.26</c:v>
                </c:pt>
                <c:pt idx="9">
                  <c:v>1222.28</c:v>
                </c:pt>
                <c:pt idx="10" formatCode="0.00">
                  <c:v>820.06600000000003</c:v>
                </c:pt>
              </c:numCache>
            </c:numRef>
          </c:val>
        </c:ser>
        <c:dLbls>
          <c:showLegendKey val="0"/>
          <c:showVal val="0"/>
          <c:showCatName val="0"/>
          <c:showSerName val="0"/>
          <c:showPercent val="0"/>
          <c:showBubbleSize val="0"/>
        </c:dLbls>
        <c:gapWidth val="150"/>
        <c:axId val="50598272"/>
        <c:axId val="50600192"/>
      </c:barChart>
      <c:catAx>
        <c:axId val="50598272"/>
        <c:scaling>
          <c:orientation val="minMax"/>
        </c:scaling>
        <c:delete val="0"/>
        <c:axPos val="b"/>
        <c:title>
          <c:tx>
            <c:rich>
              <a:bodyPr/>
              <a:lstStyle/>
              <a:p>
                <a:pPr>
                  <a:defRPr sz="999" b="0" i="0" u="none" strike="noStrike" baseline="0">
                    <a:solidFill>
                      <a:srgbClr val="000000"/>
                    </a:solidFill>
                    <a:latin typeface="Times New Roman"/>
                    <a:ea typeface="Times New Roman"/>
                    <a:cs typeface="Times New Roman"/>
                  </a:defRPr>
                </a:pPr>
                <a:r>
                  <a:rPr lang="lv-LV"/>
                  <a:t>Gadi</a:t>
                </a:r>
              </a:p>
            </c:rich>
          </c:tx>
          <c:layout/>
          <c:overlay val="0"/>
          <c:spPr>
            <a:noFill/>
            <a:ln w="25381">
              <a:noFill/>
            </a:ln>
          </c:spPr>
        </c:title>
        <c:numFmt formatCode="General" sourceLinked="1"/>
        <c:majorTickMark val="none"/>
        <c:minorTickMark val="none"/>
        <c:tickLblPos val="nextTo"/>
        <c:spPr>
          <a:noFill/>
          <a:ln w="9518"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0600192"/>
        <c:crosses val="autoZero"/>
        <c:auto val="1"/>
        <c:lblAlgn val="ctr"/>
        <c:lblOffset val="100"/>
        <c:noMultiLvlLbl val="0"/>
      </c:catAx>
      <c:valAx>
        <c:axId val="50600192"/>
        <c:scaling>
          <c:orientation val="minMax"/>
          <c:min val="400"/>
        </c:scaling>
        <c:delete val="0"/>
        <c:axPos val="l"/>
        <c:title>
          <c:tx>
            <c:rich>
              <a:bodyPr/>
              <a:lstStyle/>
              <a:p>
                <a:pPr>
                  <a:defRPr sz="999" b="0" i="0" u="none" strike="noStrike" baseline="0">
                    <a:solidFill>
                      <a:srgbClr val="000000"/>
                    </a:solidFill>
                    <a:latin typeface="Times New Roman"/>
                    <a:ea typeface="Times New Roman"/>
                    <a:cs typeface="Times New Roman"/>
                  </a:defRPr>
                </a:pPr>
                <a:r>
                  <a:rPr lang="lv-LV"/>
                  <a:t>Tūkst.tonnas</a:t>
                </a:r>
              </a:p>
            </c:rich>
          </c:tx>
          <c:layout/>
          <c:overlay val="0"/>
          <c:spPr>
            <a:noFill/>
            <a:ln w="25381">
              <a:noFill/>
            </a:ln>
          </c:spPr>
        </c:title>
        <c:numFmt formatCode="General" sourceLinked="1"/>
        <c:majorTickMark val="none"/>
        <c:minorTickMark val="none"/>
        <c:tickLblPos val="nextTo"/>
        <c:spPr>
          <a:ln w="9518">
            <a:noFill/>
          </a:ln>
        </c:spPr>
        <c:txPr>
          <a:bodyPr rot="-60000000" spcFirstLastPara="1" vertOverflow="ellipsis" vert="horz" wrap="square" anchor="ctr" anchorCtr="1"/>
          <a:lstStyle/>
          <a:p>
            <a:pPr>
              <a:defRPr sz="9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50598272"/>
        <c:crosses val="autoZero"/>
        <c:crossBetween val="between"/>
      </c:valAx>
      <c:spPr>
        <a:noFill/>
        <a:ln w="25381">
          <a:noFill/>
        </a:ln>
      </c:spPr>
    </c:plotArea>
    <c:plotVisOnly val="1"/>
    <c:dispBlanksAs val="zero"/>
    <c:showDLblsOverMax val="0"/>
  </c:chart>
  <c:spPr>
    <a:solidFill>
      <a:schemeClr val="bg1"/>
    </a:solidFill>
    <a:ln>
      <a:noFill/>
    </a:ln>
    <a:effectLst/>
  </c:spPr>
  <c:txPr>
    <a:bodyPr/>
    <a:lstStyle/>
    <a:p>
      <a:pPr algn="just">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v>Kopējais eksports</c:v>
          </c:tx>
          <c:spPr>
            <a:solidFill>
              <a:srgbClr val="ED7D31"/>
            </a:solidFill>
            <a:ln w="25394">
              <a:noFill/>
            </a:ln>
          </c:spPr>
          <c:invertIfNegative val="0"/>
          <c:dLbls>
            <c:spPr>
              <a:noFill/>
              <a:ln w="25394">
                <a:noFill/>
              </a:ln>
            </c:spPr>
            <c:txPr>
              <a:bodyPr rot="0" vert="horz"/>
              <a:lstStyle/>
              <a:p>
                <a:pPr>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'%no kopējā eksporta'!$A$21:$A$26</c:f>
              <c:numCache>
                <c:formatCode>General</c:formatCode>
                <c:ptCount val="6"/>
                <c:pt idx="0">
                  <c:v>2010</c:v>
                </c:pt>
                <c:pt idx="1">
                  <c:v>2011</c:v>
                </c:pt>
                <c:pt idx="2">
                  <c:v>2012</c:v>
                </c:pt>
                <c:pt idx="3">
                  <c:v>2013</c:v>
                </c:pt>
                <c:pt idx="4">
                  <c:v>2014</c:v>
                </c:pt>
                <c:pt idx="5">
                  <c:v>2015</c:v>
                </c:pt>
              </c:numCache>
            </c:numRef>
          </c:cat>
          <c:val>
            <c:numRef>
              <c:f>'%no kopējā eksporta'!$B$21:$B$26</c:f>
              <c:numCache>
                <c:formatCode>#\ ##0.0</c:formatCode>
                <c:ptCount val="6"/>
                <c:pt idx="0">
                  <c:v>6680.22</c:v>
                </c:pt>
                <c:pt idx="1">
                  <c:v>8535.1190000000006</c:v>
                </c:pt>
                <c:pt idx="2">
                  <c:v>9871.0540000000001</c:v>
                </c:pt>
                <c:pt idx="3">
                  <c:v>10021.290999999999</c:v>
                </c:pt>
                <c:pt idx="4">
                  <c:v>10248.603999999999</c:v>
                </c:pt>
                <c:pt idx="5">
                  <c:v>10371.537</c:v>
                </c:pt>
              </c:numCache>
            </c:numRef>
          </c:val>
        </c:ser>
        <c:ser>
          <c:idx val="1"/>
          <c:order val="1"/>
          <c:spPr>
            <a:solidFill>
              <a:srgbClr val="FFC000"/>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'%no kopējā eksporta'!$A$21:$A$26</c:f>
              <c:numCache>
                <c:formatCode>General</c:formatCode>
                <c:ptCount val="6"/>
                <c:pt idx="0">
                  <c:v>2010</c:v>
                </c:pt>
                <c:pt idx="1">
                  <c:v>2011</c:v>
                </c:pt>
                <c:pt idx="2">
                  <c:v>2012</c:v>
                </c:pt>
                <c:pt idx="3">
                  <c:v>2013</c:v>
                </c:pt>
                <c:pt idx="4">
                  <c:v>2014</c:v>
                </c:pt>
                <c:pt idx="5">
                  <c:v>2015</c:v>
                </c:pt>
              </c:numCache>
            </c:numRef>
          </c:cat>
          <c:val>
            <c:numRef>
              <c:f>'%no kopējā eksporta'!$C$21:$C$26</c:f>
            </c:numRef>
          </c:val>
        </c:ser>
        <c:ser>
          <c:idx val="2"/>
          <c:order val="2"/>
          <c:spPr>
            <a:solidFill>
              <a:srgbClr val="70AD47"/>
            </a:solidFill>
            <a:ln w="25394">
              <a:noFill/>
            </a:ln>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'%no kopējā eksporta'!$A$21:$A$26</c:f>
              <c:numCache>
                <c:formatCode>General</c:formatCode>
                <c:ptCount val="6"/>
                <c:pt idx="0">
                  <c:v>2010</c:v>
                </c:pt>
                <c:pt idx="1">
                  <c:v>2011</c:v>
                </c:pt>
                <c:pt idx="2">
                  <c:v>2012</c:v>
                </c:pt>
                <c:pt idx="3">
                  <c:v>2013</c:v>
                </c:pt>
                <c:pt idx="4">
                  <c:v>2014</c:v>
                </c:pt>
                <c:pt idx="5">
                  <c:v>2015</c:v>
                </c:pt>
              </c:numCache>
            </c:numRef>
          </c:cat>
          <c:val>
            <c:numRef>
              <c:f>'%no kopējā eksporta'!$D$21:$D$26</c:f>
            </c:numRef>
          </c:val>
        </c:ser>
        <c:ser>
          <c:idx val="3"/>
          <c:order val="3"/>
          <c:spPr>
            <a:solidFill>
              <a:schemeClr val="accent2">
                <a:lumMod val="60000"/>
              </a:schemeClr>
            </a:solidFill>
            <a:ln>
              <a:noFill/>
            </a:ln>
            <a:effectLst/>
          </c:spPr>
          <c:invertIfNegative val="0"/>
          <c:dLbls>
            <c:spPr>
              <a:noFill/>
              <a:ln w="25394">
                <a:noFill/>
              </a:ln>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'%no kopējā eksporta'!$A$21:$A$26</c:f>
              <c:numCache>
                <c:formatCode>General</c:formatCode>
                <c:ptCount val="6"/>
                <c:pt idx="0">
                  <c:v>2010</c:v>
                </c:pt>
                <c:pt idx="1">
                  <c:v>2011</c:v>
                </c:pt>
                <c:pt idx="2">
                  <c:v>2012</c:v>
                </c:pt>
                <c:pt idx="3">
                  <c:v>2013</c:v>
                </c:pt>
                <c:pt idx="4">
                  <c:v>2014</c:v>
                </c:pt>
                <c:pt idx="5">
                  <c:v>2015</c:v>
                </c:pt>
              </c:numCache>
            </c:numRef>
          </c:cat>
          <c:val>
            <c:numRef>
              <c:f>'%no kopējā eksporta'!$E$21:$E$26</c:f>
            </c:numRef>
          </c:val>
        </c:ser>
        <c:ser>
          <c:idx val="4"/>
          <c:order val="4"/>
          <c:tx>
            <c:v>Kūdras eksports</c:v>
          </c:tx>
          <c:spPr>
            <a:solidFill>
              <a:schemeClr val="accent4">
                <a:lumMod val="60000"/>
              </a:schemeClr>
            </a:solidFill>
            <a:ln>
              <a:noFill/>
            </a:ln>
            <a:effectLst/>
          </c:spPr>
          <c:invertIfNegative val="0"/>
          <c:dLbls>
            <c:dLbl>
              <c:idx val="0"/>
              <c:layout>
                <c:manualLayout>
                  <c:x val="2.4999999999999949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3888888888888888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6666666666666566E-2"/>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1.1111111111111112E-2"/>
                  <c:y val="-8.4875562720133283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6666666666666666E-2"/>
                  <c:y val="4.6296296296296294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1.6666666666666666E-2"/>
                  <c:y val="-4.6296296296297144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94">
                <a:noFill/>
              </a:ln>
            </c:spPr>
            <c:txPr>
              <a:bodyPr rot="0" vert="horz"/>
              <a:lstStyle/>
              <a:p>
                <a:pPr>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'%no kopējā eksporta'!$A$21:$A$26</c:f>
              <c:numCache>
                <c:formatCode>General</c:formatCode>
                <c:ptCount val="6"/>
                <c:pt idx="0">
                  <c:v>2010</c:v>
                </c:pt>
                <c:pt idx="1">
                  <c:v>2011</c:v>
                </c:pt>
                <c:pt idx="2">
                  <c:v>2012</c:v>
                </c:pt>
                <c:pt idx="3">
                  <c:v>2013</c:v>
                </c:pt>
                <c:pt idx="4">
                  <c:v>2014</c:v>
                </c:pt>
                <c:pt idx="5">
                  <c:v>2015</c:v>
                </c:pt>
              </c:numCache>
            </c:numRef>
          </c:cat>
          <c:val>
            <c:numRef>
              <c:f>'%no kopējā eksporta'!$F$21:$F$26</c:f>
              <c:numCache>
                <c:formatCode>General</c:formatCode>
                <c:ptCount val="6"/>
                <c:pt idx="0">
                  <c:v>973.6</c:v>
                </c:pt>
                <c:pt idx="1">
                  <c:v>954.8</c:v>
                </c:pt>
                <c:pt idx="2">
                  <c:v>970.3</c:v>
                </c:pt>
                <c:pt idx="3">
                  <c:v>763.4</c:v>
                </c:pt>
                <c:pt idx="4">
                  <c:v>1044.5</c:v>
                </c:pt>
                <c:pt idx="5">
                  <c:v>946.6</c:v>
                </c:pt>
              </c:numCache>
            </c:numRef>
          </c:val>
        </c:ser>
        <c:dLbls>
          <c:showLegendKey val="0"/>
          <c:showVal val="0"/>
          <c:showCatName val="0"/>
          <c:showSerName val="0"/>
          <c:showPercent val="0"/>
          <c:showBubbleSize val="0"/>
        </c:dLbls>
        <c:gapWidth val="219"/>
        <c:overlap val="-27"/>
        <c:axId val="50712576"/>
        <c:axId val="50714496"/>
      </c:barChart>
      <c:catAx>
        <c:axId val="50712576"/>
        <c:scaling>
          <c:orientation val="minMax"/>
        </c:scaling>
        <c:delete val="0"/>
        <c:axPos val="b"/>
        <c:title>
          <c:tx>
            <c:rich>
              <a:bodyPr/>
              <a:lstStyle/>
              <a:p>
                <a:pPr>
                  <a:defRPr sz="1000" b="1" i="0" u="none" strike="noStrike" baseline="0">
                    <a:solidFill>
                      <a:srgbClr val="000000"/>
                    </a:solidFill>
                    <a:latin typeface="Times New Roman"/>
                    <a:ea typeface="Times New Roman"/>
                    <a:cs typeface="Times New Roman"/>
                  </a:defRPr>
                </a:pPr>
                <a:r>
                  <a:rPr lang="lv-LV"/>
                  <a:t>Gadi</a:t>
                </a:r>
              </a:p>
            </c:rich>
          </c:tx>
          <c:layout/>
          <c:overlay val="0"/>
          <c:spPr>
            <a:noFill/>
            <a:ln w="25394">
              <a:noFill/>
            </a:ln>
          </c:spPr>
        </c:title>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vert="horz"/>
          <a:lstStyle/>
          <a:p>
            <a:pPr>
              <a:defRPr/>
            </a:pPr>
            <a:endParaRPr lang="lv-LV"/>
          </a:p>
        </c:txPr>
        <c:crossAx val="50714496"/>
        <c:crosses val="autoZero"/>
        <c:auto val="1"/>
        <c:lblAlgn val="ctr"/>
        <c:lblOffset val="100"/>
        <c:noMultiLvlLbl val="0"/>
      </c:catAx>
      <c:valAx>
        <c:axId val="50714496"/>
        <c:scaling>
          <c:orientation val="minMax"/>
        </c:scaling>
        <c:delete val="0"/>
        <c:axPos val="l"/>
        <c:title>
          <c:tx>
            <c:rich>
              <a:bodyPr/>
              <a:lstStyle/>
              <a:p>
                <a:pPr>
                  <a:defRPr sz="1000" b="1" i="0" u="none" strike="noStrike" baseline="0">
                    <a:solidFill>
                      <a:srgbClr val="000000"/>
                    </a:solidFill>
                    <a:latin typeface="Times New Roman"/>
                    <a:ea typeface="Times New Roman"/>
                    <a:cs typeface="Times New Roman"/>
                  </a:defRPr>
                </a:pPr>
                <a:r>
                  <a:rPr lang="lv-LV"/>
                  <a:t>Tūkst. EUR</a:t>
                </a:r>
              </a:p>
            </c:rich>
          </c:tx>
          <c:layout/>
          <c:overlay val="0"/>
          <c:spPr>
            <a:noFill/>
            <a:ln w="25394">
              <a:noFill/>
            </a:ln>
          </c:spPr>
        </c:title>
        <c:numFmt formatCode="#\ ##0.0" sourceLinked="1"/>
        <c:majorTickMark val="none"/>
        <c:minorTickMark val="none"/>
        <c:tickLblPos val="nextTo"/>
        <c:spPr>
          <a:ln w="6349">
            <a:noFill/>
          </a:ln>
        </c:spPr>
        <c:txPr>
          <a:bodyPr rot="-60000000" vert="horz"/>
          <a:lstStyle/>
          <a:p>
            <a:pPr>
              <a:defRPr/>
            </a:pPr>
            <a:endParaRPr lang="lv-LV"/>
          </a:p>
        </c:txPr>
        <c:crossAx val="50712576"/>
        <c:crosses val="autoZero"/>
        <c:crossBetween val="between"/>
      </c:valAx>
      <c:spPr>
        <a:noFill/>
        <a:ln w="25394">
          <a:noFill/>
        </a:ln>
      </c:spPr>
    </c:plotArea>
    <c:legend>
      <c:legendPos val="r"/>
      <c:layout>
        <c:manualLayout>
          <c:xMode val="edge"/>
          <c:yMode val="edge"/>
          <c:x val="0.32113821138211385"/>
          <c:y val="0.9294165448687951"/>
          <c:w val="0.46544715447154472"/>
          <c:h val="5.1589919565263438E-2"/>
        </c:manualLayout>
      </c:layout>
      <c:overlay val="0"/>
      <c:spPr>
        <a:noFill/>
        <a:ln w="25394">
          <a:noFill/>
        </a:ln>
      </c:spPr>
      <c:txPr>
        <a:bodyPr rot="0" vert="horz"/>
        <a:lstStyle/>
        <a:p>
          <a:pPr>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v>Eksports tonnās</c:v>
          </c:tx>
          <c:spPr>
            <a:solidFill>
              <a:srgbClr val="C0504D"/>
            </a:solidFill>
            <a:ln w="25398">
              <a:noFill/>
            </a:ln>
          </c:spPr>
          <c:invertIfNegative val="0"/>
          <c:cat>
            <c:strRef>
              <c:f>'TOP13 eksports'!$B$43:$B$52</c:f>
              <c:strCache>
                <c:ptCount val="10"/>
                <c:pt idx="0">
                  <c:v>Vācija</c:v>
                </c:pt>
                <c:pt idx="1">
                  <c:v>Itālija</c:v>
                </c:pt>
                <c:pt idx="2">
                  <c:v>Nīderlande</c:v>
                </c:pt>
                <c:pt idx="3">
                  <c:v>Beļģija</c:v>
                </c:pt>
                <c:pt idx="4">
                  <c:v>Ķīna</c:v>
                </c:pt>
                <c:pt idx="5">
                  <c:v>Spānija</c:v>
                </c:pt>
                <c:pt idx="6">
                  <c:v>Polija</c:v>
                </c:pt>
                <c:pt idx="7">
                  <c:v>Lietuva</c:v>
                </c:pt>
                <c:pt idx="8">
                  <c:v>Dienvidkoreja</c:v>
                </c:pt>
                <c:pt idx="9">
                  <c:v>Francija</c:v>
                </c:pt>
              </c:strCache>
            </c:strRef>
          </c:cat>
          <c:val>
            <c:numRef>
              <c:f>'TOP13 eksports'!$C$43:$C$52</c:f>
              <c:numCache>
                <c:formatCode>#,##0</c:formatCode>
                <c:ptCount val="10"/>
                <c:pt idx="0">
                  <c:v>317.26585</c:v>
                </c:pt>
                <c:pt idx="1">
                  <c:v>217.65912599999999</c:v>
                </c:pt>
                <c:pt idx="2">
                  <c:v>115.311691</c:v>
                </c:pt>
                <c:pt idx="3">
                  <c:v>107.17992599999999</c:v>
                </c:pt>
                <c:pt idx="4">
                  <c:v>79.326340999999999</c:v>
                </c:pt>
                <c:pt idx="5">
                  <c:v>72.811352999999997</c:v>
                </c:pt>
                <c:pt idx="6">
                  <c:v>66.060405000000003</c:v>
                </c:pt>
                <c:pt idx="7">
                  <c:v>61.788366000000003</c:v>
                </c:pt>
                <c:pt idx="8">
                  <c:v>34.558174000000001</c:v>
                </c:pt>
                <c:pt idx="9">
                  <c:v>33.448028999999998</c:v>
                </c:pt>
              </c:numCache>
            </c:numRef>
          </c:val>
        </c:ser>
        <c:dLbls>
          <c:showLegendKey val="0"/>
          <c:showVal val="0"/>
          <c:showCatName val="0"/>
          <c:showSerName val="0"/>
          <c:showPercent val="0"/>
          <c:showBubbleSize val="0"/>
        </c:dLbls>
        <c:gapWidth val="219"/>
        <c:axId val="144302080"/>
        <c:axId val="144303616"/>
      </c:barChart>
      <c:lineChart>
        <c:grouping val="standard"/>
        <c:varyColors val="0"/>
        <c:ser>
          <c:idx val="1"/>
          <c:order val="1"/>
          <c:tx>
            <c:v>Eksports EUR</c:v>
          </c:tx>
          <c:spPr>
            <a:ln w="28573" cap="rnd">
              <a:solidFill>
                <a:schemeClr val="accent4"/>
              </a:solidFill>
              <a:round/>
            </a:ln>
            <a:effectLst/>
          </c:spPr>
          <c:marker>
            <c:symbol val="none"/>
          </c:marker>
          <c:cat>
            <c:strRef>
              <c:f>'TOP13 eksports'!$B$43:$B$52</c:f>
              <c:strCache>
                <c:ptCount val="10"/>
                <c:pt idx="0">
                  <c:v>Vācija</c:v>
                </c:pt>
                <c:pt idx="1">
                  <c:v>Itālija</c:v>
                </c:pt>
                <c:pt idx="2">
                  <c:v>Nīderlande</c:v>
                </c:pt>
                <c:pt idx="3">
                  <c:v>Beļģija</c:v>
                </c:pt>
                <c:pt idx="4">
                  <c:v>Ķīna</c:v>
                </c:pt>
                <c:pt idx="5">
                  <c:v>Spānija</c:v>
                </c:pt>
                <c:pt idx="6">
                  <c:v>Polija</c:v>
                </c:pt>
                <c:pt idx="7">
                  <c:v>Lietuva</c:v>
                </c:pt>
                <c:pt idx="8">
                  <c:v>Dienvidkoreja</c:v>
                </c:pt>
                <c:pt idx="9">
                  <c:v>Francija</c:v>
                </c:pt>
              </c:strCache>
            </c:strRef>
          </c:cat>
          <c:val>
            <c:numRef>
              <c:f>'TOP13 eksports'!$D$43:$D$52</c:f>
              <c:numCache>
                <c:formatCode>General</c:formatCode>
                <c:ptCount val="10"/>
                <c:pt idx="0">
                  <c:v>24.875795</c:v>
                </c:pt>
                <c:pt idx="1">
                  <c:v>19.259637000000001</c:v>
                </c:pt>
                <c:pt idx="2">
                  <c:v>8.2829650000000008</c:v>
                </c:pt>
                <c:pt idx="3">
                  <c:v>6.8359569999999996</c:v>
                </c:pt>
                <c:pt idx="4">
                  <c:v>16.050114000000001</c:v>
                </c:pt>
                <c:pt idx="5">
                  <c:v>6.6348919999999998</c:v>
                </c:pt>
                <c:pt idx="6">
                  <c:v>5.9192099999999996</c:v>
                </c:pt>
                <c:pt idx="7">
                  <c:v>3.2021039999999998</c:v>
                </c:pt>
                <c:pt idx="8">
                  <c:v>4.0720989999999997</c:v>
                </c:pt>
                <c:pt idx="9">
                  <c:v>3.6327699999999998</c:v>
                </c:pt>
              </c:numCache>
            </c:numRef>
          </c:val>
          <c:smooth val="0"/>
        </c:ser>
        <c:dLbls>
          <c:showLegendKey val="0"/>
          <c:showVal val="0"/>
          <c:showCatName val="0"/>
          <c:showSerName val="0"/>
          <c:showPercent val="0"/>
          <c:showBubbleSize val="0"/>
        </c:dLbls>
        <c:marker val="1"/>
        <c:smooth val="0"/>
        <c:axId val="144305536"/>
        <c:axId val="144508416"/>
      </c:lineChart>
      <c:catAx>
        <c:axId val="144302080"/>
        <c:scaling>
          <c:orientation val="minMax"/>
        </c:scaling>
        <c:delete val="0"/>
        <c:axPos val="b"/>
        <c:numFmt formatCode="General" sourceLinked="1"/>
        <c:majorTickMark val="none"/>
        <c:minorTickMark val="none"/>
        <c:tickLblPos val="nextTo"/>
        <c:spPr>
          <a:noFill/>
          <a:ln w="9524"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303616"/>
        <c:crosses val="autoZero"/>
        <c:auto val="1"/>
        <c:lblAlgn val="ctr"/>
        <c:lblOffset val="100"/>
        <c:noMultiLvlLbl val="0"/>
      </c:catAx>
      <c:valAx>
        <c:axId val="144303616"/>
        <c:scaling>
          <c:orientation val="minMax"/>
        </c:scaling>
        <c:delete val="0"/>
        <c:axPos val="l"/>
        <c:title>
          <c:tx>
            <c:rich>
              <a:bodyPr/>
              <a:lstStyle/>
              <a:p>
                <a:pPr>
                  <a:defRPr sz="1000" b="0" i="0" u="none" strike="noStrike" baseline="0">
                    <a:solidFill>
                      <a:srgbClr val="000000"/>
                    </a:solidFill>
                    <a:latin typeface="Times New Roman"/>
                    <a:ea typeface="Times New Roman"/>
                    <a:cs typeface="Times New Roman"/>
                  </a:defRPr>
                </a:pPr>
                <a:r>
                  <a:rPr lang="lv-LV"/>
                  <a:t>Tūkst tonnas</a:t>
                </a:r>
              </a:p>
            </c:rich>
          </c:tx>
          <c:layout/>
          <c:overlay val="0"/>
          <c:spPr>
            <a:noFill/>
            <a:ln w="25398">
              <a:noFill/>
            </a:ln>
          </c:spPr>
        </c:title>
        <c:numFmt formatCode="#,##0" sourceLinked="1"/>
        <c:majorTickMark val="none"/>
        <c:minorTickMark val="none"/>
        <c:tickLblPos val="nextTo"/>
        <c:spPr>
          <a:ln w="9524">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302080"/>
        <c:crosses val="autoZero"/>
        <c:crossBetween val="between"/>
      </c:valAx>
      <c:catAx>
        <c:axId val="144305536"/>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Valstis</a:t>
                </a:r>
              </a:p>
            </c:rich>
          </c:tx>
          <c:layout>
            <c:manualLayout>
              <c:xMode val="edge"/>
              <c:yMode val="edge"/>
              <c:x val="0.27149978127734031"/>
              <c:y val="0.82638888888888884"/>
            </c:manualLayout>
          </c:layout>
          <c:overlay val="0"/>
          <c:spPr>
            <a:noFill/>
            <a:ln w="25398">
              <a:noFill/>
            </a:ln>
          </c:spPr>
        </c:title>
        <c:numFmt formatCode="General" sourceLinked="1"/>
        <c:majorTickMark val="out"/>
        <c:minorTickMark val="none"/>
        <c:tickLblPos val="nextTo"/>
        <c:crossAx val="144508416"/>
        <c:crosses val="autoZero"/>
        <c:auto val="1"/>
        <c:lblAlgn val="ctr"/>
        <c:lblOffset val="100"/>
        <c:noMultiLvlLbl val="0"/>
      </c:catAx>
      <c:valAx>
        <c:axId val="144508416"/>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Milj. EUR</a:t>
                </a:r>
              </a:p>
            </c:rich>
          </c:tx>
          <c:layout/>
          <c:overlay val="0"/>
          <c:spPr>
            <a:noFill/>
            <a:ln w="25398">
              <a:noFill/>
            </a:ln>
          </c:spPr>
        </c:title>
        <c:numFmt formatCode="General" sourceLinked="1"/>
        <c:majorTickMark val="out"/>
        <c:minorTickMark val="none"/>
        <c:tickLblPos val="nextTo"/>
        <c:spPr>
          <a:ln w="9524">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305536"/>
        <c:crosses val="max"/>
        <c:crossBetween val="between"/>
      </c:valAx>
      <c:spPr>
        <a:noFill/>
        <a:ln w="25398">
          <a:noFill/>
        </a:ln>
      </c:spPr>
    </c:plotArea>
    <c:legend>
      <c:legendPos val="r"/>
      <c:layout>
        <c:manualLayout>
          <c:xMode val="edge"/>
          <c:yMode val="edge"/>
          <c:x val="0.23191489361702128"/>
          <c:y val="0.92912328667249922"/>
          <c:w val="0.53404255319148941"/>
          <c:h val="7.0876713327500743E-2"/>
        </c:manualLayout>
      </c:layout>
      <c:overlay val="0"/>
      <c:spPr>
        <a:noFill/>
        <a:ln w="25398">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Eksports uz Āziju</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'[Diagramma 2 programmā Microsoft Word]Āzija+Eiropa'!$B$4:$B$8</c:f>
              <c:numCache>
                <c:formatCode>General</c:formatCode>
                <c:ptCount val="5"/>
                <c:pt idx="0">
                  <c:v>2012</c:v>
                </c:pt>
                <c:pt idx="1">
                  <c:v>2013</c:v>
                </c:pt>
                <c:pt idx="2">
                  <c:v>2014</c:v>
                </c:pt>
                <c:pt idx="3">
                  <c:v>2015</c:v>
                </c:pt>
                <c:pt idx="4">
                  <c:v>2016</c:v>
                </c:pt>
              </c:numCache>
            </c:numRef>
          </c:cat>
          <c:val>
            <c:numRef>
              <c:f>'[Diagramma 2 programmā Microsoft Word]Āzija+Eiropa'!$C$4:$C$8</c:f>
              <c:numCache>
                <c:formatCode>0.00</c:formatCode>
                <c:ptCount val="5"/>
                <c:pt idx="0">
                  <c:v>16.077570999999999</c:v>
                </c:pt>
                <c:pt idx="1">
                  <c:v>15.31589</c:v>
                </c:pt>
                <c:pt idx="2">
                  <c:v>20.460031000000001</c:v>
                </c:pt>
                <c:pt idx="3">
                  <c:v>27.184660999999998</c:v>
                </c:pt>
                <c:pt idx="4">
                  <c:v>32.535209999999999</c:v>
                </c:pt>
              </c:numCache>
            </c:numRef>
          </c:val>
          <c:extLst xmlns:c16r2="http://schemas.microsoft.com/office/drawing/2015/06/chart">
            <c:ext xmlns:c16="http://schemas.microsoft.com/office/drawing/2014/chart" uri="{C3380CC4-5D6E-409C-BE32-E72D297353CC}">
              <c16:uniqueId val="{00000000-43CB-482B-8423-D007DD150B18}"/>
            </c:ext>
          </c:extLst>
        </c:ser>
        <c:ser>
          <c:idx val="1"/>
          <c:order val="1"/>
          <c:tx>
            <c:v>Eksports uz Eiropu</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'[Diagramma 2 programmā Microsoft Word]Āzija+Eiropa'!$B$4:$B$8</c:f>
              <c:numCache>
                <c:formatCode>General</c:formatCode>
                <c:ptCount val="5"/>
                <c:pt idx="0">
                  <c:v>2012</c:v>
                </c:pt>
                <c:pt idx="1">
                  <c:v>2013</c:v>
                </c:pt>
                <c:pt idx="2">
                  <c:v>2014</c:v>
                </c:pt>
                <c:pt idx="3">
                  <c:v>2015</c:v>
                </c:pt>
                <c:pt idx="4">
                  <c:v>2016</c:v>
                </c:pt>
              </c:numCache>
            </c:numRef>
          </c:cat>
          <c:val>
            <c:numRef>
              <c:f>'[Diagramma 2 programmā Microsoft Word]Āzija+Eiropa'!$E$4:$E$8</c:f>
              <c:numCache>
                <c:formatCode>0.00</c:formatCode>
                <c:ptCount val="5"/>
                <c:pt idx="0">
                  <c:v>79.861523000000005</c:v>
                </c:pt>
                <c:pt idx="1">
                  <c:v>89.136072999999996</c:v>
                </c:pt>
                <c:pt idx="2">
                  <c:v>87.665350000000004</c:v>
                </c:pt>
                <c:pt idx="3">
                  <c:v>84.678049999999999</c:v>
                </c:pt>
                <c:pt idx="4">
                  <c:v>83.125389999999996</c:v>
                </c:pt>
              </c:numCache>
            </c:numRef>
          </c:val>
          <c:extLst xmlns:c16r2="http://schemas.microsoft.com/office/drawing/2015/06/chart">
            <c:ext xmlns:c16="http://schemas.microsoft.com/office/drawing/2014/chart" uri="{C3380CC4-5D6E-409C-BE32-E72D297353CC}">
              <c16:uniqueId val="{00000001-43CB-482B-8423-D007DD150B18}"/>
            </c:ext>
          </c:extLst>
        </c:ser>
        <c:dLbls>
          <c:dLblPos val="outEnd"/>
          <c:showLegendKey val="0"/>
          <c:showVal val="1"/>
          <c:showCatName val="0"/>
          <c:showSerName val="0"/>
          <c:showPercent val="0"/>
          <c:showBubbleSize val="0"/>
        </c:dLbls>
        <c:gapWidth val="219"/>
        <c:overlap val="-27"/>
        <c:axId val="144609664"/>
        <c:axId val="144611584"/>
      </c:barChart>
      <c:catAx>
        <c:axId val="144609664"/>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Gadi</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611584"/>
        <c:crosses val="autoZero"/>
        <c:auto val="1"/>
        <c:lblAlgn val="ctr"/>
        <c:lblOffset val="100"/>
        <c:noMultiLvlLbl val="0"/>
      </c:catAx>
      <c:valAx>
        <c:axId val="144611584"/>
        <c:scaling>
          <c:orientation val="minMax"/>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Milj. EUR</a:t>
                </a:r>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60966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Eksports uz Āziju</c:v>
          </c:tx>
          <c:spPr>
            <a:solidFill>
              <a:schemeClr val="accent2"/>
            </a:solidFill>
            <a:ln>
              <a:noFill/>
            </a:ln>
            <a:effectLst/>
          </c:spPr>
          <c:invertIfNegative val="0"/>
          <c:dLbls>
            <c:dLbl>
              <c:idx val="0"/>
              <c:layout>
                <c:manualLayout>
                  <c:x val="-1.6048146123214379E-2"/>
                  <c:y val="-8.2442353240188197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7013-4886-BFA6-23B57900B1CD}"/>
                </c:ext>
                <c:ext xmlns:c15="http://schemas.microsoft.com/office/drawing/2012/chart" uri="{CE6537A1-D6FC-4f65-9D91-7224C49458BB}"/>
              </c:extLst>
            </c:dLbl>
            <c:dLbl>
              <c:idx val="1"/>
              <c:layout>
                <c:manualLayout>
                  <c:x val="-1.069876408214292E-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013-4886-BFA6-23B57900B1CD}"/>
                </c:ext>
                <c:ext xmlns:c15="http://schemas.microsoft.com/office/drawing/2012/chart" uri="{CE6537A1-D6FC-4f65-9D91-7224C49458BB}"/>
              </c:extLst>
            </c:dLbl>
            <c:dLbl>
              <c:idx val="2"/>
              <c:layout>
                <c:manualLayout>
                  <c:x val="-1.337345510267865E-2"/>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7013-4886-BFA6-23B57900B1CD}"/>
                </c:ext>
                <c:ext xmlns:c15="http://schemas.microsoft.com/office/drawing/2012/chart" uri="{CE6537A1-D6FC-4f65-9D91-7224C49458BB}"/>
              </c:extLst>
            </c:dLbl>
            <c:dLbl>
              <c:idx val="3"/>
              <c:layout>
                <c:manualLayout>
                  <c:x val="-2.407221918482157E-2"/>
                  <c:y val="-8.2442353240188197E-1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013-4886-BFA6-23B57900B1CD}"/>
                </c:ext>
                <c:ext xmlns:c15="http://schemas.microsoft.com/office/drawing/2012/chart" uri="{CE6537A1-D6FC-4f65-9D91-7224C49458BB}"/>
              </c:extLst>
            </c:dLbl>
            <c:dLbl>
              <c:idx val="4"/>
              <c:layout>
                <c:manualLayout>
                  <c:x val="-1.337345510267865E-2"/>
                  <c:y val="-4.4969075793429769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7013-4886-BFA6-23B57900B1CD}"/>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'[Diagramma 2 programmā Microsoft Word]Āzija+Eiropa'!$B$4:$B$8</c:f>
              <c:numCache>
                <c:formatCode>General</c:formatCode>
                <c:ptCount val="5"/>
                <c:pt idx="0">
                  <c:v>2012</c:v>
                </c:pt>
                <c:pt idx="1">
                  <c:v>2013</c:v>
                </c:pt>
                <c:pt idx="2">
                  <c:v>2014</c:v>
                </c:pt>
                <c:pt idx="3">
                  <c:v>2015</c:v>
                </c:pt>
                <c:pt idx="4">
                  <c:v>2016</c:v>
                </c:pt>
              </c:numCache>
            </c:numRef>
          </c:cat>
          <c:val>
            <c:numRef>
              <c:f>'[Diagramma 2 programmā Microsoft Word]Āzija+Eiropa'!$D$4:$D$8</c:f>
              <c:numCache>
                <c:formatCode>0.00</c:formatCode>
                <c:ptCount val="5"/>
                <c:pt idx="0">
                  <c:v>0.119475</c:v>
                </c:pt>
                <c:pt idx="1">
                  <c:v>0.12743299999999999</c:v>
                </c:pt>
                <c:pt idx="2">
                  <c:v>0.144178</c:v>
                </c:pt>
                <c:pt idx="3">
                  <c:v>0.116452</c:v>
                </c:pt>
                <c:pt idx="4">
                  <c:v>0.203765</c:v>
                </c:pt>
              </c:numCache>
            </c:numRef>
          </c:val>
          <c:extLst xmlns:c16r2="http://schemas.microsoft.com/office/drawing/2015/06/chart">
            <c:ext xmlns:c16="http://schemas.microsoft.com/office/drawing/2014/chart" uri="{C3380CC4-5D6E-409C-BE32-E72D297353CC}">
              <c16:uniqueId val="{00000005-7013-4886-BFA6-23B57900B1CD}"/>
            </c:ext>
          </c:extLst>
        </c:ser>
        <c:ser>
          <c:idx val="1"/>
          <c:order val="1"/>
          <c:tx>
            <c:v>Eksports uz Eiropu</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'[Diagramma 2 programmā Microsoft Word]Āzija+Eiropa'!$B$4:$B$8</c:f>
              <c:numCache>
                <c:formatCode>General</c:formatCode>
                <c:ptCount val="5"/>
                <c:pt idx="0">
                  <c:v>2012</c:v>
                </c:pt>
                <c:pt idx="1">
                  <c:v>2013</c:v>
                </c:pt>
                <c:pt idx="2">
                  <c:v>2014</c:v>
                </c:pt>
                <c:pt idx="3">
                  <c:v>2015</c:v>
                </c:pt>
                <c:pt idx="4">
                  <c:v>2016</c:v>
                </c:pt>
              </c:numCache>
            </c:numRef>
          </c:cat>
          <c:val>
            <c:numRef>
              <c:f>'[Diagramma 2 programmā Microsoft Word]Āzija+Eiropa'!$F$4:$F$8</c:f>
              <c:numCache>
                <c:formatCode>0.00</c:formatCode>
                <c:ptCount val="5"/>
                <c:pt idx="0">
                  <c:v>0.98243999999999998</c:v>
                </c:pt>
                <c:pt idx="1">
                  <c:v>1.0381899999999999</c:v>
                </c:pt>
                <c:pt idx="2">
                  <c:v>1.086184</c:v>
                </c:pt>
                <c:pt idx="3">
                  <c:v>0.84209000000000001</c:v>
                </c:pt>
                <c:pt idx="4">
                  <c:v>1.005833</c:v>
                </c:pt>
              </c:numCache>
            </c:numRef>
          </c:val>
          <c:extLst xmlns:c16r2="http://schemas.microsoft.com/office/drawing/2015/06/chart">
            <c:ext xmlns:c16="http://schemas.microsoft.com/office/drawing/2014/chart" uri="{C3380CC4-5D6E-409C-BE32-E72D297353CC}">
              <c16:uniqueId val="{00000006-7013-4886-BFA6-23B57900B1CD}"/>
            </c:ext>
          </c:extLst>
        </c:ser>
        <c:dLbls>
          <c:dLblPos val="outEnd"/>
          <c:showLegendKey val="0"/>
          <c:showVal val="1"/>
          <c:showCatName val="0"/>
          <c:showSerName val="0"/>
          <c:showPercent val="0"/>
          <c:showBubbleSize val="0"/>
        </c:dLbls>
        <c:gapWidth val="219"/>
        <c:overlap val="-27"/>
        <c:axId val="144743040"/>
        <c:axId val="144757504"/>
      </c:barChart>
      <c:catAx>
        <c:axId val="14474304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Gadi</a:t>
                </a: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757504"/>
        <c:crosses val="autoZero"/>
        <c:auto val="1"/>
        <c:lblAlgn val="ctr"/>
        <c:lblOffset val="100"/>
        <c:noMultiLvlLbl val="0"/>
      </c:catAx>
      <c:valAx>
        <c:axId val="144757504"/>
        <c:scaling>
          <c:orientation val="minMax"/>
        </c:scaling>
        <c:delete val="0"/>
        <c:axPos val="l"/>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lv-LV"/>
                  <a:t>Milj. tonnas</a:t>
                </a:r>
              </a:p>
            </c:rich>
          </c:tx>
          <c:layout/>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7430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Āzija!$B$14</c:f>
              <c:strCache>
                <c:ptCount val="1"/>
                <c:pt idx="0">
                  <c:v>Japāna</c:v>
                </c:pt>
              </c:strCache>
            </c:strRef>
          </c:tx>
          <c:spPr>
            <a:solidFill>
              <a:srgbClr val="C0504D"/>
            </a:solidFill>
            <a:ln w="25360">
              <a:noFill/>
            </a:ln>
          </c:spPr>
          <c:invertIfNegative val="0"/>
          <c:dLbls>
            <c:dLbl>
              <c:idx val="1"/>
              <c:layout>
                <c:manualLayout>
                  <c:x val="-4.9382716049382715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7.4074074074074077E-3"/>
                  <c:y val="1.4285714285714285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4074074074074979E-3"/>
                  <c:y val="0"/>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9.876543209876543E-3"/>
                  <c:y val="9.5238095238095247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60">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Āzija!$A$17:$A$21</c:f>
              <c:numCache>
                <c:formatCode>General</c:formatCode>
                <c:ptCount val="5"/>
                <c:pt idx="0">
                  <c:v>2012</c:v>
                </c:pt>
                <c:pt idx="1">
                  <c:v>2013</c:v>
                </c:pt>
                <c:pt idx="2">
                  <c:v>2014</c:v>
                </c:pt>
                <c:pt idx="3">
                  <c:v>2015</c:v>
                </c:pt>
                <c:pt idx="4">
                  <c:v>2016</c:v>
                </c:pt>
              </c:numCache>
            </c:numRef>
          </c:cat>
          <c:val>
            <c:numRef>
              <c:f>Āzija!$B$17:$B$21</c:f>
              <c:numCache>
                <c:formatCode>0.0</c:formatCode>
                <c:ptCount val="5"/>
                <c:pt idx="0">
                  <c:v>3.2066210000000002</c:v>
                </c:pt>
                <c:pt idx="1">
                  <c:v>2.7055609999999999</c:v>
                </c:pt>
                <c:pt idx="2">
                  <c:v>2.885491</c:v>
                </c:pt>
                <c:pt idx="3">
                  <c:v>3.1236250000000001</c:v>
                </c:pt>
                <c:pt idx="4">
                  <c:v>3.5857230000000002</c:v>
                </c:pt>
              </c:numCache>
            </c:numRef>
          </c:val>
        </c:ser>
        <c:ser>
          <c:idx val="1"/>
          <c:order val="1"/>
          <c:tx>
            <c:strRef>
              <c:f>Āzija!$C$14</c:f>
              <c:strCache>
                <c:ptCount val="1"/>
                <c:pt idx="0">
                  <c:v>Dienvidkoreja</c:v>
                </c:pt>
              </c:strCache>
            </c:strRef>
          </c:tx>
          <c:spPr>
            <a:solidFill>
              <a:srgbClr val="8064A2"/>
            </a:solidFill>
            <a:ln w="25360">
              <a:noFill/>
            </a:ln>
          </c:spPr>
          <c:invertIfNegative val="0"/>
          <c:dLbls>
            <c:dLbl>
              <c:idx val="1"/>
              <c:layout>
                <c:manualLayout>
                  <c:x val="0"/>
                  <c:y val="1.4285714285714199E-2"/>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9.0533933568142166E-17"/>
                  <c:y val="9.5238095238095247E-3"/>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60">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Āzija!$A$17:$A$21</c:f>
              <c:numCache>
                <c:formatCode>General</c:formatCode>
                <c:ptCount val="5"/>
                <c:pt idx="0">
                  <c:v>2012</c:v>
                </c:pt>
                <c:pt idx="1">
                  <c:v>2013</c:v>
                </c:pt>
                <c:pt idx="2">
                  <c:v>2014</c:v>
                </c:pt>
                <c:pt idx="3">
                  <c:v>2015</c:v>
                </c:pt>
                <c:pt idx="4">
                  <c:v>2016</c:v>
                </c:pt>
              </c:numCache>
            </c:numRef>
          </c:cat>
          <c:val>
            <c:numRef>
              <c:f>Āzija!$C$17:$C$21</c:f>
              <c:numCache>
                <c:formatCode>0.0</c:formatCode>
                <c:ptCount val="5"/>
                <c:pt idx="0">
                  <c:v>1.9938530000000001</c:v>
                </c:pt>
                <c:pt idx="1">
                  <c:v>2.4179140000000001</c:v>
                </c:pt>
                <c:pt idx="2">
                  <c:v>3.0488010000000001</c:v>
                </c:pt>
                <c:pt idx="3">
                  <c:v>2.8554580000000001</c:v>
                </c:pt>
                <c:pt idx="4">
                  <c:v>4.0720989999999997</c:v>
                </c:pt>
              </c:numCache>
            </c:numRef>
          </c:val>
        </c:ser>
        <c:ser>
          <c:idx val="2"/>
          <c:order val="2"/>
          <c:tx>
            <c:strRef>
              <c:f>Āzija!$E$14</c:f>
              <c:strCache>
                <c:ptCount val="1"/>
                <c:pt idx="0">
                  <c:v>Saūda Arābija</c:v>
                </c:pt>
              </c:strCache>
            </c:strRef>
          </c:tx>
          <c:spPr>
            <a:solidFill>
              <a:srgbClr val="F79646"/>
            </a:solidFill>
            <a:ln w="25360">
              <a:noFill/>
            </a:ln>
          </c:spPr>
          <c:invertIfNegative val="0"/>
          <c:dLbls>
            <c:spPr>
              <a:noFill/>
              <a:ln w="25360">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Āzija!$A$17:$A$21</c:f>
              <c:numCache>
                <c:formatCode>General</c:formatCode>
                <c:ptCount val="5"/>
                <c:pt idx="0">
                  <c:v>2012</c:v>
                </c:pt>
                <c:pt idx="1">
                  <c:v>2013</c:v>
                </c:pt>
                <c:pt idx="2">
                  <c:v>2014</c:v>
                </c:pt>
                <c:pt idx="3">
                  <c:v>2015</c:v>
                </c:pt>
                <c:pt idx="4">
                  <c:v>2016</c:v>
                </c:pt>
              </c:numCache>
            </c:numRef>
          </c:cat>
          <c:val>
            <c:numRef>
              <c:f>Āzija!$E$17:$E$21</c:f>
              <c:numCache>
                <c:formatCode>0.0</c:formatCode>
                <c:ptCount val="5"/>
                <c:pt idx="0">
                  <c:v>0.55798800000000004</c:v>
                </c:pt>
                <c:pt idx="1">
                  <c:v>0.84700900000000001</c:v>
                </c:pt>
                <c:pt idx="2">
                  <c:v>0.68512899999999999</c:v>
                </c:pt>
                <c:pt idx="3">
                  <c:v>1.081337</c:v>
                </c:pt>
                <c:pt idx="4">
                  <c:v>0.57219200000000003</c:v>
                </c:pt>
              </c:numCache>
            </c:numRef>
          </c:val>
        </c:ser>
        <c:ser>
          <c:idx val="4"/>
          <c:order val="3"/>
          <c:tx>
            <c:strRef>
              <c:f>Āzija!$D$14</c:f>
              <c:strCache>
                <c:ptCount val="1"/>
                <c:pt idx="0">
                  <c:v>Ķīna</c:v>
                </c:pt>
              </c:strCache>
            </c:strRef>
          </c:tx>
          <c:spPr>
            <a:solidFill>
              <a:schemeClr val="accent4">
                <a:lumMod val="60000"/>
              </a:schemeClr>
            </a:solidFill>
            <a:ln>
              <a:noFill/>
            </a:ln>
            <a:effectLst/>
          </c:spPr>
          <c:invertIfNegative val="0"/>
          <c:dLbls>
            <c:spPr>
              <a:noFill/>
              <a:ln w="25360">
                <a:noFill/>
              </a:ln>
            </c:spPr>
            <c:txPr>
              <a:bodyPr rot="0" spcFirstLastPara="1" vertOverflow="ellipsis" vert="horz" wrap="square" lIns="38100" tIns="19050" rIns="38100" bIns="19050" anchor="ctr" anchorCtr="1">
                <a:spAutoFit/>
              </a:bodyPr>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Āzija!$D$17:$D$21</c:f>
              <c:numCache>
                <c:formatCode>0.0</c:formatCode>
                <c:ptCount val="5"/>
                <c:pt idx="0">
                  <c:v>5.3643289999999997</c:v>
                </c:pt>
                <c:pt idx="1">
                  <c:v>6.5704149999999997</c:v>
                </c:pt>
                <c:pt idx="2">
                  <c:v>9.6260069999999995</c:v>
                </c:pt>
                <c:pt idx="3">
                  <c:v>12.631</c:v>
                </c:pt>
                <c:pt idx="4">
                  <c:v>16.050114000000001</c:v>
                </c:pt>
              </c:numCache>
            </c:numRef>
          </c:val>
        </c:ser>
        <c:dLbls>
          <c:showLegendKey val="0"/>
          <c:showVal val="0"/>
          <c:showCatName val="0"/>
          <c:showSerName val="0"/>
          <c:showPercent val="0"/>
          <c:showBubbleSize val="0"/>
        </c:dLbls>
        <c:gapWidth val="219"/>
        <c:overlap val="-27"/>
        <c:axId val="144909056"/>
        <c:axId val="144910976"/>
      </c:barChart>
      <c:catAx>
        <c:axId val="144909056"/>
        <c:scaling>
          <c:orientation val="minMax"/>
        </c:scaling>
        <c:delete val="0"/>
        <c:axPos val="b"/>
        <c:title>
          <c:tx>
            <c:rich>
              <a:bodyPr/>
              <a:lstStyle/>
              <a:p>
                <a:pPr>
                  <a:defRPr sz="1098" b="0" i="0" u="none" strike="noStrike" baseline="0">
                    <a:solidFill>
                      <a:srgbClr val="000000"/>
                    </a:solidFill>
                    <a:latin typeface="Calibri"/>
                    <a:ea typeface="Calibri"/>
                    <a:cs typeface="Calibri"/>
                  </a:defRPr>
                </a:pPr>
                <a:r>
                  <a:rPr lang="lv-LV" sz="998" b="0" i="0" u="none" strike="noStrike" baseline="0">
                    <a:solidFill>
                      <a:srgbClr val="000000"/>
                    </a:solidFill>
                    <a:latin typeface="Times New Roman"/>
                    <a:cs typeface="Times New Roman"/>
                  </a:rPr>
                  <a:t>Gadi</a:t>
                </a:r>
              </a:p>
            </c:rich>
          </c:tx>
          <c:layout/>
          <c:overlay val="0"/>
          <c:spPr>
            <a:noFill/>
            <a:ln w="25360">
              <a:noFill/>
            </a:ln>
          </c:spPr>
        </c:title>
        <c:numFmt formatCode="General" sourceLinked="1"/>
        <c:majorTickMark val="none"/>
        <c:minorTickMark val="none"/>
        <c:tickLblPos val="nextTo"/>
        <c:spPr>
          <a:noFill/>
          <a:ln w="9510"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910976"/>
        <c:crosses val="autoZero"/>
        <c:auto val="1"/>
        <c:lblAlgn val="ctr"/>
        <c:lblOffset val="100"/>
        <c:noMultiLvlLbl val="0"/>
      </c:catAx>
      <c:valAx>
        <c:axId val="144910976"/>
        <c:scaling>
          <c:orientation val="minMax"/>
        </c:scaling>
        <c:delete val="0"/>
        <c:axPos val="l"/>
        <c:title>
          <c:tx>
            <c:rich>
              <a:bodyPr/>
              <a:lstStyle/>
              <a:p>
                <a:pPr>
                  <a:defRPr sz="998" b="0" i="0" u="none" strike="noStrike" baseline="0">
                    <a:solidFill>
                      <a:srgbClr val="000000"/>
                    </a:solidFill>
                    <a:latin typeface="Times New Roman"/>
                    <a:ea typeface="Times New Roman"/>
                    <a:cs typeface="Times New Roman"/>
                  </a:defRPr>
                </a:pPr>
                <a:r>
                  <a:rPr lang="lv-LV"/>
                  <a:t>Milj. EUR</a:t>
                </a:r>
              </a:p>
            </c:rich>
          </c:tx>
          <c:layout/>
          <c:overlay val="0"/>
          <c:spPr>
            <a:noFill/>
            <a:ln w="25360">
              <a:noFill/>
            </a:ln>
          </c:spPr>
        </c:title>
        <c:numFmt formatCode="0.0" sourceLinked="1"/>
        <c:majorTickMark val="none"/>
        <c:minorTickMark val="none"/>
        <c:tickLblPos val="nextTo"/>
        <c:spPr>
          <a:ln w="9510">
            <a:noFill/>
          </a:ln>
        </c:spPr>
        <c:txPr>
          <a:bodyPr rot="-6000000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4909056"/>
        <c:crosses val="autoZero"/>
        <c:crossBetween val="between"/>
      </c:valAx>
      <c:spPr>
        <a:noFill/>
        <a:ln w="25360">
          <a:noFill/>
        </a:ln>
      </c:spPr>
    </c:plotArea>
    <c:legend>
      <c:legendPos val="r"/>
      <c:layout>
        <c:manualLayout>
          <c:xMode val="edge"/>
          <c:yMode val="edge"/>
          <c:x val="0.214"/>
          <c:y val="0.91487330531052025"/>
          <c:w val="0.57799999999999996"/>
          <c:h val="7.8385432084147375E-2"/>
        </c:manualLayout>
      </c:layout>
      <c:overlay val="0"/>
      <c:spPr>
        <a:noFill/>
        <a:ln w="25360">
          <a:noFill/>
        </a:ln>
      </c:spPr>
      <c:txPr>
        <a:bodyPr rot="0" spcFirstLastPara="1" vertOverflow="ellipsis" vert="horz" wrap="square" anchor="ctr" anchorCtr="1"/>
        <a:lstStyle/>
        <a:p>
          <a:pPr>
            <a:defRPr sz="899"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lv-LV"/>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ES!$B$13</c:f>
              <c:strCache>
                <c:ptCount val="1"/>
                <c:pt idx="0">
                  <c:v>Beļģija</c:v>
                </c:pt>
              </c:strCache>
            </c:strRef>
          </c:tx>
          <c:spPr>
            <a:solidFill>
              <a:srgbClr val="C0504D"/>
            </a:solidFill>
            <a:ln w="25354">
              <a:noFill/>
            </a:ln>
          </c:spPr>
          <c:invertIfNegative val="0"/>
          <c:dLbls>
            <c:spPr>
              <a:noFill/>
              <a:ln w="25354">
                <a:noFill/>
              </a:ln>
            </c:spPr>
            <c:txPr>
              <a:bodyPr rot="0" spcFirstLastPara="1" vertOverflow="ellipsis" vert="horz" wrap="square" lIns="38100" tIns="19050" rIns="38100" bIns="19050" anchor="ctr" anchorCtr="1">
                <a:spAutoFit/>
              </a:bodyPr>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ES!$A$16:$A$20</c:f>
              <c:numCache>
                <c:formatCode>General</c:formatCode>
                <c:ptCount val="5"/>
                <c:pt idx="0">
                  <c:v>2012</c:v>
                </c:pt>
                <c:pt idx="1">
                  <c:v>2013</c:v>
                </c:pt>
                <c:pt idx="2">
                  <c:v>2014</c:v>
                </c:pt>
                <c:pt idx="3">
                  <c:v>2015</c:v>
                </c:pt>
                <c:pt idx="4">
                  <c:v>2016</c:v>
                </c:pt>
              </c:numCache>
            </c:numRef>
          </c:cat>
          <c:val>
            <c:numRef>
              <c:f>ES!$B$16:$B$20</c:f>
              <c:numCache>
                <c:formatCode>0.0</c:formatCode>
                <c:ptCount val="5"/>
                <c:pt idx="0">
                  <c:v>4.2279499999999999</c:v>
                </c:pt>
                <c:pt idx="1">
                  <c:v>4.5549239999999998</c:v>
                </c:pt>
                <c:pt idx="2">
                  <c:v>5.9994630000000004</c:v>
                </c:pt>
                <c:pt idx="3">
                  <c:v>7.3001699999999996</c:v>
                </c:pt>
                <c:pt idx="4">
                  <c:v>6.8359569999999996</c:v>
                </c:pt>
              </c:numCache>
            </c:numRef>
          </c:val>
        </c:ser>
        <c:ser>
          <c:idx val="1"/>
          <c:order val="1"/>
          <c:tx>
            <c:strRef>
              <c:f>ES!$C$13</c:f>
              <c:strCache>
                <c:ptCount val="1"/>
                <c:pt idx="0">
                  <c:v>Vācija </c:v>
                </c:pt>
              </c:strCache>
            </c:strRef>
          </c:tx>
          <c:spPr>
            <a:solidFill>
              <a:srgbClr val="8064A2"/>
            </a:solidFill>
            <a:ln w="25354">
              <a:noFill/>
            </a:ln>
          </c:spPr>
          <c:invertIfNegative val="0"/>
          <c:dLbls>
            <c:dLbl>
              <c:idx val="1"/>
              <c:layout>
                <c:manualLayout>
                  <c:x val="-8.3333333333333332E-3"/>
                  <c:y val="2.1218890680033321E-1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54">
                <a:noFill/>
              </a:ln>
            </c:spPr>
            <c:txPr>
              <a:bodyPr rot="0" spcFirstLastPara="1" vertOverflow="ellipsis" vert="horz" wrap="square" lIns="38100" tIns="19050" rIns="38100" bIns="19050" anchor="ctr" anchorCtr="1">
                <a:spAutoFit/>
              </a:bodyPr>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ES!$A$16:$A$20</c:f>
              <c:numCache>
                <c:formatCode>General</c:formatCode>
                <c:ptCount val="5"/>
                <c:pt idx="0">
                  <c:v>2012</c:v>
                </c:pt>
                <c:pt idx="1">
                  <c:v>2013</c:v>
                </c:pt>
                <c:pt idx="2">
                  <c:v>2014</c:v>
                </c:pt>
                <c:pt idx="3">
                  <c:v>2015</c:v>
                </c:pt>
                <c:pt idx="4">
                  <c:v>2016</c:v>
                </c:pt>
              </c:numCache>
            </c:numRef>
          </c:cat>
          <c:val>
            <c:numRef>
              <c:f>ES!$C$16:$C$20</c:f>
              <c:numCache>
                <c:formatCode>0.0</c:formatCode>
                <c:ptCount val="5"/>
                <c:pt idx="0">
                  <c:v>22.478252000000001</c:v>
                </c:pt>
                <c:pt idx="1">
                  <c:v>21.171275999999999</c:v>
                </c:pt>
                <c:pt idx="2">
                  <c:v>24.151990999999999</c:v>
                </c:pt>
                <c:pt idx="3">
                  <c:v>21.868030000000001</c:v>
                </c:pt>
                <c:pt idx="4">
                  <c:v>24.875795</c:v>
                </c:pt>
              </c:numCache>
            </c:numRef>
          </c:val>
        </c:ser>
        <c:ser>
          <c:idx val="2"/>
          <c:order val="2"/>
          <c:tx>
            <c:strRef>
              <c:f>ES!$D$13</c:f>
              <c:strCache>
                <c:ptCount val="1"/>
                <c:pt idx="0">
                  <c:v>Itālija</c:v>
                </c:pt>
              </c:strCache>
            </c:strRef>
          </c:tx>
          <c:spPr>
            <a:solidFill>
              <a:srgbClr val="F79646"/>
            </a:solidFill>
            <a:ln w="25354">
              <a:noFill/>
            </a:ln>
          </c:spPr>
          <c:invertIfNegative val="0"/>
          <c:dLbls>
            <c:dLbl>
              <c:idx val="0"/>
              <c:layout>
                <c:manualLayout>
                  <c:x val="1.6666666666666642E-2"/>
                  <c:y val="-4.2437781360066642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3888888888888888E-2"/>
                  <c:y val="4.6296296296296294E-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1.3888888888888788E-2"/>
                  <c:y val="-4.2437781360066642E-17"/>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3888888888888788E-2"/>
                  <c:y val="-4.2437781360066642E-17"/>
                </c:manualLayout>
              </c:layout>
              <c:dLblPos val="outEnd"/>
              <c:showLegendKey val="0"/>
              <c:showVal val="1"/>
              <c:showCatName val="0"/>
              <c:showSerName val="0"/>
              <c:showPercent val="0"/>
              <c:showBubbleSize val="0"/>
              <c:extLst>
                <c:ext xmlns:c15="http://schemas.microsoft.com/office/drawing/2012/chart" uri="{CE6537A1-D6FC-4f65-9D91-7224C49458BB}"/>
              </c:extLst>
            </c:dLbl>
            <c:spPr>
              <a:noFill/>
              <a:ln w="25354">
                <a:noFill/>
              </a:ln>
            </c:spPr>
            <c:txPr>
              <a:bodyPr rot="0" spcFirstLastPara="1" vertOverflow="ellipsis" vert="horz" wrap="square" lIns="38100" tIns="19050" rIns="38100" bIns="19050" anchor="ctr" anchorCtr="1">
                <a:spAutoFit/>
              </a:bodyPr>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ES!$A$16:$A$20</c:f>
              <c:numCache>
                <c:formatCode>General</c:formatCode>
                <c:ptCount val="5"/>
                <c:pt idx="0">
                  <c:v>2012</c:v>
                </c:pt>
                <c:pt idx="1">
                  <c:v>2013</c:v>
                </c:pt>
                <c:pt idx="2">
                  <c:v>2014</c:v>
                </c:pt>
                <c:pt idx="3">
                  <c:v>2015</c:v>
                </c:pt>
                <c:pt idx="4">
                  <c:v>2016</c:v>
                </c:pt>
              </c:numCache>
            </c:numRef>
          </c:cat>
          <c:val>
            <c:numRef>
              <c:f>ES!$D$16:$D$20</c:f>
              <c:numCache>
                <c:formatCode>0.0</c:formatCode>
                <c:ptCount val="5"/>
                <c:pt idx="0">
                  <c:v>19.319956999999999</c:v>
                </c:pt>
                <c:pt idx="1">
                  <c:v>23.414055000000001</c:v>
                </c:pt>
                <c:pt idx="2">
                  <c:v>20.781997</c:v>
                </c:pt>
                <c:pt idx="3">
                  <c:v>19.467122</c:v>
                </c:pt>
                <c:pt idx="4">
                  <c:v>19.259637000000001</c:v>
                </c:pt>
              </c:numCache>
            </c:numRef>
          </c:val>
        </c:ser>
        <c:ser>
          <c:idx val="3"/>
          <c:order val="3"/>
          <c:tx>
            <c:strRef>
              <c:f>ES!$E$13</c:f>
              <c:strCache>
                <c:ptCount val="1"/>
                <c:pt idx="0">
                  <c:v>Nīderlande</c:v>
                </c:pt>
              </c:strCache>
            </c:strRef>
          </c:tx>
          <c:spPr>
            <a:solidFill>
              <a:schemeClr val="accent2">
                <a:lumMod val="60000"/>
              </a:schemeClr>
            </a:solidFill>
            <a:ln>
              <a:noFill/>
            </a:ln>
            <a:effectLst/>
          </c:spPr>
          <c:invertIfNegative val="0"/>
          <c:dLbls>
            <c:spPr>
              <a:noFill/>
              <a:ln w="25354">
                <a:noFill/>
              </a:ln>
            </c:spPr>
            <c:txPr>
              <a:bodyPr rot="0" spcFirstLastPara="1" vertOverflow="ellipsis" vert="horz" wrap="square" lIns="38100" tIns="19050" rIns="38100" bIns="19050" anchor="ctr" anchorCtr="1">
                <a:spAutoFit/>
              </a:bodyPr>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ES!$A$16:$A$20</c:f>
              <c:numCache>
                <c:formatCode>General</c:formatCode>
                <c:ptCount val="5"/>
                <c:pt idx="0">
                  <c:v>2012</c:v>
                </c:pt>
                <c:pt idx="1">
                  <c:v>2013</c:v>
                </c:pt>
                <c:pt idx="2">
                  <c:v>2014</c:v>
                </c:pt>
                <c:pt idx="3">
                  <c:v>2015</c:v>
                </c:pt>
                <c:pt idx="4">
                  <c:v>2016</c:v>
                </c:pt>
              </c:numCache>
            </c:numRef>
          </c:cat>
          <c:val>
            <c:numRef>
              <c:f>ES!$E$16:$E$20</c:f>
              <c:numCache>
                <c:formatCode>0.0</c:formatCode>
                <c:ptCount val="5"/>
                <c:pt idx="0">
                  <c:v>9.2311029999999992</c:v>
                </c:pt>
                <c:pt idx="1">
                  <c:v>8.6552330000000008</c:v>
                </c:pt>
                <c:pt idx="2">
                  <c:v>7.2327729999999999</c:v>
                </c:pt>
                <c:pt idx="3">
                  <c:v>6.8560429999999997</c:v>
                </c:pt>
                <c:pt idx="4">
                  <c:v>8.2829650000000008</c:v>
                </c:pt>
              </c:numCache>
            </c:numRef>
          </c:val>
        </c:ser>
        <c:dLbls>
          <c:showLegendKey val="0"/>
          <c:showVal val="0"/>
          <c:showCatName val="0"/>
          <c:showSerName val="0"/>
          <c:showPercent val="0"/>
          <c:showBubbleSize val="0"/>
        </c:dLbls>
        <c:gapWidth val="219"/>
        <c:overlap val="-27"/>
        <c:axId val="145033856"/>
        <c:axId val="145068800"/>
      </c:barChart>
      <c:catAx>
        <c:axId val="145033856"/>
        <c:scaling>
          <c:orientation val="minMax"/>
        </c:scaling>
        <c:delete val="0"/>
        <c:axPos val="b"/>
        <c:title>
          <c:tx>
            <c:rich>
              <a:bodyPr/>
              <a:lstStyle/>
              <a:p>
                <a:pPr>
                  <a:defRPr sz="998" b="0" i="0" u="none" strike="noStrike" baseline="0">
                    <a:solidFill>
                      <a:srgbClr val="000000"/>
                    </a:solidFill>
                    <a:latin typeface="Times New Roman"/>
                    <a:ea typeface="Times New Roman"/>
                    <a:cs typeface="Times New Roman"/>
                  </a:defRPr>
                </a:pPr>
                <a:r>
                  <a:rPr lang="lv-LV"/>
                  <a:t>Gads</a:t>
                </a:r>
              </a:p>
            </c:rich>
          </c:tx>
          <c:layout/>
          <c:overlay val="0"/>
          <c:spPr>
            <a:noFill/>
            <a:ln w="25354">
              <a:noFill/>
            </a:ln>
          </c:spPr>
        </c:title>
        <c:numFmt formatCode="General" sourceLinked="1"/>
        <c:majorTickMark val="none"/>
        <c:minorTickMark val="none"/>
        <c:tickLblPos val="nextTo"/>
        <c:spPr>
          <a:noFill/>
          <a:ln w="9508"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068800"/>
        <c:crosses val="autoZero"/>
        <c:auto val="1"/>
        <c:lblAlgn val="ctr"/>
        <c:lblOffset val="100"/>
        <c:noMultiLvlLbl val="0"/>
      </c:catAx>
      <c:valAx>
        <c:axId val="145068800"/>
        <c:scaling>
          <c:orientation val="minMax"/>
        </c:scaling>
        <c:delete val="0"/>
        <c:axPos val="l"/>
        <c:title>
          <c:tx>
            <c:rich>
              <a:bodyPr/>
              <a:lstStyle/>
              <a:p>
                <a:pPr>
                  <a:defRPr sz="1098" b="0" i="0" u="none" strike="noStrike" baseline="0">
                    <a:solidFill>
                      <a:srgbClr val="000000"/>
                    </a:solidFill>
                    <a:latin typeface="Calibri"/>
                    <a:ea typeface="Calibri"/>
                    <a:cs typeface="Calibri"/>
                  </a:defRPr>
                </a:pPr>
                <a:r>
                  <a:rPr lang="lv-LV" sz="998" b="0" i="0" u="none" strike="noStrike" baseline="0">
                    <a:solidFill>
                      <a:srgbClr val="000000"/>
                    </a:solidFill>
                    <a:latin typeface="Times New Roman"/>
                    <a:cs typeface="Times New Roman"/>
                  </a:rPr>
                  <a:t>Milj. EUR</a:t>
                </a:r>
              </a:p>
            </c:rich>
          </c:tx>
          <c:layout/>
          <c:overlay val="0"/>
          <c:spPr>
            <a:noFill/>
            <a:ln w="25354">
              <a:noFill/>
            </a:ln>
          </c:spPr>
        </c:title>
        <c:numFmt formatCode="0.0" sourceLinked="1"/>
        <c:majorTickMark val="none"/>
        <c:minorTickMark val="none"/>
        <c:tickLblPos val="nextTo"/>
        <c:spPr>
          <a:ln w="9508">
            <a:noFill/>
          </a:ln>
        </c:spPr>
        <c:txPr>
          <a:bodyPr rot="-60000000" spcFirstLastPara="1" vertOverflow="ellipsis" vert="horz" wrap="square" anchor="ctr" anchorCtr="1"/>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crossAx val="145033856"/>
        <c:crosses val="autoZero"/>
        <c:crossBetween val="between"/>
      </c:valAx>
      <c:spPr>
        <a:noFill/>
        <a:ln w="25354">
          <a:noFill/>
        </a:ln>
      </c:spPr>
    </c:plotArea>
    <c:legend>
      <c:legendPos val="r"/>
      <c:layout>
        <c:manualLayout>
          <c:xMode val="edge"/>
          <c:yMode val="edge"/>
          <c:x val="0.22327790973871733"/>
          <c:y val="0.92064850589328506"/>
          <c:w val="0.56294536817102137"/>
          <c:h val="6.5171907859343667E-2"/>
        </c:manualLayout>
      </c:layout>
      <c:overlay val="0"/>
      <c:spPr>
        <a:noFill/>
        <a:ln w="25354">
          <a:noFill/>
        </a:ln>
      </c:spPr>
      <c:txPr>
        <a:bodyPr rot="0" spcFirstLastPara="1" vertOverflow="ellipsis" vert="horz" wrap="square" anchor="ctr" anchorCtr="1"/>
        <a:lstStyle/>
        <a:p>
          <a:pPr>
            <a:defRPr sz="898"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lv-LV"/>
        </a:p>
      </c:txPr>
    </c:legend>
    <c:plotVisOnly val="1"/>
    <c:dispBlanksAs val="gap"/>
    <c:showDLblsOverMax val="0"/>
  </c:chart>
  <c:spPr>
    <a:solidFill>
      <a:schemeClr val="bg1"/>
    </a:solidFill>
    <a:ln>
      <a:noFill/>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lv-LV"/>
    </a:p>
  </c:txPr>
  <c:externalData r:id="rId2">
    <c:autoUpdate val="0"/>
  </c:externalData>
</c:chartSpace>
</file>

<file path=word/drawings/_rels/drawing1.xml.rels><?xml version="1.0" encoding="UTF-8" standalone="yes"?>
<Relationships xmlns="http://schemas.openxmlformats.org/package/2006/relationships"><Relationship Id="rId1" Type="http://schemas.openxmlformats.org/officeDocument/2006/relationships/image" Target="../media/image4.png"/></Relationships>
</file>

<file path=word/drawings/drawing1.xml><?xml version="1.0" encoding="utf-8"?>
<c:userShapes xmlns:c="http://schemas.openxmlformats.org/drawingml/2006/chart">
  <cdr:relSizeAnchor xmlns:cdr="http://schemas.openxmlformats.org/drawingml/2006/chartDrawing">
    <cdr:from>
      <cdr:x>0.58119</cdr:x>
      <cdr:y>0.04536</cdr:y>
    </cdr:from>
    <cdr:to>
      <cdr:x>0.69155</cdr:x>
      <cdr:y>0.18294</cdr:y>
    </cdr:to>
    <cdr:sp macro="" textlink="">
      <cdr:nvSpPr>
        <cdr:cNvPr id="2" name="TextBox 1"/>
        <cdr:cNvSpPr txBox="1"/>
      </cdr:nvSpPr>
      <cdr:spPr>
        <a:xfrm xmlns:a="http://schemas.openxmlformats.org/drawingml/2006/main">
          <a:off x="4815585" y="296955"/>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v-LV"/>
        </a:p>
      </cdr:txBody>
    </cdr:sp>
  </cdr:relSizeAnchor>
  <cdr:relSizeAnchor xmlns:cdr="http://schemas.openxmlformats.org/drawingml/2006/chartDrawing">
    <cdr:from>
      <cdr:x>0.55169</cdr:x>
      <cdr:y>0.18465</cdr:y>
    </cdr:from>
    <cdr:to>
      <cdr:x>1</cdr:x>
      <cdr:y>0.73499</cdr:y>
    </cdr:to>
    <cdr:sp macro="" textlink="">
      <cdr:nvSpPr>
        <cdr:cNvPr id="3" name="TextBox 2"/>
        <cdr:cNvSpPr txBox="1"/>
      </cdr:nvSpPr>
      <cdr:spPr>
        <a:xfrm xmlns:a="http://schemas.openxmlformats.org/drawingml/2006/main">
          <a:off x="4817717" y="1224541"/>
          <a:ext cx="3910911" cy="3720059"/>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lv-LV" dirty="0" smtClean="0"/>
            <a:t> </a:t>
          </a:r>
          <a:endParaRPr lang="lv-LV" dirty="0"/>
        </a:p>
        <a:p xmlns:a="http://schemas.openxmlformats.org/drawingml/2006/main">
          <a:endParaRPr lang="en-US" sz="1100" dirty="0"/>
        </a:p>
      </cdr:txBody>
    </cdr:sp>
  </cdr:relSizeAnchor>
  <cdr:relSizeAnchor xmlns:cdr="http://schemas.openxmlformats.org/drawingml/2006/chartDrawing">
    <cdr:from>
      <cdr:x>0.21126</cdr:x>
      <cdr:y>0.40132</cdr:y>
    </cdr:from>
    <cdr:to>
      <cdr:x>0.43075</cdr:x>
      <cdr:y>0.53212</cdr:y>
    </cdr:to>
    <cdr:sp macro="" textlink="">
      <cdr:nvSpPr>
        <cdr:cNvPr id="4" name="TextBox 3"/>
        <cdr:cNvSpPr txBox="1"/>
      </cdr:nvSpPr>
      <cdr:spPr>
        <a:xfrm xmlns:a="http://schemas.openxmlformats.org/drawingml/2006/main">
          <a:off x="1931749" y="2686572"/>
          <a:ext cx="2007016" cy="88896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lv-LV" sz="1800" b="1" dirty="0" smtClean="0">
              <a:solidFill>
                <a:schemeClr val="accent2">
                  <a:lumMod val="50000"/>
                </a:schemeClr>
              </a:solidFill>
            </a:rPr>
            <a:t>   </a:t>
          </a:r>
          <a:r>
            <a:rPr lang="lv-LV" sz="1200" b="1" dirty="0" smtClean="0">
              <a:solidFill>
                <a:schemeClr val="accent2">
                  <a:lumMod val="50000"/>
                </a:schemeClr>
              </a:solidFill>
            </a:rPr>
            <a:t>70% dabīgi </a:t>
          </a:r>
        </a:p>
        <a:p xmlns:a="http://schemas.openxmlformats.org/drawingml/2006/main">
          <a:r>
            <a:rPr lang="lv-LV" sz="1200" b="1" dirty="0" smtClean="0">
              <a:solidFill>
                <a:schemeClr val="accent2">
                  <a:lumMod val="50000"/>
                </a:schemeClr>
              </a:solidFill>
            </a:rPr>
            <a:t>          purvi</a:t>
          </a:r>
          <a:endParaRPr lang="en-US" sz="1200" b="1" dirty="0">
            <a:solidFill>
              <a:schemeClr val="accent2">
                <a:lumMod val="50000"/>
              </a:schemeClr>
            </a:solidFill>
          </a:endParaRPr>
        </a:p>
      </cdr:txBody>
    </cdr:sp>
  </cdr:relSizeAnchor>
  <cdr:relSizeAnchor xmlns:cdr="http://schemas.openxmlformats.org/drawingml/2006/chartDrawing">
    <cdr:from>
      <cdr:x>0.52654</cdr:x>
      <cdr:y>0.09915</cdr:y>
    </cdr:from>
    <cdr:to>
      <cdr:x>0.63336</cdr:x>
      <cdr:y>0.23523</cdr:y>
    </cdr:to>
    <cdr:sp macro="" textlink="">
      <cdr:nvSpPr>
        <cdr:cNvPr id="5" name="TextBox 4"/>
        <cdr:cNvSpPr txBox="1"/>
      </cdr:nvSpPr>
      <cdr:spPr>
        <a:xfrm xmlns:a="http://schemas.openxmlformats.org/drawingml/2006/main">
          <a:off x="4507376" y="650627"/>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v-LV"/>
        </a:p>
      </cdr:txBody>
    </cdr:sp>
  </cdr:relSizeAnchor>
  <cdr:relSizeAnchor xmlns:cdr="http://schemas.openxmlformats.org/drawingml/2006/chartDrawing">
    <cdr:from>
      <cdr:x>0</cdr:x>
      <cdr:y>0</cdr:y>
    </cdr:from>
    <cdr:to>
      <cdr:x>0</cdr:x>
      <cdr:y>0</cdr:y>
    </cdr:to>
    <cdr:sp macro="" textlink="">
      <cdr:nvSpPr>
        <cdr:cNvPr id="7" name="Title 1"/>
        <cdr:cNvSpPr txBox="1">
          <a:spLocks xmlns:a="http://schemas.openxmlformats.org/drawingml/2006/main"/>
        </cdr:cNvSpPr>
      </cdr:nvSpPr>
      <cdr:spPr>
        <a:xfrm xmlns:a="http://schemas.openxmlformats.org/drawingml/2006/main" flipV="1">
          <a:off x="-1537297" y="-2356574"/>
          <a:ext cx="0" cy="0"/>
        </a:xfrm>
        <a:prstGeom xmlns:a="http://schemas.openxmlformats.org/drawingml/2006/main" prst="rect">
          <a:avLst/>
        </a:prstGeom>
        <a:solidFill xmlns:a="http://schemas.openxmlformats.org/drawingml/2006/main">
          <a:schemeClr val="bg2">
            <a:lumMod val="50000"/>
          </a:schemeClr>
        </a:solidFill>
      </cdr:spPr>
      <cdr:txBody>
        <a:bodyPr xmlns:a="http://schemas.openxmlformats.org/drawingml/2006/main" vert="horz" lIns="1188720" tIns="45720" rIns="274320" bIns="45720" rtlCol="0" anchor="ctr">
          <a:normAutofit/>
        </a:bodyPr>
        <a:lstStyle xmlns:a="http://schemas.openxmlformats.org/drawingml/2006/main">
          <a:defPPr>
            <a:defRPr lang="en-US"/>
          </a:defPPr>
          <a:lvl1pPr marL="0" algn="l" defTabSz="457200" rtl="0" eaLnBrk="1" latinLnBrk="0" hangingPunct="1">
            <a:defRPr sz="1800" kern="1200">
              <a:solidFill>
                <a:schemeClr val="tx1"/>
              </a:solidFill>
              <a:latin typeface="+mn-lt"/>
              <a:ea typeface="+mn-ea"/>
              <a:cs typeface="+mn-cs"/>
            </a:defRPr>
          </a:lvl1pPr>
          <a:lvl2pPr marL="457200" algn="l" defTabSz="457200" rtl="0" eaLnBrk="1" latinLnBrk="0" hangingPunct="1">
            <a:defRPr sz="1800" kern="1200">
              <a:solidFill>
                <a:schemeClr val="tx1"/>
              </a:solidFill>
              <a:latin typeface="+mn-lt"/>
              <a:ea typeface="+mn-ea"/>
              <a:cs typeface="+mn-cs"/>
            </a:defRPr>
          </a:lvl2pPr>
          <a:lvl3pPr marL="914400" algn="l" defTabSz="457200" rtl="0" eaLnBrk="1" latinLnBrk="0" hangingPunct="1">
            <a:defRPr sz="1800" kern="1200">
              <a:solidFill>
                <a:schemeClr val="tx1"/>
              </a:solidFill>
              <a:latin typeface="+mn-lt"/>
              <a:ea typeface="+mn-ea"/>
              <a:cs typeface="+mn-cs"/>
            </a:defRPr>
          </a:lvl3pPr>
          <a:lvl4pPr marL="1371600" algn="l" defTabSz="457200" rtl="0" eaLnBrk="1" latinLnBrk="0" hangingPunct="1">
            <a:defRPr sz="1800" kern="1200">
              <a:solidFill>
                <a:schemeClr val="tx1"/>
              </a:solidFill>
              <a:latin typeface="+mn-lt"/>
              <a:ea typeface="+mn-ea"/>
              <a:cs typeface="+mn-cs"/>
            </a:defRPr>
          </a:lvl4pPr>
          <a:lvl5pPr marL="1828800" algn="l" defTabSz="457200" rtl="0" eaLnBrk="1" latinLnBrk="0" hangingPunct="1">
            <a:defRPr sz="1800" kern="1200">
              <a:solidFill>
                <a:schemeClr val="tx1"/>
              </a:solidFill>
              <a:latin typeface="+mn-lt"/>
              <a:ea typeface="+mn-ea"/>
              <a:cs typeface="+mn-cs"/>
            </a:defRPr>
          </a:lvl5pPr>
          <a:lvl6pPr marL="2286000" algn="l" defTabSz="457200" rtl="0" eaLnBrk="1" latinLnBrk="0" hangingPunct="1">
            <a:defRPr sz="1800" kern="1200">
              <a:solidFill>
                <a:schemeClr val="tx1"/>
              </a:solidFill>
              <a:latin typeface="+mn-lt"/>
              <a:ea typeface="+mn-ea"/>
              <a:cs typeface="+mn-cs"/>
            </a:defRPr>
          </a:lvl6pPr>
          <a:lvl7pPr marL="2743200" algn="l" defTabSz="457200" rtl="0" eaLnBrk="1" latinLnBrk="0" hangingPunct="1">
            <a:defRPr sz="1800" kern="1200">
              <a:solidFill>
                <a:schemeClr val="tx1"/>
              </a:solidFill>
              <a:latin typeface="+mn-lt"/>
              <a:ea typeface="+mn-ea"/>
              <a:cs typeface="+mn-cs"/>
            </a:defRPr>
          </a:lvl7pPr>
          <a:lvl8pPr marL="3200400" algn="l" defTabSz="457200" rtl="0" eaLnBrk="1" latinLnBrk="0" hangingPunct="1">
            <a:defRPr sz="1800" kern="1200">
              <a:solidFill>
                <a:schemeClr val="tx1"/>
              </a:solidFill>
              <a:latin typeface="+mn-lt"/>
              <a:ea typeface="+mn-ea"/>
              <a:cs typeface="+mn-cs"/>
            </a:defRPr>
          </a:lvl8pPr>
          <a:lvl9pPr marL="3657600" algn="l" defTabSz="457200" rtl="0" eaLnBrk="1" latinLnBrk="0" hangingPunct="1">
            <a:defRPr sz="1800" kern="1200">
              <a:solidFill>
                <a:schemeClr val="tx1"/>
              </a:solidFill>
              <a:latin typeface="+mn-lt"/>
              <a:ea typeface="+mn-ea"/>
              <a:cs typeface="+mn-cs"/>
            </a:defRPr>
          </a:lvl9pPr>
        </a:lstStyle>
        <a:p xmlns:a="http://schemas.openxmlformats.org/drawingml/2006/main">
          <a:endParaRPr lang="en-US" sz="2000" dirty="0"/>
        </a:p>
      </cdr:txBody>
    </cdr:sp>
  </cdr:relSizeAnchor>
  <cdr:relSizeAnchor xmlns:cdr="http://schemas.openxmlformats.org/drawingml/2006/chartDrawing">
    <cdr:from>
      <cdr:x>0.08986</cdr:x>
      <cdr:y>0.81434</cdr:y>
    </cdr:from>
    <cdr:to>
      <cdr:x>0.93784</cdr:x>
      <cdr:y>0.98137</cdr:y>
    </cdr:to>
    <cdr:sp macro="" textlink="">
      <cdr:nvSpPr>
        <cdr:cNvPr id="8" name="TextBox 7"/>
        <cdr:cNvSpPr txBox="1"/>
      </cdr:nvSpPr>
      <cdr:spPr>
        <a:xfrm xmlns:a="http://schemas.openxmlformats.org/drawingml/2006/main">
          <a:off x="821725" y="5482119"/>
          <a:ext cx="7753864" cy="112446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v-LV"/>
        </a:p>
      </cdr:txBody>
    </cdr:sp>
  </cdr:relSizeAnchor>
  <cdr:relSizeAnchor xmlns:cdr="http://schemas.openxmlformats.org/drawingml/2006/chartDrawing">
    <cdr:from>
      <cdr:x>0.11892</cdr:x>
      <cdr:y>0.83086</cdr:y>
    </cdr:from>
    <cdr:to>
      <cdr:x>0.96486</cdr:x>
      <cdr:y>0.99147</cdr:y>
    </cdr:to>
    <cdr:sp macro="" textlink="">
      <cdr:nvSpPr>
        <cdr:cNvPr id="9" name="TextBox 8"/>
        <cdr:cNvSpPr txBox="1"/>
      </cdr:nvSpPr>
      <cdr:spPr>
        <a:xfrm xmlns:a="http://schemas.openxmlformats.org/drawingml/2006/main">
          <a:off x="1087395" y="5593330"/>
          <a:ext cx="7735329" cy="108121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lv-LV"/>
        </a:p>
      </cdr:txBody>
    </cdr:sp>
  </cdr:relSizeAnchor>
  <cdr:relSizeAnchor xmlns:cdr="http://schemas.openxmlformats.org/drawingml/2006/chartDrawing">
    <cdr:from>
      <cdr:x>0.51238</cdr:x>
      <cdr:y>0.15248</cdr:y>
    </cdr:from>
    <cdr:to>
      <cdr:x>1</cdr:x>
      <cdr:y>1</cdr:y>
    </cdr:to>
    <cdr:sp macro="" textlink="">
      <cdr:nvSpPr>
        <cdr:cNvPr id="10" name="Rectangle 9"/>
        <cdr:cNvSpPr/>
      </cdr:nvSpPr>
      <cdr:spPr>
        <a:xfrm xmlns:a="http://schemas.openxmlformats.org/drawingml/2006/main">
          <a:off x="2979471" y="497090"/>
          <a:ext cx="2832684" cy="2828405"/>
        </a:xfrm>
        <a:prstGeom xmlns:a="http://schemas.openxmlformats.org/drawingml/2006/main" prst="rect">
          <a:avLst/>
        </a:prstGeom>
      </cdr:spPr>
      <cdr:txBody>
        <a:bodyPr xmlns:a="http://schemas.openxmlformats.org/drawingml/2006/main"/>
        <a:lstStyle xmlns:a="http://schemas.openxmlformats.org/drawingml/2006/main"/>
        <a:p xmlns:a="http://schemas.openxmlformats.org/drawingml/2006/main">
          <a:endParaRPr lang="lv-LV"/>
        </a:p>
      </cdr:txBody>
    </cdr:sp>
  </cdr:relSizeAnchor>
  <cdr:relSizeAnchor xmlns:cdr="http://schemas.openxmlformats.org/drawingml/2006/chartDrawing">
    <cdr:from>
      <cdr:x>0.53248</cdr:x>
      <cdr:y>0.15238</cdr:y>
    </cdr:from>
    <cdr:to>
      <cdr:x>0.94067</cdr:x>
      <cdr:y>0.77371</cdr:y>
    </cdr:to>
    <cdr:pic>
      <cdr:nvPicPr>
        <cdr:cNvPr id="1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2869007" y="457199"/>
          <a:ext cx="2198257" cy="1911650"/>
        </a:xfrm>
        <a:prstGeom xmlns:a="http://schemas.openxmlformats.org/drawingml/2006/main" prst="rect">
          <a:avLst/>
        </a:prstGeom>
      </cdr:spPr>
    </cdr:pic>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Iestā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Iestād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estād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Iestā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Iestād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estād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FCFE42-D81A-430F-801E-C84F85CFC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53</Pages>
  <Words>74489</Words>
  <Characters>42459</Characters>
  <Application>Microsoft Office Word</Application>
  <DocSecurity>0</DocSecurity>
  <Lines>353</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Guna</dc:creator>
  <cp:lastModifiedBy>Guna Eņģele-Volkova</cp:lastModifiedBy>
  <cp:revision>19</cp:revision>
  <dcterms:created xsi:type="dcterms:W3CDTF">2017-11-06T18:33:00Z</dcterms:created>
  <dcterms:modified xsi:type="dcterms:W3CDTF">2017-11-07T10:52:00Z</dcterms:modified>
</cp:coreProperties>
</file>