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238E" w:rsidRPr="00700FB4" w:rsidRDefault="00332487" w:rsidP="008C3116">
      <w:pPr>
        <w:pStyle w:val="NoSpacing"/>
        <w:rPr>
          <w:rFonts w:ascii="Arial" w:hAnsi="Arial" w:cs="Arial"/>
          <w:sz w:val="20"/>
          <w:szCs w:val="20"/>
        </w:rPr>
      </w:pPr>
      <w:r w:rsidRPr="00700FB4">
        <w:rPr>
          <w:rFonts w:ascii="Arial" w:hAnsi="Arial" w:cs="Arial"/>
          <w:noProof/>
          <w:sz w:val="20"/>
          <w:szCs w:val="20"/>
          <w:lang w:eastAsia="lv-LV"/>
        </w:rPr>
        <w:drawing>
          <wp:anchor distT="0" distB="0" distL="114300" distR="114300" simplePos="0" relativeHeight="251659264" behindDoc="0" locked="0" layoutInCell="1" allowOverlap="1">
            <wp:simplePos x="0" y="0"/>
            <wp:positionH relativeFrom="column">
              <wp:posOffset>-499110</wp:posOffset>
            </wp:positionH>
            <wp:positionV relativeFrom="paragraph">
              <wp:posOffset>13335</wp:posOffset>
            </wp:positionV>
            <wp:extent cx="2451100" cy="2451100"/>
            <wp:effectExtent l="0" t="0" r="6350" b="6350"/>
            <wp:wrapThrough wrapText="bothSides">
              <wp:wrapPolygon edited="0">
                <wp:start x="0" y="0"/>
                <wp:lineTo x="0" y="21488"/>
                <wp:lineTo x="21488" y="21488"/>
                <wp:lineTo x="21488" y="0"/>
                <wp:lineTo x="0" y="0"/>
              </wp:wrapPolygon>
            </wp:wrapThrough>
            <wp:docPr id="1" name="Picture 1" descr="C:\Users\edgarsp\AppData\Local\Microsoft\Windows\INetCache\Content.Outlook\7T6EHN3P\EEA+Grants+-+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dgarsp\AppData\Local\Microsoft\Windows\INetCache\Content.Outlook\7T6EHN3P\EEA+Grants+-+JPG.jpg"/>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451100" cy="2451100"/>
                    </a:xfrm>
                    <a:prstGeom prst="rect">
                      <a:avLst/>
                    </a:prstGeom>
                    <a:noFill/>
                    <a:ln>
                      <a:noFill/>
                    </a:ln>
                  </pic:spPr>
                </pic:pic>
              </a:graphicData>
            </a:graphic>
          </wp:anchor>
        </w:drawing>
      </w:r>
      <w:r w:rsidRPr="00700FB4">
        <w:rPr>
          <w:rFonts w:ascii="Arial" w:hAnsi="Arial" w:cs="Arial"/>
          <w:noProof/>
          <w:sz w:val="20"/>
          <w:szCs w:val="20"/>
          <w:lang w:eastAsia="lv-LV"/>
        </w:rPr>
        <w:drawing>
          <wp:anchor distT="0" distB="0" distL="114300" distR="114300" simplePos="0" relativeHeight="251658240" behindDoc="1" locked="0" layoutInCell="1" allowOverlap="1">
            <wp:simplePos x="0" y="0"/>
            <wp:positionH relativeFrom="column">
              <wp:posOffset>3148965</wp:posOffset>
            </wp:positionH>
            <wp:positionV relativeFrom="paragraph">
              <wp:posOffset>-302260</wp:posOffset>
            </wp:positionV>
            <wp:extent cx="2647950" cy="911860"/>
            <wp:effectExtent l="0" t="0" r="0" b="2540"/>
            <wp:wrapThrough wrapText="bothSides">
              <wp:wrapPolygon edited="0">
                <wp:start x="0" y="0"/>
                <wp:lineTo x="0" y="21209"/>
                <wp:lineTo x="21445" y="21209"/>
                <wp:lineTo x="21445" y="0"/>
                <wp:lineTo x="0" y="0"/>
              </wp:wrapPolygon>
            </wp:wrapThrough>
            <wp:docPr id="2" name="Picture 2" descr="C:\Users\edgarsp\AppData\Local\Microsoft\Windows\INetCache\Content.Outlook\7T6EHN3P\COBALT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dgarsp\AppData\Local\Microsoft\Windows\INetCache\Content.Outlook\7T6EHN3P\COBALT_logo.jpg"/>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647950" cy="911860"/>
                    </a:xfrm>
                    <a:prstGeom prst="rect">
                      <a:avLst/>
                    </a:prstGeom>
                    <a:noFill/>
                    <a:ln>
                      <a:noFill/>
                    </a:ln>
                  </pic:spPr>
                </pic:pic>
              </a:graphicData>
            </a:graphic>
          </wp:anchor>
        </w:drawing>
      </w:r>
    </w:p>
    <w:p w:rsidR="00234171" w:rsidRPr="00700FB4" w:rsidRDefault="00234171" w:rsidP="008C3116">
      <w:pPr>
        <w:pStyle w:val="NoSpacing"/>
        <w:jc w:val="center"/>
        <w:rPr>
          <w:rFonts w:ascii="Arial" w:hAnsi="Arial" w:cs="Arial"/>
          <w:b/>
          <w:sz w:val="20"/>
          <w:szCs w:val="20"/>
        </w:rPr>
      </w:pPr>
    </w:p>
    <w:p w:rsidR="00234171" w:rsidRPr="00700FB4" w:rsidRDefault="00234171" w:rsidP="008C3116">
      <w:pPr>
        <w:pStyle w:val="NoSpacing"/>
        <w:jc w:val="center"/>
        <w:rPr>
          <w:rFonts w:ascii="Arial" w:hAnsi="Arial" w:cs="Arial"/>
          <w:b/>
          <w:sz w:val="20"/>
          <w:szCs w:val="20"/>
        </w:rPr>
      </w:pPr>
    </w:p>
    <w:p w:rsidR="00234171" w:rsidRPr="00700FB4" w:rsidRDefault="00234171" w:rsidP="008C3116">
      <w:pPr>
        <w:pStyle w:val="NoSpacing"/>
        <w:jc w:val="center"/>
        <w:rPr>
          <w:rFonts w:ascii="Arial" w:hAnsi="Arial" w:cs="Arial"/>
          <w:b/>
          <w:sz w:val="20"/>
          <w:szCs w:val="20"/>
        </w:rPr>
      </w:pPr>
    </w:p>
    <w:p w:rsidR="00234171" w:rsidRPr="00700FB4" w:rsidRDefault="00234171" w:rsidP="008C3116">
      <w:pPr>
        <w:pStyle w:val="NoSpacing"/>
        <w:jc w:val="center"/>
        <w:rPr>
          <w:rFonts w:ascii="Arial" w:hAnsi="Arial" w:cs="Arial"/>
          <w:b/>
          <w:sz w:val="20"/>
          <w:szCs w:val="20"/>
        </w:rPr>
      </w:pPr>
    </w:p>
    <w:p w:rsidR="00234171" w:rsidRPr="00700FB4" w:rsidRDefault="00234171" w:rsidP="008C3116">
      <w:pPr>
        <w:pStyle w:val="NoSpacing"/>
        <w:jc w:val="center"/>
        <w:rPr>
          <w:rFonts w:ascii="Arial" w:hAnsi="Arial" w:cs="Arial"/>
          <w:b/>
          <w:sz w:val="20"/>
          <w:szCs w:val="20"/>
        </w:rPr>
      </w:pPr>
    </w:p>
    <w:p w:rsidR="00234171" w:rsidRPr="00700FB4" w:rsidRDefault="00234171" w:rsidP="008C3116">
      <w:pPr>
        <w:pStyle w:val="NoSpacing"/>
        <w:jc w:val="center"/>
        <w:rPr>
          <w:rFonts w:ascii="Arial" w:hAnsi="Arial" w:cs="Arial"/>
          <w:b/>
          <w:sz w:val="20"/>
          <w:szCs w:val="20"/>
        </w:rPr>
      </w:pPr>
    </w:p>
    <w:p w:rsidR="00234171" w:rsidRPr="00700FB4" w:rsidRDefault="00234171" w:rsidP="008C3116">
      <w:pPr>
        <w:pStyle w:val="NoSpacing"/>
        <w:jc w:val="center"/>
        <w:rPr>
          <w:rFonts w:ascii="Arial" w:hAnsi="Arial" w:cs="Arial"/>
          <w:b/>
          <w:sz w:val="20"/>
          <w:szCs w:val="20"/>
        </w:rPr>
      </w:pPr>
    </w:p>
    <w:p w:rsidR="00234171" w:rsidRPr="00700FB4" w:rsidRDefault="00234171" w:rsidP="008C3116">
      <w:pPr>
        <w:pStyle w:val="NoSpacing"/>
        <w:jc w:val="center"/>
        <w:rPr>
          <w:rFonts w:ascii="Arial" w:hAnsi="Arial" w:cs="Arial"/>
          <w:b/>
          <w:sz w:val="20"/>
          <w:szCs w:val="20"/>
        </w:rPr>
      </w:pPr>
    </w:p>
    <w:p w:rsidR="00234171" w:rsidRPr="00700FB4" w:rsidRDefault="00234171" w:rsidP="008C3116">
      <w:pPr>
        <w:pStyle w:val="NoSpacing"/>
        <w:jc w:val="center"/>
        <w:rPr>
          <w:rFonts w:ascii="Arial" w:hAnsi="Arial" w:cs="Arial"/>
          <w:b/>
          <w:sz w:val="20"/>
          <w:szCs w:val="20"/>
        </w:rPr>
      </w:pPr>
    </w:p>
    <w:p w:rsidR="00234171" w:rsidRPr="00700FB4" w:rsidRDefault="00234171" w:rsidP="008C3116">
      <w:pPr>
        <w:pStyle w:val="NoSpacing"/>
        <w:jc w:val="center"/>
        <w:rPr>
          <w:rFonts w:ascii="Arial" w:hAnsi="Arial" w:cs="Arial"/>
          <w:b/>
          <w:sz w:val="20"/>
          <w:szCs w:val="20"/>
        </w:rPr>
      </w:pPr>
    </w:p>
    <w:p w:rsidR="00234171" w:rsidRPr="00700FB4" w:rsidRDefault="00234171" w:rsidP="008C3116">
      <w:pPr>
        <w:pStyle w:val="NoSpacing"/>
        <w:jc w:val="center"/>
        <w:rPr>
          <w:rFonts w:ascii="Arial" w:hAnsi="Arial" w:cs="Arial"/>
          <w:b/>
          <w:sz w:val="20"/>
          <w:szCs w:val="20"/>
        </w:rPr>
      </w:pPr>
    </w:p>
    <w:p w:rsidR="00234171" w:rsidRPr="00700FB4" w:rsidRDefault="00234171" w:rsidP="008C3116">
      <w:pPr>
        <w:pStyle w:val="NoSpacing"/>
        <w:jc w:val="center"/>
        <w:rPr>
          <w:rFonts w:ascii="Arial" w:hAnsi="Arial" w:cs="Arial"/>
          <w:b/>
          <w:sz w:val="20"/>
          <w:szCs w:val="20"/>
        </w:rPr>
      </w:pPr>
    </w:p>
    <w:p w:rsidR="00234171" w:rsidRPr="00700FB4" w:rsidRDefault="00234171" w:rsidP="008C3116">
      <w:pPr>
        <w:pStyle w:val="NoSpacing"/>
        <w:jc w:val="center"/>
        <w:rPr>
          <w:rFonts w:ascii="Arial" w:hAnsi="Arial" w:cs="Arial"/>
          <w:b/>
          <w:sz w:val="20"/>
          <w:szCs w:val="20"/>
        </w:rPr>
      </w:pPr>
    </w:p>
    <w:p w:rsidR="00234171" w:rsidRPr="00700FB4" w:rsidRDefault="00234171" w:rsidP="008C3116">
      <w:pPr>
        <w:pStyle w:val="NoSpacing"/>
        <w:jc w:val="center"/>
        <w:rPr>
          <w:rFonts w:ascii="Verdana" w:hAnsi="Verdana" w:cs="Arial"/>
          <w:b/>
          <w:sz w:val="46"/>
          <w:szCs w:val="46"/>
        </w:rPr>
      </w:pPr>
    </w:p>
    <w:p w:rsidR="00332487" w:rsidRPr="00700FB4" w:rsidRDefault="00332487" w:rsidP="008C3116">
      <w:pPr>
        <w:pStyle w:val="NoSpacing"/>
        <w:jc w:val="center"/>
        <w:rPr>
          <w:rFonts w:ascii="Verdana" w:hAnsi="Verdana" w:cs="Arial"/>
          <w:b/>
          <w:color w:val="1F4E79" w:themeColor="accent1" w:themeShade="80"/>
          <w:sz w:val="46"/>
          <w:szCs w:val="46"/>
        </w:rPr>
      </w:pPr>
    </w:p>
    <w:p w:rsidR="0014238E" w:rsidRPr="00700FB4" w:rsidRDefault="0014238E" w:rsidP="008C3116">
      <w:pPr>
        <w:pStyle w:val="NoSpacing"/>
        <w:jc w:val="center"/>
        <w:rPr>
          <w:rFonts w:ascii="Verdana" w:hAnsi="Verdana" w:cs="Arial"/>
          <w:b/>
          <w:color w:val="1F4E79" w:themeColor="accent1" w:themeShade="80"/>
          <w:sz w:val="46"/>
          <w:szCs w:val="46"/>
        </w:rPr>
      </w:pPr>
      <w:r w:rsidRPr="00700FB4">
        <w:rPr>
          <w:rFonts w:ascii="Verdana" w:hAnsi="Verdana" w:cs="Arial"/>
          <w:b/>
          <w:color w:val="1F4E79" w:themeColor="accent1" w:themeShade="80"/>
          <w:sz w:val="46"/>
          <w:szCs w:val="46"/>
        </w:rPr>
        <w:t xml:space="preserve">Vadlīnijas </w:t>
      </w:r>
    </w:p>
    <w:p w:rsidR="00756DE9" w:rsidRPr="00700FB4" w:rsidRDefault="00756DE9" w:rsidP="008C3116">
      <w:pPr>
        <w:pStyle w:val="NoSpacing"/>
        <w:jc w:val="center"/>
        <w:rPr>
          <w:rFonts w:ascii="Verdana" w:hAnsi="Verdana" w:cs="Arial"/>
          <w:b/>
          <w:color w:val="1F4E79" w:themeColor="accent1" w:themeShade="80"/>
          <w:sz w:val="46"/>
          <w:szCs w:val="46"/>
        </w:rPr>
      </w:pPr>
    </w:p>
    <w:p w:rsidR="00196C58" w:rsidRPr="00700FB4" w:rsidRDefault="0014238E" w:rsidP="008C3116">
      <w:pPr>
        <w:pStyle w:val="NoSpacing"/>
        <w:jc w:val="center"/>
        <w:rPr>
          <w:rFonts w:ascii="Verdana" w:hAnsi="Verdana" w:cs="Arial"/>
          <w:b/>
          <w:color w:val="1F4E79" w:themeColor="accent1" w:themeShade="80"/>
          <w:sz w:val="46"/>
          <w:szCs w:val="46"/>
        </w:rPr>
      </w:pPr>
      <w:r w:rsidRPr="00700FB4">
        <w:rPr>
          <w:rFonts w:ascii="Verdana" w:hAnsi="Verdana" w:cs="Arial"/>
          <w:b/>
          <w:color w:val="1F4E79" w:themeColor="accent1" w:themeShade="80"/>
          <w:sz w:val="46"/>
          <w:szCs w:val="46"/>
        </w:rPr>
        <w:t>Jūras plānojuma risinājumu iekļaušanai tiesiskajā regulējumā</w:t>
      </w:r>
    </w:p>
    <w:p w:rsidR="0014238E" w:rsidRPr="00700FB4" w:rsidRDefault="0014238E" w:rsidP="008C3116">
      <w:pPr>
        <w:pStyle w:val="NoSpacing"/>
        <w:rPr>
          <w:rFonts w:ascii="Verdana" w:hAnsi="Verdana" w:cs="Arial"/>
          <w:b/>
          <w:sz w:val="50"/>
          <w:szCs w:val="50"/>
        </w:rPr>
      </w:pPr>
    </w:p>
    <w:p w:rsidR="004961F7" w:rsidRPr="00700FB4" w:rsidRDefault="004961F7" w:rsidP="008C3116">
      <w:pPr>
        <w:pStyle w:val="NoSpacing"/>
        <w:rPr>
          <w:rFonts w:ascii="Verdana" w:hAnsi="Verdana" w:cs="Arial"/>
          <w:b/>
          <w:sz w:val="50"/>
          <w:szCs w:val="50"/>
        </w:rPr>
      </w:pPr>
    </w:p>
    <w:p w:rsidR="004961F7" w:rsidRPr="00700FB4" w:rsidRDefault="004961F7" w:rsidP="008C3116">
      <w:pPr>
        <w:pStyle w:val="NoSpacing"/>
        <w:rPr>
          <w:rFonts w:ascii="Verdana" w:hAnsi="Verdana" w:cs="Arial"/>
          <w:b/>
          <w:sz w:val="50"/>
          <w:szCs w:val="50"/>
        </w:rPr>
      </w:pPr>
    </w:p>
    <w:p w:rsidR="004961F7" w:rsidRPr="00700FB4" w:rsidRDefault="004961F7" w:rsidP="008C3116">
      <w:pPr>
        <w:pStyle w:val="NoSpacing"/>
        <w:rPr>
          <w:rFonts w:ascii="Verdana" w:hAnsi="Verdana" w:cs="Arial"/>
          <w:b/>
          <w:sz w:val="50"/>
          <w:szCs w:val="50"/>
        </w:rPr>
      </w:pPr>
    </w:p>
    <w:p w:rsidR="004961F7" w:rsidRPr="00700FB4" w:rsidRDefault="004961F7" w:rsidP="008C3116">
      <w:pPr>
        <w:pStyle w:val="NoSpacing"/>
        <w:rPr>
          <w:rFonts w:ascii="Verdana" w:hAnsi="Verdana" w:cs="Arial"/>
          <w:b/>
          <w:sz w:val="50"/>
          <w:szCs w:val="50"/>
        </w:rPr>
      </w:pPr>
    </w:p>
    <w:p w:rsidR="004961F7" w:rsidRPr="00700FB4" w:rsidRDefault="004961F7" w:rsidP="008C3116">
      <w:pPr>
        <w:pStyle w:val="NoSpacing"/>
        <w:rPr>
          <w:rFonts w:ascii="Verdana" w:hAnsi="Verdana" w:cs="Arial"/>
          <w:b/>
          <w:sz w:val="50"/>
          <w:szCs w:val="50"/>
        </w:rPr>
      </w:pPr>
    </w:p>
    <w:p w:rsidR="004961F7" w:rsidRPr="00700FB4" w:rsidRDefault="004961F7" w:rsidP="004961F7">
      <w:pPr>
        <w:pStyle w:val="NoSpacing"/>
        <w:jc w:val="center"/>
        <w:rPr>
          <w:rFonts w:ascii="Verdana" w:hAnsi="Verdana" w:cs="Arial"/>
          <w:b/>
          <w:sz w:val="20"/>
          <w:szCs w:val="20"/>
        </w:rPr>
      </w:pPr>
    </w:p>
    <w:p w:rsidR="004961F7" w:rsidRPr="00700FB4" w:rsidRDefault="004961F7" w:rsidP="004961F7">
      <w:pPr>
        <w:pStyle w:val="NoSpacing"/>
        <w:jc w:val="center"/>
        <w:rPr>
          <w:rFonts w:ascii="Verdana" w:hAnsi="Verdana" w:cs="Arial"/>
          <w:b/>
          <w:sz w:val="20"/>
          <w:szCs w:val="20"/>
        </w:rPr>
      </w:pPr>
    </w:p>
    <w:p w:rsidR="004961F7" w:rsidRPr="00700FB4" w:rsidRDefault="004961F7" w:rsidP="004961F7">
      <w:pPr>
        <w:pStyle w:val="NoSpacing"/>
        <w:jc w:val="center"/>
        <w:rPr>
          <w:rFonts w:ascii="Verdana" w:hAnsi="Verdana" w:cs="Arial"/>
          <w:b/>
          <w:sz w:val="20"/>
          <w:szCs w:val="20"/>
        </w:rPr>
      </w:pPr>
    </w:p>
    <w:p w:rsidR="004961F7" w:rsidRPr="00700FB4" w:rsidRDefault="004961F7" w:rsidP="004961F7">
      <w:pPr>
        <w:pStyle w:val="NoSpacing"/>
        <w:jc w:val="center"/>
        <w:rPr>
          <w:rFonts w:ascii="Verdana" w:hAnsi="Verdana" w:cs="Arial"/>
          <w:b/>
          <w:sz w:val="20"/>
          <w:szCs w:val="20"/>
        </w:rPr>
      </w:pPr>
    </w:p>
    <w:p w:rsidR="004961F7" w:rsidRPr="00700FB4" w:rsidRDefault="004961F7" w:rsidP="004961F7">
      <w:pPr>
        <w:pStyle w:val="NoSpacing"/>
        <w:jc w:val="center"/>
        <w:rPr>
          <w:rFonts w:ascii="Verdana" w:hAnsi="Verdana" w:cs="Arial"/>
          <w:b/>
          <w:sz w:val="20"/>
          <w:szCs w:val="20"/>
        </w:rPr>
      </w:pPr>
    </w:p>
    <w:p w:rsidR="004961F7" w:rsidRPr="00700FB4" w:rsidRDefault="00DA6E35" w:rsidP="004961F7">
      <w:pPr>
        <w:pStyle w:val="NoSpacing"/>
        <w:jc w:val="center"/>
        <w:rPr>
          <w:rFonts w:ascii="Verdana" w:hAnsi="Verdana" w:cs="Arial"/>
          <w:b/>
          <w:color w:val="1F4E79" w:themeColor="accent1" w:themeShade="80"/>
          <w:sz w:val="20"/>
          <w:szCs w:val="20"/>
        </w:rPr>
      </w:pPr>
      <w:r>
        <w:rPr>
          <w:rFonts w:ascii="Verdana" w:hAnsi="Verdana" w:cs="Arial"/>
          <w:b/>
          <w:color w:val="1F4E79" w:themeColor="accent1" w:themeShade="80"/>
          <w:sz w:val="20"/>
          <w:szCs w:val="20"/>
        </w:rPr>
        <w:t xml:space="preserve">Rīga 2016.gada </w:t>
      </w:r>
      <w:bookmarkStart w:id="0" w:name="_GoBack"/>
      <w:bookmarkEnd w:id="0"/>
      <w:r>
        <w:rPr>
          <w:rFonts w:ascii="Verdana" w:hAnsi="Verdana" w:cs="Arial"/>
          <w:b/>
          <w:color w:val="1F4E79" w:themeColor="accent1" w:themeShade="80"/>
          <w:sz w:val="20"/>
          <w:szCs w:val="20"/>
        </w:rPr>
        <w:t>augusts</w:t>
      </w:r>
    </w:p>
    <w:p w:rsidR="0014238E" w:rsidRPr="00700FB4" w:rsidRDefault="0014238E" w:rsidP="008C3116">
      <w:pPr>
        <w:pStyle w:val="NoSpacing"/>
        <w:rPr>
          <w:rFonts w:ascii="Arial" w:hAnsi="Arial" w:cs="Arial"/>
          <w:b/>
          <w:color w:val="1F4E79" w:themeColor="accent1" w:themeShade="80"/>
          <w:sz w:val="20"/>
          <w:szCs w:val="20"/>
        </w:rPr>
      </w:pPr>
    </w:p>
    <w:p w:rsidR="0014238E" w:rsidRPr="00700FB4" w:rsidRDefault="0014238E" w:rsidP="008C3116">
      <w:pPr>
        <w:spacing w:line="240" w:lineRule="auto"/>
        <w:rPr>
          <w:rFonts w:ascii="Arial" w:hAnsi="Arial" w:cs="Arial"/>
          <w:b/>
          <w:sz w:val="20"/>
          <w:szCs w:val="20"/>
        </w:rPr>
      </w:pPr>
      <w:r w:rsidRPr="00700FB4">
        <w:rPr>
          <w:rFonts w:ascii="Arial" w:hAnsi="Arial" w:cs="Arial"/>
          <w:b/>
          <w:sz w:val="20"/>
          <w:szCs w:val="20"/>
        </w:rPr>
        <w:br w:type="page"/>
      </w:r>
    </w:p>
    <w:p w:rsidR="003E7D37" w:rsidRPr="00153BE1" w:rsidRDefault="003E7D37" w:rsidP="003E7D37">
      <w:pPr>
        <w:pStyle w:val="NoSpacing"/>
        <w:rPr>
          <w:rFonts w:ascii="Arial" w:hAnsi="Arial" w:cs="Arial"/>
          <w:b/>
          <w:sz w:val="20"/>
          <w:szCs w:val="20"/>
        </w:rPr>
      </w:pPr>
      <w:r w:rsidRPr="00153BE1">
        <w:rPr>
          <w:rFonts w:ascii="Arial" w:hAnsi="Arial" w:cs="Arial"/>
          <w:b/>
          <w:sz w:val="20"/>
          <w:szCs w:val="20"/>
        </w:rPr>
        <w:lastRenderedPageBreak/>
        <w:t>Satura rādītājs</w:t>
      </w:r>
    </w:p>
    <w:p w:rsidR="0014238E" w:rsidRPr="00153BE1" w:rsidRDefault="0014238E" w:rsidP="008C3116">
      <w:pPr>
        <w:pStyle w:val="NoSpacing"/>
        <w:rPr>
          <w:rFonts w:ascii="Arial" w:hAnsi="Arial" w:cs="Arial"/>
          <w:b/>
          <w:sz w:val="20"/>
          <w:szCs w:val="20"/>
        </w:rPr>
      </w:pPr>
    </w:p>
    <w:p w:rsidR="003114C6" w:rsidRPr="003114C6" w:rsidRDefault="007375F4" w:rsidP="003114C6">
      <w:pPr>
        <w:pStyle w:val="TOC1"/>
        <w:spacing w:line="240" w:lineRule="auto"/>
        <w:rPr>
          <w:rFonts w:eastAsiaTheme="minorEastAsia"/>
          <w:b w:val="0"/>
          <w:lang w:eastAsia="lv-LV"/>
        </w:rPr>
      </w:pPr>
      <w:r w:rsidRPr="007375F4">
        <w:fldChar w:fldCharType="begin"/>
      </w:r>
      <w:r w:rsidR="0027201F" w:rsidRPr="003114C6">
        <w:instrText xml:space="preserve"> TOC \o "1-3" \u </w:instrText>
      </w:r>
      <w:r w:rsidRPr="007375F4">
        <w:fldChar w:fldCharType="separate"/>
      </w:r>
      <w:r w:rsidR="003114C6" w:rsidRPr="003114C6">
        <w:t>Ievads</w:t>
      </w:r>
      <w:r w:rsidR="003114C6" w:rsidRPr="003114C6">
        <w:tab/>
      </w:r>
      <w:r w:rsidRPr="003114C6">
        <w:fldChar w:fldCharType="begin"/>
      </w:r>
      <w:r w:rsidR="003114C6" w:rsidRPr="003114C6">
        <w:instrText xml:space="preserve"> PAGEREF _Toc460402318 \h </w:instrText>
      </w:r>
      <w:r w:rsidRPr="003114C6">
        <w:fldChar w:fldCharType="separate"/>
      </w:r>
      <w:r w:rsidR="00DA6E35">
        <w:t>6</w:t>
      </w:r>
      <w:r w:rsidRPr="003114C6">
        <w:fldChar w:fldCharType="end"/>
      </w:r>
    </w:p>
    <w:p w:rsidR="003114C6" w:rsidRPr="003114C6" w:rsidRDefault="003114C6" w:rsidP="003114C6">
      <w:pPr>
        <w:pStyle w:val="TOC1"/>
        <w:spacing w:line="240" w:lineRule="auto"/>
        <w:rPr>
          <w:rFonts w:eastAsiaTheme="minorEastAsia"/>
          <w:b w:val="0"/>
          <w:lang w:eastAsia="lv-LV"/>
        </w:rPr>
      </w:pPr>
      <w:r w:rsidRPr="003114C6">
        <w:t>[1] Vispārējs apskats par jūras izmantošanas tiesisko režīmu</w:t>
      </w:r>
      <w:r w:rsidRPr="003114C6">
        <w:tab/>
      </w:r>
      <w:r w:rsidR="007375F4" w:rsidRPr="003114C6">
        <w:fldChar w:fldCharType="begin"/>
      </w:r>
      <w:r w:rsidRPr="003114C6">
        <w:instrText xml:space="preserve"> PAGEREF _Toc460402319 \h </w:instrText>
      </w:r>
      <w:r w:rsidR="007375F4" w:rsidRPr="003114C6">
        <w:fldChar w:fldCharType="separate"/>
      </w:r>
      <w:r w:rsidR="00DA6E35">
        <w:t>7</w:t>
      </w:r>
      <w:r w:rsidR="007375F4" w:rsidRPr="003114C6">
        <w:fldChar w:fldCharType="end"/>
      </w:r>
    </w:p>
    <w:p w:rsidR="003114C6" w:rsidRPr="003114C6" w:rsidRDefault="003114C6" w:rsidP="003114C6">
      <w:pPr>
        <w:pStyle w:val="TOC2"/>
        <w:spacing w:line="240" w:lineRule="auto"/>
        <w:rPr>
          <w:rFonts w:ascii="Arial" w:eastAsiaTheme="minorEastAsia" w:hAnsi="Arial" w:cs="Arial"/>
          <w:noProof/>
          <w:sz w:val="20"/>
          <w:szCs w:val="20"/>
          <w:lang w:eastAsia="lv-LV"/>
        </w:rPr>
      </w:pPr>
      <w:r w:rsidRPr="003114C6">
        <w:rPr>
          <w:rFonts w:ascii="Arial" w:hAnsi="Arial" w:cs="Arial"/>
          <w:noProof/>
          <w:sz w:val="20"/>
          <w:szCs w:val="20"/>
        </w:rPr>
        <w:t>[1.1] Svarīgākie tiesību avoti</w:t>
      </w:r>
      <w:r w:rsidRPr="003114C6">
        <w:rPr>
          <w:rFonts w:ascii="Arial" w:hAnsi="Arial" w:cs="Arial"/>
          <w:noProof/>
          <w:sz w:val="20"/>
          <w:szCs w:val="20"/>
        </w:rPr>
        <w:tab/>
      </w:r>
      <w:r w:rsidR="007375F4" w:rsidRPr="003114C6">
        <w:rPr>
          <w:rFonts w:ascii="Arial" w:hAnsi="Arial" w:cs="Arial"/>
          <w:noProof/>
          <w:sz w:val="20"/>
          <w:szCs w:val="20"/>
        </w:rPr>
        <w:fldChar w:fldCharType="begin"/>
      </w:r>
      <w:r w:rsidRPr="003114C6">
        <w:rPr>
          <w:rFonts w:ascii="Arial" w:hAnsi="Arial" w:cs="Arial"/>
          <w:noProof/>
          <w:sz w:val="20"/>
          <w:szCs w:val="20"/>
        </w:rPr>
        <w:instrText xml:space="preserve"> PAGEREF _Toc460402320 \h </w:instrText>
      </w:r>
      <w:r w:rsidR="007375F4" w:rsidRPr="003114C6">
        <w:rPr>
          <w:rFonts w:ascii="Arial" w:hAnsi="Arial" w:cs="Arial"/>
          <w:noProof/>
          <w:sz w:val="20"/>
          <w:szCs w:val="20"/>
        </w:rPr>
      </w:r>
      <w:r w:rsidR="007375F4" w:rsidRPr="003114C6">
        <w:rPr>
          <w:rFonts w:ascii="Arial" w:hAnsi="Arial" w:cs="Arial"/>
          <w:noProof/>
          <w:sz w:val="20"/>
          <w:szCs w:val="20"/>
        </w:rPr>
        <w:fldChar w:fldCharType="separate"/>
      </w:r>
      <w:r w:rsidR="00DA6E35">
        <w:rPr>
          <w:rFonts w:ascii="Arial" w:hAnsi="Arial" w:cs="Arial"/>
          <w:noProof/>
          <w:sz w:val="20"/>
          <w:szCs w:val="20"/>
        </w:rPr>
        <w:t>7</w:t>
      </w:r>
      <w:r w:rsidR="007375F4" w:rsidRPr="003114C6">
        <w:rPr>
          <w:rFonts w:ascii="Arial" w:hAnsi="Arial" w:cs="Arial"/>
          <w:noProof/>
          <w:sz w:val="20"/>
          <w:szCs w:val="20"/>
        </w:rPr>
        <w:fldChar w:fldCharType="end"/>
      </w:r>
    </w:p>
    <w:p w:rsidR="003114C6" w:rsidRPr="003114C6" w:rsidRDefault="003114C6" w:rsidP="003114C6">
      <w:pPr>
        <w:pStyle w:val="TOC2"/>
        <w:spacing w:line="240" w:lineRule="auto"/>
        <w:rPr>
          <w:rFonts w:ascii="Arial" w:eastAsiaTheme="minorEastAsia" w:hAnsi="Arial" w:cs="Arial"/>
          <w:noProof/>
          <w:sz w:val="20"/>
          <w:szCs w:val="20"/>
          <w:lang w:eastAsia="lv-LV"/>
        </w:rPr>
      </w:pPr>
      <w:r w:rsidRPr="003114C6">
        <w:rPr>
          <w:rFonts w:ascii="Arial" w:hAnsi="Arial" w:cs="Arial"/>
          <w:noProof/>
          <w:sz w:val="20"/>
          <w:szCs w:val="20"/>
        </w:rPr>
        <w:t>[1.2] Jūras plānojums un Latvijas robežas ar kaimiņvalstīm</w:t>
      </w:r>
      <w:r w:rsidRPr="003114C6">
        <w:rPr>
          <w:rFonts w:ascii="Arial" w:hAnsi="Arial" w:cs="Arial"/>
          <w:noProof/>
          <w:sz w:val="20"/>
          <w:szCs w:val="20"/>
        </w:rPr>
        <w:tab/>
      </w:r>
      <w:r w:rsidR="007375F4" w:rsidRPr="003114C6">
        <w:rPr>
          <w:rFonts w:ascii="Arial" w:hAnsi="Arial" w:cs="Arial"/>
          <w:noProof/>
          <w:sz w:val="20"/>
          <w:szCs w:val="20"/>
        </w:rPr>
        <w:fldChar w:fldCharType="begin"/>
      </w:r>
      <w:r w:rsidRPr="003114C6">
        <w:rPr>
          <w:rFonts w:ascii="Arial" w:hAnsi="Arial" w:cs="Arial"/>
          <w:noProof/>
          <w:sz w:val="20"/>
          <w:szCs w:val="20"/>
        </w:rPr>
        <w:instrText xml:space="preserve"> PAGEREF _Toc460402321 \h </w:instrText>
      </w:r>
      <w:r w:rsidR="007375F4" w:rsidRPr="003114C6">
        <w:rPr>
          <w:rFonts w:ascii="Arial" w:hAnsi="Arial" w:cs="Arial"/>
          <w:noProof/>
          <w:sz w:val="20"/>
          <w:szCs w:val="20"/>
        </w:rPr>
      </w:r>
      <w:r w:rsidR="007375F4" w:rsidRPr="003114C6">
        <w:rPr>
          <w:rFonts w:ascii="Arial" w:hAnsi="Arial" w:cs="Arial"/>
          <w:noProof/>
          <w:sz w:val="20"/>
          <w:szCs w:val="20"/>
        </w:rPr>
        <w:fldChar w:fldCharType="separate"/>
      </w:r>
      <w:r w:rsidR="00DA6E35">
        <w:rPr>
          <w:rFonts w:ascii="Arial" w:hAnsi="Arial" w:cs="Arial"/>
          <w:noProof/>
          <w:sz w:val="20"/>
          <w:szCs w:val="20"/>
        </w:rPr>
        <w:t>8</w:t>
      </w:r>
      <w:r w:rsidR="007375F4" w:rsidRPr="003114C6">
        <w:rPr>
          <w:rFonts w:ascii="Arial" w:hAnsi="Arial" w:cs="Arial"/>
          <w:noProof/>
          <w:sz w:val="20"/>
          <w:szCs w:val="20"/>
        </w:rPr>
        <w:fldChar w:fldCharType="end"/>
      </w:r>
    </w:p>
    <w:p w:rsidR="003114C6" w:rsidRPr="003114C6" w:rsidRDefault="003114C6" w:rsidP="003114C6">
      <w:pPr>
        <w:pStyle w:val="TOC1"/>
        <w:spacing w:line="240" w:lineRule="auto"/>
        <w:rPr>
          <w:rFonts w:eastAsiaTheme="minorEastAsia"/>
          <w:b w:val="0"/>
          <w:lang w:eastAsia="lv-LV"/>
        </w:rPr>
      </w:pPr>
      <w:r w:rsidRPr="003114C6">
        <w:t>[2] Eiropas Savienības tiesību regulējums</w:t>
      </w:r>
      <w:r w:rsidRPr="003114C6">
        <w:tab/>
      </w:r>
      <w:r w:rsidR="007375F4" w:rsidRPr="003114C6">
        <w:fldChar w:fldCharType="begin"/>
      </w:r>
      <w:r w:rsidRPr="003114C6">
        <w:instrText xml:space="preserve"> PAGEREF _Toc460402322 \h </w:instrText>
      </w:r>
      <w:r w:rsidR="007375F4" w:rsidRPr="003114C6">
        <w:fldChar w:fldCharType="separate"/>
      </w:r>
      <w:r w:rsidR="00DA6E35">
        <w:t>10</w:t>
      </w:r>
      <w:r w:rsidR="007375F4" w:rsidRPr="003114C6">
        <w:fldChar w:fldCharType="end"/>
      </w:r>
    </w:p>
    <w:p w:rsidR="003114C6" w:rsidRPr="003114C6" w:rsidRDefault="003114C6" w:rsidP="003114C6">
      <w:pPr>
        <w:pStyle w:val="TOC2"/>
        <w:spacing w:line="240" w:lineRule="auto"/>
        <w:rPr>
          <w:rFonts w:ascii="Arial" w:eastAsiaTheme="minorEastAsia" w:hAnsi="Arial" w:cs="Arial"/>
          <w:noProof/>
          <w:sz w:val="20"/>
          <w:szCs w:val="20"/>
          <w:lang w:eastAsia="lv-LV"/>
        </w:rPr>
      </w:pPr>
      <w:r w:rsidRPr="003114C6">
        <w:rPr>
          <w:rFonts w:ascii="Arial" w:hAnsi="Arial" w:cs="Arial"/>
          <w:noProof/>
          <w:sz w:val="20"/>
          <w:szCs w:val="20"/>
        </w:rPr>
        <w:t>[2.1] Jūras stratēģijas pamatdirektīva</w:t>
      </w:r>
      <w:r w:rsidRPr="003114C6">
        <w:rPr>
          <w:rFonts w:ascii="Arial" w:hAnsi="Arial" w:cs="Arial"/>
          <w:noProof/>
          <w:sz w:val="20"/>
          <w:szCs w:val="20"/>
        </w:rPr>
        <w:tab/>
      </w:r>
      <w:r w:rsidR="007375F4" w:rsidRPr="003114C6">
        <w:rPr>
          <w:rFonts w:ascii="Arial" w:hAnsi="Arial" w:cs="Arial"/>
          <w:noProof/>
          <w:sz w:val="20"/>
          <w:szCs w:val="20"/>
        </w:rPr>
        <w:fldChar w:fldCharType="begin"/>
      </w:r>
      <w:r w:rsidRPr="003114C6">
        <w:rPr>
          <w:rFonts w:ascii="Arial" w:hAnsi="Arial" w:cs="Arial"/>
          <w:noProof/>
          <w:sz w:val="20"/>
          <w:szCs w:val="20"/>
        </w:rPr>
        <w:instrText xml:space="preserve"> PAGEREF _Toc460402323 \h </w:instrText>
      </w:r>
      <w:r w:rsidR="007375F4" w:rsidRPr="003114C6">
        <w:rPr>
          <w:rFonts w:ascii="Arial" w:hAnsi="Arial" w:cs="Arial"/>
          <w:noProof/>
          <w:sz w:val="20"/>
          <w:szCs w:val="20"/>
        </w:rPr>
      </w:r>
      <w:r w:rsidR="007375F4" w:rsidRPr="003114C6">
        <w:rPr>
          <w:rFonts w:ascii="Arial" w:hAnsi="Arial" w:cs="Arial"/>
          <w:noProof/>
          <w:sz w:val="20"/>
          <w:szCs w:val="20"/>
        </w:rPr>
        <w:fldChar w:fldCharType="separate"/>
      </w:r>
      <w:r w:rsidR="00DA6E35">
        <w:rPr>
          <w:rFonts w:ascii="Arial" w:hAnsi="Arial" w:cs="Arial"/>
          <w:noProof/>
          <w:sz w:val="20"/>
          <w:szCs w:val="20"/>
        </w:rPr>
        <w:t>10</w:t>
      </w:r>
      <w:r w:rsidR="007375F4" w:rsidRPr="003114C6">
        <w:rPr>
          <w:rFonts w:ascii="Arial" w:hAnsi="Arial" w:cs="Arial"/>
          <w:noProof/>
          <w:sz w:val="20"/>
          <w:szCs w:val="20"/>
        </w:rPr>
        <w:fldChar w:fldCharType="end"/>
      </w:r>
    </w:p>
    <w:p w:rsidR="003114C6" w:rsidRPr="003114C6" w:rsidRDefault="003114C6" w:rsidP="003114C6">
      <w:pPr>
        <w:pStyle w:val="TOC2"/>
        <w:spacing w:line="240" w:lineRule="auto"/>
        <w:rPr>
          <w:rFonts w:ascii="Arial" w:eastAsiaTheme="minorEastAsia" w:hAnsi="Arial" w:cs="Arial"/>
          <w:noProof/>
          <w:sz w:val="20"/>
          <w:szCs w:val="20"/>
          <w:lang w:eastAsia="lv-LV"/>
        </w:rPr>
      </w:pPr>
      <w:r w:rsidRPr="003114C6">
        <w:rPr>
          <w:rFonts w:ascii="Arial" w:hAnsi="Arial" w:cs="Arial"/>
          <w:noProof/>
          <w:sz w:val="20"/>
          <w:szCs w:val="20"/>
        </w:rPr>
        <w:t>[2.2] Jūras telpiskās plānošanas regulējums</w:t>
      </w:r>
      <w:r w:rsidRPr="003114C6">
        <w:rPr>
          <w:rFonts w:ascii="Arial" w:hAnsi="Arial" w:cs="Arial"/>
          <w:noProof/>
          <w:sz w:val="20"/>
          <w:szCs w:val="20"/>
        </w:rPr>
        <w:tab/>
      </w:r>
      <w:r w:rsidR="007375F4" w:rsidRPr="003114C6">
        <w:rPr>
          <w:rFonts w:ascii="Arial" w:hAnsi="Arial" w:cs="Arial"/>
          <w:noProof/>
          <w:sz w:val="20"/>
          <w:szCs w:val="20"/>
        </w:rPr>
        <w:fldChar w:fldCharType="begin"/>
      </w:r>
      <w:r w:rsidRPr="003114C6">
        <w:rPr>
          <w:rFonts w:ascii="Arial" w:hAnsi="Arial" w:cs="Arial"/>
          <w:noProof/>
          <w:sz w:val="20"/>
          <w:szCs w:val="20"/>
        </w:rPr>
        <w:instrText xml:space="preserve"> PAGEREF _Toc460402324 \h </w:instrText>
      </w:r>
      <w:r w:rsidR="007375F4" w:rsidRPr="003114C6">
        <w:rPr>
          <w:rFonts w:ascii="Arial" w:hAnsi="Arial" w:cs="Arial"/>
          <w:noProof/>
          <w:sz w:val="20"/>
          <w:szCs w:val="20"/>
        </w:rPr>
      </w:r>
      <w:r w:rsidR="007375F4" w:rsidRPr="003114C6">
        <w:rPr>
          <w:rFonts w:ascii="Arial" w:hAnsi="Arial" w:cs="Arial"/>
          <w:noProof/>
          <w:sz w:val="20"/>
          <w:szCs w:val="20"/>
        </w:rPr>
        <w:fldChar w:fldCharType="separate"/>
      </w:r>
      <w:r w:rsidR="00DA6E35">
        <w:rPr>
          <w:rFonts w:ascii="Arial" w:hAnsi="Arial" w:cs="Arial"/>
          <w:noProof/>
          <w:sz w:val="20"/>
          <w:szCs w:val="20"/>
        </w:rPr>
        <w:t>10</w:t>
      </w:r>
      <w:r w:rsidR="007375F4" w:rsidRPr="003114C6">
        <w:rPr>
          <w:rFonts w:ascii="Arial" w:hAnsi="Arial" w:cs="Arial"/>
          <w:noProof/>
          <w:sz w:val="20"/>
          <w:szCs w:val="20"/>
        </w:rPr>
        <w:fldChar w:fldCharType="end"/>
      </w:r>
    </w:p>
    <w:p w:rsidR="003114C6" w:rsidRPr="003114C6" w:rsidRDefault="003114C6" w:rsidP="003114C6">
      <w:pPr>
        <w:pStyle w:val="TOC2"/>
        <w:spacing w:line="240" w:lineRule="auto"/>
        <w:rPr>
          <w:rFonts w:ascii="Arial" w:eastAsiaTheme="minorEastAsia" w:hAnsi="Arial" w:cs="Arial"/>
          <w:noProof/>
          <w:sz w:val="20"/>
          <w:szCs w:val="20"/>
          <w:lang w:eastAsia="lv-LV"/>
        </w:rPr>
      </w:pPr>
      <w:r w:rsidRPr="003114C6">
        <w:rPr>
          <w:rFonts w:ascii="Arial" w:hAnsi="Arial" w:cs="Arial"/>
          <w:noProof/>
          <w:sz w:val="20"/>
          <w:szCs w:val="20"/>
        </w:rPr>
        <w:t>[2.3] Eiropas Savienības stratēģijas</w:t>
      </w:r>
      <w:r w:rsidRPr="003114C6">
        <w:rPr>
          <w:rFonts w:ascii="Arial" w:hAnsi="Arial" w:cs="Arial"/>
          <w:noProof/>
          <w:sz w:val="20"/>
          <w:szCs w:val="20"/>
        </w:rPr>
        <w:tab/>
      </w:r>
      <w:r w:rsidR="007375F4" w:rsidRPr="003114C6">
        <w:rPr>
          <w:rFonts w:ascii="Arial" w:hAnsi="Arial" w:cs="Arial"/>
          <w:noProof/>
          <w:sz w:val="20"/>
          <w:szCs w:val="20"/>
        </w:rPr>
        <w:fldChar w:fldCharType="begin"/>
      </w:r>
      <w:r w:rsidRPr="003114C6">
        <w:rPr>
          <w:rFonts w:ascii="Arial" w:hAnsi="Arial" w:cs="Arial"/>
          <w:noProof/>
          <w:sz w:val="20"/>
          <w:szCs w:val="20"/>
        </w:rPr>
        <w:instrText xml:space="preserve"> PAGEREF _Toc460402325 \h </w:instrText>
      </w:r>
      <w:r w:rsidR="007375F4" w:rsidRPr="003114C6">
        <w:rPr>
          <w:rFonts w:ascii="Arial" w:hAnsi="Arial" w:cs="Arial"/>
          <w:noProof/>
          <w:sz w:val="20"/>
          <w:szCs w:val="20"/>
        </w:rPr>
      </w:r>
      <w:r w:rsidR="007375F4" w:rsidRPr="003114C6">
        <w:rPr>
          <w:rFonts w:ascii="Arial" w:hAnsi="Arial" w:cs="Arial"/>
          <w:noProof/>
          <w:sz w:val="20"/>
          <w:szCs w:val="20"/>
        </w:rPr>
        <w:fldChar w:fldCharType="separate"/>
      </w:r>
      <w:r w:rsidR="00DA6E35">
        <w:rPr>
          <w:rFonts w:ascii="Arial" w:hAnsi="Arial" w:cs="Arial"/>
          <w:noProof/>
          <w:sz w:val="20"/>
          <w:szCs w:val="20"/>
        </w:rPr>
        <w:t>12</w:t>
      </w:r>
      <w:r w:rsidR="007375F4" w:rsidRPr="003114C6">
        <w:rPr>
          <w:rFonts w:ascii="Arial" w:hAnsi="Arial" w:cs="Arial"/>
          <w:noProof/>
          <w:sz w:val="20"/>
          <w:szCs w:val="20"/>
        </w:rPr>
        <w:fldChar w:fldCharType="end"/>
      </w:r>
    </w:p>
    <w:p w:rsidR="003114C6" w:rsidRPr="003114C6" w:rsidRDefault="003114C6" w:rsidP="003114C6">
      <w:pPr>
        <w:pStyle w:val="TOC2"/>
        <w:spacing w:line="240" w:lineRule="auto"/>
        <w:rPr>
          <w:rFonts w:ascii="Arial" w:eastAsiaTheme="minorEastAsia" w:hAnsi="Arial" w:cs="Arial"/>
          <w:noProof/>
          <w:sz w:val="20"/>
          <w:szCs w:val="20"/>
          <w:lang w:eastAsia="lv-LV"/>
        </w:rPr>
      </w:pPr>
      <w:r w:rsidRPr="003114C6">
        <w:rPr>
          <w:rFonts w:ascii="Arial" w:hAnsi="Arial" w:cs="Arial"/>
          <w:noProof/>
          <w:sz w:val="20"/>
          <w:szCs w:val="20"/>
        </w:rPr>
        <w:t>[2.4] Eiropas Savienības tiesību akti – nozaru regulējumus</w:t>
      </w:r>
      <w:r w:rsidRPr="003114C6">
        <w:rPr>
          <w:rFonts w:ascii="Arial" w:hAnsi="Arial" w:cs="Arial"/>
          <w:noProof/>
          <w:sz w:val="20"/>
          <w:szCs w:val="20"/>
        </w:rPr>
        <w:tab/>
      </w:r>
      <w:r w:rsidR="007375F4" w:rsidRPr="003114C6">
        <w:rPr>
          <w:rFonts w:ascii="Arial" w:hAnsi="Arial" w:cs="Arial"/>
          <w:noProof/>
          <w:sz w:val="20"/>
          <w:szCs w:val="20"/>
        </w:rPr>
        <w:fldChar w:fldCharType="begin"/>
      </w:r>
      <w:r w:rsidRPr="003114C6">
        <w:rPr>
          <w:rFonts w:ascii="Arial" w:hAnsi="Arial" w:cs="Arial"/>
          <w:noProof/>
          <w:sz w:val="20"/>
          <w:szCs w:val="20"/>
        </w:rPr>
        <w:instrText xml:space="preserve"> PAGEREF _Toc460402326 \h </w:instrText>
      </w:r>
      <w:r w:rsidR="007375F4" w:rsidRPr="003114C6">
        <w:rPr>
          <w:rFonts w:ascii="Arial" w:hAnsi="Arial" w:cs="Arial"/>
          <w:noProof/>
          <w:sz w:val="20"/>
          <w:szCs w:val="20"/>
        </w:rPr>
      </w:r>
      <w:r w:rsidR="007375F4" w:rsidRPr="003114C6">
        <w:rPr>
          <w:rFonts w:ascii="Arial" w:hAnsi="Arial" w:cs="Arial"/>
          <w:noProof/>
          <w:sz w:val="20"/>
          <w:szCs w:val="20"/>
        </w:rPr>
        <w:fldChar w:fldCharType="separate"/>
      </w:r>
      <w:r w:rsidR="00DA6E35">
        <w:rPr>
          <w:rFonts w:ascii="Arial" w:hAnsi="Arial" w:cs="Arial"/>
          <w:noProof/>
          <w:sz w:val="20"/>
          <w:szCs w:val="20"/>
        </w:rPr>
        <w:t>13</w:t>
      </w:r>
      <w:r w:rsidR="007375F4" w:rsidRPr="003114C6">
        <w:rPr>
          <w:rFonts w:ascii="Arial" w:hAnsi="Arial" w:cs="Arial"/>
          <w:noProof/>
          <w:sz w:val="20"/>
          <w:szCs w:val="20"/>
        </w:rPr>
        <w:fldChar w:fldCharType="end"/>
      </w:r>
    </w:p>
    <w:p w:rsidR="003114C6" w:rsidRPr="003114C6" w:rsidRDefault="003114C6" w:rsidP="003114C6">
      <w:pPr>
        <w:pStyle w:val="TOC3"/>
        <w:tabs>
          <w:tab w:val="right" w:leader="dot" w:pos="8494"/>
        </w:tabs>
        <w:spacing w:line="240" w:lineRule="auto"/>
        <w:rPr>
          <w:rFonts w:ascii="Arial" w:eastAsiaTheme="minorEastAsia" w:hAnsi="Arial" w:cs="Arial"/>
          <w:noProof/>
          <w:sz w:val="20"/>
          <w:szCs w:val="20"/>
          <w:lang w:eastAsia="lv-LV"/>
        </w:rPr>
      </w:pPr>
      <w:r w:rsidRPr="003114C6">
        <w:rPr>
          <w:rFonts w:ascii="Arial" w:hAnsi="Arial" w:cs="Arial"/>
          <w:noProof/>
          <w:sz w:val="20"/>
          <w:szCs w:val="20"/>
        </w:rPr>
        <w:t>[2.4.1] Vides joma</w:t>
      </w:r>
      <w:r w:rsidRPr="003114C6">
        <w:rPr>
          <w:rFonts w:ascii="Arial" w:hAnsi="Arial" w:cs="Arial"/>
          <w:noProof/>
          <w:sz w:val="20"/>
          <w:szCs w:val="20"/>
        </w:rPr>
        <w:tab/>
      </w:r>
      <w:r w:rsidR="007375F4" w:rsidRPr="003114C6">
        <w:rPr>
          <w:rFonts w:ascii="Arial" w:hAnsi="Arial" w:cs="Arial"/>
          <w:noProof/>
          <w:sz w:val="20"/>
          <w:szCs w:val="20"/>
        </w:rPr>
        <w:fldChar w:fldCharType="begin"/>
      </w:r>
      <w:r w:rsidRPr="003114C6">
        <w:rPr>
          <w:rFonts w:ascii="Arial" w:hAnsi="Arial" w:cs="Arial"/>
          <w:noProof/>
          <w:sz w:val="20"/>
          <w:szCs w:val="20"/>
        </w:rPr>
        <w:instrText xml:space="preserve"> PAGEREF _Toc460402327 \h </w:instrText>
      </w:r>
      <w:r w:rsidR="007375F4" w:rsidRPr="003114C6">
        <w:rPr>
          <w:rFonts w:ascii="Arial" w:hAnsi="Arial" w:cs="Arial"/>
          <w:noProof/>
          <w:sz w:val="20"/>
          <w:szCs w:val="20"/>
        </w:rPr>
      </w:r>
      <w:r w:rsidR="007375F4" w:rsidRPr="003114C6">
        <w:rPr>
          <w:rFonts w:ascii="Arial" w:hAnsi="Arial" w:cs="Arial"/>
          <w:noProof/>
          <w:sz w:val="20"/>
          <w:szCs w:val="20"/>
        </w:rPr>
        <w:fldChar w:fldCharType="separate"/>
      </w:r>
      <w:r w:rsidR="00DA6E35">
        <w:rPr>
          <w:rFonts w:ascii="Arial" w:hAnsi="Arial" w:cs="Arial"/>
          <w:noProof/>
          <w:sz w:val="20"/>
          <w:szCs w:val="20"/>
        </w:rPr>
        <w:t>13</w:t>
      </w:r>
      <w:r w:rsidR="007375F4" w:rsidRPr="003114C6">
        <w:rPr>
          <w:rFonts w:ascii="Arial" w:hAnsi="Arial" w:cs="Arial"/>
          <w:noProof/>
          <w:sz w:val="20"/>
          <w:szCs w:val="20"/>
        </w:rPr>
        <w:fldChar w:fldCharType="end"/>
      </w:r>
    </w:p>
    <w:p w:rsidR="003114C6" w:rsidRPr="003114C6" w:rsidRDefault="003114C6" w:rsidP="003114C6">
      <w:pPr>
        <w:pStyle w:val="TOC3"/>
        <w:tabs>
          <w:tab w:val="right" w:leader="dot" w:pos="8494"/>
        </w:tabs>
        <w:spacing w:line="240" w:lineRule="auto"/>
        <w:rPr>
          <w:rFonts w:ascii="Arial" w:eastAsiaTheme="minorEastAsia" w:hAnsi="Arial" w:cs="Arial"/>
          <w:noProof/>
          <w:sz w:val="20"/>
          <w:szCs w:val="20"/>
          <w:lang w:eastAsia="lv-LV"/>
        </w:rPr>
      </w:pPr>
      <w:r w:rsidRPr="003114C6">
        <w:rPr>
          <w:rFonts w:ascii="Arial" w:hAnsi="Arial" w:cs="Arial"/>
          <w:noProof/>
          <w:sz w:val="20"/>
          <w:szCs w:val="20"/>
        </w:rPr>
        <w:t>[2.4.2] Zivsaimniecība</w:t>
      </w:r>
      <w:r w:rsidRPr="003114C6">
        <w:rPr>
          <w:rFonts w:ascii="Arial" w:hAnsi="Arial" w:cs="Arial"/>
          <w:noProof/>
          <w:sz w:val="20"/>
          <w:szCs w:val="20"/>
        </w:rPr>
        <w:tab/>
      </w:r>
      <w:r w:rsidR="007375F4" w:rsidRPr="003114C6">
        <w:rPr>
          <w:rFonts w:ascii="Arial" w:hAnsi="Arial" w:cs="Arial"/>
          <w:noProof/>
          <w:sz w:val="20"/>
          <w:szCs w:val="20"/>
        </w:rPr>
        <w:fldChar w:fldCharType="begin"/>
      </w:r>
      <w:r w:rsidRPr="003114C6">
        <w:rPr>
          <w:rFonts w:ascii="Arial" w:hAnsi="Arial" w:cs="Arial"/>
          <w:noProof/>
          <w:sz w:val="20"/>
          <w:szCs w:val="20"/>
        </w:rPr>
        <w:instrText xml:space="preserve"> PAGEREF _Toc460402328 \h </w:instrText>
      </w:r>
      <w:r w:rsidR="007375F4" w:rsidRPr="003114C6">
        <w:rPr>
          <w:rFonts w:ascii="Arial" w:hAnsi="Arial" w:cs="Arial"/>
          <w:noProof/>
          <w:sz w:val="20"/>
          <w:szCs w:val="20"/>
        </w:rPr>
      </w:r>
      <w:r w:rsidR="007375F4" w:rsidRPr="003114C6">
        <w:rPr>
          <w:rFonts w:ascii="Arial" w:hAnsi="Arial" w:cs="Arial"/>
          <w:noProof/>
          <w:sz w:val="20"/>
          <w:szCs w:val="20"/>
        </w:rPr>
        <w:fldChar w:fldCharType="separate"/>
      </w:r>
      <w:r w:rsidR="00DA6E35">
        <w:rPr>
          <w:rFonts w:ascii="Arial" w:hAnsi="Arial" w:cs="Arial"/>
          <w:noProof/>
          <w:sz w:val="20"/>
          <w:szCs w:val="20"/>
        </w:rPr>
        <w:t>16</w:t>
      </w:r>
      <w:r w:rsidR="007375F4" w:rsidRPr="003114C6">
        <w:rPr>
          <w:rFonts w:ascii="Arial" w:hAnsi="Arial" w:cs="Arial"/>
          <w:noProof/>
          <w:sz w:val="20"/>
          <w:szCs w:val="20"/>
        </w:rPr>
        <w:fldChar w:fldCharType="end"/>
      </w:r>
    </w:p>
    <w:p w:rsidR="003114C6" w:rsidRPr="003114C6" w:rsidRDefault="003114C6" w:rsidP="003114C6">
      <w:pPr>
        <w:pStyle w:val="TOC3"/>
        <w:tabs>
          <w:tab w:val="right" w:leader="dot" w:pos="8494"/>
        </w:tabs>
        <w:spacing w:line="240" w:lineRule="auto"/>
        <w:rPr>
          <w:rFonts w:ascii="Arial" w:eastAsiaTheme="minorEastAsia" w:hAnsi="Arial" w:cs="Arial"/>
          <w:noProof/>
          <w:sz w:val="20"/>
          <w:szCs w:val="20"/>
          <w:lang w:eastAsia="lv-LV"/>
        </w:rPr>
      </w:pPr>
      <w:r w:rsidRPr="003114C6">
        <w:rPr>
          <w:rFonts w:ascii="Arial" w:hAnsi="Arial" w:cs="Arial"/>
          <w:noProof/>
          <w:sz w:val="20"/>
          <w:szCs w:val="20"/>
        </w:rPr>
        <w:t>[2.4.3] Kuģošana</w:t>
      </w:r>
      <w:r w:rsidRPr="003114C6">
        <w:rPr>
          <w:rFonts w:ascii="Arial" w:hAnsi="Arial" w:cs="Arial"/>
          <w:noProof/>
          <w:sz w:val="20"/>
          <w:szCs w:val="20"/>
        </w:rPr>
        <w:tab/>
      </w:r>
      <w:r w:rsidR="007375F4" w:rsidRPr="003114C6">
        <w:rPr>
          <w:rFonts w:ascii="Arial" w:hAnsi="Arial" w:cs="Arial"/>
          <w:noProof/>
          <w:sz w:val="20"/>
          <w:szCs w:val="20"/>
        </w:rPr>
        <w:fldChar w:fldCharType="begin"/>
      </w:r>
      <w:r w:rsidRPr="003114C6">
        <w:rPr>
          <w:rFonts w:ascii="Arial" w:hAnsi="Arial" w:cs="Arial"/>
          <w:noProof/>
          <w:sz w:val="20"/>
          <w:szCs w:val="20"/>
        </w:rPr>
        <w:instrText xml:space="preserve"> PAGEREF _Toc460402329 \h </w:instrText>
      </w:r>
      <w:r w:rsidR="007375F4" w:rsidRPr="003114C6">
        <w:rPr>
          <w:rFonts w:ascii="Arial" w:hAnsi="Arial" w:cs="Arial"/>
          <w:noProof/>
          <w:sz w:val="20"/>
          <w:szCs w:val="20"/>
        </w:rPr>
      </w:r>
      <w:r w:rsidR="007375F4" w:rsidRPr="003114C6">
        <w:rPr>
          <w:rFonts w:ascii="Arial" w:hAnsi="Arial" w:cs="Arial"/>
          <w:noProof/>
          <w:sz w:val="20"/>
          <w:szCs w:val="20"/>
        </w:rPr>
        <w:fldChar w:fldCharType="separate"/>
      </w:r>
      <w:r w:rsidR="00DA6E35">
        <w:rPr>
          <w:rFonts w:ascii="Arial" w:hAnsi="Arial" w:cs="Arial"/>
          <w:noProof/>
          <w:sz w:val="20"/>
          <w:szCs w:val="20"/>
        </w:rPr>
        <w:t>17</w:t>
      </w:r>
      <w:r w:rsidR="007375F4" w:rsidRPr="003114C6">
        <w:rPr>
          <w:rFonts w:ascii="Arial" w:hAnsi="Arial" w:cs="Arial"/>
          <w:noProof/>
          <w:sz w:val="20"/>
          <w:szCs w:val="20"/>
        </w:rPr>
        <w:fldChar w:fldCharType="end"/>
      </w:r>
    </w:p>
    <w:p w:rsidR="003114C6" w:rsidRPr="003114C6" w:rsidRDefault="003114C6" w:rsidP="003114C6">
      <w:pPr>
        <w:pStyle w:val="TOC3"/>
        <w:tabs>
          <w:tab w:val="right" w:leader="dot" w:pos="8494"/>
        </w:tabs>
        <w:spacing w:line="240" w:lineRule="auto"/>
        <w:rPr>
          <w:rFonts w:ascii="Arial" w:eastAsiaTheme="minorEastAsia" w:hAnsi="Arial" w:cs="Arial"/>
          <w:noProof/>
          <w:sz w:val="20"/>
          <w:szCs w:val="20"/>
          <w:lang w:eastAsia="lv-LV"/>
        </w:rPr>
      </w:pPr>
      <w:r w:rsidRPr="003114C6">
        <w:rPr>
          <w:rFonts w:ascii="Arial" w:hAnsi="Arial" w:cs="Arial"/>
          <w:noProof/>
          <w:sz w:val="20"/>
          <w:szCs w:val="20"/>
        </w:rPr>
        <w:t>[2.4.4] Enerģētika</w:t>
      </w:r>
      <w:r w:rsidRPr="003114C6">
        <w:rPr>
          <w:rFonts w:ascii="Arial" w:hAnsi="Arial" w:cs="Arial"/>
          <w:noProof/>
          <w:sz w:val="20"/>
          <w:szCs w:val="20"/>
        </w:rPr>
        <w:tab/>
      </w:r>
      <w:r w:rsidR="007375F4" w:rsidRPr="003114C6">
        <w:rPr>
          <w:rFonts w:ascii="Arial" w:hAnsi="Arial" w:cs="Arial"/>
          <w:noProof/>
          <w:sz w:val="20"/>
          <w:szCs w:val="20"/>
        </w:rPr>
        <w:fldChar w:fldCharType="begin"/>
      </w:r>
      <w:r w:rsidRPr="003114C6">
        <w:rPr>
          <w:rFonts w:ascii="Arial" w:hAnsi="Arial" w:cs="Arial"/>
          <w:noProof/>
          <w:sz w:val="20"/>
          <w:szCs w:val="20"/>
        </w:rPr>
        <w:instrText xml:space="preserve"> PAGEREF _Toc460402330 \h </w:instrText>
      </w:r>
      <w:r w:rsidR="007375F4" w:rsidRPr="003114C6">
        <w:rPr>
          <w:rFonts w:ascii="Arial" w:hAnsi="Arial" w:cs="Arial"/>
          <w:noProof/>
          <w:sz w:val="20"/>
          <w:szCs w:val="20"/>
        </w:rPr>
      </w:r>
      <w:r w:rsidR="007375F4" w:rsidRPr="003114C6">
        <w:rPr>
          <w:rFonts w:ascii="Arial" w:hAnsi="Arial" w:cs="Arial"/>
          <w:noProof/>
          <w:sz w:val="20"/>
          <w:szCs w:val="20"/>
        </w:rPr>
        <w:fldChar w:fldCharType="separate"/>
      </w:r>
      <w:r w:rsidR="00DA6E35">
        <w:rPr>
          <w:rFonts w:ascii="Arial" w:hAnsi="Arial" w:cs="Arial"/>
          <w:noProof/>
          <w:sz w:val="20"/>
          <w:szCs w:val="20"/>
        </w:rPr>
        <w:t>18</w:t>
      </w:r>
      <w:r w:rsidR="007375F4" w:rsidRPr="003114C6">
        <w:rPr>
          <w:rFonts w:ascii="Arial" w:hAnsi="Arial" w:cs="Arial"/>
          <w:noProof/>
          <w:sz w:val="20"/>
          <w:szCs w:val="20"/>
        </w:rPr>
        <w:fldChar w:fldCharType="end"/>
      </w:r>
    </w:p>
    <w:p w:rsidR="003114C6" w:rsidRPr="003114C6" w:rsidRDefault="003114C6" w:rsidP="003114C6">
      <w:pPr>
        <w:pStyle w:val="TOC2"/>
        <w:spacing w:line="240" w:lineRule="auto"/>
        <w:rPr>
          <w:rFonts w:ascii="Arial" w:eastAsiaTheme="minorEastAsia" w:hAnsi="Arial" w:cs="Arial"/>
          <w:noProof/>
          <w:sz w:val="20"/>
          <w:szCs w:val="20"/>
          <w:lang w:eastAsia="lv-LV"/>
        </w:rPr>
      </w:pPr>
      <w:r w:rsidRPr="003114C6">
        <w:rPr>
          <w:rFonts w:ascii="Arial" w:hAnsi="Arial" w:cs="Arial"/>
          <w:noProof/>
          <w:sz w:val="20"/>
          <w:szCs w:val="20"/>
        </w:rPr>
        <w:t>[2.5] Eiropas Savienības tiesu prakse par jūras tiesisko režīmu</w:t>
      </w:r>
      <w:r w:rsidRPr="003114C6">
        <w:rPr>
          <w:rFonts w:ascii="Arial" w:hAnsi="Arial" w:cs="Arial"/>
          <w:noProof/>
          <w:sz w:val="20"/>
          <w:szCs w:val="20"/>
        </w:rPr>
        <w:tab/>
      </w:r>
      <w:r w:rsidR="007375F4" w:rsidRPr="003114C6">
        <w:rPr>
          <w:rFonts w:ascii="Arial" w:hAnsi="Arial" w:cs="Arial"/>
          <w:noProof/>
          <w:sz w:val="20"/>
          <w:szCs w:val="20"/>
        </w:rPr>
        <w:fldChar w:fldCharType="begin"/>
      </w:r>
      <w:r w:rsidRPr="003114C6">
        <w:rPr>
          <w:rFonts w:ascii="Arial" w:hAnsi="Arial" w:cs="Arial"/>
          <w:noProof/>
          <w:sz w:val="20"/>
          <w:szCs w:val="20"/>
        </w:rPr>
        <w:instrText xml:space="preserve"> PAGEREF _Toc460402331 \h </w:instrText>
      </w:r>
      <w:r w:rsidR="007375F4" w:rsidRPr="003114C6">
        <w:rPr>
          <w:rFonts w:ascii="Arial" w:hAnsi="Arial" w:cs="Arial"/>
          <w:noProof/>
          <w:sz w:val="20"/>
          <w:szCs w:val="20"/>
        </w:rPr>
      </w:r>
      <w:r w:rsidR="007375F4" w:rsidRPr="003114C6">
        <w:rPr>
          <w:rFonts w:ascii="Arial" w:hAnsi="Arial" w:cs="Arial"/>
          <w:noProof/>
          <w:sz w:val="20"/>
          <w:szCs w:val="20"/>
        </w:rPr>
        <w:fldChar w:fldCharType="separate"/>
      </w:r>
      <w:r w:rsidR="00DA6E35">
        <w:rPr>
          <w:rFonts w:ascii="Arial" w:hAnsi="Arial" w:cs="Arial"/>
          <w:noProof/>
          <w:sz w:val="20"/>
          <w:szCs w:val="20"/>
        </w:rPr>
        <w:t>19</w:t>
      </w:r>
      <w:r w:rsidR="007375F4" w:rsidRPr="003114C6">
        <w:rPr>
          <w:rFonts w:ascii="Arial" w:hAnsi="Arial" w:cs="Arial"/>
          <w:noProof/>
          <w:sz w:val="20"/>
          <w:szCs w:val="20"/>
        </w:rPr>
        <w:fldChar w:fldCharType="end"/>
      </w:r>
    </w:p>
    <w:p w:rsidR="003114C6" w:rsidRPr="003114C6" w:rsidRDefault="003114C6" w:rsidP="003114C6">
      <w:pPr>
        <w:pStyle w:val="TOC3"/>
        <w:tabs>
          <w:tab w:val="right" w:leader="dot" w:pos="8494"/>
        </w:tabs>
        <w:spacing w:line="240" w:lineRule="auto"/>
        <w:rPr>
          <w:rFonts w:ascii="Arial" w:eastAsiaTheme="minorEastAsia" w:hAnsi="Arial" w:cs="Arial"/>
          <w:noProof/>
          <w:sz w:val="20"/>
          <w:szCs w:val="20"/>
          <w:lang w:eastAsia="lv-LV"/>
        </w:rPr>
      </w:pPr>
      <w:r w:rsidRPr="003114C6">
        <w:rPr>
          <w:rFonts w:ascii="Arial" w:hAnsi="Arial" w:cs="Arial"/>
          <w:noProof/>
          <w:sz w:val="20"/>
          <w:szCs w:val="20"/>
        </w:rPr>
        <w:t>[2.5.1] Vispārēji jūras tiesību un Konvencijas piemērošanas jautājumi</w:t>
      </w:r>
      <w:r w:rsidRPr="003114C6">
        <w:rPr>
          <w:rFonts w:ascii="Arial" w:hAnsi="Arial" w:cs="Arial"/>
          <w:noProof/>
          <w:sz w:val="20"/>
          <w:szCs w:val="20"/>
        </w:rPr>
        <w:tab/>
      </w:r>
      <w:r w:rsidR="007375F4" w:rsidRPr="003114C6">
        <w:rPr>
          <w:rFonts w:ascii="Arial" w:hAnsi="Arial" w:cs="Arial"/>
          <w:noProof/>
          <w:sz w:val="20"/>
          <w:szCs w:val="20"/>
        </w:rPr>
        <w:fldChar w:fldCharType="begin"/>
      </w:r>
      <w:r w:rsidRPr="003114C6">
        <w:rPr>
          <w:rFonts w:ascii="Arial" w:hAnsi="Arial" w:cs="Arial"/>
          <w:noProof/>
          <w:sz w:val="20"/>
          <w:szCs w:val="20"/>
        </w:rPr>
        <w:instrText xml:space="preserve"> PAGEREF _Toc460402332 \h </w:instrText>
      </w:r>
      <w:r w:rsidR="007375F4" w:rsidRPr="003114C6">
        <w:rPr>
          <w:rFonts w:ascii="Arial" w:hAnsi="Arial" w:cs="Arial"/>
          <w:noProof/>
          <w:sz w:val="20"/>
          <w:szCs w:val="20"/>
        </w:rPr>
      </w:r>
      <w:r w:rsidR="007375F4" w:rsidRPr="003114C6">
        <w:rPr>
          <w:rFonts w:ascii="Arial" w:hAnsi="Arial" w:cs="Arial"/>
          <w:noProof/>
          <w:sz w:val="20"/>
          <w:szCs w:val="20"/>
        </w:rPr>
        <w:fldChar w:fldCharType="separate"/>
      </w:r>
      <w:r w:rsidR="00DA6E35">
        <w:rPr>
          <w:rFonts w:ascii="Arial" w:hAnsi="Arial" w:cs="Arial"/>
          <w:noProof/>
          <w:sz w:val="20"/>
          <w:szCs w:val="20"/>
        </w:rPr>
        <w:t>19</w:t>
      </w:r>
      <w:r w:rsidR="007375F4" w:rsidRPr="003114C6">
        <w:rPr>
          <w:rFonts w:ascii="Arial" w:hAnsi="Arial" w:cs="Arial"/>
          <w:noProof/>
          <w:sz w:val="20"/>
          <w:szCs w:val="20"/>
        </w:rPr>
        <w:fldChar w:fldCharType="end"/>
      </w:r>
    </w:p>
    <w:p w:rsidR="003114C6" w:rsidRPr="003114C6" w:rsidRDefault="003114C6" w:rsidP="003114C6">
      <w:pPr>
        <w:pStyle w:val="TOC3"/>
        <w:tabs>
          <w:tab w:val="right" w:leader="dot" w:pos="8494"/>
        </w:tabs>
        <w:spacing w:line="240" w:lineRule="auto"/>
        <w:rPr>
          <w:rFonts w:ascii="Arial" w:eastAsiaTheme="minorEastAsia" w:hAnsi="Arial" w:cs="Arial"/>
          <w:noProof/>
          <w:sz w:val="20"/>
          <w:szCs w:val="20"/>
          <w:lang w:eastAsia="lv-LV"/>
        </w:rPr>
      </w:pPr>
      <w:r w:rsidRPr="003114C6">
        <w:rPr>
          <w:rFonts w:ascii="Arial" w:hAnsi="Arial" w:cs="Arial"/>
          <w:noProof/>
          <w:sz w:val="20"/>
          <w:szCs w:val="20"/>
        </w:rPr>
        <w:t>[2.5.2] Jūras tiesības, ES tiesību ģeogrāfiskā piemērojamība, vides tiesības</w:t>
      </w:r>
      <w:r w:rsidRPr="003114C6">
        <w:rPr>
          <w:rFonts w:ascii="Arial" w:hAnsi="Arial" w:cs="Arial"/>
          <w:noProof/>
          <w:sz w:val="20"/>
          <w:szCs w:val="20"/>
        </w:rPr>
        <w:tab/>
      </w:r>
      <w:r w:rsidR="007375F4" w:rsidRPr="003114C6">
        <w:rPr>
          <w:rFonts w:ascii="Arial" w:hAnsi="Arial" w:cs="Arial"/>
          <w:noProof/>
          <w:sz w:val="20"/>
          <w:szCs w:val="20"/>
        </w:rPr>
        <w:fldChar w:fldCharType="begin"/>
      </w:r>
      <w:r w:rsidRPr="003114C6">
        <w:rPr>
          <w:rFonts w:ascii="Arial" w:hAnsi="Arial" w:cs="Arial"/>
          <w:noProof/>
          <w:sz w:val="20"/>
          <w:szCs w:val="20"/>
        </w:rPr>
        <w:instrText xml:space="preserve"> PAGEREF _Toc460402333 \h </w:instrText>
      </w:r>
      <w:r w:rsidR="007375F4" w:rsidRPr="003114C6">
        <w:rPr>
          <w:rFonts w:ascii="Arial" w:hAnsi="Arial" w:cs="Arial"/>
          <w:noProof/>
          <w:sz w:val="20"/>
          <w:szCs w:val="20"/>
        </w:rPr>
      </w:r>
      <w:r w:rsidR="007375F4" w:rsidRPr="003114C6">
        <w:rPr>
          <w:rFonts w:ascii="Arial" w:hAnsi="Arial" w:cs="Arial"/>
          <w:noProof/>
          <w:sz w:val="20"/>
          <w:szCs w:val="20"/>
        </w:rPr>
        <w:fldChar w:fldCharType="separate"/>
      </w:r>
      <w:r w:rsidR="00DA6E35">
        <w:rPr>
          <w:rFonts w:ascii="Arial" w:hAnsi="Arial" w:cs="Arial"/>
          <w:noProof/>
          <w:sz w:val="20"/>
          <w:szCs w:val="20"/>
        </w:rPr>
        <w:t>21</w:t>
      </w:r>
      <w:r w:rsidR="007375F4" w:rsidRPr="003114C6">
        <w:rPr>
          <w:rFonts w:ascii="Arial" w:hAnsi="Arial" w:cs="Arial"/>
          <w:noProof/>
          <w:sz w:val="20"/>
          <w:szCs w:val="20"/>
        </w:rPr>
        <w:fldChar w:fldCharType="end"/>
      </w:r>
    </w:p>
    <w:p w:rsidR="003114C6" w:rsidRPr="003114C6" w:rsidRDefault="003114C6" w:rsidP="003114C6">
      <w:pPr>
        <w:pStyle w:val="TOC3"/>
        <w:tabs>
          <w:tab w:val="right" w:leader="dot" w:pos="8494"/>
        </w:tabs>
        <w:spacing w:line="240" w:lineRule="auto"/>
        <w:rPr>
          <w:rFonts w:ascii="Arial" w:eastAsiaTheme="minorEastAsia" w:hAnsi="Arial" w:cs="Arial"/>
          <w:noProof/>
          <w:sz w:val="20"/>
          <w:szCs w:val="20"/>
          <w:lang w:eastAsia="lv-LV"/>
        </w:rPr>
      </w:pPr>
      <w:r w:rsidRPr="003114C6">
        <w:rPr>
          <w:rFonts w:ascii="Arial" w:hAnsi="Arial" w:cs="Arial"/>
          <w:noProof/>
          <w:sz w:val="20"/>
          <w:szCs w:val="20"/>
        </w:rPr>
        <w:t>[2.5.3] Kuģošana</w:t>
      </w:r>
      <w:r w:rsidRPr="003114C6">
        <w:rPr>
          <w:rFonts w:ascii="Arial" w:hAnsi="Arial" w:cs="Arial"/>
          <w:noProof/>
          <w:sz w:val="20"/>
          <w:szCs w:val="20"/>
        </w:rPr>
        <w:tab/>
      </w:r>
      <w:r w:rsidR="007375F4" w:rsidRPr="003114C6">
        <w:rPr>
          <w:rFonts w:ascii="Arial" w:hAnsi="Arial" w:cs="Arial"/>
          <w:noProof/>
          <w:sz w:val="20"/>
          <w:szCs w:val="20"/>
        </w:rPr>
        <w:fldChar w:fldCharType="begin"/>
      </w:r>
      <w:r w:rsidRPr="003114C6">
        <w:rPr>
          <w:rFonts w:ascii="Arial" w:hAnsi="Arial" w:cs="Arial"/>
          <w:noProof/>
          <w:sz w:val="20"/>
          <w:szCs w:val="20"/>
        </w:rPr>
        <w:instrText xml:space="preserve"> PAGEREF _Toc460402334 \h </w:instrText>
      </w:r>
      <w:r w:rsidR="007375F4" w:rsidRPr="003114C6">
        <w:rPr>
          <w:rFonts w:ascii="Arial" w:hAnsi="Arial" w:cs="Arial"/>
          <w:noProof/>
          <w:sz w:val="20"/>
          <w:szCs w:val="20"/>
        </w:rPr>
      </w:r>
      <w:r w:rsidR="007375F4" w:rsidRPr="003114C6">
        <w:rPr>
          <w:rFonts w:ascii="Arial" w:hAnsi="Arial" w:cs="Arial"/>
          <w:noProof/>
          <w:sz w:val="20"/>
          <w:szCs w:val="20"/>
        </w:rPr>
        <w:fldChar w:fldCharType="separate"/>
      </w:r>
      <w:r w:rsidR="00DA6E35">
        <w:rPr>
          <w:rFonts w:ascii="Arial" w:hAnsi="Arial" w:cs="Arial"/>
          <w:noProof/>
          <w:sz w:val="20"/>
          <w:szCs w:val="20"/>
        </w:rPr>
        <w:t>22</w:t>
      </w:r>
      <w:r w:rsidR="007375F4" w:rsidRPr="003114C6">
        <w:rPr>
          <w:rFonts w:ascii="Arial" w:hAnsi="Arial" w:cs="Arial"/>
          <w:noProof/>
          <w:sz w:val="20"/>
          <w:szCs w:val="20"/>
        </w:rPr>
        <w:fldChar w:fldCharType="end"/>
      </w:r>
    </w:p>
    <w:p w:rsidR="003114C6" w:rsidRPr="003114C6" w:rsidRDefault="003114C6" w:rsidP="003114C6">
      <w:pPr>
        <w:pStyle w:val="TOC3"/>
        <w:tabs>
          <w:tab w:val="right" w:leader="dot" w:pos="8494"/>
        </w:tabs>
        <w:spacing w:line="240" w:lineRule="auto"/>
        <w:rPr>
          <w:rFonts w:ascii="Arial" w:eastAsiaTheme="minorEastAsia" w:hAnsi="Arial" w:cs="Arial"/>
          <w:noProof/>
          <w:sz w:val="20"/>
          <w:szCs w:val="20"/>
          <w:lang w:eastAsia="lv-LV"/>
        </w:rPr>
      </w:pPr>
      <w:r w:rsidRPr="003114C6">
        <w:rPr>
          <w:rFonts w:ascii="Arial" w:hAnsi="Arial" w:cs="Arial"/>
          <w:noProof/>
          <w:sz w:val="20"/>
          <w:szCs w:val="20"/>
        </w:rPr>
        <w:t>[2.5.4] Enerģētika</w:t>
      </w:r>
      <w:r w:rsidRPr="003114C6">
        <w:rPr>
          <w:rFonts w:ascii="Arial" w:hAnsi="Arial" w:cs="Arial"/>
          <w:noProof/>
          <w:sz w:val="20"/>
          <w:szCs w:val="20"/>
        </w:rPr>
        <w:tab/>
      </w:r>
      <w:r w:rsidR="007375F4" w:rsidRPr="003114C6">
        <w:rPr>
          <w:rFonts w:ascii="Arial" w:hAnsi="Arial" w:cs="Arial"/>
          <w:noProof/>
          <w:sz w:val="20"/>
          <w:szCs w:val="20"/>
        </w:rPr>
        <w:fldChar w:fldCharType="begin"/>
      </w:r>
      <w:r w:rsidRPr="003114C6">
        <w:rPr>
          <w:rFonts w:ascii="Arial" w:hAnsi="Arial" w:cs="Arial"/>
          <w:noProof/>
          <w:sz w:val="20"/>
          <w:szCs w:val="20"/>
        </w:rPr>
        <w:instrText xml:space="preserve"> PAGEREF _Toc460402335 \h </w:instrText>
      </w:r>
      <w:r w:rsidR="007375F4" w:rsidRPr="003114C6">
        <w:rPr>
          <w:rFonts w:ascii="Arial" w:hAnsi="Arial" w:cs="Arial"/>
          <w:noProof/>
          <w:sz w:val="20"/>
          <w:szCs w:val="20"/>
        </w:rPr>
      </w:r>
      <w:r w:rsidR="007375F4" w:rsidRPr="003114C6">
        <w:rPr>
          <w:rFonts w:ascii="Arial" w:hAnsi="Arial" w:cs="Arial"/>
          <w:noProof/>
          <w:sz w:val="20"/>
          <w:szCs w:val="20"/>
        </w:rPr>
        <w:fldChar w:fldCharType="separate"/>
      </w:r>
      <w:r w:rsidR="00DA6E35">
        <w:rPr>
          <w:rFonts w:ascii="Arial" w:hAnsi="Arial" w:cs="Arial"/>
          <w:noProof/>
          <w:sz w:val="20"/>
          <w:szCs w:val="20"/>
        </w:rPr>
        <w:t>22</w:t>
      </w:r>
      <w:r w:rsidR="007375F4" w:rsidRPr="003114C6">
        <w:rPr>
          <w:rFonts w:ascii="Arial" w:hAnsi="Arial" w:cs="Arial"/>
          <w:noProof/>
          <w:sz w:val="20"/>
          <w:szCs w:val="20"/>
        </w:rPr>
        <w:fldChar w:fldCharType="end"/>
      </w:r>
    </w:p>
    <w:p w:rsidR="003114C6" w:rsidRPr="003114C6" w:rsidRDefault="003114C6" w:rsidP="003114C6">
      <w:pPr>
        <w:pStyle w:val="TOC3"/>
        <w:tabs>
          <w:tab w:val="right" w:leader="dot" w:pos="8494"/>
        </w:tabs>
        <w:spacing w:line="240" w:lineRule="auto"/>
        <w:rPr>
          <w:rFonts w:ascii="Arial" w:eastAsiaTheme="minorEastAsia" w:hAnsi="Arial" w:cs="Arial"/>
          <w:noProof/>
          <w:sz w:val="20"/>
          <w:szCs w:val="20"/>
          <w:lang w:eastAsia="lv-LV"/>
        </w:rPr>
      </w:pPr>
      <w:r w:rsidRPr="003114C6">
        <w:rPr>
          <w:rFonts w:ascii="Arial" w:hAnsi="Arial" w:cs="Arial"/>
          <w:noProof/>
          <w:sz w:val="20"/>
          <w:szCs w:val="20"/>
        </w:rPr>
        <w:t>[2.5.5] Zivsaimniecība un vide</w:t>
      </w:r>
      <w:r w:rsidRPr="003114C6">
        <w:rPr>
          <w:rFonts w:ascii="Arial" w:hAnsi="Arial" w:cs="Arial"/>
          <w:noProof/>
          <w:sz w:val="20"/>
          <w:szCs w:val="20"/>
        </w:rPr>
        <w:tab/>
      </w:r>
      <w:r w:rsidR="007375F4" w:rsidRPr="003114C6">
        <w:rPr>
          <w:rFonts w:ascii="Arial" w:hAnsi="Arial" w:cs="Arial"/>
          <w:noProof/>
          <w:sz w:val="20"/>
          <w:szCs w:val="20"/>
        </w:rPr>
        <w:fldChar w:fldCharType="begin"/>
      </w:r>
      <w:r w:rsidRPr="003114C6">
        <w:rPr>
          <w:rFonts w:ascii="Arial" w:hAnsi="Arial" w:cs="Arial"/>
          <w:noProof/>
          <w:sz w:val="20"/>
          <w:szCs w:val="20"/>
        </w:rPr>
        <w:instrText xml:space="preserve"> PAGEREF _Toc460402336 \h </w:instrText>
      </w:r>
      <w:r w:rsidR="007375F4" w:rsidRPr="003114C6">
        <w:rPr>
          <w:rFonts w:ascii="Arial" w:hAnsi="Arial" w:cs="Arial"/>
          <w:noProof/>
          <w:sz w:val="20"/>
          <w:szCs w:val="20"/>
        </w:rPr>
      </w:r>
      <w:r w:rsidR="007375F4" w:rsidRPr="003114C6">
        <w:rPr>
          <w:rFonts w:ascii="Arial" w:hAnsi="Arial" w:cs="Arial"/>
          <w:noProof/>
          <w:sz w:val="20"/>
          <w:szCs w:val="20"/>
        </w:rPr>
        <w:fldChar w:fldCharType="separate"/>
      </w:r>
      <w:r w:rsidR="00DA6E35">
        <w:rPr>
          <w:rFonts w:ascii="Arial" w:hAnsi="Arial" w:cs="Arial"/>
          <w:noProof/>
          <w:sz w:val="20"/>
          <w:szCs w:val="20"/>
        </w:rPr>
        <w:t>22</w:t>
      </w:r>
      <w:r w:rsidR="007375F4" w:rsidRPr="003114C6">
        <w:rPr>
          <w:rFonts w:ascii="Arial" w:hAnsi="Arial" w:cs="Arial"/>
          <w:noProof/>
          <w:sz w:val="20"/>
          <w:szCs w:val="20"/>
        </w:rPr>
        <w:fldChar w:fldCharType="end"/>
      </w:r>
    </w:p>
    <w:p w:rsidR="003114C6" w:rsidRPr="003114C6" w:rsidRDefault="003114C6" w:rsidP="003114C6">
      <w:pPr>
        <w:pStyle w:val="TOC1"/>
        <w:spacing w:line="240" w:lineRule="auto"/>
        <w:rPr>
          <w:rFonts w:eastAsiaTheme="minorEastAsia"/>
          <w:b w:val="0"/>
          <w:lang w:eastAsia="lv-LV"/>
        </w:rPr>
      </w:pPr>
      <w:r w:rsidRPr="003114C6">
        <w:t>[3] Starptautiskās konvencijas – nozaru regulējums</w:t>
      </w:r>
      <w:r w:rsidRPr="003114C6">
        <w:tab/>
      </w:r>
      <w:r w:rsidR="007375F4" w:rsidRPr="003114C6">
        <w:fldChar w:fldCharType="begin"/>
      </w:r>
      <w:r w:rsidRPr="003114C6">
        <w:instrText xml:space="preserve"> PAGEREF _Toc460402337 \h </w:instrText>
      </w:r>
      <w:r w:rsidR="007375F4" w:rsidRPr="003114C6">
        <w:fldChar w:fldCharType="separate"/>
      </w:r>
      <w:r w:rsidR="00DA6E35">
        <w:t>24</w:t>
      </w:r>
      <w:r w:rsidR="007375F4" w:rsidRPr="003114C6">
        <w:fldChar w:fldCharType="end"/>
      </w:r>
    </w:p>
    <w:p w:rsidR="003114C6" w:rsidRPr="003114C6" w:rsidRDefault="003114C6" w:rsidP="003114C6">
      <w:pPr>
        <w:pStyle w:val="TOC2"/>
        <w:spacing w:line="240" w:lineRule="auto"/>
        <w:rPr>
          <w:rFonts w:ascii="Arial" w:eastAsiaTheme="minorEastAsia" w:hAnsi="Arial" w:cs="Arial"/>
          <w:noProof/>
          <w:sz w:val="20"/>
          <w:szCs w:val="20"/>
          <w:lang w:eastAsia="lv-LV"/>
        </w:rPr>
      </w:pPr>
      <w:r w:rsidRPr="003114C6">
        <w:rPr>
          <w:rFonts w:ascii="Arial" w:hAnsi="Arial" w:cs="Arial"/>
          <w:noProof/>
          <w:sz w:val="20"/>
          <w:szCs w:val="20"/>
        </w:rPr>
        <w:t>[3.1] Vides joma</w:t>
      </w:r>
      <w:r w:rsidRPr="003114C6">
        <w:rPr>
          <w:rFonts w:ascii="Arial" w:hAnsi="Arial" w:cs="Arial"/>
          <w:noProof/>
          <w:sz w:val="20"/>
          <w:szCs w:val="20"/>
        </w:rPr>
        <w:tab/>
      </w:r>
      <w:r w:rsidR="007375F4" w:rsidRPr="003114C6">
        <w:rPr>
          <w:rFonts w:ascii="Arial" w:hAnsi="Arial" w:cs="Arial"/>
          <w:noProof/>
          <w:sz w:val="20"/>
          <w:szCs w:val="20"/>
        </w:rPr>
        <w:fldChar w:fldCharType="begin"/>
      </w:r>
      <w:r w:rsidRPr="003114C6">
        <w:rPr>
          <w:rFonts w:ascii="Arial" w:hAnsi="Arial" w:cs="Arial"/>
          <w:noProof/>
          <w:sz w:val="20"/>
          <w:szCs w:val="20"/>
        </w:rPr>
        <w:instrText xml:space="preserve"> PAGEREF _Toc460402338 \h </w:instrText>
      </w:r>
      <w:r w:rsidR="007375F4" w:rsidRPr="003114C6">
        <w:rPr>
          <w:rFonts w:ascii="Arial" w:hAnsi="Arial" w:cs="Arial"/>
          <w:noProof/>
          <w:sz w:val="20"/>
          <w:szCs w:val="20"/>
        </w:rPr>
      </w:r>
      <w:r w:rsidR="007375F4" w:rsidRPr="003114C6">
        <w:rPr>
          <w:rFonts w:ascii="Arial" w:hAnsi="Arial" w:cs="Arial"/>
          <w:noProof/>
          <w:sz w:val="20"/>
          <w:szCs w:val="20"/>
        </w:rPr>
        <w:fldChar w:fldCharType="separate"/>
      </w:r>
      <w:r w:rsidR="00DA6E35">
        <w:rPr>
          <w:rFonts w:ascii="Arial" w:hAnsi="Arial" w:cs="Arial"/>
          <w:noProof/>
          <w:sz w:val="20"/>
          <w:szCs w:val="20"/>
        </w:rPr>
        <w:t>24</w:t>
      </w:r>
      <w:r w:rsidR="007375F4" w:rsidRPr="003114C6">
        <w:rPr>
          <w:rFonts w:ascii="Arial" w:hAnsi="Arial" w:cs="Arial"/>
          <w:noProof/>
          <w:sz w:val="20"/>
          <w:szCs w:val="20"/>
        </w:rPr>
        <w:fldChar w:fldCharType="end"/>
      </w:r>
    </w:p>
    <w:p w:rsidR="003114C6" w:rsidRPr="003114C6" w:rsidRDefault="003114C6" w:rsidP="003114C6">
      <w:pPr>
        <w:pStyle w:val="TOC2"/>
        <w:spacing w:line="240" w:lineRule="auto"/>
        <w:rPr>
          <w:rFonts w:ascii="Arial" w:eastAsiaTheme="minorEastAsia" w:hAnsi="Arial" w:cs="Arial"/>
          <w:noProof/>
          <w:sz w:val="20"/>
          <w:szCs w:val="20"/>
          <w:lang w:eastAsia="lv-LV"/>
        </w:rPr>
      </w:pPr>
      <w:r w:rsidRPr="003114C6">
        <w:rPr>
          <w:rFonts w:ascii="Arial" w:hAnsi="Arial" w:cs="Arial"/>
          <w:noProof/>
          <w:sz w:val="20"/>
          <w:szCs w:val="20"/>
        </w:rPr>
        <w:t>[3.2] Zivsaimniecība</w:t>
      </w:r>
      <w:r w:rsidRPr="003114C6">
        <w:rPr>
          <w:rFonts w:ascii="Arial" w:hAnsi="Arial" w:cs="Arial"/>
          <w:noProof/>
          <w:sz w:val="20"/>
          <w:szCs w:val="20"/>
        </w:rPr>
        <w:tab/>
      </w:r>
      <w:r w:rsidR="007375F4" w:rsidRPr="003114C6">
        <w:rPr>
          <w:rFonts w:ascii="Arial" w:hAnsi="Arial" w:cs="Arial"/>
          <w:noProof/>
          <w:sz w:val="20"/>
          <w:szCs w:val="20"/>
        </w:rPr>
        <w:fldChar w:fldCharType="begin"/>
      </w:r>
      <w:r w:rsidRPr="003114C6">
        <w:rPr>
          <w:rFonts w:ascii="Arial" w:hAnsi="Arial" w:cs="Arial"/>
          <w:noProof/>
          <w:sz w:val="20"/>
          <w:szCs w:val="20"/>
        </w:rPr>
        <w:instrText xml:space="preserve"> PAGEREF _Toc460402339 \h </w:instrText>
      </w:r>
      <w:r w:rsidR="007375F4" w:rsidRPr="003114C6">
        <w:rPr>
          <w:rFonts w:ascii="Arial" w:hAnsi="Arial" w:cs="Arial"/>
          <w:noProof/>
          <w:sz w:val="20"/>
          <w:szCs w:val="20"/>
        </w:rPr>
      </w:r>
      <w:r w:rsidR="007375F4" w:rsidRPr="003114C6">
        <w:rPr>
          <w:rFonts w:ascii="Arial" w:hAnsi="Arial" w:cs="Arial"/>
          <w:noProof/>
          <w:sz w:val="20"/>
          <w:szCs w:val="20"/>
        </w:rPr>
        <w:fldChar w:fldCharType="separate"/>
      </w:r>
      <w:r w:rsidR="00DA6E35">
        <w:rPr>
          <w:rFonts w:ascii="Arial" w:hAnsi="Arial" w:cs="Arial"/>
          <w:noProof/>
          <w:sz w:val="20"/>
          <w:szCs w:val="20"/>
        </w:rPr>
        <w:t>27</w:t>
      </w:r>
      <w:r w:rsidR="007375F4" w:rsidRPr="003114C6">
        <w:rPr>
          <w:rFonts w:ascii="Arial" w:hAnsi="Arial" w:cs="Arial"/>
          <w:noProof/>
          <w:sz w:val="20"/>
          <w:szCs w:val="20"/>
        </w:rPr>
        <w:fldChar w:fldCharType="end"/>
      </w:r>
    </w:p>
    <w:p w:rsidR="003114C6" w:rsidRPr="003114C6" w:rsidRDefault="003114C6" w:rsidP="003114C6">
      <w:pPr>
        <w:pStyle w:val="TOC2"/>
        <w:spacing w:line="240" w:lineRule="auto"/>
        <w:rPr>
          <w:rFonts w:ascii="Arial" w:eastAsiaTheme="minorEastAsia" w:hAnsi="Arial" w:cs="Arial"/>
          <w:noProof/>
          <w:sz w:val="20"/>
          <w:szCs w:val="20"/>
          <w:lang w:eastAsia="lv-LV"/>
        </w:rPr>
      </w:pPr>
      <w:r w:rsidRPr="003114C6">
        <w:rPr>
          <w:rFonts w:ascii="Arial" w:hAnsi="Arial" w:cs="Arial"/>
          <w:noProof/>
          <w:sz w:val="20"/>
          <w:szCs w:val="20"/>
        </w:rPr>
        <w:t>[3.3] Kuģošana</w:t>
      </w:r>
      <w:r w:rsidRPr="003114C6">
        <w:rPr>
          <w:rFonts w:ascii="Arial" w:hAnsi="Arial" w:cs="Arial"/>
          <w:noProof/>
          <w:sz w:val="20"/>
          <w:szCs w:val="20"/>
        </w:rPr>
        <w:tab/>
      </w:r>
      <w:r w:rsidR="007375F4" w:rsidRPr="003114C6">
        <w:rPr>
          <w:rFonts w:ascii="Arial" w:hAnsi="Arial" w:cs="Arial"/>
          <w:noProof/>
          <w:sz w:val="20"/>
          <w:szCs w:val="20"/>
        </w:rPr>
        <w:fldChar w:fldCharType="begin"/>
      </w:r>
      <w:r w:rsidRPr="003114C6">
        <w:rPr>
          <w:rFonts w:ascii="Arial" w:hAnsi="Arial" w:cs="Arial"/>
          <w:noProof/>
          <w:sz w:val="20"/>
          <w:szCs w:val="20"/>
        </w:rPr>
        <w:instrText xml:space="preserve"> PAGEREF _Toc460402340 \h </w:instrText>
      </w:r>
      <w:r w:rsidR="007375F4" w:rsidRPr="003114C6">
        <w:rPr>
          <w:rFonts w:ascii="Arial" w:hAnsi="Arial" w:cs="Arial"/>
          <w:noProof/>
          <w:sz w:val="20"/>
          <w:szCs w:val="20"/>
        </w:rPr>
      </w:r>
      <w:r w:rsidR="007375F4" w:rsidRPr="003114C6">
        <w:rPr>
          <w:rFonts w:ascii="Arial" w:hAnsi="Arial" w:cs="Arial"/>
          <w:noProof/>
          <w:sz w:val="20"/>
          <w:szCs w:val="20"/>
        </w:rPr>
        <w:fldChar w:fldCharType="separate"/>
      </w:r>
      <w:r w:rsidR="00DA6E35">
        <w:rPr>
          <w:rFonts w:ascii="Arial" w:hAnsi="Arial" w:cs="Arial"/>
          <w:noProof/>
          <w:sz w:val="20"/>
          <w:szCs w:val="20"/>
        </w:rPr>
        <w:t>28</w:t>
      </w:r>
      <w:r w:rsidR="007375F4" w:rsidRPr="003114C6">
        <w:rPr>
          <w:rFonts w:ascii="Arial" w:hAnsi="Arial" w:cs="Arial"/>
          <w:noProof/>
          <w:sz w:val="20"/>
          <w:szCs w:val="20"/>
        </w:rPr>
        <w:fldChar w:fldCharType="end"/>
      </w:r>
    </w:p>
    <w:p w:rsidR="003114C6" w:rsidRPr="003114C6" w:rsidRDefault="003114C6" w:rsidP="003114C6">
      <w:pPr>
        <w:pStyle w:val="TOC2"/>
        <w:spacing w:line="240" w:lineRule="auto"/>
        <w:rPr>
          <w:rFonts w:ascii="Arial" w:eastAsiaTheme="minorEastAsia" w:hAnsi="Arial" w:cs="Arial"/>
          <w:noProof/>
          <w:sz w:val="20"/>
          <w:szCs w:val="20"/>
          <w:lang w:eastAsia="lv-LV"/>
        </w:rPr>
      </w:pPr>
      <w:r w:rsidRPr="003114C6">
        <w:rPr>
          <w:rFonts w:ascii="Arial" w:hAnsi="Arial" w:cs="Arial"/>
          <w:noProof/>
          <w:sz w:val="20"/>
          <w:szCs w:val="20"/>
        </w:rPr>
        <w:t>[3.4] Enerģētika</w:t>
      </w:r>
      <w:r w:rsidRPr="003114C6">
        <w:rPr>
          <w:rFonts w:ascii="Arial" w:hAnsi="Arial" w:cs="Arial"/>
          <w:noProof/>
          <w:sz w:val="20"/>
          <w:szCs w:val="20"/>
        </w:rPr>
        <w:tab/>
      </w:r>
      <w:r w:rsidR="007375F4" w:rsidRPr="003114C6">
        <w:rPr>
          <w:rFonts w:ascii="Arial" w:hAnsi="Arial" w:cs="Arial"/>
          <w:noProof/>
          <w:sz w:val="20"/>
          <w:szCs w:val="20"/>
        </w:rPr>
        <w:fldChar w:fldCharType="begin"/>
      </w:r>
      <w:r w:rsidRPr="003114C6">
        <w:rPr>
          <w:rFonts w:ascii="Arial" w:hAnsi="Arial" w:cs="Arial"/>
          <w:noProof/>
          <w:sz w:val="20"/>
          <w:szCs w:val="20"/>
        </w:rPr>
        <w:instrText xml:space="preserve"> PAGEREF _Toc460402341 \h </w:instrText>
      </w:r>
      <w:r w:rsidR="007375F4" w:rsidRPr="003114C6">
        <w:rPr>
          <w:rFonts w:ascii="Arial" w:hAnsi="Arial" w:cs="Arial"/>
          <w:noProof/>
          <w:sz w:val="20"/>
          <w:szCs w:val="20"/>
        </w:rPr>
      </w:r>
      <w:r w:rsidR="007375F4" w:rsidRPr="003114C6">
        <w:rPr>
          <w:rFonts w:ascii="Arial" w:hAnsi="Arial" w:cs="Arial"/>
          <w:noProof/>
          <w:sz w:val="20"/>
          <w:szCs w:val="20"/>
        </w:rPr>
        <w:fldChar w:fldCharType="separate"/>
      </w:r>
      <w:r w:rsidR="00DA6E35">
        <w:rPr>
          <w:rFonts w:ascii="Arial" w:hAnsi="Arial" w:cs="Arial"/>
          <w:noProof/>
          <w:sz w:val="20"/>
          <w:szCs w:val="20"/>
        </w:rPr>
        <w:t>30</w:t>
      </w:r>
      <w:r w:rsidR="007375F4" w:rsidRPr="003114C6">
        <w:rPr>
          <w:rFonts w:ascii="Arial" w:hAnsi="Arial" w:cs="Arial"/>
          <w:noProof/>
          <w:sz w:val="20"/>
          <w:szCs w:val="20"/>
        </w:rPr>
        <w:fldChar w:fldCharType="end"/>
      </w:r>
    </w:p>
    <w:p w:rsidR="003114C6" w:rsidRPr="003114C6" w:rsidRDefault="003114C6" w:rsidP="003114C6">
      <w:pPr>
        <w:pStyle w:val="TOC1"/>
        <w:spacing w:line="240" w:lineRule="auto"/>
        <w:rPr>
          <w:rFonts w:eastAsiaTheme="minorEastAsia"/>
          <w:b w:val="0"/>
          <w:lang w:eastAsia="lv-LV"/>
        </w:rPr>
      </w:pPr>
      <w:r w:rsidRPr="003114C6">
        <w:t>[4] Ietekmes uz vidi novērtējums darbībām jūrā un jūras plānojuma ietekme uz to</w:t>
      </w:r>
      <w:r w:rsidRPr="003114C6">
        <w:tab/>
      </w:r>
      <w:r w:rsidR="007375F4" w:rsidRPr="003114C6">
        <w:fldChar w:fldCharType="begin"/>
      </w:r>
      <w:r w:rsidRPr="003114C6">
        <w:instrText xml:space="preserve"> PAGEREF _Toc460402342 \h </w:instrText>
      </w:r>
      <w:r w:rsidR="007375F4" w:rsidRPr="003114C6">
        <w:fldChar w:fldCharType="separate"/>
      </w:r>
      <w:r w:rsidR="00DA6E35">
        <w:t>31</w:t>
      </w:r>
      <w:r w:rsidR="007375F4" w:rsidRPr="003114C6">
        <w:fldChar w:fldCharType="end"/>
      </w:r>
    </w:p>
    <w:p w:rsidR="003114C6" w:rsidRPr="003114C6" w:rsidRDefault="003114C6" w:rsidP="003114C6">
      <w:pPr>
        <w:pStyle w:val="TOC1"/>
        <w:spacing w:line="240" w:lineRule="auto"/>
        <w:rPr>
          <w:rFonts w:eastAsiaTheme="minorEastAsia"/>
          <w:b w:val="0"/>
          <w:lang w:eastAsia="lv-LV"/>
        </w:rPr>
      </w:pPr>
      <w:r w:rsidRPr="003114C6">
        <w:t>[5] Jūras plānojuma juridiskā forma un vieta plānošanas sistēmā – izvēles varianti</w:t>
      </w:r>
      <w:r w:rsidRPr="003114C6">
        <w:tab/>
      </w:r>
      <w:r w:rsidR="007375F4" w:rsidRPr="003114C6">
        <w:fldChar w:fldCharType="begin"/>
      </w:r>
      <w:r w:rsidRPr="003114C6">
        <w:instrText xml:space="preserve"> PAGEREF _Toc460402343 \h </w:instrText>
      </w:r>
      <w:r w:rsidR="007375F4" w:rsidRPr="003114C6">
        <w:fldChar w:fldCharType="separate"/>
      </w:r>
      <w:r w:rsidR="00DA6E35">
        <w:t>34</w:t>
      </w:r>
      <w:r w:rsidR="007375F4" w:rsidRPr="003114C6">
        <w:fldChar w:fldCharType="end"/>
      </w:r>
    </w:p>
    <w:p w:rsidR="003114C6" w:rsidRPr="003114C6" w:rsidRDefault="003114C6" w:rsidP="003114C6">
      <w:pPr>
        <w:pStyle w:val="TOC2"/>
        <w:spacing w:line="240" w:lineRule="auto"/>
        <w:rPr>
          <w:rFonts w:ascii="Arial" w:eastAsiaTheme="minorEastAsia" w:hAnsi="Arial" w:cs="Arial"/>
          <w:noProof/>
          <w:sz w:val="20"/>
          <w:szCs w:val="20"/>
          <w:lang w:eastAsia="lv-LV"/>
        </w:rPr>
      </w:pPr>
      <w:r w:rsidRPr="003114C6">
        <w:rPr>
          <w:rFonts w:ascii="Arial" w:hAnsi="Arial" w:cs="Arial"/>
          <w:noProof/>
          <w:sz w:val="20"/>
          <w:szCs w:val="20"/>
          <w:lang w:eastAsia="lv-LV"/>
        </w:rPr>
        <w:t>[5.1] Jūras plānojuma vieta attīstības plānošanas sistēmā</w:t>
      </w:r>
      <w:r w:rsidRPr="003114C6">
        <w:rPr>
          <w:rFonts w:ascii="Arial" w:hAnsi="Arial" w:cs="Arial"/>
          <w:noProof/>
          <w:sz w:val="20"/>
          <w:szCs w:val="20"/>
        </w:rPr>
        <w:tab/>
      </w:r>
      <w:r w:rsidR="007375F4" w:rsidRPr="003114C6">
        <w:rPr>
          <w:rFonts w:ascii="Arial" w:hAnsi="Arial" w:cs="Arial"/>
          <w:noProof/>
          <w:sz w:val="20"/>
          <w:szCs w:val="20"/>
        </w:rPr>
        <w:fldChar w:fldCharType="begin"/>
      </w:r>
      <w:r w:rsidRPr="003114C6">
        <w:rPr>
          <w:rFonts w:ascii="Arial" w:hAnsi="Arial" w:cs="Arial"/>
          <w:noProof/>
          <w:sz w:val="20"/>
          <w:szCs w:val="20"/>
        </w:rPr>
        <w:instrText xml:space="preserve"> PAGEREF _Toc460402344 \h </w:instrText>
      </w:r>
      <w:r w:rsidR="007375F4" w:rsidRPr="003114C6">
        <w:rPr>
          <w:rFonts w:ascii="Arial" w:hAnsi="Arial" w:cs="Arial"/>
          <w:noProof/>
          <w:sz w:val="20"/>
          <w:szCs w:val="20"/>
        </w:rPr>
      </w:r>
      <w:r w:rsidR="007375F4" w:rsidRPr="003114C6">
        <w:rPr>
          <w:rFonts w:ascii="Arial" w:hAnsi="Arial" w:cs="Arial"/>
          <w:noProof/>
          <w:sz w:val="20"/>
          <w:szCs w:val="20"/>
        </w:rPr>
        <w:fldChar w:fldCharType="separate"/>
      </w:r>
      <w:r w:rsidR="00DA6E35">
        <w:rPr>
          <w:rFonts w:ascii="Arial" w:hAnsi="Arial" w:cs="Arial"/>
          <w:noProof/>
          <w:sz w:val="20"/>
          <w:szCs w:val="20"/>
        </w:rPr>
        <w:t>34</w:t>
      </w:r>
      <w:r w:rsidR="007375F4" w:rsidRPr="003114C6">
        <w:rPr>
          <w:rFonts w:ascii="Arial" w:hAnsi="Arial" w:cs="Arial"/>
          <w:noProof/>
          <w:sz w:val="20"/>
          <w:szCs w:val="20"/>
        </w:rPr>
        <w:fldChar w:fldCharType="end"/>
      </w:r>
    </w:p>
    <w:p w:rsidR="003114C6" w:rsidRPr="003114C6" w:rsidRDefault="003114C6" w:rsidP="003114C6">
      <w:pPr>
        <w:pStyle w:val="TOC2"/>
        <w:spacing w:line="240" w:lineRule="auto"/>
        <w:rPr>
          <w:rFonts w:ascii="Arial" w:eastAsiaTheme="minorEastAsia" w:hAnsi="Arial" w:cs="Arial"/>
          <w:noProof/>
          <w:sz w:val="20"/>
          <w:szCs w:val="20"/>
          <w:lang w:eastAsia="lv-LV"/>
        </w:rPr>
      </w:pPr>
      <w:r w:rsidRPr="003114C6">
        <w:rPr>
          <w:rFonts w:ascii="Arial" w:hAnsi="Arial" w:cs="Arial"/>
          <w:noProof/>
          <w:sz w:val="20"/>
          <w:szCs w:val="20"/>
          <w:shd w:val="clear" w:color="auto" w:fill="FFFFFF"/>
        </w:rPr>
        <w:t>[5.2] Jūras plānojuma juridiskā forma – izvēles varianti, to ieguvumi un riski</w:t>
      </w:r>
      <w:r w:rsidRPr="003114C6">
        <w:rPr>
          <w:rFonts w:ascii="Arial" w:hAnsi="Arial" w:cs="Arial"/>
          <w:noProof/>
          <w:sz w:val="20"/>
          <w:szCs w:val="20"/>
        </w:rPr>
        <w:tab/>
      </w:r>
      <w:r w:rsidR="007375F4" w:rsidRPr="003114C6">
        <w:rPr>
          <w:rFonts w:ascii="Arial" w:hAnsi="Arial" w:cs="Arial"/>
          <w:noProof/>
          <w:sz w:val="20"/>
          <w:szCs w:val="20"/>
        </w:rPr>
        <w:fldChar w:fldCharType="begin"/>
      </w:r>
      <w:r w:rsidRPr="003114C6">
        <w:rPr>
          <w:rFonts w:ascii="Arial" w:hAnsi="Arial" w:cs="Arial"/>
          <w:noProof/>
          <w:sz w:val="20"/>
          <w:szCs w:val="20"/>
        </w:rPr>
        <w:instrText xml:space="preserve"> PAGEREF _Toc460402345 \h </w:instrText>
      </w:r>
      <w:r w:rsidR="007375F4" w:rsidRPr="003114C6">
        <w:rPr>
          <w:rFonts w:ascii="Arial" w:hAnsi="Arial" w:cs="Arial"/>
          <w:noProof/>
          <w:sz w:val="20"/>
          <w:szCs w:val="20"/>
        </w:rPr>
      </w:r>
      <w:r w:rsidR="007375F4" w:rsidRPr="003114C6">
        <w:rPr>
          <w:rFonts w:ascii="Arial" w:hAnsi="Arial" w:cs="Arial"/>
          <w:noProof/>
          <w:sz w:val="20"/>
          <w:szCs w:val="20"/>
        </w:rPr>
        <w:fldChar w:fldCharType="separate"/>
      </w:r>
      <w:r w:rsidR="00DA6E35">
        <w:rPr>
          <w:rFonts w:ascii="Arial" w:hAnsi="Arial" w:cs="Arial"/>
          <w:noProof/>
          <w:sz w:val="20"/>
          <w:szCs w:val="20"/>
        </w:rPr>
        <w:t>34</w:t>
      </w:r>
      <w:r w:rsidR="007375F4" w:rsidRPr="003114C6">
        <w:rPr>
          <w:rFonts w:ascii="Arial" w:hAnsi="Arial" w:cs="Arial"/>
          <w:noProof/>
          <w:sz w:val="20"/>
          <w:szCs w:val="20"/>
        </w:rPr>
        <w:fldChar w:fldCharType="end"/>
      </w:r>
    </w:p>
    <w:p w:rsidR="003114C6" w:rsidRPr="003114C6" w:rsidRDefault="003114C6" w:rsidP="003114C6">
      <w:pPr>
        <w:pStyle w:val="TOC3"/>
        <w:tabs>
          <w:tab w:val="right" w:leader="dot" w:pos="8494"/>
        </w:tabs>
        <w:spacing w:line="240" w:lineRule="auto"/>
        <w:rPr>
          <w:rFonts w:ascii="Arial" w:eastAsiaTheme="minorEastAsia" w:hAnsi="Arial" w:cs="Arial"/>
          <w:noProof/>
          <w:sz w:val="20"/>
          <w:szCs w:val="20"/>
          <w:lang w:eastAsia="lv-LV"/>
        </w:rPr>
      </w:pPr>
      <w:r w:rsidRPr="003114C6">
        <w:rPr>
          <w:rFonts w:ascii="Arial" w:hAnsi="Arial" w:cs="Arial"/>
          <w:noProof/>
          <w:sz w:val="20"/>
          <w:szCs w:val="20"/>
          <w:shd w:val="clear" w:color="auto" w:fill="FFFFFF"/>
        </w:rPr>
        <w:t>[5.2.1] Vispārīgais administratīvais akts</w:t>
      </w:r>
      <w:r w:rsidRPr="003114C6">
        <w:rPr>
          <w:rFonts w:ascii="Arial" w:hAnsi="Arial" w:cs="Arial"/>
          <w:noProof/>
          <w:sz w:val="20"/>
          <w:szCs w:val="20"/>
        </w:rPr>
        <w:tab/>
      </w:r>
      <w:r w:rsidR="007375F4" w:rsidRPr="003114C6">
        <w:rPr>
          <w:rFonts w:ascii="Arial" w:hAnsi="Arial" w:cs="Arial"/>
          <w:noProof/>
          <w:sz w:val="20"/>
          <w:szCs w:val="20"/>
        </w:rPr>
        <w:fldChar w:fldCharType="begin"/>
      </w:r>
      <w:r w:rsidRPr="003114C6">
        <w:rPr>
          <w:rFonts w:ascii="Arial" w:hAnsi="Arial" w:cs="Arial"/>
          <w:noProof/>
          <w:sz w:val="20"/>
          <w:szCs w:val="20"/>
        </w:rPr>
        <w:instrText xml:space="preserve"> PAGEREF _Toc460402346 \h </w:instrText>
      </w:r>
      <w:r w:rsidR="007375F4" w:rsidRPr="003114C6">
        <w:rPr>
          <w:rFonts w:ascii="Arial" w:hAnsi="Arial" w:cs="Arial"/>
          <w:noProof/>
          <w:sz w:val="20"/>
          <w:szCs w:val="20"/>
        </w:rPr>
      </w:r>
      <w:r w:rsidR="007375F4" w:rsidRPr="003114C6">
        <w:rPr>
          <w:rFonts w:ascii="Arial" w:hAnsi="Arial" w:cs="Arial"/>
          <w:noProof/>
          <w:sz w:val="20"/>
          <w:szCs w:val="20"/>
        </w:rPr>
        <w:fldChar w:fldCharType="separate"/>
      </w:r>
      <w:r w:rsidR="00DA6E35">
        <w:rPr>
          <w:rFonts w:ascii="Arial" w:hAnsi="Arial" w:cs="Arial"/>
          <w:noProof/>
          <w:sz w:val="20"/>
          <w:szCs w:val="20"/>
        </w:rPr>
        <w:t>35</w:t>
      </w:r>
      <w:r w:rsidR="007375F4" w:rsidRPr="003114C6">
        <w:rPr>
          <w:rFonts w:ascii="Arial" w:hAnsi="Arial" w:cs="Arial"/>
          <w:noProof/>
          <w:sz w:val="20"/>
          <w:szCs w:val="20"/>
        </w:rPr>
        <w:fldChar w:fldCharType="end"/>
      </w:r>
    </w:p>
    <w:p w:rsidR="003114C6" w:rsidRPr="003114C6" w:rsidRDefault="003114C6" w:rsidP="003114C6">
      <w:pPr>
        <w:pStyle w:val="TOC3"/>
        <w:tabs>
          <w:tab w:val="right" w:leader="dot" w:pos="8494"/>
        </w:tabs>
        <w:spacing w:line="240" w:lineRule="auto"/>
        <w:rPr>
          <w:rFonts w:ascii="Arial" w:eastAsiaTheme="minorEastAsia" w:hAnsi="Arial" w:cs="Arial"/>
          <w:noProof/>
          <w:sz w:val="20"/>
          <w:szCs w:val="20"/>
          <w:lang w:eastAsia="lv-LV"/>
        </w:rPr>
      </w:pPr>
      <w:r w:rsidRPr="003114C6">
        <w:rPr>
          <w:rFonts w:ascii="Arial" w:hAnsi="Arial" w:cs="Arial"/>
          <w:noProof/>
          <w:sz w:val="20"/>
          <w:szCs w:val="20"/>
          <w:shd w:val="clear" w:color="auto" w:fill="FFFFFF"/>
        </w:rPr>
        <w:t>[5.2.2] Individuāls lēmums, ar kuru apstiprina attīstības plānošanas dokumentu</w:t>
      </w:r>
      <w:r w:rsidRPr="003114C6">
        <w:rPr>
          <w:rFonts w:ascii="Arial" w:hAnsi="Arial" w:cs="Arial"/>
          <w:noProof/>
          <w:sz w:val="20"/>
          <w:szCs w:val="20"/>
        </w:rPr>
        <w:tab/>
      </w:r>
      <w:r w:rsidR="007375F4" w:rsidRPr="003114C6">
        <w:rPr>
          <w:rFonts w:ascii="Arial" w:hAnsi="Arial" w:cs="Arial"/>
          <w:noProof/>
          <w:sz w:val="20"/>
          <w:szCs w:val="20"/>
        </w:rPr>
        <w:fldChar w:fldCharType="begin"/>
      </w:r>
      <w:r w:rsidRPr="003114C6">
        <w:rPr>
          <w:rFonts w:ascii="Arial" w:hAnsi="Arial" w:cs="Arial"/>
          <w:noProof/>
          <w:sz w:val="20"/>
          <w:szCs w:val="20"/>
        </w:rPr>
        <w:instrText xml:space="preserve"> PAGEREF _Toc460402347 \h </w:instrText>
      </w:r>
      <w:r w:rsidR="007375F4" w:rsidRPr="003114C6">
        <w:rPr>
          <w:rFonts w:ascii="Arial" w:hAnsi="Arial" w:cs="Arial"/>
          <w:noProof/>
          <w:sz w:val="20"/>
          <w:szCs w:val="20"/>
        </w:rPr>
      </w:r>
      <w:r w:rsidR="007375F4" w:rsidRPr="003114C6">
        <w:rPr>
          <w:rFonts w:ascii="Arial" w:hAnsi="Arial" w:cs="Arial"/>
          <w:noProof/>
          <w:sz w:val="20"/>
          <w:szCs w:val="20"/>
        </w:rPr>
        <w:fldChar w:fldCharType="separate"/>
      </w:r>
      <w:r w:rsidR="00DA6E35">
        <w:rPr>
          <w:rFonts w:ascii="Arial" w:hAnsi="Arial" w:cs="Arial"/>
          <w:noProof/>
          <w:sz w:val="20"/>
          <w:szCs w:val="20"/>
        </w:rPr>
        <w:t>35</w:t>
      </w:r>
      <w:r w:rsidR="007375F4" w:rsidRPr="003114C6">
        <w:rPr>
          <w:rFonts w:ascii="Arial" w:hAnsi="Arial" w:cs="Arial"/>
          <w:noProof/>
          <w:sz w:val="20"/>
          <w:szCs w:val="20"/>
        </w:rPr>
        <w:fldChar w:fldCharType="end"/>
      </w:r>
    </w:p>
    <w:p w:rsidR="003114C6" w:rsidRPr="003114C6" w:rsidRDefault="003114C6" w:rsidP="003114C6">
      <w:pPr>
        <w:pStyle w:val="TOC3"/>
        <w:tabs>
          <w:tab w:val="right" w:leader="dot" w:pos="8494"/>
        </w:tabs>
        <w:spacing w:line="240" w:lineRule="auto"/>
        <w:rPr>
          <w:rFonts w:ascii="Arial" w:eastAsiaTheme="minorEastAsia" w:hAnsi="Arial" w:cs="Arial"/>
          <w:noProof/>
          <w:sz w:val="20"/>
          <w:szCs w:val="20"/>
          <w:lang w:eastAsia="lv-LV"/>
        </w:rPr>
      </w:pPr>
      <w:r w:rsidRPr="003114C6">
        <w:rPr>
          <w:rFonts w:ascii="Arial" w:hAnsi="Arial" w:cs="Arial"/>
          <w:noProof/>
          <w:sz w:val="20"/>
          <w:szCs w:val="20"/>
          <w:shd w:val="clear" w:color="auto" w:fill="FFFFFF"/>
        </w:rPr>
        <w:t>[5.2.3] Ārējais normatīvais akts</w:t>
      </w:r>
      <w:r w:rsidRPr="003114C6">
        <w:rPr>
          <w:rFonts w:ascii="Arial" w:hAnsi="Arial" w:cs="Arial"/>
          <w:noProof/>
          <w:sz w:val="20"/>
          <w:szCs w:val="20"/>
        </w:rPr>
        <w:tab/>
      </w:r>
      <w:r w:rsidR="007375F4" w:rsidRPr="003114C6">
        <w:rPr>
          <w:rFonts w:ascii="Arial" w:hAnsi="Arial" w:cs="Arial"/>
          <w:noProof/>
          <w:sz w:val="20"/>
          <w:szCs w:val="20"/>
        </w:rPr>
        <w:fldChar w:fldCharType="begin"/>
      </w:r>
      <w:r w:rsidRPr="003114C6">
        <w:rPr>
          <w:rFonts w:ascii="Arial" w:hAnsi="Arial" w:cs="Arial"/>
          <w:noProof/>
          <w:sz w:val="20"/>
          <w:szCs w:val="20"/>
        </w:rPr>
        <w:instrText xml:space="preserve"> PAGEREF _Toc460402348 \h </w:instrText>
      </w:r>
      <w:r w:rsidR="007375F4" w:rsidRPr="003114C6">
        <w:rPr>
          <w:rFonts w:ascii="Arial" w:hAnsi="Arial" w:cs="Arial"/>
          <w:noProof/>
          <w:sz w:val="20"/>
          <w:szCs w:val="20"/>
        </w:rPr>
      </w:r>
      <w:r w:rsidR="007375F4" w:rsidRPr="003114C6">
        <w:rPr>
          <w:rFonts w:ascii="Arial" w:hAnsi="Arial" w:cs="Arial"/>
          <w:noProof/>
          <w:sz w:val="20"/>
          <w:szCs w:val="20"/>
        </w:rPr>
        <w:fldChar w:fldCharType="separate"/>
      </w:r>
      <w:r w:rsidR="00DA6E35">
        <w:rPr>
          <w:rFonts w:ascii="Arial" w:hAnsi="Arial" w:cs="Arial"/>
          <w:noProof/>
          <w:sz w:val="20"/>
          <w:szCs w:val="20"/>
        </w:rPr>
        <w:t>37</w:t>
      </w:r>
      <w:r w:rsidR="007375F4" w:rsidRPr="003114C6">
        <w:rPr>
          <w:rFonts w:ascii="Arial" w:hAnsi="Arial" w:cs="Arial"/>
          <w:noProof/>
          <w:sz w:val="20"/>
          <w:szCs w:val="20"/>
        </w:rPr>
        <w:fldChar w:fldCharType="end"/>
      </w:r>
    </w:p>
    <w:p w:rsidR="003114C6" w:rsidRPr="003114C6" w:rsidRDefault="003114C6" w:rsidP="003114C6">
      <w:pPr>
        <w:pStyle w:val="TOC2"/>
        <w:spacing w:line="240" w:lineRule="auto"/>
        <w:rPr>
          <w:rFonts w:ascii="Arial" w:eastAsiaTheme="minorEastAsia" w:hAnsi="Arial" w:cs="Arial"/>
          <w:noProof/>
          <w:sz w:val="20"/>
          <w:szCs w:val="20"/>
          <w:lang w:eastAsia="lv-LV"/>
        </w:rPr>
      </w:pPr>
      <w:r w:rsidRPr="003114C6">
        <w:rPr>
          <w:rFonts w:ascii="Arial" w:hAnsi="Arial" w:cs="Arial"/>
          <w:noProof/>
          <w:sz w:val="20"/>
          <w:szCs w:val="20"/>
        </w:rPr>
        <w:t>[5.3] Ieteicamais risinājums</w:t>
      </w:r>
      <w:r w:rsidRPr="003114C6">
        <w:rPr>
          <w:rFonts w:ascii="Arial" w:hAnsi="Arial" w:cs="Arial"/>
          <w:noProof/>
          <w:sz w:val="20"/>
          <w:szCs w:val="20"/>
        </w:rPr>
        <w:tab/>
      </w:r>
      <w:r w:rsidR="007375F4" w:rsidRPr="003114C6">
        <w:rPr>
          <w:rFonts w:ascii="Arial" w:hAnsi="Arial" w:cs="Arial"/>
          <w:noProof/>
          <w:sz w:val="20"/>
          <w:szCs w:val="20"/>
        </w:rPr>
        <w:fldChar w:fldCharType="begin"/>
      </w:r>
      <w:r w:rsidRPr="003114C6">
        <w:rPr>
          <w:rFonts w:ascii="Arial" w:hAnsi="Arial" w:cs="Arial"/>
          <w:noProof/>
          <w:sz w:val="20"/>
          <w:szCs w:val="20"/>
        </w:rPr>
        <w:instrText xml:space="preserve"> PAGEREF _Toc460402349 \h </w:instrText>
      </w:r>
      <w:r w:rsidR="007375F4" w:rsidRPr="003114C6">
        <w:rPr>
          <w:rFonts w:ascii="Arial" w:hAnsi="Arial" w:cs="Arial"/>
          <w:noProof/>
          <w:sz w:val="20"/>
          <w:szCs w:val="20"/>
        </w:rPr>
      </w:r>
      <w:r w:rsidR="007375F4" w:rsidRPr="003114C6">
        <w:rPr>
          <w:rFonts w:ascii="Arial" w:hAnsi="Arial" w:cs="Arial"/>
          <w:noProof/>
          <w:sz w:val="20"/>
          <w:szCs w:val="20"/>
        </w:rPr>
        <w:fldChar w:fldCharType="separate"/>
      </w:r>
      <w:r w:rsidR="00DA6E35">
        <w:rPr>
          <w:rFonts w:ascii="Arial" w:hAnsi="Arial" w:cs="Arial"/>
          <w:noProof/>
          <w:sz w:val="20"/>
          <w:szCs w:val="20"/>
        </w:rPr>
        <w:t>38</w:t>
      </w:r>
      <w:r w:rsidR="007375F4" w:rsidRPr="003114C6">
        <w:rPr>
          <w:rFonts w:ascii="Arial" w:hAnsi="Arial" w:cs="Arial"/>
          <w:noProof/>
          <w:sz w:val="20"/>
          <w:szCs w:val="20"/>
        </w:rPr>
        <w:fldChar w:fldCharType="end"/>
      </w:r>
    </w:p>
    <w:p w:rsidR="003114C6" w:rsidRPr="003114C6" w:rsidRDefault="003114C6" w:rsidP="003114C6">
      <w:pPr>
        <w:pStyle w:val="TOC2"/>
        <w:spacing w:line="240" w:lineRule="auto"/>
        <w:rPr>
          <w:rFonts w:ascii="Arial" w:eastAsiaTheme="minorEastAsia" w:hAnsi="Arial" w:cs="Arial"/>
          <w:noProof/>
          <w:sz w:val="20"/>
          <w:szCs w:val="20"/>
          <w:lang w:eastAsia="lv-LV"/>
        </w:rPr>
      </w:pPr>
      <w:r w:rsidRPr="003114C6">
        <w:rPr>
          <w:rFonts w:ascii="Arial" w:hAnsi="Arial" w:cs="Arial"/>
          <w:noProof/>
          <w:sz w:val="20"/>
          <w:szCs w:val="20"/>
        </w:rPr>
        <w:t>[5.4] Izvēles variantu ieguvu un trūkumu salīdzinājums tabulās</w:t>
      </w:r>
      <w:r w:rsidRPr="003114C6">
        <w:rPr>
          <w:rFonts w:ascii="Arial" w:hAnsi="Arial" w:cs="Arial"/>
          <w:noProof/>
          <w:sz w:val="20"/>
          <w:szCs w:val="20"/>
        </w:rPr>
        <w:tab/>
      </w:r>
      <w:r w:rsidR="007375F4" w:rsidRPr="003114C6">
        <w:rPr>
          <w:rFonts w:ascii="Arial" w:hAnsi="Arial" w:cs="Arial"/>
          <w:noProof/>
          <w:sz w:val="20"/>
          <w:szCs w:val="20"/>
        </w:rPr>
        <w:fldChar w:fldCharType="begin"/>
      </w:r>
      <w:r w:rsidRPr="003114C6">
        <w:rPr>
          <w:rFonts w:ascii="Arial" w:hAnsi="Arial" w:cs="Arial"/>
          <w:noProof/>
          <w:sz w:val="20"/>
          <w:szCs w:val="20"/>
        </w:rPr>
        <w:instrText xml:space="preserve"> PAGEREF _Toc460402350 \h </w:instrText>
      </w:r>
      <w:r w:rsidR="007375F4" w:rsidRPr="003114C6">
        <w:rPr>
          <w:rFonts w:ascii="Arial" w:hAnsi="Arial" w:cs="Arial"/>
          <w:noProof/>
          <w:sz w:val="20"/>
          <w:szCs w:val="20"/>
        </w:rPr>
      </w:r>
      <w:r w:rsidR="007375F4" w:rsidRPr="003114C6">
        <w:rPr>
          <w:rFonts w:ascii="Arial" w:hAnsi="Arial" w:cs="Arial"/>
          <w:noProof/>
          <w:sz w:val="20"/>
          <w:szCs w:val="20"/>
        </w:rPr>
        <w:fldChar w:fldCharType="separate"/>
      </w:r>
      <w:r w:rsidR="00DA6E35">
        <w:rPr>
          <w:rFonts w:ascii="Arial" w:hAnsi="Arial" w:cs="Arial"/>
          <w:noProof/>
          <w:sz w:val="20"/>
          <w:szCs w:val="20"/>
        </w:rPr>
        <w:t>38</w:t>
      </w:r>
      <w:r w:rsidR="007375F4" w:rsidRPr="003114C6">
        <w:rPr>
          <w:rFonts w:ascii="Arial" w:hAnsi="Arial" w:cs="Arial"/>
          <w:noProof/>
          <w:sz w:val="20"/>
          <w:szCs w:val="20"/>
        </w:rPr>
        <w:fldChar w:fldCharType="end"/>
      </w:r>
    </w:p>
    <w:p w:rsidR="003114C6" w:rsidRPr="003114C6" w:rsidRDefault="003114C6" w:rsidP="003114C6">
      <w:pPr>
        <w:pStyle w:val="TOC1"/>
        <w:spacing w:line="240" w:lineRule="auto"/>
        <w:rPr>
          <w:rFonts w:eastAsiaTheme="minorEastAsia"/>
          <w:b w:val="0"/>
          <w:lang w:eastAsia="lv-LV"/>
        </w:rPr>
      </w:pPr>
      <w:r w:rsidRPr="003114C6">
        <w:t>[6] Piekrastes divu kilometru zonas tiesiskais regulējums</w:t>
      </w:r>
      <w:r w:rsidRPr="003114C6">
        <w:tab/>
      </w:r>
      <w:r w:rsidR="007375F4" w:rsidRPr="003114C6">
        <w:fldChar w:fldCharType="begin"/>
      </w:r>
      <w:r w:rsidRPr="003114C6">
        <w:instrText xml:space="preserve"> PAGEREF _Toc460402351 \h </w:instrText>
      </w:r>
      <w:r w:rsidR="007375F4" w:rsidRPr="003114C6">
        <w:fldChar w:fldCharType="separate"/>
      </w:r>
      <w:r w:rsidR="00DA6E35">
        <w:t>40</w:t>
      </w:r>
      <w:r w:rsidR="007375F4" w:rsidRPr="003114C6">
        <w:fldChar w:fldCharType="end"/>
      </w:r>
    </w:p>
    <w:p w:rsidR="003114C6" w:rsidRPr="003114C6" w:rsidRDefault="003114C6" w:rsidP="003114C6">
      <w:pPr>
        <w:pStyle w:val="TOC2"/>
        <w:spacing w:line="240" w:lineRule="auto"/>
        <w:rPr>
          <w:rFonts w:ascii="Arial" w:eastAsiaTheme="minorEastAsia" w:hAnsi="Arial" w:cs="Arial"/>
          <w:noProof/>
          <w:sz w:val="20"/>
          <w:szCs w:val="20"/>
          <w:lang w:eastAsia="lv-LV"/>
        </w:rPr>
      </w:pPr>
      <w:r w:rsidRPr="003114C6">
        <w:rPr>
          <w:rFonts w:ascii="Arial" w:hAnsi="Arial" w:cs="Arial"/>
          <w:noProof/>
          <w:sz w:val="20"/>
          <w:szCs w:val="20"/>
        </w:rPr>
        <w:t>[6.1] Pamatnostādnes</w:t>
      </w:r>
      <w:r w:rsidRPr="003114C6">
        <w:rPr>
          <w:rFonts w:ascii="Arial" w:hAnsi="Arial" w:cs="Arial"/>
          <w:noProof/>
          <w:sz w:val="20"/>
          <w:szCs w:val="20"/>
        </w:rPr>
        <w:tab/>
      </w:r>
      <w:r w:rsidR="007375F4" w:rsidRPr="003114C6">
        <w:rPr>
          <w:rFonts w:ascii="Arial" w:hAnsi="Arial" w:cs="Arial"/>
          <w:noProof/>
          <w:sz w:val="20"/>
          <w:szCs w:val="20"/>
        </w:rPr>
        <w:fldChar w:fldCharType="begin"/>
      </w:r>
      <w:r w:rsidRPr="003114C6">
        <w:rPr>
          <w:rFonts w:ascii="Arial" w:hAnsi="Arial" w:cs="Arial"/>
          <w:noProof/>
          <w:sz w:val="20"/>
          <w:szCs w:val="20"/>
        </w:rPr>
        <w:instrText xml:space="preserve"> PAGEREF _Toc460402352 \h </w:instrText>
      </w:r>
      <w:r w:rsidR="007375F4" w:rsidRPr="003114C6">
        <w:rPr>
          <w:rFonts w:ascii="Arial" w:hAnsi="Arial" w:cs="Arial"/>
          <w:noProof/>
          <w:sz w:val="20"/>
          <w:szCs w:val="20"/>
        </w:rPr>
      </w:r>
      <w:r w:rsidR="007375F4" w:rsidRPr="003114C6">
        <w:rPr>
          <w:rFonts w:ascii="Arial" w:hAnsi="Arial" w:cs="Arial"/>
          <w:noProof/>
          <w:sz w:val="20"/>
          <w:szCs w:val="20"/>
        </w:rPr>
        <w:fldChar w:fldCharType="separate"/>
      </w:r>
      <w:r w:rsidR="00DA6E35">
        <w:rPr>
          <w:rFonts w:ascii="Arial" w:hAnsi="Arial" w:cs="Arial"/>
          <w:noProof/>
          <w:sz w:val="20"/>
          <w:szCs w:val="20"/>
        </w:rPr>
        <w:t>40</w:t>
      </w:r>
      <w:r w:rsidR="007375F4" w:rsidRPr="003114C6">
        <w:rPr>
          <w:rFonts w:ascii="Arial" w:hAnsi="Arial" w:cs="Arial"/>
          <w:noProof/>
          <w:sz w:val="20"/>
          <w:szCs w:val="20"/>
        </w:rPr>
        <w:fldChar w:fldCharType="end"/>
      </w:r>
    </w:p>
    <w:p w:rsidR="003114C6" w:rsidRPr="003114C6" w:rsidRDefault="003114C6" w:rsidP="003114C6">
      <w:pPr>
        <w:pStyle w:val="TOC2"/>
        <w:spacing w:line="240" w:lineRule="auto"/>
        <w:rPr>
          <w:rFonts w:ascii="Arial" w:eastAsiaTheme="minorEastAsia" w:hAnsi="Arial" w:cs="Arial"/>
          <w:noProof/>
          <w:sz w:val="20"/>
          <w:szCs w:val="20"/>
          <w:lang w:eastAsia="lv-LV"/>
        </w:rPr>
      </w:pPr>
      <w:r w:rsidRPr="003114C6">
        <w:rPr>
          <w:rFonts w:ascii="Arial" w:hAnsi="Arial" w:cs="Arial"/>
          <w:noProof/>
          <w:sz w:val="20"/>
          <w:szCs w:val="20"/>
        </w:rPr>
        <w:t>[6.2] Likumi, kas nosaka pašvaldību kompetence piekrastē un piekrastes ūdeņos</w:t>
      </w:r>
      <w:r w:rsidRPr="003114C6">
        <w:rPr>
          <w:rFonts w:ascii="Arial" w:hAnsi="Arial" w:cs="Arial"/>
          <w:noProof/>
          <w:sz w:val="20"/>
          <w:szCs w:val="20"/>
        </w:rPr>
        <w:tab/>
      </w:r>
      <w:r w:rsidR="007375F4" w:rsidRPr="003114C6">
        <w:rPr>
          <w:rFonts w:ascii="Arial" w:hAnsi="Arial" w:cs="Arial"/>
          <w:noProof/>
          <w:sz w:val="20"/>
          <w:szCs w:val="20"/>
        </w:rPr>
        <w:fldChar w:fldCharType="begin"/>
      </w:r>
      <w:r w:rsidRPr="003114C6">
        <w:rPr>
          <w:rFonts w:ascii="Arial" w:hAnsi="Arial" w:cs="Arial"/>
          <w:noProof/>
          <w:sz w:val="20"/>
          <w:szCs w:val="20"/>
        </w:rPr>
        <w:instrText xml:space="preserve"> PAGEREF _Toc460402353 \h </w:instrText>
      </w:r>
      <w:r w:rsidR="007375F4" w:rsidRPr="003114C6">
        <w:rPr>
          <w:rFonts w:ascii="Arial" w:hAnsi="Arial" w:cs="Arial"/>
          <w:noProof/>
          <w:sz w:val="20"/>
          <w:szCs w:val="20"/>
        </w:rPr>
      </w:r>
      <w:r w:rsidR="007375F4" w:rsidRPr="003114C6">
        <w:rPr>
          <w:rFonts w:ascii="Arial" w:hAnsi="Arial" w:cs="Arial"/>
          <w:noProof/>
          <w:sz w:val="20"/>
          <w:szCs w:val="20"/>
        </w:rPr>
        <w:fldChar w:fldCharType="separate"/>
      </w:r>
      <w:r w:rsidR="00DA6E35">
        <w:rPr>
          <w:rFonts w:ascii="Arial" w:hAnsi="Arial" w:cs="Arial"/>
          <w:noProof/>
          <w:sz w:val="20"/>
          <w:szCs w:val="20"/>
        </w:rPr>
        <w:t>40</w:t>
      </w:r>
      <w:r w:rsidR="007375F4" w:rsidRPr="003114C6">
        <w:rPr>
          <w:rFonts w:ascii="Arial" w:hAnsi="Arial" w:cs="Arial"/>
          <w:noProof/>
          <w:sz w:val="20"/>
          <w:szCs w:val="20"/>
        </w:rPr>
        <w:fldChar w:fldCharType="end"/>
      </w:r>
    </w:p>
    <w:p w:rsidR="003114C6" w:rsidRPr="003114C6" w:rsidRDefault="003114C6" w:rsidP="003114C6">
      <w:pPr>
        <w:pStyle w:val="TOC2"/>
        <w:spacing w:line="240" w:lineRule="auto"/>
        <w:rPr>
          <w:rFonts w:ascii="Arial" w:eastAsiaTheme="minorEastAsia" w:hAnsi="Arial" w:cs="Arial"/>
          <w:noProof/>
          <w:sz w:val="20"/>
          <w:szCs w:val="20"/>
          <w:lang w:eastAsia="lv-LV"/>
        </w:rPr>
      </w:pPr>
      <w:r w:rsidRPr="003114C6">
        <w:rPr>
          <w:rFonts w:ascii="Arial" w:hAnsi="Arial" w:cs="Arial"/>
          <w:noProof/>
          <w:sz w:val="20"/>
          <w:szCs w:val="20"/>
        </w:rPr>
        <w:t>[6.3] MK noteikumi, kas nosaka pašvaldību kompetenci piekrastē un tās ūdeņos</w:t>
      </w:r>
      <w:r w:rsidRPr="003114C6">
        <w:rPr>
          <w:rFonts w:ascii="Arial" w:hAnsi="Arial" w:cs="Arial"/>
          <w:noProof/>
          <w:sz w:val="20"/>
          <w:szCs w:val="20"/>
        </w:rPr>
        <w:tab/>
      </w:r>
      <w:r w:rsidR="007375F4" w:rsidRPr="003114C6">
        <w:rPr>
          <w:rFonts w:ascii="Arial" w:hAnsi="Arial" w:cs="Arial"/>
          <w:noProof/>
          <w:sz w:val="20"/>
          <w:szCs w:val="20"/>
        </w:rPr>
        <w:fldChar w:fldCharType="begin"/>
      </w:r>
      <w:r w:rsidRPr="003114C6">
        <w:rPr>
          <w:rFonts w:ascii="Arial" w:hAnsi="Arial" w:cs="Arial"/>
          <w:noProof/>
          <w:sz w:val="20"/>
          <w:szCs w:val="20"/>
        </w:rPr>
        <w:instrText xml:space="preserve"> PAGEREF _Toc460402354 \h </w:instrText>
      </w:r>
      <w:r w:rsidR="007375F4" w:rsidRPr="003114C6">
        <w:rPr>
          <w:rFonts w:ascii="Arial" w:hAnsi="Arial" w:cs="Arial"/>
          <w:noProof/>
          <w:sz w:val="20"/>
          <w:szCs w:val="20"/>
        </w:rPr>
      </w:r>
      <w:r w:rsidR="007375F4" w:rsidRPr="003114C6">
        <w:rPr>
          <w:rFonts w:ascii="Arial" w:hAnsi="Arial" w:cs="Arial"/>
          <w:noProof/>
          <w:sz w:val="20"/>
          <w:szCs w:val="20"/>
        </w:rPr>
        <w:fldChar w:fldCharType="separate"/>
      </w:r>
      <w:r w:rsidR="00DA6E35">
        <w:rPr>
          <w:rFonts w:ascii="Arial" w:hAnsi="Arial" w:cs="Arial"/>
          <w:noProof/>
          <w:sz w:val="20"/>
          <w:szCs w:val="20"/>
        </w:rPr>
        <w:t>42</w:t>
      </w:r>
      <w:r w:rsidR="007375F4" w:rsidRPr="003114C6">
        <w:rPr>
          <w:rFonts w:ascii="Arial" w:hAnsi="Arial" w:cs="Arial"/>
          <w:noProof/>
          <w:sz w:val="20"/>
          <w:szCs w:val="20"/>
        </w:rPr>
        <w:fldChar w:fldCharType="end"/>
      </w:r>
    </w:p>
    <w:p w:rsidR="003114C6" w:rsidRPr="003114C6" w:rsidRDefault="003114C6" w:rsidP="003114C6">
      <w:pPr>
        <w:pStyle w:val="TOC2"/>
        <w:spacing w:line="240" w:lineRule="auto"/>
        <w:rPr>
          <w:rFonts w:ascii="Arial" w:eastAsiaTheme="minorEastAsia" w:hAnsi="Arial" w:cs="Arial"/>
          <w:noProof/>
          <w:sz w:val="20"/>
          <w:szCs w:val="20"/>
          <w:lang w:eastAsia="lv-LV"/>
        </w:rPr>
      </w:pPr>
      <w:r w:rsidRPr="003114C6">
        <w:rPr>
          <w:rFonts w:ascii="Arial" w:hAnsi="Arial" w:cs="Arial"/>
          <w:noProof/>
          <w:sz w:val="20"/>
          <w:szCs w:val="20"/>
        </w:rPr>
        <w:t>[6.4] Atsevišķu pašvaldību saistošie noteikumi</w:t>
      </w:r>
      <w:r w:rsidRPr="003114C6">
        <w:rPr>
          <w:rFonts w:ascii="Arial" w:hAnsi="Arial" w:cs="Arial"/>
          <w:noProof/>
          <w:sz w:val="20"/>
          <w:szCs w:val="20"/>
        </w:rPr>
        <w:tab/>
      </w:r>
      <w:r w:rsidR="007375F4" w:rsidRPr="003114C6">
        <w:rPr>
          <w:rFonts w:ascii="Arial" w:hAnsi="Arial" w:cs="Arial"/>
          <w:noProof/>
          <w:sz w:val="20"/>
          <w:szCs w:val="20"/>
        </w:rPr>
        <w:fldChar w:fldCharType="begin"/>
      </w:r>
      <w:r w:rsidRPr="003114C6">
        <w:rPr>
          <w:rFonts w:ascii="Arial" w:hAnsi="Arial" w:cs="Arial"/>
          <w:noProof/>
          <w:sz w:val="20"/>
          <w:szCs w:val="20"/>
        </w:rPr>
        <w:instrText xml:space="preserve"> PAGEREF _Toc460402355 \h </w:instrText>
      </w:r>
      <w:r w:rsidR="007375F4" w:rsidRPr="003114C6">
        <w:rPr>
          <w:rFonts w:ascii="Arial" w:hAnsi="Arial" w:cs="Arial"/>
          <w:noProof/>
          <w:sz w:val="20"/>
          <w:szCs w:val="20"/>
        </w:rPr>
      </w:r>
      <w:r w:rsidR="007375F4" w:rsidRPr="003114C6">
        <w:rPr>
          <w:rFonts w:ascii="Arial" w:hAnsi="Arial" w:cs="Arial"/>
          <w:noProof/>
          <w:sz w:val="20"/>
          <w:szCs w:val="20"/>
        </w:rPr>
        <w:fldChar w:fldCharType="separate"/>
      </w:r>
      <w:r w:rsidR="00DA6E35">
        <w:rPr>
          <w:rFonts w:ascii="Arial" w:hAnsi="Arial" w:cs="Arial"/>
          <w:noProof/>
          <w:sz w:val="20"/>
          <w:szCs w:val="20"/>
        </w:rPr>
        <w:t>44</w:t>
      </w:r>
      <w:r w:rsidR="007375F4" w:rsidRPr="003114C6">
        <w:rPr>
          <w:rFonts w:ascii="Arial" w:hAnsi="Arial" w:cs="Arial"/>
          <w:noProof/>
          <w:sz w:val="20"/>
          <w:szCs w:val="20"/>
        </w:rPr>
        <w:fldChar w:fldCharType="end"/>
      </w:r>
    </w:p>
    <w:p w:rsidR="003114C6" w:rsidRPr="003114C6" w:rsidRDefault="003114C6" w:rsidP="003114C6">
      <w:pPr>
        <w:pStyle w:val="TOC1"/>
        <w:spacing w:line="240" w:lineRule="auto"/>
        <w:rPr>
          <w:rFonts w:eastAsiaTheme="minorEastAsia"/>
          <w:b w:val="0"/>
          <w:lang w:eastAsia="lv-LV"/>
        </w:rPr>
      </w:pPr>
      <w:r w:rsidRPr="003114C6">
        <w:t>[7] Nepieciešamie grozījumi normatīvajos aktos – tiesību normu redakcijas</w:t>
      </w:r>
      <w:r w:rsidRPr="003114C6">
        <w:tab/>
      </w:r>
      <w:r w:rsidR="007375F4" w:rsidRPr="003114C6">
        <w:fldChar w:fldCharType="begin"/>
      </w:r>
      <w:r w:rsidRPr="003114C6">
        <w:instrText xml:space="preserve"> PAGEREF _Toc460402356 \h </w:instrText>
      </w:r>
      <w:r w:rsidR="007375F4" w:rsidRPr="003114C6">
        <w:fldChar w:fldCharType="separate"/>
      </w:r>
      <w:r w:rsidR="00DA6E35">
        <w:t>45</w:t>
      </w:r>
      <w:r w:rsidR="007375F4" w:rsidRPr="003114C6">
        <w:fldChar w:fldCharType="end"/>
      </w:r>
    </w:p>
    <w:p w:rsidR="003114C6" w:rsidRPr="003114C6" w:rsidRDefault="003114C6" w:rsidP="003114C6">
      <w:pPr>
        <w:pStyle w:val="TOC2"/>
        <w:spacing w:line="240" w:lineRule="auto"/>
        <w:rPr>
          <w:rFonts w:ascii="Arial" w:eastAsiaTheme="minorEastAsia" w:hAnsi="Arial" w:cs="Arial"/>
          <w:noProof/>
          <w:sz w:val="20"/>
          <w:szCs w:val="20"/>
          <w:lang w:eastAsia="lv-LV"/>
        </w:rPr>
      </w:pPr>
      <w:r w:rsidRPr="003114C6">
        <w:rPr>
          <w:rFonts w:ascii="Arial" w:hAnsi="Arial" w:cs="Arial"/>
          <w:noProof/>
          <w:sz w:val="20"/>
          <w:szCs w:val="20"/>
        </w:rPr>
        <w:t xml:space="preserve">[7.1] </w:t>
      </w:r>
      <w:r w:rsidRPr="003114C6">
        <w:rPr>
          <w:rFonts w:ascii="Arial" w:hAnsi="Arial" w:cs="Arial"/>
          <w:noProof/>
          <w:color w:val="000000" w:themeColor="text1"/>
          <w:sz w:val="20"/>
          <w:szCs w:val="20"/>
        </w:rPr>
        <w:t>Vispārīgas piezīmes par grozījumu nepieciešamību</w:t>
      </w:r>
      <w:r w:rsidRPr="003114C6">
        <w:rPr>
          <w:rFonts w:ascii="Arial" w:hAnsi="Arial" w:cs="Arial"/>
          <w:noProof/>
          <w:sz w:val="20"/>
          <w:szCs w:val="20"/>
        </w:rPr>
        <w:tab/>
      </w:r>
      <w:r w:rsidR="007375F4" w:rsidRPr="003114C6">
        <w:rPr>
          <w:rFonts w:ascii="Arial" w:hAnsi="Arial" w:cs="Arial"/>
          <w:noProof/>
          <w:sz w:val="20"/>
          <w:szCs w:val="20"/>
        </w:rPr>
        <w:fldChar w:fldCharType="begin"/>
      </w:r>
      <w:r w:rsidRPr="003114C6">
        <w:rPr>
          <w:rFonts w:ascii="Arial" w:hAnsi="Arial" w:cs="Arial"/>
          <w:noProof/>
          <w:sz w:val="20"/>
          <w:szCs w:val="20"/>
        </w:rPr>
        <w:instrText xml:space="preserve"> PAGEREF _Toc460402357 \h </w:instrText>
      </w:r>
      <w:r w:rsidR="007375F4" w:rsidRPr="003114C6">
        <w:rPr>
          <w:rFonts w:ascii="Arial" w:hAnsi="Arial" w:cs="Arial"/>
          <w:noProof/>
          <w:sz w:val="20"/>
          <w:szCs w:val="20"/>
        </w:rPr>
      </w:r>
      <w:r w:rsidR="007375F4" w:rsidRPr="003114C6">
        <w:rPr>
          <w:rFonts w:ascii="Arial" w:hAnsi="Arial" w:cs="Arial"/>
          <w:noProof/>
          <w:sz w:val="20"/>
          <w:szCs w:val="20"/>
        </w:rPr>
        <w:fldChar w:fldCharType="separate"/>
      </w:r>
      <w:r w:rsidR="00DA6E35">
        <w:rPr>
          <w:rFonts w:ascii="Arial" w:hAnsi="Arial" w:cs="Arial"/>
          <w:noProof/>
          <w:sz w:val="20"/>
          <w:szCs w:val="20"/>
        </w:rPr>
        <w:t>45</w:t>
      </w:r>
      <w:r w:rsidR="007375F4" w:rsidRPr="003114C6">
        <w:rPr>
          <w:rFonts w:ascii="Arial" w:hAnsi="Arial" w:cs="Arial"/>
          <w:noProof/>
          <w:sz w:val="20"/>
          <w:szCs w:val="20"/>
        </w:rPr>
        <w:fldChar w:fldCharType="end"/>
      </w:r>
    </w:p>
    <w:p w:rsidR="003114C6" w:rsidRPr="003114C6" w:rsidRDefault="003114C6" w:rsidP="003114C6">
      <w:pPr>
        <w:pStyle w:val="TOC2"/>
        <w:spacing w:line="240" w:lineRule="auto"/>
        <w:rPr>
          <w:rFonts w:ascii="Arial" w:eastAsiaTheme="minorEastAsia" w:hAnsi="Arial" w:cs="Arial"/>
          <w:noProof/>
          <w:sz w:val="20"/>
          <w:szCs w:val="20"/>
          <w:lang w:eastAsia="lv-LV"/>
        </w:rPr>
      </w:pPr>
      <w:r w:rsidRPr="003114C6">
        <w:rPr>
          <w:rFonts w:ascii="Arial" w:hAnsi="Arial" w:cs="Arial"/>
          <w:noProof/>
          <w:sz w:val="20"/>
          <w:szCs w:val="20"/>
        </w:rPr>
        <w:t>[7.2] Jūras izmantošanu nosakoši likumi, kurus nav jāgroza</w:t>
      </w:r>
      <w:r w:rsidRPr="003114C6">
        <w:rPr>
          <w:rFonts w:ascii="Arial" w:hAnsi="Arial" w:cs="Arial"/>
          <w:noProof/>
          <w:sz w:val="20"/>
          <w:szCs w:val="20"/>
        </w:rPr>
        <w:tab/>
      </w:r>
      <w:r w:rsidR="007375F4" w:rsidRPr="003114C6">
        <w:rPr>
          <w:rFonts w:ascii="Arial" w:hAnsi="Arial" w:cs="Arial"/>
          <w:noProof/>
          <w:sz w:val="20"/>
          <w:szCs w:val="20"/>
        </w:rPr>
        <w:fldChar w:fldCharType="begin"/>
      </w:r>
      <w:r w:rsidRPr="003114C6">
        <w:rPr>
          <w:rFonts w:ascii="Arial" w:hAnsi="Arial" w:cs="Arial"/>
          <w:noProof/>
          <w:sz w:val="20"/>
          <w:szCs w:val="20"/>
        </w:rPr>
        <w:instrText xml:space="preserve"> PAGEREF _Toc460402358 \h </w:instrText>
      </w:r>
      <w:r w:rsidR="007375F4" w:rsidRPr="003114C6">
        <w:rPr>
          <w:rFonts w:ascii="Arial" w:hAnsi="Arial" w:cs="Arial"/>
          <w:noProof/>
          <w:sz w:val="20"/>
          <w:szCs w:val="20"/>
        </w:rPr>
      </w:r>
      <w:r w:rsidR="007375F4" w:rsidRPr="003114C6">
        <w:rPr>
          <w:rFonts w:ascii="Arial" w:hAnsi="Arial" w:cs="Arial"/>
          <w:noProof/>
          <w:sz w:val="20"/>
          <w:szCs w:val="20"/>
        </w:rPr>
        <w:fldChar w:fldCharType="separate"/>
      </w:r>
      <w:r w:rsidR="00DA6E35">
        <w:rPr>
          <w:rFonts w:ascii="Arial" w:hAnsi="Arial" w:cs="Arial"/>
          <w:noProof/>
          <w:sz w:val="20"/>
          <w:szCs w:val="20"/>
        </w:rPr>
        <w:t>46</w:t>
      </w:r>
      <w:r w:rsidR="007375F4" w:rsidRPr="003114C6">
        <w:rPr>
          <w:rFonts w:ascii="Arial" w:hAnsi="Arial" w:cs="Arial"/>
          <w:noProof/>
          <w:sz w:val="20"/>
          <w:szCs w:val="20"/>
        </w:rPr>
        <w:fldChar w:fldCharType="end"/>
      </w:r>
    </w:p>
    <w:p w:rsidR="003114C6" w:rsidRPr="003114C6" w:rsidRDefault="003114C6" w:rsidP="003114C6">
      <w:pPr>
        <w:pStyle w:val="TOC2"/>
        <w:spacing w:line="240" w:lineRule="auto"/>
        <w:rPr>
          <w:rFonts w:ascii="Arial" w:eastAsiaTheme="minorEastAsia" w:hAnsi="Arial" w:cs="Arial"/>
          <w:noProof/>
          <w:sz w:val="20"/>
          <w:szCs w:val="20"/>
          <w:lang w:eastAsia="lv-LV"/>
        </w:rPr>
      </w:pPr>
      <w:r w:rsidRPr="003114C6">
        <w:rPr>
          <w:rFonts w:ascii="Arial" w:hAnsi="Arial" w:cs="Arial"/>
          <w:noProof/>
          <w:sz w:val="20"/>
          <w:szCs w:val="20"/>
          <w:lang w:eastAsia="lv-LV"/>
        </w:rPr>
        <w:t xml:space="preserve">[7.3] </w:t>
      </w:r>
      <w:r w:rsidRPr="003114C6">
        <w:rPr>
          <w:rFonts w:ascii="Arial" w:hAnsi="Arial" w:cs="Arial"/>
          <w:noProof/>
          <w:sz w:val="20"/>
          <w:szCs w:val="20"/>
        </w:rPr>
        <w:t>Jūras vides aizsardzības un pārvaldības likums</w:t>
      </w:r>
      <w:r w:rsidRPr="003114C6">
        <w:rPr>
          <w:rFonts w:ascii="Arial" w:hAnsi="Arial" w:cs="Arial"/>
          <w:noProof/>
          <w:sz w:val="20"/>
          <w:szCs w:val="20"/>
        </w:rPr>
        <w:tab/>
      </w:r>
      <w:r w:rsidR="007375F4" w:rsidRPr="003114C6">
        <w:rPr>
          <w:rFonts w:ascii="Arial" w:hAnsi="Arial" w:cs="Arial"/>
          <w:noProof/>
          <w:sz w:val="20"/>
          <w:szCs w:val="20"/>
        </w:rPr>
        <w:fldChar w:fldCharType="begin"/>
      </w:r>
      <w:r w:rsidRPr="003114C6">
        <w:rPr>
          <w:rFonts w:ascii="Arial" w:hAnsi="Arial" w:cs="Arial"/>
          <w:noProof/>
          <w:sz w:val="20"/>
          <w:szCs w:val="20"/>
        </w:rPr>
        <w:instrText xml:space="preserve"> PAGEREF _Toc460402359 \h </w:instrText>
      </w:r>
      <w:r w:rsidR="007375F4" w:rsidRPr="003114C6">
        <w:rPr>
          <w:rFonts w:ascii="Arial" w:hAnsi="Arial" w:cs="Arial"/>
          <w:noProof/>
          <w:sz w:val="20"/>
          <w:szCs w:val="20"/>
        </w:rPr>
      </w:r>
      <w:r w:rsidR="007375F4" w:rsidRPr="003114C6">
        <w:rPr>
          <w:rFonts w:ascii="Arial" w:hAnsi="Arial" w:cs="Arial"/>
          <w:noProof/>
          <w:sz w:val="20"/>
          <w:szCs w:val="20"/>
        </w:rPr>
        <w:fldChar w:fldCharType="separate"/>
      </w:r>
      <w:r w:rsidR="00DA6E35">
        <w:rPr>
          <w:rFonts w:ascii="Arial" w:hAnsi="Arial" w:cs="Arial"/>
          <w:noProof/>
          <w:sz w:val="20"/>
          <w:szCs w:val="20"/>
        </w:rPr>
        <w:t>47</w:t>
      </w:r>
      <w:r w:rsidR="007375F4" w:rsidRPr="003114C6">
        <w:rPr>
          <w:rFonts w:ascii="Arial" w:hAnsi="Arial" w:cs="Arial"/>
          <w:noProof/>
          <w:sz w:val="20"/>
          <w:szCs w:val="20"/>
        </w:rPr>
        <w:fldChar w:fldCharType="end"/>
      </w:r>
    </w:p>
    <w:p w:rsidR="003114C6" w:rsidRPr="003114C6" w:rsidRDefault="003114C6" w:rsidP="003114C6">
      <w:pPr>
        <w:pStyle w:val="TOC2"/>
        <w:spacing w:line="240" w:lineRule="auto"/>
        <w:rPr>
          <w:rFonts w:ascii="Arial" w:eastAsiaTheme="minorEastAsia" w:hAnsi="Arial" w:cs="Arial"/>
          <w:noProof/>
          <w:sz w:val="20"/>
          <w:szCs w:val="20"/>
          <w:lang w:eastAsia="lv-LV"/>
        </w:rPr>
      </w:pPr>
      <w:r w:rsidRPr="003114C6">
        <w:rPr>
          <w:rFonts w:ascii="Arial" w:hAnsi="Arial" w:cs="Arial"/>
          <w:noProof/>
          <w:sz w:val="20"/>
          <w:szCs w:val="20"/>
          <w:lang w:eastAsia="lv-LV"/>
        </w:rPr>
        <w:t>[7.4] Zemes pārvaldības likums</w:t>
      </w:r>
      <w:r w:rsidRPr="003114C6">
        <w:rPr>
          <w:rFonts w:ascii="Arial" w:hAnsi="Arial" w:cs="Arial"/>
          <w:noProof/>
          <w:sz w:val="20"/>
          <w:szCs w:val="20"/>
        </w:rPr>
        <w:tab/>
      </w:r>
      <w:r w:rsidR="007375F4" w:rsidRPr="003114C6">
        <w:rPr>
          <w:rFonts w:ascii="Arial" w:hAnsi="Arial" w:cs="Arial"/>
          <w:noProof/>
          <w:sz w:val="20"/>
          <w:szCs w:val="20"/>
        </w:rPr>
        <w:fldChar w:fldCharType="begin"/>
      </w:r>
      <w:r w:rsidRPr="003114C6">
        <w:rPr>
          <w:rFonts w:ascii="Arial" w:hAnsi="Arial" w:cs="Arial"/>
          <w:noProof/>
          <w:sz w:val="20"/>
          <w:szCs w:val="20"/>
        </w:rPr>
        <w:instrText xml:space="preserve"> PAGEREF _Toc460402360 \h </w:instrText>
      </w:r>
      <w:r w:rsidR="007375F4" w:rsidRPr="003114C6">
        <w:rPr>
          <w:rFonts w:ascii="Arial" w:hAnsi="Arial" w:cs="Arial"/>
          <w:noProof/>
          <w:sz w:val="20"/>
          <w:szCs w:val="20"/>
        </w:rPr>
      </w:r>
      <w:r w:rsidR="007375F4" w:rsidRPr="003114C6">
        <w:rPr>
          <w:rFonts w:ascii="Arial" w:hAnsi="Arial" w:cs="Arial"/>
          <w:noProof/>
          <w:sz w:val="20"/>
          <w:szCs w:val="20"/>
        </w:rPr>
        <w:fldChar w:fldCharType="separate"/>
      </w:r>
      <w:r w:rsidR="00DA6E35">
        <w:rPr>
          <w:rFonts w:ascii="Arial" w:hAnsi="Arial" w:cs="Arial"/>
          <w:noProof/>
          <w:sz w:val="20"/>
          <w:szCs w:val="20"/>
        </w:rPr>
        <w:t>48</w:t>
      </w:r>
      <w:r w:rsidR="007375F4" w:rsidRPr="003114C6">
        <w:rPr>
          <w:rFonts w:ascii="Arial" w:hAnsi="Arial" w:cs="Arial"/>
          <w:noProof/>
          <w:sz w:val="20"/>
          <w:szCs w:val="20"/>
        </w:rPr>
        <w:fldChar w:fldCharType="end"/>
      </w:r>
    </w:p>
    <w:p w:rsidR="003114C6" w:rsidRPr="003114C6" w:rsidRDefault="003114C6" w:rsidP="003114C6">
      <w:pPr>
        <w:pStyle w:val="TOC2"/>
        <w:spacing w:line="240" w:lineRule="auto"/>
        <w:rPr>
          <w:rFonts w:ascii="Arial" w:eastAsiaTheme="minorEastAsia" w:hAnsi="Arial" w:cs="Arial"/>
          <w:noProof/>
          <w:sz w:val="20"/>
          <w:szCs w:val="20"/>
          <w:lang w:eastAsia="lv-LV"/>
        </w:rPr>
      </w:pPr>
      <w:r w:rsidRPr="003114C6">
        <w:rPr>
          <w:rFonts w:ascii="Arial" w:hAnsi="Arial" w:cs="Arial"/>
          <w:noProof/>
          <w:sz w:val="20"/>
          <w:szCs w:val="20"/>
        </w:rPr>
        <w:lastRenderedPageBreak/>
        <w:t>[7.5] Ministru kabineta noteikumi par teritorijas plānošanas dokumentu izstrādi</w:t>
      </w:r>
      <w:r w:rsidRPr="003114C6">
        <w:rPr>
          <w:rFonts w:ascii="Arial" w:hAnsi="Arial" w:cs="Arial"/>
          <w:noProof/>
          <w:sz w:val="20"/>
          <w:szCs w:val="20"/>
        </w:rPr>
        <w:tab/>
      </w:r>
      <w:r w:rsidR="007375F4" w:rsidRPr="003114C6">
        <w:rPr>
          <w:rFonts w:ascii="Arial" w:hAnsi="Arial" w:cs="Arial"/>
          <w:noProof/>
          <w:sz w:val="20"/>
          <w:szCs w:val="20"/>
        </w:rPr>
        <w:fldChar w:fldCharType="begin"/>
      </w:r>
      <w:r w:rsidRPr="003114C6">
        <w:rPr>
          <w:rFonts w:ascii="Arial" w:hAnsi="Arial" w:cs="Arial"/>
          <w:noProof/>
          <w:sz w:val="20"/>
          <w:szCs w:val="20"/>
        </w:rPr>
        <w:instrText xml:space="preserve"> PAGEREF _Toc460402361 \h </w:instrText>
      </w:r>
      <w:r w:rsidR="007375F4" w:rsidRPr="003114C6">
        <w:rPr>
          <w:rFonts w:ascii="Arial" w:hAnsi="Arial" w:cs="Arial"/>
          <w:noProof/>
          <w:sz w:val="20"/>
          <w:szCs w:val="20"/>
        </w:rPr>
      </w:r>
      <w:r w:rsidR="007375F4" w:rsidRPr="003114C6">
        <w:rPr>
          <w:rFonts w:ascii="Arial" w:hAnsi="Arial" w:cs="Arial"/>
          <w:noProof/>
          <w:sz w:val="20"/>
          <w:szCs w:val="20"/>
        </w:rPr>
        <w:fldChar w:fldCharType="separate"/>
      </w:r>
      <w:r w:rsidR="00DA6E35">
        <w:rPr>
          <w:rFonts w:ascii="Arial" w:hAnsi="Arial" w:cs="Arial"/>
          <w:noProof/>
          <w:sz w:val="20"/>
          <w:szCs w:val="20"/>
        </w:rPr>
        <w:t>48</w:t>
      </w:r>
      <w:r w:rsidR="007375F4" w:rsidRPr="003114C6">
        <w:rPr>
          <w:rFonts w:ascii="Arial" w:hAnsi="Arial" w:cs="Arial"/>
          <w:noProof/>
          <w:sz w:val="20"/>
          <w:szCs w:val="20"/>
        </w:rPr>
        <w:fldChar w:fldCharType="end"/>
      </w:r>
    </w:p>
    <w:p w:rsidR="003114C6" w:rsidRPr="003114C6" w:rsidRDefault="003114C6" w:rsidP="003114C6">
      <w:pPr>
        <w:pStyle w:val="TOC2"/>
        <w:spacing w:line="240" w:lineRule="auto"/>
        <w:rPr>
          <w:rFonts w:ascii="Arial" w:eastAsiaTheme="minorEastAsia" w:hAnsi="Arial" w:cs="Arial"/>
          <w:noProof/>
          <w:sz w:val="20"/>
          <w:szCs w:val="20"/>
          <w:lang w:eastAsia="lv-LV"/>
        </w:rPr>
      </w:pPr>
      <w:r w:rsidRPr="003114C6">
        <w:rPr>
          <w:rFonts w:ascii="Arial" w:hAnsi="Arial" w:cs="Arial"/>
          <w:noProof/>
          <w:sz w:val="20"/>
          <w:szCs w:val="20"/>
        </w:rPr>
        <w:t>[7.6] Ministru kabineta noteikumi par būvniecību jūrā</w:t>
      </w:r>
      <w:r w:rsidRPr="003114C6">
        <w:rPr>
          <w:rFonts w:ascii="Arial" w:hAnsi="Arial" w:cs="Arial"/>
          <w:noProof/>
          <w:sz w:val="20"/>
          <w:szCs w:val="20"/>
        </w:rPr>
        <w:tab/>
      </w:r>
      <w:r w:rsidR="007375F4" w:rsidRPr="003114C6">
        <w:rPr>
          <w:rFonts w:ascii="Arial" w:hAnsi="Arial" w:cs="Arial"/>
          <w:noProof/>
          <w:sz w:val="20"/>
          <w:szCs w:val="20"/>
        </w:rPr>
        <w:fldChar w:fldCharType="begin"/>
      </w:r>
      <w:r w:rsidRPr="003114C6">
        <w:rPr>
          <w:rFonts w:ascii="Arial" w:hAnsi="Arial" w:cs="Arial"/>
          <w:noProof/>
          <w:sz w:val="20"/>
          <w:szCs w:val="20"/>
        </w:rPr>
        <w:instrText xml:space="preserve"> PAGEREF _Toc460402362 \h </w:instrText>
      </w:r>
      <w:r w:rsidR="007375F4" w:rsidRPr="003114C6">
        <w:rPr>
          <w:rFonts w:ascii="Arial" w:hAnsi="Arial" w:cs="Arial"/>
          <w:noProof/>
          <w:sz w:val="20"/>
          <w:szCs w:val="20"/>
        </w:rPr>
      </w:r>
      <w:r w:rsidR="007375F4" w:rsidRPr="003114C6">
        <w:rPr>
          <w:rFonts w:ascii="Arial" w:hAnsi="Arial" w:cs="Arial"/>
          <w:noProof/>
          <w:sz w:val="20"/>
          <w:szCs w:val="20"/>
        </w:rPr>
        <w:fldChar w:fldCharType="separate"/>
      </w:r>
      <w:r w:rsidR="00DA6E35">
        <w:rPr>
          <w:rFonts w:ascii="Arial" w:hAnsi="Arial" w:cs="Arial"/>
          <w:noProof/>
          <w:sz w:val="20"/>
          <w:szCs w:val="20"/>
        </w:rPr>
        <w:t>49</w:t>
      </w:r>
      <w:r w:rsidR="007375F4" w:rsidRPr="003114C6">
        <w:rPr>
          <w:rFonts w:ascii="Arial" w:hAnsi="Arial" w:cs="Arial"/>
          <w:noProof/>
          <w:sz w:val="20"/>
          <w:szCs w:val="20"/>
        </w:rPr>
        <w:fldChar w:fldCharType="end"/>
      </w:r>
    </w:p>
    <w:p w:rsidR="003114C6" w:rsidRPr="003114C6" w:rsidRDefault="003114C6" w:rsidP="003114C6">
      <w:pPr>
        <w:pStyle w:val="TOC1"/>
        <w:spacing w:line="240" w:lineRule="auto"/>
        <w:rPr>
          <w:rFonts w:eastAsiaTheme="minorEastAsia"/>
          <w:b w:val="0"/>
          <w:lang w:eastAsia="lv-LV"/>
        </w:rPr>
      </w:pPr>
      <w:r w:rsidRPr="003114C6">
        <w:t>[8] Galvenie secinājumi</w:t>
      </w:r>
      <w:r w:rsidRPr="003114C6">
        <w:tab/>
      </w:r>
      <w:r w:rsidR="007375F4" w:rsidRPr="003114C6">
        <w:fldChar w:fldCharType="begin"/>
      </w:r>
      <w:r w:rsidRPr="003114C6">
        <w:instrText xml:space="preserve"> PAGEREF _Toc460402363 \h </w:instrText>
      </w:r>
      <w:r w:rsidR="007375F4" w:rsidRPr="003114C6">
        <w:fldChar w:fldCharType="separate"/>
      </w:r>
      <w:r w:rsidR="00DA6E35">
        <w:t>50</w:t>
      </w:r>
      <w:r w:rsidR="007375F4" w:rsidRPr="003114C6">
        <w:fldChar w:fldCharType="end"/>
      </w:r>
    </w:p>
    <w:p w:rsidR="004654A7" w:rsidRPr="00700FB4" w:rsidRDefault="007375F4" w:rsidP="003114C6">
      <w:pPr>
        <w:spacing w:line="240" w:lineRule="auto"/>
        <w:rPr>
          <w:rFonts w:ascii="Arial" w:hAnsi="Arial" w:cs="Arial"/>
          <w:sz w:val="18"/>
          <w:szCs w:val="18"/>
        </w:rPr>
      </w:pPr>
      <w:r w:rsidRPr="003114C6">
        <w:rPr>
          <w:rFonts w:ascii="Arial" w:hAnsi="Arial" w:cs="Arial"/>
          <w:sz w:val="20"/>
          <w:szCs w:val="20"/>
        </w:rPr>
        <w:fldChar w:fldCharType="end"/>
      </w:r>
    </w:p>
    <w:p w:rsidR="004654A7" w:rsidRPr="00700FB4" w:rsidRDefault="004654A7">
      <w:pPr>
        <w:rPr>
          <w:rFonts w:ascii="Arial" w:hAnsi="Arial" w:cs="Arial"/>
          <w:sz w:val="18"/>
          <w:szCs w:val="18"/>
        </w:rPr>
      </w:pPr>
      <w:r w:rsidRPr="00700FB4">
        <w:rPr>
          <w:rFonts w:ascii="Arial" w:hAnsi="Arial" w:cs="Arial"/>
          <w:sz w:val="18"/>
          <w:szCs w:val="18"/>
        </w:rPr>
        <w:br w:type="page"/>
      </w:r>
    </w:p>
    <w:p w:rsidR="005F73DF" w:rsidRPr="00700FB4" w:rsidRDefault="0026235D" w:rsidP="008C3116">
      <w:pPr>
        <w:spacing w:line="240" w:lineRule="auto"/>
        <w:rPr>
          <w:rFonts w:ascii="Arial" w:hAnsi="Arial" w:cs="Arial"/>
          <w:b/>
          <w:sz w:val="20"/>
          <w:szCs w:val="20"/>
        </w:rPr>
      </w:pPr>
      <w:r w:rsidRPr="00700FB4">
        <w:rPr>
          <w:rFonts w:ascii="Arial" w:hAnsi="Arial" w:cs="Arial"/>
          <w:b/>
          <w:sz w:val="20"/>
          <w:szCs w:val="20"/>
        </w:rPr>
        <w:lastRenderedPageBreak/>
        <w:t>Izmantotie saīsinājumi un svarīgākie termini</w:t>
      </w:r>
    </w:p>
    <w:p w:rsidR="00C72624" w:rsidRPr="00700FB4" w:rsidRDefault="00C72624" w:rsidP="008C3116">
      <w:pPr>
        <w:spacing w:line="240" w:lineRule="auto"/>
        <w:rPr>
          <w:rFonts w:ascii="Arial" w:hAnsi="Arial" w:cs="Arial"/>
          <w:b/>
          <w:sz w:val="20"/>
          <w:szCs w:val="20"/>
        </w:rPr>
      </w:pPr>
    </w:p>
    <w:tbl>
      <w:tblPr>
        <w:tblStyle w:val="TableGrid"/>
        <w:tblW w:w="105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936"/>
        <w:gridCol w:w="283"/>
        <w:gridCol w:w="6340"/>
      </w:tblGrid>
      <w:tr w:rsidR="00C72624" w:rsidRPr="00700FB4" w:rsidTr="00756DE9">
        <w:tc>
          <w:tcPr>
            <w:tcW w:w="3936" w:type="dxa"/>
          </w:tcPr>
          <w:p w:rsidR="00A4678B" w:rsidRPr="00700FB4" w:rsidRDefault="00A4678B" w:rsidP="00665269">
            <w:pPr>
              <w:pStyle w:val="NoSpacing"/>
              <w:jc w:val="both"/>
              <w:rPr>
                <w:rFonts w:ascii="Arial" w:hAnsi="Arial" w:cs="Arial"/>
                <w:b/>
                <w:sz w:val="20"/>
                <w:szCs w:val="20"/>
              </w:rPr>
            </w:pPr>
            <w:r w:rsidRPr="00700FB4">
              <w:rPr>
                <w:rFonts w:ascii="Arial" w:hAnsi="Arial" w:cs="Arial"/>
                <w:b/>
                <w:sz w:val="20"/>
                <w:szCs w:val="20"/>
              </w:rPr>
              <w:t>APL</w:t>
            </w:r>
          </w:p>
          <w:p w:rsidR="00D75447" w:rsidRPr="00700FB4" w:rsidRDefault="00C72624" w:rsidP="00665269">
            <w:pPr>
              <w:pStyle w:val="NoSpacing"/>
              <w:jc w:val="both"/>
              <w:rPr>
                <w:rFonts w:ascii="Arial" w:hAnsi="Arial" w:cs="Arial"/>
                <w:b/>
                <w:sz w:val="20"/>
                <w:szCs w:val="20"/>
              </w:rPr>
            </w:pPr>
            <w:r w:rsidRPr="00700FB4">
              <w:rPr>
                <w:rFonts w:ascii="Arial" w:hAnsi="Arial" w:cs="Arial"/>
                <w:b/>
                <w:sz w:val="20"/>
                <w:szCs w:val="20"/>
              </w:rPr>
              <w:t>ANO</w:t>
            </w:r>
          </w:p>
          <w:p w:rsidR="009E3111" w:rsidRPr="00700FB4" w:rsidRDefault="009E3111" w:rsidP="00665269">
            <w:pPr>
              <w:pStyle w:val="NoSpacing"/>
              <w:jc w:val="both"/>
              <w:rPr>
                <w:rFonts w:ascii="Arial" w:hAnsi="Arial" w:cs="Arial"/>
                <w:b/>
                <w:sz w:val="20"/>
                <w:szCs w:val="20"/>
              </w:rPr>
            </w:pPr>
          </w:p>
          <w:p w:rsidR="00BC7CB2" w:rsidRPr="00700FB4" w:rsidRDefault="00BC7CB2" w:rsidP="00665269">
            <w:pPr>
              <w:pStyle w:val="NoSpacing"/>
              <w:jc w:val="both"/>
              <w:rPr>
                <w:rFonts w:ascii="Arial" w:hAnsi="Arial" w:cs="Arial"/>
                <w:b/>
                <w:sz w:val="20"/>
                <w:szCs w:val="20"/>
              </w:rPr>
            </w:pPr>
            <w:r w:rsidRPr="00700FB4">
              <w:rPr>
                <w:rFonts w:ascii="Arial" w:hAnsi="Arial" w:cs="Arial"/>
                <w:b/>
                <w:sz w:val="20"/>
                <w:szCs w:val="20"/>
              </w:rPr>
              <w:t>Bonnas konvencija</w:t>
            </w:r>
          </w:p>
          <w:p w:rsidR="00BC7CB2" w:rsidRPr="00700FB4" w:rsidRDefault="00BC7CB2" w:rsidP="00665269">
            <w:pPr>
              <w:pStyle w:val="NoSpacing"/>
              <w:jc w:val="both"/>
              <w:rPr>
                <w:rFonts w:ascii="Arial" w:hAnsi="Arial" w:cs="Arial"/>
                <w:b/>
                <w:sz w:val="20"/>
                <w:szCs w:val="20"/>
              </w:rPr>
            </w:pPr>
          </w:p>
          <w:p w:rsidR="00BC7CB2" w:rsidRPr="00700FB4" w:rsidRDefault="00BC7CB2" w:rsidP="00665269">
            <w:pPr>
              <w:pStyle w:val="NoSpacing"/>
              <w:jc w:val="both"/>
              <w:rPr>
                <w:rFonts w:ascii="Arial" w:hAnsi="Arial" w:cs="Arial"/>
                <w:b/>
                <w:sz w:val="20"/>
                <w:szCs w:val="20"/>
              </w:rPr>
            </w:pPr>
          </w:p>
          <w:p w:rsidR="00BC7CB2" w:rsidRPr="00700FB4" w:rsidRDefault="00BC7CB2" w:rsidP="00665269">
            <w:pPr>
              <w:pStyle w:val="NoSpacing"/>
              <w:jc w:val="both"/>
              <w:rPr>
                <w:rFonts w:ascii="Arial" w:hAnsi="Arial" w:cs="Arial"/>
                <w:b/>
                <w:sz w:val="20"/>
                <w:szCs w:val="20"/>
              </w:rPr>
            </w:pPr>
          </w:p>
          <w:p w:rsidR="009E3111" w:rsidRPr="00700FB4" w:rsidRDefault="002900F1" w:rsidP="00665269">
            <w:pPr>
              <w:pStyle w:val="NoSpacing"/>
              <w:jc w:val="both"/>
              <w:rPr>
                <w:rFonts w:ascii="Arial" w:hAnsi="Arial" w:cs="Arial"/>
                <w:b/>
                <w:sz w:val="20"/>
                <w:szCs w:val="20"/>
              </w:rPr>
            </w:pPr>
            <w:r w:rsidRPr="00700FB4">
              <w:rPr>
                <w:rFonts w:ascii="Arial" w:hAnsi="Arial" w:cs="Arial"/>
                <w:b/>
                <w:sz w:val="20"/>
                <w:szCs w:val="20"/>
              </w:rPr>
              <w:t xml:space="preserve">BUNKER </w:t>
            </w:r>
            <w:r w:rsidR="009E3111" w:rsidRPr="00700FB4">
              <w:rPr>
                <w:rFonts w:ascii="Arial" w:hAnsi="Arial" w:cs="Arial"/>
                <w:b/>
                <w:sz w:val="20"/>
                <w:szCs w:val="20"/>
              </w:rPr>
              <w:t>konvencija</w:t>
            </w:r>
          </w:p>
          <w:p w:rsidR="009E3111" w:rsidRPr="00700FB4" w:rsidRDefault="009E3111" w:rsidP="00665269">
            <w:pPr>
              <w:pStyle w:val="NoSpacing"/>
              <w:jc w:val="both"/>
              <w:rPr>
                <w:rFonts w:ascii="Arial" w:hAnsi="Arial" w:cs="Arial"/>
                <w:b/>
                <w:sz w:val="20"/>
                <w:szCs w:val="20"/>
              </w:rPr>
            </w:pPr>
          </w:p>
          <w:p w:rsidR="00BC7CB2" w:rsidRPr="00700FB4" w:rsidRDefault="00BC7CB2" w:rsidP="00665269">
            <w:pPr>
              <w:pStyle w:val="NoSpacing"/>
              <w:jc w:val="both"/>
              <w:rPr>
                <w:rFonts w:ascii="Arial" w:hAnsi="Arial" w:cs="Arial"/>
                <w:b/>
                <w:sz w:val="20"/>
                <w:szCs w:val="20"/>
              </w:rPr>
            </w:pPr>
          </w:p>
          <w:p w:rsidR="00BC7CB2" w:rsidRPr="00700FB4" w:rsidRDefault="00BC7CB2" w:rsidP="00665269">
            <w:pPr>
              <w:pStyle w:val="NoSpacing"/>
              <w:jc w:val="both"/>
              <w:rPr>
                <w:rFonts w:ascii="Arial" w:hAnsi="Arial" w:cs="Arial"/>
                <w:b/>
                <w:sz w:val="20"/>
                <w:szCs w:val="20"/>
              </w:rPr>
            </w:pPr>
          </w:p>
          <w:p w:rsidR="009E3111" w:rsidRPr="00700FB4" w:rsidRDefault="009E3111" w:rsidP="00665269">
            <w:pPr>
              <w:pStyle w:val="NoSpacing"/>
              <w:jc w:val="both"/>
              <w:rPr>
                <w:rFonts w:ascii="Arial" w:hAnsi="Arial" w:cs="Arial"/>
                <w:b/>
                <w:sz w:val="20"/>
                <w:szCs w:val="20"/>
              </w:rPr>
            </w:pPr>
            <w:r w:rsidRPr="00700FB4">
              <w:rPr>
                <w:rFonts w:ascii="Arial" w:hAnsi="Arial" w:cs="Arial"/>
                <w:b/>
                <w:sz w:val="20"/>
                <w:szCs w:val="20"/>
              </w:rPr>
              <w:t>Dzīvotņu direktīva</w:t>
            </w:r>
          </w:p>
          <w:p w:rsidR="009E3111" w:rsidRPr="00700FB4" w:rsidRDefault="009E3111" w:rsidP="00665269">
            <w:pPr>
              <w:pStyle w:val="NoSpacing"/>
              <w:jc w:val="both"/>
              <w:rPr>
                <w:rFonts w:ascii="Arial" w:hAnsi="Arial" w:cs="Arial"/>
                <w:b/>
                <w:sz w:val="20"/>
                <w:szCs w:val="20"/>
              </w:rPr>
            </w:pPr>
          </w:p>
          <w:p w:rsidR="009E3111" w:rsidRPr="00700FB4" w:rsidRDefault="009E3111" w:rsidP="00665269">
            <w:pPr>
              <w:pStyle w:val="NoSpacing"/>
              <w:jc w:val="both"/>
              <w:rPr>
                <w:rFonts w:ascii="Arial" w:hAnsi="Arial" w:cs="Arial"/>
                <w:b/>
                <w:sz w:val="20"/>
                <w:szCs w:val="20"/>
              </w:rPr>
            </w:pPr>
          </w:p>
          <w:p w:rsidR="009E3111" w:rsidRPr="00700FB4" w:rsidRDefault="009E3111" w:rsidP="00665269">
            <w:pPr>
              <w:pStyle w:val="NoSpacing"/>
              <w:jc w:val="both"/>
              <w:rPr>
                <w:rFonts w:ascii="Arial" w:hAnsi="Arial" w:cs="Arial"/>
                <w:b/>
                <w:sz w:val="20"/>
                <w:szCs w:val="20"/>
              </w:rPr>
            </w:pPr>
          </w:p>
          <w:p w:rsidR="00D834DB" w:rsidRPr="00700FB4" w:rsidRDefault="00D834DB" w:rsidP="00665269">
            <w:pPr>
              <w:pStyle w:val="NoSpacing"/>
              <w:jc w:val="both"/>
              <w:rPr>
                <w:rFonts w:ascii="Arial" w:hAnsi="Arial" w:cs="Arial"/>
                <w:b/>
                <w:sz w:val="20"/>
                <w:szCs w:val="20"/>
              </w:rPr>
            </w:pPr>
            <w:r w:rsidRPr="00700FB4">
              <w:rPr>
                <w:rFonts w:ascii="Arial" w:hAnsi="Arial" w:cs="Arial"/>
                <w:b/>
                <w:sz w:val="20"/>
                <w:szCs w:val="20"/>
              </w:rPr>
              <w:t>Ekskluzīvā zona</w:t>
            </w:r>
          </w:p>
          <w:p w:rsidR="00BE2603" w:rsidRPr="00700FB4" w:rsidRDefault="00BE2603" w:rsidP="00665269">
            <w:pPr>
              <w:pStyle w:val="NoSpacing"/>
              <w:jc w:val="both"/>
              <w:rPr>
                <w:rFonts w:ascii="Arial" w:hAnsi="Arial" w:cs="Arial"/>
                <w:b/>
                <w:sz w:val="20"/>
                <w:szCs w:val="20"/>
              </w:rPr>
            </w:pPr>
            <w:r w:rsidRPr="00700FB4">
              <w:rPr>
                <w:rFonts w:ascii="Arial" w:hAnsi="Arial" w:cs="Arial"/>
                <w:b/>
                <w:sz w:val="20"/>
                <w:szCs w:val="20"/>
              </w:rPr>
              <w:t>EMSA</w:t>
            </w:r>
          </w:p>
          <w:p w:rsidR="00FF69B4" w:rsidRPr="00700FB4" w:rsidRDefault="00FF69B4" w:rsidP="00665269">
            <w:pPr>
              <w:pStyle w:val="NoSpacing"/>
              <w:jc w:val="both"/>
              <w:rPr>
                <w:rFonts w:ascii="Arial" w:hAnsi="Arial" w:cs="Arial"/>
                <w:b/>
                <w:sz w:val="20"/>
                <w:szCs w:val="20"/>
              </w:rPr>
            </w:pPr>
            <w:r w:rsidRPr="00700FB4">
              <w:rPr>
                <w:rFonts w:ascii="Arial" w:hAnsi="Arial" w:cs="Arial"/>
                <w:b/>
                <w:sz w:val="20"/>
                <w:szCs w:val="20"/>
              </w:rPr>
              <w:t>ES</w:t>
            </w:r>
          </w:p>
          <w:p w:rsidR="00E51601" w:rsidRPr="00700FB4" w:rsidRDefault="00E51601" w:rsidP="00665269">
            <w:pPr>
              <w:pStyle w:val="NoSpacing"/>
              <w:jc w:val="both"/>
              <w:rPr>
                <w:rFonts w:ascii="Arial" w:hAnsi="Arial" w:cs="Arial"/>
                <w:b/>
                <w:sz w:val="20"/>
                <w:szCs w:val="20"/>
              </w:rPr>
            </w:pPr>
            <w:r w:rsidRPr="00700FB4">
              <w:rPr>
                <w:rFonts w:ascii="Arial" w:hAnsi="Arial" w:cs="Arial"/>
                <w:b/>
                <w:sz w:val="20"/>
                <w:szCs w:val="20"/>
              </w:rPr>
              <w:t>EST</w:t>
            </w:r>
          </w:p>
          <w:p w:rsidR="00EF04DF" w:rsidRPr="00700FB4" w:rsidRDefault="00EF04DF" w:rsidP="00665269">
            <w:pPr>
              <w:pStyle w:val="NoSpacing"/>
              <w:jc w:val="both"/>
              <w:rPr>
                <w:rFonts w:ascii="Arial" w:hAnsi="Arial" w:cs="Arial"/>
                <w:b/>
                <w:sz w:val="20"/>
                <w:szCs w:val="20"/>
              </w:rPr>
            </w:pPr>
          </w:p>
          <w:p w:rsidR="00C15BE3" w:rsidRPr="00700FB4" w:rsidRDefault="00C15BE3" w:rsidP="00665269">
            <w:pPr>
              <w:pStyle w:val="NoSpacing"/>
              <w:jc w:val="both"/>
              <w:rPr>
                <w:rFonts w:ascii="Arial" w:hAnsi="Arial" w:cs="Arial"/>
                <w:b/>
                <w:sz w:val="20"/>
                <w:szCs w:val="20"/>
              </w:rPr>
            </w:pPr>
            <w:r w:rsidRPr="00700FB4">
              <w:rPr>
                <w:rFonts w:ascii="Arial" w:hAnsi="Arial" w:cs="Arial"/>
                <w:b/>
                <w:sz w:val="20"/>
                <w:szCs w:val="20"/>
              </w:rPr>
              <w:t>Helsinku konvencijas</w:t>
            </w:r>
          </w:p>
          <w:p w:rsidR="00C15BE3" w:rsidRPr="00700FB4" w:rsidRDefault="00C15BE3" w:rsidP="00665269">
            <w:pPr>
              <w:pStyle w:val="NoSpacing"/>
              <w:jc w:val="both"/>
              <w:rPr>
                <w:rFonts w:ascii="Arial" w:hAnsi="Arial" w:cs="Arial"/>
                <w:b/>
                <w:sz w:val="20"/>
                <w:szCs w:val="20"/>
              </w:rPr>
            </w:pPr>
          </w:p>
          <w:p w:rsidR="009E3111" w:rsidRPr="00700FB4" w:rsidRDefault="009E3111" w:rsidP="00665269">
            <w:pPr>
              <w:pStyle w:val="NoSpacing"/>
              <w:jc w:val="both"/>
              <w:rPr>
                <w:rFonts w:ascii="Arial" w:hAnsi="Arial" w:cs="Arial"/>
                <w:b/>
                <w:sz w:val="20"/>
                <w:szCs w:val="20"/>
              </w:rPr>
            </w:pPr>
          </w:p>
          <w:p w:rsidR="000C295C" w:rsidRPr="00700FB4" w:rsidRDefault="000C295C" w:rsidP="00665269">
            <w:pPr>
              <w:pStyle w:val="NoSpacing"/>
              <w:jc w:val="both"/>
              <w:rPr>
                <w:rFonts w:ascii="Arial" w:hAnsi="Arial" w:cs="Arial"/>
                <w:b/>
                <w:sz w:val="20"/>
                <w:szCs w:val="20"/>
              </w:rPr>
            </w:pPr>
          </w:p>
          <w:p w:rsidR="000C295C" w:rsidRPr="00700FB4" w:rsidRDefault="000C295C" w:rsidP="00665269">
            <w:pPr>
              <w:pStyle w:val="NoSpacing"/>
              <w:jc w:val="both"/>
              <w:rPr>
                <w:rFonts w:ascii="Arial" w:hAnsi="Arial" w:cs="Arial"/>
                <w:b/>
                <w:sz w:val="20"/>
                <w:szCs w:val="20"/>
              </w:rPr>
            </w:pPr>
          </w:p>
          <w:p w:rsidR="00D75447" w:rsidRPr="00700FB4" w:rsidRDefault="00D75447" w:rsidP="00665269">
            <w:pPr>
              <w:pStyle w:val="NoSpacing"/>
              <w:jc w:val="both"/>
              <w:rPr>
                <w:rFonts w:ascii="Arial" w:hAnsi="Arial" w:cs="Arial"/>
                <w:b/>
                <w:sz w:val="20"/>
                <w:szCs w:val="20"/>
              </w:rPr>
            </w:pPr>
            <w:r w:rsidRPr="00700FB4">
              <w:rPr>
                <w:rFonts w:ascii="Arial" w:hAnsi="Arial" w:cs="Arial"/>
                <w:b/>
                <w:sz w:val="20"/>
                <w:szCs w:val="20"/>
              </w:rPr>
              <w:t>Jūras konvencija</w:t>
            </w:r>
          </w:p>
          <w:p w:rsidR="00D75447" w:rsidRPr="00700FB4" w:rsidRDefault="00D75447" w:rsidP="00665269">
            <w:pPr>
              <w:pStyle w:val="NoSpacing"/>
              <w:jc w:val="both"/>
              <w:rPr>
                <w:rFonts w:ascii="Arial" w:hAnsi="Arial" w:cs="Arial"/>
                <w:b/>
                <w:sz w:val="20"/>
                <w:szCs w:val="20"/>
              </w:rPr>
            </w:pPr>
          </w:p>
          <w:p w:rsidR="001432C3" w:rsidRPr="00700FB4" w:rsidRDefault="001432C3" w:rsidP="00665269">
            <w:pPr>
              <w:pStyle w:val="NoSpacing"/>
              <w:jc w:val="both"/>
              <w:rPr>
                <w:rFonts w:ascii="Arial" w:hAnsi="Arial" w:cs="Arial"/>
                <w:b/>
                <w:sz w:val="20"/>
                <w:szCs w:val="20"/>
              </w:rPr>
            </w:pPr>
          </w:p>
          <w:p w:rsidR="00FF69B4" w:rsidRPr="00700FB4" w:rsidRDefault="00FF69B4" w:rsidP="00665269">
            <w:pPr>
              <w:pStyle w:val="NoSpacing"/>
              <w:jc w:val="both"/>
              <w:rPr>
                <w:rFonts w:ascii="Arial" w:hAnsi="Arial" w:cs="Arial"/>
                <w:b/>
                <w:sz w:val="20"/>
                <w:szCs w:val="20"/>
              </w:rPr>
            </w:pPr>
            <w:r w:rsidRPr="00700FB4">
              <w:rPr>
                <w:rFonts w:ascii="Arial" w:hAnsi="Arial" w:cs="Arial"/>
                <w:b/>
                <w:sz w:val="20"/>
                <w:szCs w:val="20"/>
              </w:rPr>
              <w:t>Jūras stratēģijas pamatdirektīva</w:t>
            </w:r>
          </w:p>
          <w:p w:rsidR="00FD0810" w:rsidRPr="00700FB4" w:rsidRDefault="00FD0810" w:rsidP="00665269">
            <w:pPr>
              <w:pStyle w:val="NoSpacing"/>
              <w:jc w:val="both"/>
              <w:rPr>
                <w:rFonts w:ascii="Arial" w:hAnsi="Arial" w:cs="Arial"/>
                <w:b/>
                <w:sz w:val="20"/>
                <w:szCs w:val="20"/>
              </w:rPr>
            </w:pPr>
          </w:p>
          <w:p w:rsidR="00FD0810" w:rsidRPr="00700FB4" w:rsidRDefault="00FD0810" w:rsidP="00665269">
            <w:pPr>
              <w:pStyle w:val="NoSpacing"/>
              <w:jc w:val="both"/>
              <w:rPr>
                <w:rFonts w:ascii="Arial" w:hAnsi="Arial" w:cs="Arial"/>
                <w:b/>
                <w:sz w:val="20"/>
                <w:szCs w:val="20"/>
              </w:rPr>
            </w:pPr>
          </w:p>
          <w:p w:rsidR="00B04424" w:rsidRPr="00700FB4" w:rsidRDefault="00B04424" w:rsidP="00665269">
            <w:pPr>
              <w:pStyle w:val="NoSpacing"/>
              <w:jc w:val="both"/>
              <w:rPr>
                <w:rFonts w:ascii="Arial" w:hAnsi="Arial" w:cs="Arial"/>
                <w:b/>
                <w:sz w:val="20"/>
                <w:szCs w:val="20"/>
              </w:rPr>
            </w:pPr>
          </w:p>
          <w:p w:rsidR="001432C3" w:rsidRPr="00700FB4" w:rsidRDefault="001432C3" w:rsidP="00665269">
            <w:pPr>
              <w:pStyle w:val="NoSpacing"/>
              <w:jc w:val="both"/>
              <w:rPr>
                <w:rFonts w:ascii="Arial" w:hAnsi="Arial" w:cs="Arial"/>
                <w:b/>
                <w:sz w:val="20"/>
                <w:szCs w:val="20"/>
              </w:rPr>
            </w:pPr>
          </w:p>
          <w:p w:rsidR="00FD0810" w:rsidRPr="00700FB4" w:rsidRDefault="00FD0810" w:rsidP="00665269">
            <w:pPr>
              <w:pStyle w:val="NoSpacing"/>
              <w:jc w:val="both"/>
              <w:rPr>
                <w:rFonts w:ascii="Arial" w:hAnsi="Arial" w:cs="Arial"/>
                <w:b/>
                <w:sz w:val="20"/>
                <w:szCs w:val="20"/>
              </w:rPr>
            </w:pPr>
            <w:r w:rsidRPr="00700FB4">
              <w:rPr>
                <w:rFonts w:ascii="Arial" w:hAnsi="Arial" w:cs="Arial"/>
                <w:b/>
                <w:sz w:val="20"/>
                <w:szCs w:val="20"/>
              </w:rPr>
              <w:t>Jūras telpiskās plānošanas direktīva</w:t>
            </w:r>
          </w:p>
          <w:p w:rsidR="00BD2E22" w:rsidRPr="00700FB4" w:rsidRDefault="00BD2E22" w:rsidP="00665269">
            <w:pPr>
              <w:pStyle w:val="NoSpacing"/>
              <w:jc w:val="both"/>
              <w:rPr>
                <w:rFonts w:ascii="Arial" w:hAnsi="Arial" w:cs="Arial"/>
                <w:b/>
                <w:sz w:val="20"/>
                <w:szCs w:val="20"/>
              </w:rPr>
            </w:pPr>
          </w:p>
          <w:p w:rsidR="009E3111" w:rsidRPr="00700FB4" w:rsidRDefault="009E3111" w:rsidP="00665269">
            <w:pPr>
              <w:pStyle w:val="NoSpacing"/>
              <w:jc w:val="both"/>
              <w:rPr>
                <w:rFonts w:ascii="Arial" w:hAnsi="Arial" w:cs="Arial"/>
                <w:b/>
                <w:sz w:val="20"/>
                <w:szCs w:val="20"/>
              </w:rPr>
            </w:pPr>
            <w:r w:rsidRPr="00700FB4">
              <w:rPr>
                <w:rFonts w:ascii="Arial" w:hAnsi="Arial" w:cs="Arial"/>
                <w:b/>
                <w:sz w:val="20"/>
                <w:szCs w:val="20"/>
              </w:rPr>
              <w:t>Komisija</w:t>
            </w:r>
          </w:p>
          <w:p w:rsidR="009E3111" w:rsidRPr="00700FB4" w:rsidRDefault="009E3111" w:rsidP="00665269">
            <w:pPr>
              <w:pStyle w:val="NoSpacing"/>
              <w:jc w:val="both"/>
              <w:rPr>
                <w:rFonts w:ascii="Arial" w:hAnsi="Arial" w:cs="Arial"/>
                <w:b/>
                <w:sz w:val="20"/>
                <w:szCs w:val="20"/>
              </w:rPr>
            </w:pPr>
          </w:p>
          <w:p w:rsidR="009E3111" w:rsidRPr="00700FB4" w:rsidRDefault="009E3111" w:rsidP="00E17FD4">
            <w:pPr>
              <w:pStyle w:val="NoSpacing"/>
              <w:jc w:val="both"/>
              <w:rPr>
                <w:rFonts w:ascii="Arial" w:hAnsi="Arial" w:cs="Arial"/>
                <w:b/>
                <w:sz w:val="20"/>
                <w:szCs w:val="20"/>
              </w:rPr>
            </w:pPr>
            <w:r w:rsidRPr="00700FB4">
              <w:rPr>
                <w:rFonts w:ascii="Arial" w:hAnsi="Arial" w:cs="Arial"/>
                <w:b/>
                <w:sz w:val="20"/>
                <w:szCs w:val="20"/>
              </w:rPr>
              <w:t>Kontinentālā šelfa konvencija</w:t>
            </w:r>
          </w:p>
          <w:p w:rsidR="009E3111" w:rsidRPr="00700FB4" w:rsidRDefault="009E3111" w:rsidP="00E17FD4">
            <w:pPr>
              <w:pStyle w:val="NoSpacing"/>
              <w:jc w:val="both"/>
              <w:rPr>
                <w:rFonts w:ascii="Arial" w:hAnsi="Arial" w:cs="Arial"/>
                <w:b/>
                <w:sz w:val="20"/>
                <w:szCs w:val="20"/>
              </w:rPr>
            </w:pPr>
          </w:p>
          <w:p w:rsidR="009E3111" w:rsidRPr="00700FB4" w:rsidRDefault="009E3111" w:rsidP="00665269">
            <w:pPr>
              <w:pStyle w:val="NoSpacing"/>
              <w:jc w:val="both"/>
              <w:rPr>
                <w:rFonts w:ascii="Arial" w:hAnsi="Arial" w:cs="Arial"/>
                <w:b/>
                <w:sz w:val="20"/>
                <w:szCs w:val="20"/>
              </w:rPr>
            </w:pPr>
          </w:p>
          <w:p w:rsidR="009E3111" w:rsidRPr="00700FB4" w:rsidRDefault="009E3111" w:rsidP="00665269">
            <w:pPr>
              <w:pStyle w:val="NoSpacing"/>
              <w:jc w:val="both"/>
              <w:rPr>
                <w:rFonts w:ascii="Arial" w:hAnsi="Arial" w:cs="Arial"/>
                <w:b/>
                <w:sz w:val="20"/>
                <w:szCs w:val="20"/>
              </w:rPr>
            </w:pPr>
            <w:r w:rsidRPr="00700FB4">
              <w:rPr>
                <w:rFonts w:ascii="Arial" w:hAnsi="Arial" w:cs="Arial"/>
                <w:b/>
                <w:sz w:val="20"/>
                <w:szCs w:val="20"/>
              </w:rPr>
              <w:t>Kopiena</w:t>
            </w:r>
          </w:p>
          <w:p w:rsidR="009E3111" w:rsidRPr="00700FB4" w:rsidRDefault="009E3111" w:rsidP="00E17FD4">
            <w:pPr>
              <w:pStyle w:val="NoSpacing"/>
              <w:jc w:val="both"/>
              <w:rPr>
                <w:rFonts w:ascii="Arial" w:hAnsi="Arial" w:cs="Arial"/>
                <w:b/>
                <w:sz w:val="20"/>
                <w:szCs w:val="20"/>
              </w:rPr>
            </w:pPr>
          </w:p>
          <w:p w:rsidR="009E3111" w:rsidRPr="00700FB4" w:rsidRDefault="009E3111" w:rsidP="00665269">
            <w:pPr>
              <w:pStyle w:val="NoSpacing"/>
              <w:jc w:val="both"/>
              <w:rPr>
                <w:rFonts w:ascii="Arial" w:hAnsi="Arial" w:cs="Arial"/>
                <w:b/>
                <w:sz w:val="20"/>
                <w:szCs w:val="20"/>
              </w:rPr>
            </w:pPr>
            <w:r w:rsidRPr="00700FB4">
              <w:rPr>
                <w:rFonts w:ascii="Arial" w:hAnsi="Arial" w:cs="Arial"/>
                <w:b/>
                <w:sz w:val="20"/>
                <w:szCs w:val="20"/>
              </w:rPr>
              <w:t>Kuģu piesārņojuma direktīva</w:t>
            </w:r>
          </w:p>
          <w:p w:rsidR="009E3111" w:rsidRPr="00700FB4" w:rsidRDefault="009E3111" w:rsidP="00665269">
            <w:pPr>
              <w:pStyle w:val="NoSpacing"/>
              <w:jc w:val="both"/>
              <w:rPr>
                <w:rFonts w:ascii="Arial" w:hAnsi="Arial" w:cs="Arial"/>
                <w:b/>
                <w:sz w:val="20"/>
                <w:szCs w:val="20"/>
              </w:rPr>
            </w:pPr>
          </w:p>
          <w:p w:rsidR="009E3111" w:rsidRPr="00700FB4" w:rsidRDefault="009E3111" w:rsidP="00665269">
            <w:pPr>
              <w:pStyle w:val="NoSpacing"/>
              <w:jc w:val="both"/>
              <w:rPr>
                <w:rFonts w:ascii="Arial" w:hAnsi="Arial" w:cs="Arial"/>
                <w:b/>
                <w:sz w:val="20"/>
                <w:szCs w:val="20"/>
              </w:rPr>
            </w:pPr>
          </w:p>
          <w:p w:rsidR="009E3111" w:rsidRPr="00700FB4" w:rsidRDefault="009E3111" w:rsidP="00665269">
            <w:pPr>
              <w:pStyle w:val="NoSpacing"/>
              <w:jc w:val="both"/>
              <w:rPr>
                <w:rFonts w:ascii="Arial" w:hAnsi="Arial" w:cs="Arial"/>
                <w:b/>
                <w:sz w:val="20"/>
                <w:szCs w:val="20"/>
              </w:rPr>
            </w:pPr>
          </w:p>
          <w:p w:rsidR="009E3111" w:rsidRPr="00700FB4" w:rsidRDefault="002900F1" w:rsidP="00665269">
            <w:pPr>
              <w:pStyle w:val="NoSpacing"/>
              <w:jc w:val="both"/>
              <w:rPr>
                <w:rFonts w:ascii="Arial" w:hAnsi="Arial" w:cs="Arial"/>
                <w:b/>
                <w:sz w:val="20"/>
                <w:szCs w:val="20"/>
              </w:rPr>
            </w:pPr>
            <w:r w:rsidRPr="00700FB4">
              <w:rPr>
                <w:rFonts w:ascii="Arial" w:hAnsi="Arial" w:cs="Arial"/>
                <w:b/>
                <w:sz w:val="20"/>
                <w:szCs w:val="20"/>
              </w:rPr>
              <w:t xml:space="preserve">MARPOL konvencija </w:t>
            </w:r>
          </w:p>
          <w:p w:rsidR="00610BDA" w:rsidRPr="00700FB4" w:rsidRDefault="00610BDA" w:rsidP="00665269">
            <w:pPr>
              <w:pStyle w:val="NoSpacing"/>
              <w:jc w:val="both"/>
              <w:rPr>
                <w:rFonts w:ascii="Arial" w:hAnsi="Arial" w:cs="Arial"/>
                <w:b/>
                <w:sz w:val="20"/>
                <w:szCs w:val="20"/>
              </w:rPr>
            </w:pPr>
          </w:p>
          <w:p w:rsidR="001432C3" w:rsidRPr="00700FB4" w:rsidRDefault="001432C3" w:rsidP="00665269">
            <w:pPr>
              <w:pStyle w:val="NoSpacing"/>
              <w:jc w:val="both"/>
              <w:rPr>
                <w:rFonts w:ascii="Arial" w:hAnsi="Arial" w:cs="Arial"/>
                <w:b/>
                <w:sz w:val="20"/>
                <w:szCs w:val="20"/>
              </w:rPr>
            </w:pPr>
          </w:p>
          <w:p w:rsidR="00756DE9" w:rsidRPr="00700FB4" w:rsidRDefault="00756DE9" w:rsidP="00665269">
            <w:pPr>
              <w:pStyle w:val="NoSpacing"/>
              <w:jc w:val="both"/>
              <w:rPr>
                <w:rFonts w:ascii="Arial" w:hAnsi="Arial" w:cs="Arial"/>
                <w:b/>
                <w:sz w:val="20"/>
                <w:szCs w:val="20"/>
              </w:rPr>
            </w:pPr>
          </w:p>
          <w:p w:rsidR="00BD2E22" w:rsidRPr="00700FB4" w:rsidRDefault="008D1E33" w:rsidP="00665269">
            <w:pPr>
              <w:pStyle w:val="NoSpacing"/>
              <w:jc w:val="both"/>
              <w:rPr>
                <w:rFonts w:ascii="Arial" w:hAnsi="Arial" w:cs="Arial"/>
                <w:b/>
                <w:sz w:val="20"/>
                <w:szCs w:val="20"/>
              </w:rPr>
            </w:pPr>
            <w:r w:rsidRPr="00700FB4">
              <w:rPr>
                <w:rFonts w:ascii="Arial" w:hAnsi="Arial" w:cs="Arial"/>
                <w:b/>
                <w:sz w:val="20"/>
                <w:szCs w:val="20"/>
              </w:rPr>
              <w:t>LES</w:t>
            </w:r>
          </w:p>
          <w:p w:rsidR="00610BDA" w:rsidRPr="00700FB4" w:rsidRDefault="00610BDA" w:rsidP="00665269">
            <w:pPr>
              <w:pStyle w:val="NoSpacing"/>
              <w:jc w:val="both"/>
              <w:rPr>
                <w:rFonts w:ascii="Arial" w:hAnsi="Arial" w:cs="Arial"/>
                <w:b/>
                <w:sz w:val="20"/>
                <w:szCs w:val="20"/>
              </w:rPr>
            </w:pPr>
          </w:p>
          <w:p w:rsidR="00610BDA" w:rsidRPr="00700FB4" w:rsidRDefault="00610BDA" w:rsidP="00665269">
            <w:pPr>
              <w:pStyle w:val="NoSpacing"/>
              <w:jc w:val="both"/>
              <w:rPr>
                <w:rFonts w:ascii="Arial" w:hAnsi="Arial" w:cs="Arial"/>
                <w:b/>
                <w:sz w:val="20"/>
                <w:szCs w:val="20"/>
              </w:rPr>
            </w:pPr>
            <w:r w:rsidRPr="00700FB4">
              <w:rPr>
                <w:rFonts w:ascii="Arial" w:hAnsi="Arial" w:cs="Arial"/>
                <w:b/>
                <w:sz w:val="20"/>
                <w:szCs w:val="20"/>
              </w:rPr>
              <w:t>LESD</w:t>
            </w:r>
          </w:p>
          <w:p w:rsidR="008D1E33" w:rsidRPr="00700FB4" w:rsidRDefault="008D1E33" w:rsidP="00665269">
            <w:pPr>
              <w:pStyle w:val="NoSpacing"/>
              <w:jc w:val="both"/>
              <w:rPr>
                <w:rFonts w:ascii="Arial" w:hAnsi="Arial" w:cs="Arial"/>
                <w:b/>
                <w:sz w:val="20"/>
                <w:szCs w:val="20"/>
              </w:rPr>
            </w:pPr>
          </w:p>
          <w:p w:rsidR="00610BDA" w:rsidRPr="00700FB4" w:rsidRDefault="00BB7186" w:rsidP="00665269">
            <w:pPr>
              <w:pStyle w:val="NoSpacing"/>
              <w:jc w:val="both"/>
              <w:rPr>
                <w:rFonts w:ascii="Arial" w:hAnsi="Arial" w:cs="Arial"/>
                <w:b/>
                <w:sz w:val="20"/>
                <w:szCs w:val="20"/>
              </w:rPr>
            </w:pPr>
            <w:r w:rsidRPr="00700FB4">
              <w:rPr>
                <w:rFonts w:ascii="Arial" w:hAnsi="Arial" w:cs="Arial"/>
                <w:b/>
                <w:sz w:val="20"/>
                <w:szCs w:val="20"/>
              </w:rPr>
              <w:t>Memorands</w:t>
            </w:r>
          </w:p>
          <w:p w:rsidR="00BB7186" w:rsidRPr="00700FB4" w:rsidRDefault="00BB7186" w:rsidP="00665269">
            <w:pPr>
              <w:pStyle w:val="NoSpacing"/>
              <w:jc w:val="both"/>
              <w:rPr>
                <w:rFonts w:ascii="Arial" w:hAnsi="Arial" w:cs="Arial"/>
                <w:b/>
                <w:sz w:val="20"/>
                <w:szCs w:val="20"/>
              </w:rPr>
            </w:pPr>
          </w:p>
          <w:p w:rsidR="00BB7186" w:rsidRPr="00700FB4" w:rsidRDefault="00BB7186" w:rsidP="00665269">
            <w:pPr>
              <w:pStyle w:val="NoSpacing"/>
              <w:jc w:val="both"/>
              <w:rPr>
                <w:rFonts w:ascii="Arial" w:hAnsi="Arial" w:cs="Arial"/>
                <w:b/>
                <w:sz w:val="20"/>
                <w:szCs w:val="20"/>
              </w:rPr>
            </w:pPr>
          </w:p>
          <w:p w:rsidR="0030344B" w:rsidRPr="00700FB4" w:rsidRDefault="0030344B" w:rsidP="00665269">
            <w:pPr>
              <w:pStyle w:val="NoSpacing"/>
              <w:jc w:val="both"/>
              <w:rPr>
                <w:rFonts w:ascii="Arial" w:hAnsi="Arial" w:cs="Arial"/>
                <w:b/>
                <w:sz w:val="20"/>
                <w:szCs w:val="20"/>
              </w:rPr>
            </w:pPr>
            <w:r w:rsidRPr="00700FB4">
              <w:rPr>
                <w:rFonts w:ascii="Arial" w:hAnsi="Arial" w:cs="Arial"/>
                <w:b/>
                <w:sz w:val="20"/>
                <w:szCs w:val="20"/>
              </w:rPr>
              <w:t>Nolīgums</w:t>
            </w:r>
          </w:p>
          <w:p w:rsidR="0030344B" w:rsidRPr="00700FB4" w:rsidRDefault="0030344B" w:rsidP="00665269">
            <w:pPr>
              <w:pStyle w:val="NoSpacing"/>
              <w:jc w:val="both"/>
              <w:rPr>
                <w:rFonts w:ascii="Arial" w:hAnsi="Arial" w:cs="Arial"/>
                <w:b/>
                <w:sz w:val="20"/>
                <w:szCs w:val="20"/>
              </w:rPr>
            </w:pPr>
          </w:p>
          <w:p w:rsidR="0030344B" w:rsidRPr="00700FB4" w:rsidRDefault="0030344B" w:rsidP="00665269">
            <w:pPr>
              <w:pStyle w:val="NoSpacing"/>
              <w:jc w:val="both"/>
              <w:rPr>
                <w:rFonts w:ascii="Arial" w:hAnsi="Arial" w:cs="Arial"/>
                <w:b/>
                <w:sz w:val="20"/>
                <w:szCs w:val="20"/>
              </w:rPr>
            </w:pPr>
          </w:p>
          <w:p w:rsidR="0030344B" w:rsidRPr="00700FB4" w:rsidRDefault="0030344B" w:rsidP="00665269">
            <w:pPr>
              <w:pStyle w:val="NoSpacing"/>
              <w:jc w:val="both"/>
              <w:rPr>
                <w:rFonts w:ascii="Arial" w:hAnsi="Arial" w:cs="Arial"/>
                <w:b/>
                <w:sz w:val="20"/>
                <w:szCs w:val="20"/>
              </w:rPr>
            </w:pPr>
          </w:p>
          <w:p w:rsidR="0030344B" w:rsidRPr="00700FB4" w:rsidRDefault="0030344B" w:rsidP="00665269">
            <w:pPr>
              <w:pStyle w:val="NoSpacing"/>
              <w:jc w:val="both"/>
              <w:rPr>
                <w:rFonts w:ascii="Arial" w:hAnsi="Arial" w:cs="Arial"/>
                <w:b/>
                <w:sz w:val="20"/>
                <w:szCs w:val="20"/>
              </w:rPr>
            </w:pPr>
          </w:p>
          <w:p w:rsidR="00F90C25" w:rsidRPr="00700FB4" w:rsidRDefault="00F90C25" w:rsidP="00665269">
            <w:pPr>
              <w:pStyle w:val="NoSpacing"/>
              <w:jc w:val="both"/>
              <w:rPr>
                <w:rFonts w:ascii="Arial" w:hAnsi="Arial" w:cs="Arial"/>
                <w:b/>
                <w:sz w:val="20"/>
                <w:szCs w:val="20"/>
              </w:rPr>
            </w:pPr>
            <w:r w:rsidRPr="00700FB4">
              <w:rPr>
                <w:rFonts w:ascii="Arial" w:hAnsi="Arial" w:cs="Arial"/>
                <w:b/>
                <w:sz w:val="20"/>
                <w:szCs w:val="20"/>
              </w:rPr>
              <w:t>Padome</w:t>
            </w:r>
          </w:p>
          <w:p w:rsidR="005F73DF" w:rsidRPr="00700FB4" w:rsidRDefault="005F73DF" w:rsidP="005F73DF">
            <w:pPr>
              <w:pStyle w:val="NoSpacing"/>
              <w:jc w:val="both"/>
              <w:rPr>
                <w:rFonts w:ascii="Arial" w:hAnsi="Arial" w:cs="Arial"/>
                <w:b/>
                <w:sz w:val="20"/>
                <w:szCs w:val="20"/>
              </w:rPr>
            </w:pPr>
          </w:p>
          <w:p w:rsidR="005F73DF" w:rsidRPr="00700FB4" w:rsidRDefault="005F73DF" w:rsidP="005F73DF">
            <w:pPr>
              <w:pStyle w:val="NoSpacing"/>
              <w:jc w:val="both"/>
              <w:rPr>
                <w:rFonts w:ascii="Arial" w:hAnsi="Arial" w:cs="Arial"/>
                <w:b/>
                <w:sz w:val="20"/>
                <w:szCs w:val="20"/>
              </w:rPr>
            </w:pPr>
            <w:r w:rsidRPr="00700FB4">
              <w:rPr>
                <w:rFonts w:ascii="Arial" w:hAnsi="Arial" w:cs="Arial"/>
                <w:b/>
                <w:sz w:val="20"/>
                <w:szCs w:val="20"/>
              </w:rPr>
              <w:t>Pamatnostādnes</w:t>
            </w:r>
          </w:p>
          <w:p w:rsidR="005F73DF" w:rsidRPr="00700FB4" w:rsidRDefault="005F73DF" w:rsidP="00665269">
            <w:pPr>
              <w:pStyle w:val="NoSpacing"/>
              <w:jc w:val="both"/>
              <w:rPr>
                <w:rFonts w:ascii="Arial" w:hAnsi="Arial" w:cs="Arial"/>
                <w:b/>
                <w:sz w:val="20"/>
                <w:szCs w:val="20"/>
              </w:rPr>
            </w:pPr>
          </w:p>
          <w:p w:rsidR="005F73DF" w:rsidRPr="00700FB4" w:rsidRDefault="005F73DF" w:rsidP="00665269">
            <w:pPr>
              <w:pStyle w:val="NoSpacing"/>
              <w:jc w:val="both"/>
              <w:rPr>
                <w:rFonts w:ascii="Arial" w:hAnsi="Arial" w:cs="Arial"/>
                <w:b/>
                <w:sz w:val="20"/>
                <w:szCs w:val="20"/>
              </w:rPr>
            </w:pPr>
          </w:p>
          <w:p w:rsidR="00F90C25" w:rsidRPr="00700FB4" w:rsidRDefault="00F90C25" w:rsidP="00665269">
            <w:pPr>
              <w:pStyle w:val="NoSpacing"/>
              <w:jc w:val="both"/>
              <w:rPr>
                <w:rFonts w:ascii="Arial" w:hAnsi="Arial" w:cs="Arial"/>
                <w:b/>
                <w:sz w:val="20"/>
                <w:szCs w:val="20"/>
              </w:rPr>
            </w:pPr>
            <w:r w:rsidRPr="00700FB4">
              <w:rPr>
                <w:rFonts w:ascii="Arial" w:hAnsi="Arial" w:cs="Arial"/>
                <w:b/>
                <w:sz w:val="20"/>
                <w:szCs w:val="20"/>
              </w:rPr>
              <w:t>Parlaments</w:t>
            </w:r>
          </w:p>
          <w:p w:rsidR="00BE2603" w:rsidRPr="00700FB4" w:rsidRDefault="00BE2603" w:rsidP="00665269">
            <w:pPr>
              <w:pStyle w:val="NoSpacing"/>
              <w:jc w:val="both"/>
              <w:rPr>
                <w:rFonts w:ascii="Arial" w:hAnsi="Arial" w:cs="Arial"/>
                <w:b/>
                <w:sz w:val="20"/>
                <w:szCs w:val="20"/>
              </w:rPr>
            </w:pPr>
          </w:p>
          <w:p w:rsidR="005F73DF" w:rsidRPr="00700FB4" w:rsidRDefault="005F73DF" w:rsidP="005F73DF">
            <w:pPr>
              <w:pStyle w:val="NoSpacing"/>
              <w:jc w:val="both"/>
              <w:rPr>
                <w:rFonts w:ascii="Arial" w:hAnsi="Arial" w:cs="Arial"/>
                <w:b/>
                <w:sz w:val="20"/>
                <w:szCs w:val="20"/>
              </w:rPr>
            </w:pPr>
            <w:r w:rsidRPr="00700FB4">
              <w:rPr>
                <w:rFonts w:ascii="Arial" w:hAnsi="Arial" w:cs="Arial"/>
                <w:b/>
                <w:sz w:val="20"/>
                <w:szCs w:val="20"/>
              </w:rPr>
              <w:t>Plānošanas likums</w:t>
            </w:r>
          </w:p>
          <w:p w:rsidR="005F73DF" w:rsidRPr="00700FB4" w:rsidRDefault="005F73DF" w:rsidP="00665269">
            <w:pPr>
              <w:pStyle w:val="NoSpacing"/>
              <w:jc w:val="both"/>
              <w:rPr>
                <w:rFonts w:ascii="Arial" w:hAnsi="Arial" w:cs="Arial"/>
                <w:b/>
                <w:sz w:val="20"/>
                <w:szCs w:val="20"/>
              </w:rPr>
            </w:pPr>
          </w:p>
          <w:p w:rsidR="005F73DF" w:rsidRPr="00700FB4" w:rsidRDefault="005F73DF" w:rsidP="00665269">
            <w:pPr>
              <w:pStyle w:val="NoSpacing"/>
              <w:jc w:val="both"/>
              <w:rPr>
                <w:rFonts w:ascii="Arial" w:hAnsi="Arial" w:cs="Arial"/>
                <w:b/>
                <w:sz w:val="20"/>
                <w:szCs w:val="20"/>
              </w:rPr>
            </w:pPr>
          </w:p>
          <w:p w:rsidR="00BE2603" w:rsidRPr="00700FB4" w:rsidRDefault="00BE2603" w:rsidP="00665269">
            <w:pPr>
              <w:pStyle w:val="NoSpacing"/>
              <w:jc w:val="both"/>
              <w:rPr>
                <w:rFonts w:ascii="Arial" w:hAnsi="Arial" w:cs="Arial"/>
                <w:b/>
                <w:sz w:val="20"/>
                <w:szCs w:val="20"/>
              </w:rPr>
            </w:pPr>
            <w:r w:rsidRPr="00700FB4">
              <w:rPr>
                <w:rFonts w:ascii="Arial" w:hAnsi="Arial" w:cs="Arial"/>
                <w:b/>
                <w:sz w:val="20"/>
                <w:szCs w:val="20"/>
              </w:rPr>
              <w:t>Plūdu direktīva</w:t>
            </w:r>
          </w:p>
          <w:p w:rsidR="00F90C25" w:rsidRPr="00700FB4" w:rsidRDefault="00F90C25" w:rsidP="00665269">
            <w:pPr>
              <w:pStyle w:val="NoSpacing"/>
              <w:jc w:val="both"/>
              <w:rPr>
                <w:rFonts w:ascii="Arial" w:hAnsi="Arial" w:cs="Arial"/>
                <w:b/>
                <w:sz w:val="20"/>
                <w:szCs w:val="20"/>
              </w:rPr>
            </w:pPr>
          </w:p>
          <w:p w:rsidR="00BE2603" w:rsidRPr="00700FB4" w:rsidRDefault="00BE2603" w:rsidP="00665269">
            <w:pPr>
              <w:pStyle w:val="NoSpacing"/>
              <w:jc w:val="both"/>
              <w:rPr>
                <w:rFonts w:ascii="Arial" w:hAnsi="Arial" w:cs="Arial"/>
                <w:b/>
                <w:sz w:val="20"/>
                <w:szCs w:val="20"/>
              </w:rPr>
            </w:pPr>
          </w:p>
          <w:p w:rsidR="00F902F7" w:rsidRPr="00700FB4" w:rsidRDefault="00F902F7" w:rsidP="00665269">
            <w:pPr>
              <w:pStyle w:val="NoSpacing"/>
              <w:jc w:val="both"/>
              <w:rPr>
                <w:rFonts w:ascii="Arial" w:hAnsi="Arial" w:cs="Arial"/>
                <w:b/>
                <w:sz w:val="20"/>
                <w:szCs w:val="20"/>
              </w:rPr>
            </w:pPr>
            <w:r w:rsidRPr="00700FB4">
              <w:rPr>
                <w:rFonts w:ascii="Arial" w:hAnsi="Arial" w:cs="Arial"/>
                <w:b/>
                <w:sz w:val="20"/>
                <w:szCs w:val="20"/>
              </w:rPr>
              <w:t>Putnu direktīva</w:t>
            </w:r>
          </w:p>
          <w:p w:rsidR="00F902F7" w:rsidRPr="00700FB4" w:rsidRDefault="00F902F7" w:rsidP="00665269">
            <w:pPr>
              <w:pStyle w:val="NoSpacing"/>
              <w:jc w:val="both"/>
              <w:rPr>
                <w:rFonts w:ascii="Arial" w:hAnsi="Arial" w:cs="Arial"/>
                <w:b/>
                <w:sz w:val="20"/>
                <w:szCs w:val="20"/>
              </w:rPr>
            </w:pPr>
          </w:p>
          <w:p w:rsidR="00FE3727" w:rsidRPr="00700FB4" w:rsidRDefault="00FE3727" w:rsidP="00665269">
            <w:pPr>
              <w:pStyle w:val="NoSpacing"/>
              <w:jc w:val="both"/>
              <w:rPr>
                <w:rFonts w:ascii="Arial" w:hAnsi="Arial" w:cs="Arial"/>
                <w:b/>
                <w:sz w:val="20"/>
                <w:szCs w:val="20"/>
              </w:rPr>
            </w:pPr>
          </w:p>
          <w:p w:rsidR="005F73DF" w:rsidRPr="00700FB4" w:rsidRDefault="005F73DF" w:rsidP="005F73DF">
            <w:pPr>
              <w:pStyle w:val="NoSpacing"/>
              <w:jc w:val="both"/>
              <w:rPr>
                <w:rFonts w:ascii="Arial" w:hAnsi="Arial" w:cs="Arial"/>
                <w:b/>
                <w:sz w:val="20"/>
                <w:szCs w:val="20"/>
              </w:rPr>
            </w:pPr>
            <w:r w:rsidRPr="00700FB4">
              <w:rPr>
                <w:rFonts w:ascii="Arial" w:hAnsi="Arial" w:cs="Arial"/>
                <w:b/>
                <w:sz w:val="20"/>
                <w:szCs w:val="20"/>
              </w:rPr>
              <w:t>Riodežaneiro konvencija</w:t>
            </w:r>
          </w:p>
          <w:p w:rsidR="005F73DF" w:rsidRPr="00700FB4" w:rsidRDefault="005F73DF" w:rsidP="00665269">
            <w:pPr>
              <w:pStyle w:val="NoSpacing"/>
              <w:jc w:val="both"/>
              <w:rPr>
                <w:rFonts w:ascii="Arial" w:hAnsi="Arial" w:cs="Arial"/>
                <w:b/>
                <w:sz w:val="20"/>
                <w:szCs w:val="20"/>
              </w:rPr>
            </w:pPr>
          </w:p>
          <w:p w:rsidR="005F73DF" w:rsidRPr="00700FB4" w:rsidRDefault="005F73DF" w:rsidP="00665269">
            <w:pPr>
              <w:pStyle w:val="NoSpacing"/>
              <w:jc w:val="both"/>
              <w:rPr>
                <w:rFonts w:ascii="Arial" w:hAnsi="Arial" w:cs="Arial"/>
                <w:b/>
                <w:sz w:val="20"/>
                <w:szCs w:val="20"/>
              </w:rPr>
            </w:pPr>
          </w:p>
          <w:p w:rsidR="00A4678B" w:rsidRPr="00700FB4" w:rsidRDefault="00A4678B" w:rsidP="00665269">
            <w:pPr>
              <w:pStyle w:val="NoSpacing"/>
              <w:jc w:val="both"/>
              <w:rPr>
                <w:rFonts w:ascii="Arial" w:hAnsi="Arial" w:cs="Arial"/>
                <w:b/>
                <w:sz w:val="20"/>
                <w:szCs w:val="20"/>
              </w:rPr>
            </w:pPr>
            <w:r w:rsidRPr="00700FB4">
              <w:rPr>
                <w:rFonts w:ascii="Arial" w:hAnsi="Arial" w:cs="Arial"/>
                <w:b/>
                <w:sz w:val="20"/>
                <w:szCs w:val="20"/>
              </w:rPr>
              <w:t>Sistēmas likums</w:t>
            </w:r>
          </w:p>
          <w:p w:rsidR="00A4678B" w:rsidRPr="00700FB4" w:rsidRDefault="00A4678B" w:rsidP="00665269">
            <w:pPr>
              <w:pStyle w:val="NoSpacing"/>
              <w:jc w:val="both"/>
              <w:rPr>
                <w:rFonts w:ascii="Arial" w:hAnsi="Arial" w:cs="Arial"/>
                <w:b/>
                <w:sz w:val="20"/>
                <w:szCs w:val="20"/>
              </w:rPr>
            </w:pPr>
          </w:p>
          <w:p w:rsidR="0030344B" w:rsidRPr="00700FB4" w:rsidRDefault="0030344B" w:rsidP="00665269">
            <w:pPr>
              <w:pStyle w:val="NoSpacing"/>
              <w:jc w:val="both"/>
              <w:rPr>
                <w:rFonts w:ascii="Arial" w:hAnsi="Arial" w:cs="Arial"/>
                <w:b/>
                <w:sz w:val="20"/>
                <w:szCs w:val="20"/>
              </w:rPr>
            </w:pPr>
            <w:r w:rsidRPr="00700FB4">
              <w:rPr>
                <w:rFonts w:ascii="Arial" w:hAnsi="Arial" w:cs="Arial"/>
                <w:b/>
                <w:sz w:val="20"/>
                <w:szCs w:val="20"/>
              </w:rPr>
              <w:t>Stokholmas konvencija</w:t>
            </w:r>
          </w:p>
          <w:p w:rsidR="0030344B" w:rsidRPr="00700FB4" w:rsidRDefault="0030344B" w:rsidP="00665269">
            <w:pPr>
              <w:pStyle w:val="NoSpacing"/>
              <w:jc w:val="both"/>
              <w:rPr>
                <w:rFonts w:ascii="Arial" w:hAnsi="Arial" w:cs="Arial"/>
                <w:b/>
                <w:sz w:val="20"/>
                <w:szCs w:val="20"/>
              </w:rPr>
            </w:pPr>
          </w:p>
          <w:p w:rsidR="0030344B" w:rsidRPr="00700FB4" w:rsidRDefault="0030344B" w:rsidP="00665269">
            <w:pPr>
              <w:pStyle w:val="NoSpacing"/>
              <w:jc w:val="both"/>
              <w:rPr>
                <w:rFonts w:ascii="Arial" w:hAnsi="Arial" w:cs="Arial"/>
                <w:b/>
                <w:sz w:val="20"/>
                <w:szCs w:val="20"/>
              </w:rPr>
            </w:pPr>
          </w:p>
          <w:p w:rsidR="00BD2E22" w:rsidRPr="00700FB4" w:rsidRDefault="00BD2E22" w:rsidP="00665269">
            <w:pPr>
              <w:pStyle w:val="NoSpacing"/>
              <w:jc w:val="both"/>
              <w:rPr>
                <w:rFonts w:ascii="Arial" w:hAnsi="Arial" w:cs="Arial"/>
                <w:b/>
                <w:sz w:val="20"/>
                <w:szCs w:val="20"/>
              </w:rPr>
            </w:pPr>
            <w:r w:rsidRPr="00700FB4">
              <w:rPr>
                <w:rFonts w:ascii="Arial" w:hAnsi="Arial" w:cs="Arial"/>
                <w:b/>
                <w:sz w:val="20"/>
                <w:szCs w:val="20"/>
              </w:rPr>
              <w:t>Stratēģija “Eiropa 2020”</w:t>
            </w:r>
          </w:p>
          <w:p w:rsidR="00610BDA" w:rsidRPr="00700FB4" w:rsidRDefault="00610BDA" w:rsidP="00665269">
            <w:pPr>
              <w:pStyle w:val="NoSpacing"/>
              <w:jc w:val="both"/>
              <w:rPr>
                <w:rFonts w:ascii="Arial" w:hAnsi="Arial" w:cs="Arial"/>
                <w:b/>
                <w:sz w:val="20"/>
                <w:szCs w:val="20"/>
              </w:rPr>
            </w:pPr>
          </w:p>
          <w:p w:rsidR="00610BDA" w:rsidRPr="00700FB4" w:rsidRDefault="00610BDA" w:rsidP="00665269">
            <w:pPr>
              <w:pStyle w:val="NoSpacing"/>
              <w:jc w:val="both"/>
              <w:rPr>
                <w:rFonts w:ascii="Arial" w:hAnsi="Arial" w:cs="Arial"/>
                <w:b/>
                <w:sz w:val="20"/>
                <w:szCs w:val="20"/>
              </w:rPr>
            </w:pPr>
          </w:p>
          <w:p w:rsidR="00610BDA" w:rsidRPr="00700FB4" w:rsidRDefault="00610BDA" w:rsidP="00665269">
            <w:pPr>
              <w:pStyle w:val="NoSpacing"/>
              <w:jc w:val="both"/>
              <w:rPr>
                <w:rFonts w:ascii="Arial" w:hAnsi="Arial" w:cs="Arial"/>
                <w:b/>
                <w:sz w:val="20"/>
                <w:szCs w:val="20"/>
              </w:rPr>
            </w:pPr>
            <w:r w:rsidRPr="00700FB4">
              <w:rPr>
                <w:rFonts w:ascii="Arial" w:hAnsi="Arial" w:cs="Arial"/>
                <w:b/>
                <w:sz w:val="20"/>
                <w:szCs w:val="20"/>
              </w:rPr>
              <w:t xml:space="preserve">Ūdens </w:t>
            </w:r>
            <w:r w:rsidR="002900F1" w:rsidRPr="00700FB4">
              <w:rPr>
                <w:rFonts w:ascii="Arial" w:hAnsi="Arial" w:cs="Arial"/>
                <w:b/>
                <w:sz w:val="20"/>
                <w:szCs w:val="20"/>
              </w:rPr>
              <w:t>struktūrdirektīva</w:t>
            </w:r>
          </w:p>
          <w:p w:rsidR="00FF69B4" w:rsidRPr="00700FB4" w:rsidRDefault="00FF69B4" w:rsidP="00665269">
            <w:pPr>
              <w:pStyle w:val="NoSpacing"/>
              <w:jc w:val="both"/>
              <w:rPr>
                <w:rFonts w:ascii="Arial" w:hAnsi="Arial" w:cs="Arial"/>
                <w:b/>
                <w:sz w:val="20"/>
                <w:szCs w:val="20"/>
              </w:rPr>
            </w:pPr>
          </w:p>
          <w:p w:rsidR="00FF69B4" w:rsidRPr="00700FB4" w:rsidRDefault="00FF69B4" w:rsidP="00665269">
            <w:pPr>
              <w:pStyle w:val="NoSpacing"/>
              <w:jc w:val="both"/>
              <w:rPr>
                <w:rFonts w:ascii="Arial" w:hAnsi="Arial" w:cs="Arial"/>
                <w:b/>
                <w:sz w:val="20"/>
                <w:szCs w:val="20"/>
              </w:rPr>
            </w:pPr>
          </w:p>
          <w:p w:rsidR="00FF507F" w:rsidRPr="00700FB4" w:rsidRDefault="00FF507F" w:rsidP="00E17FD4">
            <w:pPr>
              <w:pStyle w:val="NoSpacing"/>
              <w:jc w:val="both"/>
              <w:rPr>
                <w:rFonts w:ascii="Arial" w:hAnsi="Arial" w:cs="Arial"/>
                <w:sz w:val="20"/>
                <w:szCs w:val="20"/>
              </w:rPr>
            </w:pPr>
          </w:p>
          <w:p w:rsidR="00E17FD4" w:rsidRPr="00700FB4" w:rsidRDefault="00E17FD4" w:rsidP="00E17FD4">
            <w:pPr>
              <w:pStyle w:val="NoSpacing"/>
              <w:jc w:val="both"/>
              <w:rPr>
                <w:rFonts w:ascii="Arial" w:hAnsi="Arial" w:cs="Arial"/>
                <w:b/>
                <w:sz w:val="20"/>
                <w:szCs w:val="20"/>
              </w:rPr>
            </w:pPr>
            <w:r w:rsidRPr="00700FB4">
              <w:rPr>
                <w:rFonts w:ascii="Arial" w:hAnsi="Arial" w:cs="Arial"/>
                <w:b/>
                <w:sz w:val="20"/>
                <w:szCs w:val="20"/>
              </w:rPr>
              <w:t>Vides novērtējuma direktīva</w:t>
            </w:r>
          </w:p>
          <w:p w:rsidR="00E17FD4" w:rsidRPr="00700FB4" w:rsidRDefault="00E17FD4" w:rsidP="00E17FD4">
            <w:pPr>
              <w:pStyle w:val="NoSpacing"/>
              <w:jc w:val="both"/>
              <w:rPr>
                <w:rFonts w:ascii="Arial" w:hAnsi="Arial" w:cs="Arial"/>
                <w:b/>
                <w:sz w:val="20"/>
                <w:szCs w:val="20"/>
              </w:rPr>
            </w:pPr>
          </w:p>
          <w:p w:rsidR="00E17FD4" w:rsidRPr="00700FB4" w:rsidRDefault="00E17FD4" w:rsidP="00E17FD4">
            <w:pPr>
              <w:pStyle w:val="NoSpacing"/>
              <w:jc w:val="both"/>
              <w:rPr>
                <w:rFonts w:ascii="Arial" w:hAnsi="Arial" w:cs="Arial"/>
                <w:b/>
                <w:sz w:val="20"/>
                <w:szCs w:val="20"/>
              </w:rPr>
            </w:pPr>
          </w:p>
          <w:p w:rsidR="00E17FD4" w:rsidRPr="00700FB4" w:rsidRDefault="00E17FD4" w:rsidP="00E17FD4">
            <w:pPr>
              <w:pStyle w:val="NoSpacing"/>
              <w:jc w:val="both"/>
              <w:rPr>
                <w:rFonts w:ascii="Arial" w:hAnsi="Arial" w:cs="Arial"/>
                <w:b/>
                <w:sz w:val="20"/>
                <w:szCs w:val="20"/>
              </w:rPr>
            </w:pPr>
          </w:p>
          <w:p w:rsidR="00FF507F" w:rsidRPr="00700FB4" w:rsidRDefault="00E17FD4" w:rsidP="00665269">
            <w:pPr>
              <w:pStyle w:val="NoSpacing"/>
              <w:jc w:val="both"/>
              <w:rPr>
                <w:rFonts w:ascii="Arial" w:hAnsi="Arial" w:cs="Arial"/>
                <w:b/>
                <w:sz w:val="20"/>
                <w:szCs w:val="20"/>
              </w:rPr>
            </w:pPr>
            <w:r w:rsidRPr="00700FB4">
              <w:rPr>
                <w:rFonts w:ascii="Arial" w:hAnsi="Arial" w:cs="Arial"/>
                <w:b/>
                <w:sz w:val="20"/>
                <w:szCs w:val="20"/>
              </w:rPr>
              <w:t>Vides novērtējuma likums</w:t>
            </w:r>
          </w:p>
        </w:tc>
        <w:tc>
          <w:tcPr>
            <w:tcW w:w="283" w:type="dxa"/>
          </w:tcPr>
          <w:p w:rsidR="00C72624" w:rsidRPr="00700FB4" w:rsidRDefault="00C72624" w:rsidP="00665269">
            <w:pPr>
              <w:pStyle w:val="NoSpacing"/>
              <w:jc w:val="both"/>
              <w:rPr>
                <w:rFonts w:ascii="Arial" w:hAnsi="Arial" w:cs="Arial"/>
                <w:sz w:val="20"/>
                <w:szCs w:val="20"/>
              </w:rPr>
            </w:pPr>
          </w:p>
        </w:tc>
        <w:tc>
          <w:tcPr>
            <w:tcW w:w="6340" w:type="dxa"/>
          </w:tcPr>
          <w:p w:rsidR="00A4678B" w:rsidRPr="00700FB4" w:rsidRDefault="00A4678B" w:rsidP="00665269">
            <w:pPr>
              <w:pStyle w:val="NoSpacing"/>
              <w:jc w:val="both"/>
              <w:rPr>
                <w:rFonts w:ascii="Arial" w:hAnsi="Arial" w:cs="Arial"/>
                <w:sz w:val="20"/>
                <w:szCs w:val="20"/>
              </w:rPr>
            </w:pPr>
            <w:r w:rsidRPr="00700FB4">
              <w:rPr>
                <w:rFonts w:ascii="Arial" w:hAnsi="Arial" w:cs="Arial"/>
                <w:sz w:val="20"/>
                <w:szCs w:val="20"/>
              </w:rPr>
              <w:t>Administratīvā procesa likums</w:t>
            </w:r>
          </w:p>
          <w:p w:rsidR="00C72624" w:rsidRPr="00700FB4" w:rsidRDefault="00C72624" w:rsidP="00665269">
            <w:pPr>
              <w:pStyle w:val="NoSpacing"/>
              <w:jc w:val="both"/>
              <w:rPr>
                <w:rFonts w:ascii="Arial" w:hAnsi="Arial" w:cs="Arial"/>
                <w:sz w:val="20"/>
                <w:szCs w:val="20"/>
              </w:rPr>
            </w:pPr>
            <w:r w:rsidRPr="00700FB4">
              <w:rPr>
                <w:rFonts w:ascii="Arial" w:hAnsi="Arial" w:cs="Arial"/>
                <w:sz w:val="20"/>
                <w:szCs w:val="20"/>
              </w:rPr>
              <w:t>Apvienoto Nāciju Organizācija</w:t>
            </w:r>
          </w:p>
          <w:p w:rsidR="009E3111" w:rsidRPr="00700FB4" w:rsidRDefault="009E3111" w:rsidP="00665269">
            <w:pPr>
              <w:pStyle w:val="NoSpacing"/>
              <w:jc w:val="both"/>
              <w:rPr>
                <w:rFonts w:ascii="Arial" w:hAnsi="Arial" w:cs="Arial"/>
                <w:sz w:val="20"/>
                <w:szCs w:val="20"/>
              </w:rPr>
            </w:pPr>
          </w:p>
          <w:p w:rsidR="00BC7CB2" w:rsidRPr="00700FB4" w:rsidRDefault="00BC7CB2" w:rsidP="00E17FD4">
            <w:pPr>
              <w:pStyle w:val="NoSpacing"/>
              <w:ind w:right="1838"/>
              <w:jc w:val="both"/>
              <w:rPr>
                <w:rFonts w:ascii="Arial" w:hAnsi="Arial" w:cs="Arial"/>
                <w:sz w:val="20"/>
                <w:szCs w:val="20"/>
              </w:rPr>
            </w:pPr>
            <w:r w:rsidRPr="00700FB4">
              <w:rPr>
                <w:rFonts w:ascii="Arial" w:hAnsi="Arial" w:cs="Arial"/>
                <w:sz w:val="20"/>
                <w:szCs w:val="20"/>
              </w:rPr>
              <w:t>ANO 1979.gada</w:t>
            </w:r>
            <w:r w:rsidR="005F73DF" w:rsidRPr="00700FB4">
              <w:rPr>
                <w:rFonts w:ascii="Arial" w:hAnsi="Arial" w:cs="Arial"/>
                <w:sz w:val="20"/>
                <w:szCs w:val="20"/>
              </w:rPr>
              <w:t xml:space="preserve"> 23.jūnija</w:t>
            </w:r>
            <w:r w:rsidRPr="00700FB4">
              <w:rPr>
                <w:rFonts w:ascii="Arial" w:hAnsi="Arial" w:cs="Arial"/>
                <w:sz w:val="20"/>
                <w:szCs w:val="20"/>
              </w:rPr>
              <w:t xml:space="preserve"> Bonnas Konvencija par migrējošo savvaļas dzīvnieku sugu aizsardzību</w:t>
            </w:r>
          </w:p>
          <w:p w:rsidR="00BC7CB2" w:rsidRPr="00700FB4" w:rsidRDefault="00BC7CB2" w:rsidP="00E17FD4">
            <w:pPr>
              <w:pStyle w:val="NoSpacing"/>
              <w:ind w:right="1838"/>
              <w:jc w:val="both"/>
              <w:rPr>
                <w:rFonts w:ascii="Arial" w:hAnsi="Arial" w:cs="Arial"/>
                <w:sz w:val="20"/>
                <w:szCs w:val="20"/>
              </w:rPr>
            </w:pPr>
          </w:p>
          <w:p w:rsidR="009E3111" w:rsidRPr="00700FB4" w:rsidRDefault="002900F1" w:rsidP="00E17FD4">
            <w:pPr>
              <w:pStyle w:val="NoSpacing"/>
              <w:ind w:right="1838"/>
              <w:jc w:val="both"/>
              <w:rPr>
                <w:rFonts w:ascii="Arial" w:hAnsi="Arial" w:cs="Arial"/>
                <w:sz w:val="20"/>
                <w:szCs w:val="20"/>
              </w:rPr>
            </w:pPr>
            <w:r w:rsidRPr="00700FB4">
              <w:rPr>
                <w:rFonts w:ascii="Arial" w:hAnsi="Arial" w:cs="Arial"/>
                <w:sz w:val="20"/>
                <w:szCs w:val="20"/>
              </w:rPr>
              <w:t xml:space="preserve">2001.gada 23.marta Starptautiskā konvencija par civiltiesisko atbildību attiecībā uz </w:t>
            </w:r>
            <w:r w:rsidRPr="00700FB4">
              <w:rPr>
                <w:rFonts w:ascii="Arial" w:hAnsi="Arial" w:cs="Arial"/>
                <w:color w:val="222222"/>
                <w:sz w:val="20"/>
                <w:szCs w:val="20"/>
              </w:rPr>
              <w:t>bunkera degvielas piesārņojuma radīto kaitējumu</w:t>
            </w:r>
            <w:r w:rsidRPr="00700FB4" w:rsidDel="002E71B9">
              <w:rPr>
                <w:rFonts w:ascii="Arial" w:hAnsi="Arial" w:cs="Arial"/>
                <w:sz w:val="20"/>
                <w:szCs w:val="20"/>
              </w:rPr>
              <w:t xml:space="preserve"> </w:t>
            </w:r>
          </w:p>
          <w:p w:rsidR="002900F1" w:rsidRPr="00700FB4" w:rsidRDefault="002900F1" w:rsidP="00E17FD4">
            <w:pPr>
              <w:pStyle w:val="NoSpacing"/>
              <w:ind w:right="1838"/>
              <w:jc w:val="both"/>
              <w:rPr>
                <w:rFonts w:ascii="Arial" w:hAnsi="Arial" w:cs="Arial"/>
                <w:sz w:val="20"/>
                <w:szCs w:val="20"/>
              </w:rPr>
            </w:pPr>
          </w:p>
          <w:p w:rsidR="009E3111" w:rsidRPr="00700FB4" w:rsidRDefault="009E3111" w:rsidP="00E17FD4">
            <w:pPr>
              <w:pStyle w:val="NoSpacing"/>
              <w:ind w:right="1838"/>
              <w:jc w:val="both"/>
              <w:rPr>
                <w:rFonts w:ascii="Arial" w:hAnsi="Arial" w:cs="Arial"/>
                <w:sz w:val="20"/>
                <w:szCs w:val="20"/>
              </w:rPr>
            </w:pPr>
            <w:r w:rsidRPr="00700FB4">
              <w:rPr>
                <w:rFonts w:ascii="Arial" w:hAnsi="Arial" w:cs="Arial"/>
                <w:sz w:val="20"/>
                <w:szCs w:val="20"/>
              </w:rPr>
              <w:t>Direktīva 92/43/EEK (1992.gada 21.maijs) par dabisko dzīvotņu, savvaļas faunas un floras aizsardzību</w:t>
            </w:r>
          </w:p>
          <w:p w:rsidR="009E3111" w:rsidRPr="00700FB4" w:rsidRDefault="009E3111" w:rsidP="00665269">
            <w:pPr>
              <w:pStyle w:val="NoSpacing"/>
              <w:jc w:val="both"/>
              <w:rPr>
                <w:rFonts w:ascii="Arial" w:hAnsi="Arial" w:cs="Arial"/>
                <w:sz w:val="20"/>
                <w:szCs w:val="20"/>
              </w:rPr>
            </w:pPr>
          </w:p>
          <w:p w:rsidR="00D834DB" w:rsidRPr="00700FB4" w:rsidRDefault="00D834DB" w:rsidP="00665269">
            <w:pPr>
              <w:pStyle w:val="NoSpacing"/>
              <w:jc w:val="both"/>
              <w:rPr>
                <w:rFonts w:ascii="Arial" w:hAnsi="Arial" w:cs="Arial"/>
                <w:sz w:val="20"/>
                <w:szCs w:val="20"/>
              </w:rPr>
            </w:pPr>
            <w:r w:rsidRPr="00700FB4">
              <w:rPr>
                <w:rFonts w:ascii="Arial" w:hAnsi="Arial" w:cs="Arial"/>
                <w:sz w:val="20"/>
                <w:szCs w:val="20"/>
              </w:rPr>
              <w:t>Ekskluzīvā</w:t>
            </w:r>
            <w:r w:rsidR="00D75447" w:rsidRPr="00700FB4">
              <w:rPr>
                <w:rFonts w:ascii="Arial" w:hAnsi="Arial" w:cs="Arial"/>
                <w:sz w:val="20"/>
                <w:szCs w:val="20"/>
              </w:rPr>
              <w:t xml:space="preserve"> ekonomiskā</w:t>
            </w:r>
            <w:r w:rsidRPr="00700FB4">
              <w:rPr>
                <w:rFonts w:ascii="Arial" w:hAnsi="Arial" w:cs="Arial"/>
                <w:sz w:val="20"/>
                <w:szCs w:val="20"/>
              </w:rPr>
              <w:t xml:space="preserve"> zona</w:t>
            </w:r>
          </w:p>
          <w:p w:rsidR="00BE2603" w:rsidRPr="00700FB4" w:rsidRDefault="00BE2603" w:rsidP="00665269">
            <w:pPr>
              <w:pStyle w:val="NoSpacing"/>
              <w:jc w:val="both"/>
              <w:rPr>
                <w:rFonts w:ascii="Arial" w:hAnsi="Arial" w:cs="Arial"/>
                <w:sz w:val="20"/>
                <w:szCs w:val="20"/>
              </w:rPr>
            </w:pPr>
            <w:r w:rsidRPr="00700FB4">
              <w:rPr>
                <w:rFonts w:ascii="Arial" w:hAnsi="Arial" w:cs="Arial"/>
                <w:sz w:val="20"/>
                <w:szCs w:val="20"/>
              </w:rPr>
              <w:t>Eiropas Jūras Drošības Aģentūra</w:t>
            </w:r>
          </w:p>
          <w:p w:rsidR="00B04424" w:rsidRPr="00700FB4" w:rsidRDefault="00FF69B4" w:rsidP="00665269">
            <w:pPr>
              <w:pStyle w:val="NoSpacing"/>
              <w:jc w:val="both"/>
              <w:rPr>
                <w:rFonts w:ascii="Arial" w:hAnsi="Arial" w:cs="Arial"/>
                <w:sz w:val="20"/>
                <w:szCs w:val="20"/>
              </w:rPr>
            </w:pPr>
            <w:r w:rsidRPr="00700FB4">
              <w:rPr>
                <w:rFonts w:ascii="Arial" w:hAnsi="Arial" w:cs="Arial"/>
                <w:sz w:val="20"/>
                <w:szCs w:val="20"/>
              </w:rPr>
              <w:t>Eiropas Savienība</w:t>
            </w:r>
          </w:p>
          <w:p w:rsidR="00E51601" w:rsidRPr="00700FB4" w:rsidRDefault="00E51601" w:rsidP="00665269">
            <w:pPr>
              <w:pStyle w:val="NoSpacing"/>
              <w:jc w:val="both"/>
              <w:rPr>
                <w:rFonts w:ascii="Arial" w:hAnsi="Arial" w:cs="Arial"/>
                <w:sz w:val="20"/>
                <w:szCs w:val="20"/>
              </w:rPr>
            </w:pPr>
            <w:r w:rsidRPr="00700FB4">
              <w:rPr>
                <w:rFonts w:ascii="Arial" w:hAnsi="Arial" w:cs="Arial"/>
                <w:sz w:val="20"/>
                <w:szCs w:val="20"/>
              </w:rPr>
              <w:t>Eiropas Savienības tiesa</w:t>
            </w:r>
          </w:p>
          <w:p w:rsidR="00F902F7" w:rsidRPr="00700FB4" w:rsidRDefault="00F902F7" w:rsidP="00665269">
            <w:pPr>
              <w:pStyle w:val="NoSpacing"/>
              <w:ind w:right="1838"/>
              <w:jc w:val="both"/>
              <w:rPr>
                <w:rFonts w:ascii="Arial" w:hAnsi="Arial" w:cs="Arial"/>
                <w:sz w:val="20"/>
                <w:szCs w:val="20"/>
              </w:rPr>
            </w:pPr>
          </w:p>
          <w:p w:rsidR="00C15BE3" w:rsidRPr="00700FB4" w:rsidRDefault="00C15BE3" w:rsidP="00665269">
            <w:pPr>
              <w:pStyle w:val="NoSpacing"/>
              <w:ind w:right="1838"/>
              <w:jc w:val="both"/>
              <w:rPr>
                <w:rFonts w:ascii="Arial" w:hAnsi="Arial" w:cs="Arial"/>
                <w:sz w:val="20"/>
                <w:szCs w:val="20"/>
              </w:rPr>
            </w:pPr>
            <w:r w:rsidRPr="00700FB4">
              <w:rPr>
                <w:rFonts w:ascii="Arial" w:hAnsi="Arial" w:cs="Arial"/>
                <w:sz w:val="20"/>
                <w:szCs w:val="20"/>
              </w:rPr>
              <w:t>1974.gada 23.marta Konvencija par Baltijas jūras reģiona jūras vides aizsardzību un 1992.gada 9.aprīļa Konvencija par Baltijas jūras reģiona jūras vides aizsardzību</w:t>
            </w:r>
          </w:p>
          <w:p w:rsidR="000C295C" w:rsidRPr="00700FB4" w:rsidRDefault="000C295C" w:rsidP="00665269">
            <w:pPr>
              <w:pStyle w:val="NoSpacing"/>
              <w:ind w:right="1838"/>
              <w:jc w:val="both"/>
              <w:rPr>
                <w:rFonts w:ascii="Arial" w:hAnsi="Arial" w:cs="Arial"/>
                <w:sz w:val="20"/>
                <w:szCs w:val="20"/>
              </w:rPr>
            </w:pPr>
          </w:p>
          <w:p w:rsidR="00D75447" w:rsidRPr="00700FB4" w:rsidRDefault="00D75447" w:rsidP="00665269">
            <w:pPr>
              <w:pStyle w:val="NoSpacing"/>
              <w:ind w:right="1838"/>
              <w:jc w:val="both"/>
              <w:rPr>
                <w:rFonts w:ascii="Arial" w:hAnsi="Arial" w:cs="Arial"/>
                <w:sz w:val="20"/>
                <w:szCs w:val="20"/>
              </w:rPr>
            </w:pPr>
            <w:r w:rsidRPr="00700FB4">
              <w:rPr>
                <w:rFonts w:ascii="Arial" w:hAnsi="Arial" w:cs="Arial"/>
                <w:sz w:val="20"/>
                <w:szCs w:val="20"/>
              </w:rPr>
              <w:t xml:space="preserve">ANO </w:t>
            </w:r>
            <w:r w:rsidR="001432C3" w:rsidRPr="00700FB4">
              <w:rPr>
                <w:rFonts w:ascii="Arial" w:hAnsi="Arial" w:cs="Arial"/>
                <w:sz w:val="20"/>
                <w:szCs w:val="20"/>
              </w:rPr>
              <w:t xml:space="preserve">1982.gada 10.decembra </w:t>
            </w:r>
            <w:r w:rsidRPr="00700FB4">
              <w:rPr>
                <w:rFonts w:ascii="Arial" w:hAnsi="Arial" w:cs="Arial"/>
                <w:sz w:val="20"/>
                <w:szCs w:val="20"/>
              </w:rPr>
              <w:t>Jūras tiesību konvencija</w:t>
            </w:r>
          </w:p>
          <w:p w:rsidR="00D75447" w:rsidRPr="00700FB4" w:rsidRDefault="00D75447" w:rsidP="00665269">
            <w:pPr>
              <w:pStyle w:val="NoSpacing"/>
              <w:ind w:right="1838"/>
              <w:jc w:val="both"/>
              <w:rPr>
                <w:rFonts w:ascii="Arial" w:hAnsi="Arial" w:cs="Arial"/>
                <w:sz w:val="20"/>
                <w:szCs w:val="20"/>
              </w:rPr>
            </w:pPr>
          </w:p>
          <w:p w:rsidR="00FF69B4" w:rsidRPr="00700FB4" w:rsidRDefault="00FF69B4" w:rsidP="00665269">
            <w:pPr>
              <w:pStyle w:val="NoSpacing"/>
              <w:ind w:right="1838"/>
              <w:jc w:val="both"/>
              <w:rPr>
                <w:rFonts w:ascii="Arial" w:hAnsi="Arial" w:cs="Arial"/>
                <w:sz w:val="20"/>
                <w:szCs w:val="20"/>
              </w:rPr>
            </w:pPr>
            <w:r w:rsidRPr="00700FB4">
              <w:rPr>
                <w:rFonts w:ascii="Arial" w:hAnsi="Arial" w:cs="Arial"/>
                <w:sz w:val="20"/>
                <w:szCs w:val="20"/>
              </w:rPr>
              <w:t>Direktīva 2008/56/EK</w:t>
            </w:r>
            <w:r w:rsidR="001432C3" w:rsidRPr="00700FB4">
              <w:rPr>
                <w:rFonts w:ascii="Arial" w:hAnsi="Arial" w:cs="Arial"/>
                <w:sz w:val="20"/>
                <w:szCs w:val="20"/>
              </w:rPr>
              <w:t xml:space="preserve"> (2008.gada 17.jūnijs)</w:t>
            </w:r>
            <w:r w:rsidRPr="00700FB4">
              <w:rPr>
                <w:rFonts w:ascii="Arial" w:hAnsi="Arial" w:cs="Arial"/>
                <w:sz w:val="20"/>
                <w:szCs w:val="20"/>
              </w:rPr>
              <w:t>, ar ko izveido sistēmu Kopienas rīcībai jūras vides politikas jomā</w:t>
            </w:r>
          </w:p>
          <w:p w:rsidR="00B04424" w:rsidRPr="00700FB4" w:rsidRDefault="00B04424" w:rsidP="00665269">
            <w:pPr>
              <w:pStyle w:val="NoSpacing"/>
              <w:ind w:right="1838"/>
              <w:jc w:val="both"/>
              <w:rPr>
                <w:rFonts w:ascii="Arial" w:hAnsi="Arial" w:cs="Arial"/>
                <w:sz w:val="20"/>
                <w:szCs w:val="20"/>
              </w:rPr>
            </w:pPr>
          </w:p>
          <w:p w:rsidR="00B04424" w:rsidRPr="00700FB4" w:rsidRDefault="00FD0810" w:rsidP="00665269">
            <w:pPr>
              <w:pStyle w:val="NoSpacing"/>
              <w:ind w:right="1838"/>
              <w:jc w:val="both"/>
              <w:rPr>
                <w:rFonts w:ascii="Arial" w:hAnsi="Arial" w:cs="Arial"/>
                <w:sz w:val="20"/>
                <w:szCs w:val="20"/>
              </w:rPr>
            </w:pPr>
            <w:r w:rsidRPr="00700FB4">
              <w:rPr>
                <w:rFonts w:ascii="Arial" w:hAnsi="Arial" w:cs="Arial"/>
                <w:sz w:val="20"/>
                <w:szCs w:val="20"/>
              </w:rPr>
              <w:t>Direktīva 2014/89/ES</w:t>
            </w:r>
            <w:r w:rsidR="001432C3" w:rsidRPr="00700FB4">
              <w:rPr>
                <w:rFonts w:ascii="Arial" w:hAnsi="Arial" w:cs="Arial"/>
                <w:sz w:val="20"/>
                <w:szCs w:val="20"/>
              </w:rPr>
              <w:t xml:space="preserve"> (2014.gada 23.jūlijs)</w:t>
            </w:r>
            <w:r w:rsidRPr="00700FB4">
              <w:rPr>
                <w:rFonts w:ascii="Arial" w:hAnsi="Arial" w:cs="Arial"/>
                <w:sz w:val="20"/>
                <w:szCs w:val="20"/>
              </w:rPr>
              <w:t>, ar ko izveido jūras telpiskās plānošanas satvaru</w:t>
            </w:r>
          </w:p>
          <w:p w:rsidR="00BD2E22" w:rsidRPr="00700FB4" w:rsidRDefault="00BD2E22" w:rsidP="00665269">
            <w:pPr>
              <w:pStyle w:val="NoSpacing"/>
              <w:ind w:right="1838"/>
              <w:jc w:val="both"/>
              <w:rPr>
                <w:rFonts w:ascii="Arial" w:hAnsi="Arial" w:cs="Arial"/>
                <w:sz w:val="20"/>
                <w:szCs w:val="20"/>
              </w:rPr>
            </w:pPr>
          </w:p>
          <w:p w:rsidR="009E3111" w:rsidRPr="00700FB4" w:rsidRDefault="009E3111" w:rsidP="00E17FD4">
            <w:pPr>
              <w:pStyle w:val="NoSpacing"/>
              <w:ind w:right="1838"/>
              <w:jc w:val="both"/>
              <w:rPr>
                <w:rFonts w:ascii="Arial" w:hAnsi="Arial" w:cs="Arial"/>
                <w:sz w:val="20"/>
                <w:szCs w:val="20"/>
              </w:rPr>
            </w:pPr>
            <w:r w:rsidRPr="00700FB4">
              <w:rPr>
                <w:rFonts w:ascii="Arial" w:hAnsi="Arial" w:cs="Arial"/>
                <w:sz w:val="20"/>
                <w:szCs w:val="20"/>
              </w:rPr>
              <w:t>Eiropas Savienības Komisija</w:t>
            </w:r>
          </w:p>
          <w:p w:rsidR="009E3111" w:rsidRPr="00700FB4" w:rsidRDefault="009E3111" w:rsidP="00E17FD4">
            <w:pPr>
              <w:pStyle w:val="NoSpacing"/>
              <w:jc w:val="both"/>
              <w:rPr>
                <w:rFonts w:ascii="Arial" w:hAnsi="Arial" w:cs="Arial"/>
                <w:sz w:val="20"/>
                <w:szCs w:val="20"/>
              </w:rPr>
            </w:pPr>
          </w:p>
          <w:p w:rsidR="009E3111" w:rsidRPr="00700FB4" w:rsidRDefault="009E3111" w:rsidP="00E17FD4">
            <w:pPr>
              <w:pStyle w:val="NoSpacing"/>
              <w:ind w:right="1838"/>
              <w:jc w:val="both"/>
              <w:rPr>
                <w:rFonts w:ascii="Arial" w:hAnsi="Arial" w:cs="Arial"/>
                <w:sz w:val="20"/>
                <w:szCs w:val="20"/>
              </w:rPr>
            </w:pPr>
            <w:r w:rsidRPr="00700FB4">
              <w:rPr>
                <w:rFonts w:ascii="Arial" w:hAnsi="Arial" w:cs="Arial"/>
                <w:sz w:val="20"/>
                <w:szCs w:val="20"/>
              </w:rPr>
              <w:t>ANO 1958.gada 29.decembra Konvencija par kontinentālo šelfu</w:t>
            </w:r>
          </w:p>
          <w:p w:rsidR="009E3111" w:rsidRPr="00700FB4" w:rsidRDefault="009E3111" w:rsidP="00E17FD4">
            <w:pPr>
              <w:pStyle w:val="NoSpacing"/>
              <w:ind w:right="1838"/>
              <w:jc w:val="both"/>
              <w:rPr>
                <w:rFonts w:ascii="Arial" w:hAnsi="Arial" w:cs="Arial"/>
                <w:sz w:val="20"/>
                <w:szCs w:val="20"/>
              </w:rPr>
            </w:pPr>
          </w:p>
          <w:p w:rsidR="009E3111" w:rsidRPr="00700FB4" w:rsidRDefault="009E3111" w:rsidP="00E17FD4">
            <w:pPr>
              <w:pStyle w:val="NoSpacing"/>
              <w:ind w:right="1838"/>
              <w:jc w:val="both"/>
              <w:rPr>
                <w:rFonts w:ascii="Arial" w:hAnsi="Arial" w:cs="Arial"/>
                <w:sz w:val="20"/>
                <w:szCs w:val="20"/>
              </w:rPr>
            </w:pPr>
            <w:r w:rsidRPr="00700FB4">
              <w:rPr>
                <w:rFonts w:ascii="Arial" w:hAnsi="Arial" w:cs="Arial"/>
                <w:sz w:val="20"/>
                <w:szCs w:val="20"/>
              </w:rPr>
              <w:t>Eiropas Kopiena</w:t>
            </w:r>
          </w:p>
          <w:p w:rsidR="009E3111" w:rsidRPr="00700FB4" w:rsidRDefault="009E3111" w:rsidP="00E17FD4">
            <w:pPr>
              <w:pStyle w:val="NoSpacing"/>
              <w:ind w:right="1838"/>
              <w:jc w:val="both"/>
              <w:rPr>
                <w:rFonts w:ascii="Arial" w:hAnsi="Arial" w:cs="Arial"/>
                <w:sz w:val="20"/>
                <w:szCs w:val="20"/>
              </w:rPr>
            </w:pPr>
          </w:p>
          <w:p w:rsidR="009E3111" w:rsidRPr="00700FB4" w:rsidRDefault="009E3111" w:rsidP="00E17FD4">
            <w:pPr>
              <w:pStyle w:val="NoSpacing"/>
              <w:ind w:right="1838"/>
              <w:jc w:val="both"/>
              <w:rPr>
                <w:rFonts w:ascii="Arial" w:hAnsi="Arial" w:cs="Arial"/>
                <w:sz w:val="20"/>
                <w:szCs w:val="20"/>
              </w:rPr>
            </w:pPr>
            <w:r w:rsidRPr="00700FB4">
              <w:rPr>
                <w:rFonts w:ascii="Arial" w:hAnsi="Arial" w:cs="Arial"/>
                <w:sz w:val="20"/>
                <w:szCs w:val="20"/>
              </w:rPr>
              <w:t>Direktīva 2005/35/EK</w:t>
            </w:r>
            <w:r w:rsidR="005F73DF" w:rsidRPr="00700FB4">
              <w:rPr>
                <w:rFonts w:ascii="Arial" w:hAnsi="Arial" w:cs="Arial"/>
                <w:sz w:val="20"/>
                <w:szCs w:val="20"/>
              </w:rPr>
              <w:t xml:space="preserve"> (2005.gada 7.septembris) </w:t>
            </w:r>
            <w:r w:rsidRPr="00700FB4">
              <w:rPr>
                <w:rFonts w:ascii="Arial" w:hAnsi="Arial" w:cs="Arial"/>
                <w:sz w:val="20"/>
                <w:szCs w:val="20"/>
              </w:rPr>
              <w:t>par kuģu radīto piesārņojumu un par sankciju ieviešanu par pārkāpumiem</w:t>
            </w:r>
          </w:p>
          <w:p w:rsidR="009E3111" w:rsidRPr="00700FB4" w:rsidRDefault="009E3111" w:rsidP="00E17FD4">
            <w:pPr>
              <w:pStyle w:val="NoSpacing"/>
              <w:ind w:right="1838"/>
              <w:jc w:val="both"/>
              <w:rPr>
                <w:rFonts w:ascii="Arial" w:hAnsi="Arial" w:cs="Arial"/>
                <w:sz w:val="20"/>
                <w:szCs w:val="20"/>
              </w:rPr>
            </w:pPr>
          </w:p>
          <w:p w:rsidR="009E3111" w:rsidRPr="00700FB4" w:rsidRDefault="002900F1" w:rsidP="00665269">
            <w:pPr>
              <w:pStyle w:val="NoSpacing"/>
              <w:ind w:right="1838"/>
              <w:jc w:val="both"/>
              <w:rPr>
                <w:rFonts w:ascii="Arial" w:hAnsi="Arial" w:cs="Arial"/>
                <w:sz w:val="20"/>
                <w:szCs w:val="20"/>
              </w:rPr>
            </w:pPr>
            <w:r w:rsidRPr="00700FB4">
              <w:rPr>
                <w:rFonts w:ascii="Arial" w:hAnsi="Arial" w:cs="Arial"/>
                <w:color w:val="222222"/>
                <w:sz w:val="20"/>
                <w:szCs w:val="20"/>
              </w:rPr>
              <w:t>1973.gada Starptautiskā konvencija par piesārņojumu novēršanu no kuģiem, kas grozīta ar 1978.gada Protokolu</w:t>
            </w:r>
            <w:r w:rsidRPr="00700FB4">
              <w:rPr>
                <w:rFonts w:ascii="Arial" w:hAnsi="Arial" w:cs="Arial"/>
                <w:sz w:val="20"/>
                <w:szCs w:val="20"/>
              </w:rPr>
              <w:t xml:space="preserve"> </w:t>
            </w:r>
          </w:p>
          <w:p w:rsidR="002900F1" w:rsidRPr="00700FB4" w:rsidRDefault="002900F1" w:rsidP="00665269">
            <w:pPr>
              <w:pStyle w:val="NoSpacing"/>
              <w:ind w:right="1838"/>
              <w:jc w:val="both"/>
              <w:rPr>
                <w:rFonts w:ascii="Arial" w:hAnsi="Arial" w:cs="Arial"/>
                <w:sz w:val="20"/>
                <w:szCs w:val="20"/>
              </w:rPr>
            </w:pPr>
          </w:p>
          <w:p w:rsidR="008D1E33" w:rsidRPr="00700FB4" w:rsidRDefault="008D1E33" w:rsidP="00665269">
            <w:pPr>
              <w:pStyle w:val="NoSpacing"/>
              <w:ind w:right="1838"/>
              <w:jc w:val="both"/>
              <w:rPr>
                <w:rFonts w:ascii="Arial" w:hAnsi="Arial" w:cs="Arial"/>
                <w:sz w:val="20"/>
                <w:szCs w:val="20"/>
              </w:rPr>
            </w:pPr>
            <w:r w:rsidRPr="00700FB4">
              <w:rPr>
                <w:rFonts w:ascii="Arial" w:hAnsi="Arial" w:cs="Arial"/>
                <w:sz w:val="20"/>
                <w:szCs w:val="20"/>
              </w:rPr>
              <w:t>Līgums par Eiropas Savienību</w:t>
            </w:r>
          </w:p>
          <w:p w:rsidR="00610BDA" w:rsidRPr="00700FB4" w:rsidRDefault="00610BDA" w:rsidP="00665269">
            <w:pPr>
              <w:pStyle w:val="NoSpacing"/>
              <w:ind w:right="1838"/>
              <w:jc w:val="both"/>
              <w:rPr>
                <w:rFonts w:ascii="Arial" w:hAnsi="Arial" w:cs="Arial"/>
                <w:sz w:val="20"/>
                <w:szCs w:val="20"/>
              </w:rPr>
            </w:pPr>
          </w:p>
          <w:p w:rsidR="00610BDA" w:rsidRPr="00700FB4" w:rsidRDefault="00610BDA" w:rsidP="00665269">
            <w:pPr>
              <w:pStyle w:val="NoSpacing"/>
              <w:ind w:right="1838"/>
              <w:jc w:val="both"/>
              <w:rPr>
                <w:rFonts w:ascii="Arial" w:hAnsi="Arial" w:cs="Arial"/>
                <w:sz w:val="20"/>
                <w:szCs w:val="20"/>
              </w:rPr>
            </w:pPr>
            <w:r w:rsidRPr="00700FB4">
              <w:rPr>
                <w:rFonts w:ascii="Arial" w:hAnsi="Arial" w:cs="Arial"/>
                <w:sz w:val="20"/>
                <w:szCs w:val="20"/>
              </w:rPr>
              <w:t>Līgums par Eiropas Savienības darbību</w:t>
            </w:r>
          </w:p>
          <w:p w:rsidR="008D1E33" w:rsidRPr="00700FB4" w:rsidRDefault="008D1E33" w:rsidP="00665269">
            <w:pPr>
              <w:pStyle w:val="NoSpacing"/>
              <w:ind w:right="1838"/>
              <w:jc w:val="both"/>
              <w:rPr>
                <w:rFonts w:ascii="Arial" w:hAnsi="Arial" w:cs="Arial"/>
                <w:sz w:val="20"/>
                <w:szCs w:val="20"/>
              </w:rPr>
            </w:pPr>
          </w:p>
          <w:p w:rsidR="00BB7186" w:rsidRPr="00700FB4" w:rsidRDefault="00BB7186" w:rsidP="00665269">
            <w:pPr>
              <w:pStyle w:val="NoSpacing"/>
              <w:ind w:right="1838"/>
              <w:jc w:val="both"/>
              <w:rPr>
                <w:rFonts w:ascii="Arial" w:hAnsi="Arial" w:cs="Arial"/>
                <w:sz w:val="20"/>
                <w:szCs w:val="20"/>
              </w:rPr>
            </w:pPr>
            <w:r w:rsidRPr="00700FB4">
              <w:rPr>
                <w:rFonts w:ascii="Arial" w:hAnsi="Arial" w:cs="Arial"/>
                <w:sz w:val="20"/>
                <w:szCs w:val="20"/>
              </w:rPr>
              <w:t>1982.gada 26.janvāra Parīzes Saprašanās memorands par ostas valsts kontroli</w:t>
            </w:r>
          </w:p>
          <w:p w:rsidR="00BB7186" w:rsidRPr="00700FB4" w:rsidRDefault="00BB7186" w:rsidP="00665269">
            <w:pPr>
              <w:pStyle w:val="NoSpacing"/>
              <w:ind w:right="1838"/>
              <w:jc w:val="both"/>
              <w:rPr>
                <w:rFonts w:ascii="Arial" w:hAnsi="Arial" w:cs="Arial"/>
                <w:sz w:val="20"/>
                <w:szCs w:val="20"/>
              </w:rPr>
            </w:pPr>
          </w:p>
          <w:p w:rsidR="0030344B" w:rsidRPr="00700FB4" w:rsidRDefault="0030344B" w:rsidP="00665269">
            <w:pPr>
              <w:pStyle w:val="NoSpacing"/>
              <w:ind w:right="1838"/>
              <w:jc w:val="both"/>
              <w:rPr>
                <w:rFonts w:ascii="Arial" w:hAnsi="Arial" w:cs="Arial"/>
                <w:sz w:val="20"/>
                <w:szCs w:val="20"/>
              </w:rPr>
            </w:pPr>
            <w:r w:rsidRPr="00700FB4">
              <w:rPr>
                <w:rFonts w:ascii="Arial" w:hAnsi="Arial" w:cs="Arial"/>
                <w:sz w:val="20"/>
                <w:szCs w:val="20"/>
              </w:rPr>
              <w:t xml:space="preserve">1995.gada 4.augusta Nolīgums par Jūras tiesību konvencijas īstenošanu attiecībā uz </w:t>
            </w:r>
            <w:r w:rsidRPr="00700FB4">
              <w:rPr>
                <w:rFonts w:ascii="Arial" w:hAnsi="Arial" w:cs="Arial"/>
                <w:sz w:val="20"/>
                <w:szCs w:val="20"/>
              </w:rPr>
              <w:lastRenderedPageBreak/>
              <w:t>transzonālo zivju krājumu un tālu migrējošo zivju krājumu saglabāšanu un pārvaldību</w:t>
            </w:r>
          </w:p>
          <w:p w:rsidR="0030344B" w:rsidRPr="00700FB4" w:rsidRDefault="0030344B" w:rsidP="00665269">
            <w:pPr>
              <w:pStyle w:val="NoSpacing"/>
              <w:ind w:right="1838"/>
              <w:jc w:val="both"/>
              <w:rPr>
                <w:rFonts w:ascii="Arial" w:hAnsi="Arial" w:cs="Arial"/>
                <w:sz w:val="20"/>
                <w:szCs w:val="20"/>
              </w:rPr>
            </w:pPr>
          </w:p>
          <w:p w:rsidR="00F90C25" w:rsidRPr="00700FB4" w:rsidRDefault="00F90C25" w:rsidP="00665269">
            <w:pPr>
              <w:pStyle w:val="NoSpacing"/>
              <w:ind w:right="1838"/>
              <w:jc w:val="both"/>
              <w:rPr>
                <w:rFonts w:ascii="Arial" w:hAnsi="Arial" w:cs="Arial"/>
                <w:sz w:val="20"/>
                <w:szCs w:val="20"/>
              </w:rPr>
            </w:pPr>
            <w:r w:rsidRPr="00700FB4">
              <w:rPr>
                <w:rFonts w:ascii="Arial" w:hAnsi="Arial" w:cs="Arial"/>
                <w:sz w:val="20"/>
                <w:szCs w:val="20"/>
              </w:rPr>
              <w:t xml:space="preserve">Eiropas Savienības </w:t>
            </w:r>
            <w:r w:rsidR="001432C3" w:rsidRPr="00700FB4">
              <w:rPr>
                <w:rFonts w:ascii="Arial" w:hAnsi="Arial" w:cs="Arial"/>
                <w:sz w:val="20"/>
                <w:szCs w:val="20"/>
              </w:rPr>
              <w:t>P</w:t>
            </w:r>
            <w:r w:rsidRPr="00700FB4">
              <w:rPr>
                <w:rFonts w:ascii="Arial" w:hAnsi="Arial" w:cs="Arial"/>
                <w:sz w:val="20"/>
                <w:szCs w:val="20"/>
              </w:rPr>
              <w:t>adome</w:t>
            </w:r>
          </w:p>
          <w:p w:rsidR="005F73DF" w:rsidRPr="00700FB4" w:rsidRDefault="005F73DF" w:rsidP="005F73DF">
            <w:pPr>
              <w:pStyle w:val="NoSpacing"/>
              <w:ind w:right="1838"/>
              <w:jc w:val="both"/>
              <w:rPr>
                <w:rFonts w:ascii="Arial" w:hAnsi="Arial" w:cs="Arial"/>
                <w:sz w:val="20"/>
                <w:szCs w:val="20"/>
              </w:rPr>
            </w:pPr>
          </w:p>
          <w:p w:rsidR="005F73DF" w:rsidRPr="00700FB4" w:rsidRDefault="005F73DF" w:rsidP="005F73DF">
            <w:pPr>
              <w:pStyle w:val="NoSpacing"/>
              <w:ind w:right="1838"/>
              <w:jc w:val="both"/>
              <w:rPr>
                <w:rFonts w:ascii="Arial" w:hAnsi="Arial" w:cs="Arial"/>
                <w:sz w:val="20"/>
                <w:szCs w:val="20"/>
              </w:rPr>
            </w:pPr>
            <w:r w:rsidRPr="00700FB4">
              <w:rPr>
                <w:rFonts w:ascii="Arial" w:hAnsi="Arial" w:cs="Arial"/>
                <w:sz w:val="20"/>
                <w:szCs w:val="20"/>
              </w:rPr>
              <w:t xml:space="preserve">Piekrastes telpiskās attīstības pamatnostādnēs 2011. </w:t>
            </w:r>
            <w:r w:rsidR="0054294A" w:rsidRPr="00700FB4">
              <w:rPr>
                <w:rFonts w:ascii="Arial" w:hAnsi="Arial" w:cs="Arial"/>
                <w:sz w:val="20"/>
                <w:szCs w:val="20"/>
              </w:rPr>
              <w:t>–</w:t>
            </w:r>
            <w:r w:rsidRPr="00700FB4">
              <w:rPr>
                <w:rFonts w:ascii="Arial" w:hAnsi="Arial" w:cs="Arial"/>
                <w:sz w:val="20"/>
                <w:szCs w:val="20"/>
              </w:rPr>
              <w:t xml:space="preserve"> 2017.gadam</w:t>
            </w:r>
          </w:p>
          <w:p w:rsidR="005F73DF" w:rsidRPr="00700FB4" w:rsidRDefault="005F73DF" w:rsidP="00665269">
            <w:pPr>
              <w:pStyle w:val="NoSpacing"/>
              <w:ind w:right="1838"/>
              <w:jc w:val="both"/>
              <w:rPr>
                <w:rFonts w:ascii="Arial" w:hAnsi="Arial" w:cs="Arial"/>
                <w:sz w:val="20"/>
                <w:szCs w:val="20"/>
              </w:rPr>
            </w:pPr>
          </w:p>
          <w:p w:rsidR="00F90C25" w:rsidRPr="00700FB4" w:rsidRDefault="00F90C25" w:rsidP="00665269">
            <w:pPr>
              <w:pStyle w:val="NoSpacing"/>
              <w:ind w:right="1838"/>
              <w:jc w:val="both"/>
              <w:rPr>
                <w:rFonts w:ascii="Arial" w:hAnsi="Arial" w:cs="Arial"/>
                <w:sz w:val="20"/>
                <w:szCs w:val="20"/>
              </w:rPr>
            </w:pPr>
            <w:r w:rsidRPr="00700FB4">
              <w:rPr>
                <w:rFonts w:ascii="Arial" w:hAnsi="Arial" w:cs="Arial"/>
                <w:sz w:val="20"/>
                <w:szCs w:val="20"/>
              </w:rPr>
              <w:t xml:space="preserve">Eiropas Savienības </w:t>
            </w:r>
            <w:r w:rsidR="001432C3" w:rsidRPr="00700FB4">
              <w:rPr>
                <w:rFonts w:ascii="Arial" w:hAnsi="Arial" w:cs="Arial"/>
                <w:sz w:val="20"/>
                <w:szCs w:val="20"/>
              </w:rPr>
              <w:t>P</w:t>
            </w:r>
            <w:r w:rsidRPr="00700FB4">
              <w:rPr>
                <w:rFonts w:ascii="Arial" w:hAnsi="Arial" w:cs="Arial"/>
                <w:sz w:val="20"/>
                <w:szCs w:val="20"/>
              </w:rPr>
              <w:t>arlaments</w:t>
            </w:r>
          </w:p>
          <w:p w:rsidR="00BE2603" w:rsidRPr="00700FB4" w:rsidRDefault="00BE2603" w:rsidP="00665269">
            <w:pPr>
              <w:pStyle w:val="NoSpacing"/>
              <w:ind w:right="1838"/>
              <w:jc w:val="both"/>
              <w:rPr>
                <w:rFonts w:ascii="Arial" w:hAnsi="Arial" w:cs="Arial"/>
                <w:sz w:val="20"/>
                <w:szCs w:val="20"/>
              </w:rPr>
            </w:pPr>
          </w:p>
          <w:p w:rsidR="005F73DF" w:rsidRPr="00700FB4" w:rsidRDefault="005F73DF" w:rsidP="00665269">
            <w:pPr>
              <w:pStyle w:val="NoSpacing"/>
              <w:ind w:right="1838"/>
              <w:jc w:val="both"/>
              <w:rPr>
                <w:rFonts w:ascii="Arial" w:hAnsi="Arial" w:cs="Arial"/>
                <w:sz w:val="20"/>
                <w:szCs w:val="20"/>
              </w:rPr>
            </w:pPr>
            <w:r w:rsidRPr="00700FB4">
              <w:rPr>
                <w:rFonts w:ascii="Arial" w:hAnsi="Arial" w:cs="Arial"/>
                <w:sz w:val="20"/>
                <w:szCs w:val="20"/>
              </w:rPr>
              <w:t>Teritorijas attīstības plānošanas likums</w:t>
            </w:r>
          </w:p>
          <w:p w:rsidR="005F73DF" w:rsidRPr="00700FB4" w:rsidRDefault="005F73DF" w:rsidP="00665269">
            <w:pPr>
              <w:pStyle w:val="NoSpacing"/>
              <w:ind w:right="1838"/>
              <w:jc w:val="both"/>
              <w:rPr>
                <w:rFonts w:ascii="Arial" w:hAnsi="Arial" w:cs="Arial"/>
                <w:sz w:val="20"/>
                <w:szCs w:val="20"/>
              </w:rPr>
            </w:pPr>
          </w:p>
          <w:p w:rsidR="00756DE9" w:rsidRPr="00700FB4" w:rsidRDefault="00756DE9" w:rsidP="00665269">
            <w:pPr>
              <w:pStyle w:val="NoSpacing"/>
              <w:ind w:right="1838"/>
              <w:jc w:val="both"/>
              <w:rPr>
                <w:rFonts w:ascii="Arial" w:hAnsi="Arial" w:cs="Arial"/>
                <w:sz w:val="20"/>
                <w:szCs w:val="20"/>
              </w:rPr>
            </w:pPr>
          </w:p>
          <w:p w:rsidR="00BE2603" w:rsidRPr="00700FB4" w:rsidRDefault="00BE2603" w:rsidP="00665269">
            <w:pPr>
              <w:pStyle w:val="NoSpacing"/>
              <w:ind w:right="1838"/>
              <w:jc w:val="both"/>
              <w:rPr>
                <w:rFonts w:ascii="Arial" w:hAnsi="Arial" w:cs="Arial"/>
                <w:sz w:val="20"/>
                <w:szCs w:val="20"/>
              </w:rPr>
            </w:pPr>
            <w:r w:rsidRPr="00700FB4">
              <w:rPr>
                <w:rFonts w:ascii="Arial" w:hAnsi="Arial" w:cs="Arial"/>
                <w:sz w:val="20"/>
                <w:szCs w:val="20"/>
              </w:rPr>
              <w:t>Direktīva 2007/60/EK (2007.gada 23.oktobris) par plūdu riska novērtējumu un pārvaldību</w:t>
            </w:r>
          </w:p>
          <w:p w:rsidR="00F90C25" w:rsidRPr="00700FB4" w:rsidRDefault="00F90C25" w:rsidP="00665269">
            <w:pPr>
              <w:pStyle w:val="NoSpacing"/>
              <w:ind w:right="1838"/>
              <w:jc w:val="both"/>
              <w:rPr>
                <w:rFonts w:ascii="Arial" w:hAnsi="Arial" w:cs="Arial"/>
                <w:sz w:val="20"/>
                <w:szCs w:val="20"/>
              </w:rPr>
            </w:pPr>
          </w:p>
          <w:p w:rsidR="00F902F7" w:rsidRPr="00700FB4" w:rsidRDefault="00F902F7" w:rsidP="00665269">
            <w:pPr>
              <w:pStyle w:val="NoSpacing"/>
              <w:ind w:right="1838"/>
              <w:jc w:val="both"/>
              <w:rPr>
                <w:rFonts w:ascii="Arial" w:hAnsi="Arial" w:cs="Arial"/>
                <w:sz w:val="20"/>
                <w:szCs w:val="20"/>
              </w:rPr>
            </w:pPr>
            <w:r w:rsidRPr="00700FB4">
              <w:rPr>
                <w:rFonts w:ascii="Arial" w:hAnsi="Arial" w:cs="Arial"/>
                <w:sz w:val="20"/>
                <w:szCs w:val="20"/>
              </w:rPr>
              <w:t>Direktīva 2009/147/EK (2009.gada 30.novembris) par savvaļas putnu aizsardzību</w:t>
            </w:r>
          </w:p>
          <w:p w:rsidR="00EF04DF" w:rsidRPr="00700FB4" w:rsidRDefault="00EF04DF" w:rsidP="00665269">
            <w:pPr>
              <w:pStyle w:val="NoSpacing"/>
              <w:ind w:right="1838"/>
              <w:jc w:val="both"/>
              <w:rPr>
                <w:rFonts w:ascii="Arial" w:hAnsi="Arial" w:cs="Arial"/>
                <w:sz w:val="20"/>
                <w:szCs w:val="20"/>
              </w:rPr>
            </w:pPr>
          </w:p>
          <w:p w:rsidR="005F73DF" w:rsidRPr="00700FB4" w:rsidRDefault="005F73DF" w:rsidP="00665269">
            <w:pPr>
              <w:pStyle w:val="NoSpacing"/>
              <w:ind w:right="1838"/>
              <w:jc w:val="both"/>
              <w:rPr>
                <w:rFonts w:ascii="Arial" w:hAnsi="Arial" w:cs="Arial"/>
                <w:sz w:val="20"/>
                <w:szCs w:val="20"/>
              </w:rPr>
            </w:pPr>
            <w:r w:rsidRPr="00700FB4">
              <w:rPr>
                <w:rFonts w:ascii="Arial" w:hAnsi="Arial" w:cs="Arial"/>
                <w:sz w:val="20"/>
                <w:szCs w:val="20"/>
              </w:rPr>
              <w:t>ANO 1992.gada 5.jūnija Konvencija par bioloģisko daudzveidību</w:t>
            </w:r>
          </w:p>
          <w:p w:rsidR="005F73DF" w:rsidRPr="00700FB4" w:rsidRDefault="005F73DF" w:rsidP="00665269">
            <w:pPr>
              <w:pStyle w:val="NoSpacing"/>
              <w:ind w:right="1838"/>
              <w:jc w:val="both"/>
              <w:rPr>
                <w:rFonts w:ascii="Arial" w:hAnsi="Arial" w:cs="Arial"/>
                <w:sz w:val="20"/>
                <w:szCs w:val="20"/>
              </w:rPr>
            </w:pPr>
          </w:p>
          <w:p w:rsidR="00A4678B" w:rsidRPr="00700FB4" w:rsidRDefault="00A4678B" w:rsidP="00665269">
            <w:pPr>
              <w:pStyle w:val="NoSpacing"/>
              <w:ind w:right="1838"/>
              <w:jc w:val="both"/>
              <w:rPr>
                <w:rFonts w:ascii="Arial" w:hAnsi="Arial" w:cs="Arial"/>
                <w:sz w:val="20"/>
                <w:szCs w:val="20"/>
              </w:rPr>
            </w:pPr>
            <w:r w:rsidRPr="00700FB4">
              <w:rPr>
                <w:rFonts w:ascii="Arial" w:hAnsi="Arial" w:cs="Arial"/>
                <w:sz w:val="20"/>
                <w:szCs w:val="20"/>
              </w:rPr>
              <w:t>Attīstības plānošanas sistēmas likums</w:t>
            </w:r>
          </w:p>
          <w:p w:rsidR="00A4678B" w:rsidRPr="00700FB4" w:rsidRDefault="00A4678B" w:rsidP="00665269">
            <w:pPr>
              <w:pStyle w:val="NoSpacing"/>
              <w:ind w:right="1838"/>
              <w:jc w:val="both"/>
              <w:rPr>
                <w:rFonts w:ascii="Arial" w:hAnsi="Arial" w:cs="Arial"/>
                <w:sz w:val="20"/>
                <w:szCs w:val="20"/>
              </w:rPr>
            </w:pPr>
          </w:p>
          <w:p w:rsidR="0030344B" w:rsidRPr="00700FB4" w:rsidRDefault="0030344B" w:rsidP="00665269">
            <w:pPr>
              <w:pStyle w:val="NoSpacing"/>
              <w:ind w:right="1838"/>
              <w:jc w:val="both"/>
              <w:rPr>
                <w:rFonts w:ascii="Arial" w:hAnsi="Arial" w:cs="Arial"/>
                <w:sz w:val="20"/>
                <w:szCs w:val="20"/>
              </w:rPr>
            </w:pPr>
            <w:r w:rsidRPr="00700FB4">
              <w:rPr>
                <w:rFonts w:ascii="Arial" w:hAnsi="Arial" w:cs="Arial"/>
                <w:sz w:val="20"/>
                <w:szCs w:val="20"/>
              </w:rPr>
              <w:t>2001.gada</w:t>
            </w:r>
            <w:r w:rsidR="005F73DF" w:rsidRPr="00700FB4">
              <w:rPr>
                <w:rFonts w:ascii="Arial" w:hAnsi="Arial" w:cs="Arial"/>
                <w:sz w:val="20"/>
                <w:szCs w:val="20"/>
              </w:rPr>
              <w:t xml:space="preserve"> 22.maija</w:t>
            </w:r>
            <w:r w:rsidRPr="00700FB4">
              <w:rPr>
                <w:rFonts w:ascii="Arial" w:hAnsi="Arial" w:cs="Arial"/>
                <w:sz w:val="20"/>
                <w:szCs w:val="20"/>
              </w:rPr>
              <w:t xml:space="preserve"> Stokholmas konvencija par noturīgajiem organiskajiem piesārņotājiem</w:t>
            </w:r>
          </w:p>
          <w:p w:rsidR="0030344B" w:rsidRPr="00700FB4" w:rsidRDefault="0030344B" w:rsidP="00665269">
            <w:pPr>
              <w:pStyle w:val="NoSpacing"/>
              <w:ind w:right="1838"/>
              <w:jc w:val="both"/>
              <w:rPr>
                <w:rFonts w:ascii="Arial" w:hAnsi="Arial" w:cs="Arial"/>
                <w:sz w:val="20"/>
                <w:szCs w:val="20"/>
              </w:rPr>
            </w:pPr>
          </w:p>
          <w:p w:rsidR="00B04424" w:rsidRPr="00700FB4" w:rsidRDefault="00B04424" w:rsidP="00665269">
            <w:pPr>
              <w:pStyle w:val="NoSpacing"/>
              <w:ind w:right="1838"/>
              <w:jc w:val="both"/>
              <w:rPr>
                <w:rFonts w:ascii="Arial" w:hAnsi="Arial" w:cs="Arial"/>
                <w:sz w:val="20"/>
                <w:szCs w:val="20"/>
              </w:rPr>
            </w:pPr>
            <w:r w:rsidRPr="00700FB4">
              <w:rPr>
                <w:rFonts w:ascii="Arial" w:hAnsi="Arial" w:cs="Arial"/>
                <w:sz w:val="20"/>
                <w:szCs w:val="20"/>
              </w:rPr>
              <w:t>Stratēģija</w:t>
            </w:r>
            <w:r w:rsidR="00BD2E22" w:rsidRPr="00700FB4">
              <w:rPr>
                <w:rFonts w:ascii="Arial" w:hAnsi="Arial" w:cs="Arial"/>
                <w:sz w:val="20"/>
                <w:szCs w:val="20"/>
              </w:rPr>
              <w:t xml:space="preserve"> “Eiropa 2020”: Eiropas Savienības stratēģija izaugsmei un nodarbinātībai</w:t>
            </w:r>
          </w:p>
          <w:p w:rsidR="00E17FD4" w:rsidRPr="00700FB4" w:rsidRDefault="00E17FD4" w:rsidP="00665269">
            <w:pPr>
              <w:pStyle w:val="NoSpacing"/>
              <w:ind w:right="1838"/>
              <w:jc w:val="both"/>
              <w:rPr>
                <w:rFonts w:ascii="Arial" w:hAnsi="Arial" w:cs="Arial"/>
                <w:sz w:val="20"/>
                <w:szCs w:val="20"/>
              </w:rPr>
            </w:pPr>
          </w:p>
          <w:p w:rsidR="00F902F7" w:rsidRPr="00700FB4" w:rsidRDefault="00610BDA" w:rsidP="00665269">
            <w:pPr>
              <w:pStyle w:val="NoSpacing"/>
              <w:ind w:right="1838"/>
              <w:jc w:val="both"/>
              <w:rPr>
                <w:rFonts w:ascii="Arial" w:hAnsi="Arial" w:cs="Arial"/>
                <w:sz w:val="20"/>
                <w:szCs w:val="20"/>
              </w:rPr>
            </w:pPr>
            <w:r w:rsidRPr="00700FB4">
              <w:rPr>
                <w:rFonts w:ascii="Arial" w:hAnsi="Arial" w:cs="Arial"/>
                <w:sz w:val="20"/>
                <w:szCs w:val="20"/>
              </w:rPr>
              <w:t>Direktīva 2000/60/EK</w:t>
            </w:r>
            <w:r w:rsidR="001432C3" w:rsidRPr="00700FB4">
              <w:rPr>
                <w:rFonts w:ascii="Arial" w:hAnsi="Arial" w:cs="Arial"/>
                <w:sz w:val="20"/>
                <w:szCs w:val="20"/>
              </w:rPr>
              <w:t xml:space="preserve"> (2000.gada 23.oktobris)</w:t>
            </w:r>
            <w:r w:rsidRPr="00700FB4">
              <w:rPr>
                <w:rFonts w:ascii="Arial" w:hAnsi="Arial" w:cs="Arial"/>
                <w:sz w:val="20"/>
                <w:szCs w:val="20"/>
              </w:rPr>
              <w:t>, ar ko izveido sistēmu Kopienas rīcībai ūdens resursu politikas jomā</w:t>
            </w:r>
          </w:p>
          <w:p w:rsidR="00F902F7" w:rsidRPr="00700FB4" w:rsidRDefault="00F902F7" w:rsidP="00E17FD4">
            <w:pPr>
              <w:pStyle w:val="NoSpacing"/>
              <w:ind w:right="1838"/>
              <w:jc w:val="both"/>
              <w:rPr>
                <w:rFonts w:ascii="Arial" w:hAnsi="Arial" w:cs="Arial"/>
                <w:sz w:val="20"/>
                <w:szCs w:val="20"/>
              </w:rPr>
            </w:pPr>
          </w:p>
          <w:p w:rsidR="00E17FD4" w:rsidRPr="00700FB4" w:rsidRDefault="00E17FD4" w:rsidP="00665269">
            <w:pPr>
              <w:pStyle w:val="NoSpacing"/>
              <w:ind w:right="1838"/>
              <w:jc w:val="both"/>
              <w:rPr>
                <w:rFonts w:ascii="Arial" w:hAnsi="Arial" w:cs="Arial"/>
                <w:sz w:val="20"/>
                <w:szCs w:val="20"/>
              </w:rPr>
            </w:pPr>
            <w:r w:rsidRPr="00700FB4">
              <w:rPr>
                <w:rFonts w:ascii="Arial" w:hAnsi="Arial" w:cs="Arial"/>
                <w:sz w:val="20"/>
                <w:szCs w:val="20"/>
              </w:rPr>
              <w:t>Direktīva</w:t>
            </w:r>
            <w:r w:rsidR="005F73DF" w:rsidRPr="00700FB4">
              <w:rPr>
                <w:rFonts w:ascii="Arial" w:hAnsi="Arial" w:cs="Arial"/>
                <w:sz w:val="20"/>
                <w:szCs w:val="20"/>
              </w:rPr>
              <w:t xml:space="preserve"> </w:t>
            </w:r>
            <w:r w:rsidRPr="00700FB4">
              <w:rPr>
                <w:rFonts w:ascii="Arial" w:hAnsi="Arial" w:cs="Arial"/>
                <w:sz w:val="20"/>
                <w:szCs w:val="20"/>
              </w:rPr>
              <w:t>2011/92/ES (2011.gada 13.decembris) par dažu sabiedrisku un privātu projektu ietekmes uz vidi novērtējumu</w:t>
            </w:r>
          </w:p>
          <w:p w:rsidR="00E17FD4" w:rsidRPr="00700FB4" w:rsidRDefault="00E17FD4" w:rsidP="00665269">
            <w:pPr>
              <w:pStyle w:val="NoSpacing"/>
              <w:ind w:right="1838"/>
              <w:jc w:val="both"/>
              <w:rPr>
                <w:rFonts w:ascii="Arial" w:hAnsi="Arial" w:cs="Arial"/>
                <w:sz w:val="20"/>
                <w:szCs w:val="20"/>
              </w:rPr>
            </w:pPr>
          </w:p>
          <w:p w:rsidR="00610BDA" w:rsidRPr="00700FB4" w:rsidRDefault="00E17FD4" w:rsidP="00665269">
            <w:pPr>
              <w:pStyle w:val="NoSpacing"/>
              <w:ind w:right="1838"/>
              <w:jc w:val="both"/>
              <w:rPr>
                <w:rFonts w:ascii="Arial" w:hAnsi="Arial" w:cs="Arial"/>
                <w:sz w:val="20"/>
                <w:szCs w:val="20"/>
              </w:rPr>
            </w:pPr>
            <w:r w:rsidRPr="00700FB4">
              <w:rPr>
                <w:rFonts w:ascii="Arial" w:hAnsi="Arial" w:cs="Arial"/>
                <w:sz w:val="20"/>
                <w:szCs w:val="20"/>
              </w:rPr>
              <w:t>Likums “Par ietekmes uz vidi novērtējumu”</w:t>
            </w:r>
          </w:p>
          <w:p w:rsidR="00FF69B4" w:rsidRPr="00700FB4" w:rsidRDefault="00FF69B4" w:rsidP="00665269">
            <w:pPr>
              <w:pStyle w:val="NoSpacing"/>
              <w:ind w:right="1838"/>
              <w:jc w:val="both"/>
              <w:rPr>
                <w:rFonts w:ascii="Arial" w:hAnsi="Arial" w:cs="Arial"/>
                <w:sz w:val="20"/>
                <w:szCs w:val="20"/>
              </w:rPr>
            </w:pPr>
          </w:p>
        </w:tc>
      </w:tr>
    </w:tbl>
    <w:p w:rsidR="00756DE9" w:rsidRPr="00700FB4" w:rsidRDefault="00756DE9" w:rsidP="00466223">
      <w:pPr>
        <w:spacing w:after="0" w:line="240" w:lineRule="auto"/>
        <w:jc w:val="both"/>
        <w:rPr>
          <w:rFonts w:ascii="Arial" w:hAnsi="Arial" w:cs="Arial"/>
          <w:sz w:val="20"/>
          <w:szCs w:val="20"/>
        </w:rPr>
      </w:pPr>
    </w:p>
    <w:p w:rsidR="00756DE9" w:rsidRPr="00700FB4" w:rsidRDefault="00756DE9" w:rsidP="00466223">
      <w:pPr>
        <w:spacing w:after="0" w:line="240" w:lineRule="auto"/>
        <w:jc w:val="both"/>
        <w:rPr>
          <w:rFonts w:ascii="Arial" w:hAnsi="Arial" w:cs="Arial"/>
          <w:sz w:val="20"/>
          <w:szCs w:val="20"/>
        </w:rPr>
      </w:pPr>
    </w:p>
    <w:p w:rsidR="00847D08" w:rsidRPr="00700FB4" w:rsidRDefault="00847D08" w:rsidP="00466223">
      <w:pPr>
        <w:spacing w:after="0" w:line="240" w:lineRule="auto"/>
        <w:jc w:val="both"/>
        <w:rPr>
          <w:rFonts w:ascii="Arial" w:hAnsi="Arial" w:cs="Arial"/>
          <w:sz w:val="20"/>
          <w:szCs w:val="20"/>
        </w:rPr>
      </w:pPr>
      <w:r w:rsidRPr="00700FB4">
        <w:rPr>
          <w:rFonts w:ascii="Arial" w:hAnsi="Arial" w:cs="Arial"/>
          <w:sz w:val="20"/>
          <w:szCs w:val="20"/>
        </w:rPr>
        <w:t xml:space="preserve">Saīsinājumi uzskatāmības labad tekstā atsevišķās vietas var tikt lietoti arī ar pilnu nosaukumu. </w:t>
      </w:r>
    </w:p>
    <w:p w:rsidR="00847D08" w:rsidRPr="00700FB4" w:rsidRDefault="00847D08" w:rsidP="00466223">
      <w:pPr>
        <w:spacing w:after="0" w:line="240" w:lineRule="auto"/>
        <w:jc w:val="both"/>
        <w:rPr>
          <w:rFonts w:ascii="Arial" w:hAnsi="Arial" w:cs="Arial"/>
          <w:sz w:val="20"/>
          <w:szCs w:val="20"/>
        </w:rPr>
      </w:pPr>
    </w:p>
    <w:p w:rsidR="005F73DF" w:rsidRPr="00700FB4" w:rsidRDefault="00466223" w:rsidP="00466223">
      <w:pPr>
        <w:spacing w:after="0" w:line="240" w:lineRule="auto"/>
        <w:jc w:val="both"/>
        <w:rPr>
          <w:rFonts w:ascii="Arial" w:hAnsi="Arial" w:cs="Arial"/>
          <w:sz w:val="20"/>
          <w:szCs w:val="20"/>
        </w:rPr>
      </w:pPr>
      <w:r w:rsidRPr="00700FB4">
        <w:rPr>
          <w:rFonts w:ascii="Arial" w:hAnsi="Arial" w:cs="Arial"/>
          <w:sz w:val="20"/>
          <w:szCs w:val="20"/>
        </w:rPr>
        <w:t xml:space="preserve">Vadlīnijās termins “piekrastes ūdeņi” </w:t>
      </w:r>
      <w:r w:rsidR="005F73DF" w:rsidRPr="00700FB4">
        <w:rPr>
          <w:rFonts w:ascii="Arial" w:hAnsi="Arial" w:cs="Arial"/>
          <w:sz w:val="20"/>
          <w:szCs w:val="20"/>
        </w:rPr>
        <w:t>lietoti kā ūdeņi</w:t>
      </w:r>
      <w:r w:rsidRPr="00700FB4">
        <w:rPr>
          <w:rFonts w:ascii="Arial" w:hAnsi="Arial" w:cs="Arial"/>
          <w:sz w:val="20"/>
          <w:szCs w:val="20"/>
        </w:rPr>
        <w:t>, kuri atrodas 2 kilometru zonā no krasta</w:t>
      </w:r>
      <w:r w:rsidR="005F73DF" w:rsidRPr="00700FB4">
        <w:rPr>
          <w:rFonts w:ascii="Arial" w:hAnsi="Arial" w:cs="Arial"/>
          <w:sz w:val="20"/>
          <w:szCs w:val="20"/>
        </w:rPr>
        <w:t>, t</w:t>
      </w:r>
      <w:r w:rsidRPr="00700FB4">
        <w:rPr>
          <w:rFonts w:ascii="Arial" w:hAnsi="Arial" w:cs="Arial"/>
          <w:sz w:val="20"/>
          <w:szCs w:val="20"/>
        </w:rPr>
        <w:t>ermin</w:t>
      </w:r>
      <w:r w:rsidR="005F73DF" w:rsidRPr="00700FB4">
        <w:rPr>
          <w:rFonts w:ascii="Arial" w:hAnsi="Arial" w:cs="Arial"/>
          <w:sz w:val="20"/>
          <w:szCs w:val="20"/>
        </w:rPr>
        <w:t>s</w:t>
      </w:r>
      <w:r w:rsidRPr="00700FB4">
        <w:rPr>
          <w:rFonts w:ascii="Arial" w:hAnsi="Arial" w:cs="Arial"/>
          <w:sz w:val="20"/>
          <w:szCs w:val="20"/>
        </w:rPr>
        <w:t xml:space="preserve"> “teritoriālie ūdeņi” </w:t>
      </w:r>
      <w:r w:rsidR="005F73DF" w:rsidRPr="00700FB4">
        <w:rPr>
          <w:rFonts w:ascii="Arial" w:hAnsi="Arial" w:cs="Arial"/>
          <w:sz w:val="20"/>
          <w:szCs w:val="20"/>
        </w:rPr>
        <w:t xml:space="preserve">– kā ūdeņi, kuri </w:t>
      </w:r>
      <w:r w:rsidRPr="00700FB4">
        <w:rPr>
          <w:rFonts w:ascii="Arial" w:hAnsi="Arial" w:cs="Arial"/>
          <w:sz w:val="20"/>
          <w:szCs w:val="20"/>
        </w:rPr>
        <w:t xml:space="preserve">atrodas 12 jūras </w:t>
      </w:r>
      <w:r w:rsidR="005F73DF" w:rsidRPr="00700FB4">
        <w:rPr>
          <w:rFonts w:ascii="Arial" w:hAnsi="Arial" w:cs="Arial"/>
          <w:sz w:val="20"/>
          <w:szCs w:val="20"/>
        </w:rPr>
        <w:t>jūdžu zonā</w:t>
      </w:r>
      <w:r w:rsidRPr="00700FB4">
        <w:rPr>
          <w:rFonts w:ascii="Arial" w:hAnsi="Arial" w:cs="Arial"/>
          <w:sz w:val="20"/>
          <w:szCs w:val="20"/>
        </w:rPr>
        <w:t xml:space="preserve"> no krasta</w:t>
      </w:r>
      <w:r w:rsidR="005F73DF" w:rsidRPr="00700FB4">
        <w:rPr>
          <w:rFonts w:ascii="Arial" w:hAnsi="Arial" w:cs="Arial"/>
          <w:sz w:val="20"/>
          <w:szCs w:val="20"/>
        </w:rPr>
        <w:t>, bet termins “Ekskluzīvā zona” – kā teritoriāliem ūdeņiem pieguļoša jūras teritorija, kura nepārsniedz 200 jūras jūdzes.</w:t>
      </w:r>
      <w:r w:rsidR="0088124B">
        <w:rPr>
          <w:rFonts w:ascii="Arial" w:hAnsi="Arial" w:cs="Arial"/>
          <w:sz w:val="20"/>
          <w:szCs w:val="20"/>
        </w:rPr>
        <w:t xml:space="preserve"> V</w:t>
      </w:r>
      <w:r w:rsidR="005F73DF" w:rsidRPr="00700FB4">
        <w:rPr>
          <w:rFonts w:ascii="Arial" w:hAnsi="Arial" w:cs="Arial"/>
          <w:sz w:val="20"/>
          <w:szCs w:val="20"/>
        </w:rPr>
        <w:t>ārds “Padome” vadlīnijās tiek lietots kā saīsinājums E</w:t>
      </w:r>
      <w:r w:rsidR="0088124B">
        <w:rPr>
          <w:rFonts w:ascii="Arial" w:hAnsi="Arial" w:cs="Arial"/>
          <w:sz w:val="20"/>
          <w:szCs w:val="20"/>
        </w:rPr>
        <w:t>iropas Savienības Padomei (un tā nav Eiropas Padome</w:t>
      </w:r>
      <w:r w:rsidR="005F73DF" w:rsidRPr="00700FB4">
        <w:rPr>
          <w:rFonts w:ascii="Arial" w:hAnsi="Arial" w:cs="Arial"/>
          <w:sz w:val="20"/>
          <w:szCs w:val="20"/>
        </w:rPr>
        <w:t>, k</w:t>
      </w:r>
      <w:r w:rsidR="003E0E21" w:rsidRPr="00700FB4">
        <w:rPr>
          <w:rFonts w:ascii="Arial" w:hAnsi="Arial" w:cs="Arial"/>
          <w:sz w:val="20"/>
          <w:szCs w:val="20"/>
        </w:rPr>
        <w:t>as</w:t>
      </w:r>
      <w:r w:rsidR="005F73DF" w:rsidRPr="00700FB4">
        <w:rPr>
          <w:rFonts w:ascii="Arial" w:hAnsi="Arial" w:cs="Arial"/>
          <w:sz w:val="20"/>
          <w:szCs w:val="20"/>
        </w:rPr>
        <w:t xml:space="preserve"> ir starptautiska organizācija</w:t>
      </w:r>
      <w:r w:rsidR="0088124B">
        <w:rPr>
          <w:rFonts w:ascii="Arial" w:hAnsi="Arial" w:cs="Arial"/>
          <w:sz w:val="20"/>
          <w:szCs w:val="20"/>
        </w:rPr>
        <w:t>)</w:t>
      </w:r>
      <w:r w:rsidR="005F73DF" w:rsidRPr="00700FB4">
        <w:rPr>
          <w:rFonts w:ascii="Arial" w:hAnsi="Arial" w:cs="Arial"/>
          <w:sz w:val="20"/>
          <w:szCs w:val="20"/>
        </w:rPr>
        <w:t>.</w:t>
      </w:r>
    </w:p>
    <w:p w:rsidR="00756DE9" w:rsidRPr="00700FB4" w:rsidRDefault="00756DE9" w:rsidP="00756DE9">
      <w:pPr>
        <w:rPr>
          <w:rFonts w:ascii="Arial" w:hAnsi="Arial" w:cs="Arial"/>
          <w:b/>
          <w:sz w:val="20"/>
          <w:szCs w:val="20"/>
        </w:rPr>
      </w:pPr>
    </w:p>
    <w:p w:rsidR="00466223" w:rsidRPr="00700FB4" w:rsidRDefault="00665269" w:rsidP="00756DE9">
      <w:pPr>
        <w:rPr>
          <w:rFonts w:ascii="Arial" w:hAnsi="Arial" w:cs="Arial"/>
          <w:b/>
          <w:sz w:val="20"/>
          <w:szCs w:val="20"/>
        </w:rPr>
      </w:pPr>
      <w:r w:rsidRPr="00700FB4">
        <w:rPr>
          <w:rFonts w:ascii="Arial" w:hAnsi="Arial" w:cs="Arial"/>
          <w:b/>
          <w:sz w:val="20"/>
          <w:szCs w:val="20"/>
        </w:rPr>
        <w:br w:type="page"/>
      </w:r>
    </w:p>
    <w:p w:rsidR="00E8780B" w:rsidRPr="00700FB4" w:rsidRDefault="00E8780B" w:rsidP="009B2B08">
      <w:pPr>
        <w:pStyle w:val="Heading1"/>
      </w:pPr>
    </w:p>
    <w:p w:rsidR="009B2B08" w:rsidRPr="00700FB4" w:rsidRDefault="009B2B08" w:rsidP="009B2B08">
      <w:pPr>
        <w:pStyle w:val="Heading1"/>
      </w:pPr>
      <w:bookmarkStart w:id="1" w:name="_Toc460402318"/>
      <w:r w:rsidRPr="00700FB4">
        <w:t>Ievads</w:t>
      </w:r>
      <w:bookmarkEnd w:id="1"/>
    </w:p>
    <w:p w:rsidR="009B2B08" w:rsidRPr="00700FB4" w:rsidRDefault="009B2B08" w:rsidP="009B2B08">
      <w:pPr>
        <w:pStyle w:val="NoSpacing"/>
        <w:rPr>
          <w:rFonts w:ascii="Arial" w:hAnsi="Arial" w:cs="Arial"/>
          <w:sz w:val="20"/>
          <w:szCs w:val="20"/>
        </w:rPr>
      </w:pPr>
    </w:p>
    <w:p w:rsidR="00E8780B" w:rsidRPr="00700FB4" w:rsidRDefault="00E8780B" w:rsidP="009B2B08">
      <w:pPr>
        <w:pStyle w:val="NoSpacing"/>
        <w:rPr>
          <w:rFonts w:ascii="Arial" w:hAnsi="Arial" w:cs="Arial"/>
          <w:sz w:val="20"/>
          <w:szCs w:val="20"/>
        </w:rPr>
      </w:pPr>
    </w:p>
    <w:p w:rsidR="009B2B08" w:rsidRPr="00700FB4" w:rsidRDefault="009B2B08" w:rsidP="009B2B08">
      <w:pPr>
        <w:pStyle w:val="NoSpacing"/>
        <w:jc w:val="both"/>
        <w:rPr>
          <w:rFonts w:ascii="Arial" w:hAnsi="Arial" w:cs="Arial"/>
          <w:sz w:val="20"/>
          <w:szCs w:val="20"/>
        </w:rPr>
      </w:pPr>
      <w:r w:rsidRPr="00700FB4">
        <w:rPr>
          <w:rFonts w:ascii="Arial" w:hAnsi="Arial" w:cs="Arial"/>
          <w:sz w:val="20"/>
          <w:szCs w:val="20"/>
        </w:rPr>
        <w:t>Vadlīnijas jūras plānojuma risinājumu iekļaušanai tiesiskajā regulējumā izstrādāja zvērinātu advokātu birojs “COBALT” Vides aizsardzības un reģionālās attīstības ministrijas uzdevumā, pamatojoties uz iepirkuma līgumu.</w:t>
      </w:r>
      <w:r w:rsidR="00332487" w:rsidRPr="00700FB4">
        <w:rPr>
          <w:rFonts w:ascii="Arial" w:hAnsi="Arial" w:cs="Arial"/>
          <w:sz w:val="20"/>
          <w:szCs w:val="20"/>
        </w:rPr>
        <w:t xml:space="preserve"> </w:t>
      </w:r>
    </w:p>
    <w:p w:rsidR="009B2B08" w:rsidRPr="00700FB4" w:rsidRDefault="009B2B08" w:rsidP="009B2B08">
      <w:pPr>
        <w:pStyle w:val="NoSpacing"/>
        <w:jc w:val="both"/>
        <w:rPr>
          <w:rFonts w:ascii="Arial" w:hAnsi="Arial" w:cs="Arial"/>
          <w:sz w:val="20"/>
          <w:szCs w:val="20"/>
        </w:rPr>
      </w:pPr>
    </w:p>
    <w:p w:rsidR="009B2B08" w:rsidRPr="00700FB4" w:rsidRDefault="009B2B08" w:rsidP="009B2B08">
      <w:pPr>
        <w:pStyle w:val="NoSpacing"/>
        <w:jc w:val="both"/>
        <w:rPr>
          <w:rFonts w:ascii="Arial" w:hAnsi="Arial" w:cs="Arial"/>
          <w:sz w:val="20"/>
          <w:szCs w:val="20"/>
        </w:rPr>
      </w:pPr>
      <w:r w:rsidRPr="00700FB4">
        <w:rPr>
          <w:rFonts w:ascii="Arial" w:hAnsi="Arial" w:cs="Arial"/>
          <w:sz w:val="20"/>
          <w:szCs w:val="20"/>
        </w:rPr>
        <w:t>Jūra telpiskā plānošana ir jauninājums Latvijā</w:t>
      </w:r>
      <w:r w:rsidR="006C3974" w:rsidRPr="00700FB4">
        <w:rPr>
          <w:rFonts w:ascii="Arial" w:hAnsi="Arial" w:cs="Arial"/>
          <w:sz w:val="20"/>
          <w:szCs w:val="20"/>
        </w:rPr>
        <w:t>, kas jau minēts</w:t>
      </w:r>
      <w:r w:rsidRPr="00700FB4">
        <w:rPr>
          <w:rFonts w:ascii="Arial" w:hAnsi="Arial" w:cs="Arial"/>
          <w:sz w:val="20"/>
          <w:szCs w:val="20"/>
        </w:rPr>
        <w:t xml:space="preserve"> </w:t>
      </w:r>
      <w:r w:rsidR="009344A8" w:rsidRPr="00700FB4">
        <w:rPr>
          <w:rFonts w:ascii="Arial" w:hAnsi="Arial" w:cs="Arial"/>
          <w:sz w:val="20"/>
          <w:szCs w:val="20"/>
        </w:rPr>
        <w:t xml:space="preserve">vairākos </w:t>
      </w:r>
      <w:r w:rsidRPr="00700FB4">
        <w:rPr>
          <w:rFonts w:ascii="Arial" w:hAnsi="Arial" w:cs="Arial"/>
          <w:sz w:val="20"/>
          <w:szCs w:val="20"/>
        </w:rPr>
        <w:t>Latvijas normatīvajos aktos un a</w:t>
      </w:r>
      <w:r w:rsidR="006C3974" w:rsidRPr="00700FB4">
        <w:rPr>
          <w:rFonts w:ascii="Arial" w:hAnsi="Arial" w:cs="Arial"/>
          <w:sz w:val="20"/>
          <w:szCs w:val="20"/>
        </w:rPr>
        <w:t xml:space="preserve">ttīstības plānošanas dokumentos, tomēr pats jūras plānojums šo vadlīniju sagatavošanas laikā ir izstrādāts, bet vēl nav apstiprināts, kā arī nav praksē piemērots. Tā </w:t>
      </w:r>
      <w:r w:rsidRPr="00700FB4">
        <w:rPr>
          <w:rFonts w:ascii="Arial" w:hAnsi="Arial" w:cs="Arial"/>
          <w:sz w:val="20"/>
          <w:szCs w:val="20"/>
        </w:rPr>
        <w:t>nepieciešamība izriet no Eir</w:t>
      </w:r>
      <w:r w:rsidR="006C3974" w:rsidRPr="00700FB4">
        <w:rPr>
          <w:rFonts w:ascii="Arial" w:hAnsi="Arial" w:cs="Arial"/>
          <w:sz w:val="20"/>
          <w:szCs w:val="20"/>
        </w:rPr>
        <w:t>opas Savienības tiesību aktiem.</w:t>
      </w:r>
    </w:p>
    <w:p w:rsidR="009B2B08" w:rsidRPr="00700FB4" w:rsidRDefault="009B2B08" w:rsidP="009B2B08">
      <w:pPr>
        <w:pStyle w:val="NoSpacing"/>
        <w:jc w:val="both"/>
        <w:rPr>
          <w:rFonts w:ascii="Arial" w:hAnsi="Arial" w:cs="Arial"/>
          <w:sz w:val="20"/>
          <w:szCs w:val="20"/>
        </w:rPr>
      </w:pPr>
    </w:p>
    <w:p w:rsidR="006C3974" w:rsidRPr="00700FB4" w:rsidRDefault="003E6D6B" w:rsidP="009B2B08">
      <w:pPr>
        <w:pStyle w:val="NoSpacing"/>
        <w:jc w:val="both"/>
        <w:rPr>
          <w:rFonts w:ascii="Arial" w:hAnsi="Arial" w:cs="Arial"/>
          <w:sz w:val="20"/>
          <w:szCs w:val="20"/>
        </w:rPr>
      </w:pPr>
      <w:r w:rsidRPr="00700FB4">
        <w:rPr>
          <w:rFonts w:ascii="Arial" w:hAnsi="Arial" w:cs="Arial"/>
          <w:sz w:val="20"/>
          <w:szCs w:val="20"/>
        </w:rPr>
        <w:t xml:space="preserve">Baltijas jūras piekraste ir noteikta kā viena no nacionālo interešu telpām, kur dabas un kultūras mantojuma saglabāšana jālīdzsvaro ar ekonomiskās attīstības veicināšanu. Jūras plānojums ir viens no instrumentiem, lai piepildītu jūras izmantošanas ilgtermiņa attīstības redzējumu, kura pamatā ir izpratne par jūru kā vienotu telpu, kur viss ir savstarpēji saistīts. </w:t>
      </w:r>
      <w:r w:rsidR="009B2B08" w:rsidRPr="00700FB4">
        <w:rPr>
          <w:rFonts w:ascii="Arial" w:hAnsi="Arial" w:cs="Arial"/>
          <w:sz w:val="20"/>
          <w:szCs w:val="20"/>
        </w:rPr>
        <w:t>Jūras plānojums definē valsts intereses jūrā, lai pašām valsts un pašvaldību institūcijām būtu skaidrāks re</w:t>
      </w:r>
      <w:r w:rsidR="006C3974" w:rsidRPr="00700FB4">
        <w:rPr>
          <w:rFonts w:ascii="Arial" w:hAnsi="Arial" w:cs="Arial"/>
          <w:sz w:val="20"/>
          <w:szCs w:val="20"/>
        </w:rPr>
        <w:t xml:space="preserve">dzējums un konsekventāki lēmumi, piemēram, paredz, ka kuģošana ir prioritāra jūras izmantošana un vienlaikus norāda uz vietām, kur attīstīt tādas jaunas nozares, kā akvakultūra vai vēja enerģijas ieguve. </w:t>
      </w:r>
      <w:r w:rsidR="009344A8" w:rsidRPr="00700FB4">
        <w:rPr>
          <w:rFonts w:ascii="Arial" w:hAnsi="Arial" w:cs="Arial"/>
          <w:sz w:val="20"/>
          <w:szCs w:val="20"/>
        </w:rPr>
        <w:t>Tas ir pamats būtisku tautsaimniecības nozaru attīstībai un investīciju piesaistei un tiesiskās vides</w:t>
      </w:r>
      <w:r w:rsidR="00FC2172" w:rsidRPr="00700FB4">
        <w:rPr>
          <w:rFonts w:ascii="Arial" w:hAnsi="Arial" w:cs="Arial"/>
          <w:sz w:val="20"/>
          <w:szCs w:val="20"/>
        </w:rPr>
        <w:t xml:space="preserve"> pārskatāmībai</w:t>
      </w:r>
      <w:r w:rsidR="009344A8" w:rsidRPr="00700FB4">
        <w:rPr>
          <w:rFonts w:ascii="Arial" w:hAnsi="Arial" w:cs="Arial"/>
          <w:sz w:val="20"/>
          <w:szCs w:val="20"/>
        </w:rPr>
        <w:t>.</w:t>
      </w:r>
    </w:p>
    <w:p w:rsidR="006C3974" w:rsidRPr="00700FB4" w:rsidRDefault="006C3974" w:rsidP="009B2B08">
      <w:pPr>
        <w:pStyle w:val="NoSpacing"/>
        <w:jc w:val="both"/>
        <w:rPr>
          <w:rFonts w:ascii="Arial" w:hAnsi="Arial" w:cs="Arial"/>
          <w:sz w:val="20"/>
          <w:szCs w:val="20"/>
        </w:rPr>
      </w:pPr>
    </w:p>
    <w:p w:rsidR="006C3974" w:rsidRPr="00700FB4" w:rsidRDefault="009B2B08" w:rsidP="006C3974">
      <w:pPr>
        <w:pStyle w:val="NoSpacing"/>
        <w:jc w:val="both"/>
        <w:rPr>
          <w:rFonts w:ascii="Arial" w:hAnsi="Arial" w:cs="Arial"/>
          <w:sz w:val="20"/>
          <w:szCs w:val="20"/>
        </w:rPr>
      </w:pPr>
      <w:r w:rsidRPr="00700FB4">
        <w:rPr>
          <w:rFonts w:ascii="Arial" w:hAnsi="Arial" w:cs="Arial"/>
          <w:sz w:val="20"/>
          <w:szCs w:val="20"/>
        </w:rPr>
        <w:t xml:space="preserve">Šis plānojums nosaka publiskas lietas lietošanu, nevis tiešā veidā ierobežo privātpersonu īpašuma tiesības, kā arī nav tik detalizēts un balstīts uz izsmeļošu atļautās izmantošanas uzskaitījumu, kā tas ir pašvaldību teritoriju plānojumu gadījumā. Jūras plānojuma īpatnību dēļ </w:t>
      </w:r>
      <w:r w:rsidR="004573CA" w:rsidRPr="00700FB4">
        <w:rPr>
          <w:rFonts w:ascii="Arial" w:hAnsi="Arial" w:cs="Arial"/>
          <w:sz w:val="20"/>
          <w:szCs w:val="20"/>
        </w:rPr>
        <w:t>ir nepieciešams detalizētāk analizēt viņ</w:t>
      </w:r>
      <w:r w:rsidR="006C3974" w:rsidRPr="00700FB4">
        <w:rPr>
          <w:rFonts w:ascii="Arial" w:hAnsi="Arial" w:cs="Arial"/>
          <w:sz w:val="20"/>
          <w:szCs w:val="20"/>
        </w:rPr>
        <w:t xml:space="preserve">a vietu un lomu tiesību sistēmā, lai izvērtētu četrus būtiskus faktorus, un šīs vadlīnijas tos aplūko. </w:t>
      </w:r>
    </w:p>
    <w:p w:rsidR="006C3974" w:rsidRPr="00700FB4" w:rsidRDefault="006C3974" w:rsidP="006C3974">
      <w:pPr>
        <w:pStyle w:val="NoSpacing"/>
        <w:jc w:val="both"/>
        <w:rPr>
          <w:rFonts w:ascii="Arial" w:hAnsi="Arial" w:cs="Arial"/>
          <w:sz w:val="20"/>
          <w:szCs w:val="20"/>
        </w:rPr>
      </w:pPr>
    </w:p>
    <w:p w:rsidR="009B2B08" w:rsidRPr="00700FB4" w:rsidRDefault="006C3974" w:rsidP="006C3974">
      <w:pPr>
        <w:pStyle w:val="NoSpacing"/>
        <w:jc w:val="both"/>
        <w:rPr>
          <w:rFonts w:ascii="Arial" w:hAnsi="Arial" w:cs="Arial"/>
          <w:sz w:val="20"/>
          <w:szCs w:val="20"/>
        </w:rPr>
      </w:pPr>
      <w:r w:rsidRPr="00700FB4">
        <w:rPr>
          <w:rFonts w:ascii="Arial" w:hAnsi="Arial" w:cs="Arial"/>
          <w:sz w:val="20"/>
          <w:szCs w:val="20"/>
        </w:rPr>
        <w:t>Pirmkārt, Eiropas Savienības un starptautisko tiesību normas</w:t>
      </w:r>
      <w:r w:rsidR="009344A8" w:rsidRPr="00700FB4">
        <w:rPr>
          <w:rFonts w:ascii="Arial" w:hAnsi="Arial" w:cs="Arial"/>
          <w:sz w:val="20"/>
          <w:szCs w:val="20"/>
        </w:rPr>
        <w:t xml:space="preserve"> (īpaši jūras tiesību un vides aizsardzības)</w:t>
      </w:r>
      <w:r w:rsidRPr="00700FB4">
        <w:rPr>
          <w:rFonts w:ascii="Arial" w:hAnsi="Arial" w:cs="Arial"/>
          <w:sz w:val="20"/>
          <w:szCs w:val="20"/>
        </w:rPr>
        <w:t xml:space="preserve">, kuras ir svarīgi zināt, lemjot par jūras izmantošanu. Otrkārt, jūras plānojuma apstiprināšanas juridisko formu, lai tas būtu gan elastīgs jaunām izmaiņām, gan ļautu šo plānu izmantot, ievērojot vienlīdzības principu, gan iespēju robežās izmantotu administratīvajā procesā. Treškārt, jūras plānojuma sazobi ar piekrastes un piekrastes ūdeņu pārvaldību. Ceturtkārt, identificētu to normatīvo aktu minimumu, kuros izdarāmi grozījumi, lai panāktu jūras plānojuma ieviešanu un praktisku piemērošanu. </w:t>
      </w:r>
    </w:p>
    <w:p w:rsidR="006C3974" w:rsidRPr="00700FB4" w:rsidRDefault="006C3974" w:rsidP="006C3974">
      <w:pPr>
        <w:pStyle w:val="NoSpacing"/>
        <w:jc w:val="both"/>
        <w:rPr>
          <w:rFonts w:ascii="Arial" w:hAnsi="Arial" w:cs="Arial"/>
          <w:sz w:val="20"/>
          <w:szCs w:val="20"/>
        </w:rPr>
      </w:pPr>
    </w:p>
    <w:p w:rsidR="006C3974" w:rsidRPr="00700FB4" w:rsidRDefault="006C3974" w:rsidP="006C3974">
      <w:pPr>
        <w:pStyle w:val="NoSpacing"/>
        <w:jc w:val="both"/>
        <w:rPr>
          <w:rFonts w:ascii="Arial" w:hAnsi="Arial" w:cs="Arial"/>
          <w:sz w:val="20"/>
          <w:szCs w:val="20"/>
        </w:rPr>
      </w:pPr>
    </w:p>
    <w:p w:rsidR="006C3974" w:rsidRPr="00700FB4" w:rsidRDefault="006C3974" w:rsidP="006C3974">
      <w:pPr>
        <w:pStyle w:val="NoSpacing"/>
        <w:jc w:val="both"/>
        <w:rPr>
          <w:rFonts w:ascii="Arial" w:hAnsi="Arial" w:cs="Arial"/>
          <w:sz w:val="20"/>
          <w:szCs w:val="20"/>
        </w:rPr>
      </w:pPr>
    </w:p>
    <w:p w:rsidR="006C3974" w:rsidRPr="00700FB4" w:rsidRDefault="006C3974" w:rsidP="006C3974">
      <w:pPr>
        <w:pStyle w:val="NoSpacing"/>
        <w:jc w:val="both"/>
        <w:rPr>
          <w:rFonts w:ascii="Arial" w:hAnsi="Arial" w:cs="Arial"/>
          <w:sz w:val="20"/>
          <w:szCs w:val="20"/>
        </w:rPr>
      </w:pPr>
    </w:p>
    <w:p w:rsidR="006C3974" w:rsidRPr="00700FB4" w:rsidRDefault="006C3974" w:rsidP="006C3974">
      <w:pPr>
        <w:pStyle w:val="NoSpacing"/>
        <w:jc w:val="both"/>
        <w:rPr>
          <w:rFonts w:ascii="Arial" w:hAnsi="Arial" w:cs="Arial"/>
          <w:sz w:val="20"/>
          <w:szCs w:val="20"/>
        </w:rPr>
      </w:pPr>
    </w:p>
    <w:p w:rsidR="006C3974" w:rsidRPr="00700FB4" w:rsidRDefault="006C3974" w:rsidP="006C3974">
      <w:pPr>
        <w:pStyle w:val="NoSpacing"/>
        <w:jc w:val="both"/>
        <w:rPr>
          <w:rFonts w:ascii="Arial" w:hAnsi="Arial" w:cs="Arial"/>
          <w:sz w:val="20"/>
          <w:szCs w:val="20"/>
        </w:rPr>
      </w:pPr>
    </w:p>
    <w:p w:rsidR="006C3974" w:rsidRPr="00700FB4" w:rsidRDefault="006C3974" w:rsidP="006C3974">
      <w:pPr>
        <w:pStyle w:val="NoSpacing"/>
        <w:jc w:val="both"/>
        <w:rPr>
          <w:rFonts w:ascii="Arial" w:hAnsi="Arial" w:cs="Arial"/>
          <w:sz w:val="20"/>
          <w:szCs w:val="20"/>
        </w:rPr>
      </w:pPr>
    </w:p>
    <w:p w:rsidR="006C3974" w:rsidRPr="00700FB4" w:rsidRDefault="006C3974" w:rsidP="006C3974">
      <w:pPr>
        <w:pStyle w:val="NoSpacing"/>
        <w:jc w:val="both"/>
        <w:rPr>
          <w:rFonts w:ascii="Arial" w:hAnsi="Arial" w:cs="Arial"/>
          <w:sz w:val="20"/>
          <w:szCs w:val="20"/>
        </w:rPr>
      </w:pPr>
    </w:p>
    <w:p w:rsidR="006C3974" w:rsidRPr="00700FB4" w:rsidRDefault="006C3974" w:rsidP="006C3974">
      <w:pPr>
        <w:pStyle w:val="NoSpacing"/>
        <w:jc w:val="right"/>
        <w:rPr>
          <w:rFonts w:ascii="Arial" w:hAnsi="Arial" w:cs="Arial"/>
          <w:sz w:val="20"/>
          <w:szCs w:val="20"/>
        </w:rPr>
      </w:pPr>
      <w:r w:rsidRPr="00700FB4">
        <w:rPr>
          <w:rFonts w:ascii="Arial" w:hAnsi="Arial" w:cs="Arial"/>
          <w:sz w:val="20"/>
          <w:szCs w:val="20"/>
        </w:rPr>
        <w:t>______</w:t>
      </w:r>
      <w:r w:rsidR="0091585E" w:rsidRPr="00700FB4">
        <w:rPr>
          <w:rFonts w:ascii="Arial" w:hAnsi="Arial" w:cs="Arial"/>
          <w:sz w:val="20"/>
          <w:szCs w:val="20"/>
        </w:rPr>
        <w:t>_____</w:t>
      </w:r>
      <w:r w:rsidRPr="00700FB4">
        <w:rPr>
          <w:rFonts w:ascii="Arial" w:hAnsi="Arial" w:cs="Arial"/>
          <w:sz w:val="20"/>
          <w:szCs w:val="20"/>
        </w:rPr>
        <w:t>____</w:t>
      </w:r>
      <w:r w:rsidR="0091585E" w:rsidRPr="00700FB4">
        <w:rPr>
          <w:rFonts w:ascii="Arial" w:hAnsi="Arial" w:cs="Arial"/>
          <w:sz w:val="20"/>
          <w:szCs w:val="20"/>
        </w:rPr>
        <w:t>___</w:t>
      </w:r>
      <w:r w:rsidRPr="00700FB4">
        <w:rPr>
          <w:rFonts w:ascii="Arial" w:hAnsi="Arial" w:cs="Arial"/>
          <w:sz w:val="20"/>
          <w:szCs w:val="20"/>
        </w:rPr>
        <w:t>________</w:t>
      </w:r>
    </w:p>
    <w:p w:rsidR="006C3974" w:rsidRPr="00700FB4" w:rsidRDefault="006C3974" w:rsidP="006C3974">
      <w:pPr>
        <w:pStyle w:val="NoSpacing"/>
        <w:jc w:val="right"/>
        <w:rPr>
          <w:rFonts w:ascii="Arial" w:hAnsi="Arial" w:cs="Arial"/>
          <w:b/>
          <w:sz w:val="20"/>
          <w:szCs w:val="20"/>
        </w:rPr>
      </w:pPr>
      <w:r w:rsidRPr="00700FB4">
        <w:rPr>
          <w:rFonts w:ascii="Arial" w:hAnsi="Arial" w:cs="Arial"/>
          <w:b/>
          <w:sz w:val="20"/>
          <w:szCs w:val="20"/>
        </w:rPr>
        <w:t xml:space="preserve">Lauris Liepa </w:t>
      </w:r>
    </w:p>
    <w:p w:rsidR="006C3974" w:rsidRPr="00700FB4" w:rsidRDefault="006C3974" w:rsidP="006C3974">
      <w:pPr>
        <w:pStyle w:val="NoSpacing"/>
        <w:jc w:val="right"/>
        <w:rPr>
          <w:rFonts w:ascii="Arial" w:hAnsi="Arial" w:cs="Arial"/>
          <w:sz w:val="20"/>
          <w:szCs w:val="20"/>
        </w:rPr>
      </w:pPr>
      <w:r w:rsidRPr="00700FB4">
        <w:rPr>
          <w:rFonts w:ascii="Arial" w:hAnsi="Arial" w:cs="Arial"/>
          <w:sz w:val="20"/>
          <w:szCs w:val="20"/>
        </w:rPr>
        <w:t>zvērināts advokāts</w:t>
      </w:r>
    </w:p>
    <w:p w:rsidR="006C3974" w:rsidRPr="00700FB4" w:rsidRDefault="006C3974" w:rsidP="006C3974">
      <w:pPr>
        <w:pStyle w:val="NoSpacing"/>
        <w:jc w:val="right"/>
        <w:rPr>
          <w:rFonts w:ascii="Arial" w:hAnsi="Arial" w:cs="Arial"/>
          <w:sz w:val="20"/>
          <w:szCs w:val="20"/>
        </w:rPr>
      </w:pPr>
      <w:r w:rsidRPr="00700FB4">
        <w:rPr>
          <w:rFonts w:ascii="Arial" w:hAnsi="Arial" w:cs="Arial"/>
          <w:sz w:val="20"/>
          <w:szCs w:val="20"/>
        </w:rPr>
        <w:t xml:space="preserve">Biroja vadošais partneris  </w:t>
      </w:r>
    </w:p>
    <w:p w:rsidR="006C3974" w:rsidRPr="00700FB4" w:rsidRDefault="006C3974" w:rsidP="006C3974">
      <w:pPr>
        <w:pStyle w:val="NoSpacing"/>
        <w:jc w:val="right"/>
        <w:rPr>
          <w:rFonts w:ascii="Arial" w:hAnsi="Arial" w:cs="Arial"/>
          <w:sz w:val="20"/>
          <w:szCs w:val="20"/>
        </w:rPr>
      </w:pPr>
      <w:r w:rsidRPr="00700FB4">
        <w:rPr>
          <w:rFonts w:ascii="Arial" w:hAnsi="Arial" w:cs="Arial"/>
          <w:sz w:val="20"/>
          <w:szCs w:val="20"/>
        </w:rPr>
        <w:t xml:space="preserve">Rīgā 2016.gada </w:t>
      </w:r>
      <w:r w:rsidR="0088124B">
        <w:rPr>
          <w:rFonts w:ascii="Arial" w:hAnsi="Arial" w:cs="Arial"/>
          <w:sz w:val="20"/>
          <w:szCs w:val="20"/>
        </w:rPr>
        <w:t>31.</w:t>
      </w:r>
      <w:r w:rsidRPr="00700FB4">
        <w:rPr>
          <w:rFonts w:ascii="Arial" w:hAnsi="Arial" w:cs="Arial"/>
          <w:sz w:val="20"/>
          <w:szCs w:val="20"/>
        </w:rPr>
        <w:t xml:space="preserve">augustā </w:t>
      </w:r>
      <w:r w:rsidR="009B2B08" w:rsidRPr="00700FB4">
        <w:rPr>
          <w:rFonts w:ascii="Arial" w:hAnsi="Arial" w:cs="Arial"/>
          <w:sz w:val="20"/>
          <w:szCs w:val="20"/>
        </w:rPr>
        <w:br w:type="page"/>
      </w:r>
    </w:p>
    <w:p w:rsidR="0014238E" w:rsidRPr="00700FB4" w:rsidRDefault="0014238E" w:rsidP="00665269">
      <w:pPr>
        <w:pStyle w:val="Heading1"/>
      </w:pPr>
      <w:bookmarkStart w:id="2" w:name="_Toc460402319"/>
      <w:r w:rsidRPr="00700FB4">
        <w:lastRenderedPageBreak/>
        <w:t>[1] Vispārējs apskats par jūras izmantošanas tiesisko režīmu</w:t>
      </w:r>
      <w:bookmarkEnd w:id="2"/>
    </w:p>
    <w:p w:rsidR="0014238E" w:rsidRPr="00700FB4" w:rsidRDefault="0014238E" w:rsidP="008C3116">
      <w:pPr>
        <w:pStyle w:val="NoSpacing"/>
        <w:jc w:val="both"/>
        <w:rPr>
          <w:rFonts w:ascii="Arial" w:hAnsi="Arial" w:cs="Arial"/>
          <w:sz w:val="20"/>
          <w:szCs w:val="20"/>
        </w:rPr>
      </w:pPr>
    </w:p>
    <w:p w:rsidR="002C158C" w:rsidRPr="00700FB4" w:rsidRDefault="002C158C" w:rsidP="002C158C">
      <w:pPr>
        <w:pStyle w:val="Heading2"/>
      </w:pPr>
      <w:bookmarkStart w:id="3" w:name="_Toc460402320"/>
      <w:r w:rsidRPr="00700FB4">
        <w:t>[1.</w:t>
      </w:r>
      <w:r w:rsidR="007E6C90" w:rsidRPr="00700FB4">
        <w:t>1</w:t>
      </w:r>
      <w:r w:rsidRPr="00700FB4">
        <w:t>] Svarīgākie tiesību avoti</w:t>
      </w:r>
      <w:bookmarkEnd w:id="3"/>
      <w:r w:rsidRPr="00700FB4">
        <w:t xml:space="preserve"> </w:t>
      </w:r>
    </w:p>
    <w:p w:rsidR="0014238E" w:rsidRPr="00700FB4" w:rsidRDefault="00C72624" w:rsidP="008C3116">
      <w:pPr>
        <w:pStyle w:val="NoSpacing"/>
        <w:jc w:val="both"/>
        <w:rPr>
          <w:rFonts w:ascii="Arial" w:hAnsi="Arial" w:cs="Arial"/>
          <w:sz w:val="20"/>
          <w:szCs w:val="20"/>
        </w:rPr>
      </w:pPr>
      <w:r w:rsidRPr="00700FB4">
        <w:rPr>
          <w:rFonts w:ascii="Arial" w:hAnsi="Arial" w:cs="Arial"/>
          <w:sz w:val="20"/>
          <w:szCs w:val="20"/>
        </w:rPr>
        <w:t>A</w:t>
      </w:r>
      <w:r w:rsidR="00025BCC" w:rsidRPr="00700FB4">
        <w:rPr>
          <w:rFonts w:ascii="Arial" w:hAnsi="Arial" w:cs="Arial"/>
          <w:sz w:val="20"/>
          <w:szCs w:val="20"/>
        </w:rPr>
        <w:t xml:space="preserve">pvienoto Nāciju organizācijas </w:t>
      </w:r>
      <w:r w:rsidR="0014238E" w:rsidRPr="00700FB4">
        <w:rPr>
          <w:rFonts w:ascii="Arial" w:hAnsi="Arial" w:cs="Arial"/>
          <w:sz w:val="20"/>
          <w:szCs w:val="20"/>
        </w:rPr>
        <w:t>1982.gada 10.decembra Jūras tiesību Konvencija</w:t>
      </w:r>
      <w:r w:rsidR="00025BCC" w:rsidRPr="00700FB4">
        <w:rPr>
          <w:rFonts w:ascii="Arial" w:hAnsi="Arial" w:cs="Arial"/>
          <w:sz w:val="20"/>
          <w:szCs w:val="20"/>
        </w:rPr>
        <w:t xml:space="preserve"> </w:t>
      </w:r>
      <w:r w:rsidR="0014238E" w:rsidRPr="00700FB4">
        <w:rPr>
          <w:rFonts w:ascii="Arial" w:hAnsi="Arial" w:cs="Arial"/>
          <w:sz w:val="20"/>
          <w:szCs w:val="20"/>
        </w:rPr>
        <w:t xml:space="preserve">(angļu val. – </w:t>
      </w:r>
      <w:r w:rsidR="0014238E" w:rsidRPr="00700FB4">
        <w:rPr>
          <w:rFonts w:ascii="Arial" w:hAnsi="Arial" w:cs="Arial"/>
          <w:i/>
          <w:sz w:val="20"/>
          <w:szCs w:val="20"/>
        </w:rPr>
        <w:t xml:space="preserve">UNCLOS – </w:t>
      </w:r>
      <w:proofErr w:type="spellStart"/>
      <w:r w:rsidR="0014238E" w:rsidRPr="00700FB4">
        <w:rPr>
          <w:rFonts w:ascii="Arial" w:hAnsi="Arial" w:cs="Arial"/>
          <w:i/>
          <w:sz w:val="20"/>
          <w:szCs w:val="20"/>
        </w:rPr>
        <w:t>United</w:t>
      </w:r>
      <w:proofErr w:type="spellEnd"/>
      <w:r w:rsidR="0014238E" w:rsidRPr="00700FB4">
        <w:rPr>
          <w:rFonts w:ascii="Arial" w:hAnsi="Arial" w:cs="Arial"/>
          <w:i/>
          <w:sz w:val="20"/>
          <w:szCs w:val="20"/>
        </w:rPr>
        <w:t xml:space="preserve"> </w:t>
      </w:r>
      <w:proofErr w:type="spellStart"/>
      <w:r w:rsidR="0014238E" w:rsidRPr="00700FB4">
        <w:rPr>
          <w:rFonts w:ascii="Arial" w:hAnsi="Arial" w:cs="Arial"/>
          <w:i/>
          <w:sz w:val="20"/>
          <w:szCs w:val="20"/>
        </w:rPr>
        <w:t>Nations</w:t>
      </w:r>
      <w:proofErr w:type="spellEnd"/>
      <w:r w:rsidR="0014238E" w:rsidRPr="00700FB4">
        <w:rPr>
          <w:rFonts w:ascii="Arial" w:hAnsi="Arial" w:cs="Arial"/>
          <w:i/>
          <w:sz w:val="20"/>
          <w:szCs w:val="20"/>
        </w:rPr>
        <w:t xml:space="preserve"> </w:t>
      </w:r>
      <w:proofErr w:type="spellStart"/>
      <w:r w:rsidR="0014238E" w:rsidRPr="00700FB4">
        <w:rPr>
          <w:rFonts w:ascii="Arial" w:hAnsi="Arial" w:cs="Arial"/>
          <w:i/>
          <w:sz w:val="20"/>
          <w:szCs w:val="20"/>
        </w:rPr>
        <w:t>Convention</w:t>
      </w:r>
      <w:proofErr w:type="spellEnd"/>
      <w:r w:rsidR="0014238E" w:rsidRPr="00700FB4">
        <w:rPr>
          <w:rFonts w:ascii="Arial" w:hAnsi="Arial" w:cs="Arial"/>
          <w:i/>
          <w:sz w:val="20"/>
          <w:szCs w:val="20"/>
        </w:rPr>
        <w:t xml:space="preserve"> </w:t>
      </w:r>
      <w:proofErr w:type="spellStart"/>
      <w:r w:rsidR="0014238E" w:rsidRPr="00700FB4">
        <w:rPr>
          <w:rFonts w:ascii="Arial" w:hAnsi="Arial" w:cs="Arial"/>
          <w:i/>
          <w:sz w:val="20"/>
          <w:szCs w:val="20"/>
        </w:rPr>
        <w:t>on</w:t>
      </w:r>
      <w:proofErr w:type="spellEnd"/>
      <w:r w:rsidR="0014238E" w:rsidRPr="00700FB4">
        <w:rPr>
          <w:rFonts w:ascii="Arial" w:hAnsi="Arial" w:cs="Arial"/>
          <w:i/>
          <w:sz w:val="20"/>
          <w:szCs w:val="20"/>
        </w:rPr>
        <w:t xml:space="preserve"> </w:t>
      </w:r>
      <w:proofErr w:type="spellStart"/>
      <w:r w:rsidR="0014238E" w:rsidRPr="00700FB4">
        <w:rPr>
          <w:rFonts w:ascii="Arial" w:hAnsi="Arial" w:cs="Arial"/>
          <w:i/>
          <w:sz w:val="20"/>
          <w:szCs w:val="20"/>
        </w:rPr>
        <w:t>the</w:t>
      </w:r>
      <w:proofErr w:type="spellEnd"/>
      <w:r w:rsidR="0014238E" w:rsidRPr="00700FB4">
        <w:rPr>
          <w:rFonts w:ascii="Arial" w:hAnsi="Arial" w:cs="Arial"/>
          <w:i/>
          <w:sz w:val="20"/>
          <w:szCs w:val="20"/>
        </w:rPr>
        <w:t xml:space="preserve"> </w:t>
      </w:r>
      <w:proofErr w:type="spellStart"/>
      <w:r w:rsidR="0014238E" w:rsidRPr="00700FB4">
        <w:rPr>
          <w:rFonts w:ascii="Arial" w:hAnsi="Arial" w:cs="Arial"/>
          <w:i/>
          <w:sz w:val="20"/>
          <w:szCs w:val="20"/>
        </w:rPr>
        <w:t>Law</w:t>
      </w:r>
      <w:proofErr w:type="spellEnd"/>
      <w:r w:rsidR="0014238E" w:rsidRPr="00700FB4">
        <w:rPr>
          <w:rFonts w:ascii="Arial" w:hAnsi="Arial" w:cs="Arial"/>
          <w:i/>
          <w:sz w:val="20"/>
          <w:szCs w:val="20"/>
        </w:rPr>
        <w:t xml:space="preserve"> </w:t>
      </w:r>
      <w:proofErr w:type="spellStart"/>
      <w:r w:rsidR="0014238E" w:rsidRPr="00700FB4">
        <w:rPr>
          <w:rFonts w:ascii="Arial" w:hAnsi="Arial" w:cs="Arial"/>
          <w:i/>
          <w:sz w:val="20"/>
          <w:szCs w:val="20"/>
        </w:rPr>
        <w:t>of</w:t>
      </w:r>
      <w:proofErr w:type="spellEnd"/>
      <w:r w:rsidR="0014238E" w:rsidRPr="00700FB4">
        <w:rPr>
          <w:rFonts w:ascii="Arial" w:hAnsi="Arial" w:cs="Arial"/>
          <w:i/>
          <w:sz w:val="20"/>
          <w:szCs w:val="20"/>
        </w:rPr>
        <w:t xml:space="preserve"> </w:t>
      </w:r>
      <w:proofErr w:type="spellStart"/>
      <w:r w:rsidR="0014238E" w:rsidRPr="00700FB4">
        <w:rPr>
          <w:rFonts w:ascii="Arial" w:hAnsi="Arial" w:cs="Arial"/>
          <w:i/>
          <w:sz w:val="20"/>
          <w:szCs w:val="20"/>
        </w:rPr>
        <w:t>the</w:t>
      </w:r>
      <w:proofErr w:type="spellEnd"/>
      <w:r w:rsidR="0014238E" w:rsidRPr="00700FB4">
        <w:rPr>
          <w:rFonts w:ascii="Arial" w:hAnsi="Arial" w:cs="Arial"/>
          <w:i/>
          <w:sz w:val="20"/>
          <w:szCs w:val="20"/>
        </w:rPr>
        <w:t xml:space="preserve"> </w:t>
      </w:r>
      <w:proofErr w:type="spellStart"/>
      <w:r w:rsidR="0014238E" w:rsidRPr="00700FB4">
        <w:rPr>
          <w:rFonts w:ascii="Arial" w:hAnsi="Arial" w:cs="Arial"/>
          <w:i/>
          <w:sz w:val="20"/>
          <w:szCs w:val="20"/>
        </w:rPr>
        <w:t>Sea</w:t>
      </w:r>
      <w:proofErr w:type="spellEnd"/>
      <w:r w:rsidR="0014238E" w:rsidRPr="00700FB4">
        <w:rPr>
          <w:rFonts w:ascii="Arial" w:hAnsi="Arial" w:cs="Arial"/>
          <w:sz w:val="20"/>
          <w:szCs w:val="20"/>
        </w:rPr>
        <w:t>) Latvijā stājās spēkā 2005.gada 22.janvārī</w:t>
      </w:r>
      <w:r w:rsidR="00EC6376" w:rsidRPr="00700FB4">
        <w:rPr>
          <w:rFonts w:ascii="Arial" w:hAnsi="Arial" w:cs="Arial"/>
          <w:sz w:val="20"/>
          <w:szCs w:val="20"/>
        </w:rPr>
        <w:t>,</w:t>
      </w:r>
      <w:r w:rsidRPr="00700FB4">
        <w:rPr>
          <w:rStyle w:val="FootnoteReference"/>
          <w:rFonts w:ascii="Arial" w:hAnsi="Arial" w:cs="Arial"/>
          <w:sz w:val="20"/>
          <w:szCs w:val="20"/>
        </w:rPr>
        <w:footnoteReference w:id="1"/>
      </w:r>
      <w:r w:rsidR="0014238E" w:rsidRPr="00700FB4">
        <w:rPr>
          <w:rFonts w:ascii="Arial" w:hAnsi="Arial" w:cs="Arial"/>
          <w:sz w:val="20"/>
          <w:szCs w:val="20"/>
        </w:rPr>
        <w:t xml:space="preserve"> </w:t>
      </w:r>
      <w:r w:rsidR="00EC6376" w:rsidRPr="00700FB4">
        <w:rPr>
          <w:rFonts w:ascii="Arial" w:hAnsi="Arial" w:cs="Arial"/>
          <w:sz w:val="20"/>
          <w:szCs w:val="20"/>
        </w:rPr>
        <w:t>un t</w:t>
      </w:r>
      <w:r w:rsidRPr="00700FB4">
        <w:rPr>
          <w:rFonts w:ascii="Arial" w:hAnsi="Arial" w:cs="Arial"/>
          <w:sz w:val="20"/>
          <w:szCs w:val="20"/>
        </w:rPr>
        <w:t xml:space="preserve">ā </w:t>
      </w:r>
      <w:r w:rsidR="0014238E" w:rsidRPr="00700FB4">
        <w:rPr>
          <w:rFonts w:ascii="Arial" w:hAnsi="Arial" w:cs="Arial"/>
          <w:sz w:val="20"/>
          <w:szCs w:val="20"/>
        </w:rPr>
        <w:t>nosaka teritoriālās jūras, pieguļošās zonas un ekskluzīvās ekonomiskās zonas</w:t>
      </w:r>
      <w:r w:rsidR="005912CA" w:rsidRPr="00700FB4">
        <w:rPr>
          <w:rFonts w:ascii="Arial" w:hAnsi="Arial" w:cs="Arial"/>
          <w:sz w:val="20"/>
          <w:szCs w:val="20"/>
        </w:rPr>
        <w:t xml:space="preserve"> </w:t>
      </w:r>
      <w:r w:rsidR="0014238E" w:rsidRPr="00700FB4">
        <w:rPr>
          <w:rFonts w:ascii="Arial" w:hAnsi="Arial" w:cs="Arial"/>
          <w:sz w:val="20"/>
          <w:szCs w:val="20"/>
        </w:rPr>
        <w:t>tiesisko režīmu, definē miermīlīgas caurbraukšanas jēdzienu, nosaka piekrastes valsts tiesības un pienākumus</w:t>
      </w:r>
      <w:r w:rsidR="00A16342" w:rsidRPr="00700FB4">
        <w:rPr>
          <w:rFonts w:ascii="Arial" w:hAnsi="Arial" w:cs="Arial"/>
          <w:sz w:val="20"/>
          <w:szCs w:val="20"/>
        </w:rPr>
        <w:t>, zvejas resursu izmantošanu, jūras resursu izpēti un izmantošanu, kontinentālā šelfa jēdzienu, kuģošanas un gaisa kuģu tiesības, kā arī jūras zinātnisko izpēti.</w:t>
      </w:r>
      <w:r w:rsidR="00A16342" w:rsidRPr="00700FB4">
        <w:rPr>
          <w:rFonts w:ascii="Arial" w:hAnsi="Arial" w:cs="Arial"/>
          <w:sz w:val="20"/>
          <w:szCs w:val="20"/>
          <w:vertAlign w:val="superscript"/>
        </w:rPr>
        <w:footnoteReference w:id="2"/>
      </w:r>
      <w:r w:rsidR="0014238E" w:rsidRPr="00700FB4">
        <w:rPr>
          <w:rFonts w:ascii="Arial" w:hAnsi="Arial" w:cs="Arial"/>
          <w:sz w:val="20"/>
          <w:szCs w:val="20"/>
        </w:rPr>
        <w:t xml:space="preserve"> </w:t>
      </w:r>
      <w:r w:rsidR="00EC6376" w:rsidRPr="00700FB4">
        <w:rPr>
          <w:rFonts w:ascii="Arial" w:hAnsi="Arial" w:cs="Arial"/>
          <w:sz w:val="20"/>
          <w:szCs w:val="20"/>
        </w:rPr>
        <w:t>Jūras k</w:t>
      </w:r>
      <w:r w:rsidR="0014238E" w:rsidRPr="00700FB4">
        <w:rPr>
          <w:rFonts w:ascii="Arial" w:hAnsi="Arial" w:cs="Arial"/>
          <w:sz w:val="20"/>
          <w:szCs w:val="20"/>
        </w:rPr>
        <w:t xml:space="preserve">onvencija kodificē ANO Starptautiskās tiesas un vairāku </w:t>
      </w:r>
      <w:r w:rsidR="00457E80" w:rsidRPr="00700FB4">
        <w:rPr>
          <w:rFonts w:ascii="Arial" w:hAnsi="Arial" w:cs="Arial"/>
          <w:sz w:val="20"/>
          <w:szCs w:val="20"/>
        </w:rPr>
        <w:t>starptautisko šķīrējtiesu (arī</w:t>
      </w:r>
      <w:r w:rsidR="0014238E" w:rsidRPr="00700FB4">
        <w:rPr>
          <w:rFonts w:ascii="Arial" w:hAnsi="Arial" w:cs="Arial"/>
          <w:sz w:val="20"/>
          <w:szCs w:val="20"/>
        </w:rPr>
        <w:t xml:space="preserve"> Starptautiskā Jūras tiesību tribunāla) nolēmumus</w:t>
      </w:r>
      <w:r w:rsidR="00847D08" w:rsidRPr="00700FB4">
        <w:rPr>
          <w:rFonts w:ascii="Arial" w:hAnsi="Arial" w:cs="Arial"/>
          <w:sz w:val="20"/>
          <w:szCs w:val="20"/>
        </w:rPr>
        <w:t>,</w:t>
      </w:r>
      <w:r w:rsidR="0014238E" w:rsidRPr="00700FB4">
        <w:rPr>
          <w:rStyle w:val="FootnoteReference"/>
          <w:rFonts w:ascii="Arial" w:hAnsi="Arial" w:cs="Arial"/>
          <w:sz w:val="20"/>
          <w:szCs w:val="20"/>
        </w:rPr>
        <w:footnoteReference w:id="3"/>
      </w:r>
      <w:r w:rsidR="0014238E" w:rsidRPr="00700FB4">
        <w:rPr>
          <w:rFonts w:ascii="Arial" w:hAnsi="Arial" w:cs="Arial"/>
          <w:sz w:val="20"/>
          <w:szCs w:val="20"/>
        </w:rPr>
        <w:t xml:space="preserve"> kuri veido starptautisko tiesību pamatavotu – paražu tiesības.</w:t>
      </w:r>
      <w:r w:rsidR="00293C96" w:rsidRPr="00700FB4">
        <w:rPr>
          <w:rFonts w:ascii="Arial" w:hAnsi="Arial" w:cs="Arial"/>
          <w:sz w:val="20"/>
          <w:szCs w:val="20"/>
        </w:rPr>
        <w:t xml:space="preserve"> Pati </w:t>
      </w:r>
      <w:r w:rsidR="005912CA" w:rsidRPr="00700FB4">
        <w:rPr>
          <w:rFonts w:ascii="Arial" w:hAnsi="Arial" w:cs="Arial"/>
          <w:sz w:val="20"/>
          <w:szCs w:val="20"/>
        </w:rPr>
        <w:t xml:space="preserve">Jūras </w:t>
      </w:r>
      <w:r w:rsidR="00293C96" w:rsidRPr="00700FB4">
        <w:rPr>
          <w:rFonts w:ascii="Arial" w:hAnsi="Arial" w:cs="Arial"/>
          <w:sz w:val="20"/>
          <w:szCs w:val="20"/>
        </w:rPr>
        <w:t>konvencija atspoguļo zonālu pieeju jūrai un paredz nosacījumus ne tikai attiecībā uz dažādām darbībām jūrā, bet gan tiesībām un pienākumiem, kas atkarīgi no tā, kur tiek veiktas minētās darbības.</w:t>
      </w:r>
      <w:r w:rsidR="00293C96" w:rsidRPr="00700FB4">
        <w:rPr>
          <w:rFonts w:ascii="Arial" w:hAnsi="Arial" w:cs="Arial"/>
          <w:sz w:val="20"/>
          <w:szCs w:val="20"/>
          <w:vertAlign w:val="superscript"/>
        </w:rPr>
        <w:footnoteReference w:id="4"/>
      </w:r>
    </w:p>
    <w:p w:rsidR="0014238E" w:rsidRPr="00700FB4" w:rsidRDefault="0014238E" w:rsidP="008C3116">
      <w:pPr>
        <w:pStyle w:val="NoSpacing"/>
        <w:jc w:val="both"/>
        <w:rPr>
          <w:rFonts w:ascii="Arial" w:hAnsi="Arial" w:cs="Arial"/>
          <w:sz w:val="20"/>
          <w:szCs w:val="20"/>
        </w:rPr>
      </w:pPr>
    </w:p>
    <w:p w:rsidR="00EC6376" w:rsidRPr="00700FB4" w:rsidRDefault="0014238E" w:rsidP="008C3116">
      <w:pPr>
        <w:pStyle w:val="NoSpacing"/>
        <w:jc w:val="both"/>
        <w:rPr>
          <w:rFonts w:ascii="Arial" w:hAnsi="Arial" w:cs="Arial"/>
          <w:sz w:val="20"/>
          <w:szCs w:val="20"/>
        </w:rPr>
      </w:pPr>
      <w:r w:rsidRPr="00700FB4">
        <w:rPr>
          <w:rFonts w:ascii="Arial" w:hAnsi="Arial" w:cs="Arial"/>
          <w:sz w:val="20"/>
          <w:szCs w:val="20"/>
        </w:rPr>
        <w:t xml:space="preserve">ANO Starptautiskā tiesa ir atzinusi, ka </w:t>
      </w:r>
      <w:r w:rsidRPr="00700FB4">
        <w:rPr>
          <w:rFonts w:ascii="Arial" w:hAnsi="Arial" w:cs="Arial"/>
          <w:b/>
          <w:sz w:val="20"/>
          <w:szCs w:val="20"/>
        </w:rPr>
        <w:t>teritoriālā jūra</w:t>
      </w:r>
      <w:r w:rsidRPr="00700FB4">
        <w:rPr>
          <w:rFonts w:ascii="Arial" w:hAnsi="Arial" w:cs="Arial"/>
          <w:sz w:val="20"/>
          <w:szCs w:val="20"/>
        </w:rPr>
        <w:t xml:space="preserve"> ir dabisks valsts sauszemes teritorijas turpinājums, kas pastāv </w:t>
      </w:r>
      <w:proofErr w:type="spellStart"/>
      <w:r w:rsidRPr="00700FB4">
        <w:rPr>
          <w:rFonts w:ascii="Arial" w:hAnsi="Arial" w:cs="Arial"/>
          <w:i/>
          <w:sz w:val="20"/>
          <w:szCs w:val="20"/>
        </w:rPr>
        <w:t>ipso</w:t>
      </w:r>
      <w:proofErr w:type="spellEnd"/>
      <w:r w:rsidRPr="00700FB4">
        <w:rPr>
          <w:rFonts w:ascii="Arial" w:hAnsi="Arial" w:cs="Arial"/>
          <w:i/>
          <w:sz w:val="20"/>
          <w:szCs w:val="20"/>
        </w:rPr>
        <w:t xml:space="preserve"> </w:t>
      </w:r>
      <w:proofErr w:type="spellStart"/>
      <w:r w:rsidRPr="00700FB4">
        <w:rPr>
          <w:rFonts w:ascii="Arial" w:hAnsi="Arial" w:cs="Arial"/>
          <w:i/>
          <w:sz w:val="20"/>
          <w:szCs w:val="20"/>
        </w:rPr>
        <w:t>facto</w:t>
      </w:r>
      <w:proofErr w:type="spellEnd"/>
      <w:r w:rsidRPr="00700FB4">
        <w:rPr>
          <w:rFonts w:ascii="Arial" w:hAnsi="Arial" w:cs="Arial"/>
          <w:sz w:val="20"/>
          <w:szCs w:val="20"/>
        </w:rPr>
        <w:t xml:space="preserve"> (latīņu val. – faktiski) un </w:t>
      </w:r>
      <w:proofErr w:type="spellStart"/>
      <w:r w:rsidRPr="00700FB4">
        <w:rPr>
          <w:rFonts w:ascii="Arial" w:hAnsi="Arial" w:cs="Arial"/>
          <w:i/>
          <w:sz w:val="20"/>
          <w:szCs w:val="20"/>
        </w:rPr>
        <w:t>ab</w:t>
      </w:r>
      <w:proofErr w:type="spellEnd"/>
      <w:r w:rsidRPr="00700FB4">
        <w:rPr>
          <w:rFonts w:ascii="Arial" w:hAnsi="Arial" w:cs="Arial"/>
          <w:i/>
          <w:sz w:val="20"/>
          <w:szCs w:val="20"/>
        </w:rPr>
        <w:t xml:space="preserve"> </w:t>
      </w:r>
      <w:proofErr w:type="spellStart"/>
      <w:r w:rsidRPr="00700FB4">
        <w:rPr>
          <w:rFonts w:ascii="Arial" w:hAnsi="Arial" w:cs="Arial"/>
          <w:i/>
          <w:sz w:val="20"/>
          <w:szCs w:val="20"/>
        </w:rPr>
        <w:t>initio</w:t>
      </w:r>
      <w:proofErr w:type="spellEnd"/>
      <w:r w:rsidRPr="00700FB4">
        <w:rPr>
          <w:rFonts w:ascii="Arial" w:hAnsi="Arial" w:cs="Arial"/>
          <w:sz w:val="20"/>
          <w:szCs w:val="20"/>
        </w:rPr>
        <w:t xml:space="preserve"> (latīņu val. – no sākuma), pamatojoties uz valsts suverēno varu pār tās sauszemes teritoriju kā tās suverēnās varas </w:t>
      </w:r>
      <w:r w:rsidR="00EC6376" w:rsidRPr="00700FB4">
        <w:rPr>
          <w:rFonts w:ascii="Arial" w:hAnsi="Arial" w:cs="Arial"/>
          <w:sz w:val="20"/>
          <w:szCs w:val="20"/>
        </w:rPr>
        <w:t xml:space="preserve">turpinājumu </w:t>
      </w:r>
      <w:r w:rsidRPr="00700FB4">
        <w:rPr>
          <w:rFonts w:ascii="Arial" w:hAnsi="Arial" w:cs="Arial"/>
          <w:sz w:val="20"/>
          <w:szCs w:val="20"/>
        </w:rPr>
        <w:t>nolūkā izpētīt jūru</w:t>
      </w:r>
      <w:r w:rsidR="00EC6376" w:rsidRPr="00700FB4">
        <w:rPr>
          <w:rFonts w:ascii="Arial" w:hAnsi="Arial" w:cs="Arial"/>
          <w:sz w:val="20"/>
          <w:szCs w:val="20"/>
        </w:rPr>
        <w:t xml:space="preserve"> </w:t>
      </w:r>
      <w:r w:rsidRPr="00700FB4">
        <w:rPr>
          <w:rFonts w:ascii="Arial" w:hAnsi="Arial" w:cs="Arial"/>
          <w:sz w:val="20"/>
          <w:szCs w:val="20"/>
        </w:rPr>
        <w:t>un izmantot tās resursus.</w:t>
      </w:r>
      <w:r w:rsidRPr="00700FB4">
        <w:rPr>
          <w:rStyle w:val="FootnoteReference"/>
          <w:rFonts w:ascii="Arial" w:hAnsi="Arial" w:cs="Arial"/>
          <w:sz w:val="20"/>
          <w:szCs w:val="20"/>
        </w:rPr>
        <w:footnoteReference w:id="5"/>
      </w:r>
      <w:r w:rsidRPr="00700FB4">
        <w:rPr>
          <w:rFonts w:ascii="Arial" w:hAnsi="Arial" w:cs="Arial"/>
          <w:sz w:val="20"/>
          <w:szCs w:val="20"/>
        </w:rPr>
        <w:t xml:space="preserve"> </w:t>
      </w:r>
      <w:r w:rsidR="00A16342" w:rsidRPr="00700FB4">
        <w:rPr>
          <w:rFonts w:ascii="Arial" w:hAnsi="Arial" w:cs="Arial"/>
          <w:sz w:val="20"/>
          <w:szCs w:val="20"/>
        </w:rPr>
        <w:t xml:space="preserve">Tādēļ </w:t>
      </w:r>
      <w:r w:rsidR="00EC6376" w:rsidRPr="00700FB4">
        <w:rPr>
          <w:rFonts w:ascii="Arial" w:hAnsi="Arial" w:cs="Arial"/>
          <w:sz w:val="20"/>
          <w:szCs w:val="20"/>
        </w:rPr>
        <w:t xml:space="preserve">Jūras konvencija </w:t>
      </w:r>
      <w:r w:rsidR="00A16342" w:rsidRPr="00700FB4">
        <w:rPr>
          <w:rFonts w:ascii="Arial" w:hAnsi="Arial" w:cs="Arial"/>
          <w:sz w:val="20"/>
          <w:szCs w:val="20"/>
        </w:rPr>
        <w:t xml:space="preserve">noteic, ka katrai piekrastes valstij ir tiesības noteikt savas teritoriālās jūras platumu līdz robežai, kas </w:t>
      </w:r>
      <w:r w:rsidR="00A16342" w:rsidRPr="00700FB4">
        <w:rPr>
          <w:rFonts w:ascii="Arial" w:hAnsi="Arial" w:cs="Arial"/>
          <w:b/>
          <w:sz w:val="20"/>
          <w:szCs w:val="20"/>
        </w:rPr>
        <w:t>nepārsniedz 12 jūras jūdzes</w:t>
      </w:r>
      <w:r w:rsidR="00A16342" w:rsidRPr="00700FB4">
        <w:rPr>
          <w:rFonts w:ascii="Arial" w:hAnsi="Arial" w:cs="Arial"/>
          <w:sz w:val="20"/>
          <w:szCs w:val="20"/>
        </w:rPr>
        <w:t>, to mērot no “bāzes līnijām”</w:t>
      </w:r>
      <w:r w:rsidR="00A16342" w:rsidRPr="00700FB4">
        <w:rPr>
          <w:rFonts w:ascii="Arial" w:hAnsi="Arial" w:cs="Arial"/>
          <w:sz w:val="20"/>
          <w:szCs w:val="20"/>
          <w:vertAlign w:val="superscript"/>
        </w:rPr>
        <w:footnoteReference w:id="6"/>
      </w:r>
      <w:r w:rsidR="00A16342" w:rsidRPr="00700FB4">
        <w:rPr>
          <w:rFonts w:ascii="Arial" w:hAnsi="Arial" w:cs="Arial"/>
          <w:sz w:val="20"/>
          <w:szCs w:val="20"/>
        </w:rPr>
        <w:t xml:space="preserve">. </w:t>
      </w:r>
    </w:p>
    <w:p w:rsidR="00EC6376" w:rsidRPr="00700FB4" w:rsidRDefault="00EC6376" w:rsidP="008C3116">
      <w:pPr>
        <w:pStyle w:val="NoSpacing"/>
        <w:jc w:val="both"/>
        <w:rPr>
          <w:rFonts w:ascii="Arial" w:hAnsi="Arial" w:cs="Arial"/>
          <w:sz w:val="20"/>
          <w:szCs w:val="20"/>
        </w:rPr>
      </w:pPr>
    </w:p>
    <w:p w:rsidR="0014238E" w:rsidRPr="00700FB4" w:rsidRDefault="00A16342" w:rsidP="008C3116">
      <w:pPr>
        <w:pStyle w:val="NoSpacing"/>
        <w:jc w:val="both"/>
        <w:rPr>
          <w:rFonts w:ascii="Arial" w:hAnsi="Arial" w:cs="Arial"/>
          <w:sz w:val="20"/>
          <w:szCs w:val="20"/>
        </w:rPr>
      </w:pPr>
      <w:r w:rsidRPr="00700FB4">
        <w:rPr>
          <w:rFonts w:ascii="Arial" w:hAnsi="Arial" w:cs="Arial"/>
          <w:sz w:val="20"/>
          <w:szCs w:val="20"/>
        </w:rPr>
        <w:t xml:space="preserve">Pieņemot </w:t>
      </w:r>
      <w:r w:rsidR="00EC6376" w:rsidRPr="00700FB4">
        <w:rPr>
          <w:rFonts w:ascii="Arial" w:hAnsi="Arial" w:cs="Arial"/>
          <w:sz w:val="20"/>
          <w:szCs w:val="20"/>
        </w:rPr>
        <w:t>Jūras konvenciju</w:t>
      </w:r>
      <w:r w:rsidRPr="00700FB4">
        <w:rPr>
          <w:rFonts w:ascii="Arial" w:hAnsi="Arial" w:cs="Arial"/>
          <w:sz w:val="20"/>
          <w:szCs w:val="20"/>
        </w:rPr>
        <w:t>, teritoriālās jūras platums bija viens no visstrīdīgākajiem jautājumiem.</w:t>
      </w:r>
      <w:r w:rsidRPr="00700FB4">
        <w:rPr>
          <w:rFonts w:ascii="Arial" w:hAnsi="Arial" w:cs="Arial"/>
          <w:sz w:val="20"/>
          <w:szCs w:val="20"/>
          <w:vertAlign w:val="superscript"/>
        </w:rPr>
        <w:footnoteReference w:id="7"/>
      </w:r>
      <w:r w:rsidRPr="00700FB4">
        <w:rPr>
          <w:rFonts w:ascii="Arial" w:hAnsi="Arial" w:cs="Arial"/>
          <w:sz w:val="20"/>
          <w:szCs w:val="20"/>
        </w:rPr>
        <w:t xml:space="preserve"> </w:t>
      </w:r>
      <w:r w:rsidR="0014238E" w:rsidRPr="00700FB4">
        <w:rPr>
          <w:rFonts w:ascii="Arial" w:hAnsi="Arial" w:cs="Arial"/>
          <w:sz w:val="20"/>
          <w:szCs w:val="20"/>
        </w:rPr>
        <w:t>Nolūkā noteikt teritoriālās jūras robežu, visattālāk jūrā esošās pastāvīgās ostu būves, kuras ir ostu sistēmas sastāvdaļa, tiek uzskatītas par krasta sastāvdaļu. Piekrastes iekārtas un mākslīgās salas netiek uzskatītas par pastāvīgām ostas būvēm.</w:t>
      </w:r>
    </w:p>
    <w:p w:rsidR="00A16342" w:rsidRPr="00700FB4" w:rsidRDefault="00A16342" w:rsidP="008C3116">
      <w:pPr>
        <w:pStyle w:val="NoSpacing"/>
        <w:jc w:val="both"/>
        <w:rPr>
          <w:rFonts w:ascii="Arial" w:hAnsi="Arial" w:cs="Arial"/>
          <w:sz w:val="20"/>
          <w:szCs w:val="20"/>
        </w:rPr>
      </w:pPr>
    </w:p>
    <w:p w:rsidR="00A16342" w:rsidRPr="00700FB4" w:rsidRDefault="00A16342" w:rsidP="005276AF">
      <w:pPr>
        <w:pStyle w:val="NoSpacing"/>
        <w:jc w:val="both"/>
        <w:rPr>
          <w:rFonts w:ascii="Arial" w:hAnsi="Arial" w:cs="Arial"/>
          <w:sz w:val="20"/>
          <w:szCs w:val="20"/>
        </w:rPr>
      </w:pPr>
      <w:r w:rsidRPr="00700FB4">
        <w:rPr>
          <w:rFonts w:ascii="Arial" w:hAnsi="Arial" w:cs="Arial"/>
          <w:sz w:val="20"/>
          <w:szCs w:val="20"/>
        </w:rPr>
        <w:t>Piekrastes valstij pār tās teritoriālo jūru ir turpmāk minētās tiesības:</w:t>
      </w:r>
    </w:p>
    <w:p w:rsidR="00A16342" w:rsidRPr="00700FB4" w:rsidRDefault="00A16342" w:rsidP="005276AF">
      <w:pPr>
        <w:pStyle w:val="NoSpacing"/>
        <w:numPr>
          <w:ilvl w:val="0"/>
          <w:numId w:val="9"/>
        </w:numPr>
        <w:jc w:val="both"/>
        <w:rPr>
          <w:rFonts w:ascii="Arial" w:hAnsi="Arial" w:cs="Arial"/>
          <w:sz w:val="20"/>
          <w:szCs w:val="20"/>
        </w:rPr>
      </w:pPr>
      <w:r w:rsidRPr="00700FB4">
        <w:rPr>
          <w:rFonts w:ascii="Arial" w:hAnsi="Arial" w:cs="Arial"/>
          <w:sz w:val="20"/>
          <w:szCs w:val="20"/>
        </w:rPr>
        <w:t>Ekskluzīvas tiesības zvejot un izmantot teritoriālās jūras dibenu un dzīles;</w:t>
      </w:r>
      <w:r w:rsidRPr="00700FB4">
        <w:rPr>
          <w:rFonts w:ascii="Arial" w:hAnsi="Arial" w:cs="Arial"/>
          <w:sz w:val="20"/>
          <w:szCs w:val="20"/>
          <w:vertAlign w:val="superscript"/>
        </w:rPr>
        <w:footnoteReference w:id="8"/>
      </w:r>
    </w:p>
    <w:p w:rsidR="00A16342" w:rsidRPr="00700FB4" w:rsidRDefault="00A16342" w:rsidP="005276AF">
      <w:pPr>
        <w:pStyle w:val="NoSpacing"/>
        <w:numPr>
          <w:ilvl w:val="0"/>
          <w:numId w:val="9"/>
        </w:numPr>
        <w:jc w:val="both"/>
        <w:rPr>
          <w:rFonts w:ascii="Arial" w:hAnsi="Arial" w:cs="Arial"/>
          <w:sz w:val="20"/>
          <w:szCs w:val="20"/>
        </w:rPr>
      </w:pPr>
      <w:r w:rsidRPr="00700FB4">
        <w:rPr>
          <w:rFonts w:ascii="Arial" w:hAnsi="Arial" w:cs="Arial"/>
          <w:sz w:val="20"/>
          <w:szCs w:val="20"/>
        </w:rPr>
        <w:t>Ekskluzīvas tiesības uz gaisa telpu virs teritoriālās jūras (pretēji kuģiem, gaisa kuģiem nav miermīlīgas caurbraukšanas tiesību);</w:t>
      </w:r>
      <w:r w:rsidRPr="00700FB4">
        <w:rPr>
          <w:rFonts w:ascii="Arial" w:hAnsi="Arial" w:cs="Arial"/>
          <w:sz w:val="20"/>
          <w:szCs w:val="20"/>
          <w:vertAlign w:val="superscript"/>
        </w:rPr>
        <w:footnoteReference w:id="9"/>
      </w:r>
    </w:p>
    <w:p w:rsidR="00A16342" w:rsidRPr="00700FB4" w:rsidRDefault="00A16342" w:rsidP="005276AF">
      <w:pPr>
        <w:pStyle w:val="NoSpacing"/>
        <w:numPr>
          <w:ilvl w:val="0"/>
          <w:numId w:val="9"/>
        </w:numPr>
        <w:jc w:val="both"/>
        <w:rPr>
          <w:rFonts w:ascii="Arial" w:hAnsi="Arial" w:cs="Arial"/>
          <w:sz w:val="20"/>
          <w:szCs w:val="20"/>
        </w:rPr>
      </w:pPr>
      <w:r w:rsidRPr="00700FB4">
        <w:rPr>
          <w:rFonts w:ascii="Arial" w:hAnsi="Arial" w:cs="Arial"/>
          <w:sz w:val="20"/>
          <w:szCs w:val="20"/>
        </w:rPr>
        <w:t>Piekrastes valsts kuģiem ir ekskluzīvas tiesības pārvadāt preces un pasažierus no vienas piekrastes valsts daļas uz citu (kabotāža);</w:t>
      </w:r>
      <w:r w:rsidRPr="00700FB4">
        <w:rPr>
          <w:rFonts w:ascii="Arial" w:hAnsi="Arial" w:cs="Arial"/>
          <w:sz w:val="20"/>
          <w:szCs w:val="20"/>
          <w:vertAlign w:val="superscript"/>
        </w:rPr>
        <w:footnoteReference w:id="10"/>
      </w:r>
    </w:p>
    <w:p w:rsidR="00A16342" w:rsidRPr="00700FB4" w:rsidRDefault="00A16342" w:rsidP="005276AF">
      <w:pPr>
        <w:pStyle w:val="NoSpacing"/>
        <w:numPr>
          <w:ilvl w:val="0"/>
          <w:numId w:val="9"/>
        </w:numPr>
        <w:jc w:val="both"/>
        <w:rPr>
          <w:rFonts w:ascii="Arial" w:hAnsi="Arial" w:cs="Arial"/>
          <w:sz w:val="20"/>
          <w:szCs w:val="20"/>
        </w:rPr>
      </w:pPr>
      <w:r w:rsidRPr="00700FB4">
        <w:rPr>
          <w:rFonts w:ascii="Arial" w:hAnsi="Arial" w:cs="Arial"/>
          <w:sz w:val="20"/>
          <w:szCs w:val="20"/>
        </w:rPr>
        <w:t>Ja kara laikā piekrastes valsts ir neitrāla, karojošās valstis piekrastes valsts teritoriālajā jūrā nedrīkst uzsākt kauju vai sagrābt tirdzniecības kuģus;</w:t>
      </w:r>
      <w:r w:rsidRPr="00700FB4">
        <w:rPr>
          <w:rFonts w:ascii="Arial" w:hAnsi="Arial" w:cs="Arial"/>
          <w:sz w:val="20"/>
          <w:szCs w:val="20"/>
          <w:vertAlign w:val="superscript"/>
        </w:rPr>
        <w:footnoteReference w:id="11"/>
      </w:r>
    </w:p>
    <w:p w:rsidR="00A16342" w:rsidRPr="00700FB4" w:rsidRDefault="00A16342" w:rsidP="005276AF">
      <w:pPr>
        <w:pStyle w:val="NoSpacing"/>
        <w:numPr>
          <w:ilvl w:val="0"/>
          <w:numId w:val="9"/>
        </w:numPr>
        <w:jc w:val="both"/>
        <w:rPr>
          <w:rFonts w:ascii="Arial" w:hAnsi="Arial" w:cs="Arial"/>
          <w:sz w:val="20"/>
          <w:szCs w:val="20"/>
        </w:rPr>
      </w:pPr>
      <w:r w:rsidRPr="00700FB4">
        <w:rPr>
          <w:rFonts w:ascii="Arial" w:hAnsi="Arial" w:cs="Arial"/>
          <w:sz w:val="20"/>
          <w:szCs w:val="20"/>
        </w:rPr>
        <w:t>Piekrastes valstij ir tiesības pieņemt ārvalstu kuģiem saistošus noteikumus par navigāciju, veselību, muitas nodevām un imigrāciju;</w:t>
      </w:r>
    </w:p>
    <w:p w:rsidR="00A16342" w:rsidRPr="00700FB4" w:rsidRDefault="00A16342" w:rsidP="005276AF">
      <w:pPr>
        <w:pStyle w:val="NoSpacing"/>
        <w:numPr>
          <w:ilvl w:val="0"/>
          <w:numId w:val="9"/>
        </w:numPr>
        <w:jc w:val="both"/>
        <w:rPr>
          <w:rFonts w:ascii="Arial" w:hAnsi="Arial" w:cs="Arial"/>
          <w:sz w:val="20"/>
          <w:szCs w:val="20"/>
        </w:rPr>
      </w:pPr>
      <w:r w:rsidRPr="00700FB4">
        <w:rPr>
          <w:rFonts w:ascii="Arial" w:hAnsi="Arial" w:cs="Arial"/>
          <w:sz w:val="20"/>
          <w:szCs w:val="20"/>
        </w:rPr>
        <w:t>Piekrastes valstij noteiktos gadījumos ir tiesības aizturēt tirdzniecības kuģus, kuri izmanto miermīlīgas caurbraukšanas tiesības, kā arī uz to klāja esošās personas (</w:t>
      </w:r>
      <w:r w:rsidR="00FC2172" w:rsidRPr="00700FB4">
        <w:rPr>
          <w:rFonts w:ascii="Arial" w:hAnsi="Arial" w:cs="Arial"/>
          <w:sz w:val="20"/>
          <w:szCs w:val="20"/>
        </w:rPr>
        <w:t>Jūras k</w:t>
      </w:r>
      <w:r w:rsidRPr="00700FB4">
        <w:rPr>
          <w:rFonts w:ascii="Arial" w:hAnsi="Arial" w:cs="Arial"/>
          <w:sz w:val="20"/>
          <w:szCs w:val="20"/>
        </w:rPr>
        <w:t>onvencijas 27.</w:t>
      </w:r>
      <w:r w:rsidR="00847D08" w:rsidRPr="00700FB4">
        <w:rPr>
          <w:rFonts w:ascii="Arial" w:hAnsi="Arial" w:cs="Arial"/>
          <w:sz w:val="20"/>
          <w:szCs w:val="20"/>
        </w:rPr>
        <w:t xml:space="preserve"> – </w:t>
      </w:r>
      <w:r w:rsidRPr="00700FB4">
        <w:rPr>
          <w:rFonts w:ascii="Arial" w:hAnsi="Arial" w:cs="Arial"/>
          <w:sz w:val="20"/>
          <w:szCs w:val="20"/>
        </w:rPr>
        <w:t>28.pants).</w:t>
      </w:r>
    </w:p>
    <w:p w:rsidR="00A16342" w:rsidRPr="00700FB4" w:rsidRDefault="00A16342" w:rsidP="005276AF">
      <w:pPr>
        <w:pStyle w:val="NoSpacing"/>
        <w:jc w:val="both"/>
        <w:rPr>
          <w:rFonts w:ascii="Arial" w:hAnsi="Arial" w:cs="Arial"/>
          <w:sz w:val="20"/>
          <w:szCs w:val="20"/>
        </w:rPr>
      </w:pPr>
    </w:p>
    <w:p w:rsidR="0014238E" w:rsidRPr="00700FB4" w:rsidRDefault="0014238E" w:rsidP="008C3116">
      <w:pPr>
        <w:pStyle w:val="NoSpacing"/>
        <w:jc w:val="both"/>
        <w:rPr>
          <w:rFonts w:ascii="Arial" w:hAnsi="Arial" w:cs="Arial"/>
          <w:sz w:val="20"/>
          <w:szCs w:val="20"/>
        </w:rPr>
      </w:pPr>
      <w:r w:rsidRPr="00700FB4">
        <w:rPr>
          <w:rFonts w:ascii="Arial" w:hAnsi="Arial" w:cs="Arial"/>
          <w:sz w:val="20"/>
          <w:szCs w:val="20"/>
        </w:rPr>
        <w:t>Valstu robežu noteikšana teritoriālajā jūrā praksē ir izrādījusies problemātiska. Piemēram, Zivsaimniecības lietā (Lielbritānija pret Norvēģiju)</w:t>
      </w:r>
      <w:r w:rsidRPr="00700FB4">
        <w:rPr>
          <w:rStyle w:val="FootnoteReference"/>
          <w:rFonts w:ascii="Arial" w:hAnsi="Arial" w:cs="Arial"/>
          <w:sz w:val="20"/>
          <w:szCs w:val="20"/>
        </w:rPr>
        <w:footnoteReference w:id="12"/>
      </w:r>
      <w:r w:rsidRPr="00700FB4">
        <w:rPr>
          <w:rFonts w:ascii="Arial" w:hAnsi="Arial" w:cs="Arial"/>
          <w:sz w:val="20"/>
          <w:szCs w:val="20"/>
        </w:rPr>
        <w:t xml:space="preserve"> ANO Starptautiskā tiesa nosprieda, ka gadījumā, ja valsts (Norvēģijas) krasta līnija ir dziļi robota un līkumota un tā robežu noteikšanā ilgstoši ir piemērojusi vienveidīgu praksi, kuru citas valstis nav apstrīdējušas, ir iespējams turpināt piemērot šo pašu praksi, proti, noteikt valsts robežas, izmantojot taisno bāzes līniju (</w:t>
      </w:r>
      <w:r w:rsidR="00FC2172" w:rsidRPr="00700FB4">
        <w:rPr>
          <w:rFonts w:ascii="Arial" w:hAnsi="Arial" w:cs="Arial"/>
          <w:sz w:val="20"/>
          <w:szCs w:val="20"/>
        </w:rPr>
        <w:t>Jūras k</w:t>
      </w:r>
      <w:r w:rsidRPr="00700FB4">
        <w:rPr>
          <w:rFonts w:ascii="Arial" w:hAnsi="Arial" w:cs="Arial"/>
          <w:sz w:val="20"/>
          <w:szCs w:val="20"/>
        </w:rPr>
        <w:t xml:space="preserve">onvencijas 7.pants). Tai pašā laikā tiesa noteica šādus kritērijus – velkot taisnās bāzes </w:t>
      </w:r>
      <w:r w:rsidRPr="00700FB4">
        <w:rPr>
          <w:rFonts w:ascii="Arial" w:hAnsi="Arial" w:cs="Arial"/>
          <w:sz w:val="20"/>
          <w:szCs w:val="20"/>
        </w:rPr>
        <w:lastRenderedPageBreak/>
        <w:t xml:space="preserve">līnijas, nav pieļaujama manāma atkāpšanās no krasta kopējā virziena, bet jūras daļām, kas atrodas šo līniju iekšpusē, ir jābūt pietiekami cieši saistītām ar piekrastes teritoriju, lai uz tām varētu izplatīt iekšējo ūdeņu režīmu. Šis princips ir iekļauts </w:t>
      </w:r>
      <w:r w:rsidR="00A85681" w:rsidRPr="00700FB4">
        <w:rPr>
          <w:rFonts w:ascii="Arial" w:hAnsi="Arial" w:cs="Arial"/>
          <w:sz w:val="20"/>
          <w:szCs w:val="20"/>
        </w:rPr>
        <w:t xml:space="preserve">Jūras konvencijas </w:t>
      </w:r>
      <w:r w:rsidRPr="00700FB4">
        <w:rPr>
          <w:rFonts w:ascii="Arial" w:hAnsi="Arial" w:cs="Arial"/>
          <w:sz w:val="20"/>
          <w:szCs w:val="20"/>
        </w:rPr>
        <w:t xml:space="preserve">7.panta trešajā daļā. Savukārt atbilstoši tiesas spriedumam un </w:t>
      </w:r>
      <w:r w:rsidR="00A85681" w:rsidRPr="00700FB4">
        <w:rPr>
          <w:rFonts w:ascii="Arial" w:hAnsi="Arial" w:cs="Arial"/>
          <w:sz w:val="20"/>
          <w:szCs w:val="20"/>
        </w:rPr>
        <w:t xml:space="preserve">Jūras konvencijas </w:t>
      </w:r>
      <w:r w:rsidRPr="00700FB4">
        <w:rPr>
          <w:rFonts w:ascii="Arial" w:hAnsi="Arial" w:cs="Arial"/>
          <w:sz w:val="20"/>
          <w:szCs w:val="20"/>
        </w:rPr>
        <w:t>7.panta piektajai daļai, nosakot atsevišķas bāzes līnijas, var tikt ņemtas vērā šī rajona īpašas ekonomiskas intereses, kuru realitāte un nozīmīgums ir skaidri pierādīts ilgākā darbībā (piemēram, zivsaimniecība). Šajā lietā tiesa arī atzina, ka robežu noteikšana jūrā vienmēr ir starptautisko tiesību jautājumus, jo tas nav atkarīgs tikai no piekrastes valsts likumiem. Kaut arī piekrastes valsts ir vienīgā, kurai ar attiecīgu normatīvu aktu ir kompetence noteikt savas teritorijas robežas, šāda akta spēkā esamība ir atkarīga no starptautiskajām tiesībām.</w:t>
      </w:r>
      <w:r w:rsidRPr="00700FB4">
        <w:rPr>
          <w:rStyle w:val="FootnoteReference"/>
          <w:rFonts w:ascii="Arial" w:hAnsi="Arial" w:cs="Arial"/>
          <w:sz w:val="20"/>
          <w:szCs w:val="20"/>
        </w:rPr>
        <w:footnoteReference w:id="13"/>
      </w:r>
    </w:p>
    <w:p w:rsidR="0014238E" w:rsidRPr="00700FB4" w:rsidRDefault="0014238E" w:rsidP="008C3116">
      <w:pPr>
        <w:pStyle w:val="NoSpacing"/>
        <w:jc w:val="both"/>
        <w:rPr>
          <w:rFonts w:ascii="Arial" w:hAnsi="Arial" w:cs="Arial"/>
          <w:sz w:val="20"/>
          <w:szCs w:val="20"/>
        </w:rPr>
      </w:pPr>
    </w:p>
    <w:p w:rsidR="005912CA" w:rsidRPr="00700FB4" w:rsidRDefault="0014238E" w:rsidP="008C3116">
      <w:pPr>
        <w:pStyle w:val="NoSpacing"/>
        <w:jc w:val="both"/>
        <w:rPr>
          <w:rFonts w:ascii="Arial" w:hAnsi="Arial" w:cs="Arial"/>
          <w:sz w:val="20"/>
          <w:szCs w:val="20"/>
        </w:rPr>
      </w:pPr>
      <w:r w:rsidRPr="00700FB4">
        <w:rPr>
          <w:rFonts w:ascii="Arial" w:hAnsi="Arial" w:cs="Arial"/>
          <w:sz w:val="20"/>
          <w:szCs w:val="20"/>
        </w:rPr>
        <w:t>Savukārt Ziemeļjūras kontinentālā šelfa lietā</w:t>
      </w:r>
      <w:r w:rsidRPr="00700FB4">
        <w:rPr>
          <w:rStyle w:val="FootnoteReference"/>
          <w:rFonts w:ascii="Arial" w:hAnsi="Arial" w:cs="Arial"/>
          <w:sz w:val="20"/>
          <w:szCs w:val="20"/>
        </w:rPr>
        <w:footnoteReference w:id="14"/>
      </w:r>
      <w:r w:rsidRPr="00700FB4">
        <w:rPr>
          <w:rFonts w:ascii="Arial" w:hAnsi="Arial" w:cs="Arial"/>
          <w:sz w:val="20"/>
          <w:szCs w:val="20"/>
        </w:rPr>
        <w:t xml:space="preserve"> bija strīds par Vācijas, Nīderlandes un Dānijas robežu noteikšanu resursiem bagātajā Ziemeļjūrā. Vācijas Ziemeļjūras krasts ir ieliekts, savukārt Nīderlandes un Dānijas Ziemeļjūras krasts ir izliekts, tādēļ nebija skaidrs, kādas ir minēto valstu robežas jūrā. Ja tiktu piemērota robežu noteikšanas vienādā attāluma metode jeb </w:t>
      </w:r>
      <w:proofErr w:type="spellStart"/>
      <w:r w:rsidRPr="00700FB4">
        <w:rPr>
          <w:rFonts w:ascii="Arial" w:hAnsi="Arial" w:cs="Arial"/>
          <w:sz w:val="20"/>
          <w:szCs w:val="20"/>
        </w:rPr>
        <w:t>ekvidistances</w:t>
      </w:r>
      <w:proofErr w:type="spellEnd"/>
      <w:r w:rsidRPr="00700FB4">
        <w:rPr>
          <w:rFonts w:ascii="Arial" w:hAnsi="Arial" w:cs="Arial"/>
          <w:sz w:val="20"/>
          <w:szCs w:val="20"/>
        </w:rPr>
        <w:t xml:space="preserve"> princips (angļu val. – </w:t>
      </w:r>
      <w:proofErr w:type="spellStart"/>
      <w:r w:rsidRPr="00700FB4">
        <w:rPr>
          <w:rFonts w:ascii="Arial" w:hAnsi="Arial" w:cs="Arial"/>
          <w:i/>
          <w:sz w:val="20"/>
          <w:szCs w:val="20"/>
        </w:rPr>
        <w:t>equidistance</w:t>
      </w:r>
      <w:proofErr w:type="spellEnd"/>
      <w:r w:rsidRPr="00700FB4">
        <w:rPr>
          <w:rFonts w:ascii="Arial" w:hAnsi="Arial" w:cs="Arial"/>
          <w:i/>
          <w:sz w:val="20"/>
          <w:szCs w:val="20"/>
        </w:rPr>
        <w:t xml:space="preserve"> </w:t>
      </w:r>
      <w:proofErr w:type="spellStart"/>
      <w:r w:rsidRPr="00700FB4">
        <w:rPr>
          <w:rFonts w:ascii="Arial" w:hAnsi="Arial" w:cs="Arial"/>
          <w:i/>
          <w:sz w:val="20"/>
          <w:szCs w:val="20"/>
        </w:rPr>
        <w:t>method</w:t>
      </w:r>
      <w:proofErr w:type="spellEnd"/>
      <w:r w:rsidRPr="00700FB4">
        <w:rPr>
          <w:rFonts w:ascii="Arial" w:hAnsi="Arial" w:cs="Arial"/>
          <w:i/>
          <w:sz w:val="20"/>
          <w:szCs w:val="20"/>
        </w:rPr>
        <w:t xml:space="preserve"> </w:t>
      </w:r>
      <w:proofErr w:type="spellStart"/>
      <w:r w:rsidRPr="00700FB4">
        <w:rPr>
          <w:rFonts w:ascii="Arial" w:hAnsi="Arial" w:cs="Arial"/>
          <w:i/>
          <w:sz w:val="20"/>
          <w:szCs w:val="20"/>
        </w:rPr>
        <w:t>of</w:t>
      </w:r>
      <w:proofErr w:type="spellEnd"/>
      <w:r w:rsidRPr="00700FB4">
        <w:rPr>
          <w:rFonts w:ascii="Arial" w:hAnsi="Arial" w:cs="Arial"/>
          <w:i/>
          <w:sz w:val="20"/>
          <w:szCs w:val="20"/>
        </w:rPr>
        <w:t xml:space="preserve"> </w:t>
      </w:r>
      <w:proofErr w:type="spellStart"/>
      <w:r w:rsidRPr="00700FB4">
        <w:rPr>
          <w:rFonts w:ascii="Arial" w:hAnsi="Arial" w:cs="Arial"/>
          <w:i/>
          <w:sz w:val="20"/>
          <w:szCs w:val="20"/>
        </w:rPr>
        <w:t>delimitation</w:t>
      </w:r>
      <w:proofErr w:type="spellEnd"/>
      <w:r w:rsidRPr="00700FB4">
        <w:rPr>
          <w:rFonts w:ascii="Arial" w:hAnsi="Arial" w:cs="Arial"/>
          <w:sz w:val="20"/>
          <w:szCs w:val="20"/>
        </w:rPr>
        <w:t xml:space="preserve">), kas bija </w:t>
      </w:r>
      <w:r w:rsidR="00031ADF" w:rsidRPr="00700FB4">
        <w:rPr>
          <w:rFonts w:ascii="Arial" w:hAnsi="Arial" w:cs="Arial"/>
          <w:sz w:val="20"/>
          <w:szCs w:val="20"/>
        </w:rPr>
        <w:t xml:space="preserve">nostiprināts ANO Konvencijā par kontinentālo šelfu </w:t>
      </w:r>
      <w:r w:rsidRPr="00700FB4">
        <w:rPr>
          <w:rFonts w:ascii="Arial" w:hAnsi="Arial" w:cs="Arial"/>
          <w:sz w:val="20"/>
          <w:szCs w:val="20"/>
        </w:rPr>
        <w:t xml:space="preserve">(ko vēlāk aizstāja </w:t>
      </w:r>
      <w:r w:rsidR="00BD21CB" w:rsidRPr="00700FB4">
        <w:rPr>
          <w:rFonts w:ascii="Arial" w:hAnsi="Arial" w:cs="Arial"/>
          <w:sz w:val="20"/>
          <w:szCs w:val="20"/>
        </w:rPr>
        <w:t>Jūras k</w:t>
      </w:r>
      <w:r w:rsidRPr="00700FB4">
        <w:rPr>
          <w:rFonts w:ascii="Arial" w:hAnsi="Arial" w:cs="Arial"/>
          <w:sz w:val="20"/>
          <w:szCs w:val="20"/>
        </w:rPr>
        <w:t xml:space="preserve">onvencija), tad Vācijai piederētu mazāka daļa no šelfa, kas savukārt neatbilstu taisnīgas un vienlīdzīgas daļas doktrīnai. Ņemot vērā minēto, ANO Starptautiskā tiesa nolēma, ka, pamatojoties uz vienlīdzīgo daļu doktrīnu, šādos gadījumos var piemērot krasta līnijas garuma kritēriju. Interesanti, ka šajā lietā tiesa definēja kontinentālo šelfu kā piekrastes valsts sauszemes teritorijas “dabisku pagarinājumu” jūrā un zem jūras. </w:t>
      </w:r>
    </w:p>
    <w:p w:rsidR="005912CA" w:rsidRPr="00700FB4" w:rsidRDefault="005912CA" w:rsidP="008C3116">
      <w:pPr>
        <w:pStyle w:val="NoSpacing"/>
        <w:jc w:val="both"/>
        <w:rPr>
          <w:rFonts w:ascii="Arial" w:hAnsi="Arial" w:cs="Arial"/>
          <w:sz w:val="20"/>
          <w:szCs w:val="20"/>
        </w:rPr>
      </w:pPr>
    </w:p>
    <w:p w:rsidR="0014238E" w:rsidRPr="00700FB4" w:rsidRDefault="0014238E" w:rsidP="008C3116">
      <w:pPr>
        <w:pStyle w:val="NoSpacing"/>
        <w:jc w:val="both"/>
        <w:rPr>
          <w:rFonts w:ascii="Arial" w:hAnsi="Arial" w:cs="Arial"/>
          <w:sz w:val="20"/>
          <w:szCs w:val="20"/>
        </w:rPr>
      </w:pPr>
      <w:r w:rsidRPr="00700FB4">
        <w:rPr>
          <w:rFonts w:ascii="Arial" w:hAnsi="Arial" w:cs="Arial"/>
          <w:sz w:val="20"/>
          <w:szCs w:val="20"/>
        </w:rPr>
        <w:t>Šobrīd ANO Starptautiskā tiesa atzīst vienādā attāluma metodi, kas atbilstoši tiesas judikatūrai</w:t>
      </w:r>
      <w:r w:rsidRPr="00700FB4">
        <w:rPr>
          <w:rStyle w:val="FootnoteReference"/>
          <w:rFonts w:ascii="Arial" w:hAnsi="Arial" w:cs="Arial"/>
          <w:sz w:val="20"/>
          <w:szCs w:val="20"/>
        </w:rPr>
        <w:footnoteReference w:id="15"/>
      </w:r>
      <w:r w:rsidRPr="00700FB4">
        <w:rPr>
          <w:rFonts w:ascii="Arial" w:hAnsi="Arial" w:cs="Arial"/>
          <w:sz w:val="20"/>
          <w:szCs w:val="20"/>
        </w:rPr>
        <w:t xml:space="preserve"> ir kodificēta </w:t>
      </w:r>
      <w:r w:rsidR="00BD21CB" w:rsidRPr="00700FB4">
        <w:rPr>
          <w:rFonts w:ascii="Arial" w:hAnsi="Arial" w:cs="Arial"/>
          <w:sz w:val="20"/>
          <w:szCs w:val="20"/>
        </w:rPr>
        <w:t xml:space="preserve">Jūras konvencijas </w:t>
      </w:r>
      <w:r w:rsidRPr="00700FB4">
        <w:rPr>
          <w:rFonts w:ascii="Arial" w:hAnsi="Arial" w:cs="Arial"/>
          <w:sz w:val="20"/>
          <w:szCs w:val="20"/>
        </w:rPr>
        <w:t>15.pantā.</w:t>
      </w:r>
    </w:p>
    <w:p w:rsidR="0014238E" w:rsidRPr="00700FB4" w:rsidRDefault="0014238E" w:rsidP="008C3116">
      <w:pPr>
        <w:pStyle w:val="NoSpacing"/>
        <w:jc w:val="both"/>
        <w:rPr>
          <w:rFonts w:ascii="Arial" w:hAnsi="Arial" w:cs="Arial"/>
          <w:sz w:val="20"/>
          <w:szCs w:val="20"/>
        </w:rPr>
      </w:pPr>
    </w:p>
    <w:p w:rsidR="00A16342" w:rsidRPr="00700FB4" w:rsidRDefault="0014238E" w:rsidP="002C158C">
      <w:pPr>
        <w:pStyle w:val="NoSpacing"/>
        <w:jc w:val="both"/>
        <w:rPr>
          <w:rFonts w:ascii="Arial" w:hAnsi="Arial" w:cs="Arial"/>
          <w:sz w:val="20"/>
          <w:szCs w:val="20"/>
        </w:rPr>
      </w:pPr>
      <w:r w:rsidRPr="00700FB4">
        <w:rPr>
          <w:rFonts w:ascii="Arial" w:hAnsi="Arial" w:cs="Arial"/>
          <w:sz w:val="20"/>
          <w:szCs w:val="20"/>
        </w:rPr>
        <w:t xml:space="preserve">Atbilstoši </w:t>
      </w:r>
      <w:r w:rsidR="00BD21CB" w:rsidRPr="00700FB4">
        <w:rPr>
          <w:rFonts w:ascii="Arial" w:hAnsi="Arial" w:cs="Arial"/>
          <w:sz w:val="20"/>
          <w:szCs w:val="20"/>
        </w:rPr>
        <w:t>Jūras k</w:t>
      </w:r>
      <w:r w:rsidRPr="00700FB4">
        <w:rPr>
          <w:rFonts w:ascii="Arial" w:hAnsi="Arial" w:cs="Arial"/>
          <w:sz w:val="20"/>
          <w:szCs w:val="20"/>
        </w:rPr>
        <w:t>onvencijas 33.pantam zonu, kas pieguļ piekrastes valsts teritoriālajai jūrai, sauc par pieguļošo zonu. Piekrastes valstij ir tiesības noteikt savas pieguļošās zonas platumu līdz robežai, kas nepārsniedz 24 jūras jūdzes, to mērot no bāzes līnijām, no kurām tiek mērīts teritoriālās jūras platums.</w:t>
      </w:r>
      <w:r w:rsidR="00A16342" w:rsidRPr="00700FB4">
        <w:rPr>
          <w:rFonts w:ascii="Arial" w:hAnsi="Arial" w:cs="Arial"/>
          <w:sz w:val="20"/>
          <w:szCs w:val="20"/>
        </w:rPr>
        <w:t xml:space="preserve"> Pieguļošā zona tika izveidota nolūkā racionalizēt valstu savstarpēji konfliktējošo praksi, nosakot dažādas tiesības atklātajā jūrā, kas pieguļ to teritoriālajai jūrai.</w:t>
      </w:r>
      <w:r w:rsidR="00A16342" w:rsidRPr="00700FB4">
        <w:rPr>
          <w:rFonts w:ascii="Arial" w:hAnsi="Arial" w:cs="Arial"/>
          <w:sz w:val="20"/>
          <w:szCs w:val="20"/>
          <w:vertAlign w:val="superscript"/>
        </w:rPr>
        <w:footnoteReference w:id="16"/>
      </w:r>
    </w:p>
    <w:p w:rsidR="00A16342" w:rsidRPr="00700FB4" w:rsidRDefault="00A16342" w:rsidP="002C158C">
      <w:pPr>
        <w:pStyle w:val="NoSpacing"/>
        <w:jc w:val="both"/>
        <w:rPr>
          <w:rFonts w:ascii="Arial" w:hAnsi="Arial" w:cs="Arial"/>
          <w:sz w:val="20"/>
          <w:szCs w:val="20"/>
        </w:rPr>
      </w:pPr>
    </w:p>
    <w:p w:rsidR="00A16342" w:rsidRPr="00700FB4" w:rsidRDefault="0014238E" w:rsidP="002C158C">
      <w:pPr>
        <w:pStyle w:val="NoSpacing"/>
        <w:jc w:val="both"/>
        <w:rPr>
          <w:rFonts w:ascii="Arial" w:hAnsi="Arial" w:cs="Arial"/>
          <w:sz w:val="20"/>
          <w:szCs w:val="20"/>
        </w:rPr>
      </w:pPr>
      <w:r w:rsidRPr="00700FB4">
        <w:rPr>
          <w:rFonts w:ascii="Arial" w:hAnsi="Arial" w:cs="Arial"/>
          <w:sz w:val="20"/>
          <w:szCs w:val="20"/>
        </w:rPr>
        <w:t xml:space="preserve">Saskaņā ar </w:t>
      </w:r>
      <w:r w:rsidR="00D834DB" w:rsidRPr="00700FB4">
        <w:rPr>
          <w:rFonts w:ascii="Arial" w:hAnsi="Arial" w:cs="Arial"/>
          <w:sz w:val="20"/>
          <w:szCs w:val="20"/>
        </w:rPr>
        <w:t xml:space="preserve">Jūras konvencijas </w:t>
      </w:r>
      <w:r w:rsidRPr="00700FB4">
        <w:rPr>
          <w:rFonts w:ascii="Arial" w:hAnsi="Arial" w:cs="Arial"/>
          <w:sz w:val="20"/>
          <w:szCs w:val="20"/>
        </w:rPr>
        <w:t xml:space="preserve">55.pantu </w:t>
      </w:r>
      <w:r w:rsidR="00025BCC" w:rsidRPr="00700FB4">
        <w:rPr>
          <w:rFonts w:ascii="Arial" w:hAnsi="Arial" w:cs="Arial"/>
          <w:sz w:val="20"/>
          <w:szCs w:val="20"/>
        </w:rPr>
        <w:t>Ekskluzīvā zona</w:t>
      </w:r>
      <w:r w:rsidRPr="00700FB4">
        <w:rPr>
          <w:rFonts w:ascii="Arial" w:hAnsi="Arial" w:cs="Arial"/>
          <w:sz w:val="20"/>
          <w:szCs w:val="20"/>
        </w:rPr>
        <w:t xml:space="preserve"> ir rajons, kas atrodas aiz teritoriālās jūras un ir pieguļošs tai</w:t>
      </w:r>
      <w:r w:rsidR="00847D08" w:rsidRPr="00700FB4">
        <w:rPr>
          <w:rFonts w:ascii="Arial" w:hAnsi="Arial" w:cs="Arial"/>
          <w:sz w:val="20"/>
          <w:szCs w:val="20"/>
        </w:rPr>
        <w:t>. Šim rajonam ir</w:t>
      </w:r>
      <w:r w:rsidRPr="00700FB4">
        <w:rPr>
          <w:rFonts w:ascii="Arial" w:hAnsi="Arial" w:cs="Arial"/>
          <w:sz w:val="20"/>
          <w:szCs w:val="20"/>
        </w:rPr>
        <w:t xml:space="preserve"> piemērojams </w:t>
      </w:r>
      <w:r w:rsidR="00D834DB" w:rsidRPr="00700FB4">
        <w:rPr>
          <w:rFonts w:ascii="Arial" w:hAnsi="Arial" w:cs="Arial"/>
          <w:sz w:val="20"/>
          <w:szCs w:val="20"/>
        </w:rPr>
        <w:t xml:space="preserve">Jūras konvencijas </w:t>
      </w:r>
      <w:r w:rsidRPr="00700FB4">
        <w:rPr>
          <w:rFonts w:ascii="Arial" w:hAnsi="Arial" w:cs="Arial"/>
          <w:sz w:val="20"/>
          <w:szCs w:val="20"/>
        </w:rPr>
        <w:t>V</w:t>
      </w:r>
      <w:r w:rsidR="00D834DB" w:rsidRPr="00700FB4">
        <w:rPr>
          <w:rFonts w:ascii="Arial" w:hAnsi="Arial" w:cs="Arial"/>
          <w:sz w:val="20"/>
          <w:szCs w:val="20"/>
        </w:rPr>
        <w:t xml:space="preserve"> </w:t>
      </w:r>
      <w:r w:rsidRPr="00700FB4">
        <w:rPr>
          <w:rFonts w:ascii="Arial" w:hAnsi="Arial" w:cs="Arial"/>
          <w:sz w:val="20"/>
          <w:szCs w:val="20"/>
        </w:rPr>
        <w:t xml:space="preserve">daļā noteiktais īpašais tiesiskais režīms, saskaņā ar kuru piekrastes valsts tiesības un jurisdikciju, un citu valstu tiesības un brīvības regulē </w:t>
      </w:r>
      <w:r w:rsidR="00D834DB" w:rsidRPr="00700FB4">
        <w:rPr>
          <w:rFonts w:ascii="Arial" w:hAnsi="Arial" w:cs="Arial"/>
          <w:sz w:val="20"/>
          <w:szCs w:val="20"/>
        </w:rPr>
        <w:t>Jūras konvencija</w:t>
      </w:r>
      <w:r w:rsidRPr="00700FB4">
        <w:rPr>
          <w:rFonts w:ascii="Arial" w:hAnsi="Arial" w:cs="Arial"/>
          <w:sz w:val="20"/>
          <w:szCs w:val="20"/>
        </w:rPr>
        <w:t xml:space="preserve">. </w:t>
      </w:r>
      <w:r w:rsidR="00D834DB" w:rsidRPr="00700FB4">
        <w:rPr>
          <w:rFonts w:ascii="Arial" w:hAnsi="Arial" w:cs="Arial"/>
          <w:b/>
          <w:sz w:val="20"/>
          <w:szCs w:val="20"/>
        </w:rPr>
        <w:t xml:space="preserve">Ekskluzīvās zonas </w:t>
      </w:r>
      <w:r w:rsidRPr="00700FB4">
        <w:rPr>
          <w:rFonts w:ascii="Arial" w:hAnsi="Arial" w:cs="Arial"/>
          <w:b/>
          <w:sz w:val="20"/>
          <w:szCs w:val="20"/>
        </w:rPr>
        <w:t>platums nedrīkst pārsniegt 200 jūras jūdzes</w:t>
      </w:r>
      <w:r w:rsidRPr="00700FB4">
        <w:rPr>
          <w:rFonts w:ascii="Arial" w:hAnsi="Arial" w:cs="Arial"/>
          <w:sz w:val="20"/>
          <w:szCs w:val="20"/>
        </w:rPr>
        <w:t>, kuras aprēķina no taisnajām bāzes līnijām, no kurām ir mērīts teritoriālās jūras platums.</w:t>
      </w:r>
      <w:r w:rsidR="00A16342" w:rsidRPr="00700FB4">
        <w:rPr>
          <w:rFonts w:ascii="Arial" w:hAnsi="Arial" w:cs="Arial"/>
          <w:sz w:val="20"/>
          <w:szCs w:val="20"/>
        </w:rPr>
        <w:t xml:space="preserve"> Piekrastes valstij ir noteiktas tiesības novērst piesārņojumu un kontrolēt zinātniskos pētījumus tās </w:t>
      </w:r>
      <w:r w:rsidR="00D834DB" w:rsidRPr="00700FB4">
        <w:rPr>
          <w:rFonts w:ascii="Arial" w:hAnsi="Arial" w:cs="Arial"/>
          <w:sz w:val="20"/>
          <w:szCs w:val="20"/>
        </w:rPr>
        <w:t xml:space="preserve">Ekskluzīvā zonā </w:t>
      </w:r>
      <w:r w:rsidR="00A16342" w:rsidRPr="00700FB4">
        <w:rPr>
          <w:rFonts w:ascii="Arial" w:hAnsi="Arial" w:cs="Arial"/>
          <w:sz w:val="20"/>
          <w:szCs w:val="20"/>
        </w:rPr>
        <w:t>(</w:t>
      </w:r>
      <w:r w:rsidR="00D834DB" w:rsidRPr="00700FB4">
        <w:rPr>
          <w:rFonts w:ascii="Arial" w:hAnsi="Arial" w:cs="Arial"/>
          <w:sz w:val="20"/>
          <w:szCs w:val="20"/>
        </w:rPr>
        <w:t xml:space="preserve">Jūras konvencijas </w:t>
      </w:r>
      <w:r w:rsidR="00A16342" w:rsidRPr="00700FB4">
        <w:rPr>
          <w:rFonts w:ascii="Arial" w:hAnsi="Arial" w:cs="Arial"/>
          <w:sz w:val="20"/>
          <w:szCs w:val="20"/>
        </w:rPr>
        <w:t>211.panta piektā un sestā daļa, 220.pants, 246</w:t>
      </w:r>
      <w:r w:rsidR="00847D08" w:rsidRPr="00700FB4">
        <w:rPr>
          <w:rFonts w:ascii="Arial" w:hAnsi="Arial" w:cs="Arial"/>
          <w:sz w:val="20"/>
          <w:szCs w:val="20"/>
        </w:rPr>
        <w:t xml:space="preserve">. – </w:t>
      </w:r>
      <w:r w:rsidR="00A16342" w:rsidRPr="00700FB4">
        <w:rPr>
          <w:rFonts w:ascii="Arial" w:hAnsi="Arial" w:cs="Arial"/>
          <w:sz w:val="20"/>
          <w:szCs w:val="20"/>
        </w:rPr>
        <w:t xml:space="preserve">255.pants), savukārt ārvalstu kuģiem piekrastes valsts </w:t>
      </w:r>
      <w:r w:rsidR="002842BE" w:rsidRPr="00700FB4">
        <w:rPr>
          <w:rFonts w:ascii="Arial" w:hAnsi="Arial" w:cs="Arial"/>
          <w:sz w:val="20"/>
          <w:szCs w:val="20"/>
        </w:rPr>
        <w:t xml:space="preserve">Ekskluzīvā zonā </w:t>
      </w:r>
      <w:r w:rsidR="00A16342" w:rsidRPr="00700FB4">
        <w:rPr>
          <w:rFonts w:ascii="Arial" w:hAnsi="Arial" w:cs="Arial"/>
          <w:sz w:val="20"/>
          <w:szCs w:val="20"/>
        </w:rPr>
        <w:t>ir kuģošanas un pārlidojumu brīvība, kā arī zemūdens cauruļvadu un kabeļu vilkšanas brīvība (Konvencijas 58.pants).</w:t>
      </w:r>
      <w:r w:rsidR="00A16342" w:rsidRPr="00700FB4">
        <w:rPr>
          <w:rFonts w:ascii="Arial" w:hAnsi="Arial" w:cs="Arial"/>
          <w:sz w:val="20"/>
          <w:szCs w:val="20"/>
          <w:vertAlign w:val="superscript"/>
        </w:rPr>
        <w:footnoteReference w:id="17"/>
      </w:r>
    </w:p>
    <w:p w:rsidR="0014238E" w:rsidRPr="00700FB4" w:rsidRDefault="0014238E" w:rsidP="002C158C">
      <w:pPr>
        <w:pStyle w:val="NoSpacing"/>
        <w:jc w:val="both"/>
        <w:rPr>
          <w:rFonts w:ascii="Arial" w:hAnsi="Arial" w:cs="Arial"/>
          <w:sz w:val="20"/>
          <w:szCs w:val="20"/>
        </w:rPr>
      </w:pPr>
    </w:p>
    <w:p w:rsidR="0014238E" w:rsidRPr="00700FB4" w:rsidRDefault="0014238E" w:rsidP="002C158C">
      <w:pPr>
        <w:pStyle w:val="NoSpacing"/>
        <w:jc w:val="both"/>
        <w:rPr>
          <w:rFonts w:ascii="Arial" w:hAnsi="Arial" w:cs="Arial"/>
          <w:sz w:val="20"/>
          <w:szCs w:val="20"/>
        </w:rPr>
      </w:pPr>
      <w:r w:rsidRPr="00700FB4">
        <w:rPr>
          <w:rFonts w:ascii="Arial" w:hAnsi="Arial" w:cs="Arial"/>
          <w:sz w:val="20"/>
          <w:szCs w:val="20"/>
        </w:rPr>
        <w:t xml:space="preserve">ANO Starptautiskā tiesa ir atzinusi un </w:t>
      </w:r>
      <w:r w:rsidR="00D834DB" w:rsidRPr="00700FB4">
        <w:rPr>
          <w:rFonts w:ascii="Arial" w:hAnsi="Arial" w:cs="Arial"/>
          <w:sz w:val="20"/>
          <w:szCs w:val="20"/>
        </w:rPr>
        <w:t xml:space="preserve">Jūras konvencijas </w:t>
      </w:r>
      <w:r w:rsidRPr="00700FB4">
        <w:rPr>
          <w:rFonts w:ascii="Arial" w:hAnsi="Arial" w:cs="Arial"/>
          <w:sz w:val="20"/>
          <w:szCs w:val="20"/>
        </w:rPr>
        <w:t xml:space="preserve">21.pants noteic, ka visu valstu kuģiem – gan piekrastes valstu, gan to valstu, kurām nav izejas uz jūru – ir </w:t>
      </w:r>
      <w:r w:rsidRPr="00700FB4">
        <w:rPr>
          <w:rFonts w:ascii="Arial" w:hAnsi="Arial" w:cs="Arial"/>
          <w:b/>
          <w:sz w:val="20"/>
          <w:szCs w:val="20"/>
        </w:rPr>
        <w:t>miermīlīgas caurbraukšanas tiesības</w:t>
      </w:r>
      <w:r w:rsidRPr="00700FB4">
        <w:rPr>
          <w:rFonts w:ascii="Arial" w:hAnsi="Arial" w:cs="Arial"/>
          <w:sz w:val="20"/>
          <w:szCs w:val="20"/>
        </w:rPr>
        <w:t xml:space="preserve"> (angļu val. – </w:t>
      </w:r>
      <w:proofErr w:type="spellStart"/>
      <w:r w:rsidRPr="00700FB4">
        <w:rPr>
          <w:rFonts w:ascii="Arial" w:hAnsi="Arial" w:cs="Arial"/>
          <w:i/>
          <w:sz w:val="20"/>
          <w:szCs w:val="20"/>
        </w:rPr>
        <w:t>innocent</w:t>
      </w:r>
      <w:proofErr w:type="spellEnd"/>
      <w:r w:rsidRPr="00700FB4">
        <w:rPr>
          <w:rFonts w:ascii="Arial" w:hAnsi="Arial" w:cs="Arial"/>
          <w:i/>
          <w:sz w:val="20"/>
          <w:szCs w:val="20"/>
        </w:rPr>
        <w:t xml:space="preserve"> </w:t>
      </w:r>
      <w:proofErr w:type="spellStart"/>
      <w:r w:rsidRPr="00700FB4">
        <w:rPr>
          <w:rFonts w:ascii="Arial" w:hAnsi="Arial" w:cs="Arial"/>
          <w:i/>
          <w:sz w:val="20"/>
          <w:szCs w:val="20"/>
        </w:rPr>
        <w:t>passage</w:t>
      </w:r>
      <w:proofErr w:type="spellEnd"/>
      <w:r w:rsidRPr="00700FB4">
        <w:rPr>
          <w:rFonts w:ascii="Arial" w:hAnsi="Arial" w:cs="Arial"/>
          <w:sz w:val="20"/>
          <w:szCs w:val="20"/>
        </w:rPr>
        <w:t>) pa teritoriālo jūru.</w:t>
      </w:r>
    </w:p>
    <w:p w:rsidR="005920B1" w:rsidRPr="00700FB4" w:rsidRDefault="005920B1" w:rsidP="002C158C">
      <w:pPr>
        <w:spacing w:after="0" w:line="240" w:lineRule="auto"/>
        <w:rPr>
          <w:rFonts w:ascii="Arial" w:hAnsi="Arial" w:cs="Arial"/>
          <w:sz w:val="20"/>
          <w:szCs w:val="20"/>
        </w:rPr>
      </w:pPr>
    </w:p>
    <w:p w:rsidR="005920B1" w:rsidRPr="00700FB4" w:rsidRDefault="002C158C" w:rsidP="002C158C">
      <w:pPr>
        <w:pStyle w:val="Heading2"/>
      </w:pPr>
      <w:bookmarkStart w:id="4" w:name="_Toc460402321"/>
      <w:r w:rsidRPr="00700FB4">
        <w:t>[1.2</w:t>
      </w:r>
      <w:r w:rsidR="005920B1" w:rsidRPr="00700FB4">
        <w:t>] Jūras plānojums un Latvijas robežas ar kaimiņvalstīm</w:t>
      </w:r>
      <w:bookmarkEnd w:id="4"/>
    </w:p>
    <w:p w:rsidR="005920B1" w:rsidRPr="00700FB4" w:rsidRDefault="005920B1" w:rsidP="002C158C">
      <w:pPr>
        <w:spacing w:after="0" w:line="240" w:lineRule="auto"/>
        <w:jc w:val="both"/>
        <w:rPr>
          <w:rFonts w:ascii="Arial" w:hAnsi="Arial" w:cs="Arial"/>
          <w:sz w:val="20"/>
          <w:szCs w:val="20"/>
        </w:rPr>
      </w:pPr>
      <w:r w:rsidRPr="00700FB4">
        <w:rPr>
          <w:rFonts w:ascii="Arial" w:hAnsi="Arial" w:cs="Arial"/>
          <w:sz w:val="20"/>
          <w:szCs w:val="20"/>
        </w:rPr>
        <w:t>Latvijai ir spēkā esoša jūras robeža ar Igauniju, taču nav spēkā esošas jūras robežas ar Lietuvu un Zviedriju. Tai pašā laikā robežu strīds jūras plānojuma izstrādi neietekmē turpmāk norādīto iemeslu dēļ.</w:t>
      </w:r>
    </w:p>
    <w:p w:rsidR="005920B1" w:rsidRPr="00700FB4" w:rsidRDefault="005920B1" w:rsidP="002C158C">
      <w:pPr>
        <w:spacing w:after="0" w:line="240" w:lineRule="auto"/>
        <w:jc w:val="both"/>
        <w:rPr>
          <w:rFonts w:ascii="Arial" w:hAnsi="Arial" w:cs="Arial"/>
          <w:sz w:val="20"/>
          <w:szCs w:val="20"/>
        </w:rPr>
      </w:pPr>
    </w:p>
    <w:p w:rsidR="005920B1" w:rsidRPr="00700FB4" w:rsidRDefault="005920B1" w:rsidP="002C158C">
      <w:pPr>
        <w:spacing w:after="0" w:line="240" w:lineRule="auto"/>
        <w:jc w:val="both"/>
        <w:rPr>
          <w:rFonts w:ascii="Arial" w:hAnsi="Arial" w:cs="Arial"/>
          <w:sz w:val="20"/>
          <w:szCs w:val="20"/>
        </w:rPr>
      </w:pPr>
      <w:r w:rsidRPr="00700FB4">
        <w:rPr>
          <w:rFonts w:ascii="Arial" w:hAnsi="Arial" w:cs="Arial"/>
          <w:sz w:val="20"/>
          <w:szCs w:val="20"/>
        </w:rPr>
        <w:t xml:space="preserve">Pirmkārt, attiecībā uz Latvijas </w:t>
      </w:r>
      <w:r w:rsidRPr="00700FB4">
        <w:rPr>
          <w:rFonts w:ascii="Arial" w:hAnsi="Arial" w:cs="Arial"/>
          <w:b/>
          <w:sz w:val="20"/>
          <w:szCs w:val="20"/>
        </w:rPr>
        <w:t>jūras robežu ar Igauniju</w:t>
      </w:r>
      <w:r w:rsidRPr="00700FB4">
        <w:rPr>
          <w:rFonts w:ascii="Arial" w:hAnsi="Arial" w:cs="Arial"/>
          <w:sz w:val="20"/>
          <w:szCs w:val="20"/>
        </w:rPr>
        <w:t xml:space="preserve"> – 1996.gada 12.jūlijā parakstīts Latvijas Republikas un Igaunijas Republikas līgums par jūras robežas noteikšanu Rīgas jūras līcī, Irbes šaurumā un Baltijas jūrā. Saskaņā ar šī līguma 4.pantu puses vienojušās informēt viena otru </w:t>
      </w:r>
      <w:r w:rsidRPr="00700FB4">
        <w:rPr>
          <w:rFonts w:ascii="Arial" w:hAnsi="Arial" w:cs="Arial"/>
          <w:sz w:val="20"/>
          <w:szCs w:val="20"/>
        </w:rPr>
        <w:lastRenderedPageBreak/>
        <w:t>par bāzes līniju izmaiņām un par izmaiņām teritoriālās jūras un ekskluzīvās ekonomiskās zonas platumā Rīgas jūras līcī, Irbes šaurumā un Baltijas jūrā.</w:t>
      </w:r>
    </w:p>
    <w:p w:rsidR="005920B1" w:rsidRPr="00700FB4" w:rsidRDefault="005920B1" w:rsidP="002C158C">
      <w:pPr>
        <w:spacing w:after="0" w:line="240" w:lineRule="auto"/>
        <w:jc w:val="both"/>
        <w:rPr>
          <w:rFonts w:ascii="Arial" w:hAnsi="Arial" w:cs="Arial"/>
          <w:sz w:val="20"/>
          <w:szCs w:val="20"/>
        </w:rPr>
      </w:pPr>
    </w:p>
    <w:p w:rsidR="005920B1" w:rsidRPr="00700FB4" w:rsidRDefault="005920B1" w:rsidP="002C158C">
      <w:pPr>
        <w:spacing w:after="0" w:line="240" w:lineRule="auto"/>
        <w:jc w:val="both"/>
        <w:rPr>
          <w:rFonts w:ascii="Arial" w:hAnsi="Arial" w:cs="Arial"/>
          <w:sz w:val="20"/>
          <w:szCs w:val="20"/>
        </w:rPr>
      </w:pPr>
      <w:r w:rsidRPr="00700FB4">
        <w:rPr>
          <w:rFonts w:ascii="Arial" w:hAnsi="Arial" w:cs="Arial"/>
          <w:sz w:val="20"/>
          <w:szCs w:val="20"/>
        </w:rPr>
        <w:t xml:space="preserve">Otrkārt, attiecībā uz </w:t>
      </w:r>
      <w:r w:rsidRPr="00700FB4">
        <w:rPr>
          <w:rFonts w:ascii="Arial" w:hAnsi="Arial" w:cs="Arial"/>
          <w:b/>
          <w:sz w:val="20"/>
          <w:szCs w:val="20"/>
        </w:rPr>
        <w:t>Latvijas</w:t>
      </w:r>
      <w:r w:rsidRPr="00700FB4">
        <w:rPr>
          <w:rFonts w:ascii="Arial" w:hAnsi="Arial" w:cs="Arial"/>
          <w:sz w:val="20"/>
          <w:szCs w:val="20"/>
        </w:rPr>
        <w:t xml:space="preserve"> </w:t>
      </w:r>
      <w:r w:rsidRPr="00700FB4">
        <w:rPr>
          <w:rFonts w:ascii="Arial" w:hAnsi="Arial" w:cs="Arial"/>
          <w:b/>
          <w:sz w:val="20"/>
          <w:szCs w:val="20"/>
        </w:rPr>
        <w:t>jūras robežu ar Lietuvu</w:t>
      </w:r>
      <w:r w:rsidRPr="00700FB4">
        <w:rPr>
          <w:rFonts w:ascii="Arial" w:hAnsi="Arial" w:cs="Arial"/>
          <w:sz w:val="20"/>
          <w:szCs w:val="20"/>
        </w:rPr>
        <w:t xml:space="preserve"> – lai arī Latvija un Lietuva nav vienojušās par jūras robežu, šis strīds neietekmē jūras plānojuma izstrādi.</w:t>
      </w:r>
    </w:p>
    <w:p w:rsidR="005920B1" w:rsidRPr="00700FB4" w:rsidRDefault="005920B1" w:rsidP="002C158C">
      <w:pPr>
        <w:spacing w:after="0" w:line="240" w:lineRule="auto"/>
        <w:jc w:val="both"/>
        <w:rPr>
          <w:rFonts w:ascii="Arial" w:hAnsi="Arial" w:cs="Arial"/>
          <w:sz w:val="20"/>
          <w:szCs w:val="20"/>
        </w:rPr>
      </w:pPr>
    </w:p>
    <w:p w:rsidR="005920B1" w:rsidRPr="00700FB4" w:rsidRDefault="005920B1" w:rsidP="002C158C">
      <w:pPr>
        <w:spacing w:after="0" w:line="240" w:lineRule="auto"/>
        <w:jc w:val="both"/>
        <w:rPr>
          <w:rFonts w:ascii="Arial" w:hAnsi="Arial" w:cs="Arial"/>
          <w:sz w:val="20"/>
          <w:szCs w:val="20"/>
        </w:rPr>
      </w:pPr>
      <w:r w:rsidRPr="00700FB4">
        <w:rPr>
          <w:rFonts w:ascii="Arial" w:hAnsi="Arial" w:cs="Arial"/>
          <w:sz w:val="20"/>
          <w:szCs w:val="20"/>
        </w:rPr>
        <w:t xml:space="preserve">Ārlietu ministrija 2013.gada 15.janvāra vēstulē Nr.21/19-50 paudusi viedokli, ka saskaņā ar Vīnes konvencijas par starptautisko līgumu tiesībām 18.pantu Latvijai jūras telpiskajā plānošanā ir jāvadās pēc 1999.gadā parakstītā Latvijas Republikas un Lietuvas Republikas līguma par teritoriālās jūras, ekskluzīvās ekonomiskās zonas un kontinentālā šelfa robežas noteikšanu Baltijas jūrā nosacījumiem. Savukārt praksē tiek izmantots plānojums atbilstoši </w:t>
      </w:r>
      <w:proofErr w:type="spellStart"/>
      <w:r w:rsidRPr="00700FB4">
        <w:rPr>
          <w:rFonts w:ascii="Arial" w:hAnsi="Arial" w:cs="Arial"/>
          <w:i/>
          <w:sz w:val="20"/>
          <w:szCs w:val="20"/>
        </w:rPr>
        <w:t>de</w:t>
      </w:r>
      <w:proofErr w:type="spellEnd"/>
      <w:r w:rsidRPr="00700FB4">
        <w:rPr>
          <w:rFonts w:ascii="Arial" w:hAnsi="Arial" w:cs="Arial"/>
          <w:i/>
          <w:sz w:val="20"/>
          <w:szCs w:val="20"/>
        </w:rPr>
        <w:t xml:space="preserve"> </w:t>
      </w:r>
      <w:proofErr w:type="spellStart"/>
      <w:r w:rsidRPr="00700FB4">
        <w:rPr>
          <w:rFonts w:ascii="Arial" w:hAnsi="Arial" w:cs="Arial"/>
          <w:i/>
          <w:sz w:val="20"/>
          <w:szCs w:val="20"/>
        </w:rPr>
        <w:t>facto</w:t>
      </w:r>
      <w:proofErr w:type="spellEnd"/>
      <w:r w:rsidRPr="00700FB4">
        <w:rPr>
          <w:rFonts w:ascii="Arial" w:hAnsi="Arial" w:cs="Arial"/>
          <w:sz w:val="20"/>
          <w:szCs w:val="20"/>
        </w:rPr>
        <w:t xml:space="preserve"> robežām, par kurām ir vienojušies un kuras ikdienas darbā izmanto Baltijas jūras hidrogrāfijas dienesti.</w:t>
      </w:r>
    </w:p>
    <w:p w:rsidR="005920B1" w:rsidRPr="00700FB4" w:rsidRDefault="005920B1" w:rsidP="002C158C">
      <w:pPr>
        <w:spacing w:after="0" w:line="240" w:lineRule="auto"/>
        <w:jc w:val="both"/>
        <w:rPr>
          <w:rFonts w:ascii="Arial" w:hAnsi="Arial" w:cs="Arial"/>
          <w:sz w:val="20"/>
          <w:szCs w:val="20"/>
        </w:rPr>
      </w:pPr>
    </w:p>
    <w:p w:rsidR="005920B1" w:rsidRPr="00700FB4" w:rsidRDefault="005920B1" w:rsidP="002C158C">
      <w:pPr>
        <w:spacing w:after="0" w:line="240" w:lineRule="auto"/>
        <w:jc w:val="both"/>
        <w:rPr>
          <w:rFonts w:ascii="Arial" w:hAnsi="Arial" w:cs="Arial"/>
          <w:sz w:val="20"/>
          <w:szCs w:val="20"/>
        </w:rPr>
      </w:pPr>
      <w:r w:rsidRPr="00700FB4">
        <w:rPr>
          <w:rFonts w:ascii="Arial" w:hAnsi="Arial" w:cs="Arial"/>
          <w:sz w:val="20"/>
          <w:szCs w:val="20"/>
        </w:rPr>
        <w:t>Saskaņā ar Latvijas Republikas Vides aizsardzības un reģionālās attīstības ministrijas 2016.gada 3.jūnija vēstulē Nr.18-</w:t>
      </w:r>
      <w:proofErr w:type="spellStart"/>
      <w:r w:rsidRPr="00700FB4">
        <w:rPr>
          <w:rFonts w:ascii="Arial" w:hAnsi="Arial" w:cs="Arial"/>
          <w:sz w:val="20"/>
          <w:szCs w:val="20"/>
        </w:rPr>
        <w:t>le</w:t>
      </w:r>
      <w:proofErr w:type="spellEnd"/>
      <w:r w:rsidRPr="00700FB4">
        <w:rPr>
          <w:rFonts w:ascii="Arial" w:hAnsi="Arial" w:cs="Arial"/>
          <w:sz w:val="20"/>
          <w:szCs w:val="20"/>
        </w:rPr>
        <w:t xml:space="preserve">/4213 pausto 2015.gada decembrī plānojuma un vides pārskata 1.redakcija ir nodota publiskajai apspriešanai, kuras ietvaros norisinājās </w:t>
      </w:r>
      <w:r w:rsidRPr="00700FB4">
        <w:rPr>
          <w:rFonts w:ascii="Arial" w:hAnsi="Arial" w:cs="Arial"/>
          <w:b/>
          <w:sz w:val="20"/>
          <w:szCs w:val="20"/>
        </w:rPr>
        <w:t>pārrobežu stratēģiskā ietekmes uz vidi novērtējuma</w:t>
      </w:r>
      <w:r w:rsidRPr="00700FB4">
        <w:rPr>
          <w:rFonts w:ascii="Arial" w:hAnsi="Arial" w:cs="Arial"/>
          <w:sz w:val="20"/>
          <w:szCs w:val="20"/>
        </w:rPr>
        <w:t xml:space="preserve"> procedūra. Lietuvas Republikas Vides ministrijas pārstāvji ir vienojušies ar </w:t>
      </w:r>
      <w:r w:rsidR="00847D08" w:rsidRPr="00700FB4">
        <w:rPr>
          <w:rFonts w:ascii="Arial" w:hAnsi="Arial" w:cs="Arial"/>
          <w:sz w:val="20"/>
          <w:szCs w:val="20"/>
        </w:rPr>
        <w:t xml:space="preserve">Vides aizsardzības un reģionālās attīstības ministriju </w:t>
      </w:r>
      <w:r w:rsidRPr="00700FB4">
        <w:rPr>
          <w:rFonts w:ascii="Arial" w:hAnsi="Arial" w:cs="Arial"/>
          <w:sz w:val="20"/>
          <w:szCs w:val="20"/>
        </w:rPr>
        <w:t xml:space="preserve">par to, ka Lietuva tiks informēta, ja jūrā tiks uzsākta ogļūdeņražu ieguve (atbilstoši Vīnes konvencijas </w:t>
      </w:r>
      <w:r w:rsidR="00847D08" w:rsidRPr="00700FB4">
        <w:rPr>
          <w:rFonts w:ascii="Arial" w:hAnsi="Arial" w:cs="Arial"/>
          <w:sz w:val="20"/>
          <w:szCs w:val="20"/>
        </w:rPr>
        <w:t xml:space="preserve">par starptautisko līgumu tiesībām </w:t>
      </w:r>
      <w:r w:rsidRPr="00700FB4">
        <w:rPr>
          <w:rFonts w:ascii="Arial" w:hAnsi="Arial" w:cs="Arial"/>
          <w:sz w:val="20"/>
          <w:szCs w:val="20"/>
        </w:rPr>
        <w:t>4.pantam).</w:t>
      </w:r>
    </w:p>
    <w:p w:rsidR="005920B1" w:rsidRPr="00700FB4" w:rsidRDefault="005920B1" w:rsidP="002C158C">
      <w:pPr>
        <w:spacing w:after="0" w:line="240" w:lineRule="auto"/>
        <w:jc w:val="both"/>
        <w:rPr>
          <w:rFonts w:ascii="Arial" w:hAnsi="Arial" w:cs="Arial"/>
          <w:sz w:val="20"/>
          <w:szCs w:val="20"/>
        </w:rPr>
      </w:pPr>
    </w:p>
    <w:p w:rsidR="005920B1" w:rsidRPr="00700FB4" w:rsidRDefault="005920B1" w:rsidP="002C158C">
      <w:pPr>
        <w:spacing w:after="0" w:line="240" w:lineRule="auto"/>
        <w:jc w:val="both"/>
        <w:rPr>
          <w:rFonts w:ascii="Arial" w:hAnsi="Arial" w:cs="Arial"/>
          <w:sz w:val="20"/>
          <w:szCs w:val="20"/>
        </w:rPr>
      </w:pPr>
      <w:r w:rsidRPr="00700FB4">
        <w:rPr>
          <w:rFonts w:ascii="Arial" w:hAnsi="Arial" w:cs="Arial"/>
          <w:sz w:val="20"/>
          <w:szCs w:val="20"/>
        </w:rPr>
        <w:t xml:space="preserve">Latvijas Republikas Ārlietu ministrija ar 2016.gada 17.jūnija vēstuli Nr. 21/354-2203 ir informējusi, ka abu valstu Ārlietu ministriju vadībā tiek risinātas sarunas par Latvijas Republikas valdības un Lietuvas Republikas valdības līguma par ekonomisko sadarbību ekskluzīvajā ekonomiskajā zonā un kontinentālajā šelfā Baltijas jūrā projekta izstrādi, kam ir politisks atbalsts no abu valstu amatpersonām visaugstākajā līmenī. Tāpat attiecībā uz Lietuvas puses komentāru, ka “jūras telpiskā plānojuma risinājumu izstrādes procesā būtisks solis ir robežlīguma stāšanās spēkā”, norādīts, ka būtu jāņem vērā, ka robežlīguma būtība un mērķis ir jūras robežas noteikšana starp Latviju un Lietuvu. Jūras plānojuma izstrāde tiešā veidā nav uzskatāma par robežlīguma būtību un mērķi. Līdz ar to plānojuma izstrāde nevarētu kavēt robežlīguma izpildi pēc tā spēkā stāšanās, un otrādi – robežlīguma izpildei vai šā brīža statusam nevajadzētu kavēt jūras </w:t>
      </w:r>
      <w:r w:rsidR="00847D08" w:rsidRPr="00700FB4">
        <w:rPr>
          <w:rFonts w:ascii="Arial" w:hAnsi="Arial" w:cs="Arial"/>
          <w:sz w:val="20"/>
          <w:szCs w:val="20"/>
        </w:rPr>
        <w:t xml:space="preserve">plānojuma izstrādi un apstiprināšanu. </w:t>
      </w:r>
    </w:p>
    <w:p w:rsidR="005920B1" w:rsidRPr="00700FB4" w:rsidRDefault="005920B1" w:rsidP="002C158C">
      <w:pPr>
        <w:spacing w:after="0" w:line="240" w:lineRule="auto"/>
        <w:jc w:val="both"/>
        <w:rPr>
          <w:rFonts w:ascii="Arial" w:hAnsi="Arial" w:cs="Arial"/>
          <w:sz w:val="20"/>
          <w:szCs w:val="20"/>
        </w:rPr>
      </w:pPr>
    </w:p>
    <w:p w:rsidR="005920B1" w:rsidRPr="00700FB4" w:rsidRDefault="005920B1" w:rsidP="002C158C">
      <w:pPr>
        <w:spacing w:after="0" w:line="240" w:lineRule="auto"/>
        <w:jc w:val="both"/>
        <w:rPr>
          <w:rFonts w:ascii="Arial" w:hAnsi="Arial" w:cs="Arial"/>
          <w:sz w:val="20"/>
          <w:szCs w:val="20"/>
        </w:rPr>
      </w:pPr>
      <w:r w:rsidRPr="00700FB4">
        <w:rPr>
          <w:rFonts w:ascii="Arial" w:hAnsi="Arial" w:cs="Arial"/>
          <w:sz w:val="20"/>
          <w:szCs w:val="20"/>
        </w:rPr>
        <w:t xml:space="preserve">Treškārt, attiecībā uz Latvijas </w:t>
      </w:r>
      <w:r w:rsidRPr="00700FB4">
        <w:rPr>
          <w:rFonts w:ascii="Arial" w:hAnsi="Arial" w:cs="Arial"/>
          <w:b/>
          <w:sz w:val="20"/>
          <w:szCs w:val="20"/>
        </w:rPr>
        <w:t>jūras robežu ar Zviedriju</w:t>
      </w:r>
      <w:r w:rsidR="00847D08" w:rsidRPr="00700FB4">
        <w:rPr>
          <w:rFonts w:ascii="Arial" w:hAnsi="Arial" w:cs="Arial"/>
          <w:sz w:val="20"/>
          <w:szCs w:val="20"/>
        </w:rPr>
        <w:t xml:space="preserve"> jānorāda, ka pē</w:t>
      </w:r>
      <w:r w:rsidRPr="00700FB4">
        <w:rPr>
          <w:rFonts w:ascii="Arial" w:hAnsi="Arial" w:cs="Arial"/>
          <w:sz w:val="20"/>
          <w:szCs w:val="20"/>
        </w:rPr>
        <w:t xml:space="preserve">c Latvijas neatkarības atjaunošanas nav noslēgts jūras robežlīgums ar Zviedriju. Līdz ar to valstu starpā nav juridiski spēkā esošas jūras robežlīnijas. Taču pastāv </w:t>
      </w:r>
      <w:proofErr w:type="spellStart"/>
      <w:r w:rsidRPr="00700FB4">
        <w:rPr>
          <w:rFonts w:ascii="Arial" w:hAnsi="Arial" w:cs="Arial"/>
          <w:i/>
          <w:sz w:val="20"/>
          <w:szCs w:val="20"/>
        </w:rPr>
        <w:t>de</w:t>
      </w:r>
      <w:proofErr w:type="spellEnd"/>
      <w:r w:rsidRPr="00700FB4">
        <w:rPr>
          <w:rFonts w:ascii="Arial" w:hAnsi="Arial" w:cs="Arial"/>
          <w:i/>
          <w:sz w:val="20"/>
          <w:szCs w:val="20"/>
        </w:rPr>
        <w:t xml:space="preserve"> </w:t>
      </w:r>
      <w:proofErr w:type="spellStart"/>
      <w:r w:rsidRPr="00700FB4">
        <w:rPr>
          <w:rFonts w:ascii="Arial" w:hAnsi="Arial" w:cs="Arial"/>
          <w:i/>
          <w:sz w:val="20"/>
          <w:szCs w:val="20"/>
        </w:rPr>
        <w:t>facto</w:t>
      </w:r>
      <w:proofErr w:type="spellEnd"/>
      <w:r w:rsidRPr="00700FB4">
        <w:rPr>
          <w:rFonts w:ascii="Arial" w:hAnsi="Arial" w:cs="Arial"/>
          <w:sz w:val="20"/>
          <w:szCs w:val="20"/>
        </w:rPr>
        <w:t xml:space="preserve"> robežas līnija, saskaņā ar kuru abu valstu kompetentās</w:t>
      </w:r>
      <w:r w:rsidR="002C158C" w:rsidRPr="00700FB4">
        <w:rPr>
          <w:rFonts w:ascii="Arial" w:hAnsi="Arial" w:cs="Arial"/>
          <w:sz w:val="20"/>
          <w:szCs w:val="20"/>
        </w:rPr>
        <w:t xml:space="preserve"> institūcijas sadarbojas (</w:t>
      </w:r>
      <w:r w:rsidRPr="00700FB4">
        <w:rPr>
          <w:rFonts w:ascii="Arial" w:hAnsi="Arial" w:cs="Arial"/>
          <w:sz w:val="20"/>
          <w:szCs w:val="20"/>
        </w:rPr>
        <w:t xml:space="preserve">veic kontroli savās attiecīgajās jūras teritorijās – ekskluzīvajā ekonomiskajā zonā un kontinentālajā šelfā) un ko abas valstis respektē. Tādēļ jūras plānojuma izstrādi </w:t>
      </w:r>
      <w:r w:rsidR="00847D08" w:rsidRPr="00700FB4">
        <w:rPr>
          <w:rFonts w:ascii="Arial" w:hAnsi="Arial" w:cs="Arial"/>
          <w:sz w:val="20"/>
          <w:szCs w:val="20"/>
        </w:rPr>
        <w:t xml:space="preserve">un apstiprināšanu </w:t>
      </w:r>
      <w:r w:rsidRPr="00700FB4">
        <w:rPr>
          <w:rFonts w:ascii="Arial" w:hAnsi="Arial" w:cs="Arial"/>
          <w:sz w:val="20"/>
          <w:szCs w:val="20"/>
        </w:rPr>
        <w:t>neietekmē fakts, ka Latvijai nav spēkā esošas vienošanās par jūras robežu ar Zviedriju.</w:t>
      </w:r>
    </w:p>
    <w:p w:rsidR="005920B1" w:rsidRPr="00700FB4" w:rsidRDefault="005920B1" w:rsidP="002C158C">
      <w:pPr>
        <w:spacing w:after="0" w:line="240" w:lineRule="auto"/>
        <w:jc w:val="both"/>
        <w:rPr>
          <w:rFonts w:ascii="Arial" w:hAnsi="Arial" w:cs="Arial"/>
          <w:sz w:val="20"/>
          <w:szCs w:val="20"/>
        </w:rPr>
      </w:pPr>
    </w:p>
    <w:p w:rsidR="005920B1" w:rsidRPr="00700FB4" w:rsidRDefault="005920B1" w:rsidP="002C158C">
      <w:pPr>
        <w:spacing w:after="0" w:line="240" w:lineRule="auto"/>
        <w:jc w:val="both"/>
        <w:rPr>
          <w:rFonts w:ascii="Arial" w:hAnsi="Arial" w:cs="Arial"/>
          <w:sz w:val="20"/>
          <w:szCs w:val="20"/>
        </w:rPr>
      </w:pPr>
      <w:r w:rsidRPr="00700FB4">
        <w:rPr>
          <w:rFonts w:ascii="Arial" w:hAnsi="Arial" w:cs="Arial"/>
          <w:sz w:val="20"/>
          <w:szCs w:val="20"/>
        </w:rPr>
        <w:t xml:space="preserve">Turklāt Igaunijas Republika, Latvijas Republika un Zviedrijas Karaliste, vēloties noteikt punktu Baltijas jūrā, kurā sakrīt triju valstu jūras robežas, ir 1997.gada 30.aprīlī ir parakstījušas </w:t>
      </w:r>
      <w:r w:rsidRPr="00700FB4">
        <w:rPr>
          <w:rFonts w:ascii="Arial" w:hAnsi="Arial" w:cs="Arial"/>
          <w:b/>
          <w:sz w:val="20"/>
          <w:szCs w:val="20"/>
        </w:rPr>
        <w:t>līgumu par kopīgo jūras robežas punktu Baltijas jūrā</w:t>
      </w:r>
      <w:r w:rsidRPr="00700FB4">
        <w:rPr>
          <w:rFonts w:ascii="Arial" w:hAnsi="Arial" w:cs="Arial"/>
          <w:sz w:val="20"/>
          <w:szCs w:val="20"/>
        </w:rPr>
        <w:t>.</w:t>
      </w:r>
    </w:p>
    <w:p w:rsidR="00126EEA" w:rsidRPr="00700FB4" w:rsidRDefault="00126EEA" w:rsidP="002C158C">
      <w:pPr>
        <w:spacing w:line="240" w:lineRule="auto"/>
        <w:rPr>
          <w:rFonts w:ascii="Arial" w:hAnsi="Arial" w:cs="Arial"/>
          <w:sz w:val="20"/>
          <w:szCs w:val="20"/>
        </w:rPr>
      </w:pPr>
      <w:r w:rsidRPr="00700FB4">
        <w:rPr>
          <w:rFonts w:ascii="Arial" w:hAnsi="Arial" w:cs="Arial"/>
          <w:sz w:val="20"/>
          <w:szCs w:val="20"/>
        </w:rPr>
        <w:br w:type="page"/>
      </w:r>
    </w:p>
    <w:p w:rsidR="0014238E" w:rsidRPr="00700FB4" w:rsidRDefault="0014238E" w:rsidP="00665269">
      <w:pPr>
        <w:pStyle w:val="Heading1"/>
      </w:pPr>
      <w:bookmarkStart w:id="5" w:name="_Toc460402322"/>
      <w:r w:rsidRPr="00700FB4">
        <w:lastRenderedPageBreak/>
        <w:t>[2] Eiropas Savienības tiesību regulējums</w:t>
      </w:r>
      <w:bookmarkEnd w:id="5"/>
      <w:r w:rsidRPr="00700FB4">
        <w:t xml:space="preserve"> </w:t>
      </w:r>
    </w:p>
    <w:p w:rsidR="00392247" w:rsidRDefault="00392247" w:rsidP="00665269">
      <w:pPr>
        <w:pStyle w:val="Heading2"/>
      </w:pPr>
    </w:p>
    <w:p w:rsidR="0014238E" w:rsidRPr="00700FB4" w:rsidRDefault="0014238E" w:rsidP="00665269">
      <w:pPr>
        <w:pStyle w:val="Heading2"/>
      </w:pPr>
      <w:bookmarkStart w:id="6" w:name="_Toc460402323"/>
      <w:r w:rsidRPr="00700FB4">
        <w:t>[2.1] Jūras stratēģijas pamatdirektīva</w:t>
      </w:r>
      <w:bookmarkEnd w:id="6"/>
    </w:p>
    <w:p w:rsidR="0014238E" w:rsidRPr="00700FB4" w:rsidRDefault="0014238E" w:rsidP="008C3116">
      <w:pPr>
        <w:pStyle w:val="NoSpacing"/>
        <w:jc w:val="both"/>
        <w:rPr>
          <w:rFonts w:ascii="Arial" w:hAnsi="Arial" w:cs="Arial"/>
          <w:sz w:val="20"/>
          <w:szCs w:val="20"/>
        </w:rPr>
      </w:pPr>
      <w:r w:rsidRPr="00700FB4">
        <w:rPr>
          <w:rFonts w:ascii="Arial" w:hAnsi="Arial" w:cs="Arial"/>
          <w:sz w:val="20"/>
          <w:szCs w:val="20"/>
        </w:rPr>
        <w:t xml:space="preserve">Eiropas jūras vide cieš no dažādas ietekmes, kas kaitē jūras ekosistēmas veselībai, tādēļ ES ir pieņēmusi </w:t>
      </w:r>
      <w:r w:rsidRPr="00700FB4">
        <w:rPr>
          <w:rFonts w:ascii="Arial" w:hAnsi="Arial" w:cs="Arial"/>
          <w:b/>
          <w:sz w:val="20"/>
          <w:szCs w:val="20"/>
        </w:rPr>
        <w:t>Direktīvu 2008/56/EK</w:t>
      </w:r>
      <w:r w:rsidR="00025BCC" w:rsidRPr="00700FB4">
        <w:rPr>
          <w:rFonts w:ascii="Arial" w:hAnsi="Arial" w:cs="Arial"/>
          <w:b/>
          <w:sz w:val="20"/>
          <w:szCs w:val="20"/>
        </w:rPr>
        <w:t xml:space="preserve"> </w:t>
      </w:r>
      <w:r w:rsidR="00025BCC" w:rsidRPr="00700FB4">
        <w:rPr>
          <w:rFonts w:ascii="Arial" w:hAnsi="Arial" w:cs="Arial"/>
          <w:sz w:val="20"/>
          <w:szCs w:val="20"/>
        </w:rPr>
        <w:t>(2008.gada 17.jūnijs)</w:t>
      </w:r>
      <w:r w:rsidRPr="00700FB4">
        <w:rPr>
          <w:rFonts w:ascii="Arial" w:hAnsi="Arial" w:cs="Arial"/>
          <w:sz w:val="20"/>
          <w:szCs w:val="20"/>
        </w:rPr>
        <w:t>, ar ko izveido sistēmu Kopienas rīcī</w:t>
      </w:r>
      <w:r w:rsidR="00847D08" w:rsidRPr="00700FB4">
        <w:rPr>
          <w:rFonts w:ascii="Arial" w:hAnsi="Arial" w:cs="Arial"/>
          <w:sz w:val="20"/>
          <w:szCs w:val="20"/>
        </w:rPr>
        <w:t>bai jūras vides politikas jomā</w:t>
      </w:r>
      <w:r w:rsidR="005912CA" w:rsidRPr="00700FB4">
        <w:rPr>
          <w:rFonts w:ascii="Arial" w:hAnsi="Arial" w:cs="Arial"/>
          <w:sz w:val="20"/>
          <w:szCs w:val="20"/>
        </w:rPr>
        <w:t xml:space="preserve">. Tā paredz </w:t>
      </w:r>
      <w:r w:rsidRPr="00700FB4">
        <w:rPr>
          <w:rFonts w:ascii="Arial" w:hAnsi="Arial" w:cs="Arial"/>
          <w:sz w:val="20"/>
          <w:szCs w:val="20"/>
        </w:rPr>
        <w:t>vienotu sistēmu un mērķus kaitīgo cilvēka darbību novēršanai un jūras vides aizsardzībai un saglabāšanai.</w:t>
      </w:r>
    </w:p>
    <w:p w:rsidR="0014238E" w:rsidRPr="00700FB4" w:rsidRDefault="0014238E" w:rsidP="008C3116">
      <w:pPr>
        <w:pStyle w:val="NoSpacing"/>
        <w:jc w:val="both"/>
        <w:rPr>
          <w:rFonts w:ascii="Arial" w:hAnsi="Arial" w:cs="Arial"/>
          <w:sz w:val="20"/>
          <w:szCs w:val="20"/>
        </w:rPr>
      </w:pPr>
    </w:p>
    <w:p w:rsidR="0014238E" w:rsidRPr="00700FB4" w:rsidRDefault="00FD0810" w:rsidP="008C3116">
      <w:pPr>
        <w:pStyle w:val="NoSpacing"/>
        <w:jc w:val="both"/>
        <w:rPr>
          <w:rFonts w:ascii="Arial" w:hAnsi="Arial" w:cs="Arial"/>
          <w:sz w:val="20"/>
          <w:szCs w:val="20"/>
        </w:rPr>
      </w:pPr>
      <w:r w:rsidRPr="00700FB4">
        <w:rPr>
          <w:rFonts w:ascii="Arial" w:hAnsi="Arial" w:cs="Arial"/>
          <w:sz w:val="20"/>
          <w:szCs w:val="20"/>
        </w:rPr>
        <w:t xml:space="preserve">Jūras stratēģijas pamatdirektīvā </w:t>
      </w:r>
      <w:r w:rsidR="0014238E" w:rsidRPr="00700FB4">
        <w:rPr>
          <w:rFonts w:ascii="Arial" w:hAnsi="Arial" w:cs="Arial"/>
          <w:sz w:val="20"/>
          <w:szCs w:val="20"/>
        </w:rPr>
        <w:t xml:space="preserve">ir noteiktas minimālās prasības </w:t>
      </w:r>
      <w:r w:rsidRPr="00700FB4">
        <w:rPr>
          <w:rFonts w:ascii="Arial" w:hAnsi="Arial" w:cs="Arial"/>
          <w:sz w:val="20"/>
          <w:szCs w:val="20"/>
        </w:rPr>
        <w:t xml:space="preserve">visām </w:t>
      </w:r>
      <w:r w:rsidR="0014238E" w:rsidRPr="00700FB4">
        <w:rPr>
          <w:rFonts w:ascii="Arial" w:hAnsi="Arial" w:cs="Arial"/>
          <w:sz w:val="20"/>
          <w:szCs w:val="20"/>
        </w:rPr>
        <w:t xml:space="preserve">ES valstīm – izstrādāt stratēģijas, lai aizsargātu jūras ekosistēmu un nodrošinātu, ka ar jūras vidi saistītās darbības ir ilgtspējīgas. </w:t>
      </w:r>
      <w:r w:rsidRPr="00700FB4">
        <w:rPr>
          <w:rFonts w:ascii="Arial" w:hAnsi="Arial" w:cs="Arial"/>
          <w:sz w:val="20"/>
          <w:szCs w:val="20"/>
        </w:rPr>
        <w:t xml:space="preserve">Tā </w:t>
      </w:r>
      <w:r w:rsidR="0014238E" w:rsidRPr="00700FB4">
        <w:rPr>
          <w:rFonts w:ascii="Arial" w:hAnsi="Arial" w:cs="Arial"/>
          <w:sz w:val="20"/>
          <w:szCs w:val="20"/>
        </w:rPr>
        <w:t xml:space="preserve">ļauj nodrošināt sadarbību jūras reģionos (Atlantijas okeāna ziemeļaustrumu daļa, Baltijas jūra, Vidusjūra un Melnā jūra), izveidojot </w:t>
      </w:r>
      <w:r w:rsidR="00EB2C51" w:rsidRPr="00700FB4">
        <w:rPr>
          <w:rFonts w:ascii="Arial" w:hAnsi="Arial" w:cs="Arial"/>
          <w:sz w:val="20"/>
          <w:szCs w:val="20"/>
        </w:rPr>
        <w:t>reģionālās konvencijas, piemēram, HELCOM Baltijas jūrai</w:t>
      </w:r>
      <w:r w:rsidR="0014238E" w:rsidRPr="00700FB4">
        <w:rPr>
          <w:rFonts w:ascii="Arial" w:hAnsi="Arial" w:cs="Arial"/>
          <w:sz w:val="20"/>
          <w:szCs w:val="20"/>
        </w:rPr>
        <w:t>. Šīs programmas ietver pasākumus kopīgu mērķu sasniegšanai nolūkā līdz 2020.gadam panākt “labu vides stāvokli”. Termins “labs vides stāvoklis” attiecas uz daudzveidīgiem un dinamiskiem okeāniem un jūrām, kas ir tīras, veselīgas un produktīvas.</w:t>
      </w:r>
    </w:p>
    <w:p w:rsidR="0014238E" w:rsidRPr="00700FB4" w:rsidRDefault="0014238E" w:rsidP="008C3116">
      <w:pPr>
        <w:pStyle w:val="NoSpacing"/>
        <w:jc w:val="both"/>
        <w:rPr>
          <w:rFonts w:ascii="Arial" w:hAnsi="Arial" w:cs="Arial"/>
          <w:sz w:val="20"/>
          <w:szCs w:val="20"/>
        </w:rPr>
      </w:pPr>
    </w:p>
    <w:p w:rsidR="0014238E" w:rsidRPr="00700FB4" w:rsidRDefault="0014238E" w:rsidP="008C3116">
      <w:pPr>
        <w:pStyle w:val="NoSpacing"/>
        <w:jc w:val="both"/>
        <w:rPr>
          <w:rFonts w:ascii="Arial" w:hAnsi="Arial" w:cs="Arial"/>
          <w:sz w:val="20"/>
          <w:szCs w:val="20"/>
        </w:rPr>
      </w:pPr>
      <w:r w:rsidRPr="00700FB4">
        <w:rPr>
          <w:rFonts w:ascii="Arial" w:hAnsi="Arial" w:cs="Arial"/>
          <w:sz w:val="20"/>
          <w:szCs w:val="20"/>
        </w:rPr>
        <w:t xml:space="preserve">Mērķis ir nodrošināt, ka jūras vide tiek saglabāta pašreizējai un turpmākajām paaudzēm. </w:t>
      </w:r>
      <w:r w:rsidR="005912CA" w:rsidRPr="00700FB4">
        <w:rPr>
          <w:rFonts w:ascii="Arial" w:hAnsi="Arial" w:cs="Arial"/>
          <w:sz w:val="20"/>
          <w:szCs w:val="20"/>
        </w:rPr>
        <w:t xml:space="preserve">Jūras stratēģijas pamatdirektīva </w:t>
      </w:r>
      <w:r w:rsidRPr="00700FB4">
        <w:rPr>
          <w:rFonts w:ascii="Arial" w:hAnsi="Arial" w:cs="Arial"/>
          <w:sz w:val="20"/>
          <w:szCs w:val="20"/>
        </w:rPr>
        <w:t>palīdz arī izveidot pasaules mēroga aizsargājamu jūras teritoriju tīklu un uzsākt dialogu ar valstīm ārpus ES. ES valstīm ir jānovērtē savu jūras ūdeņu vides stāvoklis un cilvēku darbības ietekme (tostarp jāveic sociālā un ekonomiskā analīze). Valstīm, kuras strādā vienā jūras reģionā, savas darbības ir jāsaskaņo.</w:t>
      </w:r>
    </w:p>
    <w:p w:rsidR="0014238E" w:rsidRPr="00700FB4" w:rsidRDefault="0014238E" w:rsidP="008C3116">
      <w:pPr>
        <w:pStyle w:val="NoSpacing"/>
        <w:jc w:val="both"/>
        <w:rPr>
          <w:rFonts w:ascii="Arial" w:hAnsi="Arial" w:cs="Arial"/>
          <w:sz w:val="20"/>
          <w:szCs w:val="20"/>
        </w:rPr>
      </w:pPr>
    </w:p>
    <w:p w:rsidR="00AE4B0F" w:rsidRPr="00700FB4" w:rsidRDefault="005044BD" w:rsidP="00665269">
      <w:pPr>
        <w:pStyle w:val="Heading2"/>
      </w:pPr>
      <w:bookmarkStart w:id="7" w:name="_Toc460402324"/>
      <w:r w:rsidRPr="00700FB4">
        <w:t xml:space="preserve">[2.2] </w:t>
      </w:r>
      <w:r w:rsidR="00AE4B0F" w:rsidRPr="00700FB4">
        <w:t>Jūras telpiskās plānošanas regulējums</w:t>
      </w:r>
      <w:bookmarkEnd w:id="7"/>
    </w:p>
    <w:p w:rsidR="0014238E" w:rsidRPr="00700FB4" w:rsidRDefault="0014238E" w:rsidP="008C3116">
      <w:pPr>
        <w:pStyle w:val="NoSpacing"/>
        <w:jc w:val="both"/>
        <w:rPr>
          <w:rFonts w:ascii="Arial" w:hAnsi="Arial" w:cs="Arial"/>
          <w:sz w:val="20"/>
          <w:szCs w:val="20"/>
        </w:rPr>
      </w:pPr>
      <w:r w:rsidRPr="00700FB4">
        <w:rPr>
          <w:rFonts w:ascii="Arial" w:hAnsi="Arial" w:cs="Arial"/>
          <w:sz w:val="20"/>
          <w:szCs w:val="20"/>
        </w:rPr>
        <w:t>Jūras stratēģijas pamatdirektīva kalpo kā vides pamatnostādnes</w:t>
      </w:r>
      <w:r w:rsidR="00031ADF" w:rsidRPr="00700FB4">
        <w:rPr>
          <w:rFonts w:ascii="Arial" w:hAnsi="Arial" w:cs="Arial"/>
          <w:sz w:val="20"/>
          <w:szCs w:val="20"/>
        </w:rPr>
        <w:t xml:space="preserve"> </w:t>
      </w:r>
      <w:r w:rsidRPr="00700FB4">
        <w:rPr>
          <w:rFonts w:ascii="Arial" w:hAnsi="Arial" w:cs="Arial"/>
          <w:b/>
          <w:sz w:val="20"/>
          <w:szCs w:val="20"/>
        </w:rPr>
        <w:t>Direktīvai 2014/89/ES</w:t>
      </w:r>
      <w:r w:rsidRPr="00700FB4">
        <w:rPr>
          <w:rFonts w:ascii="Arial" w:hAnsi="Arial" w:cs="Arial"/>
          <w:sz w:val="20"/>
          <w:szCs w:val="20"/>
        </w:rPr>
        <w:t xml:space="preserve"> (2014.gada 23.jūlijs), ar ko izveido jūra</w:t>
      </w:r>
      <w:r w:rsidR="00847D08" w:rsidRPr="00700FB4">
        <w:rPr>
          <w:rFonts w:ascii="Arial" w:hAnsi="Arial" w:cs="Arial"/>
          <w:sz w:val="20"/>
          <w:szCs w:val="20"/>
        </w:rPr>
        <w:t>s telpiskās plānošanas satvaru</w:t>
      </w:r>
      <w:r w:rsidRPr="00700FB4">
        <w:rPr>
          <w:rFonts w:ascii="Arial" w:hAnsi="Arial" w:cs="Arial"/>
          <w:sz w:val="20"/>
          <w:szCs w:val="20"/>
        </w:rPr>
        <w:t xml:space="preserve">, kas </w:t>
      </w:r>
      <w:r w:rsidR="00847D08" w:rsidRPr="00700FB4">
        <w:rPr>
          <w:rFonts w:ascii="Arial" w:hAnsi="Arial" w:cs="Arial"/>
          <w:sz w:val="20"/>
          <w:szCs w:val="20"/>
        </w:rPr>
        <w:t xml:space="preserve">šo vadlīniju sagatavošanā </w:t>
      </w:r>
      <w:r w:rsidRPr="00700FB4">
        <w:rPr>
          <w:rFonts w:ascii="Arial" w:hAnsi="Arial" w:cs="Arial"/>
          <w:sz w:val="20"/>
          <w:szCs w:val="20"/>
        </w:rPr>
        <w:t>ir viens no vissvarīgākajiem ES normatīvajiem aktiem. Jūras stratēģijas pamatdirektīva ir Jūras telpiskās plānošanas direktīvas “vides aspekta balsts”.</w:t>
      </w:r>
      <w:r w:rsidRPr="00700FB4">
        <w:rPr>
          <w:rStyle w:val="FootnoteReference"/>
          <w:rFonts w:ascii="Arial" w:hAnsi="Arial" w:cs="Arial"/>
          <w:sz w:val="20"/>
          <w:szCs w:val="20"/>
        </w:rPr>
        <w:footnoteReference w:id="18"/>
      </w:r>
    </w:p>
    <w:p w:rsidR="0014238E" w:rsidRPr="00700FB4" w:rsidRDefault="0014238E" w:rsidP="008C3116">
      <w:pPr>
        <w:pStyle w:val="NoSpacing"/>
        <w:jc w:val="both"/>
        <w:rPr>
          <w:rFonts w:ascii="Arial" w:hAnsi="Arial" w:cs="Arial"/>
          <w:sz w:val="20"/>
          <w:szCs w:val="20"/>
        </w:rPr>
      </w:pPr>
    </w:p>
    <w:p w:rsidR="00A85681" w:rsidRPr="00700FB4" w:rsidRDefault="00A85681" w:rsidP="008C3116">
      <w:pPr>
        <w:pStyle w:val="NoSpacing"/>
        <w:jc w:val="both"/>
        <w:rPr>
          <w:rFonts w:ascii="Arial" w:hAnsi="Arial" w:cs="Arial"/>
          <w:sz w:val="20"/>
          <w:szCs w:val="20"/>
        </w:rPr>
      </w:pPr>
      <w:r w:rsidRPr="00700FB4">
        <w:rPr>
          <w:rFonts w:ascii="Arial" w:hAnsi="Arial" w:cs="Arial"/>
          <w:sz w:val="20"/>
          <w:szCs w:val="20"/>
        </w:rPr>
        <w:t xml:space="preserve">Jūras telpiskās plānošanas direktīva </w:t>
      </w:r>
      <w:r w:rsidR="0014238E" w:rsidRPr="00700FB4">
        <w:rPr>
          <w:rFonts w:ascii="Arial" w:hAnsi="Arial" w:cs="Arial"/>
          <w:sz w:val="20"/>
          <w:szCs w:val="20"/>
        </w:rPr>
        <w:t xml:space="preserve">nosaka ES valstu kopīgo pieeju jūras teritoriju plānošanai. Tādējādi ikviena ES valsts var pati plānot savas jūras darbības, taču šis plānošanas process tagad ir savietojamāks ar citiem procesiem ES neatkarīgi no tā, vai tas notiek valsts, reģiona vai vietējā līmenī, pateicoties kopīga grafika un kopīgu minimālo prasību ieviešanai. Jaunā regulējuma mērķis ir sekmēt ilgtspējīgu jūras ekonomikas jeb ES “Jūras nozaru ekonomikas” izaugsmi, jūras teritoriju attīstību un jūras resursu izlietojumu. </w:t>
      </w:r>
    </w:p>
    <w:p w:rsidR="00A85681" w:rsidRPr="00700FB4" w:rsidRDefault="00A85681" w:rsidP="008C3116">
      <w:pPr>
        <w:pStyle w:val="NoSpacing"/>
        <w:jc w:val="both"/>
        <w:rPr>
          <w:rFonts w:ascii="Arial" w:hAnsi="Arial" w:cs="Arial"/>
          <w:sz w:val="20"/>
          <w:szCs w:val="20"/>
        </w:rPr>
      </w:pPr>
    </w:p>
    <w:p w:rsidR="0014238E" w:rsidRPr="00700FB4" w:rsidRDefault="00A85681" w:rsidP="008C3116">
      <w:pPr>
        <w:pStyle w:val="NoSpacing"/>
        <w:jc w:val="both"/>
        <w:rPr>
          <w:rFonts w:ascii="Arial" w:hAnsi="Arial" w:cs="Arial"/>
          <w:sz w:val="20"/>
          <w:szCs w:val="20"/>
        </w:rPr>
      </w:pPr>
      <w:r w:rsidRPr="00700FB4">
        <w:rPr>
          <w:rFonts w:ascii="Arial" w:hAnsi="Arial" w:cs="Arial"/>
          <w:sz w:val="20"/>
          <w:szCs w:val="20"/>
        </w:rPr>
        <w:t xml:space="preserve">Jūras telpiskās plānošanas direktīva </w:t>
      </w:r>
      <w:r w:rsidR="0014238E" w:rsidRPr="00700FB4">
        <w:rPr>
          <w:rFonts w:ascii="Arial" w:hAnsi="Arial" w:cs="Arial"/>
          <w:sz w:val="20"/>
          <w:szCs w:val="20"/>
        </w:rPr>
        <w:t>paredz, ka ES valstīm ne vēlāk kā līdz 2021.gada 31.martam ir jāizstrādā jūras telpiskie plānojumi. Valstīm tajos ir jākartē to jūras ūdeņos notiekošās cilvēka darbības un jānorāda efektīvākās turpmākās telpiskās attīstības virzieni. Šajās kartēs ir jāņem vērā sauszemes un jūras mijiedarbība, kā arī vides, ekonomiskie, sociālie un drošības aspekti. ES valstīm ir jānodrošina labāko pieejamo ekonomisko, sociālo un vides datu izmantošana. Procesā ir jāiesaista sabiedrība, kā arī ieinteresētās personas (piemēram, enerģijas un transporta pakalpojumu piegādātāji, vides aizsardzības grupas utt.). ES valstīm, kurām ir kopīgi jūras ūdeņi, ir jāsadarbojas, lai nodrošinātu, ka jūras telpiskie plānojumi ir saskaņoti un koordinēti attiecīgajā jūras reģionā. Gadījumos, kad ES valstij ir kopīga jūras robeža ar valsti ārpus ES, valstīm pēc iespējas jācenšas sadarboties.</w:t>
      </w:r>
    </w:p>
    <w:p w:rsidR="0014238E" w:rsidRPr="00700FB4" w:rsidRDefault="0014238E" w:rsidP="008C3116">
      <w:pPr>
        <w:pStyle w:val="NoSpacing"/>
        <w:jc w:val="both"/>
        <w:rPr>
          <w:rFonts w:ascii="Arial" w:hAnsi="Arial" w:cs="Arial"/>
          <w:sz w:val="20"/>
          <w:szCs w:val="20"/>
        </w:rPr>
      </w:pPr>
    </w:p>
    <w:p w:rsidR="00B04424" w:rsidRPr="00700FB4" w:rsidRDefault="0014238E" w:rsidP="008C3116">
      <w:pPr>
        <w:pStyle w:val="NoSpacing"/>
        <w:jc w:val="both"/>
        <w:rPr>
          <w:rFonts w:ascii="Arial" w:hAnsi="Arial" w:cs="Arial"/>
          <w:sz w:val="20"/>
          <w:szCs w:val="20"/>
        </w:rPr>
      </w:pPr>
      <w:r w:rsidRPr="00700FB4">
        <w:rPr>
          <w:rFonts w:ascii="Arial" w:hAnsi="Arial" w:cs="Arial"/>
          <w:sz w:val="20"/>
          <w:szCs w:val="20"/>
        </w:rPr>
        <w:t xml:space="preserve">Saskaņā ar to katrai ES dalībvalstij ir rīcības brīvība, plānojot savas jūrā veiktās darbības, bet vietējā, reģionālā un valsts līmeņa plānošana attiecībā uz kopīgu jūras teritoriju kļūs saskanīgāka, pateicoties kopējo prasību minimumam. </w:t>
      </w:r>
      <w:r w:rsidR="00B04424" w:rsidRPr="00700FB4">
        <w:rPr>
          <w:rFonts w:ascii="Arial" w:hAnsi="Arial" w:cs="Arial"/>
          <w:sz w:val="20"/>
          <w:szCs w:val="20"/>
        </w:rPr>
        <w:t xml:space="preserve">Jūras telpiskās plānošanas direktīva </w:t>
      </w:r>
      <w:r w:rsidRPr="00700FB4">
        <w:rPr>
          <w:rFonts w:ascii="Arial" w:hAnsi="Arial" w:cs="Arial"/>
          <w:sz w:val="20"/>
          <w:szCs w:val="20"/>
        </w:rPr>
        <w:t xml:space="preserve">mazina sadursmi starp dažādu nozaru interesēm un panāk, ka dažādas darbības papildina cita citu. </w:t>
      </w:r>
      <w:r w:rsidR="00B04424" w:rsidRPr="00700FB4">
        <w:rPr>
          <w:rFonts w:ascii="Arial" w:hAnsi="Arial" w:cs="Arial"/>
          <w:sz w:val="20"/>
          <w:szCs w:val="20"/>
        </w:rPr>
        <w:t xml:space="preserve">Tā </w:t>
      </w:r>
      <w:r w:rsidRPr="00700FB4">
        <w:rPr>
          <w:rFonts w:ascii="Arial" w:hAnsi="Arial" w:cs="Arial"/>
          <w:sz w:val="20"/>
          <w:szCs w:val="20"/>
        </w:rPr>
        <w:t xml:space="preserve">arī veicina investīcijas un palīdz plašāk izmantot atjaunojamos enerģijas avotus un radīt sadarbības tīklus, izveidot aizsargājamās jūras teritorijas un sekmēt ieguldījumus naftas un gāzes atradnēs. Tāpat </w:t>
      </w:r>
      <w:r w:rsidR="00B04424" w:rsidRPr="00700FB4">
        <w:rPr>
          <w:rFonts w:ascii="Arial" w:hAnsi="Arial" w:cs="Arial"/>
          <w:sz w:val="20"/>
          <w:szCs w:val="20"/>
        </w:rPr>
        <w:t xml:space="preserve">Jūras plānošanas </w:t>
      </w:r>
      <w:r w:rsidRPr="00700FB4">
        <w:rPr>
          <w:rFonts w:ascii="Arial" w:hAnsi="Arial" w:cs="Arial"/>
          <w:sz w:val="20"/>
          <w:szCs w:val="20"/>
        </w:rPr>
        <w:t xml:space="preserve">direktīva </w:t>
      </w:r>
      <w:r w:rsidRPr="00700FB4">
        <w:rPr>
          <w:rFonts w:ascii="Arial" w:hAnsi="Arial" w:cs="Arial"/>
          <w:bCs/>
          <w:sz w:val="20"/>
          <w:szCs w:val="20"/>
        </w:rPr>
        <w:t>pastiprina pārrobežu sadarbību</w:t>
      </w:r>
      <w:r w:rsidRPr="00700FB4">
        <w:rPr>
          <w:rFonts w:ascii="Arial" w:hAnsi="Arial" w:cs="Arial"/>
          <w:sz w:val="20"/>
          <w:szCs w:val="20"/>
        </w:rPr>
        <w:t> starp ES valstīm saistībā ar kabeļu, cauruļvadu, kuģošanas maršrutu, vēja enerģijas iekārtu utt. izmantojumu un aizsargā vidi, agrīnā posmā apzinot vides daudzveidīgas izmantošanas ietekmi un iespējas. Iestādēm ES valstīs ir jāorganizē darbības jūras teritorijās, lai sasniegtu ekoloģiskos, ekonomiskos un sociālos mērķus. ES valstīm ir jāizstrādā veicamo pasākumu programmas. Tajās norāda teritorijas, kurās tiks īstenoti pasākumi, un nosaka laika grafiku esošo un turpmāko pasākumu veikšanai nolūkā ilgtspējīgā veidā pārvaldīt jūrniecības darbības.</w:t>
      </w:r>
    </w:p>
    <w:p w:rsidR="005044BD" w:rsidRPr="00700FB4" w:rsidRDefault="005044BD" w:rsidP="008C3116">
      <w:pPr>
        <w:pStyle w:val="NoSpacing"/>
        <w:jc w:val="both"/>
        <w:rPr>
          <w:rFonts w:ascii="Arial" w:hAnsi="Arial" w:cs="Arial"/>
          <w:sz w:val="20"/>
          <w:szCs w:val="20"/>
        </w:rPr>
      </w:pPr>
    </w:p>
    <w:p w:rsidR="005912CA" w:rsidRPr="00700FB4" w:rsidRDefault="00B04424" w:rsidP="005044BD">
      <w:pPr>
        <w:pStyle w:val="NoSpacing"/>
        <w:jc w:val="both"/>
        <w:rPr>
          <w:rFonts w:ascii="Arial" w:hAnsi="Arial" w:cs="Arial"/>
          <w:sz w:val="20"/>
          <w:szCs w:val="20"/>
        </w:rPr>
      </w:pPr>
      <w:r w:rsidRPr="00700FB4">
        <w:rPr>
          <w:rFonts w:ascii="Arial" w:hAnsi="Arial" w:cs="Arial"/>
          <w:sz w:val="20"/>
          <w:szCs w:val="20"/>
        </w:rPr>
        <w:t>Jūras telpiskās plānošanas d</w:t>
      </w:r>
      <w:r w:rsidR="005044BD" w:rsidRPr="00700FB4">
        <w:rPr>
          <w:rFonts w:ascii="Arial" w:hAnsi="Arial" w:cs="Arial"/>
          <w:sz w:val="20"/>
          <w:szCs w:val="20"/>
        </w:rPr>
        <w:t>irektīva nosaka pienākumu izstrādāt jūras telpiskās plānošanas politiku, k</w:t>
      </w:r>
      <w:r w:rsidR="00847D08" w:rsidRPr="00700FB4">
        <w:rPr>
          <w:rFonts w:ascii="Arial" w:hAnsi="Arial" w:cs="Arial"/>
          <w:sz w:val="20"/>
          <w:szCs w:val="20"/>
        </w:rPr>
        <w:t>uras rezultātā tiktu izveidots j</w:t>
      </w:r>
      <w:r w:rsidR="005044BD" w:rsidRPr="00700FB4">
        <w:rPr>
          <w:rFonts w:ascii="Arial" w:hAnsi="Arial" w:cs="Arial"/>
          <w:sz w:val="20"/>
          <w:szCs w:val="20"/>
        </w:rPr>
        <w:t xml:space="preserve">ūras plānojums, ievērojot </w:t>
      </w:r>
      <w:r w:rsidRPr="00700FB4">
        <w:rPr>
          <w:rFonts w:ascii="Arial" w:hAnsi="Arial" w:cs="Arial"/>
          <w:sz w:val="20"/>
          <w:szCs w:val="20"/>
        </w:rPr>
        <w:t xml:space="preserve">direktīvā </w:t>
      </w:r>
      <w:r w:rsidR="005044BD" w:rsidRPr="00700FB4">
        <w:rPr>
          <w:rFonts w:ascii="Arial" w:hAnsi="Arial" w:cs="Arial"/>
          <w:sz w:val="20"/>
          <w:szCs w:val="20"/>
        </w:rPr>
        <w:t>minētos pamatprincipus. Tās mērķis, ņemot vērā strauji augošo pieprasījumu pēc jūras teritorijas izmantošanas, ir veicināt jūras nozaru ilgtspējīgu izaugsmi, ilgtspējīgu attīstību jūras teritorijās un jūrās atrodamo resursu ilgtspējīgu izmantošanu.</w:t>
      </w:r>
      <w:r w:rsidR="005044BD" w:rsidRPr="00700FB4">
        <w:rPr>
          <w:rStyle w:val="FootnoteReference"/>
          <w:rFonts w:ascii="Arial" w:hAnsi="Arial" w:cs="Arial"/>
          <w:sz w:val="20"/>
          <w:szCs w:val="20"/>
        </w:rPr>
        <w:footnoteReference w:id="19"/>
      </w:r>
      <w:r w:rsidR="005044BD" w:rsidRPr="00700FB4">
        <w:rPr>
          <w:rFonts w:ascii="Arial" w:hAnsi="Arial" w:cs="Arial"/>
          <w:sz w:val="20"/>
          <w:szCs w:val="20"/>
        </w:rPr>
        <w:t xml:space="preserve"> </w:t>
      </w:r>
    </w:p>
    <w:p w:rsidR="005912CA" w:rsidRPr="00700FB4" w:rsidRDefault="005912CA" w:rsidP="005044BD">
      <w:pPr>
        <w:pStyle w:val="NoSpacing"/>
        <w:jc w:val="both"/>
        <w:rPr>
          <w:rFonts w:ascii="Arial" w:hAnsi="Arial" w:cs="Arial"/>
          <w:sz w:val="20"/>
          <w:szCs w:val="20"/>
        </w:rPr>
      </w:pPr>
    </w:p>
    <w:p w:rsidR="005044BD" w:rsidRPr="00700FB4" w:rsidRDefault="00B04424" w:rsidP="005044BD">
      <w:pPr>
        <w:pStyle w:val="NoSpacing"/>
        <w:jc w:val="both"/>
        <w:rPr>
          <w:rFonts w:ascii="Arial" w:hAnsi="Arial" w:cs="Arial"/>
          <w:sz w:val="20"/>
          <w:szCs w:val="20"/>
        </w:rPr>
      </w:pPr>
      <w:r w:rsidRPr="00700FB4">
        <w:rPr>
          <w:rFonts w:ascii="Arial" w:hAnsi="Arial" w:cs="Arial"/>
          <w:sz w:val="20"/>
          <w:szCs w:val="20"/>
        </w:rPr>
        <w:t xml:space="preserve">Jūras telpiskās plānošanas direktīva </w:t>
      </w:r>
      <w:r w:rsidR="00847D08" w:rsidRPr="00700FB4">
        <w:rPr>
          <w:rFonts w:ascii="Arial" w:hAnsi="Arial" w:cs="Arial"/>
          <w:sz w:val="20"/>
          <w:szCs w:val="20"/>
        </w:rPr>
        <w:t>nenosaka j</w:t>
      </w:r>
      <w:r w:rsidR="005044BD" w:rsidRPr="00700FB4">
        <w:rPr>
          <w:rFonts w:ascii="Arial" w:hAnsi="Arial" w:cs="Arial"/>
          <w:sz w:val="20"/>
          <w:szCs w:val="20"/>
        </w:rPr>
        <w:t xml:space="preserve">ūras plānojuma apstiprināšanas veidu: </w:t>
      </w:r>
      <w:r w:rsidR="005044BD" w:rsidRPr="00700FB4">
        <w:rPr>
          <w:rFonts w:ascii="Arial" w:hAnsi="Arial" w:cs="Arial"/>
          <w:i/>
          <w:sz w:val="20"/>
          <w:szCs w:val="20"/>
        </w:rPr>
        <w:t>“[..] direktīva neskar dalībvalstu kompetenci izstrādāt un noteikt šā plānojuma vai šo plānojuma formu un saturu [..]”</w:t>
      </w:r>
      <w:r w:rsidR="005044BD" w:rsidRPr="00700FB4">
        <w:rPr>
          <w:rFonts w:ascii="Arial" w:hAnsi="Arial" w:cs="Arial"/>
          <w:sz w:val="20"/>
          <w:szCs w:val="20"/>
        </w:rPr>
        <w:t>.</w:t>
      </w:r>
      <w:r w:rsidR="005044BD" w:rsidRPr="00700FB4">
        <w:rPr>
          <w:rStyle w:val="FootnoteReference"/>
          <w:rFonts w:ascii="Arial" w:hAnsi="Arial" w:cs="Arial"/>
          <w:sz w:val="20"/>
          <w:szCs w:val="20"/>
        </w:rPr>
        <w:footnoteReference w:id="20"/>
      </w:r>
      <w:r w:rsidR="005044BD" w:rsidRPr="00700FB4">
        <w:rPr>
          <w:rFonts w:ascii="Arial" w:hAnsi="Arial" w:cs="Arial"/>
          <w:sz w:val="20"/>
          <w:szCs w:val="20"/>
        </w:rPr>
        <w:t xml:space="preserve"> Tādējādi tas ir valsts rīcības brīvības jautājums, izvēlēties to, </w:t>
      </w:r>
      <w:r w:rsidR="00847D08" w:rsidRPr="00700FB4">
        <w:rPr>
          <w:rFonts w:ascii="Arial" w:hAnsi="Arial" w:cs="Arial"/>
          <w:sz w:val="20"/>
          <w:szCs w:val="20"/>
        </w:rPr>
        <w:t xml:space="preserve">ar </w:t>
      </w:r>
      <w:r w:rsidR="005044BD" w:rsidRPr="00700FB4">
        <w:rPr>
          <w:rFonts w:ascii="Arial" w:hAnsi="Arial" w:cs="Arial"/>
          <w:sz w:val="20"/>
          <w:szCs w:val="20"/>
        </w:rPr>
        <w:t>kādā veida</w:t>
      </w:r>
      <w:r w:rsidR="00847D08" w:rsidRPr="00700FB4">
        <w:rPr>
          <w:rFonts w:ascii="Arial" w:hAnsi="Arial" w:cs="Arial"/>
          <w:sz w:val="20"/>
          <w:szCs w:val="20"/>
        </w:rPr>
        <w:t xml:space="preserve"> tiesību aktu j</w:t>
      </w:r>
      <w:r w:rsidR="005044BD" w:rsidRPr="00700FB4">
        <w:rPr>
          <w:rFonts w:ascii="Arial" w:hAnsi="Arial" w:cs="Arial"/>
          <w:sz w:val="20"/>
          <w:szCs w:val="20"/>
        </w:rPr>
        <w:t>ūras plānojums tiks apstiprināts, tas ir, ar ārēju normatīvu aktu vai cita veida tiesību aktu.</w:t>
      </w:r>
    </w:p>
    <w:p w:rsidR="005044BD" w:rsidRPr="00700FB4" w:rsidRDefault="005044BD" w:rsidP="005044BD">
      <w:pPr>
        <w:pStyle w:val="NoSpacing"/>
        <w:jc w:val="both"/>
        <w:rPr>
          <w:rFonts w:ascii="Arial" w:hAnsi="Arial" w:cs="Arial"/>
          <w:sz w:val="20"/>
          <w:szCs w:val="20"/>
        </w:rPr>
      </w:pPr>
    </w:p>
    <w:p w:rsidR="005044BD" w:rsidRPr="00700FB4" w:rsidRDefault="00B04424" w:rsidP="005044BD">
      <w:pPr>
        <w:pStyle w:val="NoSpacing"/>
        <w:jc w:val="both"/>
        <w:rPr>
          <w:rFonts w:ascii="Arial" w:hAnsi="Arial" w:cs="Arial"/>
          <w:sz w:val="20"/>
          <w:szCs w:val="20"/>
        </w:rPr>
      </w:pPr>
      <w:r w:rsidRPr="00700FB4">
        <w:rPr>
          <w:rFonts w:ascii="Arial" w:hAnsi="Arial" w:cs="Arial"/>
          <w:sz w:val="20"/>
          <w:szCs w:val="20"/>
        </w:rPr>
        <w:t xml:space="preserve">Jūras telpiskās plānošanas direktīva </w:t>
      </w:r>
      <w:r w:rsidR="005044BD" w:rsidRPr="00700FB4">
        <w:rPr>
          <w:rFonts w:ascii="Arial" w:hAnsi="Arial" w:cs="Arial"/>
          <w:sz w:val="20"/>
          <w:szCs w:val="20"/>
        </w:rPr>
        <w:t>attiecas uz dalībvalstu jūras ūdeņiem, tostarp Baltijas jūras un to līču ūdeņiem.</w:t>
      </w:r>
      <w:r w:rsidR="005044BD" w:rsidRPr="00700FB4">
        <w:rPr>
          <w:rStyle w:val="FootnoteReference"/>
          <w:rFonts w:ascii="Arial" w:hAnsi="Arial" w:cs="Arial"/>
          <w:sz w:val="20"/>
          <w:szCs w:val="20"/>
        </w:rPr>
        <w:footnoteReference w:id="21"/>
      </w:r>
      <w:r w:rsidR="005044BD" w:rsidRPr="00700FB4">
        <w:rPr>
          <w:rFonts w:ascii="Arial" w:hAnsi="Arial" w:cs="Arial"/>
          <w:sz w:val="20"/>
          <w:szCs w:val="20"/>
        </w:rPr>
        <w:t xml:space="preserve"> Tomēr tā neattiecas uz pilsētu un lauku plānošanu, kā arī uz piekrastes ūdeņiem vai to daļām, ko aptver dalībvalsts pilsētu un lauku plānošana ar nosacījumu, ka tas tiek darīts zināms to jūras telpiskajos plānojumos.</w:t>
      </w:r>
      <w:r w:rsidR="005044BD" w:rsidRPr="00700FB4">
        <w:rPr>
          <w:rStyle w:val="FootnoteReference"/>
          <w:rFonts w:ascii="Arial" w:hAnsi="Arial" w:cs="Arial"/>
          <w:sz w:val="20"/>
          <w:szCs w:val="20"/>
        </w:rPr>
        <w:footnoteReference w:id="22"/>
      </w:r>
      <w:r w:rsidR="005044BD" w:rsidRPr="00700FB4">
        <w:rPr>
          <w:rFonts w:ascii="Arial" w:hAnsi="Arial" w:cs="Arial"/>
          <w:sz w:val="20"/>
          <w:szCs w:val="20"/>
        </w:rPr>
        <w:t xml:space="preserve"> Kā tas ir saprotams no </w:t>
      </w:r>
      <w:r w:rsidRPr="00700FB4">
        <w:rPr>
          <w:rFonts w:ascii="Arial" w:hAnsi="Arial" w:cs="Arial"/>
          <w:sz w:val="20"/>
          <w:szCs w:val="20"/>
        </w:rPr>
        <w:t xml:space="preserve">Jūras telpiskās plānošanas direktīvas </w:t>
      </w:r>
      <w:r w:rsidR="005044BD" w:rsidRPr="00700FB4">
        <w:rPr>
          <w:rFonts w:ascii="Arial" w:hAnsi="Arial" w:cs="Arial"/>
          <w:sz w:val="20"/>
          <w:szCs w:val="20"/>
        </w:rPr>
        <w:t xml:space="preserve">preambulas 17.apsvēruma, tad minētais </w:t>
      </w:r>
      <w:r w:rsidRPr="00700FB4">
        <w:rPr>
          <w:rFonts w:ascii="Arial" w:hAnsi="Arial" w:cs="Arial"/>
          <w:sz w:val="20"/>
          <w:szCs w:val="20"/>
        </w:rPr>
        <w:t xml:space="preserve">direktīvas </w:t>
      </w:r>
      <w:r w:rsidR="005044BD" w:rsidRPr="00700FB4">
        <w:rPr>
          <w:rFonts w:ascii="Arial" w:hAnsi="Arial" w:cs="Arial"/>
          <w:sz w:val="20"/>
          <w:szCs w:val="20"/>
        </w:rPr>
        <w:t xml:space="preserve">piemērošanas izņēmums Latvijas situācijā būtu saprotams tādējādi, ka </w:t>
      </w:r>
      <w:r w:rsidRPr="00700FB4">
        <w:rPr>
          <w:rFonts w:ascii="Arial" w:hAnsi="Arial" w:cs="Arial"/>
          <w:sz w:val="20"/>
          <w:szCs w:val="20"/>
        </w:rPr>
        <w:t xml:space="preserve">Jūras telpiskās plānošanas direktīva </w:t>
      </w:r>
      <w:r w:rsidR="005044BD" w:rsidRPr="00700FB4">
        <w:rPr>
          <w:rFonts w:ascii="Arial" w:hAnsi="Arial" w:cs="Arial"/>
          <w:sz w:val="20"/>
          <w:szCs w:val="20"/>
        </w:rPr>
        <w:t xml:space="preserve">neattiektos uz piekrastes ūdeņiem vai to daļām, ja pašvaldības teritorijas plānojumos būtu regulēta piekrastes ūdeņu izmantošana,: </w:t>
      </w:r>
      <w:r w:rsidR="005044BD" w:rsidRPr="00700FB4">
        <w:rPr>
          <w:rFonts w:ascii="Arial" w:hAnsi="Arial" w:cs="Arial"/>
          <w:i/>
          <w:sz w:val="20"/>
          <w:szCs w:val="20"/>
        </w:rPr>
        <w:t>“[..] Ja dalībvalstis piemēro sauszemes plānošanu piekrastes ūdeņiem vai to daļām, šī direktīva uz minētajiem ūdeņiem neattiecas [..]</w:t>
      </w:r>
      <w:r w:rsidR="005044BD" w:rsidRPr="00700FB4">
        <w:rPr>
          <w:rFonts w:ascii="Arial" w:hAnsi="Arial" w:cs="Arial"/>
          <w:sz w:val="20"/>
          <w:szCs w:val="20"/>
        </w:rPr>
        <w:t>.</w:t>
      </w:r>
      <w:r w:rsidR="005044BD" w:rsidRPr="00700FB4">
        <w:rPr>
          <w:rFonts w:ascii="Arial" w:hAnsi="Arial" w:cs="Arial"/>
          <w:i/>
          <w:sz w:val="20"/>
          <w:szCs w:val="20"/>
        </w:rPr>
        <w:t>”</w:t>
      </w:r>
      <w:r w:rsidR="005044BD" w:rsidRPr="00700FB4">
        <w:rPr>
          <w:rStyle w:val="FootnoteReference"/>
          <w:rFonts w:ascii="Arial" w:hAnsi="Arial" w:cs="Arial"/>
          <w:sz w:val="20"/>
          <w:szCs w:val="20"/>
        </w:rPr>
        <w:footnoteReference w:id="23"/>
      </w:r>
      <w:r w:rsidR="005044BD" w:rsidRPr="00700FB4">
        <w:rPr>
          <w:rFonts w:ascii="Arial" w:hAnsi="Arial" w:cs="Arial"/>
          <w:i/>
          <w:sz w:val="20"/>
          <w:szCs w:val="20"/>
        </w:rPr>
        <w:t xml:space="preserve"> </w:t>
      </w:r>
    </w:p>
    <w:p w:rsidR="005044BD" w:rsidRPr="00700FB4" w:rsidRDefault="005044BD" w:rsidP="005044BD">
      <w:pPr>
        <w:pStyle w:val="NoSpacing"/>
        <w:jc w:val="both"/>
        <w:rPr>
          <w:rFonts w:ascii="Arial" w:hAnsi="Arial" w:cs="Arial"/>
          <w:i/>
          <w:sz w:val="20"/>
          <w:szCs w:val="20"/>
        </w:rPr>
      </w:pPr>
    </w:p>
    <w:p w:rsidR="00847D08" w:rsidRPr="00700FB4" w:rsidRDefault="005044BD" w:rsidP="005044BD">
      <w:pPr>
        <w:pStyle w:val="NoSpacing"/>
        <w:jc w:val="both"/>
        <w:rPr>
          <w:rFonts w:ascii="Arial" w:hAnsi="Arial" w:cs="Arial"/>
          <w:sz w:val="20"/>
          <w:szCs w:val="20"/>
        </w:rPr>
      </w:pPr>
      <w:r w:rsidRPr="00700FB4">
        <w:rPr>
          <w:rFonts w:ascii="Arial" w:hAnsi="Arial" w:cs="Arial"/>
          <w:sz w:val="20"/>
          <w:szCs w:val="20"/>
        </w:rPr>
        <w:t xml:space="preserve">Savukārt, ja pašvaldību teritorijas plānojumos netiktu regulēta piekrastes ūdeņu izmantošana, tad </w:t>
      </w:r>
      <w:r w:rsidR="00B04424" w:rsidRPr="00700FB4">
        <w:rPr>
          <w:rFonts w:ascii="Arial" w:hAnsi="Arial" w:cs="Arial"/>
          <w:sz w:val="20"/>
          <w:szCs w:val="20"/>
        </w:rPr>
        <w:t xml:space="preserve">Jūras telpiskās plānošanas direktīva </w:t>
      </w:r>
      <w:r w:rsidRPr="00700FB4">
        <w:rPr>
          <w:rFonts w:ascii="Arial" w:hAnsi="Arial" w:cs="Arial"/>
          <w:sz w:val="20"/>
          <w:szCs w:val="20"/>
        </w:rPr>
        <w:t xml:space="preserve">attiektos arī uz piekrastes ūdeņiem. Direktīvas izpratnē ar piekrastes ūdeņiem tiek saprasti: </w:t>
      </w:r>
      <w:r w:rsidRPr="00700FB4">
        <w:rPr>
          <w:rFonts w:ascii="Arial" w:hAnsi="Arial" w:cs="Arial"/>
          <w:i/>
          <w:sz w:val="20"/>
          <w:szCs w:val="20"/>
        </w:rPr>
        <w:t>“[..] piekrastes ūdeņi, kā definēts Direktīvas 2000/60/EK 2.panta 7.punktā [..] virszemes ūdeņi krasta virzienā no līnijas, kuras visi punkti atrodas vienu jūras jūdzi jūras virzienā no tuvākā punkta bāzes līnijā, no kuras mēra teritoriālo ūdeņu platumu, attiecīgā gadījumā sniedzoties līdz pārejas ūdeņu ārējai robežai [..]”</w:t>
      </w:r>
      <w:r w:rsidRPr="00700FB4">
        <w:rPr>
          <w:rFonts w:ascii="Arial" w:hAnsi="Arial" w:cs="Arial"/>
          <w:sz w:val="20"/>
          <w:szCs w:val="20"/>
        </w:rPr>
        <w:t>.</w:t>
      </w:r>
      <w:r w:rsidRPr="00700FB4">
        <w:rPr>
          <w:rStyle w:val="FootnoteReference"/>
          <w:rFonts w:ascii="Arial" w:hAnsi="Arial" w:cs="Arial"/>
          <w:sz w:val="20"/>
          <w:szCs w:val="20"/>
        </w:rPr>
        <w:footnoteReference w:id="24"/>
      </w:r>
      <w:r w:rsidRPr="00700FB4">
        <w:rPr>
          <w:rFonts w:ascii="Arial" w:hAnsi="Arial" w:cs="Arial"/>
          <w:sz w:val="20"/>
          <w:szCs w:val="20"/>
        </w:rPr>
        <w:t xml:space="preserve"> </w:t>
      </w:r>
    </w:p>
    <w:p w:rsidR="00847D08" w:rsidRPr="00700FB4" w:rsidRDefault="00847D08" w:rsidP="005044BD">
      <w:pPr>
        <w:pStyle w:val="NoSpacing"/>
        <w:jc w:val="both"/>
        <w:rPr>
          <w:rFonts w:ascii="Arial" w:hAnsi="Arial" w:cs="Arial"/>
          <w:sz w:val="20"/>
          <w:szCs w:val="20"/>
        </w:rPr>
      </w:pPr>
    </w:p>
    <w:p w:rsidR="005044BD" w:rsidRPr="00700FB4" w:rsidRDefault="00EB2C51" w:rsidP="005044BD">
      <w:pPr>
        <w:pStyle w:val="NoSpacing"/>
        <w:jc w:val="both"/>
        <w:rPr>
          <w:rFonts w:ascii="Arial" w:hAnsi="Arial" w:cs="Arial"/>
          <w:sz w:val="20"/>
          <w:szCs w:val="20"/>
        </w:rPr>
      </w:pPr>
      <w:r w:rsidRPr="00700FB4">
        <w:rPr>
          <w:rFonts w:ascii="Arial" w:hAnsi="Arial" w:cs="Arial"/>
          <w:sz w:val="20"/>
          <w:szCs w:val="20"/>
        </w:rPr>
        <w:t xml:space="preserve">Jūras plānojums ir izstrādāts tā, ka atbilstoši specifikai tas attiecas uz piekrastes ūdeņiem, teritoriālo jūru un Ekskluzīvo zonu. Tas nozīmē, ka </w:t>
      </w:r>
      <w:r w:rsidR="00847D08" w:rsidRPr="00700FB4">
        <w:rPr>
          <w:rFonts w:ascii="Arial" w:hAnsi="Arial" w:cs="Arial"/>
          <w:sz w:val="20"/>
          <w:szCs w:val="20"/>
        </w:rPr>
        <w:t>pašvaldībām, izstrādājot savus teritorijas plānojumus</w:t>
      </w:r>
      <w:r w:rsidRPr="00700FB4">
        <w:rPr>
          <w:rFonts w:ascii="Arial" w:hAnsi="Arial" w:cs="Arial"/>
          <w:sz w:val="20"/>
          <w:szCs w:val="20"/>
        </w:rPr>
        <w:t xml:space="preserve"> attiecībā uz piekrastes ūdeņiem</w:t>
      </w:r>
      <w:r w:rsidR="00847D08" w:rsidRPr="00700FB4">
        <w:rPr>
          <w:rFonts w:ascii="Arial" w:hAnsi="Arial" w:cs="Arial"/>
          <w:sz w:val="20"/>
          <w:szCs w:val="20"/>
        </w:rPr>
        <w:t xml:space="preserve">, ir jāievēro jūras plānojums. </w:t>
      </w:r>
      <w:r w:rsidRPr="00700FB4">
        <w:rPr>
          <w:rFonts w:ascii="Arial" w:hAnsi="Arial" w:cs="Arial"/>
          <w:sz w:val="20"/>
          <w:szCs w:val="20"/>
        </w:rPr>
        <w:t>A</w:t>
      </w:r>
      <w:r w:rsidR="00FE1937" w:rsidRPr="00700FB4">
        <w:rPr>
          <w:rFonts w:ascii="Arial" w:hAnsi="Arial" w:cs="Arial"/>
          <w:sz w:val="20"/>
          <w:szCs w:val="20"/>
        </w:rPr>
        <w:t>tbilstoši Jūras telpiskās plānošanas direktīvai dalībvalstis ir tiesīgas noteikt tikai to, ka vietējās pašvaldības nosaka 1852 metru platu piekrastes ūdeņu zonas izmantošanu, atstājot pārējo jūras</w:t>
      </w:r>
      <w:r w:rsidR="00726CD1" w:rsidRPr="00700FB4">
        <w:rPr>
          <w:rFonts w:ascii="Arial" w:hAnsi="Arial" w:cs="Arial"/>
          <w:sz w:val="20"/>
          <w:szCs w:val="20"/>
        </w:rPr>
        <w:t xml:space="preserve"> daļas izmantošanas noteikšanu j</w:t>
      </w:r>
      <w:r w:rsidR="00FE1937" w:rsidRPr="00700FB4">
        <w:rPr>
          <w:rFonts w:ascii="Arial" w:hAnsi="Arial" w:cs="Arial"/>
          <w:sz w:val="20"/>
          <w:szCs w:val="20"/>
        </w:rPr>
        <w:t>ūras plānojumā.</w:t>
      </w:r>
      <w:r w:rsidR="00FE1937" w:rsidRPr="00700FB4">
        <w:rPr>
          <w:rStyle w:val="FootnoteReference"/>
          <w:rFonts w:ascii="Arial" w:hAnsi="Arial" w:cs="Arial"/>
          <w:sz w:val="20"/>
          <w:szCs w:val="20"/>
        </w:rPr>
        <w:footnoteReference w:id="25"/>
      </w:r>
    </w:p>
    <w:p w:rsidR="005044BD" w:rsidRPr="00700FB4" w:rsidRDefault="005044BD" w:rsidP="005044BD">
      <w:pPr>
        <w:pStyle w:val="NoSpacing"/>
        <w:jc w:val="both"/>
        <w:rPr>
          <w:rFonts w:ascii="Arial" w:hAnsi="Arial" w:cs="Arial"/>
          <w:sz w:val="20"/>
          <w:szCs w:val="20"/>
        </w:rPr>
      </w:pPr>
    </w:p>
    <w:p w:rsidR="005044BD" w:rsidRPr="00700FB4" w:rsidRDefault="005044BD" w:rsidP="005044BD">
      <w:pPr>
        <w:pStyle w:val="NoSpacing"/>
        <w:jc w:val="both"/>
        <w:rPr>
          <w:rFonts w:ascii="Arial" w:hAnsi="Arial" w:cs="Arial"/>
          <w:b/>
          <w:sz w:val="20"/>
          <w:szCs w:val="20"/>
        </w:rPr>
      </w:pPr>
      <w:r w:rsidRPr="00700FB4">
        <w:rPr>
          <w:rFonts w:ascii="Arial" w:hAnsi="Arial" w:cs="Arial"/>
          <w:b/>
          <w:sz w:val="20"/>
          <w:szCs w:val="20"/>
        </w:rPr>
        <w:t xml:space="preserve">Tādējādi secināms, ka atbilstoši </w:t>
      </w:r>
      <w:r w:rsidR="00B04424" w:rsidRPr="00700FB4">
        <w:rPr>
          <w:rFonts w:ascii="Arial" w:hAnsi="Arial" w:cs="Arial"/>
          <w:b/>
          <w:sz w:val="20"/>
          <w:szCs w:val="20"/>
        </w:rPr>
        <w:t xml:space="preserve">Jūras telpiskās plānošanas direktīvai </w:t>
      </w:r>
      <w:r w:rsidRPr="00700FB4">
        <w:rPr>
          <w:rFonts w:ascii="Arial" w:hAnsi="Arial" w:cs="Arial"/>
          <w:b/>
          <w:sz w:val="20"/>
          <w:szCs w:val="20"/>
        </w:rPr>
        <w:t>Latvijai ir rīcības brīv</w:t>
      </w:r>
      <w:r w:rsidR="00FE1937" w:rsidRPr="00700FB4">
        <w:rPr>
          <w:rFonts w:ascii="Arial" w:hAnsi="Arial" w:cs="Arial"/>
          <w:b/>
          <w:sz w:val="20"/>
          <w:szCs w:val="20"/>
        </w:rPr>
        <w:t>ība izvēlēties, vai attiecināt j</w:t>
      </w:r>
      <w:r w:rsidRPr="00700FB4">
        <w:rPr>
          <w:rFonts w:ascii="Arial" w:hAnsi="Arial" w:cs="Arial"/>
          <w:b/>
          <w:sz w:val="20"/>
          <w:szCs w:val="20"/>
        </w:rPr>
        <w:t>ūras plānojumu arī uz piekrastes ūdeņiem, vai arī noteikt, ka piekrastes ūdeņu izmantošanu regulēs vietējās pašvaldības savos teritorijas plānošanas dokumentos. Tomēr Latvijai nav rīcības brīvība vispār nenoteikt piekrastes ūdeņu izmantošanu – tā ir nosakāma kādā no minētajiem veidiem.</w:t>
      </w:r>
      <w:r w:rsidR="00EB2C51" w:rsidRPr="00700FB4">
        <w:rPr>
          <w:rFonts w:ascii="Arial" w:hAnsi="Arial" w:cs="Arial"/>
          <w:b/>
          <w:sz w:val="20"/>
          <w:szCs w:val="20"/>
        </w:rPr>
        <w:t xml:space="preserve"> Latvija ir izvēlējusies attiecināt jūras plānojumu uz piekrastes ūdeņiem.</w:t>
      </w:r>
    </w:p>
    <w:p w:rsidR="005044BD" w:rsidRPr="00700FB4" w:rsidRDefault="005044BD" w:rsidP="005044BD">
      <w:pPr>
        <w:pStyle w:val="NoSpacing"/>
        <w:jc w:val="both"/>
        <w:rPr>
          <w:rFonts w:ascii="Arial" w:hAnsi="Arial" w:cs="Arial"/>
          <w:b/>
          <w:sz w:val="20"/>
          <w:szCs w:val="20"/>
        </w:rPr>
      </w:pPr>
    </w:p>
    <w:p w:rsidR="00EA0C32" w:rsidRPr="00700FB4" w:rsidRDefault="00FE1937" w:rsidP="005044BD">
      <w:pPr>
        <w:pStyle w:val="NoSpacing"/>
        <w:jc w:val="both"/>
        <w:rPr>
          <w:rFonts w:ascii="Arial" w:hAnsi="Arial" w:cs="Arial"/>
          <w:sz w:val="20"/>
          <w:szCs w:val="20"/>
        </w:rPr>
      </w:pPr>
      <w:r w:rsidRPr="00700FB4">
        <w:rPr>
          <w:rFonts w:ascii="Arial" w:hAnsi="Arial" w:cs="Arial"/>
          <w:sz w:val="20"/>
          <w:szCs w:val="20"/>
        </w:rPr>
        <w:t>Vienlaikus būtu apsverams, vai ir lietderīgi, ka š</w:t>
      </w:r>
      <w:r w:rsidR="00021F64" w:rsidRPr="00700FB4">
        <w:rPr>
          <w:rFonts w:ascii="Arial" w:hAnsi="Arial" w:cs="Arial"/>
          <w:sz w:val="20"/>
          <w:szCs w:val="20"/>
        </w:rPr>
        <w:t xml:space="preserve">obrīd </w:t>
      </w:r>
      <w:r w:rsidR="005044BD" w:rsidRPr="00700FB4">
        <w:rPr>
          <w:rFonts w:ascii="Arial" w:hAnsi="Arial" w:cs="Arial"/>
          <w:sz w:val="20"/>
          <w:szCs w:val="20"/>
        </w:rPr>
        <w:t>Zemes pārvaldības likumā</w:t>
      </w:r>
      <w:r w:rsidR="00021F64" w:rsidRPr="00700FB4">
        <w:rPr>
          <w:rFonts w:ascii="Arial" w:hAnsi="Arial" w:cs="Arial"/>
          <w:sz w:val="20"/>
          <w:szCs w:val="20"/>
        </w:rPr>
        <w:t xml:space="preserve"> un Ūdens apsaimniekošanas likumā ir </w:t>
      </w:r>
      <w:r w:rsidR="005044BD" w:rsidRPr="00700FB4">
        <w:rPr>
          <w:rFonts w:ascii="Arial" w:hAnsi="Arial" w:cs="Arial"/>
          <w:sz w:val="20"/>
          <w:szCs w:val="20"/>
        </w:rPr>
        <w:t>ietvertas dažādas piekrastes ūdeņu definīcijas</w:t>
      </w:r>
      <w:r w:rsidR="00AA70D1" w:rsidRPr="00700FB4">
        <w:rPr>
          <w:rFonts w:ascii="Arial" w:hAnsi="Arial" w:cs="Arial"/>
          <w:sz w:val="20"/>
          <w:szCs w:val="20"/>
        </w:rPr>
        <w:t xml:space="preserve"> (pirmajā – 20</w:t>
      </w:r>
      <w:r w:rsidR="00285329" w:rsidRPr="00700FB4">
        <w:rPr>
          <w:rFonts w:ascii="Arial" w:hAnsi="Arial" w:cs="Arial"/>
          <w:sz w:val="20"/>
          <w:szCs w:val="20"/>
        </w:rPr>
        <w:t xml:space="preserve">00 metri, otrajā – 1852 metri), pieņemot, ka mērīšanas metodoloģija abos gadījumos ir vienāda. </w:t>
      </w:r>
      <w:r w:rsidR="00AA70D1" w:rsidRPr="00700FB4">
        <w:rPr>
          <w:rFonts w:ascii="Arial" w:hAnsi="Arial" w:cs="Arial"/>
          <w:sz w:val="20"/>
          <w:szCs w:val="20"/>
        </w:rPr>
        <w:t xml:space="preserve">Turklāt Ūdens apsaimniekošanas </w:t>
      </w:r>
      <w:r w:rsidR="00021F64" w:rsidRPr="00700FB4">
        <w:rPr>
          <w:rFonts w:ascii="Arial" w:hAnsi="Arial" w:cs="Arial"/>
          <w:sz w:val="20"/>
          <w:szCs w:val="20"/>
        </w:rPr>
        <w:t xml:space="preserve">likumā piekrastes ūdeņu definīcija ir pārņemta no Ūdens </w:t>
      </w:r>
      <w:r w:rsidR="002900F1" w:rsidRPr="00700FB4">
        <w:rPr>
          <w:rFonts w:ascii="Arial" w:hAnsi="Arial" w:cs="Arial"/>
          <w:sz w:val="20"/>
          <w:szCs w:val="20"/>
        </w:rPr>
        <w:t>struktūrdirektīvas</w:t>
      </w:r>
      <w:r w:rsidR="00021F64" w:rsidRPr="00700FB4">
        <w:rPr>
          <w:rFonts w:ascii="Arial" w:hAnsi="Arial" w:cs="Arial"/>
          <w:sz w:val="20"/>
          <w:szCs w:val="20"/>
        </w:rPr>
        <w:t>, uz kuru atsaucas arī Jūras telpiskās plānoša</w:t>
      </w:r>
      <w:r w:rsidR="00EA0C32" w:rsidRPr="00700FB4">
        <w:rPr>
          <w:rFonts w:ascii="Arial" w:hAnsi="Arial" w:cs="Arial"/>
          <w:sz w:val="20"/>
          <w:szCs w:val="20"/>
        </w:rPr>
        <w:t>n</w:t>
      </w:r>
      <w:r w:rsidRPr="00700FB4">
        <w:rPr>
          <w:rFonts w:ascii="Arial" w:hAnsi="Arial" w:cs="Arial"/>
          <w:sz w:val="20"/>
          <w:szCs w:val="20"/>
        </w:rPr>
        <w:t>as direktīvas 3.panta 4.punkts.</w:t>
      </w:r>
    </w:p>
    <w:p w:rsidR="005044BD" w:rsidRPr="00700FB4" w:rsidRDefault="005044BD" w:rsidP="005044BD">
      <w:pPr>
        <w:pStyle w:val="NoSpacing"/>
        <w:jc w:val="both"/>
        <w:rPr>
          <w:rFonts w:ascii="Arial" w:hAnsi="Arial" w:cs="Arial"/>
          <w:sz w:val="20"/>
          <w:szCs w:val="20"/>
        </w:rPr>
      </w:pPr>
    </w:p>
    <w:p w:rsidR="00AA70D1" w:rsidRPr="00700FB4" w:rsidRDefault="005044BD" w:rsidP="00AA70D1">
      <w:pPr>
        <w:pStyle w:val="NoSpacing"/>
        <w:jc w:val="both"/>
        <w:rPr>
          <w:rFonts w:ascii="Arial" w:hAnsi="Arial" w:cs="Arial"/>
          <w:sz w:val="20"/>
          <w:szCs w:val="20"/>
        </w:rPr>
      </w:pPr>
      <w:r w:rsidRPr="00700FB4">
        <w:rPr>
          <w:rFonts w:ascii="Arial" w:hAnsi="Arial" w:cs="Arial"/>
          <w:sz w:val="20"/>
          <w:szCs w:val="20"/>
        </w:rPr>
        <w:t xml:space="preserve">Atbilstoši </w:t>
      </w:r>
      <w:r w:rsidR="00B04424" w:rsidRPr="00700FB4">
        <w:rPr>
          <w:rFonts w:ascii="Arial" w:hAnsi="Arial" w:cs="Arial"/>
          <w:sz w:val="20"/>
          <w:szCs w:val="20"/>
        </w:rPr>
        <w:t xml:space="preserve">Jūras telpiskās plānošanas direktīvai </w:t>
      </w:r>
      <w:r w:rsidR="00AA70D1" w:rsidRPr="00700FB4">
        <w:rPr>
          <w:rFonts w:ascii="Arial" w:hAnsi="Arial" w:cs="Arial"/>
          <w:sz w:val="20"/>
          <w:szCs w:val="20"/>
        </w:rPr>
        <w:t>Latvija</w:t>
      </w:r>
      <w:r w:rsidR="00FC2172" w:rsidRPr="00700FB4">
        <w:rPr>
          <w:rFonts w:ascii="Arial" w:hAnsi="Arial" w:cs="Arial"/>
          <w:sz w:val="20"/>
          <w:szCs w:val="20"/>
        </w:rPr>
        <w:t>i</w:t>
      </w:r>
      <w:r w:rsidR="00AA70D1" w:rsidRPr="00700FB4">
        <w:rPr>
          <w:rFonts w:ascii="Arial" w:hAnsi="Arial" w:cs="Arial"/>
          <w:sz w:val="20"/>
          <w:szCs w:val="20"/>
        </w:rPr>
        <w:t xml:space="preserve"> ir </w:t>
      </w:r>
      <w:r w:rsidRPr="00700FB4">
        <w:rPr>
          <w:rFonts w:ascii="Arial" w:hAnsi="Arial" w:cs="Arial"/>
          <w:sz w:val="20"/>
          <w:szCs w:val="20"/>
        </w:rPr>
        <w:t>pienākums ņemt vērā sauszemes un jūras mijiedarbību</w:t>
      </w:r>
      <w:r w:rsidR="00AA70D1" w:rsidRPr="00700FB4">
        <w:rPr>
          <w:rFonts w:ascii="Arial" w:hAnsi="Arial" w:cs="Arial"/>
          <w:sz w:val="20"/>
          <w:szCs w:val="20"/>
        </w:rPr>
        <w:t>, un sadarboties ar savām kaimiņvalstīm, piemēram, Lietuvu, Igauniju, Somiju, Zviedriju, Poliju un Dāniju attiecībā uz jūras telpiskās plānošanas politikas izveidi, lai tiktu nodrošināts, ka jūras telpiskie plānojumi būtu saskaņoti un koordinēti Baltijas jūras reģionā.</w:t>
      </w:r>
      <w:r w:rsidR="00AA70D1" w:rsidRPr="00700FB4">
        <w:rPr>
          <w:rStyle w:val="FootnoteReference"/>
          <w:rFonts w:ascii="Arial" w:hAnsi="Arial" w:cs="Arial"/>
          <w:sz w:val="20"/>
          <w:szCs w:val="20"/>
        </w:rPr>
        <w:footnoteReference w:id="26"/>
      </w:r>
    </w:p>
    <w:p w:rsidR="005044BD" w:rsidRPr="00700FB4" w:rsidRDefault="005044BD" w:rsidP="005044BD">
      <w:pPr>
        <w:pStyle w:val="NoSpacing"/>
        <w:jc w:val="both"/>
        <w:rPr>
          <w:rFonts w:ascii="Arial" w:hAnsi="Arial" w:cs="Arial"/>
          <w:sz w:val="20"/>
          <w:szCs w:val="20"/>
        </w:rPr>
      </w:pPr>
    </w:p>
    <w:p w:rsidR="00B04424" w:rsidRPr="00700FB4" w:rsidRDefault="005044BD" w:rsidP="005044BD">
      <w:pPr>
        <w:pStyle w:val="NoSpacing"/>
        <w:jc w:val="both"/>
        <w:rPr>
          <w:rFonts w:ascii="Arial" w:hAnsi="Arial" w:cs="Arial"/>
          <w:i/>
          <w:sz w:val="20"/>
          <w:szCs w:val="20"/>
        </w:rPr>
      </w:pPr>
      <w:r w:rsidRPr="00700FB4">
        <w:rPr>
          <w:rFonts w:ascii="Arial" w:hAnsi="Arial" w:cs="Arial"/>
          <w:sz w:val="20"/>
          <w:szCs w:val="20"/>
        </w:rPr>
        <w:t xml:space="preserve">Bez minētā </w:t>
      </w:r>
      <w:r w:rsidR="00B04424" w:rsidRPr="00700FB4">
        <w:rPr>
          <w:rFonts w:ascii="Arial" w:hAnsi="Arial" w:cs="Arial"/>
          <w:sz w:val="20"/>
          <w:szCs w:val="20"/>
        </w:rPr>
        <w:t xml:space="preserve">Jūras telpiskās plānošanas direktīva </w:t>
      </w:r>
      <w:r w:rsidR="0025420D" w:rsidRPr="00700FB4">
        <w:rPr>
          <w:rFonts w:ascii="Arial" w:hAnsi="Arial" w:cs="Arial"/>
          <w:sz w:val="20"/>
          <w:szCs w:val="20"/>
        </w:rPr>
        <w:t xml:space="preserve">uzliek par pienākumu pie </w:t>
      </w:r>
      <w:r w:rsidR="005E7708" w:rsidRPr="00700FB4">
        <w:rPr>
          <w:rFonts w:ascii="Arial" w:hAnsi="Arial" w:cs="Arial"/>
          <w:sz w:val="20"/>
          <w:szCs w:val="20"/>
        </w:rPr>
        <w:t>j</w:t>
      </w:r>
      <w:r w:rsidR="0025420D" w:rsidRPr="00700FB4">
        <w:rPr>
          <w:rFonts w:ascii="Arial" w:hAnsi="Arial" w:cs="Arial"/>
          <w:sz w:val="20"/>
          <w:szCs w:val="20"/>
        </w:rPr>
        <w:t xml:space="preserve">ūras </w:t>
      </w:r>
      <w:r w:rsidRPr="00700FB4">
        <w:rPr>
          <w:rFonts w:ascii="Arial" w:hAnsi="Arial" w:cs="Arial"/>
          <w:sz w:val="20"/>
          <w:szCs w:val="20"/>
        </w:rPr>
        <w:t>plānojuma izstrādāšanas īpaši raudzīties līdzi tam, lai tiktu sasniegti tajā noteiktie mērķi, kā arī pievērst uzmanību attiecīgā jūras reģiona īpatnībām, pastāvošajām un turpmākajām darbībām un izmantošanas veidiem, to ietekmei uz vidi un dabas resursiem, kā arī sauszemes un jūras mijiedarbībai.</w:t>
      </w:r>
      <w:r w:rsidRPr="00700FB4">
        <w:rPr>
          <w:rStyle w:val="FootnoteReference"/>
          <w:rFonts w:ascii="Arial" w:hAnsi="Arial" w:cs="Arial"/>
          <w:sz w:val="20"/>
          <w:szCs w:val="20"/>
        </w:rPr>
        <w:footnoteReference w:id="27"/>
      </w:r>
      <w:r w:rsidRPr="00700FB4">
        <w:rPr>
          <w:rFonts w:ascii="Arial" w:hAnsi="Arial" w:cs="Arial"/>
          <w:sz w:val="20"/>
          <w:szCs w:val="20"/>
        </w:rPr>
        <w:t xml:space="preserve"> </w:t>
      </w:r>
    </w:p>
    <w:p w:rsidR="00B04424" w:rsidRPr="00700FB4" w:rsidRDefault="00B04424" w:rsidP="005044BD">
      <w:pPr>
        <w:pStyle w:val="NoSpacing"/>
        <w:jc w:val="both"/>
        <w:rPr>
          <w:rFonts w:ascii="Arial" w:hAnsi="Arial" w:cs="Arial"/>
          <w:i/>
          <w:sz w:val="20"/>
          <w:szCs w:val="20"/>
        </w:rPr>
      </w:pPr>
    </w:p>
    <w:p w:rsidR="005044BD" w:rsidRPr="00700FB4" w:rsidRDefault="00B04424" w:rsidP="005044BD">
      <w:pPr>
        <w:pStyle w:val="NoSpacing"/>
        <w:jc w:val="both"/>
        <w:rPr>
          <w:rFonts w:ascii="Arial" w:hAnsi="Arial" w:cs="Arial"/>
          <w:sz w:val="20"/>
          <w:szCs w:val="20"/>
        </w:rPr>
      </w:pPr>
      <w:r w:rsidRPr="00700FB4">
        <w:rPr>
          <w:rFonts w:ascii="Arial" w:hAnsi="Arial" w:cs="Arial"/>
          <w:sz w:val="20"/>
          <w:szCs w:val="20"/>
        </w:rPr>
        <w:t xml:space="preserve">Jūras telpiskās plānošanas direktīva </w:t>
      </w:r>
      <w:r w:rsidR="005044BD" w:rsidRPr="00700FB4">
        <w:rPr>
          <w:rFonts w:ascii="Arial" w:hAnsi="Arial" w:cs="Arial"/>
          <w:sz w:val="20"/>
          <w:szCs w:val="20"/>
        </w:rPr>
        <w:t>nenosaka izsmeļoši tos mērķus, kādus Latvij</w:t>
      </w:r>
      <w:r w:rsidR="00285329" w:rsidRPr="00700FB4">
        <w:rPr>
          <w:rFonts w:ascii="Arial" w:hAnsi="Arial" w:cs="Arial"/>
          <w:sz w:val="20"/>
          <w:szCs w:val="20"/>
        </w:rPr>
        <w:t>ai ir nepieciešams sasniegt ar j</w:t>
      </w:r>
      <w:r w:rsidR="005044BD" w:rsidRPr="00700FB4">
        <w:rPr>
          <w:rFonts w:ascii="Arial" w:hAnsi="Arial" w:cs="Arial"/>
          <w:sz w:val="20"/>
          <w:szCs w:val="20"/>
        </w:rPr>
        <w:t>ūras plānojumu. Tieši otrādi</w:t>
      </w:r>
      <w:r w:rsidR="00FC2172" w:rsidRPr="00700FB4">
        <w:rPr>
          <w:rFonts w:ascii="Arial" w:hAnsi="Arial" w:cs="Arial"/>
          <w:sz w:val="20"/>
          <w:szCs w:val="20"/>
        </w:rPr>
        <w:t>,</w:t>
      </w:r>
      <w:r w:rsidR="005044BD" w:rsidRPr="00700FB4">
        <w:rPr>
          <w:rFonts w:ascii="Arial" w:hAnsi="Arial" w:cs="Arial"/>
          <w:sz w:val="20"/>
          <w:szCs w:val="20"/>
        </w:rPr>
        <w:t xml:space="preserve"> tā paredz, ka Latvijai ir rīcības brīvība izvēlēties arī tos mērķus, kurus Latvijas gadījumā</w:t>
      </w:r>
      <w:r w:rsidR="00285329" w:rsidRPr="00700FB4">
        <w:rPr>
          <w:rFonts w:ascii="Arial" w:hAnsi="Arial" w:cs="Arial"/>
          <w:sz w:val="20"/>
          <w:szCs w:val="20"/>
        </w:rPr>
        <w:t xml:space="preserve"> būtu nepieciešams sasniegt ar j</w:t>
      </w:r>
      <w:r w:rsidR="005044BD" w:rsidRPr="00700FB4">
        <w:rPr>
          <w:rFonts w:ascii="Arial" w:hAnsi="Arial" w:cs="Arial"/>
          <w:sz w:val="20"/>
          <w:szCs w:val="20"/>
        </w:rPr>
        <w:t xml:space="preserve">ūras plānojumu papildu tiem, kas kā obligātie minēti pašā </w:t>
      </w:r>
      <w:r w:rsidRPr="00700FB4">
        <w:rPr>
          <w:rFonts w:ascii="Arial" w:hAnsi="Arial" w:cs="Arial"/>
          <w:sz w:val="20"/>
          <w:szCs w:val="20"/>
        </w:rPr>
        <w:t xml:space="preserve">Jūras telpiskās plānošanas </w:t>
      </w:r>
      <w:r w:rsidR="00AA70D1" w:rsidRPr="00700FB4">
        <w:rPr>
          <w:rFonts w:ascii="Arial" w:hAnsi="Arial" w:cs="Arial"/>
          <w:sz w:val="20"/>
          <w:szCs w:val="20"/>
        </w:rPr>
        <w:t>d</w:t>
      </w:r>
      <w:r w:rsidRPr="00700FB4">
        <w:rPr>
          <w:rFonts w:ascii="Arial" w:hAnsi="Arial" w:cs="Arial"/>
          <w:sz w:val="20"/>
          <w:szCs w:val="20"/>
        </w:rPr>
        <w:t>irektīvā</w:t>
      </w:r>
      <w:r w:rsidR="005044BD" w:rsidRPr="00700FB4">
        <w:rPr>
          <w:rFonts w:ascii="Arial" w:hAnsi="Arial" w:cs="Arial"/>
          <w:sz w:val="20"/>
          <w:szCs w:val="20"/>
        </w:rPr>
        <w:t>.</w:t>
      </w:r>
    </w:p>
    <w:p w:rsidR="005044BD" w:rsidRPr="00700FB4" w:rsidRDefault="005044BD" w:rsidP="005044BD">
      <w:pPr>
        <w:pStyle w:val="NoSpacing"/>
        <w:jc w:val="both"/>
        <w:rPr>
          <w:rFonts w:ascii="Arial" w:hAnsi="Arial" w:cs="Arial"/>
          <w:i/>
          <w:sz w:val="20"/>
          <w:szCs w:val="20"/>
        </w:rPr>
      </w:pPr>
    </w:p>
    <w:p w:rsidR="00AA70D1" w:rsidRPr="00700FB4" w:rsidRDefault="00B04424" w:rsidP="005044BD">
      <w:pPr>
        <w:pStyle w:val="NoSpacing"/>
        <w:jc w:val="both"/>
        <w:rPr>
          <w:rFonts w:ascii="Arial" w:hAnsi="Arial" w:cs="Arial"/>
          <w:sz w:val="20"/>
          <w:szCs w:val="20"/>
        </w:rPr>
      </w:pPr>
      <w:r w:rsidRPr="00700FB4">
        <w:rPr>
          <w:rFonts w:ascii="Arial" w:hAnsi="Arial" w:cs="Arial"/>
          <w:sz w:val="20"/>
          <w:szCs w:val="20"/>
        </w:rPr>
        <w:t xml:space="preserve">Jūras telpiskās plānošanas direktīva </w:t>
      </w:r>
      <w:r w:rsidR="005044BD" w:rsidRPr="00700FB4">
        <w:rPr>
          <w:rFonts w:ascii="Arial" w:hAnsi="Arial" w:cs="Arial"/>
          <w:sz w:val="20"/>
          <w:szCs w:val="20"/>
        </w:rPr>
        <w:t>uzl</w:t>
      </w:r>
      <w:r w:rsidR="00285329" w:rsidRPr="00700FB4">
        <w:rPr>
          <w:rFonts w:ascii="Arial" w:hAnsi="Arial" w:cs="Arial"/>
          <w:sz w:val="20"/>
          <w:szCs w:val="20"/>
        </w:rPr>
        <w:t>iek Latvijai par pienākumu pie j</w:t>
      </w:r>
      <w:r w:rsidR="005044BD" w:rsidRPr="00700FB4">
        <w:rPr>
          <w:rFonts w:ascii="Arial" w:hAnsi="Arial" w:cs="Arial"/>
          <w:sz w:val="20"/>
          <w:szCs w:val="20"/>
        </w:rPr>
        <w:t>ūras plānojuma izstrādāšanas nodrošināt privātpersonu iesaisti plānojuma izstrādē, tas ir, sabiedrības līdzdalību, organizēt labāko pieejamo datu izmantošanu, kā arī tiekties sekmēt saskaņotību starp jūras telpisko plānošanu un tādējādi izveidoto plānojumu vai plānojumiem un citiem procesiem.</w:t>
      </w:r>
      <w:r w:rsidR="005044BD" w:rsidRPr="00700FB4">
        <w:rPr>
          <w:rStyle w:val="FootnoteReference"/>
          <w:rFonts w:ascii="Arial" w:hAnsi="Arial" w:cs="Arial"/>
          <w:sz w:val="20"/>
          <w:szCs w:val="20"/>
        </w:rPr>
        <w:footnoteReference w:id="28"/>
      </w:r>
      <w:r w:rsidR="005044BD" w:rsidRPr="00700FB4">
        <w:rPr>
          <w:rFonts w:ascii="Arial" w:hAnsi="Arial" w:cs="Arial"/>
          <w:sz w:val="20"/>
          <w:szCs w:val="20"/>
        </w:rPr>
        <w:t xml:space="preserve"> </w:t>
      </w:r>
      <w:r w:rsidR="00AA70D1" w:rsidRPr="00700FB4">
        <w:rPr>
          <w:rFonts w:ascii="Arial" w:hAnsi="Arial" w:cs="Arial"/>
          <w:sz w:val="20"/>
          <w:szCs w:val="20"/>
        </w:rPr>
        <w:t>Latvijai ir pienākums raudzīties līdzi tam, lai Jūras plānojums būtu saskaņots ar pašvaldības teritorijas attīstības doku</w:t>
      </w:r>
      <w:r w:rsidR="00EA0C32" w:rsidRPr="00700FB4">
        <w:rPr>
          <w:rFonts w:ascii="Arial" w:hAnsi="Arial" w:cs="Arial"/>
          <w:sz w:val="20"/>
          <w:szCs w:val="20"/>
        </w:rPr>
        <w:t xml:space="preserve">mentiem, </w:t>
      </w:r>
      <w:r w:rsidR="00AA70D1" w:rsidRPr="00700FB4">
        <w:rPr>
          <w:rFonts w:ascii="Arial" w:hAnsi="Arial" w:cs="Arial"/>
          <w:sz w:val="20"/>
          <w:szCs w:val="20"/>
        </w:rPr>
        <w:t>īpaši ar teritorijas plānojumu – visiem tiem jābūt saskaņotiem.</w:t>
      </w:r>
      <w:r w:rsidR="00AA70D1" w:rsidRPr="00700FB4">
        <w:rPr>
          <w:rStyle w:val="FootnoteReference"/>
          <w:rFonts w:ascii="Arial" w:hAnsi="Arial" w:cs="Arial"/>
          <w:sz w:val="20"/>
          <w:szCs w:val="20"/>
        </w:rPr>
        <w:footnoteReference w:id="29"/>
      </w:r>
      <w:r w:rsidR="00AA70D1" w:rsidRPr="00700FB4">
        <w:rPr>
          <w:rFonts w:ascii="Arial" w:hAnsi="Arial" w:cs="Arial"/>
          <w:sz w:val="20"/>
          <w:szCs w:val="20"/>
        </w:rPr>
        <w:t xml:space="preserve"> Sauszemes un jūras vienotības princips nav apejams.</w:t>
      </w:r>
    </w:p>
    <w:p w:rsidR="005044BD" w:rsidRPr="00700FB4" w:rsidRDefault="005044BD" w:rsidP="005044BD">
      <w:pPr>
        <w:pStyle w:val="NoSpacing"/>
        <w:jc w:val="both"/>
        <w:rPr>
          <w:rFonts w:ascii="Arial" w:hAnsi="Arial" w:cs="Arial"/>
          <w:b/>
          <w:sz w:val="20"/>
          <w:szCs w:val="20"/>
        </w:rPr>
      </w:pPr>
    </w:p>
    <w:p w:rsidR="005044BD" w:rsidRPr="00700FB4" w:rsidRDefault="00B04424" w:rsidP="005044BD">
      <w:pPr>
        <w:pStyle w:val="NoSpacing"/>
        <w:jc w:val="both"/>
        <w:rPr>
          <w:rFonts w:ascii="Arial" w:hAnsi="Arial" w:cs="Arial"/>
          <w:sz w:val="20"/>
          <w:szCs w:val="20"/>
        </w:rPr>
      </w:pPr>
      <w:r w:rsidRPr="00700FB4">
        <w:rPr>
          <w:rFonts w:ascii="Arial" w:hAnsi="Arial" w:cs="Arial"/>
          <w:sz w:val="20"/>
          <w:szCs w:val="20"/>
        </w:rPr>
        <w:t xml:space="preserve">Jūras telpiskās plānošanas direktīva </w:t>
      </w:r>
      <w:r w:rsidR="005044BD" w:rsidRPr="00700FB4">
        <w:rPr>
          <w:rFonts w:ascii="Arial" w:hAnsi="Arial" w:cs="Arial"/>
          <w:sz w:val="20"/>
          <w:szCs w:val="20"/>
        </w:rPr>
        <w:t>nosaka arī ieteikumus tam, kā var tikt izdalīti jūras ū</w:t>
      </w:r>
      <w:r w:rsidR="00285329" w:rsidRPr="00700FB4">
        <w:rPr>
          <w:rFonts w:ascii="Arial" w:hAnsi="Arial" w:cs="Arial"/>
          <w:sz w:val="20"/>
          <w:szCs w:val="20"/>
        </w:rPr>
        <w:t>deņu izmantošanas veidi, tas ir, akvakultūras laukumi, zvejas apgabali,</w:t>
      </w:r>
      <w:r w:rsidR="005044BD" w:rsidRPr="00700FB4">
        <w:rPr>
          <w:rFonts w:ascii="Arial" w:hAnsi="Arial" w:cs="Arial"/>
          <w:sz w:val="20"/>
          <w:szCs w:val="20"/>
        </w:rPr>
        <w:t xml:space="preserve"> iekārtas un infrastruktūra naftas, gāzes un citu enerģijas resursu, derīgo izrakteņu un agregātu, izpētei, izmantošanai un ieguvei, kā arī enerģijas ražošanai no atjaunojamiem energ</w:t>
      </w:r>
      <w:r w:rsidR="00285329" w:rsidRPr="00700FB4">
        <w:rPr>
          <w:rFonts w:ascii="Arial" w:hAnsi="Arial" w:cs="Arial"/>
          <w:sz w:val="20"/>
          <w:szCs w:val="20"/>
        </w:rPr>
        <w:t>oresursiem izmantojamie laukumi,</w:t>
      </w:r>
      <w:r w:rsidR="005044BD" w:rsidRPr="00700FB4">
        <w:rPr>
          <w:rFonts w:ascii="Arial" w:hAnsi="Arial" w:cs="Arial"/>
          <w:sz w:val="20"/>
          <w:szCs w:val="20"/>
        </w:rPr>
        <w:t xml:space="preserve"> jūras transporta ceļi un satiksmes plūsmas</w:t>
      </w:r>
      <w:r w:rsidR="00285329" w:rsidRPr="00700FB4">
        <w:rPr>
          <w:rFonts w:ascii="Arial" w:hAnsi="Arial" w:cs="Arial"/>
          <w:sz w:val="20"/>
          <w:szCs w:val="20"/>
        </w:rPr>
        <w:t>, militārās apmācības apgabali,</w:t>
      </w:r>
      <w:r w:rsidR="005044BD" w:rsidRPr="00700FB4">
        <w:rPr>
          <w:rFonts w:ascii="Arial" w:hAnsi="Arial" w:cs="Arial"/>
          <w:sz w:val="20"/>
          <w:szCs w:val="20"/>
        </w:rPr>
        <w:t xml:space="preserve"> dabas un sugu aizsardzības vieta</w:t>
      </w:r>
      <w:r w:rsidR="00285329" w:rsidRPr="00700FB4">
        <w:rPr>
          <w:rFonts w:ascii="Arial" w:hAnsi="Arial" w:cs="Arial"/>
          <w:sz w:val="20"/>
          <w:szCs w:val="20"/>
        </w:rPr>
        <w:t xml:space="preserve">s un aizsargājamās teritorijas, </w:t>
      </w:r>
      <w:r w:rsidR="005044BD" w:rsidRPr="00700FB4">
        <w:rPr>
          <w:rFonts w:ascii="Arial" w:hAnsi="Arial" w:cs="Arial"/>
          <w:sz w:val="20"/>
          <w:szCs w:val="20"/>
        </w:rPr>
        <w:t>izejvielu</w:t>
      </w:r>
      <w:r w:rsidR="00285329" w:rsidRPr="00700FB4">
        <w:rPr>
          <w:rFonts w:ascii="Arial" w:hAnsi="Arial" w:cs="Arial"/>
          <w:sz w:val="20"/>
          <w:szCs w:val="20"/>
        </w:rPr>
        <w:t xml:space="preserve"> iegūšanas apgabali, zinātniskā pētniecība,</w:t>
      </w:r>
      <w:r w:rsidR="005044BD" w:rsidRPr="00700FB4">
        <w:rPr>
          <w:rFonts w:ascii="Arial" w:hAnsi="Arial" w:cs="Arial"/>
          <w:sz w:val="20"/>
          <w:szCs w:val="20"/>
        </w:rPr>
        <w:t xml:space="preserve"> zemūdens ka</w:t>
      </w:r>
      <w:r w:rsidR="00285329" w:rsidRPr="00700FB4">
        <w:rPr>
          <w:rFonts w:ascii="Arial" w:hAnsi="Arial" w:cs="Arial"/>
          <w:sz w:val="20"/>
          <w:szCs w:val="20"/>
        </w:rPr>
        <w:t>beļu un cauruļvadu izvietojums, tūrisms,</w:t>
      </w:r>
      <w:r w:rsidR="005044BD" w:rsidRPr="00700FB4">
        <w:rPr>
          <w:rFonts w:ascii="Arial" w:hAnsi="Arial" w:cs="Arial"/>
          <w:sz w:val="20"/>
          <w:szCs w:val="20"/>
        </w:rPr>
        <w:t xml:space="preserve"> zemūdens kultūras mantojums.</w:t>
      </w:r>
      <w:r w:rsidR="005044BD" w:rsidRPr="00700FB4">
        <w:rPr>
          <w:rStyle w:val="FootnoteReference"/>
          <w:rFonts w:ascii="Arial" w:hAnsi="Arial" w:cs="Arial"/>
          <w:sz w:val="20"/>
          <w:szCs w:val="20"/>
        </w:rPr>
        <w:footnoteReference w:id="30"/>
      </w:r>
      <w:r w:rsidR="005044BD" w:rsidRPr="00700FB4">
        <w:rPr>
          <w:rFonts w:ascii="Arial" w:hAnsi="Arial" w:cs="Arial"/>
          <w:sz w:val="20"/>
          <w:szCs w:val="20"/>
        </w:rPr>
        <w:t xml:space="preserve"> Latvijai ir tiesības izvēlēties arī veidot citādus teritorijas izmantošanas veidus.</w:t>
      </w:r>
    </w:p>
    <w:p w:rsidR="005044BD" w:rsidRPr="00700FB4" w:rsidRDefault="005044BD" w:rsidP="005044BD">
      <w:pPr>
        <w:pStyle w:val="NoSpacing"/>
        <w:jc w:val="both"/>
        <w:rPr>
          <w:rFonts w:ascii="Arial" w:hAnsi="Arial" w:cs="Arial"/>
          <w:b/>
          <w:sz w:val="20"/>
          <w:szCs w:val="20"/>
        </w:rPr>
      </w:pPr>
    </w:p>
    <w:p w:rsidR="005044BD" w:rsidRPr="00700FB4" w:rsidRDefault="005044BD" w:rsidP="005044BD">
      <w:pPr>
        <w:pStyle w:val="NoSpacing"/>
        <w:jc w:val="both"/>
        <w:rPr>
          <w:rFonts w:ascii="Arial" w:hAnsi="Arial" w:cs="Arial"/>
          <w:sz w:val="20"/>
          <w:szCs w:val="20"/>
        </w:rPr>
      </w:pPr>
      <w:r w:rsidRPr="00700FB4">
        <w:rPr>
          <w:rFonts w:ascii="Arial" w:hAnsi="Arial" w:cs="Arial"/>
          <w:sz w:val="20"/>
          <w:szCs w:val="20"/>
        </w:rPr>
        <w:t xml:space="preserve">Latvijai ir pienākums pārņemt </w:t>
      </w:r>
      <w:r w:rsidR="00B04424" w:rsidRPr="00700FB4">
        <w:rPr>
          <w:rFonts w:ascii="Arial" w:hAnsi="Arial" w:cs="Arial"/>
          <w:sz w:val="20"/>
          <w:szCs w:val="20"/>
        </w:rPr>
        <w:t xml:space="preserve">Jūras telpiskās plānošanas direktīvu </w:t>
      </w:r>
      <w:r w:rsidRPr="00700FB4">
        <w:rPr>
          <w:rFonts w:ascii="Arial" w:hAnsi="Arial" w:cs="Arial"/>
          <w:sz w:val="20"/>
          <w:szCs w:val="20"/>
        </w:rPr>
        <w:t xml:space="preserve">līdz 2016.gada 18.septembrim, </w:t>
      </w:r>
      <w:r w:rsidR="00285329" w:rsidRPr="00700FB4">
        <w:rPr>
          <w:rFonts w:ascii="Arial" w:hAnsi="Arial" w:cs="Arial"/>
          <w:sz w:val="20"/>
          <w:szCs w:val="20"/>
        </w:rPr>
        <w:t>bet</w:t>
      </w:r>
      <w:r w:rsidRPr="00700FB4">
        <w:rPr>
          <w:rFonts w:ascii="Arial" w:hAnsi="Arial" w:cs="Arial"/>
          <w:sz w:val="20"/>
          <w:szCs w:val="20"/>
        </w:rPr>
        <w:t xml:space="preserve"> līdz 2021.gada 31.martam – izstrādāt </w:t>
      </w:r>
      <w:r w:rsidR="00285329" w:rsidRPr="00700FB4">
        <w:rPr>
          <w:rFonts w:ascii="Arial" w:hAnsi="Arial" w:cs="Arial"/>
          <w:sz w:val="20"/>
          <w:szCs w:val="20"/>
        </w:rPr>
        <w:t>j</w:t>
      </w:r>
      <w:r w:rsidRPr="00700FB4">
        <w:rPr>
          <w:rFonts w:ascii="Arial" w:hAnsi="Arial" w:cs="Arial"/>
          <w:sz w:val="20"/>
          <w:szCs w:val="20"/>
        </w:rPr>
        <w:t xml:space="preserve">ūras plānojumu. Papildu </w:t>
      </w:r>
      <w:r w:rsidR="00B04424" w:rsidRPr="00700FB4">
        <w:rPr>
          <w:rFonts w:ascii="Arial" w:hAnsi="Arial" w:cs="Arial"/>
          <w:sz w:val="20"/>
          <w:szCs w:val="20"/>
        </w:rPr>
        <w:t xml:space="preserve">tā </w:t>
      </w:r>
      <w:r w:rsidRPr="00700FB4">
        <w:rPr>
          <w:rFonts w:ascii="Arial" w:hAnsi="Arial" w:cs="Arial"/>
          <w:sz w:val="20"/>
          <w:szCs w:val="20"/>
        </w:rPr>
        <w:t xml:space="preserve">nosaka pienākumu vismaz reizi 10 gados nodrošināt Jūras plānojuma pārskatīšanu, kā arī pēc </w:t>
      </w:r>
      <w:r w:rsidR="00A97FAE" w:rsidRPr="00700FB4">
        <w:rPr>
          <w:rFonts w:ascii="Arial" w:hAnsi="Arial" w:cs="Arial"/>
          <w:sz w:val="20"/>
          <w:szCs w:val="20"/>
        </w:rPr>
        <w:t>j</w:t>
      </w:r>
      <w:r w:rsidRPr="00700FB4">
        <w:rPr>
          <w:rFonts w:ascii="Arial" w:hAnsi="Arial" w:cs="Arial"/>
          <w:sz w:val="20"/>
          <w:szCs w:val="20"/>
        </w:rPr>
        <w:t>ūras plān</w:t>
      </w:r>
      <w:r w:rsidR="00285329" w:rsidRPr="00700FB4">
        <w:rPr>
          <w:rFonts w:ascii="Arial" w:hAnsi="Arial" w:cs="Arial"/>
          <w:sz w:val="20"/>
          <w:szCs w:val="20"/>
        </w:rPr>
        <w:t>ojuma sagatavošanas – iesniegt j</w:t>
      </w:r>
      <w:r w:rsidRPr="00700FB4">
        <w:rPr>
          <w:rFonts w:ascii="Arial" w:hAnsi="Arial" w:cs="Arial"/>
          <w:sz w:val="20"/>
          <w:szCs w:val="20"/>
        </w:rPr>
        <w:t xml:space="preserve">ūras plānojumu un tā grozījumus </w:t>
      </w:r>
      <w:r w:rsidR="00031ADF" w:rsidRPr="00700FB4">
        <w:rPr>
          <w:rFonts w:ascii="Arial" w:hAnsi="Arial" w:cs="Arial"/>
          <w:sz w:val="20"/>
          <w:szCs w:val="20"/>
        </w:rPr>
        <w:t>Komisija</w:t>
      </w:r>
      <w:r w:rsidR="00285329" w:rsidRPr="00700FB4">
        <w:rPr>
          <w:rFonts w:ascii="Arial" w:hAnsi="Arial" w:cs="Arial"/>
          <w:sz w:val="20"/>
          <w:szCs w:val="20"/>
        </w:rPr>
        <w:t>i</w:t>
      </w:r>
      <w:r w:rsidRPr="00700FB4">
        <w:rPr>
          <w:rFonts w:ascii="Arial" w:hAnsi="Arial" w:cs="Arial"/>
          <w:sz w:val="20"/>
          <w:szCs w:val="20"/>
        </w:rPr>
        <w:t>.</w:t>
      </w:r>
      <w:r w:rsidRPr="00700FB4">
        <w:rPr>
          <w:rStyle w:val="FootnoteReference"/>
          <w:rFonts w:ascii="Arial" w:hAnsi="Arial" w:cs="Arial"/>
          <w:sz w:val="20"/>
          <w:szCs w:val="20"/>
        </w:rPr>
        <w:footnoteReference w:id="31"/>
      </w:r>
      <w:r w:rsidRPr="00700FB4">
        <w:rPr>
          <w:rFonts w:ascii="Arial" w:hAnsi="Arial" w:cs="Arial"/>
          <w:sz w:val="20"/>
          <w:szCs w:val="20"/>
        </w:rPr>
        <w:t xml:space="preserve"> </w:t>
      </w:r>
    </w:p>
    <w:p w:rsidR="005044BD" w:rsidRPr="00700FB4" w:rsidRDefault="005044BD" w:rsidP="008C3116">
      <w:pPr>
        <w:pStyle w:val="NoSpacing"/>
        <w:jc w:val="both"/>
        <w:rPr>
          <w:rFonts w:ascii="Arial" w:hAnsi="Arial" w:cs="Arial"/>
          <w:sz w:val="20"/>
          <w:szCs w:val="20"/>
        </w:rPr>
      </w:pPr>
    </w:p>
    <w:p w:rsidR="005044BD" w:rsidRPr="00700FB4" w:rsidRDefault="005044BD" w:rsidP="00665269">
      <w:pPr>
        <w:pStyle w:val="Heading2"/>
      </w:pPr>
      <w:bookmarkStart w:id="8" w:name="_Toc460402325"/>
      <w:r w:rsidRPr="00700FB4">
        <w:t xml:space="preserve">[2.3] </w:t>
      </w:r>
      <w:r w:rsidR="008D1E33" w:rsidRPr="00700FB4">
        <w:t xml:space="preserve">Eiropas Savienības </w:t>
      </w:r>
      <w:r w:rsidR="00853A93" w:rsidRPr="00700FB4">
        <w:t>stratēģija</w:t>
      </w:r>
      <w:r w:rsidR="008D1E33" w:rsidRPr="00700FB4">
        <w:t>s</w:t>
      </w:r>
      <w:bookmarkEnd w:id="8"/>
    </w:p>
    <w:p w:rsidR="0014238E" w:rsidRPr="00700FB4" w:rsidRDefault="0014238E" w:rsidP="008C3116">
      <w:pPr>
        <w:pStyle w:val="NoSpacing"/>
        <w:jc w:val="both"/>
        <w:rPr>
          <w:rFonts w:ascii="Arial" w:hAnsi="Arial" w:cs="Arial"/>
          <w:sz w:val="20"/>
          <w:szCs w:val="20"/>
        </w:rPr>
      </w:pPr>
      <w:r w:rsidRPr="00700FB4">
        <w:rPr>
          <w:rFonts w:ascii="Arial" w:hAnsi="Arial" w:cs="Arial"/>
          <w:sz w:val="20"/>
          <w:szCs w:val="20"/>
        </w:rPr>
        <w:t>Ar stratēģiju “Eiropa 2020: Eiropas Savienības stratēģija izaugsmei un nodarbinātībai”</w:t>
      </w:r>
      <w:r w:rsidR="00031ADF" w:rsidRPr="00700FB4">
        <w:rPr>
          <w:rFonts w:ascii="Arial" w:hAnsi="Arial" w:cs="Arial"/>
          <w:sz w:val="20"/>
          <w:szCs w:val="20"/>
        </w:rPr>
        <w:t xml:space="preserve"> </w:t>
      </w:r>
      <w:r w:rsidRPr="00700FB4">
        <w:rPr>
          <w:rFonts w:ascii="Arial" w:hAnsi="Arial" w:cs="Arial"/>
          <w:sz w:val="20"/>
          <w:szCs w:val="20"/>
        </w:rPr>
        <w:t>ES tiecas līdz 2020.gadam kļūt par gudru, ilgtspējīgu un integrējošu ekonomiku. Jūras telpiskās plānošanas direktīvai ir būtiska loma ES vēlmē attīstīt Eiropas Jūras nozaru ekonomiku.</w:t>
      </w:r>
    </w:p>
    <w:p w:rsidR="00A2137B" w:rsidRPr="00700FB4" w:rsidRDefault="00A2137B" w:rsidP="008C3116">
      <w:pPr>
        <w:pStyle w:val="NoSpacing"/>
        <w:jc w:val="both"/>
        <w:rPr>
          <w:rFonts w:ascii="Arial" w:hAnsi="Arial" w:cs="Arial"/>
          <w:sz w:val="20"/>
          <w:szCs w:val="20"/>
        </w:rPr>
      </w:pPr>
    </w:p>
    <w:p w:rsidR="0014238E" w:rsidRPr="00700FB4" w:rsidRDefault="0014238E" w:rsidP="008C3116">
      <w:pPr>
        <w:pStyle w:val="NoSpacing"/>
        <w:jc w:val="both"/>
        <w:rPr>
          <w:rFonts w:ascii="Arial" w:hAnsi="Arial" w:cs="Arial"/>
          <w:sz w:val="20"/>
          <w:szCs w:val="20"/>
        </w:rPr>
      </w:pPr>
      <w:r w:rsidRPr="00700FB4">
        <w:rPr>
          <w:rFonts w:ascii="Arial" w:hAnsi="Arial" w:cs="Arial"/>
          <w:sz w:val="20"/>
          <w:szCs w:val="20"/>
        </w:rPr>
        <w:t xml:space="preserve">Jāatzīmē arī Komisijas paziņojums </w:t>
      </w:r>
      <w:r w:rsidR="0051598B" w:rsidRPr="00700FB4">
        <w:rPr>
          <w:rFonts w:ascii="Arial" w:hAnsi="Arial" w:cs="Arial"/>
          <w:sz w:val="20"/>
          <w:szCs w:val="20"/>
        </w:rPr>
        <w:t>P</w:t>
      </w:r>
      <w:r w:rsidRPr="00700FB4">
        <w:rPr>
          <w:rFonts w:ascii="Arial" w:hAnsi="Arial" w:cs="Arial"/>
          <w:sz w:val="20"/>
          <w:szCs w:val="20"/>
        </w:rPr>
        <w:t xml:space="preserve">arlamentam, Padomei, Eiropas Ekonomikas un sociālo lietu komitejai un Reģionālajai Komitejai par </w:t>
      </w:r>
      <w:r w:rsidR="00025BCC" w:rsidRPr="00700FB4">
        <w:rPr>
          <w:rFonts w:ascii="Arial" w:hAnsi="Arial" w:cs="Arial"/>
          <w:sz w:val="20"/>
          <w:szCs w:val="20"/>
        </w:rPr>
        <w:t>ES</w:t>
      </w:r>
      <w:r w:rsidRPr="00700FB4">
        <w:rPr>
          <w:rFonts w:ascii="Arial" w:hAnsi="Arial" w:cs="Arial"/>
          <w:sz w:val="20"/>
          <w:szCs w:val="20"/>
        </w:rPr>
        <w:t xml:space="preserve"> stratēģiju Baltijas jūras reģionam</w:t>
      </w:r>
      <w:r w:rsidR="00BD2E22" w:rsidRPr="00700FB4">
        <w:rPr>
          <w:rStyle w:val="FootnoteReference"/>
          <w:rFonts w:ascii="Arial" w:hAnsi="Arial" w:cs="Arial"/>
          <w:sz w:val="20"/>
          <w:szCs w:val="20"/>
        </w:rPr>
        <w:footnoteReference w:id="32"/>
      </w:r>
      <w:r w:rsidRPr="00700FB4">
        <w:rPr>
          <w:rFonts w:ascii="Arial" w:hAnsi="Arial" w:cs="Arial"/>
          <w:sz w:val="20"/>
          <w:szCs w:val="20"/>
        </w:rPr>
        <w:t xml:space="preserve">, kura mērķis ir ierosināt vispārēju ES stratēģiju Baltijas jūras reģionam. Šīs stratēģijas nolūks ir stiprināt sadarbību Baltijas jūras reģionā, lai reaģētu uz kopējām problēmām, ar kurām tas saskaras, un veicinātu ekoloģiski atbildīgu ekonomikas attīstību. Stratēģija aptver </w:t>
      </w:r>
      <w:r w:rsidR="006410D5" w:rsidRPr="00700FB4">
        <w:rPr>
          <w:rFonts w:ascii="Arial" w:hAnsi="Arial" w:cs="Arial"/>
          <w:sz w:val="20"/>
          <w:szCs w:val="20"/>
        </w:rPr>
        <w:t>ES</w:t>
      </w:r>
      <w:r w:rsidRPr="00700FB4">
        <w:rPr>
          <w:rFonts w:ascii="Arial" w:hAnsi="Arial" w:cs="Arial"/>
          <w:sz w:val="20"/>
          <w:szCs w:val="20"/>
        </w:rPr>
        <w:t xml:space="preserve"> valstis, kuras robežojas ar Baltijas jūru (Dānija, Igaunija, Somija, Vācija, Latvija, Lietuva, Polija un Zviedrija). Stratēģijā uzmanība pievērsta trīs galvenajiem mērķiem:</w:t>
      </w:r>
      <w:r w:rsidR="00A2137B" w:rsidRPr="00700FB4">
        <w:rPr>
          <w:rFonts w:ascii="Arial" w:hAnsi="Arial" w:cs="Arial"/>
          <w:sz w:val="20"/>
          <w:szCs w:val="20"/>
        </w:rPr>
        <w:t xml:space="preserve"> </w:t>
      </w:r>
      <w:r w:rsidRPr="00700FB4">
        <w:rPr>
          <w:rFonts w:ascii="Arial" w:hAnsi="Arial" w:cs="Arial"/>
          <w:sz w:val="20"/>
          <w:szCs w:val="20"/>
        </w:rPr>
        <w:t>nosargāt jūras vidi;</w:t>
      </w:r>
      <w:r w:rsidR="00A2137B" w:rsidRPr="00700FB4">
        <w:rPr>
          <w:rFonts w:ascii="Arial" w:hAnsi="Arial" w:cs="Arial"/>
          <w:sz w:val="20"/>
          <w:szCs w:val="20"/>
        </w:rPr>
        <w:t xml:space="preserve"> </w:t>
      </w:r>
      <w:r w:rsidRPr="00700FB4">
        <w:rPr>
          <w:rFonts w:ascii="Arial" w:hAnsi="Arial" w:cs="Arial"/>
          <w:sz w:val="20"/>
          <w:szCs w:val="20"/>
        </w:rPr>
        <w:t>nodrošināt starpreģionālas saites, tajā esošo valstu enerģijas un transporta</w:t>
      </w:r>
      <w:r w:rsidRPr="00700FB4">
        <w:rPr>
          <w:rFonts w:ascii="Arial" w:hAnsi="Arial" w:cs="Arial"/>
          <w:sz w:val="20"/>
          <w:szCs w:val="20"/>
          <w:u w:val="single"/>
        </w:rPr>
        <w:t xml:space="preserve"> </w:t>
      </w:r>
      <w:r w:rsidRPr="00700FB4">
        <w:rPr>
          <w:rFonts w:ascii="Arial" w:hAnsi="Arial" w:cs="Arial"/>
          <w:sz w:val="20"/>
          <w:szCs w:val="20"/>
        </w:rPr>
        <w:t>sistēmas padarot savstarpēji savienotākas;</w:t>
      </w:r>
      <w:r w:rsidR="00A2137B" w:rsidRPr="00700FB4">
        <w:rPr>
          <w:rFonts w:ascii="Arial" w:hAnsi="Arial" w:cs="Arial"/>
          <w:sz w:val="20"/>
          <w:szCs w:val="20"/>
        </w:rPr>
        <w:t xml:space="preserve"> </w:t>
      </w:r>
      <w:r w:rsidRPr="00700FB4">
        <w:rPr>
          <w:rFonts w:ascii="Arial" w:hAnsi="Arial" w:cs="Arial"/>
          <w:sz w:val="20"/>
          <w:szCs w:val="20"/>
        </w:rPr>
        <w:t xml:space="preserve">vairot labklājību, novēršot šķēršļus Baltijas reģiona vietējā tirgū, attīstot kopīgu ekonomikas, kultūras un tūrisma </w:t>
      </w:r>
      <w:proofErr w:type="spellStart"/>
      <w:r w:rsidRPr="00700FB4">
        <w:rPr>
          <w:rFonts w:ascii="Arial" w:hAnsi="Arial" w:cs="Arial"/>
          <w:sz w:val="20"/>
          <w:szCs w:val="20"/>
        </w:rPr>
        <w:t>pamatnodrošinājumu</w:t>
      </w:r>
      <w:proofErr w:type="spellEnd"/>
      <w:r w:rsidRPr="00700FB4">
        <w:rPr>
          <w:rFonts w:ascii="Arial" w:hAnsi="Arial" w:cs="Arial"/>
          <w:sz w:val="20"/>
          <w:szCs w:val="20"/>
        </w:rPr>
        <w:t xml:space="preserve"> un veicinot inovāciju saskaņā ar Kopīgo Baltijas jūras pētniecības un attīstības programmu.</w:t>
      </w:r>
    </w:p>
    <w:p w:rsidR="00A2137B" w:rsidRPr="00700FB4" w:rsidRDefault="00A2137B" w:rsidP="008C3116">
      <w:pPr>
        <w:pStyle w:val="NoSpacing"/>
        <w:jc w:val="both"/>
        <w:rPr>
          <w:rFonts w:ascii="Arial" w:hAnsi="Arial" w:cs="Arial"/>
          <w:sz w:val="20"/>
          <w:szCs w:val="20"/>
        </w:rPr>
      </w:pPr>
    </w:p>
    <w:p w:rsidR="0014238E" w:rsidRPr="00700FB4" w:rsidRDefault="00EB2C51" w:rsidP="008C3116">
      <w:pPr>
        <w:pStyle w:val="NoSpacing"/>
        <w:jc w:val="both"/>
        <w:rPr>
          <w:rFonts w:ascii="Arial" w:hAnsi="Arial" w:cs="Arial"/>
          <w:sz w:val="20"/>
          <w:szCs w:val="20"/>
        </w:rPr>
      </w:pPr>
      <w:r w:rsidRPr="00700FB4">
        <w:rPr>
          <w:rFonts w:ascii="Arial" w:hAnsi="Arial" w:cs="Arial"/>
          <w:sz w:val="20"/>
          <w:szCs w:val="20"/>
        </w:rPr>
        <w:t xml:space="preserve">Minētie trīs mērķi ir sadalīti dažādos rīcības veidos, kas politikas jomās un horizontālās aktivitātēs tiek īstenotas kā </w:t>
      </w:r>
      <w:proofErr w:type="spellStart"/>
      <w:r w:rsidRPr="00700FB4">
        <w:rPr>
          <w:rFonts w:ascii="Arial" w:hAnsi="Arial" w:cs="Arial"/>
          <w:sz w:val="20"/>
          <w:szCs w:val="20"/>
        </w:rPr>
        <w:t>makroreģionāla</w:t>
      </w:r>
      <w:proofErr w:type="spellEnd"/>
      <w:r w:rsidRPr="00700FB4">
        <w:rPr>
          <w:rFonts w:ascii="Arial" w:hAnsi="Arial" w:cs="Arial"/>
          <w:sz w:val="20"/>
          <w:szCs w:val="20"/>
        </w:rPr>
        <w:t xml:space="preserve"> rīcība.</w:t>
      </w:r>
      <w:r w:rsidR="0014238E" w:rsidRPr="00700FB4">
        <w:rPr>
          <w:rFonts w:ascii="Arial" w:hAnsi="Arial" w:cs="Arial"/>
          <w:sz w:val="20"/>
          <w:szCs w:val="20"/>
        </w:rPr>
        <w:t xml:space="preserve"> Šīs rīcības palīdz risināt kopīgās problēmas Baltijas jūras reģionā (veicināt ilgtspējīgu vidi, kāpināt reģiona labklājību, vairot pieejamību un pievilcību, nodrošināt reģiona drošību un aizsardzību). </w:t>
      </w:r>
      <w:r w:rsidRPr="00700FB4">
        <w:rPr>
          <w:rFonts w:ascii="Arial" w:hAnsi="Arial" w:cs="Arial"/>
          <w:sz w:val="20"/>
          <w:szCs w:val="20"/>
        </w:rPr>
        <w:t xml:space="preserve">Īpaši uzsverama ir horizontālā aktivitāte „Telpiskā plānošana”, kuras mērķis ir sagatavot un ieviest jūras telpiskos plānus, kuri ir </w:t>
      </w:r>
      <w:r w:rsidRPr="00700FB4">
        <w:rPr>
          <w:rFonts w:ascii="Arial" w:hAnsi="Arial" w:cs="Arial"/>
          <w:sz w:val="20"/>
          <w:szCs w:val="20"/>
        </w:rPr>
        <w:lastRenderedPageBreak/>
        <w:t xml:space="preserve">saskaņoti pāri robežām un kuros ir ievērota ekosistēmas pieeja. </w:t>
      </w:r>
      <w:r w:rsidR="0014238E" w:rsidRPr="00700FB4">
        <w:rPr>
          <w:rFonts w:ascii="Arial" w:hAnsi="Arial" w:cs="Arial"/>
          <w:sz w:val="20"/>
          <w:szCs w:val="20"/>
        </w:rPr>
        <w:t>Tādējādi īstenotās rīcības ietekmē visu teritoriju ārpus iesaistīto valstu robežām.</w:t>
      </w:r>
      <w:r w:rsidRPr="00700FB4">
        <w:rPr>
          <w:rFonts w:ascii="Arial" w:hAnsi="Arial" w:cs="Arial"/>
          <w:sz w:val="20"/>
          <w:szCs w:val="20"/>
        </w:rPr>
        <w:t xml:space="preserve"> </w:t>
      </w:r>
    </w:p>
    <w:p w:rsidR="00A2137B" w:rsidRPr="00700FB4" w:rsidRDefault="00A2137B" w:rsidP="008C3116">
      <w:pPr>
        <w:pStyle w:val="NoSpacing"/>
        <w:jc w:val="both"/>
        <w:rPr>
          <w:rFonts w:ascii="Arial" w:hAnsi="Arial" w:cs="Arial"/>
          <w:sz w:val="20"/>
          <w:szCs w:val="20"/>
        </w:rPr>
      </w:pPr>
    </w:p>
    <w:p w:rsidR="0014238E" w:rsidRPr="00700FB4" w:rsidRDefault="0014238E" w:rsidP="008C3116">
      <w:pPr>
        <w:pStyle w:val="NoSpacing"/>
        <w:jc w:val="both"/>
        <w:rPr>
          <w:rFonts w:ascii="Arial" w:hAnsi="Arial" w:cs="Arial"/>
          <w:sz w:val="20"/>
          <w:szCs w:val="20"/>
        </w:rPr>
      </w:pPr>
      <w:r w:rsidRPr="00700FB4">
        <w:rPr>
          <w:rFonts w:ascii="Arial" w:hAnsi="Arial" w:cs="Arial"/>
          <w:sz w:val="20"/>
          <w:szCs w:val="20"/>
        </w:rPr>
        <w:t xml:space="preserve">Komisija 2009.gadā ierosināja sākotnēju stratēģiju un pielāgoja to 2012.gadā, lai risinātu kopīgas </w:t>
      </w:r>
      <w:proofErr w:type="spellStart"/>
      <w:r w:rsidRPr="00700FB4">
        <w:rPr>
          <w:rFonts w:ascii="Arial" w:hAnsi="Arial" w:cs="Arial"/>
          <w:sz w:val="20"/>
          <w:szCs w:val="20"/>
        </w:rPr>
        <w:t>makroreģionālas</w:t>
      </w:r>
      <w:proofErr w:type="spellEnd"/>
      <w:r w:rsidRPr="00700FB4">
        <w:rPr>
          <w:rFonts w:ascii="Arial" w:hAnsi="Arial" w:cs="Arial"/>
          <w:sz w:val="20"/>
          <w:szCs w:val="20"/>
        </w:rPr>
        <w:t xml:space="preserve"> problēmas, ar kurām nākas saskarties Baltijas jūras reģionā. 2015.gada jūnijā tika iesniegts pārskatīts stratēģijas rīcības plāns.</w:t>
      </w:r>
    </w:p>
    <w:p w:rsidR="00A2137B" w:rsidRPr="00700FB4" w:rsidRDefault="00A2137B" w:rsidP="008C3116">
      <w:pPr>
        <w:pStyle w:val="NoSpacing"/>
        <w:jc w:val="both"/>
        <w:rPr>
          <w:rFonts w:ascii="Arial" w:hAnsi="Arial" w:cs="Arial"/>
          <w:sz w:val="20"/>
          <w:szCs w:val="20"/>
        </w:rPr>
      </w:pPr>
    </w:p>
    <w:p w:rsidR="00BE2603" w:rsidRPr="00700FB4" w:rsidRDefault="0014238E" w:rsidP="008C3116">
      <w:pPr>
        <w:pStyle w:val="NoSpacing"/>
        <w:jc w:val="both"/>
        <w:rPr>
          <w:rFonts w:ascii="Arial" w:hAnsi="Arial" w:cs="Arial"/>
          <w:sz w:val="20"/>
          <w:szCs w:val="20"/>
        </w:rPr>
      </w:pPr>
      <w:r w:rsidRPr="00700FB4">
        <w:rPr>
          <w:rFonts w:ascii="Arial" w:hAnsi="Arial" w:cs="Arial"/>
          <w:sz w:val="20"/>
          <w:szCs w:val="20"/>
        </w:rPr>
        <w:t xml:space="preserve">Papildus jāatzīmē arī dokuments “ES stratēģija jūras un jūrniecības nozaru ilgtspējīgai izaugsmei. </w:t>
      </w:r>
      <w:r w:rsidR="00712992" w:rsidRPr="00700FB4">
        <w:rPr>
          <w:rFonts w:ascii="Arial" w:hAnsi="Arial" w:cs="Arial"/>
          <w:sz w:val="20"/>
          <w:szCs w:val="20"/>
        </w:rPr>
        <w:t>Zilā</w:t>
      </w:r>
      <w:r w:rsidRPr="00700FB4">
        <w:rPr>
          <w:rFonts w:ascii="Arial" w:hAnsi="Arial" w:cs="Arial"/>
          <w:sz w:val="20"/>
          <w:szCs w:val="20"/>
        </w:rPr>
        <w:t xml:space="preserve"> izaugsme”, kas ir ilgtermiņa stratēģija okeānu un jūru potenciāla izmantošanai. Ar </w:t>
      </w:r>
      <w:r w:rsidR="00BE2603" w:rsidRPr="00700FB4">
        <w:rPr>
          <w:rFonts w:ascii="Arial" w:hAnsi="Arial" w:cs="Arial"/>
          <w:sz w:val="20"/>
          <w:szCs w:val="20"/>
        </w:rPr>
        <w:t>Jūras nozaru izaugsmes stratēģiju</w:t>
      </w:r>
      <w:r w:rsidRPr="00700FB4">
        <w:rPr>
          <w:rFonts w:ascii="Arial" w:hAnsi="Arial" w:cs="Arial"/>
          <w:sz w:val="20"/>
          <w:szCs w:val="20"/>
        </w:rPr>
        <w:t xml:space="preserve"> tika uzsākta ES stratēģijas jūrniecības nozarei īstenošana. </w:t>
      </w:r>
      <w:r w:rsidR="00BE2603" w:rsidRPr="00700FB4">
        <w:rPr>
          <w:rFonts w:ascii="Arial" w:hAnsi="Arial" w:cs="Arial"/>
          <w:sz w:val="20"/>
          <w:szCs w:val="20"/>
        </w:rPr>
        <w:t>Tās pieņemšana</w:t>
      </w:r>
      <w:r w:rsidRPr="00700FB4">
        <w:rPr>
          <w:rFonts w:ascii="Arial" w:hAnsi="Arial" w:cs="Arial"/>
          <w:sz w:val="20"/>
          <w:szCs w:val="20"/>
        </w:rPr>
        <w:t xml:space="preserve"> ir jūrniecības nozares ieguldījums </w:t>
      </w:r>
      <w:r w:rsidR="00853A93" w:rsidRPr="00700FB4">
        <w:rPr>
          <w:rFonts w:ascii="Arial" w:hAnsi="Arial" w:cs="Arial"/>
          <w:sz w:val="20"/>
          <w:szCs w:val="20"/>
        </w:rPr>
        <w:t xml:space="preserve">Stratēģijas </w:t>
      </w:r>
      <w:r w:rsidRPr="00700FB4">
        <w:rPr>
          <w:rFonts w:ascii="Arial" w:hAnsi="Arial" w:cs="Arial"/>
          <w:sz w:val="20"/>
          <w:szCs w:val="20"/>
        </w:rPr>
        <w:t xml:space="preserve">“Eiropa 2020” gudrai, ilgtspējīgai un integrējošai izaugsmei mērķu sasniegšanā. </w:t>
      </w:r>
      <w:r w:rsidR="00BE2603" w:rsidRPr="00700FB4">
        <w:rPr>
          <w:rFonts w:ascii="Arial" w:hAnsi="Arial" w:cs="Arial"/>
          <w:sz w:val="20"/>
          <w:szCs w:val="20"/>
        </w:rPr>
        <w:t xml:space="preserve">Jūras nozaru izaugsmes stratēģijas </w:t>
      </w:r>
      <w:r w:rsidRPr="00700FB4">
        <w:rPr>
          <w:rFonts w:ascii="Arial" w:hAnsi="Arial" w:cs="Arial"/>
          <w:sz w:val="20"/>
          <w:szCs w:val="20"/>
        </w:rPr>
        <w:t xml:space="preserve">pamatā ir </w:t>
      </w:r>
      <w:r w:rsidR="00853A93" w:rsidRPr="00700FB4">
        <w:rPr>
          <w:rFonts w:ascii="Arial" w:hAnsi="Arial" w:cs="Arial"/>
          <w:sz w:val="20"/>
          <w:szCs w:val="20"/>
        </w:rPr>
        <w:t>K</w:t>
      </w:r>
      <w:r w:rsidRPr="00700FB4">
        <w:rPr>
          <w:rFonts w:ascii="Arial" w:hAnsi="Arial" w:cs="Arial"/>
          <w:sz w:val="20"/>
          <w:szCs w:val="20"/>
        </w:rPr>
        <w:t>omisijas integrētā jūrlietu politika, kuras īstenošana tika uzsākta 2007.gadā</w:t>
      </w:r>
      <w:r w:rsidR="00853A93" w:rsidRPr="00700FB4">
        <w:rPr>
          <w:rFonts w:ascii="Arial" w:hAnsi="Arial" w:cs="Arial"/>
          <w:sz w:val="20"/>
          <w:szCs w:val="20"/>
        </w:rPr>
        <w:t xml:space="preserve">, un tā </w:t>
      </w:r>
      <w:r w:rsidRPr="00700FB4">
        <w:rPr>
          <w:rFonts w:ascii="Arial" w:hAnsi="Arial" w:cs="Arial"/>
          <w:sz w:val="20"/>
          <w:szCs w:val="20"/>
        </w:rPr>
        <w:t xml:space="preserve">ir vērsta uz jūras un jūrniecības nozaru (jūras nozaru ekonomikas) potenciālu sniegt ieguldījumu ilgtspējīgā ekonomikas atlabšanā ES un jo īpaši palīdzēt izveidot jaunas darbavietas un sekmēt inovāciju un ilgtspējīgu attīstību. </w:t>
      </w:r>
      <w:r w:rsidR="00853A93" w:rsidRPr="00700FB4">
        <w:rPr>
          <w:rFonts w:ascii="Arial" w:hAnsi="Arial" w:cs="Arial"/>
          <w:sz w:val="20"/>
          <w:szCs w:val="20"/>
        </w:rPr>
        <w:t>Jūras nozaru s</w:t>
      </w:r>
      <w:r w:rsidRPr="00700FB4">
        <w:rPr>
          <w:rFonts w:ascii="Arial" w:hAnsi="Arial" w:cs="Arial"/>
          <w:sz w:val="20"/>
          <w:szCs w:val="20"/>
        </w:rPr>
        <w:t xml:space="preserve">tratēģijā ir noteiktas piecas jomas ar augstu darbavietu izveides un izaugsmes potenciālu: akvakultūra (zivju un gliemju audzēšana), tūrisms, jūras biotehnoloģija, okeānu enerģija un jūras derīgo izrakteņu ieguve. Ir uzsākta vesela virkne </w:t>
      </w:r>
      <w:r w:rsidR="00853A93" w:rsidRPr="00700FB4">
        <w:rPr>
          <w:rFonts w:ascii="Arial" w:hAnsi="Arial" w:cs="Arial"/>
          <w:sz w:val="20"/>
          <w:szCs w:val="20"/>
        </w:rPr>
        <w:t>K</w:t>
      </w:r>
      <w:r w:rsidRPr="00700FB4">
        <w:rPr>
          <w:rFonts w:ascii="Arial" w:hAnsi="Arial" w:cs="Arial"/>
          <w:sz w:val="20"/>
          <w:szCs w:val="20"/>
        </w:rPr>
        <w:t>omisijas iniciatīvu, lai pētītu un attīstītu šo jomu izaugsmes potenciālu.</w:t>
      </w:r>
    </w:p>
    <w:p w:rsidR="00E323B6" w:rsidRPr="00700FB4" w:rsidRDefault="00E323B6" w:rsidP="008C3116">
      <w:pPr>
        <w:pStyle w:val="NoSpacing"/>
        <w:jc w:val="both"/>
        <w:rPr>
          <w:rFonts w:ascii="Arial" w:hAnsi="Arial" w:cs="Arial"/>
          <w:sz w:val="20"/>
          <w:szCs w:val="20"/>
        </w:rPr>
      </w:pPr>
    </w:p>
    <w:p w:rsidR="00E323B6" w:rsidRPr="00700FB4" w:rsidRDefault="00E323B6" w:rsidP="00E323B6">
      <w:pPr>
        <w:pStyle w:val="NoSpacing"/>
        <w:jc w:val="both"/>
        <w:rPr>
          <w:rFonts w:ascii="Arial" w:hAnsi="Arial" w:cs="Arial"/>
          <w:sz w:val="20"/>
          <w:szCs w:val="20"/>
        </w:rPr>
      </w:pPr>
      <w:r w:rsidRPr="00700FB4">
        <w:rPr>
          <w:rFonts w:ascii="Arial" w:hAnsi="Arial" w:cs="Arial"/>
          <w:sz w:val="20"/>
          <w:szCs w:val="20"/>
        </w:rPr>
        <w:t xml:space="preserve">Attiecībā uz sadarbību Eiropas jūras uzraudzības jomā ir pieņemts Komisijas paziņojums Parlamentam un </w:t>
      </w:r>
      <w:r w:rsidRPr="00700FB4">
        <w:rPr>
          <w:rFonts w:ascii="Arial" w:hAnsi="Arial" w:cs="Arial"/>
          <w:b/>
          <w:sz w:val="20"/>
          <w:szCs w:val="20"/>
        </w:rPr>
        <w:t>Padomei “Labāka situācijas apzināšanās ar uzlabotu sadarbību starp jūras uzraudzības iestādēm: turpmākie pasākumi vienotajā informācijas apmaiņas vidē ES jūrlietu jomā”</w:t>
      </w:r>
      <w:r w:rsidRPr="00700FB4">
        <w:rPr>
          <w:rFonts w:ascii="Arial" w:hAnsi="Arial" w:cs="Arial"/>
          <w:sz w:val="20"/>
          <w:szCs w:val="20"/>
        </w:rPr>
        <w:t>.</w:t>
      </w:r>
      <w:r w:rsidRPr="00700FB4">
        <w:rPr>
          <w:rStyle w:val="FootnoteReference"/>
          <w:rFonts w:ascii="Arial" w:hAnsi="Arial" w:cs="Arial"/>
          <w:sz w:val="20"/>
          <w:szCs w:val="20"/>
        </w:rPr>
        <w:footnoteReference w:id="33"/>
      </w:r>
      <w:r w:rsidRPr="00700FB4">
        <w:rPr>
          <w:rFonts w:ascii="Arial" w:hAnsi="Arial" w:cs="Arial"/>
          <w:sz w:val="20"/>
          <w:szCs w:val="20"/>
        </w:rPr>
        <w:t xml:space="preserve"> Civilo un militāro iestāžu jūras uzraudzības datu apvienošana var palīdzēt izvairīties no darba dublēšanās un samazināt izmaksas. Sadarbības palielināšana un datu kopīgošana var arī palīdzēt efektīvāk reaģēt uz notikumiem jūrā reāllaikā, piemēram, nelaimes gadījumiem, piesārņošanas gadījumiem, noziegumiem vai drošības apdraudējumiem. Paziņojumā ir atspoguļoti panākumi, ko no savas dibināšanas brīža guvusi Komisijas izveidotā Vienotā informācijas apmaiņas vide. Ar to ierosinātas vadlīnijas un turpmākās prioritātes ES un valstu līmenī, un tā ir viens no ES integrētās jūrlietu politikas galvenajiem stratēģiskajiem mērķiem un jūras drošības stratēģijas svarīgs elements. Jūrlietu apmaiņas vides galvenais mērķis ir drošības un vides aizsardzības palielināšana ES jūras teritorijās.</w:t>
      </w:r>
    </w:p>
    <w:p w:rsidR="005276AF" w:rsidRPr="00700FB4" w:rsidRDefault="005276AF" w:rsidP="008C3116">
      <w:pPr>
        <w:pStyle w:val="NoSpacing"/>
        <w:jc w:val="both"/>
        <w:rPr>
          <w:rFonts w:ascii="Arial" w:hAnsi="Arial" w:cs="Arial"/>
          <w:b/>
          <w:sz w:val="20"/>
          <w:szCs w:val="20"/>
        </w:rPr>
      </w:pPr>
    </w:p>
    <w:p w:rsidR="00A2137B" w:rsidRPr="00700FB4" w:rsidRDefault="00A2137B" w:rsidP="00665269">
      <w:pPr>
        <w:pStyle w:val="Heading2"/>
      </w:pPr>
      <w:bookmarkStart w:id="9" w:name="_Toc460402326"/>
      <w:r w:rsidRPr="00700FB4">
        <w:t>[</w:t>
      </w:r>
      <w:r w:rsidR="005044BD" w:rsidRPr="00700FB4">
        <w:t>2.4</w:t>
      </w:r>
      <w:r w:rsidRPr="00700FB4">
        <w:t>] Eiropas Savienības tiesību akti – nozaru regulējumus</w:t>
      </w:r>
      <w:bookmarkEnd w:id="9"/>
      <w:r w:rsidRPr="00700FB4">
        <w:t xml:space="preserve"> </w:t>
      </w:r>
    </w:p>
    <w:p w:rsidR="00A2137B" w:rsidRPr="00700FB4" w:rsidRDefault="00A2137B" w:rsidP="008C3116">
      <w:pPr>
        <w:pStyle w:val="NoSpacing"/>
        <w:jc w:val="both"/>
        <w:rPr>
          <w:rFonts w:ascii="Arial" w:hAnsi="Arial" w:cs="Arial"/>
          <w:b/>
          <w:sz w:val="20"/>
          <w:szCs w:val="20"/>
        </w:rPr>
      </w:pPr>
    </w:p>
    <w:p w:rsidR="00A2137B" w:rsidRPr="00700FB4" w:rsidRDefault="009F397F" w:rsidP="00665269">
      <w:pPr>
        <w:pStyle w:val="Heading3"/>
      </w:pPr>
      <w:bookmarkStart w:id="10" w:name="_Toc460402327"/>
      <w:r w:rsidRPr="00700FB4">
        <w:t>[</w:t>
      </w:r>
      <w:r w:rsidR="005044BD" w:rsidRPr="00700FB4">
        <w:t>2.4</w:t>
      </w:r>
      <w:r w:rsidRPr="00700FB4">
        <w:t>.1]</w:t>
      </w:r>
      <w:r w:rsidR="00A2137B" w:rsidRPr="00700FB4">
        <w:t xml:space="preserve"> Vide</w:t>
      </w:r>
      <w:r w:rsidR="008C3116" w:rsidRPr="00700FB4">
        <w:t>s joma</w:t>
      </w:r>
      <w:bookmarkEnd w:id="10"/>
    </w:p>
    <w:p w:rsidR="0014238E" w:rsidRPr="00700FB4" w:rsidRDefault="0014238E" w:rsidP="008C3116">
      <w:pPr>
        <w:pStyle w:val="NoSpacing"/>
        <w:jc w:val="both"/>
        <w:rPr>
          <w:rFonts w:ascii="Arial" w:hAnsi="Arial" w:cs="Arial"/>
          <w:sz w:val="20"/>
          <w:szCs w:val="20"/>
        </w:rPr>
      </w:pPr>
      <w:r w:rsidRPr="00700FB4">
        <w:rPr>
          <w:rFonts w:ascii="Arial" w:hAnsi="Arial" w:cs="Arial"/>
          <w:sz w:val="20"/>
          <w:szCs w:val="20"/>
        </w:rPr>
        <w:t>LES</w:t>
      </w:r>
      <w:r w:rsidR="00031ADF" w:rsidRPr="00700FB4">
        <w:rPr>
          <w:rFonts w:ascii="Arial" w:hAnsi="Arial" w:cs="Arial"/>
          <w:sz w:val="20"/>
          <w:szCs w:val="20"/>
        </w:rPr>
        <w:t xml:space="preserve"> </w:t>
      </w:r>
      <w:r w:rsidRPr="00700FB4">
        <w:rPr>
          <w:rFonts w:ascii="Arial" w:hAnsi="Arial" w:cs="Arial"/>
          <w:sz w:val="20"/>
          <w:szCs w:val="20"/>
        </w:rPr>
        <w:t>3.panta trešā daļa paredz – ES darbība ir vērsta uz to, lai panāktu stabilu Eiropas attīstību, kuras pamatā ir līdzsvarota ekonomiskā izaugsme un cenu stabilitāte, sociālā tirgus ekonomika ar augstu konkurētspēju, kuras mērķis ir panākt pilnīgu nodarbinātību un sociālo attīstību, kā arī vides augsta līmeņa aizsardzību un tās kvalitātes uzlabošanu. Savukārt LESD</w:t>
      </w:r>
      <w:r w:rsidR="00031ADF" w:rsidRPr="00700FB4">
        <w:rPr>
          <w:rFonts w:ascii="Arial" w:hAnsi="Arial" w:cs="Arial"/>
          <w:sz w:val="20"/>
          <w:szCs w:val="20"/>
        </w:rPr>
        <w:t xml:space="preserve"> </w:t>
      </w:r>
      <w:r w:rsidRPr="00700FB4">
        <w:rPr>
          <w:rFonts w:ascii="Arial" w:hAnsi="Arial" w:cs="Arial"/>
          <w:sz w:val="20"/>
          <w:szCs w:val="20"/>
        </w:rPr>
        <w:t>11.pants paredz, ka, nosakot un īstenojot ES politiku un darbības, tajās jāparedz vides aizsardzības prasības, lai veicinātu noturīgu attīstību. Tātad šis pants paredz vides prasību integrācijas principu.</w:t>
      </w:r>
      <w:r w:rsidRPr="00700FB4">
        <w:rPr>
          <w:rStyle w:val="FootnoteReference"/>
          <w:rFonts w:ascii="Arial" w:hAnsi="Arial" w:cs="Arial"/>
          <w:sz w:val="20"/>
          <w:szCs w:val="20"/>
        </w:rPr>
        <w:footnoteReference w:id="34"/>
      </w:r>
      <w:r w:rsidRPr="00700FB4">
        <w:rPr>
          <w:rFonts w:ascii="Arial" w:hAnsi="Arial" w:cs="Arial"/>
          <w:sz w:val="20"/>
          <w:szCs w:val="20"/>
        </w:rPr>
        <w:t xml:space="preserve"> LESD 11.pantā vienlīdz vides prasību integrācijas principam iekļauts ar to cieši saistītais ilgtspējīgas attīstības princips, kas ir viens no ES vides aizsardzības politikas vispārējiem mērķiem.</w:t>
      </w:r>
      <w:r w:rsidRPr="00700FB4">
        <w:rPr>
          <w:rFonts w:ascii="Arial" w:hAnsi="Arial" w:cs="Arial"/>
          <w:sz w:val="20"/>
          <w:szCs w:val="20"/>
          <w:vertAlign w:val="superscript"/>
        </w:rPr>
        <w:footnoteReference w:id="35"/>
      </w:r>
      <w:r w:rsidRPr="00700FB4">
        <w:rPr>
          <w:rFonts w:ascii="Arial" w:hAnsi="Arial" w:cs="Arial"/>
          <w:sz w:val="20"/>
          <w:szCs w:val="20"/>
          <w:vertAlign w:val="superscript"/>
        </w:rPr>
        <w:t xml:space="preserve"> </w:t>
      </w:r>
      <w:r w:rsidRPr="00700FB4">
        <w:rPr>
          <w:rFonts w:ascii="Arial" w:hAnsi="Arial" w:cs="Arial"/>
          <w:sz w:val="20"/>
          <w:szCs w:val="20"/>
        </w:rPr>
        <w:t>Jāatzīmē, ka starptautiskajās publiskajās tiesībās uzsvērts – ilgtspējīgas attīstības princips ietver nepieciešamību saskaņot ekonomisko attīstību ar vides aizsardzību</w:t>
      </w:r>
      <w:r w:rsidRPr="00700FB4">
        <w:rPr>
          <w:rFonts w:ascii="Arial" w:hAnsi="Arial" w:cs="Arial"/>
          <w:sz w:val="20"/>
          <w:szCs w:val="20"/>
          <w:vertAlign w:val="superscript"/>
        </w:rPr>
        <w:footnoteReference w:id="36"/>
      </w:r>
      <w:r w:rsidR="00610BDA" w:rsidRPr="00700FB4">
        <w:rPr>
          <w:rFonts w:ascii="Arial" w:hAnsi="Arial" w:cs="Arial"/>
          <w:sz w:val="20"/>
          <w:szCs w:val="20"/>
        </w:rPr>
        <w:t xml:space="preserve">, </w:t>
      </w:r>
      <w:r w:rsidRPr="00700FB4">
        <w:rPr>
          <w:rFonts w:ascii="Arial" w:hAnsi="Arial" w:cs="Arial"/>
          <w:sz w:val="20"/>
          <w:szCs w:val="20"/>
        </w:rPr>
        <w:t>taču pastāv šaubas par to, vai ilgtspējīgas attīstības princips ir uzskatāms par paražu tiesību normu.</w:t>
      </w:r>
      <w:r w:rsidRPr="00700FB4">
        <w:rPr>
          <w:rFonts w:ascii="Arial" w:hAnsi="Arial" w:cs="Arial"/>
          <w:sz w:val="20"/>
          <w:szCs w:val="20"/>
          <w:vertAlign w:val="superscript"/>
        </w:rPr>
        <w:footnoteReference w:id="37"/>
      </w:r>
    </w:p>
    <w:p w:rsidR="008C3116" w:rsidRPr="00700FB4" w:rsidRDefault="008C3116" w:rsidP="008C3116">
      <w:pPr>
        <w:pStyle w:val="NoSpacing"/>
        <w:jc w:val="both"/>
        <w:rPr>
          <w:rFonts w:ascii="Arial" w:hAnsi="Arial" w:cs="Arial"/>
          <w:sz w:val="20"/>
          <w:szCs w:val="20"/>
        </w:rPr>
      </w:pPr>
    </w:p>
    <w:p w:rsidR="0014238E" w:rsidRPr="00700FB4" w:rsidRDefault="0014238E" w:rsidP="008C3116">
      <w:pPr>
        <w:pStyle w:val="NoSpacing"/>
        <w:jc w:val="both"/>
        <w:rPr>
          <w:rFonts w:ascii="Arial" w:hAnsi="Arial" w:cs="Arial"/>
          <w:sz w:val="20"/>
          <w:szCs w:val="20"/>
        </w:rPr>
      </w:pPr>
      <w:r w:rsidRPr="00700FB4">
        <w:rPr>
          <w:rFonts w:ascii="Arial" w:hAnsi="Arial" w:cs="Arial"/>
          <w:sz w:val="20"/>
          <w:szCs w:val="20"/>
        </w:rPr>
        <w:t xml:space="preserve">ES Pamattiesību hartas 37.pantā paredzēts princips, saskaņā ar kuru “augstam vides aizsardzības līmenim un vides kvalitātei jābūt integrētai ES politikā un jābūt nodrošinātai saskaņā ar ilgtspējīgas attīstības principu”. ES Pamattiesību hartai saskaņā ar LES 6.pantu ir tāds pats juridiskais spēks, kā LES. Turklāt LESD 191.pantā norādīts, kādu mērķu sasniegšana vides aizsardzības jomā izvirzīta kā prioritāte: saglabāt, aizsargāt un uzlabot vides kvalitāti; aizsargāt cilvēku veselību; apdomīgi un racionāli izmantot dabas resursus; sekmējot starptautiska mēroga pasākumus, risinot reģionālas un pasaules vides problēmas un jo īpaši </w:t>
      </w:r>
      <w:r w:rsidRPr="00700FB4">
        <w:rPr>
          <w:rFonts w:ascii="Arial" w:hAnsi="Arial" w:cs="Arial"/>
          <w:sz w:val="20"/>
          <w:szCs w:val="20"/>
        </w:rPr>
        <w:lastRenderedPageBreak/>
        <w:t>cīnoties pret klimata pārmaiņām. Tātad ES pamatdokumenti vispārīgi paredz vides tiesību integrācijas principu un ilgtspējīgas attīstības principu.</w:t>
      </w:r>
    </w:p>
    <w:p w:rsidR="008C3116" w:rsidRPr="00700FB4" w:rsidRDefault="008C3116" w:rsidP="008C3116">
      <w:pPr>
        <w:pStyle w:val="NoSpacing"/>
        <w:jc w:val="both"/>
        <w:rPr>
          <w:rFonts w:ascii="Arial" w:hAnsi="Arial" w:cs="Arial"/>
          <w:sz w:val="20"/>
          <w:szCs w:val="20"/>
        </w:rPr>
      </w:pPr>
    </w:p>
    <w:p w:rsidR="0014238E" w:rsidRPr="00700FB4" w:rsidRDefault="0014238E" w:rsidP="008C3116">
      <w:pPr>
        <w:pStyle w:val="NoSpacing"/>
        <w:jc w:val="both"/>
        <w:rPr>
          <w:rFonts w:ascii="Arial" w:hAnsi="Arial" w:cs="Arial"/>
          <w:sz w:val="20"/>
          <w:szCs w:val="20"/>
        </w:rPr>
      </w:pPr>
      <w:r w:rsidRPr="00700FB4">
        <w:rPr>
          <w:rFonts w:ascii="Arial" w:hAnsi="Arial" w:cs="Arial"/>
          <w:sz w:val="20"/>
          <w:szCs w:val="20"/>
        </w:rPr>
        <w:t>Kopumā ES vides politika vērsta uz to, lai tiktu sasniegti vides kvalitātes saglabāšanas, aizsardzības un uzlabošanas, cilvēku veselības aizsardzības, kā arī apdomīgas un racionālas dabas resursu izmantošanas mērķi. ES vides politikas mērķis ir augsta līmeņa aizsardzība, kuras pamatā ir piesardzības princips un principi par tādas profilaktiskas darbības veikšanu, kas paredz, ka vides postījumi vispirms jānovērš to avotos un ka maksā piesārņotājs. Piesardzības princips ir riska pārvaldības pieeja, saskaņā ar kuru gadījumā, ja pastāv iespēja, ka kāda politika vai darbība var radīt kaitējumu sabiedrībai vai videi un ja vēl nav zinātniskas vienprātības par attiecīgo jautājumu, minēto politiku vai darbību neīsteno.</w:t>
      </w:r>
    </w:p>
    <w:p w:rsidR="008C3116" w:rsidRPr="00700FB4" w:rsidRDefault="008C3116" w:rsidP="008C3116">
      <w:pPr>
        <w:pStyle w:val="NoSpacing"/>
        <w:jc w:val="both"/>
        <w:rPr>
          <w:rFonts w:ascii="Arial" w:hAnsi="Arial" w:cs="Arial"/>
          <w:sz w:val="20"/>
          <w:szCs w:val="20"/>
        </w:rPr>
      </w:pPr>
    </w:p>
    <w:p w:rsidR="0014238E" w:rsidRPr="00700FB4" w:rsidRDefault="0014238E" w:rsidP="008C3116">
      <w:pPr>
        <w:pStyle w:val="NoSpacing"/>
        <w:jc w:val="both"/>
        <w:rPr>
          <w:rFonts w:ascii="Arial" w:hAnsi="Arial" w:cs="Arial"/>
          <w:sz w:val="20"/>
          <w:szCs w:val="20"/>
        </w:rPr>
      </w:pPr>
      <w:r w:rsidRPr="00700FB4">
        <w:rPr>
          <w:rFonts w:ascii="Arial" w:hAnsi="Arial" w:cs="Arial"/>
          <w:sz w:val="20"/>
          <w:szCs w:val="20"/>
        </w:rPr>
        <w:t xml:space="preserve">Pievēršoties konkrētiem ES dokumentiem vides tiesību jomā, jānorāda, ka jūras tiesību kontekstā viens no svarīgākajiem dokumentiem ir </w:t>
      </w:r>
      <w:r w:rsidRPr="00700FB4">
        <w:rPr>
          <w:rFonts w:ascii="Arial" w:hAnsi="Arial" w:cs="Arial"/>
          <w:b/>
          <w:sz w:val="20"/>
          <w:szCs w:val="20"/>
        </w:rPr>
        <w:t>Direktīva 2000/60/EK</w:t>
      </w:r>
      <w:r w:rsidR="00A97FAE" w:rsidRPr="00700FB4">
        <w:rPr>
          <w:rFonts w:ascii="Arial" w:hAnsi="Arial" w:cs="Arial"/>
          <w:sz w:val="20"/>
          <w:szCs w:val="20"/>
        </w:rPr>
        <w:t xml:space="preserve"> (2000.</w:t>
      </w:r>
      <w:r w:rsidRPr="00700FB4">
        <w:rPr>
          <w:rFonts w:ascii="Arial" w:hAnsi="Arial" w:cs="Arial"/>
          <w:sz w:val="20"/>
          <w:szCs w:val="20"/>
        </w:rPr>
        <w:t xml:space="preserve">gada 23.oktobris), ar ko izveido sistēmu Kopienas rīcībai ūdens resursu politikas jomā. </w:t>
      </w:r>
      <w:r w:rsidR="00031ADF" w:rsidRPr="00700FB4">
        <w:rPr>
          <w:rFonts w:ascii="Arial" w:hAnsi="Arial" w:cs="Arial"/>
          <w:sz w:val="20"/>
          <w:szCs w:val="20"/>
        </w:rPr>
        <w:t xml:space="preserve">Ūdens </w:t>
      </w:r>
      <w:r w:rsidR="002900F1" w:rsidRPr="00700FB4">
        <w:rPr>
          <w:rFonts w:ascii="Arial" w:hAnsi="Arial" w:cs="Arial"/>
          <w:sz w:val="20"/>
          <w:szCs w:val="20"/>
        </w:rPr>
        <w:t>struktūrdirektīvas</w:t>
      </w:r>
      <w:r w:rsidRPr="00700FB4">
        <w:rPr>
          <w:rFonts w:ascii="Arial" w:hAnsi="Arial" w:cs="Arial"/>
          <w:sz w:val="20"/>
          <w:szCs w:val="20"/>
        </w:rPr>
        <w:t xml:space="preserve"> nolūks ir aizsargāt un uzlabot ūdens kvalitāti. Ar Ūdens </w:t>
      </w:r>
      <w:r w:rsidR="002900F1" w:rsidRPr="00700FB4">
        <w:rPr>
          <w:rFonts w:ascii="Arial" w:hAnsi="Arial" w:cs="Arial"/>
          <w:sz w:val="20"/>
          <w:szCs w:val="20"/>
        </w:rPr>
        <w:t xml:space="preserve">struktūrdirektīvu </w:t>
      </w:r>
      <w:r w:rsidRPr="00700FB4">
        <w:rPr>
          <w:rFonts w:ascii="Arial" w:hAnsi="Arial" w:cs="Arial"/>
          <w:sz w:val="20"/>
          <w:szCs w:val="20"/>
        </w:rPr>
        <w:t xml:space="preserve">izveido noteikumus, lai apturētu ES stāvokļa pasliktināšanos ES ūdenstilpnēs un sasniegtu labu stāvokli Eiropas upēs, ezeros un gruntsūdeņos. Ūdens </w:t>
      </w:r>
      <w:r w:rsidR="002900F1" w:rsidRPr="00700FB4">
        <w:rPr>
          <w:rFonts w:ascii="Arial" w:hAnsi="Arial" w:cs="Arial"/>
          <w:sz w:val="20"/>
          <w:szCs w:val="20"/>
        </w:rPr>
        <w:t>struktūrdirektīva</w:t>
      </w:r>
      <w:r w:rsidRPr="00700FB4">
        <w:rPr>
          <w:rFonts w:ascii="Arial" w:hAnsi="Arial" w:cs="Arial"/>
          <w:sz w:val="20"/>
          <w:szCs w:val="20"/>
        </w:rPr>
        <w:t xml:space="preserve"> attiecas ne tikai uz iekšējiem ūdeņiem, bet arī uz jūras krastu, līčiem vai relatīvi noslēgtās jūrās esošajām ūdens ekosistēmām, jo tās savstarpēji ietekmē viena otru (direktīvas preambulas 17.apsvērums). Proti, saskaņā ar </w:t>
      </w:r>
      <w:r w:rsidR="00FF507F" w:rsidRPr="00700FB4">
        <w:rPr>
          <w:rFonts w:ascii="Arial" w:hAnsi="Arial" w:cs="Arial"/>
          <w:sz w:val="20"/>
          <w:szCs w:val="20"/>
        </w:rPr>
        <w:t xml:space="preserve">Ūdens </w:t>
      </w:r>
      <w:r w:rsidR="002900F1" w:rsidRPr="00700FB4">
        <w:rPr>
          <w:rFonts w:ascii="Arial" w:hAnsi="Arial" w:cs="Arial"/>
          <w:sz w:val="20"/>
          <w:szCs w:val="20"/>
        </w:rPr>
        <w:t xml:space="preserve">struktūrdirektīvas </w:t>
      </w:r>
      <w:r w:rsidRPr="00700FB4">
        <w:rPr>
          <w:rFonts w:ascii="Arial" w:hAnsi="Arial" w:cs="Arial"/>
          <w:sz w:val="20"/>
          <w:szCs w:val="20"/>
        </w:rPr>
        <w:t>1.pantu tā attiecas uz iekšējiem virszemes ūdeņiem, pārejas ūde</w:t>
      </w:r>
      <w:r w:rsidR="008C3116" w:rsidRPr="00700FB4">
        <w:rPr>
          <w:rFonts w:ascii="Arial" w:hAnsi="Arial" w:cs="Arial"/>
          <w:sz w:val="20"/>
          <w:szCs w:val="20"/>
        </w:rPr>
        <w:t>ņiem, piekrastes ūdeņiem (</w:t>
      </w:r>
      <w:r w:rsidRPr="00700FB4">
        <w:rPr>
          <w:rFonts w:ascii="Arial" w:hAnsi="Arial" w:cs="Arial"/>
          <w:sz w:val="20"/>
          <w:szCs w:val="20"/>
        </w:rPr>
        <w:t xml:space="preserve">ūdeņi krasta virzienā no līnijas, kuras visi punkti atrodas 1 jūras jūdzi virzienā no tuvākā punkta bāzes līnijā, no kuras mēra teritoriālo ūdeņu platumu) un gruntsūdeņiem, tādējādi palīdzot aizsargāt cita starpā teritoriālos un jūras ūdeņus un sasniegt attiecīgu starptautisku nolīgumu mērķus, tostarp tos, kuri ir paredzēti jūras vides piesārņojuma novēršanai un likvidēšanai. Jānorāda arī, ka viens no Ūdens </w:t>
      </w:r>
      <w:r w:rsidR="002900F1" w:rsidRPr="00700FB4">
        <w:rPr>
          <w:rFonts w:ascii="Arial" w:hAnsi="Arial" w:cs="Arial"/>
          <w:sz w:val="20"/>
          <w:szCs w:val="20"/>
        </w:rPr>
        <w:t xml:space="preserve">struktūrdirektīvas </w:t>
      </w:r>
      <w:r w:rsidRPr="00700FB4">
        <w:rPr>
          <w:rFonts w:ascii="Arial" w:hAnsi="Arial" w:cs="Arial"/>
          <w:sz w:val="20"/>
          <w:szCs w:val="20"/>
        </w:rPr>
        <w:t>mērķiem ir veicināt dalībvalstu spēju izpildīt ar Helsinku konvenciju uzņemtās saistības.</w:t>
      </w:r>
    </w:p>
    <w:p w:rsidR="008C3116" w:rsidRPr="00700FB4" w:rsidRDefault="008C3116" w:rsidP="008C3116">
      <w:pPr>
        <w:pStyle w:val="NoSpacing"/>
        <w:jc w:val="both"/>
        <w:rPr>
          <w:rFonts w:ascii="Arial" w:hAnsi="Arial" w:cs="Arial"/>
          <w:sz w:val="20"/>
          <w:szCs w:val="20"/>
        </w:rPr>
      </w:pPr>
    </w:p>
    <w:p w:rsidR="00503581" w:rsidRPr="00700FB4" w:rsidRDefault="0014238E" w:rsidP="008C3116">
      <w:pPr>
        <w:pStyle w:val="NoSpacing"/>
        <w:jc w:val="both"/>
        <w:rPr>
          <w:rFonts w:ascii="Arial" w:hAnsi="Arial" w:cs="Arial"/>
          <w:sz w:val="20"/>
          <w:szCs w:val="20"/>
        </w:rPr>
      </w:pPr>
      <w:r w:rsidRPr="00700FB4">
        <w:rPr>
          <w:rFonts w:ascii="Arial" w:hAnsi="Arial" w:cs="Arial"/>
          <w:sz w:val="20"/>
          <w:szCs w:val="20"/>
        </w:rPr>
        <w:t>Divu kuģu nogrimšana (</w:t>
      </w:r>
      <w:proofErr w:type="spellStart"/>
      <w:r w:rsidRPr="00700FB4">
        <w:rPr>
          <w:rFonts w:ascii="Arial" w:hAnsi="Arial" w:cs="Arial"/>
          <w:i/>
          <w:sz w:val="20"/>
          <w:szCs w:val="20"/>
        </w:rPr>
        <w:t>Prestige</w:t>
      </w:r>
      <w:proofErr w:type="spellEnd"/>
      <w:r w:rsidRPr="00700FB4">
        <w:rPr>
          <w:rFonts w:ascii="Arial" w:hAnsi="Arial" w:cs="Arial"/>
          <w:sz w:val="20"/>
          <w:szCs w:val="20"/>
        </w:rPr>
        <w:t xml:space="preserve"> 2002.gada novembrī un </w:t>
      </w:r>
      <w:proofErr w:type="spellStart"/>
      <w:r w:rsidRPr="00700FB4">
        <w:rPr>
          <w:rFonts w:ascii="Arial" w:hAnsi="Arial" w:cs="Arial"/>
          <w:i/>
          <w:sz w:val="20"/>
          <w:szCs w:val="20"/>
        </w:rPr>
        <w:t>Erika</w:t>
      </w:r>
      <w:proofErr w:type="spellEnd"/>
      <w:r w:rsidRPr="00700FB4">
        <w:rPr>
          <w:rFonts w:ascii="Arial" w:hAnsi="Arial" w:cs="Arial"/>
          <w:sz w:val="20"/>
          <w:szCs w:val="20"/>
        </w:rPr>
        <w:t xml:space="preserve"> 1999.gada decembrī) uzsvēra nepieciešamību pastiprināt sadarbību attiecībā uz kuģu radīto piesārņojumu, tādēļ tika pieņemta </w:t>
      </w:r>
      <w:r w:rsidRPr="00700FB4">
        <w:rPr>
          <w:rFonts w:ascii="Arial" w:hAnsi="Arial" w:cs="Arial"/>
          <w:b/>
          <w:sz w:val="20"/>
          <w:szCs w:val="20"/>
        </w:rPr>
        <w:t xml:space="preserve">Direktīva 2005/35/EK </w:t>
      </w:r>
      <w:r w:rsidRPr="00700FB4">
        <w:rPr>
          <w:rFonts w:ascii="Arial" w:hAnsi="Arial" w:cs="Arial"/>
          <w:sz w:val="20"/>
          <w:szCs w:val="20"/>
        </w:rPr>
        <w:t>(2005.gada 7.septembris) par kuģu radīto piesārņojumu un par sankciju ieviešanu par pārkāpumiem, ar k</w:t>
      </w:r>
      <w:r w:rsidR="00FF507F" w:rsidRPr="00700FB4">
        <w:rPr>
          <w:rFonts w:ascii="Arial" w:hAnsi="Arial" w:cs="Arial"/>
          <w:sz w:val="20"/>
          <w:szCs w:val="20"/>
        </w:rPr>
        <w:t>uru</w:t>
      </w:r>
      <w:r w:rsidRPr="00700FB4">
        <w:rPr>
          <w:rFonts w:ascii="Arial" w:hAnsi="Arial" w:cs="Arial"/>
          <w:sz w:val="20"/>
          <w:szCs w:val="20"/>
        </w:rPr>
        <w:t xml:space="preserve"> izveido ES mēroga noteikumus par soda sankciju piemērošanu naftas vai citu piesārņojošo vielu noplūdes gadījumā no kuģiem, kas kuģo ES teritoriālajos ūdeņos. Kuģu radītās piesārņojošās noplūdes ir noziedzīgs nodarījums pēc būtības. Tomēr kuģu avārijas nav galvenais piesārņojuma avots – lielākā daļa piesārņojuma rodas tīšu noplūžu (tvertņu tīrīšanas un atkritumeļļu izliešanas) rezultātā. Saskaņā ar šo </w:t>
      </w:r>
      <w:r w:rsidR="00FF507F" w:rsidRPr="00700FB4">
        <w:rPr>
          <w:rFonts w:ascii="Arial" w:hAnsi="Arial" w:cs="Arial"/>
          <w:sz w:val="20"/>
          <w:szCs w:val="20"/>
        </w:rPr>
        <w:t xml:space="preserve">Kuģu piesārņojuma direktīvu </w:t>
      </w:r>
      <w:r w:rsidRPr="00700FB4">
        <w:rPr>
          <w:rFonts w:ascii="Arial" w:hAnsi="Arial" w:cs="Arial"/>
          <w:sz w:val="20"/>
          <w:szCs w:val="20"/>
        </w:rPr>
        <w:t>tas attiecas uz naftas vai citu piesārņojošo vielu noplūdi no kuģiem. Piesārņojošās noplūdes ir aizliegtas: ES valsts iekšējos ūdeņos</w:t>
      </w:r>
      <w:r w:rsidR="0091579F" w:rsidRPr="00700FB4">
        <w:rPr>
          <w:rFonts w:ascii="Arial" w:hAnsi="Arial" w:cs="Arial"/>
          <w:sz w:val="20"/>
          <w:szCs w:val="20"/>
        </w:rPr>
        <w:t xml:space="preserve"> (</w:t>
      </w:r>
      <w:r w:rsidRPr="00700FB4">
        <w:rPr>
          <w:rFonts w:ascii="Arial" w:hAnsi="Arial" w:cs="Arial"/>
          <w:sz w:val="20"/>
          <w:szCs w:val="20"/>
        </w:rPr>
        <w:t>tostarp ostās</w:t>
      </w:r>
      <w:r w:rsidR="0091579F" w:rsidRPr="00700FB4">
        <w:rPr>
          <w:rFonts w:ascii="Arial" w:hAnsi="Arial" w:cs="Arial"/>
          <w:sz w:val="20"/>
          <w:szCs w:val="20"/>
        </w:rPr>
        <w:t>),</w:t>
      </w:r>
      <w:r w:rsidRPr="00700FB4">
        <w:rPr>
          <w:rFonts w:ascii="Arial" w:hAnsi="Arial" w:cs="Arial"/>
          <w:sz w:val="20"/>
          <w:szCs w:val="20"/>
        </w:rPr>
        <w:t xml:space="preserve"> </w:t>
      </w:r>
      <w:r w:rsidR="0091579F" w:rsidRPr="00700FB4">
        <w:rPr>
          <w:rFonts w:ascii="Arial" w:hAnsi="Arial" w:cs="Arial"/>
          <w:sz w:val="20"/>
          <w:szCs w:val="20"/>
        </w:rPr>
        <w:t>ES valsts teritoriālajos ūdeņos,</w:t>
      </w:r>
      <w:r w:rsidRPr="00700FB4">
        <w:rPr>
          <w:rFonts w:ascii="Arial" w:hAnsi="Arial" w:cs="Arial"/>
          <w:sz w:val="20"/>
          <w:szCs w:val="20"/>
        </w:rPr>
        <w:t xml:space="preserve"> starptautiskai kuģošanai izmantotajos jūras šaurumos</w:t>
      </w:r>
      <w:r w:rsidR="0091579F" w:rsidRPr="00700FB4">
        <w:rPr>
          <w:rFonts w:ascii="Arial" w:hAnsi="Arial" w:cs="Arial"/>
          <w:sz w:val="20"/>
          <w:szCs w:val="20"/>
        </w:rPr>
        <w:t xml:space="preserve"> (</w:t>
      </w:r>
      <w:r w:rsidRPr="00700FB4">
        <w:rPr>
          <w:rFonts w:ascii="Arial" w:hAnsi="Arial" w:cs="Arial"/>
          <w:sz w:val="20"/>
          <w:szCs w:val="20"/>
        </w:rPr>
        <w:t xml:space="preserve">ievērojot tranzīta tiesības, kā to nosaka </w:t>
      </w:r>
      <w:r w:rsidR="00503581" w:rsidRPr="00700FB4">
        <w:rPr>
          <w:rFonts w:ascii="Arial" w:hAnsi="Arial" w:cs="Arial"/>
          <w:sz w:val="20"/>
          <w:szCs w:val="20"/>
        </w:rPr>
        <w:t>Jūras konvencija</w:t>
      </w:r>
      <w:r w:rsidR="0091579F" w:rsidRPr="00700FB4">
        <w:rPr>
          <w:rFonts w:ascii="Arial" w:hAnsi="Arial" w:cs="Arial"/>
          <w:sz w:val="20"/>
          <w:szCs w:val="20"/>
        </w:rPr>
        <w:t>),</w:t>
      </w:r>
      <w:r w:rsidRPr="00700FB4">
        <w:rPr>
          <w:rFonts w:ascii="Arial" w:hAnsi="Arial" w:cs="Arial"/>
          <w:sz w:val="20"/>
          <w:szCs w:val="20"/>
        </w:rPr>
        <w:t xml:space="preserve"> ES valsts </w:t>
      </w:r>
      <w:r w:rsidR="00503581" w:rsidRPr="00700FB4">
        <w:rPr>
          <w:rFonts w:ascii="Arial" w:hAnsi="Arial" w:cs="Arial"/>
          <w:sz w:val="20"/>
          <w:szCs w:val="20"/>
        </w:rPr>
        <w:t>Ekskluzīvā zonā</w:t>
      </w:r>
      <w:r w:rsidR="0091579F" w:rsidRPr="00700FB4">
        <w:rPr>
          <w:rFonts w:ascii="Arial" w:hAnsi="Arial" w:cs="Arial"/>
          <w:sz w:val="20"/>
          <w:szCs w:val="20"/>
        </w:rPr>
        <w:t xml:space="preserve"> un</w:t>
      </w:r>
      <w:r w:rsidRPr="00700FB4">
        <w:rPr>
          <w:rFonts w:ascii="Arial" w:hAnsi="Arial" w:cs="Arial"/>
          <w:sz w:val="20"/>
          <w:szCs w:val="20"/>
        </w:rPr>
        <w:t xml:space="preserve"> atklātā jūrā. Šo režīmu nepiemēro noplūdēm no karakuģim vai citiem kuģim, kas pieder kādai valstij vai ko kāda valsts ekspluatē un izmanto tikai nekomerciālos valsts nolūkos. Piesārņojošo vielu aizlieguma izņēmumus var piemērot tajos gadījumos, kad ir apdraudēta cilvēku vai kuģu drošība.</w:t>
      </w:r>
    </w:p>
    <w:p w:rsidR="0091579F" w:rsidRPr="00700FB4" w:rsidRDefault="0091579F" w:rsidP="008C3116">
      <w:pPr>
        <w:pStyle w:val="NoSpacing"/>
        <w:jc w:val="both"/>
        <w:rPr>
          <w:rFonts w:ascii="Arial" w:hAnsi="Arial" w:cs="Arial"/>
          <w:sz w:val="20"/>
          <w:szCs w:val="20"/>
        </w:rPr>
      </w:pPr>
    </w:p>
    <w:p w:rsidR="00503581" w:rsidRPr="00700FB4" w:rsidRDefault="0014238E" w:rsidP="008C3116">
      <w:pPr>
        <w:pStyle w:val="NoSpacing"/>
        <w:jc w:val="both"/>
        <w:rPr>
          <w:rFonts w:ascii="Arial" w:hAnsi="Arial" w:cs="Arial"/>
          <w:sz w:val="20"/>
          <w:szCs w:val="20"/>
        </w:rPr>
      </w:pPr>
      <w:r w:rsidRPr="00700FB4">
        <w:rPr>
          <w:rFonts w:ascii="Arial" w:hAnsi="Arial" w:cs="Arial"/>
          <w:sz w:val="20"/>
          <w:szCs w:val="20"/>
        </w:rPr>
        <w:t xml:space="preserve">Ar </w:t>
      </w:r>
      <w:r w:rsidRPr="00700FB4">
        <w:rPr>
          <w:rFonts w:ascii="Arial" w:hAnsi="Arial" w:cs="Arial"/>
          <w:b/>
          <w:sz w:val="20"/>
          <w:szCs w:val="20"/>
        </w:rPr>
        <w:t>Direktīvu 2009/123/EK</w:t>
      </w:r>
      <w:r w:rsidRPr="00700FB4">
        <w:rPr>
          <w:rFonts w:ascii="Arial" w:hAnsi="Arial" w:cs="Arial"/>
          <w:sz w:val="20"/>
          <w:szCs w:val="20"/>
        </w:rPr>
        <w:t xml:space="preserve"> (2009.gada 21.oktobris), ar ko groza Direktīvu 2005/35/EK par kuģu radīto piesārņojumu un par sankciju ieviešanu par pārkāpumiem, ieviesa grozījumus </w:t>
      </w:r>
      <w:r w:rsidR="00503581" w:rsidRPr="00700FB4">
        <w:rPr>
          <w:rFonts w:ascii="Arial" w:hAnsi="Arial" w:cs="Arial"/>
          <w:sz w:val="20"/>
          <w:szCs w:val="20"/>
        </w:rPr>
        <w:t>Kuģu piesārņojuma direktīvā</w:t>
      </w:r>
      <w:r w:rsidRPr="00700FB4">
        <w:rPr>
          <w:rFonts w:ascii="Arial" w:hAnsi="Arial" w:cs="Arial"/>
          <w:sz w:val="20"/>
          <w:szCs w:val="20"/>
        </w:rPr>
        <w:t xml:space="preserve">, lai uzlabotu noteikumus par kuģu radīto piesārņojumu un nodrošinātu, ka personām, kas ir atbildīgas par piesārņojošu vielu noplūdēm, piemēro atbilstīgus sodus. </w:t>
      </w:r>
    </w:p>
    <w:p w:rsidR="00503581" w:rsidRPr="00700FB4" w:rsidRDefault="00503581" w:rsidP="008C3116">
      <w:pPr>
        <w:pStyle w:val="NoSpacing"/>
        <w:jc w:val="both"/>
        <w:rPr>
          <w:rFonts w:ascii="Arial" w:hAnsi="Arial" w:cs="Arial"/>
          <w:sz w:val="20"/>
          <w:szCs w:val="20"/>
        </w:rPr>
      </w:pPr>
    </w:p>
    <w:p w:rsidR="0014238E" w:rsidRPr="00700FB4" w:rsidRDefault="0014238E" w:rsidP="008C3116">
      <w:pPr>
        <w:pStyle w:val="NoSpacing"/>
        <w:jc w:val="both"/>
        <w:rPr>
          <w:rFonts w:ascii="Arial" w:hAnsi="Arial" w:cs="Arial"/>
          <w:sz w:val="20"/>
          <w:szCs w:val="20"/>
        </w:rPr>
      </w:pPr>
      <w:r w:rsidRPr="00700FB4">
        <w:rPr>
          <w:rFonts w:ascii="Arial" w:hAnsi="Arial" w:cs="Arial"/>
          <w:sz w:val="20"/>
          <w:szCs w:val="20"/>
        </w:rPr>
        <w:t xml:space="preserve">Minētās direktīvas ir cieši saistītas ar </w:t>
      </w:r>
      <w:r w:rsidRPr="00700FB4">
        <w:rPr>
          <w:rFonts w:ascii="Arial" w:hAnsi="Arial" w:cs="Arial"/>
          <w:b/>
          <w:sz w:val="20"/>
          <w:szCs w:val="20"/>
        </w:rPr>
        <w:t>Regulu Nr. 2099/2002</w:t>
      </w:r>
      <w:r w:rsidRPr="00700FB4">
        <w:rPr>
          <w:rFonts w:ascii="Arial" w:hAnsi="Arial" w:cs="Arial"/>
          <w:sz w:val="20"/>
          <w:szCs w:val="20"/>
        </w:rPr>
        <w:t xml:space="preserve"> (2002.gada 5.novembris), ar ko izveido Kuģošanas drošības un kuģu izraisītā piesārņojuma novēršanas komiteju (COSS) un groza regulas par kuģošanas drošību un kuģu izraisītā piesārņojuma novēršanu.</w:t>
      </w:r>
    </w:p>
    <w:p w:rsidR="008C3116" w:rsidRPr="00700FB4" w:rsidRDefault="008C3116" w:rsidP="008C3116">
      <w:pPr>
        <w:pStyle w:val="NoSpacing"/>
        <w:jc w:val="both"/>
        <w:rPr>
          <w:rFonts w:ascii="Arial" w:hAnsi="Arial" w:cs="Arial"/>
          <w:sz w:val="20"/>
          <w:szCs w:val="20"/>
        </w:rPr>
      </w:pPr>
    </w:p>
    <w:p w:rsidR="0014238E" w:rsidRPr="00700FB4" w:rsidRDefault="0014238E" w:rsidP="008C3116">
      <w:pPr>
        <w:pStyle w:val="NoSpacing"/>
        <w:jc w:val="both"/>
        <w:rPr>
          <w:rFonts w:ascii="Arial" w:hAnsi="Arial" w:cs="Arial"/>
          <w:sz w:val="20"/>
          <w:szCs w:val="20"/>
        </w:rPr>
      </w:pPr>
      <w:r w:rsidRPr="00700FB4">
        <w:rPr>
          <w:rFonts w:ascii="Arial" w:hAnsi="Arial" w:cs="Arial"/>
          <w:sz w:val="20"/>
          <w:szCs w:val="20"/>
        </w:rPr>
        <w:t xml:space="preserve">2014.gadā ES pieņēma </w:t>
      </w:r>
      <w:r w:rsidRPr="00700FB4">
        <w:rPr>
          <w:rFonts w:ascii="Arial" w:hAnsi="Arial" w:cs="Arial"/>
          <w:b/>
          <w:sz w:val="20"/>
          <w:szCs w:val="20"/>
        </w:rPr>
        <w:t>Regulu Nr.</w:t>
      </w:r>
      <w:r w:rsidR="00576749" w:rsidRPr="00700FB4">
        <w:rPr>
          <w:rFonts w:ascii="Arial" w:hAnsi="Arial" w:cs="Arial"/>
          <w:b/>
          <w:sz w:val="20"/>
          <w:szCs w:val="20"/>
        </w:rPr>
        <w:t xml:space="preserve"> </w:t>
      </w:r>
      <w:r w:rsidRPr="00700FB4">
        <w:rPr>
          <w:rFonts w:ascii="Arial" w:hAnsi="Arial" w:cs="Arial"/>
          <w:b/>
          <w:sz w:val="20"/>
          <w:szCs w:val="20"/>
        </w:rPr>
        <w:t>911/2014</w:t>
      </w:r>
      <w:r w:rsidRPr="00700FB4">
        <w:rPr>
          <w:rFonts w:ascii="Arial" w:hAnsi="Arial" w:cs="Arial"/>
          <w:sz w:val="20"/>
          <w:szCs w:val="20"/>
        </w:rPr>
        <w:t xml:space="preserve"> (2014.gada 23.jūlijs) par daudzgadu finansējumu Eiropas Jūras drošības aģentūras darbībai saistībā ar reaģēšanu kuģu un naftas un gāzes ieguves iekārtu izraisītā jūras piesārņojuma gadījumā, kas garantē finansējumu Eiropas Jūras drošības aģentūras (EMSA) darbībai cīņā pret piesārņojumu jūrā laikposmā no 2014. līdz 2020.gadam. EMSA sākotnēji tika izveidota ar </w:t>
      </w:r>
      <w:r w:rsidRPr="00700FB4">
        <w:rPr>
          <w:rFonts w:ascii="Arial" w:hAnsi="Arial" w:cs="Arial"/>
          <w:b/>
          <w:sz w:val="20"/>
          <w:szCs w:val="20"/>
        </w:rPr>
        <w:t>Regulu Nr. 1406/2002</w:t>
      </w:r>
      <w:r w:rsidRPr="00700FB4">
        <w:rPr>
          <w:rFonts w:ascii="Arial" w:hAnsi="Arial" w:cs="Arial"/>
          <w:sz w:val="20"/>
          <w:szCs w:val="20"/>
        </w:rPr>
        <w:t xml:space="preserve"> (2002.gada 27.jūnijs) par Eiropas Jūras drošības aģentūras izveidošanu, lai nodrošinātu augstu drošības līmeni jūrā un lai novērstu un cīnītos pret kuģu izraisīto piesārņojumu, piemēram, naftas un bīstamu vielu noplūdēm. 2013.gadā EMSA uzdevumi tika paplašināti, iekļaujot naftas un gāzes iekārtu radītu piesārņojumu. Regulā noteikts, ka EMSA pastāvēšana neatbrīvo valstis no to pienākuma nodrošināt nepieciešamos mehānismus. Piešķirtā finansējuma apmērs ir 160,5 miljoni</w:t>
      </w:r>
      <w:r w:rsidR="008C3116" w:rsidRPr="00700FB4">
        <w:rPr>
          <w:rFonts w:ascii="Arial" w:hAnsi="Arial" w:cs="Arial"/>
          <w:sz w:val="20"/>
          <w:szCs w:val="20"/>
        </w:rPr>
        <w:t xml:space="preserve"> </w:t>
      </w:r>
      <w:r w:rsidR="008C3116" w:rsidRPr="00700FB4">
        <w:rPr>
          <w:rFonts w:ascii="Arial" w:hAnsi="Arial" w:cs="Arial"/>
          <w:i/>
          <w:sz w:val="20"/>
          <w:szCs w:val="20"/>
        </w:rPr>
        <w:t>euro</w:t>
      </w:r>
      <w:r w:rsidRPr="00700FB4">
        <w:rPr>
          <w:rFonts w:ascii="Arial" w:hAnsi="Arial" w:cs="Arial"/>
          <w:sz w:val="20"/>
          <w:szCs w:val="20"/>
        </w:rPr>
        <w:t xml:space="preserve">. </w:t>
      </w:r>
      <w:r w:rsidRPr="00700FB4">
        <w:rPr>
          <w:rFonts w:ascii="Arial" w:hAnsi="Arial" w:cs="Arial"/>
          <w:sz w:val="20"/>
          <w:szCs w:val="20"/>
        </w:rPr>
        <w:lastRenderedPageBreak/>
        <w:t>EMSA apmaksā dežurējošo kuģu un ekipējuma līgumus, taču skartās valstis apmaksā tīrīšanas darbības savos ūdeņos.</w:t>
      </w:r>
    </w:p>
    <w:p w:rsidR="008C3116" w:rsidRPr="00700FB4" w:rsidRDefault="008C3116" w:rsidP="008C3116">
      <w:pPr>
        <w:pStyle w:val="NoSpacing"/>
        <w:jc w:val="both"/>
        <w:rPr>
          <w:rFonts w:ascii="Arial" w:hAnsi="Arial" w:cs="Arial"/>
          <w:sz w:val="20"/>
          <w:szCs w:val="20"/>
        </w:rPr>
      </w:pPr>
    </w:p>
    <w:p w:rsidR="0014238E" w:rsidRPr="00700FB4" w:rsidRDefault="0014238E" w:rsidP="008C3116">
      <w:pPr>
        <w:pStyle w:val="NoSpacing"/>
        <w:jc w:val="both"/>
        <w:rPr>
          <w:rFonts w:ascii="Arial" w:hAnsi="Arial" w:cs="Arial"/>
          <w:sz w:val="20"/>
          <w:szCs w:val="20"/>
        </w:rPr>
      </w:pPr>
      <w:r w:rsidRPr="00700FB4">
        <w:rPr>
          <w:rFonts w:ascii="Arial" w:hAnsi="Arial" w:cs="Arial"/>
          <w:sz w:val="20"/>
          <w:szCs w:val="20"/>
        </w:rPr>
        <w:t xml:space="preserve">Aizliegums uz kuģiem un tīkliem izmantot noteiktus ķīmiskus savienojumus var palīdzēt aizsargāt jūras vidi un cilvēku veselību, tādēļ ES pieņemta </w:t>
      </w:r>
      <w:r w:rsidRPr="00700FB4">
        <w:rPr>
          <w:rFonts w:ascii="Arial" w:hAnsi="Arial" w:cs="Arial"/>
          <w:b/>
          <w:sz w:val="20"/>
          <w:szCs w:val="20"/>
        </w:rPr>
        <w:t>Regula Nr. 782/2003</w:t>
      </w:r>
      <w:r w:rsidRPr="00700FB4">
        <w:rPr>
          <w:rFonts w:ascii="Arial" w:hAnsi="Arial" w:cs="Arial"/>
          <w:sz w:val="20"/>
          <w:szCs w:val="20"/>
        </w:rPr>
        <w:t xml:space="preserve"> (2003.gada 14.aprīlis) par aizliegumu attiecībā uz alvorganiskajiem savienojumiem uz kuģiem, ar ko ES tiesību sistēmā iekļauj Starptautiskās jūrniecības organizācijas Pretapaugšanas sistēmu konvencijas noteikumus. Tās mērķis ir aizliegt alvorganiskos savienojumus uz visiem kuģiem, kas piestāj ES ostās, lai samazinātu vai novērstu šo produktu radīto nelabvēlīgo ietekmi. </w:t>
      </w:r>
      <w:r w:rsidRPr="00700FB4">
        <w:rPr>
          <w:rFonts w:ascii="Arial" w:hAnsi="Arial" w:cs="Arial"/>
          <w:b/>
          <w:sz w:val="20"/>
          <w:szCs w:val="20"/>
        </w:rPr>
        <w:t>Regulā Nr. 536/2008</w:t>
      </w:r>
      <w:r w:rsidRPr="00700FB4">
        <w:rPr>
          <w:rFonts w:ascii="Arial" w:hAnsi="Arial" w:cs="Arial"/>
          <w:sz w:val="20"/>
          <w:szCs w:val="20"/>
        </w:rPr>
        <w:t xml:space="preserve"> (2008.gada 13.jūnijs) par pasākumu pieņemšanu saskaņā ar 6.panta</w:t>
      </w:r>
      <w:r w:rsidR="0091579F" w:rsidRPr="00700FB4">
        <w:rPr>
          <w:rFonts w:ascii="Arial" w:hAnsi="Arial" w:cs="Arial"/>
          <w:sz w:val="20"/>
          <w:szCs w:val="20"/>
        </w:rPr>
        <w:t xml:space="preserve"> 3.punktu un 7.pantu Regulā Nr. </w:t>
      </w:r>
      <w:r w:rsidRPr="00700FB4">
        <w:rPr>
          <w:rFonts w:ascii="Arial" w:hAnsi="Arial" w:cs="Arial"/>
          <w:sz w:val="20"/>
          <w:szCs w:val="20"/>
        </w:rPr>
        <w:t>782/2003 par aizliegumu attiecībā uz alvorganiskajiem savienojumiem uz kuģiem un par minētās regulas grozīšanu, ir noteikts, ka kuģiem, kuri kuģo zem trešo valstu karoga, ir jāievēro šie ierobežojumi.</w:t>
      </w:r>
    </w:p>
    <w:p w:rsidR="008C3116" w:rsidRPr="00700FB4" w:rsidRDefault="008C3116" w:rsidP="008C3116">
      <w:pPr>
        <w:pStyle w:val="NoSpacing"/>
        <w:jc w:val="both"/>
        <w:rPr>
          <w:rFonts w:ascii="Arial" w:hAnsi="Arial" w:cs="Arial"/>
          <w:sz w:val="20"/>
          <w:szCs w:val="20"/>
        </w:rPr>
      </w:pPr>
    </w:p>
    <w:p w:rsidR="00576749" w:rsidRPr="00700FB4" w:rsidRDefault="0014238E" w:rsidP="008C3116">
      <w:pPr>
        <w:pStyle w:val="NoSpacing"/>
        <w:jc w:val="both"/>
        <w:rPr>
          <w:rFonts w:ascii="Arial" w:hAnsi="Arial" w:cs="Arial"/>
          <w:sz w:val="20"/>
          <w:szCs w:val="20"/>
        </w:rPr>
      </w:pPr>
      <w:r w:rsidRPr="00700FB4">
        <w:rPr>
          <w:rFonts w:ascii="Arial" w:hAnsi="Arial" w:cs="Arial"/>
          <w:sz w:val="20"/>
          <w:szCs w:val="20"/>
        </w:rPr>
        <w:t xml:space="preserve">Daudzu migrējošo un vietējo Eiropas savvaļas putnu sugu populācija samazinās, tādēļ ES ar </w:t>
      </w:r>
      <w:r w:rsidRPr="00700FB4">
        <w:rPr>
          <w:rFonts w:ascii="Arial" w:hAnsi="Arial" w:cs="Arial"/>
          <w:b/>
          <w:sz w:val="20"/>
          <w:szCs w:val="20"/>
        </w:rPr>
        <w:t xml:space="preserve">Direktīvu 2009/147/EK </w:t>
      </w:r>
      <w:r w:rsidRPr="00700FB4">
        <w:rPr>
          <w:rFonts w:ascii="Arial" w:hAnsi="Arial" w:cs="Arial"/>
          <w:sz w:val="20"/>
          <w:szCs w:val="20"/>
        </w:rPr>
        <w:t xml:space="preserve">(2009.gada 30.novembris) par savvaļas putnu aizsardzību ir ieviesta politika šīs tendences novēršanai, aizliedzot zināmus darbības veidus un nosakot aizsardzības un dzīvotņu pārvaldības pasākumus. Ar to mēģina saglabāt visus savvaļas putnus ES, paredzot noteikumus par to aizsardzību, pārvaldību un kontroli. Savukārt </w:t>
      </w:r>
      <w:r w:rsidRPr="00700FB4">
        <w:rPr>
          <w:rFonts w:ascii="Arial" w:hAnsi="Arial" w:cs="Arial"/>
          <w:b/>
          <w:sz w:val="20"/>
          <w:szCs w:val="20"/>
        </w:rPr>
        <w:t xml:space="preserve">Direktīva 92/43/EEK </w:t>
      </w:r>
      <w:r w:rsidRPr="00700FB4">
        <w:rPr>
          <w:rFonts w:ascii="Arial" w:hAnsi="Arial" w:cs="Arial"/>
          <w:sz w:val="20"/>
          <w:szCs w:val="20"/>
        </w:rPr>
        <w:t>(1992.gada 21.maijs)</w:t>
      </w:r>
      <w:r w:rsidRPr="00700FB4">
        <w:rPr>
          <w:rFonts w:ascii="Arial" w:hAnsi="Arial" w:cs="Arial"/>
          <w:b/>
          <w:sz w:val="20"/>
          <w:szCs w:val="20"/>
        </w:rPr>
        <w:t xml:space="preserve"> </w:t>
      </w:r>
      <w:r w:rsidRPr="00700FB4">
        <w:rPr>
          <w:rFonts w:ascii="Arial" w:hAnsi="Arial" w:cs="Arial"/>
          <w:sz w:val="20"/>
          <w:szCs w:val="20"/>
        </w:rPr>
        <w:t>par dabisko dzīvotņu, savvaļas faunas un floras aizsardzīb</w:t>
      </w:r>
      <w:r w:rsidR="00457E80" w:rsidRPr="00700FB4">
        <w:rPr>
          <w:rFonts w:ascii="Arial" w:hAnsi="Arial" w:cs="Arial"/>
          <w:sz w:val="20"/>
          <w:szCs w:val="20"/>
        </w:rPr>
        <w:t>u</w:t>
      </w:r>
      <w:r w:rsidR="00457E80" w:rsidRPr="00700FB4">
        <w:rPr>
          <w:rFonts w:ascii="Arial" w:hAnsi="Arial" w:cs="Arial"/>
          <w:b/>
          <w:sz w:val="20"/>
          <w:szCs w:val="20"/>
        </w:rPr>
        <w:t xml:space="preserve"> </w:t>
      </w:r>
      <w:r w:rsidR="00457E80" w:rsidRPr="00700FB4">
        <w:rPr>
          <w:rFonts w:ascii="Arial" w:hAnsi="Arial" w:cs="Arial"/>
          <w:sz w:val="20"/>
          <w:szCs w:val="20"/>
        </w:rPr>
        <w:t>(turpmāk – Dzīvotņu direktīva</w:t>
      </w:r>
      <w:r w:rsidRPr="00700FB4">
        <w:rPr>
          <w:rFonts w:ascii="Arial" w:hAnsi="Arial" w:cs="Arial"/>
          <w:sz w:val="20"/>
          <w:szCs w:val="20"/>
        </w:rPr>
        <w:t xml:space="preserve">) paredz nosacījumus attiecībā uz biodiversitātes nodrošināšanu, saglabājot dabiskās dzīvotnes un savvaļas faunu un floru dalībvalstu teritorijās. Ar šo direktīvu izveidots </w:t>
      </w:r>
      <w:r w:rsidRPr="00700FB4">
        <w:rPr>
          <w:rFonts w:ascii="Arial" w:hAnsi="Arial" w:cs="Arial"/>
          <w:i/>
          <w:sz w:val="20"/>
          <w:szCs w:val="20"/>
        </w:rPr>
        <w:t>Natura 2000</w:t>
      </w:r>
      <w:r w:rsidRPr="00700FB4">
        <w:rPr>
          <w:rFonts w:ascii="Arial" w:hAnsi="Arial" w:cs="Arial"/>
          <w:sz w:val="20"/>
          <w:szCs w:val="20"/>
        </w:rPr>
        <w:t xml:space="preserve"> teritoriju tīkls – pasaulē lielākais aizsargājamo teritoriju tīkls, kas aptver vairāk nekā 750 000 </w:t>
      </w:r>
      <w:r w:rsidR="008C3116" w:rsidRPr="00700FB4">
        <w:rPr>
          <w:rFonts w:ascii="Arial" w:hAnsi="Arial" w:cs="Arial"/>
          <w:sz w:val="20"/>
          <w:szCs w:val="20"/>
        </w:rPr>
        <w:t>kvadrātkilometrus</w:t>
      </w:r>
      <w:r w:rsidR="00293C96" w:rsidRPr="00700FB4">
        <w:rPr>
          <w:rFonts w:ascii="Arial" w:hAnsi="Arial" w:cs="Arial"/>
          <w:sz w:val="20"/>
          <w:szCs w:val="20"/>
        </w:rPr>
        <w:t xml:space="preserve">. </w:t>
      </w:r>
      <w:r w:rsidR="00293C96" w:rsidRPr="00700FB4">
        <w:rPr>
          <w:rFonts w:ascii="Arial" w:hAnsi="Arial" w:cs="Arial"/>
          <w:i/>
          <w:sz w:val="20"/>
          <w:szCs w:val="20"/>
        </w:rPr>
        <w:t>Natura 2000</w:t>
      </w:r>
      <w:r w:rsidR="00293C96" w:rsidRPr="00700FB4">
        <w:rPr>
          <w:rFonts w:ascii="Arial" w:hAnsi="Arial" w:cs="Arial"/>
          <w:sz w:val="20"/>
          <w:szCs w:val="20"/>
        </w:rPr>
        <w:t xml:space="preserve"> teritorijas var noteikt teritoriālajā jūrā, kontinentālajā šelfā un, ja to paziņo dalībvalsts, arī </w:t>
      </w:r>
      <w:r w:rsidR="00F902F7" w:rsidRPr="00700FB4">
        <w:rPr>
          <w:rFonts w:ascii="Arial" w:hAnsi="Arial" w:cs="Arial"/>
          <w:sz w:val="20"/>
          <w:szCs w:val="20"/>
        </w:rPr>
        <w:t xml:space="preserve">Ekskluzīvā zonā </w:t>
      </w:r>
      <w:r w:rsidR="00293C96" w:rsidRPr="00700FB4">
        <w:rPr>
          <w:rFonts w:ascii="Arial" w:hAnsi="Arial" w:cs="Arial"/>
          <w:sz w:val="20"/>
          <w:szCs w:val="20"/>
        </w:rPr>
        <w:t>vai citā zvejniecības teritorijā jūrā</w:t>
      </w:r>
      <w:r w:rsidR="00576749" w:rsidRPr="00700FB4">
        <w:rPr>
          <w:rFonts w:ascii="Arial" w:hAnsi="Arial" w:cs="Arial"/>
          <w:sz w:val="20"/>
          <w:szCs w:val="20"/>
        </w:rPr>
        <w:t>.</w:t>
      </w:r>
      <w:r w:rsidR="00293C96" w:rsidRPr="00700FB4">
        <w:rPr>
          <w:rFonts w:ascii="Arial" w:hAnsi="Arial" w:cs="Arial"/>
          <w:sz w:val="20"/>
          <w:szCs w:val="20"/>
          <w:vertAlign w:val="superscript"/>
        </w:rPr>
        <w:footnoteReference w:id="38"/>
      </w:r>
      <w:r w:rsidR="00293C96" w:rsidRPr="00700FB4">
        <w:rPr>
          <w:rFonts w:ascii="Arial" w:hAnsi="Arial" w:cs="Arial"/>
          <w:sz w:val="20"/>
          <w:szCs w:val="20"/>
        </w:rPr>
        <w:t xml:space="preserve"> </w:t>
      </w:r>
    </w:p>
    <w:p w:rsidR="00576749" w:rsidRPr="00700FB4" w:rsidRDefault="00576749" w:rsidP="008C3116">
      <w:pPr>
        <w:pStyle w:val="NoSpacing"/>
        <w:jc w:val="both"/>
        <w:rPr>
          <w:rFonts w:ascii="Arial" w:hAnsi="Arial" w:cs="Arial"/>
          <w:sz w:val="20"/>
          <w:szCs w:val="20"/>
        </w:rPr>
      </w:pPr>
    </w:p>
    <w:p w:rsidR="00031ADF" w:rsidRPr="00700FB4" w:rsidRDefault="00576749" w:rsidP="008C3116">
      <w:pPr>
        <w:pStyle w:val="NoSpacing"/>
        <w:jc w:val="both"/>
        <w:rPr>
          <w:rFonts w:ascii="Arial" w:hAnsi="Arial" w:cs="Arial"/>
          <w:sz w:val="20"/>
          <w:szCs w:val="20"/>
        </w:rPr>
      </w:pPr>
      <w:r w:rsidRPr="00700FB4">
        <w:rPr>
          <w:rFonts w:ascii="Arial" w:hAnsi="Arial" w:cs="Arial"/>
          <w:sz w:val="20"/>
          <w:szCs w:val="20"/>
        </w:rPr>
        <w:t>T</w:t>
      </w:r>
      <w:r w:rsidR="00293C96" w:rsidRPr="00700FB4">
        <w:rPr>
          <w:rFonts w:ascii="Arial" w:hAnsi="Arial" w:cs="Arial"/>
          <w:sz w:val="20"/>
          <w:szCs w:val="20"/>
        </w:rPr>
        <w:t xml:space="preserve">aču dalībvalstis ir saskārušās ar grūtībām, īstenojot </w:t>
      </w:r>
      <w:r w:rsidR="00293C96" w:rsidRPr="00700FB4">
        <w:rPr>
          <w:rFonts w:ascii="Arial" w:hAnsi="Arial" w:cs="Arial"/>
          <w:i/>
          <w:sz w:val="20"/>
          <w:szCs w:val="20"/>
        </w:rPr>
        <w:t>Natura 2000</w:t>
      </w:r>
      <w:r w:rsidR="00293C96" w:rsidRPr="00700FB4">
        <w:rPr>
          <w:rFonts w:ascii="Arial" w:hAnsi="Arial" w:cs="Arial"/>
          <w:sz w:val="20"/>
          <w:szCs w:val="20"/>
        </w:rPr>
        <w:t xml:space="preserve"> tīklu jūras teritorijās, piemēram, nav skaidrības par Dzīvotņu direktīvas ģeogrāfisko piemērošanu, nav pietiekamu datu un zinātniskās informācijas, ir grūtības definēt un izvēlēties piemērotas jūras teritorijas.</w:t>
      </w:r>
      <w:r w:rsidR="00293C96" w:rsidRPr="00700FB4">
        <w:rPr>
          <w:rFonts w:ascii="Arial" w:hAnsi="Arial" w:cs="Arial"/>
          <w:sz w:val="20"/>
          <w:szCs w:val="20"/>
          <w:vertAlign w:val="superscript"/>
        </w:rPr>
        <w:footnoteReference w:id="39"/>
      </w:r>
      <w:r w:rsidR="00293C96" w:rsidRPr="00700FB4">
        <w:rPr>
          <w:rFonts w:ascii="Arial" w:hAnsi="Arial" w:cs="Arial"/>
          <w:sz w:val="20"/>
          <w:szCs w:val="20"/>
        </w:rPr>
        <w:t xml:space="preserve"> </w:t>
      </w:r>
      <w:r w:rsidR="0014238E" w:rsidRPr="00700FB4">
        <w:rPr>
          <w:rFonts w:ascii="Arial" w:hAnsi="Arial" w:cs="Arial"/>
          <w:sz w:val="20"/>
          <w:szCs w:val="20"/>
        </w:rPr>
        <w:t xml:space="preserve">Putnu direktīvas un </w:t>
      </w:r>
      <w:r w:rsidR="00F902F7" w:rsidRPr="00700FB4">
        <w:rPr>
          <w:rFonts w:ascii="Arial" w:hAnsi="Arial" w:cs="Arial"/>
          <w:sz w:val="20"/>
          <w:szCs w:val="20"/>
        </w:rPr>
        <w:t xml:space="preserve">Dzīvotņu </w:t>
      </w:r>
      <w:r w:rsidR="0014238E" w:rsidRPr="00700FB4">
        <w:rPr>
          <w:rFonts w:ascii="Arial" w:hAnsi="Arial" w:cs="Arial"/>
          <w:sz w:val="20"/>
          <w:szCs w:val="20"/>
        </w:rPr>
        <w:t>direktīvas īstenošana piekrastes un jūras teritorijās ir saistīta ar Jūras stratēģijas pamatdirektīvas teritoriālajiem pasākumiem.</w:t>
      </w:r>
      <w:r w:rsidR="0014238E" w:rsidRPr="00700FB4">
        <w:rPr>
          <w:rStyle w:val="FootnoteReference"/>
          <w:rFonts w:ascii="Arial" w:hAnsi="Arial" w:cs="Arial"/>
          <w:sz w:val="20"/>
          <w:szCs w:val="20"/>
        </w:rPr>
        <w:footnoteReference w:id="40"/>
      </w:r>
    </w:p>
    <w:p w:rsidR="00F902F7" w:rsidRPr="00700FB4" w:rsidRDefault="00F902F7" w:rsidP="008C3116">
      <w:pPr>
        <w:pStyle w:val="NoSpacing"/>
        <w:jc w:val="both"/>
        <w:rPr>
          <w:rFonts w:ascii="Arial" w:hAnsi="Arial" w:cs="Arial"/>
          <w:sz w:val="20"/>
          <w:szCs w:val="20"/>
        </w:rPr>
      </w:pPr>
    </w:p>
    <w:p w:rsidR="0014238E" w:rsidRPr="00700FB4" w:rsidRDefault="0014238E" w:rsidP="008C3116">
      <w:pPr>
        <w:pStyle w:val="NoSpacing"/>
        <w:jc w:val="both"/>
        <w:rPr>
          <w:rFonts w:ascii="Arial" w:hAnsi="Arial" w:cs="Arial"/>
          <w:sz w:val="20"/>
          <w:szCs w:val="20"/>
        </w:rPr>
      </w:pPr>
      <w:r w:rsidRPr="00700FB4">
        <w:rPr>
          <w:rFonts w:ascii="Arial" w:hAnsi="Arial" w:cs="Arial"/>
          <w:sz w:val="20"/>
          <w:szCs w:val="20"/>
        </w:rPr>
        <w:t xml:space="preserve">Lai kontrolētu rūpnieciskās emisijas, ES ar </w:t>
      </w:r>
      <w:r w:rsidRPr="00700FB4">
        <w:rPr>
          <w:rFonts w:ascii="Arial" w:hAnsi="Arial" w:cs="Arial"/>
          <w:b/>
          <w:sz w:val="20"/>
          <w:szCs w:val="20"/>
        </w:rPr>
        <w:t>Direktīvu 2010/75/ES</w:t>
      </w:r>
      <w:r w:rsidRPr="00700FB4">
        <w:rPr>
          <w:rFonts w:ascii="Arial" w:hAnsi="Arial" w:cs="Arial"/>
          <w:sz w:val="20"/>
          <w:szCs w:val="20"/>
        </w:rPr>
        <w:t xml:space="preserve"> (2010.gada 24.novembris) par rūpnieciskajām emisijām (piesārņojuma integrēta novēršana un kontrole) ir izveidojusi vispārēju sistēmu, kuras pamatā ir integrēta atļauju izsniegšana. Tas nozīmē, ka, piešķirot atļaujas, ir jāņem vērā, kā iekārtās tiek īstenoti vides aizsardzības pasākumi, lai novērstu piesārņojuma pārneses iespējas no vienas dabas vides daļas, piemēram, gaisa, ūdens un augsnes, citā. Prioritāte jāpiešķir piesārņojuma novēršanai vietējā līmeņa intervences ceļā un nodrošinot pārdomātu dabas resursu izmantošanu un pārvaldību. Šī direktīva, kas ir septiņu agrāko tiesību aktu par rūpnieciskajām emisijām pārstrādāta versija, paredz noteikumus gaisa, ūdens un augsnes piesārņojuma novēršanai un kontrolei un atkritumu radīšanas novēršanai lielās rūpnieciskās iekārtās.</w:t>
      </w:r>
    </w:p>
    <w:p w:rsidR="008C3116" w:rsidRPr="00700FB4" w:rsidRDefault="008C3116" w:rsidP="008C3116">
      <w:pPr>
        <w:pStyle w:val="NoSpacing"/>
        <w:jc w:val="both"/>
        <w:rPr>
          <w:rFonts w:ascii="Arial" w:hAnsi="Arial" w:cs="Arial"/>
          <w:sz w:val="20"/>
          <w:szCs w:val="20"/>
        </w:rPr>
      </w:pPr>
    </w:p>
    <w:p w:rsidR="00E323B6" w:rsidRPr="00700FB4" w:rsidRDefault="00FE3727" w:rsidP="008C3116">
      <w:pPr>
        <w:pStyle w:val="NoSpacing"/>
        <w:jc w:val="both"/>
        <w:rPr>
          <w:rFonts w:ascii="Arial" w:hAnsi="Arial" w:cs="Arial"/>
          <w:sz w:val="20"/>
          <w:szCs w:val="20"/>
        </w:rPr>
      </w:pPr>
      <w:r w:rsidRPr="00700FB4">
        <w:rPr>
          <w:rFonts w:ascii="Arial" w:hAnsi="Arial" w:cs="Arial"/>
          <w:b/>
          <w:sz w:val="20"/>
          <w:szCs w:val="20"/>
        </w:rPr>
        <w:t>D</w:t>
      </w:r>
      <w:r w:rsidR="0014238E" w:rsidRPr="00700FB4">
        <w:rPr>
          <w:rFonts w:ascii="Arial" w:hAnsi="Arial" w:cs="Arial"/>
          <w:b/>
          <w:sz w:val="20"/>
          <w:szCs w:val="20"/>
        </w:rPr>
        <w:t>irektīva</w:t>
      </w:r>
      <w:r w:rsidR="0091579F" w:rsidRPr="00700FB4">
        <w:rPr>
          <w:rFonts w:ascii="Arial" w:hAnsi="Arial" w:cs="Arial"/>
          <w:b/>
          <w:sz w:val="20"/>
          <w:szCs w:val="20"/>
        </w:rPr>
        <w:t>s</w:t>
      </w:r>
      <w:r w:rsidRPr="00700FB4">
        <w:rPr>
          <w:rFonts w:ascii="Arial" w:hAnsi="Arial" w:cs="Arial"/>
          <w:b/>
          <w:sz w:val="20"/>
          <w:szCs w:val="20"/>
        </w:rPr>
        <w:t xml:space="preserve"> 91/271/EEK</w:t>
      </w:r>
      <w:r w:rsidRPr="00700FB4">
        <w:rPr>
          <w:rFonts w:ascii="Arial" w:hAnsi="Arial" w:cs="Arial"/>
          <w:sz w:val="20"/>
          <w:szCs w:val="20"/>
        </w:rPr>
        <w:t xml:space="preserve"> </w:t>
      </w:r>
      <w:r w:rsidR="0014238E" w:rsidRPr="00700FB4">
        <w:rPr>
          <w:rFonts w:ascii="Arial" w:hAnsi="Arial" w:cs="Arial"/>
          <w:sz w:val="20"/>
          <w:szCs w:val="20"/>
        </w:rPr>
        <w:t>(1991.gada 21.maijs) par komunālo notekūdeņu attīrīšanu</w:t>
      </w:r>
      <w:r w:rsidR="0091579F" w:rsidRPr="00700FB4">
        <w:rPr>
          <w:rFonts w:ascii="Arial" w:hAnsi="Arial" w:cs="Arial"/>
          <w:sz w:val="20"/>
          <w:szCs w:val="20"/>
        </w:rPr>
        <w:t xml:space="preserve"> </w:t>
      </w:r>
      <w:r w:rsidR="0014238E" w:rsidRPr="00700FB4">
        <w:rPr>
          <w:rFonts w:ascii="Arial" w:hAnsi="Arial" w:cs="Arial"/>
          <w:sz w:val="20"/>
          <w:szCs w:val="20"/>
        </w:rPr>
        <w:t>mērķis ir nodrošināt notekūdeņu atbilstīgu attīrīšanu, lai aizsargātu cilvēku veselību un vidi. Direk</w:t>
      </w:r>
      <w:r w:rsidR="008C3116" w:rsidRPr="00700FB4">
        <w:rPr>
          <w:rFonts w:ascii="Arial" w:hAnsi="Arial" w:cs="Arial"/>
          <w:sz w:val="20"/>
          <w:szCs w:val="20"/>
        </w:rPr>
        <w:t xml:space="preserve">tīva aizsargā ūdens vidi (arī </w:t>
      </w:r>
      <w:r w:rsidR="0014238E" w:rsidRPr="00700FB4">
        <w:rPr>
          <w:rFonts w:ascii="Arial" w:hAnsi="Arial" w:cs="Arial"/>
          <w:sz w:val="20"/>
          <w:szCs w:val="20"/>
        </w:rPr>
        <w:t>piekrastes ūdeņus) pret komunālo notekūdeņu kaitīgo ietekmi (piemēram, eitrofikāciju), un ar to nosaka ES mēroga noteikumus par notekūdeņu savākšanu, attīrīšanu un novadīšanu. Jūras ūdens tilpne vai zona var tikt uzskatīta par mazāk jutīgu, ja šajā zonā pastāvošās morfoloģijas, hidroloģijas vai īpašu hidraulisku apstākļu rezultātā notekūdeņu izplūdes nelabvēlīgi neietekmē vidi.</w:t>
      </w:r>
      <w:r w:rsidR="00E323B6" w:rsidRPr="00700FB4">
        <w:rPr>
          <w:rFonts w:ascii="Arial" w:hAnsi="Arial" w:cs="Arial"/>
          <w:sz w:val="20"/>
          <w:szCs w:val="20"/>
        </w:rPr>
        <w:t xml:space="preserve"> Baltijas jūrai Starptautiskā Jūras organizācija ir noteikusi īpaši jūtīgas teritorijas statusu (angļu val. – </w:t>
      </w:r>
      <w:proofErr w:type="spellStart"/>
      <w:r w:rsidR="00E323B6" w:rsidRPr="00700FB4">
        <w:rPr>
          <w:rFonts w:ascii="Arial" w:hAnsi="Arial" w:cs="Arial"/>
          <w:i/>
          <w:sz w:val="20"/>
          <w:szCs w:val="20"/>
        </w:rPr>
        <w:t>particuarly</w:t>
      </w:r>
      <w:proofErr w:type="spellEnd"/>
      <w:r w:rsidR="00E323B6" w:rsidRPr="00700FB4">
        <w:rPr>
          <w:rFonts w:ascii="Arial" w:hAnsi="Arial" w:cs="Arial"/>
          <w:i/>
          <w:sz w:val="20"/>
          <w:szCs w:val="20"/>
        </w:rPr>
        <w:t xml:space="preserve"> </w:t>
      </w:r>
      <w:proofErr w:type="spellStart"/>
      <w:r w:rsidR="00E323B6" w:rsidRPr="00700FB4">
        <w:rPr>
          <w:rFonts w:ascii="Arial" w:hAnsi="Arial" w:cs="Arial"/>
          <w:i/>
          <w:sz w:val="20"/>
          <w:szCs w:val="20"/>
        </w:rPr>
        <w:t>sensitive</w:t>
      </w:r>
      <w:proofErr w:type="spellEnd"/>
      <w:r w:rsidR="00E323B6" w:rsidRPr="00700FB4">
        <w:rPr>
          <w:rFonts w:ascii="Arial" w:hAnsi="Arial" w:cs="Arial"/>
          <w:i/>
          <w:sz w:val="20"/>
          <w:szCs w:val="20"/>
        </w:rPr>
        <w:t xml:space="preserve"> </w:t>
      </w:r>
      <w:proofErr w:type="spellStart"/>
      <w:r w:rsidR="00E323B6" w:rsidRPr="00700FB4">
        <w:rPr>
          <w:rFonts w:ascii="Arial" w:hAnsi="Arial" w:cs="Arial"/>
          <w:i/>
          <w:sz w:val="20"/>
          <w:szCs w:val="20"/>
        </w:rPr>
        <w:t>sea</w:t>
      </w:r>
      <w:proofErr w:type="spellEnd"/>
      <w:r w:rsidR="00E323B6" w:rsidRPr="00700FB4">
        <w:rPr>
          <w:rFonts w:ascii="Arial" w:hAnsi="Arial" w:cs="Arial"/>
          <w:i/>
          <w:sz w:val="20"/>
          <w:szCs w:val="20"/>
        </w:rPr>
        <w:t xml:space="preserve"> </w:t>
      </w:r>
      <w:proofErr w:type="spellStart"/>
      <w:r w:rsidR="00E323B6" w:rsidRPr="00700FB4">
        <w:rPr>
          <w:rFonts w:ascii="Arial" w:hAnsi="Arial" w:cs="Arial"/>
          <w:i/>
          <w:sz w:val="20"/>
          <w:szCs w:val="20"/>
        </w:rPr>
        <w:t>area</w:t>
      </w:r>
      <w:proofErr w:type="spellEnd"/>
      <w:r w:rsidR="00E323B6" w:rsidRPr="00700FB4">
        <w:rPr>
          <w:rFonts w:ascii="Arial" w:hAnsi="Arial" w:cs="Arial"/>
          <w:sz w:val="20"/>
          <w:szCs w:val="20"/>
        </w:rPr>
        <w:t>).</w:t>
      </w:r>
    </w:p>
    <w:p w:rsidR="008C3116" w:rsidRPr="00700FB4" w:rsidRDefault="008C3116" w:rsidP="008C3116">
      <w:pPr>
        <w:pStyle w:val="NoSpacing"/>
        <w:jc w:val="both"/>
        <w:rPr>
          <w:rFonts w:ascii="Arial" w:hAnsi="Arial" w:cs="Arial"/>
          <w:sz w:val="20"/>
          <w:szCs w:val="20"/>
        </w:rPr>
      </w:pPr>
    </w:p>
    <w:p w:rsidR="0014238E" w:rsidRPr="00700FB4" w:rsidRDefault="0014238E" w:rsidP="008C3116">
      <w:pPr>
        <w:pStyle w:val="NoSpacing"/>
        <w:jc w:val="both"/>
        <w:rPr>
          <w:rFonts w:ascii="Arial" w:hAnsi="Arial" w:cs="Arial"/>
          <w:sz w:val="20"/>
          <w:szCs w:val="20"/>
        </w:rPr>
      </w:pPr>
      <w:r w:rsidRPr="00700FB4">
        <w:rPr>
          <w:rFonts w:ascii="Arial" w:hAnsi="Arial" w:cs="Arial"/>
          <w:sz w:val="20"/>
          <w:szCs w:val="20"/>
        </w:rPr>
        <w:t xml:space="preserve">Ar </w:t>
      </w:r>
      <w:r w:rsidRPr="00700FB4">
        <w:rPr>
          <w:rFonts w:ascii="Arial" w:hAnsi="Arial" w:cs="Arial"/>
          <w:b/>
          <w:sz w:val="20"/>
          <w:szCs w:val="20"/>
        </w:rPr>
        <w:t>Direktīvu 2007/60/EK</w:t>
      </w:r>
      <w:r w:rsidRPr="00700FB4">
        <w:rPr>
          <w:rFonts w:ascii="Arial" w:hAnsi="Arial" w:cs="Arial"/>
          <w:sz w:val="20"/>
          <w:szCs w:val="20"/>
        </w:rPr>
        <w:t xml:space="preserve"> (2007.gada 23.oktobris) par plūdu riska novērtējumu un pārvaldību</w:t>
      </w:r>
      <w:r w:rsidR="00BE2603" w:rsidRPr="00700FB4">
        <w:rPr>
          <w:rFonts w:ascii="Arial" w:hAnsi="Arial" w:cs="Arial"/>
          <w:sz w:val="20"/>
          <w:szCs w:val="20"/>
        </w:rPr>
        <w:t xml:space="preserve"> tiek iz</w:t>
      </w:r>
      <w:r w:rsidRPr="00700FB4">
        <w:rPr>
          <w:rFonts w:ascii="Arial" w:hAnsi="Arial" w:cs="Arial"/>
          <w:sz w:val="20"/>
          <w:szCs w:val="20"/>
        </w:rPr>
        <w:t>veido</w:t>
      </w:r>
      <w:r w:rsidR="00BE2603" w:rsidRPr="00700FB4">
        <w:rPr>
          <w:rFonts w:ascii="Arial" w:hAnsi="Arial" w:cs="Arial"/>
          <w:sz w:val="20"/>
          <w:szCs w:val="20"/>
        </w:rPr>
        <w:t>ta</w:t>
      </w:r>
      <w:r w:rsidRPr="00700FB4">
        <w:rPr>
          <w:rFonts w:ascii="Arial" w:hAnsi="Arial" w:cs="Arial"/>
          <w:sz w:val="20"/>
          <w:szCs w:val="20"/>
        </w:rPr>
        <w:t xml:space="preserve"> novērtēšanas, kartēšanas un plānošanas </w:t>
      </w:r>
      <w:r w:rsidR="00BE2603" w:rsidRPr="00700FB4">
        <w:rPr>
          <w:rFonts w:ascii="Arial" w:hAnsi="Arial" w:cs="Arial"/>
          <w:sz w:val="20"/>
          <w:szCs w:val="20"/>
        </w:rPr>
        <w:t>sistēma</w:t>
      </w:r>
      <w:r w:rsidRPr="00700FB4">
        <w:rPr>
          <w:rFonts w:ascii="Arial" w:hAnsi="Arial" w:cs="Arial"/>
          <w:sz w:val="20"/>
          <w:szCs w:val="20"/>
        </w:rPr>
        <w:t xml:space="preserve">, lai samazinātu plūdu risku Eiropā, jo plūdi apdraud cilvēku veselību, kultūras mantojumu, ekonomiku un vidi. </w:t>
      </w:r>
      <w:r w:rsidR="002D416B" w:rsidRPr="00700FB4">
        <w:rPr>
          <w:rFonts w:ascii="Arial" w:hAnsi="Arial" w:cs="Arial"/>
          <w:sz w:val="20"/>
          <w:szCs w:val="20"/>
        </w:rPr>
        <w:t>Plūdu direktīva</w:t>
      </w:r>
      <w:r w:rsidRPr="00700FB4">
        <w:rPr>
          <w:rFonts w:ascii="Arial" w:hAnsi="Arial" w:cs="Arial"/>
          <w:sz w:val="20"/>
          <w:szCs w:val="20"/>
        </w:rPr>
        <w:t xml:space="preserve"> paredz izveidot pasākumu sistēmu plūdu riska samazināšanai ES, novērtējot plūdu </w:t>
      </w:r>
      <w:r w:rsidRPr="00700FB4">
        <w:rPr>
          <w:rFonts w:ascii="Arial" w:hAnsi="Arial" w:cs="Arial"/>
          <w:sz w:val="20"/>
          <w:szCs w:val="20"/>
        </w:rPr>
        <w:lastRenderedPageBreak/>
        <w:t xml:space="preserve">risku upju baseinos un piekrastes reģionos, kartējot teritorijas, kurās iespējami būtiski plūdi, kā arī veidojot plūdu riska pārvaldības plānus, cieši sadarbojoties ES valstīm. </w:t>
      </w:r>
      <w:r w:rsidR="002D416B" w:rsidRPr="00700FB4">
        <w:rPr>
          <w:rFonts w:ascii="Arial" w:hAnsi="Arial" w:cs="Arial"/>
          <w:sz w:val="20"/>
          <w:szCs w:val="20"/>
        </w:rPr>
        <w:t xml:space="preserve">Plūdu direktīva </w:t>
      </w:r>
      <w:r w:rsidRPr="00700FB4">
        <w:rPr>
          <w:rFonts w:ascii="Arial" w:hAnsi="Arial" w:cs="Arial"/>
          <w:sz w:val="20"/>
          <w:szCs w:val="20"/>
        </w:rPr>
        <w:t>liek ES valstīm novērtēt plūdu risku piekrastes reģionos un upju baseinos, vācot informāciju par šīm teritorijām, piemēram, informāciju par plūdiem pagātnē un kartes, kurās attēlotas robežas, zemes izmantojums un topogrāfija, un nosakot būtisku plūdu iespējamību nākotnē un to sekas. ES valstīm ir arī jāizgatavo kartes, kurās ir noteiktas teritorijas, kur iespējami būtiski plūdi, un jānorāda plūdu scenāriji (par pamatu ņemot lielu, vidēju vai mazu varbūtību) šajās teritorijās. ES valstīm ir arī jāizveido plūdu riska pārvaldības plāni, kurus koordinē upju baseinu vai piekrastes rajonu līmenī. Šajos plānos nosaka plūdu risku pārvaldības mērķus, un uzmanība būtu jākoncentrē uz novēršanu (piemēram, izvairoties no būvniecības applūstošās teritorijās), aizsardzību (pasākumi plūdu varbūtības samazināšanai konkrētā teritorijā) un sagatavotību (sabiedrības informēšana par plūdu riskiem un par to, kā rīkoties plūdu gadījumā). Tātad nebūtu vēlams atļaut izmantot noteiktu teritoriju jūrā veidā, kas būtiski ietekmē plūdu apdraudētas teritorijas.</w:t>
      </w:r>
    </w:p>
    <w:p w:rsidR="00467C64" w:rsidRPr="00700FB4" w:rsidRDefault="00467C64" w:rsidP="008C3116">
      <w:pPr>
        <w:pStyle w:val="NoSpacing"/>
        <w:jc w:val="both"/>
        <w:rPr>
          <w:rFonts w:ascii="Arial" w:hAnsi="Arial" w:cs="Arial"/>
          <w:sz w:val="20"/>
          <w:szCs w:val="20"/>
        </w:rPr>
      </w:pPr>
    </w:p>
    <w:p w:rsidR="0014238E" w:rsidRPr="00700FB4" w:rsidRDefault="0014238E" w:rsidP="008C3116">
      <w:pPr>
        <w:pStyle w:val="NoSpacing"/>
        <w:jc w:val="both"/>
        <w:rPr>
          <w:rFonts w:ascii="Arial" w:hAnsi="Arial" w:cs="Arial"/>
          <w:sz w:val="20"/>
          <w:szCs w:val="20"/>
        </w:rPr>
      </w:pPr>
      <w:r w:rsidRPr="00700FB4">
        <w:rPr>
          <w:rFonts w:ascii="Arial" w:hAnsi="Arial" w:cs="Arial"/>
          <w:b/>
          <w:sz w:val="20"/>
          <w:szCs w:val="20"/>
        </w:rPr>
        <w:t>Direktīva 2006/113/EK</w:t>
      </w:r>
      <w:r w:rsidRPr="00700FB4">
        <w:rPr>
          <w:rFonts w:ascii="Arial" w:hAnsi="Arial" w:cs="Arial"/>
          <w:sz w:val="20"/>
          <w:szCs w:val="20"/>
        </w:rPr>
        <w:t xml:space="preserve"> (2006.gada 12.decembris) par kvalitātes prasībām ūdeņiem, no kuriem iegūst čaulgliemjus, paredz nosacījumus attiecībā uz to, lai pasargātu dažas čaulgliemju populācijas no dažādām kaitīgām sekām, ko rada piesārņotājvielu izplūde jūrā.</w:t>
      </w:r>
    </w:p>
    <w:p w:rsidR="00467C64" w:rsidRPr="00700FB4" w:rsidRDefault="00467C64" w:rsidP="008C3116">
      <w:pPr>
        <w:pStyle w:val="NoSpacing"/>
        <w:jc w:val="both"/>
        <w:rPr>
          <w:rFonts w:ascii="Arial" w:hAnsi="Arial" w:cs="Arial"/>
          <w:sz w:val="20"/>
          <w:szCs w:val="20"/>
        </w:rPr>
      </w:pPr>
    </w:p>
    <w:p w:rsidR="0014238E" w:rsidRPr="00700FB4" w:rsidRDefault="00467C64" w:rsidP="008C3116">
      <w:pPr>
        <w:pStyle w:val="NoSpacing"/>
        <w:jc w:val="both"/>
        <w:rPr>
          <w:rFonts w:ascii="Arial" w:hAnsi="Arial" w:cs="Arial"/>
          <w:sz w:val="20"/>
          <w:szCs w:val="20"/>
        </w:rPr>
      </w:pPr>
      <w:r w:rsidRPr="00700FB4">
        <w:rPr>
          <w:rFonts w:ascii="Arial" w:hAnsi="Arial" w:cs="Arial"/>
          <w:sz w:val="20"/>
          <w:szCs w:val="20"/>
        </w:rPr>
        <w:t xml:space="preserve">Ar </w:t>
      </w:r>
      <w:r w:rsidRPr="00700FB4">
        <w:rPr>
          <w:rFonts w:ascii="Arial" w:hAnsi="Arial" w:cs="Arial"/>
          <w:b/>
          <w:sz w:val="20"/>
          <w:szCs w:val="20"/>
        </w:rPr>
        <w:t>Direktīvu</w:t>
      </w:r>
      <w:r w:rsidR="0014238E" w:rsidRPr="00700FB4">
        <w:rPr>
          <w:rFonts w:ascii="Arial" w:hAnsi="Arial" w:cs="Arial"/>
          <w:b/>
          <w:sz w:val="20"/>
          <w:szCs w:val="20"/>
        </w:rPr>
        <w:t xml:space="preserve"> 2004/35/EK</w:t>
      </w:r>
      <w:r w:rsidR="004E42FF" w:rsidRPr="00700FB4">
        <w:rPr>
          <w:rFonts w:ascii="Arial" w:hAnsi="Arial" w:cs="Arial"/>
          <w:b/>
          <w:sz w:val="20"/>
          <w:szCs w:val="20"/>
        </w:rPr>
        <w:t xml:space="preserve"> </w:t>
      </w:r>
      <w:r w:rsidR="004E42FF" w:rsidRPr="00700FB4">
        <w:rPr>
          <w:rFonts w:ascii="Arial" w:hAnsi="Arial" w:cs="Arial"/>
          <w:sz w:val="20"/>
          <w:szCs w:val="20"/>
        </w:rPr>
        <w:t>(2004.gada 21.aprīlis)</w:t>
      </w:r>
      <w:r w:rsidR="0014238E" w:rsidRPr="00700FB4">
        <w:rPr>
          <w:rFonts w:ascii="Arial" w:hAnsi="Arial" w:cs="Arial"/>
          <w:b/>
          <w:sz w:val="20"/>
          <w:szCs w:val="20"/>
        </w:rPr>
        <w:t xml:space="preserve"> </w:t>
      </w:r>
      <w:r w:rsidR="0014238E" w:rsidRPr="00700FB4">
        <w:rPr>
          <w:rFonts w:ascii="Arial" w:hAnsi="Arial" w:cs="Arial"/>
          <w:sz w:val="20"/>
          <w:szCs w:val="20"/>
        </w:rPr>
        <w:t>par atbildību vides jomā attiecībā uz videi nodarītā kaitējuma novēršanu un atlīdzināšanu izveidota vienota atbildības sistēma ar mērķi novērst un atlīdzināt par kaitējumu, kas nodarīts dzīvniekiem, augiem, dabisko dzīvotņu un ūdens resursiem un zemei nodarīto kaitējumu. Direktīvā nostiprināts princips “piesārņotājs maksā”. Kaitējums cita starpā ir kaitējums ūdenim, kas ir jebkāds kaitējums, kam ir būtiska nelabvēlīga ietekme uz konkrēto ūden</w:t>
      </w:r>
      <w:r w:rsidR="00663CB1" w:rsidRPr="00700FB4">
        <w:rPr>
          <w:rFonts w:ascii="Arial" w:hAnsi="Arial" w:cs="Arial"/>
          <w:sz w:val="20"/>
          <w:szCs w:val="20"/>
        </w:rPr>
        <w:t xml:space="preserve">s objektu ekoloģisko, ķīmisko, </w:t>
      </w:r>
      <w:r w:rsidR="0014238E" w:rsidRPr="00700FB4">
        <w:rPr>
          <w:rFonts w:ascii="Arial" w:hAnsi="Arial" w:cs="Arial"/>
          <w:sz w:val="20"/>
          <w:szCs w:val="20"/>
        </w:rPr>
        <w:t>kvantitatīvo stāvokli vai ekoloģisko potenciālu.</w:t>
      </w:r>
    </w:p>
    <w:p w:rsidR="00467C64" w:rsidRPr="00700FB4" w:rsidRDefault="00467C64" w:rsidP="008C3116">
      <w:pPr>
        <w:pStyle w:val="NoSpacing"/>
        <w:jc w:val="both"/>
        <w:rPr>
          <w:rFonts w:ascii="Arial" w:hAnsi="Arial" w:cs="Arial"/>
          <w:sz w:val="20"/>
          <w:szCs w:val="20"/>
        </w:rPr>
      </w:pPr>
    </w:p>
    <w:p w:rsidR="0014238E" w:rsidRPr="00700FB4" w:rsidRDefault="0014238E" w:rsidP="008C3116">
      <w:pPr>
        <w:pStyle w:val="NoSpacing"/>
        <w:jc w:val="both"/>
        <w:rPr>
          <w:rFonts w:ascii="Arial" w:hAnsi="Arial" w:cs="Arial"/>
          <w:sz w:val="20"/>
          <w:szCs w:val="20"/>
        </w:rPr>
      </w:pPr>
      <w:r w:rsidRPr="00700FB4">
        <w:rPr>
          <w:rFonts w:ascii="Arial" w:hAnsi="Arial" w:cs="Arial"/>
          <w:sz w:val="20"/>
          <w:szCs w:val="20"/>
        </w:rPr>
        <w:t xml:space="preserve">Attiecībā uz sabiedrības līdzdalības tiesībām ar vidi saistītu lēmumu pieņemšanā ir pieņemtas šādas direktīvas: </w:t>
      </w:r>
      <w:r w:rsidR="00663CB1" w:rsidRPr="00700FB4">
        <w:rPr>
          <w:rFonts w:ascii="Arial" w:hAnsi="Arial" w:cs="Arial"/>
          <w:b/>
          <w:sz w:val="20"/>
          <w:szCs w:val="20"/>
        </w:rPr>
        <w:t>D</w:t>
      </w:r>
      <w:r w:rsidRPr="00700FB4">
        <w:rPr>
          <w:rFonts w:ascii="Arial" w:hAnsi="Arial" w:cs="Arial"/>
          <w:b/>
          <w:sz w:val="20"/>
          <w:szCs w:val="20"/>
        </w:rPr>
        <w:t>irektīva 2003/35/EK</w:t>
      </w:r>
      <w:r w:rsidR="004E42FF" w:rsidRPr="00700FB4">
        <w:rPr>
          <w:rFonts w:ascii="Arial" w:hAnsi="Arial" w:cs="Arial"/>
          <w:b/>
          <w:sz w:val="20"/>
          <w:szCs w:val="20"/>
        </w:rPr>
        <w:t xml:space="preserve"> </w:t>
      </w:r>
      <w:r w:rsidR="004E42FF" w:rsidRPr="00700FB4">
        <w:rPr>
          <w:rFonts w:ascii="Arial" w:hAnsi="Arial" w:cs="Arial"/>
          <w:sz w:val="20"/>
          <w:szCs w:val="20"/>
        </w:rPr>
        <w:t>(2003.gada 26.maijs)</w:t>
      </w:r>
      <w:r w:rsidRPr="00700FB4">
        <w:rPr>
          <w:rFonts w:ascii="Arial" w:hAnsi="Arial" w:cs="Arial"/>
          <w:sz w:val="20"/>
          <w:szCs w:val="20"/>
        </w:rPr>
        <w:t xml:space="preserve">, ar ko paredz sabiedrības līdzdalību dažu ar vidi saistītu plānu un programmu izstrādē un ar ko attiecībā uz sabiedrības līdzdalību un iespēju griezties tiesās groza </w:t>
      </w:r>
      <w:r w:rsidR="004E42FF" w:rsidRPr="00700FB4">
        <w:rPr>
          <w:rFonts w:ascii="Arial" w:hAnsi="Arial" w:cs="Arial"/>
          <w:sz w:val="20"/>
          <w:szCs w:val="20"/>
        </w:rPr>
        <w:t>D</w:t>
      </w:r>
      <w:r w:rsidRPr="00700FB4">
        <w:rPr>
          <w:rFonts w:ascii="Arial" w:hAnsi="Arial" w:cs="Arial"/>
          <w:sz w:val="20"/>
          <w:szCs w:val="20"/>
        </w:rPr>
        <w:t xml:space="preserve">irektīvas 85/337/EEK un 96/61/EK un </w:t>
      </w:r>
      <w:r w:rsidR="004E42FF" w:rsidRPr="00700FB4">
        <w:rPr>
          <w:rFonts w:ascii="Arial" w:hAnsi="Arial" w:cs="Arial"/>
          <w:sz w:val="20"/>
          <w:szCs w:val="20"/>
        </w:rPr>
        <w:t>D</w:t>
      </w:r>
      <w:r w:rsidRPr="00700FB4">
        <w:rPr>
          <w:rFonts w:ascii="Arial" w:hAnsi="Arial" w:cs="Arial"/>
          <w:sz w:val="20"/>
          <w:szCs w:val="20"/>
        </w:rPr>
        <w:t>irektīva 2003/4/EK</w:t>
      </w:r>
      <w:r w:rsidR="004E42FF" w:rsidRPr="00700FB4">
        <w:rPr>
          <w:rFonts w:ascii="Arial" w:hAnsi="Arial" w:cs="Arial"/>
          <w:sz w:val="20"/>
          <w:szCs w:val="20"/>
        </w:rPr>
        <w:t xml:space="preserve"> (2013.gada 28.janvāris)</w:t>
      </w:r>
      <w:r w:rsidRPr="00700FB4">
        <w:rPr>
          <w:rFonts w:ascii="Arial" w:hAnsi="Arial" w:cs="Arial"/>
          <w:sz w:val="20"/>
          <w:szCs w:val="20"/>
        </w:rPr>
        <w:t xml:space="preserve"> par vides informācijas pieejamību sabiedrībai un par direktīvas 90/313/EEK atcelšanu.</w:t>
      </w:r>
    </w:p>
    <w:p w:rsidR="00663CB1" w:rsidRPr="00700FB4" w:rsidRDefault="00663CB1" w:rsidP="008C3116">
      <w:pPr>
        <w:pStyle w:val="NoSpacing"/>
        <w:jc w:val="both"/>
        <w:rPr>
          <w:rFonts w:ascii="Arial" w:hAnsi="Arial" w:cs="Arial"/>
          <w:sz w:val="20"/>
          <w:szCs w:val="20"/>
        </w:rPr>
      </w:pPr>
    </w:p>
    <w:p w:rsidR="0014238E" w:rsidRPr="00700FB4" w:rsidRDefault="00663CB1" w:rsidP="00665269">
      <w:pPr>
        <w:pStyle w:val="Heading3"/>
      </w:pPr>
      <w:bookmarkStart w:id="11" w:name="_Toc460402328"/>
      <w:r w:rsidRPr="00700FB4">
        <w:t>[</w:t>
      </w:r>
      <w:r w:rsidR="005044BD" w:rsidRPr="00700FB4">
        <w:t>2.4</w:t>
      </w:r>
      <w:r w:rsidRPr="00700FB4">
        <w:t>.2]</w:t>
      </w:r>
      <w:bookmarkStart w:id="12" w:name="_Toc456031654"/>
      <w:r w:rsidRPr="00700FB4">
        <w:t xml:space="preserve"> Z</w:t>
      </w:r>
      <w:r w:rsidR="0014238E" w:rsidRPr="00700FB4">
        <w:t>ivsaimniecība</w:t>
      </w:r>
      <w:bookmarkEnd w:id="11"/>
      <w:bookmarkEnd w:id="12"/>
    </w:p>
    <w:p w:rsidR="0014238E" w:rsidRPr="00700FB4" w:rsidRDefault="0014238E" w:rsidP="00663CB1">
      <w:pPr>
        <w:pStyle w:val="NoSpacing"/>
        <w:jc w:val="both"/>
        <w:rPr>
          <w:rFonts w:ascii="Arial" w:hAnsi="Arial" w:cs="Arial"/>
          <w:sz w:val="20"/>
          <w:szCs w:val="20"/>
        </w:rPr>
      </w:pPr>
      <w:r w:rsidRPr="00700FB4">
        <w:rPr>
          <w:rFonts w:ascii="Arial" w:hAnsi="Arial" w:cs="Arial"/>
          <w:sz w:val="20"/>
          <w:szCs w:val="20"/>
        </w:rPr>
        <w:t>LESD 3.panta 1.daļas “d” apakšpunkts paredz, ka ES ir ekskluzīva kompetence jūras bioloģisko resursu saglabāšanā saskaņā ar kopējo zivsaimniecības politiku. Savukārt saskaņā ar LESD 4.panta 2.daļas “d” apakšpunktu ES un dalībvalstu dalītā kompetence attiecas uz lauksaimniecību un zivsaimniecību, izņemot jūras bioloģisko resursu saglabāšanu. Atbilstoši iepriekš minētajam LESD 38.pants noteic, ka ES nosaka un īsteno kopīgu lauksaimniecības un zivsaimniecības politiku. Tātad kopējās zivsaimniecības politikas pamatā ir LESD 38.</w:t>
      </w:r>
      <w:r w:rsidR="00663CB1" w:rsidRPr="00700FB4">
        <w:rPr>
          <w:rFonts w:ascii="Arial" w:hAnsi="Arial" w:cs="Arial"/>
          <w:sz w:val="20"/>
          <w:szCs w:val="20"/>
        </w:rPr>
        <w:t xml:space="preserve"> – </w:t>
      </w:r>
      <w:r w:rsidRPr="00700FB4">
        <w:rPr>
          <w:rFonts w:ascii="Arial" w:hAnsi="Arial" w:cs="Arial"/>
          <w:sz w:val="20"/>
          <w:szCs w:val="20"/>
        </w:rPr>
        <w:t>43.pants.</w:t>
      </w:r>
    </w:p>
    <w:p w:rsidR="00663CB1" w:rsidRPr="00700FB4" w:rsidRDefault="00663CB1" w:rsidP="00663CB1">
      <w:pPr>
        <w:pStyle w:val="NoSpacing"/>
        <w:jc w:val="both"/>
        <w:rPr>
          <w:rFonts w:ascii="Arial" w:hAnsi="Arial" w:cs="Arial"/>
          <w:sz w:val="20"/>
          <w:szCs w:val="20"/>
        </w:rPr>
      </w:pPr>
    </w:p>
    <w:p w:rsidR="0014238E" w:rsidRPr="00700FB4" w:rsidRDefault="0014238E" w:rsidP="00663CB1">
      <w:pPr>
        <w:pStyle w:val="NoSpacing"/>
        <w:jc w:val="both"/>
        <w:rPr>
          <w:rFonts w:ascii="Arial" w:hAnsi="Arial" w:cs="Arial"/>
          <w:sz w:val="20"/>
          <w:szCs w:val="20"/>
        </w:rPr>
      </w:pPr>
      <w:r w:rsidRPr="00700FB4">
        <w:rPr>
          <w:rFonts w:ascii="Arial" w:hAnsi="Arial" w:cs="Arial"/>
          <w:b/>
          <w:sz w:val="20"/>
          <w:szCs w:val="20"/>
        </w:rPr>
        <w:t>Regula Nr. 1380/2013</w:t>
      </w:r>
      <w:r w:rsidRPr="00700FB4">
        <w:rPr>
          <w:rFonts w:ascii="Arial" w:hAnsi="Arial" w:cs="Arial"/>
          <w:sz w:val="20"/>
          <w:szCs w:val="20"/>
        </w:rPr>
        <w:t xml:space="preserve"> (2013.gada 11.decembris) par kopējo zivsaimniecības politiku</w:t>
      </w:r>
      <w:r w:rsidR="00FC2172" w:rsidRPr="00700FB4">
        <w:rPr>
          <w:rFonts w:ascii="Arial" w:hAnsi="Arial" w:cs="Arial"/>
          <w:sz w:val="20"/>
          <w:szCs w:val="20"/>
        </w:rPr>
        <w:t>,</w:t>
      </w:r>
      <w:r w:rsidRPr="00700FB4">
        <w:rPr>
          <w:rFonts w:ascii="Arial" w:hAnsi="Arial" w:cs="Arial"/>
          <w:sz w:val="20"/>
          <w:szCs w:val="20"/>
        </w:rPr>
        <w:t xml:space="preserve"> ar ko groza Regulas Nr. 1954/2003 un (EK) Nr. 1224/2009 un atceļ Regulas Nr. 2371/2002 un Nr.</w:t>
      </w:r>
      <w:r w:rsidR="00FC2172" w:rsidRPr="00700FB4">
        <w:rPr>
          <w:rFonts w:ascii="Arial" w:hAnsi="Arial" w:cs="Arial"/>
          <w:sz w:val="20"/>
          <w:szCs w:val="20"/>
        </w:rPr>
        <w:t> </w:t>
      </w:r>
      <w:r w:rsidRPr="00700FB4">
        <w:rPr>
          <w:rFonts w:ascii="Arial" w:hAnsi="Arial" w:cs="Arial"/>
          <w:sz w:val="20"/>
          <w:szCs w:val="20"/>
        </w:rPr>
        <w:t>639/2004 un Lēmumu 2004/585/EK paredz noteikumus par ES kopējās zivsaimniecības politikas darbību. Šīs politikas mērķi ir atjaunot zivju krājumus ilgtspējīgā līmenī, izbeigt izšķērdīgas zvejas prakses un radīt jaunas iespējas izaugsmei un nodarbinātībai piekrastes reģionos. R</w:t>
      </w:r>
      <w:r w:rsidR="00663CB1" w:rsidRPr="00700FB4">
        <w:rPr>
          <w:rFonts w:ascii="Arial" w:hAnsi="Arial" w:cs="Arial"/>
          <w:sz w:val="20"/>
          <w:szCs w:val="20"/>
        </w:rPr>
        <w:t>egulā noteikts, ka jāz</w:t>
      </w:r>
      <w:r w:rsidRPr="00700FB4">
        <w:rPr>
          <w:rFonts w:ascii="Arial" w:hAnsi="Arial" w:cs="Arial"/>
          <w:sz w:val="20"/>
          <w:szCs w:val="20"/>
        </w:rPr>
        <w:t>vejo tādā līmenī, kas neapdraud zivju krājumu ataudzēšanu, vienlaikus palielinot nozvejas apjomu. Zvejniekiem ir jāievēro maksimālais ilgtspējīgas ieguves apjoms – viņi nedrīkst zvejot vairāk, nekā noteiktā gadā var ataudzēt noteiktu zivju krājumu. Ne vēlāk kā līdz 2020.gadam nozvejas apjomam jāatbilst maksimālajam ilgtspējīgas ieguves apjomam attiecībā uz visiem krājumiem.</w:t>
      </w:r>
    </w:p>
    <w:p w:rsidR="00663CB1" w:rsidRPr="00700FB4" w:rsidRDefault="00663CB1" w:rsidP="00663CB1">
      <w:pPr>
        <w:pStyle w:val="NoSpacing"/>
        <w:jc w:val="both"/>
        <w:rPr>
          <w:rFonts w:ascii="Arial" w:hAnsi="Arial" w:cs="Arial"/>
          <w:sz w:val="20"/>
          <w:szCs w:val="20"/>
        </w:rPr>
      </w:pPr>
    </w:p>
    <w:p w:rsidR="0014238E" w:rsidRPr="00700FB4" w:rsidRDefault="0014238E" w:rsidP="00663CB1">
      <w:pPr>
        <w:pStyle w:val="NoSpacing"/>
        <w:jc w:val="both"/>
        <w:rPr>
          <w:rFonts w:ascii="Arial" w:hAnsi="Arial" w:cs="Arial"/>
          <w:sz w:val="20"/>
          <w:szCs w:val="20"/>
        </w:rPr>
      </w:pPr>
      <w:r w:rsidRPr="00700FB4">
        <w:rPr>
          <w:rFonts w:ascii="Arial" w:hAnsi="Arial" w:cs="Arial"/>
          <w:sz w:val="20"/>
          <w:szCs w:val="20"/>
        </w:rPr>
        <w:t>Daudzgadu plānos ir noteikti zivju krājumu pārvaldības mērķi (zvejas izraisītas mirstības rādītāji pēc zvejas veida un / vai attiecīgā krājuma lielums). Lai ierobežotu zvejas ietekmi uz jūras ekosistēmu, ES zivsaimniecību regulē, ievērojot piesardzības principu. Politikas mērķis ir apturēt nevēlamu zivju izmešanu jūrā. Zvejas kuģiem krastā jāizkrauj vismaz 95% no kopējā nozvejas apjoma. ES valstīm ir jānodrošina līdzsvars starp flotes zvejas kapacitāti (kuģu skaits un lielums) un zvejas iespējām.</w:t>
      </w:r>
    </w:p>
    <w:p w:rsidR="00663CB1" w:rsidRPr="00700FB4" w:rsidRDefault="00663CB1" w:rsidP="00663CB1">
      <w:pPr>
        <w:pStyle w:val="NoSpacing"/>
        <w:jc w:val="both"/>
        <w:rPr>
          <w:rFonts w:ascii="Arial" w:hAnsi="Arial" w:cs="Arial"/>
          <w:sz w:val="20"/>
          <w:szCs w:val="20"/>
        </w:rPr>
      </w:pPr>
    </w:p>
    <w:p w:rsidR="0014238E" w:rsidRPr="00700FB4" w:rsidRDefault="00663CB1" w:rsidP="00663CB1">
      <w:pPr>
        <w:pStyle w:val="NoSpacing"/>
        <w:jc w:val="both"/>
        <w:rPr>
          <w:rFonts w:ascii="Arial" w:hAnsi="Arial" w:cs="Arial"/>
          <w:sz w:val="20"/>
          <w:szCs w:val="20"/>
        </w:rPr>
      </w:pPr>
      <w:r w:rsidRPr="00700FB4">
        <w:rPr>
          <w:rFonts w:ascii="Arial" w:hAnsi="Arial" w:cs="Arial"/>
          <w:sz w:val="20"/>
          <w:szCs w:val="20"/>
        </w:rPr>
        <w:t>T</w:t>
      </w:r>
      <w:r w:rsidR="0014238E" w:rsidRPr="00700FB4">
        <w:rPr>
          <w:rFonts w:ascii="Arial" w:hAnsi="Arial" w:cs="Arial"/>
          <w:sz w:val="20"/>
          <w:szCs w:val="20"/>
        </w:rPr>
        <w:t xml:space="preserve">iek decentralizēta lēmumu pieņemšana, tuvinot to zvejas vietām (tā pazīstama kā reģionalizācija). Īpašs atbalsts ir piešķirts nerūpnieciskai zivsaimniecībai, jo daudzos piekrastes </w:t>
      </w:r>
      <w:r w:rsidR="0014238E" w:rsidRPr="00700FB4">
        <w:rPr>
          <w:rFonts w:ascii="Arial" w:hAnsi="Arial" w:cs="Arial"/>
          <w:sz w:val="20"/>
          <w:szCs w:val="20"/>
        </w:rPr>
        <w:lastRenderedPageBreak/>
        <w:t>reģionos tā ir svarīgs kultūras identitātes aspekts. ES valstis līdz 2022.gadam var turpināt ierobežot zveju teritoriālajā jūrā.</w:t>
      </w:r>
    </w:p>
    <w:p w:rsidR="00663CB1" w:rsidRPr="00700FB4" w:rsidRDefault="00663CB1" w:rsidP="00663CB1">
      <w:pPr>
        <w:pStyle w:val="NoSpacing"/>
        <w:jc w:val="both"/>
        <w:rPr>
          <w:rFonts w:ascii="Arial" w:hAnsi="Arial" w:cs="Arial"/>
          <w:sz w:val="20"/>
          <w:szCs w:val="20"/>
        </w:rPr>
      </w:pPr>
    </w:p>
    <w:p w:rsidR="0014238E" w:rsidRPr="00700FB4" w:rsidRDefault="0014238E" w:rsidP="00663CB1">
      <w:pPr>
        <w:pStyle w:val="NoSpacing"/>
        <w:jc w:val="both"/>
        <w:rPr>
          <w:rFonts w:ascii="Arial" w:hAnsi="Arial" w:cs="Arial"/>
          <w:sz w:val="20"/>
          <w:szCs w:val="20"/>
        </w:rPr>
      </w:pPr>
      <w:r w:rsidRPr="00700FB4">
        <w:rPr>
          <w:rFonts w:ascii="Arial" w:hAnsi="Arial" w:cs="Arial"/>
          <w:sz w:val="20"/>
          <w:szCs w:val="20"/>
        </w:rPr>
        <w:t>ES valstīm ir jāsagatavo daudzgadu plāni, lai veicinātu akvakultūru un nodrošinātu atbilstību vides, sociālajiem un ekonomiskajiem standartiem šajā nozarē. ES valstis ir atbildīgas par zivju krājumu zinātnisko datu vākšanu un izplatīšanu. Ir jāattīsta un jāstiprina bioloģiski jutīgi apgabali, kuros ir lielas zivju mazuļu populācijas. Tagad ilgtspējas princips arī attiecas uz ES kuģiem, kuri zvejo ārpus ES ūdeņiem. Tas nozīmē, ka tie ārpus</w:t>
      </w:r>
      <w:r w:rsidR="00392247">
        <w:rPr>
          <w:rFonts w:ascii="Arial" w:hAnsi="Arial" w:cs="Arial"/>
          <w:sz w:val="20"/>
          <w:szCs w:val="20"/>
        </w:rPr>
        <w:t xml:space="preserve"> ES valstu teritoriālajiem ūdeņiem</w:t>
      </w:r>
      <w:r w:rsidRPr="00700FB4">
        <w:rPr>
          <w:rFonts w:ascii="Arial" w:hAnsi="Arial" w:cs="Arial"/>
          <w:sz w:val="20"/>
          <w:szCs w:val="20"/>
        </w:rPr>
        <w:t xml:space="preserve"> var zvejot tikai virsnormas zivju krājumus.</w:t>
      </w:r>
    </w:p>
    <w:p w:rsidR="00663CB1" w:rsidRPr="00700FB4" w:rsidRDefault="00663CB1" w:rsidP="00663CB1">
      <w:pPr>
        <w:pStyle w:val="NoSpacing"/>
        <w:jc w:val="both"/>
        <w:rPr>
          <w:rFonts w:ascii="Arial" w:hAnsi="Arial" w:cs="Arial"/>
          <w:sz w:val="20"/>
          <w:szCs w:val="20"/>
        </w:rPr>
      </w:pPr>
    </w:p>
    <w:p w:rsidR="0014238E" w:rsidRPr="00700FB4" w:rsidRDefault="0014238E" w:rsidP="00663CB1">
      <w:pPr>
        <w:pStyle w:val="NoSpacing"/>
        <w:jc w:val="both"/>
        <w:rPr>
          <w:rFonts w:ascii="Arial" w:hAnsi="Arial" w:cs="Arial"/>
          <w:sz w:val="20"/>
          <w:szCs w:val="20"/>
        </w:rPr>
      </w:pPr>
      <w:r w:rsidRPr="00700FB4">
        <w:rPr>
          <w:rFonts w:ascii="Arial" w:hAnsi="Arial" w:cs="Arial"/>
          <w:sz w:val="20"/>
          <w:szCs w:val="20"/>
        </w:rPr>
        <w:t xml:space="preserve">Ar </w:t>
      </w:r>
      <w:r w:rsidRPr="00700FB4">
        <w:rPr>
          <w:rFonts w:ascii="Arial" w:hAnsi="Arial" w:cs="Arial"/>
          <w:b/>
          <w:sz w:val="20"/>
          <w:szCs w:val="20"/>
        </w:rPr>
        <w:t>Regulu Nr. 1224/2009</w:t>
      </w:r>
      <w:r w:rsidRPr="00700FB4">
        <w:rPr>
          <w:rFonts w:ascii="Arial" w:hAnsi="Arial" w:cs="Arial"/>
          <w:sz w:val="20"/>
          <w:szCs w:val="20"/>
        </w:rPr>
        <w:t xml:space="preserve"> (2009.gada 20.novembris), ar ko izveido Kopienas kontroles sistēmu, lai nodrošinātu atbilstību kopējās zivsaimniecības politikas noteikumiem, un groza </w:t>
      </w:r>
      <w:r w:rsidR="0091579F" w:rsidRPr="00700FB4">
        <w:rPr>
          <w:rFonts w:ascii="Arial" w:hAnsi="Arial" w:cs="Arial"/>
          <w:sz w:val="20"/>
          <w:szCs w:val="20"/>
        </w:rPr>
        <w:t xml:space="preserve">virkni citu regulu </w:t>
      </w:r>
      <w:r w:rsidRPr="00700FB4">
        <w:rPr>
          <w:rFonts w:ascii="Arial" w:hAnsi="Arial" w:cs="Arial"/>
          <w:sz w:val="20"/>
          <w:szCs w:val="20"/>
        </w:rPr>
        <w:t>izveidota kontroles, inspekcijas un valstu iestāžu veiktas izpildes sistēma, lai nodrošinātu kopējās zivsaimniecības politikas noteikumu ievērošanu. Šīs kontr</w:t>
      </w:r>
      <w:r w:rsidR="0091579F" w:rsidRPr="00700FB4">
        <w:rPr>
          <w:rFonts w:ascii="Arial" w:hAnsi="Arial" w:cs="Arial"/>
          <w:sz w:val="20"/>
          <w:szCs w:val="20"/>
        </w:rPr>
        <w:t>oles sistēmas galvenie mērķi ir</w:t>
      </w:r>
      <w:r w:rsidRPr="00700FB4">
        <w:rPr>
          <w:rFonts w:ascii="Arial" w:hAnsi="Arial" w:cs="Arial"/>
          <w:sz w:val="20"/>
          <w:szCs w:val="20"/>
        </w:rPr>
        <w:t xml:space="preserve"> nodrošināt, lai tiktu nozvejots tikai atļautais </w:t>
      </w:r>
      <w:r w:rsidR="0091579F" w:rsidRPr="00700FB4">
        <w:rPr>
          <w:rFonts w:ascii="Arial" w:hAnsi="Arial" w:cs="Arial"/>
          <w:sz w:val="20"/>
          <w:szCs w:val="20"/>
        </w:rPr>
        <w:t>zivju daudzums,</w:t>
      </w:r>
      <w:r w:rsidRPr="00700FB4">
        <w:rPr>
          <w:rFonts w:ascii="Arial" w:hAnsi="Arial" w:cs="Arial"/>
          <w:sz w:val="20"/>
          <w:szCs w:val="20"/>
        </w:rPr>
        <w:t xml:space="preserve"> vākt nepieciešamos dat</w:t>
      </w:r>
      <w:r w:rsidR="0091579F" w:rsidRPr="00700FB4">
        <w:rPr>
          <w:rFonts w:ascii="Arial" w:hAnsi="Arial" w:cs="Arial"/>
          <w:sz w:val="20"/>
          <w:szCs w:val="20"/>
        </w:rPr>
        <w:t>us zvejas iespēju pārvaldīšanai,</w:t>
      </w:r>
      <w:r w:rsidRPr="00700FB4">
        <w:rPr>
          <w:rFonts w:ascii="Arial" w:hAnsi="Arial" w:cs="Arial"/>
          <w:sz w:val="20"/>
          <w:szCs w:val="20"/>
        </w:rPr>
        <w:t xml:space="preserve"> precizēt ES valstu un </w:t>
      </w:r>
      <w:r w:rsidR="00853A93" w:rsidRPr="00700FB4">
        <w:rPr>
          <w:rFonts w:ascii="Arial" w:hAnsi="Arial" w:cs="Arial"/>
          <w:sz w:val="20"/>
          <w:szCs w:val="20"/>
        </w:rPr>
        <w:t>K</w:t>
      </w:r>
      <w:r w:rsidR="0091579F" w:rsidRPr="00700FB4">
        <w:rPr>
          <w:rFonts w:ascii="Arial" w:hAnsi="Arial" w:cs="Arial"/>
          <w:sz w:val="20"/>
          <w:szCs w:val="20"/>
        </w:rPr>
        <w:t>omisijas uzdevumus,</w:t>
      </w:r>
      <w:r w:rsidRPr="00700FB4">
        <w:rPr>
          <w:rFonts w:ascii="Arial" w:hAnsi="Arial" w:cs="Arial"/>
          <w:sz w:val="20"/>
          <w:szCs w:val="20"/>
        </w:rPr>
        <w:t xml:space="preserve"> nodrošināt, lai noteikumi visiem zvejniekiem tiktu piemēroti vienādi u</w:t>
      </w:r>
      <w:r w:rsidR="0091579F" w:rsidRPr="00700FB4">
        <w:rPr>
          <w:rFonts w:ascii="Arial" w:hAnsi="Arial" w:cs="Arial"/>
          <w:sz w:val="20"/>
          <w:szCs w:val="20"/>
        </w:rPr>
        <w:t>n ar vienādām sankcijām visā ES,</w:t>
      </w:r>
      <w:r w:rsidRPr="00700FB4">
        <w:rPr>
          <w:rFonts w:ascii="Arial" w:hAnsi="Arial" w:cs="Arial"/>
          <w:sz w:val="20"/>
          <w:szCs w:val="20"/>
        </w:rPr>
        <w:t xml:space="preserve"> nodrošināt, lai zivsaimniecības produktus varētu izsekot un pārbaudīt visā piegādes ķēdē – no nozvejas brīža līdz nonāk</w:t>
      </w:r>
      <w:r w:rsidR="0091579F" w:rsidRPr="00700FB4">
        <w:rPr>
          <w:rFonts w:ascii="Arial" w:hAnsi="Arial" w:cs="Arial"/>
          <w:sz w:val="20"/>
          <w:szCs w:val="20"/>
        </w:rPr>
        <w:t>šanai uz galda. Tā attiecas uz visām zvejas darbībām ES ūdeņos,</w:t>
      </w:r>
      <w:r w:rsidRPr="00700FB4">
        <w:rPr>
          <w:rFonts w:ascii="Arial" w:hAnsi="Arial" w:cs="Arial"/>
          <w:sz w:val="20"/>
          <w:szCs w:val="20"/>
        </w:rPr>
        <w:t xml:space="preserve"> ES kuģu un ES iedzīvotāju zvejas darbībām ES u</w:t>
      </w:r>
      <w:r w:rsidR="0091579F" w:rsidRPr="00700FB4">
        <w:rPr>
          <w:rFonts w:ascii="Arial" w:hAnsi="Arial" w:cs="Arial"/>
          <w:sz w:val="20"/>
          <w:szCs w:val="20"/>
        </w:rPr>
        <w:t xml:space="preserve">n </w:t>
      </w:r>
      <w:proofErr w:type="spellStart"/>
      <w:r w:rsidR="0091579F" w:rsidRPr="00700FB4">
        <w:rPr>
          <w:rFonts w:ascii="Arial" w:hAnsi="Arial" w:cs="Arial"/>
          <w:sz w:val="20"/>
          <w:szCs w:val="20"/>
        </w:rPr>
        <w:t>ārpussavienības</w:t>
      </w:r>
      <w:proofErr w:type="spellEnd"/>
      <w:r w:rsidR="0091579F" w:rsidRPr="00700FB4">
        <w:rPr>
          <w:rFonts w:ascii="Arial" w:hAnsi="Arial" w:cs="Arial"/>
          <w:sz w:val="20"/>
          <w:szCs w:val="20"/>
        </w:rPr>
        <w:t xml:space="preserve"> valstu ūdeņos,</w:t>
      </w:r>
      <w:r w:rsidRPr="00700FB4">
        <w:rPr>
          <w:rFonts w:ascii="Arial" w:hAnsi="Arial" w:cs="Arial"/>
          <w:sz w:val="20"/>
          <w:szCs w:val="20"/>
        </w:rPr>
        <w:t xml:space="preserve"> zivsaimniecības produktu apstrād</w:t>
      </w:r>
      <w:r w:rsidR="0091579F" w:rsidRPr="00700FB4">
        <w:rPr>
          <w:rFonts w:ascii="Arial" w:hAnsi="Arial" w:cs="Arial"/>
          <w:sz w:val="20"/>
          <w:szCs w:val="20"/>
        </w:rPr>
        <w:t>i un tirdzniecību,</w:t>
      </w:r>
      <w:r w:rsidRPr="00700FB4">
        <w:rPr>
          <w:rFonts w:ascii="Arial" w:hAnsi="Arial" w:cs="Arial"/>
          <w:sz w:val="20"/>
          <w:szCs w:val="20"/>
        </w:rPr>
        <w:t xml:space="preserve"> atpūtas zveju, kas</w:t>
      </w:r>
      <w:r w:rsidR="0091579F" w:rsidRPr="00700FB4">
        <w:rPr>
          <w:rFonts w:ascii="Arial" w:hAnsi="Arial" w:cs="Arial"/>
          <w:sz w:val="20"/>
          <w:szCs w:val="20"/>
        </w:rPr>
        <w:t xml:space="preserve"> saistīta ar jutīgiem krājumiem,</w:t>
      </w:r>
      <w:r w:rsidRPr="00700FB4">
        <w:rPr>
          <w:rFonts w:ascii="Arial" w:hAnsi="Arial" w:cs="Arial"/>
          <w:sz w:val="20"/>
          <w:szCs w:val="20"/>
        </w:rPr>
        <w:t xml:space="preserve"> akvakultūras produktu izsekojamību.</w:t>
      </w:r>
    </w:p>
    <w:p w:rsidR="00663CB1" w:rsidRPr="00700FB4" w:rsidRDefault="00663CB1" w:rsidP="00663CB1">
      <w:pPr>
        <w:pStyle w:val="NoSpacing"/>
        <w:jc w:val="both"/>
        <w:rPr>
          <w:rFonts w:ascii="Arial" w:hAnsi="Arial" w:cs="Arial"/>
          <w:sz w:val="20"/>
          <w:szCs w:val="20"/>
        </w:rPr>
      </w:pPr>
    </w:p>
    <w:p w:rsidR="0014238E" w:rsidRPr="00700FB4" w:rsidRDefault="0014238E" w:rsidP="00663CB1">
      <w:pPr>
        <w:pStyle w:val="NoSpacing"/>
        <w:jc w:val="both"/>
        <w:rPr>
          <w:rFonts w:ascii="Arial" w:hAnsi="Arial" w:cs="Arial"/>
          <w:sz w:val="20"/>
          <w:szCs w:val="20"/>
        </w:rPr>
      </w:pPr>
      <w:r w:rsidRPr="00700FB4">
        <w:rPr>
          <w:rFonts w:ascii="Arial" w:hAnsi="Arial" w:cs="Arial"/>
          <w:sz w:val="20"/>
          <w:szCs w:val="20"/>
        </w:rPr>
        <w:t>Zveja ir rūpīgi jākontrolē, lai novērstu krājumu izsmelšanu un nodrošinātu nozares ekonomisko dzīvotspēju. ES mērķis ir līdz 2020.gadam nodrošināt ilgtspējīgu ilgtermiņa zvejas ieguves apjomu, ja iespējams, visiem krājumiem. To sauc par maksimālo i</w:t>
      </w:r>
      <w:r w:rsidR="00663CB1" w:rsidRPr="00700FB4">
        <w:rPr>
          <w:rFonts w:ascii="Arial" w:hAnsi="Arial" w:cs="Arial"/>
          <w:sz w:val="20"/>
          <w:szCs w:val="20"/>
        </w:rPr>
        <w:t>lgtspējīgas ieguves apjomu, proti,</w:t>
      </w:r>
      <w:r w:rsidRPr="00700FB4">
        <w:rPr>
          <w:rFonts w:ascii="Arial" w:hAnsi="Arial" w:cs="Arial"/>
          <w:sz w:val="20"/>
          <w:szCs w:val="20"/>
        </w:rPr>
        <w:t xml:space="preserve"> vislielākais ieguves apjoms (nozveja), ko var iegūt no noteiktas zivju sugas </w:t>
      </w:r>
      <w:r w:rsidR="00663CB1" w:rsidRPr="00700FB4">
        <w:rPr>
          <w:rFonts w:ascii="Arial" w:hAnsi="Arial" w:cs="Arial"/>
          <w:sz w:val="20"/>
          <w:szCs w:val="20"/>
        </w:rPr>
        <w:t>krājuma nenoteiktā periodā, proti</w:t>
      </w:r>
      <w:r w:rsidRPr="00700FB4">
        <w:rPr>
          <w:rFonts w:ascii="Arial" w:hAnsi="Arial" w:cs="Arial"/>
          <w:sz w:val="20"/>
          <w:szCs w:val="20"/>
        </w:rPr>
        <w:t>, neapdraudot tās</w:t>
      </w:r>
      <w:r w:rsidR="0091579F" w:rsidRPr="00700FB4">
        <w:rPr>
          <w:rFonts w:ascii="Arial" w:hAnsi="Arial" w:cs="Arial"/>
          <w:sz w:val="20"/>
          <w:szCs w:val="20"/>
        </w:rPr>
        <w:t xml:space="preserve"> izdzīvošanu. Katru gadu ES dalībvalstu</w:t>
      </w:r>
      <w:r w:rsidRPr="00700FB4">
        <w:rPr>
          <w:rFonts w:ascii="Arial" w:hAnsi="Arial" w:cs="Arial"/>
          <w:sz w:val="20"/>
          <w:szCs w:val="20"/>
        </w:rPr>
        <w:t xml:space="preserve"> valdības nosaka zivju zvejas kopējo apjomu. Ar</w:t>
      </w:r>
      <w:r w:rsidR="003626A2" w:rsidRPr="00700FB4">
        <w:rPr>
          <w:rFonts w:ascii="Arial" w:hAnsi="Arial" w:cs="Arial"/>
          <w:sz w:val="20"/>
          <w:szCs w:val="20"/>
        </w:rPr>
        <w:t xml:space="preserve"> </w:t>
      </w:r>
      <w:r w:rsidRPr="00700FB4">
        <w:rPr>
          <w:rFonts w:ascii="Arial" w:hAnsi="Arial" w:cs="Arial"/>
          <w:b/>
          <w:sz w:val="20"/>
          <w:szCs w:val="20"/>
        </w:rPr>
        <w:t>Regulu 2015/2072</w:t>
      </w:r>
      <w:r w:rsidRPr="00700FB4">
        <w:rPr>
          <w:rFonts w:ascii="Arial" w:hAnsi="Arial" w:cs="Arial"/>
          <w:sz w:val="20"/>
          <w:szCs w:val="20"/>
        </w:rPr>
        <w:t xml:space="preserve"> (2015.</w:t>
      </w:r>
      <w:r w:rsidR="0091579F" w:rsidRPr="00700FB4">
        <w:rPr>
          <w:rFonts w:ascii="Arial" w:hAnsi="Arial" w:cs="Arial"/>
          <w:sz w:val="20"/>
          <w:szCs w:val="20"/>
        </w:rPr>
        <w:t>gada 17.novembris), ar ko 2016.</w:t>
      </w:r>
      <w:r w:rsidRPr="00700FB4">
        <w:rPr>
          <w:rFonts w:ascii="Arial" w:hAnsi="Arial" w:cs="Arial"/>
          <w:sz w:val="20"/>
          <w:szCs w:val="20"/>
        </w:rPr>
        <w:t>gadam nosaka konkrētu zivju krājumu un zivju krājumu grupu zvejas iespējas, kuras piemērojamas Bal</w:t>
      </w:r>
      <w:r w:rsidR="0091579F" w:rsidRPr="00700FB4">
        <w:rPr>
          <w:rFonts w:ascii="Arial" w:hAnsi="Arial" w:cs="Arial"/>
          <w:sz w:val="20"/>
          <w:szCs w:val="20"/>
        </w:rPr>
        <w:t>tijas jūrā, un groza Regulu Nr. </w:t>
      </w:r>
      <w:r w:rsidRPr="00700FB4">
        <w:rPr>
          <w:rFonts w:ascii="Arial" w:hAnsi="Arial" w:cs="Arial"/>
          <w:sz w:val="20"/>
          <w:szCs w:val="20"/>
        </w:rPr>
        <w:t>1221/2014 un Regulu</w:t>
      </w:r>
      <w:r w:rsidR="002B530D" w:rsidRPr="00700FB4">
        <w:rPr>
          <w:rFonts w:ascii="Arial" w:hAnsi="Arial" w:cs="Arial"/>
          <w:sz w:val="20"/>
          <w:szCs w:val="20"/>
        </w:rPr>
        <w:t xml:space="preserve"> </w:t>
      </w:r>
      <w:r w:rsidR="0091579F" w:rsidRPr="00700FB4">
        <w:rPr>
          <w:rFonts w:ascii="Arial" w:hAnsi="Arial" w:cs="Arial"/>
          <w:sz w:val="20"/>
          <w:szCs w:val="20"/>
        </w:rPr>
        <w:t>Nr. </w:t>
      </w:r>
      <w:r w:rsidRPr="00700FB4">
        <w:rPr>
          <w:rFonts w:ascii="Arial" w:hAnsi="Arial" w:cs="Arial"/>
          <w:sz w:val="20"/>
          <w:szCs w:val="20"/>
        </w:rPr>
        <w:t>2015/104, nosaka kopējo pieļaujamo nozveju attiecībā uz katru sugu, ko ES kuģi var iegūt no dažādām zvejas vietām gan ES, gan ārpus tās. Kopējās pieļaujamās nozvejas pamatā ir vislabākie pieej</w:t>
      </w:r>
      <w:r w:rsidR="00FC2172" w:rsidRPr="00700FB4">
        <w:rPr>
          <w:rFonts w:ascii="Arial" w:hAnsi="Arial" w:cs="Arial"/>
          <w:sz w:val="20"/>
          <w:szCs w:val="20"/>
        </w:rPr>
        <w:t>ami zinātniskie pierādījumi. Regula</w:t>
      </w:r>
      <w:r w:rsidRPr="00700FB4">
        <w:rPr>
          <w:rFonts w:ascii="Arial" w:hAnsi="Arial" w:cs="Arial"/>
          <w:sz w:val="20"/>
          <w:szCs w:val="20"/>
        </w:rPr>
        <w:t xml:space="preserve"> atspoguļo ieteikumus bioloģijas jomā, zvejas nozares sociāli ekonomiskās vajadzības un principu, ka jānodrošina dažādo krājumu ilgtspējīgu izmantošanu saskaņā ar maksimālo ilgtspējīgas ieguves apjomu.</w:t>
      </w:r>
    </w:p>
    <w:p w:rsidR="00663CB1" w:rsidRPr="00700FB4" w:rsidRDefault="00663CB1" w:rsidP="00663CB1">
      <w:pPr>
        <w:pStyle w:val="NoSpacing"/>
        <w:jc w:val="both"/>
        <w:rPr>
          <w:rFonts w:ascii="Arial" w:hAnsi="Arial" w:cs="Arial"/>
          <w:sz w:val="20"/>
          <w:szCs w:val="20"/>
        </w:rPr>
      </w:pPr>
    </w:p>
    <w:p w:rsidR="00663CB1" w:rsidRPr="00700FB4" w:rsidRDefault="00663CB1" w:rsidP="00665269">
      <w:pPr>
        <w:pStyle w:val="Heading3"/>
      </w:pPr>
      <w:bookmarkStart w:id="13" w:name="_Toc460402329"/>
      <w:r w:rsidRPr="00700FB4">
        <w:t>[</w:t>
      </w:r>
      <w:r w:rsidR="005044BD" w:rsidRPr="00700FB4">
        <w:t>2.4</w:t>
      </w:r>
      <w:r w:rsidRPr="00700FB4">
        <w:t>.3] Kuģošana</w:t>
      </w:r>
      <w:bookmarkEnd w:id="13"/>
    </w:p>
    <w:p w:rsidR="0014238E" w:rsidRPr="00700FB4" w:rsidRDefault="0014238E" w:rsidP="00663CB1">
      <w:pPr>
        <w:pStyle w:val="NoSpacing"/>
        <w:jc w:val="both"/>
        <w:rPr>
          <w:rFonts w:ascii="Arial" w:hAnsi="Arial" w:cs="Arial"/>
          <w:sz w:val="20"/>
          <w:szCs w:val="20"/>
        </w:rPr>
      </w:pPr>
      <w:r w:rsidRPr="00700FB4">
        <w:rPr>
          <w:rFonts w:ascii="Arial" w:hAnsi="Arial" w:cs="Arial"/>
          <w:sz w:val="20"/>
          <w:szCs w:val="20"/>
        </w:rPr>
        <w:t>LESD 100.panta 2.punkts paredz, ka Parlaments un Padome saskaņā ar parasto likumdošanas procedūru var pieņemt attiecīgus noteikumus par jūras transportu un gaisa transportu.</w:t>
      </w:r>
    </w:p>
    <w:p w:rsidR="00663CB1" w:rsidRPr="00700FB4" w:rsidRDefault="00663CB1" w:rsidP="00663CB1">
      <w:pPr>
        <w:pStyle w:val="NoSpacing"/>
        <w:jc w:val="both"/>
        <w:rPr>
          <w:rFonts w:ascii="Arial" w:hAnsi="Arial" w:cs="Arial"/>
          <w:sz w:val="20"/>
          <w:szCs w:val="20"/>
        </w:rPr>
      </w:pPr>
    </w:p>
    <w:p w:rsidR="0014238E" w:rsidRPr="00700FB4" w:rsidRDefault="0014238E" w:rsidP="00663CB1">
      <w:pPr>
        <w:pStyle w:val="NoSpacing"/>
        <w:jc w:val="both"/>
        <w:rPr>
          <w:rFonts w:ascii="Arial" w:hAnsi="Arial" w:cs="Arial"/>
          <w:sz w:val="20"/>
          <w:szCs w:val="20"/>
        </w:rPr>
      </w:pPr>
      <w:r w:rsidRPr="00700FB4">
        <w:rPr>
          <w:rFonts w:ascii="Arial" w:hAnsi="Arial" w:cs="Arial"/>
          <w:sz w:val="20"/>
          <w:szCs w:val="20"/>
        </w:rPr>
        <w:t xml:space="preserve">Jūras transports ūdeņos ap ES ir intensīvs, tādēļ tika pieņemta </w:t>
      </w:r>
      <w:r w:rsidRPr="00700FB4">
        <w:rPr>
          <w:rFonts w:ascii="Arial" w:hAnsi="Arial" w:cs="Arial"/>
          <w:b/>
          <w:sz w:val="20"/>
          <w:szCs w:val="20"/>
        </w:rPr>
        <w:t>Direktīva 2002/59/EK</w:t>
      </w:r>
      <w:r w:rsidRPr="00700FB4">
        <w:rPr>
          <w:rFonts w:ascii="Arial" w:hAnsi="Arial" w:cs="Arial"/>
          <w:sz w:val="20"/>
          <w:szCs w:val="20"/>
        </w:rPr>
        <w:t xml:space="preserve"> (2002.gada 27.jūnijs), ar ko izveido Kopienas kuģu satiksmes uzraudzības un informācijas sistēmu un atceļ</w:t>
      </w:r>
      <w:r w:rsidR="00F90C25" w:rsidRPr="00700FB4">
        <w:rPr>
          <w:rFonts w:ascii="Arial" w:hAnsi="Arial" w:cs="Arial"/>
          <w:sz w:val="20"/>
          <w:szCs w:val="20"/>
        </w:rPr>
        <w:t xml:space="preserve"> </w:t>
      </w:r>
      <w:r w:rsidRPr="00700FB4">
        <w:rPr>
          <w:rFonts w:ascii="Arial" w:hAnsi="Arial" w:cs="Arial"/>
          <w:sz w:val="20"/>
          <w:szCs w:val="20"/>
        </w:rPr>
        <w:t>Direktīvu 93/75/EEK, ar ko izveido sistēmu Eiropas ūdeņu un krasta uzraudzībai jūras uzraudzības un situācijas apzināšanās jomā (kuģu atrašanās vietas), atbalstot ES valstis operatīvo uzdevumu veikšanā. Direktīvas mērķis ir uzlabot kuģošanas drošību, ostu un jūras satiksmes drošību, vides aizsardzību un sagatavotību piesārņojuma novēršanai. Tā arī ļauj apmainīties ar papildu informāciju, kuras mērķis ir veicināt efektīvu jūras satiksmi un jūras transportu.</w:t>
      </w:r>
    </w:p>
    <w:p w:rsidR="00663CB1" w:rsidRPr="00700FB4" w:rsidRDefault="00663CB1" w:rsidP="00663CB1">
      <w:pPr>
        <w:pStyle w:val="NoSpacing"/>
        <w:jc w:val="both"/>
        <w:rPr>
          <w:rFonts w:ascii="Arial" w:hAnsi="Arial" w:cs="Arial"/>
          <w:sz w:val="20"/>
          <w:szCs w:val="20"/>
        </w:rPr>
      </w:pPr>
    </w:p>
    <w:p w:rsidR="0014238E" w:rsidRPr="00700FB4" w:rsidRDefault="0014238E" w:rsidP="00663CB1">
      <w:pPr>
        <w:pStyle w:val="NoSpacing"/>
        <w:jc w:val="both"/>
        <w:rPr>
          <w:rFonts w:ascii="Arial" w:hAnsi="Arial" w:cs="Arial"/>
          <w:sz w:val="20"/>
          <w:szCs w:val="20"/>
        </w:rPr>
      </w:pPr>
      <w:r w:rsidRPr="00700FB4">
        <w:rPr>
          <w:rFonts w:ascii="Arial" w:hAnsi="Arial" w:cs="Arial"/>
          <w:sz w:val="20"/>
          <w:szCs w:val="20"/>
        </w:rPr>
        <w:t xml:space="preserve">Lai uzlabotu situācijas apzināšanos kuģošanas jomā un nodrošinātu iestādēm individuāli izstrādātus risinājumus, šis tiesību akts tika grozīts ar </w:t>
      </w:r>
      <w:r w:rsidRPr="00700FB4">
        <w:rPr>
          <w:rFonts w:ascii="Arial" w:hAnsi="Arial" w:cs="Arial"/>
          <w:b/>
          <w:sz w:val="20"/>
          <w:szCs w:val="20"/>
        </w:rPr>
        <w:t>Direktīvu 2014/100/ES</w:t>
      </w:r>
      <w:r w:rsidRPr="00700FB4">
        <w:rPr>
          <w:rFonts w:ascii="Arial" w:hAnsi="Arial" w:cs="Arial"/>
          <w:sz w:val="20"/>
          <w:szCs w:val="20"/>
        </w:rPr>
        <w:t xml:space="preserve"> (2014.gada 28.oktobris), ar kuru groza Direktīvu 2002/59/EK, ar ko izveido Kopienas kuģu satiksmes uzraudzības un informācijas sistēmu. Tā ļauj integrēt informāciju, kas uzkrāta un pārsūtīta, izmantojot ES kuģošanas informācijas un apmaiņas sistēmu (</w:t>
      </w:r>
      <w:proofErr w:type="spellStart"/>
      <w:r w:rsidRPr="00700FB4">
        <w:rPr>
          <w:rFonts w:ascii="Arial" w:hAnsi="Arial" w:cs="Arial"/>
          <w:i/>
          <w:sz w:val="20"/>
          <w:szCs w:val="20"/>
        </w:rPr>
        <w:t>SafeSeaNet</w:t>
      </w:r>
      <w:proofErr w:type="spellEnd"/>
      <w:r w:rsidRPr="00700FB4">
        <w:rPr>
          <w:rFonts w:ascii="Arial" w:hAnsi="Arial" w:cs="Arial"/>
          <w:sz w:val="20"/>
          <w:szCs w:val="20"/>
        </w:rPr>
        <w:t xml:space="preserve">) un datus no citām ES uzraudzības un izsekošanas sistēmām, piemēram, </w:t>
      </w:r>
      <w:proofErr w:type="spellStart"/>
      <w:r w:rsidRPr="00700FB4">
        <w:rPr>
          <w:rFonts w:ascii="Arial" w:hAnsi="Arial" w:cs="Arial"/>
          <w:i/>
          <w:sz w:val="20"/>
          <w:szCs w:val="20"/>
        </w:rPr>
        <w:t>CleanSeaNet</w:t>
      </w:r>
      <w:proofErr w:type="spellEnd"/>
      <w:r w:rsidRPr="00700FB4">
        <w:rPr>
          <w:rFonts w:ascii="Arial" w:hAnsi="Arial" w:cs="Arial"/>
          <w:sz w:val="20"/>
          <w:szCs w:val="20"/>
        </w:rPr>
        <w:t>, kā arī no ārējām sistēmām (piemēram, satelītu automātiskās identifi</w:t>
      </w:r>
      <w:r w:rsidR="00663CB1" w:rsidRPr="00700FB4">
        <w:rPr>
          <w:rFonts w:ascii="Arial" w:hAnsi="Arial" w:cs="Arial"/>
          <w:sz w:val="20"/>
          <w:szCs w:val="20"/>
        </w:rPr>
        <w:t>kācijas sistēmām AIS). Visām ES/Eiropas ekonomiskās zonas</w:t>
      </w:r>
      <w:r w:rsidRPr="00700FB4">
        <w:rPr>
          <w:rFonts w:ascii="Arial" w:hAnsi="Arial" w:cs="Arial"/>
          <w:sz w:val="20"/>
          <w:szCs w:val="20"/>
        </w:rPr>
        <w:t xml:space="preserve"> valstīm jāizstrādā plāni par tādu kuģu uzņemšanu, kam nepieciešams atbalsts patvēruma vietās.</w:t>
      </w:r>
    </w:p>
    <w:p w:rsidR="00663CB1" w:rsidRPr="00700FB4" w:rsidRDefault="00663CB1" w:rsidP="00663CB1">
      <w:pPr>
        <w:pStyle w:val="NoSpacing"/>
        <w:jc w:val="both"/>
        <w:rPr>
          <w:rFonts w:ascii="Arial" w:hAnsi="Arial" w:cs="Arial"/>
          <w:sz w:val="20"/>
          <w:szCs w:val="20"/>
        </w:rPr>
      </w:pPr>
    </w:p>
    <w:p w:rsidR="0014238E" w:rsidRPr="00700FB4" w:rsidRDefault="0014238E" w:rsidP="00663CB1">
      <w:pPr>
        <w:pStyle w:val="NoSpacing"/>
        <w:jc w:val="both"/>
        <w:rPr>
          <w:rFonts w:ascii="Arial" w:hAnsi="Arial" w:cs="Arial"/>
          <w:sz w:val="20"/>
          <w:szCs w:val="20"/>
        </w:rPr>
      </w:pPr>
      <w:r w:rsidRPr="00700FB4">
        <w:rPr>
          <w:rFonts w:ascii="Arial" w:hAnsi="Arial" w:cs="Arial"/>
          <w:sz w:val="20"/>
          <w:szCs w:val="20"/>
        </w:rPr>
        <w:t xml:space="preserve">Tāpat 2009.gadā tika pieņemta </w:t>
      </w:r>
      <w:r w:rsidRPr="00700FB4">
        <w:rPr>
          <w:rFonts w:ascii="Arial" w:hAnsi="Arial" w:cs="Arial"/>
          <w:b/>
          <w:sz w:val="20"/>
          <w:szCs w:val="20"/>
        </w:rPr>
        <w:t>Direktīva 2009/18/EK</w:t>
      </w:r>
      <w:r w:rsidRPr="00700FB4">
        <w:rPr>
          <w:rFonts w:ascii="Arial" w:hAnsi="Arial" w:cs="Arial"/>
          <w:sz w:val="20"/>
          <w:szCs w:val="20"/>
        </w:rPr>
        <w:t xml:space="preserve"> (2009.gada 23.aprīlis), ar ko nosaka pamatprincipus negadījumu izmeklēšanai jūras transporta nozarē un groza Direktīvu 1999/35/EK un Direktīvu 2002/59/EK, kuras mērķis ir uzlabot kuģošanas drošību un novērst </w:t>
      </w:r>
      <w:r w:rsidRPr="00700FB4">
        <w:rPr>
          <w:rFonts w:ascii="Arial" w:hAnsi="Arial" w:cs="Arial"/>
          <w:sz w:val="20"/>
          <w:szCs w:val="20"/>
        </w:rPr>
        <w:lastRenderedPageBreak/>
        <w:t>kuģu izraisītu piesārņojumu, tādējādi samazinot turpmāku jūras negadījumu risku, veicinot to, ka veic jūras negadījumu un starpgadījumu ātru drošības izmeklēšanu un pienācīgu analīzi, lai noteiktu to cēloņus; un laikus iesniedzot precīzus drošības izmeklēšanas ziņojumus un piedāvājot korektīvus pasākumus.</w:t>
      </w:r>
    </w:p>
    <w:p w:rsidR="00663CB1" w:rsidRPr="00700FB4" w:rsidRDefault="00663CB1" w:rsidP="00663CB1">
      <w:pPr>
        <w:pStyle w:val="NoSpacing"/>
        <w:jc w:val="both"/>
        <w:rPr>
          <w:rFonts w:ascii="Arial" w:hAnsi="Arial" w:cs="Arial"/>
          <w:sz w:val="20"/>
          <w:szCs w:val="20"/>
        </w:rPr>
      </w:pPr>
    </w:p>
    <w:p w:rsidR="0014238E" w:rsidRPr="00700FB4" w:rsidRDefault="0014238E" w:rsidP="00663CB1">
      <w:pPr>
        <w:pStyle w:val="NoSpacing"/>
        <w:jc w:val="both"/>
        <w:rPr>
          <w:rFonts w:ascii="Arial" w:hAnsi="Arial" w:cs="Arial"/>
          <w:sz w:val="20"/>
          <w:szCs w:val="20"/>
        </w:rPr>
      </w:pPr>
      <w:r w:rsidRPr="00700FB4">
        <w:rPr>
          <w:rFonts w:ascii="Arial" w:hAnsi="Arial" w:cs="Arial"/>
          <w:sz w:val="20"/>
          <w:szCs w:val="20"/>
        </w:rPr>
        <w:t>Jūras plānojuma kontekstā svarīgi ir ņemt vērā starptautiskās un ES vienošanās par kuģošanas ceļiem un to pārvaldību, un kuģu kustību, kas notiek ārpus tiem.</w:t>
      </w:r>
    </w:p>
    <w:p w:rsidR="00663CB1" w:rsidRPr="00700FB4" w:rsidRDefault="00663CB1" w:rsidP="00663CB1">
      <w:pPr>
        <w:pStyle w:val="NoSpacing"/>
        <w:jc w:val="both"/>
        <w:rPr>
          <w:rFonts w:ascii="Arial" w:hAnsi="Arial" w:cs="Arial"/>
          <w:sz w:val="20"/>
          <w:szCs w:val="20"/>
        </w:rPr>
      </w:pPr>
    </w:p>
    <w:p w:rsidR="0091579F" w:rsidRPr="00700FB4" w:rsidRDefault="0014238E" w:rsidP="00663CB1">
      <w:pPr>
        <w:pStyle w:val="NoSpacing"/>
        <w:jc w:val="both"/>
        <w:rPr>
          <w:rFonts w:ascii="Arial" w:hAnsi="Arial" w:cs="Arial"/>
          <w:sz w:val="20"/>
          <w:szCs w:val="20"/>
        </w:rPr>
      </w:pPr>
      <w:r w:rsidRPr="00700FB4">
        <w:rPr>
          <w:rFonts w:ascii="Arial" w:hAnsi="Arial" w:cs="Arial"/>
          <w:b/>
          <w:sz w:val="20"/>
          <w:szCs w:val="20"/>
        </w:rPr>
        <w:t>Regula Nr. 391/2009</w:t>
      </w:r>
      <w:r w:rsidRPr="00700FB4">
        <w:rPr>
          <w:rFonts w:ascii="Arial" w:hAnsi="Arial" w:cs="Arial"/>
          <w:sz w:val="20"/>
          <w:szCs w:val="20"/>
        </w:rPr>
        <w:t xml:space="preserve"> (2009.gada 23.aprīlis) par kopīgiem noteikumiem un standartiem attiecībā uz organizācijām, kas pilnvarotas veikt kuģu inspekcijas un apskates, izveido licencēšanas (atzīšanas) sistēmu, kurā jāievēro virkne kritēriju un pienākumu, lai nodrošinātu, ka atzītas organizācijas vienādi stingri attiecas pret visiem to reģistros iekļautajiem kuģiem neatkarīgi no to karoga valsts. </w:t>
      </w:r>
    </w:p>
    <w:p w:rsidR="0091579F" w:rsidRPr="00700FB4" w:rsidRDefault="0091579F" w:rsidP="00663CB1">
      <w:pPr>
        <w:pStyle w:val="NoSpacing"/>
        <w:jc w:val="both"/>
        <w:rPr>
          <w:rFonts w:ascii="Arial" w:hAnsi="Arial" w:cs="Arial"/>
          <w:sz w:val="20"/>
          <w:szCs w:val="20"/>
        </w:rPr>
      </w:pPr>
    </w:p>
    <w:p w:rsidR="0014238E" w:rsidRPr="00700FB4" w:rsidRDefault="0014238E" w:rsidP="00663CB1">
      <w:pPr>
        <w:pStyle w:val="NoSpacing"/>
        <w:jc w:val="both"/>
        <w:rPr>
          <w:rFonts w:ascii="Arial" w:hAnsi="Arial" w:cs="Arial"/>
          <w:sz w:val="20"/>
          <w:szCs w:val="20"/>
        </w:rPr>
      </w:pPr>
      <w:r w:rsidRPr="00700FB4">
        <w:rPr>
          <w:rFonts w:ascii="Arial" w:hAnsi="Arial" w:cs="Arial"/>
          <w:b/>
          <w:sz w:val="20"/>
          <w:szCs w:val="20"/>
        </w:rPr>
        <w:t xml:space="preserve">Direktīva 2009/15/EK </w:t>
      </w:r>
      <w:r w:rsidRPr="00700FB4">
        <w:rPr>
          <w:rFonts w:ascii="Arial" w:hAnsi="Arial" w:cs="Arial"/>
          <w:sz w:val="20"/>
          <w:szCs w:val="20"/>
        </w:rPr>
        <w:t>(2009.gada 23.aprīlis) par kopīgiem noteikumiem un standartiem attiecībā uz organizācijām, kas pilnvarotas veikt kuģu inspekcijas un apskates, un attiecīgajām darbībām, kuras veic valsts administrācijas jūras lietu jomā, tika pieņemta vienlaikus ar Regulu Nr.391/2009, un tā reglamentē attiecības starp ES valstīm un atzītajām organizācijām.</w:t>
      </w:r>
    </w:p>
    <w:p w:rsidR="00663CB1" w:rsidRPr="00700FB4" w:rsidRDefault="00663CB1" w:rsidP="00663CB1">
      <w:pPr>
        <w:pStyle w:val="NoSpacing"/>
        <w:jc w:val="both"/>
        <w:rPr>
          <w:rFonts w:ascii="Arial" w:hAnsi="Arial" w:cs="Arial"/>
          <w:sz w:val="20"/>
          <w:szCs w:val="20"/>
        </w:rPr>
      </w:pPr>
    </w:p>
    <w:p w:rsidR="0014238E" w:rsidRPr="00700FB4" w:rsidRDefault="0014238E" w:rsidP="00663CB1">
      <w:pPr>
        <w:pStyle w:val="NoSpacing"/>
        <w:jc w:val="both"/>
        <w:rPr>
          <w:rFonts w:ascii="Arial" w:hAnsi="Arial" w:cs="Arial"/>
          <w:sz w:val="20"/>
          <w:szCs w:val="20"/>
        </w:rPr>
      </w:pPr>
      <w:r w:rsidRPr="00700FB4">
        <w:rPr>
          <w:rFonts w:ascii="Arial" w:hAnsi="Arial" w:cs="Arial"/>
          <w:sz w:val="20"/>
          <w:szCs w:val="20"/>
        </w:rPr>
        <w:t xml:space="preserve">Standartiem neatbilstīgi kuģi ir bīstami, rada piesārņojumu, un uz tiem ir neveselīgi dzīves un darba apstākļi, savukārt stingra kontrole nodrošina to, ka visi kuģi ES, Islandes un Norvēģijas ūdeņos atbilst esošajiem drošības standartiem. Tādēļ pieņemta Direktīva </w:t>
      </w:r>
      <w:r w:rsidRPr="00700FB4">
        <w:rPr>
          <w:rFonts w:ascii="Arial" w:hAnsi="Arial" w:cs="Arial"/>
          <w:b/>
          <w:sz w:val="20"/>
          <w:szCs w:val="20"/>
        </w:rPr>
        <w:t>2009/16/EK</w:t>
      </w:r>
      <w:r w:rsidRPr="00700FB4">
        <w:rPr>
          <w:rFonts w:ascii="Arial" w:hAnsi="Arial" w:cs="Arial"/>
          <w:sz w:val="20"/>
          <w:szCs w:val="20"/>
        </w:rPr>
        <w:t xml:space="preserve"> (2009.gada 23.aprīlis) par ostas valsts kontroli, kas palīdz samazināt standartiem neatbilstīgu kuģu skaitu ES ūdeņos. To panāk, pārliecinoties, ka kuģi atbilst ES un starptautiskajiem kuģošanas drošības un vides aizsardzības noteikumiem, un ieviešot vienotus kuģu inspekciju kritērijus. Direktīva lielā mērā ir balstīta uz </w:t>
      </w:r>
      <w:r w:rsidRPr="00700FB4">
        <w:rPr>
          <w:rFonts w:ascii="Arial" w:hAnsi="Arial" w:cs="Arial"/>
          <w:b/>
          <w:sz w:val="20"/>
          <w:szCs w:val="20"/>
        </w:rPr>
        <w:t>Parīzes saprašanās memoranda struktūru</w:t>
      </w:r>
      <w:r w:rsidRPr="00700FB4">
        <w:rPr>
          <w:rFonts w:ascii="Arial" w:hAnsi="Arial" w:cs="Arial"/>
          <w:sz w:val="20"/>
          <w:szCs w:val="20"/>
        </w:rPr>
        <w:t>.</w:t>
      </w:r>
    </w:p>
    <w:p w:rsidR="00663CB1" w:rsidRPr="00700FB4" w:rsidRDefault="00663CB1" w:rsidP="00663CB1">
      <w:pPr>
        <w:pStyle w:val="NoSpacing"/>
        <w:jc w:val="both"/>
        <w:rPr>
          <w:rFonts w:ascii="Arial" w:hAnsi="Arial" w:cs="Arial"/>
          <w:sz w:val="20"/>
          <w:szCs w:val="20"/>
        </w:rPr>
      </w:pPr>
    </w:p>
    <w:p w:rsidR="0014238E" w:rsidRPr="00700FB4" w:rsidRDefault="005044BD" w:rsidP="00665269">
      <w:pPr>
        <w:pStyle w:val="Heading3"/>
      </w:pPr>
      <w:bookmarkStart w:id="14" w:name="_Toc460402330"/>
      <w:r w:rsidRPr="00700FB4">
        <w:t>[2.4</w:t>
      </w:r>
      <w:r w:rsidR="007F7377" w:rsidRPr="00700FB4">
        <w:t xml:space="preserve">.4] </w:t>
      </w:r>
      <w:bookmarkStart w:id="15" w:name="_Toc456031656"/>
      <w:r w:rsidR="007F7377" w:rsidRPr="00700FB4">
        <w:t>E</w:t>
      </w:r>
      <w:r w:rsidR="0014238E" w:rsidRPr="00700FB4">
        <w:t>nerģētika</w:t>
      </w:r>
      <w:bookmarkEnd w:id="14"/>
      <w:bookmarkEnd w:id="15"/>
    </w:p>
    <w:p w:rsidR="0014238E" w:rsidRPr="00700FB4" w:rsidRDefault="0014238E" w:rsidP="007F7377">
      <w:pPr>
        <w:pStyle w:val="NoSpacing"/>
        <w:jc w:val="both"/>
        <w:rPr>
          <w:rFonts w:ascii="Arial" w:hAnsi="Arial" w:cs="Arial"/>
          <w:sz w:val="20"/>
          <w:szCs w:val="20"/>
        </w:rPr>
      </w:pPr>
      <w:r w:rsidRPr="00700FB4">
        <w:rPr>
          <w:rFonts w:ascii="Arial" w:hAnsi="Arial" w:cs="Arial"/>
          <w:sz w:val="20"/>
          <w:szCs w:val="20"/>
        </w:rPr>
        <w:t>LESD 194.pants veido konkrētu tiesisko pamatu enerģētikas jomā, pamatojoties uz ES un tās dalībvalstu dalītu kompetenci. Ņemot vērā arvien izteiktākās klimata pārmaiņas un augošo atkarību no energoresursiem, ES ir apņēmusies kļūt par energoefektīvu ekonomiku, kurā patērētā enerģija ir droša, konkurētspējīga, uz vietas ražota un ilgtspējīga. Enerģētikas politika ne vien nodrošina, ka ES enerģētikas tirgus darbojas efektīvi, bet arī veicina energotīklu savienošanu un energoefektivitāti. Tā ietver visus enerģijas avotus, sākot no fosilā kurināmā un atomenerģijas un beidzot ar atjaunojamiem resursiem (saules, vēja, biomasas, ģeotermālā, hidroelektriskā un plūdmaiņu enerģija).</w:t>
      </w:r>
    </w:p>
    <w:p w:rsidR="007F7377" w:rsidRPr="00700FB4" w:rsidRDefault="007F7377" w:rsidP="007F7377">
      <w:pPr>
        <w:pStyle w:val="NoSpacing"/>
        <w:jc w:val="both"/>
        <w:rPr>
          <w:rFonts w:ascii="Arial" w:hAnsi="Arial" w:cs="Arial"/>
          <w:sz w:val="20"/>
          <w:szCs w:val="20"/>
        </w:rPr>
      </w:pPr>
    </w:p>
    <w:p w:rsidR="007F7377" w:rsidRPr="00700FB4" w:rsidRDefault="0014238E" w:rsidP="007F7377">
      <w:pPr>
        <w:pStyle w:val="NoSpacing"/>
        <w:jc w:val="both"/>
        <w:rPr>
          <w:rFonts w:ascii="Arial" w:hAnsi="Arial" w:cs="Arial"/>
          <w:sz w:val="20"/>
          <w:szCs w:val="20"/>
        </w:rPr>
      </w:pPr>
      <w:r w:rsidRPr="00700FB4">
        <w:rPr>
          <w:rFonts w:ascii="Arial" w:hAnsi="Arial" w:cs="Arial"/>
          <w:sz w:val="20"/>
          <w:szCs w:val="20"/>
        </w:rPr>
        <w:t xml:space="preserve">Enerģijas patēriņa kontrole un pieaugoša atjaunojamo energoresursu avotu izmantošana ir nozīmīgi cīņā pret klimata pārmaiņām. Tādēļ ar </w:t>
      </w:r>
      <w:r w:rsidRPr="00700FB4">
        <w:rPr>
          <w:rFonts w:ascii="Arial" w:hAnsi="Arial" w:cs="Arial"/>
          <w:b/>
          <w:sz w:val="20"/>
          <w:szCs w:val="20"/>
        </w:rPr>
        <w:t>Direktīvu 2009/28/EK</w:t>
      </w:r>
      <w:r w:rsidRPr="00700FB4">
        <w:rPr>
          <w:rFonts w:ascii="Arial" w:hAnsi="Arial" w:cs="Arial"/>
          <w:sz w:val="20"/>
          <w:szCs w:val="20"/>
        </w:rPr>
        <w:t xml:space="preserve"> (2009.gada 23.aprīlis) par atjaunojamo energoresursu izmantošanas veicināšanu</w:t>
      </w:r>
      <w:r w:rsidR="00FC2172" w:rsidRPr="00700FB4">
        <w:rPr>
          <w:rFonts w:ascii="Arial" w:hAnsi="Arial" w:cs="Arial"/>
          <w:sz w:val="20"/>
          <w:szCs w:val="20"/>
        </w:rPr>
        <w:t>,</w:t>
      </w:r>
      <w:r w:rsidRPr="00700FB4">
        <w:rPr>
          <w:rFonts w:ascii="Arial" w:hAnsi="Arial" w:cs="Arial"/>
          <w:sz w:val="20"/>
          <w:szCs w:val="20"/>
        </w:rPr>
        <w:t xml:space="preserve"> ar ko groza un sekojoši atceļ Direktīvas 2001/77/EK un 2003/30/EK ES</w:t>
      </w:r>
      <w:r w:rsidR="00FC2172" w:rsidRPr="00700FB4">
        <w:rPr>
          <w:rFonts w:ascii="Arial" w:hAnsi="Arial" w:cs="Arial"/>
          <w:sz w:val="20"/>
          <w:szCs w:val="20"/>
        </w:rPr>
        <w:t>,</w:t>
      </w:r>
      <w:r w:rsidRPr="00700FB4">
        <w:rPr>
          <w:rFonts w:ascii="Arial" w:hAnsi="Arial" w:cs="Arial"/>
          <w:sz w:val="20"/>
          <w:szCs w:val="20"/>
        </w:rPr>
        <w:t xml:space="preserve"> izveido kopējus noteikumus atjaunojamās enerģijas ražošanai no nefosiliem energoresursiem, piemēram, vēja, saules, ģeotermālās enerģijas, hidroenerģijas, biomasas enerģijas un notekūdeņu attīrīšanas iekārtu gāzes un tās izmantošanas veicināšanai. Direktīvā ir nospraus</w:t>
      </w:r>
      <w:r w:rsidR="00FC2172" w:rsidRPr="00700FB4">
        <w:rPr>
          <w:rFonts w:ascii="Arial" w:hAnsi="Arial" w:cs="Arial"/>
          <w:sz w:val="20"/>
          <w:szCs w:val="20"/>
        </w:rPr>
        <w:t>ts mērķis 2020.gadā izmantot 20 procentus</w:t>
      </w:r>
      <w:r w:rsidRPr="00700FB4">
        <w:rPr>
          <w:rFonts w:ascii="Arial" w:hAnsi="Arial" w:cs="Arial"/>
          <w:sz w:val="20"/>
          <w:szCs w:val="20"/>
        </w:rPr>
        <w:t xml:space="preserve"> enerģijas no atjaunojamiem enerģijas avotiem</w:t>
      </w:r>
      <w:r w:rsidR="002D416B" w:rsidRPr="00700FB4">
        <w:rPr>
          <w:rFonts w:ascii="Arial" w:hAnsi="Arial" w:cs="Arial"/>
          <w:sz w:val="20"/>
          <w:szCs w:val="20"/>
        </w:rPr>
        <w:t>, un tajā</w:t>
      </w:r>
      <w:r w:rsidR="008C0F87" w:rsidRPr="00700FB4">
        <w:rPr>
          <w:rFonts w:ascii="Arial" w:hAnsi="Arial" w:cs="Arial"/>
          <w:sz w:val="20"/>
          <w:szCs w:val="20"/>
        </w:rPr>
        <w:t xml:space="preserve"> </w:t>
      </w:r>
      <w:r w:rsidRPr="00700FB4">
        <w:rPr>
          <w:rFonts w:ascii="Arial" w:hAnsi="Arial" w:cs="Arial"/>
          <w:sz w:val="20"/>
          <w:szCs w:val="20"/>
        </w:rPr>
        <w:t>noteikts, ka būtu jāņem vērā okeānu un citu ūdenstilpju enerģija, kas izpaužas kā viļņi, jūras straumes, plūdmaiņas, okeāna siltumenerģijas gradienti vai sāļuma gradienti.</w:t>
      </w:r>
    </w:p>
    <w:p w:rsidR="00CD1686" w:rsidRPr="00700FB4" w:rsidRDefault="00CD1686" w:rsidP="007F7377">
      <w:pPr>
        <w:pStyle w:val="NoSpacing"/>
        <w:jc w:val="both"/>
        <w:rPr>
          <w:rFonts w:ascii="Arial" w:hAnsi="Arial" w:cs="Arial"/>
          <w:sz w:val="20"/>
          <w:szCs w:val="20"/>
        </w:rPr>
      </w:pPr>
    </w:p>
    <w:p w:rsidR="0014238E" w:rsidRPr="00700FB4" w:rsidRDefault="0014238E" w:rsidP="007F7377">
      <w:pPr>
        <w:pStyle w:val="NoSpacing"/>
        <w:jc w:val="both"/>
        <w:rPr>
          <w:rFonts w:ascii="Arial" w:hAnsi="Arial" w:cs="Arial"/>
          <w:sz w:val="20"/>
          <w:szCs w:val="20"/>
        </w:rPr>
      </w:pPr>
      <w:r w:rsidRPr="00700FB4">
        <w:rPr>
          <w:rFonts w:ascii="Arial" w:hAnsi="Arial" w:cs="Arial"/>
          <w:sz w:val="20"/>
          <w:szCs w:val="20"/>
        </w:rPr>
        <w:t>Jūras atjaunojamās enerģijas avoti, it īpaši – jūras vēja avoti, dos nozīmīgu ieguldījumu mērķa sasniegšanā. Jūras vēja ģeneratoru parkiem un citiem atjaunojamās enerģijas avotiem jābūt savienotiem ar sauszemes tīklu.</w:t>
      </w:r>
    </w:p>
    <w:p w:rsidR="007F7377" w:rsidRPr="00700FB4" w:rsidRDefault="007F7377" w:rsidP="007F7377">
      <w:pPr>
        <w:pStyle w:val="NoSpacing"/>
        <w:jc w:val="both"/>
        <w:rPr>
          <w:rFonts w:ascii="Arial" w:hAnsi="Arial" w:cs="Arial"/>
          <w:sz w:val="20"/>
          <w:szCs w:val="20"/>
        </w:rPr>
      </w:pPr>
    </w:p>
    <w:p w:rsidR="0014238E" w:rsidRPr="00700FB4" w:rsidRDefault="0014238E" w:rsidP="007F7377">
      <w:pPr>
        <w:pStyle w:val="NoSpacing"/>
        <w:jc w:val="both"/>
        <w:rPr>
          <w:rFonts w:ascii="Arial" w:hAnsi="Arial" w:cs="Arial"/>
          <w:sz w:val="20"/>
          <w:szCs w:val="20"/>
        </w:rPr>
      </w:pPr>
      <w:r w:rsidRPr="00700FB4">
        <w:rPr>
          <w:rFonts w:ascii="Arial" w:hAnsi="Arial" w:cs="Arial"/>
          <w:sz w:val="20"/>
          <w:szCs w:val="20"/>
        </w:rPr>
        <w:t xml:space="preserve">Saskaņā ar 2014.gada aplēsēm trīs izplatītākie atjaunojamo energoresursu veidi ES bija biomasa (47%), hidroenerģija (17%) un vēja enerģija (11%). Taču, kā secināts Komisijas ziņojumā Parlamentam, Padomei, Eiropas Ekonomikas un sociālo lietu komitejai un Reģionu komitejai </w:t>
      </w:r>
      <w:r w:rsidRPr="00700FB4">
        <w:rPr>
          <w:rFonts w:ascii="Arial" w:hAnsi="Arial" w:cs="Arial"/>
          <w:b/>
          <w:sz w:val="20"/>
          <w:szCs w:val="20"/>
        </w:rPr>
        <w:t>“Progresa ziņojums par atjaunojamo enerģiju”</w:t>
      </w:r>
      <w:r w:rsidR="008C0F87" w:rsidRPr="00700FB4">
        <w:rPr>
          <w:rFonts w:ascii="Arial" w:hAnsi="Arial" w:cs="Arial"/>
          <w:sz w:val="20"/>
          <w:szCs w:val="20"/>
        </w:rPr>
        <w:t>,</w:t>
      </w:r>
      <w:r w:rsidR="00CD1686" w:rsidRPr="00700FB4">
        <w:rPr>
          <w:rStyle w:val="FootnoteReference"/>
          <w:rFonts w:ascii="Arial" w:hAnsi="Arial" w:cs="Arial"/>
          <w:sz w:val="20"/>
          <w:szCs w:val="20"/>
        </w:rPr>
        <w:footnoteReference w:id="41"/>
      </w:r>
      <w:r w:rsidRPr="00700FB4">
        <w:rPr>
          <w:rFonts w:ascii="Arial" w:hAnsi="Arial" w:cs="Arial"/>
          <w:sz w:val="20"/>
          <w:szCs w:val="20"/>
        </w:rPr>
        <w:t xml:space="preserve"> atšķirība starp plānotajiem un faktiski gaidāmajiem izmantošanas rādītājiem vislielākā ir saules enerģijas koncentrēšanas un jūras tehnoloģiju jomā, jo šīm tehnoloģijām joprojām ir ļoti grūti ienākt tirgū un faktiskie tehnoloģiju izmantošanas rādītāji atpaliek no valstu rīcības plānos atjaunojamo energoresursu jomā norādītajiem rādītājiem. </w:t>
      </w:r>
      <w:r w:rsidR="008C0F87" w:rsidRPr="00700FB4">
        <w:rPr>
          <w:rFonts w:ascii="Arial" w:hAnsi="Arial" w:cs="Arial"/>
          <w:sz w:val="20"/>
          <w:szCs w:val="20"/>
        </w:rPr>
        <w:t>L</w:t>
      </w:r>
      <w:r w:rsidRPr="00700FB4">
        <w:rPr>
          <w:rFonts w:ascii="Arial" w:hAnsi="Arial" w:cs="Arial"/>
          <w:sz w:val="20"/>
          <w:szCs w:val="20"/>
        </w:rPr>
        <w:t xml:space="preserve">īdz 2020.gadam ir vajadzīgi būtiski centieni, lai turpinātu rentablāko tehnoloģiju izmantošanu. </w:t>
      </w:r>
    </w:p>
    <w:p w:rsidR="007F7377" w:rsidRPr="00700FB4" w:rsidRDefault="007F7377" w:rsidP="007F7377">
      <w:pPr>
        <w:pStyle w:val="NoSpacing"/>
        <w:jc w:val="both"/>
        <w:rPr>
          <w:rFonts w:ascii="Arial" w:hAnsi="Arial" w:cs="Arial"/>
          <w:sz w:val="20"/>
          <w:szCs w:val="20"/>
        </w:rPr>
      </w:pPr>
    </w:p>
    <w:p w:rsidR="0014238E" w:rsidRPr="00700FB4" w:rsidRDefault="0014238E" w:rsidP="007F7377">
      <w:pPr>
        <w:pStyle w:val="NoSpacing"/>
        <w:jc w:val="both"/>
        <w:rPr>
          <w:rFonts w:ascii="Arial" w:hAnsi="Arial" w:cs="Arial"/>
          <w:sz w:val="20"/>
          <w:szCs w:val="20"/>
        </w:rPr>
      </w:pPr>
      <w:r w:rsidRPr="00700FB4">
        <w:rPr>
          <w:rFonts w:ascii="Arial" w:hAnsi="Arial" w:cs="Arial"/>
          <w:sz w:val="20"/>
          <w:szCs w:val="20"/>
        </w:rPr>
        <w:t xml:space="preserve">Komisijas paziņojumā Parlamentam, Padomei, Eiropas Ekonomikas un Sociālo lietu komitejai un Reģionu komitejai </w:t>
      </w:r>
      <w:r w:rsidRPr="00700FB4">
        <w:rPr>
          <w:rFonts w:ascii="Arial" w:hAnsi="Arial" w:cs="Arial"/>
          <w:b/>
          <w:sz w:val="20"/>
          <w:szCs w:val="20"/>
        </w:rPr>
        <w:t>“Jūras enerģija: Kā rīkoties, lai apgūtu Eiropas jūru un okeānu enerģijas potenciālu laikposmā līdz 2020.gadam un pēc tā”</w:t>
      </w:r>
      <w:r w:rsidR="00CD1686" w:rsidRPr="00700FB4">
        <w:rPr>
          <w:rStyle w:val="FootnoteReference"/>
          <w:rFonts w:ascii="Arial" w:hAnsi="Arial" w:cs="Arial"/>
          <w:sz w:val="20"/>
          <w:szCs w:val="20"/>
        </w:rPr>
        <w:footnoteReference w:id="42"/>
      </w:r>
      <w:r w:rsidR="00CD1686" w:rsidRPr="00700FB4">
        <w:rPr>
          <w:rFonts w:ascii="Arial" w:hAnsi="Arial" w:cs="Arial"/>
          <w:sz w:val="20"/>
          <w:szCs w:val="20"/>
        </w:rPr>
        <w:t xml:space="preserve"> </w:t>
      </w:r>
      <w:r w:rsidRPr="00700FB4">
        <w:rPr>
          <w:rFonts w:ascii="Arial" w:hAnsi="Arial" w:cs="Arial"/>
          <w:sz w:val="20"/>
          <w:szCs w:val="20"/>
        </w:rPr>
        <w:t xml:space="preserve">izklāstīts rīcības plāns okeāna enerģētikas turpmākās attīstības virzīšanai. Tiek prognozēts, ka kopējā jūras vēja turbīnu uzstādītā jauda līdz 2020.gadam sasniegs 43 </w:t>
      </w:r>
      <w:r w:rsidR="007F7377" w:rsidRPr="00700FB4">
        <w:rPr>
          <w:rFonts w:ascii="Arial" w:hAnsi="Arial" w:cs="Arial"/>
          <w:sz w:val="20"/>
          <w:szCs w:val="20"/>
        </w:rPr>
        <w:t xml:space="preserve">GW un tiks saražoti aptuveni 3 procentus </w:t>
      </w:r>
      <w:r w:rsidRPr="00700FB4">
        <w:rPr>
          <w:rFonts w:ascii="Arial" w:hAnsi="Arial" w:cs="Arial"/>
          <w:sz w:val="20"/>
          <w:szCs w:val="20"/>
        </w:rPr>
        <w:t>no ES kopējā elektroenerģijas patēriņa. Ar tehnoloģiskiem uzlabojumiem un papildu publisko atbalstu attīstības sākumposmam okeāna enerģētikas sektors laika gaitā varētu sasniegt līdzīgu apmēru kā jūras vēja enerģētikas sektors.</w:t>
      </w:r>
    </w:p>
    <w:p w:rsidR="007F7377" w:rsidRPr="00700FB4" w:rsidRDefault="007F7377" w:rsidP="007F7377">
      <w:pPr>
        <w:pStyle w:val="NoSpacing"/>
        <w:jc w:val="both"/>
        <w:rPr>
          <w:rFonts w:ascii="Arial" w:hAnsi="Arial" w:cs="Arial"/>
          <w:sz w:val="20"/>
          <w:szCs w:val="20"/>
        </w:rPr>
      </w:pPr>
    </w:p>
    <w:p w:rsidR="0014238E" w:rsidRPr="00700FB4" w:rsidRDefault="0014238E" w:rsidP="007F7377">
      <w:pPr>
        <w:pStyle w:val="NoSpacing"/>
        <w:jc w:val="both"/>
        <w:rPr>
          <w:rFonts w:ascii="Arial" w:hAnsi="Arial" w:cs="Arial"/>
          <w:sz w:val="20"/>
          <w:szCs w:val="20"/>
        </w:rPr>
      </w:pPr>
      <w:r w:rsidRPr="00700FB4">
        <w:rPr>
          <w:rFonts w:ascii="Arial" w:hAnsi="Arial" w:cs="Arial"/>
          <w:sz w:val="20"/>
          <w:szCs w:val="20"/>
        </w:rPr>
        <w:t xml:space="preserve">Daži ūdeņi pie ES krastiem tiek intensīvi izmantoti naftas un gāzes ieguvei, tādēļ ES ir ieinteresēta nodrošināt jūras naftas un gāzes darbību drošību. </w:t>
      </w:r>
      <w:proofErr w:type="spellStart"/>
      <w:r w:rsidRPr="00700FB4">
        <w:rPr>
          <w:rFonts w:ascii="Arial" w:hAnsi="Arial" w:cs="Arial"/>
          <w:i/>
          <w:sz w:val="20"/>
          <w:szCs w:val="20"/>
        </w:rPr>
        <w:t>Deepwater</w:t>
      </w:r>
      <w:proofErr w:type="spellEnd"/>
      <w:r w:rsidRPr="00700FB4">
        <w:rPr>
          <w:rFonts w:ascii="Arial" w:hAnsi="Arial" w:cs="Arial"/>
          <w:i/>
          <w:sz w:val="20"/>
          <w:szCs w:val="20"/>
        </w:rPr>
        <w:t xml:space="preserve"> </w:t>
      </w:r>
      <w:proofErr w:type="spellStart"/>
      <w:r w:rsidRPr="00700FB4">
        <w:rPr>
          <w:rFonts w:ascii="Arial" w:hAnsi="Arial" w:cs="Arial"/>
          <w:i/>
          <w:sz w:val="20"/>
          <w:szCs w:val="20"/>
        </w:rPr>
        <w:t>Horizon</w:t>
      </w:r>
      <w:proofErr w:type="spellEnd"/>
      <w:r w:rsidRPr="00700FB4">
        <w:rPr>
          <w:rFonts w:ascii="Arial" w:hAnsi="Arial" w:cs="Arial"/>
          <w:sz w:val="20"/>
          <w:szCs w:val="20"/>
        </w:rPr>
        <w:t xml:space="preserve"> nelaimes gadījums pamudināja </w:t>
      </w:r>
      <w:r w:rsidR="00BF57F3" w:rsidRPr="00700FB4">
        <w:rPr>
          <w:rFonts w:ascii="Arial" w:hAnsi="Arial" w:cs="Arial"/>
          <w:sz w:val="20"/>
          <w:szCs w:val="20"/>
        </w:rPr>
        <w:t xml:space="preserve">Komisiju </w:t>
      </w:r>
      <w:r w:rsidRPr="00700FB4">
        <w:rPr>
          <w:rFonts w:ascii="Arial" w:hAnsi="Arial" w:cs="Arial"/>
          <w:sz w:val="20"/>
          <w:szCs w:val="20"/>
        </w:rPr>
        <w:t xml:space="preserve">paredzēt visaptverošu ES tiesību aktu par naftas platformām, kura mērķis ir nodrošināt augstākos drošības standartus – Komisijas </w:t>
      </w:r>
      <w:r w:rsidRPr="00700FB4">
        <w:rPr>
          <w:rFonts w:ascii="Arial" w:hAnsi="Arial" w:cs="Arial"/>
          <w:b/>
          <w:sz w:val="20"/>
          <w:szCs w:val="20"/>
        </w:rPr>
        <w:t>paziņojums “Risinot drošības problēmas, kas saistītas ar naftas un gāzes nozares darbībām jūrā”</w:t>
      </w:r>
      <w:r w:rsidR="008C0F87" w:rsidRPr="00700FB4">
        <w:rPr>
          <w:rFonts w:ascii="Arial" w:hAnsi="Arial" w:cs="Arial"/>
          <w:sz w:val="20"/>
          <w:szCs w:val="20"/>
        </w:rPr>
        <w:t>,</w:t>
      </w:r>
      <w:r w:rsidR="00CD1686" w:rsidRPr="00700FB4">
        <w:rPr>
          <w:rStyle w:val="FootnoteReference"/>
          <w:rFonts w:ascii="Arial" w:hAnsi="Arial" w:cs="Arial"/>
          <w:sz w:val="20"/>
          <w:szCs w:val="20"/>
        </w:rPr>
        <w:footnoteReference w:id="43"/>
      </w:r>
      <w:r w:rsidR="00CD1686" w:rsidRPr="00700FB4">
        <w:rPr>
          <w:rFonts w:ascii="Arial" w:hAnsi="Arial" w:cs="Arial"/>
          <w:sz w:val="20"/>
          <w:szCs w:val="20"/>
        </w:rPr>
        <w:t xml:space="preserve"> </w:t>
      </w:r>
      <w:r w:rsidRPr="00700FB4">
        <w:rPr>
          <w:rFonts w:ascii="Arial" w:hAnsi="Arial" w:cs="Arial"/>
          <w:sz w:val="20"/>
          <w:szCs w:val="20"/>
        </w:rPr>
        <w:t>uzsver, ka valsts iestādes ir atbildīgas par pienācīgu tiesiskā regulējuma izveidošanu attiecībā uz darbību jūrā.</w:t>
      </w:r>
    </w:p>
    <w:p w:rsidR="005920B1" w:rsidRPr="00700FB4" w:rsidRDefault="005920B1" w:rsidP="007F7377">
      <w:pPr>
        <w:pStyle w:val="NoSpacing"/>
        <w:jc w:val="both"/>
        <w:rPr>
          <w:rFonts w:ascii="Arial" w:hAnsi="Arial" w:cs="Arial"/>
          <w:sz w:val="20"/>
          <w:szCs w:val="20"/>
        </w:rPr>
      </w:pPr>
    </w:p>
    <w:p w:rsidR="005920B1" w:rsidRPr="00700FB4" w:rsidRDefault="005920B1" w:rsidP="005920B1">
      <w:pPr>
        <w:pStyle w:val="NoSpacing"/>
        <w:jc w:val="both"/>
        <w:rPr>
          <w:rFonts w:ascii="Arial" w:hAnsi="Arial" w:cs="Arial"/>
          <w:sz w:val="20"/>
          <w:szCs w:val="20"/>
        </w:rPr>
      </w:pPr>
      <w:r w:rsidRPr="00700FB4">
        <w:rPr>
          <w:rFonts w:ascii="Arial" w:hAnsi="Arial" w:cs="Arial"/>
          <w:sz w:val="20"/>
          <w:szCs w:val="20"/>
        </w:rPr>
        <w:t>Jāatzīmē arī Komisijas paziņojums Eiropas Parlamentam, Padomei, Eiropas Ekonomikas un sociālo lietu komitejai un Reģionu Komitejai –</w:t>
      </w:r>
      <w:r w:rsidRPr="00700FB4">
        <w:rPr>
          <w:rFonts w:ascii="Arial" w:hAnsi="Arial" w:cs="Arial"/>
          <w:b/>
          <w:sz w:val="20"/>
          <w:szCs w:val="20"/>
        </w:rPr>
        <w:t xml:space="preserve"> </w:t>
      </w:r>
      <w:r w:rsidR="00FC2172" w:rsidRPr="00700FB4">
        <w:rPr>
          <w:rFonts w:ascii="Arial" w:hAnsi="Arial" w:cs="Arial"/>
          <w:b/>
          <w:sz w:val="20"/>
          <w:szCs w:val="20"/>
        </w:rPr>
        <w:t>“</w:t>
      </w:r>
      <w:r w:rsidRPr="00700FB4">
        <w:rPr>
          <w:rFonts w:ascii="Arial" w:hAnsi="Arial" w:cs="Arial"/>
          <w:b/>
          <w:sz w:val="20"/>
          <w:szCs w:val="20"/>
        </w:rPr>
        <w:t>Stratēģiskie mērķi un rekomendācijas ES jūras transporta politikai 2018.gada perspektīvā /* COM/2009/0008 galīgā redakcija */</w:t>
      </w:r>
      <w:r w:rsidR="00FC2172" w:rsidRPr="00700FB4">
        <w:rPr>
          <w:rFonts w:ascii="Arial" w:hAnsi="Arial" w:cs="Arial"/>
          <w:b/>
          <w:sz w:val="20"/>
          <w:szCs w:val="20"/>
        </w:rPr>
        <w:t>”</w:t>
      </w:r>
      <w:r w:rsidRPr="00700FB4">
        <w:rPr>
          <w:rFonts w:ascii="Arial" w:hAnsi="Arial" w:cs="Arial"/>
          <w:sz w:val="20"/>
          <w:szCs w:val="20"/>
        </w:rPr>
        <w:t>, kurā norādīts, ka jūras transportam ir būtiska loma Eiropas energoapgādes drošībā, tādējādi tas ir arī svarīgs instruments Eiropas enerģētikas politikā. Jūras transporta sistēma ir jāskata kā daļa no ES stratēģijas par maršrutu un enerģijas avotu dažādošanu. Pa jūru tiek transportēti 90% naftas, bet parādās pieaugoša tendence transportēt ar tankeriem sašķidrinātu dabasgāzi. Daudzi citi energoprodukti arī tiek transportēti pa jūru. Lai enerģijas tirgi un piegādes drošība labi funkcionētu, un tādējādi augtu arī Eiropas iedzīvotāju un visas Eiropas ekonomikas labklājība, flotei, kas veic energoproduktu transportēšanu visās tās darbības nozarēs, – tankeriem, kas transportē jēlnaftu un tās produktus, sašķidrinātu dabasgāzi un sašķidrinātu naftas gāzi, un kuģiem, kas darbojas jūrā</w:t>
      </w:r>
      <w:r w:rsidR="008C0F87" w:rsidRPr="00700FB4">
        <w:rPr>
          <w:rFonts w:ascii="Arial" w:hAnsi="Arial" w:cs="Arial"/>
          <w:sz w:val="20"/>
          <w:szCs w:val="20"/>
        </w:rPr>
        <w:t>,</w:t>
      </w:r>
      <w:r w:rsidRPr="00700FB4">
        <w:rPr>
          <w:rFonts w:ascii="Arial" w:hAnsi="Arial" w:cs="Arial"/>
          <w:sz w:val="20"/>
          <w:szCs w:val="20"/>
        </w:rPr>
        <w:t>– ir ārkārtīgi svarīga nozīme un tai jāatbilst augstākajiem tehnoloģiskajiem standartiem.</w:t>
      </w:r>
    </w:p>
    <w:p w:rsidR="005920B1" w:rsidRPr="00700FB4" w:rsidRDefault="005920B1" w:rsidP="005920B1">
      <w:pPr>
        <w:pStyle w:val="NoSpacing"/>
        <w:jc w:val="both"/>
        <w:rPr>
          <w:rFonts w:ascii="Arial" w:hAnsi="Arial" w:cs="Arial"/>
          <w:sz w:val="20"/>
          <w:szCs w:val="20"/>
        </w:rPr>
      </w:pPr>
    </w:p>
    <w:p w:rsidR="00126EEA" w:rsidRPr="00700FB4" w:rsidRDefault="005920B1" w:rsidP="007F7377">
      <w:pPr>
        <w:pStyle w:val="NoSpacing"/>
        <w:jc w:val="both"/>
        <w:rPr>
          <w:rFonts w:ascii="Arial" w:hAnsi="Arial" w:cs="Arial"/>
          <w:sz w:val="20"/>
          <w:szCs w:val="20"/>
        </w:rPr>
      </w:pPr>
      <w:r w:rsidRPr="00700FB4">
        <w:rPr>
          <w:rFonts w:ascii="Arial" w:hAnsi="Arial" w:cs="Arial"/>
          <w:sz w:val="20"/>
          <w:szCs w:val="20"/>
        </w:rPr>
        <w:t>Tāpat jāvērš uzmanība arī uz Komisijas paziņojumu Eiropas Parlamentam, Padomei, Eiropas Ekonomikas un sociālo lietu komitejai un Reģionu Komitejai –</w:t>
      </w:r>
      <w:r w:rsidRPr="00700FB4">
        <w:rPr>
          <w:rFonts w:ascii="Arial" w:hAnsi="Arial" w:cs="Arial"/>
          <w:b/>
          <w:sz w:val="20"/>
          <w:szCs w:val="20"/>
        </w:rPr>
        <w:t xml:space="preserve"> </w:t>
      </w:r>
      <w:r w:rsidR="00FC2172" w:rsidRPr="00700FB4">
        <w:rPr>
          <w:rFonts w:ascii="Arial" w:hAnsi="Arial" w:cs="Arial"/>
          <w:b/>
          <w:sz w:val="20"/>
          <w:szCs w:val="20"/>
        </w:rPr>
        <w:t>“</w:t>
      </w:r>
      <w:r w:rsidRPr="00700FB4">
        <w:rPr>
          <w:rFonts w:ascii="Arial" w:hAnsi="Arial" w:cs="Arial"/>
          <w:b/>
          <w:sz w:val="20"/>
          <w:szCs w:val="20"/>
        </w:rPr>
        <w:t>Jūras vēja enerģija. Kā rīkoties, lai sasniegtu enerģētikas politikas mērķus laikposmā līdz 2020.gadam un pēc tā. /* COM/2008/0768 galīgā redakcija */</w:t>
      </w:r>
      <w:r w:rsidR="00FC2172" w:rsidRPr="00700FB4">
        <w:rPr>
          <w:rFonts w:ascii="Arial" w:hAnsi="Arial" w:cs="Arial"/>
          <w:b/>
          <w:sz w:val="20"/>
          <w:szCs w:val="20"/>
        </w:rPr>
        <w:t>”</w:t>
      </w:r>
      <w:r w:rsidRPr="00700FB4">
        <w:rPr>
          <w:rFonts w:ascii="Arial" w:hAnsi="Arial" w:cs="Arial"/>
          <w:sz w:val="20"/>
          <w:szCs w:val="20"/>
        </w:rPr>
        <w:t xml:space="preserve">, kura mērķis ir veicināt jūras un jūras vēja enerģijas attīstību ES. Paziņojumā norādīts, ka atšķirībā no sauszemes teritoriālās plānošanas jūras vides integrētā teritoriālajā plānošanā dalībvalstīm nav pietiekamas pieredzes. Tāpat arī nav procesu, kuri vienlaikus analizētu vēja resursu teritoriālo sadalījumu, ņemot vērā citu jūras darbību vai interešu radītos ierobežojumus un elektroenerģijas tīkla aspektus. Tas attiecas arī uz citiem atjaunojamajiem jūras un okeāna resursiem, piemēram, paisuma / bēguma un viļņu enerģiju. Tādēļ nepieciešama labāka pārrobežu sadarbība. Lai projektu realizētājiem piedāvātu skaidrus noteikumus, svarīgi ir definēt </w:t>
      </w:r>
      <w:r w:rsidRPr="00700FB4">
        <w:rPr>
          <w:rFonts w:ascii="Arial" w:hAnsi="Arial" w:cs="Arial"/>
          <w:i/>
          <w:sz w:val="20"/>
          <w:szCs w:val="20"/>
        </w:rPr>
        <w:t>Natura 2000</w:t>
      </w:r>
      <w:r w:rsidRPr="00700FB4">
        <w:rPr>
          <w:rFonts w:ascii="Arial" w:hAnsi="Arial" w:cs="Arial"/>
          <w:sz w:val="20"/>
          <w:szCs w:val="20"/>
        </w:rPr>
        <w:t xml:space="preserve"> jūras teritorijas atbilstoši biotopu un putnu direktīvām.</w:t>
      </w:r>
    </w:p>
    <w:p w:rsidR="00AB6FC1" w:rsidRPr="00700FB4" w:rsidRDefault="00AB6FC1" w:rsidP="007F7377">
      <w:pPr>
        <w:pStyle w:val="NoSpacing"/>
        <w:jc w:val="both"/>
        <w:rPr>
          <w:rFonts w:ascii="Arial" w:hAnsi="Arial" w:cs="Arial"/>
          <w:sz w:val="20"/>
          <w:szCs w:val="20"/>
        </w:rPr>
      </w:pPr>
    </w:p>
    <w:p w:rsidR="00126EEA" w:rsidRPr="00700FB4" w:rsidRDefault="005044BD" w:rsidP="00665269">
      <w:pPr>
        <w:pStyle w:val="Heading2"/>
      </w:pPr>
      <w:bookmarkStart w:id="16" w:name="_Toc460402331"/>
      <w:r w:rsidRPr="00700FB4">
        <w:t>[2.5</w:t>
      </w:r>
      <w:r w:rsidR="00126EEA" w:rsidRPr="00700FB4">
        <w:t>] Eiropas Savienības tiesu prakse par jūras tiesisko režīmu</w:t>
      </w:r>
      <w:bookmarkEnd w:id="16"/>
    </w:p>
    <w:p w:rsidR="005B7304" w:rsidRPr="00700FB4" w:rsidRDefault="005B7304" w:rsidP="00457E80">
      <w:pPr>
        <w:pStyle w:val="NoSpacing"/>
        <w:jc w:val="both"/>
        <w:rPr>
          <w:rFonts w:ascii="Arial" w:hAnsi="Arial" w:cs="Arial"/>
          <w:b/>
          <w:sz w:val="20"/>
          <w:szCs w:val="20"/>
        </w:rPr>
      </w:pPr>
    </w:p>
    <w:p w:rsidR="00293C96" w:rsidRPr="00700FB4" w:rsidRDefault="00293C96" w:rsidP="00665269">
      <w:pPr>
        <w:pStyle w:val="Heading3"/>
      </w:pPr>
      <w:bookmarkStart w:id="17" w:name="_Toc460402332"/>
      <w:r w:rsidRPr="00700FB4">
        <w:t>[2.5.1] Vispārēji jūras tiesību un Konvencijas piemērošanas jautājumi</w:t>
      </w:r>
      <w:bookmarkEnd w:id="17"/>
    </w:p>
    <w:p w:rsidR="00293C96" w:rsidRPr="00700FB4" w:rsidRDefault="00293C96" w:rsidP="00457E80">
      <w:pPr>
        <w:pStyle w:val="NoSpacing"/>
        <w:jc w:val="both"/>
        <w:rPr>
          <w:rFonts w:ascii="Arial" w:hAnsi="Arial" w:cs="Arial"/>
          <w:sz w:val="20"/>
          <w:szCs w:val="20"/>
        </w:rPr>
      </w:pPr>
      <w:r w:rsidRPr="00700FB4">
        <w:rPr>
          <w:rFonts w:ascii="Arial" w:hAnsi="Arial" w:cs="Arial"/>
          <w:sz w:val="20"/>
          <w:szCs w:val="20"/>
        </w:rPr>
        <w:t>Konvenciju ir ratificējušas ne tikai ES dalībvalstis, bet arī pati ES, tādēļ ES un dalībvalstu dalība Konvencijā pamatojas uz lojālas sadarbības principu, kas nostiprināts LES 4.panta trešajā daļā. Lojalitātes principam ir izšķiroša nozīme visos “jaukto nolīgumu” gadījumos, proti, kad nolīgumi skar tādas jomas, kas ir dalībvalstu kompetencē, kas savukārt rada nepieciešamību arī šīm dalībvalstīm parakstīt attiecīgo nolīgumu. Šādi nolīgumi jāīsteno atbilstoši LES 4.panta trešajā daļā nostiprinātajam lojālas sadarbības principam.</w:t>
      </w:r>
      <w:r w:rsidRPr="00700FB4">
        <w:rPr>
          <w:rStyle w:val="FootnoteReference"/>
          <w:rFonts w:ascii="Arial" w:hAnsi="Arial" w:cs="Arial"/>
          <w:sz w:val="20"/>
          <w:szCs w:val="20"/>
        </w:rPr>
        <w:footnoteReference w:id="44"/>
      </w:r>
      <w:r w:rsidRPr="00700FB4">
        <w:rPr>
          <w:rFonts w:ascii="Arial" w:hAnsi="Arial" w:cs="Arial"/>
          <w:sz w:val="20"/>
          <w:szCs w:val="20"/>
        </w:rPr>
        <w:t xml:space="preserve"> </w:t>
      </w:r>
      <w:r w:rsidR="00025BCC" w:rsidRPr="00700FB4">
        <w:rPr>
          <w:rFonts w:ascii="Arial" w:hAnsi="Arial" w:cs="Arial"/>
          <w:sz w:val="20"/>
          <w:szCs w:val="20"/>
        </w:rPr>
        <w:t xml:space="preserve">Eiropas Savienības tiesa </w:t>
      </w:r>
      <w:r w:rsidRPr="00700FB4">
        <w:rPr>
          <w:rFonts w:ascii="Arial" w:hAnsi="Arial" w:cs="Arial"/>
          <w:sz w:val="20"/>
          <w:szCs w:val="20"/>
        </w:rPr>
        <w:t>ir bijusi nozīmīga loma, izstrādājot principus daudzpusējas sadarbības kontekstā,</w:t>
      </w:r>
      <w:r w:rsidRPr="00700FB4">
        <w:rPr>
          <w:rStyle w:val="FootnoteReference"/>
          <w:rFonts w:ascii="Arial" w:hAnsi="Arial" w:cs="Arial"/>
          <w:sz w:val="20"/>
          <w:szCs w:val="20"/>
        </w:rPr>
        <w:footnoteReference w:id="45"/>
      </w:r>
      <w:r w:rsidRPr="00700FB4">
        <w:rPr>
          <w:rFonts w:ascii="Arial" w:hAnsi="Arial" w:cs="Arial"/>
          <w:sz w:val="20"/>
          <w:szCs w:val="20"/>
        </w:rPr>
        <w:t xml:space="preserve"> piemēram, uzsverot ES tiesību autonomo lomu attiecībā pret starptautiskajām tiesībām.</w:t>
      </w:r>
      <w:r w:rsidRPr="00700FB4">
        <w:rPr>
          <w:rStyle w:val="FootnoteReference"/>
          <w:rFonts w:ascii="Arial" w:hAnsi="Arial" w:cs="Arial"/>
          <w:sz w:val="20"/>
          <w:szCs w:val="20"/>
        </w:rPr>
        <w:footnoteReference w:id="46"/>
      </w:r>
    </w:p>
    <w:p w:rsidR="00293C96" w:rsidRPr="00700FB4" w:rsidRDefault="00293C96" w:rsidP="00457E80">
      <w:pPr>
        <w:pStyle w:val="NoSpacing"/>
        <w:jc w:val="both"/>
        <w:rPr>
          <w:rFonts w:ascii="Arial" w:hAnsi="Arial" w:cs="Arial"/>
          <w:sz w:val="20"/>
          <w:szCs w:val="20"/>
        </w:rPr>
      </w:pPr>
    </w:p>
    <w:p w:rsidR="00293C96" w:rsidRDefault="00293C96" w:rsidP="00457E80">
      <w:pPr>
        <w:pStyle w:val="NoSpacing"/>
        <w:jc w:val="both"/>
        <w:rPr>
          <w:rFonts w:ascii="Arial" w:hAnsi="Arial" w:cs="Arial"/>
          <w:sz w:val="20"/>
          <w:szCs w:val="20"/>
        </w:rPr>
      </w:pPr>
      <w:r w:rsidRPr="00700FB4">
        <w:rPr>
          <w:rFonts w:ascii="Arial" w:hAnsi="Arial" w:cs="Arial"/>
          <w:sz w:val="20"/>
          <w:szCs w:val="20"/>
        </w:rPr>
        <w:t>Tai pašā laikā ES ir nostiprināts princips, ka starptautiskie līgumi veido neatņemamu ES tiesību sastāvdaļu.</w:t>
      </w:r>
      <w:r w:rsidRPr="00700FB4">
        <w:rPr>
          <w:rStyle w:val="FootnoteReference"/>
          <w:rFonts w:ascii="Arial" w:hAnsi="Arial" w:cs="Arial"/>
          <w:sz w:val="20"/>
          <w:szCs w:val="20"/>
        </w:rPr>
        <w:footnoteReference w:id="47"/>
      </w:r>
      <w:r w:rsidRPr="00700FB4">
        <w:rPr>
          <w:rFonts w:ascii="Arial" w:hAnsi="Arial" w:cs="Arial"/>
          <w:sz w:val="20"/>
          <w:szCs w:val="20"/>
        </w:rPr>
        <w:t xml:space="preserve"> Tādēļ, piemēram, spriedumā lietā </w:t>
      </w:r>
      <w:r w:rsidRPr="00700FB4">
        <w:rPr>
          <w:rFonts w:ascii="Arial" w:hAnsi="Arial" w:cs="Arial"/>
          <w:b/>
          <w:sz w:val="20"/>
          <w:szCs w:val="20"/>
        </w:rPr>
        <w:t>C-286/90</w:t>
      </w:r>
      <w:r w:rsidRPr="00700FB4">
        <w:rPr>
          <w:rFonts w:ascii="Arial" w:hAnsi="Arial" w:cs="Arial"/>
          <w:sz w:val="20"/>
          <w:szCs w:val="20"/>
        </w:rPr>
        <w:t xml:space="preserve"> EST atzina, ka ES, īstenojot savas tiesības, ir jāņem vērā starptautiskās paražu tiesības, tādējādi attiecīgie noteikumi jāinterpretē un to darbības joma jānosaka saskaņā ar starptautiskajām jūras tiesībām</w:t>
      </w:r>
      <w:r w:rsidR="00E043B2" w:rsidRPr="00700FB4">
        <w:rPr>
          <w:rFonts w:ascii="Arial" w:hAnsi="Arial" w:cs="Arial"/>
          <w:sz w:val="20"/>
          <w:szCs w:val="20"/>
        </w:rPr>
        <w:t xml:space="preserve"> (</w:t>
      </w:r>
      <w:r w:rsidRPr="00700FB4">
        <w:rPr>
          <w:rFonts w:ascii="Arial" w:hAnsi="Arial" w:cs="Arial"/>
          <w:sz w:val="20"/>
          <w:szCs w:val="20"/>
        </w:rPr>
        <w:t xml:space="preserve">saskaņā ar </w:t>
      </w:r>
      <w:r w:rsidR="00E51601" w:rsidRPr="00700FB4">
        <w:rPr>
          <w:rFonts w:ascii="Arial" w:hAnsi="Arial" w:cs="Arial"/>
          <w:sz w:val="20"/>
          <w:szCs w:val="20"/>
        </w:rPr>
        <w:t>Kontinentālā šelfa konvenciju</w:t>
      </w:r>
      <w:r w:rsidRPr="00700FB4">
        <w:rPr>
          <w:rFonts w:ascii="Arial" w:hAnsi="Arial" w:cs="Arial"/>
          <w:sz w:val="20"/>
          <w:szCs w:val="20"/>
        </w:rPr>
        <w:t xml:space="preserve">, jo sprieduma pieņemšanas brīdī </w:t>
      </w:r>
      <w:r w:rsidR="00E51601" w:rsidRPr="00700FB4">
        <w:rPr>
          <w:rFonts w:ascii="Arial" w:hAnsi="Arial" w:cs="Arial"/>
          <w:sz w:val="20"/>
          <w:szCs w:val="20"/>
        </w:rPr>
        <w:t xml:space="preserve">Jūras konvencija </w:t>
      </w:r>
      <w:r w:rsidRPr="00700FB4">
        <w:rPr>
          <w:rFonts w:ascii="Arial" w:hAnsi="Arial" w:cs="Arial"/>
          <w:sz w:val="20"/>
          <w:szCs w:val="20"/>
        </w:rPr>
        <w:t>vēl nebija stājusies spēkā).</w:t>
      </w:r>
    </w:p>
    <w:p w:rsidR="00153BE1" w:rsidRDefault="00153BE1" w:rsidP="00457E80">
      <w:pPr>
        <w:pStyle w:val="NoSpacing"/>
        <w:jc w:val="both"/>
        <w:rPr>
          <w:rFonts w:ascii="Arial" w:hAnsi="Arial" w:cs="Arial"/>
          <w:sz w:val="20"/>
          <w:szCs w:val="20"/>
        </w:rPr>
      </w:pPr>
    </w:p>
    <w:p w:rsidR="00153BE1" w:rsidRDefault="00153BE1" w:rsidP="00153BE1">
      <w:pPr>
        <w:pStyle w:val="NoSpacing"/>
        <w:jc w:val="both"/>
        <w:rPr>
          <w:rFonts w:ascii="Arial" w:hAnsi="Arial" w:cs="Arial"/>
          <w:sz w:val="20"/>
          <w:szCs w:val="20"/>
        </w:rPr>
      </w:pPr>
      <w:r>
        <w:rPr>
          <w:rFonts w:ascii="Arial" w:hAnsi="Arial" w:cs="Arial"/>
          <w:sz w:val="20"/>
          <w:szCs w:val="20"/>
        </w:rPr>
        <w:t>L</w:t>
      </w:r>
      <w:r w:rsidRPr="00030C3D">
        <w:rPr>
          <w:rFonts w:ascii="Arial" w:hAnsi="Arial" w:cs="Arial"/>
          <w:sz w:val="20"/>
          <w:szCs w:val="20"/>
        </w:rPr>
        <w:t xml:space="preserve">ietā </w:t>
      </w:r>
      <w:r w:rsidRPr="00030C3D">
        <w:rPr>
          <w:rFonts w:ascii="Arial" w:hAnsi="Arial" w:cs="Arial"/>
          <w:b/>
          <w:sz w:val="20"/>
          <w:szCs w:val="20"/>
        </w:rPr>
        <w:t>C-459/03</w:t>
      </w:r>
      <w:r w:rsidRPr="00030C3D">
        <w:rPr>
          <w:rFonts w:ascii="Arial" w:hAnsi="Arial" w:cs="Arial"/>
          <w:sz w:val="20"/>
          <w:szCs w:val="20"/>
        </w:rPr>
        <w:t xml:space="preserve"> saistībā ar rūpnīcu </w:t>
      </w:r>
      <w:r w:rsidRPr="00030C3D">
        <w:rPr>
          <w:rFonts w:ascii="Arial" w:hAnsi="Arial" w:cs="Arial"/>
          <w:i/>
          <w:sz w:val="20"/>
          <w:szCs w:val="20"/>
        </w:rPr>
        <w:t xml:space="preserve">MOX, </w:t>
      </w:r>
      <w:r>
        <w:rPr>
          <w:rFonts w:ascii="Arial" w:hAnsi="Arial" w:cs="Arial"/>
          <w:sz w:val="20"/>
          <w:szCs w:val="20"/>
        </w:rPr>
        <w:t>kas atradās</w:t>
      </w:r>
      <w:r w:rsidRPr="00030C3D">
        <w:rPr>
          <w:rFonts w:ascii="Arial" w:hAnsi="Arial" w:cs="Arial"/>
          <w:sz w:val="20"/>
          <w:szCs w:val="20"/>
        </w:rPr>
        <w:t xml:space="preserve"> Īrijas jūras krastā,</w:t>
      </w:r>
      <w:r>
        <w:rPr>
          <w:rFonts w:ascii="Arial" w:hAnsi="Arial" w:cs="Arial"/>
          <w:sz w:val="20"/>
          <w:szCs w:val="20"/>
        </w:rPr>
        <w:t xml:space="preserve"> tika secināts, ka </w:t>
      </w:r>
      <w:r w:rsidRPr="00030C3D">
        <w:rPr>
          <w:rFonts w:ascii="Arial" w:hAnsi="Arial" w:cs="Arial"/>
          <w:sz w:val="20"/>
          <w:szCs w:val="20"/>
        </w:rPr>
        <w:t xml:space="preserve">Kopienas ārējā kompetence jūras vides aizsardzības jomā nav ekskluzīva, bet tiek dalīta starp Kopienu un dalībvalstīm. EST lēma, ka </w:t>
      </w:r>
      <w:r>
        <w:rPr>
          <w:rFonts w:ascii="Arial" w:hAnsi="Arial" w:cs="Arial"/>
          <w:sz w:val="20"/>
          <w:szCs w:val="20"/>
        </w:rPr>
        <w:t>Jūras</w:t>
      </w:r>
      <w:r w:rsidRPr="00030C3D">
        <w:rPr>
          <w:rFonts w:ascii="Arial" w:hAnsi="Arial" w:cs="Arial"/>
          <w:sz w:val="20"/>
          <w:szCs w:val="20"/>
        </w:rPr>
        <w:t xml:space="preserve"> </w:t>
      </w:r>
      <w:r>
        <w:rPr>
          <w:rFonts w:ascii="Arial" w:hAnsi="Arial" w:cs="Arial"/>
          <w:sz w:val="20"/>
          <w:szCs w:val="20"/>
        </w:rPr>
        <w:t>k</w:t>
      </w:r>
      <w:r w:rsidRPr="00030C3D">
        <w:rPr>
          <w:rFonts w:ascii="Arial" w:hAnsi="Arial" w:cs="Arial"/>
          <w:sz w:val="20"/>
          <w:szCs w:val="20"/>
        </w:rPr>
        <w:t>onvencijas noteikum</w:t>
      </w:r>
      <w:r>
        <w:rPr>
          <w:rFonts w:ascii="Arial" w:hAnsi="Arial" w:cs="Arial"/>
          <w:sz w:val="20"/>
          <w:szCs w:val="20"/>
        </w:rPr>
        <w:t xml:space="preserve">i ietilpst Kopienas kompetencē. </w:t>
      </w:r>
      <w:r w:rsidRPr="00030C3D">
        <w:rPr>
          <w:rFonts w:ascii="Arial" w:hAnsi="Arial" w:cs="Arial"/>
          <w:sz w:val="20"/>
          <w:szCs w:val="20"/>
        </w:rPr>
        <w:t>Līdz ar to EST ir kompetence izskatīt strīdus par šo noteikumu interpretāciju un piemērošanu, kā arī novērtēt, vai dalībvalsts tos ie</w:t>
      </w:r>
      <w:r>
        <w:rPr>
          <w:rFonts w:ascii="Arial" w:hAnsi="Arial" w:cs="Arial"/>
          <w:sz w:val="20"/>
          <w:szCs w:val="20"/>
        </w:rPr>
        <w:t>vēro, un akcentēja sadarbības pienākumu starp valstīm, kas robežojas ar slēgtu vai daļēji slēgtu jūru.</w:t>
      </w:r>
      <w:r>
        <w:rPr>
          <w:rStyle w:val="FootnoteReference"/>
          <w:rFonts w:ascii="Arial" w:hAnsi="Arial" w:cs="Arial"/>
          <w:sz w:val="20"/>
          <w:szCs w:val="20"/>
        </w:rPr>
        <w:footnoteReference w:id="48"/>
      </w:r>
    </w:p>
    <w:p w:rsidR="00293C96" w:rsidRPr="00700FB4" w:rsidRDefault="00293C96" w:rsidP="00457E80">
      <w:pPr>
        <w:pStyle w:val="NoSpacing"/>
        <w:jc w:val="both"/>
        <w:rPr>
          <w:rFonts w:ascii="Arial" w:hAnsi="Arial" w:cs="Arial"/>
          <w:sz w:val="20"/>
          <w:szCs w:val="20"/>
        </w:rPr>
      </w:pPr>
    </w:p>
    <w:p w:rsidR="00293C96" w:rsidRPr="00700FB4" w:rsidRDefault="00293C96" w:rsidP="00457E80">
      <w:pPr>
        <w:pStyle w:val="NoSpacing"/>
        <w:jc w:val="both"/>
        <w:rPr>
          <w:rFonts w:ascii="Arial" w:hAnsi="Arial" w:cs="Arial"/>
          <w:sz w:val="20"/>
          <w:szCs w:val="20"/>
        </w:rPr>
      </w:pPr>
      <w:r w:rsidRPr="00700FB4">
        <w:rPr>
          <w:rFonts w:ascii="Arial" w:hAnsi="Arial" w:cs="Arial"/>
          <w:sz w:val="20"/>
          <w:szCs w:val="20"/>
        </w:rPr>
        <w:t xml:space="preserve">Apvienotajā lietā </w:t>
      </w:r>
      <w:r w:rsidRPr="00700FB4">
        <w:rPr>
          <w:rFonts w:ascii="Arial" w:hAnsi="Arial" w:cs="Arial"/>
          <w:b/>
          <w:sz w:val="20"/>
          <w:szCs w:val="20"/>
        </w:rPr>
        <w:t>C-103/12 un C-165/12</w:t>
      </w:r>
      <w:r w:rsidRPr="00700FB4">
        <w:rPr>
          <w:rFonts w:ascii="Arial" w:hAnsi="Arial" w:cs="Arial"/>
          <w:sz w:val="20"/>
          <w:szCs w:val="20"/>
        </w:rPr>
        <w:t xml:space="preserve"> tika apstrīdēts lēmums, ar kuru tika apstiprināta ES deklarācija, kas Venecuēlas zvejas kuģiem piešķīra tiesības veikt savas darbības </w:t>
      </w:r>
      <w:r w:rsidR="00E51601" w:rsidRPr="00700FB4">
        <w:rPr>
          <w:rFonts w:ascii="Arial" w:hAnsi="Arial" w:cs="Arial"/>
          <w:sz w:val="20"/>
          <w:szCs w:val="20"/>
        </w:rPr>
        <w:t xml:space="preserve">Ekonomiskā zonā </w:t>
      </w:r>
      <w:r w:rsidRPr="00700FB4">
        <w:rPr>
          <w:rFonts w:ascii="Arial" w:hAnsi="Arial" w:cs="Arial"/>
          <w:sz w:val="20"/>
          <w:szCs w:val="20"/>
        </w:rPr>
        <w:t xml:space="preserve">pie Franču Gviānas krasta, kas veido daļu no ES ūdeņiem. Atbilstoši </w:t>
      </w:r>
      <w:r w:rsidR="00FC2172" w:rsidRPr="00700FB4">
        <w:rPr>
          <w:rFonts w:ascii="Arial" w:hAnsi="Arial" w:cs="Arial"/>
          <w:sz w:val="20"/>
          <w:szCs w:val="20"/>
        </w:rPr>
        <w:t>Jūras k</w:t>
      </w:r>
      <w:r w:rsidRPr="00700FB4">
        <w:rPr>
          <w:rFonts w:ascii="Arial" w:hAnsi="Arial" w:cs="Arial"/>
          <w:sz w:val="20"/>
          <w:szCs w:val="20"/>
        </w:rPr>
        <w:t xml:space="preserve">onvencijas 62.panta otrajai daļai piekrastes valsts var piešķirt citām valstīm pieeju pieļaujamās nozvejas pārpalikumam “ar līgumu starpniecību vai cita veida vienošanos”. Tātad bija izlemjams jautājums par to, vai minētā ES deklarācija un ievērotās iekšējās lēmumu pieņemšanas procedūras (ieskaitot Parlamenta lomu), atbilst Konvencijas 62.panta otrajā daļā minētajiem dokumentiem. EST, ņemot vērā </w:t>
      </w:r>
      <w:r w:rsidR="00E51601" w:rsidRPr="00700FB4">
        <w:rPr>
          <w:rFonts w:ascii="Arial" w:hAnsi="Arial" w:cs="Arial"/>
          <w:sz w:val="20"/>
          <w:szCs w:val="20"/>
        </w:rPr>
        <w:t>Jūras k</w:t>
      </w:r>
      <w:r w:rsidRPr="00700FB4">
        <w:rPr>
          <w:rFonts w:ascii="Arial" w:hAnsi="Arial" w:cs="Arial"/>
          <w:sz w:val="20"/>
          <w:szCs w:val="20"/>
        </w:rPr>
        <w:t>onvencijā noteikto regulējumu par piekrastes valsts un karoga valsts tiesībām un pienākumiem, secināja, ka ES deklarācija uzskatāma par piedāvājumu Venecuēlai, ko ES izteikusi attiecīgās piekrastes valsts vietā un vārdā un ko Venecuēla apstiprinājusi; tādējādi ES izstrādātā strīdīgā deklarācija un Venecuēlas veiktā tās pieņemšana kopā ir jākvalificē par minēto starpā noslēgtu nolīgumu.</w:t>
      </w:r>
      <w:r w:rsidRPr="00700FB4">
        <w:rPr>
          <w:rStyle w:val="FootnoteReference"/>
          <w:rFonts w:ascii="Arial" w:hAnsi="Arial" w:cs="Arial"/>
          <w:sz w:val="20"/>
          <w:szCs w:val="20"/>
        </w:rPr>
        <w:footnoteReference w:id="49"/>
      </w:r>
    </w:p>
    <w:p w:rsidR="00293C96" w:rsidRPr="00700FB4" w:rsidRDefault="00293C96" w:rsidP="00457E80">
      <w:pPr>
        <w:pStyle w:val="NoSpacing"/>
        <w:jc w:val="both"/>
        <w:rPr>
          <w:rFonts w:ascii="Arial" w:hAnsi="Arial" w:cs="Arial"/>
          <w:sz w:val="20"/>
          <w:szCs w:val="20"/>
        </w:rPr>
      </w:pPr>
    </w:p>
    <w:p w:rsidR="00293C96" w:rsidRPr="00700FB4" w:rsidRDefault="00293C96" w:rsidP="00457E80">
      <w:pPr>
        <w:pStyle w:val="NoSpacing"/>
        <w:jc w:val="both"/>
        <w:rPr>
          <w:rFonts w:ascii="Arial" w:hAnsi="Arial" w:cs="Arial"/>
          <w:sz w:val="20"/>
          <w:szCs w:val="20"/>
        </w:rPr>
      </w:pPr>
      <w:r w:rsidRPr="00700FB4">
        <w:rPr>
          <w:rFonts w:ascii="Arial" w:hAnsi="Arial" w:cs="Arial"/>
          <w:sz w:val="20"/>
          <w:szCs w:val="20"/>
        </w:rPr>
        <w:t xml:space="preserve">Spriedumā lietā </w:t>
      </w:r>
      <w:r w:rsidRPr="00700FB4">
        <w:rPr>
          <w:rFonts w:ascii="Arial" w:hAnsi="Arial" w:cs="Arial"/>
          <w:b/>
          <w:sz w:val="20"/>
          <w:szCs w:val="20"/>
        </w:rPr>
        <w:t>C-308/06</w:t>
      </w:r>
      <w:r w:rsidRPr="00700FB4">
        <w:rPr>
          <w:rStyle w:val="FootnoteReference"/>
          <w:rFonts w:ascii="Arial" w:hAnsi="Arial" w:cs="Arial"/>
          <w:sz w:val="20"/>
          <w:szCs w:val="20"/>
        </w:rPr>
        <w:footnoteReference w:id="50"/>
      </w:r>
      <w:r w:rsidRPr="00700FB4">
        <w:rPr>
          <w:rFonts w:ascii="Arial" w:hAnsi="Arial" w:cs="Arial"/>
          <w:sz w:val="20"/>
          <w:szCs w:val="20"/>
        </w:rPr>
        <w:t xml:space="preserve"> EST lēma, vai indivīdi var atsaukties uz </w:t>
      </w:r>
      <w:r w:rsidR="005912CA" w:rsidRPr="00700FB4">
        <w:rPr>
          <w:rFonts w:ascii="Arial" w:hAnsi="Arial" w:cs="Arial"/>
          <w:sz w:val="20"/>
          <w:szCs w:val="20"/>
        </w:rPr>
        <w:t xml:space="preserve">Jūras konvenciju </w:t>
      </w:r>
      <w:r w:rsidRPr="00700FB4">
        <w:rPr>
          <w:rFonts w:ascii="Arial" w:hAnsi="Arial" w:cs="Arial"/>
          <w:sz w:val="20"/>
          <w:szCs w:val="20"/>
        </w:rPr>
        <w:t>un</w:t>
      </w:r>
      <w:r w:rsidR="00E17FD4" w:rsidRPr="00700FB4">
        <w:rPr>
          <w:rFonts w:ascii="Arial" w:hAnsi="Arial" w:cs="Arial"/>
          <w:sz w:val="20"/>
          <w:szCs w:val="20"/>
        </w:rPr>
        <w:t xml:space="preserve"> 1973.gada 2.novembra Starptautisko Konvenciju par kuģu radītā piesārņojuma novēršanu</w:t>
      </w:r>
      <w:r w:rsidRPr="00700FB4">
        <w:rPr>
          <w:rFonts w:ascii="Arial" w:hAnsi="Arial" w:cs="Arial"/>
          <w:sz w:val="20"/>
          <w:szCs w:val="20"/>
        </w:rPr>
        <w:t xml:space="preserve">, apstrīdot </w:t>
      </w:r>
      <w:r w:rsidR="005912CA" w:rsidRPr="00700FB4">
        <w:rPr>
          <w:rFonts w:ascii="Arial" w:hAnsi="Arial" w:cs="Arial"/>
          <w:sz w:val="20"/>
          <w:szCs w:val="20"/>
        </w:rPr>
        <w:t xml:space="preserve">Kuģu piesārņojuma direktīvas </w:t>
      </w:r>
      <w:r w:rsidRPr="00700FB4">
        <w:rPr>
          <w:rFonts w:ascii="Arial" w:hAnsi="Arial" w:cs="Arial"/>
          <w:sz w:val="20"/>
          <w:szCs w:val="20"/>
        </w:rPr>
        <w:t xml:space="preserve">atbilstību minētajām konvencijām. EST atzina, ka Kopienas starptautiskie pienākumi prevalē pār tās sekundārajiem tiesību aktiem, taču norādīja, ka Direktīvas atbilstība nav vērtējama attiecībā pret </w:t>
      </w:r>
      <w:r w:rsidR="002D416B" w:rsidRPr="00700FB4">
        <w:rPr>
          <w:rFonts w:ascii="Arial" w:hAnsi="Arial" w:cs="Arial"/>
          <w:sz w:val="20"/>
          <w:szCs w:val="20"/>
        </w:rPr>
        <w:t xml:space="preserve">Jūras konvenciju </w:t>
      </w:r>
      <w:r w:rsidRPr="00700FB4">
        <w:rPr>
          <w:rFonts w:ascii="Arial" w:hAnsi="Arial" w:cs="Arial"/>
          <w:sz w:val="20"/>
          <w:szCs w:val="20"/>
        </w:rPr>
        <w:t>un</w:t>
      </w:r>
      <w:r w:rsidR="00E17FD4" w:rsidRPr="00700FB4">
        <w:rPr>
          <w:rFonts w:ascii="Arial" w:hAnsi="Arial" w:cs="Arial"/>
          <w:sz w:val="20"/>
          <w:szCs w:val="20"/>
        </w:rPr>
        <w:t xml:space="preserve"> Kuģa piesārņojuma konvenciju. </w:t>
      </w:r>
      <w:r w:rsidRPr="00700FB4">
        <w:rPr>
          <w:rFonts w:ascii="Arial" w:hAnsi="Arial" w:cs="Arial"/>
          <w:sz w:val="20"/>
          <w:szCs w:val="20"/>
        </w:rPr>
        <w:t xml:space="preserve">Lai arī Direktīva iekļāva atsevišķus </w:t>
      </w:r>
      <w:r w:rsidR="001D6990" w:rsidRPr="00700FB4">
        <w:rPr>
          <w:rFonts w:ascii="Arial" w:hAnsi="Arial" w:cs="Arial"/>
          <w:sz w:val="20"/>
          <w:szCs w:val="20"/>
        </w:rPr>
        <w:t>MARPOL</w:t>
      </w:r>
      <w:r w:rsidR="000C295C" w:rsidRPr="00700FB4">
        <w:rPr>
          <w:rFonts w:ascii="Arial" w:hAnsi="Arial" w:cs="Arial"/>
          <w:sz w:val="20"/>
          <w:szCs w:val="20"/>
        </w:rPr>
        <w:t xml:space="preserve"> </w:t>
      </w:r>
      <w:r w:rsidRPr="00700FB4">
        <w:rPr>
          <w:rFonts w:ascii="Arial" w:hAnsi="Arial" w:cs="Arial"/>
          <w:sz w:val="20"/>
          <w:szCs w:val="20"/>
        </w:rPr>
        <w:t xml:space="preserve">konvencijas noteikumus, tās atbilstību nevar vērtēt </w:t>
      </w:r>
      <w:r w:rsidR="001D6990" w:rsidRPr="00700FB4">
        <w:rPr>
          <w:rFonts w:ascii="Arial" w:hAnsi="Arial" w:cs="Arial"/>
          <w:sz w:val="20"/>
          <w:szCs w:val="20"/>
        </w:rPr>
        <w:t>šīs</w:t>
      </w:r>
      <w:r w:rsidR="000C295C" w:rsidRPr="00700FB4">
        <w:rPr>
          <w:rFonts w:ascii="Arial" w:hAnsi="Arial" w:cs="Arial"/>
          <w:sz w:val="20"/>
          <w:szCs w:val="20"/>
        </w:rPr>
        <w:t xml:space="preserve"> </w:t>
      </w:r>
      <w:r w:rsidRPr="00700FB4">
        <w:rPr>
          <w:rFonts w:ascii="Arial" w:hAnsi="Arial" w:cs="Arial"/>
          <w:sz w:val="20"/>
          <w:szCs w:val="20"/>
        </w:rPr>
        <w:t xml:space="preserve">konvencijas gaismā, jo tā nav saistoša ES (puses ir dalībvalstis, nevis ES). Attiecībā uz </w:t>
      </w:r>
      <w:r w:rsidR="000C295C" w:rsidRPr="00700FB4">
        <w:rPr>
          <w:rFonts w:ascii="Arial" w:hAnsi="Arial" w:cs="Arial"/>
          <w:sz w:val="20"/>
          <w:szCs w:val="20"/>
        </w:rPr>
        <w:t xml:space="preserve">Jūras konvenciju </w:t>
      </w:r>
      <w:r w:rsidRPr="00700FB4">
        <w:rPr>
          <w:rFonts w:ascii="Arial" w:hAnsi="Arial" w:cs="Arial"/>
          <w:sz w:val="20"/>
          <w:szCs w:val="20"/>
        </w:rPr>
        <w:t xml:space="preserve">EST norādīja, ka indivīdiem nav tiesību atsaukties uz tās nosacījumiem, jo </w:t>
      </w:r>
      <w:r w:rsidR="000C295C" w:rsidRPr="00700FB4">
        <w:rPr>
          <w:rFonts w:ascii="Arial" w:hAnsi="Arial" w:cs="Arial"/>
          <w:sz w:val="20"/>
          <w:szCs w:val="20"/>
        </w:rPr>
        <w:t xml:space="preserve">Jūras konvencija </w:t>
      </w:r>
      <w:r w:rsidRPr="00700FB4">
        <w:rPr>
          <w:rFonts w:ascii="Arial" w:hAnsi="Arial" w:cs="Arial"/>
          <w:sz w:val="20"/>
          <w:szCs w:val="20"/>
        </w:rPr>
        <w:t xml:space="preserve">neievieš noteikumus, kas būtu paredzēti, lai tos tieši un nekavējoties piemērotu konkrētām personām un piešķirtu tām tiesības vai brīvības, uz kurām tās varētu atsaukties pret valstīm. Tātad </w:t>
      </w:r>
      <w:r w:rsidR="000C295C" w:rsidRPr="00700FB4">
        <w:rPr>
          <w:rFonts w:ascii="Arial" w:hAnsi="Arial" w:cs="Arial"/>
          <w:b/>
          <w:sz w:val="20"/>
          <w:szCs w:val="20"/>
        </w:rPr>
        <w:t xml:space="preserve">Jūras konvencijai </w:t>
      </w:r>
      <w:r w:rsidRPr="00700FB4">
        <w:rPr>
          <w:rFonts w:ascii="Arial" w:hAnsi="Arial" w:cs="Arial"/>
          <w:b/>
          <w:sz w:val="20"/>
          <w:szCs w:val="20"/>
        </w:rPr>
        <w:t>nav vertikālās tiešās iedarbības</w:t>
      </w:r>
      <w:r w:rsidR="00457E80" w:rsidRPr="00700FB4">
        <w:rPr>
          <w:rFonts w:ascii="Arial" w:hAnsi="Arial" w:cs="Arial"/>
          <w:sz w:val="20"/>
          <w:szCs w:val="20"/>
        </w:rPr>
        <w:t>, proti</w:t>
      </w:r>
      <w:r w:rsidRPr="00700FB4">
        <w:rPr>
          <w:rFonts w:ascii="Arial" w:hAnsi="Arial" w:cs="Arial"/>
          <w:sz w:val="20"/>
          <w:szCs w:val="20"/>
        </w:rPr>
        <w:t>, indivīdi nevar atsaukties uz to attiecībās ar valsti.</w:t>
      </w:r>
    </w:p>
    <w:p w:rsidR="00293C96" w:rsidRPr="00700FB4" w:rsidRDefault="00293C96" w:rsidP="00457E80">
      <w:pPr>
        <w:pStyle w:val="NoSpacing"/>
        <w:jc w:val="both"/>
        <w:rPr>
          <w:rFonts w:ascii="Arial" w:hAnsi="Arial" w:cs="Arial"/>
          <w:sz w:val="20"/>
          <w:szCs w:val="20"/>
        </w:rPr>
      </w:pPr>
    </w:p>
    <w:p w:rsidR="00293C96" w:rsidRPr="00700FB4" w:rsidRDefault="00293C96" w:rsidP="00457E80">
      <w:pPr>
        <w:pStyle w:val="NoSpacing"/>
        <w:jc w:val="both"/>
        <w:rPr>
          <w:rFonts w:ascii="Arial" w:hAnsi="Arial" w:cs="Arial"/>
          <w:sz w:val="20"/>
          <w:szCs w:val="20"/>
        </w:rPr>
      </w:pPr>
      <w:r w:rsidRPr="00700FB4">
        <w:rPr>
          <w:rFonts w:ascii="Arial" w:hAnsi="Arial" w:cs="Arial"/>
          <w:sz w:val="20"/>
          <w:szCs w:val="20"/>
        </w:rPr>
        <w:t xml:space="preserve">Spriedumā lietā </w:t>
      </w:r>
      <w:r w:rsidRPr="00700FB4">
        <w:rPr>
          <w:rFonts w:ascii="Arial" w:hAnsi="Arial" w:cs="Arial"/>
          <w:b/>
          <w:sz w:val="20"/>
          <w:szCs w:val="20"/>
        </w:rPr>
        <w:t>C-366/10</w:t>
      </w:r>
      <w:r w:rsidRPr="00700FB4">
        <w:rPr>
          <w:rStyle w:val="FootnoteReference"/>
          <w:rFonts w:ascii="Arial" w:hAnsi="Arial" w:cs="Arial"/>
          <w:sz w:val="20"/>
          <w:szCs w:val="20"/>
        </w:rPr>
        <w:footnoteReference w:id="51"/>
      </w:r>
      <w:r w:rsidRPr="00700FB4">
        <w:rPr>
          <w:rFonts w:ascii="Arial" w:hAnsi="Arial" w:cs="Arial"/>
          <w:sz w:val="20"/>
          <w:szCs w:val="20"/>
        </w:rPr>
        <w:t xml:space="preserve"> EST bija izlemjams, vai indivīds, kura galvenais birojs atrodas </w:t>
      </w:r>
      <w:r w:rsidR="00E51601" w:rsidRPr="00700FB4">
        <w:rPr>
          <w:rFonts w:ascii="Arial" w:hAnsi="Arial" w:cs="Arial"/>
          <w:sz w:val="20"/>
          <w:szCs w:val="20"/>
        </w:rPr>
        <w:t>Amerikas Savienotās Valstīs</w:t>
      </w:r>
      <w:r w:rsidRPr="00700FB4">
        <w:rPr>
          <w:rFonts w:ascii="Arial" w:hAnsi="Arial" w:cs="Arial"/>
          <w:sz w:val="20"/>
          <w:szCs w:val="20"/>
        </w:rPr>
        <w:t>, var atsaukties uz starptautiskajām jūras paražu tiesībām atbilstoši kurām neviena valsts nevar iekļaut nevienu atklātās jūras daļu savā suverēnajā varā (ieskaitot gaisa telpu virs atklātās jūras), apstrīdot ES seku</w:t>
      </w:r>
      <w:r w:rsidR="00457E80" w:rsidRPr="00700FB4">
        <w:rPr>
          <w:rFonts w:ascii="Arial" w:hAnsi="Arial" w:cs="Arial"/>
          <w:sz w:val="20"/>
          <w:szCs w:val="20"/>
        </w:rPr>
        <w:t>ndāro tiesību aktu, proti</w:t>
      </w:r>
      <w:r w:rsidRPr="00700FB4">
        <w:rPr>
          <w:rFonts w:ascii="Arial" w:hAnsi="Arial" w:cs="Arial"/>
          <w:sz w:val="20"/>
          <w:szCs w:val="20"/>
        </w:rPr>
        <w:t>, Direktīvu 2008/101/EK (2008.gada 19.novembris), ar ko groza Direktīvu 2003/87/EK, lai aviācijas darbības iekļautu Kopienas siltumnīcas efektu izraisošo gāzu emisijas kvotu tirdzniecības sistēmā. EST atzina, ka, tā kā starptautisko paražu tiesību principu precizitātes pakāpe nav tāda pati kā starptautiskā nolīguma tiesību normām, tiesas kontrolei ir jābūt ierobežotai ar jautājumu, vai, pieņemot attiecīgo aktu, ES iestādes saistībā ar šo principu piemērošanas nosacījumiem nav pieļāvušas acīmredzamu kļūdu vērtējumā. Izvērtējot Direktīvu, EST secināja, ka tā nav atzīstama par spēkā neesošu.</w:t>
      </w:r>
    </w:p>
    <w:p w:rsidR="00293C96" w:rsidRPr="00700FB4" w:rsidRDefault="00293C96" w:rsidP="00457E80">
      <w:pPr>
        <w:pStyle w:val="NoSpacing"/>
        <w:jc w:val="both"/>
        <w:rPr>
          <w:rFonts w:ascii="Arial" w:hAnsi="Arial" w:cs="Arial"/>
          <w:sz w:val="20"/>
          <w:szCs w:val="20"/>
        </w:rPr>
      </w:pPr>
    </w:p>
    <w:p w:rsidR="00293C96" w:rsidRPr="00700FB4" w:rsidRDefault="00293C96" w:rsidP="00457E80">
      <w:pPr>
        <w:pStyle w:val="NoSpacing"/>
        <w:jc w:val="both"/>
        <w:rPr>
          <w:rFonts w:ascii="Arial" w:hAnsi="Arial" w:cs="Arial"/>
          <w:sz w:val="20"/>
          <w:szCs w:val="20"/>
        </w:rPr>
      </w:pPr>
      <w:r w:rsidRPr="00700FB4">
        <w:rPr>
          <w:rFonts w:ascii="Arial" w:hAnsi="Arial" w:cs="Arial"/>
          <w:sz w:val="20"/>
          <w:szCs w:val="20"/>
        </w:rPr>
        <w:lastRenderedPageBreak/>
        <w:t xml:space="preserve">Attiecībā uz kuģošanu ne LES, ne LESD neparedz ES ārējo kompetenci, taču spriedumā lietā </w:t>
      </w:r>
      <w:r w:rsidRPr="00700FB4">
        <w:rPr>
          <w:rFonts w:ascii="Arial" w:hAnsi="Arial" w:cs="Arial"/>
          <w:b/>
          <w:sz w:val="20"/>
          <w:szCs w:val="20"/>
        </w:rPr>
        <w:t>C-22/70</w:t>
      </w:r>
      <w:r w:rsidRPr="00700FB4">
        <w:rPr>
          <w:rStyle w:val="FootnoteReference"/>
          <w:rFonts w:ascii="Arial" w:hAnsi="Arial" w:cs="Arial"/>
          <w:sz w:val="20"/>
          <w:szCs w:val="20"/>
        </w:rPr>
        <w:footnoteReference w:id="52"/>
      </w:r>
      <w:r w:rsidRPr="00700FB4">
        <w:rPr>
          <w:rFonts w:ascii="Arial" w:hAnsi="Arial" w:cs="Arial"/>
          <w:sz w:val="20"/>
          <w:szCs w:val="20"/>
        </w:rPr>
        <w:t xml:space="preserve"> EST atzina, ka attiecībā uz ES dibināšanas līgumu noteikumu ieviešanu ES iekšējo pasākumu sistēmu nevar nodalīt no ārējo attiecību sistēmas. Tātad ES iegūst ārējo kompetenci jomās, kurās tā pieņ</w:t>
      </w:r>
      <w:r w:rsidR="00457E80" w:rsidRPr="00700FB4">
        <w:rPr>
          <w:rFonts w:ascii="Arial" w:hAnsi="Arial" w:cs="Arial"/>
          <w:sz w:val="20"/>
          <w:szCs w:val="20"/>
        </w:rPr>
        <w:t>em iekšējus tiesību aktus (</w:t>
      </w:r>
      <w:r w:rsidRPr="00700FB4">
        <w:rPr>
          <w:rFonts w:ascii="Arial" w:hAnsi="Arial" w:cs="Arial"/>
          <w:sz w:val="20"/>
          <w:szCs w:val="20"/>
        </w:rPr>
        <w:t>ES dalībvalstīm saistošus aktus). Tādējādi ES netieši iegūst ārējo kompetenci, pamatojoties uz to, ka pēdējo gadu laikā paplašināts ES tiesību aktu saraksts kuģošanas drošības jomā.</w:t>
      </w:r>
      <w:r w:rsidRPr="00700FB4">
        <w:rPr>
          <w:rStyle w:val="FootnoteReference"/>
          <w:rFonts w:ascii="Arial" w:hAnsi="Arial" w:cs="Arial"/>
          <w:sz w:val="20"/>
          <w:szCs w:val="20"/>
        </w:rPr>
        <w:footnoteReference w:id="53"/>
      </w:r>
    </w:p>
    <w:p w:rsidR="00293C96" w:rsidRPr="00700FB4" w:rsidRDefault="00293C96" w:rsidP="00457E80">
      <w:pPr>
        <w:pStyle w:val="NoSpacing"/>
        <w:jc w:val="both"/>
        <w:rPr>
          <w:rFonts w:ascii="Arial" w:hAnsi="Arial" w:cs="Arial"/>
          <w:sz w:val="20"/>
          <w:szCs w:val="20"/>
        </w:rPr>
      </w:pPr>
    </w:p>
    <w:p w:rsidR="00293C96" w:rsidRPr="00700FB4" w:rsidRDefault="00293C96" w:rsidP="00457E80">
      <w:pPr>
        <w:pStyle w:val="NoSpacing"/>
        <w:jc w:val="both"/>
        <w:rPr>
          <w:rFonts w:ascii="Arial" w:hAnsi="Arial" w:cs="Arial"/>
          <w:sz w:val="20"/>
          <w:szCs w:val="20"/>
        </w:rPr>
      </w:pPr>
      <w:r w:rsidRPr="00700FB4">
        <w:rPr>
          <w:rFonts w:ascii="Arial" w:hAnsi="Arial" w:cs="Arial"/>
          <w:sz w:val="20"/>
          <w:szCs w:val="20"/>
        </w:rPr>
        <w:t xml:space="preserve">Iepriekš minētajā spriedumā nostiprinātais princips vēl joprojām paplašinās. Proti, spriedumā lietā </w:t>
      </w:r>
      <w:r w:rsidRPr="00700FB4">
        <w:rPr>
          <w:rFonts w:ascii="Arial" w:hAnsi="Arial" w:cs="Arial"/>
          <w:b/>
          <w:sz w:val="20"/>
          <w:szCs w:val="20"/>
        </w:rPr>
        <w:t>C-45/07</w:t>
      </w:r>
      <w:r w:rsidRPr="00700FB4">
        <w:rPr>
          <w:rStyle w:val="FootnoteReference"/>
          <w:rFonts w:ascii="Arial" w:hAnsi="Arial" w:cs="Arial"/>
          <w:sz w:val="20"/>
          <w:szCs w:val="20"/>
        </w:rPr>
        <w:footnoteReference w:id="54"/>
      </w:r>
      <w:r w:rsidRPr="00700FB4">
        <w:rPr>
          <w:rFonts w:ascii="Arial" w:hAnsi="Arial" w:cs="Arial"/>
          <w:sz w:val="20"/>
          <w:szCs w:val="20"/>
        </w:rPr>
        <w:t xml:space="preserve"> EST atzina, ka Kopienas ekskluzīvā kompetence netraucē dalībvalstu aktīvu dalību Starptautiskajā jūrniecības organizācijā, ja šīs starptautiskās organizācijas ietvaros dalībvalstu izteiktās nostājas vispirms tiek saskaņotas </w:t>
      </w:r>
      <w:r w:rsidR="00E51601" w:rsidRPr="00700FB4">
        <w:rPr>
          <w:rFonts w:ascii="Arial" w:hAnsi="Arial" w:cs="Arial"/>
          <w:sz w:val="20"/>
          <w:szCs w:val="20"/>
        </w:rPr>
        <w:t xml:space="preserve">Eiropas </w:t>
      </w:r>
      <w:r w:rsidRPr="00700FB4">
        <w:rPr>
          <w:rFonts w:ascii="Arial" w:hAnsi="Arial" w:cs="Arial"/>
          <w:sz w:val="20"/>
          <w:szCs w:val="20"/>
        </w:rPr>
        <w:t>Kopienā. Gadījumā, ja šāda saskaņošana nav notikusi, bet dalībvalsts ir organizācijā iesniegusi vienpusēju priekšlikumu, tādējādi uzsākot procesu, kura rezultātā iespējama jaunu starptautisku noteikumu pieņemšana un līdz ar to – tiem var būt ietekme uz ES attiecīgajiem tiesību aktiem, ir noticis ES tiesību pārkāpums.</w:t>
      </w:r>
      <w:r w:rsidRPr="00700FB4">
        <w:rPr>
          <w:rStyle w:val="FootnoteReference"/>
          <w:rFonts w:ascii="Arial" w:hAnsi="Arial" w:cs="Arial"/>
          <w:sz w:val="20"/>
          <w:szCs w:val="20"/>
        </w:rPr>
        <w:footnoteReference w:id="55"/>
      </w:r>
    </w:p>
    <w:p w:rsidR="00293C96" w:rsidRPr="00700FB4" w:rsidRDefault="00293C96" w:rsidP="00457E80">
      <w:pPr>
        <w:pStyle w:val="NoSpacing"/>
        <w:jc w:val="both"/>
        <w:rPr>
          <w:rFonts w:ascii="Arial" w:hAnsi="Arial" w:cs="Arial"/>
          <w:sz w:val="20"/>
          <w:szCs w:val="20"/>
        </w:rPr>
      </w:pPr>
    </w:p>
    <w:p w:rsidR="00293C96" w:rsidRPr="00700FB4" w:rsidRDefault="00293C96" w:rsidP="00665269">
      <w:pPr>
        <w:pStyle w:val="Heading3"/>
      </w:pPr>
      <w:bookmarkStart w:id="18" w:name="_Toc460402333"/>
      <w:r w:rsidRPr="00700FB4">
        <w:t>[2.5.2] Jūras tiesības</w:t>
      </w:r>
      <w:r w:rsidR="00D2714A" w:rsidRPr="00700FB4">
        <w:t xml:space="preserve">, </w:t>
      </w:r>
      <w:r w:rsidRPr="00700FB4">
        <w:t>ES tie</w:t>
      </w:r>
      <w:r w:rsidR="00D2714A" w:rsidRPr="00700FB4">
        <w:t xml:space="preserve">sību ģeogrāfiskā piemērojamība, </w:t>
      </w:r>
      <w:r w:rsidRPr="00700FB4">
        <w:t>vides tiesības</w:t>
      </w:r>
      <w:bookmarkEnd w:id="18"/>
    </w:p>
    <w:p w:rsidR="00293C96" w:rsidRPr="00700FB4" w:rsidRDefault="00293C96" w:rsidP="00457E80">
      <w:pPr>
        <w:pStyle w:val="NoSpacing"/>
        <w:jc w:val="both"/>
        <w:rPr>
          <w:rFonts w:ascii="Arial" w:hAnsi="Arial" w:cs="Arial"/>
          <w:sz w:val="20"/>
          <w:szCs w:val="20"/>
        </w:rPr>
      </w:pPr>
      <w:r w:rsidRPr="00700FB4">
        <w:rPr>
          <w:rFonts w:ascii="Arial" w:hAnsi="Arial" w:cs="Arial"/>
          <w:sz w:val="20"/>
          <w:szCs w:val="20"/>
        </w:rPr>
        <w:t xml:space="preserve">Spriedumā lietā </w:t>
      </w:r>
      <w:r w:rsidRPr="00700FB4">
        <w:rPr>
          <w:rFonts w:ascii="Arial" w:hAnsi="Arial" w:cs="Arial"/>
          <w:b/>
          <w:sz w:val="20"/>
          <w:szCs w:val="20"/>
        </w:rPr>
        <w:t>C-6/04</w:t>
      </w:r>
      <w:r w:rsidRPr="00700FB4">
        <w:rPr>
          <w:rStyle w:val="FootnoteReference"/>
          <w:rFonts w:ascii="Arial" w:hAnsi="Arial" w:cs="Arial"/>
          <w:sz w:val="20"/>
          <w:szCs w:val="20"/>
        </w:rPr>
        <w:footnoteReference w:id="56"/>
      </w:r>
      <w:r w:rsidRPr="00700FB4">
        <w:rPr>
          <w:rFonts w:ascii="Arial" w:hAnsi="Arial" w:cs="Arial"/>
          <w:b/>
          <w:sz w:val="20"/>
          <w:szCs w:val="20"/>
        </w:rPr>
        <w:t xml:space="preserve"> </w:t>
      </w:r>
      <w:r w:rsidRPr="00700FB4">
        <w:rPr>
          <w:rFonts w:ascii="Arial" w:hAnsi="Arial" w:cs="Arial"/>
          <w:sz w:val="20"/>
          <w:szCs w:val="20"/>
        </w:rPr>
        <w:t xml:space="preserve">EST atzina, ka Dzīvotņu direktīva ir piemērojama aiz dalībvalstu teritoriālajiem ūdeņiem, proti, </w:t>
      </w:r>
      <w:r w:rsidR="00E51601" w:rsidRPr="00700FB4">
        <w:rPr>
          <w:rFonts w:ascii="Arial" w:hAnsi="Arial" w:cs="Arial"/>
          <w:sz w:val="20"/>
          <w:szCs w:val="20"/>
        </w:rPr>
        <w:t xml:space="preserve">Ekskluzīvā zonā </w:t>
      </w:r>
      <w:r w:rsidRPr="00700FB4">
        <w:rPr>
          <w:rFonts w:ascii="Arial" w:hAnsi="Arial" w:cs="Arial"/>
          <w:sz w:val="20"/>
          <w:szCs w:val="20"/>
        </w:rPr>
        <w:t xml:space="preserve">un kontinentālajā šelfā, ja dalībvalsts izmanto savas tiesības šajās teritorijās. Proti, konkrētajā lietā nebija strīda par to, ka Apvienotā Karaliste savā ekonomiskajā zonā un kontinentālajā šelfā izmanto savas suverēnās tiesības, ne arī par to, ka Dzīvotņu direktīva šajā ziņā ir piemērojama ārpus dalībvalstu teritoriālajiem ūdeņiem. Tātad tā ir piemērojama šajā </w:t>
      </w:r>
      <w:r w:rsidR="00E51601" w:rsidRPr="00700FB4">
        <w:rPr>
          <w:rFonts w:ascii="Arial" w:hAnsi="Arial" w:cs="Arial"/>
          <w:sz w:val="20"/>
          <w:szCs w:val="20"/>
        </w:rPr>
        <w:t>Ekskluzīvā zona</w:t>
      </w:r>
      <w:r w:rsidRPr="00700FB4">
        <w:rPr>
          <w:rFonts w:ascii="Arial" w:hAnsi="Arial" w:cs="Arial"/>
          <w:sz w:val="20"/>
          <w:szCs w:val="20"/>
        </w:rPr>
        <w:t>.</w:t>
      </w:r>
    </w:p>
    <w:p w:rsidR="00293C96" w:rsidRPr="00700FB4" w:rsidRDefault="00293C96" w:rsidP="00457E80">
      <w:pPr>
        <w:pStyle w:val="NoSpacing"/>
        <w:jc w:val="both"/>
        <w:rPr>
          <w:rFonts w:ascii="Arial" w:hAnsi="Arial" w:cs="Arial"/>
          <w:sz w:val="20"/>
          <w:szCs w:val="20"/>
        </w:rPr>
      </w:pPr>
    </w:p>
    <w:p w:rsidR="00293C96" w:rsidRPr="00700FB4" w:rsidRDefault="00293C96" w:rsidP="00457E80">
      <w:pPr>
        <w:pStyle w:val="NoSpacing"/>
        <w:jc w:val="both"/>
        <w:rPr>
          <w:rFonts w:ascii="Arial" w:hAnsi="Arial" w:cs="Arial"/>
          <w:sz w:val="20"/>
          <w:szCs w:val="20"/>
        </w:rPr>
      </w:pPr>
      <w:r w:rsidRPr="00700FB4">
        <w:rPr>
          <w:rFonts w:ascii="Arial" w:hAnsi="Arial" w:cs="Arial"/>
          <w:sz w:val="20"/>
          <w:szCs w:val="20"/>
        </w:rPr>
        <w:t xml:space="preserve">Lietā </w:t>
      </w:r>
      <w:r w:rsidRPr="00700FB4">
        <w:rPr>
          <w:rFonts w:ascii="Arial" w:hAnsi="Arial" w:cs="Arial"/>
          <w:b/>
          <w:sz w:val="20"/>
          <w:szCs w:val="20"/>
        </w:rPr>
        <w:t>C-111/05</w:t>
      </w:r>
      <w:r w:rsidRPr="00700FB4">
        <w:rPr>
          <w:rStyle w:val="FootnoteReference"/>
          <w:rFonts w:ascii="Arial" w:hAnsi="Arial" w:cs="Arial"/>
          <w:sz w:val="20"/>
          <w:szCs w:val="20"/>
        </w:rPr>
        <w:footnoteReference w:id="57"/>
      </w:r>
      <w:r w:rsidRPr="00700FB4">
        <w:rPr>
          <w:rFonts w:ascii="Arial" w:hAnsi="Arial" w:cs="Arial"/>
          <w:sz w:val="20"/>
          <w:szCs w:val="20"/>
        </w:rPr>
        <w:t xml:space="preserve"> zemūdens kabeļu piegādei un uzstādīšanai tika piemērota Sestā </w:t>
      </w:r>
      <w:r w:rsidR="00E51601" w:rsidRPr="00700FB4">
        <w:rPr>
          <w:rFonts w:ascii="Arial" w:hAnsi="Arial" w:cs="Arial"/>
          <w:sz w:val="20"/>
          <w:szCs w:val="20"/>
        </w:rPr>
        <w:t xml:space="preserve">pievienotās vērtības nodokļa </w:t>
      </w:r>
      <w:r w:rsidRPr="00700FB4">
        <w:rPr>
          <w:rFonts w:ascii="Arial" w:hAnsi="Arial" w:cs="Arial"/>
          <w:sz w:val="20"/>
          <w:szCs w:val="20"/>
        </w:rPr>
        <w:t xml:space="preserve">direktīva. EST atzina, ka piekrastes valsts suverenitāte </w:t>
      </w:r>
      <w:r w:rsidR="00E51601" w:rsidRPr="00700FB4">
        <w:rPr>
          <w:rFonts w:ascii="Arial" w:hAnsi="Arial" w:cs="Arial"/>
          <w:sz w:val="20"/>
          <w:szCs w:val="20"/>
        </w:rPr>
        <w:t xml:space="preserve">Ekskluzīvā zonā </w:t>
      </w:r>
      <w:r w:rsidRPr="00700FB4">
        <w:rPr>
          <w:rFonts w:ascii="Arial" w:hAnsi="Arial" w:cs="Arial"/>
          <w:sz w:val="20"/>
          <w:szCs w:val="20"/>
        </w:rPr>
        <w:t xml:space="preserve">un kontinentālajā šelfā ir tikai funkcionāla un kā tāda tā ietver </w:t>
      </w:r>
      <w:r w:rsidR="00FC2172" w:rsidRPr="00700FB4">
        <w:rPr>
          <w:rFonts w:ascii="Arial" w:hAnsi="Arial" w:cs="Arial"/>
          <w:sz w:val="20"/>
          <w:szCs w:val="20"/>
        </w:rPr>
        <w:t>Jūras k</w:t>
      </w:r>
      <w:r w:rsidRPr="00700FB4">
        <w:rPr>
          <w:rFonts w:ascii="Arial" w:hAnsi="Arial" w:cs="Arial"/>
          <w:sz w:val="20"/>
          <w:szCs w:val="20"/>
        </w:rPr>
        <w:t xml:space="preserve">onvencijas 56. un 77.pantā paredzētās tiesības veikt izpēti un resursu ieguvi. Tā kā kabeļa piegāde un uzstādīšana jūras gultnē nav šajos pantos uzskaitītās darbības, piekrastes valsts suverenitāte neattiecas uz darījuma daļu, kas veikta šajās divās zonās. Tātad šīm darbībām, kas veiktas </w:t>
      </w:r>
      <w:r w:rsidR="00E51601" w:rsidRPr="00700FB4">
        <w:rPr>
          <w:rFonts w:ascii="Arial" w:hAnsi="Arial" w:cs="Arial"/>
          <w:sz w:val="20"/>
          <w:szCs w:val="20"/>
        </w:rPr>
        <w:t xml:space="preserve">Ekskluzīvā zonā </w:t>
      </w:r>
      <w:r w:rsidRPr="00700FB4">
        <w:rPr>
          <w:rFonts w:ascii="Arial" w:hAnsi="Arial" w:cs="Arial"/>
          <w:sz w:val="20"/>
          <w:szCs w:val="20"/>
        </w:rPr>
        <w:t xml:space="preserve">un kontinentālajā šelfā, nav piemērojams </w:t>
      </w:r>
      <w:r w:rsidR="00E51601" w:rsidRPr="00700FB4">
        <w:rPr>
          <w:rFonts w:ascii="Arial" w:hAnsi="Arial" w:cs="Arial"/>
          <w:sz w:val="20"/>
          <w:szCs w:val="20"/>
        </w:rPr>
        <w:t>pievienotās vērtības nodoklis</w:t>
      </w:r>
      <w:r w:rsidRPr="00700FB4">
        <w:rPr>
          <w:rFonts w:ascii="Arial" w:hAnsi="Arial" w:cs="Arial"/>
          <w:sz w:val="20"/>
          <w:szCs w:val="20"/>
        </w:rPr>
        <w:t>.</w:t>
      </w:r>
    </w:p>
    <w:p w:rsidR="00293C96" w:rsidRPr="00700FB4" w:rsidRDefault="00293C96" w:rsidP="00457E80">
      <w:pPr>
        <w:pStyle w:val="NoSpacing"/>
        <w:jc w:val="both"/>
        <w:rPr>
          <w:rFonts w:ascii="Arial" w:hAnsi="Arial" w:cs="Arial"/>
          <w:sz w:val="20"/>
          <w:szCs w:val="20"/>
        </w:rPr>
      </w:pPr>
    </w:p>
    <w:p w:rsidR="00293C96" w:rsidRPr="00700FB4" w:rsidRDefault="00293C96" w:rsidP="00457E80">
      <w:pPr>
        <w:pStyle w:val="NoSpacing"/>
        <w:jc w:val="both"/>
        <w:rPr>
          <w:rFonts w:ascii="Arial" w:hAnsi="Arial" w:cs="Arial"/>
          <w:sz w:val="20"/>
          <w:szCs w:val="20"/>
        </w:rPr>
      </w:pPr>
      <w:r w:rsidRPr="00700FB4">
        <w:rPr>
          <w:rFonts w:ascii="Arial" w:hAnsi="Arial" w:cs="Arial"/>
          <w:sz w:val="20"/>
          <w:szCs w:val="20"/>
        </w:rPr>
        <w:t xml:space="preserve">Lietā </w:t>
      </w:r>
      <w:r w:rsidRPr="00700FB4">
        <w:rPr>
          <w:rFonts w:ascii="Arial" w:hAnsi="Arial" w:cs="Arial"/>
          <w:b/>
          <w:sz w:val="20"/>
          <w:szCs w:val="20"/>
        </w:rPr>
        <w:t>C-347/10</w:t>
      </w:r>
      <w:r w:rsidRPr="00700FB4">
        <w:rPr>
          <w:rStyle w:val="FootnoteReference"/>
          <w:rFonts w:ascii="Arial" w:hAnsi="Arial" w:cs="Arial"/>
          <w:sz w:val="20"/>
          <w:szCs w:val="20"/>
        </w:rPr>
        <w:footnoteReference w:id="58"/>
      </w:r>
      <w:r w:rsidRPr="00700FB4">
        <w:rPr>
          <w:rFonts w:ascii="Arial" w:hAnsi="Arial" w:cs="Arial"/>
          <w:sz w:val="20"/>
          <w:szCs w:val="20"/>
        </w:rPr>
        <w:t xml:space="preserve"> EST atzina, ka darbs, kas veikts uz Nīderlandes kontinentālajā šelfā esošām nostiprinātām vai peldošām ie</w:t>
      </w:r>
      <w:r w:rsidR="00457E80" w:rsidRPr="00700FB4">
        <w:rPr>
          <w:rFonts w:ascii="Arial" w:hAnsi="Arial" w:cs="Arial"/>
          <w:sz w:val="20"/>
          <w:szCs w:val="20"/>
        </w:rPr>
        <w:t xml:space="preserve">kārtām saistībā ar izpētes </w:t>
      </w:r>
      <w:r w:rsidRPr="00700FB4">
        <w:rPr>
          <w:rFonts w:ascii="Arial" w:hAnsi="Arial" w:cs="Arial"/>
          <w:sz w:val="20"/>
          <w:szCs w:val="20"/>
        </w:rPr>
        <w:t>vai dabas resursu ieguves darbībām, saskaņā ar ES tiesībām jāuzskata par veiktu minētās valsts teritorijā. EST atsaucās uz ANO Starptautiskās tiesas praksi, bet konkrēti – uz jau iepriekš minēto Ziemeļjūras kontinentālā šelfa lietu, secinot, ka kontinentālais šelfs ir valsts teritorijas dabiskais turpinājums jūras dzelmē.</w:t>
      </w:r>
    </w:p>
    <w:p w:rsidR="00293C96" w:rsidRPr="00700FB4" w:rsidRDefault="00293C96" w:rsidP="00457E80">
      <w:pPr>
        <w:pStyle w:val="NoSpacing"/>
        <w:jc w:val="both"/>
        <w:rPr>
          <w:rFonts w:ascii="Arial" w:hAnsi="Arial" w:cs="Arial"/>
          <w:sz w:val="20"/>
          <w:szCs w:val="20"/>
        </w:rPr>
      </w:pPr>
    </w:p>
    <w:p w:rsidR="00293C96" w:rsidRPr="00700FB4" w:rsidRDefault="00293C96" w:rsidP="00457E80">
      <w:pPr>
        <w:pStyle w:val="NoSpacing"/>
        <w:jc w:val="both"/>
        <w:rPr>
          <w:rFonts w:ascii="Arial" w:hAnsi="Arial" w:cs="Arial"/>
          <w:sz w:val="20"/>
          <w:szCs w:val="20"/>
        </w:rPr>
      </w:pPr>
      <w:r w:rsidRPr="00700FB4">
        <w:rPr>
          <w:rFonts w:ascii="Arial" w:hAnsi="Arial" w:cs="Arial"/>
          <w:sz w:val="20"/>
          <w:szCs w:val="20"/>
        </w:rPr>
        <w:t xml:space="preserve">Spriedumā lietā </w:t>
      </w:r>
      <w:r w:rsidRPr="00700FB4">
        <w:rPr>
          <w:rFonts w:ascii="Arial" w:hAnsi="Arial" w:cs="Arial"/>
          <w:b/>
          <w:sz w:val="20"/>
          <w:szCs w:val="20"/>
        </w:rPr>
        <w:t>C-61/77</w:t>
      </w:r>
      <w:r w:rsidRPr="00700FB4">
        <w:rPr>
          <w:rStyle w:val="FootnoteReference"/>
          <w:rFonts w:ascii="Arial" w:hAnsi="Arial" w:cs="Arial"/>
          <w:sz w:val="20"/>
          <w:szCs w:val="20"/>
        </w:rPr>
        <w:footnoteReference w:id="59"/>
      </w:r>
      <w:r w:rsidRPr="00700FB4">
        <w:rPr>
          <w:rFonts w:ascii="Arial" w:hAnsi="Arial" w:cs="Arial"/>
          <w:sz w:val="20"/>
          <w:szCs w:val="20"/>
        </w:rPr>
        <w:t xml:space="preserve"> EST atzina, ka jebkuras izmaiņas dalībvalstu jūras teritorijās automātiski nozīmē identiskas izmaiņas attiecībā uz Kopienas tiesību ģeogrāfisko piemērojamību. Tātad, ja dalībvalsts maina savas bāzes līnijas, tam automātiski ir ietekme uz tās teritorijas robežām, kurā piekrastes zvejniekiem ir ekskluzīvas tiesības zvejot.</w:t>
      </w:r>
    </w:p>
    <w:p w:rsidR="00293C96" w:rsidRPr="00700FB4" w:rsidRDefault="00293C96" w:rsidP="00457E80">
      <w:pPr>
        <w:pStyle w:val="NoSpacing"/>
        <w:jc w:val="both"/>
        <w:rPr>
          <w:rFonts w:ascii="Arial" w:hAnsi="Arial" w:cs="Arial"/>
          <w:sz w:val="20"/>
          <w:szCs w:val="20"/>
        </w:rPr>
      </w:pPr>
    </w:p>
    <w:p w:rsidR="00293C96" w:rsidRPr="00700FB4" w:rsidRDefault="00293C96" w:rsidP="00457E80">
      <w:pPr>
        <w:pStyle w:val="NoSpacing"/>
        <w:jc w:val="both"/>
        <w:rPr>
          <w:rFonts w:ascii="Arial" w:hAnsi="Arial" w:cs="Arial"/>
          <w:sz w:val="20"/>
          <w:szCs w:val="20"/>
        </w:rPr>
      </w:pPr>
      <w:r w:rsidRPr="00700FB4">
        <w:rPr>
          <w:rFonts w:ascii="Arial" w:hAnsi="Arial" w:cs="Arial"/>
          <w:sz w:val="20"/>
          <w:szCs w:val="20"/>
        </w:rPr>
        <w:t xml:space="preserve">Spriedumā lietā </w:t>
      </w:r>
      <w:r w:rsidRPr="00700FB4">
        <w:rPr>
          <w:rFonts w:ascii="Arial" w:hAnsi="Arial" w:cs="Arial"/>
          <w:b/>
          <w:sz w:val="20"/>
          <w:szCs w:val="20"/>
        </w:rPr>
        <w:t>C-2/90</w:t>
      </w:r>
      <w:r w:rsidRPr="00700FB4">
        <w:rPr>
          <w:rStyle w:val="FootnoteReference"/>
          <w:rFonts w:ascii="Arial" w:hAnsi="Arial" w:cs="Arial"/>
          <w:sz w:val="20"/>
          <w:szCs w:val="20"/>
        </w:rPr>
        <w:footnoteReference w:id="60"/>
      </w:r>
      <w:r w:rsidRPr="00700FB4">
        <w:rPr>
          <w:rFonts w:ascii="Arial" w:hAnsi="Arial" w:cs="Arial"/>
          <w:sz w:val="20"/>
          <w:szCs w:val="20"/>
        </w:rPr>
        <w:t xml:space="preserve"> EST atzina, ka atkritumi ir “prece” ES dibināšanas līgumu izpratnē, tādēļ to pārvietošanas brīvību nedrīkstētu ierobežot. Taču ierobežojumus atkritumu pārvietošanas brīvībai var piemērot, lai aizsargātu vidi. Tātad arī jūras piesārņošana, izmetot tajā atkritumus, vides aizsardzības nolūkos nav pieļaujama.</w:t>
      </w:r>
    </w:p>
    <w:p w:rsidR="00293C96" w:rsidRPr="00700FB4" w:rsidRDefault="00293C96" w:rsidP="00457E80">
      <w:pPr>
        <w:pStyle w:val="NoSpacing"/>
        <w:rPr>
          <w:rFonts w:ascii="Arial" w:hAnsi="Arial" w:cs="Arial"/>
          <w:sz w:val="20"/>
          <w:szCs w:val="20"/>
        </w:rPr>
      </w:pPr>
    </w:p>
    <w:p w:rsidR="00D16C6C" w:rsidRPr="00700FB4" w:rsidRDefault="005920B1" w:rsidP="005920B1">
      <w:pPr>
        <w:pStyle w:val="Heading3"/>
      </w:pPr>
      <w:bookmarkStart w:id="19" w:name="_Toc460402334"/>
      <w:r w:rsidRPr="00700FB4">
        <w:lastRenderedPageBreak/>
        <w:t>[2.5.3] Kuģošana</w:t>
      </w:r>
      <w:bookmarkEnd w:id="19"/>
    </w:p>
    <w:p w:rsidR="005920B1" w:rsidRPr="00700FB4" w:rsidRDefault="005920B1" w:rsidP="005920B1">
      <w:pPr>
        <w:pStyle w:val="NoSpacing"/>
        <w:jc w:val="both"/>
        <w:rPr>
          <w:rFonts w:ascii="Arial" w:hAnsi="Arial" w:cs="Arial"/>
          <w:sz w:val="20"/>
          <w:szCs w:val="20"/>
        </w:rPr>
      </w:pPr>
      <w:r w:rsidRPr="00700FB4">
        <w:rPr>
          <w:rFonts w:ascii="Arial" w:hAnsi="Arial" w:cs="Arial"/>
          <w:sz w:val="20"/>
          <w:szCs w:val="20"/>
        </w:rPr>
        <w:t>EST prakse jūras transporta jomā ir saistīta galvenokārt ar pasažieru tiesībām un jūras transporta pakalpojumu sniegšanas brīvību, taču ir bijušas lietas arī par kuģu reģistrāciju, regulu kuģošanas jomā interpretāciju utt.</w:t>
      </w:r>
    </w:p>
    <w:p w:rsidR="005920B1" w:rsidRPr="00700FB4" w:rsidRDefault="005920B1" w:rsidP="005920B1">
      <w:pPr>
        <w:pStyle w:val="NoSpacing"/>
        <w:jc w:val="both"/>
        <w:rPr>
          <w:rFonts w:ascii="Arial" w:hAnsi="Arial" w:cs="Arial"/>
          <w:sz w:val="20"/>
          <w:szCs w:val="20"/>
        </w:rPr>
      </w:pPr>
    </w:p>
    <w:p w:rsidR="005920B1" w:rsidRPr="00700FB4" w:rsidRDefault="005920B1" w:rsidP="005920B1">
      <w:pPr>
        <w:pStyle w:val="NoSpacing"/>
        <w:jc w:val="both"/>
        <w:rPr>
          <w:rFonts w:ascii="Arial" w:hAnsi="Arial" w:cs="Arial"/>
          <w:sz w:val="20"/>
          <w:szCs w:val="20"/>
        </w:rPr>
      </w:pPr>
      <w:r w:rsidRPr="00700FB4">
        <w:rPr>
          <w:rFonts w:ascii="Arial" w:hAnsi="Arial" w:cs="Arial"/>
          <w:sz w:val="20"/>
          <w:szCs w:val="20"/>
        </w:rPr>
        <w:t>Lietā</w:t>
      </w:r>
      <w:r w:rsidRPr="00700FB4">
        <w:rPr>
          <w:rFonts w:ascii="Arial" w:hAnsi="Arial" w:cs="Arial"/>
          <w:b/>
          <w:sz w:val="20"/>
          <w:szCs w:val="20"/>
        </w:rPr>
        <w:t xml:space="preserve"> C-48/93</w:t>
      </w:r>
      <w:r w:rsidRPr="00700FB4">
        <w:rPr>
          <w:rFonts w:ascii="Arial" w:hAnsi="Arial" w:cs="Arial"/>
          <w:sz w:val="20"/>
          <w:szCs w:val="20"/>
          <w:vertAlign w:val="superscript"/>
        </w:rPr>
        <w:footnoteReference w:id="61"/>
      </w:r>
      <w:r w:rsidRPr="00700FB4">
        <w:rPr>
          <w:rFonts w:ascii="Arial" w:hAnsi="Arial" w:cs="Arial"/>
          <w:sz w:val="20"/>
          <w:szCs w:val="20"/>
        </w:rPr>
        <w:t xml:space="preserve"> apstrīdētie tiesību akti attiecās uz kuģu reģistrācijas jomu, kas saskaņā ar tobrīd spēkā esošām ES tiesību normām bija dalībvalstu kompetencē, un zvejniecības jomu, kurā, īstenojot kopējo zivsaimniecības politiku, dalībvalstīm bija paredzēta noteikta rīcības brīvība. Apvienotās Karalistes likumdevējam tādējādi bija jāizdara izvēle, kas līdzvērtīga ES iestāžu izdarītajai izvēlei, pieņemot tiesību aktus kādas ES politikas jomā.</w:t>
      </w:r>
    </w:p>
    <w:p w:rsidR="005920B1" w:rsidRPr="00700FB4" w:rsidRDefault="005920B1" w:rsidP="005920B1">
      <w:pPr>
        <w:pStyle w:val="NoSpacing"/>
        <w:jc w:val="both"/>
        <w:rPr>
          <w:rFonts w:ascii="Arial" w:hAnsi="Arial" w:cs="Arial"/>
          <w:sz w:val="20"/>
          <w:szCs w:val="20"/>
        </w:rPr>
      </w:pPr>
    </w:p>
    <w:p w:rsidR="005920B1" w:rsidRPr="00700FB4" w:rsidRDefault="005920B1" w:rsidP="005920B1">
      <w:pPr>
        <w:pStyle w:val="NoSpacing"/>
        <w:jc w:val="both"/>
        <w:rPr>
          <w:rFonts w:ascii="Arial" w:hAnsi="Arial" w:cs="Arial"/>
          <w:sz w:val="20"/>
          <w:szCs w:val="20"/>
        </w:rPr>
      </w:pPr>
      <w:r w:rsidRPr="00700FB4">
        <w:rPr>
          <w:rFonts w:ascii="Arial" w:hAnsi="Arial" w:cs="Arial"/>
          <w:sz w:val="20"/>
          <w:szCs w:val="20"/>
        </w:rPr>
        <w:t xml:space="preserve">Lietā </w:t>
      </w:r>
      <w:r w:rsidRPr="00700FB4">
        <w:rPr>
          <w:rFonts w:ascii="Arial" w:hAnsi="Arial" w:cs="Arial"/>
          <w:b/>
          <w:sz w:val="20"/>
          <w:szCs w:val="20"/>
        </w:rPr>
        <w:t>C-251/04</w:t>
      </w:r>
      <w:r w:rsidRPr="00700FB4">
        <w:rPr>
          <w:rFonts w:ascii="Arial" w:hAnsi="Arial" w:cs="Arial"/>
          <w:b/>
          <w:sz w:val="20"/>
          <w:szCs w:val="20"/>
          <w:vertAlign w:val="superscript"/>
        </w:rPr>
        <w:footnoteReference w:id="62"/>
      </w:r>
      <w:r w:rsidRPr="00700FB4">
        <w:rPr>
          <w:rFonts w:ascii="Arial" w:hAnsi="Arial" w:cs="Arial"/>
          <w:sz w:val="20"/>
          <w:szCs w:val="20"/>
        </w:rPr>
        <w:t xml:space="preserve"> EST atzina, ka Padomes 1992.gada 7.decembra Regulā (EEK) Nr.3577/92, ar ko piemēro principu, kurš paredz jūras transporta pakalpojumu sniegšanas brīvību dalībvalstīs (jūras kabotāža) tvērumā neietilpst vilkšanas pakalpojumi, jo kabotāžas mērķis ir pārvadāt preces vai pasažierus pa jūru starp divām vietām vienas dalībvalsts teritorijā. Tādējādi EST interpretēja regulu šauri.</w:t>
      </w:r>
    </w:p>
    <w:p w:rsidR="005920B1" w:rsidRPr="00700FB4" w:rsidRDefault="005920B1" w:rsidP="00457E80">
      <w:pPr>
        <w:pStyle w:val="NoSpacing"/>
        <w:rPr>
          <w:rFonts w:ascii="Arial" w:hAnsi="Arial" w:cs="Arial"/>
          <w:sz w:val="20"/>
          <w:szCs w:val="20"/>
        </w:rPr>
      </w:pPr>
    </w:p>
    <w:p w:rsidR="005920B1" w:rsidRPr="00700FB4" w:rsidRDefault="005920B1" w:rsidP="005920B1">
      <w:pPr>
        <w:pStyle w:val="Heading3"/>
      </w:pPr>
      <w:bookmarkStart w:id="20" w:name="_Toc460402335"/>
      <w:r w:rsidRPr="00700FB4">
        <w:t>[2.5.4] Enerģētika</w:t>
      </w:r>
      <w:bookmarkEnd w:id="20"/>
    </w:p>
    <w:p w:rsidR="005920B1" w:rsidRPr="00700FB4" w:rsidRDefault="005920B1" w:rsidP="005920B1">
      <w:pPr>
        <w:pStyle w:val="NoSpacing"/>
        <w:jc w:val="both"/>
        <w:rPr>
          <w:rFonts w:ascii="Arial" w:hAnsi="Arial" w:cs="Arial"/>
          <w:sz w:val="20"/>
          <w:szCs w:val="20"/>
        </w:rPr>
      </w:pPr>
      <w:r w:rsidRPr="00700FB4">
        <w:rPr>
          <w:rFonts w:ascii="Arial" w:hAnsi="Arial" w:cs="Arial"/>
          <w:sz w:val="20"/>
          <w:szCs w:val="20"/>
        </w:rPr>
        <w:t xml:space="preserve">Atzīmēšanas vērta ir lieta </w:t>
      </w:r>
      <w:r w:rsidRPr="00700FB4">
        <w:rPr>
          <w:rFonts w:ascii="Arial" w:hAnsi="Arial" w:cs="Arial"/>
          <w:b/>
          <w:sz w:val="20"/>
          <w:szCs w:val="20"/>
        </w:rPr>
        <w:t>C-573/12</w:t>
      </w:r>
      <w:r w:rsidRPr="00700FB4">
        <w:rPr>
          <w:rFonts w:ascii="Arial" w:hAnsi="Arial" w:cs="Arial"/>
          <w:sz w:val="20"/>
          <w:szCs w:val="20"/>
          <w:vertAlign w:val="superscript"/>
        </w:rPr>
        <w:footnoteReference w:id="63"/>
      </w:r>
      <w:r w:rsidRPr="00700FB4">
        <w:rPr>
          <w:rFonts w:ascii="Arial" w:hAnsi="Arial" w:cs="Arial"/>
          <w:sz w:val="20"/>
          <w:szCs w:val="20"/>
        </w:rPr>
        <w:t>, kurā bija strīds starp Somijas vēja enerģijas ražotāju un Zviedrijas Enerģijas aģentūru. Ražotājs vērsās Zviedrijas iestādē, lūdzot apstiprināt tās vēja enerģijas parku, kas atradās Ālandu salu arhipelāgā, lai tam varētu piešķirt elektroenerģijas sertifikātus (enerģija tika piegādāta Ālandu salās un arī Zviedrijā). Lūgums tika noraidīts, jo vienīgi tādas zaļās elektroenerģijas ražošanas iekārtas, kas atrodas Zviedrijā, var tikt apstiprinātas elektroenerģijas sertifikātu piešķiršanas mērķiem (atbalsta shēma atjaunojamās enerģijas ražošanai). EST atzina, ka dalībvalstīm ir atļauts attiecināt atbalsta shēmas uz vienīgi to teritorijā notiekošo zaļās elektroenerģijas ražošanu, jo ES tiesībās nav veikta zaļās elektroenerģijas valsts atbalsta shēmu saskaņošana. Respektīvi, Zviedrijai bija tiesības attiecināt tās atbalsta shēmu tikai uz Zviedrijas ražotājiem, par spīti tam, ka tas rada šķērsli elektroenerģijas tirdzniecībai.</w:t>
      </w:r>
    </w:p>
    <w:p w:rsidR="005920B1" w:rsidRPr="00700FB4" w:rsidRDefault="005920B1" w:rsidP="005920B1">
      <w:pPr>
        <w:pStyle w:val="NoSpacing"/>
        <w:jc w:val="both"/>
        <w:rPr>
          <w:rFonts w:ascii="Arial" w:hAnsi="Arial" w:cs="Arial"/>
          <w:sz w:val="20"/>
          <w:szCs w:val="20"/>
        </w:rPr>
      </w:pPr>
    </w:p>
    <w:p w:rsidR="005920B1" w:rsidRPr="00700FB4" w:rsidRDefault="005920B1" w:rsidP="00E043B2">
      <w:pPr>
        <w:pStyle w:val="NoSpacing"/>
        <w:jc w:val="both"/>
        <w:rPr>
          <w:rFonts w:ascii="Arial" w:hAnsi="Arial" w:cs="Arial"/>
          <w:sz w:val="20"/>
          <w:szCs w:val="20"/>
        </w:rPr>
      </w:pPr>
      <w:r w:rsidRPr="00700FB4">
        <w:rPr>
          <w:rFonts w:ascii="Arial" w:hAnsi="Arial" w:cs="Arial"/>
          <w:sz w:val="20"/>
          <w:szCs w:val="20"/>
        </w:rPr>
        <w:t xml:space="preserve">Apvienotajās lietās no </w:t>
      </w:r>
      <w:r w:rsidRPr="00700FB4">
        <w:rPr>
          <w:rFonts w:ascii="Arial" w:hAnsi="Arial" w:cs="Arial"/>
          <w:b/>
          <w:sz w:val="20"/>
          <w:szCs w:val="20"/>
        </w:rPr>
        <w:t>C-204/12 līdz C-208/12</w:t>
      </w:r>
      <w:r w:rsidRPr="00700FB4">
        <w:rPr>
          <w:rFonts w:ascii="Arial" w:hAnsi="Arial" w:cs="Arial"/>
          <w:sz w:val="20"/>
          <w:szCs w:val="20"/>
          <w:vertAlign w:val="superscript"/>
        </w:rPr>
        <w:footnoteReference w:id="64"/>
      </w:r>
      <w:r w:rsidRPr="00700FB4">
        <w:rPr>
          <w:rFonts w:ascii="Arial" w:hAnsi="Arial" w:cs="Arial"/>
          <w:sz w:val="20"/>
          <w:szCs w:val="20"/>
        </w:rPr>
        <w:t xml:space="preserve"> EST bija jārisina jautājums par pārrobežu tirdzniecības ierobežojumiem zaļajai elektroenerģijai Beļģijā. EST atzina, ka mērķis sekmēt atjaunojamo enerģijas avotu izmantošanu elektroenerģijas ražošanai principā var pamatot iespējamos preču brīvas aprites šķēršļus.</w:t>
      </w:r>
    </w:p>
    <w:p w:rsidR="004F1F8E" w:rsidRPr="00700FB4" w:rsidRDefault="004F1F8E" w:rsidP="005920B1">
      <w:pPr>
        <w:pStyle w:val="NoSpacing"/>
        <w:jc w:val="both"/>
        <w:rPr>
          <w:rFonts w:ascii="Arial" w:hAnsi="Arial" w:cs="Arial"/>
          <w:sz w:val="20"/>
          <w:szCs w:val="20"/>
        </w:rPr>
      </w:pPr>
    </w:p>
    <w:p w:rsidR="004F1F8E" w:rsidRPr="00700FB4" w:rsidRDefault="004F1F8E" w:rsidP="005920B1">
      <w:pPr>
        <w:pStyle w:val="NoSpacing"/>
        <w:jc w:val="both"/>
        <w:rPr>
          <w:rFonts w:ascii="Arial" w:hAnsi="Arial" w:cs="Arial"/>
          <w:sz w:val="20"/>
          <w:szCs w:val="20"/>
        </w:rPr>
      </w:pPr>
      <w:r w:rsidRPr="00700FB4">
        <w:rPr>
          <w:rFonts w:ascii="Arial" w:hAnsi="Arial" w:cs="Arial"/>
          <w:sz w:val="20"/>
          <w:szCs w:val="20"/>
        </w:rPr>
        <w:t>Doktrīnā</w:t>
      </w:r>
      <w:r w:rsidRPr="00700FB4">
        <w:rPr>
          <w:rFonts w:ascii="Arial" w:hAnsi="Arial" w:cs="Arial"/>
          <w:sz w:val="20"/>
          <w:szCs w:val="20"/>
          <w:vertAlign w:val="superscript"/>
        </w:rPr>
        <w:footnoteReference w:id="65"/>
      </w:r>
      <w:r w:rsidRPr="00700FB4">
        <w:rPr>
          <w:rFonts w:ascii="Arial" w:hAnsi="Arial" w:cs="Arial"/>
          <w:sz w:val="20"/>
          <w:szCs w:val="20"/>
        </w:rPr>
        <w:t xml:space="preserve"> pausts viedoklis, ka</w:t>
      </w:r>
      <w:r w:rsidR="00E043B2" w:rsidRPr="00700FB4">
        <w:rPr>
          <w:rFonts w:ascii="Arial" w:hAnsi="Arial" w:cs="Arial"/>
          <w:sz w:val="20"/>
          <w:szCs w:val="20"/>
        </w:rPr>
        <w:t>,</w:t>
      </w:r>
      <w:r w:rsidRPr="00700FB4">
        <w:rPr>
          <w:rFonts w:ascii="Arial" w:hAnsi="Arial" w:cs="Arial"/>
          <w:sz w:val="20"/>
          <w:szCs w:val="20"/>
        </w:rPr>
        <w:t xml:space="preserve"> </w:t>
      </w:r>
      <w:r w:rsidR="00E043B2" w:rsidRPr="00700FB4">
        <w:rPr>
          <w:rFonts w:ascii="Arial" w:hAnsi="Arial" w:cs="Arial"/>
          <w:sz w:val="20"/>
          <w:szCs w:val="20"/>
        </w:rPr>
        <w:t xml:space="preserve">attīstot atjaunojamās enerģijas sektoru, varētu novērst </w:t>
      </w:r>
      <w:r w:rsidRPr="00700FB4">
        <w:rPr>
          <w:rFonts w:ascii="Arial" w:hAnsi="Arial" w:cs="Arial"/>
          <w:sz w:val="20"/>
          <w:szCs w:val="20"/>
        </w:rPr>
        <w:t xml:space="preserve">klimata izmaiņas, </w:t>
      </w:r>
      <w:r w:rsidR="00E043B2" w:rsidRPr="00700FB4">
        <w:rPr>
          <w:rFonts w:ascii="Arial" w:hAnsi="Arial" w:cs="Arial"/>
          <w:sz w:val="20"/>
          <w:szCs w:val="20"/>
        </w:rPr>
        <w:t xml:space="preserve">kas </w:t>
      </w:r>
      <w:r w:rsidRPr="00700FB4">
        <w:rPr>
          <w:rFonts w:ascii="Arial" w:hAnsi="Arial" w:cs="Arial"/>
          <w:sz w:val="20"/>
          <w:szCs w:val="20"/>
        </w:rPr>
        <w:t>apdraud cilvēku, dzīvni</w:t>
      </w:r>
      <w:r w:rsidR="00E043B2" w:rsidRPr="00700FB4">
        <w:rPr>
          <w:rFonts w:ascii="Arial" w:hAnsi="Arial" w:cs="Arial"/>
          <w:sz w:val="20"/>
          <w:szCs w:val="20"/>
        </w:rPr>
        <w:t xml:space="preserve">eku un augu veselību un dzīvību. Tomēr vienlaikus jāveic rūpīga atjaunojamās enerģijas sektora ietekmes uz vidi izvērtēšana (piemēram, </w:t>
      </w:r>
      <w:r w:rsidRPr="00700FB4">
        <w:rPr>
          <w:rFonts w:ascii="Arial" w:hAnsi="Arial" w:cs="Arial"/>
          <w:sz w:val="20"/>
          <w:szCs w:val="20"/>
        </w:rPr>
        <w:t>ietekmi uz putniem vai jūras augiem</w:t>
      </w:r>
      <w:r w:rsidR="00E043B2" w:rsidRPr="00700FB4">
        <w:rPr>
          <w:rFonts w:ascii="Arial" w:hAnsi="Arial" w:cs="Arial"/>
          <w:sz w:val="20"/>
          <w:szCs w:val="20"/>
        </w:rPr>
        <w:t>)</w:t>
      </w:r>
      <w:r w:rsidRPr="00700FB4">
        <w:rPr>
          <w:rFonts w:ascii="Arial" w:hAnsi="Arial" w:cs="Arial"/>
          <w:sz w:val="20"/>
          <w:szCs w:val="20"/>
        </w:rPr>
        <w:t>.</w:t>
      </w:r>
    </w:p>
    <w:p w:rsidR="005920B1" w:rsidRPr="00700FB4" w:rsidRDefault="005920B1" w:rsidP="00457E80">
      <w:pPr>
        <w:pStyle w:val="NoSpacing"/>
        <w:rPr>
          <w:rFonts w:ascii="Arial" w:hAnsi="Arial" w:cs="Arial"/>
          <w:sz w:val="20"/>
          <w:szCs w:val="20"/>
        </w:rPr>
      </w:pPr>
    </w:p>
    <w:p w:rsidR="005920B1" w:rsidRPr="00700FB4" w:rsidRDefault="009548D1" w:rsidP="005920B1">
      <w:pPr>
        <w:pStyle w:val="Heading3"/>
      </w:pPr>
      <w:bookmarkStart w:id="21" w:name="_Toc460402336"/>
      <w:r w:rsidRPr="00700FB4">
        <w:t>[2.5.5] Zivsaimniecība un</w:t>
      </w:r>
      <w:r w:rsidR="005920B1" w:rsidRPr="00700FB4">
        <w:t xml:space="preserve"> vide</w:t>
      </w:r>
      <w:bookmarkEnd w:id="21"/>
    </w:p>
    <w:p w:rsidR="004F1F8E" w:rsidRPr="00700FB4" w:rsidRDefault="004F1F8E" w:rsidP="00E043B2">
      <w:pPr>
        <w:spacing w:line="240" w:lineRule="auto"/>
        <w:jc w:val="both"/>
        <w:rPr>
          <w:rFonts w:ascii="Arial" w:hAnsi="Arial" w:cs="Arial"/>
          <w:sz w:val="20"/>
          <w:szCs w:val="20"/>
        </w:rPr>
      </w:pPr>
      <w:r w:rsidRPr="00700FB4">
        <w:rPr>
          <w:rFonts w:ascii="Arial" w:hAnsi="Arial" w:cs="Arial"/>
          <w:sz w:val="20"/>
          <w:szCs w:val="20"/>
        </w:rPr>
        <w:t xml:space="preserve">Pievēršoties valsts atbildības jautājumiem gadījumos, kad netiek ievērotas ES dibināšanas līgumu prasības, jāatzīmē apvienotās lietas </w:t>
      </w:r>
      <w:r w:rsidRPr="00700FB4">
        <w:rPr>
          <w:rFonts w:ascii="Arial" w:hAnsi="Arial" w:cs="Arial"/>
          <w:b/>
          <w:sz w:val="20"/>
          <w:szCs w:val="20"/>
        </w:rPr>
        <w:t>C-46/93 un C-48/93</w:t>
      </w:r>
      <w:r w:rsidRPr="00700FB4">
        <w:rPr>
          <w:rFonts w:ascii="Arial" w:hAnsi="Arial" w:cs="Arial"/>
          <w:sz w:val="20"/>
          <w:szCs w:val="20"/>
          <w:vertAlign w:val="superscript"/>
        </w:rPr>
        <w:footnoteReference w:id="66"/>
      </w:r>
      <w:r w:rsidRPr="00700FB4">
        <w:rPr>
          <w:rFonts w:ascii="Arial" w:hAnsi="Arial" w:cs="Arial"/>
          <w:sz w:val="20"/>
          <w:szCs w:val="20"/>
        </w:rPr>
        <w:t>, kur</w:t>
      </w:r>
      <w:r w:rsidRPr="00700FB4">
        <w:rPr>
          <w:rFonts w:ascii="Arial" w:hAnsi="Arial" w:cs="Arial"/>
          <w:b/>
          <w:sz w:val="20"/>
          <w:szCs w:val="20"/>
        </w:rPr>
        <w:t xml:space="preserve"> </w:t>
      </w:r>
      <w:r w:rsidRPr="00700FB4">
        <w:rPr>
          <w:rFonts w:ascii="Arial" w:hAnsi="Arial" w:cs="Arial"/>
          <w:sz w:val="20"/>
          <w:szCs w:val="20"/>
        </w:rPr>
        <w:t>bija</w:t>
      </w:r>
      <w:r w:rsidRPr="00700FB4">
        <w:rPr>
          <w:rFonts w:ascii="Arial" w:hAnsi="Arial" w:cs="Arial"/>
          <w:b/>
          <w:sz w:val="20"/>
          <w:szCs w:val="20"/>
        </w:rPr>
        <w:t xml:space="preserve"> </w:t>
      </w:r>
      <w:r w:rsidRPr="00700FB4">
        <w:rPr>
          <w:rFonts w:ascii="Arial" w:hAnsi="Arial" w:cs="Arial"/>
          <w:sz w:val="20"/>
          <w:szCs w:val="20"/>
        </w:rPr>
        <w:t xml:space="preserve">strīds par Lielbritānijas tirdzniecības kuģu reģistrēšanas noteikumu atbilstību ES tiesībām. Šie noteikumi paredzēja jaunas prasības attiecībā uz kuģu īpašnieku pilsonību un dzīvesvietu, kā rezultātā daļu no vecajā reģistrā reģistrētajiem kuģiem nebija iespējams pārreģistrēt jaunajā reģistrā. Zvejas kuģiem, kas nebija reģistrēti jaunajā reģistrā (jo to nevarēja šo noteikumu dēļ), bija liegtas tiesības zvejot. Komisija uzsāka tiesvedību pret Lielbritāniju, savukārt </w:t>
      </w:r>
      <w:proofErr w:type="spellStart"/>
      <w:r w:rsidRPr="00700FB4">
        <w:rPr>
          <w:rFonts w:ascii="Arial" w:hAnsi="Arial" w:cs="Arial"/>
          <w:i/>
          <w:sz w:val="20"/>
          <w:szCs w:val="20"/>
        </w:rPr>
        <w:t>Factortame</w:t>
      </w:r>
      <w:proofErr w:type="spellEnd"/>
      <w:r w:rsidRPr="00700FB4">
        <w:rPr>
          <w:rFonts w:ascii="Arial" w:hAnsi="Arial" w:cs="Arial"/>
          <w:sz w:val="20"/>
          <w:szCs w:val="20"/>
        </w:rPr>
        <w:t xml:space="preserve"> vērsās pret Lielbritāniju, prasot atlīdzināt zaudējumus, kas radušies prettiesisko Lielbritānijas normatīvo aktu dēļ. Vācijas un Lielbritānijas tiesas vērsās EST ar lūgumiem sniegt prejudiciālus nolēmumus, lūdzot atbildēt uz vairākiem jautājumiem par valsts atbildības principu un tā attiecināšanu uz gadījumiem, kad ir pārkāpts ES primāro tiesību akts (LESD). EST secināja, ka tiesības uz kaitējuma atlīdzību indivīdam rodas arī tad, kad dalībvalsts ir aizskārusi tādas indivīda tiesības, kas tam piešķirtas ar ES tiesību normām, kam ir tieša iedarbība.</w:t>
      </w:r>
    </w:p>
    <w:p w:rsidR="004F1F8E" w:rsidRPr="00700FB4" w:rsidRDefault="004F1F8E" w:rsidP="00E043B2">
      <w:pPr>
        <w:pStyle w:val="NoSpacing"/>
        <w:jc w:val="both"/>
        <w:rPr>
          <w:rFonts w:ascii="Arial" w:hAnsi="Arial" w:cs="Arial"/>
          <w:sz w:val="20"/>
          <w:szCs w:val="20"/>
        </w:rPr>
      </w:pPr>
      <w:r w:rsidRPr="00700FB4">
        <w:rPr>
          <w:rFonts w:ascii="Arial" w:hAnsi="Arial" w:cs="Arial"/>
          <w:sz w:val="20"/>
          <w:szCs w:val="20"/>
        </w:rPr>
        <w:lastRenderedPageBreak/>
        <w:t>EST arī atzina, ka LESD 340.pants noteic arī dalībvalstu pienākumu atlīdzināt kaitējumu, kas radies, pildot savus pienākumus. EST secināja, ka ES tiesību pārkāpumam jābūt gana būtiskam pēc šādu kritēriju izvērtēšanas:</w:t>
      </w:r>
    </w:p>
    <w:p w:rsidR="004F1F8E" w:rsidRPr="00700FB4" w:rsidRDefault="00E043B2" w:rsidP="00E043B2">
      <w:pPr>
        <w:pStyle w:val="NoSpacing"/>
        <w:numPr>
          <w:ilvl w:val="0"/>
          <w:numId w:val="19"/>
        </w:numPr>
        <w:jc w:val="both"/>
        <w:rPr>
          <w:rFonts w:ascii="Arial" w:hAnsi="Arial" w:cs="Arial"/>
          <w:sz w:val="20"/>
          <w:szCs w:val="20"/>
        </w:rPr>
      </w:pPr>
      <w:r w:rsidRPr="00700FB4">
        <w:rPr>
          <w:rFonts w:ascii="Arial" w:hAnsi="Arial" w:cs="Arial"/>
          <w:sz w:val="20"/>
          <w:szCs w:val="20"/>
        </w:rPr>
        <w:t>p</w:t>
      </w:r>
      <w:r w:rsidR="004F1F8E" w:rsidRPr="00700FB4">
        <w:rPr>
          <w:rFonts w:ascii="Arial" w:hAnsi="Arial" w:cs="Arial"/>
          <w:sz w:val="20"/>
          <w:szCs w:val="20"/>
        </w:rPr>
        <w:t xml:space="preserve">ārkāptās </w:t>
      </w:r>
      <w:r w:rsidRPr="00700FB4">
        <w:rPr>
          <w:rFonts w:ascii="Arial" w:hAnsi="Arial" w:cs="Arial"/>
          <w:sz w:val="20"/>
          <w:szCs w:val="20"/>
        </w:rPr>
        <w:t xml:space="preserve">tiesību </w:t>
      </w:r>
      <w:r w:rsidR="004F1F8E" w:rsidRPr="00700FB4">
        <w:rPr>
          <w:rFonts w:ascii="Arial" w:hAnsi="Arial" w:cs="Arial"/>
          <w:sz w:val="20"/>
          <w:szCs w:val="20"/>
        </w:rPr>
        <w:t>normas precizitāte un skaidrība;</w:t>
      </w:r>
    </w:p>
    <w:p w:rsidR="004F1F8E" w:rsidRPr="00700FB4" w:rsidRDefault="00E043B2" w:rsidP="00E043B2">
      <w:pPr>
        <w:pStyle w:val="NoSpacing"/>
        <w:numPr>
          <w:ilvl w:val="0"/>
          <w:numId w:val="19"/>
        </w:numPr>
        <w:jc w:val="both"/>
        <w:rPr>
          <w:rFonts w:ascii="Arial" w:hAnsi="Arial" w:cs="Arial"/>
          <w:sz w:val="20"/>
          <w:szCs w:val="20"/>
        </w:rPr>
      </w:pPr>
      <w:r w:rsidRPr="00700FB4">
        <w:rPr>
          <w:rFonts w:ascii="Arial" w:hAnsi="Arial" w:cs="Arial"/>
          <w:sz w:val="20"/>
          <w:szCs w:val="20"/>
        </w:rPr>
        <w:t>r</w:t>
      </w:r>
      <w:r w:rsidR="004F1F8E" w:rsidRPr="00700FB4">
        <w:rPr>
          <w:rFonts w:ascii="Arial" w:hAnsi="Arial" w:cs="Arial"/>
          <w:sz w:val="20"/>
          <w:szCs w:val="20"/>
        </w:rPr>
        <w:t>īcības brīvības plašums, ko pārkāptā norma piešķir dalībvalsts iestādēm;</w:t>
      </w:r>
    </w:p>
    <w:p w:rsidR="004F1F8E" w:rsidRPr="00700FB4" w:rsidRDefault="00E043B2" w:rsidP="00E043B2">
      <w:pPr>
        <w:pStyle w:val="NoSpacing"/>
        <w:numPr>
          <w:ilvl w:val="0"/>
          <w:numId w:val="19"/>
        </w:numPr>
        <w:jc w:val="both"/>
        <w:rPr>
          <w:rFonts w:ascii="Arial" w:hAnsi="Arial" w:cs="Arial"/>
          <w:sz w:val="20"/>
          <w:szCs w:val="20"/>
        </w:rPr>
      </w:pPr>
      <w:r w:rsidRPr="00700FB4">
        <w:rPr>
          <w:rFonts w:ascii="Arial" w:hAnsi="Arial" w:cs="Arial"/>
          <w:sz w:val="20"/>
          <w:szCs w:val="20"/>
        </w:rPr>
        <w:t>v</w:t>
      </w:r>
      <w:r w:rsidR="004F1F8E" w:rsidRPr="00700FB4">
        <w:rPr>
          <w:rFonts w:ascii="Arial" w:hAnsi="Arial" w:cs="Arial"/>
          <w:sz w:val="20"/>
          <w:szCs w:val="20"/>
        </w:rPr>
        <w:t>ai pārkāpuma un kaitējuma pamatā ir nodoms vai nolaidība;</w:t>
      </w:r>
    </w:p>
    <w:p w:rsidR="004F1F8E" w:rsidRPr="00700FB4" w:rsidRDefault="00E043B2" w:rsidP="00E043B2">
      <w:pPr>
        <w:pStyle w:val="NoSpacing"/>
        <w:numPr>
          <w:ilvl w:val="0"/>
          <w:numId w:val="19"/>
        </w:numPr>
        <w:jc w:val="both"/>
        <w:rPr>
          <w:rFonts w:ascii="Arial" w:hAnsi="Arial" w:cs="Arial"/>
          <w:sz w:val="20"/>
          <w:szCs w:val="20"/>
        </w:rPr>
      </w:pPr>
      <w:r w:rsidRPr="00700FB4">
        <w:rPr>
          <w:rFonts w:ascii="Arial" w:hAnsi="Arial" w:cs="Arial"/>
          <w:sz w:val="20"/>
          <w:szCs w:val="20"/>
        </w:rPr>
        <w:t>v</w:t>
      </w:r>
      <w:r w:rsidR="004F1F8E" w:rsidRPr="00700FB4">
        <w:rPr>
          <w:rFonts w:ascii="Arial" w:hAnsi="Arial" w:cs="Arial"/>
          <w:sz w:val="20"/>
          <w:szCs w:val="20"/>
        </w:rPr>
        <w:t>ai kļūda tiesību aktā ir attaisnojama;</w:t>
      </w:r>
    </w:p>
    <w:p w:rsidR="004F1F8E" w:rsidRPr="00700FB4" w:rsidRDefault="00E043B2" w:rsidP="00E043B2">
      <w:pPr>
        <w:pStyle w:val="NoSpacing"/>
        <w:numPr>
          <w:ilvl w:val="0"/>
          <w:numId w:val="19"/>
        </w:numPr>
        <w:jc w:val="both"/>
        <w:rPr>
          <w:rFonts w:ascii="Arial" w:hAnsi="Arial" w:cs="Arial"/>
          <w:sz w:val="20"/>
          <w:szCs w:val="20"/>
        </w:rPr>
      </w:pPr>
      <w:r w:rsidRPr="00700FB4">
        <w:rPr>
          <w:rFonts w:ascii="Arial" w:hAnsi="Arial" w:cs="Arial"/>
          <w:sz w:val="20"/>
          <w:szCs w:val="20"/>
        </w:rPr>
        <w:t>v</w:t>
      </w:r>
      <w:r w:rsidR="004F1F8E" w:rsidRPr="00700FB4">
        <w:rPr>
          <w:rFonts w:ascii="Arial" w:hAnsi="Arial" w:cs="Arial"/>
          <w:sz w:val="20"/>
          <w:szCs w:val="20"/>
        </w:rPr>
        <w:t>ai ES iestāžu rīcība vai prakse veicinājusi ES tiesību pārkāpumu;</w:t>
      </w:r>
    </w:p>
    <w:p w:rsidR="004F1F8E" w:rsidRPr="00700FB4" w:rsidRDefault="00E043B2" w:rsidP="00E043B2">
      <w:pPr>
        <w:pStyle w:val="NoSpacing"/>
        <w:numPr>
          <w:ilvl w:val="0"/>
          <w:numId w:val="19"/>
        </w:numPr>
        <w:jc w:val="both"/>
        <w:rPr>
          <w:rFonts w:ascii="Arial" w:hAnsi="Arial" w:cs="Arial"/>
          <w:sz w:val="20"/>
          <w:szCs w:val="20"/>
        </w:rPr>
      </w:pPr>
      <w:r w:rsidRPr="00700FB4">
        <w:rPr>
          <w:rFonts w:ascii="Arial" w:hAnsi="Arial" w:cs="Arial"/>
          <w:sz w:val="20"/>
          <w:szCs w:val="20"/>
        </w:rPr>
        <w:t>v</w:t>
      </w:r>
      <w:r w:rsidR="004F1F8E" w:rsidRPr="00700FB4">
        <w:rPr>
          <w:rFonts w:ascii="Arial" w:hAnsi="Arial" w:cs="Arial"/>
          <w:sz w:val="20"/>
          <w:szCs w:val="20"/>
        </w:rPr>
        <w:t>ai zaudējumus cietusī persona darījusi visu saprātīgi iespējamo, lai zaudējumus pēc iespējas novērstu vai samazinātu, jo īpaši, vai tā izmantojusi visus iespējamos tiesību aizsardzības līdzekļus.</w:t>
      </w:r>
    </w:p>
    <w:p w:rsidR="00E043B2" w:rsidRPr="00700FB4" w:rsidRDefault="00E043B2" w:rsidP="00E043B2">
      <w:pPr>
        <w:pStyle w:val="NoSpacing"/>
      </w:pPr>
    </w:p>
    <w:p w:rsidR="004F1F8E" w:rsidRPr="00700FB4" w:rsidRDefault="004F1F8E" w:rsidP="00E043B2">
      <w:pPr>
        <w:pStyle w:val="NoSpacing"/>
        <w:jc w:val="both"/>
        <w:rPr>
          <w:rStyle w:val="NoSpacingChar"/>
          <w:rFonts w:ascii="Arial" w:hAnsi="Arial" w:cs="Arial"/>
          <w:sz w:val="20"/>
          <w:szCs w:val="20"/>
        </w:rPr>
      </w:pPr>
      <w:r w:rsidRPr="00700FB4">
        <w:rPr>
          <w:rFonts w:ascii="Arial" w:hAnsi="Arial" w:cs="Arial"/>
          <w:sz w:val="20"/>
          <w:szCs w:val="20"/>
        </w:rPr>
        <w:t xml:space="preserve">Apvienotajās lietās </w:t>
      </w:r>
      <w:r w:rsidRPr="00700FB4">
        <w:rPr>
          <w:rFonts w:ascii="Arial" w:hAnsi="Arial" w:cs="Arial"/>
          <w:b/>
          <w:sz w:val="20"/>
          <w:szCs w:val="20"/>
        </w:rPr>
        <w:t>C-132/14 līdz C-136/14</w:t>
      </w:r>
      <w:r w:rsidRPr="00700FB4">
        <w:rPr>
          <w:rFonts w:ascii="Arial" w:hAnsi="Arial" w:cs="Arial"/>
          <w:sz w:val="20"/>
          <w:szCs w:val="20"/>
          <w:vertAlign w:val="superscript"/>
        </w:rPr>
        <w:footnoteReference w:id="67"/>
      </w:r>
      <w:r w:rsidRPr="00700FB4">
        <w:rPr>
          <w:rFonts w:ascii="Arial" w:hAnsi="Arial" w:cs="Arial"/>
          <w:sz w:val="20"/>
          <w:szCs w:val="20"/>
        </w:rPr>
        <w:t xml:space="preserve"> strīds bija par Majotas statusa maiņu attiecībā uz ES (proti, ņemot vērā, ka tā vairs nav ES aizjūras zemju un teritoriju skaitā, lai kļūtu par tālāko reģionu LESD 349.panta izpratnē). Komisija, pamatojoties uz vairākiem LESD pantiem, pieņēma vairākus tiesību aktus. Padome uzskatīja, ka šie akti bija jāpieņem, pamatojoties uz LESD 349.pantu. EST atzina, ka Regulas Nr. 1385/013 preambulas 3. un 7.apsvēruma mērķis ir aizsargāt lielo migrējošo zivju barus Majotas salas tuvumā par labu vietējai flotei, kas, būdama nepietiekami liela, nevar līdzināties ārvalstu flotēm. No apstrīdēto tiesību aktu mērķiem un satura izriet, ka tajos esošie pasākumi tika paredzēti, ņemot vērā Majotas ekonomisko un sociāli strukturālo stāvokli LESD 349.panta izpratnē. Tādēļ Komisijai bija jāpiemēro LESD </w:t>
      </w:r>
      <w:r w:rsidRPr="00700FB4">
        <w:rPr>
          <w:rStyle w:val="NoSpacingChar"/>
          <w:rFonts w:ascii="Arial" w:hAnsi="Arial" w:cs="Arial"/>
          <w:sz w:val="20"/>
          <w:szCs w:val="20"/>
        </w:rPr>
        <w:t>349.pants.</w:t>
      </w:r>
    </w:p>
    <w:p w:rsidR="00E043B2" w:rsidRPr="00700FB4" w:rsidRDefault="00E043B2" w:rsidP="00E043B2">
      <w:pPr>
        <w:pStyle w:val="NoSpacing"/>
        <w:jc w:val="both"/>
        <w:rPr>
          <w:rStyle w:val="NoSpacingChar"/>
          <w:rFonts w:ascii="Arial" w:hAnsi="Arial" w:cs="Arial"/>
          <w:sz w:val="20"/>
          <w:szCs w:val="20"/>
        </w:rPr>
      </w:pPr>
    </w:p>
    <w:p w:rsidR="00E043B2" w:rsidRPr="00700FB4" w:rsidRDefault="004F1F8E" w:rsidP="00E043B2">
      <w:pPr>
        <w:pStyle w:val="NoSpacing"/>
        <w:jc w:val="both"/>
        <w:rPr>
          <w:rFonts w:ascii="Arial" w:hAnsi="Arial" w:cs="Arial"/>
          <w:sz w:val="20"/>
          <w:szCs w:val="20"/>
        </w:rPr>
      </w:pPr>
      <w:r w:rsidRPr="00700FB4">
        <w:rPr>
          <w:rStyle w:val="NoSpacingChar"/>
          <w:rFonts w:ascii="Arial" w:hAnsi="Arial" w:cs="Arial"/>
          <w:sz w:val="20"/>
          <w:szCs w:val="20"/>
        </w:rPr>
        <w:t xml:space="preserve">Lietā </w:t>
      </w:r>
      <w:r w:rsidRPr="00700FB4">
        <w:rPr>
          <w:rStyle w:val="NoSpacingChar"/>
          <w:rFonts w:ascii="Arial" w:hAnsi="Arial" w:cs="Arial"/>
          <w:b/>
          <w:sz w:val="20"/>
          <w:szCs w:val="20"/>
        </w:rPr>
        <w:t>C-57/89</w:t>
      </w:r>
      <w:r w:rsidRPr="00700FB4">
        <w:rPr>
          <w:rStyle w:val="NoSpacingChar"/>
          <w:rFonts w:ascii="Arial" w:hAnsi="Arial" w:cs="Arial"/>
          <w:b/>
          <w:sz w:val="20"/>
          <w:szCs w:val="20"/>
        </w:rPr>
        <w:footnoteReference w:id="68"/>
      </w:r>
      <w:r w:rsidRPr="00700FB4">
        <w:rPr>
          <w:rStyle w:val="NoSpacingChar"/>
          <w:rFonts w:ascii="Arial" w:hAnsi="Arial" w:cs="Arial"/>
          <w:sz w:val="20"/>
          <w:szCs w:val="20"/>
        </w:rPr>
        <w:t xml:space="preserve"> strīds bija par aizsprostu būvniecības ietekmi uz īpaši aizsargājamu putnu un to</w:t>
      </w:r>
      <w:r w:rsidRPr="00700FB4">
        <w:rPr>
          <w:rFonts w:ascii="Arial" w:hAnsi="Arial" w:cs="Arial"/>
          <w:sz w:val="20"/>
          <w:szCs w:val="20"/>
        </w:rPr>
        <w:t xml:space="preserve"> dzīvotņu aizsardzību </w:t>
      </w:r>
      <w:proofErr w:type="spellStart"/>
      <w:r w:rsidRPr="00700FB4">
        <w:rPr>
          <w:rFonts w:ascii="Arial" w:hAnsi="Arial" w:cs="Arial"/>
          <w:sz w:val="20"/>
          <w:szCs w:val="20"/>
        </w:rPr>
        <w:t>Ley</w:t>
      </w:r>
      <w:proofErr w:type="spellEnd"/>
      <w:r w:rsidRPr="00700FB4">
        <w:rPr>
          <w:rFonts w:ascii="Arial" w:hAnsi="Arial" w:cs="Arial"/>
          <w:sz w:val="20"/>
          <w:szCs w:val="20"/>
        </w:rPr>
        <w:t xml:space="preserve"> līcī (</w:t>
      </w:r>
      <w:proofErr w:type="spellStart"/>
      <w:r w:rsidRPr="00700FB4">
        <w:rPr>
          <w:rFonts w:ascii="Arial" w:hAnsi="Arial" w:cs="Arial"/>
          <w:i/>
          <w:sz w:val="20"/>
          <w:szCs w:val="20"/>
        </w:rPr>
        <w:t>Leybucht</w:t>
      </w:r>
      <w:proofErr w:type="spellEnd"/>
      <w:r w:rsidRPr="00700FB4">
        <w:rPr>
          <w:rFonts w:ascii="Arial" w:hAnsi="Arial" w:cs="Arial"/>
          <w:sz w:val="20"/>
          <w:szCs w:val="20"/>
        </w:rPr>
        <w:t xml:space="preserve">). Aizsprosta pārvietošana uz jūru piekrastes aizsardzības projekta īstenošanas ietvaros ietekmēja aizsargājamās teritorijas robežas un izmēru. EST vērtēja, vai un ar kādiem nosacījumiem dalībvalstis var samazināt aizsargājamas teritorijas izmēru un cik lielā mērā ņemamas citas intereses. Plūdu draudi un piekrastes aizsardzība ir pietiekami nopietns iemesls, lai attaisnotu aizsprosta pārvietošanas darbus, kamēr vien šie pasākumi ir ierobežoti līdz minimumam un aizsargājamās teritorijas samazinājums pēc iespējas mazāks. Aizsprosta līniju ietekmēja apsvērumi, kas saistīti ne tikai ar piekrastes aizsardzību, bet arī ar nepieciešamību nodrošināt, ka zvejas kuģiem ir pieeja ostai. </w:t>
      </w:r>
    </w:p>
    <w:p w:rsidR="00E043B2" w:rsidRPr="00700FB4" w:rsidRDefault="00E043B2" w:rsidP="00E043B2">
      <w:pPr>
        <w:pStyle w:val="NoSpacing"/>
        <w:jc w:val="both"/>
        <w:rPr>
          <w:rFonts w:ascii="Arial" w:hAnsi="Arial" w:cs="Arial"/>
          <w:sz w:val="20"/>
          <w:szCs w:val="20"/>
        </w:rPr>
      </w:pPr>
    </w:p>
    <w:p w:rsidR="00126EEA" w:rsidRPr="00700FB4" w:rsidRDefault="004F1F8E" w:rsidP="00E043B2">
      <w:pPr>
        <w:pStyle w:val="NoSpacing"/>
        <w:jc w:val="both"/>
        <w:rPr>
          <w:rFonts w:ascii="Arial" w:hAnsi="Arial" w:cs="Arial"/>
          <w:sz w:val="20"/>
          <w:szCs w:val="20"/>
        </w:rPr>
      </w:pPr>
      <w:r w:rsidRPr="00700FB4">
        <w:rPr>
          <w:rFonts w:ascii="Arial" w:hAnsi="Arial" w:cs="Arial"/>
          <w:sz w:val="20"/>
          <w:szCs w:val="20"/>
        </w:rPr>
        <w:t>EST ņēma vērā citus ekoloģiskos ieguvumus (jo projekta īstenošanas rezultātā tiktu noslēgti divi kuģošanas ceļi, kas šķērso līci, tādējādi atstājot līci un tajā esošās aizsargājamo putnu dzīvotnes pilnīgā mierā, turklāt lēmums, ar kuru tika apstiprināti plānotie darbi, paredzēja striktus aizsardzības pasākumus citai teritorijai, nodrošinot plūdmaiņu un augu sugu aizsardzību) un secināja, ka vēlme nodrošināt zvejas ostas pastāvēšanu attaisno aizsprosta pārvietošanas darbus. Tātad tikai tā iemesla dēļ, ka projekta rezultātā rastos papildus ekoloģiski ieguvumi, zvejas ostas saglabāšana tika uzskatīta par attaisnojošu iemeslu aizsprosta pārvietošanai un attiecīgi aizsargājamās teritorijas robežu mainīšanai.</w:t>
      </w:r>
      <w:r w:rsidR="00126EEA" w:rsidRPr="00700FB4">
        <w:rPr>
          <w:rFonts w:ascii="Arial" w:hAnsi="Arial" w:cs="Arial"/>
          <w:sz w:val="20"/>
          <w:szCs w:val="20"/>
        </w:rPr>
        <w:br w:type="page"/>
      </w:r>
    </w:p>
    <w:p w:rsidR="00126EEA" w:rsidRPr="00700FB4" w:rsidRDefault="00126EEA" w:rsidP="00665269">
      <w:pPr>
        <w:pStyle w:val="Heading1"/>
      </w:pPr>
      <w:bookmarkStart w:id="22" w:name="_Toc460402337"/>
      <w:r w:rsidRPr="00700FB4">
        <w:lastRenderedPageBreak/>
        <w:t>[3] Starptautiskās konvencijas – nozaru regulējums</w:t>
      </w:r>
      <w:bookmarkEnd w:id="22"/>
      <w:r w:rsidRPr="00700FB4">
        <w:t xml:space="preserve"> </w:t>
      </w:r>
    </w:p>
    <w:p w:rsidR="00126EEA" w:rsidRPr="00700FB4" w:rsidRDefault="00126EEA" w:rsidP="00126EEA">
      <w:pPr>
        <w:pStyle w:val="NoSpacing"/>
        <w:rPr>
          <w:rFonts w:ascii="Arial" w:hAnsi="Arial" w:cs="Arial"/>
          <w:b/>
          <w:sz w:val="20"/>
          <w:szCs w:val="20"/>
        </w:rPr>
      </w:pPr>
    </w:p>
    <w:p w:rsidR="00126EEA" w:rsidRPr="00700FB4" w:rsidRDefault="00126EEA" w:rsidP="00665269">
      <w:pPr>
        <w:pStyle w:val="Heading2"/>
      </w:pPr>
      <w:bookmarkStart w:id="23" w:name="_Toc460402338"/>
      <w:r w:rsidRPr="00700FB4">
        <w:t xml:space="preserve">[3.1] </w:t>
      </w:r>
      <w:bookmarkStart w:id="24" w:name="_Toc456031648"/>
      <w:r w:rsidRPr="00700FB4">
        <w:t>Vide</w:t>
      </w:r>
      <w:bookmarkEnd w:id="24"/>
      <w:r w:rsidRPr="00700FB4">
        <w:t>s joma</w:t>
      </w:r>
      <w:bookmarkEnd w:id="23"/>
    </w:p>
    <w:p w:rsidR="00126EEA" w:rsidRPr="00700FB4" w:rsidRDefault="00126EEA" w:rsidP="00126EEA">
      <w:pPr>
        <w:pStyle w:val="NoSpacing"/>
        <w:jc w:val="both"/>
        <w:rPr>
          <w:rFonts w:ascii="Arial" w:hAnsi="Arial" w:cs="Arial"/>
          <w:sz w:val="20"/>
          <w:szCs w:val="20"/>
        </w:rPr>
      </w:pPr>
      <w:r w:rsidRPr="00700FB4">
        <w:rPr>
          <w:rFonts w:ascii="Arial" w:hAnsi="Arial" w:cs="Arial"/>
          <w:sz w:val="20"/>
          <w:szCs w:val="20"/>
        </w:rPr>
        <w:t xml:space="preserve">Saskaņā ar </w:t>
      </w:r>
      <w:r w:rsidR="00E51601" w:rsidRPr="00700FB4">
        <w:rPr>
          <w:rFonts w:ascii="Arial" w:hAnsi="Arial" w:cs="Arial"/>
          <w:b/>
          <w:sz w:val="20"/>
          <w:szCs w:val="20"/>
        </w:rPr>
        <w:t>Jūras konvencijā</w:t>
      </w:r>
      <w:r w:rsidR="00E51601" w:rsidRPr="00700FB4">
        <w:rPr>
          <w:rFonts w:ascii="Arial" w:hAnsi="Arial" w:cs="Arial"/>
          <w:sz w:val="20"/>
          <w:szCs w:val="20"/>
        </w:rPr>
        <w:t xml:space="preserve"> </w:t>
      </w:r>
      <w:r w:rsidRPr="00700FB4">
        <w:rPr>
          <w:rFonts w:ascii="Arial" w:hAnsi="Arial" w:cs="Arial"/>
          <w:sz w:val="20"/>
          <w:szCs w:val="20"/>
        </w:rPr>
        <w:t xml:space="preserve">noteikto </w:t>
      </w:r>
      <w:r w:rsidR="00E51601" w:rsidRPr="00700FB4">
        <w:rPr>
          <w:rFonts w:ascii="Arial" w:hAnsi="Arial" w:cs="Arial"/>
          <w:sz w:val="20"/>
          <w:szCs w:val="20"/>
        </w:rPr>
        <w:t xml:space="preserve">Ekskluzīvā zonā </w:t>
      </w:r>
      <w:r w:rsidRPr="00700FB4">
        <w:rPr>
          <w:rFonts w:ascii="Arial" w:hAnsi="Arial" w:cs="Arial"/>
          <w:sz w:val="20"/>
          <w:szCs w:val="20"/>
        </w:rPr>
        <w:t xml:space="preserve">valstij ir tiesības izpētīt un izmantot, saglabāt un rīkoties ar dabas resursiem, kā dzīvajiem, tā arī nedzīvajiem, ūdeņos, kas sedz jūras dibenu, jūras dibenā un tā dzīlēs. Taču atbilstoši </w:t>
      </w:r>
      <w:r w:rsidR="00E51601" w:rsidRPr="00700FB4">
        <w:rPr>
          <w:rFonts w:ascii="Arial" w:hAnsi="Arial" w:cs="Arial"/>
          <w:sz w:val="20"/>
          <w:szCs w:val="20"/>
        </w:rPr>
        <w:t xml:space="preserve">Jūras konvencijas </w:t>
      </w:r>
      <w:r w:rsidRPr="00700FB4">
        <w:rPr>
          <w:rFonts w:ascii="Arial" w:hAnsi="Arial" w:cs="Arial"/>
          <w:sz w:val="20"/>
          <w:szCs w:val="20"/>
        </w:rPr>
        <w:t xml:space="preserve">XII. daļai “Jūras vides aizsardzība un saglabāšana”, valstīm ir pienākums aizsargāt un saglabāt jūras vidi. Tādēļ piekrastes valstīm saskaņā ar </w:t>
      </w:r>
      <w:r w:rsidR="00E51601" w:rsidRPr="00700FB4">
        <w:rPr>
          <w:rFonts w:ascii="Arial" w:hAnsi="Arial" w:cs="Arial"/>
          <w:sz w:val="20"/>
          <w:szCs w:val="20"/>
        </w:rPr>
        <w:t xml:space="preserve">Jūras konvencijas </w:t>
      </w:r>
      <w:r w:rsidRPr="00700FB4">
        <w:rPr>
          <w:rFonts w:ascii="Arial" w:hAnsi="Arial" w:cs="Arial"/>
          <w:sz w:val="20"/>
          <w:szCs w:val="20"/>
        </w:rPr>
        <w:t>21.panta pirmo daļu ir tiesības pieņemt likumus un noteikumus, kas attiecas uz mierīgu caurbraukšanu pa teritoriālo jūru, cita starpā attiecībā uz jūras dzīvo resursu saglabāšanu, kā arī uz piekrastes valsts apkārtējās vides saglabāšanu, tās piesārņošanas novēršanu, samazināšanu un kontrolēšanu.</w:t>
      </w:r>
    </w:p>
    <w:p w:rsidR="00F82829" w:rsidRPr="00700FB4" w:rsidRDefault="00F82829" w:rsidP="00126EEA">
      <w:pPr>
        <w:pStyle w:val="NoSpacing"/>
        <w:jc w:val="both"/>
        <w:rPr>
          <w:rFonts w:ascii="Arial" w:hAnsi="Arial" w:cs="Arial"/>
          <w:sz w:val="20"/>
          <w:szCs w:val="20"/>
        </w:rPr>
      </w:pPr>
    </w:p>
    <w:p w:rsidR="00126EEA" w:rsidRPr="00700FB4" w:rsidRDefault="00E51601" w:rsidP="00126EEA">
      <w:pPr>
        <w:pStyle w:val="NoSpacing"/>
        <w:jc w:val="both"/>
        <w:rPr>
          <w:rFonts w:ascii="Arial" w:hAnsi="Arial" w:cs="Arial"/>
          <w:sz w:val="20"/>
          <w:szCs w:val="20"/>
        </w:rPr>
      </w:pPr>
      <w:r w:rsidRPr="00700FB4">
        <w:rPr>
          <w:rFonts w:ascii="Arial" w:hAnsi="Arial" w:cs="Arial"/>
          <w:sz w:val="20"/>
          <w:szCs w:val="20"/>
        </w:rPr>
        <w:t xml:space="preserve">Jūras konvencijas </w:t>
      </w:r>
      <w:r w:rsidR="00126EEA" w:rsidRPr="00700FB4">
        <w:rPr>
          <w:rFonts w:ascii="Arial" w:hAnsi="Arial" w:cs="Arial"/>
          <w:sz w:val="20"/>
          <w:szCs w:val="20"/>
        </w:rPr>
        <w:t xml:space="preserve">194.pants noteic pasākumus, kas vērsti uz jūras dabas vides piesārņojuma samazināšanu un kontroli. Valstīm individuāli vai kopīgi jāveic visi pasākumi, kas nepieciešami, lai novērstu, mazinātu un kontrolētu jūras vides piesārņojumu no jebkura avota, lietojot šim iemeslam vislabākos praktiskos līdzekļus, kas ir to rīcībā un saskaņā ar to iespējām, un tām ir jāpieliek visas pūles, lai harmonizētu to politiku šajā sakarā. Šāda pieeja atspoguļo arī </w:t>
      </w:r>
      <w:r w:rsidR="00E043B2" w:rsidRPr="00700FB4">
        <w:rPr>
          <w:rFonts w:ascii="Arial" w:hAnsi="Arial" w:cs="Arial"/>
          <w:b/>
          <w:sz w:val="20"/>
          <w:szCs w:val="20"/>
        </w:rPr>
        <w:t>Riodežaneiro konvencijas</w:t>
      </w:r>
      <w:r w:rsidR="00840ADB" w:rsidRPr="00700FB4">
        <w:rPr>
          <w:rFonts w:ascii="Arial" w:hAnsi="Arial" w:cs="Arial"/>
          <w:sz w:val="20"/>
          <w:szCs w:val="20"/>
        </w:rPr>
        <w:t xml:space="preserve"> </w:t>
      </w:r>
      <w:r w:rsidR="00126EEA" w:rsidRPr="00700FB4">
        <w:rPr>
          <w:rFonts w:ascii="Arial" w:hAnsi="Arial" w:cs="Arial"/>
          <w:sz w:val="20"/>
          <w:szCs w:val="20"/>
        </w:rPr>
        <w:t>3.pantā ietverto principu, proti, valstu tiesība</w:t>
      </w:r>
      <w:r w:rsidR="009D33B8" w:rsidRPr="00700FB4">
        <w:rPr>
          <w:rFonts w:ascii="Arial" w:hAnsi="Arial" w:cs="Arial"/>
          <w:sz w:val="20"/>
          <w:szCs w:val="20"/>
        </w:rPr>
        <w:t>s izmantot savus resursus (arī</w:t>
      </w:r>
      <w:r w:rsidR="00126EEA" w:rsidRPr="00700FB4">
        <w:rPr>
          <w:rFonts w:ascii="Arial" w:hAnsi="Arial" w:cs="Arial"/>
          <w:sz w:val="20"/>
          <w:szCs w:val="20"/>
        </w:rPr>
        <w:t xml:space="preserve"> jūrā esošos resursus) savas vides politikas ietvaros un pienākums gādāt par to, lai darbība to jurisdikcijas un kontroles zonā neradītu kaitējumu videi citās valstīs vai teritorijās ārpus to valstiskās jurisdikcijas. Saskaņā ar Konvenciju pasākumi ir piemērojami jebkuriem jūras vides piesārņojuma avotiem. Jāņem vērā, ka atbilstoši 194.panta ceturtajai daļai, veicot pasākumus, lai novērstu, samazinātu vai kontrolētu jūras vides piesārņojumu, valstīm ir jāatturas iejaukšanās citu valstu darbībās, kas realizē savas tiesības un pienākumus.</w:t>
      </w:r>
    </w:p>
    <w:p w:rsidR="00F82829" w:rsidRPr="00700FB4" w:rsidRDefault="00F82829" w:rsidP="00126EEA">
      <w:pPr>
        <w:pStyle w:val="NoSpacing"/>
        <w:jc w:val="both"/>
        <w:rPr>
          <w:rFonts w:ascii="Arial" w:hAnsi="Arial" w:cs="Arial"/>
          <w:sz w:val="20"/>
          <w:szCs w:val="20"/>
        </w:rPr>
      </w:pPr>
    </w:p>
    <w:p w:rsidR="00126EEA" w:rsidRPr="00700FB4" w:rsidRDefault="00E51601" w:rsidP="00126EEA">
      <w:pPr>
        <w:pStyle w:val="NoSpacing"/>
        <w:jc w:val="both"/>
        <w:rPr>
          <w:rFonts w:ascii="Arial" w:hAnsi="Arial" w:cs="Arial"/>
          <w:sz w:val="20"/>
          <w:szCs w:val="20"/>
        </w:rPr>
      </w:pPr>
      <w:r w:rsidRPr="00700FB4">
        <w:rPr>
          <w:rFonts w:ascii="Arial" w:hAnsi="Arial" w:cs="Arial"/>
          <w:sz w:val="20"/>
          <w:szCs w:val="20"/>
        </w:rPr>
        <w:t xml:space="preserve">Jūras konvencijas </w:t>
      </w:r>
      <w:r w:rsidR="00126EEA" w:rsidRPr="00700FB4">
        <w:rPr>
          <w:rFonts w:ascii="Arial" w:hAnsi="Arial" w:cs="Arial"/>
          <w:sz w:val="20"/>
          <w:szCs w:val="20"/>
        </w:rPr>
        <w:t>194.panta otrā daļa, kas tika pieņemta atbilstoši ANO Starptautiskās tiesas atziņām</w:t>
      </w:r>
      <w:r w:rsidR="00E043B2" w:rsidRPr="00700FB4">
        <w:rPr>
          <w:rFonts w:ascii="Arial" w:hAnsi="Arial" w:cs="Arial"/>
          <w:sz w:val="20"/>
          <w:szCs w:val="20"/>
        </w:rPr>
        <w:t>,</w:t>
      </w:r>
      <w:r w:rsidR="00126EEA" w:rsidRPr="00700FB4">
        <w:rPr>
          <w:rStyle w:val="FootnoteReference"/>
          <w:rFonts w:ascii="Arial" w:hAnsi="Arial" w:cs="Arial"/>
          <w:sz w:val="20"/>
          <w:szCs w:val="20"/>
        </w:rPr>
        <w:footnoteReference w:id="69"/>
      </w:r>
      <w:r w:rsidR="00126EEA" w:rsidRPr="00700FB4">
        <w:rPr>
          <w:rFonts w:ascii="Arial" w:hAnsi="Arial" w:cs="Arial"/>
          <w:sz w:val="20"/>
          <w:szCs w:val="20"/>
        </w:rPr>
        <w:t xml:space="preserve"> noteic, ka valstīm jāveic visi pasākumi, kas nepieciešami, lai pārliecinātos, ka to darbības saskaņā ar to kompetenci ir veiktas tā, ka nenodara kaitējumu citām valstīm un to videi un ka piesārņojums, kas rodas no negadījumiem vai darbībām saskaņā ar to kompetenci, vai, kas to kontrolē, neizplatīsies ārpus teritorijas, kur tās realizē savas suverēnas tiesības saskaņā ar šo Konvenciju. Šī atziņa tika nostiprināta 1997.gadā lietā “</w:t>
      </w:r>
      <w:proofErr w:type="spellStart"/>
      <w:r w:rsidR="00126EEA" w:rsidRPr="00700FB4">
        <w:rPr>
          <w:rFonts w:ascii="Arial" w:hAnsi="Arial" w:cs="Arial"/>
          <w:i/>
          <w:sz w:val="20"/>
          <w:szCs w:val="20"/>
        </w:rPr>
        <w:t>Gabčikovo-Nagymaros</w:t>
      </w:r>
      <w:proofErr w:type="spellEnd"/>
      <w:r w:rsidR="00126EEA" w:rsidRPr="00700FB4">
        <w:rPr>
          <w:rFonts w:ascii="Arial" w:hAnsi="Arial" w:cs="Arial"/>
          <w:i/>
          <w:sz w:val="20"/>
          <w:szCs w:val="20"/>
        </w:rPr>
        <w:t xml:space="preserve"> Project (</w:t>
      </w:r>
      <w:proofErr w:type="spellStart"/>
      <w:r w:rsidR="00126EEA" w:rsidRPr="00700FB4">
        <w:rPr>
          <w:rFonts w:ascii="Arial" w:hAnsi="Arial" w:cs="Arial"/>
          <w:i/>
          <w:sz w:val="20"/>
          <w:szCs w:val="20"/>
        </w:rPr>
        <w:t>Hungary</w:t>
      </w:r>
      <w:proofErr w:type="spellEnd"/>
      <w:r w:rsidR="00126EEA" w:rsidRPr="00700FB4">
        <w:rPr>
          <w:rFonts w:ascii="Arial" w:hAnsi="Arial" w:cs="Arial"/>
          <w:i/>
          <w:sz w:val="20"/>
          <w:szCs w:val="20"/>
        </w:rPr>
        <w:t xml:space="preserve"> / </w:t>
      </w:r>
      <w:proofErr w:type="spellStart"/>
      <w:r w:rsidR="00126EEA" w:rsidRPr="00700FB4">
        <w:rPr>
          <w:rFonts w:ascii="Arial" w:hAnsi="Arial" w:cs="Arial"/>
          <w:i/>
          <w:sz w:val="20"/>
          <w:szCs w:val="20"/>
        </w:rPr>
        <w:t>Slovakia</w:t>
      </w:r>
      <w:proofErr w:type="spellEnd"/>
      <w:r w:rsidR="00126EEA" w:rsidRPr="00700FB4">
        <w:rPr>
          <w:rFonts w:ascii="Arial" w:hAnsi="Arial" w:cs="Arial"/>
          <w:i/>
          <w:sz w:val="20"/>
          <w:szCs w:val="20"/>
        </w:rPr>
        <w:t>)</w:t>
      </w:r>
      <w:r w:rsidR="00126EEA" w:rsidRPr="00700FB4">
        <w:rPr>
          <w:rFonts w:ascii="Arial" w:hAnsi="Arial" w:cs="Arial"/>
          <w:sz w:val="20"/>
          <w:szCs w:val="20"/>
        </w:rPr>
        <w:t>”</w:t>
      </w:r>
      <w:r w:rsidR="00E043B2" w:rsidRPr="00700FB4">
        <w:rPr>
          <w:rFonts w:ascii="Arial" w:hAnsi="Arial" w:cs="Arial"/>
          <w:sz w:val="20"/>
          <w:szCs w:val="20"/>
        </w:rPr>
        <w:t>,</w:t>
      </w:r>
      <w:r w:rsidR="00126EEA" w:rsidRPr="00700FB4">
        <w:rPr>
          <w:rStyle w:val="FootnoteReference"/>
          <w:rFonts w:ascii="Arial" w:hAnsi="Arial" w:cs="Arial"/>
          <w:sz w:val="20"/>
          <w:szCs w:val="20"/>
        </w:rPr>
        <w:footnoteReference w:id="70"/>
      </w:r>
      <w:r w:rsidR="00126EEA" w:rsidRPr="00700FB4">
        <w:rPr>
          <w:rFonts w:ascii="Arial" w:hAnsi="Arial" w:cs="Arial"/>
          <w:sz w:val="20"/>
          <w:szCs w:val="20"/>
        </w:rPr>
        <w:t xml:space="preserve"> kurā tiesa uzsvēra ilgtspējīgas attīstības principa nozīmi, saskaņojot ekonomisko attīstību ar vides aizsardzību. Tāpat šajā lietā tika norādīts uz valstu pienākumu piešķirt atbilstošu nozīmi atzītiem vides standartiem un tiesībām.</w:t>
      </w:r>
    </w:p>
    <w:p w:rsidR="00F82829" w:rsidRPr="00700FB4" w:rsidRDefault="00F82829" w:rsidP="00126EEA">
      <w:pPr>
        <w:pStyle w:val="NoSpacing"/>
        <w:jc w:val="both"/>
        <w:rPr>
          <w:rFonts w:ascii="Arial" w:hAnsi="Arial" w:cs="Arial"/>
          <w:sz w:val="20"/>
          <w:szCs w:val="20"/>
        </w:rPr>
      </w:pPr>
    </w:p>
    <w:p w:rsidR="00126EEA" w:rsidRPr="00700FB4" w:rsidRDefault="00126EEA" w:rsidP="00126EEA">
      <w:pPr>
        <w:pStyle w:val="NoSpacing"/>
        <w:jc w:val="both"/>
        <w:rPr>
          <w:rFonts w:ascii="Arial" w:hAnsi="Arial" w:cs="Arial"/>
          <w:sz w:val="20"/>
          <w:szCs w:val="20"/>
        </w:rPr>
      </w:pPr>
      <w:r w:rsidRPr="00700FB4">
        <w:rPr>
          <w:rFonts w:ascii="Arial" w:hAnsi="Arial" w:cs="Arial"/>
          <w:sz w:val="20"/>
          <w:szCs w:val="20"/>
        </w:rPr>
        <w:t xml:space="preserve">Tāpat valstīm atbilstoši </w:t>
      </w:r>
      <w:r w:rsidR="00E51601" w:rsidRPr="00700FB4">
        <w:rPr>
          <w:rFonts w:ascii="Arial" w:hAnsi="Arial" w:cs="Arial"/>
          <w:sz w:val="20"/>
          <w:szCs w:val="20"/>
        </w:rPr>
        <w:t xml:space="preserve">Jūras konvencijas </w:t>
      </w:r>
      <w:r w:rsidRPr="00700FB4">
        <w:rPr>
          <w:rFonts w:ascii="Arial" w:hAnsi="Arial" w:cs="Arial"/>
          <w:sz w:val="20"/>
          <w:szCs w:val="20"/>
        </w:rPr>
        <w:t>195.pantam ir jādarbojas tā, lai nepārvietotu, tieši vai netieši, kaitējumu vai postījumu no vienas telpas uz citu vai nepārveidotu vienu piesārņojuma veidu citā. Savukārt attiecībā uz tehnoloģiju pielietošanas vai jaunu tehnoloģiju veidu ieviešanas rezultātā radīts piesārņojums norādīts, ka valstīm ir jāveic visi pasākumi, kas nepieciešami, lai to novērstu, mazinātu un kontrolētu.</w:t>
      </w:r>
    </w:p>
    <w:p w:rsidR="00F82829" w:rsidRPr="00700FB4" w:rsidRDefault="00F82829" w:rsidP="00126EEA">
      <w:pPr>
        <w:pStyle w:val="NoSpacing"/>
        <w:jc w:val="both"/>
        <w:rPr>
          <w:rFonts w:ascii="Arial" w:hAnsi="Arial" w:cs="Arial"/>
          <w:sz w:val="20"/>
          <w:szCs w:val="20"/>
        </w:rPr>
      </w:pPr>
    </w:p>
    <w:p w:rsidR="00126EEA" w:rsidRPr="00700FB4" w:rsidRDefault="00126EEA" w:rsidP="00126EEA">
      <w:pPr>
        <w:pStyle w:val="NoSpacing"/>
        <w:jc w:val="both"/>
        <w:rPr>
          <w:rFonts w:ascii="Arial" w:hAnsi="Arial" w:cs="Arial"/>
          <w:sz w:val="20"/>
          <w:szCs w:val="20"/>
        </w:rPr>
      </w:pPr>
      <w:r w:rsidRPr="00700FB4">
        <w:rPr>
          <w:rFonts w:ascii="Arial" w:hAnsi="Arial" w:cs="Arial"/>
          <w:sz w:val="20"/>
          <w:szCs w:val="20"/>
        </w:rPr>
        <w:t>Atsevišķi nosacījumi paredzēti dažādiem piesārņojumu veidiem, piemēram, piesārņojumam no sauszemes avotiem (</w:t>
      </w:r>
      <w:r w:rsidR="00E51601" w:rsidRPr="00700FB4">
        <w:rPr>
          <w:rFonts w:ascii="Arial" w:hAnsi="Arial" w:cs="Arial"/>
          <w:sz w:val="20"/>
          <w:szCs w:val="20"/>
        </w:rPr>
        <w:t>Jūras k</w:t>
      </w:r>
      <w:r w:rsidRPr="00700FB4">
        <w:rPr>
          <w:rFonts w:ascii="Arial" w:hAnsi="Arial" w:cs="Arial"/>
          <w:sz w:val="20"/>
          <w:szCs w:val="20"/>
        </w:rPr>
        <w:t>onvencijas 207.pants), piesārņojumam, no darbībām, kas tiek veiktas jūras dibenā saskaņā ar nacionālo likumdošanu (</w:t>
      </w:r>
      <w:r w:rsidR="00E51601" w:rsidRPr="00700FB4">
        <w:rPr>
          <w:rFonts w:ascii="Arial" w:hAnsi="Arial" w:cs="Arial"/>
          <w:sz w:val="20"/>
          <w:szCs w:val="20"/>
        </w:rPr>
        <w:t xml:space="preserve">Jūras konvencijas </w:t>
      </w:r>
      <w:r w:rsidRPr="00700FB4">
        <w:rPr>
          <w:rFonts w:ascii="Arial" w:hAnsi="Arial" w:cs="Arial"/>
          <w:sz w:val="20"/>
          <w:szCs w:val="20"/>
        </w:rPr>
        <w:t>208.pants), piesār</w:t>
      </w:r>
      <w:r w:rsidR="00F82829" w:rsidRPr="00700FB4">
        <w:rPr>
          <w:rFonts w:ascii="Arial" w:hAnsi="Arial" w:cs="Arial"/>
          <w:sz w:val="20"/>
          <w:szCs w:val="20"/>
        </w:rPr>
        <w:t>ņojumam no darbībām rajonā, proti</w:t>
      </w:r>
      <w:r w:rsidRPr="00700FB4">
        <w:rPr>
          <w:rFonts w:ascii="Arial" w:hAnsi="Arial" w:cs="Arial"/>
          <w:sz w:val="20"/>
          <w:szCs w:val="20"/>
        </w:rPr>
        <w:t>, jūras un okeāna dibenos vai dzīlēs ārpus valsts jurisdikcijas robežām (</w:t>
      </w:r>
      <w:r w:rsidR="00E51601" w:rsidRPr="00700FB4">
        <w:rPr>
          <w:rFonts w:ascii="Arial" w:hAnsi="Arial" w:cs="Arial"/>
          <w:sz w:val="20"/>
          <w:szCs w:val="20"/>
        </w:rPr>
        <w:t xml:space="preserve">Jūras konvencijas </w:t>
      </w:r>
      <w:r w:rsidRPr="00700FB4">
        <w:rPr>
          <w:rFonts w:ascii="Arial" w:hAnsi="Arial" w:cs="Arial"/>
          <w:sz w:val="20"/>
          <w:szCs w:val="20"/>
        </w:rPr>
        <w:t>209.pants), piesārņojumam, kas rodas no atkritumu izgāšanas (</w:t>
      </w:r>
      <w:r w:rsidR="00E51601" w:rsidRPr="00700FB4">
        <w:rPr>
          <w:rFonts w:ascii="Arial" w:hAnsi="Arial" w:cs="Arial"/>
          <w:sz w:val="20"/>
          <w:szCs w:val="20"/>
        </w:rPr>
        <w:t xml:space="preserve">Jūras konvencijas </w:t>
      </w:r>
      <w:r w:rsidRPr="00700FB4">
        <w:rPr>
          <w:rFonts w:ascii="Arial" w:hAnsi="Arial" w:cs="Arial"/>
          <w:sz w:val="20"/>
          <w:szCs w:val="20"/>
        </w:rPr>
        <w:t>210.pants), piesārņošanai no kuģiem (</w:t>
      </w:r>
      <w:r w:rsidR="00E51601" w:rsidRPr="00700FB4">
        <w:rPr>
          <w:rFonts w:ascii="Arial" w:hAnsi="Arial" w:cs="Arial"/>
          <w:sz w:val="20"/>
          <w:szCs w:val="20"/>
        </w:rPr>
        <w:t xml:space="preserve">Jūras konvencijas </w:t>
      </w:r>
      <w:r w:rsidRPr="00700FB4">
        <w:rPr>
          <w:rFonts w:ascii="Arial" w:hAnsi="Arial" w:cs="Arial"/>
          <w:sz w:val="20"/>
          <w:szCs w:val="20"/>
        </w:rPr>
        <w:t>211.pants), piesārņošanai no atmosfēras vai caur to (</w:t>
      </w:r>
      <w:r w:rsidR="00E51601" w:rsidRPr="00700FB4">
        <w:rPr>
          <w:rFonts w:ascii="Arial" w:hAnsi="Arial" w:cs="Arial"/>
          <w:sz w:val="20"/>
          <w:szCs w:val="20"/>
        </w:rPr>
        <w:t xml:space="preserve">Jūras konvencijas </w:t>
      </w:r>
      <w:r w:rsidRPr="00700FB4">
        <w:rPr>
          <w:rFonts w:ascii="Arial" w:hAnsi="Arial" w:cs="Arial"/>
          <w:sz w:val="20"/>
          <w:szCs w:val="20"/>
        </w:rPr>
        <w:t>212.pants).</w:t>
      </w:r>
    </w:p>
    <w:p w:rsidR="00F82829" w:rsidRPr="00700FB4" w:rsidRDefault="00F82829" w:rsidP="00126EEA">
      <w:pPr>
        <w:pStyle w:val="NoSpacing"/>
        <w:jc w:val="both"/>
        <w:rPr>
          <w:rFonts w:ascii="Arial" w:hAnsi="Arial" w:cs="Arial"/>
          <w:sz w:val="20"/>
          <w:szCs w:val="20"/>
        </w:rPr>
      </w:pPr>
    </w:p>
    <w:p w:rsidR="00126EEA" w:rsidRPr="00700FB4" w:rsidRDefault="00126EEA" w:rsidP="00126EEA">
      <w:pPr>
        <w:pStyle w:val="NoSpacing"/>
        <w:jc w:val="both"/>
        <w:rPr>
          <w:rFonts w:ascii="Arial" w:hAnsi="Arial" w:cs="Arial"/>
          <w:sz w:val="20"/>
          <w:szCs w:val="20"/>
        </w:rPr>
      </w:pPr>
      <w:r w:rsidRPr="00700FB4">
        <w:rPr>
          <w:rFonts w:ascii="Arial" w:hAnsi="Arial" w:cs="Arial"/>
          <w:sz w:val="20"/>
          <w:szCs w:val="20"/>
        </w:rPr>
        <w:t xml:space="preserve">Kopumā secināms, ka valstu pienākums ievērot jūras vides aizsardzību caurvij visu </w:t>
      </w:r>
      <w:r w:rsidR="00885E6D" w:rsidRPr="00700FB4">
        <w:rPr>
          <w:rFonts w:ascii="Arial" w:hAnsi="Arial" w:cs="Arial"/>
          <w:sz w:val="20"/>
          <w:szCs w:val="20"/>
        </w:rPr>
        <w:t>Jūras konvenciju</w:t>
      </w:r>
      <w:r w:rsidRPr="00700FB4">
        <w:rPr>
          <w:rFonts w:ascii="Arial" w:hAnsi="Arial" w:cs="Arial"/>
          <w:sz w:val="20"/>
          <w:szCs w:val="20"/>
        </w:rPr>
        <w:t xml:space="preserve">. Piemēram, gadījumā, ja piekrastes valsts izmanto tiesības likvidēt uzbūvētās mākslīgās salas, iekārtas un būves </w:t>
      </w:r>
      <w:r w:rsidR="00885E6D" w:rsidRPr="00700FB4">
        <w:rPr>
          <w:rFonts w:ascii="Arial" w:hAnsi="Arial" w:cs="Arial"/>
          <w:sz w:val="20"/>
          <w:szCs w:val="20"/>
        </w:rPr>
        <w:t>Ekskluzīvā zonā</w:t>
      </w:r>
      <w:r w:rsidRPr="00700FB4">
        <w:rPr>
          <w:rFonts w:ascii="Arial" w:hAnsi="Arial" w:cs="Arial"/>
          <w:sz w:val="20"/>
          <w:szCs w:val="20"/>
        </w:rPr>
        <w:t xml:space="preserve">, tad tām atbilstoši </w:t>
      </w:r>
      <w:r w:rsidR="00885E6D" w:rsidRPr="00700FB4">
        <w:rPr>
          <w:rFonts w:ascii="Arial" w:hAnsi="Arial" w:cs="Arial"/>
          <w:sz w:val="20"/>
          <w:szCs w:val="20"/>
        </w:rPr>
        <w:t xml:space="preserve">Jūras konvencijas </w:t>
      </w:r>
      <w:r w:rsidRPr="00700FB4">
        <w:rPr>
          <w:rFonts w:ascii="Arial" w:hAnsi="Arial" w:cs="Arial"/>
          <w:sz w:val="20"/>
          <w:szCs w:val="20"/>
        </w:rPr>
        <w:t>60.panta trešajai daļai cita starpā jārespektē arī vides aizsardzība.</w:t>
      </w:r>
    </w:p>
    <w:p w:rsidR="00F82829" w:rsidRPr="00700FB4" w:rsidRDefault="00F82829" w:rsidP="00126EEA">
      <w:pPr>
        <w:pStyle w:val="NoSpacing"/>
        <w:jc w:val="both"/>
        <w:rPr>
          <w:rFonts w:ascii="Arial" w:hAnsi="Arial" w:cs="Arial"/>
          <w:sz w:val="20"/>
          <w:szCs w:val="20"/>
        </w:rPr>
      </w:pPr>
    </w:p>
    <w:p w:rsidR="00126EEA" w:rsidRPr="00700FB4" w:rsidRDefault="005F73DF" w:rsidP="00126EEA">
      <w:pPr>
        <w:pStyle w:val="NoSpacing"/>
        <w:jc w:val="both"/>
        <w:rPr>
          <w:rFonts w:ascii="Arial" w:hAnsi="Arial" w:cs="Arial"/>
          <w:sz w:val="20"/>
          <w:szCs w:val="20"/>
        </w:rPr>
      </w:pPr>
      <w:r w:rsidRPr="00700FB4">
        <w:rPr>
          <w:rFonts w:ascii="Arial" w:hAnsi="Arial" w:cs="Arial"/>
          <w:b/>
          <w:sz w:val="20"/>
          <w:szCs w:val="20"/>
        </w:rPr>
        <w:t>Riodežaneiro</w:t>
      </w:r>
      <w:r w:rsidR="00B629FE" w:rsidRPr="00700FB4">
        <w:rPr>
          <w:rFonts w:ascii="Arial" w:hAnsi="Arial" w:cs="Arial"/>
          <w:b/>
          <w:sz w:val="20"/>
          <w:szCs w:val="20"/>
        </w:rPr>
        <w:t xml:space="preserve"> konvencija</w:t>
      </w:r>
      <w:r w:rsidR="00840ADB" w:rsidRPr="00700FB4">
        <w:rPr>
          <w:rFonts w:ascii="Arial" w:hAnsi="Arial" w:cs="Arial"/>
          <w:sz w:val="20"/>
          <w:szCs w:val="20"/>
        </w:rPr>
        <w:t xml:space="preserve"> </w:t>
      </w:r>
      <w:r w:rsidR="00126EEA" w:rsidRPr="00700FB4">
        <w:rPr>
          <w:rFonts w:ascii="Arial" w:hAnsi="Arial" w:cs="Arial"/>
          <w:sz w:val="20"/>
          <w:szCs w:val="20"/>
        </w:rPr>
        <w:t xml:space="preserve">Latvijā tika pieņemta 1995.gada 31.augustā. </w:t>
      </w:r>
      <w:r w:rsidRPr="00700FB4">
        <w:rPr>
          <w:rFonts w:ascii="Arial" w:hAnsi="Arial" w:cs="Arial"/>
          <w:sz w:val="20"/>
          <w:szCs w:val="20"/>
        </w:rPr>
        <w:t>Riodežaneiro</w:t>
      </w:r>
      <w:r w:rsidR="00B629FE" w:rsidRPr="00700FB4">
        <w:rPr>
          <w:rFonts w:ascii="Arial" w:hAnsi="Arial" w:cs="Arial"/>
          <w:sz w:val="20"/>
          <w:szCs w:val="20"/>
        </w:rPr>
        <w:t xml:space="preserve"> konvencijas </w:t>
      </w:r>
      <w:r w:rsidR="00126EEA" w:rsidRPr="00700FB4">
        <w:rPr>
          <w:rFonts w:ascii="Arial" w:hAnsi="Arial" w:cs="Arial"/>
          <w:sz w:val="20"/>
          <w:szCs w:val="20"/>
        </w:rPr>
        <w:t xml:space="preserve">izpratnē bioloģiskā daudzveidība ietver dzīvo organismu dažādību visās vidēs, tai skaitā sauszemes, jūras un citās ūdens ekosistēmās un ekoloģiskajos kompleksos. </w:t>
      </w:r>
      <w:r w:rsidRPr="00700FB4">
        <w:rPr>
          <w:rFonts w:ascii="Arial" w:hAnsi="Arial" w:cs="Arial"/>
          <w:sz w:val="20"/>
          <w:szCs w:val="20"/>
        </w:rPr>
        <w:t>Riodežaneiro</w:t>
      </w:r>
      <w:r w:rsidR="00B629FE" w:rsidRPr="00700FB4">
        <w:rPr>
          <w:rFonts w:ascii="Arial" w:hAnsi="Arial" w:cs="Arial"/>
          <w:sz w:val="20"/>
          <w:szCs w:val="20"/>
        </w:rPr>
        <w:t xml:space="preserve"> konvencijas </w:t>
      </w:r>
      <w:r w:rsidR="00126EEA" w:rsidRPr="00700FB4">
        <w:rPr>
          <w:rFonts w:ascii="Arial" w:hAnsi="Arial" w:cs="Arial"/>
          <w:sz w:val="20"/>
          <w:szCs w:val="20"/>
        </w:rPr>
        <w:t xml:space="preserve">3.pantā noteikts, ka valstīm ir suverēnas tiesības izmantot savus resursus savas vides politikas ietvaros un pienākums gādāt par to, lai darbība to jurisdikcijas un kontroles zonā neradītu kaitējumu videi citās valstīs vai teritorijās ārpus to valstiskās </w:t>
      </w:r>
      <w:r w:rsidR="00126EEA" w:rsidRPr="00700FB4">
        <w:rPr>
          <w:rFonts w:ascii="Arial" w:hAnsi="Arial" w:cs="Arial"/>
          <w:sz w:val="20"/>
          <w:szCs w:val="20"/>
        </w:rPr>
        <w:lastRenderedPageBreak/>
        <w:t xml:space="preserve">jurisdikcijas. Tātad </w:t>
      </w:r>
      <w:r w:rsidR="00E043B2" w:rsidRPr="00700FB4">
        <w:rPr>
          <w:rFonts w:ascii="Arial" w:hAnsi="Arial" w:cs="Arial"/>
          <w:sz w:val="20"/>
          <w:szCs w:val="20"/>
        </w:rPr>
        <w:t xml:space="preserve">tiesiskais </w:t>
      </w:r>
      <w:r w:rsidR="00126EEA" w:rsidRPr="00700FB4">
        <w:rPr>
          <w:rFonts w:ascii="Arial" w:hAnsi="Arial" w:cs="Arial"/>
          <w:sz w:val="20"/>
          <w:szCs w:val="20"/>
        </w:rPr>
        <w:t xml:space="preserve">regulējums vismaz principu līmenī ir līdzīgs </w:t>
      </w:r>
      <w:r w:rsidR="00B629FE" w:rsidRPr="00700FB4">
        <w:rPr>
          <w:rFonts w:ascii="Arial" w:hAnsi="Arial" w:cs="Arial"/>
          <w:sz w:val="20"/>
          <w:szCs w:val="20"/>
        </w:rPr>
        <w:t xml:space="preserve">Jūras konvencijā </w:t>
      </w:r>
      <w:r w:rsidR="00126EEA" w:rsidRPr="00700FB4">
        <w:rPr>
          <w:rFonts w:ascii="Arial" w:hAnsi="Arial" w:cs="Arial"/>
          <w:sz w:val="20"/>
          <w:szCs w:val="20"/>
        </w:rPr>
        <w:t>noteiktajiem principiem (</w:t>
      </w:r>
      <w:r w:rsidR="00B629FE" w:rsidRPr="00700FB4">
        <w:rPr>
          <w:rFonts w:ascii="Arial" w:hAnsi="Arial" w:cs="Arial"/>
          <w:sz w:val="20"/>
          <w:szCs w:val="20"/>
        </w:rPr>
        <w:t>Jūras k</w:t>
      </w:r>
      <w:r w:rsidR="00126EEA" w:rsidRPr="00700FB4">
        <w:rPr>
          <w:rFonts w:ascii="Arial" w:hAnsi="Arial" w:cs="Arial"/>
          <w:sz w:val="20"/>
          <w:szCs w:val="20"/>
        </w:rPr>
        <w:t xml:space="preserve">onvencijas 194.panta otrā daļa). Attiecībā uz jūras vidi </w:t>
      </w:r>
      <w:r w:rsidRPr="00700FB4">
        <w:rPr>
          <w:rFonts w:ascii="Arial" w:hAnsi="Arial" w:cs="Arial"/>
          <w:sz w:val="20"/>
          <w:szCs w:val="20"/>
        </w:rPr>
        <w:t>Riodežaneiro</w:t>
      </w:r>
      <w:r w:rsidR="00B629FE" w:rsidRPr="00700FB4">
        <w:rPr>
          <w:rFonts w:ascii="Arial" w:hAnsi="Arial" w:cs="Arial"/>
          <w:sz w:val="20"/>
          <w:szCs w:val="20"/>
        </w:rPr>
        <w:t xml:space="preserve"> konvencijas</w:t>
      </w:r>
      <w:r w:rsidR="00126EEA" w:rsidRPr="00700FB4">
        <w:rPr>
          <w:rFonts w:ascii="Arial" w:hAnsi="Arial" w:cs="Arial"/>
          <w:sz w:val="20"/>
          <w:szCs w:val="20"/>
        </w:rPr>
        <w:t xml:space="preserve"> dalībvalstis apņemas īstenot to saskaņā ar valstu tiesībām un pienākumiem, kas izriet no jūras tiesībām. Saskaņā ar </w:t>
      </w:r>
      <w:r w:rsidRPr="00700FB4">
        <w:rPr>
          <w:rFonts w:ascii="Arial" w:hAnsi="Arial" w:cs="Arial"/>
          <w:sz w:val="20"/>
          <w:szCs w:val="20"/>
        </w:rPr>
        <w:t>Riodežaneiro</w:t>
      </w:r>
      <w:r w:rsidR="00B629FE" w:rsidRPr="00700FB4">
        <w:rPr>
          <w:rFonts w:ascii="Arial" w:hAnsi="Arial" w:cs="Arial"/>
          <w:sz w:val="20"/>
          <w:szCs w:val="20"/>
        </w:rPr>
        <w:t xml:space="preserve"> konvenciju </w:t>
      </w:r>
      <w:r w:rsidR="00126EEA" w:rsidRPr="00700FB4">
        <w:rPr>
          <w:rFonts w:ascii="Arial" w:hAnsi="Arial" w:cs="Arial"/>
          <w:sz w:val="20"/>
          <w:szCs w:val="20"/>
        </w:rPr>
        <w:t xml:space="preserve">dalībvalstis apņēmušās saglabāt bioloģisko daudzveidību gan </w:t>
      </w:r>
      <w:proofErr w:type="spellStart"/>
      <w:r w:rsidR="00126EEA" w:rsidRPr="00700FB4">
        <w:rPr>
          <w:rFonts w:ascii="Arial" w:hAnsi="Arial" w:cs="Arial"/>
          <w:i/>
          <w:sz w:val="20"/>
          <w:szCs w:val="20"/>
        </w:rPr>
        <w:t>in</w:t>
      </w:r>
      <w:proofErr w:type="spellEnd"/>
      <w:r w:rsidR="00126EEA" w:rsidRPr="00700FB4">
        <w:rPr>
          <w:rFonts w:ascii="Arial" w:hAnsi="Arial" w:cs="Arial"/>
          <w:i/>
          <w:sz w:val="20"/>
          <w:szCs w:val="20"/>
        </w:rPr>
        <w:t xml:space="preserve"> situ</w:t>
      </w:r>
      <w:r w:rsidR="00F82829" w:rsidRPr="00700FB4">
        <w:rPr>
          <w:rFonts w:ascii="Arial" w:hAnsi="Arial" w:cs="Arial"/>
          <w:sz w:val="20"/>
          <w:szCs w:val="20"/>
        </w:rPr>
        <w:t xml:space="preserve"> (</w:t>
      </w:r>
      <w:r w:rsidR="00126EEA" w:rsidRPr="00700FB4">
        <w:rPr>
          <w:rFonts w:ascii="Arial" w:hAnsi="Arial" w:cs="Arial"/>
          <w:sz w:val="20"/>
          <w:szCs w:val="20"/>
        </w:rPr>
        <w:t xml:space="preserve">izcelsmes vietā) un </w:t>
      </w:r>
      <w:proofErr w:type="spellStart"/>
      <w:r w:rsidR="00126EEA" w:rsidRPr="00700FB4">
        <w:rPr>
          <w:rFonts w:ascii="Arial" w:hAnsi="Arial" w:cs="Arial"/>
          <w:i/>
          <w:sz w:val="20"/>
          <w:szCs w:val="20"/>
        </w:rPr>
        <w:t>ex</w:t>
      </w:r>
      <w:proofErr w:type="spellEnd"/>
      <w:r w:rsidR="00126EEA" w:rsidRPr="00700FB4">
        <w:rPr>
          <w:rFonts w:ascii="Arial" w:hAnsi="Arial" w:cs="Arial"/>
          <w:i/>
          <w:sz w:val="20"/>
          <w:szCs w:val="20"/>
        </w:rPr>
        <w:t xml:space="preserve"> situ</w:t>
      </w:r>
      <w:r w:rsidR="00E043B2" w:rsidRPr="00700FB4">
        <w:rPr>
          <w:rFonts w:ascii="Arial" w:hAnsi="Arial" w:cs="Arial"/>
          <w:sz w:val="20"/>
          <w:szCs w:val="20"/>
        </w:rPr>
        <w:t xml:space="preserve"> (</w:t>
      </w:r>
      <w:r w:rsidR="00126EEA" w:rsidRPr="00700FB4">
        <w:rPr>
          <w:rFonts w:ascii="Arial" w:hAnsi="Arial" w:cs="Arial"/>
          <w:sz w:val="20"/>
          <w:szCs w:val="20"/>
        </w:rPr>
        <w:t>ārpus izcelsmes vietas).</w:t>
      </w:r>
    </w:p>
    <w:p w:rsidR="00F82829" w:rsidRPr="00700FB4" w:rsidRDefault="00F82829" w:rsidP="00126EEA">
      <w:pPr>
        <w:pStyle w:val="NoSpacing"/>
        <w:jc w:val="both"/>
        <w:rPr>
          <w:rFonts w:ascii="Arial" w:hAnsi="Arial" w:cs="Arial"/>
          <w:sz w:val="20"/>
          <w:szCs w:val="20"/>
        </w:rPr>
      </w:pPr>
    </w:p>
    <w:p w:rsidR="00126EEA" w:rsidRPr="00700FB4" w:rsidRDefault="00126EEA" w:rsidP="00126EEA">
      <w:pPr>
        <w:pStyle w:val="NoSpacing"/>
        <w:jc w:val="both"/>
        <w:rPr>
          <w:rFonts w:ascii="Arial" w:hAnsi="Arial" w:cs="Arial"/>
          <w:sz w:val="20"/>
          <w:szCs w:val="20"/>
        </w:rPr>
      </w:pPr>
      <w:r w:rsidRPr="00700FB4">
        <w:rPr>
          <w:rFonts w:ascii="Arial" w:hAnsi="Arial" w:cs="Arial"/>
          <w:sz w:val="20"/>
          <w:szCs w:val="20"/>
        </w:rPr>
        <w:t xml:space="preserve">Savukārt 1992.gada 14.jūnijā ANO Konferencē par vidi un attīstību tika pieņemta </w:t>
      </w:r>
      <w:r w:rsidRPr="00700FB4">
        <w:rPr>
          <w:rFonts w:ascii="Arial" w:hAnsi="Arial" w:cs="Arial"/>
          <w:b/>
          <w:sz w:val="20"/>
          <w:szCs w:val="20"/>
        </w:rPr>
        <w:t>Riodežaneiro deklarācija par vidi un attīstību</w:t>
      </w:r>
      <w:r w:rsidR="00F82829" w:rsidRPr="00700FB4">
        <w:rPr>
          <w:rFonts w:ascii="Arial" w:hAnsi="Arial" w:cs="Arial"/>
          <w:sz w:val="20"/>
          <w:szCs w:val="20"/>
        </w:rPr>
        <w:t xml:space="preserve"> </w:t>
      </w:r>
      <w:r w:rsidR="00885E6D" w:rsidRPr="00700FB4">
        <w:rPr>
          <w:rFonts w:ascii="Arial" w:hAnsi="Arial" w:cs="Arial"/>
          <w:sz w:val="20"/>
          <w:szCs w:val="20"/>
        </w:rPr>
        <w:t>D</w:t>
      </w:r>
      <w:r w:rsidRPr="00700FB4">
        <w:rPr>
          <w:rFonts w:ascii="Arial" w:hAnsi="Arial" w:cs="Arial"/>
          <w:sz w:val="20"/>
          <w:szCs w:val="20"/>
        </w:rPr>
        <w:t>eklarācijas mērķis bija pēc iespējas skaidrāk noteikt ilgtspējīgas attīstības koncepciju, uzsverot nepieciešamību nodrošināt vides informācijas publisku pieejamību, sabiedrības līdzdalību ar vidi saistītos jautājumos, kā arī piekļuvi tiesai ar vidi saistītos jautājumos.</w:t>
      </w:r>
      <w:r w:rsidRPr="00700FB4">
        <w:rPr>
          <w:rStyle w:val="FootnoteReference"/>
          <w:rFonts w:ascii="Arial" w:hAnsi="Arial" w:cs="Arial"/>
          <w:sz w:val="20"/>
          <w:szCs w:val="20"/>
        </w:rPr>
        <w:footnoteReference w:id="71"/>
      </w:r>
    </w:p>
    <w:p w:rsidR="00F82829" w:rsidRPr="00700FB4" w:rsidRDefault="00F82829" w:rsidP="00126EEA">
      <w:pPr>
        <w:pStyle w:val="NoSpacing"/>
        <w:jc w:val="both"/>
        <w:rPr>
          <w:rFonts w:ascii="Arial" w:hAnsi="Arial" w:cs="Arial"/>
          <w:sz w:val="20"/>
          <w:szCs w:val="20"/>
        </w:rPr>
      </w:pPr>
    </w:p>
    <w:p w:rsidR="00126EEA" w:rsidRPr="00700FB4" w:rsidRDefault="00126EEA" w:rsidP="00126EEA">
      <w:pPr>
        <w:pStyle w:val="NoSpacing"/>
        <w:jc w:val="both"/>
        <w:rPr>
          <w:rFonts w:ascii="Arial" w:hAnsi="Arial" w:cs="Arial"/>
          <w:sz w:val="20"/>
          <w:szCs w:val="20"/>
        </w:rPr>
      </w:pPr>
      <w:r w:rsidRPr="00700FB4">
        <w:rPr>
          <w:rFonts w:ascii="Arial" w:hAnsi="Arial" w:cs="Arial"/>
          <w:sz w:val="20"/>
          <w:szCs w:val="20"/>
        </w:rPr>
        <w:t xml:space="preserve">ANO 1992.gada 9.maija </w:t>
      </w:r>
      <w:r w:rsidRPr="00700FB4">
        <w:rPr>
          <w:rFonts w:ascii="Arial" w:hAnsi="Arial" w:cs="Arial"/>
          <w:b/>
          <w:sz w:val="20"/>
          <w:szCs w:val="20"/>
        </w:rPr>
        <w:t>Vispārējā Konvencija par klimata pārmaiņām</w:t>
      </w:r>
      <w:r w:rsidRPr="00700FB4">
        <w:rPr>
          <w:rFonts w:ascii="Arial" w:hAnsi="Arial" w:cs="Arial"/>
          <w:sz w:val="20"/>
          <w:szCs w:val="20"/>
        </w:rPr>
        <w:t xml:space="preserve"> (</w:t>
      </w:r>
      <w:r w:rsidR="00CF1D8D" w:rsidRPr="00700FB4">
        <w:rPr>
          <w:rFonts w:ascii="Arial" w:hAnsi="Arial" w:cs="Arial"/>
          <w:sz w:val="20"/>
          <w:szCs w:val="20"/>
        </w:rPr>
        <w:t xml:space="preserve">Latvijā </w:t>
      </w:r>
      <w:r w:rsidR="00F74878" w:rsidRPr="00700FB4">
        <w:rPr>
          <w:rFonts w:ascii="Arial" w:hAnsi="Arial" w:cs="Arial"/>
          <w:sz w:val="20"/>
          <w:szCs w:val="20"/>
        </w:rPr>
        <w:t>stājās spēkā</w:t>
      </w:r>
      <w:r w:rsidR="00840ADB" w:rsidRPr="00700FB4">
        <w:rPr>
          <w:rFonts w:ascii="Arial" w:hAnsi="Arial" w:cs="Arial"/>
          <w:sz w:val="20"/>
          <w:szCs w:val="20"/>
        </w:rPr>
        <w:t xml:space="preserve"> </w:t>
      </w:r>
      <w:r w:rsidR="00F74878" w:rsidRPr="00700FB4">
        <w:rPr>
          <w:rFonts w:ascii="Arial" w:hAnsi="Arial" w:cs="Arial"/>
          <w:sz w:val="20"/>
          <w:szCs w:val="20"/>
        </w:rPr>
        <w:t>1995.gada 9.martā</w:t>
      </w:r>
      <w:r w:rsidRPr="00700FB4">
        <w:rPr>
          <w:rFonts w:ascii="Arial" w:hAnsi="Arial" w:cs="Arial"/>
          <w:sz w:val="20"/>
          <w:szCs w:val="20"/>
        </w:rPr>
        <w:t>) nosaka aptuvenos klimata politikas ietvarus. Savukārt 1997.gada 11.decembrī tika pieņemts Kioto protokols, kas noteica, ka laikā no 2008.gada līdz 2012.gadam attīstītajām valstīm jāsamazina ko</w:t>
      </w:r>
      <w:r w:rsidR="00F82829" w:rsidRPr="00700FB4">
        <w:rPr>
          <w:rFonts w:ascii="Arial" w:hAnsi="Arial" w:cs="Arial"/>
          <w:sz w:val="20"/>
          <w:szCs w:val="20"/>
        </w:rPr>
        <w:t>pējās SEG emisijas vismaz par 5 procentiem</w:t>
      </w:r>
      <w:r w:rsidRPr="00700FB4">
        <w:rPr>
          <w:rFonts w:ascii="Arial" w:hAnsi="Arial" w:cs="Arial"/>
          <w:sz w:val="20"/>
          <w:szCs w:val="20"/>
        </w:rPr>
        <w:t>, salīdzinot ar to līmeni, kas bija 1990.gadā. Sākot ar 2020.gadu, ANO klimata pārmaiņu konferencē Parīzē jeb COP21 2015.gada novembrī pieņemtais Parīzes nolīgums aizstās Kioto protokolu, ja to būs parakstījušas un ratificējušas 55 dalībvalstis.</w:t>
      </w:r>
    </w:p>
    <w:p w:rsidR="00F82829" w:rsidRPr="00700FB4" w:rsidRDefault="00F82829" w:rsidP="00126EEA">
      <w:pPr>
        <w:pStyle w:val="NoSpacing"/>
        <w:jc w:val="both"/>
        <w:rPr>
          <w:rFonts w:ascii="Arial" w:hAnsi="Arial" w:cs="Arial"/>
          <w:sz w:val="20"/>
          <w:szCs w:val="20"/>
        </w:rPr>
      </w:pPr>
    </w:p>
    <w:p w:rsidR="00126EEA" w:rsidRPr="00700FB4" w:rsidRDefault="00126EEA" w:rsidP="00126EEA">
      <w:pPr>
        <w:pStyle w:val="NoSpacing"/>
        <w:jc w:val="both"/>
        <w:rPr>
          <w:rFonts w:ascii="Arial" w:hAnsi="Arial" w:cs="Arial"/>
          <w:sz w:val="20"/>
          <w:szCs w:val="20"/>
        </w:rPr>
      </w:pPr>
      <w:r w:rsidRPr="00700FB4">
        <w:rPr>
          <w:rFonts w:ascii="Arial" w:hAnsi="Arial" w:cs="Arial"/>
          <w:sz w:val="20"/>
          <w:szCs w:val="20"/>
        </w:rPr>
        <w:t xml:space="preserve">ANO/EEK 1991.gada 25.februāra </w:t>
      </w:r>
      <w:r w:rsidRPr="00700FB4">
        <w:rPr>
          <w:rFonts w:ascii="Arial" w:hAnsi="Arial" w:cs="Arial"/>
          <w:b/>
          <w:sz w:val="20"/>
          <w:szCs w:val="20"/>
        </w:rPr>
        <w:t>Espo Konvencija par ietekmes uz vidi novērtējumu pārrobežu kontekstā</w:t>
      </w:r>
      <w:r w:rsidRPr="00700FB4">
        <w:rPr>
          <w:rFonts w:ascii="Arial" w:hAnsi="Arial" w:cs="Arial"/>
          <w:sz w:val="20"/>
          <w:szCs w:val="20"/>
        </w:rPr>
        <w:t xml:space="preserve"> (</w:t>
      </w:r>
      <w:r w:rsidR="00CF1D8D" w:rsidRPr="00700FB4">
        <w:rPr>
          <w:rFonts w:ascii="Arial" w:hAnsi="Arial" w:cs="Arial"/>
          <w:sz w:val="20"/>
          <w:szCs w:val="20"/>
        </w:rPr>
        <w:t xml:space="preserve">Latvijā </w:t>
      </w:r>
      <w:r w:rsidR="00F74878" w:rsidRPr="00700FB4">
        <w:rPr>
          <w:rFonts w:ascii="Arial" w:hAnsi="Arial" w:cs="Arial"/>
          <w:sz w:val="20"/>
          <w:szCs w:val="20"/>
        </w:rPr>
        <w:t>stājās spēkā 1998.gada 1.jūlijā</w:t>
      </w:r>
      <w:r w:rsidRPr="00700FB4">
        <w:rPr>
          <w:rFonts w:ascii="Arial" w:hAnsi="Arial" w:cs="Arial"/>
          <w:sz w:val="20"/>
          <w:szCs w:val="20"/>
        </w:rPr>
        <w:t>) nosaka dalībvalstīm pienākumu novērtēt atsevišķu darbību ietekmi uz vidi agrīnās plānošanas stadijās, kā arī pienākumu paziņot un savstarpēji konsultēties par apjomīgiem projektiem (piemēram, par atomelektrostaciju būvniecību, cauruļvadu starp valstīm ierīkošanu utt.), kam varētu būt būtiska negatīva vides ietekme pāri robežām.</w:t>
      </w:r>
    </w:p>
    <w:p w:rsidR="00F82829" w:rsidRPr="00700FB4" w:rsidRDefault="00F82829" w:rsidP="00126EEA">
      <w:pPr>
        <w:pStyle w:val="NoSpacing"/>
        <w:jc w:val="both"/>
        <w:rPr>
          <w:rFonts w:ascii="Arial" w:hAnsi="Arial" w:cs="Arial"/>
          <w:sz w:val="20"/>
          <w:szCs w:val="20"/>
        </w:rPr>
      </w:pPr>
    </w:p>
    <w:p w:rsidR="00126EEA" w:rsidRPr="00700FB4" w:rsidRDefault="00126EEA" w:rsidP="00126EEA">
      <w:pPr>
        <w:pStyle w:val="NoSpacing"/>
        <w:jc w:val="both"/>
        <w:rPr>
          <w:rFonts w:ascii="Arial" w:hAnsi="Arial" w:cs="Arial"/>
          <w:sz w:val="20"/>
          <w:szCs w:val="20"/>
        </w:rPr>
      </w:pPr>
      <w:r w:rsidRPr="00700FB4">
        <w:rPr>
          <w:rFonts w:ascii="Arial" w:hAnsi="Arial" w:cs="Arial"/>
          <w:sz w:val="20"/>
          <w:szCs w:val="20"/>
        </w:rPr>
        <w:t xml:space="preserve">ANO 2003.gada 21.maija </w:t>
      </w:r>
      <w:r w:rsidRPr="00700FB4">
        <w:rPr>
          <w:rFonts w:ascii="Arial" w:hAnsi="Arial" w:cs="Arial"/>
          <w:b/>
          <w:sz w:val="20"/>
          <w:szCs w:val="20"/>
        </w:rPr>
        <w:t>Konvencijas par ietekmes uz vidi novērtējumu pārrobežu kontekstā Protokols par stratēģisko vides novērtējumu</w:t>
      </w:r>
      <w:r w:rsidRPr="00700FB4">
        <w:rPr>
          <w:rFonts w:ascii="Arial" w:hAnsi="Arial" w:cs="Arial"/>
          <w:sz w:val="20"/>
          <w:szCs w:val="20"/>
        </w:rPr>
        <w:t xml:space="preserve"> (</w:t>
      </w:r>
      <w:r w:rsidR="00CF1D8D" w:rsidRPr="00700FB4">
        <w:rPr>
          <w:rFonts w:ascii="Arial" w:hAnsi="Arial" w:cs="Arial"/>
          <w:sz w:val="20"/>
          <w:szCs w:val="20"/>
        </w:rPr>
        <w:t xml:space="preserve">Latvijā </w:t>
      </w:r>
      <w:r w:rsidR="00F74878" w:rsidRPr="00700FB4">
        <w:rPr>
          <w:rFonts w:ascii="Arial" w:hAnsi="Arial" w:cs="Arial"/>
          <w:sz w:val="20"/>
          <w:szCs w:val="20"/>
        </w:rPr>
        <w:t>stājās spēkā 2016.gada 21.jūnijā</w:t>
      </w:r>
      <w:r w:rsidRPr="00700FB4">
        <w:rPr>
          <w:rFonts w:ascii="Arial" w:hAnsi="Arial" w:cs="Arial"/>
          <w:sz w:val="20"/>
          <w:szCs w:val="20"/>
        </w:rPr>
        <w:t xml:space="preserve">) mērķis ir nodrošināt augsta līmeņa vides un arī veselības aizsardzību. </w:t>
      </w:r>
      <w:r w:rsidR="00F67B7E" w:rsidRPr="00700FB4">
        <w:rPr>
          <w:rFonts w:ascii="Arial" w:hAnsi="Arial" w:cs="Arial"/>
          <w:sz w:val="20"/>
          <w:szCs w:val="20"/>
        </w:rPr>
        <w:t xml:space="preserve">Tās </w:t>
      </w:r>
      <w:r w:rsidRPr="00700FB4">
        <w:rPr>
          <w:rFonts w:ascii="Arial" w:hAnsi="Arial" w:cs="Arial"/>
          <w:sz w:val="20"/>
          <w:szCs w:val="20"/>
        </w:rPr>
        <w:t>4.panta 2.punkts paredz, ka stratēģisko vides novērtējumu veic plāniem un programmām, kuri cita starpā sagatavoti lauksaimniecībā, zivsaimniecībā, enerģētikā, transportā utt., kā arī derīgo izrakteņu ieguvei, bagarējot ezeru, upi vai jūru, būvniecībai krasta kāpu aizsargjoslā, dambju, molu un citu būvju būvniecībai jūrā, kur iespējamas krasta pārmaiņas, izņemot esošo būvju uzturēšanu un rekonstrukciju, kā arī jūras teritoriju atgūšanai.</w:t>
      </w:r>
    </w:p>
    <w:p w:rsidR="00F82829" w:rsidRPr="00700FB4" w:rsidRDefault="00F82829" w:rsidP="00126EEA">
      <w:pPr>
        <w:pStyle w:val="NoSpacing"/>
        <w:jc w:val="both"/>
        <w:rPr>
          <w:rFonts w:ascii="Arial" w:hAnsi="Arial" w:cs="Arial"/>
          <w:sz w:val="20"/>
          <w:szCs w:val="20"/>
        </w:rPr>
      </w:pPr>
    </w:p>
    <w:p w:rsidR="00126EEA" w:rsidRPr="00700FB4" w:rsidRDefault="00126EEA" w:rsidP="00126EEA">
      <w:pPr>
        <w:pStyle w:val="NoSpacing"/>
        <w:jc w:val="both"/>
        <w:rPr>
          <w:rFonts w:ascii="Arial" w:hAnsi="Arial" w:cs="Arial"/>
          <w:sz w:val="20"/>
          <w:szCs w:val="20"/>
        </w:rPr>
      </w:pPr>
      <w:r w:rsidRPr="00700FB4">
        <w:rPr>
          <w:rFonts w:ascii="Arial" w:hAnsi="Arial" w:cs="Arial"/>
          <w:sz w:val="20"/>
          <w:szCs w:val="20"/>
        </w:rPr>
        <w:t xml:space="preserve">Eiropas Padomes 1979.gada </w:t>
      </w:r>
      <w:r w:rsidRPr="00700FB4">
        <w:rPr>
          <w:rFonts w:ascii="Arial" w:hAnsi="Arial" w:cs="Arial"/>
          <w:b/>
          <w:sz w:val="20"/>
          <w:szCs w:val="20"/>
        </w:rPr>
        <w:t xml:space="preserve">Bernes Konvencijas par Eiropas dzīvās dabas un dabisko dzīvotņu aizsardzību </w:t>
      </w:r>
      <w:r w:rsidRPr="00700FB4">
        <w:rPr>
          <w:rFonts w:ascii="Arial" w:hAnsi="Arial" w:cs="Arial"/>
          <w:sz w:val="20"/>
          <w:szCs w:val="20"/>
        </w:rPr>
        <w:t>(</w:t>
      </w:r>
      <w:r w:rsidR="00CF1D8D" w:rsidRPr="00700FB4">
        <w:rPr>
          <w:rFonts w:ascii="Arial" w:hAnsi="Arial" w:cs="Arial"/>
          <w:sz w:val="20"/>
          <w:szCs w:val="20"/>
        </w:rPr>
        <w:t xml:space="preserve">Latvijā </w:t>
      </w:r>
      <w:r w:rsidR="00F74878" w:rsidRPr="00700FB4">
        <w:rPr>
          <w:rFonts w:ascii="Arial" w:hAnsi="Arial" w:cs="Arial"/>
          <w:sz w:val="20"/>
          <w:szCs w:val="20"/>
        </w:rPr>
        <w:t>stājās spēkā 1997.gada 3.janvārī</w:t>
      </w:r>
      <w:r w:rsidRPr="00700FB4">
        <w:rPr>
          <w:rFonts w:ascii="Arial" w:hAnsi="Arial" w:cs="Arial"/>
          <w:sz w:val="20"/>
          <w:szCs w:val="20"/>
        </w:rPr>
        <w:t>) mērķi ir aizsargāt savvaļas floru un faunu un to dabiskās dzīvotnes, īpaši tās sugas un dzīvotnes, kuru aizsardzībai nepieciešama vairāku valstu sadarbība, un arī veicināt šādu sadarbību. Konvencija attiecas arī uz zivju sugu aizsardzību un ūdeņos esošo dzīvotņu aizsardzību.</w:t>
      </w:r>
    </w:p>
    <w:p w:rsidR="00F82829" w:rsidRPr="00700FB4" w:rsidRDefault="00F82829" w:rsidP="00126EEA">
      <w:pPr>
        <w:pStyle w:val="NoSpacing"/>
        <w:jc w:val="both"/>
        <w:rPr>
          <w:rFonts w:ascii="Arial" w:hAnsi="Arial" w:cs="Arial"/>
          <w:sz w:val="20"/>
          <w:szCs w:val="20"/>
        </w:rPr>
      </w:pPr>
    </w:p>
    <w:p w:rsidR="00126EEA" w:rsidRPr="00700FB4" w:rsidRDefault="00126EEA" w:rsidP="00126EEA">
      <w:pPr>
        <w:pStyle w:val="NoSpacing"/>
        <w:jc w:val="both"/>
        <w:rPr>
          <w:rFonts w:ascii="Arial" w:hAnsi="Arial" w:cs="Arial"/>
          <w:sz w:val="20"/>
          <w:szCs w:val="20"/>
        </w:rPr>
      </w:pPr>
      <w:r w:rsidRPr="00700FB4">
        <w:rPr>
          <w:rFonts w:ascii="Arial" w:hAnsi="Arial" w:cs="Arial"/>
          <w:sz w:val="20"/>
          <w:szCs w:val="20"/>
        </w:rPr>
        <w:t xml:space="preserve">Eiropas Padomes 1992.gada 16.janvāra </w:t>
      </w:r>
      <w:r w:rsidRPr="00700FB4">
        <w:rPr>
          <w:rFonts w:ascii="Arial" w:hAnsi="Arial" w:cs="Arial"/>
          <w:b/>
          <w:sz w:val="20"/>
          <w:szCs w:val="20"/>
        </w:rPr>
        <w:t>Eiropas Konvencija arheoloģiskā mantojuma aizsardzībai</w:t>
      </w:r>
      <w:r w:rsidRPr="00700FB4">
        <w:rPr>
          <w:rFonts w:ascii="Arial" w:hAnsi="Arial" w:cs="Arial"/>
          <w:sz w:val="20"/>
          <w:szCs w:val="20"/>
        </w:rPr>
        <w:t xml:space="preserve"> (</w:t>
      </w:r>
      <w:r w:rsidR="00CF1D8D" w:rsidRPr="00700FB4">
        <w:rPr>
          <w:rFonts w:ascii="Arial" w:hAnsi="Arial" w:cs="Arial"/>
          <w:sz w:val="20"/>
          <w:szCs w:val="20"/>
        </w:rPr>
        <w:t xml:space="preserve">Latvijā </w:t>
      </w:r>
      <w:r w:rsidR="00F74878" w:rsidRPr="00700FB4">
        <w:rPr>
          <w:rFonts w:ascii="Arial" w:hAnsi="Arial" w:cs="Arial"/>
          <w:sz w:val="20"/>
          <w:szCs w:val="20"/>
        </w:rPr>
        <w:t>stājās spēkā 2003.gada 19.jūnijā</w:t>
      </w:r>
      <w:r w:rsidRPr="00700FB4">
        <w:rPr>
          <w:rFonts w:ascii="Arial" w:hAnsi="Arial" w:cs="Arial"/>
          <w:sz w:val="20"/>
          <w:szCs w:val="20"/>
        </w:rPr>
        <w:t>) definē arheoloģisko mantojumu kā struktūras, konstrukcijas, ēku grupas, labiekārtotas teritorijas, pārvietojamus objektus, cita veida pieminekļus, kā arī to kontekstu gan uz sauszemes, gan zem ūdens. Konvencija paredz pasākumus, kas veicami arheoloģiskā mantojuma saglabāšanai un aizsardzībai.</w:t>
      </w:r>
    </w:p>
    <w:p w:rsidR="00F82829" w:rsidRPr="00700FB4" w:rsidRDefault="00F82829" w:rsidP="00126EEA">
      <w:pPr>
        <w:pStyle w:val="NoSpacing"/>
        <w:jc w:val="both"/>
        <w:rPr>
          <w:rFonts w:ascii="Arial" w:hAnsi="Arial" w:cs="Arial"/>
          <w:sz w:val="20"/>
          <w:szCs w:val="20"/>
        </w:rPr>
      </w:pPr>
    </w:p>
    <w:p w:rsidR="00126EEA" w:rsidRPr="00700FB4" w:rsidRDefault="00126EEA" w:rsidP="00126EEA">
      <w:pPr>
        <w:pStyle w:val="NoSpacing"/>
        <w:jc w:val="both"/>
        <w:rPr>
          <w:rFonts w:ascii="Arial" w:hAnsi="Arial" w:cs="Arial"/>
          <w:sz w:val="20"/>
          <w:szCs w:val="20"/>
        </w:rPr>
      </w:pPr>
      <w:r w:rsidRPr="00700FB4">
        <w:rPr>
          <w:rFonts w:ascii="Arial" w:hAnsi="Arial" w:cs="Arial"/>
          <w:sz w:val="20"/>
          <w:szCs w:val="20"/>
        </w:rPr>
        <w:t xml:space="preserve">Eiropas Padomes 2000.gada 20.oktobra </w:t>
      </w:r>
      <w:r w:rsidRPr="00700FB4">
        <w:rPr>
          <w:rFonts w:ascii="Arial" w:hAnsi="Arial" w:cs="Arial"/>
          <w:b/>
          <w:sz w:val="20"/>
          <w:szCs w:val="20"/>
        </w:rPr>
        <w:t>Eiropas ainavu Konvencijas</w:t>
      </w:r>
      <w:r w:rsidRPr="00700FB4">
        <w:rPr>
          <w:rFonts w:ascii="Arial" w:hAnsi="Arial" w:cs="Arial"/>
          <w:sz w:val="20"/>
          <w:szCs w:val="20"/>
        </w:rPr>
        <w:t xml:space="preserve"> (</w:t>
      </w:r>
      <w:r w:rsidR="00CF1D8D" w:rsidRPr="00700FB4">
        <w:rPr>
          <w:rFonts w:ascii="Arial" w:hAnsi="Arial" w:cs="Arial"/>
          <w:sz w:val="20"/>
          <w:szCs w:val="20"/>
        </w:rPr>
        <w:t xml:space="preserve">Latvijā </w:t>
      </w:r>
      <w:r w:rsidR="00F74878" w:rsidRPr="00700FB4">
        <w:rPr>
          <w:rFonts w:ascii="Arial" w:hAnsi="Arial" w:cs="Arial"/>
          <w:sz w:val="20"/>
          <w:szCs w:val="20"/>
        </w:rPr>
        <w:t>stājās spēkā 2007.gada 19.aprīlī</w:t>
      </w:r>
      <w:r w:rsidRPr="00700FB4">
        <w:rPr>
          <w:rFonts w:ascii="Arial" w:hAnsi="Arial" w:cs="Arial"/>
          <w:sz w:val="20"/>
          <w:szCs w:val="20"/>
        </w:rPr>
        <w:t>) mērķis ir veicināt ainavu aizsardzību, pārvaldību un plānošanu, kā arī organizēt sadarbību par ainavu jautājumiem Eiropā. Konvencija attiecas uz visām pušu teritorijām, un ietver dabiskās, kā arī lauku, urbānās un piepilsētu teritorijas. Tā ietver sauszemes un jūras teritorijas, un iekšējos ūdeņus. Tā attiecas uz ainavām, kuras var uzskatīt par izcilām, tāpat kā uz ikdienišķām vai degradētām ainavām. Dalībvalstis apņemas veikt īpašus pasākumus saskaņā ar Konvencijas 6.pantu ainavu aizsardzībai.</w:t>
      </w:r>
    </w:p>
    <w:p w:rsidR="00F82829" w:rsidRPr="00700FB4" w:rsidRDefault="00F82829" w:rsidP="00126EEA">
      <w:pPr>
        <w:pStyle w:val="NoSpacing"/>
        <w:jc w:val="both"/>
        <w:rPr>
          <w:rFonts w:ascii="Arial" w:hAnsi="Arial" w:cs="Arial"/>
          <w:sz w:val="20"/>
          <w:szCs w:val="20"/>
        </w:rPr>
      </w:pPr>
    </w:p>
    <w:p w:rsidR="00126EEA" w:rsidRPr="00700FB4" w:rsidRDefault="00126EEA" w:rsidP="00126EEA">
      <w:pPr>
        <w:pStyle w:val="NoSpacing"/>
        <w:jc w:val="both"/>
        <w:rPr>
          <w:rFonts w:ascii="Arial" w:hAnsi="Arial" w:cs="Arial"/>
          <w:sz w:val="20"/>
          <w:szCs w:val="20"/>
        </w:rPr>
      </w:pPr>
      <w:r w:rsidRPr="00700FB4">
        <w:rPr>
          <w:rFonts w:ascii="Arial" w:hAnsi="Arial" w:cs="Arial"/>
          <w:sz w:val="20"/>
          <w:szCs w:val="20"/>
        </w:rPr>
        <w:t xml:space="preserve">1969.gada Starptautiskā </w:t>
      </w:r>
      <w:r w:rsidRPr="00700FB4">
        <w:rPr>
          <w:rFonts w:ascii="Arial" w:hAnsi="Arial" w:cs="Arial"/>
          <w:b/>
          <w:sz w:val="20"/>
          <w:szCs w:val="20"/>
        </w:rPr>
        <w:t>Konvencija par iejaukšanās tiesībām atklātā jūrā naftas piesārņojuma gadījumā</w:t>
      </w:r>
      <w:r w:rsidRPr="00700FB4">
        <w:rPr>
          <w:rFonts w:ascii="Arial" w:hAnsi="Arial" w:cs="Arial"/>
          <w:sz w:val="20"/>
          <w:szCs w:val="20"/>
        </w:rPr>
        <w:t xml:space="preserve"> un tās Pielikums 1973.gada un Protokols par iejaukšanās tiesībām atklātā jūrā citu vielu, kas nav nafta, izraisīta piesārņojuma gadījumā un tā Pielikumu (</w:t>
      </w:r>
      <w:r w:rsidR="00CF1D8D" w:rsidRPr="00700FB4">
        <w:rPr>
          <w:rFonts w:ascii="Arial" w:hAnsi="Arial" w:cs="Arial"/>
          <w:sz w:val="20"/>
          <w:szCs w:val="20"/>
        </w:rPr>
        <w:t xml:space="preserve">Latvijā </w:t>
      </w:r>
      <w:r w:rsidR="00F74878" w:rsidRPr="00700FB4">
        <w:rPr>
          <w:rFonts w:ascii="Arial" w:hAnsi="Arial" w:cs="Arial"/>
          <w:sz w:val="20"/>
          <w:szCs w:val="20"/>
        </w:rPr>
        <w:lastRenderedPageBreak/>
        <w:t xml:space="preserve">stājās spēkā </w:t>
      </w:r>
      <w:r w:rsidR="00CF1D8D" w:rsidRPr="00700FB4">
        <w:rPr>
          <w:rFonts w:ascii="Arial" w:hAnsi="Arial" w:cs="Arial"/>
          <w:sz w:val="20"/>
          <w:szCs w:val="20"/>
        </w:rPr>
        <w:t>2007.gada 19.aprīlī</w:t>
      </w:r>
      <w:r w:rsidRPr="00700FB4">
        <w:rPr>
          <w:rFonts w:ascii="Arial" w:hAnsi="Arial" w:cs="Arial"/>
          <w:sz w:val="20"/>
          <w:szCs w:val="20"/>
        </w:rPr>
        <w:t>) paredz tādu pasākumu veikšanu atklātā jūrā, kas ir nepieciešami, lai novērstu, mazinātu, likvidētu nopietnās un draudošās briesmas valsts piekrastei vai ar to saistītām citām valsts interesēm naftas piesārņojuma vai piesārņojuma draudu gadījumā, kas rodas no jūras negadījuma vai darbībām, kas pielīdzināmas šādam negadījumam, kura rezultātā pamatoti var saskatīt nozīmīgas, kaitīgas sekas.</w:t>
      </w:r>
    </w:p>
    <w:p w:rsidR="00F82829" w:rsidRPr="00700FB4" w:rsidRDefault="00F82829" w:rsidP="00126EEA">
      <w:pPr>
        <w:pStyle w:val="NoSpacing"/>
        <w:jc w:val="both"/>
        <w:rPr>
          <w:rFonts w:ascii="Arial" w:hAnsi="Arial" w:cs="Arial"/>
          <w:sz w:val="20"/>
          <w:szCs w:val="20"/>
        </w:rPr>
      </w:pPr>
    </w:p>
    <w:p w:rsidR="00126EEA" w:rsidRPr="00700FB4" w:rsidRDefault="001D6990" w:rsidP="00126EEA">
      <w:pPr>
        <w:pStyle w:val="NoSpacing"/>
        <w:jc w:val="both"/>
        <w:rPr>
          <w:rFonts w:ascii="Arial" w:hAnsi="Arial" w:cs="Arial"/>
          <w:sz w:val="20"/>
          <w:szCs w:val="20"/>
        </w:rPr>
      </w:pPr>
      <w:r w:rsidRPr="00700FB4">
        <w:rPr>
          <w:rFonts w:ascii="Arial" w:hAnsi="Arial" w:cs="Arial"/>
          <w:b/>
          <w:sz w:val="20"/>
          <w:szCs w:val="20"/>
        </w:rPr>
        <w:t>1973.gada Starptautiskā konvencija par piesārņojumu novēršanu no kuģiem, kas grozīta ar 1978.gada Protokolu jeb</w:t>
      </w:r>
      <w:r w:rsidRPr="00700FB4">
        <w:rPr>
          <w:rFonts w:ascii="Arial" w:hAnsi="Arial" w:cs="Arial"/>
          <w:sz w:val="20"/>
          <w:szCs w:val="20"/>
        </w:rPr>
        <w:t xml:space="preserve"> </w:t>
      </w:r>
      <w:r w:rsidRPr="00700FB4">
        <w:rPr>
          <w:rFonts w:ascii="Arial" w:hAnsi="Arial" w:cs="Arial"/>
          <w:b/>
          <w:sz w:val="20"/>
          <w:szCs w:val="20"/>
        </w:rPr>
        <w:t>MARPOL konvencija</w:t>
      </w:r>
      <w:r w:rsidR="00F67B7E" w:rsidRPr="00700FB4">
        <w:rPr>
          <w:rFonts w:ascii="Arial" w:hAnsi="Arial" w:cs="Arial"/>
          <w:sz w:val="20"/>
          <w:szCs w:val="20"/>
        </w:rPr>
        <w:t xml:space="preserve"> </w:t>
      </w:r>
      <w:r w:rsidR="00CF1D8D" w:rsidRPr="00700FB4">
        <w:rPr>
          <w:rFonts w:ascii="Arial" w:hAnsi="Arial" w:cs="Arial"/>
          <w:sz w:val="20"/>
          <w:szCs w:val="20"/>
        </w:rPr>
        <w:t>Latvijā stājās spēkā 1992.gada 20.augustā</w:t>
      </w:r>
      <w:r w:rsidR="00F67B7E" w:rsidRPr="00700FB4">
        <w:rPr>
          <w:rFonts w:ascii="Arial" w:hAnsi="Arial" w:cs="Arial"/>
          <w:sz w:val="20"/>
          <w:szCs w:val="20"/>
        </w:rPr>
        <w:t>. Tās</w:t>
      </w:r>
      <w:r w:rsidR="00126EEA" w:rsidRPr="00700FB4">
        <w:rPr>
          <w:rFonts w:ascii="Arial" w:hAnsi="Arial" w:cs="Arial"/>
          <w:sz w:val="20"/>
          <w:szCs w:val="20"/>
        </w:rPr>
        <w:t xml:space="preserve"> noteikumu piemērošanu ES līmenī saskaņo ar </w:t>
      </w:r>
      <w:r w:rsidR="00F67B7E" w:rsidRPr="00700FB4">
        <w:rPr>
          <w:rFonts w:ascii="Arial" w:hAnsi="Arial" w:cs="Arial"/>
          <w:sz w:val="20"/>
          <w:szCs w:val="20"/>
        </w:rPr>
        <w:t xml:space="preserve">Kuģu piesārņojuma </w:t>
      </w:r>
      <w:r w:rsidR="0068542B" w:rsidRPr="00700FB4">
        <w:rPr>
          <w:rFonts w:ascii="Arial" w:hAnsi="Arial" w:cs="Arial"/>
          <w:sz w:val="20"/>
          <w:szCs w:val="20"/>
        </w:rPr>
        <w:t>direktīvu</w:t>
      </w:r>
      <w:r w:rsidR="00126EEA" w:rsidRPr="00700FB4">
        <w:rPr>
          <w:rFonts w:ascii="Arial" w:hAnsi="Arial" w:cs="Arial"/>
          <w:sz w:val="20"/>
          <w:szCs w:val="20"/>
        </w:rPr>
        <w:t xml:space="preserve">. </w:t>
      </w:r>
      <w:r w:rsidR="00F67B7E" w:rsidRPr="00700FB4">
        <w:rPr>
          <w:rFonts w:ascii="Arial" w:hAnsi="Arial" w:cs="Arial"/>
          <w:sz w:val="20"/>
          <w:szCs w:val="20"/>
        </w:rPr>
        <w:t>Kuģu piesārņojuma konvencija</w:t>
      </w:r>
      <w:r w:rsidR="00126EEA" w:rsidRPr="00700FB4">
        <w:rPr>
          <w:rFonts w:ascii="Arial" w:hAnsi="Arial" w:cs="Arial"/>
          <w:sz w:val="20"/>
          <w:szCs w:val="20"/>
        </w:rPr>
        <w:t xml:space="preserve"> seko 1954.gada Starptautiskajai konvencijai par naftas izraisītā jūras piesārņojuma novēršanu, kas ir pirmais daudzpusējais dokuments, kura noslēgšanas galvenais mērķis ir vides aizsardzība, taču tiecas panākt to, lai tiktu pilnībā novērsta jūras vides tīša piesārņošana ar naftu un citām kaitīgām vielām un lai tiktu mazināta šādu vielu nejauša noplūde un ka šo mērķi var sasniegt ar noteikumiem, kas attiecas ne tikai uz naftas piesārņojumu. Dalībvalstis apņemas ieviest </w:t>
      </w:r>
      <w:r w:rsidRPr="00700FB4">
        <w:rPr>
          <w:rFonts w:ascii="Arial" w:hAnsi="Arial" w:cs="Arial"/>
          <w:sz w:val="20"/>
          <w:szCs w:val="20"/>
        </w:rPr>
        <w:t>MARPOL</w:t>
      </w:r>
      <w:r w:rsidR="00F67B7E" w:rsidRPr="00700FB4">
        <w:rPr>
          <w:rFonts w:ascii="Arial" w:hAnsi="Arial" w:cs="Arial"/>
          <w:sz w:val="20"/>
          <w:szCs w:val="20"/>
        </w:rPr>
        <w:t xml:space="preserve"> </w:t>
      </w:r>
      <w:r w:rsidR="00126EEA" w:rsidRPr="00700FB4">
        <w:rPr>
          <w:rFonts w:ascii="Arial" w:hAnsi="Arial" w:cs="Arial"/>
          <w:sz w:val="20"/>
          <w:szCs w:val="20"/>
        </w:rPr>
        <w:t xml:space="preserve">konvencijas un tās pielikumu noteikumus, kuri tām ir saistoši, lai novērstu jūras vides piesārņošanu, kas ir pretrunā šai konvencijai un ko izraisa kaitīgu vielu noplūde vai noteču noplūde, kurās ir šādas vielas. </w:t>
      </w:r>
      <w:r w:rsidRPr="00700FB4">
        <w:rPr>
          <w:rFonts w:ascii="Arial" w:hAnsi="Arial" w:cs="Arial"/>
          <w:sz w:val="20"/>
          <w:szCs w:val="20"/>
        </w:rPr>
        <w:t>MARPOL</w:t>
      </w:r>
      <w:r w:rsidR="00F67B7E" w:rsidRPr="00700FB4">
        <w:rPr>
          <w:rFonts w:ascii="Arial" w:hAnsi="Arial" w:cs="Arial"/>
          <w:sz w:val="20"/>
          <w:szCs w:val="20"/>
        </w:rPr>
        <w:t xml:space="preserve"> konvencija </w:t>
      </w:r>
      <w:r w:rsidR="00126EEA" w:rsidRPr="00700FB4">
        <w:rPr>
          <w:rFonts w:ascii="Arial" w:hAnsi="Arial" w:cs="Arial"/>
          <w:sz w:val="20"/>
          <w:szCs w:val="20"/>
        </w:rPr>
        <w:t>attiecas uz kuģiem, kas ir tiesīgi kuģot ar šīs konvencijas dalībvalsts karogu, un uz kuģiem, kas nav tiesīgi kuģot ar šīs konvencijas dalībvalsts karogu, bet kas kuģo kādas šīs konvencijas dalībvalsts jurisdikcijā.</w:t>
      </w:r>
    </w:p>
    <w:p w:rsidR="00F82829" w:rsidRPr="00700FB4" w:rsidRDefault="00F82829" w:rsidP="00126EEA">
      <w:pPr>
        <w:pStyle w:val="NoSpacing"/>
        <w:jc w:val="both"/>
        <w:rPr>
          <w:rFonts w:ascii="Arial" w:hAnsi="Arial" w:cs="Arial"/>
          <w:sz w:val="20"/>
          <w:szCs w:val="20"/>
        </w:rPr>
      </w:pPr>
    </w:p>
    <w:p w:rsidR="00126EEA" w:rsidRPr="00700FB4" w:rsidRDefault="00126EEA" w:rsidP="00126EEA">
      <w:pPr>
        <w:pStyle w:val="NoSpacing"/>
        <w:jc w:val="both"/>
        <w:rPr>
          <w:rFonts w:ascii="Arial" w:hAnsi="Arial" w:cs="Arial"/>
          <w:sz w:val="20"/>
          <w:szCs w:val="20"/>
        </w:rPr>
      </w:pPr>
      <w:r w:rsidRPr="00700FB4">
        <w:rPr>
          <w:rFonts w:ascii="Arial" w:hAnsi="Arial" w:cs="Arial"/>
          <w:b/>
          <w:sz w:val="20"/>
          <w:szCs w:val="20"/>
        </w:rPr>
        <w:t>1990.gada 30.novembra</w:t>
      </w:r>
      <w:r w:rsidRPr="00700FB4">
        <w:rPr>
          <w:rFonts w:ascii="Arial" w:hAnsi="Arial" w:cs="Arial"/>
          <w:sz w:val="20"/>
          <w:szCs w:val="20"/>
        </w:rPr>
        <w:t xml:space="preserve"> </w:t>
      </w:r>
      <w:r w:rsidRPr="00700FB4">
        <w:rPr>
          <w:rFonts w:ascii="Arial" w:hAnsi="Arial" w:cs="Arial"/>
          <w:b/>
          <w:sz w:val="20"/>
          <w:szCs w:val="20"/>
        </w:rPr>
        <w:t>Londonas Starptautiskā Konvencija par gatavību, reaģēšanu un sadarbību naftas piesārņojuma gadījumā</w:t>
      </w:r>
      <w:r w:rsidRPr="00700FB4">
        <w:rPr>
          <w:rFonts w:ascii="Arial" w:hAnsi="Arial" w:cs="Arial"/>
          <w:sz w:val="20"/>
          <w:szCs w:val="20"/>
        </w:rPr>
        <w:t xml:space="preserve"> (</w:t>
      </w:r>
      <w:r w:rsidR="00CF1D8D" w:rsidRPr="00700FB4">
        <w:rPr>
          <w:rFonts w:ascii="Arial" w:hAnsi="Arial" w:cs="Arial"/>
          <w:sz w:val="20"/>
          <w:szCs w:val="20"/>
        </w:rPr>
        <w:t>Latvijā stājās spēkā 2000.gada 5.jūlijā</w:t>
      </w:r>
      <w:r w:rsidRPr="00700FB4">
        <w:rPr>
          <w:rFonts w:ascii="Arial" w:hAnsi="Arial" w:cs="Arial"/>
          <w:sz w:val="20"/>
          <w:szCs w:val="20"/>
        </w:rPr>
        <w:t xml:space="preserve">) pieņemta, ievērojot </w:t>
      </w:r>
      <w:r w:rsidR="00B54811" w:rsidRPr="00700FB4">
        <w:rPr>
          <w:rFonts w:ascii="Arial" w:hAnsi="Arial" w:cs="Arial"/>
          <w:sz w:val="20"/>
          <w:szCs w:val="20"/>
        </w:rPr>
        <w:t xml:space="preserve">Jūras konvencijas </w:t>
      </w:r>
      <w:r w:rsidRPr="00700FB4">
        <w:rPr>
          <w:rFonts w:ascii="Arial" w:hAnsi="Arial" w:cs="Arial"/>
          <w:sz w:val="20"/>
          <w:szCs w:val="20"/>
        </w:rPr>
        <w:t>XII</w:t>
      </w:r>
      <w:r w:rsidR="00885E6D" w:rsidRPr="00700FB4">
        <w:rPr>
          <w:rFonts w:ascii="Arial" w:hAnsi="Arial" w:cs="Arial"/>
          <w:sz w:val="20"/>
          <w:szCs w:val="20"/>
        </w:rPr>
        <w:t xml:space="preserve"> </w:t>
      </w:r>
      <w:r w:rsidRPr="00700FB4">
        <w:rPr>
          <w:rFonts w:ascii="Arial" w:hAnsi="Arial" w:cs="Arial"/>
          <w:sz w:val="20"/>
          <w:szCs w:val="20"/>
        </w:rPr>
        <w:t>daļu par jūras vides aizsardzību un saglabāšanu un, ņemot vērā draudus jūras videi, ko rada naftas piesārņojums no kuģiem, ofšora vienībām, jūras ostām un naftas pieņemšanas iekārtām. Dalībvalstis apņemas, individuāli vai kopīgi, veikt visus nepieciešamos pasākumus saskaņā ar šīs konvencijas un tās pielikuma nosacījumiem, lai būtu gatavas un reaģētu, ja noticis naftas piesārņojuma negadījums. Konvencija paredz nosacījumu attiecībā uz naftas piesārņojuma avārijas plānu, negadījuma paziņošanas procedūrām, nacionālajām un reģionālajām gatavības un reaģēšanas sistēmām, starptautisko sadarbību, sniegtās palīdzības izmaksu atlīdzināšanu utt.</w:t>
      </w:r>
    </w:p>
    <w:p w:rsidR="00F82829" w:rsidRPr="00700FB4" w:rsidRDefault="00F82829" w:rsidP="00126EEA">
      <w:pPr>
        <w:pStyle w:val="NoSpacing"/>
        <w:jc w:val="both"/>
        <w:rPr>
          <w:rFonts w:ascii="Arial" w:hAnsi="Arial" w:cs="Arial"/>
          <w:sz w:val="20"/>
          <w:szCs w:val="20"/>
        </w:rPr>
      </w:pPr>
    </w:p>
    <w:p w:rsidR="00126EEA" w:rsidRPr="00700FB4" w:rsidRDefault="00F82829" w:rsidP="00126EEA">
      <w:pPr>
        <w:pStyle w:val="NoSpacing"/>
        <w:jc w:val="both"/>
        <w:rPr>
          <w:rFonts w:ascii="Arial" w:hAnsi="Arial" w:cs="Arial"/>
          <w:sz w:val="20"/>
          <w:szCs w:val="20"/>
        </w:rPr>
      </w:pPr>
      <w:r w:rsidRPr="00700FB4">
        <w:rPr>
          <w:rFonts w:ascii="Arial" w:hAnsi="Arial" w:cs="Arial"/>
          <w:b/>
          <w:sz w:val="20"/>
          <w:szCs w:val="20"/>
        </w:rPr>
        <w:t>1974.</w:t>
      </w:r>
      <w:r w:rsidR="00126EEA" w:rsidRPr="00700FB4">
        <w:rPr>
          <w:rFonts w:ascii="Arial" w:hAnsi="Arial" w:cs="Arial"/>
          <w:b/>
          <w:sz w:val="20"/>
          <w:szCs w:val="20"/>
        </w:rPr>
        <w:t>gada</w:t>
      </w:r>
      <w:r w:rsidR="00126EEA" w:rsidRPr="00700FB4">
        <w:rPr>
          <w:rFonts w:ascii="Arial" w:hAnsi="Arial" w:cs="Arial"/>
          <w:sz w:val="20"/>
          <w:szCs w:val="20"/>
        </w:rPr>
        <w:t xml:space="preserve"> </w:t>
      </w:r>
      <w:r w:rsidR="00126EEA" w:rsidRPr="00700FB4">
        <w:rPr>
          <w:rFonts w:ascii="Arial" w:hAnsi="Arial" w:cs="Arial"/>
          <w:b/>
          <w:sz w:val="20"/>
          <w:szCs w:val="20"/>
        </w:rPr>
        <w:t>Konvencija par Baltijas jūras reģiona jūras vides aizsardzību</w:t>
      </w:r>
      <w:r w:rsidR="00126EEA" w:rsidRPr="00700FB4">
        <w:rPr>
          <w:rFonts w:ascii="Arial" w:hAnsi="Arial" w:cs="Arial"/>
          <w:sz w:val="20"/>
          <w:szCs w:val="20"/>
        </w:rPr>
        <w:t xml:space="preserve"> un 1992. gada </w:t>
      </w:r>
      <w:r w:rsidR="00126EEA" w:rsidRPr="00700FB4">
        <w:rPr>
          <w:rFonts w:ascii="Arial" w:hAnsi="Arial" w:cs="Arial"/>
          <w:b/>
          <w:sz w:val="20"/>
          <w:szCs w:val="20"/>
        </w:rPr>
        <w:t>Konvencija par Baltijas jūras reģiona jūras vides aizsardzību</w:t>
      </w:r>
      <w:r w:rsidR="00126EEA" w:rsidRPr="00700FB4">
        <w:rPr>
          <w:rFonts w:ascii="Arial" w:hAnsi="Arial" w:cs="Arial"/>
          <w:sz w:val="20"/>
          <w:szCs w:val="20"/>
        </w:rPr>
        <w:t xml:space="preserve"> Latvijā stājās spēkā 1994.gada </w:t>
      </w:r>
      <w:r w:rsidR="00CF1D8D" w:rsidRPr="00700FB4">
        <w:rPr>
          <w:rFonts w:ascii="Arial" w:hAnsi="Arial" w:cs="Arial"/>
          <w:sz w:val="20"/>
          <w:szCs w:val="20"/>
        </w:rPr>
        <w:t>10.martā</w:t>
      </w:r>
      <w:r w:rsidR="00126EEA" w:rsidRPr="00700FB4">
        <w:rPr>
          <w:rFonts w:ascii="Arial" w:hAnsi="Arial" w:cs="Arial"/>
          <w:sz w:val="20"/>
          <w:szCs w:val="20"/>
        </w:rPr>
        <w:t>. Helsinku konvencij</w:t>
      </w:r>
      <w:r w:rsidR="009E3111" w:rsidRPr="00700FB4">
        <w:rPr>
          <w:rFonts w:ascii="Arial" w:hAnsi="Arial" w:cs="Arial"/>
          <w:sz w:val="20"/>
          <w:szCs w:val="20"/>
        </w:rPr>
        <w:t>u</w:t>
      </w:r>
      <w:r w:rsidR="00126EEA" w:rsidRPr="00700FB4">
        <w:rPr>
          <w:rFonts w:ascii="Arial" w:hAnsi="Arial" w:cs="Arial"/>
          <w:sz w:val="20"/>
          <w:szCs w:val="20"/>
        </w:rPr>
        <w:t xml:space="preserve"> mērķis ir samazināt piesārņojumu Baltijas jūrā, ko izraisījušas izplūdes pa upēm, estuāriem, izplūdes vietām un cauruļvadiem, dempinga un kuģošanas darbības, kā arī ar gaisa piesārņojumu. Helsinku </w:t>
      </w:r>
      <w:r w:rsidR="009E3111" w:rsidRPr="00700FB4">
        <w:rPr>
          <w:rFonts w:ascii="Arial" w:hAnsi="Arial" w:cs="Arial"/>
          <w:sz w:val="20"/>
          <w:szCs w:val="20"/>
        </w:rPr>
        <w:t xml:space="preserve">konvencijās </w:t>
      </w:r>
      <w:r w:rsidR="00126EEA" w:rsidRPr="00700FB4">
        <w:rPr>
          <w:rFonts w:ascii="Arial" w:hAnsi="Arial" w:cs="Arial"/>
          <w:sz w:val="20"/>
          <w:szCs w:val="20"/>
        </w:rPr>
        <w:t xml:space="preserve">noteikts reģionālas sadarbības pamats, lai nodrošinātu Baltijas jūras ekoloģisko sanāciju tās jūras vides pašatjaunošanās un tās ekoloģiskā līdzsvara saglabāšanas nolūkā. </w:t>
      </w:r>
      <w:r w:rsidR="009E3111" w:rsidRPr="00700FB4">
        <w:rPr>
          <w:rFonts w:ascii="Arial" w:hAnsi="Arial" w:cs="Arial"/>
          <w:sz w:val="20"/>
          <w:szCs w:val="20"/>
        </w:rPr>
        <w:t xml:space="preserve">Helsinku konvencijas </w:t>
      </w:r>
      <w:r w:rsidR="00126EEA" w:rsidRPr="00700FB4">
        <w:rPr>
          <w:rFonts w:ascii="Arial" w:hAnsi="Arial" w:cs="Arial"/>
          <w:sz w:val="20"/>
          <w:szCs w:val="20"/>
        </w:rPr>
        <w:t>sekmē videi labvēlīgāko pieeju un labāko pieejamo tehnoloģiju, kā arī principa “piesārņotājs maksā” piemērošanu.</w:t>
      </w:r>
    </w:p>
    <w:p w:rsidR="00F82829" w:rsidRPr="00700FB4" w:rsidRDefault="00F82829" w:rsidP="00126EEA">
      <w:pPr>
        <w:pStyle w:val="NoSpacing"/>
        <w:jc w:val="both"/>
        <w:rPr>
          <w:rFonts w:ascii="Arial" w:hAnsi="Arial" w:cs="Arial"/>
          <w:sz w:val="20"/>
          <w:szCs w:val="20"/>
        </w:rPr>
      </w:pPr>
    </w:p>
    <w:p w:rsidR="00126EEA" w:rsidRPr="00700FB4" w:rsidRDefault="00F82829" w:rsidP="00126EEA">
      <w:pPr>
        <w:pStyle w:val="NoSpacing"/>
        <w:jc w:val="both"/>
        <w:rPr>
          <w:rFonts w:ascii="Arial" w:hAnsi="Arial" w:cs="Arial"/>
          <w:sz w:val="20"/>
          <w:szCs w:val="20"/>
        </w:rPr>
      </w:pPr>
      <w:r w:rsidRPr="00700FB4">
        <w:rPr>
          <w:rFonts w:ascii="Arial" w:hAnsi="Arial" w:cs="Arial"/>
          <w:sz w:val="20"/>
          <w:szCs w:val="20"/>
        </w:rPr>
        <w:t>Helsinku</w:t>
      </w:r>
      <w:r w:rsidR="00126EEA" w:rsidRPr="00700FB4">
        <w:rPr>
          <w:rFonts w:ascii="Arial" w:hAnsi="Arial" w:cs="Arial"/>
          <w:sz w:val="20"/>
          <w:szCs w:val="20"/>
        </w:rPr>
        <w:t xml:space="preserve"> </w:t>
      </w:r>
      <w:r w:rsidR="009E3111" w:rsidRPr="00700FB4">
        <w:rPr>
          <w:rFonts w:ascii="Arial" w:hAnsi="Arial" w:cs="Arial"/>
          <w:sz w:val="20"/>
          <w:szCs w:val="20"/>
        </w:rPr>
        <w:t xml:space="preserve">konvencijas </w:t>
      </w:r>
      <w:r w:rsidR="00126EEA" w:rsidRPr="00700FB4">
        <w:rPr>
          <w:rFonts w:ascii="Arial" w:hAnsi="Arial" w:cs="Arial"/>
          <w:sz w:val="20"/>
          <w:szCs w:val="20"/>
        </w:rPr>
        <w:t>dalībvalstis apņemas aizliegt virkni bīstamu vielu saturošo produktu transportu, tirdzniecību, pārkraušanu, pielietošanu un galīgu deponēšanu. Tāpat dalībvalstis apņēmušās veikt visus nepieciešamos pasākumus, lai novērstu un novestu līdz minimumam Baltijas jūras reģiona jūras vides piesārņojumu no sauszemes.</w:t>
      </w:r>
      <w:r w:rsidRPr="00700FB4">
        <w:rPr>
          <w:rFonts w:ascii="Arial" w:hAnsi="Arial" w:cs="Arial"/>
          <w:sz w:val="20"/>
          <w:szCs w:val="20"/>
        </w:rPr>
        <w:t xml:space="preserve"> </w:t>
      </w:r>
      <w:r w:rsidR="00126EEA" w:rsidRPr="00700FB4">
        <w:rPr>
          <w:rFonts w:ascii="Arial" w:hAnsi="Arial" w:cs="Arial"/>
          <w:sz w:val="20"/>
          <w:szCs w:val="20"/>
        </w:rPr>
        <w:t>Attiecībā uz kuģu radīto piesārņojumu dalībvalstīm jāveic pasākumi, lai novērstu ogļūdeņražu un citu kaitīgu vielu noplūdes, un notekūdeņu novadīšanu no kuģiem Baltijas jūrā. Dalībvalstīm jāaizliedz atkritumu izgāšana Baltijas jūras reģionā ar atsevišķiem izņēmumiem, piemēram, gadījumā, ja pastāv draudi pilnībā iznīcināt cilvēka dzīvību vai kuģi, vai gaisa kuģi un ja atkritumu izgāšana ir vienīgais veids, kā novērst šos draudus.</w:t>
      </w:r>
      <w:r w:rsidRPr="00700FB4">
        <w:rPr>
          <w:rFonts w:ascii="Arial" w:hAnsi="Arial" w:cs="Arial"/>
          <w:sz w:val="20"/>
          <w:szCs w:val="20"/>
        </w:rPr>
        <w:t xml:space="preserve"> Helsinku </w:t>
      </w:r>
      <w:r w:rsidR="009E3111" w:rsidRPr="00700FB4">
        <w:rPr>
          <w:rFonts w:ascii="Arial" w:hAnsi="Arial" w:cs="Arial"/>
          <w:sz w:val="20"/>
          <w:szCs w:val="20"/>
        </w:rPr>
        <w:t xml:space="preserve">Konvenciju </w:t>
      </w:r>
      <w:r w:rsidRPr="00700FB4">
        <w:rPr>
          <w:rFonts w:ascii="Arial" w:hAnsi="Arial" w:cs="Arial"/>
          <w:sz w:val="20"/>
          <w:szCs w:val="20"/>
        </w:rPr>
        <w:t>d</w:t>
      </w:r>
      <w:r w:rsidR="00126EEA" w:rsidRPr="00700FB4">
        <w:rPr>
          <w:rFonts w:ascii="Arial" w:hAnsi="Arial" w:cs="Arial"/>
          <w:sz w:val="20"/>
          <w:szCs w:val="20"/>
        </w:rPr>
        <w:t xml:space="preserve">alībvalstīm ir jāveic visi nepieciešami pasākumi, lai novērstu piesārņojumu, kas rodas no zinātniskās izpētes vai jūras dibena vai dzīļu izpētes. Dalībvalstīm jāsadarbojas zinātnisko un tehnoloģisko pētījumu jomā un tās apņemas pieņemt kopīgus noteikumus par atbildību par zaudējumiem, kas radušies </w:t>
      </w:r>
      <w:r w:rsidR="009E3111" w:rsidRPr="00700FB4">
        <w:rPr>
          <w:rFonts w:ascii="Arial" w:hAnsi="Arial" w:cs="Arial"/>
          <w:sz w:val="20"/>
          <w:szCs w:val="20"/>
        </w:rPr>
        <w:t xml:space="preserve">Helsinku konvenciju </w:t>
      </w:r>
      <w:r w:rsidR="00126EEA" w:rsidRPr="00700FB4">
        <w:rPr>
          <w:rFonts w:ascii="Arial" w:hAnsi="Arial" w:cs="Arial"/>
          <w:sz w:val="20"/>
          <w:szCs w:val="20"/>
        </w:rPr>
        <w:t>pārkāpuma rezultātā.</w:t>
      </w:r>
      <w:r w:rsidRPr="00700FB4">
        <w:rPr>
          <w:rFonts w:ascii="Arial" w:hAnsi="Arial" w:cs="Arial"/>
          <w:sz w:val="20"/>
          <w:szCs w:val="20"/>
        </w:rPr>
        <w:t xml:space="preserve"> </w:t>
      </w:r>
      <w:r w:rsidR="00CA3E1C" w:rsidRPr="00700FB4">
        <w:rPr>
          <w:rFonts w:ascii="Arial" w:hAnsi="Arial" w:cs="Arial"/>
          <w:sz w:val="20"/>
          <w:szCs w:val="20"/>
        </w:rPr>
        <w:t>Helsinku</w:t>
      </w:r>
      <w:r w:rsidR="009E3111" w:rsidRPr="00700FB4">
        <w:rPr>
          <w:rFonts w:ascii="Arial" w:hAnsi="Arial" w:cs="Arial"/>
          <w:sz w:val="20"/>
          <w:szCs w:val="20"/>
        </w:rPr>
        <w:t xml:space="preserve"> Konvencijas </w:t>
      </w:r>
      <w:r w:rsidR="00126EEA" w:rsidRPr="00700FB4">
        <w:rPr>
          <w:rFonts w:ascii="Arial" w:hAnsi="Arial" w:cs="Arial"/>
          <w:sz w:val="20"/>
          <w:szCs w:val="20"/>
        </w:rPr>
        <w:t>mērķu īstenošanai tiek nodibināta Baltijas jūras reģiona jūras vides aizsardzības komisija, kura uzrauga konvencijas ieviešanu, sniedz priekšlikumus par veicamajiem pasākumiem un uzņemas citas nepieciešamās funkcijas.</w:t>
      </w:r>
    </w:p>
    <w:p w:rsidR="00F82829" w:rsidRPr="00700FB4" w:rsidRDefault="00F82829" w:rsidP="00126EEA">
      <w:pPr>
        <w:pStyle w:val="NoSpacing"/>
        <w:jc w:val="both"/>
        <w:rPr>
          <w:rFonts w:ascii="Arial" w:hAnsi="Arial" w:cs="Arial"/>
          <w:sz w:val="20"/>
          <w:szCs w:val="20"/>
        </w:rPr>
      </w:pPr>
    </w:p>
    <w:p w:rsidR="00126EEA" w:rsidRPr="00700FB4" w:rsidRDefault="00F82829" w:rsidP="00126EEA">
      <w:pPr>
        <w:pStyle w:val="NoSpacing"/>
        <w:jc w:val="both"/>
        <w:rPr>
          <w:rFonts w:ascii="Arial" w:hAnsi="Arial" w:cs="Arial"/>
          <w:sz w:val="20"/>
          <w:szCs w:val="20"/>
        </w:rPr>
      </w:pPr>
      <w:r w:rsidRPr="00700FB4">
        <w:rPr>
          <w:rFonts w:ascii="Arial" w:hAnsi="Arial" w:cs="Arial"/>
          <w:sz w:val="20"/>
          <w:szCs w:val="20"/>
        </w:rPr>
        <w:t xml:space="preserve">Nepieciešas atzīmēt arī </w:t>
      </w:r>
      <w:r w:rsidR="00126EEA" w:rsidRPr="00700FB4">
        <w:rPr>
          <w:rFonts w:ascii="Arial" w:hAnsi="Arial" w:cs="Arial"/>
          <w:color w:val="000000" w:themeColor="text1"/>
          <w:sz w:val="20"/>
          <w:szCs w:val="20"/>
        </w:rPr>
        <w:t xml:space="preserve">Starptautiskās Jūrniecības organizācijas </w:t>
      </w:r>
      <w:r w:rsidR="007B02DF" w:rsidRPr="00700FB4">
        <w:rPr>
          <w:rFonts w:ascii="Arial" w:hAnsi="Arial" w:cs="Arial"/>
          <w:b/>
          <w:color w:val="000000" w:themeColor="text1"/>
          <w:sz w:val="20"/>
          <w:szCs w:val="20"/>
        </w:rPr>
        <w:t>2001.gada Starptautiskā konvencija par civilo atbildību par bunkera degvielas piesārņojuma radīto kaitējumu</w:t>
      </w:r>
      <w:r w:rsidR="005154AF" w:rsidRPr="00700FB4">
        <w:rPr>
          <w:rFonts w:ascii="Arial" w:hAnsi="Arial" w:cs="Arial"/>
          <w:b/>
          <w:color w:val="000000" w:themeColor="text1"/>
          <w:sz w:val="20"/>
          <w:szCs w:val="20"/>
        </w:rPr>
        <w:t xml:space="preserve"> jeb BUNKER konvencija</w:t>
      </w:r>
      <w:r w:rsidR="00C144DD" w:rsidRPr="00700FB4">
        <w:rPr>
          <w:rFonts w:ascii="Arial" w:hAnsi="Arial" w:cs="Arial"/>
          <w:color w:val="000000" w:themeColor="text1"/>
          <w:sz w:val="20"/>
          <w:szCs w:val="20"/>
        </w:rPr>
        <w:t xml:space="preserve">. </w:t>
      </w:r>
      <w:r w:rsidR="00126EEA" w:rsidRPr="00700FB4">
        <w:rPr>
          <w:rFonts w:ascii="Arial" w:hAnsi="Arial" w:cs="Arial"/>
          <w:sz w:val="20"/>
          <w:szCs w:val="20"/>
        </w:rPr>
        <w:t xml:space="preserve">Latvijā </w:t>
      </w:r>
      <w:r w:rsidR="00C144DD" w:rsidRPr="00700FB4">
        <w:rPr>
          <w:rFonts w:ascii="Arial" w:hAnsi="Arial" w:cs="Arial"/>
          <w:sz w:val="20"/>
          <w:szCs w:val="20"/>
        </w:rPr>
        <w:t xml:space="preserve">konvencija </w:t>
      </w:r>
      <w:r w:rsidR="00126EEA" w:rsidRPr="00700FB4">
        <w:rPr>
          <w:rFonts w:ascii="Arial" w:hAnsi="Arial" w:cs="Arial"/>
          <w:sz w:val="20"/>
          <w:szCs w:val="20"/>
        </w:rPr>
        <w:t xml:space="preserve">stājās spēkā 2008.gada 21.novembrī, sekojot ES aicinājumam ar Padomes lēmumu (2002.gada 19.septembris), ar ko dalībvalstīm atļauj </w:t>
      </w:r>
      <w:r w:rsidR="00126EEA" w:rsidRPr="00700FB4">
        <w:rPr>
          <w:rFonts w:ascii="Arial" w:hAnsi="Arial" w:cs="Arial"/>
          <w:sz w:val="20"/>
          <w:szCs w:val="20"/>
        </w:rPr>
        <w:lastRenderedPageBreak/>
        <w:t>Kopienas interesēs parakstīt, ratificēt vai pievienoties B</w:t>
      </w:r>
      <w:r w:rsidR="007B02DF" w:rsidRPr="00700FB4">
        <w:rPr>
          <w:rFonts w:ascii="Arial" w:hAnsi="Arial" w:cs="Arial"/>
          <w:sz w:val="20"/>
          <w:szCs w:val="20"/>
        </w:rPr>
        <w:t>UNKER konvencijai</w:t>
      </w:r>
      <w:r w:rsidR="00126EEA" w:rsidRPr="00700FB4">
        <w:rPr>
          <w:rFonts w:ascii="Arial" w:hAnsi="Arial" w:cs="Arial"/>
          <w:sz w:val="20"/>
          <w:szCs w:val="20"/>
        </w:rPr>
        <w:t xml:space="preserve">. </w:t>
      </w:r>
      <w:r w:rsidR="001D6990" w:rsidRPr="00700FB4">
        <w:rPr>
          <w:rFonts w:ascii="Arial" w:hAnsi="Arial" w:cs="Arial"/>
          <w:sz w:val="20"/>
          <w:szCs w:val="20"/>
        </w:rPr>
        <w:t>Šī</w:t>
      </w:r>
      <w:r w:rsidR="00126EEA" w:rsidRPr="00700FB4">
        <w:rPr>
          <w:rFonts w:ascii="Arial" w:hAnsi="Arial" w:cs="Arial"/>
          <w:sz w:val="20"/>
          <w:szCs w:val="20"/>
        </w:rPr>
        <w:t xml:space="preserve"> konvencija tika pieņemta Starptautiskās Jūrniecības organizācijas aizgādnībā, lai nodrošinātu adekvātu, tūlītēju un efektīvu kompensāciju personām par postījumiem, ko izraisījusi kuģu bunkuros esošu tādu naftas produktu noplūde, kurus izmanto par kuģu degvielu. </w:t>
      </w:r>
      <w:r w:rsidR="007B02DF" w:rsidRPr="00700FB4">
        <w:rPr>
          <w:rFonts w:ascii="Arial" w:hAnsi="Arial" w:cs="Arial"/>
          <w:sz w:val="20"/>
          <w:szCs w:val="20"/>
        </w:rPr>
        <w:t xml:space="preserve">BUNKER </w:t>
      </w:r>
      <w:r w:rsidR="00126EEA" w:rsidRPr="00700FB4">
        <w:rPr>
          <w:rFonts w:ascii="Arial" w:hAnsi="Arial" w:cs="Arial"/>
          <w:sz w:val="20"/>
          <w:szCs w:val="20"/>
        </w:rPr>
        <w:t xml:space="preserve">konvencija attiecas uz piesārņojuma izraisītiem postījumiem konvencijas dalībvalsts teritorijā, tās teritoriālajos ūdeņos un </w:t>
      </w:r>
      <w:r w:rsidR="002842BE" w:rsidRPr="00700FB4">
        <w:rPr>
          <w:rFonts w:ascii="Arial" w:hAnsi="Arial" w:cs="Arial"/>
          <w:sz w:val="20"/>
          <w:szCs w:val="20"/>
        </w:rPr>
        <w:t xml:space="preserve">Ekskluzīvajā </w:t>
      </w:r>
      <w:r w:rsidR="00126EEA" w:rsidRPr="00700FB4">
        <w:rPr>
          <w:rFonts w:ascii="Arial" w:hAnsi="Arial" w:cs="Arial"/>
          <w:sz w:val="20"/>
          <w:szCs w:val="20"/>
        </w:rPr>
        <w:t xml:space="preserve">zonā vai līdzvērtīgā teritorijā, kā arī uz pasākumiem, ko veic šādu postījumu novēršanai vai mazināšanai. Tā neattiecas uz kara kuģiem, jūras kara flotes palīgkuģiem vai citiem kuģiem, kas pieder valstij. Tomēr jebkura konvencijas dalībvalsts var nolemt piemērot konvenciju šāda veida kuģiem. </w:t>
      </w:r>
      <w:r w:rsidR="007B02DF" w:rsidRPr="00700FB4">
        <w:rPr>
          <w:rFonts w:ascii="Arial" w:hAnsi="Arial" w:cs="Arial"/>
          <w:sz w:val="20"/>
          <w:szCs w:val="20"/>
        </w:rPr>
        <w:t>BUNKER</w:t>
      </w:r>
      <w:r w:rsidR="00126EEA" w:rsidRPr="00700FB4">
        <w:rPr>
          <w:rFonts w:ascii="Arial" w:hAnsi="Arial" w:cs="Arial"/>
          <w:sz w:val="20"/>
          <w:szCs w:val="20"/>
        </w:rPr>
        <w:t xml:space="preserve"> konvencija noteic, ka kuģa īpašnieks negadījuma brīdī ir atbildīgs par visiem postījumiem, ko izraisījis tam piederošā kuģa bunkurā esošās eļļas izraisītais piesārņojums. Tomēr atsevišķos gadījumos kuģa īpašnieku var atbrīvot no atbildības.</w:t>
      </w:r>
    </w:p>
    <w:p w:rsidR="00F82829" w:rsidRPr="00700FB4" w:rsidRDefault="00F82829" w:rsidP="00126EEA">
      <w:pPr>
        <w:pStyle w:val="NoSpacing"/>
        <w:jc w:val="both"/>
        <w:rPr>
          <w:rFonts w:ascii="Arial" w:hAnsi="Arial" w:cs="Arial"/>
          <w:sz w:val="20"/>
          <w:szCs w:val="20"/>
        </w:rPr>
      </w:pPr>
    </w:p>
    <w:p w:rsidR="00126EEA" w:rsidRPr="00700FB4" w:rsidRDefault="00126EEA" w:rsidP="00126EEA">
      <w:pPr>
        <w:pStyle w:val="NoSpacing"/>
        <w:jc w:val="both"/>
        <w:rPr>
          <w:rFonts w:ascii="Arial" w:hAnsi="Arial" w:cs="Arial"/>
          <w:sz w:val="20"/>
          <w:szCs w:val="20"/>
        </w:rPr>
      </w:pPr>
      <w:r w:rsidRPr="00700FB4">
        <w:rPr>
          <w:rFonts w:ascii="Arial" w:hAnsi="Arial" w:cs="Arial"/>
          <w:b/>
          <w:sz w:val="20"/>
          <w:szCs w:val="20"/>
        </w:rPr>
        <w:t>Stokholmas konvencija par noturīgajiem organiskajiem piesārņotājiem</w:t>
      </w:r>
      <w:r w:rsidR="00C144DD" w:rsidRPr="00700FB4">
        <w:rPr>
          <w:rFonts w:ascii="Arial" w:hAnsi="Arial" w:cs="Arial"/>
          <w:sz w:val="20"/>
          <w:szCs w:val="20"/>
        </w:rPr>
        <w:t xml:space="preserve"> Latvijā stājās spēkā 2005.gada 26.janvārī</w:t>
      </w:r>
      <w:r w:rsidR="00CA3E1C" w:rsidRPr="00700FB4">
        <w:rPr>
          <w:rFonts w:ascii="Arial" w:hAnsi="Arial" w:cs="Arial"/>
          <w:sz w:val="20"/>
          <w:szCs w:val="20"/>
        </w:rPr>
        <w:t>.</w:t>
      </w:r>
      <w:r w:rsidRPr="00700FB4">
        <w:rPr>
          <w:rFonts w:ascii="Arial" w:hAnsi="Arial" w:cs="Arial"/>
          <w:sz w:val="20"/>
          <w:szCs w:val="20"/>
        </w:rPr>
        <w:t xml:space="preserve"> Noturīgi organiskie piesārņotāji nodara kaitējumu cilvēku veselībai un videi. Stokholmas konvencija ir balstīta uz piesardzības principu un cenšas nodrošināt šo vielu drošu likvidēšanu, kā arī to ražošanas un izmantošanas apjomu samazināšanu. Ar </w:t>
      </w:r>
      <w:r w:rsidRPr="00700FB4">
        <w:rPr>
          <w:rFonts w:ascii="Arial" w:hAnsi="Arial" w:cs="Arial"/>
          <w:b/>
          <w:sz w:val="20"/>
          <w:szCs w:val="20"/>
        </w:rPr>
        <w:t>Lēmumu 2006/507/EK</w:t>
      </w:r>
      <w:r w:rsidRPr="00700FB4">
        <w:rPr>
          <w:rFonts w:ascii="Arial" w:hAnsi="Arial" w:cs="Arial"/>
          <w:sz w:val="20"/>
          <w:szCs w:val="20"/>
        </w:rPr>
        <w:t xml:space="preserve"> (2004.gada 14.oktobris), par to, kā Kopienas vārdā noslēdz Stokholmas Konvenciju par noturīgajiem organiskajiem piesārņotājiem, tiek apstiprināts ES lēmums piedalīties Stokholmas konvencijā. </w:t>
      </w:r>
      <w:r w:rsidR="0030344B" w:rsidRPr="00700FB4">
        <w:rPr>
          <w:rFonts w:ascii="Arial" w:hAnsi="Arial" w:cs="Arial"/>
          <w:sz w:val="20"/>
          <w:szCs w:val="20"/>
        </w:rPr>
        <w:t xml:space="preserve">Stokholmas konvencijā </w:t>
      </w:r>
      <w:r w:rsidRPr="00700FB4">
        <w:rPr>
          <w:rFonts w:ascii="Arial" w:hAnsi="Arial" w:cs="Arial"/>
          <w:sz w:val="20"/>
          <w:szCs w:val="20"/>
        </w:rPr>
        <w:t>definēti noturīgi organiskie piesārņotāji un noteikumi, kas regulē to ražošanu, importu un eksportu. Noturīgi organiskie piesārņotāji ir ķīmiskas vielas ar noteiktām toksiskām īpašībām, kas nepakļaujas noārdīšanai. Tie uzkrājas dzīvos organismos, tiek pārnēsāti pa gaisu, ūdeni un ar migrējošām sugām un uzkrājas zemes un ūdens ekosistēmās. Noturīgu organisko piesārņotāju radītais piesārņojums ir pārrobežu problēma, kuras risināšanai nepieciešama rīcība starptautiskā mērogā.</w:t>
      </w:r>
    </w:p>
    <w:p w:rsidR="00F82829" w:rsidRPr="00700FB4" w:rsidRDefault="00F82829" w:rsidP="00126EEA">
      <w:pPr>
        <w:pStyle w:val="NoSpacing"/>
        <w:jc w:val="both"/>
        <w:rPr>
          <w:rFonts w:ascii="Arial" w:hAnsi="Arial" w:cs="Arial"/>
          <w:sz w:val="20"/>
          <w:szCs w:val="20"/>
        </w:rPr>
      </w:pPr>
      <w:bookmarkStart w:id="25" w:name="_Toc456031649"/>
    </w:p>
    <w:p w:rsidR="00126EEA" w:rsidRPr="00700FB4" w:rsidRDefault="00880C90" w:rsidP="00665269">
      <w:pPr>
        <w:pStyle w:val="Heading2"/>
      </w:pPr>
      <w:bookmarkStart w:id="26" w:name="_Toc460402339"/>
      <w:r w:rsidRPr="00700FB4">
        <w:t xml:space="preserve">[3.2] </w:t>
      </w:r>
      <w:r w:rsidR="00126EEA" w:rsidRPr="00700FB4">
        <w:t>Zivsaimniecība</w:t>
      </w:r>
      <w:bookmarkEnd w:id="25"/>
      <w:bookmarkEnd w:id="26"/>
    </w:p>
    <w:p w:rsidR="00126EEA" w:rsidRPr="00700FB4" w:rsidRDefault="00126EEA" w:rsidP="00126EEA">
      <w:pPr>
        <w:pStyle w:val="NoSpacing"/>
        <w:jc w:val="both"/>
        <w:rPr>
          <w:rFonts w:ascii="Arial" w:hAnsi="Arial" w:cs="Arial"/>
          <w:sz w:val="20"/>
          <w:szCs w:val="20"/>
        </w:rPr>
      </w:pPr>
      <w:r w:rsidRPr="00700FB4">
        <w:rPr>
          <w:rFonts w:ascii="Arial" w:hAnsi="Arial" w:cs="Arial"/>
          <w:sz w:val="20"/>
          <w:szCs w:val="20"/>
        </w:rPr>
        <w:t xml:space="preserve">Saskaņā ar </w:t>
      </w:r>
      <w:r w:rsidR="0030344B" w:rsidRPr="00700FB4">
        <w:rPr>
          <w:rFonts w:ascii="Arial" w:hAnsi="Arial" w:cs="Arial"/>
          <w:sz w:val="20"/>
          <w:szCs w:val="20"/>
        </w:rPr>
        <w:t xml:space="preserve">Jūras konvencijā </w:t>
      </w:r>
      <w:r w:rsidRPr="00700FB4">
        <w:rPr>
          <w:rFonts w:ascii="Arial" w:hAnsi="Arial" w:cs="Arial"/>
          <w:sz w:val="20"/>
          <w:szCs w:val="20"/>
        </w:rPr>
        <w:t xml:space="preserve">noteikto piekrastes valsts var pieņemt likumus un noteikumus attiecībā uz zvejniecību </w:t>
      </w:r>
      <w:r w:rsidR="002842BE" w:rsidRPr="00700FB4">
        <w:rPr>
          <w:rFonts w:ascii="Arial" w:hAnsi="Arial" w:cs="Arial"/>
          <w:sz w:val="20"/>
          <w:szCs w:val="20"/>
        </w:rPr>
        <w:t xml:space="preserve">Ekskluzīvajā </w:t>
      </w:r>
      <w:r w:rsidRPr="00700FB4">
        <w:rPr>
          <w:rFonts w:ascii="Arial" w:hAnsi="Arial" w:cs="Arial"/>
          <w:sz w:val="20"/>
          <w:szCs w:val="20"/>
        </w:rPr>
        <w:t xml:space="preserve">zonā, savukārt ārvalstu kuģiem un citu valstu pilsoņiem šie likumi un noteikumi ir jārespektē. Piemēram, saskaņā ar </w:t>
      </w:r>
      <w:r w:rsidR="0030344B" w:rsidRPr="00700FB4">
        <w:rPr>
          <w:rFonts w:ascii="Arial" w:hAnsi="Arial" w:cs="Arial"/>
          <w:sz w:val="20"/>
          <w:szCs w:val="20"/>
        </w:rPr>
        <w:t xml:space="preserve">Jūras konvencijas </w:t>
      </w:r>
      <w:r w:rsidRPr="00700FB4">
        <w:rPr>
          <w:rFonts w:ascii="Arial" w:hAnsi="Arial" w:cs="Arial"/>
          <w:sz w:val="20"/>
          <w:szCs w:val="20"/>
        </w:rPr>
        <w:t>21.panta pirmo daļu piekrastes valsts var pieņemt likumus un noteikumus, kas attiecas uz mierīgu caurbraukšanu pa teritoriālo jūru, cita starpā attiecībā uz piekrastes valsts zvejniecības likumu un noteikumu pārkāpumu novēršanu.</w:t>
      </w:r>
    </w:p>
    <w:p w:rsidR="00880C90" w:rsidRPr="00700FB4" w:rsidRDefault="00880C90" w:rsidP="00126EEA">
      <w:pPr>
        <w:pStyle w:val="NoSpacing"/>
        <w:jc w:val="both"/>
        <w:rPr>
          <w:rFonts w:ascii="Arial" w:hAnsi="Arial" w:cs="Arial"/>
          <w:sz w:val="20"/>
          <w:szCs w:val="20"/>
        </w:rPr>
      </w:pPr>
    </w:p>
    <w:p w:rsidR="00126EEA" w:rsidRPr="00700FB4" w:rsidRDefault="00126EEA" w:rsidP="00126EEA">
      <w:pPr>
        <w:pStyle w:val="NoSpacing"/>
        <w:jc w:val="both"/>
        <w:rPr>
          <w:rFonts w:ascii="Arial" w:hAnsi="Arial" w:cs="Arial"/>
          <w:sz w:val="20"/>
          <w:szCs w:val="20"/>
        </w:rPr>
      </w:pPr>
      <w:r w:rsidRPr="00700FB4">
        <w:rPr>
          <w:rFonts w:ascii="Arial" w:hAnsi="Arial" w:cs="Arial"/>
          <w:sz w:val="20"/>
          <w:szCs w:val="20"/>
        </w:rPr>
        <w:t xml:space="preserve">Atbilstoši </w:t>
      </w:r>
      <w:r w:rsidR="0030344B" w:rsidRPr="00700FB4">
        <w:rPr>
          <w:rFonts w:ascii="Arial" w:hAnsi="Arial" w:cs="Arial"/>
          <w:sz w:val="20"/>
          <w:szCs w:val="20"/>
        </w:rPr>
        <w:t xml:space="preserve">Jūras konvencijas </w:t>
      </w:r>
      <w:r w:rsidRPr="00700FB4">
        <w:rPr>
          <w:rFonts w:ascii="Arial" w:hAnsi="Arial" w:cs="Arial"/>
          <w:sz w:val="20"/>
          <w:szCs w:val="20"/>
        </w:rPr>
        <w:t>62.panta ceturtajai daļai piekrastes valsts likumi un noteikumi var attiekties cita starpā uz 1) zvejnieku, zvejas kuģu un aprīkojuma licencēšanu, ietverot nodevu iekasēšanu un citas apmaksas formas, kas jaunattīstības valstu gadījumā var būt adekvāta kompensācija finansiālā, aprīkojuma vai tehnoloģijas jomā, kas attiecas uz zvejniecības industriju; 2) sugu, kuras var tikt nozvejotas, un fiksētu nozvejas kvotu noteikšanu attiecībā uz konkrētiem resursiem vai resursu grupu, vai arī nozvejas daudzuma noteikšanu katram kuģim kāda laika periodā vai uz jebkādas valsts pilsoņu veikto nozveju, vai katra zvejas kuģa nozveju kādā konkrētā laika periodā; 3) zvejniecības sezonas un rajonu, zvejas rīku veidu, izmēru un daudzuma, un zvejas kuģu, kuri var tikt izmantoti, veidu, izmēru un skaita regulēšanu utt. Piekrastes valsts pienācīgā kārtā informē par likumiem un noteikumiem attiecībā uz dzīvo resursu saglabāšanu un pārvaldīšanu.</w:t>
      </w:r>
    </w:p>
    <w:p w:rsidR="00E07984" w:rsidRPr="00700FB4" w:rsidRDefault="00E07984" w:rsidP="00126EEA">
      <w:pPr>
        <w:pStyle w:val="NoSpacing"/>
        <w:jc w:val="both"/>
        <w:rPr>
          <w:rFonts w:ascii="Arial" w:hAnsi="Arial" w:cs="Arial"/>
          <w:sz w:val="20"/>
          <w:szCs w:val="20"/>
        </w:rPr>
      </w:pPr>
    </w:p>
    <w:p w:rsidR="00126EEA" w:rsidRPr="00700FB4" w:rsidRDefault="00126EEA" w:rsidP="00126EEA">
      <w:pPr>
        <w:pStyle w:val="NoSpacing"/>
        <w:jc w:val="both"/>
        <w:rPr>
          <w:rFonts w:ascii="Arial" w:hAnsi="Arial" w:cs="Arial"/>
          <w:sz w:val="20"/>
          <w:szCs w:val="20"/>
        </w:rPr>
      </w:pPr>
      <w:r w:rsidRPr="00700FB4">
        <w:rPr>
          <w:rFonts w:ascii="Arial" w:hAnsi="Arial" w:cs="Arial"/>
          <w:sz w:val="20"/>
          <w:szCs w:val="20"/>
        </w:rPr>
        <w:t xml:space="preserve">Īpaši nosacījumi </w:t>
      </w:r>
      <w:r w:rsidR="0030344B" w:rsidRPr="00700FB4">
        <w:rPr>
          <w:rFonts w:ascii="Arial" w:hAnsi="Arial" w:cs="Arial"/>
          <w:sz w:val="20"/>
          <w:szCs w:val="20"/>
        </w:rPr>
        <w:t xml:space="preserve">Jūras konvencijas </w:t>
      </w:r>
      <w:r w:rsidRPr="00700FB4">
        <w:rPr>
          <w:rFonts w:ascii="Arial" w:hAnsi="Arial" w:cs="Arial"/>
          <w:sz w:val="20"/>
          <w:szCs w:val="20"/>
        </w:rPr>
        <w:t xml:space="preserve">66.pantā paredzēti attiecībā uz </w:t>
      </w:r>
      <w:proofErr w:type="spellStart"/>
      <w:r w:rsidRPr="00700FB4">
        <w:rPr>
          <w:rFonts w:ascii="Arial" w:hAnsi="Arial" w:cs="Arial"/>
          <w:sz w:val="20"/>
          <w:szCs w:val="20"/>
        </w:rPr>
        <w:t>anadromo</w:t>
      </w:r>
      <w:proofErr w:type="spellEnd"/>
      <w:r w:rsidRPr="00700FB4">
        <w:rPr>
          <w:rFonts w:ascii="Arial" w:hAnsi="Arial" w:cs="Arial"/>
          <w:sz w:val="20"/>
          <w:szCs w:val="20"/>
        </w:rPr>
        <w:t xml:space="preserve"> sugu zvejniecību, bet 67.pantā – attiecībā uz </w:t>
      </w:r>
      <w:proofErr w:type="spellStart"/>
      <w:r w:rsidRPr="00700FB4">
        <w:rPr>
          <w:rFonts w:ascii="Arial" w:hAnsi="Arial" w:cs="Arial"/>
          <w:sz w:val="20"/>
          <w:szCs w:val="20"/>
        </w:rPr>
        <w:t>katadromo</w:t>
      </w:r>
      <w:proofErr w:type="spellEnd"/>
      <w:r w:rsidRPr="00700FB4">
        <w:rPr>
          <w:rFonts w:ascii="Arial" w:hAnsi="Arial" w:cs="Arial"/>
          <w:sz w:val="20"/>
          <w:szCs w:val="20"/>
        </w:rPr>
        <w:t xml:space="preserve"> sugu zvejniecību.</w:t>
      </w:r>
    </w:p>
    <w:p w:rsidR="00E07984" w:rsidRPr="00700FB4" w:rsidRDefault="00E07984" w:rsidP="00126EEA">
      <w:pPr>
        <w:pStyle w:val="NoSpacing"/>
        <w:jc w:val="both"/>
        <w:rPr>
          <w:rFonts w:ascii="Arial" w:hAnsi="Arial" w:cs="Arial"/>
          <w:sz w:val="20"/>
          <w:szCs w:val="20"/>
        </w:rPr>
      </w:pPr>
    </w:p>
    <w:p w:rsidR="00126EEA" w:rsidRPr="00700FB4" w:rsidRDefault="00126EEA" w:rsidP="00126EEA">
      <w:pPr>
        <w:pStyle w:val="NoSpacing"/>
        <w:jc w:val="both"/>
        <w:rPr>
          <w:rFonts w:ascii="Arial" w:hAnsi="Arial" w:cs="Arial"/>
          <w:sz w:val="20"/>
          <w:szCs w:val="20"/>
        </w:rPr>
      </w:pPr>
      <w:r w:rsidRPr="00700FB4">
        <w:rPr>
          <w:rFonts w:ascii="Arial" w:hAnsi="Arial" w:cs="Arial"/>
          <w:sz w:val="20"/>
          <w:szCs w:val="20"/>
        </w:rPr>
        <w:t xml:space="preserve">1995.gada 4.augusta Nolīgums par </w:t>
      </w:r>
      <w:r w:rsidRPr="00700FB4">
        <w:rPr>
          <w:rFonts w:ascii="Arial" w:hAnsi="Arial" w:cs="Arial"/>
          <w:b/>
          <w:sz w:val="20"/>
          <w:szCs w:val="20"/>
        </w:rPr>
        <w:t>Jūras tiesību konvencijas īstenošanu attiecībā uz transzonālo zivju krājumu un tālu migrējošo zivju krājumu saglabāšanu un pārvaldību</w:t>
      </w:r>
      <w:r w:rsidR="0030344B" w:rsidRPr="00700FB4">
        <w:rPr>
          <w:rFonts w:ascii="Arial" w:hAnsi="Arial" w:cs="Arial"/>
          <w:sz w:val="20"/>
          <w:szCs w:val="20"/>
        </w:rPr>
        <w:t xml:space="preserve"> </w:t>
      </w:r>
      <w:r w:rsidR="00C144DD" w:rsidRPr="00700FB4">
        <w:rPr>
          <w:rFonts w:ascii="Arial" w:hAnsi="Arial" w:cs="Arial"/>
          <w:sz w:val="20"/>
          <w:szCs w:val="20"/>
        </w:rPr>
        <w:t>Latvijā stājās spēkā 2007.gada 7.martā</w:t>
      </w:r>
      <w:r w:rsidRPr="00700FB4">
        <w:rPr>
          <w:rFonts w:ascii="Arial" w:hAnsi="Arial" w:cs="Arial"/>
          <w:sz w:val="20"/>
          <w:szCs w:val="20"/>
        </w:rPr>
        <w:t xml:space="preserve">. Nolīguma mērķis ir nodrošināt transzonālo zivju krājumu un tālu migrējošo zivju krājumu ilgtermiņa saglabāšanu un ilgtspējīgu izmantošanu, efektīvi īstenojot attiecīgās Konvencijas normas. Šis nolīgums paredz principus minēto zivju krājumu saglabāšanai un pārvaldībai un noteic, ka pārvaldībai jābūt balstītai uz piesardzības pieeju un jāievēro vislabākā pieejamā zinātniskā informācija. Nolīgumā turpināts un plašāk skaidrots Konvencijā ietvertais valstu sadarbības princips, kas paredzēts zivsaimniecības resursu – gan </w:t>
      </w:r>
      <w:r w:rsidR="002842BE" w:rsidRPr="00700FB4">
        <w:rPr>
          <w:rFonts w:ascii="Arial" w:hAnsi="Arial" w:cs="Arial"/>
          <w:sz w:val="20"/>
          <w:szCs w:val="20"/>
        </w:rPr>
        <w:t xml:space="preserve">Ekskluzīvajā </w:t>
      </w:r>
      <w:r w:rsidRPr="00700FB4">
        <w:rPr>
          <w:rFonts w:ascii="Arial" w:hAnsi="Arial" w:cs="Arial"/>
          <w:sz w:val="20"/>
          <w:szCs w:val="20"/>
        </w:rPr>
        <w:t>zonā, gan ārpus tās – saglabāšanai un optimālas izmantošanas veicināšanai. Šī mērķa sasniegšanai minētais nolīgums paredz sadarbības ietvaru minēto resursu saglabāšanai un pārvaldībai. Paredzēti detalizēti minimāli starptautiski stand</w:t>
      </w:r>
      <w:r w:rsidR="00F161D6" w:rsidRPr="00700FB4">
        <w:rPr>
          <w:rFonts w:ascii="Arial" w:hAnsi="Arial" w:cs="Arial"/>
          <w:sz w:val="20"/>
          <w:szCs w:val="20"/>
        </w:rPr>
        <w:t xml:space="preserve">arti minētajiem zivju krājumiem, kā arī </w:t>
      </w:r>
      <w:r w:rsidRPr="00700FB4">
        <w:rPr>
          <w:rFonts w:ascii="Arial" w:hAnsi="Arial" w:cs="Arial"/>
          <w:sz w:val="20"/>
          <w:szCs w:val="20"/>
        </w:rPr>
        <w:t xml:space="preserve">noteikts, ka pasākumiem šo krājumu saglabāšanai un pārvaldībai nacionālo valstu jurisdikcijā esošos apgabalos un atklātā jūrā ir </w:t>
      </w:r>
      <w:r w:rsidR="00F161D6" w:rsidRPr="00700FB4">
        <w:rPr>
          <w:rFonts w:ascii="Arial" w:hAnsi="Arial" w:cs="Arial"/>
          <w:sz w:val="20"/>
          <w:szCs w:val="20"/>
        </w:rPr>
        <w:t>jābūt saderīgiem un saskaņotiem. Tāpat</w:t>
      </w:r>
      <w:r w:rsidRPr="00700FB4">
        <w:rPr>
          <w:rFonts w:ascii="Arial" w:hAnsi="Arial" w:cs="Arial"/>
          <w:sz w:val="20"/>
          <w:szCs w:val="20"/>
        </w:rPr>
        <w:t xml:space="preserve"> paredzēti arī efektīvi mehānismi minēto pasākumu atbilstības un izpildes nodrošināšanai atklātā jūrā.</w:t>
      </w:r>
    </w:p>
    <w:p w:rsidR="00E07984" w:rsidRPr="00700FB4" w:rsidRDefault="00E07984" w:rsidP="00126EEA">
      <w:pPr>
        <w:pStyle w:val="NoSpacing"/>
        <w:jc w:val="both"/>
        <w:rPr>
          <w:rFonts w:ascii="Arial" w:hAnsi="Arial" w:cs="Arial"/>
          <w:sz w:val="20"/>
          <w:szCs w:val="20"/>
        </w:rPr>
      </w:pPr>
    </w:p>
    <w:p w:rsidR="00126EEA" w:rsidRPr="00700FB4" w:rsidRDefault="00126EEA" w:rsidP="00126EEA">
      <w:pPr>
        <w:pStyle w:val="NoSpacing"/>
        <w:jc w:val="both"/>
        <w:rPr>
          <w:rFonts w:ascii="Arial" w:hAnsi="Arial" w:cs="Arial"/>
          <w:sz w:val="20"/>
          <w:szCs w:val="20"/>
        </w:rPr>
      </w:pPr>
      <w:r w:rsidRPr="00700FB4">
        <w:rPr>
          <w:rFonts w:ascii="Arial" w:hAnsi="Arial" w:cs="Arial"/>
          <w:sz w:val="20"/>
          <w:szCs w:val="20"/>
        </w:rPr>
        <w:t>ANO 1979.gada</w:t>
      </w:r>
      <w:r w:rsidR="005912CA" w:rsidRPr="00700FB4">
        <w:rPr>
          <w:rFonts w:ascii="Arial" w:hAnsi="Arial" w:cs="Arial"/>
          <w:sz w:val="20"/>
          <w:szCs w:val="20"/>
        </w:rPr>
        <w:t xml:space="preserve"> 23.jūnija</w:t>
      </w:r>
      <w:r w:rsidRPr="00700FB4">
        <w:rPr>
          <w:rFonts w:ascii="Arial" w:hAnsi="Arial" w:cs="Arial"/>
          <w:sz w:val="20"/>
          <w:szCs w:val="20"/>
        </w:rPr>
        <w:t xml:space="preserve"> </w:t>
      </w:r>
      <w:r w:rsidRPr="00700FB4">
        <w:rPr>
          <w:rFonts w:ascii="Arial" w:hAnsi="Arial" w:cs="Arial"/>
          <w:b/>
          <w:sz w:val="20"/>
          <w:szCs w:val="20"/>
        </w:rPr>
        <w:t>Bonnas Konvencija par migrējošo savvaļas dzīvnieku sugu aizsardzību</w:t>
      </w:r>
      <w:r w:rsidR="00BC7CB2" w:rsidRPr="00700FB4">
        <w:rPr>
          <w:rFonts w:ascii="Arial" w:hAnsi="Arial" w:cs="Arial"/>
          <w:b/>
          <w:sz w:val="20"/>
          <w:szCs w:val="20"/>
        </w:rPr>
        <w:t xml:space="preserve"> </w:t>
      </w:r>
      <w:r w:rsidR="00F161D6" w:rsidRPr="00700FB4">
        <w:rPr>
          <w:rFonts w:ascii="Arial" w:hAnsi="Arial" w:cs="Arial"/>
          <w:sz w:val="20"/>
          <w:szCs w:val="20"/>
        </w:rPr>
        <w:t>(</w:t>
      </w:r>
      <w:r w:rsidR="00C144DD" w:rsidRPr="00700FB4">
        <w:rPr>
          <w:rFonts w:ascii="Arial" w:hAnsi="Arial" w:cs="Arial"/>
          <w:sz w:val="20"/>
          <w:szCs w:val="20"/>
        </w:rPr>
        <w:t>Latvijā stājās spēkā 1999.gada 25.martā</w:t>
      </w:r>
      <w:r w:rsidRPr="00700FB4">
        <w:rPr>
          <w:rFonts w:ascii="Arial" w:hAnsi="Arial" w:cs="Arial"/>
          <w:sz w:val="20"/>
          <w:szCs w:val="20"/>
        </w:rPr>
        <w:t xml:space="preserve">) attiecas uz tādu migrējošo sugu aizsardzību, kuri cikliski un nemainīgi šķērso vienu vai vairāku nacionālo jurisdikciju robežas (t.sk. zivis). Konvencijā norādītas sugas, kuru saglabāšana ir īpaši nozīmīga un kuru aizsardzības statuss ir nelabvēlīgs. Attiecībā uz Bonnas konvencijas 1.pielikumā norādītajām apdraudētajām migrējošajām sugām areāla valstis aizliedz šo dzīvnieku ieguvi </w:t>
      </w:r>
      <w:r w:rsidR="00E07984" w:rsidRPr="00700FB4">
        <w:rPr>
          <w:rFonts w:ascii="Arial" w:hAnsi="Arial" w:cs="Arial"/>
          <w:sz w:val="20"/>
          <w:szCs w:val="20"/>
        </w:rPr>
        <w:t>(arī</w:t>
      </w:r>
      <w:r w:rsidRPr="00700FB4">
        <w:rPr>
          <w:rFonts w:ascii="Arial" w:hAnsi="Arial" w:cs="Arial"/>
          <w:sz w:val="20"/>
          <w:szCs w:val="20"/>
        </w:rPr>
        <w:t xml:space="preserve"> zveju), izņemot, ja ieguve kalpo zinātniskiem mērķiem, notiek ar mērķi veicināt sugas atražošanu vai izdzīvošanu, notiek ar mērķi apmierināt šīs sugas tradicionālo izmantotāju eksistences vajadzības vai to prasa ārkārtēji apstākļi. Tātad attiecībā uz atsevišķu zivju sugu zveju var būt paredzēti īpaši nosacījumi.</w:t>
      </w:r>
    </w:p>
    <w:p w:rsidR="00E07984" w:rsidRPr="00700FB4" w:rsidRDefault="00E07984" w:rsidP="00126EEA">
      <w:pPr>
        <w:pStyle w:val="NoSpacing"/>
        <w:jc w:val="both"/>
        <w:rPr>
          <w:rFonts w:ascii="Arial" w:hAnsi="Arial" w:cs="Arial"/>
          <w:sz w:val="20"/>
          <w:szCs w:val="20"/>
        </w:rPr>
      </w:pPr>
    </w:p>
    <w:p w:rsidR="00126EEA" w:rsidRPr="00700FB4" w:rsidRDefault="00126EEA" w:rsidP="00126EEA">
      <w:pPr>
        <w:pStyle w:val="NoSpacing"/>
        <w:jc w:val="both"/>
        <w:rPr>
          <w:rFonts w:ascii="Arial" w:hAnsi="Arial" w:cs="Arial"/>
          <w:sz w:val="20"/>
          <w:szCs w:val="20"/>
        </w:rPr>
      </w:pPr>
      <w:r w:rsidRPr="00700FB4">
        <w:rPr>
          <w:rFonts w:ascii="Arial" w:hAnsi="Arial" w:cs="Arial"/>
          <w:sz w:val="20"/>
          <w:szCs w:val="20"/>
        </w:rPr>
        <w:t xml:space="preserve">Papildus jānorāda, ka </w:t>
      </w:r>
      <w:r w:rsidR="002A5985" w:rsidRPr="00700FB4">
        <w:rPr>
          <w:rFonts w:ascii="Arial" w:hAnsi="Arial" w:cs="Arial"/>
          <w:sz w:val="20"/>
          <w:szCs w:val="20"/>
        </w:rPr>
        <w:t xml:space="preserve">ES </w:t>
      </w:r>
      <w:r w:rsidRPr="00700FB4">
        <w:rPr>
          <w:rFonts w:ascii="Arial" w:hAnsi="Arial" w:cs="Arial"/>
          <w:sz w:val="20"/>
          <w:szCs w:val="20"/>
        </w:rPr>
        <w:t xml:space="preserve">ir saistoša arī ANO Pārtikas un lauksaimniecības organizācijā noslēgtā Vienošanās veicināt </w:t>
      </w:r>
      <w:proofErr w:type="spellStart"/>
      <w:r w:rsidRPr="00700FB4">
        <w:rPr>
          <w:rFonts w:ascii="Arial" w:hAnsi="Arial" w:cs="Arial"/>
          <w:sz w:val="20"/>
          <w:szCs w:val="20"/>
        </w:rPr>
        <w:t>tāljūras</w:t>
      </w:r>
      <w:proofErr w:type="spellEnd"/>
      <w:r w:rsidRPr="00700FB4">
        <w:rPr>
          <w:rFonts w:ascii="Arial" w:hAnsi="Arial" w:cs="Arial"/>
          <w:sz w:val="20"/>
          <w:szCs w:val="20"/>
        </w:rPr>
        <w:t xml:space="preserve"> zvejas kuģu atbilstību starptautiskajiem zivju krājumu saglabāšanas un pārvaldības pasākumiem (angļu val. – </w:t>
      </w:r>
      <w:proofErr w:type="spellStart"/>
      <w:r w:rsidRPr="00700FB4">
        <w:rPr>
          <w:rFonts w:ascii="Arial" w:hAnsi="Arial" w:cs="Arial"/>
          <w:i/>
          <w:sz w:val="20"/>
          <w:szCs w:val="20"/>
        </w:rPr>
        <w:t>Agreement</w:t>
      </w:r>
      <w:proofErr w:type="spellEnd"/>
      <w:r w:rsidRPr="00700FB4">
        <w:rPr>
          <w:rFonts w:ascii="Arial" w:hAnsi="Arial" w:cs="Arial"/>
          <w:i/>
          <w:sz w:val="20"/>
          <w:szCs w:val="20"/>
        </w:rPr>
        <w:t xml:space="preserve"> to </w:t>
      </w:r>
      <w:proofErr w:type="spellStart"/>
      <w:r w:rsidRPr="00700FB4">
        <w:rPr>
          <w:rFonts w:ascii="Arial" w:hAnsi="Arial" w:cs="Arial"/>
          <w:i/>
          <w:sz w:val="20"/>
          <w:szCs w:val="20"/>
        </w:rPr>
        <w:t>Promote</w:t>
      </w:r>
      <w:proofErr w:type="spellEnd"/>
      <w:r w:rsidRPr="00700FB4">
        <w:rPr>
          <w:rFonts w:ascii="Arial" w:hAnsi="Arial" w:cs="Arial"/>
          <w:i/>
          <w:sz w:val="20"/>
          <w:szCs w:val="20"/>
        </w:rPr>
        <w:t xml:space="preserve"> </w:t>
      </w:r>
      <w:proofErr w:type="spellStart"/>
      <w:r w:rsidRPr="00700FB4">
        <w:rPr>
          <w:rFonts w:ascii="Arial" w:hAnsi="Arial" w:cs="Arial"/>
          <w:i/>
          <w:sz w:val="20"/>
          <w:szCs w:val="20"/>
        </w:rPr>
        <w:t>Compliance</w:t>
      </w:r>
      <w:proofErr w:type="spellEnd"/>
      <w:r w:rsidRPr="00700FB4">
        <w:rPr>
          <w:rFonts w:ascii="Arial" w:hAnsi="Arial" w:cs="Arial"/>
          <w:i/>
          <w:sz w:val="20"/>
          <w:szCs w:val="20"/>
        </w:rPr>
        <w:t xml:space="preserve"> </w:t>
      </w:r>
      <w:proofErr w:type="spellStart"/>
      <w:r w:rsidRPr="00700FB4">
        <w:rPr>
          <w:rFonts w:ascii="Arial" w:hAnsi="Arial" w:cs="Arial"/>
          <w:i/>
          <w:sz w:val="20"/>
          <w:szCs w:val="20"/>
        </w:rPr>
        <w:t>with</w:t>
      </w:r>
      <w:proofErr w:type="spellEnd"/>
      <w:r w:rsidRPr="00700FB4">
        <w:rPr>
          <w:rFonts w:ascii="Arial" w:hAnsi="Arial" w:cs="Arial"/>
          <w:i/>
          <w:sz w:val="20"/>
          <w:szCs w:val="20"/>
        </w:rPr>
        <w:t xml:space="preserve"> </w:t>
      </w:r>
      <w:proofErr w:type="spellStart"/>
      <w:r w:rsidRPr="00700FB4">
        <w:rPr>
          <w:rFonts w:ascii="Arial" w:hAnsi="Arial" w:cs="Arial"/>
          <w:i/>
          <w:sz w:val="20"/>
          <w:szCs w:val="20"/>
        </w:rPr>
        <w:t>International</w:t>
      </w:r>
      <w:proofErr w:type="spellEnd"/>
      <w:r w:rsidRPr="00700FB4">
        <w:rPr>
          <w:rFonts w:ascii="Arial" w:hAnsi="Arial" w:cs="Arial"/>
          <w:i/>
          <w:sz w:val="20"/>
          <w:szCs w:val="20"/>
        </w:rPr>
        <w:t xml:space="preserve"> </w:t>
      </w:r>
      <w:proofErr w:type="spellStart"/>
      <w:r w:rsidRPr="00700FB4">
        <w:rPr>
          <w:rFonts w:ascii="Arial" w:hAnsi="Arial" w:cs="Arial"/>
          <w:i/>
          <w:sz w:val="20"/>
          <w:szCs w:val="20"/>
        </w:rPr>
        <w:t>Conservation</w:t>
      </w:r>
      <w:proofErr w:type="spellEnd"/>
      <w:r w:rsidRPr="00700FB4">
        <w:rPr>
          <w:rFonts w:ascii="Arial" w:hAnsi="Arial" w:cs="Arial"/>
          <w:i/>
          <w:sz w:val="20"/>
          <w:szCs w:val="20"/>
        </w:rPr>
        <w:t xml:space="preserve"> </w:t>
      </w:r>
      <w:proofErr w:type="spellStart"/>
      <w:r w:rsidRPr="00700FB4">
        <w:rPr>
          <w:rFonts w:ascii="Arial" w:hAnsi="Arial" w:cs="Arial"/>
          <w:i/>
          <w:sz w:val="20"/>
          <w:szCs w:val="20"/>
        </w:rPr>
        <w:t>and</w:t>
      </w:r>
      <w:proofErr w:type="spellEnd"/>
      <w:r w:rsidRPr="00700FB4">
        <w:rPr>
          <w:rFonts w:ascii="Arial" w:hAnsi="Arial" w:cs="Arial"/>
          <w:i/>
          <w:sz w:val="20"/>
          <w:szCs w:val="20"/>
        </w:rPr>
        <w:t xml:space="preserve"> </w:t>
      </w:r>
      <w:proofErr w:type="spellStart"/>
      <w:r w:rsidRPr="00700FB4">
        <w:rPr>
          <w:rFonts w:ascii="Arial" w:hAnsi="Arial" w:cs="Arial"/>
          <w:i/>
          <w:sz w:val="20"/>
          <w:szCs w:val="20"/>
        </w:rPr>
        <w:t>Management</w:t>
      </w:r>
      <w:proofErr w:type="spellEnd"/>
      <w:r w:rsidRPr="00700FB4">
        <w:rPr>
          <w:rFonts w:ascii="Arial" w:hAnsi="Arial" w:cs="Arial"/>
          <w:i/>
          <w:sz w:val="20"/>
          <w:szCs w:val="20"/>
        </w:rPr>
        <w:t xml:space="preserve"> </w:t>
      </w:r>
      <w:proofErr w:type="spellStart"/>
      <w:r w:rsidRPr="00700FB4">
        <w:rPr>
          <w:rFonts w:ascii="Arial" w:hAnsi="Arial" w:cs="Arial"/>
          <w:i/>
          <w:sz w:val="20"/>
          <w:szCs w:val="20"/>
        </w:rPr>
        <w:t>Measures</w:t>
      </w:r>
      <w:proofErr w:type="spellEnd"/>
      <w:r w:rsidRPr="00700FB4">
        <w:rPr>
          <w:rFonts w:ascii="Arial" w:hAnsi="Arial" w:cs="Arial"/>
          <w:i/>
          <w:sz w:val="20"/>
          <w:szCs w:val="20"/>
        </w:rPr>
        <w:t xml:space="preserve"> </w:t>
      </w:r>
      <w:proofErr w:type="spellStart"/>
      <w:r w:rsidRPr="00700FB4">
        <w:rPr>
          <w:rFonts w:ascii="Arial" w:hAnsi="Arial" w:cs="Arial"/>
          <w:i/>
          <w:sz w:val="20"/>
          <w:szCs w:val="20"/>
        </w:rPr>
        <w:t>by</w:t>
      </w:r>
      <w:proofErr w:type="spellEnd"/>
      <w:r w:rsidRPr="00700FB4">
        <w:rPr>
          <w:rFonts w:ascii="Arial" w:hAnsi="Arial" w:cs="Arial"/>
          <w:i/>
          <w:sz w:val="20"/>
          <w:szCs w:val="20"/>
        </w:rPr>
        <w:t xml:space="preserve"> </w:t>
      </w:r>
      <w:proofErr w:type="spellStart"/>
      <w:r w:rsidRPr="00700FB4">
        <w:rPr>
          <w:rFonts w:ascii="Arial" w:hAnsi="Arial" w:cs="Arial"/>
          <w:i/>
          <w:sz w:val="20"/>
          <w:szCs w:val="20"/>
        </w:rPr>
        <w:t>Fishing</w:t>
      </w:r>
      <w:proofErr w:type="spellEnd"/>
      <w:r w:rsidRPr="00700FB4">
        <w:rPr>
          <w:rFonts w:ascii="Arial" w:hAnsi="Arial" w:cs="Arial"/>
          <w:i/>
          <w:sz w:val="20"/>
          <w:szCs w:val="20"/>
        </w:rPr>
        <w:t xml:space="preserve"> </w:t>
      </w:r>
      <w:proofErr w:type="spellStart"/>
      <w:r w:rsidRPr="00700FB4">
        <w:rPr>
          <w:rFonts w:ascii="Arial" w:hAnsi="Arial" w:cs="Arial"/>
          <w:i/>
          <w:sz w:val="20"/>
          <w:szCs w:val="20"/>
        </w:rPr>
        <w:t>Vessels</w:t>
      </w:r>
      <w:proofErr w:type="spellEnd"/>
      <w:r w:rsidRPr="00700FB4">
        <w:rPr>
          <w:rFonts w:ascii="Arial" w:hAnsi="Arial" w:cs="Arial"/>
          <w:i/>
          <w:sz w:val="20"/>
          <w:szCs w:val="20"/>
        </w:rPr>
        <w:t xml:space="preserve"> </w:t>
      </w:r>
      <w:proofErr w:type="spellStart"/>
      <w:r w:rsidRPr="00700FB4">
        <w:rPr>
          <w:rFonts w:ascii="Arial" w:hAnsi="Arial" w:cs="Arial"/>
          <w:i/>
          <w:sz w:val="20"/>
          <w:szCs w:val="20"/>
        </w:rPr>
        <w:t>on</w:t>
      </w:r>
      <w:proofErr w:type="spellEnd"/>
      <w:r w:rsidRPr="00700FB4">
        <w:rPr>
          <w:rFonts w:ascii="Arial" w:hAnsi="Arial" w:cs="Arial"/>
          <w:i/>
          <w:sz w:val="20"/>
          <w:szCs w:val="20"/>
        </w:rPr>
        <w:t xml:space="preserve"> </w:t>
      </w:r>
      <w:proofErr w:type="spellStart"/>
      <w:r w:rsidRPr="00700FB4">
        <w:rPr>
          <w:rFonts w:ascii="Arial" w:hAnsi="Arial" w:cs="Arial"/>
          <w:i/>
          <w:sz w:val="20"/>
          <w:szCs w:val="20"/>
        </w:rPr>
        <w:t>the</w:t>
      </w:r>
      <w:proofErr w:type="spellEnd"/>
      <w:r w:rsidRPr="00700FB4">
        <w:rPr>
          <w:rFonts w:ascii="Arial" w:hAnsi="Arial" w:cs="Arial"/>
          <w:i/>
          <w:sz w:val="20"/>
          <w:szCs w:val="20"/>
        </w:rPr>
        <w:t xml:space="preserve"> </w:t>
      </w:r>
      <w:proofErr w:type="spellStart"/>
      <w:r w:rsidRPr="00700FB4">
        <w:rPr>
          <w:rFonts w:ascii="Arial" w:hAnsi="Arial" w:cs="Arial"/>
          <w:i/>
          <w:sz w:val="20"/>
          <w:szCs w:val="20"/>
        </w:rPr>
        <w:t>High</w:t>
      </w:r>
      <w:proofErr w:type="spellEnd"/>
      <w:r w:rsidRPr="00700FB4">
        <w:rPr>
          <w:rFonts w:ascii="Arial" w:hAnsi="Arial" w:cs="Arial"/>
          <w:i/>
          <w:sz w:val="20"/>
          <w:szCs w:val="20"/>
        </w:rPr>
        <w:t xml:space="preserve"> </w:t>
      </w:r>
      <w:proofErr w:type="spellStart"/>
      <w:r w:rsidRPr="00700FB4">
        <w:rPr>
          <w:rFonts w:ascii="Arial" w:hAnsi="Arial" w:cs="Arial"/>
          <w:i/>
          <w:sz w:val="20"/>
          <w:szCs w:val="20"/>
        </w:rPr>
        <w:t>Seas</w:t>
      </w:r>
      <w:proofErr w:type="spellEnd"/>
      <w:r w:rsidRPr="00700FB4">
        <w:rPr>
          <w:rFonts w:ascii="Arial" w:hAnsi="Arial" w:cs="Arial"/>
          <w:sz w:val="20"/>
          <w:szCs w:val="20"/>
        </w:rPr>
        <w:t xml:space="preserve">) un Atbildīgas zivsaimniecības rīcības kodekss (angļu val. – </w:t>
      </w:r>
      <w:r w:rsidRPr="00700FB4">
        <w:rPr>
          <w:rFonts w:ascii="Arial" w:hAnsi="Arial" w:cs="Arial"/>
          <w:i/>
          <w:sz w:val="20"/>
          <w:szCs w:val="20"/>
        </w:rPr>
        <w:t xml:space="preserve">Code </w:t>
      </w:r>
      <w:proofErr w:type="spellStart"/>
      <w:r w:rsidRPr="00700FB4">
        <w:rPr>
          <w:rFonts w:ascii="Arial" w:hAnsi="Arial" w:cs="Arial"/>
          <w:i/>
          <w:sz w:val="20"/>
          <w:szCs w:val="20"/>
        </w:rPr>
        <w:t>of</w:t>
      </w:r>
      <w:proofErr w:type="spellEnd"/>
      <w:r w:rsidRPr="00700FB4">
        <w:rPr>
          <w:rFonts w:ascii="Arial" w:hAnsi="Arial" w:cs="Arial"/>
          <w:i/>
          <w:sz w:val="20"/>
          <w:szCs w:val="20"/>
        </w:rPr>
        <w:t xml:space="preserve"> </w:t>
      </w:r>
      <w:proofErr w:type="spellStart"/>
      <w:r w:rsidRPr="00700FB4">
        <w:rPr>
          <w:rFonts w:ascii="Arial" w:hAnsi="Arial" w:cs="Arial"/>
          <w:i/>
          <w:sz w:val="20"/>
          <w:szCs w:val="20"/>
        </w:rPr>
        <w:t>Conduct</w:t>
      </w:r>
      <w:proofErr w:type="spellEnd"/>
      <w:r w:rsidRPr="00700FB4">
        <w:rPr>
          <w:rFonts w:ascii="Arial" w:hAnsi="Arial" w:cs="Arial"/>
          <w:i/>
          <w:sz w:val="20"/>
          <w:szCs w:val="20"/>
        </w:rPr>
        <w:t xml:space="preserve"> </w:t>
      </w:r>
      <w:proofErr w:type="spellStart"/>
      <w:r w:rsidRPr="00700FB4">
        <w:rPr>
          <w:rFonts w:ascii="Arial" w:hAnsi="Arial" w:cs="Arial"/>
          <w:i/>
          <w:sz w:val="20"/>
          <w:szCs w:val="20"/>
        </w:rPr>
        <w:t>for</w:t>
      </w:r>
      <w:proofErr w:type="spellEnd"/>
      <w:r w:rsidRPr="00700FB4">
        <w:rPr>
          <w:rFonts w:ascii="Arial" w:hAnsi="Arial" w:cs="Arial"/>
          <w:i/>
          <w:sz w:val="20"/>
          <w:szCs w:val="20"/>
        </w:rPr>
        <w:t xml:space="preserve"> </w:t>
      </w:r>
      <w:proofErr w:type="spellStart"/>
      <w:r w:rsidRPr="00700FB4">
        <w:rPr>
          <w:rFonts w:ascii="Arial" w:hAnsi="Arial" w:cs="Arial"/>
          <w:i/>
          <w:sz w:val="20"/>
          <w:szCs w:val="20"/>
        </w:rPr>
        <w:t>Responsible</w:t>
      </w:r>
      <w:proofErr w:type="spellEnd"/>
      <w:r w:rsidRPr="00700FB4">
        <w:rPr>
          <w:rFonts w:ascii="Arial" w:hAnsi="Arial" w:cs="Arial"/>
          <w:i/>
          <w:sz w:val="20"/>
          <w:szCs w:val="20"/>
        </w:rPr>
        <w:t xml:space="preserve"> </w:t>
      </w:r>
      <w:proofErr w:type="spellStart"/>
      <w:r w:rsidRPr="00700FB4">
        <w:rPr>
          <w:rFonts w:ascii="Arial" w:hAnsi="Arial" w:cs="Arial"/>
          <w:i/>
          <w:sz w:val="20"/>
          <w:szCs w:val="20"/>
        </w:rPr>
        <w:t>Fisheries</w:t>
      </w:r>
      <w:proofErr w:type="spellEnd"/>
      <w:r w:rsidRPr="00700FB4">
        <w:rPr>
          <w:rFonts w:ascii="Arial" w:hAnsi="Arial" w:cs="Arial"/>
          <w:sz w:val="20"/>
          <w:szCs w:val="20"/>
        </w:rPr>
        <w:t>), kas nosaka atbildīgas zvejas un zivsaimniecības aktivitāšu principus, nacionālās politikas izstrādes un ieviešanas principus un kritērijus attiecībā uz zivsaimniecības resursu aizsardzību un zivsaimniecības pārvaldību un attīstību.</w:t>
      </w:r>
    </w:p>
    <w:p w:rsidR="00E07984" w:rsidRPr="00700FB4" w:rsidRDefault="00E07984" w:rsidP="00126EEA">
      <w:pPr>
        <w:pStyle w:val="NoSpacing"/>
        <w:jc w:val="both"/>
        <w:rPr>
          <w:rFonts w:ascii="Arial" w:hAnsi="Arial" w:cs="Arial"/>
          <w:sz w:val="20"/>
          <w:szCs w:val="20"/>
        </w:rPr>
      </w:pPr>
      <w:bookmarkStart w:id="27" w:name="_Toc456031650"/>
    </w:p>
    <w:p w:rsidR="00126EEA" w:rsidRPr="00700FB4" w:rsidRDefault="00E07984" w:rsidP="00665269">
      <w:pPr>
        <w:pStyle w:val="Heading2"/>
      </w:pPr>
      <w:bookmarkStart w:id="28" w:name="_Toc460402340"/>
      <w:r w:rsidRPr="00700FB4">
        <w:t xml:space="preserve">[3.3] </w:t>
      </w:r>
      <w:r w:rsidR="00126EEA" w:rsidRPr="00700FB4">
        <w:t>Kuģošana</w:t>
      </w:r>
      <w:bookmarkEnd w:id="27"/>
      <w:bookmarkEnd w:id="28"/>
    </w:p>
    <w:p w:rsidR="00126EEA" w:rsidRPr="00700FB4" w:rsidRDefault="00126EEA" w:rsidP="00126EEA">
      <w:pPr>
        <w:pStyle w:val="NoSpacing"/>
        <w:jc w:val="both"/>
        <w:rPr>
          <w:rFonts w:ascii="Arial" w:hAnsi="Arial" w:cs="Arial"/>
          <w:sz w:val="20"/>
          <w:szCs w:val="20"/>
        </w:rPr>
      </w:pPr>
      <w:r w:rsidRPr="00700FB4">
        <w:rPr>
          <w:rFonts w:ascii="Arial" w:hAnsi="Arial" w:cs="Arial"/>
          <w:sz w:val="20"/>
          <w:szCs w:val="20"/>
        </w:rPr>
        <w:t xml:space="preserve">Viena no pamatbrīvībām, kas noteikta </w:t>
      </w:r>
      <w:r w:rsidR="00BB7186" w:rsidRPr="00700FB4">
        <w:rPr>
          <w:rFonts w:ascii="Arial" w:hAnsi="Arial" w:cs="Arial"/>
          <w:sz w:val="20"/>
          <w:szCs w:val="20"/>
        </w:rPr>
        <w:t>Jūras konvencijā</w:t>
      </w:r>
      <w:r w:rsidRPr="00700FB4">
        <w:rPr>
          <w:rFonts w:ascii="Arial" w:hAnsi="Arial" w:cs="Arial"/>
          <w:sz w:val="20"/>
          <w:szCs w:val="20"/>
        </w:rPr>
        <w:t xml:space="preserve">, ir kuģošanas un pārlidojumu brīvība </w:t>
      </w:r>
      <w:r w:rsidR="002842BE" w:rsidRPr="00700FB4">
        <w:rPr>
          <w:rFonts w:ascii="Arial" w:hAnsi="Arial" w:cs="Arial"/>
          <w:sz w:val="20"/>
          <w:szCs w:val="20"/>
        </w:rPr>
        <w:t xml:space="preserve">Ekskluzīvajā </w:t>
      </w:r>
      <w:r w:rsidRPr="00700FB4">
        <w:rPr>
          <w:rFonts w:ascii="Arial" w:hAnsi="Arial" w:cs="Arial"/>
          <w:sz w:val="20"/>
          <w:szCs w:val="20"/>
        </w:rPr>
        <w:t xml:space="preserve">zonā. Realizējot kuģošanas brīvību, ir jāievēro citu valstu tiesības, piemēram, ārvalstu kuģu navigāciju </w:t>
      </w:r>
      <w:r w:rsidR="002842BE" w:rsidRPr="00700FB4">
        <w:rPr>
          <w:rFonts w:ascii="Arial" w:hAnsi="Arial" w:cs="Arial"/>
          <w:sz w:val="20"/>
          <w:szCs w:val="20"/>
        </w:rPr>
        <w:t xml:space="preserve">Ekskluzīvajā </w:t>
      </w:r>
      <w:r w:rsidRPr="00700FB4">
        <w:rPr>
          <w:rFonts w:ascii="Arial" w:hAnsi="Arial" w:cs="Arial"/>
          <w:sz w:val="20"/>
          <w:szCs w:val="20"/>
        </w:rPr>
        <w:t>zonā var ierobežot ar piekrastes valsts normatīvajiem aktiem.</w:t>
      </w:r>
    </w:p>
    <w:p w:rsidR="00E07984" w:rsidRPr="00700FB4" w:rsidRDefault="00E07984" w:rsidP="00126EEA">
      <w:pPr>
        <w:pStyle w:val="NoSpacing"/>
        <w:jc w:val="both"/>
        <w:rPr>
          <w:rFonts w:ascii="Arial" w:hAnsi="Arial" w:cs="Arial"/>
          <w:sz w:val="20"/>
          <w:szCs w:val="20"/>
        </w:rPr>
      </w:pPr>
    </w:p>
    <w:p w:rsidR="00126EEA" w:rsidRPr="00700FB4" w:rsidRDefault="00126EEA" w:rsidP="00126EEA">
      <w:pPr>
        <w:pStyle w:val="NoSpacing"/>
        <w:jc w:val="both"/>
        <w:rPr>
          <w:rFonts w:ascii="Arial" w:hAnsi="Arial" w:cs="Arial"/>
          <w:sz w:val="20"/>
          <w:szCs w:val="20"/>
        </w:rPr>
      </w:pPr>
      <w:r w:rsidRPr="00700FB4">
        <w:rPr>
          <w:rFonts w:ascii="Arial" w:hAnsi="Arial" w:cs="Arial"/>
          <w:sz w:val="20"/>
          <w:szCs w:val="20"/>
        </w:rPr>
        <w:t xml:space="preserve">Piekrastes valsts saskaņā ar </w:t>
      </w:r>
      <w:r w:rsidR="00BB7186" w:rsidRPr="00700FB4">
        <w:rPr>
          <w:rFonts w:ascii="Arial" w:hAnsi="Arial" w:cs="Arial"/>
          <w:sz w:val="20"/>
          <w:szCs w:val="20"/>
        </w:rPr>
        <w:t xml:space="preserve">Jūras konvencijas </w:t>
      </w:r>
      <w:r w:rsidRPr="00700FB4">
        <w:rPr>
          <w:rFonts w:ascii="Arial" w:hAnsi="Arial" w:cs="Arial"/>
          <w:sz w:val="20"/>
          <w:szCs w:val="20"/>
        </w:rPr>
        <w:t>21.panta pirmo daļu var pieņemt likumus un noteikumus, kas attiecas uz mierīgu caurbraukšanu pa teritoriālo jūru, cita starpā attiecībā uz kuģošanas drošību un kuģu kustības regulēšanu. Ar caurbraukšanu saprot braukšanu pa teritoriālo jūru nolūkā šķērsot šo jūru, neieejot iekšējos ūdeņos vai nestāvot reidā vai pie ostas būves ārpus iekšējiem ūdeņiem un ieiet iekšējos ūdeņos vai iziet no tiem, vai apstāties tādā reidā vai pie tādas ostas būves. Caurbraukšanai jābūt nepārtrauktai un ātrai. Tomēr caurbraukšanā ir iekļauta arī apstāšanās un noenkurota stāvēšana tiktāl, ciktāl tā ir saistīta ar parastām navigācijas operācijām, vai nepārvaramu varu vai kuģa katastrofu, vai arī ar mērķi sniegt palīdzību personām, kuģiem vai gaisa kuģiem, kas atrodas briesmās vai ir cietuši kuģa katastrofā.</w:t>
      </w:r>
    </w:p>
    <w:p w:rsidR="00E07984" w:rsidRPr="00700FB4" w:rsidRDefault="00E07984" w:rsidP="00126EEA">
      <w:pPr>
        <w:pStyle w:val="NoSpacing"/>
        <w:jc w:val="both"/>
        <w:rPr>
          <w:rFonts w:ascii="Arial" w:hAnsi="Arial" w:cs="Arial"/>
          <w:sz w:val="20"/>
          <w:szCs w:val="20"/>
        </w:rPr>
      </w:pPr>
    </w:p>
    <w:p w:rsidR="00126EEA" w:rsidRPr="00700FB4" w:rsidRDefault="00126EEA" w:rsidP="00126EEA">
      <w:pPr>
        <w:pStyle w:val="NoSpacing"/>
        <w:jc w:val="both"/>
        <w:rPr>
          <w:rFonts w:ascii="Arial" w:hAnsi="Arial" w:cs="Arial"/>
          <w:sz w:val="20"/>
          <w:szCs w:val="20"/>
        </w:rPr>
      </w:pPr>
      <w:r w:rsidRPr="00700FB4">
        <w:rPr>
          <w:rFonts w:ascii="Arial" w:hAnsi="Arial" w:cs="Arial"/>
          <w:sz w:val="20"/>
          <w:szCs w:val="20"/>
        </w:rPr>
        <w:t xml:space="preserve">Caurbraukšanas laikā tiek saglabāta kuģa karoga valsts jurisdikcija, taču tai pašā laikā ārvalsts kuģim ir jāpakļaujas </w:t>
      </w:r>
      <w:r w:rsidR="00BB7186" w:rsidRPr="00700FB4">
        <w:rPr>
          <w:rFonts w:ascii="Arial" w:hAnsi="Arial" w:cs="Arial"/>
          <w:sz w:val="20"/>
          <w:szCs w:val="20"/>
        </w:rPr>
        <w:t xml:space="preserve">Jūras konvencijā </w:t>
      </w:r>
      <w:r w:rsidRPr="00700FB4">
        <w:rPr>
          <w:rFonts w:ascii="Arial" w:hAnsi="Arial" w:cs="Arial"/>
          <w:sz w:val="20"/>
          <w:szCs w:val="20"/>
        </w:rPr>
        <w:t>un citās starptautisko tiesību normās noteiktajām, kā arī piekrastes valsts, pa kuras teritoriālo jūru tas brauc, prasībām, izņemot, ja tās liedz praktiski izmantot miermīlīgas caurbraukšanas tiesības.</w:t>
      </w:r>
    </w:p>
    <w:p w:rsidR="00E07984" w:rsidRPr="00700FB4" w:rsidRDefault="00E07984" w:rsidP="00126EEA">
      <w:pPr>
        <w:pStyle w:val="NoSpacing"/>
        <w:jc w:val="both"/>
        <w:rPr>
          <w:rFonts w:ascii="Arial" w:hAnsi="Arial" w:cs="Arial"/>
          <w:sz w:val="20"/>
          <w:szCs w:val="20"/>
        </w:rPr>
      </w:pPr>
    </w:p>
    <w:p w:rsidR="00126EEA" w:rsidRPr="00700FB4" w:rsidRDefault="00126EEA" w:rsidP="00126EEA">
      <w:pPr>
        <w:pStyle w:val="NoSpacing"/>
        <w:jc w:val="both"/>
        <w:rPr>
          <w:rFonts w:ascii="Arial" w:hAnsi="Arial" w:cs="Arial"/>
          <w:sz w:val="20"/>
          <w:szCs w:val="20"/>
        </w:rPr>
      </w:pPr>
      <w:r w:rsidRPr="00700FB4">
        <w:rPr>
          <w:rFonts w:ascii="Arial" w:hAnsi="Arial" w:cs="Arial"/>
          <w:sz w:val="20"/>
          <w:szCs w:val="20"/>
        </w:rPr>
        <w:t>Kā minēts iepriekš, miermīlīgas caurbraukšanas tiesības ir nostiprinātas ANO Starptautiskās tiesas praksē</w:t>
      </w:r>
      <w:r w:rsidR="00E07984" w:rsidRPr="00700FB4">
        <w:rPr>
          <w:rFonts w:ascii="Arial" w:hAnsi="Arial" w:cs="Arial"/>
          <w:sz w:val="20"/>
          <w:szCs w:val="20"/>
        </w:rPr>
        <w:t xml:space="preserve">. Proti, </w:t>
      </w:r>
      <w:r w:rsidRPr="00700FB4">
        <w:rPr>
          <w:rFonts w:ascii="Arial" w:hAnsi="Arial" w:cs="Arial"/>
          <w:sz w:val="20"/>
          <w:szCs w:val="20"/>
        </w:rPr>
        <w:t>Korfu kanāla lietā</w:t>
      </w:r>
      <w:r w:rsidRPr="00700FB4">
        <w:rPr>
          <w:rStyle w:val="FootnoteReference"/>
          <w:rFonts w:ascii="Arial" w:hAnsi="Arial" w:cs="Arial"/>
          <w:sz w:val="20"/>
          <w:szCs w:val="20"/>
        </w:rPr>
        <w:footnoteReference w:id="72"/>
      </w:r>
      <w:r w:rsidRPr="00700FB4">
        <w:rPr>
          <w:rFonts w:ascii="Arial" w:hAnsi="Arial" w:cs="Arial"/>
          <w:sz w:val="20"/>
          <w:szCs w:val="20"/>
        </w:rPr>
        <w:t xml:space="preserve"> tika atzīts, ka valstīm ir tiesības sūtīt savus kuģus (gan kara kuģus miera laikā, gan tirdzniecības kuģus) caur jūras šaurumiem, kas tiek izmantoti starptautiskajai navigācijai starp divām atklātām jūrām bez iepriekšējas piekrastes valsts piekrišanas, ja šī caurbraukšana ir miermīlīga. Tātad piekrastes valstīm nav tiesību aizliegt miermīlīgu caurbraukšanu. Šī atziņa vēlāk tika nostiprināta </w:t>
      </w:r>
      <w:r w:rsidR="00BB7186" w:rsidRPr="00700FB4">
        <w:rPr>
          <w:rFonts w:ascii="Arial" w:hAnsi="Arial" w:cs="Arial"/>
          <w:sz w:val="20"/>
          <w:szCs w:val="20"/>
        </w:rPr>
        <w:t xml:space="preserve">Jūras konvencijas </w:t>
      </w:r>
      <w:r w:rsidRPr="00700FB4">
        <w:rPr>
          <w:rFonts w:ascii="Arial" w:hAnsi="Arial" w:cs="Arial"/>
          <w:sz w:val="20"/>
          <w:szCs w:val="20"/>
        </w:rPr>
        <w:t xml:space="preserve">37. un 45.pantā, paplašinot miermīlīgas caurbraukšanas tiesības arī līdz </w:t>
      </w:r>
      <w:r w:rsidR="00840ADB" w:rsidRPr="00700FB4">
        <w:rPr>
          <w:rFonts w:ascii="Arial" w:hAnsi="Arial" w:cs="Arial"/>
          <w:sz w:val="20"/>
          <w:szCs w:val="20"/>
        </w:rPr>
        <w:t xml:space="preserve">Ekskluzīvajai </w:t>
      </w:r>
      <w:r w:rsidRPr="00700FB4">
        <w:rPr>
          <w:rFonts w:ascii="Arial" w:hAnsi="Arial" w:cs="Arial"/>
          <w:sz w:val="20"/>
          <w:szCs w:val="20"/>
        </w:rPr>
        <w:t>zonai.</w:t>
      </w:r>
      <w:r w:rsidRPr="00700FB4">
        <w:rPr>
          <w:rStyle w:val="FootnoteReference"/>
          <w:rFonts w:ascii="Arial" w:hAnsi="Arial" w:cs="Arial"/>
          <w:sz w:val="20"/>
          <w:szCs w:val="20"/>
        </w:rPr>
        <w:footnoteReference w:id="73"/>
      </w:r>
      <w:r w:rsidRPr="00700FB4">
        <w:rPr>
          <w:rFonts w:ascii="Arial" w:hAnsi="Arial" w:cs="Arial"/>
          <w:sz w:val="20"/>
          <w:szCs w:val="20"/>
        </w:rPr>
        <w:t xml:space="preserve"> Korfu kanāla lietas spriedums ir piemērojams ne tikai attiecībā uz jūras šaurumiem, jo tajā tiesa definēja “miermīlīguma” jēdzienu, nosakot, ka izšķirošais kritērijs ir caurbraukšanas veids (angļu val. – </w:t>
      </w:r>
      <w:proofErr w:type="spellStart"/>
      <w:r w:rsidRPr="00700FB4">
        <w:rPr>
          <w:rFonts w:ascii="Arial" w:hAnsi="Arial" w:cs="Arial"/>
          <w:i/>
          <w:sz w:val="20"/>
          <w:szCs w:val="20"/>
        </w:rPr>
        <w:t>manner</w:t>
      </w:r>
      <w:proofErr w:type="spellEnd"/>
      <w:r w:rsidRPr="00700FB4">
        <w:rPr>
          <w:rFonts w:ascii="Arial" w:hAnsi="Arial" w:cs="Arial"/>
          <w:i/>
          <w:sz w:val="20"/>
          <w:szCs w:val="20"/>
        </w:rPr>
        <w:t xml:space="preserve"> </w:t>
      </w:r>
      <w:proofErr w:type="spellStart"/>
      <w:r w:rsidRPr="00700FB4">
        <w:rPr>
          <w:rFonts w:ascii="Arial" w:hAnsi="Arial" w:cs="Arial"/>
          <w:i/>
          <w:sz w:val="20"/>
          <w:szCs w:val="20"/>
        </w:rPr>
        <w:t>of</w:t>
      </w:r>
      <w:proofErr w:type="spellEnd"/>
      <w:r w:rsidRPr="00700FB4">
        <w:rPr>
          <w:rFonts w:ascii="Arial" w:hAnsi="Arial" w:cs="Arial"/>
          <w:i/>
          <w:sz w:val="20"/>
          <w:szCs w:val="20"/>
        </w:rPr>
        <w:t xml:space="preserve"> </w:t>
      </w:r>
      <w:proofErr w:type="spellStart"/>
      <w:r w:rsidRPr="00700FB4">
        <w:rPr>
          <w:rFonts w:ascii="Arial" w:hAnsi="Arial" w:cs="Arial"/>
          <w:i/>
          <w:sz w:val="20"/>
          <w:szCs w:val="20"/>
        </w:rPr>
        <w:t>passage</w:t>
      </w:r>
      <w:proofErr w:type="spellEnd"/>
      <w:r w:rsidRPr="00700FB4">
        <w:rPr>
          <w:rFonts w:ascii="Arial" w:hAnsi="Arial" w:cs="Arial"/>
          <w:sz w:val="20"/>
          <w:szCs w:val="20"/>
        </w:rPr>
        <w:t xml:space="preserve">), proti, par miermīlīgu tiek uzskatīta tāda caurbraukšana, kas nerada draudus piekrastes valstij. Šis princips atspoguļots </w:t>
      </w:r>
      <w:r w:rsidR="00BB7186" w:rsidRPr="00700FB4">
        <w:rPr>
          <w:rFonts w:ascii="Arial" w:hAnsi="Arial" w:cs="Arial"/>
          <w:sz w:val="20"/>
          <w:szCs w:val="20"/>
        </w:rPr>
        <w:t xml:space="preserve">Jūras konvencijas </w:t>
      </w:r>
      <w:r w:rsidRPr="00700FB4">
        <w:rPr>
          <w:rFonts w:ascii="Arial" w:hAnsi="Arial" w:cs="Arial"/>
          <w:sz w:val="20"/>
          <w:szCs w:val="20"/>
        </w:rPr>
        <w:t xml:space="preserve">19.panta pirmajā daļā. Tātad, ja ārvalsts kuģis vēršas pret piekrastes valsti ar spēku vai spēka draudiem, ja notiek jebkāda gaisa kuģu pacelšanās, nosēšanās vai uzņemšana uz kuģa borta, ja tiek ievākta informācija par piekrastes valsts aizsardzību, ja tiek izmantoti militāri ieroči, ja tiek veiktas prettiesiskas piesārņojošas darbības, ja tiek veikta neatļauta zvejniecība utt. Arī nesenākā ANO </w:t>
      </w:r>
      <w:r w:rsidRPr="00700FB4">
        <w:rPr>
          <w:rFonts w:ascii="Arial" w:hAnsi="Arial" w:cs="Arial"/>
          <w:sz w:val="20"/>
          <w:szCs w:val="20"/>
        </w:rPr>
        <w:lastRenderedPageBreak/>
        <w:t>Starptautiskās tiesas praksē skaidrota miermīlīgas caurbraukšanas tiesību piemērošanas joma – lietā “Nikaragva pret ASV”</w:t>
      </w:r>
      <w:r w:rsidRPr="00700FB4">
        <w:rPr>
          <w:rStyle w:val="FootnoteReference"/>
          <w:rFonts w:ascii="Arial" w:hAnsi="Arial" w:cs="Arial"/>
          <w:sz w:val="20"/>
          <w:szCs w:val="20"/>
        </w:rPr>
        <w:footnoteReference w:id="74"/>
      </w:r>
      <w:r w:rsidRPr="00700FB4">
        <w:rPr>
          <w:rFonts w:ascii="Arial" w:hAnsi="Arial" w:cs="Arial"/>
          <w:sz w:val="20"/>
          <w:szCs w:val="20"/>
        </w:rPr>
        <w:t xml:space="preserve"> tiesa atzina, ka miermīlīgas caurbraukšanas tiesības teritoriālajā jūrā attiecas arī uz braucieniem no vai uz iekšējiem ūdeņiem, lai piebrauktu pie ostām. Šis princips nostiprināts kā paražu tiesība </w:t>
      </w:r>
      <w:r w:rsidR="00BB7186" w:rsidRPr="00700FB4">
        <w:rPr>
          <w:rFonts w:ascii="Arial" w:hAnsi="Arial" w:cs="Arial"/>
          <w:sz w:val="20"/>
          <w:szCs w:val="20"/>
        </w:rPr>
        <w:t xml:space="preserve">Jūras konvencijas </w:t>
      </w:r>
      <w:r w:rsidRPr="00700FB4">
        <w:rPr>
          <w:rFonts w:ascii="Arial" w:hAnsi="Arial" w:cs="Arial"/>
          <w:sz w:val="20"/>
          <w:szCs w:val="20"/>
        </w:rPr>
        <w:t>18.panta pirmās daļas “b” apakšpunktā. Lietā “Katara pret Bahreinu”</w:t>
      </w:r>
      <w:r w:rsidRPr="00700FB4">
        <w:rPr>
          <w:rStyle w:val="FootnoteReference"/>
          <w:rFonts w:ascii="Arial" w:hAnsi="Arial" w:cs="Arial"/>
          <w:sz w:val="20"/>
          <w:szCs w:val="20"/>
        </w:rPr>
        <w:footnoteReference w:id="75"/>
      </w:r>
      <w:r w:rsidRPr="00700FB4">
        <w:rPr>
          <w:rFonts w:ascii="Arial" w:hAnsi="Arial" w:cs="Arial"/>
          <w:sz w:val="20"/>
          <w:szCs w:val="20"/>
        </w:rPr>
        <w:t xml:space="preserve"> miermīlīgas caurbraukšanas princips tika atkārtoti nostiprināts.</w:t>
      </w:r>
    </w:p>
    <w:p w:rsidR="00E07984" w:rsidRPr="00700FB4" w:rsidRDefault="00E07984" w:rsidP="00126EEA">
      <w:pPr>
        <w:pStyle w:val="NoSpacing"/>
        <w:jc w:val="both"/>
        <w:rPr>
          <w:rFonts w:ascii="Arial" w:hAnsi="Arial" w:cs="Arial"/>
          <w:sz w:val="20"/>
          <w:szCs w:val="20"/>
        </w:rPr>
      </w:pPr>
    </w:p>
    <w:p w:rsidR="00126EEA" w:rsidRPr="00700FB4" w:rsidRDefault="00126EEA" w:rsidP="00126EEA">
      <w:pPr>
        <w:pStyle w:val="NoSpacing"/>
        <w:jc w:val="both"/>
        <w:rPr>
          <w:rFonts w:ascii="Arial" w:hAnsi="Arial" w:cs="Arial"/>
          <w:sz w:val="20"/>
          <w:szCs w:val="20"/>
        </w:rPr>
      </w:pPr>
      <w:r w:rsidRPr="00700FB4">
        <w:rPr>
          <w:rFonts w:ascii="Arial" w:hAnsi="Arial" w:cs="Arial"/>
          <w:sz w:val="20"/>
          <w:szCs w:val="20"/>
        </w:rPr>
        <w:t xml:space="preserve">Tāpat valstīm jāņem vērā, ka saskaņā ar </w:t>
      </w:r>
      <w:r w:rsidR="00BB7186" w:rsidRPr="00700FB4">
        <w:rPr>
          <w:rFonts w:ascii="Arial" w:hAnsi="Arial" w:cs="Arial"/>
          <w:sz w:val="20"/>
          <w:szCs w:val="20"/>
        </w:rPr>
        <w:t xml:space="preserve">Jūras konvencijas </w:t>
      </w:r>
      <w:r w:rsidRPr="00700FB4">
        <w:rPr>
          <w:rFonts w:ascii="Arial" w:hAnsi="Arial" w:cs="Arial"/>
          <w:sz w:val="20"/>
          <w:szCs w:val="20"/>
        </w:rPr>
        <w:t>24.pantu piekrastes valsts nedrīkst likt šķēršļus ārvalstu kuģu miermīlīgai caurbraukšanai pa teritoriālo jūru, it sevišķi, izvirzīt ārvalstu kuģiem prasības, kuras praktiski liedz miermīlīgas caurbraukšanas tiesības vai pārkāpj šīs tiesības. Tātad nav pieļaujams jūras telpiskajā plānojumā teritoriālās jūras rajonā noteikt tādas prasības, kas praktiski liedz ārvalstu kuģiem realizēt miermīlīgas caurbraukšanas tiesības. Turklāt piekrastes valsts nedrīkst piemērot nekādus maksājumu pienākumus par teritoriālās jūras šķērsošanu. Tāpat piekrastes valstij ir pienākums paziņot par jebkurām tai zināmām kuģošanas briesmām tās teritoriālajā jūrā.</w:t>
      </w:r>
    </w:p>
    <w:p w:rsidR="00E07984" w:rsidRPr="00700FB4" w:rsidRDefault="00E07984" w:rsidP="00126EEA">
      <w:pPr>
        <w:pStyle w:val="NoSpacing"/>
        <w:jc w:val="both"/>
        <w:rPr>
          <w:rFonts w:ascii="Arial" w:hAnsi="Arial" w:cs="Arial"/>
          <w:sz w:val="20"/>
          <w:szCs w:val="20"/>
        </w:rPr>
      </w:pPr>
    </w:p>
    <w:p w:rsidR="00126EEA" w:rsidRPr="00700FB4" w:rsidRDefault="00126EEA" w:rsidP="00126EEA">
      <w:pPr>
        <w:pStyle w:val="NoSpacing"/>
        <w:jc w:val="both"/>
        <w:rPr>
          <w:rFonts w:ascii="Arial" w:hAnsi="Arial" w:cs="Arial"/>
          <w:sz w:val="20"/>
          <w:szCs w:val="20"/>
        </w:rPr>
      </w:pPr>
      <w:r w:rsidRPr="00700FB4">
        <w:rPr>
          <w:rFonts w:ascii="Arial" w:hAnsi="Arial" w:cs="Arial"/>
          <w:sz w:val="20"/>
          <w:szCs w:val="20"/>
        </w:rPr>
        <w:t xml:space="preserve">Nepieciešamības gadījumā saistībā ar kuģošanas drošību atbilstoši </w:t>
      </w:r>
      <w:r w:rsidR="00BB7186" w:rsidRPr="00700FB4">
        <w:rPr>
          <w:rFonts w:ascii="Arial" w:hAnsi="Arial" w:cs="Arial"/>
          <w:sz w:val="20"/>
          <w:szCs w:val="20"/>
        </w:rPr>
        <w:t xml:space="preserve">Jūras konvencijas </w:t>
      </w:r>
      <w:r w:rsidRPr="00700FB4">
        <w:rPr>
          <w:rFonts w:ascii="Arial" w:hAnsi="Arial" w:cs="Arial"/>
          <w:sz w:val="20"/>
          <w:szCs w:val="20"/>
        </w:rPr>
        <w:t xml:space="preserve">22.pantam piekrastes valsts var pieprasīt no ārvalstu kuģiem, kas realizē mierīgas caurbraukšanas tiesības tās teritoriālajā jūrā, lai tie izmanto tādus jūras koridorus un kustību sadales shēmas, kuras tā var norādīt vai ieteikt, lai regulētu kuģu caurbraukšanu. Šādas prasības it īpaši var izvirzīt attiecībā uz tankkuģiem, kuģiem ar kodoldzinējiem un kuģiem, kas pārvadā kodolvielas un citas bīstamas vai indīgas vielas (sk. </w:t>
      </w:r>
      <w:r w:rsidR="00BB7186" w:rsidRPr="00700FB4">
        <w:rPr>
          <w:rFonts w:ascii="Arial" w:hAnsi="Arial" w:cs="Arial"/>
          <w:sz w:val="20"/>
          <w:szCs w:val="20"/>
        </w:rPr>
        <w:t xml:space="preserve">Jūras konvencijas </w:t>
      </w:r>
      <w:r w:rsidRPr="00700FB4">
        <w:rPr>
          <w:rFonts w:ascii="Arial" w:hAnsi="Arial" w:cs="Arial"/>
          <w:sz w:val="20"/>
          <w:szCs w:val="20"/>
        </w:rPr>
        <w:t>23.pantu). Piekrastes valstis skaidri norāda jūras koridorus un kustības sadales shēmas jūras kartēs, kuras noteiktā veidā publicē. Nosakot šos koridorus, piekrastes valstij jāņem vērā kompetentu starptautisko organizāciju rekomendācijas, jebkurus ceļus, kurus parasti izmanto starptautiskajā kuģošanā, konkrētu kuģu un ceļu raksturojumu un kuģu satiksmes intensitāti.</w:t>
      </w:r>
    </w:p>
    <w:p w:rsidR="00E07984" w:rsidRPr="00700FB4" w:rsidRDefault="00E07984" w:rsidP="00126EEA">
      <w:pPr>
        <w:pStyle w:val="NoSpacing"/>
        <w:jc w:val="both"/>
        <w:rPr>
          <w:rFonts w:ascii="Arial" w:hAnsi="Arial" w:cs="Arial"/>
          <w:sz w:val="20"/>
          <w:szCs w:val="20"/>
        </w:rPr>
      </w:pPr>
    </w:p>
    <w:p w:rsidR="00126EEA" w:rsidRPr="00700FB4" w:rsidRDefault="00126EEA" w:rsidP="00126EEA">
      <w:pPr>
        <w:pStyle w:val="NoSpacing"/>
        <w:jc w:val="both"/>
        <w:rPr>
          <w:rFonts w:ascii="Arial" w:hAnsi="Arial" w:cs="Arial"/>
          <w:sz w:val="20"/>
          <w:szCs w:val="20"/>
        </w:rPr>
      </w:pPr>
      <w:r w:rsidRPr="00700FB4">
        <w:rPr>
          <w:rFonts w:ascii="Arial" w:hAnsi="Arial" w:cs="Arial"/>
          <w:b/>
          <w:sz w:val="20"/>
          <w:szCs w:val="20"/>
        </w:rPr>
        <w:t>Starptautiskā konvencija par cilvēku dzīvības aizsardzību uz jūras</w:t>
      </w:r>
      <w:r w:rsidR="00BB7186" w:rsidRPr="00700FB4">
        <w:rPr>
          <w:rFonts w:ascii="Arial" w:hAnsi="Arial" w:cs="Arial"/>
          <w:sz w:val="20"/>
          <w:szCs w:val="20"/>
        </w:rPr>
        <w:t xml:space="preserve"> </w:t>
      </w:r>
      <w:r w:rsidRPr="00700FB4">
        <w:rPr>
          <w:rFonts w:ascii="Arial" w:hAnsi="Arial" w:cs="Arial"/>
          <w:sz w:val="20"/>
          <w:szCs w:val="20"/>
        </w:rPr>
        <w:t>Latvijā stājās spēkā 1992.gada 20.augustā un tās mērķis ir uzlabot cilvēku dzīvības aizsardzību uz jūras, kopīgi nosakot vienotus principus un noteikumus, kas vērsti uz šā mērķa sasniegšanu.</w:t>
      </w:r>
    </w:p>
    <w:p w:rsidR="00E07984" w:rsidRPr="00700FB4" w:rsidRDefault="00E07984" w:rsidP="00126EEA">
      <w:pPr>
        <w:pStyle w:val="NoSpacing"/>
        <w:jc w:val="both"/>
        <w:rPr>
          <w:rFonts w:ascii="Arial" w:hAnsi="Arial" w:cs="Arial"/>
          <w:sz w:val="20"/>
          <w:szCs w:val="20"/>
        </w:rPr>
      </w:pPr>
    </w:p>
    <w:p w:rsidR="00126EEA" w:rsidRPr="00700FB4" w:rsidRDefault="00126EEA" w:rsidP="00126EEA">
      <w:pPr>
        <w:pStyle w:val="NoSpacing"/>
        <w:jc w:val="both"/>
        <w:rPr>
          <w:rFonts w:ascii="Arial" w:hAnsi="Arial" w:cs="Arial"/>
          <w:sz w:val="20"/>
          <w:szCs w:val="20"/>
        </w:rPr>
      </w:pPr>
      <w:r w:rsidRPr="00700FB4">
        <w:rPr>
          <w:rFonts w:ascii="Arial" w:hAnsi="Arial" w:cs="Arial"/>
          <w:sz w:val="20"/>
          <w:szCs w:val="20"/>
        </w:rPr>
        <w:t xml:space="preserve">Kopš 2005.gada 6.oktobra Latvijā spēkā ir </w:t>
      </w:r>
      <w:r w:rsidRPr="00700FB4">
        <w:rPr>
          <w:rFonts w:ascii="Arial" w:hAnsi="Arial" w:cs="Arial"/>
          <w:b/>
          <w:sz w:val="20"/>
          <w:szCs w:val="20"/>
        </w:rPr>
        <w:t>Parīzes Saprašanās memorands par ostas valsts kontroli</w:t>
      </w:r>
      <w:r w:rsidR="00BB7186" w:rsidRPr="00700FB4">
        <w:rPr>
          <w:rFonts w:ascii="Arial" w:hAnsi="Arial" w:cs="Arial"/>
          <w:sz w:val="20"/>
          <w:szCs w:val="20"/>
        </w:rPr>
        <w:t xml:space="preserve">. </w:t>
      </w:r>
      <w:r w:rsidRPr="00700FB4">
        <w:rPr>
          <w:rFonts w:ascii="Arial" w:hAnsi="Arial" w:cs="Arial"/>
          <w:sz w:val="20"/>
          <w:szCs w:val="20"/>
        </w:rPr>
        <w:t xml:space="preserve">Memoranda mērķis ir izskaust starptautiskām prasībām neatbilstošu kuģu kustību, tādejādi paaugstinot kuģošanas drošību un samazinot piesārņojuma risku. Šī mērķa sasniegšanai tiek veiktas regulāras </w:t>
      </w:r>
      <w:r w:rsidR="00BB7186" w:rsidRPr="00700FB4">
        <w:rPr>
          <w:rFonts w:ascii="Arial" w:hAnsi="Arial" w:cs="Arial"/>
          <w:sz w:val="20"/>
          <w:szCs w:val="20"/>
        </w:rPr>
        <w:t xml:space="preserve">Memoranda </w:t>
      </w:r>
      <w:r w:rsidRPr="00700FB4">
        <w:rPr>
          <w:rFonts w:ascii="Arial" w:hAnsi="Arial" w:cs="Arial"/>
          <w:sz w:val="20"/>
          <w:szCs w:val="20"/>
        </w:rPr>
        <w:t xml:space="preserve">dalībvalstu ostās ienākošo ārvalstu kuģu inspekcijas (ostas valsts kontrole). Memoranda struktūra ir pamatā </w:t>
      </w:r>
      <w:r w:rsidRPr="00700FB4">
        <w:rPr>
          <w:rFonts w:ascii="Arial" w:hAnsi="Arial" w:cs="Arial"/>
          <w:b/>
          <w:sz w:val="20"/>
          <w:szCs w:val="20"/>
        </w:rPr>
        <w:t>Direktīvai 2009/16/EK</w:t>
      </w:r>
      <w:r w:rsidRPr="00700FB4">
        <w:rPr>
          <w:rFonts w:ascii="Arial" w:hAnsi="Arial" w:cs="Arial"/>
          <w:sz w:val="20"/>
          <w:szCs w:val="20"/>
        </w:rPr>
        <w:t xml:space="preserve"> (2009.gada 23.aprīlis) par ostas valsts kontroli.</w:t>
      </w:r>
    </w:p>
    <w:p w:rsidR="00E07984" w:rsidRPr="00700FB4" w:rsidRDefault="00E07984" w:rsidP="00126EEA">
      <w:pPr>
        <w:pStyle w:val="NoSpacing"/>
        <w:jc w:val="both"/>
        <w:rPr>
          <w:rFonts w:ascii="Arial" w:hAnsi="Arial" w:cs="Arial"/>
          <w:sz w:val="20"/>
          <w:szCs w:val="20"/>
        </w:rPr>
      </w:pPr>
    </w:p>
    <w:p w:rsidR="00E07984" w:rsidRPr="00700FB4" w:rsidRDefault="00126EEA" w:rsidP="00126EEA">
      <w:pPr>
        <w:pStyle w:val="NoSpacing"/>
        <w:jc w:val="both"/>
        <w:rPr>
          <w:rFonts w:ascii="Arial" w:hAnsi="Arial" w:cs="Arial"/>
          <w:sz w:val="20"/>
          <w:szCs w:val="20"/>
        </w:rPr>
      </w:pPr>
      <w:r w:rsidRPr="00700FB4">
        <w:rPr>
          <w:rFonts w:ascii="Arial" w:hAnsi="Arial" w:cs="Arial"/>
          <w:sz w:val="20"/>
          <w:szCs w:val="20"/>
        </w:rPr>
        <w:t xml:space="preserve">1948.gada 6.martā tika pieņemta </w:t>
      </w:r>
      <w:r w:rsidRPr="00700FB4">
        <w:rPr>
          <w:rFonts w:ascii="Arial" w:hAnsi="Arial" w:cs="Arial"/>
          <w:b/>
          <w:sz w:val="20"/>
          <w:szCs w:val="20"/>
        </w:rPr>
        <w:t>Konvencija par Starptautisko jūrniecības organizāciju</w:t>
      </w:r>
      <w:r w:rsidR="00BB7186" w:rsidRPr="00700FB4">
        <w:rPr>
          <w:rFonts w:ascii="Arial" w:hAnsi="Arial" w:cs="Arial"/>
          <w:sz w:val="20"/>
          <w:szCs w:val="20"/>
        </w:rPr>
        <w:t xml:space="preserve">. </w:t>
      </w:r>
      <w:r w:rsidRPr="00700FB4">
        <w:rPr>
          <w:rFonts w:ascii="Arial" w:hAnsi="Arial" w:cs="Arial"/>
          <w:sz w:val="20"/>
          <w:szCs w:val="20"/>
        </w:rPr>
        <w:t xml:space="preserve">Latvijā tā </w:t>
      </w:r>
      <w:r w:rsidR="00C144DD" w:rsidRPr="00700FB4">
        <w:rPr>
          <w:rFonts w:ascii="Arial" w:hAnsi="Arial" w:cs="Arial"/>
          <w:sz w:val="20"/>
          <w:szCs w:val="20"/>
        </w:rPr>
        <w:t>stājās spēkā</w:t>
      </w:r>
      <w:r w:rsidRPr="00700FB4">
        <w:rPr>
          <w:rFonts w:ascii="Arial" w:hAnsi="Arial" w:cs="Arial"/>
          <w:sz w:val="20"/>
          <w:szCs w:val="20"/>
        </w:rPr>
        <w:t xml:space="preserve"> 1993.gada 12.janvārī. Saskaņā ar </w:t>
      </w:r>
      <w:r w:rsidR="00BB7186" w:rsidRPr="00700FB4">
        <w:rPr>
          <w:rFonts w:ascii="Arial" w:hAnsi="Arial" w:cs="Arial"/>
          <w:sz w:val="20"/>
          <w:szCs w:val="20"/>
        </w:rPr>
        <w:t xml:space="preserve">tās </w:t>
      </w:r>
      <w:r w:rsidRPr="00700FB4">
        <w:rPr>
          <w:rFonts w:ascii="Arial" w:hAnsi="Arial" w:cs="Arial"/>
          <w:sz w:val="20"/>
          <w:szCs w:val="20"/>
        </w:rPr>
        <w:t>1.pantu Starptautiskās jūrniecības organizācijas visaptverošais mērķis ir regulēt kuģošanu: 1) paredzēt mehānismus valdību sadarbībai to noteikumu izstrādes un prakses jomās attiecībā uz visu veidu tehniskām lietām starptautiskajā tirdzniecībā iesaistītajā kuģošanā, atbalstīt un veicināt vispārēju augstāko prakses standartu pieņemšanu jomās, kas saistītas ar kuģošanas drošību, kuģošanas efektivitāti un piesārņojuma no kuģiem profilaksi un kontroli, kā arī risināt administratīvus un juridiskus jautājumus saistībā ar šajā pantā noteiktajiem mērķiem; 2) atbalstīt diskriminējošas attieksmes un valstu valdību noteikto nevajadzīgo ierobežojumu likvidēšanu, kas ietekmē starptautiskajā tirdzniecībā iesaistīto kuģniecību tā, lai veicinātu kuģošanas pakalpojumu pieejamību pasaules tirdzniecībā bez diskriminācijas; 3) iesniegt izskatīšanai organizācijā jautājumus par negodīgiem konkurences ierobežojumiem, ko īsteno kuģošanas koncerni; 4) iesniegt izskatīšanai organizācijā citus jautājumus saistībā ar kuģošanu un kuģošanas ietekmi uz jūras vidi, ko tai var iesniegt citas ANO institūcijas vai specializētās iestādes; 5) paredzēt informācijas apmaiņu valdību starpā par jautājumiem, kas jāizskata organizācijā. Valstīm ir jāievēro Starptautiskās jūrniecības organizācijas pieņemtās rezolūcijas.</w:t>
      </w:r>
    </w:p>
    <w:p w:rsidR="00C144DD" w:rsidRPr="00700FB4" w:rsidRDefault="00C144DD" w:rsidP="00126EEA">
      <w:pPr>
        <w:pStyle w:val="NoSpacing"/>
        <w:jc w:val="both"/>
        <w:rPr>
          <w:rFonts w:ascii="Arial" w:hAnsi="Arial" w:cs="Arial"/>
          <w:sz w:val="20"/>
          <w:szCs w:val="20"/>
        </w:rPr>
      </w:pPr>
    </w:p>
    <w:p w:rsidR="00126EEA" w:rsidRPr="00700FB4" w:rsidRDefault="00126EEA" w:rsidP="00126EEA">
      <w:pPr>
        <w:pStyle w:val="NoSpacing"/>
        <w:jc w:val="both"/>
        <w:rPr>
          <w:rFonts w:ascii="Arial" w:hAnsi="Arial" w:cs="Arial"/>
          <w:sz w:val="20"/>
          <w:szCs w:val="20"/>
        </w:rPr>
      </w:pPr>
      <w:r w:rsidRPr="00700FB4">
        <w:rPr>
          <w:rFonts w:ascii="Arial" w:hAnsi="Arial" w:cs="Arial"/>
          <w:sz w:val="20"/>
          <w:szCs w:val="20"/>
        </w:rPr>
        <w:t xml:space="preserve">1972.gada </w:t>
      </w:r>
      <w:r w:rsidRPr="00700FB4">
        <w:rPr>
          <w:rFonts w:ascii="Arial" w:hAnsi="Arial" w:cs="Arial"/>
          <w:b/>
          <w:sz w:val="20"/>
          <w:szCs w:val="20"/>
        </w:rPr>
        <w:t>Konvencija par starptautiskajiem kuģu sadursmju jūrā novēršanas noteikumiem</w:t>
      </w:r>
      <w:r w:rsidRPr="00700FB4">
        <w:rPr>
          <w:rFonts w:ascii="Arial" w:hAnsi="Arial" w:cs="Arial"/>
          <w:sz w:val="20"/>
          <w:szCs w:val="20"/>
        </w:rPr>
        <w:t xml:space="preserve"> Latvijā stājās spēkā 1992.gada 20.maijā. </w:t>
      </w:r>
      <w:r w:rsidR="00BB7186" w:rsidRPr="00700FB4">
        <w:rPr>
          <w:rFonts w:ascii="Arial" w:hAnsi="Arial" w:cs="Arial"/>
          <w:sz w:val="20"/>
          <w:szCs w:val="20"/>
        </w:rPr>
        <w:t>Tās</w:t>
      </w:r>
      <w:r w:rsidRPr="00700FB4">
        <w:rPr>
          <w:rFonts w:ascii="Arial" w:hAnsi="Arial" w:cs="Arial"/>
          <w:sz w:val="20"/>
          <w:szCs w:val="20"/>
        </w:rPr>
        <w:t xml:space="preserve"> mērķis ir nodrošināt augstu drošības līmeni jūrā</w:t>
      </w:r>
      <w:r w:rsidR="00BB7186" w:rsidRPr="00700FB4">
        <w:rPr>
          <w:rFonts w:ascii="Arial" w:hAnsi="Arial" w:cs="Arial"/>
          <w:sz w:val="20"/>
          <w:szCs w:val="20"/>
        </w:rPr>
        <w:t xml:space="preserve">, un tās </w:t>
      </w:r>
      <w:r w:rsidRPr="00700FB4">
        <w:rPr>
          <w:rFonts w:ascii="Arial" w:hAnsi="Arial" w:cs="Arial"/>
          <w:sz w:val="20"/>
          <w:szCs w:val="20"/>
        </w:rPr>
        <w:t xml:space="preserve">noteikumi attiecas uz visiem kuģiem atklātajā jūrā un ar to </w:t>
      </w:r>
      <w:r w:rsidRPr="00700FB4">
        <w:rPr>
          <w:rFonts w:ascii="Arial" w:hAnsi="Arial" w:cs="Arial"/>
          <w:sz w:val="20"/>
          <w:szCs w:val="20"/>
        </w:rPr>
        <w:lastRenderedPageBreak/>
        <w:t>savienotos ūdeņos, pa kuriem var braukt jūras kuģi, un tie paredz kuģošanas un manevrēšanas noteikumus (kuģa vadīšanai jebkuros redzamības apstākļos, savstarpēji redzamu kuģu vadīšanai, kuģu vadīšanai ierobežotas redzamības apstākļos), noteikumus par ugunīm un zīmēm utt.</w:t>
      </w:r>
    </w:p>
    <w:p w:rsidR="00E07984" w:rsidRPr="00700FB4" w:rsidRDefault="00E07984" w:rsidP="00126EEA">
      <w:pPr>
        <w:pStyle w:val="NoSpacing"/>
        <w:jc w:val="both"/>
        <w:rPr>
          <w:rFonts w:ascii="Arial" w:hAnsi="Arial" w:cs="Arial"/>
          <w:sz w:val="20"/>
          <w:szCs w:val="20"/>
        </w:rPr>
      </w:pPr>
      <w:bookmarkStart w:id="29" w:name="_Toc456031651"/>
    </w:p>
    <w:p w:rsidR="00126EEA" w:rsidRPr="00700FB4" w:rsidRDefault="00E07984" w:rsidP="00665269">
      <w:pPr>
        <w:pStyle w:val="Heading2"/>
      </w:pPr>
      <w:bookmarkStart w:id="30" w:name="_Toc460402341"/>
      <w:r w:rsidRPr="00700FB4">
        <w:t xml:space="preserve">[3.4] </w:t>
      </w:r>
      <w:r w:rsidR="00126EEA" w:rsidRPr="00700FB4">
        <w:t>Enerģētika</w:t>
      </w:r>
      <w:bookmarkEnd w:id="29"/>
      <w:bookmarkEnd w:id="30"/>
    </w:p>
    <w:p w:rsidR="00126EEA" w:rsidRPr="00700FB4" w:rsidRDefault="00126EEA" w:rsidP="00126EEA">
      <w:pPr>
        <w:pStyle w:val="NoSpacing"/>
        <w:jc w:val="both"/>
        <w:rPr>
          <w:rFonts w:ascii="Arial" w:hAnsi="Arial" w:cs="Arial"/>
          <w:sz w:val="20"/>
          <w:szCs w:val="20"/>
        </w:rPr>
      </w:pPr>
      <w:r w:rsidRPr="00700FB4">
        <w:rPr>
          <w:rFonts w:ascii="Arial" w:hAnsi="Arial" w:cs="Arial"/>
          <w:sz w:val="20"/>
          <w:szCs w:val="20"/>
        </w:rPr>
        <w:t xml:space="preserve">Saskaņā ar </w:t>
      </w:r>
      <w:r w:rsidR="00BB7186" w:rsidRPr="00700FB4">
        <w:rPr>
          <w:rFonts w:ascii="Arial" w:hAnsi="Arial" w:cs="Arial"/>
          <w:sz w:val="20"/>
          <w:szCs w:val="20"/>
        </w:rPr>
        <w:t xml:space="preserve">Jūras konvencijā </w:t>
      </w:r>
      <w:r w:rsidRPr="00700FB4">
        <w:rPr>
          <w:rFonts w:ascii="Arial" w:hAnsi="Arial" w:cs="Arial"/>
          <w:sz w:val="20"/>
          <w:szCs w:val="20"/>
        </w:rPr>
        <w:t xml:space="preserve">noteikto </w:t>
      </w:r>
      <w:r w:rsidR="00840ADB" w:rsidRPr="00700FB4">
        <w:rPr>
          <w:rFonts w:ascii="Arial" w:hAnsi="Arial" w:cs="Arial"/>
          <w:sz w:val="20"/>
          <w:szCs w:val="20"/>
        </w:rPr>
        <w:t xml:space="preserve">Ekskluzīvajā </w:t>
      </w:r>
      <w:r w:rsidRPr="00700FB4">
        <w:rPr>
          <w:rFonts w:ascii="Arial" w:hAnsi="Arial" w:cs="Arial"/>
          <w:sz w:val="20"/>
          <w:szCs w:val="20"/>
        </w:rPr>
        <w:t>zonā valstij ir tiesības izpētīt un izmantot, saglabāt un rīkoties ne tikai ar dzīvajiem un nedzīvajiem dabas resursiem ūdeņos, bet arī rīkoties attiecībā uz citām darbībām zonas ekonomiskajā izpētē un ieguvē, tādām kā ūdens, straumju un vēja enerģijas ieguve. Lai to veiktu, piekrastes valstij ir ekskluzīvas tiesības veidot, pilnvarot un regulēt mākslīgo salu, iekārtu un būvju veidošanu, ekspluatāciju un izmantošanu.</w:t>
      </w:r>
    </w:p>
    <w:p w:rsidR="00E07984" w:rsidRPr="00700FB4" w:rsidRDefault="00E07984" w:rsidP="00126EEA">
      <w:pPr>
        <w:pStyle w:val="NoSpacing"/>
        <w:jc w:val="both"/>
        <w:rPr>
          <w:rFonts w:ascii="Arial" w:hAnsi="Arial" w:cs="Arial"/>
          <w:sz w:val="20"/>
          <w:szCs w:val="20"/>
        </w:rPr>
      </w:pPr>
    </w:p>
    <w:p w:rsidR="00126EEA" w:rsidRPr="00700FB4" w:rsidRDefault="00126EEA" w:rsidP="00126EEA">
      <w:pPr>
        <w:pStyle w:val="NoSpacing"/>
        <w:jc w:val="both"/>
        <w:rPr>
          <w:rFonts w:ascii="Arial" w:hAnsi="Arial" w:cs="Arial"/>
          <w:sz w:val="20"/>
          <w:szCs w:val="20"/>
        </w:rPr>
      </w:pPr>
      <w:r w:rsidRPr="00700FB4">
        <w:rPr>
          <w:rFonts w:ascii="Arial" w:hAnsi="Arial" w:cs="Arial"/>
          <w:sz w:val="20"/>
          <w:szCs w:val="20"/>
        </w:rPr>
        <w:t xml:space="preserve">Tāpat </w:t>
      </w:r>
      <w:r w:rsidR="00840ADB" w:rsidRPr="00700FB4">
        <w:rPr>
          <w:rFonts w:ascii="Arial" w:hAnsi="Arial" w:cs="Arial"/>
          <w:sz w:val="20"/>
          <w:szCs w:val="20"/>
        </w:rPr>
        <w:t xml:space="preserve">Ekskluzīvajā </w:t>
      </w:r>
      <w:r w:rsidR="00F161D6" w:rsidRPr="00700FB4">
        <w:rPr>
          <w:rFonts w:ascii="Arial" w:hAnsi="Arial" w:cs="Arial"/>
          <w:sz w:val="20"/>
          <w:szCs w:val="20"/>
        </w:rPr>
        <w:t>zonā visām valstīm cita</w:t>
      </w:r>
      <w:r w:rsidRPr="00700FB4">
        <w:rPr>
          <w:rFonts w:ascii="Arial" w:hAnsi="Arial" w:cs="Arial"/>
          <w:sz w:val="20"/>
          <w:szCs w:val="20"/>
        </w:rPr>
        <w:t>starp ir noteiktas arī tiesības vilkt zemūdens cauruļvadus un kabeļus. Piekrastes valstij ir ekskluzīva jurisdikcija pār šādām mākslīgajām salām, iekārtām un būvēm, ieskaitot jurisdikciju attiecībā uz muitas, finanšu, veselības, drošības un imigrācijas likumiem un noteikumiem. Tai pašā laikā valstij ir jāveic arī piesārņojuma kontrole, un mākslīgās salas un citas izveidotās iekārtas nedrīkst traucēt starptautiskajai kuģošanai. Par mākslīgo salu, iekārtu un būvju veidošanu ir informējamas pārējās valstis, un patstāvīgie brīdināšanas līdzekļi par veidojumu atrašanos vienmēr jāuztur darba kārtībā. Jebkuras iekārtas vai būves, kas ir pamestas vai netiek izmantotas, ir likvidējamas, lai nodrošinātu kuģošanas drošību. Par pilnībā nelikvidētu iekārtu vai būvju dziļumu, atrašanās vietu un izmēriem ir jāinformē.</w:t>
      </w:r>
    </w:p>
    <w:p w:rsidR="00E07984" w:rsidRPr="00700FB4" w:rsidRDefault="00E07984" w:rsidP="00126EEA">
      <w:pPr>
        <w:pStyle w:val="NoSpacing"/>
        <w:jc w:val="both"/>
        <w:rPr>
          <w:rFonts w:ascii="Arial" w:hAnsi="Arial" w:cs="Arial"/>
          <w:sz w:val="20"/>
          <w:szCs w:val="20"/>
        </w:rPr>
      </w:pPr>
    </w:p>
    <w:p w:rsidR="00126EEA" w:rsidRPr="00700FB4" w:rsidRDefault="00126EEA" w:rsidP="00126EEA">
      <w:pPr>
        <w:pStyle w:val="NoSpacing"/>
        <w:jc w:val="both"/>
        <w:rPr>
          <w:rFonts w:ascii="Arial" w:hAnsi="Arial" w:cs="Arial"/>
          <w:sz w:val="20"/>
          <w:szCs w:val="20"/>
        </w:rPr>
      </w:pPr>
      <w:r w:rsidRPr="00700FB4">
        <w:rPr>
          <w:rFonts w:ascii="Arial" w:hAnsi="Arial" w:cs="Arial"/>
          <w:sz w:val="20"/>
          <w:szCs w:val="20"/>
        </w:rPr>
        <w:t>Papildus jānorāda, ka attiecībā uz teritoriālo jūru piekrastes valsts var pieņemt likumus un noteikumus, kas attiecas uz mierīgu caurbraukšanu pa teritoriālo jūru cita starpā attiecībā uz navigācijas līdzekļu un aprīkojuma, kā arī cita aprīkojuma un iekārtu aizsardzību, kabeļu un cauruļvadu aizsardzību.</w:t>
      </w:r>
    </w:p>
    <w:p w:rsidR="00E07984" w:rsidRPr="00700FB4" w:rsidRDefault="00E07984" w:rsidP="00126EEA">
      <w:pPr>
        <w:pStyle w:val="NoSpacing"/>
        <w:jc w:val="both"/>
        <w:rPr>
          <w:rFonts w:ascii="Arial" w:hAnsi="Arial" w:cs="Arial"/>
          <w:sz w:val="20"/>
          <w:szCs w:val="20"/>
        </w:rPr>
      </w:pPr>
    </w:p>
    <w:p w:rsidR="00126EEA" w:rsidRPr="00700FB4" w:rsidRDefault="00126EEA" w:rsidP="00126EEA">
      <w:pPr>
        <w:pStyle w:val="NoSpacing"/>
        <w:jc w:val="both"/>
        <w:rPr>
          <w:rFonts w:ascii="Arial" w:hAnsi="Arial" w:cs="Arial"/>
          <w:sz w:val="20"/>
          <w:szCs w:val="20"/>
        </w:rPr>
      </w:pPr>
      <w:r w:rsidRPr="00700FB4">
        <w:rPr>
          <w:rFonts w:ascii="Arial" w:hAnsi="Arial" w:cs="Arial"/>
          <w:sz w:val="20"/>
          <w:szCs w:val="20"/>
        </w:rPr>
        <w:t xml:space="preserve">1994.gada 17.decembra </w:t>
      </w:r>
      <w:r w:rsidRPr="00700FB4">
        <w:rPr>
          <w:rFonts w:ascii="Arial" w:hAnsi="Arial" w:cs="Arial"/>
          <w:b/>
          <w:sz w:val="20"/>
          <w:szCs w:val="20"/>
        </w:rPr>
        <w:t>Eiropas enerģētikas hartas nolīgums</w:t>
      </w:r>
      <w:r w:rsidRPr="00700FB4">
        <w:rPr>
          <w:rFonts w:ascii="Arial" w:hAnsi="Arial" w:cs="Arial"/>
          <w:sz w:val="20"/>
          <w:szCs w:val="20"/>
        </w:rPr>
        <w:t xml:space="preserve"> izveido daudzpusēju regulējumu pārrobežu sadarbībai enerģētikas nozarē. Nolīgums tika pieņemts, ņemot vērā 1991.gada 17.decembrī Hāgā parakstīto </w:t>
      </w:r>
      <w:r w:rsidRPr="00700FB4">
        <w:rPr>
          <w:rFonts w:ascii="Arial" w:hAnsi="Arial" w:cs="Arial"/>
          <w:b/>
          <w:sz w:val="20"/>
          <w:szCs w:val="20"/>
        </w:rPr>
        <w:t>Eiropas Enerģētikas Hartu</w:t>
      </w:r>
      <w:r w:rsidRPr="00700FB4">
        <w:rPr>
          <w:rFonts w:ascii="Arial" w:hAnsi="Arial" w:cs="Arial"/>
          <w:sz w:val="20"/>
          <w:szCs w:val="20"/>
        </w:rPr>
        <w:t xml:space="preserve">. </w:t>
      </w:r>
      <w:r w:rsidR="00BB7186" w:rsidRPr="00700FB4">
        <w:rPr>
          <w:rFonts w:ascii="Arial" w:hAnsi="Arial" w:cs="Arial"/>
          <w:sz w:val="20"/>
          <w:szCs w:val="20"/>
        </w:rPr>
        <w:t xml:space="preserve">Tā </w:t>
      </w:r>
      <w:r w:rsidRPr="00700FB4">
        <w:rPr>
          <w:rFonts w:ascii="Arial" w:hAnsi="Arial" w:cs="Arial"/>
          <w:sz w:val="20"/>
          <w:szCs w:val="20"/>
        </w:rPr>
        <w:t>mērķis ir noteikt tiesisko pamatu ilgtermiņa sadarbībai enerģētikas jomā. Nolīgums paredz vides tiesībās pazīstamo principu “piesārņotājs maksā”. Tāpat nolīguma puses apņēmušās pievērst īpašu uzmanību cita starpā atjaunojamo energoavotu attīstībai un izmantošanai.</w:t>
      </w:r>
    </w:p>
    <w:p w:rsidR="00E07984" w:rsidRPr="00700FB4" w:rsidRDefault="00E07984" w:rsidP="00126EEA">
      <w:pPr>
        <w:pStyle w:val="NoSpacing"/>
        <w:jc w:val="both"/>
        <w:rPr>
          <w:rFonts w:ascii="Arial" w:hAnsi="Arial" w:cs="Arial"/>
          <w:sz w:val="20"/>
          <w:szCs w:val="20"/>
        </w:rPr>
      </w:pPr>
    </w:p>
    <w:p w:rsidR="00126EEA" w:rsidRPr="00700FB4" w:rsidRDefault="00126EEA" w:rsidP="00126EEA">
      <w:pPr>
        <w:pStyle w:val="NoSpacing"/>
        <w:jc w:val="both"/>
        <w:rPr>
          <w:rFonts w:ascii="Arial" w:hAnsi="Arial" w:cs="Arial"/>
          <w:sz w:val="20"/>
          <w:szCs w:val="20"/>
        </w:rPr>
      </w:pPr>
      <w:r w:rsidRPr="00700FB4">
        <w:rPr>
          <w:rFonts w:ascii="Arial" w:hAnsi="Arial" w:cs="Arial"/>
          <w:sz w:val="20"/>
          <w:szCs w:val="20"/>
        </w:rPr>
        <w:t xml:space="preserve">Šajā </w:t>
      </w:r>
      <w:r w:rsidR="00E17FD4" w:rsidRPr="00700FB4">
        <w:rPr>
          <w:rFonts w:ascii="Arial" w:hAnsi="Arial" w:cs="Arial"/>
          <w:sz w:val="20"/>
          <w:szCs w:val="20"/>
        </w:rPr>
        <w:t xml:space="preserve">apakšnodaļā </w:t>
      </w:r>
      <w:r w:rsidRPr="00700FB4">
        <w:rPr>
          <w:rFonts w:ascii="Arial" w:hAnsi="Arial" w:cs="Arial"/>
          <w:sz w:val="20"/>
          <w:szCs w:val="20"/>
        </w:rPr>
        <w:t xml:space="preserve">būtu jāatzīmē arī iepriekš minētie starptautiskie dokumenti attiecībā uz viena no enerģijas avotiem – naftas – radīto piesārņojumu, piemēram, </w:t>
      </w:r>
      <w:r w:rsidR="00E17FD4" w:rsidRPr="00700FB4">
        <w:rPr>
          <w:rFonts w:ascii="Arial" w:hAnsi="Arial" w:cs="Arial"/>
          <w:sz w:val="20"/>
          <w:szCs w:val="20"/>
        </w:rPr>
        <w:t xml:space="preserve">Kuģa piesārņojuma konvencija. </w:t>
      </w:r>
      <w:r w:rsidRPr="00700FB4">
        <w:rPr>
          <w:rFonts w:ascii="Arial" w:hAnsi="Arial" w:cs="Arial"/>
          <w:sz w:val="20"/>
          <w:szCs w:val="20"/>
        </w:rPr>
        <w:t>Starptautiskā līmenī (izņemot ES) nepastāv konvencijas, kas paredz nosacījumus attiecībā uz atjaunojamo energoresursu izmantošanu.</w:t>
      </w:r>
      <w:r w:rsidRPr="00700FB4">
        <w:rPr>
          <w:rStyle w:val="FootnoteReference"/>
          <w:rFonts w:ascii="Arial" w:hAnsi="Arial" w:cs="Arial"/>
          <w:sz w:val="20"/>
          <w:szCs w:val="20"/>
        </w:rPr>
        <w:footnoteReference w:id="76"/>
      </w:r>
    </w:p>
    <w:p w:rsidR="00126EEA" w:rsidRPr="00700FB4" w:rsidRDefault="00126EEA" w:rsidP="00126EEA">
      <w:pPr>
        <w:pStyle w:val="NoSpacing"/>
        <w:jc w:val="both"/>
        <w:rPr>
          <w:rFonts w:ascii="Arial" w:hAnsi="Arial" w:cs="Arial"/>
          <w:sz w:val="20"/>
          <w:szCs w:val="20"/>
        </w:rPr>
      </w:pPr>
    </w:p>
    <w:p w:rsidR="005044BD" w:rsidRPr="00700FB4" w:rsidRDefault="005044BD">
      <w:pPr>
        <w:rPr>
          <w:rFonts w:ascii="Arial" w:hAnsi="Arial" w:cs="Arial"/>
          <w:sz w:val="20"/>
          <w:szCs w:val="20"/>
        </w:rPr>
      </w:pPr>
      <w:r w:rsidRPr="00700FB4">
        <w:rPr>
          <w:rFonts w:ascii="Arial" w:hAnsi="Arial" w:cs="Arial"/>
          <w:sz w:val="20"/>
          <w:szCs w:val="20"/>
        </w:rPr>
        <w:br w:type="page"/>
      </w:r>
    </w:p>
    <w:p w:rsidR="002B31ED" w:rsidRPr="00700FB4" w:rsidRDefault="005044BD" w:rsidP="00665269">
      <w:pPr>
        <w:pStyle w:val="Heading1"/>
      </w:pPr>
      <w:bookmarkStart w:id="31" w:name="_Toc460402342"/>
      <w:r w:rsidRPr="00700FB4">
        <w:lastRenderedPageBreak/>
        <w:t xml:space="preserve">[4] </w:t>
      </w:r>
      <w:r w:rsidR="002B31ED" w:rsidRPr="00700FB4">
        <w:t>Ietekmes uz vid</w:t>
      </w:r>
      <w:r w:rsidR="00E55EFD" w:rsidRPr="00700FB4">
        <w:t>i novērtējums darbībām jūrā un j</w:t>
      </w:r>
      <w:r w:rsidR="002B31ED" w:rsidRPr="00700FB4">
        <w:t>ūras plānojuma ietekme uz to</w:t>
      </w:r>
      <w:bookmarkEnd w:id="31"/>
    </w:p>
    <w:p w:rsidR="002B31ED" w:rsidRPr="00700FB4" w:rsidRDefault="002B31ED" w:rsidP="002B31ED">
      <w:pPr>
        <w:pStyle w:val="NoSpacing"/>
        <w:jc w:val="both"/>
        <w:rPr>
          <w:rFonts w:ascii="Arial" w:hAnsi="Arial" w:cs="Arial"/>
          <w:sz w:val="20"/>
          <w:szCs w:val="20"/>
        </w:rPr>
      </w:pPr>
    </w:p>
    <w:p w:rsidR="002B31ED" w:rsidRPr="00700FB4" w:rsidRDefault="002B31ED" w:rsidP="002B31ED">
      <w:pPr>
        <w:pStyle w:val="NoSpacing"/>
        <w:jc w:val="both"/>
        <w:rPr>
          <w:rFonts w:ascii="Arial" w:hAnsi="Arial" w:cs="Arial"/>
          <w:sz w:val="20"/>
          <w:szCs w:val="20"/>
        </w:rPr>
      </w:pPr>
      <w:r w:rsidRPr="00700FB4">
        <w:rPr>
          <w:rFonts w:ascii="Arial" w:hAnsi="Arial" w:cs="Arial"/>
          <w:sz w:val="20"/>
          <w:szCs w:val="20"/>
        </w:rPr>
        <w:t xml:space="preserve">Latvijā galvenais normatīvais akts, kurš regulē ar ietekmes uz vidi novērtējumu saistītus jautājumus, ir </w:t>
      </w:r>
      <w:r w:rsidRPr="00700FB4">
        <w:rPr>
          <w:rFonts w:ascii="Arial" w:hAnsi="Arial" w:cs="Arial"/>
          <w:b/>
          <w:sz w:val="20"/>
          <w:szCs w:val="20"/>
        </w:rPr>
        <w:t>likums “Par ietekmes uz vidi novērtējumu”</w:t>
      </w:r>
      <w:r w:rsidRPr="00700FB4">
        <w:rPr>
          <w:rFonts w:ascii="Arial" w:hAnsi="Arial" w:cs="Arial"/>
          <w:sz w:val="20"/>
          <w:szCs w:val="20"/>
        </w:rPr>
        <w:t>. Atbilstoši Vides novērtējuma likumam ir iespējams izdalīt atsevišķi trīs ietekmes uz vidi novērtējumus, kurus veic paredzētajām darbībām</w:t>
      </w:r>
      <w:r w:rsidR="00E676DA" w:rsidRPr="00700FB4">
        <w:rPr>
          <w:rFonts w:ascii="Arial" w:hAnsi="Arial" w:cs="Arial"/>
          <w:sz w:val="20"/>
          <w:szCs w:val="20"/>
        </w:rPr>
        <w:t>,</w:t>
      </w:r>
      <w:r w:rsidRPr="00700FB4">
        <w:rPr>
          <w:rStyle w:val="FootnoteReference"/>
          <w:rFonts w:ascii="Arial" w:hAnsi="Arial" w:cs="Arial"/>
          <w:sz w:val="20"/>
          <w:szCs w:val="20"/>
        </w:rPr>
        <w:footnoteReference w:id="77"/>
      </w:r>
      <w:r w:rsidRPr="00700FB4">
        <w:rPr>
          <w:rFonts w:ascii="Arial" w:hAnsi="Arial" w:cs="Arial"/>
          <w:sz w:val="20"/>
          <w:szCs w:val="20"/>
        </w:rPr>
        <w:t xml:space="preserve"> un vienu, kuru veic attiecībā uz attīstības plānošanas dokumentiem, tai skaitā, bet ne tikai teritorijas attīstības plānošanas dokumentiem.</w:t>
      </w:r>
    </w:p>
    <w:p w:rsidR="002B31ED" w:rsidRPr="00700FB4" w:rsidRDefault="002B31ED" w:rsidP="002B31ED">
      <w:pPr>
        <w:pStyle w:val="NoSpacing"/>
        <w:jc w:val="both"/>
        <w:rPr>
          <w:rFonts w:ascii="Arial" w:hAnsi="Arial" w:cs="Arial"/>
          <w:sz w:val="20"/>
          <w:szCs w:val="20"/>
        </w:rPr>
      </w:pPr>
    </w:p>
    <w:p w:rsidR="002B31ED" w:rsidRPr="00700FB4" w:rsidRDefault="002B31ED" w:rsidP="002B31ED">
      <w:pPr>
        <w:pStyle w:val="NoSpacing"/>
        <w:jc w:val="both"/>
        <w:rPr>
          <w:rFonts w:ascii="Arial" w:hAnsi="Arial" w:cs="Arial"/>
          <w:sz w:val="20"/>
          <w:szCs w:val="20"/>
        </w:rPr>
      </w:pPr>
      <w:r w:rsidRPr="00700FB4">
        <w:rPr>
          <w:rFonts w:ascii="Arial" w:hAnsi="Arial" w:cs="Arial"/>
          <w:sz w:val="20"/>
          <w:szCs w:val="20"/>
        </w:rPr>
        <w:t xml:space="preserve">Attiecībā uz paredzēto darbību īstenošanu var tikt veikts sākotnējais ietekmes uz vidi novērtējums, ietekmes uz vidi novērtējums, kā arī īpašs ietekmes uz vidi novērtējums </w:t>
      </w:r>
      <w:r w:rsidRPr="00700FB4">
        <w:rPr>
          <w:rFonts w:ascii="Arial" w:hAnsi="Arial" w:cs="Arial"/>
          <w:i/>
          <w:sz w:val="20"/>
          <w:szCs w:val="20"/>
        </w:rPr>
        <w:t xml:space="preserve">Natura 2000 </w:t>
      </w:r>
      <w:r w:rsidRPr="00700FB4">
        <w:rPr>
          <w:rFonts w:ascii="Arial" w:hAnsi="Arial" w:cs="Arial"/>
          <w:sz w:val="20"/>
          <w:szCs w:val="20"/>
        </w:rPr>
        <w:t>teritoriju gadījumos, kad nav veicams kāds no iepriekšminētajiem ietekmes uz vidi novērtējumiem. Savukārt attiecībā uz teritorijas attīstības plānošanas dokumentiem var tikt veikts tikai viena veida vides novērtējums, un tas ir stratēģiskais ietekmes uz vidi novērtējums.</w:t>
      </w:r>
      <w:r w:rsidRPr="00700FB4">
        <w:rPr>
          <w:rStyle w:val="FootnoteReference"/>
          <w:rFonts w:ascii="Arial" w:hAnsi="Arial" w:cs="Arial"/>
          <w:sz w:val="20"/>
          <w:szCs w:val="20"/>
        </w:rPr>
        <w:footnoteReference w:id="78"/>
      </w:r>
      <w:r w:rsidRPr="00700FB4">
        <w:rPr>
          <w:rFonts w:ascii="Arial" w:hAnsi="Arial" w:cs="Arial"/>
          <w:sz w:val="20"/>
          <w:szCs w:val="20"/>
        </w:rPr>
        <w:t xml:space="preserve"> </w:t>
      </w:r>
    </w:p>
    <w:p w:rsidR="002B31ED" w:rsidRPr="00700FB4" w:rsidRDefault="002B31ED" w:rsidP="002B31ED">
      <w:pPr>
        <w:pStyle w:val="NoSpacing"/>
        <w:jc w:val="both"/>
        <w:rPr>
          <w:rFonts w:ascii="Arial" w:hAnsi="Arial" w:cs="Arial"/>
          <w:sz w:val="20"/>
          <w:szCs w:val="20"/>
        </w:rPr>
      </w:pPr>
    </w:p>
    <w:p w:rsidR="002B31ED" w:rsidRPr="00700FB4" w:rsidRDefault="002B31ED" w:rsidP="002B31ED">
      <w:pPr>
        <w:pStyle w:val="NoSpacing"/>
        <w:jc w:val="both"/>
        <w:rPr>
          <w:rFonts w:ascii="Arial" w:hAnsi="Arial" w:cs="Arial"/>
          <w:sz w:val="20"/>
          <w:szCs w:val="20"/>
        </w:rPr>
      </w:pPr>
      <w:r w:rsidRPr="00700FB4">
        <w:rPr>
          <w:rFonts w:ascii="Arial" w:hAnsi="Arial" w:cs="Arial"/>
          <w:sz w:val="20"/>
          <w:szCs w:val="20"/>
        </w:rPr>
        <w:t xml:space="preserve">Vides novērtējuma likums </w:t>
      </w:r>
      <w:r w:rsidR="00E55EFD" w:rsidRPr="00700FB4">
        <w:rPr>
          <w:rFonts w:ascii="Arial" w:hAnsi="Arial" w:cs="Arial"/>
          <w:sz w:val="20"/>
          <w:szCs w:val="20"/>
        </w:rPr>
        <w:t>noteic</w:t>
      </w:r>
      <w:r w:rsidRPr="00700FB4">
        <w:rPr>
          <w:rFonts w:ascii="Arial" w:hAnsi="Arial" w:cs="Arial"/>
          <w:sz w:val="20"/>
          <w:szCs w:val="20"/>
        </w:rPr>
        <w:t>, ka ietekmes uz vidi sākotnējais novērtējums ir procedūra, kuru piemēro paredzētajai darbībai, kurai var būt būtiska ietekme uz vidi ar nolūku, lai izvērtētu attiecīgās darbības īstenošanas iespējamās nelabvēlīgās ietekmes būtiskumu un lemtu par ietekmes uz vidi novērtējuma veikšanu.</w:t>
      </w:r>
      <w:r w:rsidRPr="00700FB4">
        <w:rPr>
          <w:rStyle w:val="FootnoteReference"/>
          <w:rFonts w:ascii="Arial" w:hAnsi="Arial" w:cs="Arial"/>
          <w:sz w:val="20"/>
          <w:szCs w:val="20"/>
        </w:rPr>
        <w:footnoteReference w:id="79"/>
      </w:r>
      <w:r w:rsidRPr="00700FB4">
        <w:rPr>
          <w:rFonts w:ascii="Arial" w:hAnsi="Arial" w:cs="Arial"/>
          <w:sz w:val="20"/>
          <w:szCs w:val="20"/>
        </w:rPr>
        <w:t xml:space="preserve"> Kā to ir skaidrojusi Augstākā tiesa, tad sākotnējā novērtējuma mērķis ir noteikt tikai iespējamās ietekmes un to, vai tās varētu būt būtiskas, nevis precīzi dokumentēt ietekmju apjomu un definēt paredzētās darbības īstenošanas noteikumus.</w:t>
      </w:r>
      <w:r w:rsidRPr="00700FB4">
        <w:rPr>
          <w:rStyle w:val="FootnoteReference"/>
          <w:rFonts w:ascii="Arial" w:hAnsi="Arial" w:cs="Arial"/>
          <w:sz w:val="20"/>
          <w:szCs w:val="20"/>
        </w:rPr>
        <w:footnoteReference w:id="80"/>
      </w:r>
      <w:r w:rsidRPr="00700FB4">
        <w:rPr>
          <w:rFonts w:ascii="Arial" w:hAnsi="Arial" w:cs="Arial"/>
          <w:sz w:val="20"/>
          <w:szCs w:val="20"/>
        </w:rPr>
        <w:t xml:space="preserve"> Savukārt ietekmes uz vidi novērtējums ir procedūra, kuru piemēro, lai novērtētu paredzētās darbības īstenošanas iespējamo ietekmi uz vidi un izstrādātu priekšlikumus nelabvēlīgas ietekmes novēršanai vai samazināšanai vai aizliegtu paredzētās darbības uzsākšanu normatīvos aktos noteikto prasību pārkāpuma gadījumos. Augstākā tiesa ir norādījusi, ka ietekmes uz vidi novērtējuma mērķis ir iegūt informāciju par paredzēto darbību, kā arī apzināt iespējamās paredzētās darbības ietekmes, lai varētu tikt lemts par darbības atļaušanu vai aizliegšanu.</w:t>
      </w:r>
      <w:r w:rsidRPr="00700FB4">
        <w:rPr>
          <w:rStyle w:val="FootnoteReference"/>
          <w:rFonts w:ascii="Arial" w:hAnsi="Arial" w:cs="Arial"/>
          <w:sz w:val="20"/>
          <w:szCs w:val="20"/>
        </w:rPr>
        <w:footnoteReference w:id="81"/>
      </w:r>
    </w:p>
    <w:p w:rsidR="002B31ED" w:rsidRPr="00700FB4" w:rsidRDefault="002B31ED" w:rsidP="002B31ED">
      <w:pPr>
        <w:pStyle w:val="NoSpacing"/>
        <w:jc w:val="both"/>
        <w:rPr>
          <w:rFonts w:ascii="Arial" w:hAnsi="Arial" w:cs="Arial"/>
          <w:sz w:val="20"/>
          <w:szCs w:val="20"/>
        </w:rPr>
      </w:pPr>
    </w:p>
    <w:p w:rsidR="002B31ED" w:rsidRPr="00700FB4" w:rsidRDefault="00F161D6" w:rsidP="002B31ED">
      <w:pPr>
        <w:pStyle w:val="NoSpacing"/>
        <w:jc w:val="both"/>
        <w:rPr>
          <w:rFonts w:ascii="Arial" w:hAnsi="Arial" w:cs="Arial"/>
          <w:sz w:val="20"/>
          <w:szCs w:val="20"/>
        </w:rPr>
      </w:pPr>
      <w:r w:rsidRPr="00700FB4">
        <w:rPr>
          <w:rFonts w:ascii="Arial" w:hAnsi="Arial" w:cs="Arial"/>
          <w:sz w:val="20"/>
          <w:szCs w:val="20"/>
        </w:rPr>
        <w:t>L</w:t>
      </w:r>
      <w:r w:rsidR="002B31ED" w:rsidRPr="00700FB4">
        <w:rPr>
          <w:rFonts w:ascii="Arial" w:hAnsi="Arial" w:cs="Arial"/>
          <w:sz w:val="20"/>
          <w:szCs w:val="20"/>
        </w:rPr>
        <w:t xml:space="preserve">ikumdevējs sākotnējo vides izvērtējumu ir </w:t>
      </w:r>
      <w:r w:rsidR="00E55EFD" w:rsidRPr="00700FB4">
        <w:rPr>
          <w:rFonts w:ascii="Arial" w:hAnsi="Arial" w:cs="Arial"/>
          <w:sz w:val="20"/>
          <w:szCs w:val="20"/>
        </w:rPr>
        <w:t>paredzējis</w:t>
      </w:r>
      <w:r w:rsidR="002B31ED" w:rsidRPr="00700FB4">
        <w:rPr>
          <w:rFonts w:ascii="Arial" w:hAnsi="Arial" w:cs="Arial"/>
          <w:sz w:val="20"/>
          <w:szCs w:val="20"/>
        </w:rPr>
        <w:t xml:space="preserve"> ar mērķi, nevis lai noteiktu, vai kāda paredzētā darbība būtu atļaujama vai aizliedzama, bet gan</w:t>
      </w:r>
      <w:r w:rsidR="00E55EFD" w:rsidRPr="00700FB4">
        <w:rPr>
          <w:rFonts w:ascii="Arial" w:hAnsi="Arial" w:cs="Arial"/>
          <w:sz w:val="20"/>
          <w:szCs w:val="20"/>
        </w:rPr>
        <w:t xml:space="preserve"> to</w:t>
      </w:r>
      <w:r w:rsidR="002B31ED" w:rsidRPr="00700FB4">
        <w:rPr>
          <w:rFonts w:ascii="Arial" w:hAnsi="Arial" w:cs="Arial"/>
          <w:sz w:val="20"/>
          <w:szCs w:val="20"/>
        </w:rPr>
        <w:t xml:space="preserve">, vai </w:t>
      </w:r>
      <w:r w:rsidR="00E55EFD" w:rsidRPr="00700FB4">
        <w:rPr>
          <w:rFonts w:ascii="Arial" w:hAnsi="Arial" w:cs="Arial"/>
          <w:sz w:val="20"/>
          <w:szCs w:val="20"/>
        </w:rPr>
        <w:t>šai darbībai</w:t>
      </w:r>
      <w:r w:rsidR="002B31ED" w:rsidRPr="00700FB4">
        <w:rPr>
          <w:rFonts w:ascii="Arial" w:hAnsi="Arial" w:cs="Arial"/>
          <w:sz w:val="20"/>
          <w:szCs w:val="20"/>
        </w:rPr>
        <w:t xml:space="preserve"> būtu veicams ietekmes uz vidi novērtējums</w:t>
      </w:r>
      <w:r w:rsidR="00E55EFD" w:rsidRPr="00700FB4">
        <w:rPr>
          <w:rFonts w:ascii="Arial" w:hAnsi="Arial" w:cs="Arial"/>
          <w:sz w:val="20"/>
          <w:szCs w:val="20"/>
        </w:rPr>
        <w:t xml:space="preserve">, kurā konstatētu, vai </w:t>
      </w:r>
      <w:r w:rsidR="002B31ED" w:rsidRPr="00700FB4">
        <w:rPr>
          <w:rFonts w:ascii="Arial" w:hAnsi="Arial" w:cs="Arial"/>
          <w:sz w:val="20"/>
          <w:szCs w:val="20"/>
        </w:rPr>
        <w:t>kāda paredzētā darbība varētu būtiski ietekmēt vidi, un apstiprinošas atbildes gadījumā – piemērot ietekmes uz vidi novērtējumu</w:t>
      </w:r>
      <w:r w:rsidR="00E55EFD" w:rsidRPr="00700FB4">
        <w:rPr>
          <w:rFonts w:ascii="Arial" w:hAnsi="Arial" w:cs="Arial"/>
          <w:sz w:val="20"/>
          <w:szCs w:val="20"/>
        </w:rPr>
        <w:t xml:space="preserve">. Šajā novērtējumā arī identificētu </w:t>
      </w:r>
      <w:r w:rsidR="002B31ED" w:rsidRPr="00700FB4">
        <w:rPr>
          <w:rFonts w:ascii="Arial" w:hAnsi="Arial" w:cs="Arial"/>
          <w:sz w:val="20"/>
          <w:szCs w:val="20"/>
        </w:rPr>
        <w:t>īstenojamās vides aizsardzības prasības, ja tiek pieņemts lēmums par paredzētās darbības atļaušanu, vai lai aizliegtu paredzēto darbību, ja ietekme uz vidi būtu pārlieku būtiska un ja nebūtu iespējams to mazināt nepieciešamajā apmērā.</w:t>
      </w:r>
    </w:p>
    <w:p w:rsidR="002B31ED" w:rsidRPr="00700FB4" w:rsidRDefault="002B31ED" w:rsidP="002B31ED">
      <w:pPr>
        <w:pStyle w:val="NoSpacing"/>
        <w:jc w:val="both"/>
        <w:rPr>
          <w:rFonts w:ascii="Arial" w:hAnsi="Arial" w:cs="Arial"/>
          <w:sz w:val="20"/>
          <w:szCs w:val="20"/>
        </w:rPr>
      </w:pPr>
    </w:p>
    <w:p w:rsidR="002B31ED" w:rsidRPr="00700FB4" w:rsidRDefault="002B31ED" w:rsidP="002B31ED">
      <w:pPr>
        <w:pStyle w:val="NoSpacing"/>
        <w:jc w:val="both"/>
        <w:rPr>
          <w:rFonts w:ascii="Arial" w:hAnsi="Arial" w:cs="Arial"/>
          <w:sz w:val="20"/>
          <w:szCs w:val="20"/>
        </w:rPr>
      </w:pPr>
      <w:r w:rsidRPr="00700FB4">
        <w:rPr>
          <w:rFonts w:ascii="Arial" w:hAnsi="Arial" w:cs="Arial"/>
          <w:sz w:val="20"/>
          <w:szCs w:val="20"/>
        </w:rPr>
        <w:t xml:space="preserve">Atbilstoši Vides novērtējuma likumam var izdalīt četras paredzēto darbību kategorijas, kurām nepieciešams veikt ietekmes uz vidi sākotnējo novērtējumu, </w:t>
      </w:r>
      <w:r w:rsidR="00E55EFD" w:rsidRPr="00700FB4">
        <w:rPr>
          <w:rFonts w:ascii="Arial" w:hAnsi="Arial" w:cs="Arial"/>
          <w:sz w:val="20"/>
          <w:szCs w:val="20"/>
        </w:rPr>
        <w:t xml:space="preserve">proti, </w:t>
      </w:r>
      <w:r w:rsidRPr="00700FB4">
        <w:rPr>
          <w:rFonts w:ascii="Arial" w:hAnsi="Arial" w:cs="Arial"/>
          <w:sz w:val="20"/>
          <w:szCs w:val="20"/>
        </w:rPr>
        <w:t>visas darbības, kuras minētas Vides</w:t>
      </w:r>
      <w:r w:rsidR="00F161D6" w:rsidRPr="00700FB4">
        <w:rPr>
          <w:rFonts w:ascii="Arial" w:hAnsi="Arial" w:cs="Arial"/>
          <w:sz w:val="20"/>
          <w:szCs w:val="20"/>
        </w:rPr>
        <w:t xml:space="preserve"> novērtējuma likuma 2.pielikumā,</w:t>
      </w:r>
      <w:r w:rsidRPr="00700FB4">
        <w:rPr>
          <w:rFonts w:ascii="Arial" w:hAnsi="Arial" w:cs="Arial"/>
          <w:sz w:val="20"/>
          <w:szCs w:val="20"/>
        </w:rPr>
        <w:t xml:space="preserve"> visas darbības, kuras var būtiski ietekmēt </w:t>
      </w:r>
      <w:r w:rsidRPr="00700FB4">
        <w:rPr>
          <w:rFonts w:ascii="Arial" w:hAnsi="Arial" w:cs="Arial"/>
          <w:i/>
          <w:sz w:val="20"/>
          <w:szCs w:val="20"/>
        </w:rPr>
        <w:t xml:space="preserve">Natura 2000 </w:t>
      </w:r>
      <w:r w:rsidR="00F161D6" w:rsidRPr="00700FB4">
        <w:rPr>
          <w:rFonts w:ascii="Arial" w:hAnsi="Arial" w:cs="Arial"/>
          <w:sz w:val="20"/>
          <w:szCs w:val="20"/>
        </w:rPr>
        <w:t>teritorijas,</w:t>
      </w:r>
      <w:r w:rsidRPr="00700FB4">
        <w:rPr>
          <w:rFonts w:ascii="Arial" w:hAnsi="Arial" w:cs="Arial"/>
          <w:sz w:val="20"/>
          <w:szCs w:val="20"/>
        </w:rPr>
        <w:t xml:space="preserve"> izmaiņas atsevišķās vai savstarpēji saistītās paredzētās darbībās, ja izpildās </w:t>
      </w:r>
      <w:r w:rsidR="00F161D6" w:rsidRPr="00700FB4">
        <w:rPr>
          <w:rFonts w:ascii="Arial" w:hAnsi="Arial" w:cs="Arial"/>
          <w:sz w:val="20"/>
          <w:szCs w:val="20"/>
        </w:rPr>
        <w:t xml:space="preserve">likumā minētie priekšnoteikumi, kā arī </w:t>
      </w:r>
      <w:r w:rsidRPr="00700FB4">
        <w:rPr>
          <w:rFonts w:ascii="Arial" w:hAnsi="Arial" w:cs="Arial"/>
          <w:sz w:val="20"/>
          <w:szCs w:val="20"/>
        </w:rPr>
        <w:t>likumā neminētas darbības, kuras var būtiski ietekmēt vidi.</w:t>
      </w:r>
      <w:r w:rsidRPr="00700FB4">
        <w:rPr>
          <w:rStyle w:val="FootnoteReference"/>
          <w:rFonts w:ascii="Arial" w:hAnsi="Arial" w:cs="Arial"/>
          <w:sz w:val="20"/>
          <w:szCs w:val="20"/>
        </w:rPr>
        <w:footnoteReference w:id="82"/>
      </w:r>
      <w:r w:rsidRPr="00700FB4">
        <w:rPr>
          <w:rFonts w:ascii="Arial" w:hAnsi="Arial" w:cs="Arial"/>
          <w:sz w:val="20"/>
          <w:szCs w:val="20"/>
        </w:rPr>
        <w:t xml:space="preserve"> </w:t>
      </w:r>
    </w:p>
    <w:p w:rsidR="002B31ED" w:rsidRPr="00700FB4" w:rsidRDefault="002B31ED" w:rsidP="002B31ED">
      <w:pPr>
        <w:pStyle w:val="NoSpacing"/>
        <w:jc w:val="both"/>
        <w:rPr>
          <w:rFonts w:ascii="Arial" w:hAnsi="Arial" w:cs="Arial"/>
          <w:sz w:val="20"/>
          <w:szCs w:val="20"/>
        </w:rPr>
      </w:pPr>
    </w:p>
    <w:p w:rsidR="002B31ED" w:rsidRPr="00700FB4" w:rsidRDefault="002B31ED" w:rsidP="002B31ED">
      <w:pPr>
        <w:pStyle w:val="NoSpacing"/>
        <w:jc w:val="both"/>
        <w:rPr>
          <w:rFonts w:ascii="Arial" w:hAnsi="Arial" w:cs="Arial"/>
          <w:sz w:val="20"/>
          <w:szCs w:val="20"/>
        </w:rPr>
      </w:pPr>
      <w:r w:rsidRPr="00700FB4">
        <w:rPr>
          <w:rFonts w:ascii="Arial" w:hAnsi="Arial" w:cs="Arial"/>
          <w:sz w:val="20"/>
          <w:szCs w:val="20"/>
        </w:rPr>
        <w:t>Sākotnējais izvērtējums atbilstoši Vides novērtējuma likuma 2.piel</w:t>
      </w:r>
      <w:r w:rsidR="00E55EFD" w:rsidRPr="00700FB4">
        <w:rPr>
          <w:rFonts w:ascii="Arial" w:hAnsi="Arial" w:cs="Arial"/>
          <w:sz w:val="20"/>
          <w:szCs w:val="20"/>
        </w:rPr>
        <w:t>ikumam, piemēram, nepieciešams zivju kompleksu ierīkošanai,</w:t>
      </w:r>
      <w:r w:rsidRPr="00700FB4">
        <w:rPr>
          <w:rFonts w:ascii="Arial" w:hAnsi="Arial" w:cs="Arial"/>
          <w:sz w:val="20"/>
          <w:szCs w:val="20"/>
        </w:rPr>
        <w:t xml:space="preserve"> dažādu ar ieguves rūpniecību saistītu darbību veikšanai (ogļūdeņražu</w:t>
      </w:r>
      <w:r w:rsidR="00E55EFD" w:rsidRPr="00700FB4">
        <w:rPr>
          <w:rFonts w:ascii="Arial" w:hAnsi="Arial" w:cs="Arial"/>
          <w:sz w:val="20"/>
          <w:szCs w:val="20"/>
        </w:rPr>
        <w:t>, derīgo izrakteņu ieguve utt.),</w:t>
      </w:r>
      <w:r w:rsidRPr="00700FB4">
        <w:rPr>
          <w:rFonts w:ascii="Arial" w:hAnsi="Arial" w:cs="Arial"/>
          <w:sz w:val="20"/>
          <w:szCs w:val="20"/>
        </w:rPr>
        <w:t xml:space="preserve"> vēja </w:t>
      </w:r>
      <w:r w:rsidR="00E55EFD" w:rsidRPr="00700FB4">
        <w:rPr>
          <w:rFonts w:ascii="Arial" w:hAnsi="Arial" w:cs="Arial"/>
          <w:sz w:val="20"/>
          <w:szCs w:val="20"/>
        </w:rPr>
        <w:t>elektrostaciju būvniecībai jūrā,</w:t>
      </w:r>
      <w:r w:rsidRPr="00700FB4">
        <w:rPr>
          <w:rFonts w:ascii="Arial" w:hAnsi="Arial" w:cs="Arial"/>
          <w:sz w:val="20"/>
          <w:szCs w:val="20"/>
        </w:rPr>
        <w:t xml:space="preserve"> kuģu būvju un remontu rūpnīc</w:t>
      </w:r>
      <w:r w:rsidR="00E55EFD" w:rsidRPr="00700FB4">
        <w:rPr>
          <w:rFonts w:ascii="Arial" w:hAnsi="Arial" w:cs="Arial"/>
          <w:sz w:val="20"/>
          <w:szCs w:val="20"/>
        </w:rPr>
        <w:t>u būvniecībai, ostu un piestātņu būvniecībai,</w:t>
      </w:r>
      <w:r w:rsidRPr="00700FB4">
        <w:rPr>
          <w:rFonts w:ascii="Arial" w:hAnsi="Arial" w:cs="Arial"/>
          <w:sz w:val="20"/>
          <w:szCs w:val="20"/>
        </w:rPr>
        <w:t xml:space="preserve"> cauruļvadu ierīkošanai</w:t>
      </w:r>
      <w:r w:rsidR="00E55EFD" w:rsidRPr="00700FB4">
        <w:rPr>
          <w:rFonts w:ascii="Arial" w:hAnsi="Arial" w:cs="Arial"/>
          <w:sz w:val="20"/>
          <w:szCs w:val="20"/>
        </w:rPr>
        <w:t xml:space="preserve"> naftas un gāzes transportēšanai, jūras krastu nostiprināšanai,</w:t>
      </w:r>
      <w:r w:rsidRPr="00700FB4">
        <w:rPr>
          <w:rFonts w:ascii="Arial" w:hAnsi="Arial" w:cs="Arial"/>
          <w:sz w:val="20"/>
          <w:szCs w:val="20"/>
        </w:rPr>
        <w:t xml:space="preserve"> dambju un molu būvniecībai. </w:t>
      </w:r>
    </w:p>
    <w:p w:rsidR="002B31ED" w:rsidRPr="00700FB4" w:rsidRDefault="002B31ED" w:rsidP="002B31ED">
      <w:pPr>
        <w:pStyle w:val="NoSpacing"/>
        <w:jc w:val="both"/>
        <w:rPr>
          <w:rFonts w:ascii="Arial" w:hAnsi="Arial" w:cs="Arial"/>
          <w:sz w:val="20"/>
          <w:szCs w:val="20"/>
        </w:rPr>
      </w:pPr>
    </w:p>
    <w:p w:rsidR="002B31ED" w:rsidRPr="00700FB4" w:rsidRDefault="002B31ED" w:rsidP="002B31ED">
      <w:pPr>
        <w:pStyle w:val="NoSpacing"/>
        <w:jc w:val="both"/>
        <w:rPr>
          <w:rFonts w:ascii="Arial" w:hAnsi="Arial" w:cs="Arial"/>
          <w:sz w:val="20"/>
          <w:szCs w:val="20"/>
        </w:rPr>
      </w:pPr>
      <w:r w:rsidRPr="00700FB4">
        <w:rPr>
          <w:rFonts w:ascii="Arial" w:hAnsi="Arial" w:cs="Arial"/>
          <w:sz w:val="20"/>
          <w:szCs w:val="20"/>
        </w:rPr>
        <w:t xml:space="preserve">Attiecībā uz ietekmes uz vidi novērtējumu pastāv līdzīgs princips kā sākotnējā ietekmes uz vidi novērtējuma gadījumā, </w:t>
      </w:r>
      <w:r w:rsidR="00E55EFD" w:rsidRPr="00700FB4">
        <w:rPr>
          <w:rFonts w:ascii="Arial" w:hAnsi="Arial" w:cs="Arial"/>
          <w:sz w:val="20"/>
          <w:szCs w:val="20"/>
        </w:rPr>
        <w:t>tas ir, var tikt izdalītas piecas</w:t>
      </w:r>
      <w:r w:rsidRPr="00700FB4">
        <w:rPr>
          <w:rFonts w:ascii="Arial" w:hAnsi="Arial" w:cs="Arial"/>
          <w:sz w:val="20"/>
          <w:szCs w:val="20"/>
        </w:rPr>
        <w:t xml:space="preserve"> paredzēto </w:t>
      </w:r>
      <w:r w:rsidR="00E55EFD" w:rsidRPr="00700FB4">
        <w:rPr>
          <w:rFonts w:ascii="Arial" w:hAnsi="Arial" w:cs="Arial"/>
          <w:sz w:val="20"/>
          <w:szCs w:val="20"/>
        </w:rPr>
        <w:t>darbību kategorija</w:t>
      </w:r>
      <w:r w:rsidRPr="00700FB4">
        <w:rPr>
          <w:rFonts w:ascii="Arial" w:hAnsi="Arial" w:cs="Arial"/>
          <w:sz w:val="20"/>
          <w:szCs w:val="20"/>
        </w:rPr>
        <w:t xml:space="preserve">s, </w:t>
      </w:r>
      <w:r w:rsidR="00E55EFD" w:rsidRPr="00700FB4">
        <w:rPr>
          <w:rFonts w:ascii="Arial" w:hAnsi="Arial" w:cs="Arial"/>
          <w:sz w:val="20"/>
          <w:szCs w:val="20"/>
        </w:rPr>
        <w:t xml:space="preserve">proti, </w:t>
      </w:r>
      <w:r w:rsidRPr="00700FB4">
        <w:rPr>
          <w:rFonts w:ascii="Arial" w:hAnsi="Arial" w:cs="Arial"/>
          <w:sz w:val="20"/>
          <w:szCs w:val="20"/>
        </w:rPr>
        <w:t>darbības, kuras ir saistītas ar Vides novērtējuma likuma 1</w:t>
      </w:r>
      <w:r w:rsidR="00E55EFD" w:rsidRPr="00700FB4">
        <w:rPr>
          <w:rFonts w:ascii="Arial" w:hAnsi="Arial" w:cs="Arial"/>
          <w:sz w:val="20"/>
          <w:szCs w:val="20"/>
        </w:rPr>
        <w:t>.pielikumā minētajiem objektiem, darbības</w:t>
      </w:r>
      <w:r w:rsidRPr="00700FB4">
        <w:rPr>
          <w:rFonts w:ascii="Arial" w:hAnsi="Arial" w:cs="Arial"/>
          <w:sz w:val="20"/>
          <w:szCs w:val="20"/>
        </w:rPr>
        <w:t xml:space="preserve"> saskaņā ar sākotnējo ietekmes uz vidi novērtējumu; darbībām, ja </w:t>
      </w:r>
      <w:r w:rsidR="00E55EFD" w:rsidRPr="00700FB4">
        <w:rPr>
          <w:rFonts w:ascii="Arial" w:hAnsi="Arial" w:cs="Arial"/>
          <w:sz w:val="20"/>
          <w:szCs w:val="20"/>
        </w:rPr>
        <w:t>to paredz starptautiskie līgumi, darbības</w:t>
      </w:r>
      <w:r w:rsidRPr="00700FB4">
        <w:rPr>
          <w:rFonts w:ascii="Arial" w:hAnsi="Arial" w:cs="Arial"/>
          <w:sz w:val="20"/>
          <w:szCs w:val="20"/>
        </w:rPr>
        <w:t>, ja tās ietekmē vienu un to pašu teritoriju, ņemot vērā t</w:t>
      </w:r>
      <w:r w:rsidR="00E55EFD" w:rsidRPr="00700FB4">
        <w:rPr>
          <w:rFonts w:ascii="Arial" w:hAnsi="Arial" w:cs="Arial"/>
          <w:sz w:val="20"/>
          <w:szCs w:val="20"/>
        </w:rPr>
        <w:t xml:space="preserve">o kopējo </w:t>
      </w:r>
      <w:r w:rsidR="00E55EFD" w:rsidRPr="00700FB4">
        <w:rPr>
          <w:rFonts w:ascii="Arial" w:hAnsi="Arial" w:cs="Arial"/>
          <w:sz w:val="20"/>
          <w:szCs w:val="20"/>
        </w:rPr>
        <w:lastRenderedPageBreak/>
        <w:t>un savstarpējo ietekmi,</w:t>
      </w:r>
      <w:r w:rsidRPr="00700FB4">
        <w:rPr>
          <w:rFonts w:ascii="Arial" w:hAnsi="Arial" w:cs="Arial"/>
          <w:sz w:val="20"/>
          <w:szCs w:val="20"/>
        </w:rPr>
        <w:t xml:space="preserve"> izmaiņas atsevišķās darbībās, ja </w:t>
      </w:r>
      <w:r w:rsidR="00F161D6" w:rsidRPr="00700FB4">
        <w:rPr>
          <w:rFonts w:ascii="Arial" w:hAnsi="Arial" w:cs="Arial"/>
          <w:sz w:val="20"/>
          <w:szCs w:val="20"/>
        </w:rPr>
        <w:t>tiek izpildīti</w:t>
      </w:r>
      <w:r w:rsidRPr="00700FB4">
        <w:rPr>
          <w:rFonts w:ascii="Arial" w:hAnsi="Arial" w:cs="Arial"/>
          <w:sz w:val="20"/>
          <w:szCs w:val="20"/>
        </w:rPr>
        <w:t xml:space="preserve"> likumā minētie priekšnoteikumi.</w:t>
      </w:r>
      <w:r w:rsidRPr="00700FB4">
        <w:rPr>
          <w:rStyle w:val="FootnoteReference"/>
          <w:rFonts w:ascii="Arial" w:hAnsi="Arial" w:cs="Arial"/>
          <w:sz w:val="20"/>
          <w:szCs w:val="20"/>
        </w:rPr>
        <w:footnoteReference w:id="83"/>
      </w:r>
    </w:p>
    <w:p w:rsidR="002B31ED" w:rsidRPr="00700FB4" w:rsidRDefault="002B31ED" w:rsidP="002B31ED">
      <w:pPr>
        <w:pStyle w:val="NoSpacing"/>
        <w:jc w:val="both"/>
        <w:rPr>
          <w:rFonts w:ascii="Arial" w:hAnsi="Arial" w:cs="Arial"/>
          <w:sz w:val="20"/>
          <w:szCs w:val="20"/>
        </w:rPr>
      </w:pPr>
    </w:p>
    <w:p w:rsidR="002B31ED" w:rsidRPr="00700FB4" w:rsidRDefault="002B31ED" w:rsidP="002B31ED">
      <w:pPr>
        <w:pStyle w:val="NoSpacing"/>
        <w:jc w:val="both"/>
        <w:rPr>
          <w:rFonts w:ascii="Arial" w:hAnsi="Arial" w:cs="Arial"/>
          <w:sz w:val="20"/>
          <w:szCs w:val="20"/>
        </w:rPr>
      </w:pPr>
      <w:r w:rsidRPr="00700FB4">
        <w:rPr>
          <w:rFonts w:ascii="Arial" w:hAnsi="Arial" w:cs="Arial"/>
          <w:sz w:val="20"/>
          <w:szCs w:val="20"/>
        </w:rPr>
        <w:t>Ietekmes uz vidi novērtējums atbilstoši Vides novērtējuma likuma 1.pie</w:t>
      </w:r>
      <w:r w:rsidR="00E55EFD" w:rsidRPr="00700FB4">
        <w:rPr>
          <w:rFonts w:ascii="Arial" w:hAnsi="Arial" w:cs="Arial"/>
          <w:sz w:val="20"/>
          <w:szCs w:val="20"/>
        </w:rPr>
        <w:t>likumam nepieciešams, piemēram,</w:t>
      </w:r>
      <w:r w:rsidRPr="00700FB4">
        <w:rPr>
          <w:rFonts w:ascii="Arial" w:hAnsi="Arial" w:cs="Arial"/>
          <w:sz w:val="20"/>
          <w:szCs w:val="20"/>
        </w:rPr>
        <w:t xml:space="preserve"> noteikta veid</w:t>
      </w:r>
      <w:r w:rsidR="00E55EFD" w:rsidRPr="00700FB4">
        <w:rPr>
          <w:rFonts w:ascii="Arial" w:hAnsi="Arial" w:cs="Arial"/>
          <w:sz w:val="20"/>
          <w:szCs w:val="20"/>
        </w:rPr>
        <w:t>a ostu un piestātņu būvniecībai,</w:t>
      </w:r>
      <w:r w:rsidRPr="00700FB4">
        <w:rPr>
          <w:rFonts w:ascii="Arial" w:hAnsi="Arial" w:cs="Arial"/>
          <w:sz w:val="20"/>
          <w:szCs w:val="20"/>
        </w:rPr>
        <w:t xml:space="preserve"> ogļūdeņražu ieguves darbībām, </w:t>
      </w:r>
      <w:r w:rsidR="00E55EFD" w:rsidRPr="00700FB4">
        <w:rPr>
          <w:rFonts w:ascii="Arial" w:hAnsi="Arial" w:cs="Arial"/>
          <w:sz w:val="20"/>
          <w:szCs w:val="20"/>
        </w:rPr>
        <w:t>kas veiktas komerciālos nolūkos,</w:t>
      </w:r>
      <w:r w:rsidRPr="00700FB4">
        <w:rPr>
          <w:rFonts w:ascii="Arial" w:hAnsi="Arial" w:cs="Arial"/>
          <w:sz w:val="20"/>
          <w:szCs w:val="20"/>
        </w:rPr>
        <w:t xml:space="preserve"> noteikta veida naftas, gāzes u</w:t>
      </w:r>
      <w:r w:rsidR="00E55EFD" w:rsidRPr="00700FB4">
        <w:rPr>
          <w:rFonts w:ascii="Arial" w:hAnsi="Arial" w:cs="Arial"/>
          <w:sz w:val="20"/>
          <w:szCs w:val="20"/>
        </w:rPr>
        <w:t>n ķīmisko produktu cauruļvadiem,</w:t>
      </w:r>
      <w:r w:rsidRPr="00700FB4">
        <w:rPr>
          <w:rFonts w:ascii="Arial" w:hAnsi="Arial" w:cs="Arial"/>
          <w:sz w:val="20"/>
          <w:szCs w:val="20"/>
        </w:rPr>
        <w:t xml:space="preserve"> noteikta</w:t>
      </w:r>
      <w:r w:rsidR="00E55EFD" w:rsidRPr="00700FB4">
        <w:rPr>
          <w:rFonts w:ascii="Arial" w:hAnsi="Arial" w:cs="Arial"/>
          <w:sz w:val="20"/>
          <w:szCs w:val="20"/>
        </w:rPr>
        <w:t xml:space="preserve"> veida derīgo izrakteņu ieguvei,</w:t>
      </w:r>
      <w:r w:rsidRPr="00700FB4">
        <w:rPr>
          <w:rFonts w:ascii="Arial" w:hAnsi="Arial" w:cs="Arial"/>
          <w:sz w:val="20"/>
          <w:szCs w:val="20"/>
        </w:rPr>
        <w:t xml:space="preserve"> vēja elektrostaciju būvniecībai, ja tiek būvētas vairāk par 15 elektrostacijām vai kopējā jauda ir 15 MW un vairāk. Turklāt norādāms, ka tāpat kā sākotnējā ietekmes uz vidi novērtējuma gadījumā, arī attiecībā uz ietekmes uz vidi novērtējumu Vides novērtējuma likumā šobrīd netiek paredzēti nekādi atvieglojumi novērtējumu veikšanai attiecībā uz darbībām, kuras paredzētas tādā jūras ter</w:t>
      </w:r>
      <w:r w:rsidR="00E55EFD" w:rsidRPr="00700FB4">
        <w:rPr>
          <w:rFonts w:ascii="Arial" w:hAnsi="Arial" w:cs="Arial"/>
          <w:sz w:val="20"/>
          <w:szCs w:val="20"/>
        </w:rPr>
        <w:t>itorijā, kurai būtu izstrādāts j</w:t>
      </w:r>
      <w:r w:rsidRPr="00700FB4">
        <w:rPr>
          <w:rFonts w:ascii="Arial" w:hAnsi="Arial" w:cs="Arial"/>
          <w:sz w:val="20"/>
          <w:szCs w:val="20"/>
        </w:rPr>
        <w:t>ūras plānojums.</w:t>
      </w:r>
    </w:p>
    <w:p w:rsidR="002B31ED" w:rsidRPr="00700FB4" w:rsidRDefault="002B31ED" w:rsidP="002B31ED">
      <w:pPr>
        <w:pStyle w:val="NoSpacing"/>
        <w:jc w:val="both"/>
        <w:rPr>
          <w:rFonts w:ascii="Arial" w:hAnsi="Arial" w:cs="Arial"/>
          <w:b/>
          <w:sz w:val="20"/>
          <w:szCs w:val="20"/>
        </w:rPr>
      </w:pPr>
    </w:p>
    <w:p w:rsidR="00E676DA" w:rsidRPr="00700FB4" w:rsidRDefault="007B0BB6" w:rsidP="002B31ED">
      <w:pPr>
        <w:pStyle w:val="NoSpacing"/>
        <w:jc w:val="both"/>
        <w:rPr>
          <w:rFonts w:ascii="Arial" w:hAnsi="Arial" w:cs="Arial"/>
          <w:sz w:val="20"/>
          <w:szCs w:val="20"/>
        </w:rPr>
      </w:pPr>
      <w:r w:rsidRPr="00700FB4">
        <w:rPr>
          <w:rFonts w:ascii="Arial" w:hAnsi="Arial" w:cs="Arial"/>
          <w:sz w:val="20"/>
          <w:szCs w:val="20"/>
        </w:rPr>
        <w:t>Sākotnējais ietekmes uz vidi novērtējums būtu jāveic attiecībā uz visām tām pašām darbībām, kuras paredzēts veikt jūras teritorijā, neatkarīgi no tā, ka būtu izstrādāts jūras plānojums. Šobrīd Vides novērtējuma likums neparedz nekādus izņēmumus</w:t>
      </w:r>
      <w:r w:rsidR="00E676DA" w:rsidRPr="00700FB4">
        <w:rPr>
          <w:rFonts w:ascii="Arial" w:hAnsi="Arial" w:cs="Arial"/>
          <w:sz w:val="20"/>
          <w:szCs w:val="20"/>
        </w:rPr>
        <w:t>.</w:t>
      </w:r>
    </w:p>
    <w:p w:rsidR="00DE5BF7" w:rsidRPr="00700FB4" w:rsidRDefault="00DE5BF7" w:rsidP="002B31ED">
      <w:pPr>
        <w:pStyle w:val="NoSpacing"/>
        <w:jc w:val="both"/>
        <w:rPr>
          <w:rFonts w:ascii="Arial" w:hAnsi="Arial" w:cs="Arial"/>
          <w:sz w:val="20"/>
          <w:szCs w:val="20"/>
        </w:rPr>
      </w:pPr>
    </w:p>
    <w:p w:rsidR="00E17FD4" w:rsidRPr="00700FB4" w:rsidRDefault="002B31ED" w:rsidP="002B31ED">
      <w:pPr>
        <w:pStyle w:val="NoSpacing"/>
        <w:jc w:val="both"/>
        <w:rPr>
          <w:rFonts w:ascii="Arial" w:hAnsi="Arial" w:cs="Arial"/>
          <w:sz w:val="20"/>
          <w:szCs w:val="20"/>
        </w:rPr>
      </w:pPr>
      <w:r w:rsidRPr="00700FB4">
        <w:rPr>
          <w:rFonts w:ascii="Arial" w:hAnsi="Arial" w:cs="Arial"/>
          <w:sz w:val="20"/>
          <w:szCs w:val="20"/>
        </w:rPr>
        <w:t>Vērtējot, vai Latvijai būtu iespējams ieviest kādus atvieglojumus sākotnējā ietekmes uz vidi novērtējuma vai ietekmes uz vidi novērtējuma kontekstā attiecībā uz tādām darbībām, kuras būtu paredzētas jūras ter</w:t>
      </w:r>
      <w:r w:rsidR="00F161D6" w:rsidRPr="00700FB4">
        <w:rPr>
          <w:rFonts w:ascii="Arial" w:hAnsi="Arial" w:cs="Arial"/>
          <w:sz w:val="20"/>
          <w:szCs w:val="20"/>
        </w:rPr>
        <w:t>itorijā, kurai būtu izstrādāts j</w:t>
      </w:r>
      <w:r w:rsidRPr="00700FB4">
        <w:rPr>
          <w:rFonts w:ascii="Arial" w:hAnsi="Arial" w:cs="Arial"/>
          <w:sz w:val="20"/>
          <w:szCs w:val="20"/>
        </w:rPr>
        <w:t>ūras plānojums, ir nepieciešams aplūko</w:t>
      </w:r>
      <w:r w:rsidR="00E17FD4" w:rsidRPr="00700FB4">
        <w:rPr>
          <w:rFonts w:ascii="Arial" w:hAnsi="Arial" w:cs="Arial"/>
          <w:sz w:val="20"/>
          <w:szCs w:val="20"/>
        </w:rPr>
        <w:t xml:space="preserve">t </w:t>
      </w:r>
      <w:r w:rsidR="007B0BB6" w:rsidRPr="00700FB4">
        <w:rPr>
          <w:rFonts w:ascii="Arial" w:hAnsi="Arial" w:cs="Arial"/>
          <w:b/>
          <w:sz w:val="20"/>
          <w:szCs w:val="20"/>
        </w:rPr>
        <w:t>D</w:t>
      </w:r>
      <w:r w:rsidRPr="00700FB4">
        <w:rPr>
          <w:rFonts w:ascii="Arial" w:hAnsi="Arial" w:cs="Arial"/>
          <w:b/>
          <w:sz w:val="20"/>
          <w:szCs w:val="20"/>
        </w:rPr>
        <w:t>irektīvu Nr. 2011/92/ES</w:t>
      </w:r>
      <w:r w:rsidR="00E17FD4" w:rsidRPr="00700FB4">
        <w:rPr>
          <w:rFonts w:ascii="Arial" w:hAnsi="Arial" w:cs="Arial"/>
          <w:b/>
          <w:sz w:val="20"/>
          <w:szCs w:val="20"/>
        </w:rPr>
        <w:t xml:space="preserve"> </w:t>
      </w:r>
      <w:r w:rsidR="00E17FD4" w:rsidRPr="00700FB4">
        <w:rPr>
          <w:rFonts w:ascii="Arial" w:hAnsi="Arial" w:cs="Arial"/>
          <w:sz w:val="20"/>
          <w:szCs w:val="20"/>
        </w:rPr>
        <w:t>(2011.gada 13.decembris) par dažu sabiedrisku un privātu projektu ietekmes uz vidi novērtējumu</w:t>
      </w:r>
      <w:r w:rsidRPr="00700FB4">
        <w:rPr>
          <w:rFonts w:ascii="Arial" w:hAnsi="Arial" w:cs="Arial"/>
          <w:sz w:val="20"/>
          <w:szCs w:val="20"/>
        </w:rPr>
        <w:t>, kura ir ieviesta Vides novērtējuma likumā un kura paredz vides novērtējumu veikšanas nosacījumus.</w:t>
      </w:r>
    </w:p>
    <w:p w:rsidR="002B31ED" w:rsidRPr="00700FB4" w:rsidRDefault="002B31ED" w:rsidP="002B31ED">
      <w:pPr>
        <w:pStyle w:val="NoSpacing"/>
        <w:jc w:val="both"/>
        <w:rPr>
          <w:rFonts w:ascii="Arial" w:hAnsi="Arial" w:cs="Arial"/>
          <w:b/>
          <w:sz w:val="20"/>
          <w:szCs w:val="20"/>
        </w:rPr>
      </w:pPr>
    </w:p>
    <w:p w:rsidR="002B31ED" w:rsidRPr="00700FB4" w:rsidRDefault="00E17FD4" w:rsidP="002B31ED">
      <w:pPr>
        <w:pStyle w:val="NoSpacing"/>
        <w:jc w:val="both"/>
        <w:rPr>
          <w:rFonts w:ascii="Arial" w:hAnsi="Arial" w:cs="Arial"/>
          <w:sz w:val="20"/>
          <w:szCs w:val="20"/>
        </w:rPr>
      </w:pPr>
      <w:r w:rsidRPr="00700FB4">
        <w:rPr>
          <w:rFonts w:ascii="Arial" w:hAnsi="Arial" w:cs="Arial"/>
          <w:sz w:val="20"/>
          <w:szCs w:val="20"/>
        </w:rPr>
        <w:t>Vides novērtējuma direktīva</w:t>
      </w:r>
      <w:r w:rsidR="002B31ED" w:rsidRPr="00700FB4">
        <w:rPr>
          <w:rFonts w:ascii="Arial" w:hAnsi="Arial" w:cs="Arial"/>
          <w:sz w:val="20"/>
          <w:szCs w:val="20"/>
        </w:rPr>
        <w:t xml:space="preserve"> neļauj valstij ieviest nekādus atvieglojumus attiecībā uz ietekmes uz vidi novērtējumu paredzētām darbībām jūras teritorijā sakarā ar to, ka</w:t>
      </w:r>
      <w:r w:rsidR="007B0BB6" w:rsidRPr="00700FB4">
        <w:rPr>
          <w:rFonts w:ascii="Arial" w:hAnsi="Arial" w:cs="Arial"/>
          <w:sz w:val="20"/>
          <w:szCs w:val="20"/>
        </w:rPr>
        <w:t xml:space="preserve"> šai teritorijai ir izstrādāts j</w:t>
      </w:r>
      <w:r w:rsidR="002B31ED" w:rsidRPr="00700FB4">
        <w:rPr>
          <w:rFonts w:ascii="Arial" w:hAnsi="Arial" w:cs="Arial"/>
          <w:sz w:val="20"/>
          <w:szCs w:val="20"/>
        </w:rPr>
        <w:t xml:space="preserve">ūras plānojums, jo tās 4.panta 1.punkts imperatīvi nosaka, ka 1.pielikumā uzskaitītajiem projektiem, kuri ir ietverti arī Vides novērtējuma likuma 1.pielikumā, ir veicams ietekmes uz vidi novērtējums. To apstiprina arī </w:t>
      </w:r>
      <w:r w:rsidRPr="00700FB4">
        <w:rPr>
          <w:rFonts w:ascii="Arial" w:hAnsi="Arial" w:cs="Arial"/>
          <w:sz w:val="20"/>
          <w:szCs w:val="20"/>
        </w:rPr>
        <w:t xml:space="preserve">Vides novērtējuma </w:t>
      </w:r>
      <w:r w:rsidR="002B31ED" w:rsidRPr="00700FB4">
        <w:rPr>
          <w:rFonts w:ascii="Arial" w:hAnsi="Arial" w:cs="Arial"/>
          <w:sz w:val="20"/>
          <w:szCs w:val="20"/>
        </w:rPr>
        <w:t xml:space="preserve">direktīvas 8.apsvērums, kurš nosaka: </w:t>
      </w:r>
      <w:r w:rsidR="002B31ED" w:rsidRPr="00700FB4">
        <w:rPr>
          <w:rFonts w:ascii="Arial" w:hAnsi="Arial" w:cs="Arial"/>
          <w:i/>
          <w:sz w:val="20"/>
          <w:szCs w:val="20"/>
        </w:rPr>
        <w:t>“[..] Projektiem, kas pieder pie konkrētiem tipiem, ir būtiska ietekme uz vidi, un minētie projekti parasti būtu sistemātiski jānovērtē [..]”</w:t>
      </w:r>
      <w:r w:rsidR="002B31ED" w:rsidRPr="00700FB4">
        <w:rPr>
          <w:rFonts w:ascii="Arial" w:hAnsi="Arial" w:cs="Arial"/>
          <w:sz w:val="20"/>
          <w:szCs w:val="20"/>
        </w:rPr>
        <w:t xml:space="preserve">. </w:t>
      </w:r>
    </w:p>
    <w:p w:rsidR="002B31ED" w:rsidRPr="00700FB4" w:rsidRDefault="002B31ED" w:rsidP="002B31ED">
      <w:pPr>
        <w:pStyle w:val="NoSpacing"/>
        <w:jc w:val="both"/>
        <w:rPr>
          <w:rFonts w:ascii="Arial" w:hAnsi="Arial" w:cs="Arial"/>
          <w:sz w:val="20"/>
          <w:szCs w:val="20"/>
        </w:rPr>
      </w:pPr>
    </w:p>
    <w:p w:rsidR="0028341B" w:rsidRPr="00700FB4" w:rsidRDefault="0028341B" w:rsidP="0028341B">
      <w:pPr>
        <w:pStyle w:val="NoSpacing"/>
        <w:jc w:val="both"/>
        <w:rPr>
          <w:rFonts w:ascii="Arial" w:hAnsi="Arial" w:cs="Arial"/>
          <w:sz w:val="20"/>
          <w:szCs w:val="20"/>
        </w:rPr>
      </w:pPr>
      <w:r w:rsidRPr="00700FB4">
        <w:rPr>
          <w:rFonts w:ascii="Arial" w:hAnsi="Arial" w:cs="Arial"/>
          <w:sz w:val="20"/>
          <w:szCs w:val="20"/>
        </w:rPr>
        <w:t>Kādā no lietām EST secināja,</w:t>
      </w:r>
      <w:r w:rsidRPr="00700FB4">
        <w:rPr>
          <w:rStyle w:val="FootnoteReference"/>
          <w:rFonts w:ascii="Arial" w:hAnsi="Arial" w:cs="Arial"/>
          <w:sz w:val="20"/>
          <w:szCs w:val="20"/>
        </w:rPr>
        <w:t xml:space="preserve"> </w:t>
      </w:r>
      <w:r w:rsidRPr="00700FB4">
        <w:rPr>
          <w:rStyle w:val="FootnoteReference"/>
          <w:rFonts w:ascii="Arial" w:hAnsi="Arial" w:cs="Arial"/>
          <w:sz w:val="20"/>
          <w:szCs w:val="20"/>
        </w:rPr>
        <w:footnoteReference w:id="84"/>
      </w:r>
      <w:r w:rsidRPr="00700FB4">
        <w:rPr>
          <w:rFonts w:ascii="Arial" w:hAnsi="Arial" w:cs="Arial"/>
          <w:sz w:val="20"/>
          <w:szCs w:val="20"/>
        </w:rPr>
        <w:t xml:space="preserve"> ka dalībvalsts, kas noteikusi kritērijus vai limitus tādā mērā, ka praksē vesela projektu grupa tiek atbrīvota no prasības veikt ietekmes uz vidi novērtējumu, ir pārsniegusi savas direktīvā noteiktās rīcības brīvības robežas, izņemot, ja visi projekti kopumā nerada būtisku ietekmi uz vidi. EST atzina, ka direktīvā paredzētais izņēmumi tulkojami šauri (lidosta, kas kalpo gan civiliem, gan militāriem mērķiem, taču kuras galvenais mērķis ir komerciāls, nevar tikt atbrīvota no ietekmes uz vidi novērtējuma). Lietā </w:t>
      </w:r>
      <w:r w:rsidRPr="00700FB4">
        <w:rPr>
          <w:rFonts w:ascii="Arial" w:hAnsi="Arial" w:cs="Arial"/>
          <w:b/>
          <w:sz w:val="20"/>
          <w:szCs w:val="20"/>
        </w:rPr>
        <w:t>C-141/14</w:t>
      </w:r>
      <w:r w:rsidRPr="00700FB4">
        <w:rPr>
          <w:rStyle w:val="FootnoteReference"/>
          <w:rFonts w:ascii="Arial" w:hAnsi="Arial" w:cs="Arial"/>
          <w:sz w:val="20"/>
          <w:szCs w:val="20"/>
        </w:rPr>
        <w:footnoteReference w:id="85"/>
      </w:r>
      <w:r w:rsidRPr="00700FB4">
        <w:rPr>
          <w:rFonts w:ascii="Arial" w:hAnsi="Arial" w:cs="Arial"/>
          <w:sz w:val="20"/>
          <w:szCs w:val="20"/>
        </w:rPr>
        <w:t xml:space="preserve"> EST secināja, ka šo limitu un kritēriju mērķis ir atvieglot konkrētu projekta īpašību izvērtēšanu, lai noteiktu, vai uz to attiecas pienākums veikt tā ietekmes uz vidi novērtējumu. Dalībvalstu rīcības brīvību ierobežo direktīvas 2.panta 1.punktā noteiktais pienākums veikt ietekmes uz vidi novērtējumu projektiem, kuriem var būt būtiska ietekme uz vidi. EST atbalsta dalībvalstu rīcības brīvību, nosakot metodes, procedūras, kritērijus un limitus nacionālajos tiesību aktos, taču atgādina, ka rīcības brīvības izmantošanai jāatbilst Vides novērtējuma direktīvas mērķiem. Turklāt jebkādi izņēmumi no Vides novērtējuma direktīvas ir jāinterpretē šauri.</w:t>
      </w:r>
    </w:p>
    <w:p w:rsidR="0028341B" w:rsidRPr="00700FB4" w:rsidRDefault="0028341B" w:rsidP="002B31ED">
      <w:pPr>
        <w:pStyle w:val="NoSpacing"/>
        <w:jc w:val="both"/>
        <w:rPr>
          <w:rFonts w:ascii="Arial" w:hAnsi="Arial" w:cs="Arial"/>
          <w:sz w:val="20"/>
          <w:szCs w:val="20"/>
        </w:rPr>
      </w:pPr>
    </w:p>
    <w:p w:rsidR="00E676DA" w:rsidRPr="00700FB4" w:rsidRDefault="00E17FD4" w:rsidP="002B31ED">
      <w:pPr>
        <w:pStyle w:val="NoSpacing"/>
        <w:jc w:val="both"/>
        <w:rPr>
          <w:rFonts w:ascii="Arial" w:hAnsi="Arial" w:cs="Arial"/>
          <w:sz w:val="20"/>
          <w:szCs w:val="20"/>
        </w:rPr>
      </w:pPr>
      <w:r w:rsidRPr="00700FB4">
        <w:rPr>
          <w:rFonts w:ascii="Arial" w:hAnsi="Arial" w:cs="Arial"/>
          <w:sz w:val="20"/>
          <w:szCs w:val="20"/>
        </w:rPr>
        <w:t xml:space="preserve">Vides novērtējuma </w:t>
      </w:r>
      <w:r w:rsidR="002B31ED" w:rsidRPr="00700FB4">
        <w:rPr>
          <w:rFonts w:ascii="Arial" w:hAnsi="Arial" w:cs="Arial"/>
          <w:sz w:val="20"/>
          <w:szCs w:val="20"/>
        </w:rPr>
        <w:t>direktīva ļauj valstij ieviest atvieglojumus attiecībā uz sākotnējo ietekmes uz vidi novērtējumu paredzētām darbībām jūras te</w:t>
      </w:r>
      <w:r w:rsidR="007B0BB6" w:rsidRPr="00700FB4">
        <w:rPr>
          <w:rFonts w:ascii="Arial" w:hAnsi="Arial" w:cs="Arial"/>
          <w:sz w:val="20"/>
          <w:szCs w:val="20"/>
        </w:rPr>
        <w:t>ritorijā, kurai izstrādāts j</w:t>
      </w:r>
      <w:r w:rsidR="002B31ED" w:rsidRPr="00700FB4">
        <w:rPr>
          <w:rFonts w:ascii="Arial" w:hAnsi="Arial" w:cs="Arial"/>
          <w:sz w:val="20"/>
          <w:szCs w:val="20"/>
        </w:rPr>
        <w:t>ūras plānojums</w:t>
      </w:r>
      <w:r w:rsidR="007B0BB6" w:rsidRPr="00700FB4">
        <w:rPr>
          <w:rFonts w:ascii="Arial" w:hAnsi="Arial" w:cs="Arial"/>
          <w:sz w:val="20"/>
          <w:szCs w:val="20"/>
        </w:rPr>
        <w:t xml:space="preserve">. </w:t>
      </w:r>
      <w:r w:rsidR="00E676DA" w:rsidRPr="00700FB4">
        <w:rPr>
          <w:rFonts w:ascii="Arial" w:hAnsi="Arial" w:cs="Arial"/>
          <w:sz w:val="20"/>
          <w:szCs w:val="20"/>
        </w:rPr>
        <w:t xml:space="preserve">Šie atvieglojumi iedalāmi divās daļās. </w:t>
      </w:r>
    </w:p>
    <w:p w:rsidR="00E676DA" w:rsidRPr="00700FB4" w:rsidRDefault="00E676DA" w:rsidP="002B31ED">
      <w:pPr>
        <w:pStyle w:val="NoSpacing"/>
        <w:jc w:val="both"/>
        <w:rPr>
          <w:rFonts w:ascii="Arial" w:hAnsi="Arial" w:cs="Arial"/>
          <w:sz w:val="20"/>
          <w:szCs w:val="20"/>
        </w:rPr>
      </w:pPr>
    </w:p>
    <w:p w:rsidR="00E323B6" w:rsidRPr="00700FB4" w:rsidRDefault="00E676DA" w:rsidP="002B31ED">
      <w:pPr>
        <w:pStyle w:val="NoSpacing"/>
        <w:jc w:val="both"/>
        <w:rPr>
          <w:rFonts w:ascii="Arial" w:hAnsi="Arial" w:cs="Arial"/>
          <w:sz w:val="20"/>
          <w:szCs w:val="20"/>
        </w:rPr>
      </w:pPr>
      <w:r w:rsidRPr="00700FB4">
        <w:rPr>
          <w:rFonts w:ascii="Arial" w:hAnsi="Arial" w:cs="Arial"/>
          <w:sz w:val="20"/>
          <w:szCs w:val="20"/>
        </w:rPr>
        <w:t>Pirmkārt, l</w:t>
      </w:r>
      <w:r w:rsidR="002B31ED" w:rsidRPr="00700FB4">
        <w:rPr>
          <w:rFonts w:ascii="Arial" w:hAnsi="Arial" w:cs="Arial"/>
          <w:sz w:val="20"/>
          <w:szCs w:val="20"/>
        </w:rPr>
        <w:t xml:space="preserve">ai gan </w:t>
      </w:r>
      <w:r w:rsidR="00E17FD4" w:rsidRPr="00700FB4">
        <w:rPr>
          <w:rFonts w:ascii="Arial" w:hAnsi="Arial" w:cs="Arial"/>
          <w:sz w:val="20"/>
          <w:szCs w:val="20"/>
        </w:rPr>
        <w:t xml:space="preserve">Vides novērtējuma </w:t>
      </w:r>
      <w:r w:rsidR="007B0BB6" w:rsidRPr="00700FB4">
        <w:rPr>
          <w:rFonts w:ascii="Arial" w:hAnsi="Arial" w:cs="Arial"/>
          <w:sz w:val="20"/>
          <w:szCs w:val="20"/>
        </w:rPr>
        <w:t xml:space="preserve">direktīvas </w:t>
      </w:r>
      <w:r w:rsidR="002B31ED" w:rsidRPr="00700FB4">
        <w:rPr>
          <w:rFonts w:ascii="Arial" w:hAnsi="Arial" w:cs="Arial"/>
          <w:sz w:val="20"/>
          <w:szCs w:val="20"/>
        </w:rPr>
        <w:t>4.panta 2.punkts imperatīvi nosaka sākotnējā ietekmes uz vidi novērtējuma veikšanu tās 2.pielikumā uzskaitītajiem projektiem, kuri ir ietverti arī Vides novērtējuma likuma 2.pielikumā, tas nosaka arī to, ka dalībvalstīm ir tiesības noteikt limitus vai kritērijus sākotnējā ietekmes uz vid</w:t>
      </w:r>
      <w:r w:rsidR="00FF3E91" w:rsidRPr="00700FB4">
        <w:rPr>
          <w:rFonts w:ascii="Arial" w:hAnsi="Arial" w:cs="Arial"/>
          <w:sz w:val="20"/>
          <w:szCs w:val="20"/>
        </w:rPr>
        <w:t>i</w:t>
      </w:r>
      <w:r w:rsidR="002B31ED" w:rsidRPr="00700FB4">
        <w:rPr>
          <w:rFonts w:ascii="Arial" w:hAnsi="Arial" w:cs="Arial"/>
          <w:sz w:val="20"/>
          <w:szCs w:val="20"/>
        </w:rPr>
        <w:t xml:space="preserve"> novērtējuma veikšanai. Turklāt tas, ka Latvija varētu ieviest sākotnējās ietekmes uz vidi novērtējuma veikšanas izņēmumu attiecībā uz Vides novērtējuma likuma 2.pielikumā minētajām darbībām, ka</w:t>
      </w:r>
      <w:r w:rsidR="00FC2172" w:rsidRPr="00700FB4">
        <w:rPr>
          <w:rFonts w:ascii="Arial" w:hAnsi="Arial" w:cs="Arial"/>
          <w:sz w:val="20"/>
          <w:szCs w:val="20"/>
        </w:rPr>
        <w:t>s</w:t>
      </w:r>
      <w:r w:rsidR="002B31ED" w:rsidRPr="00700FB4">
        <w:rPr>
          <w:rFonts w:ascii="Arial" w:hAnsi="Arial" w:cs="Arial"/>
          <w:sz w:val="20"/>
          <w:szCs w:val="20"/>
        </w:rPr>
        <w:t xml:space="preserve"> būtu veicamas jūras teritorijā, kurai izstrādāts </w:t>
      </w:r>
      <w:r w:rsidR="007B0BB6" w:rsidRPr="00700FB4">
        <w:rPr>
          <w:rFonts w:ascii="Arial" w:hAnsi="Arial" w:cs="Arial"/>
          <w:sz w:val="20"/>
          <w:szCs w:val="20"/>
        </w:rPr>
        <w:t>j</w:t>
      </w:r>
      <w:r w:rsidR="002B31ED" w:rsidRPr="00700FB4">
        <w:rPr>
          <w:rFonts w:ascii="Arial" w:hAnsi="Arial" w:cs="Arial"/>
          <w:sz w:val="20"/>
          <w:szCs w:val="20"/>
        </w:rPr>
        <w:t>ūras plānojums, apliecina arī līdzšinējā Latvijas kritēriju noteikšanas prakse.</w:t>
      </w:r>
    </w:p>
    <w:p w:rsidR="002B31ED" w:rsidRPr="00700FB4" w:rsidRDefault="00E676DA" w:rsidP="002B31ED">
      <w:pPr>
        <w:pStyle w:val="NoSpacing"/>
        <w:jc w:val="both"/>
        <w:rPr>
          <w:rFonts w:ascii="Arial" w:hAnsi="Arial" w:cs="Arial"/>
          <w:sz w:val="20"/>
          <w:szCs w:val="20"/>
        </w:rPr>
      </w:pPr>
      <w:r w:rsidRPr="00700FB4">
        <w:rPr>
          <w:rFonts w:ascii="Arial" w:hAnsi="Arial" w:cs="Arial"/>
          <w:sz w:val="20"/>
          <w:szCs w:val="20"/>
        </w:rPr>
        <w:t xml:space="preserve"> </w:t>
      </w:r>
    </w:p>
    <w:p w:rsidR="002B31ED" w:rsidRPr="00700FB4" w:rsidRDefault="002B31ED" w:rsidP="002B31ED">
      <w:pPr>
        <w:pStyle w:val="NoSpacing"/>
        <w:jc w:val="right"/>
        <w:rPr>
          <w:rFonts w:ascii="Arial" w:hAnsi="Arial" w:cs="Arial"/>
          <w:sz w:val="20"/>
          <w:szCs w:val="20"/>
        </w:rPr>
      </w:pPr>
      <w:r w:rsidRPr="00700FB4">
        <w:rPr>
          <w:rFonts w:ascii="Arial" w:hAnsi="Arial" w:cs="Arial"/>
          <w:sz w:val="20"/>
          <w:szCs w:val="20"/>
        </w:rPr>
        <w:lastRenderedPageBreak/>
        <w:t>Tabula nr.1</w:t>
      </w:r>
    </w:p>
    <w:tbl>
      <w:tblPr>
        <w:tblStyle w:val="TableGrid"/>
        <w:tblW w:w="0" w:type="auto"/>
        <w:tblInd w:w="108" w:type="dxa"/>
        <w:tblLook w:val="04A0"/>
      </w:tblPr>
      <w:tblGrid>
        <w:gridCol w:w="4303"/>
        <w:gridCol w:w="4309"/>
      </w:tblGrid>
      <w:tr w:rsidR="002B31ED" w:rsidRPr="00700FB4" w:rsidTr="00A16342">
        <w:trPr>
          <w:trHeight w:val="399"/>
        </w:trPr>
        <w:tc>
          <w:tcPr>
            <w:tcW w:w="4535" w:type="dxa"/>
            <w:vAlign w:val="center"/>
          </w:tcPr>
          <w:p w:rsidR="002B31ED" w:rsidRPr="00700FB4" w:rsidRDefault="002B31ED" w:rsidP="00A16342">
            <w:pPr>
              <w:pStyle w:val="NoSpacing"/>
              <w:jc w:val="center"/>
              <w:rPr>
                <w:rFonts w:ascii="Arial" w:hAnsi="Arial" w:cs="Arial"/>
                <w:b/>
                <w:sz w:val="20"/>
                <w:szCs w:val="20"/>
              </w:rPr>
            </w:pPr>
            <w:r w:rsidRPr="00700FB4">
              <w:rPr>
                <w:rFonts w:ascii="Arial" w:hAnsi="Arial" w:cs="Arial"/>
                <w:b/>
                <w:sz w:val="20"/>
                <w:szCs w:val="20"/>
              </w:rPr>
              <w:t>Vides novērtējuma likuma 2.pielikums</w:t>
            </w:r>
            <w:r w:rsidRPr="00700FB4">
              <w:rPr>
                <w:rStyle w:val="FootnoteReference"/>
                <w:rFonts w:ascii="Arial" w:hAnsi="Arial" w:cs="Arial"/>
                <w:b/>
                <w:sz w:val="20"/>
                <w:szCs w:val="20"/>
              </w:rPr>
              <w:footnoteReference w:id="86"/>
            </w:r>
          </w:p>
        </w:tc>
        <w:tc>
          <w:tcPr>
            <w:tcW w:w="4537" w:type="dxa"/>
            <w:vAlign w:val="center"/>
          </w:tcPr>
          <w:p w:rsidR="002B31ED" w:rsidRPr="00700FB4" w:rsidRDefault="00E17FD4" w:rsidP="00A16342">
            <w:pPr>
              <w:pStyle w:val="NoSpacing"/>
              <w:jc w:val="center"/>
              <w:rPr>
                <w:rFonts w:ascii="Arial" w:hAnsi="Arial" w:cs="Arial"/>
                <w:b/>
                <w:sz w:val="20"/>
                <w:szCs w:val="20"/>
              </w:rPr>
            </w:pPr>
            <w:r w:rsidRPr="00700FB4">
              <w:rPr>
                <w:rFonts w:ascii="Arial" w:hAnsi="Arial" w:cs="Arial"/>
                <w:b/>
                <w:sz w:val="20"/>
                <w:szCs w:val="20"/>
              </w:rPr>
              <w:t>Vides novērtējuma direktīvas</w:t>
            </w:r>
            <w:r w:rsidR="002B31ED" w:rsidRPr="00700FB4">
              <w:rPr>
                <w:rFonts w:ascii="Arial" w:hAnsi="Arial" w:cs="Arial"/>
                <w:b/>
                <w:sz w:val="20"/>
                <w:szCs w:val="20"/>
              </w:rPr>
              <w:t xml:space="preserve"> 2.pielikums</w:t>
            </w:r>
          </w:p>
        </w:tc>
      </w:tr>
      <w:tr w:rsidR="002B31ED" w:rsidRPr="00700FB4" w:rsidTr="00A16342">
        <w:trPr>
          <w:trHeight w:val="891"/>
        </w:trPr>
        <w:tc>
          <w:tcPr>
            <w:tcW w:w="4535" w:type="dxa"/>
            <w:vAlign w:val="center"/>
          </w:tcPr>
          <w:p w:rsidR="002B31ED" w:rsidRPr="00700FB4" w:rsidRDefault="002B31ED" w:rsidP="00A16342">
            <w:pPr>
              <w:pStyle w:val="NoSpacing"/>
              <w:jc w:val="both"/>
              <w:rPr>
                <w:rFonts w:ascii="Arial" w:hAnsi="Arial" w:cs="Arial"/>
                <w:sz w:val="20"/>
                <w:szCs w:val="20"/>
              </w:rPr>
            </w:pPr>
            <w:r w:rsidRPr="00700FB4">
              <w:rPr>
                <w:rFonts w:ascii="Arial" w:hAnsi="Arial" w:cs="Arial"/>
                <w:sz w:val="20"/>
                <w:szCs w:val="20"/>
              </w:rPr>
              <w:t xml:space="preserve">Lauksaimniecībā izmantojamās zemes lietošanas kategorijas maiņa, </w:t>
            </w:r>
            <w:r w:rsidRPr="00700FB4">
              <w:rPr>
                <w:rFonts w:ascii="Arial" w:hAnsi="Arial" w:cs="Arial"/>
                <w:sz w:val="20"/>
                <w:szCs w:val="20"/>
                <w:u w:val="single"/>
              </w:rPr>
              <w:t>ja šī zemes platība ir lielāka par 50 hektāriem</w:t>
            </w:r>
          </w:p>
        </w:tc>
        <w:tc>
          <w:tcPr>
            <w:tcW w:w="4537" w:type="dxa"/>
            <w:vAlign w:val="center"/>
          </w:tcPr>
          <w:p w:rsidR="002B31ED" w:rsidRPr="00700FB4" w:rsidRDefault="002B31ED" w:rsidP="00A16342">
            <w:pPr>
              <w:pStyle w:val="NoSpacing"/>
              <w:jc w:val="both"/>
              <w:rPr>
                <w:rFonts w:ascii="Arial" w:hAnsi="Arial" w:cs="Arial"/>
                <w:sz w:val="20"/>
                <w:szCs w:val="20"/>
              </w:rPr>
            </w:pPr>
            <w:r w:rsidRPr="00700FB4">
              <w:rPr>
                <w:rFonts w:ascii="Arial" w:hAnsi="Arial" w:cs="Arial"/>
                <w:sz w:val="20"/>
                <w:szCs w:val="20"/>
              </w:rPr>
              <w:t>Projekti lauku zemes īpašuma pārstrukturēšanai</w:t>
            </w:r>
          </w:p>
        </w:tc>
      </w:tr>
      <w:tr w:rsidR="002B31ED" w:rsidRPr="00700FB4" w:rsidTr="00A16342">
        <w:trPr>
          <w:trHeight w:val="1116"/>
        </w:trPr>
        <w:tc>
          <w:tcPr>
            <w:tcW w:w="4535" w:type="dxa"/>
            <w:vAlign w:val="center"/>
          </w:tcPr>
          <w:p w:rsidR="002B31ED" w:rsidRPr="00700FB4" w:rsidRDefault="002B31ED" w:rsidP="00A16342">
            <w:pPr>
              <w:pStyle w:val="NoSpacing"/>
              <w:jc w:val="both"/>
              <w:rPr>
                <w:rFonts w:ascii="Arial" w:hAnsi="Arial" w:cs="Arial"/>
                <w:sz w:val="20"/>
                <w:szCs w:val="20"/>
              </w:rPr>
            </w:pPr>
            <w:r w:rsidRPr="00700FB4">
              <w:rPr>
                <w:rFonts w:ascii="Arial" w:hAnsi="Arial" w:cs="Arial"/>
                <w:sz w:val="20"/>
                <w:szCs w:val="20"/>
              </w:rPr>
              <w:t xml:space="preserve">Daļēji pārveidotu vai saimnieciskajā darbībā neizmantotu teritoriju pārveidošana par aramzemi, </w:t>
            </w:r>
            <w:r w:rsidRPr="00700FB4">
              <w:rPr>
                <w:rFonts w:ascii="Arial" w:hAnsi="Arial" w:cs="Arial"/>
                <w:sz w:val="20"/>
                <w:szCs w:val="20"/>
                <w:u w:val="single"/>
              </w:rPr>
              <w:t>ja zemes platība ir lielāka par 50 hektāriem</w:t>
            </w:r>
          </w:p>
        </w:tc>
        <w:tc>
          <w:tcPr>
            <w:tcW w:w="4537" w:type="dxa"/>
            <w:vAlign w:val="center"/>
          </w:tcPr>
          <w:p w:rsidR="002B31ED" w:rsidRPr="00700FB4" w:rsidRDefault="002B31ED" w:rsidP="00A16342">
            <w:pPr>
              <w:pStyle w:val="NoSpacing"/>
              <w:jc w:val="both"/>
              <w:rPr>
                <w:rFonts w:ascii="Arial" w:hAnsi="Arial" w:cs="Arial"/>
                <w:sz w:val="20"/>
                <w:szCs w:val="20"/>
              </w:rPr>
            </w:pPr>
            <w:r w:rsidRPr="00700FB4">
              <w:rPr>
                <w:rFonts w:ascii="Arial" w:hAnsi="Arial" w:cs="Arial"/>
                <w:sz w:val="20"/>
                <w:szCs w:val="20"/>
              </w:rPr>
              <w:t xml:space="preserve">Projekti neapstrādātās zemes vai daļēji neskarto platību izmantošanai zemkopībā </w:t>
            </w:r>
          </w:p>
        </w:tc>
      </w:tr>
      <w:tr w:rsidR="002B31ED" w:rsidRPr="00700FB4" w:rsidTr="00A16342">
        <w:trPr>
          <w:trHeight w:val="707"/>
        </w:trPr>
        <w:tc>
          <w:tcPr>
            <w:tcW w:w="4535" w:type="dxa"/>
            <w:vAlign w:val="center"/>
          </w:tcPr>
          <w:p w:rsidR="002B31ED" w:rsidRPr="00700FB4" w:rsidRDefault="002B31ED" w:rsidP="00A16342">
            <w:pPr>
              <w:pStyle w:val="NoSpacing"/>
              <w:jc w:val="both"/>
              <w:rPr>
                <w:rFonts w:ascii="Arial" w:hAnsi="Arial" w:cs="Arial"/>
                <w:sz w:val="20"/>
                <w:szCs w:val="20"/>
              </w:rPr>
            </w:pPr>
            <w:r w:rsidRPr="00700FB4">
              <w:rPr>
                <w:rFonts w:ascii="Arial" w:eastAsia="Times New Roman" w:hAnsi="Arial" w:cs="Arial"/>
                <w:sz w:val="20"/>
                <w:szCs w:val="20"/>
                <w:lang w:eastAsia="lv-LV"/>
              </w:rPr>
              <w:t xml:space="preserve">Zivju audzēšanai paredzētu dīķu ierīkošana, </w:t>
            </w:r>
            <w:r w:rsidRPr="00700FB4">
              <w:rPr>
                <w:rFonts w:ascii="Arial" w:eastAsia="Times New Roman" w:hAnsi="Arial" w:cs="Arial"/>
                <w:sz w:val="20"/>
                <w:szCs w:val="20"/>
                <w:u w:val="single"/>
                <w:lang w:eastAsia="lv-LV"/>
              </w:rPr>
              <w:t>kuru kopējā platība pārsniedz 10 hektārus</w:t>
            </w:r>
          </w:p>
        </w:tc>
        <w:tc>
          <w:tcPr>
            <w:tcW w:w="4537" w:type="dxa"/>
            <w:vAlign w:val="center"/>
          </w:tcPr>
          <w:p w:rsidR="002B31ED" w:rsidRPr="00700FB4" w:rsidRDefault="002B31ED" w:rsidP="00A16342">
            <w:pPr>
              <w:pStyle w:val="NoSpacing"/>
              <w:jc w:val="both"/>
              <w:rPr>
                <w:rFonts w:ascii="Arial" w:hAnsi="Arial" w:cs="Arial"/>
                <w:sz w:val="20"/>
                <w:szCs w:val="20"/>
              </w:rPr>
            </w:pPr>
            <w:r w:rsidRPr="00700FB4">
              <w:rPr>
                <w:rFonts w:ascii="Arial" w:hAnsi="Arial" w:cs="Arial"/>
                <w:sz w:val="20"/>
                <w:szCs w:val="20"/>
              </w:rPr>
              <w:t>Intensīvā zivju audzēšana</w:t>
            </w:r>
          </w:p>
        </w:tc>
      </w:tr>
      <w:tr w:rsidR="002B31ED" w:rsidRPr="00700FB4" w:rsidTr="00A16342">
        <w:trPr>
          <w:trHeight w:val="832"/>
        </w:trPr>
        <w:tc>
          <w:tcPr>
            <w:tcW w:w="4535" w:type="dxa"/>
            <w:vAlign w:val="center"/>
          </w:tcPr>
          <w:p w:rsidR="002B31ED" w:rsidRPr="00700FB4" w:rsidRDefault="002B31ED" w:rsidP="00A16342">
            <w:pPr>
              <w:jc w:val="both"/>
              <w:rPr>
                <w:rFonts w:ascii="Arial" w:hAnsi="Arial" w:cs="Arial"/>
                <w:sz w:val="20"/>
                <w:szCs w:val="20"/>
              </w:rPr>
            </w:pPr>
            <w:r w:rsidRPr="00700FB4">
              <w:rPr>
                <w:rFonts w:ascii="Arial" w:hAnsi="Arial" w:cs="Arial"/>
                <w:sz w:val="20"/>
                <w:szCs w:val="20"/>
              </w:rPr>
              <w:t xml:space="preserve">Vēja elektrostaciju būvniecība </w:t>
            </w:r>
            <w:r w:rsidRPr="00700FB4">
              <w:rPr>
                <w:rFonts w:ascii="Arial" w:hAnsi="Arial" w:cs="Arial"/>
                <w:sz w:val="20"/>
                <w:szCs w:val="20"/>
                <w:u w:val="single"/>
              </w:rPr>
              <w:t>Latvijas Republikas teritoriālajā jūrā un Latvijas Republikas ekskluzīvajā ekonomiskajā zonā</w:t>
            </w:r>
          </w:p>
        </w:tc>
        <w:tc>
          <w:tcPr>
            <w:tcW w:w="4537" w:type="dxa"/>
            <w:vAlign w:val="center"/>
          </w:tcPr>
          <w:p w:rsidR="002B31ED" w:rsidRPr="00700FB4" w:rsidRDefault="002B31ED" w:rsidP="00A16342">
            <w:pPr>
              <w:pStyle w:val="NoSpacing"/>
              <w:jc w:val="both"/>
              <w:rPr>
                <w:rFonts w:ascii="Arial" w:hAnsi="Arial" w:cs="Arial"/>
                <w:sz w:val="20"/>
                <w:szCs w:val="20"/>
              </w:rPr>
            </w:pPr>
            <w:r w:rsidRPr="00700FB4">
              <w:rPr>
                <w:rFonts w:ascii="Arial" w:hAnsi="Arial" w:cs="Arial"/>
                <w:sz w:val="20"/>
                <w:szCs w:val="20"/>
              </w:rPr>
              <w:t>Iekārtas vēja izmantošanai, lai ražotu enerģiju (vēja saimniecības)</w:t>
            </w:r>
          </w:p>
        </w:tc>
      </w:tr>
      <w:tr w:rsidR="002B31ED" w:rsidRPr="00700FB4" w:rsidTr="00A16342">
        <w:trPr>
          <w:trHeight w:val="843"/>
        </w:trPr>
        <w:tc>
          <w:tcPr>
            <w:tcW w:w="4535" w:type="dxa"/>
          </w:tcPr>
          <w:p w:rsidR="002B31ED" w:rsidRPr="00700FB4" w:rsidRDefault="002B31ED" w:rsidP="00A16342">
            <w:pPr>
              <w:pStyle w:val="NoSpacing"/>
              <w:jc w:val="both"/>
              <w:rPr>
                <w:rFonts w:ascii="Arial" w:hAnsi="Arial" w:cs="Arial"/>
                <w:sz w:val="20"/>
                <w:szCs w:val="20"/>
                <w:u w:val="single"/>
              </w:rPr>
            </w:pPr>
            <w:r w:rsidRPr="00700FB4">
              <w:rPr>
                <w:rFonts w:ascii="Arial" w:hAnsi="Arial" w:cs="Arial"/>
                <w:sz w:val="20"/>
                <w:szCs w:val="20"/>
              </w:rPr>
              <w:t xml:space="preserve">Cauruļvadu ierīkošana naftas un gāzes transportēšanai, </w:t>
            </w:r>
            <w:r w:rsidRPr="00700FB4">
              <w:rPr>
                <w:rFonts w:ascii="Arial" w:hAnsi="Arial" w:cs="Arial"/>
                <w:sz w:val="20"/>
                <w:szCs w:val="20"/>
                <w:u w:val="single"/>
              </w:rPr>
              <w:t>ja to garums pārsniedz 20 kilometrus</w:t>
            </w:r>
          </w:p>
        </w:tc>
        <w:tc>
          <w:tcPr>
            <w:tcW w:w="4537" w:type="dxa"/>
          </w:tcPr>
          <w:p w:rsidR="002B31ED" w:rsidRPr="00700FB4" w:rsidRDefault="002B31ED" w:rsidP="00A16342">
            <w:pPr>
              <w:pStyle w:val="NoSpacing"/>
              <w:jc w:val="both"/>
              <w:rPr>
                <w:rFonts w:ascii="Arial" w:hAnsi="Arial" w:cs="Arial"/>
                <w:sz w:val="20"/>
                <w:szCs w:val="20"/>
              </w:rPr>
            </w:pPr>
            <w:r w:rsidRPr="00700FB4">
              <w:rPr>
                <w:rFonts w:ascii="Arial" w:hAnsi="Arial" w:cs="Arial"/>
                <w:sz w:val="20"/>
                <w:szCs w:val="20"/>
              </w:rPr>
              <w:t>Naftas un gāzes cauruļvadu iekārtas (I pielikumā neiekļautie projekti)</w:t>
            </w:r>
          </w:p>
        </w:tc>
      </w:tr>
    </w:tbl>
    <w:p w:rsidR="00B057F0" w:rsidRPr="00700FB4" w:rsidRDefault="00B057F0" w:rsidP="007B0BB6">
      <w:pPr>
        <w:pStyle w:val="NoSpacing"/>
        <w:jc w:val="both"/>
        <w:rPr>
          <w:rFonts w:ascii="Arial" w:hAnsi="Arial" w:cs="Arial"/>
          <w:sz w:val="20"/>
          <w:szCs w:val="20"/>
        </w:rPr>
      </w:pPr>
    </w:p>
    <w:p w:rsidR="00E676DA" w:rsidRPr="00700FB4" w:rsidRDefault="00E676DA" w:rsidP="007B0BB6">
      <w:pPr>
        <w:pStyle w:val="NoSpacing"/>
        <w:jc w:val="both"/>
        <w:rPr>
          <w:rFonts w:ascii="Arial" w:hAnsi="Arial" w:cs="Arial"/>
          <w:sz w:val="20"/>
          <w:szCs w:val="20"/>
        </w:rPr>
      </w:pPr>
      <w:r w:rsidRPr="00700FB4">
        <w:rPr>
          <w:rFonts w:ascii="Arial" w:hAnsi="Arial" w:cs="Arial"/>
          <w:sz w:val="20"/>
          <w:szCs w:val="20"/>
        </w:rPr>
        <w:t>Tas nozīmē, ka konkrētām darbībām jūrā likuma 2.pielikumā varētu pievienot papildu kritērijus (piemēram, lielākus, ja attiecīgā darbība attiecīgajā vietā ir paredzēta jūras plānojumā). Tomēr šāda izņēmuma n</w:t>
      </w:r>
      <w:r w:rsidR="00E323B6" w:rsidRPr="00700FB4">
        <w:rPr>
          <w:rFonts w:ascii="Arial" w:hAnsi="Arial" w:cs="Arial"/>
          <w:sz w:val="20"/>
          <w:szCs w:val="20"/>
        </w:rPr>
        <w:t xml:space="preserve">oteikšana ir vairāk teorētiska, bet nav izslēdzama tās nepieciešamība nākotnē.  </w:t>
      </w:r>
    </w:p>
    <w:p w:rsidR="00E676DA" w:rsidRPr="00700FB4" w:rsidRDefault="00E676DA" w:rsidP="007B0BB6">
      <w:pPr>
        <w:pStyle w:val="NoSpacing"/>
        <w:jc w:val="both"/>
        <w:rPr>
          <w:rFonts w:ascii="Arial" w:hAnsi="Arial" w:cs="Arial"/>
          <w:sz w:val="20"/>
          <w:szCs w:val="20"/>
        </w:rPr>
      </w:pPr>
    </w:p>
    <w:p w:rsidR="00DE5BF7" w:rsidRPr="00700FB4" w:rsidRDefault="00E676DA" w:rsidP="00DE5BF7">
      <w:pPr>
        <w:pStyle w:val="NoSpacing"/>
        <w:jc w:val="both"/>
        <w:rPr>
          <w:rFonts w:ascii="Arial Unicode MS" w:eastAsia="Arial Unicode MS" w:hAnsi="Arial Unicode MS" w:cs="Arial Unicode MS"/>
          <w:color w:val="000000" w:themeColor="text1"/>
          <w:sz w:val="19"/>
          <w:szCs w:val="19"/>
        </w:rPr>
      </w:pPr>
      <w:r w:rsidRPr="00700FB4">
        <w:rPr>
          <w:rFonts w:ascii="Arial" w:hAnsi="Arial" w:cs="Arial"/>
          <w:sz w:val="20"/>
          <w:szCs w:val="20"/>
        </w:rPr>
        <w:t xml:space="preserve">Otrkārt, lai arī jūras plānojums un stratēģiskais ietekmes uz vidi novērtējums, kas tam veikts, pats par sevi nav kritērijs, lai nepiemērotu ietekmes uz vidi sākotnējo novērtējumu, Direktīvas 4.pants ļauj izmantot stratēģisko ietekmes uz vidi novērtējumu, kas veikts, piemēram, jūras </w:t>
      </w:r>
      <w:r w:rsidRPr="00700FB4">
        <w:rPr>
          <w:rFonts w:ascii="Arial" w:hAnsi="Arial" w:cs="Arial"/>
          <w:color w:val="000000" w:themeColor="text1"/>
          <w:sz w:val="20"/>
          <w:szCs w:val="20"/>
        </w:rPr>
        <w:t xml:space="preserve">plānojumam, lai atvieglotu sākotnējā novērtējuma veikšanu, proti, izpētes apjomu, kas jāveic par attiecīgo darbību, tādējādi samazinātos arī administratīvais slogs attīstības projekta veikšanai. </w:t>
      </w:r>
      <w:r w:rsidR="00DE5BF7" w:rsidRPr="00700FB4">
        <w:rPr>
          <w:rFonts w:ascii="Arial" w:hAnsi="Arial" w:cs="Arial"/>
          <w:color w:val="000000" w:themeColor="text1"/>
          <w:sz w:val="20"/>
          <w:szCs w:val="20"/>
        </w:rPr>
        <w:t>To apstiprina Direktīvas 2011/92/ES 4.panta piektā daļa, kas vēl nav ieviesta Latvijas tiesību sistēmā</w:t>
      </w:r>
      <w:r w:rsidR="00E323B6" w:rsidRPr="00700FB4">
        <w:rPr>
          <w:rFonts w:ascii="Arial" w:hAnsi="Arial" w:cs="Arial"/>
          <w:color w:val="000000" w:themeColor="text1"/>
          <w:sz w:val="20"/>
          <w:szCs w:val="20"/>
        </w:rPr>
        <w:t>, jo nav iestājies ieviešanas termiņš,</w:t>
      </w:r>
      <w:r w:rsidR="00DE5BF7" w:rsidRPr="00700FB4">
        <w:rPr>
          <w:rFonts w:ascii="Arial" w:hAnsi="Arial" w:cs="Arial"/>
          <w:color w:val="000000" w:themeColor="text1"/>
          <w:sz w:val="20"/>
          <w:szCs w:val="20"/>
        </w:rPr>
        <w:t xml:space="preserve"> un paredz, ka k</w:t>
      </w:r>
      <w:r w:rsidR="00DE5BF7" w:rsidRPr="00700FB4">
        <w:rPr>
          <w:rFonts w:ascii="Arial" w:eastAsia="Arial Unicode MS" w:hAnsi="Arial" w:cs="Arial"/>
          <w:color w:val="000000" w:themeColor="text1"/>
          <w:sz w:val="20"/>
          <w:szCs w:val="20"/>
        </w:rPr>
        <w:t xml:space="preserve">ompetentā iestāde pieņem lēmumu, pamatojoties uz attīstītāja saskaņā sniegto informāciju un vajadzības gadījumā ņem vērā rezultātus, kas gūti tādās iepriekšējās pārbaudēs vai novērtējumos par ietekmi uz vidi, kuri veikti, ievērojot ES tiesību aktus, kas nav šī direktīva. Tātad šo dokumentu lokā ietilpst arī </w:t>
      </w:r>
      <w:r w:rsidR="0028341B" w:rsidRPr="00700FB4">
        <w:rPr>
          <w:rFonts w:ascii="Arial" w:eastAsia="Arial Unicode MS" w:hAnsi="Arial" w:cs="Arial"/>
          <w:color w:val="000000" w:themeColor="text1"/>
          <w:sz w:val="20"/>
          <w:szCs w:val="20"/>
        </w:rPr>
        <w:t xml:space="preserve">stratēģiskās ietekmes uz vidi novērtējums. </w:t>
      </w:r>
    </w:p>
    <w:p w:rsidR="00DE5BF7" w:rsidRPr="00700FB4" w:rsidRDefault="00DE5BF7" w:rsidP="007B0BB6">
      <w:pPr>
        <w:pStyle w:val="NoSpacing"/>
        <w:jc w:val="both"/>
        <w:rPr>
          <w:rFonts w:ascii="Arial" w:hAnsi="Arial" w:cs="Arial"/>
          <w:color w:val="000000" w:themeColor="text1"/>
          <w:sz w:val="20"/>
          <w:szCs w:val="20"/>
        </w:rPr>
      </w:pPr>
    </w:p>
    <w:p w:rsidR="0086062E" w:rsidRPr="00700FB4" w:rsidRDefault="00E676DA" w:rsidP="0086062E">
      <w:pPr>
        <w:pStyle w:val="NoSpacing"/>
        <w:jc w:val="both"/>
        <w:rPr>
          <w:rFonts w:ascii="Arial" w:eastAsia="Times New Roman" w:hAnsi="Arial" w:cs="Arial"/>
          <w:color w:val="000000" w:themeColor="text1"/>
          <w:sz w:val="20"/>
          <w:szCs w:val="20"/>
          <w:lang w:eastAsia="lv-LV"/>
        </w:rPr>
      </w:pPr>
      <w:r w:rsidRPr="00700FB4">
        <w:rPr>
          <w:rFonts w:ascii="Arial" w:hAnsi="Arial" w:cs="Arial"/>
          <w:color w:val="000000" w:themeColor="text1"/>
          <w:sz w:val="20"/>
          <w:szCs w:val="20"/>
        </w:rPr>
        <w:t xml:space="preserve">Papildu tam minams, ka </w:t>
      </w:r>
      <w:r w:rsidR="00DE5BF7" w:rsidRPr="00700FB4">
        <w:rPr>
          <w:rFonts w:ascii="Arial" w:hAnsi="Arial" w:cs="Arial"/>
          <w:color w:val="000000" w:themeColor="text1"/>
          <w:sz w:val="20"/>
          <w:szCs w:val="20"/>
        </w:rPr>
        <w:t xml:space="preserve">jūras plānojumu var izmantot, lai atvieglotu </w:t>
      </w:r>
      <w:r w:rsidR="0086062E" w:rsidRPr="00700FB4">
        <w:rPr>
          <w:rFonts w:ascii="Arial" w:hAnsi="Arial" w:cs="Arial"/>
          <w:color w:val="000000" w:themeColor="text1"/>
          <w:sz w:val="20"/>
          <w:szCs w:val="20"/>
        </w:rPr>
        <w:t>izpētes apjomu gadījumā, kad k</w:t>
      </w:r>
      <w:r w:rsidR="0086062E" w:rsidRPr="00700FB4">
        <w:rPr>
          <w:rFonts w:ascii="Arial" w:eastAsia="Times New Roman" w:hAnsi="Arial" w:cs="Arial"/>
          <w:color w:val="000000" w:themeColor="text1"/>
          <w:sz w:val="20"/>
          <w:szCs w:val="20"/>
          <w:lang w:eastAsia="lv-LV"/>
        </w:rPr>
        <w:t xml:space="preserve">omersants iesniedz atbildīgajā ministrijā iesniegumu ar ierosinājumu noteikt laukumu jūrā atbilstoši Ministru kabineta 2014.gada 14.oktobra noteikumiem </w:t>
      </w:r>
      <w:r w:rsidR="0086062E" w:rsidRPr="00232626">
        <w:rPr>
          <w:rFonts w:ascii="Arial" w:eastAsia="Times New Roman" w:hAnsi="Arial" w:cs="Arial"/>
          <w:color w:val="000000" w:themeColor="text1"/>
          <w:sz w:val="20"/>
          <w:szCs w:val="20"/>
          <w:lang w:eastAsia="lv-LV"/>
        </w:rPr>
        <w:t>Nr.631</w:t>
      </w:r>
      <w:r w:rsidR="0086062E" w:rsidRPr="00700FB4">
        <w:rPr>
          <w:rFonts w:ascii="Arial" w:eastAsia="Times New Roman" w:hAnsi="Arial" w:cs="Arial"/>
          <w:b/>
          <w:color w:val="000000" w:themeColor="text1"/>
          <w:sz w:val="20"/>
          <w:szCs w:val="20"/>
          <w:lang w:eastAsia="lv-LV"/>
        </w:rPr>
        <w:t xml:space="preserve"> “</w:t>
      </w:r>
      <w:r w:rsidR="0086062E" w:rsidRPr="00700FB4">
        <w:rPr>
          <w:rFonts w:ascii="Arial" w:eastAsia="Times New Roman" w:hAnsi="Arial" w:cs="Arial"/>
          <w:b/>
          <w:bCs/>
          <w:color w:val="000000" w:themeColor="text1"/>
          <w:sz w:val="20"/>
          <w:szCs w:val="20"/>
          <w:lang w:eastAsia="lv-LV"/>
        </w:rPr>
        <w:t>Latvijas Republikas iekšējo jūras ūdeņu, teritoriālās jūras un ekskluzīvās ekonomiskās zonas būvju būvnoteikumi”</w:t>
      </w:r>
      <w:r w:rsidR="0086062E" w:rsidRPr="00700FB4">
        <w:rPr>
          <w:rFonts w:ascii="Arial" w:eastAsia="Times New Roman" w:hAnsi="Arial" w:cs="Arial"/>
          <w:bCs/>
          <w:color w:val="000000" w:themeColor="text1"/>
          <w:sz w:val="20"/>
          <w:szCs w:val="20"/>
          <w:lang w:eastAsia="lv-LV"/>
        </w:rPr>
        <w:t xml:space="preserve">, pievienojot iesniegumam informāciju par plānotajām darbībām, kas citastarp ietver </w:t>
      </w:r>
      <w:r w:rsidR="0086062E" w:rsidRPr="00700FB4">
        <w:rPr>
          <w:rFonts w:ascii="Arial" w:eastAsia="Times New Roman" w:hAnsi="Arial" w:cs="Arial"/>
          <w:color w:val="000000" w:themeColor="text1"/>
          <w:sz w:val="20"/>
          <w:szCs w:val="20"/>
          <w:lang w:eastAsia="lv-LV"/>
        </w:rPr>
        <w:t xml:space="preserve">ietekmi uz bioloģisko daudzveidību, kuģu satiksmi un izvēlētā laukuma daļas ģeoloģiju. Šajos noteikumos varētu paredzēt, ka par darbību ietekmi, kas jau izriet no jūras plānojuma, atsevišķi informāciju nesniedz, bet </w:t>
      </w:r>
      <w:r w:rsidR="00232626">
        <w:rPr>
          <w:rFonts w:ascii="Arial" w:eastAsia="Times New Roman" w:hAnsi="Arial" w:cs="Arial"/>
          <w:color w:val="000000" w:themeColor="text1"/>
          <w:sz w:val="20"/>
          <w:szCs w:val="20"/>
          <w:lang w:eastAsia="lv-LV"/>
        </w:rPr>
        <w:t xml:space="preserve">var </w:t>
      </w:r>
      <w:r w:rsidR="0086062E" w:rsidRPr="00700FB4">
        <w:rPr>
          <w:rFonts w:ascii="Arial" w:eastAsia="Times New Roman" w:hAnsi="Arial" w:cs="Arial"/>
          <w:color w:val="000000" w:themeColor="text1"/>
          <w:sz w:val="20"/>
          <w:szCs w:val="20"/>
          <w:lang w:eastAsia="lv-LV"/>
        </w:rPr>
        <w:t>pievieno</w:t>
      </w:r>
      <w:r w:rsidR="00232626">
        <w:rPr>
          <w:rFonts w:ascii="Arial" w:eastAsia="Times New Roman" w:hAnsi="Arial" w:cs="Arial"/>
          <w:color w:val="000000" w:themeColor="text1"/>
          <w:sz w:val="20"/>
          <w:szCs w:val="20"/>
          <w:lang w:eastAsia="lv-LV"/>
        </w:rPr>
        <w:t>t</w:t>
      </w:r>
      <w:r w:rsidR="0086062E" w:rsidRPr="00700FB4">
        <w:rPr>
          <w:rFonts w:ascii="Arial" w:eastAsia="Times New Roman" w:hAnsi="Arial" w:cs="Arial"/>
          <w:color w:val="000000" w:themeColor="text1"/>
          <w:sz w:val="20"/>
          <w:szCs w:val="20"/>
          <w:lang w:eastAsia="lv-LV"/>
        </w:rPr>
        <w:t xml:space="preserve"> norādi uz jūras plānojumu. </w:t>
      </w:r>
    </w:p>
    <w:p w:rsidR="0004161F" w:rsidRPr="00700FB4" w:rsidRDefault="0004161F" w:rsidP="0086062E">
      <w:pPr>
        <w:pStyle w:val="NoSpacing"/>
        <w:jc w:val="both"/>
        <w:rPr>
          <w:rFonts w:ascii="Arial" w:eastAsia="Times New Roman" w:hAnsi="Arial" w:cs="Arial"/>
          <w:color w:val="000000" w:themeColor="text1"/>
          <w:sz w:val="20"/>
          <w:szCs w:val="20"/>
          <w:lang w:eastAsia="lv-LV"/>
        </w:rPr>
      </w:pPr>
    </w:p>
    <w:p w:rsidR="0004161F" w:rsidRPr="00700FB4" w:rsidRDefault="0004161F" w:rsidP="0086062E">
      <w:pPr>
        <w:pStyle w:val="NoSpacing"/>
        <w:jc w:val="both"/>
        <w:rPr>
          <w:rFonts w:ascii="Arial" w:eastAsia="Times New Roman" w:hAnsi="Arial" w:cs="Arial"/>
          <w:color w:val="000000" w:themeColor="text1"/>
          <w:sz w:val="20"/>
          <w:szCs w:val="20"/>
          <w:lang w:eastAsia="lv-LV"/>
        </w:rPr>
      </w:pPr>
      <w:r w:rsidRPr="00700FB4">
        <w:rPr>
          <w:rFonts w:ascii="Arial" w:eastAsia="Times New Roman" w:hAnsi="Arial" w:cs="Arial"/>
          <w:color w:val="000000" w:themeColor="text1"/>
          <w:sz w:val="20"/>
          <w:szCs w:val="20"/>
          <w:lang w:eastAsia="lv-LV"/>
        </w:rPr>
        <w:t>Vienlaikus norādāms, ka gadījumā, ja jūras atļauto izmantošanu nosaka Ministru kabineta noteikumu formā, tad Vides novērtējuma likuma 12. un 14.</w:t>
      </w:r>
      <w:r w:rsidRPr="00700FB4">
        <w:rPr>
          <w:rFonts w:ascii="Arial" w:eastAsia="Times New Roman" w:hAnsi="Arial" w:cs="Arial"/>
          <w:color w:val="000000" w:themeColor="text1"/>
          <w:sz w:val="20"/>
          <w:szCs w:val="20"/>
          <w:vertAlign w:val="superscript"/>
          <w:lang w:eastAsia="lv-LV"/>
        </w:rPr>
        <w:t>1</w:t>
      </w:r>
      <w:r w:rsidRPr="00700FB4">
        <w:rPr>
          <w:rFonts w:ascii="Arial" w:eastAsia="Times New Roman" w:hAnsi="Arial" w:cs="Arial"/>
          <w:color w:val="000000" w:themeColor="text1"/>
          <w:sz w:val="20"/>
          <w:szCs w:val="20"/>
          <w:lang w:eastAsia="lv-LV"/>
        </w:rPr>
        <w:t xml:space="preserve"> pants ir jāpapildina ar norādi uz jūras plānojumu papildus norādei izņēmumos par vietējo pašvaldību teritorijas plānojumiem, jo citādi nebūs iespējams veikt darbības jūrā, kur tās būtu iespējamas, bet kur to neparedz jūras plānojums. </w:t>
      </w:r>
      <w:r w:rsidR="00E323B6" w:rsidRPr="00700FB4">
        <w:rPr>
          <w:rFonts w:ascii="Arial" w:eastAsia="Times New Roman" w:hAnsi="Arial" w:cs="Arial"/>
          <w:color w:val="000000" w:themeColor="text1"/>
          <w:sz w:val="20"/>
          <w:szCs w:val="20"/>
          <w:lang w:eastAsia="lv-LV"/>
        </w:rPr>
        <w:t xml:space="preserve">Ja tomēr jūras plānojums netiek apstiprināts ar Ministru kabineta noteikumiem, tad šāds grozījums nav nepieciešams. </w:t>
      </w:r>
    </w:p>
    <w:p w:rsidR="00B62239" w:rsidRPr="00700FB4" w:rsidRDefault="00B62239" w:rsidP="007B0BB6">
      <w:pPr>
        <w:pStyle w:val="NoSpacing"/>
        <w:jc w:val="both"/>
        <w:rPr>
          <w:rFonts w:ascii="Arial" w:hAnsi="Arial" w:cs="Arial"/>
          <w:sz w:val="20"/>
          <w:szCs w:val="20"/>
        </w:rPr>
      </w:pPr>
    </w:p>
    <w:p w:rsidR="0004161F" w:rsidRPr="00700FB4" w:rsidRDefault="0004161F">
      <w:pPr>
        <w:rPr>
          <w:rFonts w:ascii="Arial" w:eastAsiaTheme="majorEastAsia" w:hAnsi="Arial" w:cstheme="majorBidi"/>
          <w:b/>
          <w:bCs/>
          <w:sz w:val="20"/>
          <w:szCs w:val="28"/>
        </w:rPr>
      </w:pPr>
      <w:r w:rsidRPr="00700FB4">
        <w:br w:type="page"/>
      </w:r>
    </w:p>
    <w:p w:rsidR="00D3551D" w:rsidRPr="00700FB4" w:rsidRDefault="00D3551D" w:rsidP="00665269">
      <w:pPr>
        <w:pStyle w:val="Heading1"/>
      </w:pPr>
      <w:bookmarkStart w:id="32" w:name="_Toc460402343"/>
      <w:r w:rsidRPr="00700FB4">
        <w:lastRenderedPageBreak/>
        <w:t>[5] Jūras plānojuma juridiskā forma un vieta plānošanas sistēmā – izvēles varianti</w:t>
      </w:r>
      <w:bookmarkEnd w:id="32"/>
    </w:p>
    <w:p w:rsidR="00D3551D" w:rsidRPr="00700FB4" w:rsidRDefault="00D3551D" w:rsidP="00D3551D">
      <w:pPr>
        <w:pStyle w:val="NoSpacing"/>
        <w:jc w:val="both"/>
        <w:rPr>
          <w:rFonts w:ascii="Arial" w:hAnsi="Arial" w:cs="Arial"/>
          <w:b/>
          <w:sz w:val="20"/>
          <w:szCs w:val="20"/>
        </w:rPr>
      </w:pPr>
    </w:p>
    <w:p w:rsidR="002F219E" w:rsidRPr="00700FB4" w:rsidRDefault="002F219E" w:rsidP="00665269">
      <w:pPr>
        <w:pStyle w:val="Heading2"/>
        <w:rPr>
          <w:lang w:eastAsia="lv-LV"/>
        </w:rPr>
      </w:pPr>
      <w:bookmarkStart w:id="33" w:name="_Toc460402344"/>
      <w:r w:rsidRPr="00700FB4">
        <w:rPr>
          <w:lang w:eastAsia="lv-LV"/>
        </w:rPr>
        <w:t>[5.1] Jūras plānojuma vieta attīstības plānošanas sistēmā</w:t>
      </w:r>
      <w:bookmarkEnd w:id="33"/>
    </w:p>
    <w:p w:rsidR="00D3551D" w:rsidRPr="00700FB4" w:rsidRDefault="00255644" w:rsidP="00D3551D">
      <w:pPr>
        <w:pStyle w:val="NoSpacing"/>
        <w:jc w:val="both"/>
        <w:rPr>
          <w:rFonts w:ascii="Arial" w:hAnsi="Arial" w:cs="Arial"/>
          <w:sz w:val="20"/>
          <w:szCs w:val="20"/>
        </w:rPr>
      </w:pPr>
      <w:r w:rsidRPr="00700FB4">
        <w:rPr>
          <w:rFonts w:ascii="Arial" w:hAnsi="Arial" w:cs="Arial"/>
          <w:sz w:val="20"/>
          <w:szCs w:val="20"/>
          <w:lang w:eastAsia="lv-LV"/>
        </w:rPr>
        <w:t>Plānošanas likuma</w:t>
      </w:r>
      <w:r w:rsidR="00D3551D" w:rsidRPr="00700FB4">
        <w:rPr>
          <w:rFonts w:ascii="Arial" w:hAnsi="Arial" w:cs="Arial"/>
          <w:sz w:val="20"/>
          <w:szCs w:val="20"/>
          <w:lang w:eastAsia="lv-LV"/>
        </w:rPr>
        <w:t xml:space="preserve"> 1.panta 11.punkts noteic, ka </w:t>
      </w:r>
      <w:r w:rsidR="00D3551D" w:rsidRPr="00700FB4">
        <w:rPr>
          <w:rFonts w:ascii="Arial" w:hAnsi="Arial" w:cs="Arial"/>
          <w:bCs/>
          <w:sz w:val="20"/>
          <w:szCs w:val="20"/>
        </w:rPr>
        <w:t>jūras plānojums</w:t>
      </w:r>
      <w:r w:rsidR="00D3551D" w:rsidRPr="00700FB4">
        <w:rPr>
          <w:rFonts w:ascii="Arial" w:hAnsi="Arial" w:cs="Arial"/>
          <w:sz w:val="20"/>
          <w:szCs w:val="20"/>
        </w:rPr>
        <w:t xml:space="preserve"> ir nacionālā līmeņa ilgtermiņa teritorijas attīstības plānošanas dokuments, kurā noteikta jūras izmantošana, ņemot vērā funkcionāli ar jūru saistīto sauszemes daļu. </w:t>
      </w:r>
    </w:p>
    <w:p w:rsidR="00D3551D" w:rsidRPr="00700FB4" w:rsidRDefault="00D3551D" w:rsidP="00D3551D">
      <w:pPr>
        <w:pStyle w:val="NoSpacing"/>
        <w:jc w:val="both"/>
        <w:rPr>
          <w:rFonts w:ascii="Arial" w:hAnsi="Arial" w:cs="Arial"/>
          <w:sz w:val="20"/>
          <w:szCs w:val="20"/>
        </w:rPr>
      </w:pPr>
    </w:p>
    <w:p w:rsidR="00D3551D" w:rsidRPr="00700FB4" w:rsidRDefault="00E17FD4" w:rsidP="00D3551D">
      <w:pPr>
        <w:pStyle w:val="NoSpacing"/>
        <w:jc w:val="both"/>
        <w:rPr>
          <w:rFonts w:ascii="Arial" w:hAnsi="Arial" w:cs="Arial"/>
          <w:sz w:val="20"/>
          <w:szCs w:val="20"/>
        </w:rPr>
      </w:pPr>
      <w:r w:rsidRPr="00700FB4">
        <w:rPr>
          <w:rFonts w:ascii="Arial" w:hAnsi="Arial" w:cs="Arial"/>
          <w:sz w:val="20"/>
          <w:szCs w:val="20"/>
        </w:rPr>
        <w:t xml:space="preserve">Plānošanas </w:t>
      </w:r>
      <w:r w:rsidR="00D3551D" w:rsidRPr="00700FB4">
        <w:rPr>
          <w:rFonts w:ascii="Arial" w:hAnsi="Arial" w:cs="Arial"/>
          <w:sz w:val="20"/>
          <w:szCs w:val="20"/>
        </w:rPr>
        <w:t xml:space="preserve">likums tieši nenosaka jūras plānojuma saistošo raksturu vai specifiski neapraksta viņa praktisko izmantošanu citu normatīvo aktu izdošanā vai lēmumu pieņemšanā, izņemot to, kas izriet no </w:t>
      </w:r>
      <w:r w:rsidR="00255644" w:rsidRPr="00700FB4">
        <w:rPr>
          <w:rFonts w:ascii="Arial" w:hAnsi="Arial" w:cs="Arial"/>
          <w:sz w:val="20"/>
          <w:szCs w:val="20"/>
        </w:rPr>
        <w:t>Sistēmas likuma</w:t>
      </w:r>
      <w:r w:rsidR="00A4678B" w:rsidRPr="00700FB4">
        <w:rPr>
          <w:rFonts w:ascii="Arial" w:hAnsi="Arial" w:cs="Arial"/>
          <w:sz w:val="20"/>
          <w:szCs w:val="20"/>
        </w:rPr>
        <w:t xml:space="preserve"> </w:t>
      </w:r>
      <w:r w:rsidR="00D3551D" w:rsidRPr="00700FB4">
        <w:rPr>
          <w:rFonts w:ascii="Arial" w:hAnsi="Arial" w:cs="Arial"/>
          <w:sz w:val="20"/>
          <w:szCs w:val="20"/>
        </w:rPr>
        <w:t xml:space="preserve">vispārīgajām normām par plānojumu hierarhiju (9.pants) un saistošu raksturu citām institūcijām (13.pants). </w:t>
      </w:r>
      <w:r w:rsidR="00A4678B" w:rsidRPr="00700FB4">
        <w:rPr>
          <w:rFonts w:ascii="Arial" w:hAnsi="Arial" w:cs="Arial"/>
          <w:sz w:val="20"/>
          <w:szCs w:val="20"/>
        </w:rPr>
        <w:t>P</w:t>
      </w:r>
      <w:r w:rsidR="00D3551D" w:rsidRPr="00700FB4">
        <w:rPr>
          <w:rFonts w:ascii="Arial" w:hAnsi="Arial" w:cs="Arial"/>
          <w:sz w:val="20"/>
          <w:szCs w:val="20"/>
        </w:rPr>
        <w:t>lānošanas likuma 23.panta pirmā daļa akcentē, ka vietējās pašvaldības teritorijas plānojumu izstrādā, ievērojot citus nacionālā līmeņa teritorijas attīstības plānošanas dokumentus, kāds ir jūras plānojums.</w:t>
      </w:r>
    </w:p>
    <w:p w:rsidR="00440A22" w:rsidRPr="00700FB4" w:rsidRDefault="00440A22" w:rsidP="00D3551D">
      <w:pPr>
        <w:pStyle w:val="NoSpacing"/>
        <w:jc w:val="both"/>
        <w:rPr>
          <w:rFonts w:ascii="Arial" w:hAnsi="Arial" w:cs="Arial"/>
          <w:sz w:val="20"/>
          <w:szCs w:val="20"/>
        </w:rPr>
      </w:pPr>
    </w:p>
    <w:p w:rsidR="00440A22" w:rsidRPr="00700FB4" w:rsidRDefault="00440A22" w:rsidP="00440A22">
      <w:pPr>
        <w:pStyle w:val="NoSpacing"/>
        <w:jc w:val="both"/>
        <w:rPr>
          <w:rFonts w:ascii="Arial" w:hAnsi="Arial" w:cs="Arial"/>
          <w:color w:val="000000"/>
          <w:sz w:val="20"/>
          <w:szCs w:val="20"/>
          <w:shd w:val="clear" w:color="auto" w:fill="FFFFFF"/>
        </w:rPr>
      </w:pPr>
      <w:r w:rsidRPr="00700FB4">
        <w:rPr>
          <w:rFonts w:ascii="Arial" w:hAnsi="Arial" w:cs="Arial"/>
          <w:color w:val="000000"/>
          <w:sz w:val="20"/>
          <w:szCs w:val="20"/>
          <w:shd w:val="clear" w:color="auto" w:fill="FFFFFF"/>
        </w:rPr>
        <w:t>Atbilstoši Sistēmas likuma 9.panta noteikumiem, izstrādājot vidēja termiņa, reģionālos vai vietējos attīstības plānošanas dokumentus, būs jānodrošina to atbilstība jūras plānojumam, bet citu nacionāla līmeņa ilgtermiņa attīstības plānošanas dokumentu izstrādāšanas gadījumā jānodrošina dokumentu savstarpējā saskaņotība.</w:t>
      </w:r>
    </w:p>
    <w:p w:rsidR="00D3551D" w:rsidRPr="00700FB4" w:rsidRDefault="00D3551D" w:rsidP="00D3551D">
      <w:pPr>
        <w:pStyle w:val="NoSpacing"/>
        <w:jc w:val="both"/>
        <w:rPr>
          <w:rFonts w:ascii="Arial" w:hAnsi="Arial" w:cs="Arial"/>
          <w:sz w:val="20"/>
          <w:szCs w:val="20"/>
        </w:rPr>
      </w:pPr>
    </w:p>
    <w:p w:rsidR="00D3551D" w:rsidRPr="00700FB4" w:rsidRDefault="00A4678B" w:rsidP="00D3551D">
      <w:pPr>
        <w:pStyle w:val="NoSpacing"/>
        <w:jc w:val="both"/>
        <w:rPr>
          <w:rFonts w:ascii="Arial" w:hAnsi="Arial" w:cs="Arial"/>
          <w:sz w:val="20"/>
          <w:szCs w:val="20"/>
          <w:lang w:eastAsia="lv-LV"/>
        </w:rPr>
      </w:pPr>
      <w:r w:rsidRPr="00700FB4">
        <w:rPr>
          <w:rFonts w:ascii="Arial" w:hAnsi="Arial" w:cs="Arial"/>
          <w:sz w:val="20"/>
          <w:szCs w:val="20"/>
          <w:lang w:eastAsia="lv-LV"/>
        </w:rPr>
        <w:t>S</w:t>
      </w:r>
      <w:r w:rsidR="00D3551D" w:rsidRPr="00700FB4">
        <w:rPr>
          <w:rFonts w:ascii="Arial" w:hAnsi="Arial" w:cs="Arial"/>
          <w:sz w:val="20"/>
          <w:szCs w:val="20"/>
          <w:lang w:eastAsia="lv-LV"/>
        </w:rPr>
        <w:t xml:space="preserve">istēmas likuma 13.pants paredz divas iespējas, atbilstoši kurām nosaka attīstības plānošanas dokumenta (arī teritorijas attīstības plānošanas dokumenta) saistošo spēku. Ja šis dokuments nav apstiprināts ar ārējo normatīvo aktu, tas ir saistošs tikai valsts un pašvaldību institūcijām, pildot normatīvajos aktos noteiktos uzdevumus. Ja šis dokuments apstiprināts normatīvā akta veidā, tas ir saistošs kā normatīvais akts. </w:t>
      </w:r>
    </w:p>
    <w:p w:rsidR="00440A22" w:rsidRPr="00700FB4" w:rsidRDefault="00440A22" w:rsidP="00D3551D">
      <w:pPr>
        <w:pStyle w:val="NoSpacing"/>
        <w:jc w:val="both"/>
        <w:rPr>
          <w:rFonts w:ascii="Arial" w:hAnsi="Arial" w:cs="Arial"/>
          <w:sz w:val="20"/>
          <w:szCs w:val="20"/>
          <w:lang w:eastAsia="lv-LV"/>
        </w:rPr>
      </w:pPr>
    </w:p>
    <w:p w:rsidR="00440A22" w:rsidRPr="00700FB4" w:rsidRDefault="00440A22" w:rsidP="00D3551D">
      <w:pPr>
        <w:pStyle w:val="NoSpacing"/>
        <w:jc w:val="both"/>
        <w:rPr>
          <w:rFonts w:ascii="Arial" w:hAnsi="Arial" w:cs="Arial"/>
          <w:sz w:val="20"/>
          <w:szCs w:val="20"/>
          <w:lang w:eastAsia="lv-LV"/>
        </w:rPr>
      </w:pPr>
      <w:r w:rsidRPr="00700FB4">
        <w:rPr>
          <w:rFonts w:ascii="Arial" w:hAnsi="Arial" w:cs="Arial"/>
          <w:sz w:val="20"/>
          <w:szCs w:val="20"/>
          <w:lang w:eastAsia="lv-LV"/>
        </w:rPr>
        <w:t>Tātad Sistēmas likuma 9. un 13.pants ir ī</w:t>
      </w:r>
      <w:r w:rsidR="00FC2172" w:rsidRPr="00700FB4">
        <w:rPr>
          <w:rFonts w:ascii="Arial" w:hAnsi="Arial" w:cs="Arial"/>
          <w:sz w:val="20"/>
          <w:szCs w:val="20"/>
          <w:lang w:eastAsia="lv-LV"/>
        </w:rPr>
        <w:t>paša</w:t>
      </w:r>
      <w:r w:rsidRPr="00700FB4">
        <w:rPr>
          <w:rFonts w:ascii="Arial" w:hAnsi="Arial" w:cs="Arial"/>
          <w:sz w:val="20"/>
          <w:szCs w:val="20"/>
          <w:lang w:eastAsia="lv-LV"/>
        </w:rPr>
        <w:t xml:space="preserve"> tiesību norma Ministru kabineta iekārtas likuma 33.panta izpratnē, kas nosaka Ministru kabineta apstiprināta attīstības plānošanas dokumenta hierarhiju iepretim citu institūciju attīstības p</w:t>
      </w:r>
      <w:r w:rsidR="00FC2172" w:rsidRPr="00700FB4">
        <w:rPr>
          <w:rFonts w:ascii="Arial" w:hAnsi="Arial" w:cs="Arial"/>
          <w:sz w:val="20"/>
          <w:szCs w:val="20"/>
          <w:lang w:eastAsia="lv-LV"/>
        </w:rPr>
        <w:t>lānošanas dokumentiem atbilstoši</w:t>
      </w:r>
      <w:r w:rsidRPr="00700FB4">
        <w:rPr>
          <w:rFonts w:ascii="Arial" w:hAnsi="Arial" w:cs="Arial"/>
          <w:sz w:val="20"/>
          <w:szCs w:val="20"/>
          <w:lang w:eastAsia="lv-LV"/>
        </w:rPr>
        <w:t xml:space="preserve"> to veidam un termiņam, kā arī reglamentē attiecīgā dokumenta saistošā rakstura tiesiskās sekas. </w:t>
      </w:r>
    </w:p>
    <w:p w:rsidR="00D3551D" w:rsidRPr="00700FB4" w:rsidRDefault="00D3551D" w:rsidP="00D3551D">
      <w:pPr>
        <w:pStyle w:val="NoSpacing"/>
        <w:jc w:val="both"/>
        <w:rPr>
          <w:rFonts w:ascii="Arial" w:hAnsi="Arial" w:cs="Arial"/>
          <w:sz w:val="20"/>
          <w:szCs w:val="20"/>
          <w:lang w:eastAsia="lv-LV"/>
        </w:rPr>
      </w:pPr>
    </w:p>
    <w:p w:rsidR="00D3551D" w:rsidRPr="00700FB4" w:rsidRDefault="00A4678B" w:rsidP="00D3551D">
      <w:pPr>
        <w:pStyle w:val="NoSpacing"/>
        <w:jc w:val="both"/>
        <w:rPr>
          <w:rFonts w:ascii="Arial" w:hAnsi="Arial" w:cs="Arial"/>
          <w:sz w:val="20"/>
          <w:szCs w:val="20"/>
        </w:rPr>
      </w:pPr>
      <w:r w:rsidRPr="00700FB4">
        <w:rPr>
          <w:rFonts w:ascii="Arial" w:hAnsi="Arial" w:cs="Arial"/>
          <w:sz w:val="20"/>
          <w:szCs w:val="20"/>
          <w:lang w:eastAsia="lv-LV"/>
        </w:rPr>
        <w:t>P</w:t>
      </w:r>
      <w:r w:rsidR="00D3551D" w:rsidRPr="00700FB4">
        <w:rPr>
          <w:rFonts w:ascii="Arial" w:hAnsi="Arial" w:cs="Arial"/>
          <w:sz w:val="20"/>
          <w:szCs w:val="20"/>
          <w:lang w:eastAsia="lv-LV"/>
        </w:rPr>
        <w:t xml:space="preserve">lānošanas likuma 7.panta pirmās daļas 10.punkts noteic, ka Ministru kabinets </w:t>
      </w:r>
      <w:r w:rsidR="00D3551D" w:rsidRPr="00700FB4">
        <w:rPr>
          <w:rFonts w:ascii="Arial" w:hAnsi="Arial" w:cs="Arial"/>
          <w:sz w:val="20"/>
          <w:szCs w:val="20"/>
        </w:rPr>
        <w:t xml:space="preserve">nosaka jūras plānojuma izstrādes, ieviešanas un uzraudzības kārtību un apstiprina jūras plānojumu. No šīs tiesību normas skaidri neizriet, ar kādu dokumentu – rīkojumu vai noteikumiem – Ministru kabinets apstiprinātu jūras plānojumu. </w:t>
      </w:r>
    </w:p>
    <w:p w:rsidR="00D3551D" w:rsidRPr="00700FB4" w:rsidRDefault="00D3551D" w:rsidP="00D3551D">
      <w:pPr>
        <w:pStyle w:val="NoSpacing"/>
        <w:jc w:val="both"/>
        <w:rPr>
          <w:rFonts w:ascii="Arial" w:hAnsi="Arial" w:cs="Arial"/>
          <w:sz w:val="20"/>
          <w:szCs w:val="20"/>
        </w:rPr>
      </w:pPr>
    </w:p>
    <w:p w:rsidR="00D3551D" w:rsidRPr="00700FB4" w:rsidRDefault="00D3551D" w:rsidP="00D3551D">
      <w:pPr>
        <w:pStyle w:val="NoSpacing"/>
        <w:jc w:val="both"/>
        <w:rPr>
          <w:rFonts w:ascii="Arial" w:hAnsi="Arial" w:cs="Arial"/>
          <w:sz w:val="20"/>
          <w:szCs w:val="20"/>
        </w:rPr>
      </w:pPr>
      <w:r w:rsidRPr="00700FB4">
        <w:rPr>
          <w:rFonts w:ascii="Arial" w:hAnsi="Arial" w:cs="Arial"/>
          <w:sz w:val="20"/>
          <w:szCs w:val="20"/>
        </w:rPr>
        <w:t>Salīdzinājumam, Latvijas ilgtspējīgas attīstības stratēģija vai Nacionālais attīstības plāns nav apstiprināti ar normatīvo aktu (likumu), bet gan ar Saeimas lēmumu. Gadījumos, kad attīstības plānošanas dokuments skar privātpersonu intereses, tam nosaka tādu juridisko formu, lai šis dokuments būtu izmantojams arī privātpersonu tiesību un interešu ierobežošanai. Ja analizējam Latvijas tiesību sistēmā pieejamos līdzīgos gadījumos attiecībā uz teritorijas izmantošanu, var konstatēt vairākas pieejas, proti, gan ārējo normatīvo aktu (vietējās pašvaldības teritorijas plānojums), gan vispārīgo administratīvo aktu (detālplānojums, mikroliegums), gan individuālu pārvaldes vai politisku lēmumu (nacionāla līmeņa tematiskais plānojums, Latvijas ilgtspējīgas attīstības stratēģija).</w:t>
      </w:r>
    </w:p>
    <w:p w:rsidR="002F219E" w:rsidRPr="00700FB4" w:rsidRDefault="002F219E" w:rsidP="00D3551D">
      <w:pPr>
        <w:pStyle w:val="NoSpacing"/>
        <w:jc w:val="both"/>
        <w:rPr>
          <w:rFonts w:ascii="Arial" w:hAnsi="Arial" w:cs="Arial"/>
          <w:sz w:val="20"/>
          <w:szCs w:val="20"/>
        </w:rPr>
      </w:pPr>
    </w:p>
    <w:p w:rsidR="002D76BF" w:rsidRPr="00700FB4" w:rsidRDefault="002D76BF" w:rsidP="002D76BF">
      <w:pPr>
        <w:pStyle w:val="NoSpacing"/>
        <w:jc w:val="both"/>
        <w:rPr>
          <w:rFonts w:ascii="Arial" w:hAnsi="Arial" w:cs="Arial"/>
          <w:color w:val="000000"/>
          <w:sz w:val="20"/>
          <w:szCs w:val="20"/>
          <w:shd w:val="clear" w:color="auto" w:fill="FFFFFF"/>
        </w:rPr>
      </w:pPr>
      <w:r w:rsidRPr="00700FB4">
        <w:rPr>
          <w:rFonts w:ascii="Arial" w:hAnsi="Arial" w:cs="Arial"/>
          <w:color w:val="000000"/>
          <w:sz w:val="20"/>
          <w:szCs w:val="20"/>
          <w:shd w:val="clear" w:color="auto" w:fill="FFFFFF"/>
        </w:rPr>
        <w:t xml:space="preserve">Katrā individuālā gadījumā var izdarīt lietderības apsvērumus par labu kādam no iepriekšminētajiem variantiem. Viens no kritērijiem šo apsvērumu izdarīšanā ir potenciālie juridiskie riski un konkrētā teritorijas attīstības plānošanas dokumenta praktiskās izmantošanas apsvērumi. </w:t>
      </w:r>
    </w:p>
    <w:p w:rsidR="002D76BF" w:rsidRPr="00700FB4" w:rsidRDefault="002D76BF" w:rsidP="00D3551D">
      <w:pPr>
        <w:pStyle w:val="NoSpacing"/>
        <w:jc w:val="both"/>
        <w:rPr>
          <w:rFonts w:ascii="Arial" w:hAnsi="Arial" w:cs="Arial"/>
          <w:sz w:val="20"/>
          <w:szCs w:val="20"/>
        </w:rPr>
      </w:pPr>
    </w:p>
    <w:p w:rsidR="002F219E" w:rsidRPr="00700FB4" w:rsidRDefault="002F219E" w:rsidP="00665269">
      <w:pPr>
        <w:pStyle w:val="Heading2"/>
        <w:rPr>
          <w:shd w:val="clear" w:color="auto" w:fill="FFFFFF"/>
        </w:rPr>
      </w:pPr>
      <w:bookmarkStart w:id="34" w:name="_Toc460402345"/>
      <w:r w:rsidRPr="00700FB4">
        <w:rPr>
          <w:shd w:val="clear" w:color="auto" w:fill="FFFFFF"/>
        </w:rPr>
        <w:t>[5.2] Jūras plānojuma juridiskā forma – izvēles varianti, to ieguvumi un riski</w:t>
      </w:r>
      <w:bookmarkEnd w:id="34"/>
    </w:p>
    <w:p w:rsidR="00D3551D" w:rsidRPr="00700FB4" w:rsidRDefault="00D3551D" w:rsidP="00D3551D">
      <w:pPr>
        <w:pStyle w:val="NoSpacing"/>
        <w:jc w:val="both"/>
        <w:rPr>
          <w:rFonts w:ascii="Arial" w:hAnsi="Arial" w:cs="Arial"/>
          <w:color w:val="000000"/>
          <w:sz w:val="20"/>
          <w:szCs w:val="20"/>
          <w:shd w:val="clear" w:color="auto" w:fill="FFFFFF"/>
        </w:rPr>
      </w:pPr>
      <w:r w:rsidRPr="00700FB4">
        <w:rPr>
          <w:rFonts w:ascii="Arial" w:hAnsi="Arial" w:cs="Arial"/>
          <w:color w:val="000000"/>
          <w:sz w:val="20"/>
          <w:szCs w:val="20"/>
          <w:shd w:val="clear" w:color="auto" w:fill="FFFFFF"/>
        </w:rPr>
        <w:t>Teritorijas izmantošanas nosacījumus (piemēram, ierobežojumus dabas pamatnes teritorijā) var noteikt gan ar normatīvo aktu, gan lēmumu (vispārīgo administratīvo aktu).</w:t>
      </w:r>
      <w:r w:rsidRPr="00700FB4">
        <w:rPr>
          <w:rFonts w:ascii="Arial" w:hAnsi="Arial" w:cs="Arial"/>
          <w:color w:val="000000"/>
          <w:sz w:val="20"/>
          <w:szCs w:val="20"/>
          <w:shd w:val="clear" w:color="auto" w:fill="FFFFFF"/>
          <w:vertAlign w:val="superscript"/>
        </w:rPr>
        <w:footnoteReference w:id="87"/>
      </w:r>
      <w:r w:rsidRPr="00700FB4">
        <w:rPr>
          <w:rFonts w:ascii="Arial" w:hAnsi="Arial" w:cs="Arial"/>
          <w:color w:val="000000"/>
          <w:sz w:val="20"/>
          <w:szCs w:val="20"/>
          <w:shd w:val="clear" w:color="auto" w:fill="FFFFFF"/>
        </w:rPr>
        <w:t xml:space="preserve"> Juridiskajā literatūrā ir secināts, ka visi teritorijas izmantošanu nosakošie plāni vienmēr ir administratīvie akti, izņemot gadījumu, ja likumā tieši ir noteikta šā dokumenta normatīvā akta forma. Esot praktiski gandrīz neiespējami atrisināt teorētisko strīdu, vai attiecīgo noteikumu dokumentā pieskaitīt administratīvajam aktam vai tiesību normai. Šie akti tāpēc ir vispārīgie administratīvie akti, jo rada tiešu ietekmi uz īpašuma tiesībām, arī pirms tie faktiski pilnībā ir izpildīti.</w:t>
      </w:r>
      <w:r w:rsidRPr="00700FB4">
        <w:rPr>
          <w:rStyle w:val="FootnoteReference"/>
          <w:rFonts w:ascii="Arial" w:hAnsi="Arial" w:cs="Arial"/>
          <w:color w:val="000000"/>
          <w:sz w:val="20"/>
          <w:szCs w:val="20"/>
          <w:shd w:val="clear" w:color="auto" w:fill="FFFFFF"/>
        </w:rPr>
        <w:footnoteReference w:id="88"/>
      </w:r>
      <w:r w:rsidRPr="00700FB4">
        <w:rPr>
          <w:rFonts w:ascii="Arial" w:hAnsi="Arial" w:cs="Arial"/>
          <w:color w:val="000000"/>
          <w:sz w:val="20"/>
          <w:szCs w:val="20"/>
          <w:shd w:val="clear" w:color="auto" w:fill="FFFFFF"/>
        </w:rPr>
        <w:t xml:space="preserve"> </w:t>
      </w:r>
    </w:p>
    <w:p w:rsidR="002F219E" w:rsidRPr="00700FB4" w:rsidRDefault="002F219E" w:rsidP="00D3551D">
      <w:pPr>
        <w:pStyle w:val="NoSpacing"/>
        <w:jc w:val="both"/>
        <w:rPr>
          <w:rFonts w:ascii="Arial" w:hAnsi="Arial" w:cs="Arial"/>
          <w:color w:val="000000"/>
          <w:sz w:val="20"/>
          <w:szCs w:val="20"/>
          <w:shd w:val="clear" w:color="auto" w:fill="FFFFFF"/>
        </w:rPr>
      </w:pPr>
    </w:p>
    <w:p w:rsidR="002D76BF" w:rsidRPr="00700FB4" w:rsidRDefault="002F219E" w:rsidP="002D76BF">
      <w:pPr>
        <w:pStyle w:val="NoSpacing"/>
        <w:jc w:val="both"/>
        <w:rPr>
          <w:rFonts w:ascii="Arial" w:hAnsi="Arial" w:cs="Arial"/>
          <w:sz w:val="20"/>
          <w:szCs w:val="20"/>
        </w:rPr>
      </w:pPr>
      <w:r w:rsidRPr="00700FB4">
        <w:rPr>
          <w:rFonts w:ascii="Arial" w:hAnsi="Arial" w:cs="Arial"/>
          <w:color w:val="000000" w:themeColor="text1"/>
          <w:sz w:val="20"/>
          <w:szCs w:val="20"/>
        </w:rPr>
        <w:lastRenderedPageBreak/>
        <w:t xml:space="preserve">Jūras plānojums </w:t>
      </w:r>
      <w:r w:rsidR="002D76BF" w:rsidRPr="00700FB4">
        <w:rPr>
          <w:rFonts w:ascii="Arial" w:hAnsi="Arial" w:cs="Arial"/>
          <w:color w:val="000000" w:themeColor="text1"/>
          <w:sz w:val="20"/>
          <w:szCs w:val="20"/>
        </w:rPr>
        <w:t xml:space="preserve">attiecas uz </w:t>
      </w:r>
      <w:r w:rsidRPr="00700FB4">
        <w:rPr>
          <w:rFonts w:ascii="Arial" w:hAnsi="Arial" w:cs="Arial"/>
          <w:color w:val="000000" w:themeColor="text1"/>
          <w:sz w:val="20"/>
          <w:szCs w:val="20"/>
        </w:rPr>
        <w:t xml:space="preserve">publiskas lietas, tas ir, Latvijas Republikas teritoriālās jūras un tās </w:t>
      </w:r>
      <w:r w:rsidR="00840ADB" w:rsidRPr="00700FB4">
        <w:rPr>
          <w:rFonts w:ascii="Arial" w:hAnsi="Arial" w:cs="Arial"/>
          <w:color w:val="000000" w:themeColor="text1"/>
          <w:sz w:val="20"/>
          <w:szCs w:val="20"/>
        </w:rPr>
        <w:t xml:space="preserve">Ekskluzīvās </w:t>
      </w:r>
      <w:r w:rsidRPr="00700FB4">
        <w:rPr>
          <w:rFonts w:ascii="Arial" w:hAnsi="Arial" w:cs="Arial"/>
          <w:color w:val="000000" w:themeColor="text1"/>
          <w:sz w:val="20"/>
          <w:szCs w:val="20"/>
        </w:rPr>
        <w:t>zonas izmantošan</w:t>
      </w:r>
      <w:r w:rsidR="002D76BF" w:rsidRPr="00700FB4">
        <w:rPr>
          <w:rFonts w:ascii="Arial" w:hAnsi="Arial" w:cs="Arial"/>
          <w:color w:val="000000" w:themeColor="text1"/>
          <w:sz w:val="20"/>
          <w:szCs w:val="20"/>
        </w:rPr>
        <w:t>as kārtību</w:t>
      </w:r>
      <w:r w:rsidRPr="00700FB4">
        <w:rPr>
          <w:rFonts w:ascii="Arial" w:hAnsi="Arial" w:cs="Arial"/>
          <w:color w:val="000000" w:themeColor="text1"/>
          <w:sz w:val="20"/>
          <w:szCs w:val="20"/>
        </w:rPr>
        <w:t>.</w:t>
      </w:r>
      <w:r w:rsidRPr="00700FB4">
        <w:rPr>
          <w:rStyle w:val="FootnoteReference"/>
          <w:rFonts w:ascii="Arial" w:hAnsi="Arial" w:cs="Arial"/>
          <w:color w:val="000000" w:themeColor="text1"/>
          <w:sz w:val="20"/>
          <w:szCs w:val="20"/>
        </w:rPr>
        <w:footnoteReference w:id="89"/>
      </w:r>
      <w:r w:rsidRPr="00700FB4">
        <w:rPr>
          <w:rFonts w:ascii="Arial" w:hAnsi="Arial" w:cs="Arial"/>
          <w:color w:val="000000" w:themeColor="text1"/>
          <w:sz w:val="20"/>
          <w:szCs w:val="20"/>
        </w:rPr>
        <w:t xml:space="preserve"> </w:t>
      </w:r>
      <w:r w:rsidR="002D76BF" w:rsidRPr="00700FB4">
        <w:rPr>
          <w:rFonts w:ascii="Arial" w:hAnsi="Arial" w:cs="Arial"/>
          <w:color w:val="000000" w:themeColor="text1"/>
          <w:sz w:val="20"/>
          <w:szCs w:val="20"/>
        </w:rPr>
        <w:t xml:space="preserve">Tomēr </w:t>
      </w:r>
      <w:r w:rsidR="002D76BF" w:rsidRPr="00700FB4">
        <w:rPr>
          <w:rFonts w:ascii="Arial" w:hAnsi="Arial" w:cs="Arial"/>
          <w:sz w:val="20"/>
          <w:szCs w:val="20"/>
        </w:rPr>
        <w:t xml:space="preserve">jāņem vērā, ka jūras plānojums ir nevis laikā aktuāls un tehnisks dokuments, kas ataino precīzu jūras izmantošanu jebkurā brīdī, bet gan interešu definēšanas un sabalansēšanas instruments, kas noderīgs lēmumu pieņemšanā atbilstoši citiem normatīvajiem aktiem. </w:t>
      </w:r>
    </w:p>
    <w:p w:rsidR="005242CD" w:rsidRPr="00700FB4" w:rsidRDefault="005242CD" w:rsidP="002F219E">
      <w:pPr>
        <w:pStyle w:val="NoSpacing"/>
        <w:jc w:val="both"/>
        <w:rPr>
          <w:rFonts w:ascii="Arial" w:hAnsi="Arial" w:cs="Arial"/>
          <w:color w:val="000000" w:themeColor="text1"/>
          <w:sz w:val="20"/>
          <w:szCs w:val="20"/>
        </w:rPr>
      </w:pPr>
    </w:p>
    <w:p w:rsidR="00D3551D" w:rsidRPr="00700FB4" w:rsidRDefault="002F219E" w:rsidP="00665269">
      <w:pPr>
        <w:pStyle w:val="Heading3"/>
        <w:rPr>
          <w:shd w:val="clear" w:color="auto" w:fill="FFFFFF"/>
        </w:rPr>
      </w:pPr>
      <w:bookmarkStart w:id="35" w:name="_Toc460402346"/>
      <w:r w:rsidRPr="00700FB4">
        <w:rPr>
          <w:shd w:val="clear" w:color="auto" w:fill="FFFFFF"/>
        </w:rPr>
        <w:t xml:space="preserve">[5.2.1] </w:t>
      </w:r>
      <w:r w:rsidR="00D3551D" w:rsidRPr="00700FB4">
        <w:rPr>
          <w:shd w:val="clear" w:color="auto" w:fill="FFFFFF"/>
        </w:rPr>
        <w:t>Vispārīgais administratīvais akts</w:t>
      </w:r>
      <w:bookmarkEnd w:id="35"/>
    </w:p>
    <w:p w:rsidR="00D3551D" w:rsidRPr="00700FB4" w:rsidRDefault="00D3551D" w:rsidP="00D3551D">
      <w:pPr>
        <w:pStyle w:val="NoSpacing"/>
        <w:jc w:val="both"/>
        <w:rPr>
          <w:rFonts w:ascii="Arial" w:hAnsi="Arial" w:cs="Arial"/>
          <w:color w:val="000000"/>
          <w:sz w:val="20"/>
          <w:szCs w:val="20"/>
          <w:shd w:val="clear" w:color="auto" w:fill="FFFFFF"/>
        </w:rPr>
      </w:pPr>
      <w:r w:rsidRPr="00700FB4">
        <w:rPr>
          <w:rFonts w:ascii="Arial" w:hAnsi="Arial" w:cs="Arial"/>
          <w:color w:val="000000"/>
          <w:sz w:val="20"/>
          <w:szCs w:val="20"/>
          <w:shd w:val="clear" w:color="auto" w:fill="FFFFFF"/>
        </w:rPr>
        <w:t>Satversmes komentāros arī norādīts, ka Satversmes 105.pants ļauj noteikt īpašuma tiesību ierobežojumus, ja tas paredzēts likumā, ne tikai ar ārēju normatīvo aktu, bet arī administratīvo aktu.</w:t>
      </w:r>
      <w:r w:rsidRPr="00700FB4">
        <w:rPr>
          <w:rFonts w:ascii="Arial" w:hAnsi="Arial" w:cs="Arial"/>
          <w:color w:val="000000"/>
          <w:sz w:val="20"/>
          <w:szCs w:val="20"/>
          <w:shd w:val="clear" w:color="auto" w:fill="FFFFFF"/>
          <w:vertAlign w:val="superscript"/>
        </w:rPr>
        <w:footnoteReference w:id="90"/>
      </w:r>
      <w:r w:rsidRPr="00700FB4">
        <w:rPr>
          <w:rFonts w:ascii="Arial" w:hAnsi="Arial" w:cs="Arial"/>
          <w:color w:val="000000"/>
          <w:sz w:val="20"/>
          <w:szCs w:val="20"/>
          <w:shd w:val="clear" w:color="auto" w:fill="FFFFFF"/>
          <w:vertAlign w:val="superscript"/>
        </w:rPr>
        <w:t xml:space="preserve"> </w:t>
      </w:r>
      <w:r w:rsidRPr="00700FB4">
        <w:rPr>
          <w:rFonts w:ascii="Arial" w:hAnsi="Arial" w:cs="Arial"/>
          <w:color w:val="000000"/>
          <w:sz w:val="20"/>
          <w:szCs w:val="20"/>
          <w:shd w:val="clear" w:color="auto" w:fill="FFFFFF"/>
        </w:rPr>
        <w:t>Satversmes tiesa atzina, ka “pašvaldības teritorijas plānojuma daļas, nosakot zemes īpašniekam piederošā nekustamā īpašuma lietošanas tiesību apjomu, pēc sava rakstura vairāk līdzinās nevis normatīviem, tas ir, tiesību normas ietverošiem tiesību aktiem, bet individuāliem, tas ir, tiesību normu piemērošanas aktiem”.</w:t>
      </w:r>
      <w:r w:rsidRPr="00700FB4">
        <w:rPr>
          <w:rFonts w:ascii="Arial" w:hAnsi="Arial" w:cs="Arial"/>
          <w:color w:val="000000"/>
          <w:sz w:val="20"/>
          <w:szCs w:val="20"/>
          <w:shd w:val="clear" w:color="auto" w:fill="FFFFFF"/>
          <w:vertAlign w:val="superscript"/>
        </w:rPr>
        <w:footnoteReference w:id="91"/>
      </w:r>
      <w:r w:rsidRPr="00700FB4">
        <w:rPr>
          <w:rFonts w:ascii="Arial" w:hAnsi="Arial" w:cs="Arial"/>
          <w:color w:val="000000"/>
          <w:sz w:val="20"/>
          <w:szCs w:val="20"/>
          <w:shd w:val="clear" w:color="auto" w:fill="FFFFFF"/>
        </w:rPr>
        <w:t xml:space="preserve"> Par vispārīgajiem administratīvajiem aktiem atzīst arī uz lietām vērstus vispārīgos rīkojumus, piemēram, plāna apstiprināšana, norādījumi ielu muzikantiem, nosaukumu piešķiršana laukumiem, aizsargājamo zonu noteikšana, kāda resursa (bibliotēkas vai ūdenskrātuves) izmantošanas noteikumi.</w:t>
      </w:r>
      <w:r w:rsidRPr="00700FB4">
        <w:rPr>
          <w:rStyle w:val="FootnoteReference"/>
          <w:rFonts w:ascii="Arial" w:hAnsi="Arial" w:cs="Arial"/>
          <w:color w:val="000000"/>
          <w:sz w:val="20"/>
          <w:szCs w:val="20"/>
          <w:shd w:val="clear" w:color="auto" w:fill="FFFFFF"/>
        </w:rPr>
        <w:footnoteReference w:id="92"/>
      </w:r>
      <w:r w:rsidRPr="00700FB4">
        <w:rPr>
          <w:rFonts w:ascii="Arial" w:hAnsi="Arial" w:cs="Arial"/>
          <w:color w:val="000000"/>
          <w:sz w:val="20"/>
          <w:szCs w:val="20"/>
          <w:shd w:val="clear" w:color="auto" w:fill="FFFFFF"/>
        </w:rPr>
        <w:t xml:space="preserve"> </w:t>
      </w:r>
    </w:p>
    <w:p w:rsidR="00D3551D" w:rsidRPr="00700FB4" w:rsidRDefault="00D3551D" w:rsidP="00D3551D">
      <w:pPr>
        <w:pStyle w:val="NoSpacing"/>
        <w:jc w:val="both"/>
        <w:rPr>
          <w:rFonts w:ascii="Arial" w:hAnsi="Arial" w:cs="Arial"/>
          <w:color w:val="000000"/>
          <w:sz w:val="20"/>
          <w:szCs w:val="20"/>
          <w:shd w:val="clear" w:color="auto" w:fill="FFFFFF"/>
        </w:rPr>
      </w:pPr>
    </w:p>
    <w:p w:rsidR="00D3551D" w:rsidRPr="00700FB4" w:rsidRDefault="00D3551D" w:rsidP="00D3551D">
      <w:pPr>
        <w:pStyle w:val="NoSpacing"/>
        <w:jc w:val="both"/>
        <w:rPr>
          <w:rFonts w:ascii="Arial" w:hAnsi="Arial" w:cs="Arial"/>
          <w:color w:val="000000"/>
          <w:sz w:val="20"/>
          <w:szCs w:val="20"/>
          <w:shd w:val="clear" w:color="auto" w:fill="FFFFFF"/>
        </w:rPr>
      </w:pPr>
      <w:r w:rsidRPr="00700FB4">
        <w:rPr>
          <w:rFonts w:ascii="Arial" w:hAnsi="Arial" w:cs="Arial"/>
          <w:color w:val="000000"/>
          <w:sz w:val="20"/>
          <w:szCs w:val="20"/>
          <w:shd w:val="clear" w:color="auto" w:fill="FFFFFF"/>
        </w:rPr>
        <w:t>Vispārīgais administratīvais akts ir piemērots tādu plānojumu apstiprināša</w:t>
      </w:r>
      <w:r w:rsidR="00255644" w:rsidRPr="00700FB4">
        <w:rPr>
          <w:rFonts w:ascii="Arial" w:hAnsi="Arial" w:cs="Arial"/>
          <w:color w:val="000000"/>
          <w:sz w:val="20"/>
          <w:szCs w:val="20"/>
          <w:shd w:val="clear" w:color="auto" w:fill="FFFFFF"/>
        </w:rPr>
        <w:t>nai, kad potenciālo adresātu lok</w:t>
      </w:r>
      <w:r w:rsidRPr="00700FB4">
        <w:rPr>
          <w:rFonts w:ascii="Arial" w:hAnsi="Arial" w:cs="Arial"/>
          <w:color w:val="000000"/>
          <w:sz w:val="20"/>
          <w:szCs w:val="20"/>
          <w:shd w:val="clear" w:color="auto" w:fill="FFFFFF"/>
        </w:rPr>
        <w:t>s ir</w:t>
      </w:r>
      <w:r w:rsidR="00255644" w:rsidRPr="00700FB4">
        <w:rPr>
          <w:rFonts w:ascii="Arial" w:hAnsi="Arial" w:cs="Arial"/>
          <w:color w:val="000000"/>
          <w:sz w:val="20"/>
          <w:szCs w:val="20"/>
          <w:shd w:val="clear" w:color="auto" w:fill="FFFFFF"/>
        </w:rPr>
        <w:t xml:space="preserve"> vismaz aptuveni </w:t>
      </w:r>
      <w:r w:rsidRPr="00700FB4">
        <w:rPr>
          <w:rFonts w:ascii="Arial" w:hAnsi="Arial" w:cs="Arial"/>
          <w:color w:val="000000"/>
          <w:sz w:val="20"/>
          <w:szCs w:val="20"/>
          <w:shd w:val="clear" w:color="auto" w:fill="FFFFFF"/>
        </w:rPr>
        <w:t>identificējams, bet uzliktais tiesiskais pienākums skaidrs un nepārprotams (aizliegts, atļauts, ierobežots), pēc būtības jau uzreiz izlemjot galvenos ar šo teritoriju izmantošanu saistītos jautājumos. Šis dokuments ir elastīgi grozāms, piemērots gadījumos, kad konkrētais noregulējums ir “pietuvināts” konkrētām privātpersonām. Tomēr šis risinājums nav piemērots plašām teritorijām, pietiekami augstas abstrakcijas apstākļos un gadījumos</w:t>
      </w:r>
      <w:r w:rsidR="00255644" w:rsidRPr="00700FB4">
        <w:rPr>
          <w:rFonts w:ascii="Arial" w:hAnsi="Arial" w:cs="Arial"/>
          <w:color w:val="000000"/>
          <w:sz w:val="20"/>
          <w:szCs w:val="20"/>
          <w:shd w:val="clear" w:color="auto" w:fill="FFFFFF"/>
        </w:rPr>
        <w:t>, kad</w:t>
      </w:r>
      <w:r w:rsidRPr="00700FB4">
        <w:rPr>
          <w:rFonts w:ascii="Arial" w:hAnsi="Arial" w:cs="Arial"/>
          <w:color w:val="000000"/>
          <w:sz w:val="20"/>
          <w:szCs w:val="20"/>
          <w:shd w:val="clear" w:color="auto" w:fill="FFFFFF"/>
        </w:rPr>
        <w:t xml:space="preserve"> dokuments pats nesatur galīgo noregulējumu. Šis risinājums nav piemērotākais, ja </w:t>
      </w:r>
      <w:r w:rsidR="002D76BF" w:rsidRPr="00700FB4">
        <w:rPr>
          <w:rFonts w:ascii="Arial" w:hAnsi="Arial" w:cs="Arial"/>
          <w:color w:val="000000"/>
          <w:sz w:val="20"/>
          <w:szCs w:val="20"/>
          <w:shd w:val="clear" w:color="auto" w:fill="FFFFFF"/>
        </w:rPr>
        <w:t xml:space="preserve">plānojums ir vairāk vadlīniju dokuments, no kura </w:t>
      </w:r>
      <w:r w:rsidRPr="00700FB4">
        <w:rPr>
          <w:rFonts w:ascii="Arial" w:hAnsi="Arial" w:cs="Arial"/>
          <w:color w:val="000000"/>
          <w:sz w:val="20"/>
          <w:szCs w:val="20"/>
          <w:shd w:val="clear" w:color="auto" w:fill="FFFFFF"/>
        </w:rPr>
        <w:t>iespējama regulāra a</w:t>
      </w:r>
      <w:r w:rsidR="002D76BF" w:rsidRPr="00700FB4">
        <w:rPr>
          <w:rFonts w:ascii="Arial" w:hAnsi="Arial" w:cs="Arial"/>
          <w:color w:val="000000"/>
          <w:sz w:val="20"/>
          <w:szCs w:val="20"/>
          <w:shd w:val="clear" w:color="auto" w:fill="FFFFFF"/>
        </w:rPr>
        <w:t>tkāpšanās.</w:t>
      </w:r>
    </w:p>
    <w:p w:rsidR="00D3551D" w:rsidRPr="00700FB4" w:rsidRDefault="00D3551D" w:rsidP="00D3551D">
      <w:pPr>
        <w:pStyle w:val="NoSpacing"/>
        <w:jc w:val="both"/>
        <w:rPr>
          <w:rFonts w:ascii="Arial" w:hAnsi="Arial" w:cs="Arial"/>
          <w:color w:val="000000"/>
          <w:sz w:val="20"/>
          <w:szCs w:val="20"/>
          <w:shd w:val="clear" w:color="auto" w:fill="FFFFFF"/>
        </w:rPr>
      </w:pPr>
    </w:p>
    <w:p w:rsidR="00D3551D" w:rsidRPr="00700FB4" w:rsidRDefault="002F219E" w:rsidP="00665269">
      <w:pPr>
        <w:pStyle w:val="Heading3"/>
        <w:rPr>
          <w:shd w:val="clear" w:color="auto" w:fill="FFFFFF"/>
        </w:rPr>
      </w:pPr>
      <w:bookmarkStart w:id="36" w:name="_Toc460402347"/>
      <w:r w:rsidRPr="00700FB4">
        <w:rPr>
          <w:shd w:val="clear" w:color="auto" w:fill="FFFFFF"/>
        </w:rPr>
        <w:t>[5.2.2] I</w:t>
      </w:r>
      <w:r w:rsidR="00D3551D" w:rsidRPr="00700FB4">
        <w:rPr>
          <w:shd w:val="clear" w:color="auto" w:fill="FFFFFF"/>
        </w:rPr>
        <w:t>ndividuāls lēmums, ar kuru apstiprina attīstības plānošanas dokumentu</w:t>
      </w:r>
      <w:bookmarkEnd w:id="36"/>
    </w:p>
    <w:p w:rsidR="00D3551D" w:rsidRPr="00700FB4" w:rsidRDefault="00D3551D" w:rsidP="00D3551D">
      <w:pPr>
        <w:pStyle w:val="NoSpacing"/>
        <w:jc w:val="both"/>
        <w:rPr>
          <w:rFonts w:ascii="Arial" w:hAnsi="Arial" w:cs="Arial"/>
          <w:color w:val="000000" w:themeColor="text1"/>
          <w:sz w:val="20"/>
          <w:szCs w:val="20"/>
          <w:shd w:val="clear" w:color="auto" w:fill="FFFFFF"/>
        </w:rPr>
      </w:pPr>
      <w:r w:rsidRPr="00700FB4">
        <w:rPr>
          <w:rFonts w:ascii="Arial" w:hAnsi="Arial" w:cs="Arial"/>
          <w:color w:val="000000" w:themeColor="text1"/>
          <w:sz w:val="20"/>
          <w:szCs w:val="20"/>
          <w:shd w:val="clear" w:color="auto" w:fill="FFFFFF"/>
        </w:rPr>
        <w:t xml:space="preserve">Ja attīstības plānošanas dokumentu apstiprina ar individuālu lēmumu, piemēram, Ministru kabineta rīkojumu, tad atbilstoši </w:t>
      </w:r>
      <w:r w:rsidR="00A4678B" w:rsidRPr="00700FB4">
        <w:rPr>
          <w:rFonts w:ascii="Arial" w:hAnsi="Arial" w:cs="Arial"/>
          <w:color w:val="000000" w:themeColor="text1"/>
          <w:sz w:val="20"/>
          <w:szCs w:val="20"/>
          <w:shd w:val="clear" w:color="auto" w:fill="FFFFFF"/>
        </w:rPr>
        <w:t>S</w:t>
      </w:r>
      <w:r w:rsidRPr="00700FB4">
        <w:rPr>
          <w:rFonts w:ascii="Arial" w:hAnsi="Arial" w:cs="Arial"/>
          <w:color w:val="000000" w:themeColor="text1"/>
          <w:sz w:val="20"/>
          <w:szCs w:val="20"/>
          <w:shd w:val="clear" w:color="auto" w:fill="FFFFFF"/>
        </w:rPr>
        <w:t xml:space="preserve">istēmas likuma 13.panta trešajai daļai, </w:t>
      </w:r>
      <w:r w:rsidR="00836283" w:rsidRPr="00700FB4">
        <w:rPr>
          <w:rFonts w:ascii="Arial" w:hAnsi="Arial" w:cs="Arial"/>
          <w:color w:val="000000" w:themeColor="text1"/>
          <w:sz w:val="20"/>
          <w:szCs w:val="20"/>
          <w:shd w:val="clear" w:color="auto" w:fill="FFFFFF"/>
        </w:rPr>
        <w:t>šis plānojums atbilstoši speciāli noteiktajai attīstības plānošanas dokumentu hierarhijai</w:t>
      </w:r>
      <w:r w:rsidRPr="00700FB4">
        <w:rPr>
          <w:rFonts w:ascii="Arial" w:hAnsi="Arial" w:cs="Arial"/>
          <w:color w:val="000000" w:themeColor="text1"/>
          <w:sz w:val="20"/>
          <w:szCs w:val="20"/>
          <w:shd w:val="clear" w:color="auto" w:fill="FFFFFF"/>
        </w:rPr>
        <w:t xml:space="preserve"> ir saistošs tikai valsts un pašvaldību institūcijām, un administratīvajā procesā izmantojams tikai lietderības apsvērumu izdarīšanai. Ja jūras plānojumu uztver tikai kā vadlīniju, ieteicamo rīcību, tad viņam nav nepieciešama vispārīgā administratīvā akta vai ārējā normatīvā akta forma. Tomēr, ņemot vērā jautājumus, kādos jūras plānojums tiks izmantots, un tiesu praksi, kurā aplūkota attīstības plānošanas dokumentu izmantošana, jūras plānojums var kalpot par būtisku pamatu privātpersonu tiesību ierobežošanā, kas krietni pārsniedz ietvaru, ko paredz </w:t>
      </w:r>
      <w:r w:rsidR="00A4678B" w:rsidRPr="00700FB4">
        <w:rPr>
          <w:rFonts w:ascii="Arial" w:hAnsi="Arial" w:cs="Arial"/>
          <w:color w:val="000000" w:themeColor="text1"/>
          <w:sz w:val="20"/>
          <w:szCs w:val="20"/>
          <w:shd w:val="clear" w:color="auto" w:fill="FFFFFF"/>
        </w:rPr>
        <w:t>S</w:t>
      </w:r>
      <w:r w:rsidRPr="00700FB4">
        <w:rPr>
          <w:rFonts w:ascii="Arial" w:hAnsi="Arial" w:cs="Arial"/>
          <w:color w:val="000000" w:themeColor="text1"/>
          <w:sz w:val="20"/>
          <w:szCs w:val="20"/>
          <w:shd w:val="clear" w:color="auto" w:fill="FFFFFF"/>
        </w:rPr>
        <w:t xml:space="preserve">istēmas likuma 13.panta trešā daļa. </w:t>
      </w:r>
      <w:r w:rsidR="00836283" w:rsidRPr="00700FB4">
        <w:rPr>
          <w:rFonts w:ascii="Arial" w:hAnsi="Arial" w:cs="Arial"/>
          <w:color w:val="000000" w:themeColor="text1"/>
          <w:sz w:val="20"/>
          <w:szCs w:val="20"/>
          <w:shd w:val="clear" w:color="auto" w:fill="FFFFFF"/>
        </w:rPr>
        <w:t xml:space="preserve">Līdz ar to noskaidrojamas iespējas to izmantot administratīvajā procesā. </w:t>
      </w:r>
    </w:p>
    <w:p w:rsidR="005242CD" w:rsidRPr="00700FB4" w:rsidRDefault="005242CD" w:rsidP="00D3551D">
      <w:pPr>
        <w:pStyle w:val="NoSpacing"/>
        <w:jc w:val="both"/>
        <w:rPr>
          <w:rFonts w:ascii="Arial" w:hAnsi="Arial" w:cs="Arial"/>
          <w:color w:val="000000" w:themeColor="text1"/>
          <w:sz w:val="20"/>
          <w:szCs w:val="20"/>
          <w:shd w:val="clear" w:color="auto" w:fill="FFFFFF"/>
        </w:rPr>
      </w:pPr>
    </w:p>
    <w:p w:rsidR="005242CD" w:rsidRPr="00700FB4" w:rsidRDefault="00803E59" w:rsidP="005242CD">
      <w:pPr>
        <w:pStyle w:val="NoSpacing"/>
        <w:jc w:val="both"/>
        <w:rPr>
          <w:rFonts w:ascii="Arial" w:hAnsi="Arial" w:cs="Arial"/>
          <w:color w:val="000000" w:themeColor="text1"/>
          <w:sz w:val="20"/>
          <w:szCs w:val="20"/>
        </w:rPr>
      </w:pPr>
      <w:r w:rsidRPr="00700FB4">
        <w:rPr>
          <w:rFonts w:ascii="Arial" w:hAnsi="Arial" w:cs="Arial"/>
          <w:color w:val="000000" w:themeColor="text1"/>
          <w:sz w:val="20"/>
          <w:szCs w:val="20"/>
        </w:rPr>
        <w:t>Ja j</w:t>
      </w:r>
      <w:r w:rsidR="005242CD" w:rsidRPr="00700FB4">
        <w:rPr>
          <w:rFonts w:ascii="Arial" w:hAnsi="Arial" w:cs="Arial"/>
          <w:color w:val="000000" w:themeColor="text1"/>
          <w:sz w:val="20"/>
          <w:szCs w:val="20"/>
        </w:rPr>
        <w:t>ūras plānojums netiek apstiprināts ar ārēju normatīvu aktu, tad valsts un pašvaldību institūcijas varēs lemt par kādas darbības atļaušanu vai aizliegšanu jūras plānojuma teritorijā, tikai tad, ja tām šādas tiesības būtu paredzētas likumā vai citos pēc juridiskā spēka hierarhijas zemākos ārējos normatīvos aktos. Šāda prasība vispārīgi izriet no pārvaldes tiesiskuma principa</w:t>
      </w:r>
      <w:r w:rsidRPr="00700FB4">
        <w:rPr>
          <w:rFonts w:ascii="Arial" w:hAnsi="Arial" w:cs="Arial"/>
          <w:color w:val="000000" w:themeColor="text1"/>
          <w:sz w:val="20"/>
          <w:szCs w:val="20"/>
        </w:rPr>
        <w:t>,</w:t>
      </w:r>
      <w:r w:rsidR="005242CD" w:rsidRPr="00700FB4">
        <w:rPr>
          <w:rStyle w:val="FootnoteReference"/>
          <w:rFonts w:ascii="Arial" w:hAnsi="Arial" w:cs="Arial"/>
          <w:color w:val="000000" w:themeColor="text1"/>
          <w:sz w:val="20"/>
          <w:szCs w:val="20"/>
        </w:rPr>
        <w:footnoteReference w:id="93"/>
      </w:r>
      <w:r w:rsidR="005242CD" w:rsidRPr="00700FB4">
        <w:rPr>
          <w:rFonts w:ascii="Arial" w:hAnsi="Arial" w:cs="Arial"/>
          <w:color w:val="000000" w:themeColor="text1"/>
          <w:sz w:val="20"/>
          <w:szCs w:val="20"/>
        </w:rPr>
        <w:t xml:space="preserve"> un nelabvēlīga administratīvā akta gadījumos – arī no likuma atrunas principa, kurš nostiprināts APL</w:t>
      </w:r>
      <w:r w:rsidR="00840ADB" w:rsidRPr="00700FB4">
        <w:rPr>
          <w:rFonts w:ascii="Arial" w:hAnsi="Arial" w:cs="Arial"/>
          <w:color w:val="000000" w:themeColor="text1"/>
          <w:sz w:val="20"/>
          <w:szCs w:val="20"/>
        </w:rPr>
        <w:t xml:space="preserve"> </w:t>
      </w:r>
      <w:r w:rsidR="005242CD" w:rsidRPr="00700FB4">
        <w:rPr>
          <w:rFonts w:ascii="Arial" w:hAnsi="Arial" w:cs="Arial"/>
          <w:color w:val="000000" w:themeColor="text1"/>
          <w:sz w:val="20"/>
          <w:szCs w:val="20"/>
        </w:rPr>
        <w:t>11.pantā.</w:t>
      </w:r>
      <w:r w:rsidR="005242CD" w:rsidRPr="00700FB4">
        <w:rPr>
          <w:rStyle w:val="FootnoteReference"/>
          <w:rFonts w:ascii="Arial" w:hAnsi="Arial" w:cs="Arial"/>
          <w:color w:val="000000" w:themeColor="text1"/>
          <w:sz w:val="20"/>
          <w:szCs w:val="20"/>
        </w:rPr>
        <w:footnoteReference w:id="94"/>
      </w:r>
      <w:r w:rsidR="005242CD" w:rsidRPr="00700FB4">
        <w:rPr>
          <w:rFonts w:ascii="Arial" w:hAnsi="Arial" w:cs="Arial"/>
          <w:color w:val="000000" w:themeColor="text1"/>
          <w:sz w:val="20"/>
          <w:szCs w:val="20"/>
        </w:rPr>
        <w:t xml:space="preserve"> </w:t>
      </w:r>
      <w:r w:rsidR="00836283" w:rsidRPr="00700FB4">
        <w:rPr>
          <w:rFonts w:ascii="Arial" w:hAnsi="Arial" w:cs="Arial"/>
          <w:color w:val="000000" w:themeColor="text1"/>
          <w:sz w:val="20"/>
          <w:szCs w:val="20"/>
        </w:rPr>
        <w:t xml:space="preserve">Šādas pilnvaras ir noteiktas virknē normatīvo aktu, piemēram, Jūrlietu pārvaldes un jūras drošības likumā vai Jūras vides pārvaldības un aizsardzības likumā. </w:t>
      </w:r>
    </w:p>
    <w:p w:rsidR="005242CD" w:rsidRPr="00700FB4" w:rsidRDefault="005242CD" w:rsidP="005242CD">
      <w:pPr>
        <w:pStyle w:val="NoSpacing"/>
        <w:jc w:val="both"/>
        <w:rPr>
          <w:rFonts w:ascii="Arial" w:hAnsi="Arial" w:cs="Arial"/>
          <w:color w:val="000000" w:themeColor="text1"/>
          <w:sz w:val="20"/>
          <w:szCs w:val="20"/>
        </w:rPr>
      </w:pPr>
    </w:p>
    <w:p w:rsidR="005242CD" w:rsidRPr="00700FB4" w:rsidRDefault="005242CD" w:rsidP="005242CD">
      <w:pPr>
        <w:pStyle w:val="NoSpacing"/>
        <w:jc w:val="both"/>
        <w:rPr>
          <w:rFonts w:ascii="Arial" w:hAnsi="Arial" w:cs="Arial"/>
          <w:color w:val="000000" w:themeColor="text1"/>
          <w:sz w:val="20"/>
          <w:szCs w:val="20"/>
        </w:rPr>
      </w:pPr>
      <w:r w:rsidRPr="00700FB4">
        <w:rPr>
          <w:rFonts w:ascii="Arial" w:hAnsi="Arial" w:cs="Arial"/>
          <w:color w:val="000000" w:themeColor="text1"/>
          <w:sz w:val="20"/>
          <w:szCs w:val="20"/>
        </w:rPr>
        <w:t xml:space="preserve">Jūras plānojums, kurš netiek apstiprināts ar ārēju normatīvu aktu un tātad </w:t>
      </w:r>
      <w:r w:rsidR="00803E59" w:rsidRPr="00700FB4">
        <w:rPr>
          <w:rFonts w:ascii="Arial" w:hAnsi="Arial" w:cs="Arial"/>
          <w:color w:val="000000" w:themeColor="text1"/>
          <w:sz w:val="20"/>
          <w:szCs w:val="20"/>
        </w:rPr>
        <w:t>nav saistošs</w:t>
      </w:r>
      <w:r w:rsidRPr="00700FB4">
        <w:rPr>
          <w:rFonts w:ascii="Arial" w:hAnsi="Arial" w:cs="Arial"/>
          <w:color w:val="000000" w:themeColor="text1"/>
          <w:sz w:val="20"/>
          <w:szCs w:val="20"/>
        </w:rPr>
        <w:t xml:space="preserve"> privātpersonai, </w:t>
      </w:r>
      <w:r w:rsidR="00803E59" w:rsidRPr="00700FB4">
        <w:rPr>
          <w:rFonts w:ascii="Arial" w:hAnsi="Arial" w:cs="Arial"/>
          <w:color w:val="000000" w:themeColor="text1"/>
          <w:sz w:val="20"/>
          <w:szCs w:val="20"/>
        </w:rPr>
        <w:t>var tikt izmantots</w:t>
      </w:r>
      <w:r w:rsidRPr="00700FB4">
        <w:rPr>
          <w:rFonts w:ascii="Arial" w:hAnsi="Arial" w:cs="Arial"/>
          <w:color w:val="000000" w:themeColor="text1"/>
          <w:sz w:val="20"/>
          <w:szCs w:val="20"/>
        </w:rPr>
        <w:t xml:space="preserve"> administratīvā akta vai tiesu nolēmumu pamatošanai, nenonāk pretrunā ar APL 9.pantā ietverto patvaļas aizlieguma principu, atbilstoši kuram administratīvos aktus un tiesu nolēmumus var pamatot tikai ar juridiskiem apsvērumiem. Administratīvā akta un tiesas nolēmuma argumentācijā var tikt izmantoti ne tikai patstāvīgie tiesību avoti, bet arī tiesību </w:t>
      </w:r>
      <w:r w:rsidRPr="00700FB4">
        <w:rPr>
          <w:rFonts w:ascii="Arial" w:hAnsi="Arial" w:cs="Arial"/>
          <w:color w:val="000000" w:themeColor="text1"/>
          <w:sz w:val="20"/>
          <w:szCs w:val="20"/>
        </w:rPr>
        <w:lastRenderedPageBreak/>
        <w:t>palīgavoti.</w:t>
      </w:r>
      <w:r w:rsidRPr="00700FB4">
        <w:rPr>
          <w:rStyle w:val="FootnoteReference"/>
          <w:rFonts w:ascii="Arial" w:hAnsi="Arial" w:cs="Arial"/>
          <w:color w:val="000000" w:themeColor="text1"/>
          <w:sz w:val="20"/>
          <w:szCs w:val="20"/>
        </w:rPr>
        <w:footnoteReference w:id="95"/>
      </w:r>
      <w:r w:rsidRPr="00700FB4">
        <w:rPr>
          <w:rFonts w:ascii="Arial" w:hAnsi="Arial" w:cs="Arial"/>
          <w:color w:val="000000" w:themeColor="text1"/>
          <w:sz w:val="20"/>
          <w:szCs w:val="20"/>
        </w:rPr>
        <w:t xml:space="preserve"> Piemēram, tiesu praksē bieži vien tiesu nolēmuma vai administratīvā akta pamatošanai tiek izmantota tiesību doktrīna vai tiesu prakse, neskatoties uz to, ka minētie tiesību avoti ir uzskatāmi tikai par tiesību palīgavotiem.</w:t>
      </w:r>
      <w:r w:rsidRPr="00700FB4">
        <w:rPr>
          <w:rStyle w:val="FootnoteReference"/>
          <w:rFonts w:ascii="Arial" w:hAnsi="Arial" w:cs="Arial"/>
          <w:color w:val="000000" w:themeColor="text1"/>
          <w:sz w:val="20"/>
          <w:szCs w:val="20"/>
        </w:rPr>
        <w:footnoteReference w:id="96"/>
      </w:r>
    </w:p>
    <w:p w:rsidR="005242CD" w:rsidRPr="00700FB4" w:rsidRDefault="005242CD" w:rsidP="005242CD">
      <w:pPr>
        <w:pStyle w:val="NoSpacing"/>
        <w:jc w:val="both"/>
        <w:rPr>
          <w:rFonts w:ascii="Arial" w:hAnsi="Arial" w:cs="Arial"/>
          <w:color w:val="000000" w:themeColor="text1"/>
          <w:sz w:val="20"/>
          <w:szCs w:val="20"/>
        </w:rPr>
      </w:pPr>
    </w:p>
    <w:p w:rsidR="005242CD" w:rsidRPr="00700FB4" w:rsidRDefault="005242CD" w:rsidP="005242CD">
      <w:pPr>
        <w:pStyle w:val="NoSpacing"/>
        <w:jc w:val="both"/>
        <w:rPr>
          <w:rFonts w:ascii="Arial" w:hAnsi="Arial" w:cs="Arial"/>
          <w:color w:val="000000" w:themeColor="text1"/>
          <w:sz w:val="20"/>
          <w:szCs w:val="20"/>
        </w:rPr>
      </w:pPr>
      <w:r w:rsidRPr="00700FB4">
        <w:rPr>
          <w:rFonts w:ascii="Arial" w:hAnsi="Arial" w:cs="Arial"/>
          <w:color w:val="000000" w:themeColor="text1"/>
          <w:sz w:val="20"/>
          <w:szCs w:val="20"/>
        </w:rPr>
        <w:t xml:space="preserve">Šāda situācija nozīmētu, ka normatīvā akta pieņēmējs ir atstājis valsts vai pašvaldību institūcijām plašu rīcības brīvību izvēlēties, kādi apstākļi tiks vērtēti, lai noteiktu, kāda veida lēmums attiecīgajā situācijā ir pieņemams, lai tas atbilstu APL 66.panta pirmajā daļā ietvertajiem lietderības apsvērumiem, tas ir, būtu nepieciešams, piemērots, vajadzīgs un atbilstīgs. Tajā pašā laikā normatīvā akta pieņēmējs ar </w:t>
      </w:r>
      <w:r w:rsidR="00840ADB" w:rsidRPr="00700FB4">
        <w:rPr>
          <w:rFonts w:ascii="Arial" w:hAnsi="Arial" w:cs="Arial"/>
          <w:color w:val="000000" w:themeColor="text1"/>
          <w:sz w:val="20"/>
          <w:szCs w:val="20"/>
        </w:rPr>
        <w:t>S</w:t>
      </w:r>
      <w:r w:rsidRPr="00700FB4">
        <w:rPr>
          <w:rFonts w:ascii="Arial" w:hAnsi="Arial" w:cs="Arial"/>
          <w:color w:val="000000" w:themeColor="text1"/>
          <w:sz w:val="20"/>
          <w:szCs w:val="20"/>
        </w:rPr>
        <w:t>istēmas likuma 13.panta trešo daļu būtu ierobežojis valsts un pašvaldības institūciju rīcības brīvību, nosakot, ka tām ir pienākums lēmuma pieņemšanā ņemt v</w:t>
      </w:r>
      <w:r w:rsidR="00F161D6" w:rsidRPr="00700FB4">
        <w:rPr>
          <w:rFonts w:ascii="Arial" w:hAnsi="Arial" w:cs="Arial"/>
          <w:color w:val="000000" w:themeColor="text1"/>
          <w:sz w:val="20"/>
          <w:szCs w:val="20"/>
        </w:rPr>
        <w:t>ērā plānošanas dokumentus, arī j</w:t>
      </w:r>
      <w:r w:rsidRPr="00700FB4">
        <w:rPr>
          <w:rFonts w:ascii="Arial" w:hAnsi="Arial" w:cs="Arial"/>
          <w:color w:val="000000" w:themeColor="text1"/>
          <w:sz w:val="20"/>
          <w:szCs w:val="20"/>
        </w:rPr>
        <w:t>ūras plānojumu.</w:t>
      </w:r>
    </w:p>
    <w:p w:rsidR="005242CD" w:rsidRPr="00700FB4" w:rsidRDefault="005242CD" w:rsidP="005242CD">
      <w:pPr>
        <w:pStyle w:val="NoSpacing"/>
        <w:jc w:val="both"/>
        <w:rPr>
          <w:rFonts w:ascii="Arial" w:hAnsi="Arial" w:cs="Arial"/>
          <w:color w:val="000000" w:themeColor="text1"/>
          <w:sz w:val="20"/>
          <w:szCs w:val="20"/>
        </w:rPr>
      </w:pPr>
    </w:p>
    <w:p w:rsidR="005242CD" w:rsidRPr="00700FB4" w:rsidRDefault="005242CD" w:rsidP="005242CD">
      <w:pPr>
        <w:pStyle w:val="NoSpacing"/>
        <w:jc w:val="both"/>
        <w:rPr>
          <w:rFonts w:ascii="Arial" w:hAnsi="Arial" w:cs="Arial"/>
          <w:color w:val="000000" w:themeColor="text1"/>
          <w:sz w:val="20"/>
          <w:szCs w:val="20"/>
        </w:rPr>
      </w:pPr>
      <w:r w:rsidRPr="00700FB4">
        <w:rPr>
          <w:rFonts w:ascii="Arial" w:hAnsi="Arial" w:cs="Arial"/>
          <w:color w:val="000000" w:themeColor="text1"/>
          <w:sz w:val="20"/>
          <w:szCs w:val="20"/>
        </w:rPr>
        <w:t>Jūras plānojums šajā gadījumā tiktu uzskatīts tikai var vadlīniju jeb noteicošu kritēriju lietderības apsvērumu izdarīšanai, ko izmantotu katra iestāde, izdodot konkrēto administratīvo aktu. Šāda pieeja ir iespējama, tiesu praksē tai nav uzskatāmu piemēru, jo esošajā praksē pamatā izmantoti attīstības plānošanas dokumenti, kuri apstiprināti ar ārējo normatīvo aktu</w:t>
      </w:r>
      <w:r w:rsidR="00836283" w:rsidRPr="00700FB4">
        <w:rPr>
          <w:rFonts w:ascii="Arial" w:hAnsi="Arial" w:cs="Arial"/>
          <w:color w:val="000000" w:themeColor="text1"/>
          <w:sz w:val="20"/>
          <w:szCs w:val="20"/>
        </w:rPr>
        <w:t>. Tomēr, lai šāda pieeja efektīvi darbotos, likumā būtu jāietver galvenie nenoteiktie tiesību jēdzieni un mērķis, kas raksturotu jūras plānojuma izmantošanas metodiku, atainotu būtiskākās nostādnes.</w:t>
      </w:r>
    </w:p>
    <w:p w:rsidR="005242CD" w:rsidRPr="00700FB4" w:rsidRDefault="005242CD" w:rsidP="005242CD">
      <w:pPr>
        <w:pStyle w:val="NoSpacing"/>
        <w:jc w:val="both"/>
        <w:rPr>
          <w:rFonts w:ascii="Arial" w:hAnsi="Arial" w:cs="Arial"/>
          <w:color w:val="000000" w:themeColor="text1"/>
          <w:sz w:val="20"/>
          <w:szCs w:val="20"/>
        </w:rPr>
      </w:pPr>
    </w:p>
    <w:p w:rsidR="005242CD" w:rsidRPr="00700FB4" w:rsidRDefault="005242CD" w:rsidP="005242CD">
      <w:pPr>
        <w:pStyle w:val="NoSpacing"/>
        <w:jc w:val="both"/>
        <w:rPr>
          <w:rFonts w:ascii="Arial" w:hAnsi="Arial" w:cs="Arial"/>
          <w:color w:val="000000" w:themeColor="text1"/>
          <w:sz w:val="20"/>
          <w:szCs w:val="20"/>
        </w:rPr>
      </w:pPr>
      <w:r w:rsidRPr="00700FB4">
        <w:rPr>
          <w:rFonts w:ascii="Arial" w:hAnsi="Arial" w:cs="Arial"/>
          <w:color w:val="000000" w:themeColor="text1"/>
          <w:sz w:val="20"/>
          <w:szCs w:val="20"/>
        </w:rPr>
        <w:t xml:space="preserve">Kā to savā praksē ir norādījis Augstākās tiesas Administratīvo lietu departaments: Tiesa var pārbaudīt tikai to, vai valsts pārvalde, izmantojot savu rīcības brīvību, ir rīkojusies tiesiski. Valsts pārvaldes rīcības brīvība nav izmantota tiesiski, ja tā ir kļūdaina. Līdz ar to tiesai ir jāpārbauda iespējamas rīcības brīvības izmantošanas kļūdas: rīcības brīvības neizmantošana, rīcības brīvības pārsniegšana, rīcības </w:t>
      </w:r>
      <w:r w:rsidR="00A11F51" w:rsidRPr="00700FB4">
        <w:rPr>
          <w:rFonts w:ascii="Arial" w:hAnsi="Arial" w:cs="Arial"/>
          <w:color w:val="000000" w:themeColor="text1"/>
          <w:sz w:val="20"/>
          <w:szCs w:val="20"/>
        </w:rPr>
        <w:t>brīvības nepareiza izmantošana.</w:t>
      </w:r>
      <w:r w:rsidRPr="00700FB4">
        <w:rPr>
          <w:rStyle w:val="FootnoteReference"/>
          <w:rFonts w:ascii="Arial" w:hAnsi="Arial" w:cs="Arial"/>
          <w:color w:val="000000" w:themeColor="text1"/>
          <w:sz w:val="20"/>
          <w:szCs w:val="20"/>
        </w:rPr>
        <w:footnoteReference w:id="97"/>
      </w:r>
      <w:r w:rsidRPr="00700FB4">
        <w:rPr>
          <w:rFonts w:ascii="Arial" w:hAnsi="Arial" w:cs="Arial"/>
          <w:color w:val="000000" w:themeColor="text1"/>
          <w:sz w:val="20"/>
          <w:szCs w:val="20"/>
        </w:rPr>
        <w:t xml:space="preserve"> </w:t>
      </w:r>
      <w:r w:rsidR="00A11F51" w:rsidRPr="00700FB4">
        <w:rPr>
          <w:rFonts w:ascii="Arial" w:hAnsi="Arial" w:cs="Arial"/>
          <w:color w:val="000000" w:themeColor="text1"/>
          <w:sz w:val="20"/>
          <w:szCs w:val="20"/>
        </w:rPr>
        <w:t>I</w:t>
      </w:r>
      <w:r w:rsidRPr="00700FB4">
        <w:rPr>
          <w:rFonts w:ascii="Arial" w:hAnsi="Arial" w:cs="Arial"/>
          <w:color w:val="000000" w:themeColor="text1"/>
          <w:sz w:val="20"/>
          <w:szCs w:val="20"/>
        </w:rPr>
        <w:t>zdarīt lietderības apsvērumus, piemērojot likuma normas paredzētās sekas, ir pārvaldes, nevis tiesas uzdevums. Izņēmums ir tad, ja tiesa ir secinājusi, ka izdarīt lietderības apsvērumus vairs nav nepieciešams, jo no visām iespējamām alternatīvām pareiza var būt tikai viena vienīga alternatīva, tā jautājumu izlemj pēc būtības pati. Tas ir gadījums, kad valsts pārvaldes rīcības brī</w:t>
      </w:r>
      <w:r w:rsidR="00A11F51" w:rsidRPr="00700FB4">
        <w:rPr>
          <w:rFonts w:ascii="Arial" w:hAnsi="Arial" w:cs="Arial"/>
          <w:color w:val="000000" w:themeColor="text1"/>
          <w:sz w:val="20"/>
          <w:szCs w:val="20"/>
        </w:rPr>
        <w:t>vība ir samazināta līdz nullei</w:t>
      </w:r>
      <w:r w:rsidRPr="00700FB4">
        <w:rPr>
          <w:rFonts w:ascii="Arial" w:hAnsi="Arial" w:cs="Arial"/>
          <w:color w:val="000000" w:themeColor="text1"/>
          <w:sz w:val="20"/>
          <w:szCs w:val="20"/>
        </w:rPr>
        <w:t>.</w:t>
      </w:r>
      <w:r w:rsidRPr="00700FB4">
        <w:rPr>
          <w:rStyle w:val="FootnoteReference"/>
          <w:rFonts w:ascii="Arial" w:hAnsi="Arial" w:cs="Arial"/>
          <w:color w:val="000000" w:themeColor="text1"/>
          <w:sz w:val="20"/>
          <w:szCs w:val="20"/>
        </w:rPr>
        <w:footnoteReference w:id="98"/>
      </w:r>
    </w:p>
    <w:p w:rsidR="005242CD" w:rsidRPr="00700FB4" w:rsidRDefault="005242CD" w:rsidP="005242CD">
      <w:pPr>
        <w:pStyle w:val="NoSpacing"/>
        <w:jc w:val="both"/>
        <w:rPr>
          <w:rFonts w:ascii="Arial" w:hAnsi="Arial" w:cs="Arial"/>
          <w:i/>
          <w:color w:val="000000" w:themeColor="text1"/>
          <w:sz w:val="20"/>
          <w:szCs w:val="20"/>
        </w:rPr>
      </w:pPr>
    </w:p>
    <w:p w:rsidR="005242CD" w:rsidRPr="00700FB4" w:rsidRDefault="005242CD" w:rsidP="005242CD">
      <w:pPr>
        <w:pStyle w:val="NoSpacing"/>
        <w:jc w:val="both"/>
        <w:rPr>
          <w:rFonts w:ascii="Arial" w:hAnsi="Arial" w:cs="Arial"/>
          <w:i/>
          <w:color w:val="000000" w:themeColor="text1"/>
          <w:sz w:val="20"/>
          <w:szCs w:val="20"/>
        </w:rPr>
      </w:pPr>
      <w:r w:rsidRPr="00700FB4">
        <w:rPr>
          <w:rFonts w:ascii="Arial" w:hAnsi="Arial" w:cs="Arial"/>
          <w:color w:val="000000" w:themeColor="text1"/>
          <w:sz w:val="20"/>
          <w:szCs w:val="20"/>
        </w:rPr>
        <w:t>Savukārt attiecībā uz rīcības brīvības pareizu izmantoša</w:t>
      </w:r>
      <w:r w:rsidR="00A11F51" w:rsidRPr="00700FB4">
        <w:rPr>
          <w:rFonts w:ascii="Arial" w:hAnsi="Arial" w:cs="Arial"/>
          <w:color w:val="000000" w:themeColor="text1"/>
          <w:sz w:val="20"/>
          <w:szCs w:val="20"/>
        </w:rPr>
        <w:t>nu Augstākā tiesa ir norādījusi, ka v</w:t>
      </w:r>
      <w:r w:rsidRPr="00700FB4">
        <w:rPr>
          <w:rFonts w:ascii="Arial" w:hAnsi="Arial" w:cs="Arial"/>
          <w:color w:val="000000" w:themeColor="text1"/>
          <w:sz w:val="20"/>
          <w:szCs w:val="20"/>
        </w:rPr>
        <w:t>alsts pārvaldes rīcības brīvība ir izmantota nepareizi, ja tās izmantošana ir pretrunā ar noteikumiem, kas reglamentē rīcības brīvības pareizu izmantošanu – tas ir, ja lēmuma pieņēmējs nav metodoloģiski korekti izdarījis vispārējos lietderības apsvērumus, nav ievērojis likuma specifiskos norādījumus, patvaļas aizlieguma principu vai procesuālā taisnīguma principus.</w:t>
      </w:r>
      <w:r w:rsidRPr="00700FB4">
        <w:rPr>
          <w:rStyle w:val="FootnoteReference"/>
          <w:rFonts w:ascii="Arial" w:hAnsi="Arial" w:cs="Arial"/>
          <w:color w:val="000000" w:themeColor="text1"/>
          <w:sz w:val="20"/>
          <w:szCs w:val="20"/>
        </w:rPr>
        <w:footnoteReference w:id="99"/>
      </w:r>
    </w:p>
    <w:p w:rsidR="005242CD" w:rsidRPr="00700FB4" w:rsidRDefault="005242CD" w:rsidP="005242CD">
      <w:pPr>
        <w:pStyle w:val="NoSpacing"/>
        <w:jc w:val="both"/>
        <w:rPr>
          <w:rFonts w:ascii="Arial" w:hAnsi="Arial" w:cs="Arial"/>
          <w:i/>
          <w:color w:val="000000" w:themeColor="text1"/>
          <w:sz w:val="20"/>
          <w:szCs w:val="20"/>
        </w:rPr>
      </w:pPr>
    </w:p>
    <w:p w:rsidR="005242CD" w:rsidRPr="00700FB4" w:rsidRDefault="005242CD" w:rsidP="005242CD">
      <w:pPr>
        <w:pStyle w:val="NoSpacing"/>
        <w:jc w:val="both"/>
        <w:rPr>
          <w:rFonts w:ascii="Arial" w:hAnsi="Arial" w:cs="Arial"/>
          <w:color w:val="000000" w:themeColor="text1"/>
          <w:sz w:val="20"/>
          <w:szCs w:val="20"/>
        </w:rPr>
      </w:pPr>
      <w:r w:rsidRPr="00700FB4">
        <w:rPr>
          <w:rFonts w:ascii="Arial" w:hAnsi="Arial" w:cs="Arial"/>
          <w:color w:val="000000" w:themeColor="text1"/>
          <w:sz w:val="20"/>
          <w:szCs w:val="20"/>
        </w:rPr>
        <w:t xml:space="preserve">No minētā izriet, ka administratīvo tiesu kompetencē būtu pārbaudīt, vai attiecīgais valsts </w:t>
      </w:r>
      <w:r w:rsidR="00255644" w:rsidRPr="00700FB4">
        <w:rPr>
          <w:rFonts w:ascii="Arial" w:hAnsi="Arial" w:cs="Arial"/>
          <w:color w:val="000000" w:themeColor="text1"/>
          <w:sz w:val="20"/>
          <w:szCs w:val="20"/>
        </w:rPr>
        <w:t>vai pašvaldības institūcijas</w:t>
      </w:r>
      <w:r w:rsidRPr="00700FB4">
        <w:rPr>
          <w:rFonts w:ascii="Arial" w:hAnsi="Arial" w:cs="Arial"/>
          <w:color w:val="000000" w:themeColor="text1"/>
          <w:sz w:val="20"/>
          <w:szCs w:val="20"/>
        </w:rPr>
        <w:t xml:space="preserve"> lēmums, ar kuru tiek atļauta vai aizliegta kāda darbība jūras plānojuma teritorijā, ir tiesisks un lietderīgs, </w:t>
      </w:r>
      <w:r w:rsidR="00255644" w:rsidRPr="00700FB4">
        <w:rPr>
          <w:rFonts w:ascii="Arial" w:hAnsi="Arial" w:cs="Arial"/>
          <w:color w:val="000000" w:themeColor="text1"/>
          <w:sz w:val="20"/>
          <w:szCs w:val="20"/>
        </w:rPr>
        <w:t>proti</w:t>
      </w:r>
      <w:r w:rsidRPr="00700FB4">
        <w:rPr>
          <w:rFonts w:ascii="Arial" w:hAnsi="Arial" w:cs="Arial"/>
          <w:color w:val="000000" w:themeColor="text1"/>
          <w:sz w:val="20"/>
          <w:szCs w:val="20"/>
        </w:rPr>
        <w:t xml:space="preserve">, vai tas ir nepieciešams, piemērots, vajadzīgs un atbilstīgs. </w:t>
      </w:r>
    </w:p>
    <w:p w:rsidR="005242CD" w:rsidRPr="00700FB4" w:rsidRDefault="005242CD" w:rsidP="005242CD">
      <w:pPr>
        <w:pStyle w:val="NoSpacing"/>
        <w:jc w:val="both"/>
        <w:rPr>
          <w:rFonts w:ascii="Arial" w:hAnsi="Arial" w:cs="Arial"/>
          <w:color w:val="000000" w:themeColor="text1"/>
          <w:sz w:val="20"/>
          <w:szCs w:val="20"/>
        </w:rPr>
      </w:pPr>
    </w:p>
    <w:p w:rsidR="00803E59" w:rsidRPr="00700FB4" w:rsidRDefault="005242CD" w:rsidP="00803E59">
      <w:pPr>
        <w:pStyle w:val="NoSpacing"/>
        <w:jc w:val="both"/>
        <w:rPr>
          <w:rFonts w:ascii="Arial" w:hAnsi="Arial" w:cs="Arial"/>
          <w:color w:val="000000" w:themeColor="text1"/>
          <w:sz w:val="20"/>
          <w:szCs w:val="20"/>
        </w:rPr>
      </w:pPr>
      <w:r w:rsidRPr="00700FB4">
        <w:rPr>
          <w:rFonts w:ascii="Arial" w:hAnsi="Arial" w:cs="Arial"/>
          <w:color w:val="000000" w:themeColor="text1"/>
          <w:sz w:val="20"/>
          <w:szCs w:val="20"/>
        </w:rPr>
        <w:t>Turklāt nepieciešams ņemt vērā arī to, ka administratīvo tiesu kontroles robežas ir atkarīgas no apstākļa, cik liela rīcības brīvība valstij attiecīgā jautājumā ir piešķirta. Tiesu praksē ir atzīts, ka teritorijas plānošana ir tā joma, kur valstij ir ļoti plaša rīcības brīvība.</w:t>
      </w:r>
      <w:r w:rsidRPr="00700FB4">
        <w:rPr>
          <w:rStyle w:val="FootnoteReference"/>
          <w:rFonts w:ascii="Arial" w:hAnsi="Arial" w:cs="Arial"/>
          <w:color w:val="000000" w:themeColor="text1"/>
          <w:sz w:val="20"/>
          <w:szCs w:val="20"/>
        </w:rPr>
        <w:footnoteReference w:id="100"/>
      </w:r>
      <w:r w:rsidRPr="00700FB4">
        <w:rPr>
          <w:rFonts w:ascii="Arial" w:hAnsi="Arial" w:cs="Arial"/>
          <w:color w:val="000000" w:themeColor="text1"/>
          <w:sz w:val="20"/>
          <w:szCs w:val="20"/>
        </w:rPr>
        <w:t xml:space="preserve"> Atbilstoši Augstākās tiesas lemtajam administratīvās tiesas īpaši raudzītos līdzi tam, vai valsts un pašvaldību institūcijas, lemjot par kādas darbības atļaušanu vai aizliegšanu, būtu ievērojušas vienlīdzības principu, kā arī vai nesniegtu nepamatotu valsts atbalstu kādam atsevišķam komersant</w:t>
      </w:r>
      <w:r w:rsidR="00A11F51" w:rsidRPr="00700FB4">
        <w:rPr>
          <w:rFonts w:ascii="Arial" w:hAnsi="Arial" w:cs="Arial"/>
          <w:color w:val="000000" w:themeColor="text1"/>
          <w:sz w:val="20"/>
          <w:szCs w:val="20"/>
        </w:rPr>
        <w:t xml:space="preserve">am. Kā atzīts tiesu praksē, tad, ja </w:t>
      </w:r>
      <w:r w:rsidRPr="00700FB4">
        <w:rPr>
          <w:rFonts w:ascii="Arial" w:hAnsi="Arial" w:cs="Arial"/>
          <w:color w:val="000000" w:themeColor="text1"/>
          <w:sz w:val="20"/>
          <w:szCs w:val="20"/>
        </w:rPr>
        <w:t xml:space="preserve">iestāde atzīst, ka publiskās lietas nodošana sevišķajai izmantošanai ir lietderīga, tai saskaņā ar vienlīdzības principu ir jānodrošina, lai ikvienam būtu vienlīdzīgas iespējas pretendēt uz publiskās lietas nodošanu sevišķajai izmantošanai. Tāpat iestādei jāvērtē, </w:t>
      </w:r>
      <w:r w:rsidRPr="00700FB4">
        <w:rPr>
          <w:rFonts w:ascii="Arial" w:hAnsi="Arial" w:cs="Arial"/>
          <w:color w:val="000000" w:themeColor="text1"/>
          <w:sz w:val="20"/>
          <w:szCs w:val="20"/>
        </w:rPr>
        <w:lastRenderedPageBreak/>
        <w:t>vai ir attaisnojami publiskās lietas izmantošanu piešķirt tikai noteiktam personu lokam un vai tādā veidā netiek sniegts nepamatots valsts atbalsts kādam atsevišķam komersantam.</w:t>
      </w:r>
      <w:r w:rsidRPr="00700FB4">
        <w:rPr>
          <w:rStyle w:val="FootnoteReference"/>
          <w:rFonts w:ascii="Arial" w:hAnsi="Arial" w:cs="Arial"/>
          <w:color w:val="000000" w:themeColor="text1"/>
          <w:sz w:val="20"/>
          <w:szCs w:val="20"/>
        </w:rPr>
        <w:footnoteReference w:id="101"/>
      </w:r>
      <w:r w:rsidRPr="00700FB4">
        <w:rPr>
          <w:rFonts w:ascii="Arial" w:hAnsi="Arial" w:cs="Arial"/>
          <w:color w:val="000000" w:themeColor="text1"/>
          <w:sz w:val="20"/>
          <w:szCs w:val="20"/>
        </w:rPr>
        <w:t xml:space="preserve"> Minētajā tika lemts, vai atteikums izdot būvatļauju vēja parka būvniecībai jūras ūdeņos, bija pamatots.</w:t>
      </w:r>
      <w:r w:rsidR="00803E59" w:rsidRPr="00700FB4">
        <w:rPr>
          <w:rFonts w:ascii="Arial" w:hAnsi="Arial" w:cs="Arial"/>
          <w:color w:val="000000" w:themeColor="text1"/>
          <w:sz w:val="20"/>
          <w:szCs w:val="20"/>
        </w:rPr>
        <w:t xml:space="preserve"> Vienlaikus tiesa ir arī atzinusi, ka </w:t>
      </w:r>
      <w:r w:rsidR="00803E59" w:rsidRPr="00700FB4">
        <w:rPr>
          <w:rFonts w:ascii="Arial" w:hAnsi="Arial" w:cs="Arial"/>
          <w:sz w:val="20"/>
          <w:szCs w:val="20"/>
        </w:rPr>
        <w:t>personai nav subjektīvu tiesību uz atļaujas iegūšanu publiskās lietas (publisko ūdeņu) sevišķajai izmantošanai. No tiesību normām neizriet personas subjektīvās tiesības uz tai labvēlīgu lēmumu jeb atļaujas iegūšanu šīs publiskās lietas sevišķajai izmantošanai.</w:t>
      </w:r>
      <w:r w:rsidR="00803E59" w:rsidRPr="00700FB4">
        <w:rPr>
          <w:rStyle w:val="FootnoteReference"/>
          <w:rFonts w:ascii="Arial" w:hAnsi="Arial" w:cs="Arial"/>
          <w:sz w:val="20"/>
          <w:szCs w:val="20"/>
        </w:rPr>
        <w:footnoteReference w:id="102"/>
      </w:r>
      <w:r w:rsidR="00803E59" w:rsidRPr="00700FB4">
        <w:rPr>
          <w:rFonts w:ascii="Arial" w:hAnsi="Arial" w:cs="Arial"/>
          <w:sz w:val="20"/>
          <w:szCs w:val="20"/>
        </w:rPr>
        <w:t xml:space="preserve"> </w:t>
      </w:r>
    </w:p>
    <w:p w:rsidR="00803E59" w:rsidRPr="00700FB4" w:rsidRDefault="00803E59" w:rsidP="005242CD">
      <w:pPr>
        <w:pStyle w:val="NoSpacing"/>
        <w:jc w:val="both"/>
        <w:rPr>
          <w:rFonts w:ascii="Arial" w:hAnsi="Arial" w:cs="Arial"/>
          <w:color w:val="000000" w:themeColor="text1"/>
          <w:sz w:val="20"/>
          <w:szCs w:val="20"/>
        </w:rPr>
      </w:pPr>
    </w:p>
    <w:p w:rsidR="00255644" w:rsidRPr="00700FB4" w:rsidRDefault="00803E59" w:rsidP="005242CD">
      <w:pPr>
        <w:pStyle w:val="NoSpacing"/>
        <w:jc w:val="both"/>
        <w:rPr>
          <w:rFonts w:ascii="Arial" w:hAnsi="Arial" w:cs="Arial"/>
          <w:color w:val="000000" w:themeColor="text1"/>
          <w:sz w:val="20"/>
          <w:szCs w:val="20"/>
        </w:rPr>
      </w:pPr>
      <w:r w:rsidRPr="00700FB4">
        <w:rPr>
          <w:rFonts w:ascii="Arial" w:hAnsi="Arial" w:cs="Arial"/>
          <w:color w:val="000000" w:themeColor="text1"/>
          <w:sz w:val="20"/>
          <w:szCs w:val="20"/>
        </w:rPr>
        <w:t xml:space="preserve">Tādējādi privātpersonai nav subjektīvu tiesību prasīt jūras sevišķu izmantošanu, tomēr lēmumu pieņemšanā par šo jautājumu jāizdara lietderības apsvērumi un jāievēro vienlīdzības princips. Ja tomēr jau uzsāktu izmantošanu vēlētos aizliegt, tas ir nelabvēlīgs administratīvais akts, un tā pamatošanai piemērojams likuma atrunas princips. </w:t>
      </w:r>
    </w:p>
    <w:p w:rsidR="00255644" w:rsidRPr="00700FB4" w:rsidRDefault="00255644" w:rsidP="005242CD">
      <w:pPr>
        <w:pStyle w:val="NoSpacing"/>
        <w:jc w:val="both"/>
        <w:rPr>
          <w:rFonts w:ascii="Arial" w:hAnsi="Arial" w:cs="Arial"/>
          <w:color w:val="000000" w:themeColor="text1"/>
          <w:sz w:val="20"/>
          <w:szCs w:val="20"/>
        </w:rPr>
      </w:pPr>
    </w:p>
    <w:p w:rsidR="00803E59" w:rsidRPr="00700FB4" w:rsidRDefault="00255644" w:rsidP="005242CD">
      <w:pPr>
        <w:pStyle w:val="NoSpacing"/>
        <w:jc w:val="both"/>
        <w:rPr>
          <w:rFonts w:ascii="Arial" w:hAnsi="Arial" w:cs="Arial"/>
          <w:color w:val="000000" w:themeColor="text1"/>
          <w:sz w:val="20"/>
          <w:szCs w:val="20"/>
        </w:rPr>
      </w:pPr>
      <w:r w:rsidRPr="00700FB4">
        <w:rPr>
          <w:rFonts w:ascii="Arial" w:hAnsi="Arial" w:cs="Arial"/>
          <w:color w:val="000000" w:themeColor="text1"/>
          <w:sz w:val="20"/>
          <w:szCs w:val="20"/>
        </w:rPr>
        <w:t>Ja Jūras vides aizsardzības un pārvaldības likuma 19.pantā nebūtu noteikts, ka jūras plānojums jāievēro arī privātpersonām, tad t</w:t>
      </w:r>
      <w:r w:rsidR="00803E59" w:rsidRPr="00700FB4">
        <w:rPr>
          <w:rFonts w:ascii="Arial" w:hAnsi="Arial" w:cs="Arial"/>
          <w:color w:val="000000" w:themeColor="text1"/>
          <w:sz w:val="20"/>
          <w:szCs w:val="20"/>
        </w:rPr>
        <w:t xml:space="preserve">eorētiski var pieņemt, ja jūras plānojumu var arī neapstiprināt ar ārējo normatīvo aktu, un arī tad atbilstoši </w:t>
      </w:r>
      <w:r w:rsidRPr="00700FB4">
        <w:rPr>
          <w:rFonts w:ascii="Arial" w:hAnsi="Arial" w:cs="Arial"/>
          <w:color w:val="000000" w:themeColor="text1"/>
          <w:sz w:val="20"/>
          <w:szCs w:val="20"/>
        </w:rPr>
        <w:t>S</w:t>
      </w:r>
      <w:r w:rsidR="00803E59" w:rsidRPr="00700FB4">
        <w:rPr>
          <w:rFonts w:ascii="Arial" w:hAnsi="Arial" w:cs="Arial"/>
          <w:color w:val="000000" w:themeColor="text1"/>
          <w:sz w:val="20"/>
          <w:szCs w:val="20"/>
        </w:rPr>
        <w:t xml:space="preserve">istēmas likuma 13.panta trešajai daļai </w:t>
      </w:r>
      <w:r w:rsidRPr="00700FB4">
        <w:rPr>
          <w:rFonts w:ascii="Arial" w:hAnsi="Arial" w:cs="Arial"/>
          <w:color w:val="000000" w:themeColor="text1"/>
          <w:sz w:val="20"/>
          <w:szCs w:val="20"/>
        </w:rPr>
        <w:t>APL</w:t>
      </w:r>
      <w:r w:rsidR="00803E59" w:rsidRPr="00700FB4">
        <w:rPr>
          <w:rFonts w:ascii="Arial" w:hAnsi="Arial" w:cs="Arial"/>
          <w:color w:val="000000" w:themeColor="text1"/>
          <w:sz w:val="20"/>
          <w:szCs w:val="20"/>
        </w:rPr>
        <w:t xml:space="preserve"> 66.pantam būs iespējams to izmantot tiesiskajās attiecībās ar ikvienu, ja vien attiecīgo specifisko jautājumu regulēs arī kāds ārējs normatīvais akts, kurš paredzēs kādai iestādei kompetenci lemt par attiecīgu specifisko jautājumu. </w:t>
      </w:r>
    </w:p>
    <w:p w:rsidR="00A11F51" w:rsidRPr="00700FB4" w:rsidRDefault="00A11F51" w:rsidP="005242CD">
      <w:pPr>
        <w:pStyle w:val="NoSpacing"/>
        <w:jc w:val="both"/>
        <w:rPr>
          <w:rFonts w:ascii="Arial" w:hAnsi="Arial" w:cs="Arial"/>
          <w:color w:val="000000" w:themeColor="text1"/>
          <w:sz w:val="20"/>
          <w:szCs w:val="20"/>
        </w:rPr>
      </w:pPr>
    </w:p>
    <w:p w:rsidR="00A11F51" w:rsidRPr="00700FB4" w:rsidRDefault="00A11F51" w:rsidP="005242CD">
      <w:pPr>
        <w:pStyle w:val="NoSpacing"/>
        <w:jc w:val="both"/>
        <w:rPr>
          <w:rFonts w:ascii="Arial" w:hAnsi="Arial" w:cs="Arial"/>
          <w:color w:val="000000" w:themeColor="text1"/>
          <w:sz w:val="20"/>
          <w:szCs w:val="20"/>
        </w:rPr>
      </w:pPr>
      <w:r w:rsidRPr="00700FB4">
        <w:rPr>
          <w:rFonts w:ascii="Arial" w:hAnsi="Arial" w:cs="Arial"/>
          <w:color w:val="000000" w:themeColor="text1"/>
          <w:sz w:val="20"/>
          <w:szCs w:val="20"/>
        </w:rPr>
        <w:t>Ja par lietderīgāko atzīst variantu, ka jūras plānojums apstiprināms kā</w:t>
      </w:r>
      <w:r w:rsidRPr="00700FB4">
        <w:rPr>
          <w:rFonts w:ascii="Arial" w:hAnsi="Arial" w:cs="Arial"/>
          <w:sz w:val="20"/>
          <w:szCs w:val="20"/>
          <w:shd w:val="clear" w:color="auto" w:fill="FFFFFF"/>
        </w:rPr>
        <w:t xml:space="preserve"> attīstības plānošanas dokuments, pamatojoties uz Ministru kabineta rīkojumu, tad būtu grozāms </w:t>
      </w:r>
      <w:r w:rsidRPr="00700FB4">
        <w:rPr>
          <w:rFonts w:ascii="Arial" w:hAnsi="Arial" w:cs="Arial"/>
          <w:color w:val="000000" w:themeColor="text1"/>
          <w:sz w:val="20"/>
          <w:szCs w:val="20"/>
        </w:rPr>
        <w:t>Jūras vides aizsardzības un pārvaldības likuma 19.panta noteikums par jūras plānojuma “ievērošanu”, izvēloties citu formulējumu.</w:t>
      </w:r>
    </w:p>
    <w:p w:rsidR="00D3551D" w:rsidRPr="00700FB4" w:rsidRDefault="00D3551D" w:rsidP="00D3551D">
      <w:pPr>
        <w:pStyle w:val="NoSpacing"/>
        <w:jc w:val="both"/>
        <w:rPr>
          <w:rFonts w:ascii="Arial" w:hAnsi="Arial" w:cs="Arial"/>
          <w:color w:val="000000"/>
          <w:sz w:val="20"/>
          <w:szCs w:val="20"/>
          <w:shd w:val="clear" w:color="auto" w:fill="FFFFFF"/>
        </w:rPr>
      </w:pPr>
    </w:p>
    <w:p w:rsidR="00D3551D" w:rsidRPr="00700FB4" w:rsidRDefault="002F219E" w:rsidP="00665269">
      <w:pPr>
        <w:pStyle w:val="Heading3"/>
        <w:rPr>
          <w:shd w:val="clear" w:color="auto" w:fill="FFFFFF"/>
        </w:rPr>
      </w:pPr>
      <w:bookmarkStart w:id="37" w:name="_Toc460402348"/>
      <w:r w:rsidRPr="00700FB4">
        <w:rPr>
          <w:shd w:val="clear" w:color="auto" w:fill="FFFFFF"/>
        </w:rPr>
        <w:t>[5.2.3] Ārējais normatīvais akts</w:t>
      </w:r>
      <w:bookmarkEnd w:id="37"/>
    </w:p>
    <w:p w:rsidR="00D3551D" w:rsidRPr="00700FB4" w:rsidRDefault="00D3551D" w:rsidP="00D3551D">
      <w:pPr>
        <w:pStyle w:val="NoSpacing"/>
        <w:jc w:val="both"/>
        <w:rPr>
          <w:rFonts w:ascii="Arial" w:hAnsi="Arial" w:cs="Arial"/>
          <w:color w:val="000000"/>
          <w:sz w:val="20"/>
          <w:szCs w:val="20"/>
          <w:shd w:val="clear" w:color="auto" w:fill="FFFFFF"/>
        </w:rPr>
      </w:pPr>
      <w:r w:rsidRPr="00700FB4">
        <w:rPr>
          <w:rFonts w:ascii="Arial" w:hAnsi="Arial" w:cs="Arial"/>
          <w:color w:val="000000"/>
          <w:sz w:val="20"/>
          <w:szCs w:val="20"/>
          <w:shd w:val="clear" w:color="auto" w:fill="FFFFFF"/>
        </w:rPr>
        <w:t>Normatīvs akts ir tiesību akts, kas satur tiesību normas. Saskaņā ar mūsdienu tiesību izpratni tiesību norma ir abstrakts uzvedības priekšraksts, kas nav domāts atsevišķiem vienreizējiem gadījumiem, proti, ir abstrakts daudzreiz piemērojams uzvedības priekšraksts.</w:t>
      </w:r>
      <w:r w:rsidRPr="00700FB4">
        <w:rPr>
          <w:rFonts w:ascii="Arial" w:hAnsi="Arial" w:cs="Arial"/>
          <w:color w:val="000000"/>
          <w:sz w:val="20"/>
          <w:szCs w:val="20"/>
          <w:shd w:val="clear" w:color="auto" w:fill="FFFFFF"/>
          <w:vertAlign w:val="superscript"/>
        </w:rPr>
        <w:footnoteReference w:id="103"/>
      </w:r>
      <w:r w:rsidR="00A11F51" w:rsidRPr="00700FB4">
        <w:rPr>
          <w:rFonts w:ascii="Arial" w:hAnsi="Arial" w:cs="Arial"/>
          <w:color w:val="000000"/>
          <w:sz w:val="20"/>
          <w:szCs w:val="20"/>
          <w:shd w:val="clear" w:color="auto" w:fill="FFFFFF"/>
          <w:vertAlign w:val="superscript"/>
        </w:rPr>
        <w:t xml:space="preserve"> </w:t>
      </w:r>
      <w:r w:rsidRPr="00700FB4">
        <w:rPr>
          <w:rFonts w:ascii="Arial" w:hAnsi="Arial" w:cs="Arial"/>
          <w:color w:val="000000"/>
          <w:sz w:val="20"/>
          <w:szCs w:val="20"/>
          <w:shd w:val="clear" w:color="auto" w:fill="FFFFFF"/>
        </w:rPr>
        <w:t xml:space="preserve">Normatīvā akta forma ir piemērota visplašāko jautājumu noregulēšanai un dod arī plašu rīcības brīvību tā izdevējam. Tomēr tas vien, ka normatīvais akts ir vispārsaistošs, nenozīmē, ka no šā normatīvā akta nevar paredzēt atkāpšanās tiesības konkrētā individuālā gadījumā, pastāvot noteiktiem kritērijiem, kas varētu būt nepieciešams jūras plānojuma gadījumā (atšķirībā no vietējās pašvaldības teritorijas plānojuma).  </w:t>
      </w:r>
    </w:p>
    <w:p w:rsidR="002F219E" w:rsidRPr="00700FB4" w:rsidRDefault="002F219E" w:rsidP="00D3551D">
      <w:pPr>
        <w:pStyle w:val="NoSpacing"/>
        <w:jc w:val="both"/>
        <w:rPr>
          <w:rFonts w:ascii="Arial" w:hAnsi="Arial" w:cs="Arial"/>
          <w:color w:val="000000"/>
          <w:sz w:val="20"/>
          <w:szCs w:val="20"/>
          <w:shd w:val="clear" w:color="auto" w:fill="FFFFFF"/>
        </w:rPr>
      </w:pPr>
    </w:p>
    <w:p w:rsidR="00DE0BC7" w:rsidRPr="00700FB4" w:rsidRDefault="002F219E" w:rsidP="00DE0BC7">
      <w:pPr>
        <w:pStyle w:val="NoSpacing"/>
        <w:jc w:val="both"/>
        <w:rPr>
          <w:rFonts w:ascii="Arial" w:hAnsi="Arial" w:cs="Arial"/>
          <w:color w:val="000000" w:themeColor="text1"/>
          <w:sz w:val="20"/>
          <w:szCs w:val="20"/>
        </w:rPr>
      </w:pPr>
      <w:r w:rsidRPr="00700FB4">
        <w:rPr>
          <w:rFonts w:ascii="Arial" w:hAnsi="Arial" w:cs="Arial"/>
          <w:color w:val="000000" w:themeColor="text1"/>
          <w:sz w:val="20"/>
          <w:szCs w:val="20"/>
        </w:rPr>
        <w:t>Jūras plānojuma kā ārējā normatīvā akta saistošais spēks izriet no tiesiskuma principa, atbilstoši kuram visām valsts jurisdikcijā esošām personām un institūcijām, tostarp valsts un pašvaldību institūcijām, kā arī tiesām ir pienākums ievērot spēkā esošās tiesību normas.</w:t>
      </w:r>
      <w:r w:rsidRPr="00700FB4">
        <w:rPr>
          <w:rStyle w:val="FootnoteReference"/>
          <w:rFonts w:ascii="Arial" w:hAnsi="Arial" w:cs="Arial"/>
          <w:color w:val="000000" w:themeColor="text1"/>
          <w:sz w:val="20"/>
          <w:szCs w:val="20"/>
        </w:rPr>
        <w:footnoteReference w:id="104"/>
      </w:r>
      <w:r w:rsidRPr="00700FB4">
        <w:rPr>
          <w:rFonts w:ascii="Arial" w:hAnsi="Arial" w:cs="Arial"/>
          <w:color w:val="000000" w:themeColor="text1"/>
          <w:sz w:val="20"/>
          <w:szCs w:val="20"/>
        </w:rPr>
        <w:t xml:space="preserve"> Attiecībā uz valsts un pašvaldību institūcijām tas ir nostiprināts arī Valsts pārvaldes iekārtas likuma 10.panta pirmajā daļā, kurā noteikts, ka valsts pārvalde ir pakļauta likumam un tiesībām un </w:t>
      </w:r>
      <w:r w:rsidR="00A4678B" w:rsidRPr="00700FB4">
        <w:rPr>
          <w:rFonts w:ascii="Arial" w:hAnsi="Arial" w:cs="Arial"/>
          <w:color w:val="000000" w:themeColor="text1"/>
          <w:sz w:val="20"/>
          <w:szCs w:val="20"/>
        </w:rPr>
        <w:t>APL</w:t>
      </w:r>
      <w:r w:rsidRPr="00700FB4">
        <w:rPr>
          <w:rFonts w:ascii="Arial" w:hAnsi="Arial" w:cs="Arial"/>
          <w:color w:val="000000" w:themeColor="text1"/>
          <w:sz w:val="20"/>
          <w:szCs w:val="20"/>
        </w:rPr>
        <w:t xml:space="preserve"> 7.pantā, kurā noteikts, ka iestādes rīcībai administratīvā procesā ir jāatbilst tiesību normām. Savukārt attiecībā uz administratīvām tiesām tas tāpat kā valsts un pašvaldību institūciju gadījumā ir noteikts APL 7.pantā, kā arī papildu vēl likuma “Par tiesu varu” 1.panta otrajā daļā, atbilstoši kurai tiesu vara tiek īstenota saskaņā ar tiesiskuma principu, un APL 15.panta pirmajā daļā, atbilstoši kurai administratīvām tiesām lietu izskatīšanā ir pienākums piemērot ārējos normatīvos aktus.</w:t>
      </w:r>
      <w:r w:rsidR="00DE0BC7" w:rsidRPr="00700FB4">
        <w:rPr>
          <w:rFonts w:ascii="Arial" w:hAnsi="Arial" w:cs="Arial"/>
          <w:color w:val="000000" w:themeColor="text1"/>
          <w:sz w:val="20"/>
          <w:szCs w:val="20"/>
        </w:rPr>
        <w:t xml:space="preserve"> Izskatot kāda aizlieguma pamatotību, tiesas nevarētu lemt pretēji jūras plānojumā minētajam.</w:t>
      </w:r>
    </w:p>
    <w:p w:rsidR="00DE0BC7" w:rsidRPr="00700FB4" w:rsidRDefault="00DE0BC7" w:rsidP="00DE0BC7">
      <w:pPr>
        <w:pStyle w:val="NoSpacing"/>
        <w:jc w:val="both"/>
        <w:rPr>
          <w:rFonts w:ascii="Arial" w:hAnsi="Arial" w:cs="Arial"/>
          <w:color w:val="000000" w:themeColor="text1"/>
          <w:sz w:val="20"/>
          <w:szCs w:val="20"/>
        </w:rPr>
      </w:pPr>
    </w:p>
    <w:p w:rsidR="00DE0BC7" w:rsidRPr="00700FB4" w:rsidRDefault="00DE0BC7" w:rsidP="00DE0BC7">
      <w:pPr>
        <w:pStyle w:val="NoSpacing"/>
        <w:jc w:val="both"/>
        <w:rPr>
          <w:rFonts w:ascii="Arial" w:hAnsi="Arial" w:cs="Arial"/>
          <w:color w:val="000000" w:themeColor="text1"/>
          <w:sz w:val="20"/>
          <w:szCs w:val="20"/>
        </w:rPr>
      </w:pPr>
      <w:r w:rsidRPr="00700FB4">
        <w:rPr>
          <w:rFonts w:ascii="Arial" w:hAnsi="Arial" w:cs="Arial"/>
          <w:color w:val="000000" w:themeColor="text1"/>
          <w:sz w:val="20"/>
          <w:szCs w:val="20"/>
        </w:rPr>
        <w:t>Tiesu praksē arī ir sastopami gadījumi, kad teritorijas plānojumi, kuri tiek apstiprināti ar ārējiem normatīviem aktiem, tiek izmantoti, lai pamatotu kādas darbības atļaušanu vai aizliegšanu. Piemēram, ir atzīts, ka zemesgabalu iekļaušana ielu sarkanajās līnijās, kuras sākotnēji, galvenokārt, tiek atzīmētas pašvaldību teritorijas plānojumos, var būt pamats tam, lai atteiktu attiecīgā zemesgabala nodošanu privatizācijai saistībā ar tā nepieciešamību likumā noteikto valsts pārvaldes funkciju veikšanai.</w:t>
      </w:r>
      <w:r w:rsidRPr="00700FB4">
        <w:rPr>
          <w:rStyle w:val="FootnoteReference"/>
          <w:rFonts w:ascii="Arial" w:hAnsi="Arial" w:cs="Arial"/>
          <w:color w:val="000000" w:themeColor="text1"/>
          <w:sz w:val="20"/>
          <w:szCs w:val="20"/>
        </w:rPr>
        <w:footnoteReference w:id="105"/>
      </w:r>
      <w:r w:rsidRPr="00700FB4">
        <w:rPr>
          <w:rFonts w:ascii="Arial" w:hAnsi="Arial" w:cs="Arial"/>
          <w:color w:val="000000" w:themeColor="text1"/>
          <w:sz w:val="20"/>
          <w:szCs w:val="20"/>
        </w:rPr>
        <w:t xml:space="preserve"> Tāpat administratīvo tiesu praksē ir atzīts, ka pašvaldību pirmpirkuma tiesību izmantošanas pamats attiecībā uz zemesgabalu, kas tiek atsavināts </w:t>
      </w:r>
      <w:r w:rsidRPr="00700FB4">
        <w:rPr>
          <w:rFonts w:ascii="Arial" w:hAnsi="Arial" w:cs="Arial"/>
          <w:color w:val="000000" w:themeColor="text1"/>
          <w:sz w:val="20"/>
          <w:szCs w:val="20"/>
        </w:rPr>
        <w:lastRenderedPageBreak/>
        <w:t>pašvaldības teritorijā, var būt teritorijas plānojumā norādītais zemesgabala izmantošanas mērķis, kas ir vērsts uz sabiedrības interešu un līdz ar to valsts pārvaldes funkciju nodrošināšanu. Konkrētajā lietā teritorijas plānojumā tika norādīts, ka attiecīgais zemesgabals ir nepieciešams tilta, gājēju un veloceliņa izbūvei pāri ezeram. Iecere bija konkrēta un jau iezīmēta kā nākotnē realizējama teritorijas plānojuma grafiskajā daļā, un tāpēc tiesa atzina pirmpirkuma tiesību izmantošanu par pamatotu.</w:t>
      </w:r>
      <w:r w:rsidRPr="00700FB4">
        <w:rPr>
          <w:rStyle w:val="FootnoteReference"/>
          <w:rFonts w:ascii="Arial" w:hAnsi="Arial" w:cs="Arial"/>
          <w:color w:val="000000" w:themeColor="text1"/>
          <w:sz w:val="20"/>
          <w:szCs w:val="20"/>
        </w:rPr>
        <w:footnoteReference w:id="106"/>
      </w:r>
      <w:r w:rsidRPr="00700FB4">
        <w:rPr>
          <w:rFonts w:ascii="Arial" w:hAnsi="Arial" w:cs="Arial"/>
          <w:color w:val="000000" w:themeColor="text1"/>
          <w:sz w:val="20"/>
          <w:szCs w:val="20"/>
        </w:rPr>
        <w:t xml:space="preserve"> </w:t>
      </w:r>
    </w:p>
    <w:p w:rsidR="00DE0BC7" w:rsidRPr="00700FB4" w:rsidRDefault="00DE0BC7" w:rsidP="00DE0BC7">
      <w:pPr>
        <w:pStyle w:val="NoSpacing"/>
        <w:jc w:val="both"/>
        <w:rPr>
          <w:rFonts w:ascii="Arial" w:hAnsi="Arial" w:cs="Arial"/>
          <w:color w:val="000000" w:themeColor="text1"/>
          <w:sz w:val="20"/>
          <w:szCs w:val="20"/>
        </w:rPr>
      </w:pPr>
    </w:p>
    <w:p w:rsidR="00DE0BC7" w:rsidRPr="00700FB4" w:rsidRDefault="00DE0BC7" w:rsidP="00DE0BC7">
      <w:pPr>
        <w:pStyle w:val="NoSpacing"/>
        <w:jc w:val="both"/>
        <w:rPr>
          <w:rFonts w:ascii="Arial" w:hAnsi="Arial" w:cs="Arial"/>
          <w:color w:val="000000" w:themeColor="text1"/>
          <w:sz w:val="20"/>
          <w:szCs w:val="20"/>
        </w:rPr>
      </w:pPr>
      <w:r w:rsidRPr="00700FB4">
        <w:rPr>
          <w:rFonts w:ascii="Arial" w:hAnsi="Arial" w:cs="Arial"/>
          <w:color w:val="000000" w:themeColor="text1"/>
          <w:sz w:val="20"/>
          <w:szCs w:val="20"/>
        </w:rPr>
        <w:t>Šajā sakarā norādāms Augstākās tiesas lemtais, ka, lai izmantotu pirmpirkuma tiesības, zemesgabala izmantošanas nepieciešamībai ir jābūt tagadnē vai vismaz paredzamā nākotnē, nevis pamatotai ar varbūtību un iespējamiem plāniem, kaut kad nākotnē. Turklāt pamatojumam nepietiek tikai ar norādi uz kādu no pašvaldības funkcijām, bet nepieciešams norādīt konkrētus apstākļus un norādes tam, kādā veidā attiecīgais zemesgabals tiks izmantots vietējās pašvaldības funkcijas pildīšanai.</w:t>
      </w:r>
      <w:r w:rsidRPr="00700FB4">
        <w:rPr>
          <w:rStyle w:val="FootnoteReference"/>
          <w:rFonts w:ascii="Arial" w:hAnsi="Arial" w:cs="Arial"/>
          <w:color w:val="000000" w:themeColor="text1"/>
          <w:sz w:val="20"/>
          <w:szCs w:val="20"/>
        </w:rPr>
        <w:footnoteReference w:id="107"/>
      </w:r>
      <w:r w:rsidRPr="00700FB4">
        <w:rPr>
          <w:rFonts w:ascii="Arial" w:hAnsi="Arial" w:cs="Arial"/>
          <w:color w:val="000000" w:themeColor="text1"/>
          <w:sz w:val="20"/>
          <w:szCs w:val="20"/>
        </w:rPr>
        <w:t xml:space="preserve"> Citādi tiktu attiecīgi pārkāpts patvaļas aizlieguma un pamatojuma princips.</w:t>
      </w:r>
    </w:p>
    <w:p w:rsidR="00D3551D" w:rsidRPr="00700FB4" w:rsidRDefault="00D3551D" w:rsidP="00D3551D">
      <w:pPr>
        <w:pStyle w:val="NoSpacing"/>
        <w:jc w:val="both"/>
        <w:rPr>
          <w:rFonts w:ascii="Arial" w:hAnsi="Arial" w:cs="Arial"/>
          <w:color w:val="000000"/>
          <w:sz w:val="20"/>
          <w:szCs w:val="20"/>
          <w:shd w:val="clear" w:color="auto" w:fill="FFFFFF"/>
        </w:rPr>
      </w:pPr>
    </w:p>
    <w:p w:rsidR="006B5B53" w:rsidRPr="00700FB4" w:rsidRDefault="006B5B53" w:rsidP="006B5B53">
      <w:pPr>
        <w:pStyle w:val="NoSpacing"/>
        <w:jc w:val="both"/>
        <w:rPr>
          <w:rFonts w:ascii="Arial" w:hAnsi="Arial" w:cs="Arial"/>
          <w:color w:val="000000" w:themeColor="text1"/>
          <w:sz w:val="20"/>
          <w:szCs w:val="20"/>
        </w:rPr>
      </w:pPr>
      <w:r w:rsidRPr="00700FB4">
        <w:rPr>
          <w:rFonts w:ascii="Arial" w:hAnsi="Arial" w:cs="Arial"/>
          <w:color w:val="000000" w:themeColor="text1"/>
          <w:sz w:val="20"/>
          <w:szCs w:val="20"/>
        </w:rPr>
        <w:t>Attiecībā uz jūras plānojumu nebūtu piemērojams likuma prioritātes princips tādā nozīmē, kāds tas tiek saprasts APL 14.pantā,</w:t>
      </w:r>
      <w:r w:rsidRPr="00700FB4">
        <w:rPr>
          <w:rStyle w:val="FootnoteReference"/>
          <w:rFonts w:ascii="Arial" w:hAnsi="Arial" w:cs="Arial"/>
          <w:color w:val="000000" w:themeColor="text1"/>
          <w:sz w:val="20"/>
          <w:szCs w:val="20"/>
        </w:rPr>
        <w:footnoteReference w:id="108"/>
      </w:r>
      <w:r w:rsidRPr="00700FB4">
        <w:rPr>
          <w:rFonts w:ascii="Arial" w:hAnsi="Arial" w:cs="Arial"/>
          <w:color w:val="000000" w:themeColor="text1"/>
          <w:sz w:val="20"/>
          <w:szCs w:val="20"/>
        </w:rPr>
        <w:t xml:space="preserve"> jo attiecīgais administratīvais akts netiktu izdots tādā demokrātiskai sabiedrībai un valsts iekārtai būtiski svarīgā jautājumā, kāds tiek uzskaitīts minētajā tiesību normā.</w:t>
      </w:r>
    </w:p>
    <w:p w:rsidR="006B5B53" w:rsidRPr="00700FB4" w:rsidRDefault="006B5B53" w:rsidP="006B5B53">
      <w:pPr>
        <w:pStyle w:val="NoSpacing"/>
        <w:jc w:val="both"/>
        <w:rPr>
          <w:rFonts w:ascii="Arial" w:hAnsi="Arial" w:cs="Arial"/>
          <w:color w:val="000000" w:themeColor="text1"/>
          <w:sz w:val="20"/>
          <w:szCs w:val="20"/>
        </w:rPr>
      </w:pPr>
    </w:p>
    <w:p w:rsidR="00A11F51" w:rsidRPr="00700FB4" w:rsidRDefault="00A11F51" w:rsidP="006B5B53">
      <w:pPr>
        <w:pStyle w:val="NoSpacing"/>
        <w:jc w:val="both"/>
        <w:rPr>
          <w:rFonts w:ascii="Arial" w:hAnsi="Arial" w:cs="Arial"/>
          <w:color w:val="000000" w:themeColor="text1"/>
          <w:sz w:val="20"/>
          <w:szCs w:val="20"/>
        </w:rPr>
      </w:pPr>
      <w:r w:rsidRPr="00700FB4">
        <w:rPr>
          <w:rFonts w:ascii="Arial" w:hAnsi="Arial" w:cs="Arial"/>
          <w:color w:val="000000" w:themeColor="text1"/>
          <w:sz w:val="20"/>
          <w:szCs w:val="20"/>
        </w:rPr>
        <w:t xml:space="preserve">Tomēr ārējā normatīvā akta forma ir problemātiska tādēļ, ka jūras plānojums nav veidots tā, lai to varētu izteikt tiesību normu valodā, kā arī uztvert tādējādi, ka adresāts skaidri saprot viņam uzliktos pienākumus. </w:t>
      </w:r>
    </w:p>
    <w:p w:rsidR="00A11F51" w:rsidRPr="00700FB4" w:rsidRDefault="00A11F51" w:rsidP="006B5B53">
      <w:pPr>
        <w:pStyle w:val="NoSpacing"/>
        <w:jc w:val="both"/>
        <w:rPr>
          <w:rFonts w:ascii="Arial" w:hAnsi="Arial" w:cs="Arial"/>
          <w:color w:val="000000" w:themeColor="text1"/>
          <w:sz w:val="20"/>
          <w:szCs w:val="20"/>
        </w:rPr>
      </w:pPr>
    </w:p>
    <w:p w:rsidR="006B5B53" w:rsidRPr="00700FB4" w:rsidRDefault="006B5B53" w:rsidP="006B5B53">
      <w:pPr>
        <w:pStyle w:val="Heading2"/>
        <w:rPr>
          <w:shd w:val="clear" w:color="auto" w:fill="FFFFFF"/>
        </w:rPr>
      </w:pPr>
      <w:bookmarkStart w:id="38" w:name="_Toc460402349"/>
      <w:r w:rsidRPr="00700FB4">
        <w:t>[5.3] Ieteicamais risinājums</w:t>
      </w:r>
      <w:bookmarkEnd w:id="38"/>
    </w:p>
    <w:p w:rsidR="004F7B6E" w:rsidRPr="00700FB4" w:rsidRDefault="006B5B53" w:rsidP="006B5B53">
      <w:pPr>
        <w:pStyle w:val="NoSpacing"/>
        <w:jc w:val="both"/>
        <w:rPr>
          <w:rFonts w:ascii="Arial" w:hAnsi="Arial" w:cs="Arial"/>
          <w:sz w:val="20"/>
          <w:szCs w:val="20"/>
          <w:lang w:eastAsia="lv-LV"/>
        </w:rPr>
      </w:pPr>
      <w:r w:rsidRPr="00700FB4">
        <w:rPr>
          <w:rFonts w:ascii="Arial" w:hAnsi="Arial" w:cs="Arial"/>
          <w:color w:val="000000" w:themeColor="text1"/>
          <w:sz w:val="20"/>
          <w:szCs w:val="20"/>
        </w:rPr>
        <w:t xml:space="preserve">Jūras plānojums ir apjomīgs un ļoti komplicēts dokuments, lai būtu vienkārši uztverams privātpersonai. Tā teksts nav pārveidojams tiesību normu valodā, jo nav tik precīzs, pieļauj vērtēšanas iespējas un dažādus risinājumus. Tāpēc lietderīgi būtu izvēlēties risinājumu, kurš paredz apstiprināt jūras plānojumu ar Ministru kabineta rīkojumu kā nacionāla līmeņa </w:t>
      </w:r>
      <w:r w:rsidR="00A11F51" w:rsidRPr="00700FB4">
        <w:rPr>
          <w:rFonts w:ascii="Arial" w:hAnsi="Arial" w:cs="Arial"/>
          <w:color w:val="000000" w:themeColor="text1"/>
          <w:sz w:val="20"/>
          <w:szCs w:val="20"/>
        </w:rPr>
        <w:t xml:space="preserve">attīstības plānošanas dokumentu, Plānošanas likumā papildus ietverot nosacījumus jūras plānojuma piemērošanai. Sadalīt jūras plānojumu divās daļās – </w:t>
      </w:r>
      <w:r w:rsidRPr="00700FB4">
        <w:rPr>
          <w:rFonts w:ascii="Arial" w:hAnsi="Arial" w:cs="Arial"/>
          <w:color w:val="000000" w:themeColor="text1"/>
          <w:sz w:val="20"/>
          <w:szCs w:val="20"/>
        </w:rPr>
        <w:t>ā</w:t>
      </w:r>
      <w:r w:rsidR="00A11F51" w:rsidRPr="00700FB4">
        <w:rPr>
          <w:rFonts w:ascii="Arial" w:hAnsi="Arial" w:cs="Arial"/>
          <w:color w:val="000000" w:themeColor="text1"/>
          <w:sz w:val="20"/>
          <w:szCs w:val="20"/>
        </w:rPr>
        <w:t>rējais normatīvais akts un juridiski nesaistošajā daļā – praktiski nav iespējams tā satura un struktūras dēļ.</w:t>
      </w:r>
    </w:p>
    <w:p w:rsidR="0054294A" w:rsidRPr="00700FB4" w:rsidRDefault="0054294A" w:rsidP="00D3551D">
      <w:pPr>
        <w:pStyle w:val="NoSpacing"/>
        <w:jc w:val="both"/>
        <w:rPr>
          <w:rFonts w:ascii="Arial" w:hAnsi="Arial" w:cs="Arial"/>
          <w:color w:val="000000" w:themeColor="text1"/>
          <w:sz w:val="20"/>
          <w:szCs w:val="20"/>
        </w:rPr>
      </w:pPr>
    </w:p>
    <w:p w:rsidR="00A577D3" w:rsidRPr="00700FB4" w:rsidRDefault="00A577D3" w:rsidP="00665269">
      <w:pPr>
        <w:pStyle w:val="Heading2"/>
        <w:rPr>
          <w:shd w:val="clear" w:color="auto" w:fill="FFFFFF"/>
        </w:rPr>
      </w:pPr>
      <w:bookmarkStart w:id="39" w:name="_Toc460402350"/>
      <w:r w:rsidRPr="00700FB4">
        <w:t>[5.</w:t>
      </w:r>
      <w:r w:rsidR="0054294A" w:rsidRPr="00700FB4">
        <w:t>4</w:t>
      </w:r>
      <w:r w:rsidRPr="00700FB4">
        <w:t xml:space="preserve">] Izvēles variantu </w:t>
      </w:r>
      <w:r w:rsidR="009834C4" w:rsidRPr="00700FB4">
        <w:t>ieguvu</w:t>
      </w:r>
      <w:r w:rsidRPr="00700FB4">
        <w:t xml:space="preserve"> un </w:t>
      </w:r>
      <w:r w:rsidR="009834C4" w:rsidRPr="00700FB4">
        <w:t xml:space="preserve">trūkumu </w:t>
      </w:r>
      <w:r w:rsidRPr="00700FB4">
        <w:t>salīdzinājums tabulā</w:t>
      </w:r>
      <w:r w:rsidR="0054294A" w:rsidRPr="00700FB4">
        <w:t>s</w:t>
      </w:r>
      <w:bookmarkEnd w:id="39"/>
      <w:r w:rsidRPr="00700FB4">
        <w:t xml:space="preserve"> </w:t>
      </w:r>
    </w:p>
    <w:p w:rsidR="00D3551D" w:rsidRPr="00700FB4" w:rsidRDefault="00F329AB" w:rsidP="00F329AB">
      <w:pPr>
        <w:pStyle w:val="NoSpacing"/>
        <w:jc w:val="right"/>
        <w:rPr>
          <w:rFonts w:ascii="Arial" w:hAnsi="Arial" w:cs="Arial"/>
          <w:color w:val="000000"/>
          <w:sz w:val="20"/>
          <w:szCs w:val="20"/>
          <w:shd w:val="clear" w:color="auto" w:fill="FFFFFF"/>
        </w:rPr>
      </w:pPr>
      <w:r w:rsidRPr="00700FB4">
        <w:rPr>
          <w:rFonts w:ascii="Arial" w:hAnsi="Arial" w:cs="Arial"/>
          <w:color w:val="000000"/>
          <w:sz w:val="20"/>
          <w:szCs w:val="20"/>
          <w:shd w:val="clear" w:color="auto" w:fill="FFFFFF"/>
        </w:rPr>
        <w:t>Tabula Nr.2</w:t>
      </w:r>
    </w:p>
    <w:tbl>
      <w:tblPr>
        <w:tblStyle w:val="TableGrid"/>
        <w:tblW w:w="0" w:type="auto"/>
        <w:tblInd w:w="108" w:type="dxa"/>
        <w:tblLook w:val="04A0"/>
      </w:tblPr>
      <w:tblGrid>
        <w:gridCol w:w="4252"/>
        <w:gridCol w:w="4253"/>
      </w:tblGrid>
      <w:tr w:rsidR="00A577D3" w:rsidRPr="00700FB4" w:rsidTr="00856FB0">
        <w:tc>
          <w:tcPr>
            <w:tcW w:w="8505" w:type="dxa"/>
            <w:gridSpan w:val="2"/>
          </w:tcPr>
          <w:p w:rsidR="00A577D3" w:rsidRPr="00700FB4" w:rsidRDefault="00A577D3" w:rsidP="00A577D3">
            <w:pPr>
              <w:pStyle w:val="NoSpacing"/>
              <w:jc w:val="center"/>
              <w:rPr>
                <w:rFonts w:ascii="Arial" w:hAnsi="Arial" w:cs="Arial"/>
                <w:b/>
                <w:color w:val="000000"/>
                <w:sz w:val="20"/>
                <w:szCs w:val="20"/>
                <w:shd w:val="clear" w:color="auto" w:fill="FFFFFF"/>
              </w:rPr>
            </w:pPr>
            <w:r w:rsidRPr="00700FB4">
              <w:rPr>
                <w:rFonts w:ascii="Arial" w:hAnsi="Arial" w:cs="Arial"/>
                <w:b/>
                <w:color w:val="000000"/>
                <w:sz w:val="20"/>
                <w:szCs w:val="20"/>
                <w:shd w:val="clear" w:color="auto" w:fill="FFFFFF"/>
              </w:rPr>
              <w:t>Vispārīgais administratīvais akts</w:t>
            </w:r>
          </w:p>
        </w:tc>
      </w:tr>
      <w:tr w:rsidR="00A577D3" w:rsidRPr="00700FB4" w:rsidTr="00856FB0">
        <w:tc>
          <w:tcPr>
            <w:tcW w:w="4252" w:type="dxa"/>
          </w:tcPr>
          <w:p w:rsidR="00A577D3" w:rsidRPr="00700FB4" w:rsidRDefault="00A577D3" w:rsidP="00A577D3">
            <w:pPr>
              <w:pStyle w:val="NoSpacing"/>
              <w:jc w:val="center"/>
              <w:rPr>
                <w:rFonts w:ascii="Arial" w:hAnsi="Arial" w:cs="Arial"/>
                <w:b/>
                <w:color w:val="000000"/>
                <w:sz w:val="20"/>
                <w:szCs w:val="20"/>
                <w:shd w:val="clear" w:color="auto" w:fill="FFFFFF"/>
              </w:rPr>
            </w:pPr>
            <w:r w:rsidRPr="00700FB4">
              <w:rPr>
                <w:rFonts w:ascii="Arial" w:hAnsi="Arial" w:cs="Arial"/>
                <w:b/>
                <w:color w:val="000000"/>
                <w:sz w:val="20"/>
                <w:szCs w:val="20"/>
                <w:shd w:val="clear" w:color="auto" w:fill="FFFFFF"/>
              </w:rPr>
              <w:t>Ieguvumi</w:t>
            </w:r>
          </w:p>
        </w:tc>
        <w:tc>
          <w:tcPr>
            <w:tcW w:w="4253" w:type="dxa"/>
          </w:tcPr>
          <w:p w:rsidR="00A577D3" w:rsidRPr="00700FB4" w:rsidRDefault="00A577D3" w:rsidP="00A577D3">
            <w:pPr>
              <w:pStyle w:val="NoSpacing"/>
              <w:jc w:val="center"/>
              <w:rPr>
                <w:rFonts w:ascii="Arial" w:hAnsi="Arial" w:cs="Arial"/>
                <w:b/>
                <w:color w:val="000000"/>
                <w:sz w:val="20"/>
                <w:szCs w:val="20"/>
                <w:shd w:val="clear" w:color="auto" w:fill="FFFFFF"/>
              </w:rPr>
            </w:pPr>
            <w:r w:rsidRPr="00700FB4">
              <w:rPr>
                <w:rFonts w:ascii="Arial" w:hAnsi="Arial" w:cs="Arial"/>
                <w:b/>
                <w:color w:val="000000"/>
                <w:sz w:val="20"/>
                <w:szCs w:val="20"/>
                <w:shd w:val="clear" w:color="auto" w:fill="FFFFFF"/>
              </w:rPr>
              <w:t>Trūkumi</w:t>
            </w:r>
          </w:p>
        </w:tc>
      </w:tr>
      <w:tr w:rsidR="00A577D3" w:rsidRPr="00700FB4" w:rsidTr="00856FB0">
        <w:tc>
          <w:tcPr>
            <w:tcW w:w="4252" w:type="dxa"/>
          </w:tcPr>
          <w:p w:rsidR="00A577D3" w:rsidRPr="00700FB4" w:rsidRDefault="003F00FD" w:rsidP="003F00FD">
            <w:pPr>
              <w:pStyle w:val="NoSpacing"/>
              <w:jc w:val="center"/>
              <w:rPr>
                <w:rFonts w:ascii="Arial" w:hAnsi="Arial" w:cs="Arial"/>
                <w:color w:val="000000"/>
                <w:sz w:val="20"/>
                <w:szCs w:val="20"/>
                <w:shd w:val="clear" w:color="auto" w:fill="FFFFFF"/>
              </w:rPr>
            </w:pPr>
            <w:r w:rsidRPr="00700FB4">
              <w:rPr>
                <w:rFonts w:ascii="Arial" w:hAnsi="Arial" w:cs="Arial"/>
                <w:color w:val="000000"/>
                <w:sz w:val="20"/>
                <w:szCs w:val="20"/>
                <w:shd w:val="clear" w:color="auto" w:fill="FFFFFF"/>
              </w:rPr>
              <w:t>Parasti vienkāršāka izdošanas un grozīšanas kārtība</w:t>
            </w:r>
          </w:p>
        </w:tc>
        <w:tc>
          <w:tcPr>
            <w:tcW w:w="4253" w:type="dxa"/>
          </w:tcPr>
          <w:p w:rsidR="00A577D3" w:rsidRPr="00700FB4" w:rsidRDefault="003F00FD" w:rsidP="003F00FD">
            <w:pPr>
              <w:pStyle w:val="NoSpacing"/>
              <w:jc w:val="center"/>
              <w:rPr>
                <w:rFonts w:ascii="Arial" w:hAnsi="Arial" w:cs="Arial"/>
                <w:color w:val="000000"/>
                <w:sz w:val="20"/>
                <w:szCs w:val="20"/>
                <w:shd w:val="clear" w:color="auto" w:fill="FFFFFF"/>
              </w:rPr>
            </w:pPr>
            <w:r w:rsidRPr="00700FB4">
              <w:rPr>
                <w:rFonts w:ascii="Arial" w:hAnsi="Arial" w:cs="Arial"/>
                <w:color w:val="000000"/>
                <w:sz w:val="20"/>
                <w:szCs w:val="20"/>
                <w:shd w:val="clear" w:color="auto" w:fill="FFFFFF"/>
              </w:rPr>
              <w:t>Lēmumu pieņem Ministru kabinets, tāpēc nav ieguvuma, jo šādus aktus var deleģēt izdot citai institūcijai</w:t>
            </w:r>
          </w:p>
        </w:tc>
      </w:tr>
      <w:tr w:rsidR="00A577D3" w:rsidRPr="00700FB4" w:rsidTr="00856FB0">
        <w:tc>
          <w:tcPr>
            <w:tcW w:w="4252" w:type="dxa"/>
          </w:tcPr>
          <w:p w:rsidR="00A577D3" w:rsidRPr="00700FB4" w:rsidRDefault="00A577D3" w:rsidP="003F00FD">
            <w:pPr>
              <w:pStyle w:val="NoSpacing"/>
              <w:jc w:val="center"/>
              <w:rPr>
                <w:rFonts w:ascii="Arial" w:hAnsi="Arial" w:cs="Arial"/>
                <w:color w:val="000000"/>
                <w:sz w:val="20"/>
                <w:szCs w:val="20"/>
                <w:shd w:val="clear" w:color="auto" w:fill="FFFFFF"/>
              </w:rPr>
            </w:pPr>
          </w:p>
        </w:tc>
        <w:tc>
          <w:tcPr>
            <w:tcW w:w="4253" w:type="dxa"/>
          </w:tcPr>
          <w:p w:rsidR="00A577D3" w:rsidRPr="00700FB4" w:rsidRDefault="003F00FD" w:rsidP="003F00FD">
            <w:pPr>
              <w:pStyle w:val="NoSpacing"/>
              <w:jc w:val="center"/>
              <w:rPr>
                <w:rFonts w:ascii="Arial" w:hAnsi="Arial" w:cs="Arial"/>
                <w:color w:val="000000"/>
                <w:sz w:val="20"/>
                <w:szCs w:val="20"/>
                <w:shd w:val="clear" w:color="auto" w:fill="FFFFFF"/>
              </w:rPr>
            </w:pPr>
            <w:r w:rsidRPr="00700FB4">
              <w:rPr>
                <w:rFonts w:ascii="Arial" w:hAnsi="Arial" w:cs="Arial"/>
                <w:color w:val="000000"/>
                <w:sz w:val="20"/>
                <w:szCs w:val="20"/>
                <w:shd w:val="clear" w:color="auto" w:fill="FFFFFF"/>
              </w:rPr>
              <w:t>Var radīt juridiskos riskus lielu teritoriju gadījumā</w:t>
            </w:r>
          </w:p>
        </w:tc>
      </w:tr>
      <w:tr w:rsidR="00A577D3" w:rsidRPr="00700FB4" w:rsidTr="00856FB0">
        <w:tc>
          <w:tcPr>
            <w:tcW w:w="4252" w:type="dxa"/>
          </w:tcPr>
          <w:p w:rsidR="00A577D3" w:rsidRPr="00700FB4" w:rsidRDefault="00A577D3" w:rsidP="003F00FD">
            <w:pPr>
              <w:pStyle w:val="NoSpacing"/>
              <w:jc w:val="center"/>
              <w:rPr>
                <w:rFonts w:ascii="Arial" w:hAnsi="Arial" w:cs="Arial"/>
                <w:color w:val="000000"/>
                <w:sz w:val="20"/>
                <w:szCs w:val="20"/>
                <w:shd w:val="clear" w:color="auto" w:fill="FFFFFF"/>
              </w:rPr>
            </w:pPr>
          </w:p>
        </w:tc>
        <w:tc>
          <w:tcPr>
            <w:tcW w:w="4253" w:type="dxa"/>
          </w:tcPr>
          <w:p w:rsidR="00A577D3" w:rsidRPr="00700FB4" w:rsidRDefault="003F00FD" w:rsidP="003F00FD">
            <w:pPr>
              <w:pStyle w:val="NoSpacing"/>
              <w:jc w:val="center"/>
              <w:rPr>
                <w:rFonts w:ascii="Arial" w:hAnsi="Arial" w:cs="Arial"/>
                <w:color w:val="000000"/>
                <w:sz w:val="20"/>
                <w:szCs w:val="20"/>
                <w:shd w:val="clear" w:color="auto" w:fill="FFFFFF"/>
              </w:rPr>
            </w:pPr>
            <w:r w:rsidRPr="00700FB4">
              <w:rPr>
                <w:rFonts w:ascii="Arial" w:hAnsi="Arial" w:cs="Arial"/>
                <w:color w:val="000000"/>
                <w:sz w:val="20"/>
                <w:szCs w:val="20"/>
                <w:shd w:val="clear" w:color="auto" w:fill="FFFFFF"/>
              </w:rPr>
              <w:t>Radīs juridiskos riskus, ja tos pašus jautājumus par jūras izmantošanu vienlaikus regulē vairāki ārējie normatīvie akti</w:t>
            </w:r>
          </w:p>
        </w:tc>
      </w:tr>
    </w:tbl>
    <w:p w:rsidR="00F329AB" w:rsidRPr="00700FB4" w:rsidRDefault="00F329AB" w:rsidP="00F329AB">
      <w:pPr>
        <w:pStyle w:val="NoSpacing"/>
        <w:jc w:val="right"/>
        <w:rPr>
          <w:rFonts w:ascii="Arial" w:hAnsi="Arial" w:cs="Arial"/>
          <w:color w:val="000000"/>
          <w:sz w:val="20"/>
          <w:szCs w:val="20"/>
          <w:shd w:val="clear" w:color="auto" w:fill="FFFFFF"/>
        </w:rPr>
      </w:pPr>
    </w:p>
    <w:p w:rsidR="00F329AB" w:rsidRPr="00700FB4" w:rsidRDefault="00F329AB" w:rsidP="00F329AB">
      <w:pPr>
        <w:pStyle w:val="NoSpacing"/>
        <w:jc w:val="right"/>
        <w:rPr>
          <w:rFonts w:ascii="Arial" w:hAnsi="Arial" w:cs="Arial"/>
          <w:color w:val="000000"/>
          <w:sz w:val="20"/>
          <w:szCs w:val="20"/>
          <w:shd w:val="clear" w:color="auto" w:fill="FFFFFF"/>
        </w:rPr>
      </w:pPr>
      <w:r w:rsidRPr="00700FB4">
        <w:rPr>
          <w:rFonts w:ascii="Arial" w:hAnsi="Arial" w:cs="Arial"/>
          <w:color w:val="000000"/>
          <w:sz w:val="20"/>
          <w:szCs w:val="20"/>
          <w:shd w:val="clear" w:color="auto" w:fill="FFFFFF"/>
        </w:rPr>
        <w:t>Tabula Nr.3</w:t>
      </w:r>
    </w:p>
    <w:tbl>
      <w:tblPr>
        <w:tblStyle w:val="TableGrid"/>
        <w:tblW w:w="0" w:type="auto"/>
        <w:tblInd w:w="108" w:type="dxa"/>
        <w:tblLook w:val="04A0"/>
      </w:tblPr>
      <w:tblGrid>
        <w:gridCol w:w="4252"/>
        <w:gridCol w:w="4253"/>
      </w:tblGrid>
      <w:tr w:rsidR="00A577D3" w:rsidRPr="00700FB4" w:rsidTr="00856FB0">
        <w:tc>
          <w:tcPr>
            <w:tcW w:w="8505" w:type="dxa"/>
            <w:gridSpan w:val="2"/>
          </w:tcPr>
          <w:p w:rsidR="00A577D3" w:rsidRPr="00700FB4" w:rsidRDefault="00A577D3" w:rsidP="00A577D3">
            <w:pPr>
              <w:pStyle w:val="NoSpacing"/>
              <w:jc w:val="center"/>
              <w:rPr>
                <w:rFonts w:ascii="Arial" w:hAnsi="Arial" w:cs="Arial"/>
                <w:b/>
                <w:color w:val="000000"/>
                <w:sz w:val="20"/>
                <w:szCs w:val="20"/>
                <w:shd w:val="clear" w:color="auto" w:fill="FFFFFF"/>
              </w:rPr>
            </w:pPr>
            <w:r w:rsidRPr="00700FB4">
              <w:rPr>
                <w:rFonts w:ascii="Arial" w:hAnsi="Arial" w:cs="Arial"/>
                <w:b/>
                <w:color w:val="000000"/>
                <w:sz w:val="20"/>
                <w:szCs w:val="20"/>
                <w:shd w:val="clear" w:color="auto" w:fill="FFFFFF"/>
              </w:rPr>
              <w:t>Nacionāla līmeņa plānošanas dokuments (apstiprināts ar MK rīkojumu)</w:t>
            </w:r>
          </w:p>
        </w:tc>
      </w:tr>
      <w:tr w:rsidR="00A577D3" w:rsidRPr="00700FB4" w:rsidTr="00856FB0">
        <w:tc>
          <w:tcPr>
            <w:tcW w:w="4252" w:type="dxa"/>
          </w:tcPr>
          <w:p w:rsidR="00A577D3" w:rsidRPr="00700FB4" w:rsidRDefault="00A577D3" w:rsidP="00A577D3">
            <w:pPr>
              <w:pStyle w:val="NoSpacing"/>
              <w:jc w:val="center"/>
              <w:rPr>
                <w:rFonts w:ascii="Arial" w:hAnsi="Arial" w:cs="Arial"/>
                <w:b/>
                <w:color w:val="000000"/>
                <w:sz w:val="20"/>
                <w:szCs w:val="20"/>
                <w:shd w:val="clear" w:color="auto" w:fill="FFFFFF"/>
              </w:rPr>
            </w:pPr>
            <w:r w:rsidRPr="00700FB4">
              <w:rPr>
                <w:rFonts w:ascii="Arial" w:hAnsi="Arial" w:cs="Arial"/>
                <w:b/>
                <w:color w:val="000000"/>
                <w:sz w:val="20"/>
                <w:szCs w:val="20"/>
                <w:shd w:val="clear" w:color="auto" w:fill="FFFFFF"/>
              </w:rPr>
              <w:t>Ieguvumi</w:t>
            </w:r>
          </w:p>
        </w:tc>
        <w:tc>
          <w:tcPr>
            <w:tcW w:w="4253" w:type="dxa"/>
          </w:tcPr>
          <w:p w:rsidR="00A577D3" w:rsidRPr="00700FB4" w:rsidRDefault="00A577D3" w:rsidP="00A577D3">
            <w:pPr>
              <w:pStyle w:val="NoSpacing"/>
              <w:jc w:val="center"/>
              <w:rPr>
                <w:rFonts w:ascii="Arial" w:hAnsi="Arial" w:cs="Arial"/>
                <w:b/>
                <w:color w:val="000000"/>
                <w:sz w:val="20"/>
                <w:szCs w:val="20"/>
                <w:shd w:val="clear" w:color="auto" w:fill="FFFFFF"/>
              </w:rPr>
            </w:pPr>
            <w:r w:rsidRPr="00700FB4">
              <w:rPr>
                <w:rFonts w:ascii="Arial" w:hAnsi="Arial" w:cs="Arial"/>
                <w:b/>
                <w:color w:val="000000"/>
                <w:sz w:val="20"/>
                <w:szCs w:val="20"/>
                <w:shd w:val="clear" w:color="auto" w:fill="FFFFFF"/>
              </w:rPr>
              <w:t>Trūkumi</w:t>
            </w:r>
          </w:p>
        </w:tc>
      </w:tr>
      <w:tr w:rsidR="00A577D3" w:rsidRPr="00700FB4" w:rsidTr="00856FB0">
        <w:tc>
          <w:tcPr>
            <w:tcW w:w="4252" w:type="dxa"/>
          </w:tcPr>
          <w:p w:rsidR="00A577D3" w:rsidRPr="00700FB4" w:rsidRDefault="003F00FD" w:rsidP="003F00FD">
            <w:pPr>
              <w:pStyle w:val="NoSpacing"/>
              <w:jc w:val="center"/>
              <w:rPr>
                <w:rFonts w:ascii="Arial" w:hAnsi="Arial" w:cs="Arial"/>
                <w:color w:val="000000"/>
                <w:sz w:val="20"/>
                <w:szCs w:val="20"/>
                <w:shd w:val="clear" w:color="auto" w:fill="FFFFFF"/>
              </w:rPr>
            </w:pPr>
            <w:r w:rsidRPr="00700FB4">
              <w:rPr>
                <w:rFonts w:ascii="Arial" w:hAnsi="Arial" w:cs="Arial"/>
                <w:color w:val="000000"/>
                <w:sz w:val="20"/>
                <w:szCs w:val="20"/>
                <w:shd w:val="clear" w:color="auto" w:fill="FFFFFF"/>
              </w:rPr>
              <w:t>Iespējas plašam teksta un apsvērumu izklāstam</w:t>
            </w:r>
          </w:p>
        </w:tc>
        <w:tc>
          <w:tcPr>
            <w:tcW w:w="4253" w:type="dxa"/>
          </w:tcPr>
          <w:p w:rsidR="00A577D3" w:rsidRPr="00700FB4" w:rsidRDefault="003F00FD" w:rsidP="003F00FD">
            <w:pPr>
              <w:pStyle w:val="NoSpacing"/>
              <w:jc w:val="center"/>
              <w:rPr>
                <w:rFonts w:ascii="Arial" w:hAnsi="Arial" w:cs="Arial"/>
                <w:color w:val="000000"/>
                <w:sz w:val="20"/>
                <w:szCs w:val="20"/>
                <w:shd w:val="clear" w:color="auto" w:fill="FFFFFF"/>
              </w:rPr>
            </w:pPr>
            <w:r w:rsidRPr="00700FB4">
              <w:rPr>
                <w:rFonts w:ascii="Arial" w:hAnsi="Arial" w:cs="Arial"/>
                <w:color w:val="000000"/>
                <w:sz w:val="20"/>
                <w:szCs w:val="20"/>
                <w:shd w:val="clear" w:color="auto" w:fill="FFFFFF"/>
              </w:rPr>
              <w:t>Grūtāk uztverams dokuments</w:t>
            </w:r>
            <w:r w:rsidR="00B853F2" w:rsidRPr="00700FB4">
              <w:rPr>
                <w:rFonts w:ascii="Arial" w:hAnsi="Arial" w:cs="Arial"/>
                <w:color w:val="000000"/>
                <w:sz w:val="20"/>
                <w:szCs w:val="20"/>
                <w:shd w:val="clear" w:color="auto" w:fill="FFFFFF"/>
              </w:rPr>
              <w:t xml:space="preserve">, ja netiek pārstrukturēts esošais jūras plānojuma projekts </w:t>
            </w:r>
          </w:p>
        </w:tc>
      </w:tr>
      <w:tr w:rsidR="00A577D3" w:rsidRPr="00700FB4" w:rsidTr="00856FB0">
        <w:tc>
          <w:tcPr>
            <w:tcW w:w="4252" w:type="dxa"/>
          </w:tcPr>
          <w:p w:rsidR="00A577D3" w:rsidRPr="00700FB4" w:rsidRDefault="003F00FD" w:rsidP="003F00FD">
            <w:pPr>
              <w:pStyle w:val="NoSpacing"/>
              <w:jc w:val="center"/>
              <w:rPr>
                <w:rFonts w:ascii="Arial" w:hAnsi="Arial" w:cs="Arial"/>
                <w:color w:val="000000"/>
                <w:sz w:val="20"/>
                <w:szCs w:val="20"/>
                <w:shd w:val="clear" w:color="auto" w:fill="FFFFFF"/>
              </w:rPr>
            </w:pPr>
            <w:r w:rsidRPr="00700FB4">
              <w:rPr>
                <w:rFonts w:ascii="Arial" w:hAnsi="Arial" w:cs="Arial"/>
                <w:color w:val="000000"/>
                <w:sz w:val="20"/>
                <w:szCs w:val="20"/>
                <w:shd w:val="clear" w:color="auto" w:fill="FFFFFF"/>
              </w:rPr>
              <w:t>Vienkāršāka atkāpšanās no noteiktā</w:t>
            </w:r>
            <w:r w:rsidR="00856FB0" w:rsidRPr="00700FB4">
              <w:rPr>
                <w:rFonts w:ascii="Arial" w:hAnsi="Arial" w:cs="Arial"/>
                <w:color w:val="000000"/>
                <w:sz w:val="20"/>
                <w:szCs w:val="20"/>
                <w:shd w:val="clear" w:color="auto" w:fill="FFFFFF"/>
              </w:rPr>
              <w:t>, dinamiska pieeja</w:t>
            </w:r>
          </w:p>
        </w:tc>
        <w:tc>
          <w:tcPr>
            <w:tcW w:w="4253" w:type="dxa"/>
          </w:tcPr>
          <w:p w:rsidR="00A577D3" w:rsidRPr="00700FB4" w:rsidRDefault="00856FB0" w:rsidP="00856FB0">
            <w:pPr>
              <w:pStyle w:val="NoSpacing"/>
              <w:jc w:val="center"/>
              <w:rPr>
                <w:rFonts w:ascii="Arial" w:hAnsi="Arial" w:cs="Arial"/>
                <w:color w:val="000000"/>
                <w:sz w:val="20"/>
                <w:szCs w:val="20"/>
                <w:shd w:val="clear" w:color="auto" w:fill="FFFFFF"/>
              </w:rPr>
            </w:pPr>
            <w:r w:rsidRPr="00700FB4">
              <w:rPr>
                <w:rFonts w:ascii="Arial" w:hAnsi="Arial" w:cs="Arial"/>
                <w:color w:val="000000"/>
                <w:sz w:val="20"/>
                <w:szCs w:val="20"/>
                <w:shd w:val="clear" w:color="auto" w:fill="FFFFFF"/>
              </w:rPr>
              <w:t>Lielāki, bet ne nepārvarami j</w:t>
            </w:r>
            <w:r w:rsidR="003F00FD" w:rsidRPr="00700FB4">
              <w:rPr>
                <w:rFonts w:ascii="Arial" w:hAnsi="Arial" w:cs="Arial"/>
                <w:color w:val="000000"/>
                <w:sz w:val="20"/>
                <w:szCs w:val="20"/>
                <w:shd w:val="clear" w:color="auto" w:fill="FFFFFF"/>
              </w:rPr>
              <w:t>uridiskie riski attiecībā uz saistošo spēku privātpersonām</w:t>
            </w:r>
            <w:r w:rsidR="00B853F2" w:rsidRPr="00700FB4">
              <w:rPr>
                <w:rFonts w:ascii="Arial" w:hAnsi="Arial" w:cs="Arial"/>
                <w:color w:val="000000"/>
                <w:sz w:val="20"/>
                <w:szCs w:val="20"/>
                <w:shd w:val="clear" w:color="auto" w:fill="FFFFFF"/>
              </w:rPr>
              <w:t>. Tos var novērst likumā ietverot būtiskākos jūras plānojuma piemērošanas principus</w:t>
            </w:r>
          </w:p>
        </w:tc>
      </w:tr>
    </w:tbl>
    <w:p w:rsidR="00915DD6" w:rsidRPr="00700FB4" w:rsidRDefault="00915DD6" w:rsidP="00F329AB">
      <w:pPr>
        <w:pStyle w:val="NoSpacing"/>
        <w:jc w:val="right"/>
        <w:rPr>
          <w:rFonts w:ascii="Arial" w:hAnsi="Arial" w:cs="Arial"/>
          <w:color w:val="000000"/>
          <w:sz w:val="20"/>
          <w:szCs w:val="20"/>
          <w:shd w:val="clear" w:color="auto" w:fill="FFFFFF"/>
        </w:rPr>
      </w:pPr>
    </w:p>
    <w:p w:rsidR="00915DD6" w:rsidRPr="00700FB4" w:rsidRDefault="00915DD6" w:rsidP="00F329AB">
      <w:pPr>
        <w:pStyle w:val="NoSpacing"/>
        <w:jc w:val="right"/>
        <w:rPr>
          <w:rFonts w:ascii="Arial" w:hAnsi="Arial" w:cs="Arial"/>
          <w:color w:val="000000"/>
          <w:sz w:val="20"/>
          <w:szCs w:val="20"/>
          <w:shd w:val="clear" w:color="auto" w:fill="FFFFFF"/>
        </w:rPr>
      </w:pPr>
    </w:p>
    <w:p w:rsidR="00F329AB" w:rsidRPr="00700FB4" w:rsidRDefault="00F329AB" w:rsidP="00F329AB">
      <w:pPr>
        <w:pStyle w:val="NoSpacing"/>
        <w:jc w:val="right"/>
        <w:rPr>
          <w:rFonts w:ascii="Arial" w:hAnsi="Arial" w:cs="Arial"/>
          <w:color w:val="000000"/>
          <w:sz w:val="20"/>
          <w:szCs w:val="20"/>
          <w:shd w:val="clear" w:color="auto" w:fill="FFFFFF"/>
        </w:rPr>
      </w:pPr>
      <w:r w:rsidRPr="00700FB4">
        <w:rPr>
          <w:rFonts w:ascii="Arial" w:hAnsi="Arial" w:cs="Arial"/>
          <w:color w:val="000000"/>
          <w:sz w:val="20"/>
          <w:szCs w:val="20"/>
          <w:shd w:val="clear" w:color="auto" w:fill="FFFFFF"/>
        </w:rPr>
        <w:t>Tabula Nr.4</w:t>
      </w:r>
    </w:p>
    <w:tbl>
      <w:tblPr>
        <w:tblStyle w:val="TableGrid"/>
        <w:tblW w:w="0" w:type="auto"/>
        <w:tblLook w:val="04A0"/>
      </w:tblPr>
      <w:tblGrid>
        <w:gridCol w:w="4360"/>
        <w:gridCol w:w="4360"/>
      </w:tblGrid>
      <w:tr w:rsidR="00A577D3" w:rsidRPr="00700FB4" w:rsidTr="00417180">
        <w:tc>
          <w:tcPr>
            <w:tcW w:w="8720" w:type="dxa"/>
            <w:gridSpan w:val="2"/>
          </w:tcPr>
          <w:p w:rsidR="00A577D3" w:rsidRPr="00700FB4" w:rsidRDefault="00A577D3" w:rsidP="00A577D3">
            <w:pPr>
              <w:pStyle w:val="NoSpacing"/>
              <w:jc w:val="center"/>
              <w:rPr>
                <w:rFonts w:ascii="Arial" w:hAnsi="Arial" w:cs="Arial"/>
                <w:b/>
                <w:color w:val="000000"/>
                <w:sz w:val="20"/>
                <w:szCs w:val="20"/>
                <w:shd w:val="clear" w:color="auto" w:fill="FFFFFF"/>
              </w:rPr>
            </w:pPr>
            <w:r w:rsidRPr="00700FB4">
              <w:rPr>
                <w:rFonts w:ascii="Arial" w:hAnsi="Arial" w:cs="Arial"/>
                <w:b/>
                <w:color w:val="000000"/>
                <w:sz w:val="20"/>
                <w:szCs w:val="20"/>
                <w:shd w:val="clear" w:color="auto" w:fill="FFFFFF"/>
              </w:rPr>
              <w:t>Ārējais normatīvais akts</w:t>
            </w:r>
          </w:p>
        </w:tc>
      </w:tr>
      <w:tr w:rsidR="00A577D3" w:rsidRPr="00700FB4" w:rsidTr="00417180">
        <w:tc>
          <w:tcPr>
            <w:tcW w:w="4360" w:type="dxa"/>
          </w:tcPr>
          <w:p w:rsidR="00A577D3" w:rsidRPr="00700FB4" w:rsidRDefault="00A577D3" w:rsidP="00417180">
            <w:pPr>
              <w:pStyle w:val="NoSpacing"/>
              <w:jc w:val="center"/>
              <w:rPr>
                <w:rFonts w:ascii="Arial" w:hAnsi="Arial" w:cs="Arial"/>
                <w:b/>
                <w:color w:val="000000"/>
                <w:sz w:val="20"/>
                <w:szCs w:val="20"/>
                <w:shd w:val="clear" w:color="auto" w:fill="FFFFFF"/>
              </w:rPr>
            </w:pPr>
            <w:r w:rsidRPr="00700FB4">
              <w:rPr>
                <w:rFonts w:ascii="Arial" w:hAnsi="Arial" w:cs="Arial"/>
                <w:b/>
                <w:color w:val="000000"/>
                <w:sz w:val="20"/>
                <w:szCs w:val="20"/>
                <w:shd w:val="clear" w:color="auto" w:fill="FFFFFF"/>
              </w:rPr>
              <w:t>Ieguvumi</w:t>
            </w:r>
          </w:p>
        </w:tc>
        <w:tc>
          <w:tcPr>
            <w:tcW w:w="4360" w:type="dxa"/>
          </w:tcPr>
          <w:p w:rsidR="00A577D3" w:rsidRPr="00700FB4" w:rsidRDefault="00A577D3" w:rsidP="00417180">
            <w:pPr>
              <w:pStyle w:val="NoSpacing"/>
              <w:jc w:val="center"/>
              <w:rPr>
                <w:rFonts w:ascii="Arial" w:hAnsi="Arial" w:cs="Arial"/>
                <w:b/>
                <w:color w:val="000000"/>
                <w:sz w:val="20"/>
                <w:szCs w:val="20"/>
                <w:shd w:val="clear" w:color="auto" w:fill="FFFFFF"/>
              </w:rPr>
            </w:pPr>
            <w:r w:rsidRPr="00700FB4">
              <w:rPr>
                <w:rFonts w:ascii="Arial" w:hAnsi="Arial" w:cs="Arial"/>
                <w:b/>
                <w:color w:val="000000"/>
                <w:sz w:val="20"/>
                <w:szCs w:val="20"/>
                <w:shd w:val="clear" w:color="auto" w:fill="FFFFFF"/>
              </w:rPr>
              <w:t>Trūkumi</w:t>
            </w:r>
          </w:p>
        </w:tc>
      </w:tr>
      <w:tr w:rsidR="00A577D3" w:rsidRPr="00700FB4" w:rsidTr="00417180">
        <w:tc>
          <w:tcPr>
            <w:tcW w:w="4360" w:type="dxa"/>
          </w:tcPr>
          <w:p w:rsidR="00A577D3" w:rsidRPr="00700FB4" w:rsidRDefault="003F00FD" w:rsidP="003F00FD">
            <w:pPr>
              <w:pStyle w:val="NoSpacing"/>
              <w:jc w:val="center"/>
              <w:rPr>
                <w:rFonts w:ascii="Arial" w:hAnsi="Arial" w:cs="Arial"/>
                <w:color w:val="000000"/>
                <w:sz w:val="20"/>
                <w:szCs w:val="20"/>
                <w:shd w:val="clear" w:color="auto" w:fill="FFFFFF"/>
              </w:rPr>
            </w:pPr>
            <w:r w:rsidRPr="00700FB4">
              <w:rPr>
                <w:rFonts w:ascii="Arial" w:hAnsi="Arial" w:cs="Arial"/>
                <w:color w:val="000000"/>
                <w:sz w:val="20"/>
                <w:szCs w:val="20"/>
                <w:shd w:val="clear" w:color="auto" w:fill="FFFFFF"/>
              </w:rPr>
              <w:t>Saistošs ikvienam</w:t>
            </w:r>
          </w:p>
        </w:tc>
        <w:tc>
          <w:tcPr>
            <w:tcW w:w="4360" w:type="dxa"/>
          </w:tcPr>
          <w:p w:rsidR="00A577D3" w:rsidRPr="00700FB4" w:rsidRDefault="003F00FD" w:rsidP="003F00FD">
            <w:pPr>
              <w:pStyle w:val="NoSpacing"/>
              <w:jc w:val="center"/>
              <w:rPr>
                <w:rFonts w:ascii="Arial" w:hAnsi="Arial" w:cs="Arial"/>
                <w:color w:val="000000"/>
                <w:sz w:val="20"/>
                <w:szCs w:val="20"/>
                <w:shd w:val="clear" w:color="auto" w:fill="FFFFFF"/>
              </w:rPr>
            </w:pPr>
            <w:r w:rsidRPr="00700FB4">
              <w:rPr>
                <w:rFonts w:ascii="Arial" w:hAnsi="Arial" w:cs="Arial"/>
                <w:color w:val="000000"/>
                <w:sz w:val="20"/>
                <w:szCs w:val="20"/>
                <w:shd w:val="clear" w:color="auto" w:fill="FFFFFF"/>
              </w:rPr>
              <w:t>Visu plāna tekstu efektīvi nevar pārnest tiesību normu izteiksmē</w:t>
            </w:r>
          </w:p>
        </w:tc>
      </w:tr>
      <w:tr w:rsidR="00A577D3" w:rsidRPr="00700FB4" w:rsidTr="00417180">
        <w:tc>
          <w:tcPr>
            <w:tcW w:w="4360" w:type="dxa"/>
          </w:tcPr>
          <w:p w:rsidR="00A577D3" w:rsidRPr="00700FB4" w:rsidRDefault="003F00FD" w:rsidP="003F00FD">
            <w:pPr>
              <w:pStyle w:val="NoSpacing"/>
              <w:jc w:val="center"/>
              <w:rPr>
                <w:rFonts w:ascii="Arial" w:hAnsi="Arial" w:cs="Arial"/>
                <w:color w:val="000000"/>
                <w:sz w:val="20"/>
                <w:szCs w:val="20"/>
                <w:shd w:val="clear" w:color="auto" w:fill="FFFFFF"/>
              </w:rPr>
            </w:pPr>
            <w:r w:rsidRPr="00700FB4">
              <w:rPr>
                <w:rFonts w:ascii="Arial" w:hAnsi="Arial" w:cs="Arial"/>
                <w:color w:val="000000"/>
                <w:sz w:val="20"/>
                <w:szCs w:val="20"/>
                <w:shd w:val="clear" w:color="auto" w:fill="FFFFFF"/>
              </w:rPr>
              <w:t>Vienlīdzīgāka pieeja lēmumu pieņemšanā</w:t>
            </w:r>
          </w:p>
        </w:tc>
        <w:tc>
          <w:tcPr>
            <w:tcW w:w="4360" w:type="dxa"/>
          </w:tcPr>
          <w:p w:rsidR="00A577D3" w:rsidRPr="00700FB4" w:rsidRDefault="00AF384D" w:rsidP="003F00FD">
            <w:pPr>
              <w:pStyle w:val="NoSpacing"/>
              <w:jc w:val="center"/>
              <w:rPr>
                <w:rFonts w:ascii="Arial" w:hAnsi="Arial" w:cs="Arial"/>
                <w:color w:val="000000"/>
                <w:sz w:val="20"/>
                <w:szCs w:val="20"/>
                <w:shd w:val="clear" w:color="auto" w:fill="FFFFFF"/>
              </w:rPr>
            </w:pPr>
            <w:r w:rsidRPr="00700FB4">
              <w:rPr>
                <w:rFonts w:ascii="Arial" w:hAnsi="Arial" w:cs="Arial"/>
                <w:color w:val="000000"/>
                <w:sz w:val="20"/>
                <w:szCs w:val="20"/>
                <w:shd w:val="clear" w:color="auto" w:fill="FFFFFF"/>
              </w:rPr>
              <w:t>Atkāpšanās no plānojuma īpaši jāparedz likumā</w:t>
            </w:r>
          </w:p>
        </w:tc>
      </w:tr>
      <w:tr w:rsidR="00DB35B9" w:rsidRPr="00700FB4" w:rsidTr="00417180">
        <w:tc>
          <w:tcPr>
            <w:tcW w:w="4360" w:type="dxa"/>
          </w:tcPr>
          <w:p w:rsidR="00DB35B9" w:rsidRPr="00700FB4" w:rsidRDefault="00DB35B9" w:rsidP="003F00FD">
            <w:pPr>
              <w:pStyle w:val="NoSpacing"/>
              <w:jc w:val="center"/>
              <w:rPr>
                <w:rFonts w:ascii="Arial" w:hAnsi="Arial" w:cs="Arial"/>
                <w:color w:val="000000"/>
                <w:sz w:val="20"/>
                <w:szCs w:val="20"/>
                <w:shd w:val="clear" w:color="auto" w:fill="FFFFFF"/>
              </w:rPr>
            </w:pPr>
            <w:r w:rsidRPr="00700FB4">
              <w:rPr>
                <w:rFonts w:ascii="Arial" w:hAnsi="Arial" w:cs="Arial"/>
                <w:color w:val="000000"/>
                <w:sz w:val="20"/>
                <w:szCs w:val="20"/>
                <w:shd w:val="clear" w:color="auto" w:fill="FFFFFF"/>
              </w:rPr>
              <w:t>Izmanto vienu dokumentu</w:t>
            </w:r>
          </w:p>
        </w:tc>
        <w:tc>
          <w:tcPr>
            <w:tcW w:w="4360" w:type="dxa"/>
          </w:tcPr>
          <w:p w:rsidR="00DB35B9" w:rsidRPr="00700FB4" w:rsidRDefault="00DB35B9" w:rsidP="003F00FD">
            <w:pPr>
              <w:pStyle w:val="NoSpacing"/>
              <w:jc w:val="center"/>
              <w:rPr>
                <w:rFonts w:ascii="Arial" w:hAnsi="Arial" w:cs="Arial"/>
                <w:color w:val="000000"/>
                <w:sz w:val="20"/>
                <w:szCs w:val="20"/>
                <w:shd w:val="clear" w:color="auto" w:fill="FFFFFF"/>
              </w:rPr>
            </w:pPr>
            <w:r w:rsidRPr="00700FB4">
              <w:rPr>
                <w:rFonts w:ascii="Arial" w:hAnsi="Arial" w:cs="Arial"/>
                <w:color w:val="000000"/>
                <w:sz w:val="20"/>
                <w:szCs w:val="20"/>
                <w:shd w:val="clear" w:color="auto" w:fill="FFFFFF"/>
              </w:rPr>
              <w:t>Jūras plānojuma stratēģiskā un paskaidrojošā daļa pievienojama MK noteikumiem kā pielikums, kas ir iespējams, bet nav labākais modelis priekš šāda dokumenta</w:t>
            </w:r>
            <w:r w:rsidR="00B853F2" w:rsidRPr="00700FB4">
              <w:rPr>
                <w:rFonts w:ascii="Arial" w:hAnsi="Arial" w:cs="Arial"/>
                <w:color w:val="000000"/>
                <w:sz w:val="20"/>
                <w:szCs w:val="20"/>
                <w:shd w:val="clear" w:color="auto" w:fill="FFFFFF"/>
              </w:rPr>
              <w:t xml:space="preserve"> </w:t>
            </w:r>
          </w:p>
        </w:tc>
      </w:tr>
      <w:tr w:rsidR="00856FB0" w:rsidRPr="00700FB4" w:rsidTr="00417180">
        <w:tc>
          <w:tcPr>
            <w:tcW w:w="4360" w:type="dxa"/>
          </w:tcPr>
          <w:p w:rsidR="00856FB0" w:rsidRPr="00700FB4" w:rsidRDefault="00856FB0" w:rsidP="003F00FD">
            <w:pPr>
              <w:pStyle w:val="NoSpacing"/>
              <w:jc w:val="center"/>
              <w:rPr>
                <w:rFonts w:ascii="Arial" w:hAnsi="Arial" w:cs="Arial"/>
                <w:color w:val="000000"/>
                <w:sz w:val="20"/>
                <w:szCs w:val="20"/>
                <w:shd w:val="clear" w:color="auto" w:fill="FFFFFF"/>
              </w:rPr>
            </w:pPr>
          </w:p>
        </w:tc>
        <w:tc>
          <w:tcPr>
            <w:tcW w:w="4360" w:type="dxa"/>
          </w:tcPr>
          <w:p w:rsidR="00856FB0" w:rsidRPr="00700FB4" w:rsidRDefault="00856FB0" w:rsidP="00856FB0">
            <w:pPr>
              <w:pStyle w:val="NoSpacing"/>
              <w:jc w:val="center"/>
              <w:rPr>
                <w:rFonts w:ascii="Arial" w:hAnsi="Arial" w:cs="Arial"/>
                <w:color w:val="000000"/>
                <w:sz w:val="20"/>
                <w:szCs w:val="20"/>
                <w:shd w:val="clear" w:color="auto" w:fill="FFFFFF"/>
              </w:rPr>
            </w:pPr>
            <w:r w:rsidRPr="00700FB4">
              <w:rPr>
                <w:rFonts w:ascii="Arial" w:hAnsi="Arial" w:cs="Arial"/>
                <w:color w:val="000000"/>
                <w:sz w:val="20"/>
                <w:szCs w:val="20"/>
                <w:shd w:val="clear" w:color="auto" w:fill="FFFFFF"/>
              </w:rPr>
              <w:t>Jūras plānojuma saturs kļūst pārāk statisks, kas nereti var nepamatoti liegt efektīvu jūras izmantošanu mainīgos apstākļos</w:t>
            </w:r>
          </w:p>
        </w:tc>
      </w:tr>
    </w:tbl>
    <w:p w:rsidR="00A577D3" w:rsidRPr="00700FB4" w:rsidRDefault="00A577D3" w:rsidP="00D3551D">
      <w:pPr>
        <w:pStyle w:val="NoSpacing"/>
        <w:jc w:val="both"/>
        <w:rPr>
          <w:rFonts w:ascii="Arial" w:hAnsi="Arial" w:cs="Arial"/>
          <w:color w:val="000000"/>
          <w:sz w:val="20"/>
          <w:szCs w:val="20"/>
          <w:shd w:val="clear" w:color="auto" w:fill="FFFFFF"/>
        </w:rPr>
      </w:pPr>
    </w:p>
    <w:p w:rsidR="004D4560" w:rsidRPr="00700FB4" w:rsidRDefault="004D4560" w:rsidP="004D4560">
      <w:pPr>
        <w:pStyle w:val="NoSpacing"/>
        <w:jc w:val="right"/>
        <w:rPr>
          <w:rFonts w:ascii="Arial" w:hAnsi="Arial" w:cs="Arial"/>
          <w:color w:val="000000"/>
          <w:sz w:val="20"/>
          <w:szCs w:val="20"/>
          <w:shd w:val="clear" w:color="auto" w:fill="FFFFFF"/>
        </w:rPr>
      </w:pPr>
      <w:r w:rsidRPr="00700FB4">
        <w:rPr>
          <w:rFonts w:ascii="Arial" w:hAnsi="Arial" w:cs="Arial"/>
          <w:color w:val="000000"/>
          <w:sz w:val="20"/>
          <w:szCs w:val="20"/>
          <w:shd w:val="clear" w:color="auto" w:fill="FFFFFF"/>
        </w:rPr>
        <w:t>Tabula Nr.5</w:t>
      </w:r>
    </w:p>
    <w:tbl>
      <w:tblPr>
        <w:tblStyle w:val="TableGrid"/>
        <w:tblW w:w="0" w:type="auto"/>
        <w:tblLook w:val="04A0"/>
      </w:tblPr>
      <w:tblGrid>
        <w:gridCol w:w="4360"/>
        <w:gridCol w:w="4360"/>
      </w:tblGrid>
      <w:tr w:rsidR="004D4560" w:rsidRPr="00700FB4" w:rsidTr="0007471C">
        <w:tc>
          <w:tcPr>
            <w:tcW w:w="8720" w:type="dxa"/>
            <w:gridSpan w:val="2"/>
          </w:tcPr>
          <w:p w:rsidR="004D4560" w:rsidRPr="00700FB4" w:rsidRDefault="004D4560" w:rsidP="0007471C">
            <w:pPr>
              <w:pStyle w:val="NoSpacing"/>
              <w:jc w:val="center"/>
              <w:rPr>
                <w:rFonts w:ascii="Arial" w:hAnsi="Arial" w:cs="Arial"/>
                <w:b/>
                <w:color w:val="000000"/>
                <w:sz w:val="20"/>
                <w:szCs w:val="20"/>
                <w:shd w:val="clear" w:color="auto" w:fill="FFFFFF"/>
              </w:rPr>
            </w:pPr>
            <w:r w:rsidRPr="00700FB4">
              <w:rPr>
                <w:rFonts w:ascii="Arial" w:hAnsi="Arial" w:cs="Arial"/>
                <w:b/>
                <w:color w:val="000000"/>
                <w:sz w:val="20"/>
                <w:szCs w:val="20"/>
                <w:shd w:val="clear" w:color="auto" w:fill="FFFFFF"/>
              </w:rPr>
              <w:t>Divu dokumentu modelis</w:t>
            </w:r>
          </w:p>
        </w:tc>
      </w:tr>
      <w:tr w:rsidR="004D4560" w:rsidRPr="00700FB4" w:rsidTr="0007471C">
        <w:tc>
          <w:tcPr>
            <w:tcW w:w="4360" w:type="dxa"/>
          </w:tcPr>
          <w:p w:rsidR="004D4560" w:rsidRPr="00700FB4" w:rsidRDefault="004D4560" w:rsidP="0007471C">
            <w:pPr>
              <w:pStyle w:val="NoSpacing"/>
              <w:jc w:val="center"/>
              <w:rPr>
                <w:rFonts w:ascii="Arial" w:hAnsi="Arial" w:cs="Arial"/>
                <w:b/>
                <w:color w:val="000000"/>
                <w:sz w:val="20"/>
                <w:szCs w:val="20"/>
                <w:shd w:val="clear" w:color="auto" w:fill="FFFFFF"/>
              </w:rPr>
            </w:pPr>
            <w:r w:rsidRPr="00700FB4">
              <w:rPr>
                <w:rFonts w:ascii="Arial" w:hAnsi="Arial" w:cs="Arial"/>
                <w:b/>
                <w:color w:val="000000"/>
                <w:sz w:val="20"/>
                <w:szCs w:val="20"/>
                <w:shd w:val="clear" w:color="auto" w:fill="FFFFFF"/>
              </w:rPr>
              <w:t>Ieguvumi</w:t>
            </w:r>
          </w:p>
        </w:tc>
        <w:tc>
          <w:tcPr>
            <w:tcW w:w="4360" w:type="dxa"/>
          </w:tcPr>
          <w:p w:rsidR="004D4560" w:rsidRPr="00700FB4" w:rsidRDefault="004D4560" w:rsidP="0007471C">
            <w:pPr>
              <w:pStyle w:val="NoSpacing"/>
              <w:jc w:val="center"/>
              <w:rPr>
                <w:rFonts w:ascii="Arial" w:hAnsi="Arial" w:cs="Arial"/>
                <w:b/>
                <w:color w:val="000000"/>
                <w:sz w:val="20"/>
                <w:szCs w:val="20"/>
                <w:shd w:val="clear" w:color="auto" w:fill="FFFFFF"/>
              </w:rPr>
            </w:pPr>
            <w:r w:rsidRPr="00700FB4">
              <w:rPr>
                <w:rFonts w:ascii="Arial" w:hAnsi="Arial" w:cs="Arial"/>
                <w:b/>
                <w:color w:val="000000"/>
                <w:sz w:val="20"/>
                <w:szCs w:val="20"/>
                <w:shd w:val="clear" w:color="auto" w:fill="FFFFFF"/>
              </w:rPr>
              <w:t>Trūkumi</w:t>
            </w:r>
          </w:p>
        </w:tc>
      </w:tr>
      <w:tr w:rsidR="004D4560" w:rsidRPr="00700FB4" w:rsidTr="0007471C">
        <w:tc>
          <w:tcPr>
            <w:tcW w:w="4360" w:type="dxa"/>
          </w:tcPr>
          <w:p w:rsidR="004D4560" w:rsidRPr="00700FB4" w:rsidRDefault="003F00FD" w:rsidP="003F00FD">
            <w:pPr>
              <w:pStyle w:val="NoSpacing"/>
              <w:jc w:val="center"/>
              <w:rPr>
                <w:rFonts w:ascii="Arial" w:hAnsi="Arial" w:cs="Arial"/>
                <w:color w:val="000000"/>
                <w:sz w:val="20"/>
                <w:szCs w:val="20"/>
                <w:shd w:val="clear" w:color="auto" w:fill="FFFFFF"/>
              </w:rPr>
            </w:pPr>
            <w:r w:rsidRPr="00700FB4">
              <w:rPr>
                <w:rFonts w:ascii="Arial" w:hAnsi="Arial" w:cs="Arial"/>
                <w:color w:val="000000"/>
                <w:sz w:val="20"/>
                <w:szCs w:val="20"/>
                <w:shd w:val="clear" w:color="auto" w:fill="FFFFFF"/>
              </w:rPr>
              <w:t>Mazāki juridiskie riski attiecībā pret privātpersonām</w:t>
            </w:r>
          </w:p>
        </w:tc>
        <w:tc>
          <w:tcPr>
            <w:tcW w:w="4360" w:type="dxa"/>
          </w:tcPr>
          <w:p w:rsidR="004D4560" w:rsidRPr="00700FB4" w:rsidRDefault="003F00FD" w:rsidP="003F00FD">
            <w:pPr>
              <w:pStyle w:val="NoSpacing"/>
              <w:jc w:val="center"/>
              <w:rPr>
                <w:rFonts w:ascii="Arial" w:hAnsi="Arial" w:cs="Arial"/>
                <w:color w:val="000000"/>
                <w:sz w:val="20"/>
                <w:szCs w:val="20"/>
                <w:shd w:val="clear" w:color="auto" w:fill="FFFFFF"/>
              </w:rPr>
            </w:pPr>
            <w:r w:rsidRPr="00700FB4">
              <w:rPr>
                <w:rFonts w:ascii="Arial" w:hAnsi="Arial" w:cs="Arial"/>
                <w:color w:val="000000"/>
                <w:sz w:val="20"/>
                <w:szCs w:val="20"/>
                <w:shd w:val="clear" w:color="auto" w:fill="FFFFFF"/>
              </w:rPr>
              <w:t>Jāizmanto divi dokumenti</w:t>
            </w:r>
          </w:p>
        </w:tc>
      </w:tr>
      <w:tr w:rsidR="004D4560" w:rsidRPr="00700FB4" w:rsidTr="0007471C">
        <w:tc>
          <w:tcPr>
            <w:tcW w:w="4360" w:type="dxa"/>
          </w:tcPr>
          <w:p w:rsidR="004D4560" w:rsidRPr="00700FB4" w:rsidRDefault="003F00FD" w:rsidP="003F00FD">
            <w:pPr>
              <w:pStyle w:val="NoSpacing"/>
              <w:jc w:val="center"/>
              <w:rPr>
                <w:rFonts w:ascii="Arial" w:hAnsi="Arial" w:cs="Arial"/>
                <w:color w:val="000000"/>
                <w:sz w:val="20"/>
                <w:szCs w:val="20"/>
                <w:shd w:val="clear" w:color="auto" w:fill="FFFFFF"/>
              </w:rPr>
            </w:pPr>
            <w:r w:rsidRPr="00700FB4">
              <w:rPr>
                <w:rFonts w:ascii="Arial" w:hAnsi="Arial" w:cs="Arial"/>
                <w:color w:val="000000"/>
                <w:sz w:val="20"/>
                <w:szCs w:val="20"/>
                <w:shd w:val="clear" w:color="auto" w:fill="FFFFFF"/>
              </w:rPr>
              <w:t>Saglabāti gan plaši apsvērumi plānošanas dokumenta līmenī, gan īpaši regulēta saistošā daļa</w:t>
            </w:r>
          </w:p>
        </w:tc>
        <w:tc>
          <w:tcPr>
            <w:tcW w:w="4360" w:type="dxa"/>
          </w:tcPr>
          <w:p w:rsidR="004D4560" w:rsidRPr="00700FB4" w:rsidRDefault="003F00FD" w:rsidP="003F00FD">
            <w:pPr>
              <w:pStyle w:val="NoSpacing"/>
              <w:jc w:val="center"/>
              <w:rPr>
                <w:rFonts w:ascii="Arial" w:hAnsi="Arial" w:cs="Arial"/>
                <w:color w:val="000000"/>
                <w:sz w:val="20"/>
                <w:szCs w:val="20"/>
                <w:shd w:val="clear" w:color="auto" w:fill="FFFFFF"/>
              </w:rPr>
            </w:pPr>
            <w:r w:rsidRPr="00700FB4">
              <w:rPr>
                <w:rFonts w:ascii="Arial" w:hAnsi="Arial" w:cs="Arial"/>
                <w:color w:val="000000"/>
                <w:sz w:val="20"/>
                <w:szCs w:val="20"/>
                <w:shd w:val="clear" w:color="auto" w:fill="FFFFFF"/>
              </w:rPr>
              <w:t>Grozījumu izdarīšanas gadījumā jāgroza divi dokumenti</w:t>
            </w:r>
          </w:p>
        </w:tc>
      </w:tr>
      <w:tr w:rsidR="00856FB0" w:rsidRPr="00700FB4" w:rsidTr="0007471C">
        <w:tc>
          <w:tcPr>
            <w:tcW w:w="4360" w:type="dxa"/>
          </w:tcPr>
          <w:p w:rsidR="00856FB0" w:rsidRPr="00700FB4" w:rsidRDefault="00856FB0" w:rsidP="003F00FD">
            <w:pPr>
              <w:pStyle w:val="NoSpacing"/>
              <w:jc w:val="center"/>
              <w:rPr>
                <w:rFonts w:ascii="Arial" w:hAnsi="Arial" w:cs="Arial"/>
                <w:color w:val="000000"/>
                <w:sz w:val="20"/>
                <w:szCs w:val="20"/>
                <w:shd w:val="clear" w:color="auto" w:fill="FFFFFF"/>
              </w:rPr>
            </w:pPr>
          </w:p>
        </w:tc>
        <w:tc>
          <w:tcPr>
            <w:tcW w:w="4360" w:type="dxa"/>
          </w:tcPr>
          <w:p w:rsidR="00856FB0" w:rsidRPr="00700FB4" w:rsidRDefault="00856FB0" w:rsidP="003F00FD">
            <w:pPr>
              <w:pStyle w:val="NoSpacing"/>
              <w:jc w:val="center"/>
              <w:rPr>
                <w:rFonts w:ascii="Arial" w:hAnsi="Arial" w:cs="Arial"/>
                <w:color w:val="000000"/>
                <w:sz w:val="20"/>
                <w:szCs w:val="20"/>
                <w:shd w:val="clear" w:color="auto" w:fill="FFFFFF"/>
              </w:rPr>
            </w:pPr>
            <w:r w:rsidRPr="00700FB4">
              <w:rPr>
                <w:rFonts w:ascii="Arial" w:hAnsi="Arial" w:cs="Arial"/>
                <w:color w:val="000000"/>
                <w:sz w:val="20"/>
                <w:szCs w:val="20"/>
                <w:shd w:val="clear" w:color="auto" w:fill="FFFFFF"/>
              </w:rPr>
              <w:t>Jūras plānojuma nepiemērotība normatīvā teksta formai un prasībām</w:t>
            </w:r>
          </w:p>
        </w:tc>
      </w:tr>
    </w:tbl>
    <w:p w:rsidR="002F219E" w:rsidRPr="00700FB4" w:rsidRDefault="002F219E" w:rsidP="00D3551D">
      <w:pPr>
        <w:pStyle w:val="NoSpacing"/>
        <w:jc w:val="both"/>
        <w:rPr>
          <w:rFonts w:ascii="Arial" w:hAnsi="Arial" w:cs="Arial"/>
          <w:color w:val="000000"/>
          <w:sz w:val="20"/>
          <w:szCs w:val="20"/>
          <w:shd w:val="clear" w:color="auto" w:fill="FFFFFF"/>
        </w:rPr>
      </w:pPr>
    </w:p>
    <w:p w:rsidR="002F219E" w:rsidRPr="00700FB4" w:rsidRDefault="002F219E" w:rsidP="00D3551D">
      <w:pPr>
        <w:pStyle w:val="NoSpacing"/>
        <w:jc w:val="both"/>
        <w:rPr>
          <w:rFonts w:ascii="Arial" w:hAnsi="Arial" w:cs="Arial"/>
          <w:color w:val="000000"/>
          <w:sz w:val="20"/>
          <w:szCs w:val="20"/>
          <w:shd w:val="clear" w:color="auto" w:fill="FFFFFF"/>
        </w:rPr>
      </w:pPr>
    </w:p>
    <w:p w:rsidR="002F219E" w:rsidRPr="00700FB4" w:rsidRDefault="002F219E" w:rsidP="00D3551D">
      <w:pPr>
        <w:pStyle w:val="NoSpacing"/>
        <w:jc w:val="both"/>
        <w:rPr>
          <w:rFonts w:ascii="Arial" w:hAnsi="Arial" w:cs="Arial"/>
          <w:color w:val="000000"/>
          <w:sz w:val="20"/>
          <w:szCs w:val="20"/>
          <w:shd w:val="clear" w:color="auto" w:fill="FFFFFF"/>
        </w:rPr>
      </w:pPr>
    </w:p>
    <w:p w:rsidR="002F219E" w:rsidRPr="00700FB4" w:rsidRDefault="002F219E" w:rsidP="00D3551D">
      <w:pPr>
        <w:pStyle w:val="NoSpacing"/>
        <w:jc w:val="both"/>
        <w:rPr>
          <w:rFonts w:ascii="Arial" w:hAnsi="Arial" w:cs="Arial"/>
          <w:color w:val="000000"/>
          <w:sz w:val="20"/>
          <w:szCs w:val="20"/>
          <w:shd w:val="clear" w:color="auto" w:fill="FFFFFF"/>
        </w:rPr>
      </w:pPr>
    </w:p>
    <w:p w:rsidR="00D3551D" w:rsidRPr="00700FB4" w:rsidRDefault="00D3551D" w:rsidP="007F7377">
      <w:pPr>
        <w:pStyle w:val="NoSpacing"/>
        <w:jc w:val="both"/>
        <w:rPr>
          <w:rFonts w:ascii="Arial" w:hAnsi="Arial" w:cs="Arial"/>
          <w:sz w:val="20"/>
          <w:szCs w:val="20"/>
        </w:rPr>
      </w:pPr>
    </w:p>
    <w:p w:rsidR="002F219E" w:rsidRPr="00700FB4" w:rsidRDefault="002F219E" w:rsidP="00B71FE4">
      <w:pPr>
        <w:pStyle w:val="NoSpacing"/>
        <w:jc w:val="both"/>
        <w:rPr>
          <w:rFonts w:ascii="Arial" w:hAnsi="Arial" w:cs="Arial"/>
          <w:color w:val="000000" w:themeColor="text1"/>
          <w:sz w:val="20"/>
          <w:szCs w:val="20"/>
        </w:rPr>
      </w:pPr>
    </w:p>
    <w:p w:rsidR="002F219E" w:rsidRPr="00700FB4" w:rsidRDefault="002F219E" w:rsidP="00B71FE4">
      <w:pPr>
        <w:pStyle w:val="NoSpacing"/>
        <w:jc w:val="both"/>
        <w:rPr>
          <w:rFonts w:ascii="Arial" w:hAnsi="Arial" w:cs="Arial"/>
          <w:color w:val="000000" w:themeColor="text1"/>
          <w:sz w:val="20"/>
          <w:szCs w:val="20"/>
        </w:rPr>
      </w:pPr>
    </w:p>
    <w:p w:rsidR="00B71FE4" w:rsidRPr="00700FB4" w:rsidRDefault="00B71FE4" w:rsidP="00B71FE4">
      <w:pPr>
        <w:pStyle w:val="NoSpacing"/>
        <w:jc w:val="both"/>
        <w:rPr>
          <w:rFonts w:ascii="Arial" w:hAnsi="Arial" w:cs="Arial"/>
          <w:color w:val="000000" w:themeColor="text1"/>
          <w:sz w:val="20"/>
          <w:szCs w:val="20"/>
        </w:rPr>
      </w:pPr>
    </w:p>
    <w:p w:rsidR="00B71FE4" w:rsidRPr="00700FB4" w:rsidRDefault="00B71FE4" w:rsidP="00B71FE4">
      <w:pPr>
        <w:pStyle w:val="NoSpacing"/>
        <w:jc w:val="both"/>
        <w:rPr>
          <w:rFonts w:ascii="Arial" w:hAnsi="Arial" w:cs="Arial"/>
          <w:color w:val="000000" w:themeColor="text1"/>
          <w:sz w:val="20"/>
          <w:szCs w:val="20"/>
        </w:rPr>
      </w:pPr>
    </w:p>
    <w:p w:rsidR="007F2786" w:rsidRPr="00700FB4" w:rsidRDefault="007F2786">
      <w:pPr>
        <w:rPr>
          <w:rFonts w:ascii="Arial" w:hAnsi="Arial" w:cs="Arial"/>
          <w:color w:val="000000" w:themeColor="text1"/>
          <w:sz w:val="20"/>
          <w:szCs w:val="20"/>
        </w:rPr>
      </w:pPr>
      <w:r w:rsidRPr="00700FB4">
        <w:rPr>
          <w:rFonts w:ascii="Arial" w:hAnsi="Arial" w:cs="Arial"/>
          <w:color w:val="000000" w:themeColor="text1"/>
          <w:sz w:val="20"/>
          <w:szCs w:val="20"/>
        </w:rPr>
        <w:br w:type="page"/>
      </w:r>
    </w:p>
    <w:p w:rsidR="005E7708" w:rsidRPr="00700FB4" w:rsidRDefault="007F2786" w:rsidP="00665269">
      <w:pPr>
        <w:pStyle w:val="Heading1"/>
      </w:pPr>
      <w:bookmarkStart w:id="40" w:name="_Toc460402351"/>
      <w:r w:rsidRPr="00700FB4">
        <w:lastRenderedPageBreak/>
        <w:t xml:space="preserve">[6] </w:t>
      </w:r>
      <w:r w:rsidR="005E7708" w:rsidRPr="00700FB4">
        <w:t xml:space="preserve">Piekrastes </w:t>
      </w:r>
      <w:r w:rsidR="009D33B8" w:rsidRPr="00700FB4">
        <w:t>divu</w:t>
      </w:r>
      <w:r w:rsidR="005E7708" w:rsidRPr="00700FB4">
        <w:t xml:space="preserve"> kilometru zonas</w:t>
      </w:r>
      <w:r w:rsidR="009A79F4" w:rsidRPr="00700FB4">
        <w:t xml:space="preserve"> tiesiskais</w:t>
      </w:r>
      <w:r w:rsidR="005E7708" w:rsidRPr="00700FB4">
        <w:t xml:space="preserve"> regulējums</w:t>
      </w:r>
      <w:bookmarkEnd w:id="40"/>
    </w:p>
    <w:p w:rsidR="005B7304" w:rsidRPr="00700FB4" w:rsidRDefault="005B7304" w:rsidP="005E7708">
      <w:pPr>
        <w:pStyle w:val="NoSpacing"/>
        <w:jc w:val="both"/>
        <w:rPr>
          <w:rFonts w:ascii="Arial" w:hAnsi="Arial" w:cs="Arial"/>
          <w:b/>
          <w:sz w:val="20"/>
          <w:szCs w:val="20"/>
        </w:rPr>
      </w:pPr>
    </w:p>
    <w:p w:rsidR="005E7708" w:rsidRPr="00700FB4" w:rsidRDefault="009D33B8" w:rsidP="00665269">
      <w:pPr>
        <w:pStyle w:val="Heading2"/>
      </w:pPr>
      <w:bookmarkStart w:id="41" w:name="_Toc460402352"/>
      <w:r w:rsidRPr="00700FB4">
        <w:t>[6.</w:t>
      </w:r>
      <w:r w:rsidR="005E7708" w:rsidRPr="00700FB4">
        <w:t>1] Pamatnostādnes</w:t>
      </w:r>
      <w:bookmarkEnd w:id="41"/>
    </w:p>
    <w:p w:rsidR="00255644" w:rsidRPr="00700FB4" w:rsidRDefault="00207E1C" w:rsidP="00255644">
      <w:pPr>
        <w:pStyle w:val="NoSpacing"/>
        <w:jc w:val="both"/>
        <w:rPr>
          <w:rFonts w:ascii="Arial" w:hAnsi="Arial" w:cs="Arial"/>
          <w:sz w:val="20"/>
          <w:szCs w:val="20"/>
        </w:rPr>
      </w:pPr>
      <w:r w:rsidRPr="00700FB4">
        <w:rPr>
          <w:rFonts w:ascii="Arial" w:hAnsi="Arial" w:cs="Arial"/>
          <w:sz w:val="20"/>
          <w:szCs w:val="20"/>
        </w:rPr>
        <w:t>Piekrastes telpiskās attīstības pamatnostādnēs 2011.</w:t>
      </w:r>
      <w:r w:rsidR="00A4678B" w:rsidRPr="00700FB4">
        <w:rPr>
          <w:rFonts w:ascii="Arial" w:hAnsi="Arial" w:cs="Arial"/>
          <w:sz w:val="20"/>
          <w:szCs w:val="20"/>
        </w:rPr>
        <w:t xml:space="preserve"> </w:t>
      </w:r>
      <w:r w:rsidR="0054294A" w:rsidRPr="00700FB4">
        <w:rPr>
          <w:rFonts w:ascii="Arial" w:hAnsi="Arial" w:cs="Arial"/>
          <w:sz w:val="20"/>
          <w:szCs w:val="20"/>
        </w:rPr>
        <w:t>–</w:t>
      </w:r>
      <w:r w:rsidR="00A4678B" w:rsidRPr="00700FB4">
        <w:rPr>
          <w:rFonts w:ascii="Arial" w:hAnsi="Arial" w:cs="Arial"/>
          <w:sz w:val="20"/>
          <w:szCs w:val="20"/>
        </w:rPr>
        <w:t xml:space="preserve"> </w:t>
      </w:r>
      <w:r w:rsidRPr="00700FB4">
        <w:rPr>
          <w:rFonts w:ascii="Arial" w:hAnsi="Arial" w:cs="Arial"/>
          <w:sz w:val="20"/>
          <w:szCs w:val="20"/>
        </w:rPr>
        <w:t>201</w:t>
      </w:r>
      <w:r w:rsidR="005E7708" w:rsidRPr="00700FB4">
        <w:rPr>
          <w:rFonts w:ascii="Arial" w:hAnsi="Arial" w:cs="Arial"/>
          <w:sz w:val="20"/>
          <w:szCs w:val="20"/>
        </w:rPr>
        <w:t xml:space="preserve">7.gadam </w:t>
      </w:r>
      <w:r w:rsidRPr="00700FB4">
        <w:rPr>
          <w:rFonts w:ascii="Arial" w:hAnsi="Arial" w:cs="Arial"/>
          <w:sz w:val="20"/>
          <w:szCs w:val="20"/>
        </w:rPr>
        <w:t>ir viens no L</w:t>
      </w:r>
      <w:r w:rsidR="00290536" w:rsidRPr="00700FB4">
        <w:rPr>
          <w:rFonts w:ascii="Arial" w:hAnsi="Arial" w:cs="Arial"/>
          <w:sz w:val="20"/>
          <w:szCs w:val="20"/>
        </w:rPr>
        <w:t>atvijas I</w:t>
      </w:r>
      <w:r w:rsidRPr="00700FB4">
        <w:rPr>
          <w:rFonts w:ascii="Arial" w:hAnsi="Arial" w:cs="Arial"/>
          <w:sz w:val="20"/>
          <w:szCs w:val="20"/>
        </w:rPr>
        <w:t xml:space="preserve">lgtspējīgas attīstības stratēģijas “Latvija 2030” īstenošanas soļiem – starpnozaru politikas dokumentus, kas jāņem vērā, gatavojot piekrastes pašvaldību teritorijas attīstības plānošanas dokumentus, kā arī ar piekrastes attīstību saistīto nozaru politikas dokumentus. </w:t>
      </w:r>
    </w:p>
    <w:p w:rsidR="00255644" w:rsidRPr="00700FB4" w:rsidRDefault="00255644" w:rsidP="00255644">
      <w:pPr>
        <w:pStyle w:val="NoSpacing"/>
        <w:jc w:val="both"/>
        <w:rPr>
          <w:rFonts w:ascii="Arial" w:hAnsi="Arial" w:cs="Arial"/>
          <w:sz w:val="20"/>
          <w:szCs w:val="20"/>
        </w:rPr>
      </w:pPr>
    </w:p>
    <w:p w:rsidR="00255644" w:rsidRPr="00700FB4" w:rsidRDefault="00207E1C" w:rsidP="00255644">
      <w:pPr>
        <w:pStyle w:val="NoSpacing"/>
        <w:jc w:val="both"/>
        <w:rPr>
          <w:rFonts w:ascii="Arial" w:hAnsi="Arial" w:cs="Arial"/>
          <w:sz w:val="20"/>
          <w:szCs w:val="20"/>
        </w:rPr>
      </w:pPr>
      <w:r w:rsidRPr="00700FB4">
        <w:rPr>
          <w:rFonts w:ascii="Arial" w:hAnsi="Arial" w:cs="Arial"/>
          <w:sz w:val="20"/>
          <w:szCs w:val="20"/>
        </w:rPr>
        <w:t>Pamatnostādnes tika apstiprinātas ar Ministru kabineta 2011.gada 20.aprīļa rīkojumu Nr.169, un tās paredz vairākus uzdevumus un pasākumus, kas veicami, lai nodrošinātu kvalitatīvu piekrastes infrastruktūras izveidošanu un piekrastes pārvaldības uzlabošanu.</w:t>
      </w:r>
      <w:r w:rsidR="00255644" w:rsidRPr="00700FB4">
        <w:rPr>
          <w:rFonts w:ascii="Arial" w:hAnsi="Arial" w:cs="Arial"/>
          <w:sz w:val="20"/>
          <w:szCs w:val="20"/>
        </w:rPr>
        <w:t xml:space="preserve"> Pamatnostādnes prasa vienotu un savstarpēji saskaņotu jūras piekrastes attīstību un saglabāšanas politikas veidošanu.</w:t>
      </w:r>
    </w:p>
    <w:p w:rsidR="00207E1C" w:rsidRPr="00700FB4" w:rsidRDefault="00207E1C" w:rsidP="00207E1C">
      <w:pPr>
        <w:pStyle w:val="NoSpacing"/>
        <w:jc w:val="both"/>
        <w:rPr>
          <w:rFonts w:ascii="Arial" w:hAnsi="Arial" w:cs="Arial"/>
          <w:sz w:val="20"/>
          <w:szCs w:val="20"/>
        </w:rPr>
      </w:pPr>
    </w:p>
    <w:p w:rsidR="00207E1C" w:rsidRPr="00700FB4" w:rsidRDefault="00207E1C" w:rsidP="00207E1C">
      <w:pPr>
        <w:pStyle w:val="NoSpacing"/>
        <w:jc w:val="both"/>
        <w:rPr>
          <w:rFonts w:ascii="Arial" w:hAnsi="Arial" w:cs="Arial"/>
          <w:sz w:val="20"/>
          <w:szCs w:val="20"/>
        </w:rPr>
      </w:pPr>
      <w:r w:rsidRPr="00700FB4">
        <w:rPr>
          <w:rFonts w:ascii="Arial" w:hAnsi="Arial" w:cs="Arial"/>
          <w:sz w:val="20"/>
          <w:szCs w:val="20"/>
        </w:rPr>
        <w:t>Pamatnostādnēs secināts, ka, lai gan visām piekrastes vietējām pašvaldībām ir spēkā esoši teritorijas plānojumi, risinājumi attiecībā uz piekrastes attīstīšanu nav līdz galam vienoti. Attiecībā uz jūras piekrastes teritoriju atšķiras teritorijas plānojumos ietvertās informācijas apjoms un detalizācija, piemēram, par jūras krasta eroziju un raksturīgajiem apbūves principiem piekrastē, kā arī ne vienmēr ir savstarpēji saistīti dažādi infrastruktūras attīstības risinājumi.</w:t>
      </w:r>
      <w:r w:rsidRPr="00700FB4">
        <w:rPr>
          <w:rStyle w:val="FootnoteReference"/>
          <w:rFonts w:ascii="Arial" w:hAnsi="Arial" w:cs="Arial"/>
          <w:sz w:val="20"/>
          <w:szCs w:val="20"/>
        </w:rPr>
        <w:footnoteReference w:id="109"/>
      </w:r>
    </w:p>
    <w:p w:rsidR="00207E1C" w:rsidRPr="00700FB4" w:rsidRDefault="00207E1C" w:rsidP="00207E1C">
      <w:pPr>
        <w:pStyle w:val="NoSpacing"/>
        <w:jc w:val="both"/>
        <w:rPr>
          <w:rFonts w:ascii="Arial" w:hAnsi="Arial" w:cs="Arial"/>
          <w:sz w:val="20"/>
          <w:szCs w:val="20"/>
        </w:rPr>
      </w:pPr>
    </w:p>
    <w:p w:rsidR="00255644" w:rsidRPr="00700FB4" w:rsidRDefault="00207E1C" w:rsidP="00207E1C">
      <w:pPr>
        <w:pStyle w:val="NoSpacing"/>
        <w:jc w:val="both"/>
        <w:rPr>
          <w:rFonts w:ascii="Arial" w:hAnsi="Arial" w:cs="Arial"/>
          <w:sz w:val="20"/>
          <w:szCs w:val="20"/>
        </w:rPr>
      </w:pPr>
      <w:r w:rsidRPr="00700FB4">
        <w:rPr>
          <w:rFonts w:ascii="Arial" w:hAnsi="Arial" w:cs="Arial"/>
          <w:sz w:val="20"/>
          <w:szCs w:val="20"/>
        </w:rPr>
        <w:t>Lai uzlabotu minēto situāciju, Pamatnostādnēs par vienu no uzdevumiem ir noteikta vietējo pašvaldību teritorijas attīstības plānošanas dokumentu aktualizēšana, ietverot tajā risinājumu</w:t>
      </w:r>
      <w:r w:rsidR="00255644" w:rsidRPr="00700FB4">
        <w:rPr>
          <w:rFonts w:ascii="Arial" w:hAnsi="Arial" w:cs="Arial"/>
          <w:sz w:val="20"/>
          <w:szCs w:val="20"/>
        </w:rPr>
        <w:t xml:space="preserve">s jūras piekrastes ilgtspējīgai. </w:t>
      </w:r>
      <w:r w:rsidRPr="00700FB4">
        <w:rPr>
          <w:rFonts w:ascii="Arial" w:hAnsi="Arial" w:cs="Arial"/>
          <w:sz w:val="20"/>
          <w:szCs w:val="20"/>
        </w:rPr>
        <w:t>Turklāt uzdevumi būtu īstenojami, ievērojot nacionālā līmeņa tematisko plānojumu risinājumus par jūras piekrasti.</w:t>
      </w:r>
      <w:r w:rsidRPr="00700FB4">
        <w:rPr>
          <w:rStyle w:val="FootnoteReference"/>
          <w:rFonts w:ascii="Arial" w:hAnsi="Arial" w:cs="Arial"/>
          <w:sz w:val="20"/>
          <w:szCs w:val="20"/>
        </w:rPr>
        <w:footnoteReference w:id="110"/>
      </w:r>
      <w:r w:rsidR="00255644" w:rsidRPr="00700FB4">
        <w:rPr>
          <w:rFonts w:ascii="Arial" w:hAnsi="Arial" w:cs="Arial"/>
          <w:sz w:val="20"/>
          <w:szCs w:val="20"/>
        </w:rPr>
        <w:t xml:space="preserve"> </w:t>
      </w:r>
      <w:r w:rsidRPr="00700FB4">
        <w:rPr>
          <w:rFonts w:ascii="Arial" w:hAnsi="Arial" w:cs="Arial"/>
          <w:sz w:val="20"/>
          <w:szCs w:val="20"/>
        </w:rPr>
        <w:t>Tāpat Pamatnostādnēs tika norādīts, ka vietējām piekrastes pašvaldībām būtu nepieciešams veidot un attīstīt vienotu tūrisma politiku attiecībā uz visu jūras piekrasti.</w:t>
      </w:r>
      <w:r w:rsidRPr="00700FB4">
        <w:rPr>
          <w:rStyle w:val="FootnoteReference"/>
          <w:rFonts w:ascii="Arial" w:hAnsi="Arial" w:cs="Arial"/>
          <w:sz w:val="20"/>
          <w:szCs w:val="20"/>
        </w:rPr>
        <w:footnoteReference w:id="111"/>
      </w:r>
      <w:r w:rsidRPr="00700FB4">
        <w:rPr>
          <w:rFonts w:ascii="Arial" w:hAnsi="Arial" w:cs="Arial"/>
          <w:sz w:val="20"/>
          <w:szCs w:val="20"/>
        </w:rPr>
        <w:t xml:space="preserve"> </w:t>
      </w:r>
    </w:p>
    <w:p w:rsidR="00AF7947" w:rsidRPr="00700FB4" w:rsidRDefault="00AF7947" w:rsidP="00207E1C">
      <w:pPr>
        <w:pStyle w:val="NoSpacing"/>
        <w:jc w:val="both"/>
        <w:rPr>
          <w:rFonts w:ascii="Arial" w:hAnsi="Arial" w:cs="Arial"/>
          <w:sz w:val="20"/>
          <w:szCs w:val="20"/>
        </w:rPr>
      </w:pPr>
    </w:p>
    <w:p w:rsidR="00207E1C" w:rsidRPr="00700FB4" w:rsidRDefault="009D33B8" w:rsidP="00665269">
      <w:pPr>
        <w:pStyle w:val="Heading2"/>
      </w:pPr>
      <w:bookmarkStart w:id="42" w:name="_Toc460402353"/>
      <w:r w:rsidRPr="00700FB4">
        <w:t>[6.</w:t>
      </w:r>
      <w:r w:rsidR="005E7708" w:rsidRPr="00700FB4">
        <w:t xml:space="preserve">2] </w:t>
      </w:r>
      <w:r w:rsidR="00F03463" w:rsidRPr="00700FB4">
        <w:t>Likumi, kas nosaka p</w:t>
      </w:r>
      <w:r w:rsidR="00417180" w:rsidRPr="00700FB4">
        <w:t>ašvaldību kompetence</w:t>
      </w:r>
      <w:r w:rsidR="00207E1C" w:rsidRPr="00700FB4">
        <w:t xml:space="preserve"> piekrastē un </w:t>
      </w:r>
      <w:r w:rsidR="004654A7" w:rsidRPr="00700FB4">
        <w:t>piekrastes</w:t>
      </w:r>
      <w:r w:rsidR="00207E1C" w:rsidRPr="00700FB4">
        <w:t xml:space="preserve"> ūdeņos</w:t>
      </w:r>
      <w:bookmarkEnd w:id="42"/>
    </w:p>
    <w:p w:rsidR="0028265A" w:rsidRPr="00700FB4" w:rsidRDefault="00207E1C" w:rsidP="0028265A">
      <w:pPr>
        <w:pStyle w:val="NoSpacing"/>
        <w:tabs>
          <w:tab w:val="left" w:pos="284"/>
        </w:tabs>
        <w:jc w:val="both"/>
        <w:rPr>
          <w:rFonts w:ascii="Arial" w:hAnsi="Arial" w:cs="Arial"/>
          <w:sz w:val="20"/>
          <w:szCs w:val="20"/>
        </w:rPr>
      </w:pPr>
      <w:r w:rsidRPr="00700FB4">
        <w:rPr>
          <w:rFonts w:ascii="Arial" w:hAnsi="Arial" w:cs="Arial"/>
          <w:b/>
          <w:sz w:val="20"/>
          <w:szCs w:val="20"/>
        </w:rPr>
        <w:t>Zemes pārvaldības likuma</w:t>
      </w:r>
      <w:r w:rsidRPr="00700FB4">
        <w:rPr>
          <w:rFonts w:ascii="Arial" w:hAnsi="Arial" w:cs="Arial"/>
          <w:sz w:val="20"/>
          <w:szCs w:val="20"/>
        </w:rPr>
        <w:t xml:space="preserve"> 15.panta otrajā daļa nosaka, ka vietējās pašvaldības pārvalda savām administratīvajām teritorijām piegulošo jūras piekrastes joslu, tas ir, teritoriju, kurā ietilpst jūras piekrastes ūdeņi – akvatorija divu kilometru platumā no jūras krasta līnijas – un jūras piekrastes sauszemes daļa – teritorija starp jūras krasta līniju un vietu, kuru sasniedz jūras augstākās bangas, ciktāl valdījuma tiesības par jūras piekrastes joslu neīsteno Vides aizsardzības un reģionālās attīstības ministrija vai cita ministrija.</w:t>
      </w:r>
      <w:r w:rsidRPr="00700FB4">
        <w:rPr>
          <w:rStyle w:val="FootnoteReference"/>
          <w:rFonts w:ascii="Arial" w:hAnsi="Arial" w:cs="Arial"/>
          <w:sz w:val="20"/>
          <w:szCs w:val="20"/>
        </w:rPr>
        <w:footnoteReference w:id="112"/>
      </w:r>
      <w:r w:rsidR="00F161D6" w:rsidRPr="00700FB4">
        <w:rPr>
          <w:rFonts w:ascii="Arial" w:hAnsi="Arial" w:cs="Arial"/>
          <w:sz w:val="20"/>
          <w:szCs w:val="20"/>
        </w:rPr>
        <w:t xml:space="preserve"> Tas nozīmē: lai nodrošinātu j</w:t>
      </w:r>
      <w:r w:rsidRPr="00700FB4">
        <w:rPr>
          <w:rFonts w:ascii="Arial" w:hAnsi="Arial" w:cs="Arial"/>
          <w:sz w:val="20"/>
          <w:szCs w:val="20"/>
        </w:rPr>
        <w:t>ūras plānojuma iekļaušanos spēkā esošajā tiesiskajā regulējumā, kā arī lai nodrošinātu savstarpēji saskaņotu sauszemes un jūras ūdeņu izmantošanu, ir nepieciešams identificēt tiesisko regulējumu, kas attiecas uz pašvaldību kompetenci jūras piekrastes ūdeņos un jūras piekrastes sauszemes daļā.</w:t>
      </w:r>
    </w:p>
    <w:p w:rsidR="0028265A" w:rsidRPr="00700FB4" w:rsidRDefault="0028265A" w:rsidP="0028265A">
      <w:pPr>
        <w:pStyle w:val="NoSpacing"/>
        <w:tabs>
          <w:tab w:val="left" w:pos="284"/>
        </w:tabs>
        <w:jc w:val="right"/>
        <w:rPr>
          <w:rFonts w:ascii="Arial" w:hAnsi="Arial" w:cs="Arial"/>
          <w:sz w:val="20"/>
          <w:szCs w:val="20"/>
        </w:rPr>
      </w:pPr>
      <w:r w:rsidRPr="00700FB4">
        <w:rPr>
          <w:rFonts w:ascii="Arial" w:hAnsi="Arial" w:cs="Arial"/>
          <w:sz w:val="20"/>
          <w:szCs w:val="20"/>
        </w:rPr>
        <w:t xml:space="preserve">  Attēls Nr.1 (no jūras plānojuma projekta)</w:t>
      </w:r>
    </w:p>
    <w:p w:rsidR="00417180" w:rsidRPr="00700FB4" w:rsidRDefault="0028265A" w:rsidP="0028265A">
      <w:pPr>
        <w:pStyle w:val="NoSpacing"/>
        <w:jc w:val="both"/>
        <w:rPr>
          <w:rFonts w:ascii="Arial" w:hAnsi="Arial" w:cs="Arial"/>
          <w:sz w:val="20"/>
          <w:szCs w:val="20"/>
        </w:rPr>
      </w:pPr>
      <w:r w:rsidRPr="00700FB4">
        <w:rPr>
          <w:noProof/>
          <w:lang w:eastAsia="lv-LV"/>
        </w:rPr>
        <w:drawing>
          <wp:anchor distT="0" distB="0" distL="114300" distR="114300" simplePos="0" relativeHeight="251656192" behindDoc="1" locked="0" layoutInCell="1" allowOverlap="1">
            <wp:simplePos x="0" y="0"/>
            <wp:positionH relativeFrom="column">
              <wp:posOffset>2249805</wp:posOffset>
            </wp:positionH>
            <wp:positionV relativeFrom="paragraph">
              <wp:posOffset>26035</wp:posOffset>
            </wp:positionV>
            <wp:extent cx="3193415" cy="2633980"/>
            <wp:effectExtent l="19050" t="19050" r="26035" b="13970"/>
            <wp:wrapTight wrapText="bothSides">
              <wp:wrapPolygon edited="0">
                <wp:start x="-129" y="-156"/>
                <wp:lineTo x="-129" y="21558"/>
                <wp:lineTo x="21647" y="21558"/>
                <wp:lineTo x="21647" y="-156"/>
                <wp:lineTo x="-129" y="-156"/>
              </wp:wrapPolygon>
            </wp:wrapTight>
            <wp:docPr id="5" name="Picture 5"/>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3193415" cy="2633980"/>
                    </a:xfrm>
                    <a:prstGeom prst="rect">
                      <a:avLst/>
                    </a:prstGeom>
                    <a:ln>
                      <a:solidFill>
                        <a:schemeClr val="accent1"/>
                      </a:solidFill>
                    </a:ln>
                  </pic:spPr>
                </pic:pic>
              </a:graphicData>
            </a:graphic>
          </wp:anchor>
        </w:drawing>
      </w:r>
      <w:r w:rsidR="00417180" w:rsidRPr="00700FB4">
        <w:rPr>
          <w:rFonts w:ascii="Arial" w:hAnsi="Arial" w:cs="Arial"/>
          <w:b/>
          <w:sz w:val="20"/>
          <w:szCs w:val="20"/>
        </w:rPr>
        <w:t>Zemes pārvaldības likuma</w:t>
      </w:r>
      <w:r w:rsidR="00417180" w:rsidRPr="00700FB4">
        <w:rPr>
          <w:rFonts w:ascii="Arial" w:hAnsi="Arial" w:cs="Arial"/>
          <w:sz w:val="20"/>
          <w:szCs w:val="20"/>
        </w:rPr>
        <w:t xml:space="preserve"> 15.panta ceturtā daļa nosaka aizliegumu atsavināt, ieķīlāt vai citādi apgrūtināt ar lietu tiesībām jūras piekrastes joslu, kā arī veikt tajā būvniecību, ja vien likumos nav noteikts citādi. Tāpat Zemes pārvaldības likuma 15.panta septītā daļa nosaka pašvaldību pienākumu nodrošināt jūras piekrastes joslas publisku pieejamību, kā arī to, lai jūras piekrastes joslu ikviens varētu brīvi lietot, ja vien likumos nav noteikts citādi. Lai to nodrošinātu, Zemes pārvaldības likuma 6.panta pirmā daļa cita starpā nosaka vietējo pašvaldību pienākumu noteikt teritorijas plānojumā gājēju ceļu kā nekustamā īpašuma tiesību </w:t>
      </w:r>
      <w:r w:rsidR="00417180" w:rsidRPr="00700FB4">
        <w:rPr>
          <w:rFonts w:ascii="Arial" w:hAnsi="Arial" w:cs="Arial"/>
          <w:sz w:val="20"/>
          <w:szCs w:val="20"/>
        </w:rPr>
        <w:lastRenderedPageBreak/>
        <w:t>aprobežojumu par labu sabiedrības iespējai piekļūt šādai teritorijai, organizējot arī paša gājēja ceļa ierīkošanu.</w:t>
      </w:r>
    </w:p>
    <w:p w:rsidR="00207E1C" w:rsidRPr="00700FB4" w:rsidRDefault="00207E1C" w:rsidP="00207E1C">
      <w:pPr>
        <w:pStyle w:val="NoSpacing"/>
        <w:jc w:val="both"/>
        <w:rPr>
          <w:rFonts w:ascii="Arial" w:hAnsi="Arial" w:cs="Arial"/>
          <w:sz w:val="20"/>
          <w:szCs w:val="20"/>
        </w:rPr>
      </w:pPr>
    </w:p>
    <w:p w:rsidR="00207E1C" w:rsidRPr="00700FB4" w:rsidRDefault="00207E1C" w:rsidP="00207E1C">
      <w:pPr>
        <w:pStyle w:val="NoSpacing"/>
        <w:jc w:val="both"/>
        <w:rPr>
          <w:rFonts w:ascii="Arial" w:hAnsi="Arial" w:cs="Arial"/>
          <w:sz w:val="20"/>
          <w:szCs w:val="20"/>
        </w:rPr>
      </w:pPr>
      <w:r w:rsidRPr="00700FB4">
        <w:rPr>
          <w:rFonts w:ascii="Arial" w:hAnsi="Arial" w:cs="Arial"/>
          <w:sz w:val="20"/>
          <w:szCs w:val="20"/>
        </w:rPr>
        <w:t xml:space="preserve">Tāpat likuma </w:t>
      </w:r>
      <w:r w:rsidRPr="00700FB4">
        <w:rPr>
          <w:rFonts w:ascii="Arial" w:hAnsi="Arial" w:cs="Arial"/>
          <w:b/>
          <w:sz w:val="20"/>
          <w:szCs w:val="20"/>
        </w:rPr>
        <w:t>“Par pašvaldībām”</w:t>
      </w:r>
      <w:r w:rsidRPr="00700FB4">
        <w:rPr>
          <w:rFonts w:ascii="Arial" w:hAnsi="Arial" w:cs="Arial"/>
          <w:sz w:val="20"/>
          <w:szCs w:val="20"/>
        </w:rPr>
        <w:t xml:space="preserve"> 15.panta 1.punkts nosaka, ka vietējo pašvaldību autonomā funkcija ir organizēt iedzīvotājiem komunālos pakalpojumus, tostarp ūdensapgādi, notekūdeņu savākšanu, novadīšanu un attīrīšanu. Pētījuma ietvaros minētā kompetence ir būtiska situācijās, kad vietējās pašvaldības no piekrastes ūdeņiem nodrošina savas administratīvās teritorijas iedzīvotājiem ūdensapgādes pakalpojumus vai kad notekūdeņi tiek novadīti piekrastes ūdeņos.</w:t>
      </w:r>
    </w:p>
    <w:p w:rsidR="00417180" w:rsidRPr="00700FB4" w:rsidRDefault="00417180" w:rsidP="00417180">
      <w:pPr>
        <w:spacing w:after="0" w:line="240" w:lineRule="auto"/>
        <w:jc w:val="both"/>
        <w:rPr>
          <w:rFonts w:ascii="Arial" w:hAnsi="Arial" w:cs="Arial"/>
          <w:sz w:val="20"/>
          <w:szCs w:val="20"/>
        </w:rPr>
      </w:pPr>
    </w:p>
    <w:p w:rsidR="00207E1C" w:rsidRPr="00700FB4" w:rsidRDefault="00A4678B" w:rsidP="00207E1C">
      <w:pPr>
        <w:pStyle w:val="NoSpacing"/>
        <w:jc w:val="both"/>
        <w:rPr>
          <w:rFonts w:ascii="Arial" w:hAnsi="Arial" w:cs="Arial"/>
          <w:sz w:val="20"/>
          <w:szCs w:val="20"/>
        </w:rPr>
      </w:pPr>
      <w:r w:rsidRPr="00700FB4">
        <w:rPr>
          <w:rFonts w:ascii="Arial" w:hAnsi="Arial" w:cs="Arial"/>
          <w:b/>
          <w:sz w:val="20"/>
          <w:szCs w:val="20"/>
        </w:rPr>
        <w:t>P</w:t>
      </w:r>
      <w:r w:rsidR="00207E1C" w:rsidRPr="00700FB4">
        <w:rPr>
          <w:rFonts w:ascii="Arial" w:hAnsi="Arial" w:cs="Arial"/>
          <w:b/>
          <w:sz w:val="20"/>
          <w:szCs w:val="20"/>
        </w:rPr>
        <w:t>lānošanas likuma</w:t>
      </w:r>
      <w:r w:rsidR="00207E1C" w:rsidRPr="00700FB4">
        <w:rPr>
          <w:rFonts w:ascii="Arial" w:hAnsi="Arial" w:cs="Arial"/>
          <w:sz w:val="20"/>
          <w:szCs w:val="20"/>
        </w:rPr>
        <w:t xml:space="preserve"> 12.panta pirmā daļa nosaka, ka vietējā pašvaldība izstrādā un apstiprina vietējās pašvaldības attīstības stratēģiju, attīstības programmu, teritorijas plānojumu, lokālplānojumus, detālplānojumus un tematiskos plānojumus. Ar minētajiem teritorijas plānošanas attīstības dokumentiem vietējā pašvaldība piekrastes kontekstā cita starpā nosaka piekrastes attīstības redzējumu, prioritātes un mērķus, kā arī nosaka piekrastes izmantošanas un apbūves kārtību, tai skaitā, bet ne tikai paredzot arī dažādus ierobežojumus un aizliegumus.</w:t>
      </w:r>
      <w:r w:rsidR="00207E1C" w:rsidRPr="00700FB4">
        <w:rPr>
          <w:rStyle w:val="FootnoteReference"/>
          <w:rFonts w:ascii="Arial" w:hAnsi="Arial" w:cs="Arial"/>
          <w:sz w:val="20"/>
          <w:szCs w:val="20"/>
        </w:rPr>
        <w:footnoteReference w:id="113"/>
      </w:r>
    </w:p>
    <w:p w:rsidR="00417180" w:rsidRPr="00700FB4" w:rsidRDefault="00207E1C" w:rsidP="00207E1C">
      <w:pPr>
        <w:pStyle w:val="NoSpacing"/>
        <w:jc w:val="both"/>
        <w:rPr>
          <w:rFonts w:ascii="Arial" w:hAnsi="Arial" w:cs="Arial"/>
          <w:sz w:val="20"/>
          <w:szCs w:val="20"/>
        </w:rPr>
      </w:pPr>
      <w:r w:rsidRPr="00700FB4">
        <w:rPr>
          <w:rFonts w:ascii="Arial" w:eastAsia="Times New Roman" w:hAnsi="Arial" w:cs="Arial"/>
          <w:vanish/>
          <w:color w:val="414142"/>
          <w:sz w:val="20"/>
          <w:szCs w:val="20"/>
          <w:lang w:eastAsia="lv-LV"/>
        </w:rPr>
        <w:t>44</w:t>
      </w:r>
    </w:p>
    <w:p w:rsidR="00207E1C" w:rsidRPr="00700FB4" w:rsidRDefault="00D559A9" w:rsidP="00207E1C">
      <w:pPr>
        <w:pStyle w:val="NoSpacing"/>
        <w:jc w:val="both"/>
        <w:rPr>
          <w:rFonts w:ascii="Arial" w:hAnsi="Arial" w:cs="Arial"/>
          <w:sz w:val="20"/>
          <w:szCs w:val="20"/>
        </w:rPr>
      </w:pPr>
      <w:r w:rsidRPr="00700FB4">
        <w:rPr>
          <w:rFonts w:ascii="Arial" w:hAnsi="Arial" w:cs="Arial"/>
          <w:sz w:val="20"/>
          <w:szCs w:val="20"/>
        </w:rPr>
        <w:t>V</w:t>
      </w:r>
      <w:r w:rsidR="00207E1C" w:rsidRPr="00700FB4">
        <w:rPr>
          <w:rFonts w:ascii="Arial" w:hAnsi="Arial" w:cs="Arial"/>
          <w:sz w:val="20"/>
          <w:szCs w:val="20"/>
        </w:rPr>
        <w:t xml:space="preserve">ietējās pašvaldības atbilstoši </w:t>
      </w:r>
      <w:r w:rsidR="00207E1C" w:rsidRPr="00700FB4">
        <w:rPr>
          <w:rFonts w:ascii="Arial" w:hAnsi="Arial" w:cs="Arial"/>
          <w:b/>
          <w:sz w:val="20"/>
          <w:szCs w:val="20"/>
        </w:rPr>
        <w:t>likumam “Par zemes dzīlēm”</w:t>
      </w:r>
      <w:r w:rsidR="00207E1C" w:rsidRPr="00700FB4">
        <w:rPr>
          <w:rFonts w:ascii="Arial" w:hAnsi="Arial" w:cs="Arial"/>
          <w:sz w:val="20"/>
          <w:szCs w:val="20"/>
        </w:rPr>
        <w:t xml:space="preserve"> neizsniedz nekāda veida atļaujas derīgo izrakteņu ieguvei publiskos ūdeņus – arī ne piekrastes ūdeņos, jo Latvijas Republikas teritoriālā jūra sevī ietver arī piekrastes ūdeņus. Tomēr pašvaldību kompetencē ir izdot atļaujas derīgo izrakteņu ieguv</w:t>
      </w:r>
      <w:r w:rsidRPr="00700FB4">
        <w:rPr>
          <w:rFonts w:ascii="Arial" w:hAnsi="Arial" w:cs="Arial"/>
          <w:sz w:val="20"/>
          <w:szCs w:val="20"/>
        </w:rPr>
        <w:t>ei jūras piekrastes teritorijā. V</w:t>
      </w:r>
      <w:r w:rsidR="00207E1C" w:rsidRPr="00700FB4">
        <w:rPr>
          <w:rFonts w:ascii="Arial" w:hAnsi="Arial" w:cs="Arial"/>
          <w:sz w:val="20"/>
          <w:szCs w:val="20"/>
        </w:rPr>
        <w:t>ietējās pašvaldības saskaņā ar likuma “Par zemes dzīlēm” 6.panta ceturto daļu normatīvos aktos noteiktajā kārtībā var arī ierobežot, apturēt un pārtraukt privātpersonu darbības zemes dzīļu izmantošanā, arī atceļot privātpersonām izsniegtās atļaujas derīgo izrakteņu ieguvei.</w:t>
      </w:r>
    </w:p>
    <w:p w:rsidR="00207E1C" w:rsidRPr="00700FB4" w:rsidRDefault="00207E1C" w:rsidP="00207E1C">
      <w:pPr>
        <w:pStyle w:val="NoSpacing"/>
        <w:tabs>
          <w:tab w:val="left" w:pos="426"/>
        </w:tabs>
        <w:jc w:val="both"/>
        <w:rPr>
          <w:rFonts w:ascii="Arial" w:hAnsi="Arial" w:cs="Arial"/>
          <w:sz w:val="20"/>
          <w:szCs w:val="20"/>
        </w:rPr>
      </w:pPr>
    </w:p>
    <w:p w:rsidR="00207E1C" w:rsidRPr="00700FB4" w:rsidRDefault="00207E1C" w:rsidP="00207E1C">
      <w:pPr>
        <w:pStyle w:val="NoSpacing"/>
        <w:tabs>
          <w:tab w:val="left" w:pos="426"/>
        </w:tabs>
        <w:jc w:val="both"/>
        <w:rPr>
          <w:rFonts w:ascii="Arial" w:hAnsi="Arial" w:cs="Arial"/>
          <w:sz w:val="20"/>
          <w:szCs w:val="20"/>
        </w:rPr>
      </w:pPr>
      <w:r w:rsidRPr="00700FB4">
        <w:rPr>
          <w:rFonts w:ascii="Arial" w:hAnsi="Arial" w:cs="Arial"/>
          <w:sz w:val="20"/>
          <w:szCs w:val="20"/>
        </w:rPr>
        <w:t xml:space="preserve">Vietējām pašvaldībām atbilstoši </w:t>
      </w:r>
      <w:r w:rsidRPr="00700FB4">
        <w:rPr>
          <w:rFonts w:ascii="Arial" w:hAnsi="Arial" w:cs="Arial"/>
          <w:b/>
          <w:sz w:val="20"/>
          <w:szCs w:val="20"/>
        </w:rPr>
        <w:t>likumam “Par kultūras pieminekļu aizsardzību”</w:t>
      </w:r>
      <w:r w:rsidRPr="00700FB4">
        <w:rPr>
          <w:rFonts w:ascii="Arial" w:hAnsi="Arial" w:cs="Arial"/>
          <w:sz w:val="20"/>
          <w:szCs w:val="20"/>
        </w:rPr>
        <w:t xml:space="preserve"> ir pienākums aizsargāt jūras piekrastes teritorijā atrodamos kultūras pieminekļus, un nodrošināt to, ka tie netiek iznīcināti. Par kultūras pieminekļiem ir atzīstami gan nekustamie kultūras pieminekļi (ēkas, mākslas darbi, apbedījuma vietas, ielas, laukumi, kvartāli, pilsētu un citu apdzīvoto vietu vēsturiskie centri, piemiņas vietas, vēsturiskas vietas un teritorijas, ainavas utt.), gan kustamie kultūras priekšmeti (arheoloģiskie atradumi, senvietas, nekustamo pieminekļu elementi utt.).</w:t>
      </w:r>
      <w:r w:rsidRPr="00700FB4">
        <w:rPr>
          <w:rStyle w:val="FootnoteReference"/>
          <w:rFonts w:ascii="Arial" w:hAnsi="Arial" w:cs="Arial"/>
          <w:sz w:val="20"/>
          <w:szCs w:val="20"/>
        </w:rPr>
        <w:footnoteReference w:id="114"/>
      </w:r>
    </w:p>
    <w:p w:rsidR="00207E1C" w:rsidRPr="00700FB4" w:rsidRDefault="00207E1C" w:rsidP="00207E1C">
      <w:pPr>
        <w:pStyle w:val="NoSpacing"/>
        <w:tabs>
          <w:tab w:val="left" w:pos="426"/>
        </w:tabs>
        <w:jc w:val="both"/>
        <w:rPr>
          <w:rFonts w:ascii="Arial" w:hAnsi="Arial" w:cs="Arial"/>
          <w:sz w:val="20"/>
          <w:szCs w:val="20"/>
        </w:rPr>
      </w:pPr>
    </w:p>
    <w:p w:rsidR="00207E1C" w:rsidRPr="00700FB4" w:rsidRDefault="00207E1C" w:rsidP="00207E1C">
      <w:pPr>
        <w:pStyle w:val="NoSpacing"/>
        <w:tabs>
          <w:tab w:val="left" w:pos="426"/>
        </w:tabs>
        <w:jc w:val="both"/>
        <w:rPr>
          <w:rFonts w:ascii="Arial" w:hAnsi="Arial" w:cs="Arial"/>
          <w:sz w:val="20"/>
          <w:szCs w:val="20"/>
        </w:rPr>
      </w:pPr>
      <w:r w:rsidRPr="00700FB4">
        <w:rPr>
          <w:rFonts w:ascii="Arial" w:hAnsi="Arial" w:cs="Arial"/>
          <w:sz w:val="20"/>
          <w:szCs w:val="20"/>
        </w:rPr>
        <w:t>Izņēmuma gadījumos ar Kultūras ministrijas Valsts kultūras pieminekļu aizsardzības inspekcijas atļauju, ir pieļaujams pārvietot vai pārveidot kultūras pieminekļus. Tas ir atļauts, kad tā ir vienīgā iespēja, kā saglabāt pieminekli, vai arī tad, ja pārveidojuma rezultātā nepazemināsies pieminekļa kultūrvēsturiskā vērtība.</w:t>
      </w:r>
      <w:r w:rsidRPr="00700FB4">
        <w:rPr>
          <w:rStyle w:val="FootnoteReference"/>
          <w:rFonts w:ascii="Arial" w:hAnsi="Arial" w:cs="Arial"/>
          <w:sz w:val="20"/>
          <w:szCs w:val="20"/>
        </w:rPr>
        <w:footnoteReference w:id="115"/>
      </w:r>
      <w:r w:rsidRPr="00700FB4">
        <w:rPr>
          <w:rFonts w:ascii="Arial" w:hAnsi="Arial" w:cs="Arial"/>
          <w:sz w:val="20"/>
          <w:szCs w:val="20"/>
        </w:rPr>
        <w:t xml:space="preserve"> Tāpat bez iepriekšminētā vietējām pašvaldībām ir pienākums piekrastes teritorijā atrodamos kultūras pieminekļu primāri izmantot zinātnes, izglītības un kultūras mērķiem. Kultūras pieminekļu izmantošana saimnieciskajā darbībā ir pieļaujama vienīgi, kad tas nekaitē piemineklim, nemazina tā vēsturisko, zinātnisko un māksliniecisko vērtību.</w:t>
      </w:r>
      <w:r w:rsidRPr="00700FB4">
        <w:rPr>
          <w:rStyle w:val="FootnoteReference"/>
          <w:rFonts w:ascii="Arial" w:hAnsi="Arial" w:cs="Arial"/>
          <w:sz w:val="20"/>
          <w:szCs w:val="20"/>
        </w:rPr>
        <w:footnoteReference w:id="116"/>
      </w:r>
      <w:r w:rsidRPr="00700FB4">
        <w:rPr>
          <w:rFonts w:ascii="Arial" w:hAnsi="Arial" w:cs="Arial"/>
          <w:sz w:val="20"/>
          <w:szCs w:val="20"/>
        </w:rPr>
        <w:t xml:space="preserve"> Pētījuma ietvaros šī kompetence ir svarīga, jo var gadīties situācijas, kad kāds kultūras piemineklis atrodas jūras piekrastes teritorijā. </w:t>
      </w:r>
    </w:p>
    <w:p w:rsidR="00207E1C" w:rsidRPr="00700FB4" w:rsidRDefault="00207E1C" w:rsidP="00207E1C">
      <w:pPr>
        <w:pStyle w:val="NoSpacing"/>
        <w:tabs>
          <w:tab w:val="left" w:pos="426"/>
        </w:tabs>
        <w:jc w:val="both"/>
        <w:rPr>
          <w:rFonts w:ascii="Arial" w:hAnsi="Arial" w:cs="Arial"/>
          <w:sz w:val="20"/>
          <w:szCs w:val="20"/>
        </w:rPr>
      </w:pPr>
    </w:p>
    <w:p w:rsidR="00207E1C" w:rsidRPr="00700FB4" w:rsidRDefault="00207E1C" w:rsidP="00207E1C">
      <w:pPr>
        <w:pStyle w:val="NoSpacing"/>
        <w:tabs>
          <w:tab w:val="left" w:pos="426"/>
        </w:tabs>
        <w:jc w:val="both"/>
        <w:rPr>
          <w:rFonts w:ascii="Arial" w:hAnsi="Arial" w:cs="Arial"/>
          <w:sz w:val="20"/>
          <w:szCs w:val="20"/>
        </w:rPr>
      </w:pPr>
      <w:r w:rsidRPr="00700FB4">
        <w:rPr>
          <w:rFonts w:ascii="Arial" w:hAnsi="Arial" w:cs="Arial"/>
          <w:sz w:val="20"/>
          <w:szCs w:val="20"/>
        </w:rPr>
        <w:t xml:space="preserve">Vietējās pašvaldībai atbilstoši </w:t>
      </w:r>
      <w:r w:rsidRPr="00700FB4">
        <w:rPr>
          <w:rFonts w:ascii="Arial" w:hAnsi="Arial" w:cs="Arial"/>
          <w:b/>
          <w:sz w:val="20"/>
          <w:szCs w:val="20"/>
        </w:rPr>
        <w:t>Tūrisma likumam</w:t>
      </w:r>
      <w:r w:rsidRPr="00700FB4">
        <w:rPr>
          <w:rFonts w:ascii="Arial" w:hAnsi="Arial" w:cs="Arial"/>
          <w:sz w:val="20"/>
          <w:szCs w:val="20"/>
        </w:rPr>
        <w:t xml:space="preserve"> teritorijas plānošanas attīstības dokumentus nosaka kūrortu teritorijas, nodrošina tūrisma objektu saglabāšanu un iespējas tos izmantot tūrisma vajadzībām.</w:t>
      </w:r>
      <w:r w:rsidRPr="00700FB4">
        <w:rPr>
          <w:rStyle w:val="FootnoteReference"/>
          <w:rFonts w:ascii="Arial" w:hAnsi="Arial" w:cs="Arial"/>
          <w:sz w:val="20"/>
          <w:szCs w:val="20"/>
        </w:rPr>
        <w:footnoteReference w:id="117"/>
      </w:r>
      <w:r w:rsidRPr="00700FB4">
        <w:rPr>
          <w:rFonts w:ascii="Arial" w:hAnsi="Arial" w:cs="Arial"/>
          <w:sz w:val="20"/>
          <w:szCs w:val="20"/>
        </w:rPr>
        <w:t xml:space="preserve"> Par kūrorta teritorijām var tikt atzītas pašvaldību administratīvās teritorijas, kuras atbilst visiem Tūrisma likuma 6.</w:t>
      </w:r>
      <w:r w:rsidRPr="00700FB4">
        <w:rPr>
          <w:rFonts w:ascii="Arial" w:hAnsi="Arial" w:cs="Arial"/>
          <w:sz w:val="20"/>
          <w:szCs w:val="20"/>
          <w:vertAlign w:val="superscript"/>
        </w:rPr>
        <w:t>1</w:t>
      </w:r>
      <w:r w:rsidRPr="00700FB4">
        <w:rPr>
          <w:rFonts w:ascii="Arial" w:hAnsi="Arial" w:cs="Arial"/>
          <w:sz w:val="20"/>
          <w:szCs w:val="20"/>
        </w:rPr>
        <w:t xml:space="preserve"> panta pirmajā </w:t>
      </w:r>
      <w:r w:rsidR="0054294A" w:rsidRPr="00700FB4">
        <w:rPr>
          <w:rFonts w:ascii="Arial" w:hAnsi="Arial" w:cs="Arial"/>
          <w:sz w:val="20"/>
          <w:szCs w:val="20"/>
        </w:rPr>
        <w:t xml:space="preserve">daļā ietvertajiem nosacījumiem, proti, </w:t>
      </w:r>
      <w:r w:rsidRPr="00700FB4">
        <w:rPr>
          <w:rFonts w:ascii="Arial" w:hAnsi="Arial" w:cs="Arial"/>
          <w:sz w:val="20"/>
          <w:szCs w:val="20"/>
        </w:rPr>
        <w:t>tajā ir pieeja</w:t>
      </w:r>
      <w:r w:rsidR="0054294A" w:rsidRPr="00700FB4">
        <w:rPr>
          <w:rFonts w:ascii="Arial" w:hAnsi="Arial" w:cs="Arial"/>
          <w:sz w:val="20"/>
          <w:szCs w:val="20"/>
        </w:rPr>
        <w:t>mi dabas dziednieciskie resursi,</w:t>
      </w:r>
      <w:r w:rsidRPr="00700FB4">
        <w:rPr>
          <w:rFonts w:ascii="Arial" w:hAnsi="Arial" w:cs="Arial"/>
          <w:sz w:val="20"/>
          <w:szCs w:val="20"/>
        </w:rPr>
        <w:t xml:space="preserve"> tajā darbojas vismaz vie</w:t>
      </w:r>
      <w:r w:rsidR="0054294A" w:rsidRPr="00700FB4">
        <w:rPr>
          <w:rFonts w:ascii="Arial" w:hAnsi="Arial" w:cs="Arial"/>
          <w:sz w:val="20"/>
          <w:szCs w:val="20"/>
        </w:rPr>
        <w:t>na kūrorta ārstniecības iestāde,</w:t>
      </w:r>
      <w:r w:rsidRPr="00700FB4">
        <w:rPr>
          <w:rFonts w:ascii="Arial" w:hAnsi="Arial" w:cs="Arial"/>
          <w:sz w:val="20"/>
          <w:szCs w:val="20"/>
        </w:rPr>
        <w:t xml:space="preserve"> dabas dziednieciskie resursi tiek izmantoti, lai nodrošinātu attiecīgajā teritorijā esošās kūrort</w:t>
      </w:r>
      <w:r w:rsidR="0054294A" w:rsidRPr="00700FB4">
        <w:rPr>
          <w:rFonts w:ascii="Arial" w:hAnsi="Arial" w:cs="Arial"/>
          <w:sz w:val="20"/>
          <w:szCs w:val="20"/>
        </w:rPr>
        <w:t>a ārstniecības iestādes darbību,</w:t>
      </w:r>
      <w:r w:rsidRPr="00700FB4">
        <w:rPr>
          <w:rFonts w:ascii="Arial" w:hAnsi="Arial" w:cs="Arial"/>
          <w:sz w:val="20"/>
          <w:szCs w:val="20"/>
        </w:rPr>
        <w:t xml:space="preserve"> vides kvalitātes rādītāji atbilst normatīv</w:t>
      </w:r>
      <w:r w:rsidR="0054294A" w:rsidRPr="00700FB4">
        <w:rPr>
          <w:rFonts w:ascii="Arial" w:hAnsi="Arial" w:cs="Arial"/>
          <w:sz w:val="20"/>
          <w:szCs w:val="20"/>
        </w:rPr>
        <w:t>ajos aktos noteiktajām prasībām,</w:t>
      </w:r>
      <w:r w:rsidRPr="00700FB4">
        <w:rPr>
          <w:rFonts w:ascii="Arial" w:hAnsi="Arial" w:cs="Arial"/>
          <w:sz w:val="20"/>
          <w:szCs w:val="20"/>
        </w:rPr>
        <w:t xml:space="preserve"> tajā ir izveidota atbilstoša tūrisma infrastruktūra; tās attīstība tiek mērķtiecīgi plānota. </w:t>
      </w:r>
    </w:p>
    <w:p w:rsidR="00207E1C" w:rsidRPr="00700FB4" w:rsidRDefault="00207E1C" w:rsidP="00207E1C">
      <w:pPr>
        <w:pStyle w:val="NoSpacing"/>
        <w:tabs>
          <w:tab w:val="left" w:pos="426"/>
        </w:tabs>
        <w:jc w:val="both"/>
        <w:rPr>
          <w:rFonts w:ascii="Arial" w:hAnsi="Arial" w:cs="Arial"/>
          <w:sz w:val="20"/>
          <w:szCs w:val="20"/>
        </w:rPr>
      </w:pPr>
    </w:p>
    <w:p w:rsidR="00207E1C" w:rsidRPr="00700FB4" w:rsidRDefault="00207E1C" w:rsidP="00207E1C">
      <w:pPr>
        <w:pStyle w:val="NoSpacing"/>
        <w:tabs>
          <w:tab w:val="left" w:pos="426"/>
        </w:tabs>
        <w:jc w:val="both"/>
        <w:rPr>
          <w:rFonts w:ascii="Arial" w:hAnsi="Arial" w:cs="Arial"/>
          <w:sz w:val="20"/>
          <w:szCs w:val="20"/>
        </w:rPr>
      </w:pPr>
      <w:r w:rsidRPr="00700FB4">
        <w:rPr>
          <w:rFonts w:ascii="Arial" w:hAnsi="Arial" w:cs="Arial"/>
          <w:sz w:val="20"/>
          <w:szCs w:val="20"/>
        </w:rPr>
        <w:t xml:space="preserve">Atbilstoši </w:t>
      </w:r>
      <w:r w:rsidRPr="00700FB4">
        <w:rPr>
          <w:rFonts w:ascii="Arial" w:hAnsi="Arial" w:cs="Arial"/>
          <w:b/>
          <w:sz w:val="20"/>
          <w:szCs w:val="20"/>
        </w:rPr>
        <w:t>Zvejniecības likuma</w:t>
      </w:r>
      <w:r w:rsidRPr="00700FB4">
        <w:rPr>
          <w:rFonts w:ascii="Arial" w:hAnsi="Arial" w:cs="Arial"/>
          <w:sz w:val="20"/>
          <w:szCs w:val="20"/>
        </w:rPr>
        <w:t xml:space="preserve"> 9.panta astotajai daļai vietējās pašvaldības savos teritorijas plānojumos var noteikt teritorijas, kuros ir atļauta kuģu pārziemošana, kuģu būve un to remonts, zvejnieku un </w:t>
      </w:r>
      <w:proofErr w:type="spellStart"/>
      <w:r w:rsidRPr="00700FB4">
        <w:rPr>
          <w:rFonts w:ascii="Arial" w:hAnsi="Arial" w:cs="Arial"/>
          <w:sz w:val="20"/>
          <w:szCs w:val="20"/>
        </w:rPr>
        <w:t>ūdenstūristu</w:t>
      </w:r>
      <w:proofErr w:type="spellEnd"/>
      <w:r w:rsidRPr="00700FB4">
        <w:rPr>
          <w:rFonts w:ascii="Arial" w:hAnsi="Arial" w:cs="Arial"/>
          <w:sz w:val="20"/>
          <w:szCs w:val="20"/>
        </w:rPr>
        <w:t xml:space="preserve"> apmetņu ierīkošana, kā arī noteikt, kur minētās darbības ir aizliegtas, proti: </w:t>
      </w:r>
      <w:r w:rsidRPr="00700FB4">
        <w:rPr>
          <w:rFonts w:ascii="Arial" w:hAnsi="Arial" w:cs="Arial"/>
          <w:i/>
          <w:sz w:val="20"/>
          <w:szCs w:val="20"/>
        </w:rPr>
        <w:t xml:space="preserve">“[..] Baltijas jūras un Rīgas jūras līča piekrastes tauvas joslā laivu un kuģu pārziemošana, </w:t>
      </w:r>
      <w:r w:rsidRPr="00700FB4">
        <w:rPr>
          <w:rFonts w:ascii="Arial" w:hAnsi="Arial" w:cs="Arial"/>
          <w:i/>
          <w:sz w:val="20"/>
          <w:szCs w:val="20"/>
        </w:rPr>
        <w:lastRenderedPageBreak/>
        <w:t xml:space="preserve">būve un remonts, kā arī zvejnieku un </w:t>
      </w:r>
      <w:proofErr w:type="spellStart"/>
      <w:r w:rsidRPr="00700FB4">
        <w:rPr>
          <w:rFonts w:ascii="Arial" w:hAnsi="Arial" w:cs="Arial"/>
          <w:i/>
          <w:sz w:val="20"/>
          <w:szCs w:val="20"/>
        </w:rPr>
        <w:t>ūdenstūristu</w:t>
      </w:r>
      <w:proofErr w:type="spellEnd"/>
      <w:r w:rsidRPr="00700FB4">
        <w:rPr>
          <w:rFonts w:ascii="Arial" w:hAnsi="Arial" w:cs="Arial"/>
          <w:i/>
          <w:sz w:val="20"/>
          <w:szCs w:val="20"/>
        </w:rPr>
        <w:t xml:space="preserve"> apmetņu ierīkošana atļauta, ja tas nav pretrunā ar vietējās pašvaldības teritorijas plānojumu [..]”</w:t>
      </w:r>
      <w:r w:rsidRPr="00700FB4">
        <w:rPr>
          <w:rFonts w:ascii="Arial" w:hAnsi="Arial" w:cs="Arial"/>
          <w:sz w:val="20"/>
          <w:szCs w:val="20"/>
        </w:rPr>
        <w:t>.  Tāpat atbilstoši Zvejniecības likuma 11.panta 5.</w:t>
      </w:r>
      <w:r w:rsidRPr="00700FB4">
        <w:rPr>
          <w:rFonts w:ascii="Arial" w:hAnsi="Arial" w:cs="Arial"/>
          <w:sz w:val="20"/>
          <w:szCs w:val="20"/>
          <w:vertAlign w:val="superscript"/>
        </w:rPr>
        <w:t>2</w:t>
      </w:r>
      <w:r w:rsidR="00876B2E" w:rsidRPr="00700FB4">
        <w:rPr>
          <w:rFonts w:ascii="Arial" w:hAnsi="Arial" w:cs="Arial"/>
          <w:sz w:val="20"/>
          <w:szCs w:val="20"/>
        </w:rPr>
        <w:t> </w:t>
      </w:r>
      <w:r w:rsidRPr="00700FB4">
        <w:rPr>
          <w:rFonts w:ascii="Arial" w:hAnsi="Arial" w:cs="Arial"/>
          <w:sz w:val="20"/>
          <w:szCs w:val="20"/>
        </w:rPr>
        <w:t>daļai vietējās pašvaldības iznomāto zvejas tiesību izmantošanai iedala privātpersonām zvejas rīku skaita limitu vai nozvejas apjoma limitu Baltijas jūras un Rīgas jūras līča piekrastes ūdeņos.</w:t>
      </w:r>
    </w:p>
    <w:p w:rsidR="00207E1C" w:rsidRPr="00700FB4" w:rsidRDefault="00207E1C" w:rsidP="00207E1C">
      <w:pPr>
        <w:pStyle w:val="NoSpacing"/>
        <w:tabs>
          <w:tab w:val="left" w:pos="426"/>
        </w:tabs>
        <w:jc w:val="both"/>
        <w:rPr>
          <w:rFonts w:ascii="Arial" w:hAnsi="Arial" w:cs="Arial"/>
          <w:sz w:val="20"/>
          <w:szCs w:val="20"/>
        </w:rPr>
      </w:pPr>
    </w:p>
    <w:p w:rsidR="00207E1C" w:rsidRPr="00700FB4" w:rsidRDefault="00207E1C" w:rsidP="00207E1C">
      <w:pPr>
        <w:pStyle w:val="NoSpacing"/>
        <w:tabs>
          <w:tab w:val="left" w:pos="426"/>
        </w:tabs>
        <w:jc w:val="both"/>
        <w:rPr>
          <w:rFonts w:ascii="Arial" w:hAnsi="Arial" w:cs="Arial"/>
          <w:sz w:val="20"/>
          <w:szCs w:val="20"/>
        </w:rPr>
      </w:pPr>
      <w:r w:rsidRPr="00700FB4">
        <w:rPr>
          <w:rFonts w:ascii="Arial" w:hAnsi="Arial" w:cs="Arial"/>
          <w:sz w:val="20"/>
          <w:szCs w:val="20"/>
        </w:rPr>
        <w:t xml:space="preserve">Vietējās pašvaldības atbilstoši </w:t>
      </w:r>
      <w:r w:rsidRPr="00700FB4">
        <w:rPr>
          <w:rFonts w:ascii="Arial" w:hAnsi="Arial" w:cs="Arial"/>
          <w:b/>
          <w:sz w:val="20"/>
          <w:szCs w:val="20"/>
        </w:rPr>
        <w:t>likuma “Par īpaši aizsargājamām dabas teritorijām”</w:t>
      </w:r>
      <w:r w:rsidRPr="00700FB4">
        <w:rPr>
          <w:rFonts w:ascii="Arial" w:hAnsi="Arial" w:cs="Arial"/>
          <w:sz w:val="20"/>
          <w:szCs w:val="20"/>
        </w:rPr>
        <w:t xml:space="preserve"> 13.panta trešajai daļai ir tiesīgas izveidot dabas liegumus, dabas parkus un dabas pieminekļus, kuri ir nozīmīgi dabas vai kultūrvēsturiskā mantojuma saglabāšanai attiecīgajā administratīvajā teritorijā. Turklāt atbilstoši minētā likuma 17.panta trešajai daļai gadījumā, ja pati pašvaldība izveido aizsargājamo dabas teritoriju, tad to aizsardzības un izmantošanas noteikumus arī nosaka pati pašvaldība. Īpaši svarīgi tas ir, kad aizsargājamā dabas teritorija tiek izveidota piekrastes zonā.</w:t>
      </w:r>
    </w:p>
    <w:p w:rsidR="00207E1C" w:rsidRPr="00700FB4" w:rsidRDefault="00207E1C" w:rsidP="00207E1C">
      <w:pPr>
        <w:pStyle w:val="NoSpacing"/>
        <w:tabs>
          <w:tab w:val="left" w:pos="426"/>
        </w:tabs>
        <w:jc w:val="both"/>
        <w:rPr>
          <w:rFonts w:ascii="Arial" w:hAnsi="Arial" w:cs="Arial"/>
          <w:sz w:val="20"/>
          <w:szCs w:val="20"/>
        </w:rPr>
      </w:pPr>
    </w:p>
    <w:p w:rsidR="00207E1C" w:rsidRPr="00700FB4" w:rsidRDefault="00207E1C" w:rsidP="00207E1C">
      <w:pPr>
        <w:pStyle w:val="NoSpacing"/>
        <w:tabs>
          <w:tab w:val="left" w:pos="426"/>
        </w:tabs>
        <w:jc w:val="both"/>
        <w:rPr>
          <w:rFonts w:ascii="Arial" w:hAnsi="Arial" w:cs="Arial"/>
          <w:sz w:val="20"/>
          <w:szCs w:val="20"/>
        </w:rPr>
      </w:pPr>
      <w:r w:rsidRPr="00700FB4">
        <w:rPr>
          <w:rFonts w:ascii="Arial" w:hAnsi="Arial" w:cs="Arial"/>
          <w:sz w:val="20"/>
          <w:szCs w:val="20"/>
        </w:rPr>
        <w:t xml:space="preserve">Atbilstoši </w:t>
      </w:r>
      <w:r w:rsidR="00876B2E" w:rsidRPr="00700FB4">
        <w:rPr>
          <w:rFonts w:ascii="Arial" w:hAnsi="Arial" w:cs="Arial"/>
          <w:b/>
          <w:sz w:val="20"/>
          <w:szCs w:val="20"/>
        </w:rPr>
        <w:t>L</w:t>
      </w:r>
      <w:r w:rsidRPr="00700FB4">
        <w:rPr>
          <w:rFonts w:ascii="Arial" w:hAnsi="Arial" w:cs="Arial"/>
          <w:b/>
          <w:sz w:val="20"/>
          <w:szCs w:val="20"/>
        </w:rPr>
        <w:t>ikuma par ostām</w:t>
      </w:r>
      <w:r w:rsidRPr="00700FB4">
        <w:rPr>
          <w:rFonts w:ascii="Arial" w:hAnsi="Arial" w:cs="Arial"/>
          <w:sz w:val="20"/>
          <w:szCs w:val="20"/>
        </w:rPr>
        <w:t xml:space="preserve"> 6.pantam vietējās pašvaldības ar saistošajiem noteikumiem apstiprina savu administratīvo teritorijā atrod</w:t>
      </w:r>
      <w:r w:rsidR="0054294A" w:rsidRPr="00700FB4">
        <w:rPr>
          <w:rFonts w:ascii="Arial" w:hAnsi="Arial" w:cs="Arial"/>
          <w:sz w:val="20"/>
          <w:szCs w:val="20"/>
        </w:rPr>
        <w:t>amo ostu noteikumus, kuros cita</w:t>
      </w:r>
      <w:r w:rsidRPr="00700FB4">
        <w:rPr>
          <w:rFonts w:ascii="Arial" w:hAnsi="Arial" w:cs="Arial"/>
          <w:sz w:val="20"/>
          <w:szCs w:val="20"/>
        </w:rPr>
        <w:t>starp ietver</w:t>
      </w:r>
      <w:r w:rsidR="0054294A" w:rsidRPr="00700FB4">
        <w:rPr>
          <w:rFonts w:ascii="Arial" w:hAnsi="Arial" w:cs="Arial"/>
          <w:sz w:val="20"/>
          <w:szCs w:val="20"/>
        </w:rPr>
        <w:t xml:space="preserve"> vides aizsardzības noteikumus,</w:t>
      </w:r>
      <w:r w:rsidRPr="00700FB4">
        <w:rPr>
          <w:rFonts w:ascii="Arial" w:hAnsi="Arial" w:cs="Arial"/>
          <w:sz w:val="20"/>
          <w:szCs w:val="20"/>
        </w:rPr>
        <w:t xml:space="preserve"> ostas droš</w:t>
      </w:r>
      <w:r w:rsidR="0054294A" w:rsidRPr="00700FB4">
        <w:rPr>
          <w:rFonts w:ascii="Arial" w:hAnsi="Arial" w:cs="Arial"/>
          <w:sz w:val="20"/>
          <w:szCs w:val="20"/>
        </w:rPr>
        <w:t>ības uzraudzības pamatprincipus,</w:t>
      </w:r>
      <w:r w:rsidRPr="00700FB4">
        <w:rPr>
          <w:rFonts w:ascii="Arial" w:hAnsi="Arial" w:cs="Arial"/>
          <w:sz w:val="20"/>
          <w:szCs w:val="20"/>
        </w:rPr>
        <w:t xml:space="preserve"> sanitāro un ugunsdrošības režīmu ostā, kā arī citus ar ostas darbību saistītus noteikumus (kuģošanas kārtība utt.), tai skaitā, bet ne tikai dažādus aizliegumus un ierobežojumus (peldēšanās, zvejas un ūdenssporta utt.).</w:t>
      </w:r>
      <w:r w:rsidRPr="00700FB4">
        <w:rPr>
          <w:rStyle w:val="FootnoteReference"/>
          <w:rFonts w:ascii="Arial" w:hAnsi="Arial" w:cs="Arial"/>
          <w:sz w:val="20"/>
          <w:szCs w:val="20"/>
        </w:rPr>
        <w:footnoteReference w:id="118"/>
      </w:r>
    </w:p>
    <w:p w:rsidR="00207E1C" w:rsidRPr="00700FB4" w:rsidRDefault="00207E1C" w:rsidP="00207E1C">
      <w:pPr>
        <w:pStyle w:val="NoSpacing"/>
        <w:tabs>
          <w:tab w:val="left" w:pos="426"/>
        </w:tabs>
        <w:jc w:val="both"/>
        <w:rPr>
          <w:rFonts w:ascii="Arial" w:hAnsi="Arial" w:cs="Arial"/>
          <w:sz w:val="20"/>
          <w:szCs w:val="20"/>
        </w:rPr>
      </w:pPr>
    </w:p>
    <w:p w:rsidR="00207E1C" w:rsidRPr="00700FB4" w:rsidRDefault="00207E1C" w:rsidP="00207E1C">
      <w:pPr>
        <w:pStyle w:val="NoSpacing"/>
        <w:tabs>
          <w:tab w:val="left" w:pos="426"/>
        </w:tabs>
        <w:jc w:val="both"/>
        <w:rPr>
          <w:rFonts w:ascii="Arial" w:hAnsi="Arial" w:cs="Arial"/>
          <w:sz w:val="20"/>
          <w:szCs w:val="20"/>
        </w:rPr>
      </w:pPr>
      <w:r w:rsidRPr="00700FB4">
        <w:rPr>
          <w:rFonts w:ascii="Arial" w:hAnsi="Arial" w:cs="Arial"/>
          <w:sz w:val="20"/>
          <w:szCs w:val="20"/>
        </w:rPr>
        <w:t xml:space="preserve">Atbilstoši </w:t>
      </w:r>
      <w:r w:rsidRPr="00700FB4">
        <w:rPr>
          <w:rFonts w:ascii="Arial" w:hAnsi="Arial" w:cs="Arial"/>
          <w:b/>
          <w:sz w:val="20"/>
          <w:szCs w:val="20"/>
        </w:rPr>
        <w:t>Būvniecības likumam</w:t>
      </w:r>
      <w:r w:rsidRPr="00700FB4">
        <w:rPr>
          <w:rFonts w:ascii="Arial" w:hAnsi="Arial" w:cs="Arial"/>
          <w:sz w:val="20"/>
          <w:szCs w:val="20"/>
        </w:rPr>
        <w:t xml:space="preserve"> vietējās pašvaldības nodrošina būvniecības tiesiskumu savas administratīvās teritorijas ietvaros (izdod būvatļaujas, pieņem būves ekspluatācijā utt.), un tas cita starpā attiecas arī uz attiecīgās pašvaldības piekrastes teritorijām.</w:t>
      </w:r>
      <w:r w:rsidRPr="00700FB4">
        <w:rPr>
          <w:rStyle w:val="FootnoteReference"/>
          <w:rFonts w:ascii="Arial" w:hAnsi="Arial" w:cs="Arial"/>
          <w:sz w:val="20"/>
          <w:szCs w:val="20"/>
        </w:rPr>
        <w:footnoteReference w:id="119"/>
      </w:r>
      <w:r w:rsidRPr="00700FB4">
        <w:rPr>
          <w:rFonts w:ascii="Arial" w:hAnsi="Arial" w:cs="Arial"/>
          <w:sz w:val="20"/>
          <w:szCs w:val="20"/>
        </w:rPr>
        <w:t xml:space="preserve"> Tomēr vietējās pašvaldības neveic būvniecības tiesiskuma kontroli piekrastes ūdeņos – to veic Ekonomikas ministrija atbilstoši Ministru kabineta 2014.gada 14.oktobra noteikumiem Nr.631 “Latvijas Republikas iekšējo jūras ūdeņu, teritoriālās jūras un </w:t>
      </w:r>
      <w:r w:rsidR="002842BE" w:rsidRPr="00700FB4">
        <w:rPr>
          <w:rFonts w:ascii="Arial" w:hAnsi="Arial" w:cs="Arial"/>
          <w:sz w:val="20"/>
          <w:szCs w:val="20"/>
        </w:rPr>
        <w:t xml:space="preserve">Ekskluzīvās </w:t>
      </w:r>
      <w:r w:rsidRPr="00700FB4">
        <w:rPr>
          <w:rFonts w:ascii="Arial" w:hAnsi="Arial" w:cs="Arial"/>
          <w:sz w:val="20"/>
          <w:szCs w:val="20"/>
        </w:rPr>
        <w:t>zonas būvju būvnoteikumi”. Tātad pētījuma ietvaros ir svarīgi, ka vietējās pašvaldības atbilstoši Būvniecības likumam veic būvniecības kontroles tiesiskumu, un līdz ar to izdod arī būvatļaujas jūras piekrastes teritorijā.</w:t>
      </w:r>
    </w:p>
    <w:p w:rsidR="00207E1C" w:rsidRPr="00700FB4" w:rsidRDefault="00207E1C" w:rsidP="00207E1C">
      <w:pPr>
        <w:pStyle w:val="NoSpacing"/>
        <w:tabs>
          <w:tab w:val="left" w:pos="426"/>
        </w:tabs>
        <w:jc w:val="both"/>
        <w:rPr>
          <w:rFonts w:ascii="Arial" w:hAnsi="Arial" w:cs="Arial"/>
          <w:sz w:val="20"/>
          <w:szCs w:val="20"/>
        </w:rPr>
      </w:pPr>
    </w:p>
    <w:p w:rsidR="00207E1C" w:rsidRPr="00700FB4" w:rsidRDefault="00207E1C" w:rsidP="00207E1C">
      <w:pPr>
        <w:pStyle w:val="NoSpacing"/>
        <w:tabs>
          <w:tab w:val="left" w:pos="426"/>
        </w:tabs>
        <w:jc w:val="both"/>
        <w:rPr>
          <w:rFonts w:ascii="Arial" w:hAnsi="Arial" w:cs="Arial"/>
          <w:sz w:val="20"/>
          <w:szCs w:val="20"/>
        </w:rPr>
      </w:pPr>
      <w:r w:rsidRPr="00700FB4">
        <w:rPr>
          <w:rFonts w:ascii="Arial" w:hAnsi="Arial" w:cs="Arial"/>
          <w:sz w:val="20"/>
          <w:szCs w:val="20"/>
        </w:rPr>
        <w:t xml:space="preserve">Atbilstoši </w:t>
      </w:r>
      <w:r w:rsidRPr="00700FB4">
        <w:rPr>
          <w:rFonts w:ascii="Arial" w:hAnsi="Arial" w:cs="Arial"/>
          <w:b/>
          <w:sz w:val="20"/>
          <w:szCs w:val="20"/>
        </w:rPr>
        <w:t>likuma “Par piesārņojumu”</w:t>
      </w:r>
      <w:r w:rsidRPr="00700FB4">
        <w:rPr>
          <w:rFonts w:ascii="Arial" w:hAnsi="Arial" w:cs="Arial"/>
          <w:sz w:val="20"/>
          <w:szCs w:val="20"/>
        </w:rPr>
        <w:t xml:space="preserve"> 18.</w:t>
      </w:r>
      <w:r w:rsidRPr="00700FB4">
        <w:rPr>
          <w:rFonts w:ascii="Arial" w:hAnsi="Arial" w:cs="Arial"/>
          <w:sz w:val="20"/>
          <w:szCs w:val="20"/>
          <w:vertAlign w:val="superscript"/>
        </w:rPr>
        <w:t>1</w:t>
      </w:r>
      <w:r w:rsidR="00876B2E" w:rsidRPr="00700FB4">
        <w:rPr>
          <w:rFonts w:ascii="Arial" w:hAnsi="Arial" w:cs="Arial"/>
          <w:sz w:val="20"/>
          <w:szCs w:val="20"/>
        </w:rPr>
        <w:t> </w:t>
      </w:r>
      <w:r w:rsidRPr="00700FB4">
        <w:rPr>
          <w:rFonts w:ascii="Arial" w:hAnsi="Arial" w:cs="Arial"/>
          <w:sz w:val="20"/>
          <w:szCs w:val="20"/>
        </w:rPr>
        <w:t>panta pirmajai daļai vietējām pašvaldībām ir pienākums nodrošināt trokšņa kartēšanu un trokšņa stratēģisko karšu izstrādi aglomerācijas teritorijai. Pētījuma kontekstā šis pienākums īpaši ir attiecināms uz vietējo pašvaldību ostu teritorijām, kuras cita starpā nereti iekļaujas ne vien piekrastes teritorijā, bet pat piekrastes ūdeņu teritorijā.</w:t>
      </w:r>
      <w:r w:rsidRPr="00700FB4">
        <w:rPr>
          <w:rStyle w:val="FootnoteReference"/>
          <w:rFonts w:ascii="Arial" w:hAnsi="Arial" w:cs="Arial"/>
          <w:sz w:val="20"/>
          <w:szCs w:val="20"/>
        </w:rPr>
        <w:footnoteReference w:id="120"/>
      </w:r>
    </w:p>
    <w:p w:rsidR="00207E1C" w:rsidRPr="00700FB4" w:rsidRDefault="00207E1C" w:rsidP="00207E1C">
      <w:pPr>
        <w:pStyle w:val="NoSpacing"/>
        <w:tabs>
          <w:tab w:val="left" w:pos="426"/>
        </w:tabs>
        <w:jc w:val="both"/>
        <w:rPr>
          <w:rFonts w:ascii="Arial" w:hAnsi="Arial" w:cs="Arial"/>
          <w:sz w:val="20"/>
          <w:szCs w:val="20"/>
        </w:rPr>
      </w:pPr>
    </w:p>
    <w:p w:rsidR="00207E1C" w:rsidRPr="00700FB4" w:rsidRDefault="00207E1C" w:rsidP="00207E1C">
      <w:pPr>
        <w:pStyle w:val="NoSpacing"/>
        <w:tabs>
          <w:tab w:val="left" w:pos="426"/>
        </w:tabs>
        <w:jc w:val="both"/>
        <w:rPr>
          <w:rFonts w:ascii="Arial" w:hAnsi="Arial" w:cs="Arial"/>
          <w:sz w:val="20"/>
          <w:szCs w:val="20"/>
        </w:rPr>
      </w:pPr>
      <w:r w:rsidRPr="00700FB4">
        <w:rPr>
          <w:rFonts w:ascii="Arial" w:hAnsi="Arial" w:cs="Arial"/>
          <w:sz w:val="20"/>
          <w:szCs w:val="20"/>
        </w:rPr>
        <w:t xml:space="preserve">Atbilstoši </w:t>
      </w:r>
      <w:r w:rsidRPr="00700FB4">
        <w:rPr>
          <w:rFonts w:ascii="Arial" w:hAnsi="Arial" w:cs="Arial"/>
          <w:b/>
          <w:sz w:val="20"/>
          <w:szCs w:val="20"/>
        </w:rPr>
        <w:t>Ūdenssaimniecības pakalpojumu likuma</w:t>
      </w:r>
      <w:r w:rsidRPr="00700FB4">
        <w:rPr>
          <w:rFonts w:ascii="Arial" w:hAnsi="Arial" w:cs="Arial"/>
          <w:sz w:val="20"/>
          <w:szCs w:val="20"/>
        </w:rPr>
        <w:t xml:space="preserve"> 6.panta pirmajai un trešajai daļai vietējās pašvaldības organizē ūdenssaimniecības pakalpojumu sniegšanu savā administratīvajā teritorijā, kā arī savos teritorijas plānojumos nosaka apbūves teritorijas, kurās ierīkojamas centralizētās ūdensapgādes sistēmas un centralizētās kanalizācijas sistēmas, un to apbūves noteikumus. Pētījuma kontekstā šie pienākumi īpaši ir attiecināmi uz situācijām, kad vietējās pašvaldības izveido tādas centralizētās kanalizācijas sistēmas, kuras tiek novadītas uz piekrastes ūdeņiem. </w:t>
      </w:r>
    </w:p>
    <w:p w:rsidR="00207E1C" w:rsidRPr="00700FB4" w:rsidRDefault="00207E1C" w:rsidP="00207E1C">
      <w:pPr>
        <w:pStyle w:val="NoSpacing"/>
        <w:tabs>
          <w:tab w:val="left" w:pos="426"/>
        </w:tabs>
        <w:jc w:val="both"/>
        <w:rPr>
          <w:rFonts w:ascii="Arial" w:hAnsi="Arial" w:cs="Arial"/>
          <w:sz w:val="20"/>
          <w:szCs w:val="20"/>
        </w:rPr>
      </w:pPr>
    </w:p>
    <w:p w:rsidR="00F03463" w:rsidRPr="00700FB4" w:rsidRDefault="009D33B8" w:rsidP="00665269">
      <w:pPr>
        <w:pStyle w:val="Heading2"/>
      </w:pPr>
      <w:bookmarkStart w:id="44" w:name="_Toc460402354"/>
      <w:r w:rsidRPr="00700FB4">
        <w:t>[6.</w:t>
      </w:r>
      <w:r w:rsidR="00F03463" w:rsidRPr="00700FB4">
        <w:t xml:space="preserve">3] MK noteikumi, </w:t>
      </w:r>
      <w:r w:rsidR="000E00B8" w:rsidRPr="00700FB4">
        <w:t>kas nosaka pašvaldību kompetenci</w:t>
      </w:r>
      <w:r w:rsidR="00F03463" w:rsidRPr="00700FB4">
        <w:t xml:space="preserve"> piekrastē un tās ūdeņos</w:t>
      </w:r>
      <w:bookmarkEnd w:id="44"/>
    </w:p>
    <w:p w:rsidR="00207E1C" w:rsidRPr="00700FB4" w:rsidRDefault="00207E1C" w:rsidP="00207E1C">
      <w:pPr>
        <w:pStyle w:val="NoSpacing"/>
        <w:jc w:val="both"/>
        <w:rPr>
          <w:rFonts w:ascii="Arial" w:hAnsi="Arial" w:cs="Arial"/>
          <w:sz w:val="20"/>
          <w:szCs w:val="20"/>
        </w:rPr>
      </w:pPr>
      <w:r w:rsidRPr="00700FB4">
        <w:rPr>
          <w:rFonts w:ascii="Arial" w:hAnsi="Arial" w:cs="Arial"/>
          <w:sz w:val="20"/>
          <w:szCs w:val="20"/>
        </w:rPr>
        <w:t xml:space="preserve">Vietējai pašvaldībai atbilstoši Ministru kabineta 2012.gada 10.janvāra noteikumiem Nr. 38 </w:t>
      </w:r>
      <w:r w:rsidRPr="00700FB4">
        <w:rPr>
          <w:rFonts w:ascii="Arial" w:hAnsi="Arial" w:cs="Arial"/>
          <w:b/>
          <w:sz w:val="20"/>
          <w:szCs w:val="20"/>
        </w:rPr>
        <w:t>“Peldvietas izveidošanas un uzturēšanas kārtība”</w:t>
      </w:r>
      <w:r w:rsidRPr="00700FB4">
        <w:rPr>
          <w:rFonts w:ascii="Arial" w:hAnsi="Arial" w:cs="Arial"/>
          <w:sz w:val="20"/>
          <w:szCs w:val="20"/>
        </w:rPr>
        <w:t xml:space="preserve"> ir tiesības izveidot peldvietu saskaņā ar attiecīgās pašvaldības teritorijas plānojumā noteikto (atļauto) izmantošanu, un attiecīgi noteikt arī peldvietas teritorijas robežas.</w:t>
      </w:r>
      <w:r w:rsidRPr="00700FB4">
        <w:rPr>
          <w:rStyle w:val="FootnoteReference"/>
          <w:rFonts w:ascii="Arial" w:hAnsi="Arial" w:cs="Arial"/>
          <w:sz w:val="20"/>
          <w:szCs w:val="20"/>
        </w:rPr>
        <w:footnoteReference w:id="121"/>
      </w:r>
      <w:r w:rsidRPr="00700FB4">
        <w:rPr>
          <w:rFonts w:ascii="Arial" w:hAnsi="Arial" w:cs="Arial"/>
          <w:sz w:val="20"/>
          <w:szCs w:val="20"/>
        </w:rPr>
        <w:t xml:space="preserve"> Turklāt vietējās pašvaldības ir tiesīgas izveidot arī peldvietas funkcionālos sektorus, piemēram, sauļošanās zonu, sporta zonu, bērnu sektoru ar rotaļu laukumu pirmsskolas vecuma bērniem, nūdistu zonu un citas zonas, kuras nosaka vietējā pašvaldība.</w:t>
      </w:r>
      <w:r w:rsidRPr="00700FB4">
        <w:rPr>
          <w:rStyle w:val="FootnoteReference"/>
          <w:rFonts w:ascii="Arial" w:hAnsi="Arial" w:cs="Arial"/>
          <w:sz w:val="20"/>
          <w:szCs w:val="20"/>
        </w:rPr>
        <w:footnoteReference w:id="122"/>
      </w:r>
    </w:p>
    <w:p w:rsidR="00207E1C" w:rsidRPr="00700FB4" w:rsidRDefault="00207E1C" w:rsidP="00207E1C">
      <w:pPr>
        <w:pStyle w:val="NoSpacing"/>
        <w:jc w:val="both"/>
        <w:rPr>
          <w:rFonts w:ascii="Arial" w:hAnsi="Arial" w:cs="Arial"/>
          <w:sz w:val="20"/>
          <w:szCs w:val="20"/>
        </w:rPr>
      </w:pPr>
    </w:p>
    <w:p w:rsidR="00255644" w:rsidRPr="00700FB4" w:rsidRDefault="00207E1C" w:rsidP="00207E1C">
      <w:pPr>
        <w:pStyle w:val="NoSpacing"/>
        <w:jc w:val="both"/>
        <w:rPr>
          <w:rFonts w:ascii="Arial" w:hAnsi="Arial" w:cs="Arial"/>
          <w:sz w:val="20"/>
          <w:szCs w:val="20"/>
        </w:rPr>
      </w:pPr>
      <w:r w:rsidRPr="00700FB4">
        <w:rPr>
          <w:rFonts w:ascii="Arial" w:hAnsi="Arial" w:cs="Arial"/>
          <w:sz w:val="20"/>
          <w:szCs w:val="20"/>
        </w:rPr>
        <w:lastRenderedPageBreak/>
        <w:t xml:space="preserve">Ja vietējās pašvaldības izlemj izveidot peldvietas, tam tām ir vairāki pienākumi. </w:t>
      </w:r>
    </w:p>
    <w:p w:rsidR="00255644" w:rsidRPr="00700FB4" w:rsidRDefault="00255644" w:rsidP="00207E1C">
      <w:pPr>
        <w:pStyle w:val="NoSpacing"/>
        <w:jc w:val="both"/>
        <w:rPr>
          <w:rFonts w:ascii="Arial" w:hAnsi="Arial" w:cs="Arial"/>
          <w:sz w:val="20"/>
          <w:szCs w:val="20"/>
        </w:rPr>
      </w:pPr>
    </w:p>
    <w:p w:rsidR="00207E1C" w:rsidRPr="00700FB4" w:rsidRDefault="00207E1C" w:rsidP="00207E1C">
      <w:pPr>
        <w:pStyle w:val="NoSpacing"/>
        <w:jc w:val="both"/>
        <w:rPr>
          <w:rFonts w:ascii="Arial" w:hAnsi="Arial" w:cs="Arial"/>
          <w:sz w:val="20"/>
          <w:szCs w:val="20"/>
        </w:rPr>
      </w:pPr>
      <w:r w:rsidRPr="00700FB4">
        <w:rPr>
          <w:rFonts w:ascii="Arial" w:hAnsi="Arial" w:cs="Arial"/>
          <w:b/>
          <w:sz w:val="20"/>
          <w:szCs w:val="20"/>
        </w:rPr>
        <w:t>Pirmkārt</w:t>
      </w:r>
      <w:r w:rsidRPr="00700FB4">
        <w:rPr>
          <w:rFonts w:ascii="Arial" w:hAnsi="Arial" w:cs="Arial"/>
          <w:sz w:val="20"/>
          <w:szCs w:val="20"/>
        </w:rPr>
        <w:t>, vietējai pašvaldībai ir pienākums apsaimniekot peldvietu, un atbildēt par peldvietas uzturēšanu, drošības un higiēnas prasību ievērošanu, kā arī par informatīvo uzrakstu izvietošanu par attiecīgo peldvietu.</w:t>
      </w:r>
      <w:r w:rsidRPr="00700FB4">
        <w:rPr>
          <w:rStyle w:val="FootnoteReference"/>
          <w:rFonts w:ascii="Arial" w:hAnsi="Arial" w:cs="Arial"/>
          <w:sz w:val="20"/>
          <w:szCs w:val="20"/>
        </w:rPr>
        <w:footnoteReference w:id="123"/>
      </w:r>
      <w:r w:rsidRPr="00700FB4">
        <w:rPr>
          <w:rFonts w:ascii="Arial" w:hAnsi="Arial" w:cs="Arial"/>
          <w:sz w:val="20"/>
          <w:szCs w:val="20"/>
        </w:rPr>
        <w:t xml:space="preserve"> </w:t>
      </w:r>
      <w:r w:rsidRPr="00700FB4">
        <w:rPr>
          <w:rFonts w:ascii="Arial" w:hAnsi="Arial" w:cs="Arial"/>
          <w:b/>
          <w:sz w:val="20"/>
          <w:szCs w:val="20"/>
        </w:rPr>
        <w:t>Otrkārt</w:t>
      </w:r>
      <w:r w:rsidRPr="00700FB4">
        <w:rPr>
          <w:rFonts w:ascii="Arial" w:hAnsi="Arial" w:cs="Arial"/>
          <w:sz w:val="20"/>
          <w:szCs w:val="20"/>
        </w:rPr>
        <w:t>, vietējai pašvaldībai ir pienākums pirms peldsezo</w:t>
      </w:r>
      <w:r w:rsidR="00F03463" w:rsidRPr="00700FB4">
        <w:rPr>
          <w:rFonts w:ascii="Arial" w:hAnsi="Arial" w:cs="Arial"/>
          <w:sz w:val="20"/>
          <w:szCs w:val="20"/>
        </w:rPr>
        <w:t>nas sākuma peldvietā izveidot gājēju celiņus,</w:t>
      </w:r>
      <w:r w:rsidRPr="00700FB4">
        <w:rPr>
          <w:rFonts w:ascii="Arial" w:hAnsi="Arial" w:cs="Arial"/>
          <w:sz w:val="20"/>
          <w:szCs w:val="20"/>
        </w:rPr>
        <w:t xml:space="preserve"> nodrošināt piebraucamo ceļu operatīvajiem transportlīdzekļiem un transportam, ko izma</w:t>
      </w:r>
      <w:r w:rsidR="00F03463" w:rsidRPr="00700FB4">
        <w:rPr>
          <w:rFonts w:ascii="Arial" w:hAnsi="Arial" w:cs="Arial"/>
          <w:sz w:val="20"/>
          <w:szCs w:val="20"/>
        </w:rPr>
        <w:t>nto peldvietas apsaimniekošanai,</w:t>
      </w:r>
      <w:r w:rsidRPr="00700FB4">
        <w:rPr>
          <w:rFonts w:ascii="Arial" w:hAnsi="Arial" w:cs="Arial"/>
          <w:sz w:val="20"/>
          <w:szCs w:val="20"/>
        </w:rPr>
        <w:t xml:space="preserve"> nodrošināt peldvietas un tās infrastruktūras objektu pieejamību personām ar funkcionāliem t</w:t>
      </w:r>
      <w:r w:rsidR="00F03463" w:rsidRPr="00700FB4">
        <w:rPr>
          <w:rFonts w:ascii="Arial" w:hAnsi="Arial" w:cs="Arial"/>
          <w:sz w:val="20"/>
          <w:szCs w:val="20"/>
        </w:rPr>
        <w:t xml:space="preserve">raucējumiem, </w:t>
      </w:r>
      <w:r w:rsidRPr="00700FB4">
        <w:rPr>
          <w:rFonts w:ascii="Arial" w:hAnsi="Arial" w:cs="Arial"/>
          <w:sz w:val="20"/>
          <w:szCs w:val="20"/>
        </w:rPr>
        <w:t>peldvietas ūdeni norobežot ar bojām, lentēm vai ci</w:t>
      </w:r>
      <w:r w:rsidR="00F03463" w:rsidRPr="00700FB4">
        <w:rPr>
          <w:rFonts w:ascii="Arial" w:hAnsi="Arial" w:cs="Arial"/>
          <w:sz w:val="20"/>
          <w:szCs w:val="20"/>
        </w:rPr>
        <w:t xml:space="preserve">tiem negrimstošiem materiāliem, </w:t>
      </w:r>
      <w:r w:rsidRPr="00700FB4">
        <w:rPr>
          <w:rFonts w:ascii="Arial" w:hAnsi="Arial" w:cs="Arial"/>
          <w:sz w:val="20"/>
          <w:szCs w:val="20"/>
        </w:rPr>
        <w:t xml:space="preserve">izveidot un norobežot peldēšanās sektoru bērniem līdz 10 gadu </w:t>
      </w:r>
      <w:r w:rsidR="00F03463" w:rsidRPr="00700FB4">
        <w:rPr>
          <w:rFonts w:ascii="Arial" w:hAnsi="Arial" w:cs="Arial"/>
          <w:sz w:val="20"/>
          <w:szCs w:val="20"/>
        </w:rPr>
        <w:t>vecumam, kur tas vien iespējams,</w:t>
      </w:r>
      <w:r w:rsidRPr="00700FB4">
        <w:rPr>
          <w:rFonts w:ascii="Arial" w:hAnsi="Arial" w:cs="Arial"/>
          <w:sz w:val="20"/>
          <w:szCs w:val="20"/>
        </w:rPr>
        <w:t xml:space="preserve"> nodrošināt ērtu pieeju ūdenim, drošu ūdensobjekta pamata reljefu un aizsardzību pret b</w:t>
      </w:r>
      <w:r w:rsidR="00F03463" w:rsidRPr="00700FB4">
        <w:rPr>
          <w:rFonts w:ascii="Arial" w:hAnsi="Arial" w:cs="Arial"/>
          <w:sz w:val="20"/>
          <w:szCs w:val="20"/>
        </w:rPr>
        <w:t>īstamiem ģeoloģiskiem procesiem,</w:t>
      </w:r>
      <w:r w:rsidRPr="00700FB4">
        <w:rPr>
          <w:rFonts w:ascii="Arial" w:hAnsi="Arial" w:cs="Arial"/>
          <w:sz w:val="20"/>
          <w:szCs w:val="20"/>
        </w:rPr>
        <w:t xml:space="preserve"> izvērtēt nepieciešamību nodrošināt glābšanas dienesta darbību, ņemot vērā peldvietas noslogojumu.</w:t>
      </w:r>
      <w:r w:rsidRPr="00700FB4">
        <w:rPr>
          <w:rStyle w:val="FootnoteReference"/>
          <w:rFonts w:ascii="Arial" w:hAnsi="Arial" w:cs="Arial"/>
          <w:sz w:val="20"/>
          <w:szCs w:val="20"/>
        </w:rPr>
        <w:footnoteReference w:id="124"/>
      </w:r>
      <w:r w:rsidRPr="00700FB4">
        <w:rPr>
          <w:rFonts w:ascii="Arial" w:hAnsi="Arial" w:cs="Arial"/>
          <w:sz w:val="20"/>
          <w:szCs w:val="20"/>
        </w:rPr>
        <w:t xml:space="preserve"> </w:t>
      </w:r>
      <w:r w:rsidRPr="00700FB4">
        <w:rPr>
          <w:rFonts w:ascii="Arial" w:hAnsi="Arial" w:cs="Arial"/>
          <w:b/>
          <w:sz w:val="20"/>
          <w:szCs w:val="20"/>
        </w:rPr>
        <w:t>Treškārt</w:t>
      </w:r>
      <w:r w:rsidRPr="00700FB4">
        <w:rPr>
          <w:rFonts w:ascii="Arial" w:hAnsi="Arial" w:cs="Arial"/>
          <w:sz w:val="20"/>
          <w:szCs w:val="20"/>
        </w:rPr>
        <w:t>, vietējai pašvaldībai ir pienāk</w:t>
      </w:r>
      <w:r w:rsidR="00F03463" w:rsidRPr="00700FB4">
        <w:rPr>
          <w:rFonts w:ascii="Arial" w:hAnsi="Arial" w:cs="Arial"/>
          <w:sz w:val="20"/>
          <w:szCs w:val="20"/>
        </w:rPr>
        <w:t>ums peldsezonas laikā peldvietā</w:t>
      </w:r>
      <w:r w:rsidRPr="00700FB4">
        <w:rPr>
          <w:rFonts w:ascii="Arial" w:hAnsi="Arial" w:cs="Arial"/>
          <w:sz w:val="20"/>
          <w:szCs w:val="20"/>
        </w:rPr>
        <w:t xml:space="preserve"> ierīkot tualetes, paredzot kanalizācijas sistēmu ar notekūdeņu novadīšanu kanalizācijas tīklā vai vietējās attīrīšanās iekārtās, vai arī </w:t>
      </w:r>
      <w:r w:rsidR="00F03463" w:rsidRPr="00700FB4">
        <w:rPr>
          <w:rFonts w:ascii="Arial" w:hAnsi="Arial" w:cs="Arial"/>
          <w:sz w:val="20"/>
          <w:szCs w:val="20"/>
        </w:rPr>
        <w:t>izvietot pārvietojamās tualetes, ierīkot ģērbtuves,</w:t>
      </w:r>
      <w:r w:rsidRPr="00700FB4">
        <w:rPr>
          <w:rFonts w:ascii="Arial" w:hAnsi="Arial" w:cs="Arial"/>
          <w:sz w:val="20"/>
          <w:szCs w:val="20"/>
        </w:rPr>
        <w:t xml:space="preserve"> novietot atkritumu konteinerus; nodrošināt peldvietas sauszemes daļas smilšu virskārtas irdināšanu un sijāšanu, kur tas </w:t>
      </w:r>
      <w:r w:rsidR="00F03463" w:rsidRPr="00700FB4">
        <w:rPr>
          <w:rFonts w:ascii="Arial" w:hAnsi="Arial" w:cs="Arial"/>
          <w:sz w:val="20"/>
          <w:szCs w:val="20"/>
        </w:rPr>
        <w:t xml:space="preserve">iespējams, </w:t>
      </w:r>
      <w:r w:rsidRPr="00700FB4">
        <w:rPr>
          <w:rFonts w:ascii="Arial" w:hAnsi="Arial" w:cs="Arial"/>
          <w:sz w:val="20"/>
          <w:szCs w:val="20"/>
        </w:rPr>
        <w:t>nodrošināt regulāru un savlaicīgu atkritumu savākšanu un izvešanu</w:t>
      </w:r>
      <w:r w:rsidR="00F03463" w:rsidRPr="00700FB4">
        <w:rPr>
          <w:rFonts w:ascii="Arial" w:hAnsi="Arial" w:cs="Arial"/>
          <w:sz w:val="20"/>
          <w:szCs w:val="20"/>
        </w:rPr>
        <w:t>,</w:t>
      </w:r>
      <w:r w:rsidRPr="00700FB4">
        <w:rPr>
          <w:rFonts w:ascii="Arial" w:hAnsi="Arial" w:cs="Arial"/>
          <w:sz w:val="20"/>
          <w:szCs w:val="20"/>
        </w:rPr>
        <w:t xml:space="preserve"> nodrošināt, lai peldvietā netiktu veiktas darbības, kas varētu piesārņot peldvietu, piemēram, lai peldvietā neuzturētos un netiktu vesti pastaigā vai peldināti dzīvnieki.</w:t>
      </w:r>
      <w:r w:rsidRPr="00700FB4">
        <w:rPr>
          <w:rStyle w:val="FootnoteReference"/>
          <w:rFonts w:ascii="Arial" w:hAnsi="Arial" w:cs="Arial"/>
          <w:sz w:val="20"/>
          <w:szCs w:val="20"/>
        </w:rPr>
        <w:footnoteReference w:id="125"/>
      </w:r>
    </w:p>
    <w:p w:rsidR="00207E1C" w:rsidRPr="00700FB4" w:rsidRDefault="00207E1C" w:rsidP="00207E1C">
      <w:pPr>
        <w:pStyle w:val="NoSpacing"/>
        <w:tabs>
          <w:tab w:val="left" w:pos="426"/>
        </w:tabs>
        <w:jc w:val="both"/>
        <w:rPr>
          <w:rFonts w:ascii="Arial" w:hAnsi="Arial" w:cs="Arial"/>
          <w:sz w:val="20"/>
          <w:szCs w:val="20"/>
        </w:rPr>
      </w:pPr>
    </w:p>
    <w:p w:rsidR="00207E1C" w:rsidRPr="00700FB4" w:rsidRDefault="00207E1C" w:rsidP="00207E1C">
      <w:pPr>
        <w:pStyle w:val="NoSpacing"/>
        <w:tabs>
          <w:tab w:val="left" w:pos="426"/>
          <w:tab w:val="left" w:pos="567"/>
        </w:tabs>
        <w:jc w:val="both"/>
        <w:rPr>
          <w:rFonts w:ascii="Arial" w:hAnsi="Arial" w:cs="Arial"/>
          <w:sz w:val="20"/>
          <w:szCs w:val="20"/>
        </w:rPr>
      </w:pPr>
      <w:r w:rsidRPr="00700FB4">
        <w:rPr>
          <w:rFonts w:ascii="Arial" w:hAnsi="Arial" w:cs="Arial"/>
          <w:sz w:val="20"/>
          <w:szCs w:val="20"/>
        </w:rPr>
        <w:t>Vietējām pašvaldībām, kuru jūras piekrastes teritorijā atrodas kultūras pieminekļi, atbilstoši Ministru kabineta 2003.gada 26.augusta noteikumiem Nr. 474</w:t>
      </w:r>
      <w:r w:rsidRPr="00700FB4">
        <w:rPr>
          <w:rFonts w:ascii="Arial" w:hAnsi="Arial" w:cs="Arial"/>
          <w:b/>
          <w:sz w:val="20"/>
          <w:szCs w:val="20"/>
        </w:rPr>
        <w:t xml:space="preserve"> “Noteikumi par kultūras pieminekļu uzskaiti, aizsardzību, izmantošanu, restaurāciju un vidi degradējoša objekta statusa piešķiršanu” </w:t>
      </w:r>
      <w:r w:rsidRPr="00700FB4">
        <w:rPr>
          <w:rFonts w:ascii="Arial" w:hAnsi="Arial" w:cs="Arial"/>
          <w:sz w:val="20"/>
          <w:szCs w:val="20"/>
        </w:rPr>
        <w:t>ir pienākums gādāt, lai ap kultūras pieminekli netiktu izvietotas eksplozīvas, ugunsnedrošas, ķīmiski aktīvas un atmosfēru piesārņojošas vielas, kas var apdraudēt kultūras pieminekli, kā arī iekārtas, kas izraisa vibrāciju, un vidi degradējošas materiālu krautuves un izgāztuves. Tāpat pašvaldībām ir pienākums kultūras pieminekļa teritorijā un tā aizsardzības zonā nodrošināt ugunsdrošību, optimālu hidroģeoloģisko situāciju, gaisa un ūdenskrātuvju tīrību, kā arī nodrošināt, lai netiktu veikta saimnieciskā darbība, kas apdraud kultūras pieminekļus.</w:t>
      </w:r>
      <w:r w:rsidRPr="00700FB4">
        <w:rPr>
          <w:rStyle w:val="FootnoteReference"/>
          <w:rFonts w:ascii="Arial" w:hAnsi="Arial" w:cs="Arial"/>
          <w:sz w:val="20"/>
          <w:szCs w:val="20"/>
        </w:rPr>
        <w:footnoteReference w:id="126"/>
      </w:r>
    </w:p>
    <w:p w:rsidR="00207E1C" w:rsidRPr="00700FB4" w:rsidRDefault="00207E1C" w:rsidP="00207E1C">
      <w:pPr>
        <w:pStyle w:val="NoSpacing"/>
        <w:jc w:val="both"/>
        <w:rPr>
          <w:rFonts w:ascii="Arial" w:hAnsi="Arial" w:cs="Arial"/>
          <w:sz w:val="20"/>
          <w:szCs w:val="20"/>
        </w:rPr>
      </w:pPr>
    </w:p>
    <w:p w:rsidR="00207E1C" w:rsidRPr="00700FB4" w:rsidRDefault="0054294A" w:rsidP="00207E1C">
      <w:pPr>
        <w:pStyle w:val="NoSpacing"/>
        <w:jc w:val="both"/>
        <w:rPr>
          <w:rFonts w:ascii="Arial" w:hAnsi="Arial" w:cs="Arial"/>
          <w:sz w:val="20"/>
          <w:szCs w:val="20"/>
        </w:rPr>
      </w:pPr>
      <w:r w:rsidRPr="00700FB4">
        <w:rPr>
          <w:rFonts w:ascii="Arial" w:hAnsi="Arial" w:cs="Arial"/>
          <w:sz w:val="20"/>
          <w:szCs w:val="20"/>
        </w:rPr>
        <w:t>Vides aizsardzības un reģionālās attīstības ministrija uzklausa v</w:t>
      </w:r>
      <w:r w:rsidR="00207E1C" w:rsidRPr="00700FB4">
        <w:rPr>
          <w:rFonts w:ascii="Arial" w:hAnsi="Arial" w:cs="Arial"/>
          <w:sz w:val="20"/>
          <w:szCs w:val="20"/>
        </w:rPr>
        <w:t xml:space="preserve">ietējās pašvaldības atbilstoši Ministru kabineta 2012.gada 18.septembra noteikumu Nr. 633 </w:t>
      </w:r>
      <w:r w:rsidR="00207E1C" w:rsidRPr="00700FB4">
        <w:rPr>
          <w:rFonts w:ascii="Arial" w:hAnsi="Arial" w:cs="Arial"/>
          <w:b/>
          <w:sz w:val="20"/>
          <w:szCs w:val="20"/>
        </w:rPr>
        <w:t>“Zemes dzīļu izmantošanas kārtība iekšzemes publiskajos ūdeņos un jūrā”</w:t>
      </w:r>
      <w:r w:rsidR="00207E1C" w:rsidRPr="00700FB4">
        <w:rPr>
          <w:rFonts w:ascii="Arial" w:hAnsi="Arial" w:cs="Arial"/>
          <w:sz w:val="20"/>
          <w:szCs w:val="20"/>
        </w:rPr>
        <w:t xml:space="preserve"> 9.punktam</w:t>
      </w:r>
      <w:r w:rsidRPr="00700FB4">
        <w:rPr>
          <w:rFonts w:ascii="Arial" w:hAnsi="Arial" w:cs="Arial"/>
          <w:sz w:val="20"/>
          <w:szCs w:val="20"/>
        </w:rPr>
        <w:t xml:space="preserve"> un</w:t>
      </w:r>
      <w:r w:rsidR="00207E1C" w:rsidRPr="00700FB4">
        <w:rPr>
          <w:rFonts w:ascii="Arial" w:hAnsi="Arial" w:cs="Arial"/>
          <w:sz w:val="20"/>
          <w:szCs w:val="20"/>
        </w:rPr>
        <w:t xml:space="preserve"> lemj par licences laukuma noteikšanu teritorijā, kura atrodas divus kilometrus platā joslā no krasta līnijas.</w:t>
      </w:r>
    </w:p>
    <w:p w:rsidR="00207E1C" w:rsidRPr="00700FB4" w:rsidRDefault="00207E1C" w:rsidP="00207E1C">
      <w:pPr>
        <w:pStyle w:val="NoSpacing"/>
        <w:jc w:val="both"/>
        <w:rPr>
          <w:rFonts w:ascii="Arial" w:hAnsi="Arial" w:cs="Arial"/>
          <w:sz w:val="20"/>
          <w:szCs w:val="20"/>
        </w:rPr>
      </w:pPr>
    </w:p>
    <w:p w:rsidR="00207E1C" w:rsidRPr="00700FB4" w:rsidRDefault="00F03463" w:rsidP="00207E1C">
      <w:pPr>
        <w:pStyle w:val="NoSpacing"/>
        <w:ind w:left="-11"/>
        <w:jc w:val="both"/>
        <w:rPr>
          <w:rFonts w:ascii="Arial" w:hAnsi="Arial" w:cs="Arial"/>
          <w:sz w:val="20"/>
          <w:szCs w:val="20"/>
        </w:rPr>
      </w:pPr>
      <w:r w:rsidRPr="00700FB4">
        <w:rPr>
          <w:rFonts w:ascii="Arial" w:hAnsi="Arial" w:cs="Arial"/>
          <w:sz w:val="20"/>
          <w:szCs w:val="20"/>
        </w:rPr>
        <w:t>Ekonomikas ministrija informē v</w:t>
      </w:r>
      <w:r w:rsidR="00207E1C" w:rsidRPr="00700FB4">
        <w:rPr>
          <w:rFonts w:ascii="Arial" w:hAnsi="Arial" w:cs="Arial"/>
          <w:sz w:val="20"/>
          <w:szCs w:val="20"/>
        </w:rPr>
        <w:t xml:space="preserve">ietējās pašvaldības atbilstoši Ministru kabineta 2015.gada 22.decembra noteikumu Nr. 805 </w:t>
      </w:r>
      <w:r w:rsidR="00207E1C" w:rsidRPr="00700FB4">
        <w:rPr>
          <w:rFonts w:ascii="Arial" w:hAnsi="Arial" w:cs="Arial"/>
          <w:b/>
          <w:sz w:val="20"/>
          <w:szCs w:val="20"/>
        </w:rPr>
        <w:t xml:space="preserve">“Noteikumi par ogļūdeņražu meklēšanu, izpēti un ieguvi” </w:t>
      </w:r>
      <w:r w:rsidR="00207E1C" w:rsidRPr="00700FB4">
        <w:rPr>
          <w:rFonts w:ascii="Arial" w:hAnsi="Arial" w:cs="Arial"/>
          <w:sz w:val="20"/>
          <w:szCs w:val="20"/>
        </w:rPr>
        <w:t>14.punktam, lemjot par licences laukuma noteikšanu vai palielināšanu jūras teritorijā, kura atrodas divus kilometrus platā joslā no krasta līnijas.</w:t>
      </w:r>
    </w:p>
    <w:p w:rsidR="00207E1C" w:rsidRPr="00700FB4" w:rsidRDefault="00207E1C" w:rsidP="00207E1C">
      <w:pPr>
        <w:pStyle w:val="NoSpacing"/>
        <w:ind w:left="-11"/>
        <w:jc w:val="both"/>
        <w:rPr>
          <w:rFonts w:ascii="Arial" w:hAnsi="Arial" w:cs="Arial"/>
          <w:sz w:val="20"/>
          <w:szCs w:val="20"/>
        </w:rPr>
      </w:pPr>
    </w:p>
    <w:p w:rsidR="00207E1C" w:rsidRPr="00700FB4" w:rsidRDefault="00207E1C" w:rsidP="00207E1C">
      <w:pPr>
        <w:pStyle w:val="NoSpacing"/>
        <w:jc w:val="both"/>
        <w:rPr>
          <w:rFonts w:ascii="Arial" w:hAnsi="Arial" w:cs="Arial"/>
          <w:sz w:val="20"/>
          <w:szCs w:val="20"/>
        </w:rPr>
      </w:pPr>
      <w:r w:rsidRPr="00700FB4">
        <w:rPr>
          <w:rFonts w:ascii="Arial" w:hAnsi="Arial" w:cs="Arial"/>
          <w:sz w:val="20"/>
          <w:szCs w:val="20"/>
        </w:rPr>
        <w:t>Vietējās pašvaldības atbilstoši Ministru kabineta 2013.gada 30.aprīļa noteikumu Nr.240 “</w:t>
      </w:r>
      <w:r w:rsidRPr="00700FB4">
        <w:rPr>
          <w:rFonts w:ascii="Arial" w:hAnsi="Arial" w:cs="Arial"/>
          <w:b/>
          <w:sz w:val="20"/>
          <w:szCs w:val="20"/>
        </w:rPr>
        <w:t xml:space="preserve">Vispārīgie teritorijas plānošanas, izmantošanas un apbūves noteikumi” </w:t>
      </w:r>
      <w:r w:rsidRPr="00700FB4">
        <w:rPr>
          <w:rFonts w:ascii="Arial" w:hAnsi="Arial" w:cs="Arial"/>
          <w:sz w:val="20"/>
          <w:szCs w:val="20"/>
        </w:rPr>
        <w:t>146.pantam ir kompetentas piesārņojumu radošu objektu tuvumā paredzēt pasākumus trokšņa mazināšanai, piesārņojuma un citu negatīvu faktoru novēršanai. Tāpat atbilstoši minēto noteikumu 217.punktam vietējās pašvaldības ir tiesīgas plūdu riska teritorijās noteikt īpašas prasības būvniecībai un vides infrastruktūrai, piemēram, notekūdeņu savākšanas un attīrīšanas sistēmām.</w:t>
      </w:r>
      <w:bookmarkStart w:id="45" w:name="p-469331"/>
      <w:bookmarkStart w:id="46" w:name="p217"/>
      <w:bookmarkStart w:id="47" w:name="p-246990"/>
      <w:bookmarkStart w:id="48" w:name="p42"/>
      <w:bookmarkStart w:id="49" w:name="p-246991"/>
      <w:bookmarkStart w:id="50" w:name="p43"/>
      <w:bookmarkEnd w:id="45"/>
      <w:bookmarkEnd w:id="46"/>
      <w:bookmarkEnd w:id="47"/>
      <w:bookmarkEnd w:id="48"/>
      <w:bookmarkEnd w:id="49"/>
      <w:bookmarkEnd w:id="50"/>
    </w:p>
    <w:p w:rsidR="00F03463" w:rsidRPr="00700FB4" w:rsidRDefault="00F03463" w:rsidP="005E7708">
      <w:pPr>
        <w:spacing w:after="0" w:line="240" w:lineRule="auto"/>
        <w:jc w:val="both"/>
        <w:rPr>
          <w:rFonts w:ascii="Arial" w:hAnsi="Arial" w:cs="Arial"/>
          <w:sz w:val="20"/>
          <w:szCs w:val="20"/>
        </w:rPr>
      </w:pPr>
    </w:p>
    <w:p w:rsidR="005E7708" w:rsidRPr="00700FB4" w:rsidRDefault="005E7708" w:rsidP="000F5003">
      <w:pPr>
        <w:spacing w:after="0" w:line="240" w:lineRule="auto"/>
        <w:jc w:val="both"/>
        <w:rPr>
          <w:rFonts w:ascii="Arial" w:hAnsi="Arial" w:cs="Arial"/>
          <w:sz w:val="20"/>
          <w:szCs w:val="20"/>
        </w:rPr>
      </w:pPr>
      <w:r w:rsidRPr="00700FB4">
        <w:rPr>
          <w:rFonts w:ascii="Arial" w:hAnsi="Arial" w:cs="Arial"/>
          <w:sz w:val="20"/>
          <w:szCs w:val="20"/>
        </w:rPr>
        <w:t xml:space="preserve">Vietējās pašvaldības atbilstoši Ministru kabineta 2014.gada 16.septembra noteikumiem Nr. 551 </w:t>
      </w:r>
      <w:r w:rsidRPr="00700FB4">
        <w:rPr>
          <w:rFonts w:ascii="Arial" w:hAnsi="Arial" w:cs="Arial"/>
          <w:b/>
          <w:sz w:val="20"/>
          <w:szCs w:val="20"/>
        </w:rPr>
        <w:t>“Ostu hidrotehnisko, siltumenerģijas, gāzes un citu, atsevišķi neklasificētu, inženierbūvju būvnoteikumi”</w:t>
      </w:r>
      <w:r w:rsidRPr="00700FB4">
        <w:rPr>
          <w:rFonts w:ascii="Arial" w:hAnsi="Arial" w:cs="Arial"/>
          <w:sz w:val="20"/>
          <w:szCs w:val="20"/>
        </w:rPr>
        <w:t xml:space="preserve"> īsteno būvniecības tiesiskuma kontroli attiecībā uz ostu hidrotehnisko inženierbūvju būvniecību (jahtu ostas, piestātnes utt.). </w:t>
      </w:r>
    </w:p>
    <w:p w:rsidR="000F5003" w:rsidRPr="00700FB4" w:rsidRDefault="000F5003" w:rsidP="000F5003">
      <w:pPr>
        <w:spacing w:after="0" w:line="240" w:lineRule="auto"/>
        <w:jc w:val="both"/>
        <w:rPr>
          <w:rFonts w:ascii="Arial" w:hAnsi="Arial" w:cs="Arial"/>
          <w:sz w:val="20"/>
          <w:szCs w:val="20"/>
        </w:rPr>
      </w:pPr>
    </w:p>
    <w:p w:rsidR="005E7708" w:rsidRPr="00700FB4" w:rsidRDefault="0031154A" w:rsidP="00665269">
      <w:pPr>
        <w:pStyle w:val="Heading2"/>
      </w:pPr>
      <w:bookmarkStart w:id="51" w:name="_Toc460402355"/>
      <w:r w:rsidRPr="00700FB4">
        <w:lastRenderedPageBreak/>
        <w:t>[6.</w:t>
      </w:r>
      <w:r w:rsidR="00F03463" w:rsidRPr="00700FB4">
        <w:t>4]</w:t>
      </w:r>
      <w:r w:rsidR="005E7708" w:rsidRPr="00700FB4">
        <w:t xml:space="preserve"> </w:t>
      </w:r>
      <w:r w:rsidR="00F03463" w:rsidRPr="00700FB4">
        <w:t>Atsevišķu p</w:t>
      </w:r>
      <w:r w:rsidR="005E7708" w:rsidRPr="00700FB4">
        <w:t>ašvaldību saistošie noteikumi</w:t>
      </w:r>
      <w:bookmarkEnd w:id="51"/>
    </w:p>
    <w:p w:rsidR="005E7708" w:rsidRPr="00700FB4" w:rsidRDefault="005E7708" w:rsidP="005E7708">
      <w:pPr>
        <w:spacing w:after="0" w:line="240" w:lineRule="auto"/>
        <w:jc w:val="both"/>
        <w:rPr>
          <w:rFonts w:ascii="Arial" w:hAnsi="Arial" w:cs="Arial"/>
          <w:sz w:val="20"/>
          <w:szCs w:val="20"/>
        </w:rPr>
      </w:pPr>
      <w:r w:rsidRPr="00700FB4">
        <w:rPr>
          <w:rFonts w:ascii="Arial" w:hAnsi="Arial" w:cs="Arial"/>
          <w:b/>
          <w:sz w:val="20"/>
          <w:szCs w:val="20"/>
        </w:rPr>
        <w:t>Liepājas</w:t>
      </w:r>
      <w:r w:rsidRPr="00700FB4">
        <w:rPr>
          <w:rFonts w:ascii="Arial" w:hAnsi="Arial" w:cs="Arial"/>
          <w:sz w:val="20"/>
          <w:szCs w:val="20"/>
        </w:rPr>
        <w:t xml:space="preserve"> pilsētas pašvaldība atbilstoši Liepājas pilsētas domes 2012.gada 10.mai</w:t>
      </w:r>
      <w:r w:rsidR="0054294A" w:rsidRPr="00700FB4">
        <w:rPr>
          <w:rFonts w:ascii="Arial" w:hAnsi="Arial" w:cs="Arial"/>
          <w:sz w:val="20"/>
          <w:szCs w:val="20"/>
        </w:rPr>
        <w:t>ja saistošajiem noteikumiem Nr. </w:t>
      </w:r>
      <w:r w:rsidRPr="00700FB4">
        <w:rPr>
          <w:rFonts w:ascii="Arial" w:hAnsi="Arial" w:cs="Arial"/>
          <w:sz w:val="20"/>
          <w:szCs w:val="20"/>
        </w:rPr>
        <w:t xml:space="preserve">12 </w:t>
      </w:r>
      <w:r w:rsidRPr="00700FB4">
        <w:rPr>
          <w:rFonts w:ascii="Arial" w:hAnsi="Arial" w:cs="Arial"/>
          <w:b/>
          <w:sz w:val="20"/>
          <w:szCs w:val="20"/>
        </w:rPr>
        <w:t xml:space="preserve">“Liepājas pilsētas pludmales un peldvietu lietošanas noteikumi” </w:t>
      </w:r>
      <w:r w:rsidR="00F03463" w:rsidRPr="00700FB4">
        <w:rPr>
          <w:rFonts w:ascii="Arial" w:hAnsi="Arial" w:cs="Arial"/>
          <w:sz w:val="20"/>
          <w:szCs w:val="20"/>
        </w:rPr>
        <w:t>cita</w:t>
      </w:r>
      <w:r w:rsidRPr="00700FB4">
        <w:rPr>
          <w:rFonts w:ascii="Arial" w:hAnsi="Arial" w:cs="Arial"/>
          <w:sz w:val="20"/>
          <w:szCs w:val="20"/>
        </w:rPr>
        <w:t>starp ir noteikusi: pludmales zonējumu – mierīgās atpūtas zonu un aktīvās atpūtas zonu – attiecīgi paredzot tajā aizliegtās darbības; vispārīgos aizliegumus pludmalē, peldvietās un kāpu zonā (veikt rakšanas darbus; ķert savvaļas dzīvniekus utt.); institūciju, kura uzrauga drošību uz ūdens un krastā peldsezonas laikā; atļauto peldēšanas attālumu.</w:t>
      </w:r>
    </w:p>
    <w:p w:rsidR="005E7708" w:rsidRPr="00700FB4" w:rsidRDefault="005E7708" w:rsidP="005E7708">
      <w:pPr>
        <w:spacing w:after="0" w:line="240" w:lineRule="auto"/>
        <w:rPr>
          <w:rFonts w:ascii="Arial" w:hAnsi="Arial" w:cs="Arial"/>
          <w:sz w:val="20"/>
          <w:szCs w:val="20"/>
        </w:rPr>
      </w:pPr>
    </w:p>
    <w:p w:rsidR="005E7708" w:rsidRPr="00700FB4" w:rsidRDefault="005E7708" w:rsidP="005E7708">
      <w:pPr>
        <w:spacing w:after="0" w:line="240" w:lineRule="auto"/>
        <w:jc w:val="both"/>
        <w:rPr>
          <w:rFonts w:ascii="Arial" w:hAnsi="Arial" w:cs="Arial"/>
          <w:sz w:val="20"/>
          <w:szCs w:val="20"/>
        </w:rPr>
      </w:pPr>
      <w:r w:rsidRPr="00700FB4">
        <w:rPr>
          <w:rFonts w:ascii="Arial" w:hAnsi="Arial" w:cs="Arial"/>
          <w:b/>
          <w:sz w:val="20"/>
          <w:szCs w:val="20"/>
        </w:rPr>
        <w:t>Jūrmalas</w:t>
      </w:r>
      <w:r w:rsidRPr="00700FB4">
        <w:rPr>
          <w:rFonts w:ascii="Arial" w:hAnsi="Arial" w:cs="Arial"/>
          <w:sz w:val="20"/>
          <w:szCs w:val="20"/>
        </w:rPr>
        <w:t xml:space="preserve"> pilsētas pašvaldība atbilstoši Jūrmalas pilsētas domes 2014.gada 12.jūnija saistošajiem noteikumiem Nr.15 </w:t>
      </w:r>
      <w:r w:rsidRPr="00700FB4">
        <w:rPr>
          <w:rFonts w:ascii="Arial" w:hAnsi="Arial" w:cs="Arial"/>
          <w:b/>
          <w:sz w:val="20"/>
          <w:szCs w:val="20"/>
        </w:rPr>
        <w:t>“Par Jūrmalas pilsētas pludmales un peldvietu izmantošanu”</w:t>
      </w:r>
      <w:r w:rsidR="00D03CAC" w:rsidRPr="00700FB4">
        <w:rPr>
          <w:rFonts w:ascii="Arial" w:hAnsi="Arial" w:cs="Arial"/>
          <w:sz w:val="20"/>
          <w:szCs w:val="20"/>
        </w:rPr>
        <w:t xml:space="preserve"> citastarp</w:t>
      </w:r>
      <w:r w:rsidRPr="00700FB4">
        <w:rPr>
          <w:rFonts w:ascii="Arial" w:hAnsi="Arial" w:cs="Arial"/>
          <w:sz w:val="20"/>
          <w:szCs w:val="20"/>
        </w:rPr>
        <w:t xml:space="preserve"> ir noteikus</w:t>
      </w:r>
      <w:r w:rsidR="00D03CAC" w:rsidRPr="00700FB4">
        <w:rPr>
          <w:rFonts w:ascii="Arial" w:hAnsi="Arial" w:cs="Arial"/>
          <w:sz w:val="20"/>
          <w:szCs w:val="20"/>
        </w:rPr>
        <w:t>i</w:t>
      </w:r>
      <w:r w:rsidRPr="00700FB4">
        <w:rPr>
          <w:rFonts w:ascii="Arial" w:hAnsi="Arial" w:cs="Arial"/>
          <w:sz w:val="20"/>
          <w:szCs w:val="20"/>
        </w:rPr>
        <w:t xml:space="preserve"> nobrauktuves, kuras var tikt izmantotas, lai ar transportlīdzekli pievestu peldvietai nepieciešamo aprīkojumu, izceltu ūdens mo</w:t>
      </w:r>
      <w:r w:rsidR="00D03CAC" w:rsidRPr="00700FB4">
        <w:rPr>
          <w:rFonts w:ascii="Arial" w:hAnsi="Arial" w:cs="Arial"/>
          <w:sz w:val="20"/>
          <w:szCs w:val="20"/>
        </w:rPr>
        <w:t>tociklus un citus peldlīdzekļus,</w:t>
      </w:r>
      <w:r w:rsidRPr="00700FB4">
        <w:rPr>
          <w:rFonts w:ascii="Arial" w:hAnsi="Arial" w:cs="Arial"/>
          <w:sz w:val="20"/>
          <w:szCs w:val="20"/>
        </w:rPr>
        <w:t xml:space="preserve"> nobrauktuves, kuras var izmantot operatīvie transportlīdzekļi un transportlīdze</w:t>
      </w:r>
      <w:r w:rsidR="00D03CAC" w:rsidRPr="00700FB4">
        <w:rPr>
          <w:rFonts w:ascii="Arial" w:hAnsi="Arial" w:cs="Arial"/>
          <w:sz w:val="20"/>
          <w:szCs w:val="20"/>
        </w:rPr>
        <w:t xml:space="preserve">kļi pludmales apsaimniekošanai, kā arī </w:t>
      </w:r>
      <w:r w:rsidRPr="00700FB4">
        <w:rPr>
          <w:rFonts w:ascii="Arial" w:hAnsi="Arial" w:cs="Arial"/>
          <w:sz w:val="20"/>
          <w:szCs w:val="20"/>
        </w:rPr>
        <w:t>pludmales zonējumu – mierīgās atpūtas zona un aktīvās atpūtas zona – attiecīgi par</w:t>
      </w:r>
      <w:r w:rsidR="00D03CAC" w:rsidRPr="00700FB4">
        <w:rPr>
          <w:rFonts w:ascii="Arial" w:hAnsi="Arial" w:cs="Arial"/>
          <w:sz w:val="20"/>
          <w:szCs w:val="20"/>
        </w:rPr>
        <w:t>edzot tajās aizliegtās darbības,</w:t>
      </w:r>
      <w:r w:rsidRPr="00700FB4">
        <w:rPr>
          <w:rFonts w:ascii="Arial" w:hAnsi="Arial" w:cs="Arial"/>
          <w:sz w:val="20"/>
          <w:szCs w:val="20"/>
        </w:rPr>
        <w:t xml:space="preserve"> sezonas objektu izvie</w:t>
      </w:r>
      <w:r w:rsidR="00D03CAC" w:rsidRPr="00700FB4">
        <w:rPr>
          <w:rFonts w:ascii="Arial" w:hAnsi="Arial" w:cs="Arial"/>
          <w:sz w:val="20"/>
          <w:szCs w:val="20"/>
        </w:rPr>
        <w:t>tošanas un saskaņošanas kārtību,</w:t>
      </w:r>
      <w:r w:rsidRPr="00700FB4">
        <w:rPr>
          <w:rFonts w:ascii="Arial" w:hAnsi="Arial" w:cs="Arial"/>
          <w:sz w:val="20"/>
          <w:szCs w:val="20"/>
        </w:rPr>
        <w:t xml:space="preserve"> atļauto peldēšanas attālumu.</w:t>
      </w:r>
    </w:p>
    <w:p w:rsidR="005855B9" w:rsidRPr="00700FB4" w:rsidRDefault="005855B9" w:rsidP="005E7708">
      <w:pPr>
        <w:spacing w:after="0" w:line="240" w:lineRule="auto"/>
        <w:jc w:val="both"/>
        <w:rPr>
          <w:rFonts w:ascii="Arial" w:hAnsi="Arial" w:cs="Arial"/>
          <w:sz w:val="20"/>
          <w:szCs w:val="20"/>
        </w:rPr>
      </w:pPr>
    </w:p>
    <w:p w:rsidR="005E7708" w:rsidRPr="00700FB4" w:rsidRDefault="005E7708" w:rsidP="005E7708">
      <w:pPr>
        <w:spacing w:after="0" w:line="240" w:lineRule="auto"/>
        <w:jc w:val="both"/>
        <w:rPr>
          <w:rFonts w:ascii="Arial" w:hAnsi="Arial" w:cs="Arial"/>
          <w:sz w:val="20"/>
          <w:szCs w:val="20"/>
        </w:rPr>
      </w:pPr>
      <w:r w:rsidRPr="00700FB4">
        <w:rPr>
          <w:rFonts w:ascii="Arial" w:hAnsi="Arial" w:cs="Arial"/>
          <w:b/>
          <w:sz w:val="20"/>
          <w:szCs w:val="20"/>
        </w:rPr>
        <w:t>Ventspils</w:t>
      </w:r>
      <w:r w:rsidRPr="00700FB4">
        <w:rPr>
          <w:rFonts w:ascii="Arial" w:hAnsi="Arial" w:cs="Arial"/>
          <w:sz w:val="20"/>
          <w:szCs w:val="20"/>
        </w:rPr>
        <w:t xml:space="preserve"> pilsētas pašvaldība atbilstoši Ventspils pilsētas domes 2004.gada 23.augusta saistošajiem noteikumiem Nr.2 </w:t>
      </w:r>
      <w:r w:rsidRPr="00700FB4">
        <w:rPr>
          <w:rFonts w:ascii="Arial" w:hAnsi="Arial" w:cs="Arial"/>
          <w:b/>
          <w:sz w:val="20"/>
          <w:szCs w:val="20"/>
        </w:rPr>
        <w:t>“Pludmales lietošanas un apsaimniekošanas noteikumi”</w:t>
      </w:r>
      <w:r w:rsidR="00D03CAC" w:rsidRPr="00700FB4">
        <w:rPr>
          <w:rFonts w:ascii="Arial" w:hAnsi="Arial" w:cs="Arial"/>
          <w:sz w:val="20"/>
          <w:szCs w:val="20"/>
        </w:rPr>
        <w:t xml:space="preserve"> citastarp ir noteikusi</w:t>
      </w:r>
      <w:r w:rsidRPr="00700FB4">
        <w:rPr>
          <w:rFonts w:ascii="Arial" w:hAnsi="Arial" w:cs="Arial"/>
          <w:sz w:val="20"/>
          <w:szCs w:val="20"/>
        </w:rPr>
        <w:t xml:space="preserve"> vispārīgos pludmales un peldvietas aizliegumus (naktsmītņu ierīkošana, telšu celšana, braukšana ar mehāni</w:t>
      </w:r>
      <w:r w:rsidR="00D03CAC" w:rsidRPr="00700FB4">
        <w:rPr>
          <w:rFonts w:ascii="Arial" w:hAnsi="Arial" w:cs="Arial"/>
          <w:sz w:val="20"/>
          <w:szCs w:val="20"/>
        </w:rPr>
        <w:t>skiem transportlīdzekļiem utt.),</w:t>
      </w:r>
      <w:r w:rsidRPr="00700FB4">
        <w:rPr>
          <w:rFonts w:ascii="Arial" w:hAnsi="Arial" w:cs="Arial"/>
          <w:sz w:val="20"/>
          <w:szCs w:val="20"/>
        </w:rPr>
        <w:t xml:space="preserve"> institūciju, kura uzrauga drošību uz ūdens un k</w:t>
      </w:r>
      <w:r w:rsidR="00D03CAC" w:rsidRPr="00700FB4">
        <w:rPr>
          <w:rFonts w:ascii="Arial" w:hAnsi="Arial" w:cs="Arial"/>
          <w:sz w:val="20"/>
          <w:szCs w:val="20"/>
        </w:rPr>
        <w:t xml:space="preserve">rastā peldsezonas laikā, kā arī </w:t>
      </w:r>
      <w:r w:rsidRPr="00700FB4">
        <w:rPr>
          <w:rFonts w:ascii="Arial" w:hAnsi="Arial" w:cs="Arial"/>
          <w:sz w:val="20"/>
          <w:szCs w:val="20"/>
        </w:rPr>
        <w:t>atļauto peldēšanas attālumu.</w:t>
      </w:r>
    </w:p>
    <w:p w:rsidR="005E7708" w:rsidRPr="00700FB4" w:rsidRDefault="005E7708" w:rsidP="005E7708">
      <w:pPr>
        <w:spacing w:after="0" w:line="240" w:lineRule="auto"/>
        <w:jc w:val="both"/>
        <w:rPr>
          <w:rFonts w:ascii="Arial" w:hAnsi="Arial" w:cs="Arial"/>
          <w:sz w:val="20"/>
          <w:szCs w:val="20"/>
        </w:rPr>
      </w:pPr>
    </w:p>
    <w:p w:rsidR="005E7708" w:rsidRPr="00700FB4" w:rsidRDefault="005E7708" w:rsidP="005E7708">
      <w:pPr>
        <w:spacing w:after="0" w:line="240" w:lineRule="auto"/>
        <w:jc w:val="both"/>
        <w:rPr>
          <w:rFonts w:ascii="Arial" w:hAnsi="Arial" w:cs="Arial"/>
          <w:sz w:val="20"/>
          <w:szCs w:val="20"/>
        </w:rPr>
      </w:pPr>
    </w:p>
    <w:p w:rsidR="005E7708" w:rsidRPr="00700FB4" w:rsidRDefault="005E7708" w:rsidP="005E7708">
      <w:pPr>
        <w:spacing w:after="0" w:line="240" w:lineRule="auto"/>
        <w:jc w:val="both"/>
        <w:rPr>
          <w:rFonts w:ascii="Arial" w:hAnsi="Arial" w:cs="Arial"/>
          <w:sz w:val="20"/>
          <w:szCs w:val="20"/>
        </w:rPr>
      </w:pPr>
    </w:p>
    <w:p w:rsidR="005E7708" w:rsidRPr="00700FB4" w:rsidRDefault="005E7708" w:rsidP="005E7708">
      <w:pPr>
        <w:spacing w:after="0" w:line="240" w:lineRule="auto"/>
        <w:jc w:val="both"/>
        <w:rPr>
          <w:rFonts w:ascii="Arial" w:hAnsi="Arial" w:cs="Arial"/>
          <w:sz w:val="20"/>
          <w:szCs w:val="20"/>
        </w:rPr>
      </w:pPr>
    </w:p>
    <w:p w:rsidR="005E7708" w:rsidRPr="00700FB4" w:rsidRDefault="005E7708" w:rsidP="00207E1C">
      <w:pPr>
        <w:pStyle w:val="NoSpacing"/>
        <w:jc w:val="both"/>
        <w:rPr>
          <w:rFonts w:ascii="Arial" w:hAnsi="Arial" w:cs="Arial"/>
          <w:sz w:val="20"/>
          <w:szCs w:val="20"/>
        </w:rPr>
      </w:pPr>
    </w:p>
    <w:p w:rsidR="007F2786" w:rsidRPr="00700FB4" w:rsidRDefault="007F2786" w:rsidP="007F2786">
      <w:pPr>
        <w:pStyle w:val="NoSpacing"/>
        <w:rPr>
          <w:rFonts w:ascii="Arial" w:hAnsi="Arial" w:cs="Arial"/>
          <w:sz w:val="20"/>
          <w:szCs w:val="20"/>
        </w:rPr>
      </w:pPr>
      <w:r w:rsidRPr="00700FB4">
        <w:rPr>
          <w:rFonts w:ascii="Arial" w:hAnsi="Arial" w:cs="Arial"/>
          <w:sz w:val="20"/>
          <w:szCs w:val="20"/>
        </w:rPr>
        <w:br w:type="page"/>
      </w:r>
    </w:p>
    <w:p w:rsidR="00D3551D" w:rsidRPr="00700FB4" w:rsidRDefault="007F2786" w:rsidP="00665269">
      <w:pPr>
        <w:pStyle w:val="Heading1"/>
      </w:pPr>
      <w:bookmarkStart w:id="52" w:name="_Toc460402356"/>
      <w:r w:rsidRPr="00700FB4">
        <w:lastRenderedPageBreak/>
        <w:t xml:space="preserve">[7] </w:t>
      </w:r>
      <w:r w:rsidR="00AA2678" w:rsidRPr="00700FB4">
        <w:t>Nepieciešamie g</w:t>
      </w:r>
      <w:r w:rsidRPr="00700FB4">
        <w:t>rozījumi normatīvajos aktos</w:t>
      </w:r>
      <w:r w:rsidR="00AA2678" w:rsidRPr="00700FB4">
        <w:t xml:space="preserve"> – tiesību normu redakcijas</w:t>
      </w:r>
      <w:bookmarkEnd w:id="52"/>
      <w:r w:rsidR="00AA2678" w:rsidRPr="00700FB4">
        <w:t xml:space="preserve"> </w:t>
      </w:r>
    </w:p>
    <w:p w:rsidR="007F2786" w:rsidRPr="00700FB4" w:rsidRDefault="007F2786" w:rsidP="00E67B62">
      <w:pPr>
        <w:pStyle w:val="NoSpacing"/>
        <w:jc w:val="both"/>
        <w:rPr>
          <w:rFonts w:ascii="Arial" w:hAnsi="Arial" w:cs="Arial"/>
          <w:sz w:val="20"/>
          <w:szCs w:val="20"/>
        </w:rPr>
      </w:pPr>
    </w:p>
    <w:p w:rsidR="00083AF1" w:rsidRPr="00700FB4" w:rsidRDefault="00083AF1" w:rsidP="00083AF1">
      <w:pPr>
        <w:pStyle w:val="Heading2"/>
      </w:pPr>
      <w:bookmarkStart w:id="53" w:name="_Toc460402357"/>
      <w:r w:rsidRPr="00700FB4">
        <w:t xml:space="preserve">[7.1] </w:t>
      </w:r>
      <w:r w:rsidRPr="00700FB4">
        <w:rPr>
          <w:rFonts w:cs="Arial"/>
          <w:color w:val="000000" w:themeColor="text1"/>
          <w:szCs w:val="20"/>
        </w:rPr>
        <w:t>Vispārīgas piezīmes par grozījumu nepieciešamību</w:t>
      </w:r>
      <w:bookmarkEnd w:id="53"/>
    </w:p>
    <w:p w:rsidR="009A79F4" w:rsidRPr="00700FB4" w:rsidRDefault="009A79F4" w:rsidP="009A79F4">
      <w:pPr>
        <w:pStyle w:val="NoSpacing"/>
        <w:jc w:val="both"/>
        <w:rPr>
          <w:rFonts w:ascii="Arial" w:hAnsi="Arial" w:cs="Arial"/>
          <w:color w:val="000000" w:themeColor="text1"/>
          <w:sz w:val="20"/>
          <w:szCs w:val="20"/>
        </w:rPr>
      </w:pPr>
      <w:r w:rsidRPr="00700FB4">
        <w:rPr>
          <w:rFonts w:ascii="Arial" w:hAnsi="Arial" w:cs="Arial"/>
          <w:color w:val="000000" w:themeColor="text1"/>
          <w:sz w:val="20"/>
          <w:szCs w:val="20"/>
        </w:rPr>
        <w:t>Pēc Latvijas neatkarības atjaunošanas jūras vides aizsardzības tiesisko regulējumu nodrošināja starptautisko konvenciju nosacījumi, kā arī likums “Par Latvijas Republikas kontinentālo šelfu un ekskluzīvo ekonomisko zonu” un uz tā pamata izdotie Ministru kabineta noteikumi. Tomēr šis regulējums bija nepilnīgs, sadrumstalots un nespēja nodrošināt ilgtspējīgu vides aizsardzības un ilgtspējīgas izmantošanas juridisko ietvaru.</w:t>
      </w:r>
      <w:r w:rsidRPr="00700FB4">
        <w:rPr>
          <w:rStyle w:val="FootnoteReference"/>
          <w:rFonts w:ascii="Arial" w:hAnsi="Arial" w:cs="Arial"/>
          <w:color w:val="000000" w:themeColor="text1"/>
          <w:sz w:val="20"/>
          <w:szCs w:val="20"/>
        </w:rPr>
        <w:footnoteReference w:id="127"/>
      </w:r>
      <w:r w:rsidRPr="00700FB4">
        <w:rPr>
          <w:rFonts w:ascii="Arial" w:hAnsi="Arial" w:cs="Arial"/>
          <w:color w:val="000000" w:themeColor="text1"/>
          <w:sz w:val="20"/>
          <w:szCs w:val="20"/>
        </w:rPr>
        <w:t xml:space="preserve"> Lai pielāgotos </w:t>
      </w:r>
      <w:r w:rsidR="002A5985" w:rsidRPr="00700FB4">
        <w:rPr>
          <w:rFonts w:ascii="Arial" w:hAnsi="Arial" w:cs="Arial"/>
          <w:color w:val="000000" w:themeColor="text1"/>
          <w:sz w:val="20"/>
          <w:szCs w:val="20"/>
        </w:rPr>
        <w:t>ES</w:t>
      </w:r>
      <w:r w:rsidRPr="00700FB4">
        <w:rPr>
          <w:rFonts w:ascii="Arial" w:hAnsi="Arial" w:cs="Arial"/>
          <w:color w:val="000000" w:themeColor="text1"/>
          <w:sz w:val="20"/>
          <w:szCs w:val="20"/>
        </w:rPr>
        <w:t xml:space="preserve"> regulējumam jūras vides politikas jomā, nodrošinātu jūras teritorijas aizsardzību un veicinātu ilgtspējīgu tās apsaimniekošanu, tika pieņemts Jūras vides aizsardzības un pārvaldības likums. </w:t>
      </w:r>
    </w:p>
    <w:p w:rsidR="009A79F4" w:rsidRPr="00700FB4" w:rsidRDefault="009A79F4" w:rsidP="009A79F4">
      <w:pPr>
        <w:pStyle w:val="NoSpacing"/>
        <w:jc w:val="both"/>
        <w:rPr>
          <w:rFonts w:ascii="Arial" w:hAnsi="Arial" w:cs="Arial"/>
          <w:color w:val="000000" w:themeColor="text1"/>
          <w:sz w:val="20"/>
          <w:szCs w:val="20"/>
        </w:rPr>
      </w:pPr>
    </w:p>
    <w:p w:rsidR="009A79F4" w:rsidRPr="00700FB4" w:rsidRDefault="009A79F4" w:rsidP="009A79F4">
      <w:pPr>
        <w:pStyle w:val="NoSpacing"/>
        <w:jc w:val="both"/>
        <w:rPr>
          <w:rFonts w:ascii="Arial" w:hAnsi="Arial" w:cs="Arial"/>
          <w:color w:val="000000" w:themeColor="text1"/>
          <w:sz w:val="20"/>
          <w:szCs w:val="20"/>
        </w:rPr>
      </w:pPr>
      <w:r w:rsidRPr="00700FB4">
        <w:rPr>
          <w:rFonts w:ascii="Arial" w:hAnsi="Arial" w:cs="Arial"/>
          <w:color w:val="000000" w:themeColor="text1"/>
          <w:sz w:val="20"/>
          <w:szCs w:val="20"/>
        </w:rPr>
        <w:t xml:space="preserve">Ar likumu ir izveidots mehānisms, kādā Latvijā šobrīd tiek veikta jūras vides aizsardzības plānošana. Plānošana tiek veikta, izveidojot jūras stratēģiju. Jūras stratēģijas un jūras plānojuma mērķi un darbības joma ir līdzīga, tādēļ ir būtiski, lai jūras stratēģijas pasākumu programmā un jūras plānojumā nepastāvētu savstarpējas pretrunas. To var nodrošināt, pielāgojot jūras plānojumu jūras stratēģijai un nepieciešamības gadījumā veicot jūras stratēģijas posmu un jūras plānojuma vienlaicīgu pārskatīšanu. </w:t>
      </w:r>
    </w:p>
    <w:p w:rsidR="009A79F4" w:rsidRPr="00700FB4" w:rsidRDefault="009A79F4" w:rsidP="00E67B62">
      <w:pPr>
        <w:pStyle w:val="NoSpacing"/>
        <w:jc w:val="both"/>
        <w:rPr>
          <w:rFonts w:ascii="Arial" w:hAnsi="Arial" w:cs="Arial"/>
          <w:color w:val="000000" w:themeColor="text1"/>
          <w:sz w:val="20"/>
          <w:szCs w:val="20"/>
        </w:rPr>
      </w:pPr>
    </w:p>
    <w:p w:rsidR="00F00208" w:rsidRPr="00700FB4" w:rsidRDefault="00F00208" w:rsidP="00E67B62">
      <w:pPr>
        <w:pStyle w:val="NoSpacing"/>
        <w:jc w:val="both"/>
        <w:rPr>
          <w:rFonts w:ascii="Arial" w:hAnsi="Arial" w:cs="Arial"/>
          <w:sz w:val="20"/>
          <w:szCs w:val="20"/>
        </w:rPr>
      </w:pPr>
      <w:r w:rsidRPr="00700FB4">
        <w:rPr>
          <w:rFonts w:ascii="Arial" w:hAnsi="Arial" w:cs="Arial"/>
          <w:sz w:val="20"/>
          <w:szCs w:val="20"/>
        </w:rPr>
        <w:t>Latvijas normatīvo aktu noteikumi, kuru piemērošanā var tikt skar</w:t>
      </w:r>
      <w:r w:rsidR="00CE3DDD" w:rsidRPr="00700FB4">
        <w:rPr>
          <w:rFonts w:ascii="Arial" w:hAnsi="Arial" w:cs="Arial"/>
          <w:sz w:val="20"/>
          <w:szCs w:val="20"/>
        </w:rPr>
        <w:t xml:space="preserve">ta jūras izmantošana, </w:t>
      </w:r>
      <w:r w:rsidR="00FC2172" w:rsidRPr="00700FB4">
        <w:rPr>
          <w:rFonts w:ascii="Arial" w:hAnsi="Arial" w:cs="Arial"/>
          <w:sz w:val="20"/>
          <w:szCs w:val="20"/>
        </w:rPr>
        <w:t>ir ļoti plaši un dažādi</w:t>
      </w:r>
      <w:r w:rsidRPr="00700FB4">
        <w:rPr>
          <w:rFonts w:ascii="Arial" w:hAnsi="Arial" w:cs="Arial"/>
          <w:sz w:val="20"/>
          <w:szCs w:val="20"/>
        </w:rPr>
        <w:t>, tāpēc pirms grozījumu sagatavošanas būtu veicami atsevišķi juridiskās tehnikas apsvērumi, par to, kādi gro</w:t>
      </w:r>
      <w:r w:rsidR="0091585E" w:rsidRPr="00700FB4">
        <w:rPr>
          <w:rFonts w:ascii="Arial" w:hAnsi="Arial" w:cs="Arial"/>
          <w:sz w:val="20"/>
          <w:szCs w:val="20"/>
        </w:rPr>
        <w:t xml:space="preserve">zījumi būtu </w:t>
      </w:r>
      <w:r w:rsidR="00006F6A" w:rsidRPr="00700FB4">
        <w:rPr>
          <w:rFonts w:ascii="Arial" w:hAnsi="Arial" w:cs="Arial"/>
          <w:sz w:val="20"/>
          <w:szCs w:val="20"/>
        </w:rPr>
        <w:t>nepieciešami.</w:t>
      </w:r>
    </w:p>
    <w:p w:rsidR="00006F6A" w:rsidRPr="00700FB4" w:rsidRDefault="00006F6A" w:rsidP="00E67B62">
      <w:pPr>
        <w:pStyle w:val="NoSpacing"/>
        <w:jc w:val="both"/>
        <w:rPr>
          <w:rFonts w:ascii="Arial" w:hAnsi="Arial" w:cs="Arial"/>
          <w:sz w:val="20"/>
          <w:szCs w:val="20"/>
        </w:rPr>
      </w:pPr>
    </w:p>
    <w:p w:rsidR="006A39CB" w:rsidRPr="00700FB4" w:rsidRDefault="00006F6A" w:rsidP="00E67B62">
      <w:pPr>
        <w:pStyle w:val="NoSpacing"/>
        <w:jc w:val="both"/>
        <w:rPr>
          <w:rFonts w:ascii="Arial" w:hAnsi="Arial" w:cs="Arial"/>
          <w:sz w:val="20"/>
          <w:szCs w:val="20"/>
        </w:rPr>
      </w:pPr>
      <w:r w:rsidRPr="00700FB4">
        <w:rPr>
          <w:rFonts w:ascii="Arial" w:hAnsi="Arial" w:cs="Arial"/>
          <w:sz w:val="20"/>
          <w:szCs w:val="20"/>
        </w:rPr>
        <w:t>Nebūtu lietderīgi katrā normatīvajā aktā visos nor</w:t>
      </w:r>
      <w:r w:rsidR="00397370" w:rsidRPr="00700FB4">
        <w:rPr>
          <w:rFonts w:ascii="Arial" w:hAnsi="Arial" w:cs="Arial"/>
          <w:sz w:val="20"/>
          <w:szCs w:val="20"/>
        </w:rPr>
        <w:t xml:space="preserve">matīvo aktu līmeņos norādīt, ka piemērojams </w:t>
      </w:r>
      <w:r w:rsidR="007D7C73" w:rsidRPr="00700FB4">
        <w:rPr>
          <w:rFonts w:ascii="Arial" w:hAnsi="Arial" w:cs="Arial"/>
          <w:sz w:val="20"/>
          <w:szCs w:val="20"/>
        </w:rPr>
        <w:t xml:space="preserve">vai ievērojams jūras plānojums, it īpaši apstākļos, kad </w:t>
      </w:r>
      <w:r w:rsidR="0091585E" w:rsidRPr="00700FB4">
        <w:rPr>
          <w:rFonts w:ascii="Arial" w:hAnsi="Arial" w:cs="Arial"/>
          <w:sz w:val="20"/>
          <w:szCs w:val="20"/>
        </w:rPr>
        <w:t>jūras plānojums netiktu apstiprināts ar ārējo normatīvo aktu, bet balstītos uz Sistēmas likuma 9. un 13.pantu, kā arī APL 66.pantu.</w:t>
      </w:r>
      <w:r w:rsidR="007D7C73" w:rsidRPr="00700FB4">
        <w:rPr>
          <w:rFonts w:ascii="Arial" w:hAnsi="Arial" w:cs="Arial"/>
          <w:sz w:val="20"/>
          <w:szCs w:val="20"/>
        </w:rPr>
        <w:t xml:space="preserve"> </w:t>
      </w:r>
      <w:r w:rsidR="00397370" w:rsidRPr="00700FB4">
        <w:rPr>
          <w:rFonts w:ascii="Arial" w:hAnsi="Arial" w:cs="Arial"/>
          <w:sz w:val="20"/>
          <w:szCs w:val="20"/>
        </w:rPr>
        <w:t>Tādēļ identificējami tie galvenie normatīvie akti, kuri kopumā regulē</w:t>
      </w:r>
      <w:r w:rsidR="0091585E" w:rsidRPr="00700FB4">
        <w:rPr>
          <w:rFonts w:ascii="Arial" w:hAnsi="Arial" w:cs="Arial"/>
          <w:sz w:val="20"/>
          <w:szCs w:val="20"/>
        </w:rPr>
        <w:t xml:space="preserve"> svarīgākās nozares un jautājumu</w:t>
      </w:r>
      <w:r w:rsidR="00397370" w:rsidRPr="00700FB4">
        <w:rPr>
          <w:rFonts w:ascii="Arial" w:hAnsi="Arial" w:cs="Arial"/>
          <w:sz w:val="20"/>
          <w:szCs w:val="20"/>
        </w:rPr>
        <w:t>s, lai attiecīgo grozījumu izdarītu pēc iespējas mazākā skaitā normatī</w:t>
      </w:r>
      <w:r w:rsidR="00CE3DDD" w:rsidRPr="00700FB4">
        <w:rPr>
          <w:rFonts w:ascii="Arial" w:hAnsi="Arial" w:cs="Arial"/>
          <w:sz w:val="20"/>
          <w:szCs w:val="20"/>
        </w:rPr>
        <w:t>vo aktu un vienlaikus izdarītie grozījumi</w:t>
      </w:r>
      <w:r w:rsidR="00397370" w:rsidRPr="00700FB4">
        <w:rPr>
          <w:rFonts w:ascii="Arial" w:hAnsi="Arial" w:cs="Arial"/>
          <w:sz w:val="20"/>
          <w:szCs w:val="20"/>
        </w:rPr>
        <w:t xml:space="preserve"> aptvertu visplašāko jomu. Tāpēc lietderīgāk ir grozījumus izdarīt atsevišķos svarīgākajos likumos, kā rezultātā tas ietekmē visu likumam pakārtoto vai u</w:t>
      </w:r>
      <w:r w:rsidR="00CE3DDD" w:rsidRPr="00700FB4">
        <w:rPr>
          <w:rFonts w:ascii="Arial" w:hAnsi="Arial" w:cs="Arial"/>
          <w:sz w:val="20"/>
          <w:szCs w:val="20"/>
        </w:rPr>
        <w:t xml:space="preserve">z tā pamata izdoto </w:t>
      </w:r>
      <w:r w:rsidR="00397370" w:rsidRPr="00700FB4">
        <w:rPr>
          <w:rFonts w:ascii="Arial" w:hAnsi="Arial" w:cs="Arial"/>
          <w:sz w:val="20"/>
          <w:szCs w:val="20"/>
        </w:rPr>
        <w:t xml:space="preserve">normatīvo aktu piemērošanu, tos pat pašus negrozot. </w:t>
      </w:r>
    </w:p>
    <w:p w:rsidR="00397370" w:rsidRPr="00700FB4" w:rsidRDefault="00397370" w:rsidP="00E67B62">
      <w:pPr>
        <w:pStyle w:val="NoSpacing"/>
        <w:jc w:val="both"/>
        <w:rPr>
          <w:rFonts w:ascii="Arial" w:hAnsi="Arial" w:cs="Arial"/>
          <w:sz w:val="20"/>
          <w:szCs w:val="20"/>
        </w:rPr>
      </w:pPr>
    </w:p>
    <w:p w:rsidR="002A6F3B" w:rsidRPr="00700FB4" w:rsidRDefault="00397370" w:rsidP="002A6F3B">
      <w:pPr>
        <w:pStyle w:val="NoSpacing"/>
        <w:jc w:val="both"/>
        <w:rPr>
          <w:rFonts w:ascii="Arial" w:hAnsi="Arial" w:cs="Arial"/>
          <w:sz w:val="20"/>
          <w:szCs w:val="20"/>
        </w:rPr>
      </w:pPr>
      <w:r w:rsidRPr="00700FB4">
        <w:rPr>
          <w:rFonts w:ascii="Arial" w:hAnsi="Arial" w:cs="Arial"/>
          <w:sz w:val="20"/>
          <w:szCs w:val="20"/>
        </w:rPr>
        <w:t>Kā galvenais normatīvais akts</w:t>
      </w:r>
      <w:r w:rsidR="00C541FC" w:rsidRPr="00700FB4">
        <w:rPr>
          <w:rFonts w:ascii="Arial" w:hAnsi="Arial" w:cs="Arial"/>
          <w:sz w:val="20"/>
          <w:szCs w:val="20"/>
        </w:rPr>
        <w:t xml:space="preserve"> </w:t>
      </w:r>
      <w:r w:rsidRPr="00700FB4">
        <w:rPr>
          <w:rFonts w:ascii="Arial" w:hAnsi="Arial" w:cs="Arial"/>
          <w:sz w:val="20"/>
          <w:szCs w:val="20"/>
        </w:rPr>
        <w:t xml:space="preserve">minams </w:t>
      </w:r>
      <w:r w:rsidRPr="00700FB4">
        <w:rPr>
          <w:rFonts w:ascii="Arial" w:hAnsi="Arial" w:cs="Arial"/>
          <w:b/>
          <w:sz w:val="20"/>
          <w:szCs w:val="20"/>
        </w:rPr>
        <w:t>Jūras vides ai</w:t>
      </w:r>
      <w:r w:rsidR="002A6F3B" w:rsidRPr="00700FB4">
        <w:rPr>
          <w:rFonts w:ascii="Arial" w:hAnsi="Arial" w:cs="Arial"/>
          <w:b/>
          <w:sz w:val="20"/>
          <w:szCs w:val="20"/>
        </w:rPr>
        <w:t xml:space="preserve">zsardzības un pārvaldības likums </w:t>
      </w:r>
      <w:r w:rsidR="002A6F3B" w:rsidRPr="00700FB4">
        <w:rPr>
          <w:rFonts w:ascii="Arial" w:hAnsi="Arial" w:cs="Arial"/>
          <w:sz w:val="20"/>
          <w:szCs w:val="20"/>
        </w:rPr>
        <w:t xml:space="preserve">un tā 19.panta pirmā daļa, kas paredz, ka “publiska persona un privātpersona (turpmāk </w:t>
      </w:r>
      <w:r w:rsidR="00D03CAC" w:rsidRPr="00700FB4">
        <w:rPr>
          <w:rFonts w:ascii="Arial" w:hAnsi="Arial" w:cs="Arial"/>
          <w:sz w:val="20"/>
          <w:szCs w:val="20"/>
        </w:rPr>
        <w:t>–</w:t>
      </w:r>
      <w:r w:rsidR="002A6F3B" w:rsidRPr="00700FB4">
        <w:rPr>
          <w:rFonts w:ascii="Arial" w:hAnsi="Arial" w:cs="Arial"/>
          <w:sz w:val="20"/>
          <w:szCs w:val="20"/>
        </w:rPr>
        <w:t xml:space="preserve"> jūras izmantotājs) jūru izmanto atbilstoši attiecīgo darbības veidu regulējošiem normatīvajiem aktiem un šim likumam, ievērojot tā mērķus, vides aizsardzības principus, sabiedrības intereses, kā arī jūras telpisko plānojumu.” Šis noteikums aptver jebkuras da</w:t>
      </w:r>
      <w:r w:rsidR="0091585E" w:rsidRPr="00700FB4">
        <w:rPr>
          <w:rFonts w:ascii="Arial" w:hAnsi="Arial" w:cs="Arial"/>
          <w:sz w:val="20"/>
          <w:szCs w:val="20"/>
        </w:rPr>
        <w:t>rbības, kuras tiek veiktas jūrā saskaņā ar šo vai citiem normatīvajiem aktiem.</w:t>
      </w:r>
      <w:r w:rsidR="002A6F3B" w:rsidRPr="00700FB4">
        <w:rPr>
          <w:rFonts w:ascii="Arial" w:hAnsi="Arial" w:cs="Arial"/>
          <w:sz w:val="20"/>
          <w:szCs w:val="20"/>
        </w:rPr>
        <w:t xml:space="preserve"> </w:t>
      </w:r>
    </w:p>
    <w:p w:rsidR="002A6F3B" w:rsidRPr="00700FB4" w:rsidRDefault="002A6F3B" w:rsidP="002A6F3B">
      <w:pPr>
        <w:pStyle w:val="NoSpacing"/>
        <w:jc w:val="both"/>
        <w:rPr>
          <w:rFonts w:ascii="Arial" w:hAnsi="Arial" w:cs="Arial"/>
          <w:sz w:val="20"/>
          <w:szCs w:val="20"/>
        </w:rPr>
      </w:pPr>
    </w:p>
    <w:p w:rsidR="0091585E" w:rsidRPr="00700FB4" w:rsidRDefault="002A6F3B" w:rsidP="002A6F3B">
      <w:pPr>
        <w:pStyle w:val="NoSpacing"/>
        <w:jc w:val="both"/>
        <w:rPr>
          <w:rFonts w:ascii="Arial" w:hAnsi="Arial" w:cs="Arial"/>
          <w:color w:val="000000" w:themeColor="text1"/>
          <w:sz w:val="20"/>
          <w:szCs w:val="20"/>
        </w:rPr>
      </w:pPr>
      <w:r w:rsidRPr="00700FB4">
        <w:rPr>
          <w:rFonts w:ascii="Arial" w:hAnsi="Arial" w:cs="Arial"/>
          <w:sz w:val="20"/>
          <w:szCs w:val="20"/>
        </w:rPr>
        <w:t xml:space="preserve">Papildu tam šā panta otrajā daļā </w:t>
      </w:r>
      <w:r w:rsidR="00397370" w:rsidRPr="00700FB4">
        <w:rPr>
          <w:rFonts w:ascii="Arial" w:hAnsi="Arial" w:cs="Arial"/>
          <w:sz w:val="20"/>
          <w:szCs w:val="20"/>
        </w:rPr>
        <w:t>ir definētas būtiskākās darbības jū</w:t>
      </w:r>
      <w:r w:rsidR="00C541FC" w:rsidRPr="00700FB4">
        <w:rPr>
          <w:rFonts w:ascii="Arial" w:hAnsi="Arial" w:cs="Arial"/>
          <w:sz w:val="20"/>
          <w:szCs w:val="20"/>
        </w:rPr>
        <w:t xml:space="preserve">rā, </w:t>
      </w:r>
      <w:r w:rsidR="00834769" w:rsidRPr="00700FB4">
        <w:rPr>
          <w:rFonts w:ascii="Arial" w:hAnsi="Arial" w:cs="Arial"/>
          <w:sz w:val="20"/>
          <w:szCs w:val="20"/>
        </w:rPr>
        <w:t xml:space="preserve">tomēr šā panta pirmajā daļā jau ir ietverts pienākums ievērot jūras plānojumu. </w:t>
      </w:r>
      <w:r w:rsidR="00834769" w:rsidRPr="00700FB4">
        <w:rPr>
          <w:rFonts w:ascii="Arial" w:hAnsi="Arial" w:cs="Arial"/>
          <w:color w:val="000000" w:themeColor="text1"/>
          <w:sz w:val="20"/>
          <w:szCs w:val="20"/>
        </w:rPr>
        <w:t>Likuma 19.panta otrajā daļā ir noteiktas darbības jūrā, kurām nepieciešama atļauja vai licence. Atbilstoši likuma 19.panta trešajai daļai atļaujas un licences piešķir Ministru kabinets vai cita iestāde likumā noteiktajos gadījumos. Piemēram, likuma 19.panta otrās daļas pirmajā punktā minēto atļauju kuģu vraku un citu Latvijas ūdeņos nogrimušas mantas izpēti izsniedz Valsts kultūras pieminekļu aizsardzības inspekcija.</w:t>
      </w:r>
      <w:r w:rsidR="00834769" w:rsidRPr="00700FB4">
        <w:rPr>
          <w:rStyle w:val="FootnoteReference"/>
          <w:rFonts w:ascii="Arial" w:hAnsi="Arial" w:cs="Arial"/>
          <w:color w:val="000000" w:themeColor="text1"/>
          <w:sz w:val="20"/>
          <w:szCs w:val="20"/>
        </w:rPr>
        <w:footnoteReference w:id="128"/>
      </w:r>
      <w:r w:rsidR="00834769" w:rsidRPr="00700FB4">
        <w:rPr>
          <w:rFonts w:ascii="Arial" w:hAnsi="Arial" w:cs="Arial"/>
          <w:color w:val="000000" w:themeColor="text1"/>
          <w:sz w:val="20"/>
          <w:szCs w:val="20"/>
        </w:rPr>
        <w:t xml:space="preserve"> Savukārt zvejai zinātniskās izpētes nolūkos atbilstoši Zvejniecības likuma 11.panta trešajai daļai un piešķir Valsts vides dienests. Likuma 19.panta otrās daļas 6.punktā minēto atļauju (būvatļauju) izsniedz attiecīgās administratīvās teritorijas būvvalde.</w:t>
      </w:r>
      <w:r w:rsidR="00834769" w:rsidRPr="00700FB4">
        <w:rPr>
          <w:rStyle w:val="FootnoteReference"/>
          <w:rFonts w:ascii="Arial" w:hAnsi="Arial" w:cs="Arial"/>
          <w:color w:val="000000" w:themeColor="text1"/>
          <w:sz w:val="20"/>
          <w:szCs w:val="20"/>
        </w:rPr>
        <w:footnoteReference w:id="129"/>
      </w:r>
      <w:r w:rsidR="00834769" w:rsidRPr="00700FB4">
        <w:rPr>
          <w:rFonts w:ascii="Arial" w:hAnsi="Arial" w:cs="Arial"/>
          <w:color w:val="000000" w:themeColor="text1"/>
          <w:sz w:val="20"/>
          <w:szCs w:val="20"/>
        </w:rPr>
        <w:t xml:space="preserve"> </w:t>
      </w:r>
    </w:p>
    <w:p w:rsidR="0091585E" w:rsidRPr="00700FB4" w:rsidRDefault="0091585E" w:rsidP="002A6F3B">
      <w:pPr>
        <w:pStyle w:val="NoSpacing"/>
        <w:jc w:val="both"/>
        <w:rPr>
          <w:rFonts w:ascii="Arial" w:hAnsi="Arial" w:cs="Arial"/>
          <w:color w:val="000000" w:themeColor="text1"/>
          <w:sz w:val="20"/>
          <w:szCs w:val="20"/>
        </w:rPr>
      </w:pPr>
    </w:p>
    <w:p w:rsidR="00A31EAC" w:rsidRPr="00700FB4" w:rsidRDefault="00834769" w:rsidP="002A6F3B">
      <w:pPr>
        <w:pStyle w:val="NoSpacing"/>
        <w:jc w:val="both"/>
        <w:rPr>
          <w:rFonts w:ascii="Arial" w:hAnsi="Arial" w:cs="Arial"/>
          <w:color w:val="000000" w:themeColor="text1"/>
          <w:sz w:val="20"/>
          <w:szCs w:val="20"/>
        </w:rPr>
      </w:pPr>
      <w:r w:rsidRPr="00700FB4">
        <w:rPr>
          <w:rFonts w:ascii="Arial" w:hAnsi="Arial" w:cs="Arial"/>
          <w:color w:val="000000" w:themeColor="text1"/>
          <w:sz w:val="20"/>
          <w:szCs w:val="20"/>
        </w:rPr>
        <w:t xml:space="preserve">Tā kā Jūras vides aizsardzības un pārvaldības likumā ir uzskaitītas darbības, kurām ir nepieciešama atļauja vai licence, savukārt konkrētu nozaru normatīvajos aktos ir tālāk precizēta </w:t>
      </w:r>
      <w:r w:rsidR="0091585E" w:rsidRPr="00700FB4">
        <w:rPr>
          <w:rFonts w:ascii="Arial" w:hAnsi="Arial" w:cs="Arial"/>
          <w:color w:val="000000" w:themeColor="text1"/>
          <w:sz w:val="20"/>
          <w:szCs w:val="20"/>
        </w:rPr>
        <w:t>šo atļauju piešķiršanas kārtība, s</w:t>
      </w:r>
      <w:r w:rsidRPr="00700FB4">
        <w:rPr>
          <w:rFonts w:ascii="Arial" w:hAnsi="Arial" w:cs="Arial"/>
          <w:color w:val="000000" w:themeColor="text1"/>
          <w:sz w:val="20"/>
          <w:szCs w:val="20"/>
        </w:rPr>
        <w:t>istēmiski interpretējot nozaru normatīvajos aktos ietvertās tiesību normas</w:t>
      </w:r>
      <w:r w:rsidR="00A31EAC" w:rsidRPr="00700FB4">
        <w:rPr>
          <w:rFonts w:ascii="Arial" w:hAnsi="Arial" w:cs="Arial"/>
          <w:color w:val="000000" w:themeColor="text1"/>
          <w:sz w:val="20"/>
          <w:szCs w:val="20"/>
        </w:rPr>
        <w:t xml:space="preserve"> (piemēram, </w:t>
      </w:r>
      <w:r w:rsidR="00A31EAC" w:rsidRPr="00700FB4">
        <w:rPr>
          <w:rFonts w:ascii="Arial" w:hAnsi="Arial" w:cs="Arial"/>
          <w:b/>
          <w:color w:val="000000" w:themeColor="text1"/>
          <w:sz w:val="20"/>
          <w:szCs w:val="20"/>
        </w:rPr>
        <w:t>likumu “Par zemes dzīlēm”</w:t>
      </w:r>
      <w:r w:rsidR="004E56BA" w:rsidRPr="00700FB4">
        <w:rPr>
          <w:rFonts w:ascii="Arial" w:hAnsi="Arial" w:cs="Arial"/>
          <w:b/>
          <w:color w:val="000000" w:themeColor="text1"/>
          <w:sz w:val="20"/>
          <w:szCs w:val="20"/>
        </w:rPr>
        <w:t>, Enerģētikas likumu, Likumu par ostām</w:t>
      </w:r>
      <w:r w:rsidR="00A31EAC" w:rsidRPr="00700FB4">
        <w:rPr>
          <w:rFonts w:ascii="Arial" w:hAnsi="Arial" w:cs="Arial"/>
          <w:color w:val="000000" w:themeColor="text1"/>
          <w:sz w:val="20"/>
          <w:szCs w:val="20"/>
        </w:rPr>
        <w:t>)</w:t>
      </w:r>
      <w:r w:rsidRPr="00700FB4">
        <w:rPr>
          <w:rFonts w:ascii="Arial" w:hAnsi="Arial" w:cs="Arial"/>
          <w:color w:val="000000" w:themeColor="text1"/>
          <w:sz w:val="20"/>
          <w:szCs w:val="20"/>
        </w:rPr>
        <w:t xml:space="preserve">, būtu jānonāk pie secinājuma, ka, piešķirot atļauju vai licenci, iestādei jāvadās pēc Jūras vides aizsardzības un pārvaldības likuma regulējuma, kas pēc grozījumu izdarīšanas nozīmētu arī </w:t>
      </w:r>
      <w:r w:rsidR="0091585E" w:rsidRPr="00700FB4">
        <w:rPr>
          <w:rFonts w:ascii="Arial" w:hAnsi="Arial" w:cs="Arial"/>
          <w:color w:val="000000" w:themeColor="text1"/>
          <w:sz w:val="20"/>
          <w:szCs w:val="20"/>
        </w:rPr>
        <w:t>ņemt vērā</w:t>
      </w:r>
      <w:r w:rsidRPr="00700FB4">
        <w:rPr>
          <w:rFonts w:ascii="Arial" w:hAnsi="Arial" w:cs="Arial"/>
          <w:color w:val="000000" w:themeColor="text1"/>
          <w:sz w:val="20"/>
          <w:szCs w:val="20"/>
        </w:rPr>
        <w:t xml:space="preserve"> jūras plānojumu. </w:t>
      </w:r>
    </w:p>
    <w:p w:rsidR="00A31EAC" w:rsidRPr="00700FB4" w:rsidRDefault="00A31EAC" w:rsidP="00834769">
      <w:pPr>
        <w:pStyle w:val="NoSpacing"/>
        <w:jc w:val="both"/>
        <w:rPr>
          <w:rFonts w:ascii="Arial" w:hAnsi="Arial" w:cs="Arial"/>
          <w:color w:val="000000" w:themeColor="text1"/>
          <w:sz w:val="20"/>
          <w:szCs w:val="20"/>
        </w:rPr>
      </w:pPr>
    </w:p>
    <w:p w:rsidR="00D03CAC" w:rsidRPr="00700FB4" w:rsidRDefault="00D03CAC" w:rsidP="00834769">
      <w:pPr>
        <w:pStyle w:val="NoSpacing"/>
        <w:jc w:val="both"/>
        <w:rPr>
          <w:rFonts w:ascii="Arial" w:hAnsi="Arial" w:cs="Arial"/>
          <w:color w:val="000000" w:themeColor="text1"/>
          <w:sz w:val="20"/>
          <w:szCs w:val="20"/>
        </w:rPr>
      </w:pPr>
    </w:p>
    <w:p w:rsidR="00D03CAC" w:rsidRPr="00700FB4" w:rsidRDefault="00D03CAC" w:rsidP="00834769">
      <w:pPr>
        <w:pStyle w:val="NoSpacing"/>
        <w:jc w:val="both"/>
        <w:rPr>
          <w:rFonts w:ascii="Arial" w:hAnsi="Arial" w:cs="Arial"/>
          <w:color w:val="000000" w:themeColor="text1"/>
          <w:sz w:val="20"/>
          <w:szCs w:val="20"/>
        </w:rPr>
      </w:pPr>
    </w:p>
    <w:p w:rsidR="00D03CAC" w:rsidRPr="00700FB4" w:rsidRDefault="00D03CAC" w:rsidP="00834769">
      <w:pPr>
        <w:pStyle w:val="NoSpacing"/>
        <w:jc w:val="both"/>
        <w:rPr>
          <w:rFonts w:ascii="Arial" w:hAnsi="Arial" w:cs="Arial"/>
          <w:color w:val="000000" w:themeColor="text1"/>
          <w:sz w:val="20"/>
          <w:szCs w:val="20"/>
        </w:rPr>
      </w:pPr>
    </w:p>
    <w:p w:rsidR="00834769" w:rsidRPr="00700FB4" w:rsidRDefault="00834769" w:rsidP="00834769">
      <w:pPr>
        <w:pStyle w:val="NoSpacing"/>
        <w:jc w:val="both"/>
        <w:rPr>
          <w:rFonts w:ascii="Arial" w:hAnsi="Arial" w:cs="Arial"/>
          <w:b/>
          <w:color w:val="000000" w:themeColor="text1"/>
          <w:sz w:val="20"/>
          <w:szCs w:val="20"/>
        </w:rPr>
      </w:pPr>
      <w:r w:rsidRPr="00700FB4">
        <w:rPr>
          <w:rFonts w:ascii="Arial" w:hAnsi="Arial" w:cs="Arial"/>
          <w:b/>
          <w:color w:val="000000" w:themeColor="text1"/>
          <w:sz w:val="20"/>
          <w:szCs w:val="20"/>
        </w:rPr>
        <w:t>Tādējādi, lai ieviestu jūras teritorijas plānojumu Latvijas tiesību sistēmā, Jūras vides aizsardzības un pārvaldības likumā ietveramais regulējums ir pietiekams.</w:t>
      </w:r>
      <w:r w:rsidR="008C780B" w:rsidRPr="00700FB4">
        <w:rPr>
          <w:rFonts w:ascii="Arial" w:hAnsi="Arial" w:cs="Arial"/>
          <w:b/>
          <w:color w:val="000000" w:themeColor="text1"/>
          <w:sz w:val="20"/>
          <w:szCs w:val="20"/>
        </w:rPr>
        <w:t xml:space="preserve"> To jāpapildina vienīgi ar tiesību normām, noregulējot procedurālus jautājumus. </w:t>
      </w:r>
      <w:r w:rsidR="00A12267" w:rsidRPr="00700FB4">
        <w:rPr>
          <w:rFonts w:ascii="Arial" w:hAnsi="Arial" w:cs="Arial"/>
          <w:b/>
          <w:color w:val="000000" w:themeColor="text1"/>
          <w:sz w:val="20"/>
          <w:szCs w:val="20"/>
        </w:rPr>
        <w:t xml:space="preserve">Interešu būtiskuma un tiesiskās noteiktības labad norāde par jūras plānojumu </w:t>
      </w:r>
      <w:r w:rsidR="0091585E" w:rsidRPr="00700FB4">
        <w:rPr>
          <w:rFonts w:ascii="Arial" w:hAnsi="Arial" w:cs="Arial"/>
          <w:b/>
          <w:color w:val="000000" w:themeColor="text1"/>
          <w:sz w:val="20"/>
          <w:szCs w:val="20"/>
        </w:rPr>
        <w:t>ietverama arī</w:t>
      </w:r>
      <w:r w:rsidR="00B92782" w:rsidRPr="00700FB4">
        <w:rPr>
          <w:rFonts w:ascii="Arial" w:hAnsi="Arial" w:cs="Arial"/>
          <w:b/>
          <w:color w:val="000000" w:themeColor="text1"/>
          <w:sz w:val="20"/>
          <w:szCs w:val="20"/>
        </w:rPr>
        <w:t xml:space="preserve">  </w:t>
      </w:r>
      <w:r w:rsidR="00A12267" w:rsidRPr="00700FB4">
        <w:rPr>
          <w:rFonts w:ascii="Arial" w:hAnsi="Arial" w:cs="Arial"/>
          <w:b/>
          <w:color w:val="000000" w:themeColor="text1"/>
          <w:sz w:val="20"/>
          <w:szCs w:val="20"/>
        </w:rPr>
        <w:t>Zemes pārvaldības likumā</w:t>
      </w:r>
      <w:r w:rsidR="00B92782" w:rsidRPr="00700FB4">
        <w:rPr>
          <w:rFonts w:ascii="Arial" w:hAnsi="Arial" w:cs="Arial"/>
          <w:b/>
          <w:color w:val="000000" w:themeColor="text1"/>
          <w:sz w:val="20"/>
          <w:szCs w:val="20"/>
        </w:rPr>
        <w:t>.</w:t>
      </w:r>
    </w:p>
    <w:p w:rsidR="00A31EAC" w:rsidRPr="00700FB4" w:rsidRDefault="00A31EAC" w:rsidP="00E67B62">
      <w:pPr>
        <w:pStyle w:val="NoSpacing"/>
        <w:jc w:val="both"/>
        <w:rPr>
          <w:rFonts w:ascii="Arial" w:hAnsi="Arial" w:cs="Arial"/>
          <w:sz w:val="20"/>
          <w:szCs w:val="20"/>
        </w:rPr>
      </w:pPr>
    </w:p>
    <w:p w:rsidR="00083AF1" w:rsidRPr="00700FB4" w:rsidRDefault="00855DDF" w:rsidP="00083AF1">
      <w:pPr>
        <w:pStyle w:val="Heading2"/>
      </w:pPr>
      <w:bookmarkStart w:id="54" w:name="_Toc460402358"/>
      <w:r w:rsidRPr="00700FB4">
        <w:t>[7</w:t>
      </w:r>
      <w:r w:rsidR="00083AF1" w:rsidRPr="00700FB4">
        <w:t>.</w:t>
      </w:r>
      <w:r w:rsidR="00332487" w:rsidRPr="00700FB4">
        <w:t>2</w:t>
      </w:r>
      <w:r w:rsidR="00083AF1" w:rsidRPr="00700FB4">
        <w:t xml:space="preserve">] </w:t>
      </w:r>
      <w:r w:rsidRPr="00700FB4">
        <w:t>Jūras izmantošanu nosakoši likumi, kurus nav jāgroza</w:t>
      </w:r>
      <w:bookmarkEnd w:id="54"/>
    </w:p>
    <w:p w:rsidR="00EC53FB" w:rsidRPr="00700FB4" w:rsidRDefault="00EC53FB" w:rsidP="00EC53FB">
      <w:pPr>
        <w:pStyle w:val="NoSpacing"/>
        <w:jc w:val="both"/>
        <w:rPr>
          <w:rFonts w:ascii="Arial" w:hAnsi="Arial" w:cs="Arial"/>
          <w:color w:val="000000" w:themeColor="text1"/>
          <w:sz w:val="20"/>
          <w:szCs w:val="20"/>
        </w:rPr>
      </w:pPr>
      <w:r w:rsidRPr="00700FB4">
        <w:rPr>
          <w:rFonts w:ascii="Arial" w:hAnsi="Arial" w:cs="Arial"/>
          <w:b/>
          <w:color w:val="000000" w:themeColor="text1"/>
          <w:sz w:val="20"/>
          <w:szCs w:val="20"/>
        </w:rPr>
        <w:t>Tūrisma likumā</w:t>
      </w:r>
      <w:r w:rsidRPr="00700FB4">
        <w:rPr>
          <w:rFonts w:ascii="Arial" w:hAnsi="Arial" w:cs="Arial"/>
          <w:color w:val="000000" w:themeColor="text1"/>
          <w:sz w:val="20"/>
          <w:szCs w:val="20"/>
        </w:rPr>
        <w:t xml:space="preserve"> cita starpā ir paredzēta kārtība, kādā pašvaldība iesniedz pieteikumu par kūrorta statusa piešķiršanu. Atbilstoši likuma 6.</w:t>
      </w:r>
      <w:r w:rsidRPr="00700FB4">
        <w:rPr>
          <w:rFonts w:ascii="Arial" w:hAnsi="Arial" w:cs="Arial"/>
          <w:color w:val="000000" w:themeColor="text1"/>
          <w:sz w:val="20"/>
          <w:szCs w:val="20"/>
          <w:vertAlign w:val="superscript"/>
        </w:rPr>
        <w:t>1</w:t>
      </w:r>
      <w:r w:rsidRPr="00700FB4">
        <w:rPr>
          <w:rFonts w:ascii="Arial" w:hAnsi="Arial" w:cs="Arial"/>
          <w:color w:val="000000" w:themeColor="text1"/>
          <w:sz w:val="20"/>
          <w:szCs w:val="20"/>
        </w:rPr>
        <w:t xml:space="preserve"> panta trešajai daļai pašvaldībai ir jāiesniedz arī teritorijas plānošanas dokumenti, kuri apliecina kūrorta teritorijas robežas un attīstības perspektīvu. Jānorāda, ka šiem teritorijas plānošanas dokumentiem atbilstoši Attīstības plānošanas sistēmas likuma 9.panta ceturtajai daļai ir jāatbilst nacionālajiem teritorijas plānošanas dokumentiem, tajā skaitā jūras teritorijas plānojumam. Tādēļ grozījumi šajā likumā nav nepieciešami.</w:t>
      </w:r>
    </w:p>
    <w:p w:rsidR="009D33B8" w:rsidRPr="00700FB4" w:rsidRDefault="009D33B8" w:rsidP="00E67B62">
      <w:pPr>
        <w:pStyle w:val="NoSpacing"/>
        <w:jc w:val="both"/>
        <w:rPr>
          <w:rFonts w:ascii="Arial" w:hAnsi="Arial" w:cs="Arial"/>
          <w:sz w:val="20"/>
          <w:szCs w:val="20"/>
        </w:rPr>
      </w:pPr>
    </w:p>
    <w:p w:rsidR="004E56BA" w:rsidRPr="00700FB4" w:rsidRDefault="004E56BA" w:rsidP="004E56BA">
      <w:pPr>
        <w:pStyle w:val="NoSpacing"/>
        <w:jc w:val="both"/>
        <w:rPr>
          <w:rFonts w:ascii="Arial" w:hAnsi="Arial" w:cs="Arial"/>
          <w:color w:val="000000" w:themeColor="text1"/>
          <w:sz w:val="20"/>
          <w:szCs w:val="20"/>
        </w:rPr>
      </w:pPr>
      <w:r w:rsidRPr="00700FB4">
        <w:rPr>
          <w:rFonts w:ascii="Arial" w:hAnsi="Arial" w:cs="Arial"/>
          <w:color w:val="000000" w:themeColor="text1"/>
          <w:sz w:val="20"/>
          <w:szCs w:val="20"/>
        </w:rPr>
        <w:t>Nav nepieciešams īpaši akcentēt jūras plānojuma ievērošanu, jo dabas vērtību aizsardzība ir prioritāra, proti, dabas vērtība ir aizsargājama pat tad, ja jūras plānojums konkrētajā vietā paredzētu citu jūras izmantošanu. Tā, piemēram, jūras piekrastē atrodas divi nacionālie parki, tas ir, Slīteres nacionālais parks</w:t>
      </w:r>
      <w:r w:rsidRPr="00700FB4">
        <w:rPr>
          <w:rStyle w:val="FootnoteReference"/>
          <w:rFonts w:ascii="Arial" w:hAnsi="Arial" w:cs="Arial"/>
          <w:color w:val="000000" w:themeColor="text1"/>
          <w:sz w:val="20"/>
          <w:szCs w:val="20"/>
        </w:rPr>
        <w:footnoteReference w:id="130"/>
      </w:r>
      <w:r w:rsidRPr="00700FB4">
        <w:rPr>
          <w:rFonts w:ascii="Arial" w:hAnsi="Arial" w:cs="Arial"/>
          <w:color w:val="000000" w:themeColor="text1"/>
          <w:sz w:val="20"/>
          <w:szCs w:val="20"/>
        </w:rPr>
        <w:t xml:space="preserve"> un Ķemeru nacionālais parks</w:t>
      </w:r>
      <w:r w:rsidRPr="00700FB4">
        <w:rPr>
          <w:rStyle w:val="FootnoteReference"/>
          <w:rFonts w:ascii="Arial" w:hAnsi="Arial" w:cs="Arial"/>
          <w:color w:val="000000" w:themeColor="text1"/>
          <w:sz w:val="20"/>
          <w:szCs w:val="20"/>
        </w:rPr>
        <w:footnoteReference w:id="131"/>
      </w:r>
      <w:r w:rsidRPr="00700FB4">
        <w:rPr>
          <w:rFonts w:ascii="Arial" w:hAnsi="Arial" w:cs="Arial"/>
          <w:color w:val="000000" w:themeColor="text1"/>
          <w:sz w:val="20"/>
          <w:szCs w:val="20"/>
        </w:rPr>
        <w:t>, kā arī trīs dabas parki – Dabas parks “Engures ezers”,</w:t>
      </w:r>
      <w:r w:rsidRPr="00700FB4">
        <w:rPr>
          <w:rStyle w:val="FootnoteReference"/>
          <w:rFonts w:ascii="Arial" w:hAnsi="Arial" w:cs="Arial"/>
          <w:color w:val="000000" w:themeColor="text1"/>
          <w:sz w:val="20"/>
          <w:szCs w:val="20"/>
        </w:rPr>
        <w:footnoteReference w:id="132"/>
      </w:r>
      <w:r w:rsidRPr="00700FB4">
        <w:rPr>
          <w:rFonts w:ascii="Arial" w:hAnsi="Arial" w:cs="Arial"/>
          <w:color w:val="000000" w:themeColor="text1"/>
          <w:sz w:val="20"/>
          <w:szCs w:val="20"/>
        </w:rPr>
        <w:t xml:space="preserve"> Dabas parks “</w:t>
      </w:r>
      <w:proofErr w:type="spellStart"/>
      <w:r w:rsidRPr="00700FB4">
        <w:rPr>
          <w:rFonts w:ascii="Arial" w:hAnsi="Arial" w:cs="Arial"/>
          <w:color w:val="000000" w:themeColor="text1"/>
          <w:sz w:val="20"/>
          <w:szCs w:val="20"/>
        </w:rPr>
        <w:t>Ragakāpa</w:t>
      </w:r>
      <w:proofErr w:type="spellEnd"/>
      <w:r w:rsidRPr="00700FB4">
        <w:rPr>
          <w:rFonts w:ascii="Arial" w:hAnsi="Arial" w:cs="Arial"/>
          <w:color w:val="000000" w:themeColor="text1"/>
          <w:sz w:val="20"/>
          <w:szCs w:val="20"/>
        </w:rPr>
        <w:t>”</w:t>
      </w:r>
      <w:r w:rsidRPr="00700FB4">
        <w:rPr>
          <w:rStyle w:val="FootnoteReference"/>
          <w:rFonts w:ascii="Arial" w:hAnsi="Arial" w:cs="Arial"/>
          <w:color w:val="000000" w:themeColor="text1"/>
          <w:sz w:val="20"/>
          <w:szCs w:val="20"/>
        </w:rPr>
        <w:footnoteReference w:id="133"/>
      </w:r>
      <w:r w:rsidRPr="00700FB4">
        <w:rPr>
          <w:rFonts w:ascii="Arial" w:hAnsi="Arial" w:cs="Arial"/>
          <w:color w:val="000000" w:themeColor="text1"/>
          <w:sz w:val="20"/>
          <w:szCs w:val="20"/>
        </w:rPr>
        <w:t xml:space="preserve"> un Dabas parks “Pape”.</w:t>
      </w:r>
      <w:r w:rsidRPr="00700FB4">
        <w:rPr>
          <w:rStyle w:val="FootnoteReference"/>
          <w:rFonts w:ascii="Arial" w:hAnsi="Arial" w:cs="Arial"/>
          <w:color w:val="000000" w:themeColor="text1"/>
          <w:sz w:val="20"/>
          <w:szCs w:val="20"/>
        </w:rPr>
        <w:footnoteReference w:id="134"/>
      </w:r>
      <w:r w:rsidRPr="00700FB4">
        <w:rPr>
          <w:rFonts w:ascii="Arial" w:hAnsi="Arial" w:cs="Arial"/>
          <w:color w:val="000000" w:themeColor="text1"/>
          <w:sz w:val="20"/>
          <w:szCs w:val="20"/>
        </w:rPr>
        <w:t xml:space="preserve"> Turklāt visas šīs teritorijas ir atzītas arī par Eiropas Savienības nozīmes dabas aizsardzības teritorijām (</w:t>
      </w:r>
      <w:r w:rsidRPr="00700FB4">
        <w:rPr>
          <w:rFonts w:ascii="Arial" w:hAnsi="Arial" w:cs="Arial"/>
          <w:i/>
          <w:color w:val="000000" w:themeColor="text1"/>
          <w:sz w:val="20"/>
          <w:szCs w:val="20"/>
        </w:rPr>
        <w:t>Natura 2000</w:t>
      </w:r>
      <w:r w:rsidRPr="00700FB4">
        <w:rPr>
          <w:rFonts w:ascii="Arial" w:hAnsi="Arial" w:cs="Arial"/>
          <w:color w:val="000000" w:themeColor="text1"/>
          <w:sz w:val="20"/>
          <w:szCs w:val="20"/>
        </w:rPr>
        <w:t xml:space="preserve">), kurām ir nepieciešama papildu aizsardzība – aizsardzība, kuru paredz Dzīvotņu direktīva un Putnu direktīva. </w:t>
      </w:r>
      <w:r w:rsidR="002D074F" w:rsidRPr="00700FB4">
        <w:rPr>
          <w:rFonts w:ascii="Arial" w:hAnsi="Arial" w:cs="Arial"/>
          <w:color w:val="000000" w:themeColor="text1"/>
          <w:sz w:val="20"/>
          <w:szCs w:val="20"/>
        </w:rPr>
        <w:t xml:space="preserve">Līdz ar to likumā </w:t>
      </w:r>
      <w:r w:rsidR="002D074F" w:rsidRPr="00700FB4">
        <w:rPr>
          <w:rFonts w:ascii="Arial" w:hAnsi="Arial" w:cs="Arial"/>
          <w:b/>
          <w:color w:val="000000" w:themeColor="text1"/>
          <w:sz w:val="20"/>
          <w:szCs w:val="20"/>
        </w:rPr>
        <w:t>“Par īpaši aizsargājamām dabas teritorijām”</w:t>
      </w:r>
      <w:r w:rsidR="002D074F" w:rsidRPr="00700FB4">
        <w:rPr>
          <w:rFonts w:ascii="Arial" w:hAnsi="Arial" w:cs="Arial"/>
          <w:color w:val="000000" w:themeColor="text1"/>
          <w:sz w:val="20"/>
          <w:szCs w:val="20"/>
        </w:rPr>
        <w:t xml:space="preserve"> grozījumi nav nepieciešami. </w:t>
      </w:r>
    </w:p>
    <w:p w:rsidR="002A6F3B" w:rsidRPr="00700FB4" w:rsidRDefault="002A6F3B" w:rsidP="004E56BA">
      <w:pPr>
        <w:pStyle w:val="NoSpacing"/>
        <w:jc w:val="both"/>
        <w:rPr>
          <w:rFonts w:ascii="Arial" w:hAnsi="Arial" w:cs="Arial"/>
          <w:color w:val="000000" w:themeColor="text1"/>
          <w:sz w:val="20"/>
          <w:szCs w:val="20"/>
        </w:rPr>
      </w:pPr>
    </w:p>
    <w:p w:rsidR="002A6F3B" w:rsidRPr="00700FB4" w:rsidRDefault="002A6F3B" w:rsidP="002A6F3B">
      <w:pPr>
        <w:pStyle w:val="NoSpacing"/>
        <w:jc w:val="both"/>
        <w:rPr>
          <w:rFonts w:ascii="Arial" w:hAnsi="Arial" w:cs="Arial"/>
          <w:sz w:val="20"/>
          <w:szCs w:val="20"/>
          <w:lang w:eastAsia="lv-LV"/>
        </w:rPr>
      </w:pPr>
      <w:r w:rsidRPr="00700FB4">
        <w:rPr>
          <w:rFonts w:ascii="Arial" w:hAnsi="Arial" w:cs="Arial"/>
          <w:b/>
          <w:sz w:val="20"/>
          <w:szCs w:val="20"/>
          <w:lang w:eastAsia="lv-LV"/>
        </w:rPr>
        <w:t>Zvejniecības likums</w:t>
      </w:r>
      <w:r w:rsidR="0091585E" w:rsidRPr="00700FB4">
        <w:rPr>
          <w:rFonts w:ascii="Arial" w:hAnsi="Arial" w:cs="Arial"/>
          <w:sz w:val="20"/>
          <w:szCs w:val="20"/>
          <w:lang w:eastAsia="lv-LV"/>
        </w:rPr>
        <w:t xml:space="preserve"> regulē cita</w:t>
      </w:r>
      <w:r w:rsidRPr="00700FB4">
        <w:rPr>
          <w:rFonts w:ascii="Arial" w:hAnsi="Arial" w:cs="Arial"/>
          <w:sz w:val="20"/>
          <w:szCs w:val="20"/>
          <w:lang w:eastAsia="lv-LV"/>
        </w:rPr>
        <w:t xml:space="preserve">starp teritoriālo ūdeņu un Ekskluzīvās zonas ūdeņu zivju resursu iegūšanu, izmantošanu, pētīšanu, saglabāšanu, pavairošanu un uzraudzīšanu. Atbilstoši likumam Zemkopības ministrija ir vadošā institūcija, kura organizē valstij piederošo zvejas tiesību izmantošanu gan Latvijas ūdeņos, gan citos ūdeņos, kuros Latvijai ir iedalīta nozvejas kvota. Likuma ietvaros tiek, piemēram, lemts par zvejas (arī rūpnieciskās) atļauju izsniegšanu, makšķerēšanas, vēžošanas un zemūdens medību saskaņošanu, zvejas tiesību iznomāšanu, zvejas rīka skaita un nozvejas apjoma limitu Baltijas jūras un Rīgas jūras līča piekrastes ūdeņos, atļauju izsniegšanu zivju audzēšanai un ūdensaugu kultivēšanai, zivju sugu pārvietošanu un jaunu sugu ieviešanu. Atbilstoši Jūras vides aizsardzības un pārvaldības likuma 19.panta pirmajai daļai un otrās daļas 3.punktam, lemjot par minētajām darbībām, valsts un pašvaldību institūcijām būtu pienākums ņemt vērā jūras plānojumu arī bez attiecīgā grozījuma Zvejniecības likumā. </w:t>
      </w:r>
    </w:p>
    <w:p w:rsidR="002A6F3B" w:rsidRPr="00700FB4" w:rsidRDefault="002A6F3B" w:rsidP="004E56BA">
      <w:pPr>
        <w:pStyle w:val="NoSpacing"/>
        <w:jc w:val="both"/>
        <w:rPr>
          <w:rFonts w:ascii="Arial" w:hAnsi="Arial" w:cs="Arial"/>
          <w:color w:val="000000" w:themeColor="text1"/>
          <w:sz w:val="20"/>
          <w:szCs w:val="20"/>
        </w:rPr>
      </w:pPr>
    </w:p>
    <w:p w:rsidR="002A6F3B" w:rsidRPr="00700FB4" w:rsidRDefault="0091585E" w:rsidP="0091585E">
      <w:pPr>
        <w:pStyle w:val="NoSpacing"/>
        <w:jc w:val="both"/>
        <w:rPr>
          <w:rFonts w:ascii="Arial" w:hAnsi="Arial" w:cs="Arial"/>
          <w:color w:val="000000" w:themeColor="text1"/>
          <w:sz w:val="20"/>
          <w:szCs w:val="20"/>
        </w:rPr>
      </w:pPr>
      <w:r w:rsidRPr="00700FB4">
        <w:rPr>
          <w:rFonts w:ascii="Arial" w:hAnsi="Arial" w:cs="Arial"/>
          <w:b/>
          <w:sz w:val="20"/>
          <w:szCs w:val="20"/>
          <w:lang w:eastAsia="lv-LV"/>
        </w:rPr>
        <w:t xml:space="preserve">Ūdens apsaimniekošanas likumā </w:t>
      </w:r>
      <w:r w:rsidRPr="00700FB4">
        <w:rPr>
          <w:rFonts w:ascii="Arial" w:hAnsi="Arial" w:cs="Arial"/>
          <w:sz w:val="20"/>
          <w:szCs w:val="20"/>
          <w:lang w:eastAsia="lv-LV"/>
        </w:rPr>
        <w:t xml:space="preserve">tiek noregulēti jautājumi, kas var attiekties arī uz jūras ūdeņiem, tostarp arī piekrastes ūdeņiem. Pirmkārt, Ūdens apsaimniekošanas likumā tiek noteiktas vispārīgās ūdens resursu lietotāja tiesības un pienākumi (tiesības lietot ūdeni, izmanot ūdensobjektus personiskām vajadzībām un saimnieciskai darbībai, veikt būvniecību ūdeņos, veikt darbības, kas ietekmē ūdensobjektu utt.). Likumdevējam ir pienākums izveidot tādu tiesisko regulējumu, kurš ir saprotams un pieejams, kas īpaši attiecas uz jautājumiem par kārtību, kādā izmantojamas tiesības un ievērojami pienākumi. Ūdens apsaimniekošanas likumā tiek noteikta upju baseina apgabalu, kuros ietilpst arī piekrastes ūdeņi, apsaimniekošanas kārtība, tostarp apsaimniekošanas plānu izstrāde un to uzraudzība. Apsaimniekošanas plānā citastarp ir norādāmas plānotās darbības, kas tiks veiktas, lai novērstu vai samazinātu piesārņojuma emisiju, kā arī informācija par cilvēka darbības ietekmi uz ūdeņu stāvokli. Īpaši svarīgi būtu nodrošināt, ka veicamās darbības attiecībā uz piekrastes ūdeņiem tiek saskaņotas ar jūras plānojumu, nenonākot pretrunā ar to (tiek ņemti vērā izmantošanas veidi, arī peldvietu atrašanas vietas utt.). </w:t>
      </w:r>
      <w:r w:rsidR="005957B8" w:rsidRPr="00700FB4">
        <w:rPr>
          <w:rFonts w:ascii="Arial" w:hAnsi="Arial" w:cs="Arial"/>
          <w:sz w:val="20"/>
          <w:szCs w:val="20"/>
          <w:lang w:eastAsia="lv-LV"/>
        </w:rPr>
        <w:t xml:space="preserve">Atbilstoši Jūras vides aizsardzības un pārvaldības likuma 19.panta </w:t>
      </w:r>
      <w:r w:rsidR="005957B8" w:rsidRPr="00700FB4">
        <w:rPr>
          <w:rFonts w:ascii="Arial" w:hAnsi="Arial" w:cs="Arial"/>
          <w:sz w:val="20"/>
          <w:szCs w:val="20"/>
          <w:lang w:eastAsia="lv-LV"/>
        </w:rPr>
        <w:lastRenderedPageBreak/>
        <w:t xml:space="preserve">pirmajai daļai, veicot ūdens apsaimniekošanas darbības attiecībā uz jūru, būtu pienākums ņemt vērā jūras plānojumu arī bez attiecīgā grozījuma Ūdens apsaimniekošanas likumā. Tātad grozījums Ūdens apsaimniekošanas likumā nebūtu </w:t>
      </w:r>
      <w:r w:rsidRPr="00700FB4">
        <w:rPr>
          <w:rFonts w:ascii="Arial" w:hAnsi="Arial" w:cs="Arial"/>
          <w:sz w:val="20"/>
          <w:szCs w:val="20"/>
          <w:lang w:eastAsia="lv-LV"/>
        </w:rPr>
        <w:t xml:space="preserve">nepieciešams. </w:t>
      </w:r>
    </w:p>
    <w:p w:rsidR="00855DDF" w:rsidRPr="00700FB4" w:rsidRDefault="00855DDF" w:rsidP="001D0445">
      <w:pPr>
        <w:pStyle w:val="NoSpacing"/>
        <w:jc w:val="both"/>
        <w:rPr>
          <w:rFonts w:ascii="Arial" w:hAnsi="Arial" w:cs="Arial"/>
          <w:color w:val="000000" w:themeColor="text1"/>
          <w:sz w:val="20"/>
          <w:szCs w:val="20"/>
        </w:rPr>
      </w:pPr>
    </w:p>
    <w:p w:rsidR="001D0445" w:rsidRPr="00700FB4" w:rsidRDefault="005957B8" w:rsidP="001D0445">
      <w:pPr>
        <w:pStyle w:val="NoSpacing"/>
        <w:jc w:val="both"/>
        <w:rPr>
          <w:rFonts w:ascii="Arial" w:hAnsi="Arial" w:cs="Arial"/>
          <w:sz w:val="20"/>
          <w:szCs w:val="20"/>
        </w:rPr>
      </w:pPr>
      <w:r w:rsidRPr="00700FB4">
        <w:rPr>
          <w:rFonts w:ascii="Arial" w:hAnsi="Arial" w:cs="Arial"/>
          <w:color w:val="000000" w:themeColor="text1"/>
          <w:sz w:val="20"/>
          <w:szCs w:val="20"/>
        </w:rPr>
        <w:t xml:space="preserve">Būvniecības nozari regulē </w:t>
      </w:r>
      <w:r w:rsidRPr="00700FB4">
        <w:rPr>
          <w:rFonts w:ascii="Arial" w:hAnsi="Arial" w:cs="Arial"/>
          <w:b/>
          <w:color w:val="000000" w:themeColor="text1"/>
          <w:sz w:val="20"/>
          <w:szCs w:val="20"/>
        </w:rPr>
        <w:t>Būvniecības likums</w:t>
      </w:r>
      <w:r w:rsidRPr="00700FB4">
        <w:rPr>
          <w:rFonts w:ascii="Arial" w:hAnsi="Arial" w:cs="Arial"/>
          <w:color w:val="000000" w:themeColor="text1"/>
          <w:sz w:val="20"/>
          <w:szCs w:val="20"/>
        </w:rPr>
        <w:t xml:space="preserve"> un ar to saistītie normatīvie akti. Būvniecības likuma 15.pantā ir ietverts vispārīgais regulējums attiecībā uz būvatļaujas piešķiršanu, tajā skaitā šā panta pirmajā daļā ir ietverta atsauce uz konkrēta veida teritorijas plānošanas dokumentiem (piemēram, lokālplānojumu), izņemot jūras plānojumu. Tomēr šo pantu nav nepieciešams papildināt ar šo nosacījumu, jo tas jau izriet no Jūras vides aizsardzības un pārvaldības likuma 19.panta pirmās daļas un otrās daļas 4.punkta (licence un atļauja attiecībā uz infrastruktūras būvniecību jūras teritorijā ir licence jūras teritorijas izpētei un izmantošanai būvniecība</w:t>
      </w:r>
      <w:r w:rsidR="00B92782" w:rsidRPr="00700FB4">
        <w:rPr>
          <w:rFonts w:ascii="Arial" w:hAnsi="Arial" w:cs="Arial"/>
          <w:color w:val="000000" w:themeColor="text1"/>
          <w:sz w:val="20"/>
          <w:szCs w:val="20"/>
        </w:rPr>
        <w:t xml:space="preserve">s veikšanai, kā arī būvatļauja), kā arī svarīgs ir apstāklis, jūras plānojums nav iecerēts kā ārējs normatīvais akts. </w:t>
      </w:r>
      <w:r w:rsidRPr="00700FB4">
        <w:rPr>
          <w:rFonts w:ascii="Arial" w:hAnsi="Arial" w:cs="Arial"/>
          <w:color w:val="000000" w:themeColor="text1"/>
          <w:sz w:val="20"/>
          <w:szCs w:val="20"/>
        </w:rPr>
        <w:t xml:space="preserve">Būvniecības procesu papildus regulē </w:t>
      </w:r>
      <w:r w:rsidRPr="00700FB4">
        <w:rPr>
          <w:rFonts w:ascii="Arial" w:hAnsi="Arial" w:cs="Arial"/>
          <w:sz w:val="20"/>
          <w:szCs w:val="20"/>
        </w:rPr>
        <w:t xml:space="preserve">Ministru kabineta 2014.gada 14.oktobra noteikumiem Nr.631 </w:t>
      </w:r>
      <w:r w:rsidRPr="00700FB4">
        <w:rPr>
          <w:rFonts w:ascii="Arial" w:hAnsi="Arial" w:cs="Arial"/>
          <w:b/>
          <w:sz w:val="20"/>
          <w:szCs w:val="20"/>
        </w:rPr>
        <w:t>“Latvijas Republikas iekšējo jūras ūdeņu, teritoriālās jūras un ekskluzīvās ekonomiskās zonas būvju būvnoteikumi”</w:t>
      </w:r>
      <w:r w:rsidR="0091585E" w:rsidRPr="00700FB4">
        <w:rPr>
          <w:rFonts w:ascii="Arial" w:hAnsi="Arial" w:cs="Arial"/>
          <w:sz w:val="20"/>
          <w:szCs w:val="20"/>
        </w:rPr>
        <w:t xml:space="preserve">, kuros norāde uz jūras plānojumu ir ietverta. </w:t>
      </w:r>
      <w:r w:rsidRPr="00700FB4">
        <w:rPr>
          <w:rFonts w:ascii="Arial" w:hAnsi="Arial" w:cs="Arial"/>
          <w:sz w:val="20"/>
          <w:szCs w:val="20"/>
        </w:rPr>
        <w:t xml:space="preserve"> </w:t>
      </w:r>
    </w:p>
    <w:p w:rsidR="001D0445" w:rsidRPr="00700FB4" w:rsidRDefault="001D0445" w:rsidP="001D0445">
      <w:pPr>
        <w:pStyle w:val="NoSpacing"/>
        <w:jc w:val="both"/>
        <w:rPr>
          <w:rFonts w:ascii="Arial" w:hAnsi="Arial" w:cs="Arial"/>
          <w:sz w:val="20"/>
          <w:szCs w:val="20"/>
        </w:rPr>
      </w:pPr>
    </w:p>
    <w:p w:rsidR="00F11A28" w:rsidRPr="00700FB4" w:rsidRDefault="00F11A28" w:rsidP="001D0445">
      <w:pPr>
        <w:pStyle w:val="NoSpacing"/>
        <w:jc w:val="both"/>
        <w:rPr>
          <w:rFonts w:ascii="Arial" w:hAnsi="Arial" w:cs="Arial"/>
          <w:sz w:val="20"/>
          <w:szCs w:val="20"/>
        </w:rPr>
      </w:pPr>
      <w:r w:rsidRPr="00700FB4">
        <w:rPr>
          <w:rFonts w:ascii="Arial" w:hAnsi="Arial" w:cs="Arial"/>
          <w:b/>
          <w:sz w:val="20"/>
          <w:szCs w:val="20"/>
        </w:rPr>
        <w:t>Plānošanas likumā</w:t>
      </w:r>
      <w:r w:rsidRPr="00700FB4">
        <w:rPr>
          <w:rFonts w:ascii="Arial" w:hAnsi="Arial" w:cs="Arial"/>
          <w:sz w:val="20"/>
          <w:szCs w:val="20"/>
        </w:rPr>
        <w:t xml:space="preserve"> papildu grozījumi nav nepieciešami</w:t>
      </w:r>
      <w:r w:rsidR="0091585E" w:rsidRPr="00700FB4">
        <w:rPr>
          <w:rFonts w:ascii="Arial" w:hAnsi="Arial" w:cs="Arial"/>
          <w:sz w:val="20"/>
          <w:szCs w:val="20"/>
        </w:rPr>
        <w:t>, jo tas vienīgi paredz, ka jūras plānojums ir izstrādājams un apstiprināms.</w:t>
      </w:r>
      <w:r w:rsidRPr="00700FB4">
        <w:rPr>
          <w:rFonts w:ascii="Arial" w:hAnsi="Arial" w:cs="Arial"/>
          <w:sz w:val="20"/>
          <w:szCs w:val="20"/>
        </w:rPr>
        <w:t xml:space="preserve"> Tāpat papildu grozījumi nav nepieciešami Jūrlietu pārvaldes un jūras drošības likumā, jo tas piemērojams atbilstoši Jūras vides pārvaldības un aizsardzības likuma norm</w:t>
      </w:r>
      <w:r w:rsidR="001D0445" w:rsidRPr="00700FB4">
        <w:rPr>
          <w:rFonts w:ascii="Arial" w:hAnsi="Arial" w:cs="Arial"/>
          <w:sz w:val="20"/>
          <w:szCs w:val="20"/>
        </w:rPr>
        <w:t xml:space="preserve">ām. Grozījumi nav nepieciešami arī </w:t>
      </w:r>
      <w:r w:rsidR="001D0445" w:rsidRPr="00700FB4">
        <w:rPr>
          <w:rFonts w:ascii="Arial" w:hAnsi="Arial" w:cs="Arial"/>
          <w:b/>
          <w:sz w:val="20"/>
          <w:szCs w:val="20"/>
        </w:rPr>
        <w:t>likumā</w:t>
      </w:r>
      <w:r w:rsidRPr="00700FB4">
        <w:rPr>
          <w:rFonts w:ascii="Arial" w:hAnsi="Arial" w:cs="Arial"/>
          <w:b/>
          <w:sz w:val="20"/>
          <w:szCs w:val="20"/>
        </w:rPr>
        <w:t xml:space="preserve"> “Par ietekmes uz vidi novērtējumu”</w:t>
      </w:r>
      <w:r w:rsidR="001D0445" w:rsidRPr="00700FB4">
        <w:rPr>
          <w:rFonts w:ascii="Arial" w:hAnsi="Arial" w:cs="Arial"/>
          <w:sz w:val="20"/>
          <w:szCs w:val="20"/>
        </w:rPr>
        <w:t>, ja jūras plānojumu neapstiprina ar Ministru kabineta noteikumiem, un tādēļ nav nepieciešams 12. un 14.</w:t>
      </w:r>
      <w:r w:rsidR="001D0445" w:rsidRPr="00700FB4">
        <w:rPr>
          <w:rFonts w:ascii="Arial" w:hAnsi="Arial" w:cs="Arial"/>
          <w:sz w:val="20"/>
          <w:szCs w:val="20"/>
          <w:vertAlign w:val="superscript"/>
        </w:rPr>
        <w:t>1</w:t>
      </w:r>
      <w:r w:rsidR="001D0445" w:rsidRPr="00700FB4">
        <w:rPr>
          <w:rFonts w:ascii="Arial" w:hAnsi="Arial" w:cs="Arial"/>
          <w:sz w:val="20"/>
          <w:szCs w:val="20"/>
        </w:rPr>
        <w:t xml:space="preserve"> pantā risināt situāciju, kad normatīvie akti (teritorijas plānojums) aizliedz paredzēto darbību. </w:t>
      </w:r>
    </w:p>
    <w:p w:rsidR="00855DDF" w:rsidRPr="00700FB4" w:rsidRDefault="00855DDF" w:rsidP="001D0445">
      <w:pPr>
        <w:pStyle w:val="NoSpacing"/>
        <w:jc w:val="both"/>
        <w:rPr>
          <w:rFonts w:ascii="Arial" w:hAnsi="Arial" w:cs="Arial"/>
          <w:sz w:val="20"/>
          <w:szCs w:val="20"/>
        </w:rPr>
      </w:pPr>
    </w:p>
    <w:p w:rsidR="00800E28" w:rsidRPr="00700FB4" w:rsidRDefault="00855DDF" w:rsidP="00E62F7D">
      <w:pPr>
        <w:pStyle w:val="NoSpacing"/>
        <w:jc w:val="both"/>
        <w:rPr>
          <w:rFonts w:ascii="Arial" w:hAnsi="Arial" w:cs="Arial"/>
          <w:sz w:val="20"/>
          <w:szCs w:val="20"/>
          <w:lang w:bidi="lo-LA"/>
        </w:rPr>
      </w:pPr>
      <w:r w:rsidRPr="00700FB4">
        <w:rPr>
          <w:rFonts w:ascii="Arial" w:hAnsi="Arial" w:cs="Arial"/>
          <w:b/>
          <w:sz w:val="20"/>
          <w:szCs w:val="20"/>
        </w:rPr>
        <w:t xml:space="preserve">Jūrlietu </w:t>
      </w:r>
      <w:r w:rsidR="002D074F" w:rsidRPr="00700FB4">
        <w:rPr>
          <w:rFonts w:ascii="Arial" w:hAnsi="Arial" w:cs="Arial"/>
          <w:b/>
          <w:sz w:val="20"/>
          <w:szCs w:val="20"/>
        </w:rPr>
        <w:t>pārvaldes un jūras drošības likums</w:t>
      </w:r>
      <w:r w:rsidR="002D074F" w:rsidRPr="00700FB4">
        <w:rPr>
          <w:rFonts w:ascii="Arial" w:hAnsi="Arial" w:cs="Arial"/>
          <w:sz w:val="20"/>
          <w:szCs w:val="20"/>
        </w:rPr>
        <w:t xml:space="preserve"> nosaka </w:t>
      </w:r>
      <w:r w:rsidR="00350D70" w:rsidRPr="00700FB4">
        <w:rPr>
          <w:rFonts w:ascii="Arial" w:hAnsi="Arial" w:cs="Arial"/>
          <w:sz w:val="20"/>
          <w:szCs w:val="20"/>
        </w:rPr>
        <w:t xml:space="preserve">virkni darbību, kas ir būtiskas un attiektos uz jūras plānojumā noteikto. Tomēr šis likums ir darbojas ciešā saistībā ar Jūras vides pārvaldības un aizsardzības likumu, savstarpēji atsaucas cits uz citu, tādēļ tajā nav nepieciešami papildu grozījumi. Ja tos veiktu, tie vairāk būtu uzskatāmības labad. </w:t>
      </w:r>
      <w:r w:rsidR="00E62F7D" w:rsidRPr="00700FB4">
        <w:rPr>
          <w:rFonts w:ascii="Arial" w:hAnsi="Arial" w:cs="Arial"/>
          <w:sz w:val="20"/>
          <w:szCs w:val="20"/>
        </w:rPr>
        <w:t xml:space="preserve">Grozījumi nav nepieciešami arī Ministru kabineta 2010.gada 21.decembra noteikumos </w:t>
      </w:r>
      <w:r w:rsidR="00800E28" w:rsidRPr="00700FB4">
        <w:rPr>
          <w:rFonts w:ascii="Arial" w:hAnsi="Arial" w:cs="Arial"/>
          <w:sz w:val="20"/>
          <w:szCs w:val="20"/>
          <w:lang w:bidi="lo-LA"/>
        </w:rPr>
        <w:t>Nr.</w:t>
      </w:r>
      <w:r w:rsidR="00E62F7D" w:rsidRPr="00700FB4">
        <w:rPr>
          <w:rFonts w:ascii="Arial" w:hAnsi="Arial" w:cs="Arial"/>
          <w:sz w:val="20"/>
          <w:szCs w:val="20"/>
          <w:lang w:bidi="lo-LA"/>
        </w:rPr>
        <w:t> </w:t>
      </w:r>
      <w:r w:rsidR="00800E28" w:rsidRPr="00700FB4">
        <w:rPr>
          <w:rFonts w:ascii="Arial" w:hAnsi="Arial" w:cs="Arial"/>
          <w:sz w:val="20"/>
          <w:szCs w:val="20"/>
          <w:lang w:bidi="lo-LA"/>
        </w:rPr>
        <w:t xml:space="preserve">1171 </w:t>
      </w:r>
      <w:r w:rsidR="00800E28" w:rsidRPr="00700FB4">
        <w:rPr>
          <w:rFonts w:ascii="Arial" w:hAnsi="Arial" w:cs="Arial"/>
          <w:b/>
          <w:sz w:val="20"/>
          <w:szCs w:val="20"/>
          <w:lang w:bidi="lo-LA"/>
        </w:rPr>
        <w:t>„Noteikumi par Latvijas ūdeņu izmantošanas kārtību un kuģošanas režīmu tajos”</w:t>
      </w:r>
      <w:r w:rsidR="00E62F7D" w:rsidRPr="00700FB4">
        <w:rPr>
          <w:rFonts w:ascii="Arial" w:hAnsi="Arial" w:cs="Arial"/>
          <w:sz w:val="20"/>
          <w:szCs w:val="20"/>
          <w:lang w:bidi="lo-LA"/>
        </w:rPr>
        <w:t>,</w:t>
      </w:r>
      <w:r w:rsidR="00E62F7D" w:rsidRPr="00700FB4">
        <w:rPr>
          <w:rFonts w:ascii="Arial" w:hAnsi="Arial" w:cs="Arial"/>
          <w:b/>
          <w:sz w:val="20"/>
          <w:szCs w:val="20"/>
          <w:lang w:bidi="lo-LA"/>
        </w:rPr>
        <w:t xml:space="preserve"> </w:t>
      </w:r>
      <w:r w:rsidR="00E62F7D" w:rsidRPr="00700FB4">
        <w:rPr>
          <w:rFonts w:ascii="Arial" w:hAnsi="Arial" w:cs="Arial"/>
          <w:sz w:val="20"/>
          <w:szCs w:val="20"/>
          <w:lang w:bidi="lo-LA"/>
        </w:rPr>
        <w:t>kas</w:t>
      </w:r>
      <w:r w:rsidR="00800E28" w:rsidRPr="00700FB4">
        <w:rPr>
          <w:rFonts w:ascii="Arial" w:hAnsi="Arial" w:cs="Arial"/>
          <w:sz w:val="20"/>
          <w:szCs w:val="20"/>
          <w:lang w:bidi="lo-LA"/>
        </w:rPr>
        <w:t xml:space="preserve"> no</w:t>
      </w:r>
      <w:r w:rsidR="00E62F7D" w:rsidRPr="00700FB4">
        <w:rPr>
          <w:rFonts w:ascii="Arial" w:hAnsi="Arial" w:cs="Arial"/>
          <w:sz w:val="20"/>
          <w:szCs w:val="20"/>
          <w:lang w:bidi="lo-LA"/>
        </w:rPr>
        <w:t>teic</w:t>
      </w:r>
      <w:r w:rsidR="00800E28" w:rsidRPr="00700FB4">
        <w:rPr>
          <w:rFonts w:ascii="Arial" w:hAnsi="Arial" w:cs="Arial"/>
          <w:sz w:val="20"/>
          <w:szCs w:val="20"/>
          <w:lang w:bidi="lo-LA"/>
        </w:rPr>
        <w:t xml:space="preserve"> Latvijas ūdeņu izmantošanas kārtību un kuģošanas režīmu tajos, kā arī kuģošanas režīma ierobežojumus un informēšanas kārtību. </w:t>
      </w:r>
      <w:r w:rsidR="00E62F7D" w:rsidRPr="00700FB4">
        <w:rPr>
          <w:rFonts w:ascii="Arial" w:hAnsi="Arial" w:cs="Arial"/>
          <w:sz w:val="20"/>
          <w:szCs w:val="20"/>
          <w:lang w:bidi="lo-LA"/>
        </w:rPr>
        <w:t>Tā, piemēram, noteiktas</w:t>
      </w:r>
      <w:r w:rsidR="00800E28" w:rsidRPr="00700FB4">
        <w:rPr>
          <w:rFonts w:ascii="Arial" w:hAnsi="Arial" w:cs="Arial"/>
          <w:sz w:val="20"/>
          <w:szCs w:val="20"/>
          <w:lang w:bidi="lo-LA"/>
        </w:rPr>
        <w:t xml:space="preserve"> koordinātas septiņām kuģu patvēruma vietām</w:t>
      </w:r>
      <w:r w:rsidR="00E62F7D" w:rsidRPr="00700FB4">
        <w:rPr>
          <w:rFonts w:ascii="Arial" w:hAnsi="Arial" w:cs="Arial"/>
          <w:sz w:val="20"/>
          <w:szCs w:val="20"/>
          <w:lang w:bidi="lo-LA"/>
        </w:rPr>
        <w:t>,</w:t>
      </w:r>
      <w:r w:rsidR="00800E28" w:rsidRPr="00700FB4">
        <w:rPr>
          <w:rFonts w:ascii="Arial" w:hAnsi="Arial" w:cs="Arial"/>
          <w:sz w:val="20"/>
          <w:szCs w:val="20"/>
          <w:lang w:bidi="lo-LA"/>
        </w:rPr>
        <w:t xml:space="preserve"> </w:t>
      </w:r>
      <w:r w:rsidR="00800E28" w:rsidRPr="00700FB4">
        <w:rPr>
          <w:rFonts w:ascii="Arial" w:hAnsi="Arial" w:cs="Arial"/>
          <w:sz w:val="20"/>
          <w:szCs w:val="20"/>
        </w:rPr>
        <w:t>n</w:t>
      </w:r>
      <w:r w:rsidR="00E62F7D" w:rsidRPr="00700FB4">
        <w:rPr>
          <w:rFonts w:ascii="Arial" w:hAnsi="Arial" w:cs="Arial"/>
          <w:sz w:val="20"/>
          <w:szCs w:val="20"/>
        </w:rPr>
        <w:t xml:space="preserve">iršanai aizliegtās teritorijas. </w:t>
      </w:r>
    </w:p>
    <w:p w:rsidR="00E67B62" w:rsidRPr="00700FB4" w:rsidRDefault="00E67B62" w:rsidP="00E67B62">
      <w:pPr>
        <w:pStyle w:val="NoSpacing"/>
        <w:jc w:val="both"/>
        <w:rPr>
          <w:rFonts w:ascii="Arial" w:hAnsi="Arial" w:cs="Arial"/>
          <w:sz w:val="20"/>
          <w:szCs w:val="20"/>
          <w:lang w:eastAsia="lv-LV"/>
        </w:rPr>
      </w:pPr>
    </w:p>
    <w:p w:rsidR="006918CF" w:rsidRPr="00700FB4" w:rsidRDefault="006918CF" w:rsidP="006918CF">
      <w:pPr>
        <w:pStyle w:val="Heading2"/>
        <w:rPr>
          <w:szCs w:val="20"/>
          <w:lang w:eastAsia="lv-LV"/>
        </w:rPr>
      </w:pPr>
      <w:bookmarkStart w:id="55" w:name="_Toc460402359"/>
      <w:r w:rsidRPr="00700FB4">
        <w:rPr>
          <w:szCs w:val="20"/>
          <w:lang w:eastAsia="lv-LV"/>
        </w:rPr>
        <w:t>[7.</w:t>
      </w:r>
      <w:r w:rsidR="00332487" w:rsidRPr="00700FB4">
        <w:rPr>
          <w:szCs w:val="20"/>
          <w:lang w:eastAsia="lv-LV"/>
        </w:rPr>
        <w:t>3</w:t>
      </w:r>
      <w:r w:rsidRPr="00700FB4">
        <w:rPr>
          <w:szCs w:val="20"/>
          <w:lang w:eastAsia="lv-LV"/>
        </w:rPr>
        <w:t xml:space="preserve">] </w:t>
      </w:r>
      <w:r w:rsidRPr="00700FB4">
        <w:rPr>
          <w:rFonts w:cs="Arial"/>
          <w:szCs w:val="20"/>
        </w:rPr>
        <w:t>Jūras vides aizsardzības un pārvaldības likums</w:t>
      </w:r>
      <w:bookmarkEnd w:id="55"/>
    </w:p>
    <w:p w:rsidR="000F55CA" w:rsidRPr="00700FB4" w:rsidRDefault="000F55CA" w:rsidP="000F55CA">
      <w:pPr>
        <w:pStyle w:val="NoSpacing"/>
        <w:jc w:val="both"/>
        <w:rPr>
          <w:rFonts w:ascii="Arial" w:hAnsi="Arial" w:cs="Arial"/>
          <w:sz w:val="20"/>
          <w:szCs w:val="20"/>
        </w:rPr>
      </w:pPr>
      <w:r w:rsidRPr="00700FB4">
        <w:rPr>
          <w:rFonts w:ascii="Arial" w:hAnsi="Arial" w:cs="Arial"/>
          <w:sz w:val="20"/>
          <w:szCs w:val="20"/>
        </w:rPr>
        <w:t>Izteikt 19.panta pirmo daļu šādā redakcijā:</w:t>
      </w:r>
    </w:p>
    <w:p w:rsidR="000F55CA" w:rsidRPr="00700FB4" w:rsidRDefault="000F55CA" w:rsidP="000F55CA">
      <w:pPr>
        <w:pStyle w:val="NoSpacing"/>
        <w:jc w:val="both"/>
        <w:rPr>
          <w:rFonts w:ascii="Arial" w:hAnsi="Arial" w:cs="Arial"/>
          <w:sz w:val="20"/>
          <w:szCs w:val="20"/>
        </w:rPr>
      </w:pPr>
      <w:r w:rsidRPr="00700FB4">
        <w:rPr>
          <w:rFonts w:ascii="Arial" w:hAnsi="Arial" w:cs="Arial"/>
          <w:sz w:val="20"/>
          <w:szCs w:val="20"/>
        </w:rPr>
        <w:t>“(1) Publiska persona un privātpersona (turpmāk – jūras izmantotājs) jūru izmanto atbilstoši attiecīgo darbības veidu regulējošiem normatīvajiem aktiem un šim likumam, ievērojot tā mērķus, vides aizsardzības principus un sabiedrības intereses, kā arī ņem vērā jūras plānojumu</w:t>
      </w:r>
      <w:r w:rsidR="00EE76E8" w:rsidRPr="00700FB4">
        <w:rPr>
          <w:rFonts w:ascii="Arial" w:hAnsi="Arial" w:cs="Arial"/>
          <w:sz w:val="20"/>
          <w:szCs w:val="20"/>
        </w:rPr>
        <w:t>. Jūras plānojumu izmanto</w:t>
      </w:r>
      <w:r w:rsidRPr="00700FB4">
        <w:rPr>
          <w:rFonts w:ascii="Arial" w:hAnsi="Arial" w:cs="Arial"/>
          <w:sz w:val="20"/>
          <w:szCs w:val="20"/>
        </w:rPr>
        <w:t xml:space="preserve"> atbilstoši tā vietai attīstības plānošanas dokumentu sistēmā un </w:t>
      </w:r>
      <w:r w:rsidR="00E62F7D" w:rsidRPr="00700FB4">
        <w:rPr>
          <w:rFonts w:ascii="Arial" w:hAnsi="Arial" w:cs="Arial"/>
          <w:sz w:val="20"/>
          <w:szCs w:val="20"/>
        </w:rPr>
        <w:t>lietderības apsvērumu izdarīšanā</w:t>
      </w:r>
      <w:r w:rsidRPr="00700FB4">
        <w:rPr>
          <w:rFonts w:ascii="Arial" w:hAnsi="Arial" w:cs="Arial"/>
          <w:sz w:val="20"/>
          <w:szCs w:val="20"/>
        </w:rPr>
        <w:t xml:space="preserve"> administratīvā procesa ietvaros.”</w:t>
      </w:r>
    </w:p>
    <w:p w:rsidR="000F55CA" w:rsidRPr="00700FB4" w:rsidRDefault="000F55CA" w:rsidP="000F55CA">
      <w:pPr>
        <w:pStyle w:val="NoSpacing"/>
        <w:jc w:val="both"/>
        <w:rPr>
          <w:rFonts w:ascii="Arial" w:hAnsi="Arial" w:cs="Arial"/>
          <w:sz w:val="20"/>
          <w:szCs w:val="20"/>
        </w:rPr>
      </w:pPr>
    </w:p>
    <w:p w:rsidR="000F55CA" w:rsidRPr="00700FB4" w:rsidRDefault="000F55CA" w:rsidP="000F55CA">
      <w:pPr>
        <w:pStyle w:val="NoSpacing"/>
        <w:jc w:val="both"/>
        <w:rPr>
          <w:rFonts w:ascii="Arial" w:hAnsi="Arial" w:cs="Arial"/>
          <w:sz w:val="20"/>
          <w:szCs w:val="20"/>
          <w:lang w:eastAsia="lv-LV"/>
        </w:rPr>
      </w:pPr>
      <w:r w:rsidRPr="00700FB4">
        <w:rPr>
          <w:rFonts w:ascii="Arial" w:hAnsi="Arial" w:cs="Arial"/>
          <w:sz w:val="20"/>
          <w:szCs w:val="20"/>
          <w:lang w:eastAsia="lv-LV"/>
        </w:rPr>
        <w:t>Papildināt 19.pantu 1.</w:t>
      </w:r>
      <w:r w:rsidR="00E62F7D" w:rsidRPr="00700FB4">
        <w:rPr>
          <w:rFonts w:ascii="Arial" w:hAnsi="Arial" w:cs="Arial"/>
          <w:sz w:val="20"/>
          <w:szCs w:val="20"/>
          <w:vertAlign w:val="superscript"/>
          <w:lang w:eastAsia="lv-LV"/>
        </w:rPr>
        <w:t>1</w:t>
      </w:r>
      <w:r w:rsidR="005A04A5" w:rsidRPr="00700FB4">
        <w:rPr>
          <w:rFonts w:ascii="Arial" w:hAnsi="Arial" w:cs="Arial"/>
          <w:sz w:val="20"/>
          <w:szCs w:val="20"/>
          <w:lang w:eastAsia="lv-LV"/>
        </w:rPr>
        <w:t xml:space="preserve"> un</w:t>
      </w:r>
      <w:r w:rsidR="00E62F7D" w:rsidRPr="00700FB4">
        <w:rPr>
          <w:rFonts w:ascii="Arial" w:hAnsi="Arial" w:cs="Arial"/>
          <w:sz w:val="20"/>
          <w:szCs w:val="20"/>
          <w:lang w:eastAsia="lv-LV"/>
        </w:rPr>
        <w:t xml:space="preserve"> 1.</w:t>
      </w:r>
      <w:r w:rsidR="00E62F7D" w:rsidRPr="00700FB4">
        <w:rPr>
          <w:rFonts w:ascii="Arial" w:hAnsi="Arial" w:cs="Arial"/>
          <w:sz w:val="20"/>
          <w:szCs w:val="20"/>
          <w:vertAlign w:val="superscript"/>
          <w:lang w:eastAsia="lv-LV"/>
        </w:rPr>
        <w:t xml:space="preserve">2  </w:t>
      </w:r>
      <w:r w:rsidR="00E62F7D" w:rsidRPr="00700FB4">
        <w:rPr>
          <w:rFonts w:ascii="Arial" w:hAnsi="Arial" w:cs="Arial"/>
          <w:sz w:val="20"/>
          <w:szCs w:val="20"/>
          <w:lang w:eastAsia="lv-LV"/>
        </w:rPr>
        <w:t>d</w:t>
      </w:r>
      <w:r w:rsidRPr="00700FB4">
        <w:rPr>
          <w:rFonts w:ascii="Arial" w:hAnsi="Arial" w:cs="Arial"/>
          <w:sz w:val="20"/>
          <w:szCs w:val="20"/>
          <w:lang w:eastAsia="lv-LV"/>
        </w:rPr>
        <w:t>aļu šādā redakcijā:</w:t>
      </w:r>
    </w:p>
    <w:p w:rsidR="006A39CB" w:rsidRPr="00700FB4" w:rsidRDefault="005A04A5" w:rsidP="00E62F7D">
      <w:pPr>
        <w:pStyle w:val="NoSpacing"/>
        <w:jc w:val="both"/>
        <w:rPr>
          <w:rFonts w:ascii="Arial" w:eastAsia="MS Mincho" w:hAnsi="Arial" w:cs="Arial"/>
          <w:sz w:val="20"/>
          <w:szCs w:val="20"/>
          <w:lang w:eastAsia="lv-LV" w:bidi="lo-LA"/>
        </w:rPr>
      </w:pPr>
      <w:r w:rsidRPr="00700FB4">
        <w:rPr>
          <w:rFonts w:ascii="Arial" w:hAnsi="Arial" w:cs="Arial"/>
          <w:sz w:val="20"/>
          <w:szCs w:val="20"/>
          <w:lang w:eastAsia="lv-LV"/>
        </w:rPr>
        <w:t>“</w:t>
      </w:r>
      <w:r w:rsidR="00E62F7D" w:rsidRPr="00700FB4">
        <w:rPr>
          <w:rFonts w:ascii="Arial" w:eastAsia="MS Mincho" w:hAnsi="Arial" w:cs="Arial"/>
          <w:sz w:val="20"/>
          <w:szCs w:val="20"/>
          <w:lang w:eastAsia="lv-LV" w:bidi="lo-LA"/>
        </w:rPr>
        <w:t>(1</w:t>
      </w:r>
      <w:r w:rsidRPr="00700FB4">
        <w:rPr>
          <w:rFonts w:ascii="Arial" w:eastAsia="MS Mincho" w:hAnsi="Arial" w:cs="Arial"/>
          <w:sz w:val="20"/>
          <w:szCs w:val="20"/>
          <w:vertAlign w:val="superscript"/>
          <w:lang w:eastAsia="lv-LV" w:bidi="lo-LA"/>
        </w:rPr>
        <w:t>1</w:t>
      </w:r>
      <w:r w:rsidR="00E62F7D" w:rsidRPr="00700FB4">
        <w:rPr>
          <w:rFonts w:ascii="Arial" w:eastAsia="MS Mincho" w:hAnsi="Arial" w:cs="Arial"/>
          <w:sz w:val="20"/>
          <w:szCs w:val="20"/>
          <w:lang w:eastAsia="lv-LV" w:bidi="lo-LA"/>
        </w:rPr>
        <w:t xml:space="preserve">) </w:t>
      </w:r>
      <w:r w:rsidR="00E62F7D" w:rsidRPr="00700FB4">
        <w:rPr>
          <w:rFonts w:ascii="Arial" w:hAnsi="Arial" w:cs="Arial"/>
          <w:sz w:val="20"/>
          <w:szCs w:val="20"/>
        </w:rPr>
        <w:t xml:space="preserve">Jūru izmanto ilgtspējīgi un racionāli, pēc iespējas telpiski kombinējot un savstarpēji papildinot saimnieciskos darbības veidus, kas </w:t>
      </w:r>
      <w:r w:rsidRPr="00700FB4">
        <w:rPr>
          <w:rFonts w:ascii="Arial" w:hAnsi="Arial" w:cs="Arial"/>
          <w:sz w:val="20"/>
          <w:szCs w:val="20"/>
        </w:rPr>
        <w:t>cits citu</w:t>
      </w:r>
      <w:r w:rsidR="00E62F7D" w:rsidRPr="00700FB4">
        <w:rPr>
          <w:rFonts w:ascii="Arial" w:hAnsi="Arial" w:cs="Arial"/>
          <w:sz w:val="20"/>
          <w:szCs w:val="20"/>
        </w:rPr>
        <w:t xml:space="preserve"> netraucē</w:t>
      </w:r>
      <w:r w:rsidRPr="00700FB4">
        <w:rPr>
          <w:rFonts w:ascii="Arial" w:hAnsi="Arial" w:cs="Arial"/>
          <w:sz w:val="20"/>
          <w:szCs w:val="20"/>
        </w:rPr>
        <w:t xml:space="preserve">. </w:t>
      </w:r>
      <w:r w:rsidR="00E62F7D" w:rsidRPr="00700FB4">
        <w:rPr>
          <w:rFonts w:ascii="Arial" w:hAnsi="Arial" w:cs="Arial"/>
          <w:sz w:val="20"/>
          <w:szCs w:val="20"/>
        </w:rPr>
        <w:t>Jūras izmantošanā p</w:t>
      </w:r>
      <w:r w:rsidR="006A39CB" w:rsidRPr="00700FB4">
        <w:rPr>
          <w:rFonts w:ascii="Arial" w:hAnsi="Arial" w:cs="Arial"/>
          <w:sz w:val="20"/>
          <w:szCs w:val="20"/>
        </w:rPr>
        <w:t xml:space="preserve">riekšroka dodama </w:t>
      </w:r>
      <w:r w:rsidR="00E62F7D" w:rsidRPr="00700FB4">
        <w:rPr>
          <w:rFonts w:ascii="Arial" w:hAnsi="Arial" w:cs="Arial"/>
          <w:sz w:val="20"/>
          <w:szCs w:val="20"/>
        </w:rPr>
        <w:t xml:space="preserve">jūras plānojumā paredzētajām </w:t>
      </w:r>
      <w:r w:rsidR="006A39CB" w:rsidRPr="00700FB4">
        <w:rPr>
          <w:rFonts w:ascii="Arial" w:eastAsia="MS Mincho" w:hAnsi="Arial" w:cs="Arial"/>
          <w:sz w:val="20"/>
          <w:szCs w:val="20"/>
          <w:lang w:eastAsia="lv-LV" w:bidi="lo-LA"/>
        </w:rPr>
        <w:t xml:space="preserve">prioritārajām interešu teritorijām un to izmantošanai </w:t>
      </w:r>
      <w:r w:rsidR="00E62F7D" w:rsidRPr="00700FB4">
        <w:rPr>
          <w:rFonts w:ascii="Arial" w:eastAsia="MS Mincho" w:hAnsi="Arial" w:cs="Arial"/>
          <w:sz w:val="20"/>
          <w:szCs w:val="20"/>
          <w:lang w:eastAsia="lv-LV" w:bidi="lo-LA"/>
        </w:rPr>
        <w:t>šajā</w:t>
      </w:r>
      <w:r w:rsidR="006A39CB" w:rsidRPr="00700FB4">
        <w:rPr>
          <w:rFonts w:ascii="Arial" w:eastAsia="MS Mincho" w:hAnsi="Arial" w:cs="Arial"/>
          <w:sz w:val="20"/>
          <w:szCs w:val="20"/>
          <w:lang w:eastAsia="lv-LV" w:bidi="lo-LA"/>
        </w:rPr>
        <w:t xml:space="preserve"> plānojumā paredzētajā veidā</w:t>
      </w:r>
      <w:r w:rsidR="00E62F7D" w:rsidRPr="00700FB4">
        <w:rPr>
          <w:rFonts w:ascii="Arial" w:eastAsia="MS Mincho" w:hAnsi="Arial" w:cs="Arial"/>
          <w:sz w:val="20"/>
          <w:szCs w:val="20"/>
          <w:lang w:eastAsia="lv-LV" w:bidi="lo-LA"/>
        </w:rPr>
        <w:t>. Potenciāli attīstāmajās teritorijā</w:t>
      </w:r>
      <w:r w:rsidR="006A39CB" w:rsidRPr="00700FB4">
        <w:rPr>
          <w:rFonts w:ascii="Arial" w:eastAsia="MS Mincho" w:hAnsi="Arial" w:cs="Arial"/>
          <w:sz w:val="20"/>
          <w:szCs w:val="20"/>
          <w:lang w:eastAsia="lv-LV" w:bidi="lo-LA"/>
        </w:rPr>
        <w:t xml:space="preserve">s </w:t>
      </w:r>
      <w:r w:rsidR="00E62F7D" w:rsidRPr="00700FB4">
        <w:rPr>
          <w:rFonts w:ascii="Arial" w:eastAsia="MS Mincho" w:hAnsi="Arial" w:cs="Arial"/>
          <w:sz w:val="20"/>
          <w:szCs w:val="20"/>
          <w:lang w:eastAsia="lv-LV" w:bidi="lo-LA"/>
        </w:rPr>
        <w:t xml:space="preserve">priekšroka dodama jūras plānojumā paredzētajai izmantošanai </w:t>
      </w:r>
      <w:r w:rsidR="006A39CB" w:rsidRPr="00700FB4">
        <w:rPr>
          <w:rFonts w:ascii="Arial" w:eastAsia="MS Mincho" w:hAnsi="Arial" w:cs="Arial"/>
          <w:sz w:val="20"/>
          <w:szCs w:val="20"/>
          <w:lang w:eastAsia="lv-LV" w:bidi="lo-LA"/>
        </w:rPr>
        <w:t>šajās teritorijās</w:t>
      </w:r>
      <w:r w:rsidR="00E62F7D" w:rsidRPr="00700FB4">
        <w:rPr>
          <w:rFonts w:ascii="Arial" w:eastAsia="MS Mincho" w:hAnsi="Arial" w:cs="Arial"/>
          <w:sz w:val="20"/>
          <w:szCs w:val="20"/>
          <w:lang w:eastAsia="lv-LV" w:bidi="lo-LA"/>
        </w:rPr>
        <w:t>. V</w:t>
      </w:r>
      <w:r w:rsidR="006A39CB" w:rsidRPr="00700FB4">
        <w:rPr>
          <w:rFonts w:ascii="Arial" w:eastAsia="MS Mincho" w:hAnsi="Arial" w:cs="Arial"/>
          <w:sz w:val="20"/>
          <w:szCs w:val="20"/>
          <w:lang w:eastAsia="lv-LV" w:bidi="lo-LA"/>
        </w:rPr>
        <w:t>ispārējās izmantošanas teritorijas paredzētas dažādu veidu izmantošanai, ievērojot normatīvajos aktos noteikto kārtību.</w:t>
      </w:r>
    </w:p>
    <w:p w:rsidR="00E62F7D" w:rsidRPr="00700FB4" w:rsidRDefault="005A04A5" w:rsidP="00E62F7D">
      <w:pPr>
        <w:pStyle w:val="NoSpacing"/>
        <w:jc w:val="both"/>
        <w:rPr>
          <w:rFonts w:ascii="Arial" w:eastAsia="MS Mincho" w:hAnsi="Arial" w:cs="Arial"/>
          <w:sz w:val="20"/>
          <w:szCs w:val="20"/>
          <w:lang w:eastAsia="lv-LV" w:bidi="lo-LA"/>
        </w:rPr>
      </w:pPr>
      <w:r w:rsidRPr="00700FB4">
        <w:rPr>
          <w:rFonts w:ascii="Arial" w:hAnsi="Arial" w:cs="Arial"/>
          <w:sz w:val="20"/>
          <w:szCs w:val="20"/>
        </w:rPr>
        <w:t>(1</w:t>
      </w:r>
      <w:r w:rsidRPr="00700FB4">
        <w:rPr>
          <w:rFonts w:ascii="Arial" w:hAnsi="Arial" w:cs="Arial"/>
          <w:sz w:val="20"/>
          <w:szCs w:val="20"/>
          <w:vertAlign w:val="superscript"/>
        </w:rPr>
        <w:t>2</w:t>
      </w:r>
      <w:r w:rsidRPr="00700FB4">
        <w:rPr>
          <w:rFonts w:ascii="Arial" w:hAnsi="Arial" w:cs="Arial"/>
          <w:sz w:val="20"/>
          <w:szCs w:val="20"/>
        </w:rPr>
        <w:t xml:space="preserve">) </w:t>
      </w:r>
      <w:r w:rsidR="00E62F7D" w:rsidRPr="00700FB4">
        <w:rPr>
          <w:rFonts w:ascii="Arial" w:hAnsi="Arial" w:cs="Arial"/>
          <w:sz w:val="20"/>
          <w:szCs w:val="20"/>
        </w:rPr>
        <w:t xml:space="preserve">Jūras plānojumu ņem vērā jūras izmantošanā, lai mazinātu negatīvo ietekmi uz jūras ekosistēmu, gādātu par valsts drošību, novērstu starpnozaru konfliktus, nodrošinātu izmantošanas veidu nošķiršanu, panāktu dabas apstākļiem un pieejamajiem resursiem atbilstošu jūras izmantošanu, nodrošinātu </w:t>
      </w:r>
      <w:r w:rsidR="00E62F7D" w:rsidRPr="00700FB4">
        <w:rPr>
          <w:rFonts w:ascii="Arial" w:eastAsia="MS Mincho" w:hAnsi="Arial" w:cs="Arial"/>
          <w:sz w:val="20"/>
          <w:szCs w:val="20"/>
          <w:lang w:eastAsia="lv-LV" w:bidi="lo-LA"/>
        </w:rPr>
        <w:t>pietiekamu telpu esošiem jūras lietojuma veidiem paredzētu vietu jaunām, ekonomiski pamatotām izmantošanas interesēm.</w:t>
      </w:r>
      <w:r w:rsidRPr="00700FB4">
        <w:rPr>
          <w:rFonts w:ascii="Arial" w:eastAsia="MS Mincho" w:hAnsi="Arial" w:cs="Arial"/>
          <w:sz w:val="20"/>
          <w:szCs w:val="20"/>
          <w:lang w:eastAsia="lv-LV" w:bidi="lo-LA"/>
        </w:rPr>
        <w:t>”</w:t>
      </w:r>
    </w:p>
    <w:p w:rsidR="003E6D6B" w:rsidRPr="00700FB4" w:rsidRDefault="003E6D6B" w:rsidP="006918CF">
      <w:pPr>
        <w:pStyle w:val="NoSpacing"/>
        <w:jc w:val="both"/>
        <w:rPr>
          <w:rFonts w:ascii="Arial" w:hAnsi="Arial" w:cs="Arial"/>
          <w:sz w:val="20"/>
          <w:szCs w:val="20"/>
          <w:lang w:eastAsia="lv-LV"/>
        </w:rPr>
      </w:pPr>
    </w:p>
    <w:p w:rsidR="000F55CA" w:rsidRPr="00700FB4" w:rsidRDefault="000F55CA" w:rsidP="000F55CA">
      <w:pPr>
        <w:pStyle w:val="NoSpacing"/>
        <w:jc w:val="both"/>
        <w:rPr>
          <w:rFonts w:ascii="Arial" w:hAnsi="Arial" w:cs="Arial"/>
          <w:sz w:val="20"/>
          <w:szCs w:val="20"/>
        </w:rPr>
      </w:pPr>
      <w:r w:rsidRPr="00700FB4">
        <w:rPr>
          <w:rFonts w:ascii="Arial" w:hAnsi="Arial" w:cs="Arial"/>
          <w:sz w:val="20"/>
          <w:szCs w:val="20"/>
        </w:rPr>
        <w:t xml:space="preserve">Kā jau tas detalizēti aplūkots iepriekš, izstrādātais jūras plānojums pēc būtības atbilst nacionālā tematiskā plānojuma formai. Tomēr tā piemērošanai ārējā normatīvajā aktā ir jāiezīmē galvenie nosacījumi, ko varētu izmantot arī administratīvajā procesā kā nenoteiktos tiesību jēdzienus. </w:t>
      </w:r>
    </w:p>
    <w:p w:rsidR="006918CF" w:rsidRPr="00700FB4" w:rsidRDefault="006918CF" w:rsidP="006918CF">
      <w:pPr>
        <w:pStyle w:val="NoSpacing"/>
        <w:jc w:val="both"/>
        <w:rPr>
          <w:rFonts w:ascii="Arial" w:hAnsi="Arial" w:cs="Arial"/>
          <w:sz w:val="20"/>
          <w:szCs w:val="20"/>
        </w:rPr>
      </w:pPr>
    </w:p>
    <w:p w:rsidR="006918CF" w:rsidRPr="00700FB4" w:rsidRDefault="000F55CA" w:rsidP="006918CF">
      <w:pPr>
        <w:pStyle w:val="NoSpacing"/>
        <w:jc w:val="both"/>
        <w:rPr>
          <w:rFonts w:ascii="Arial" w:hAnsi="Arial" w:cs="Arial"/>
          <w:sz w:val="20"/>
          <w:szCs w:val="20"/>
        </w:rPr>
      </w:pPr>
      <w:r w:rsidRPr="00700FB4">
        <w:rPr>
          <w:rFonts w:ascii="Arial" w:hAnsi="Arial" w:cs="Arial"/>
          <w:sz w:val="20"/>
          <w:szCs w:val="20"/>
        </w:rPr>
        <w:t xml:space="preserve">Ja citi </w:t>
      </w:r>
      <w:r w:rsidR="006918CF" w:rsidRPr="00700FB4">
        <w:rPr>
          <w:rFonts w:ascii="Arial" w:hAnsi="Arial" w:cs="Arial"/>
          <w:sz w:val="20"/>
          <w:szCs w:val="20"/>
        </w:rPr>
        <w:t xml:space="preserve">normatīvie akti paredz atšķirīgu regulējumu attiecībā uz jūras izmantošanu, </w:t>
      </w:r>
      <w:r w:rsidRPr="00700FB4">
        <w:rPr>
          <w:rFonts w:ascii="Arial" w:hAnsi="Arial" w:cs="Arial"/>
          <w:sz w:val="20"/>
          <w:szCs w:val="20"/>
        </w:rPr>
        <w:t>prioritāte būtu dodama nevis j</w:t>
      </w:r>
      <w:r w:rsidR="006918CF" w:rsidRPr="00700FB4">
        <w:rPr>
          <w:rFonts w:ascii="Arial" w:hAnsi="Arial" w:cs="Arial"/>
          <w:sz w:val="20"/>
          <w:szCs w:val="20"/>
        </w:rPr>
        <w:t xml:space="preserve">ūras plānojumam, bet gan speciāliem normatīviem aktiem (piemēram, var rasties vajadzība nirt ostas teritorijās, kur tas atbilstoši </w:t>
      </w:r>
      <w:r w:rsidR="00153BE1">
        <w:rPr>
          <w:rFonts w:ascii="Arial" w:hAnsi="Arial" w:cs="Arial"/>
          <w:sz w:val="20"/>
          <w:szCs w:val="20"/>
        </w:rPr>
        <w:t>jūras plānojumam</w:t>
      </w:r>
      <w:r w:rsidR="006918CF" w:rsidRPr="00700FB4">
        <w:rPr>
          <w:rFonts w:ascii="Arial" w:hAnsi="Arial" w:cs="Arial"/>
          <w:sz w:val="20"/>
          <w:szCs w:val="20"/>
        </w:rPr>
        <w:t xml:space="preserve"> ir aizliegts, var tikt grozīti </w:t>
      </w:r>
      <w:r w:rsidR="006918CF" w:rsidRPr="00700FB4">
        <w:rPr>
          <w:rFonts w:ascii="Arial" w:hAnsi="Arial" w:cs="Arial"/>
          <w:sz w:val="20"/>
          <w:szCs w:val="20"/>
        </w:rPr>
        <w:lastRenderedPageBreak/>
        <w:t>noteikumu par militāro radaru darbības zonām, atklāts jauns kultūrvēsturisks piemineklis jūrā, kur nirša</w:t>
      </w:r>
      <w:r w:rsidR="00153BE1">
        <w:rPr>
          <w:rFonts w:ascii="Arial" w:hAnsi="Arial" w:cs="Arial"/>
          <w:sz w:val="20"/>
          <w:szCs w:val="20"/>
        </w:rPr>
        <w:t xml:space="preserve">nai nepieciešama atļauja utt.). </w:t>
      </w:r>
      <w:r w:rsidR="006918CF" w:rsidRPr="00700FB4">
        <w:rPr>
          <w:rFonts w:ascii="Arial" w:hAnsi="Arial" w:cs="Arial"/>
          <w:sz w:val="20"/>
          <w:szCs w:val="20"/>
        </w:rPr>
        <w:t>Šajā sakarā pieminams, ka Satversmes tiesa ir noteikusi, ka, piemēram, aizsargjoslas un to saimnieciskās darbības ierobežojumi, ir spēkā neatkarīgi no ierobežojumu ietveršanas vai aizsargjoslas attēlošanas teritorijas plānojumā.</w:t>
      </w:r>
      <w:r w:rsidR="006918CF" w:rsidRPr="00700FB4">
        <w:rPr>
          <w:rStyle w:val="FootnoteReference"/>
          <w:rFonts w:ascii="Arial" w:hAnsi="Arial" w:cs="Arial"/>
          <w:sz w:val="20"/>
          <w:szCs w:val="20"/>
        </w:rPr>
        <w:footnoteReference w:id="135"/>
      </w:r>
      <w:r w:rsidR="006918CF" w:rsidRPr="00700FB4">
        <w:rPr>
          <w:rFonts w:ascii="Arial" w:hAnsi="Arial" w:cs="Arial"/>
          <w:sz w:val="20"/>
          <w:szCs w:val="20"/>
        </w:rPr>
        <w:t xml:space="preserve"> Jūras plānojuma sakarā būtu saglabājams tāds pats princips</w:t>
      </w:r>
      <w:r w:rsidR="001D0445" w:rsidRPr="00700FB4">
        <w:rPr>
          <w:rFonts w:ascii="Arial" w:hAnsi="Arial" w:cs="Arial"/>
          <w:sz w:val="20"/>
          <w:szCs w:val="20"/>
        </w:rPr>
        <w:t>.</w:t>
      </w:r>
    </w:p>
    <w:p w:rsidR="006918CF" w:rsidRPr="00700FB4" w:rsidRDefault="006918CF" w:rsidP="00E67B62">
      <w:pPr>
        <w:pStyle w:val="NoSpacing"/>
        <w:jc w:val="both"/>
        <w:rPr>
          <w:rFonts w:ascii="Arial" w:hAnsi="Arial" w:cs="Arial"/>
          <w:sz w:val="20"/>
          <w:szCs w:val="20"/>
          <w:lang w:eastAsia="lv-LV"/>
        </w:rPr>
      </w:pPr>
    </w:p>
    <w:p w:rsidR="007F2786" w:rsidRPr="00700FB4" w:rsidRDefault="00332487" w:rsidP="00665269">
      <w:pPr>
        <w:pStyle w:val="Heading2"/>
        <w:rPr>
          <w:lang w:eastAsia="lv-LV"/>
        </w:rPr>
      </w:pPr>
      <w:bookmarkStart w:id="56" w:name="_Toc460402360"/>
      <w:r w:rsidRPr="00700FB4">
        <w:rPr>
          <w:lang w:eastAsia="lv-LV"/>
        </w:rPr>
        <w:t>[7.4</w:t>
      </w:r>
      <w:r w:rsidR="0028463C" w:rsidRPr="00700FB4">
        <w:rPr>
          <w:lang w:eastAsia="lv-LV"/>
        </w:rPr>
        <w:t xml:space="preserve">] </w:t>
      </w:r>
      <w:r w:rsidR="007F2786" w:rsidRPr="00700FB4">
        <w:rPr>
          <w:lang w:eastAsia="lv-LV"/>
        </w:rPr>
        <w:t>Zemes pārvaldības likums</w:t>
      </w:r>
      <w:bookmarkEnd w:id="56"/>
    </w:p>
    <w:p w:rsidR="00855DDF" w:rsidRPr="00700FB4" w:rsidRDefault="00855DDF" w:rsidP="00E67B62">
      <w:pPr>
        <w:pStyle w:val="NoSpacing"/>
        <w:jc w:val="both"/>
        <w:rPr>
          <w:rFonts w:ascii="Arial" w:hAnsi="Arial" w:cs="Arial"/>
          <w:sz w:val="20"/>
          <w:szCs w:val="20"/>
          <w:lang w:eastAsia="lv-LV"/>
        </w:rPr>
      </w:pPr>
      <w:r w:rsidRPr="00700FB4">
        <w:rPr>
          <w:rFonts w:ascii="Arial" w:hAnsi="Arial" w:cs="Arial"/>
          <w:sz w:val="20"/>
          <w:szCs w:val="20"/>
          <w:lang w:eastAsia="lv-LV"/>
        </w:rPr>
        <w:t>Aizstāt 1.panta 7.punktā vārdus “divu kilometru” ar vārdiem “vienas jūras jūdzes”.</w:t>
      </w:r>
    </w:p>
    <w:p w:rsidR="00855DDF" w:rsidRPr="00700FB4" w:rsidRDefault="00855DDF" w:rsidP="00E67B62">
      <w:pPr>
        <w:pStyle w:val="NoSpacing"/>
        <w:jc w:val="both"/>
        <w:rPr>
          <w:rFonts w:ascii="Arial" w:hAnsi="Arial" w:cs="Arial"/>
          <w:sz w:val="20"/>
          <w:szCs w:val="20"/>
          <w:lang w:eastAsia="lv-LV"/>
        </w:rPr>
      </w:pPr>
    </w:p>
    <w:p w:rsidR="00800E28" w:rsidRPr="00700FB4" w:rsidRDefault="007F2786" w:rsidP="00E67B62">
      <w:pPr>
        <w:pStyle w:val="NoSpacing"/>
        <w:jc w:val="both"/>
        <w:rPr>
          <w:rFonts w:ascii="Arial" w:hAnsi="Arial" w:cs="Arial"/>
          <w:sz w:val="20"/>
          <w:szCs w:val="20"/>
          <w:lang w:eastAsia="lv-LV"/>
        </w:rPr>
      </w:pPr>
      <w:r w:rsidRPr="00700FB4">
        <w:rPr>
          <w:rFonts w:ascii="Arial" w:hAnsi="Arial" w:cs="Arial"/>
          <w:sz w:val="20"/>
          <w:szCs w:val="20"/>
          <w:lang w:eastAsia="lv-LV"/>
        </w:rPr>
        <w:t xml:space="preserve">Papildināt 15.pantu </w:t>
      </w:r>
      <w:r w:rsidR="00A649D0" w:rsidRPr="00700FB4">
        <w:rPr>
          <w:rFonts w:ascii="Arial" w:hAnsi="Arial" w:cs="Arial"/>
          <w:sz w:val="20"/>
          <w:szCs w:val="20"/>
          <w:lang w:eastAsia="lv-LV"/>
        </w:rPr>
        <w:t>septīto daļu ar teikumu šādā redakcijā: “</w:t>
      </w:r>
      <w:r w:rsidR="002A6F3B" w:rsidRPr="00700FB4">
        <w:rPr>
          <w:rFonts w:ascii="Arial" w:hAnsi="Arial" w:cs="Arial"/>
          <w:sz w:val="20"/>
          <w:szCs w:val="20"/>
          <w:lang w:eastAsia="lv-LV"/>
        </w:rPr>
        <w:t>J</w:t>
      </w:r>
      <w:r w:rsidRPr="00700FB4">
        <w:rPr>
          <w:rFonts w:ascii="Arial" w:hAnsi="Arial" w:cs="Arial"/>
          <w:sz w:val="20"/>
          <w:szCs w:val="20"/>
          <w:lang w:eastAsia="lv-LV"/>
        </w:rPr>
        <w:t>ūras piekrastes ūdeņus</w:t>
      </w:r>
      <w:r w:rsidR="002A6F3B" w:rsidRPr="00700FB4">
        <w:rPr>
          <w:rFonts w:ascii="Arial" w:hAnsi="Arial" w:cs="Arial"/>
          <w:sz w:val="20"/>
          <w:szCs w:val="20"/>
          <w:lang w:eastAsia="lv-LV"/>
        </w:rPr>
        <w:t xml:space="preserve"> izmanto atbilstoši normatīvajiem aktiem, kas nosaka jūras vides </w:t>
      </w:r>
      <w:r w:rsidR="00800E28" w:rsidRPr="00700FB4">
        <w:rPr>
          <w:rFonts w:ascii="Arial" w:hAnsi="Arial" w:cs="Arial"/>
          <w:sz w:val="20"/>
          <w:szCs w:val="20"/>
          <w:lang w:eastAsia="lv-LV"/>
        </w:rPr>
        <w:t xml:space="preserve">pārvaldību un jūras drošību, </w:t>
      </w:r>
      <w:r w:rsidR="00E62F7D" w:rsidRPr="00700FB4">
        <w:rPr>
          <w:rFonts w:ascii="Arial" w:hAnsi="Arial" w:cs="Arial"/>
          <w:sz w:val="20"/>
          <w:szCs w:val="20"/>
          <w:lang w:eastAsia="lv-LV"/>
        </w:rPr>
        <w:t>un ņemot vērā jūras plānojumu, lai nodrošinātu jūras, piekrastes ūdeņu un piekrastes saskaņotu izmantošanu.”</w:t>
      </w:r>
    </w:p>
    <w:p w:rsidR="009C7CBE" w:rsidRPr="00700FB4" w:rsidRDefault="009C7CBE" w:rsidP="00E67B62">
      <w:pPr>
        <w:pStyle w:val="NoSpacing"/>
        <w:jc w:val="both"/>
        <w:rPr>
          <w:rFonts w:ascii="Arial" w:hAnsi="Arial" w:cs="Arial"/>
          <w:sz w:val="20"/>
          <w:szCs w:val="20"/>
          <w:lang w:eastAsia="lv-LV"/>
        </w:rPr>
      </w:pPr>
    </w:p>
    <w:p w:rsidR="009C7CBE" w:rsidRPr="00700FB4" w:rsidRDefault="009C7CBE" w:rsidP="00E67B62">
      <w:pPr>
        <w:pStyle w:val="NoSpacing"/>
        <w:jc w:val="both"/>
        <w:rPr>
          <w:rFonts w:ascii="Arial" w:hAnsi="Arial" w:cs="Arial"/>
          <w:sz w:val="20"/>
          <w:szCs w:val="20"/>
          <w:lang w:eastAsia="lv-LV"/>
        </w:rPr>
      </w:pPr>
      <w:r w:rsidRPr="00700FB4">
        <w:rPr>
          <w:rFonts w:ascii="Arial" w:hAnsi="Arial" w:cs="Arial"/>
          <w:sz w:val="20"/>
          <w:szCs w:val="20"/>
          <w:lang w:eastAsia="lv-LV"/>
        </w:rPr>
        <w:t xml:space="preserve">Vietējām pašvaldībām, pārvaldot un izmantojot jūras piekrastes ūdeņus, atbilstoši Jūras vides aizsardzības un pārvaldības likuma 19.panta pirmajai daļai būtu pienākums ņemt vērā jūras plānojumu arī bez attiecīgā grozījuma Zemes pārvaldības likumā. Tomēr piekrastes ūdeņu izmantošanas jautājums ir uzskatāms par specifisku un </w:t>
      </w:r>
      <w:r w:rsidR="00E72621" w:rsidRPr="00700FB4">
        <w:rPr>
          <w:rFonts w:ascii="Arial" w:hAnsi="Arial" w:cs="Arial"/>
          <w:sz w:val="20"/>
          <w:szCs w:val="20"/>
          <w:lang w:eastAsia="lv-LV"/>
        </w:rPr>
        <w:t xml:space="preserve">ļoti </w:t>
      </w:r>
      <w:r w:rsidRPr="00700FB4">
        <w:rPr>
          <w:rFonts w:ascii="Arial" w:hAnsi="Arial" w:cs="Arial"/>
          <w:sz w:val="20"/>
          <w:szCs w:val="20"/>
          <w:lang w:eastAsia="lv-LV"/>
        </w:rPr>
        <w:t>būtisku jautājumu,</w:t>
      </w:r>
      <w:r w:rsidR="00CC20C9" w:rsidRPr="00700FB4">
        <w:rPr>
          <w:rFonts w:ascii="Arial" w:hAnsi="Arial" w:cs="Arial"/>
          <w:sz w:val="20"/>
          <w:szCs w:val="20"/>
          <w:lang w:eastAsia="lv-LV"/>
        </w:rPr>
        <w:t xml:space="preserve"> kā tas ir ticis uzsvērts arī Pamatnostādnēs un Latvijas ilgtspējīgas attīstības stratēģijā “Latvija 2030” </w:t>
      </w:r>
      <w:r w:rsidR="00634B79" w:rsidRPr="00700FB4">
        <w:rPr>
          <w:rFonts w:ascii="Arial" w:hAnsi="Arial" w:cs="Arial"/>
          <w:sz w:val="20"/>
          <w:szCs w:val="20"/>
          <w:lang w:eastAsia="lv-LV"/>
        </w:rPr>
        <w:t>(nacionālo interešu telpa)</w:t>
      </w:r>
      <w:r w:rsidR="00C9149C" w:rsidRPr="00700FB4">
        <w:rPr>
          <w:rFonts w:ascii="Arial" w:hAnsi="Arial" w:cs="Arial"/>
          <w:sz w:val="20"/>
          <w:szCs w:val="20"/>
          <w:lang w:eastAsia="lv-LV"/>
        </w:rPr>
        <w:t>.</w:t>
      </w:r>
      <w:r w:rsidR="00CC20C9" w:rsidRPr="00700FB4">
        <w:rPr>
          <w:rStyle w:val="FootnoteReference"/>
          <w:rFonts w:ascii="Arial" w:hAnsi="Arial" w:cs="Arial"/>
          <w:sz w:val="20"/>
          <w:szCs w:val="20"/>
          <w:lang w:eastAsia="lv-LV"/>
        </w:rPr>
        <w:footnoteReference w:id="136"/>
      </w:r>
      <w:r w:rsidR="00C9149C" w:rsidRPr="00700FB4">
        <w:rPr>
          <w:rFonts w:ascii="Arial" w:hAnsi="Arial" w:cs="Arial"/>
          <w:sz w:val="20"/>
          <w:szCs w:val="20"/>
          <w:lang w:eastAsia="lv-LV"/>
        </w:rPr>
        <w:t xml:space="preserve"> Arī Jūras telpiskās plānošanas direktīvas ieviešanā skaidri jāparedz, vai pašvaldības ievēro jūras plānojumu piekrastes ūdeņiem, vai tomēr plānošanu veic pašas pastāvīgi. G</w:t>
      </w:r>
      <w:r w:rsidR="00317524" w:rsidRPr="00700FB4">
        <w:rPr>
          <w:rFonts w:ascii="Arial" w:hAnsi="Arial" w:cs="Arial"/>
          <w:sz w:val="20"/>
          <w:szCs w:val="20"/>
          <w:lang w:eastAsia="lv-LV"/>
        </w:rPr>
        <w:t>rozījums nodrošinātu tiesisko skaidrību, paredzot pašā normā, kura piešķir pašvaldībām kompetenci arī to kompetences ierobežojumu (jūras plānojuma ņemšanu vērā)</w:t>
      </w:r>
      <w:r w:rsidR="00C9149C" w:rsidRPr="00700FB4">
        <w:rPr>
          <w:rFonts w:ascii="Arial" w:hAnsi="Arial" w:cs="Arial"/>
          <w:sz w:val="20"/>
          <w:szCs w:val="20"/>
          <w:lang w:eastAsia="lv-LV"/>
        </w:rPr>
        <w:t>.</w:t>
      </w:r>
    </w:p>
    <w:p w:rsidR="00C9149C" w:rsidRPr="00700FB4" w:rsidRDefault="00C9149C" w:rsidP="00E67B62">
      <w:pPr>
        <w:pStyle w:val="NoSpacing"/>
        <w:jc w:val="both"/>
        <w:rPr>
          <w:rFonts w:ascii="Arial" w:hAnsi="Arial" w:cs="Arial"/>
          <w:sz w:val="20"/>
          <w:szCs w:val="20"/>
          <w:lang w:eastAsia="lv-LV"/>
        </w:rPr>
      </w:pPr>
    </w:p>
    <w:p w:rsidR="00855DDF" w:rsidRPr="00700FB4" w:rsidRDefault="00C9149C" w:rsidP="00855DDF">
      <w:pPr>
        <w:pStyle w:val="NoSpacing"/>
        <w:jc w:val="both"/>
        <w:rPr>
          <w:rFonts w:ascii="Arial" w:hAnsi="Arial" w:cs="Arial"/>
          <w:sz w:val="20"/>
          <w:szCs w:val="20"/>
        </w:rPr>
      </w:pPr>
      <w:r w:rsidRPr="00700FB4">
        <w:rPr>
          <w:rFonts w:ascii="Arial" w:hAnsi="Arial" w:cs="Arial"/>
          <w:sz w:val="20"/>
          <w:szCs w:val="20"/>
          <w:lang w:eastAsia="lv-LV"/>
        </w:rPr>
        <w:t xml:space="preserve">Vienlaikus Zemes pārvaldības likumā, lai tas atbilstu Jūras telpiskās plānošanas direktīvai, būtu jānosaka nevis divu kilometru princips attiecībā uz piekrastes ūdeņiem, bet gan viena jūras jūdze (1852 metri). </w:t>
      </w:r>
      <w:r w:rsidR="00855DDF" w:rsidRPr="00700FB4">
        <w:rPr>
          <w:rFonts w:ascii="Arial" w:hAnsi="Arial" w:cs="Arial"/>
          <w:sz w:val="20"/>
          <w:szCs w:val="20"/>
          <w:lang w:eastAsia="lv-LV"/>
        </w:rPr>
        <w:t>Jūras telpiskās plānošanas d</w:t>
      </w:r>
      <w:r w:rsidR="00855DDF" w:rsidRPr="00700FB4">
        <w:rPr>
          <w:rFonts w:ascii="Arial" w:hAnsi="Arial" w:cs="Arial"/>
          <w:sz w:val="20"/>
          <w:szCs w:val="20"/>
        </w:rPr>
        <w:t xml:space="preserve">irektīvas izpratnē ar piekrastes ūdeņiem tiek saprasti: </w:t>
      </w:r>
      <w:r w:rsidR="00855DDF" w:rsidRPr="00700FB4">
        <w:rPr>
          <w:rFonts w:ascii="Arial" w:hAnsi="Arial" w:cs="Arial"/>
          <w:i/>
          <w:sz w:val="20"/>
          <w:szCs w:val="20"/>
        </w:rPr>
        <w:t>“[..] piekrastes ūdeņi, kā definēts Direktīvas 2000/60/EK 2.panta 7.punktā [..] virszemes ūdeņi krasta virzienā no līnijas, kuras visi punkti atrodas vienu jūras jūdzi jūras virzienā no tuvākā punkta bāzes līnijā, no kuras mēra teritoriālo ūdeņu platumu, attiecīgā gadījumā sniedzoties līdz pārejas ūdeņu ārējai robežai [..]”</w:t>
      </w:r>
      <w:r w:rsidR="00855DDF" w:rsidRPr="00700FB4">
        <w:rPr>
          <w:rFonts w:ascii="Arial" w:hAnsi="Arial" w:cs="Arial"/>
          <w:sz w:val="20"/>
          <w:szCs w:val="20"/>
        </w:rPr>
        <w:t>.</w:t>
      </w:r>
      <w:r w:rsidR="00855DDF" w:rsidRPr="00700FB4">
        <w:rPr>
          <w:rStyle w:val="FootnoteReference"/>
          <w:rFonts w:ascii="Arial" w:hAnsi="Arial" w:cs="Arial"/>
          <w:sz w:val="20"/>
          <w:szCs w:val="20"/>
        </w:rPr>
        <w:footnoteReference w:id="137"/>
      </w:r>
      <w:r w:rsidR="00855DDF" w:rsidRPr="00700FB4">
        <w:rPr>
          <w:rFonts w:ascii="Arial" w:hAnsi="Arial" w:cs="Arial"/>
          <w:sz w:val="20"/>
          <w:szCs w:val="20"/>
        </w:rPr>
        <w:t xml:space="preserve"> Tāpat tas regulēts Ūdens apsaimniekošanas likuma 1.panta 14.punktā. </w:t>
      </w:r>
    </w:p>
    <w:p w:rsidR="00A649D0" w:rsidRPr="00700FB4" w:rsidRDefault="00A649D0" w:rsidP="00E67B62">
      <w:pPr>
        <w:pStyle w:val="NoSpacing"/>
        <w:jc w:val="both"/>
        <w:rPr>
          <w:rFonts w:ascii="Arial" w:hAnsi="Arial" w:cs="Arial"/>
          <w:sz w:val="20"/>
          <w:szCs w:val="20"/>
          <w:lang w:eastAsia="lv-LV"/>
        </w:rPr>
      </w:pPr>
    </w:p>
    <w:p w:rsidR="005855B9" w:rsidRPr="00700FB4" w:rsidRDefault="005855B9" w:rsidP="00665269">
      <w:pPr>
        <w:pStyle w:val="Heading2"/>
      </w:pPr>
      <w:bookmarkStart w:id="57" w:name="_Toc460402361"/>
      <w:r w:rsidRPr="00700FB4">
        <w:t>[7.</w:t>
      </w:r>
      <w:r w:rsidR="00332487" w:rsidRPr="00700FB4">
        <w:t>5</w:t>
      </w:r>
      <w:r w:rsidRPr="00700FB4">
        <w:t xml:space="preserve">] </w:t>
      </w:r>
      <w:r w:rsidR="00EC53FB" w:rsidRPr="00700FB4">
        <w:t>M</w:t>
      </w:r>
      <w:r w:rsidR="00120E8D">
        <w:t>inistru kabineta</w:t>
      </w:r>
      <w:r w:rsidR="00EC53FB" w:rsidRPr="00700FB4">
        <w:t xml:space="preserve"> noteikumi par teritorijas plānošanas dokumentu izstrādi</w:t>
      </w:r>
      <w:bookmarkEnd w:id="57"/>
    </w:p>
    <w:p w:rsidR="001033EA" w:rsidRPr="00700FB4" w:rsidRDefault="00FD0576" w:rsidP="004F5B48">
      <w:pPr>
        <w:pStyle w:val="NoSpacing"/>
        <w:jc w:val="both"/>
        <w:rPr>
          <w:rFonts w:ascii="Arial" w:hAnsi="Arial" w:cs="Arial"/>
          <w:color w:val="000000" w:themeColor="text1"/>
          <w:sz w:val="20"/>
          <w:szCs w:val="20"/>
        </w:rPr>
      </w:pPr>
      <w:r w:rsidRPr="00700FB4">
        <w:rPr>
          <w:rFonts w:ascii="Arial" w:hAnsi="Arial" w:cs="Arial"/>
          <w:color w:val="000000" w:themeColor="text1"/>
          <w:sz w:val="20"/>
          <w:szCs w:val="20"/>
        </w:rPr>
        <w:t>Papildināt ar 63.</w:t>
      </w:r>
      <w:r w:rsidRPr="00700FB4">
        <w:rPr>
          <w:rFonts w:ascii="Arial" w:hAnsi="Arial" w:cs="Arial"/>
          <w:color w:val="000000" w:themeColor="text1"/>
          <w:sz w:val="20"/>
          <w:szCs w:val="20"/>
          <w:vertAlign w:val="superscript"/>
        </w:rPr>
        <w:t>1</w:t>
      </w:r>
      <w:r w:rsidRPr="00700FB4">
        <w:rPr>
          <w:rFonts w:ascii="Arial" w:hAnsi="Arial" w:cs="Arial"/>
          <w:color w:val="000000" w:themeColor="text1"/>
          <w:sz w:val="20"/>
          <w:szCs w:val="20"/>
        </w:rPr>
        <w:t xml:space="preserve"> punktu šādā redakcijā:</w:t>
      </w:r>
    </w:p>
    <w:p w:rsidR="00331215" w:rsidRPr="00700FB4" w:rsidRDefault="00FD0576" w:rsidP="004F5B48">
      <w:pPr>
        <w:pStyle w:val="NoSpacing"/>
        <w:jc w:val="both"/>
        <w:rPr>
          <w:rFonts w:ascii="Arial" w:hAnsi="Arial" w:cs="Arial"/>
          <w:color w:val="000000" w:themeColor="text1"/>
          <w:sz w:val="20"/>
          <w:szCs w:val="20"/>
        </w:rPr>
      </w:pPr>
      <w:bookmarkStart w:id="58" w:name="p-532965"/>
      <w:bookmarkStart w:id="59" w:name="p63"/>
      <w:bookmarkEnd w:id="58"/>
      <w:bookmarkEnd w:id="59"/>
      <w:r w:rsidRPr="00700FB4">
        <w:rPr>
          <w:rFonts w:ascii="Arial" w:hAnsi="Arial" w:cs="Arial"/>
          <w:color w:val="000000" w:themeColor="text1"/>
          <w:sz w:val="20"/>
          <w:szCs w:val="20"/>
        </w:rPr>
        <w:t>“</w:t>
      </w:r>
      <w:r w:rsidR="001033EA" w:rsidRPr="00700FB4">
        <w:rPr>
          <w:rFonts w:ascii="Arial" w:hAnsi="Arial" w:cs="Arial"/>
          <w:color w:val="000000" w:themeColor="text1"/>
          <w:sz w:val="20"/>
          <w:szCs w:val="20"/>
        </w:rPr>
        <w:t>63.</w:t>
      </w:r>
      <w:r w:rsidR="001033EA" w:rsidRPr="00700FB4">
        <w:rPr>
          <w:rFonts w:ascii="Arial" w:hAnsi="Arial" w:cs="Arial"/>
          <w:color w:val="000000" w:themeColor="text1"/>
          <w:sz w:val="20"/>
          <w:szCs w:val="20"/>
          <w:vertAlign w:val="superscript"/>
        </w:rPr>
        <w:t>1</w:t>
      </w:r>
      <w:r w:rsidR="001033EA" w:rsidRPr="00700FB4">
        <w:rPr>
          <w:rFonts w:ascii="Arial" w:hAnsi="Arial" w:cs="Arial"/>
          <w:color w:val="000000" w:themeColor="text1"/>
          <w:sz w:val="20"/>
          <w:szCs w:val="20"/>
        </w:rPr>
        <w:t xml:space="preserve"> Ja teri</w:t>
      </w:r>
      <w:r w:rsidRPr="00700FB4">
        <w:rPr>
          <w:rFonts w:ascii="Arial" w:hAnsi="Arial" w:cs="Arial"/>
          <w:color w:val="000000" w:themeColor="text1"/>
          <w:sz w:val="20"/>
          <w:szCs w:val="20"/>
        </w:rPr>
        <w:t xml:space="preserve">torijas plānojuma ietvaros nosaka jūras piekrastes ūdeņu izmantošanu, </w:t>
      </w:r>
      <w:r w:rsidR="001033EA" w:rsidRPr="00700FB4">
        <w:rPr>
          <w:rFonts w:ascii="Arial" w:hAnsi="Arial" w:cs="Arial"/>
          <w:color w:val="000000" w:themeColor="text1"/>
          <w:sz w:val="20"/>
          <w:szCs w:val="20"/>
        </w:rPr>
        <w:t xml:space="preserve">pašvaldība teritorijas plānojuma redakcijas izstrādes procesā tās saskaņo ar </w:t>
      </w:r>
      <w:r w:rsidRPr="00700FB4">
        <w:rPr>
          <w:rFonts w:ascii="Arial" w:hAnsi="Arial" w:cs="Arial"/>
          <w:color w:val="000000" w:themeColor="text1"/>
          <w:sz w:val="20"/>
          <w:szCs w:val="20"/>
        </w:rPr>
        <w:t>Vides aizsardzības un reģionālās attīstības ministriju</w:t>
      </w:r>
      <w:r w:rsidR="001033EA" w:rsidRPr="00700FB4">
        <w:rPr>
          <w:rFonts w:ascii="Arial" w:hAnsi="Arial" w:cs="Arial"/>
          <w:color w:val="000000" w:themeColor="text1"/>
          <w:sz w:val="20"/>
          <w:szCs w:val="20"/>
        </w:rPr>
        <w:t>.</w:t>
      </w:r>
      <w:r w:rsidRPr="00700FB4">
        <w:rPr>
          <w:rFonts w:ascii="Arial" w:hAnsi="Arial" w:cs="Arial"/>
          <w:color w:val="000000" w:themeColor="text1"/>
          <w:sz w:val="20"/>
          <w:szCs w:val="20"/>
        </w:rPr>
        <w:t>”</w:t>
      </w:r>
      <w:r w:rsidR="00E04682" w:rsidRPr="00700FB4">
        <w:rPr>
          <w:rFonts w:ascii="Arial" w:hAnsi="Arial" w:cs="Arial"/>
          <w:color w:val="000000" w:themeColor="text1"/>
          <w:sz w:val="20"/>
          <w:szCs w:val="20"/>
        </w:rPr>
        <w:t xml:space="preserve"> </w:t>
      </w:r>
    </w:p>
    <w:p w:rsidR="003A00EB" w:rsidRPr="00700FB4" w:rsidRDefault="003A00EB" w:rsidP="004F5B48">
      <w:pPr>
        <w:pStyle w:val="NoSpacing"/>
        <w:jc w:val="both"/>
        <w:rPr>
          <w:rFonts w:ascii="Arial" w:hAnsi="Arial" w:cs="Arial"/>
          <w:color w:val="000000" w:themeColor="text1"/>
          <w:sz w:val="20"/>
          <w:szCs w:val="20"/>
        </w:rPr>
      </w:pPr>
    </w:p>
    <w:p w:rsidR="00232626" w:rsidRDefault="00755BBF" w:rsidP="001E65FD">
      <w:pPr>
        <w:pStyle w:val="NoSpacing"/>
        <w:jc w:val="both"/>
        <w:rPr>
          <w:rFonts w:ascii="Arial" w:hAnsi="Arial" w:cs="Arial"/>
          <w:color w:val="000000" w:themeColor="text1"/>
          <w:sz w:val="20"/>
          <w:szCs w:val="20"/>
        </w:rPr>
      </w:pPr>
      <w:r w:rsidRPr="00700FB4">
        <w:rPr>
          <w:rFonts w:ascii="Arial" w:hAnsi="Arial" w:cs="Arial"/>
          <w:color w:val="000000" w:themeColor="text1"/>
          <w:sz w:val="20"/>
          <w:szCs w:val="20"/>
        </w:rPr>
        <w:t>Šobrīd vietējām pašvaldībām nav noteikts pienākums saskaņot teritorijas plānojumus ar kādu valsts institūciju, ja tajos tiek regulēta piekrastes ūdeņu izmanto</w:t>
      </w:r>
      <w:r w:rsidR="00C5617E" w:rsidRPr="00700FB4">
        <w:rPr>
          <w:rFonts w:ascii="Arial" w:hAnsi="Arial" w:cs="Arial"/>
          <w:color w:val="000000" w:themeColor="text1"/>
          <w:sz w:val="20"/>
          <w:szCs w:val="20"/>
        </w:rPr>
        <w:t xml:space="preserve">šana. Teritorijas attīstības plānošanas likuma 26.pants vien paredz </w:t>
      </w:r>
      <w:r w:rsidR="005957B8" w:rsidRPr="00700FB4">
        <w:rPr>
          <w:rFonts w:ascii="Arial" w:hAnsi="Arial" w:cs="Arial"/>
          <w:color w:val="000000" w:themeColor="text1"/>
          <w:sz w:val="20"/>
          <w:szCs w:val="20"/>
        </w:rPr>
        <w:t>v</w:t>
      </w:r>
      <w:r w:rsidR="00C5617E" w:rsidRPr="00700FB4">
        <w:rPr>
          <w:rFonts w:ascii="Arial" w:hAnsi="Arial" w:cs="Arial"/>
          <w:color w:val="000000" w:themeColor="text1"/>
          <w:sz w:val="20"/>
          <w:szCs w:val="20"/>
        </w:rPr>
        <w:t>ides aizsardzības un reģionālās attīstības ministra tiesības apturēt vietējo pašvaldību terit</w:t>
      </w:r>
      <w:r w:rsidR="008E6F1D" w:rsidRPr="00700FB4">
        <w:rPr>
          <w:rFonts w:ascii="Arial" w:hAnsi="Arial" w:cs="Arial"/>
          <w:color w:val="000000" w:themeColor="text1"/>
          <w:sz w:val="20"/>
          <w:szCs w:val="20"/>
        </w:rPr>
        <w:t>orijas plānojumus, ja tie ir</w:t>
      </w:r>
      <w:r w:rsidR="00C5617E" w:rsidRPr="00700FB4">
        <w:rPr>
          <w:rFonts w:ascii="Arial" w:hAnsi="Arial" w:cs="Arial"/>
          <w:color w:val="000000" w:themeColor="text1"/>
          <w:sz w:val="20"/>
          <w:szCs w:val="20"/>
        </w:rPr>
        <w:t xml:space="preserve"> pretrunā ar jūras plānojumu. Tomēr šāds </w:t>
      </w:r>
      <w:r w:rsidR="008E6F1D" w:rsidRPr="00700FB4">
        <w:rPr>
          <w:rFonts w:ascii="Arial" w:hAnsi="Arial" w:cs="Arial"/>
          <w:color w:val="000000" w:themeColor="text1"/>
          <w:sz w:val="20"/>
          <w:szCs w:val="20"/>
        </w:rPr>
        <w:t xml:space="preserve">tiesiskais </w:t>
      </w:r>
      <w:r w:rsidR="00C5617E" w:rsidRPr="00700FB4">
        <w:rPr>
          <w:rFonts w:ascii="Arial" w:hAnsi="Arial" w:cs="Arial"/>
          <w:color w:val="000000" w:themeColor="text1"/>
          <w:sz w:val="20"/>
          <w:szCs w:val="20"/>
        </w:rPr>
        <w:t xml:space="preserve">regulējums nav pietiekams, jo tas nenovērš iespējamību, ka var tikt pieņemts tāds teritorijas plānojums, kurš nonāk pretrunā ar jūras plānojumu attiecībā uz piekrastes ūdeņu izmantošanu. Turklāt vēl jo vairāk tas nav pietiekams tāpēc, ka savstarpējas saskaņotības prasība izriet ne vien no </w:t>
      </w:r>
      <w:r w:rsidR="008E6F1D" w:rsidRPr="00700FB4">
        <w:rPr>
          <w:rFonts w:ascii="Arial" w:hAnsi="Arial" w:cs="Arial"/>
          <w:color w:val="000000" w:themeColor="text1"/>
          <w:sz w:val="20"/>
          <w:szCs w:val="20"/>
        </w:rPr>
        <w:t>P</w:t>
      </w:r>
      <w:r w:rsidR="00C5617E" w:rsidRPr="00700FB4">
        <w:rPr>
          <w:rFonts w:ascii="Arial" w:hAnsi="Arial" w:cs="Arial"/>
          <w:color w:val="000000" w:themeColor="text1"/>
          <w:sz w:val="20"/>
          <w:szCs w:val="20"/>
        </w:rPr>
        <w:t>lānošanas likuma</w:t>
      </w:r>
      <w:r w:rsidR="005957B8" w:rsidRPr="00700FB4">
        <w:rPr>
          <w:rFonts w:ascii="Arial" w:hAnsi="Arial" w:cs="Arial"/>
          <w:color w:val="000000" w:themeColor="text1"/>
          <w:sz w:val="20"/>
          <w:szCs w:val="20"/>
        </w:rPr>
        <w:t>,</w:t>
      </w:r>
      <w:r w:rsidR="008E6F1D" w:rsidRPr="00700FB4">
        <w:rPr>
          <w:rStyle w:val="FootnoteReference"/>
          <w:rFonts w:ascii="Arial" w:hAnsi="Arial" w:cs="Arial"/>
          <w:color w:val="000000" w:themeColor="text1"/>
          <w:sz w:val="20"/>
          <w:szCs w:val="20"/>
        </w:rPr>
        <w:footnoteReference w:id="138"/>
      </w:r>
      <w:r w:rsidR="00C5617E" w:rsidRPr="00700FB4">
        <w:rPr>
          <w:rFonts w:ascii="Arial" w:hAnsi="Arial" w:cs="Arial"/>
          <w:color w:val="000000" w:themeColor="text1"/>
          <w:sz w:val="20"/>
          <w:szCs w:val="20"/>
        </w:rPr>
        <w:t xml:space="preserve"> bet arī no Jūras telpiskā plānošanas direktīvas, kas nozīmē, ka pretrunu gadījumā tiek pārkāpta minētā direktīva, un līdz ar to valstij var iestāties starptautiski tiesiskā atbildība. </w:t>
      </w:r>
      <w:r w:rsidR="00234BBB" w:rsidRPr="00700FB4">
        <w:rPr>
          <w:rFonts w:ascii="Arial" w:hAnsi="Arial" w:cs="Arial"/>
          <w:color w:val="000000" w:themeColor="text1"/>
          <w:sz w:val="20"/>
          <w:szCs w:val="20"/>
        </w:rPr>
        <w:t>Līdz ar to</w:t>
      </w:r>
      <w:r w:rsidR="00C5617E" w:rsidRPr="00700FB4">
        <w:rPr>
          <w:rFonts w:ascii="Arial" w:hAnsi="Arial" w:cs="Arial"/>
          <w:color w:val="000000" w:themeColor="text1"/>
          <w:sz w:val="20"/>
          <w:szCs w:val="20"/>
        </w:rPr>
        <w:t>, lai nodrošinātu teritorijas plānojuma un jūras plānojuma savstarpēju saskaņotību attiecībā uz piekrastes ūdeņu izmantošanu</w:t>
      </w:r>
      <w:r w:rsidR="006B1CA8" w:rsidRPr="00700FB4">
        <w:rPr>
          <w:rFonts w:ascii="Arial" w:hAnsi="Arial" w:cs="Arial"/>
          <w:color w:val="000000" w:themeColor="text1"/>
          <w:sz w:val="20"/>
          <w:szCs w:val="20"/>
        </w:rPr>
        <w:t xml:space="preserve"> un novērstu valsts atbildības iestāšanos</w:t>
      </w:r>
      <w:r w:rsidR="00C5617E" w:rsidRPr="00700FB4">
        <w:rPr>
          <w:rFonts w:ascii="Arial" w:hAnsi="Arial" w:cs="Arial"/>
          <w:color w:val="000000" w:themeColor="text1"/>
          <w:sz w:val="20"/>
          <w:szCs w:val="20"/>
        </w:rPr>
        <w:t xml:space="preserve">, ir nepieciešams veikt grozījumus Ministru kabineta 2014.gada 14.oktobra noteikumos Nr.628 </w:t>
      </w:r>
      <w:r w:rsidR="00C5617E" w:rsidRPr="00700FB4">
        <w:rPr>
          <w:rFonts w:ascii="Arial" w:hAnsi="Arial" w:cs="Arial"/>
          <w:b/>
          <w:color w:val="000000" w:themeColor="text1"/>
          <w:sz w:val="20"/>
          <w:szCs w:val="20"/>
        </w:rPr>
        <w:t>“Noteikumi par pašvaldību teritorijas attīstības plānošanas dokumen</w:t>
      </w:r>
      <w:r w:rsidR="005957B8" w:rsidRPr="00700FB4">
        <w:rPr>
          <w:rFonts w:ascii="Arial" w:hAnsi="Arial" w:cs="Arial"/>
          <w:b/>
          <w:color w:val="000000" w:themeColor="text1"/>
          <w:sz w:val="20"/>
          <w:szCs w:val="20"/>
        </w:rPr>
        <w:t>tiem”</w:t>
      </w:r>
      <w:r w:rsidR="005957B8" w:rsidRPr="00700FB4">
        <w:rPr>
          <w:rFonts w:ascii="Arial" w:hAnsi="Arial" w:cs="Arial"/>
          <w:color w:val="000000" w:themeColor="text1"/>
          <w:sz w:val="20"/>
          <w:szCs w:val="20"/>
        </w:rPr>
        <w:t>, nosakot, ka gadījumos, kad</w:t>
      </w:r>
      <w:r w:rsidR="00C5617E" w:rsidRPr="00700FB4">
        <w:rPr>
          <w:rFonts w:ascii="Arial" w:hAnsi="Arial" w:cs="Arial"/>
          <w:color w:val="000000" w:themeColor="text1"/>
          <w:sz w:val="20"/>
          <w:szCs w:val="20"/>
        </w:rPr>
        <w:t xml:space="preserve"> pašvaldības teritorijas plānojuma ietvaros nosaka jūras piekrastes ūdeņu izmantošanu, tad attiecīgās teritorijas plānojuma redakcijas saskaņojamas ar Vides aizsardzības un r</w:t>
      </w:r>
      <w:r w:rsidR="00234BBB" w:rsidRPr="00700FB4">
        <w:rPr>
          <w:rFonts w:ascii="Arial" w:hAnsi="Arial" w:cs="Arial"/>
          <w:color w:val="000000" w:themeColor="text1"/>
          <w:sz w:val="20"/>
          <w:szCs w:val="20"/>
        </w:rPr>
        <w:t xml:space="preserve">eģionālās attīstības ministriju. </w:t>
      </w:r>
      <w:r w:rsidR="00A649D0" w:rsidRPr="00700FB4">
        <w:rPr>
          <w:rFonts w:ascii="Arial" w:hAnsi="Arial" w:cs="Arial"/>
          <w:color w:val="000000" w:themeColor="text1"/>
          <w:sz w:val="20"/>
          <w:szCs w:val="20"/>
        </w:rPr>
        <w:t>Obligāts s</w:t>
      </w:r>
      <w:r w:rsidR="00234BBB" w:rsidRPr="00700FB4">
        <w:rPr>
          <w:rFonts w:ascii="Arial" w:hAnsi="Arial" w:cs="Arial"/>
          <w:color w:val="000000" w:themeColor="text1"/>
          <w:sz w:val="20"/>
          <w:szCs w:val="20"/>
        </w:rPr>
        <w:t>askaņojums ar minēto ministriju</w:t>
      </w:r>
      <w:r w:rsidR="00E87368" w:rsidRPr="00700FB4">
        <w:rPr>
          <w:rFonts w:ascii="Arial" w:hAnsi="Arial" w:cs="Arial"/>
          <w:color w:val="000000" w:themeColor="text1"/>
          <w:sz w:val="20"/>
          <w:szCs w:val="20"/>
        </w:rPr>
        <w:t xml:space="preserve"> </w:t>
      </w:r>
      <w:r w:rsidR="00234BBB" w:rsidRPr="00700FB4">
        <w:rPr>
          <w:rFonts w:ascii="Arial" w:hAnsi="Arial" w:cs="Arial"/>
          <w:color w:val="000000" w:themeColor="text1"/>
          <w:sz w:val="20"/>
          <w:szCs w:val="20"/>
        </w:rPr>
        <w:t xml:space="preserve"> būtu veicams tādēļ, ka tā ir atbildīga par jūras plānojuma izstrādi</w:t>
      </w:r>
      <w:r w:rsidR="00C5617E" w:rsidRPr="00700FB4">
        <w:rPr>
          <w:rFonts w:ascii="Arial" w:hAnsi="Arial" w:cs="Arial"/>
          <w:color w:val="000000" w:themeColor="text1"/>
          <w:sz w:val="20"/>
          <w:szCs w:val="20"/>
        </w:rPr>
        <w:t>.</w:t>
      </w:r>
    </w:p>
    <w:p w:rsidR="00232626" w:rsidRDefault="00232626" w:rsidP="001E65FD">
      <w:pPr>
        <w:pStyle w:val="NoSpacing"/>
        <w:jc w:val="both"/>
        <w:rPr>
          <w:rFonts w:ascii="Arial" w:hAnsi="Arial" w:cs="Arial"/>
          <w:color w:val="000000" w:themeColor="text1"/>
          <w:sz w:val="20"/>
          <w:szCs w:val="20"/>
        </w:rPr>
      </w:pPr>
    </w:p>
    <w:p w:rsidR="00232626" w:rsidRPr="00700FB4" w:rsidRDefault="00232626" w:rsidP="00232626">
      <w:pPr>
        <w:pStyle w:val="Heading2"/>
      </w:pPr>
      <w:bookmarkStart w:id="60" w:name="_Toc460402362"/>
      <w:r w:rsidRPr="00700FB4">
        <w:lastRenderedPageBreak/>
        <w:t>[7.</w:t>
      </w:r>
      <w:r>
        <w:t>6</w:t>
      </w:r>
      <w:r w:rsidRPr="00700FB4">
        <w:t>] M</w:t>
      </w:r>
      <w:r>
        <w:t>inistru kabineta</w:t>
      </w:r>
      <w:r w:rsidRPr="00700FB4">
        <w:t xml:space="preserve"> noteikumi </w:t>
      </w:r>
      <w:r w:rsidR="00CB7104">
        <w:t>par būvniecību jūrā</w:t>
      </w:r>
      <w:bookmarkEnd w:id="60"/>
      <w:r w:rsidR="00CB7104">
        <w:t xml:space="preserve"> </w:t>
      </w:r>
    </w:p>
    <w:p w:rsidR="00CB7104" w:rsidRDefault="00CB7104" w:rsidP="00CB7104">
      <w:pPr>
        <w:pStyle w:val="NoSpacing"/>
        <w:jc w:val="both"/>
        <w:rPr>
          <w:rFonts w:ascii="Arial" w:eastAsia="Times New Roman" w:hAnsi="Arial" w:cs="Arial"/>
          <w:color w:val="000000" w:themeColor="text1"/>
          <w:sz w:val="20"/>
          <w:szCs w:val="20"/>
          <w:lang w:eastAsia="lv-LV"/>
        </w:rPr>
      </w:pPr>
      <w:r w:rsidRPr="00CB7104">
        <w:rPr>
          <w:rFonts w:ascii="Arial" w:eastAsia="Times New Roman" w:hAnsi="Arial" w:cs="Arial"/>
          <w:color w:val="000000" w:themeColor="text1"/>
          <w:sz w:val="20"/>
          <w:szCs w:val="20"/>
          <w:lang w:eastAsia="lv-LV"/>
        </w:rPr>
        <w:t>Papildināt ar 11.</w:t>
      </w:r>
      <w:r w:rsidRPr="00CB7104">
        <w:rPr>
          <w:rFonts w:ascii="Arial" w:eastAsia="Times New Roman" w:hAnsi="Arial" w:cs="Arial"/>
          <w:color w:val="000000" w:themeColor="text1"/>
          <w:sz w:val="20"/>
          <w:szCs w:val="20"/>
          <w:vertAlign w:val="superscript"/>
          <w:lang w:eastAsia="lv-LV"/>
        </w:rPr>
        <w:t xml:space="preserve">1 </w:t>
      </w:r>
      <w:r w:rsidRPr="00CB7104">
        <w:rPr>
          <w:rFonts w:ascii="Arial" w:eastAsia="Times New Roman" w:hAnsi="Arial" w:cs="Arial"/>
          <w:color w:val="000000" w:themeColor="text1"/>
          <w:sz w:val="20"/>
          <w:szCs w:val="20"/>
          <w:lang w:eastAsia="lv-LV"/>
        </w:rPr>
        <w:t>punktu šādā redakcijā</w:t>
      </w:r>
      <w:r>
        <w:rPr>
          <w:rFonts w:ascii="Arial" w:eastAsia="Times New Roman" w:hAnsi="Arial" w:cs="Arial"/>
          <w:color w:val="000000" w:themeColor="text1"/>
          <w:sz w:val="20"/>
          <w:szCs w:val="20"/>
          <w:lang w:eastAsia="lv-LV"/>
        </w:rPr>
        <w:t>:</w:t>
      </w:r>
    </w:p>
    <w:p w:rsidR="00CB7104" w:rsidRDefault="00CB7104" w:rsidP="00CB7104">
      <w:pPr>
        <w:pStyle w:val="NoSpacing"/>
        <w:jc w:val="both"/>
        <w:rPr>
          <w:rFonts w:ascii="Arial" w:eastAsia="Times New Roman" w:hAnsi="Arial" w:cs="Arial"/>
          <w:color w:val="000000" w:themeColor="text1"/>
          <w:sz w:val="20"/>
          <w:szCs w:val="20"/>
          <w:lang w:eastAsia="lv-LV"/>
        </w:rPr>
      </w:pPr>
      <w:r>
        <w:rPr>
          <w:rFonts w:ascii="Arial" w:eastAsia="Times New Roman" w:hAnsi="Arial" w:cs="Arial"/>
          <w:color w:val="000000" w:themeColor="text1"/>
          <w:sz w:val="20"/>
          <w:szCs w:val="20"/>
          <w:lang w:eastAsia="lv-LV"/>
        </w:rPr>
        <w:t>“</w:t>
      </w:r>
      <w:r w:rsidRPr="00CB7104">
        <w:rPr>
          <w:rFonts w:ascii="Arial" w:eastAsia="Times New Roman" w:hAnsi="Arial" w:cs="Arial"/>
          <w:color w:val="000000" w:themeColor="text1"/>
          <w:sz w:val="20"/>
          <w:szCs w:val="20"/>
          <w:lang w:eastAsia="lv-LV"/>
        </w:rPr>
        <w:t>11.</w:t>
      </w:r>
      <w:r w:rsidRPr="00CB7104">
        <w:rPr>
          <w:rFonts w:ascii="Arial" w:eastAsia="Times New Roman" w:hAnsi="Arial" w:cs="Arial"/>
          <w:color w:val="000000" w:themeColor="text1"/>
          <w:sz w:val="20"/>
          <w:szCs w:val="20"/>
          <w:vertAlign w:val="superscript"/>
          <w:lang w:eastAsia="lv-LV"/>
        </w:rPr>
        <w:t xml:space="preserve">1 </w:t>
      </w:r>
      <w:r>
        <w:rPr>
          <w:rFonts w:ascii="Arial" w:eastAsia="Times New Roman" w:hAnsi="Arial" w:cs="Arial"/>
          <w:color w:val="000000" w:themeColor="text1"/>
          <w:sz w:val="20"/>
          <w:szCs w:val="20"/>
          <w:lang w:eastAsia="lv-LV"/>
        </w:rPr>
        <w:t xml:space="preserve">Komersants var iesniegumā nenorādīt un nepievienot informāciju, kas nepieciešama iesnieguma izskatīšanai un </w:t>
      </w:r>
      <w:r w:rsidR="00392247">
        <w:rPr>
          <w:rFonts w:ascii="Arial" w:eastAsia="Times New Roman" w:hAnsi="Arial" w:cs="Arial"/>
          <w:color w:val="000000" w:themeColor="text1"/>
          <w:sz w:val="20"/>
          <w:szCs w:val="20"/>
          <w:lang w:eastAsia="lv-LV"/>
        </w:rPr>
        <w:t xml:space="preserve">ir </w:t>
      </w:r>
      <w:r>
        <w:rPr>
          <w:rFonts w:ascii="Arial" w:eastAsia="Times New Roman" w:hAnsi="Arial" w:cs="Arial"/>
          <w:color w:val="000000" w:themeColor="text1"/>
          <w:sz w:val="20"/>
          <w:szCs w:val="20"/>
          <w:lang w:eastAsia="lv-LV"/>
        </w:rPr>
        <w:t>atspoguļota jūras plānojumā.”</w:t>
      </w:r>
    </w:p>
    <w:p w:rsidR="00CB7104" w:rsidRPr="00CB7104" w:rsidRDefault="00CB7104" w:rsidP="00CB7104">
      <w:pPr>
        <w:pStyle w:val="NoSpacing"/>
        <w:jc w:val="both"/>
        <w:rPr>
          <w:rFonts w:ascii="Arial" w:eastAsia="Times New Roman" w:hAnsi="Arial" w:cs="Arial"/>
          <w:color w:val="000000" w:themeColor="text1"/>
          <w:sz w:val="20"/>
          <w:szCs w:val="20"/>
          <w:lang w:eastAsia="lv-LV"/>
        </w:rPr>
      </w:pPr>
    </w:p>
    <w:p w:rsidR="00CB7104" w:rsidRPr="00CB7104" w:rsidRDefault="00CB7104" w:rsidP="00CB7104">
      <w:pPr>
        <w:pStyle w:val="NoSpacing"/>
        <w:jc w:val="both"/>
        <w:rPr>
          <w:rFonts w:ascii="Arial" w:hAnsi="Arial" w:cs="Arial"/>
          <w:sz w:val="20"/>
          <w:szCs w:val="20"/>
        </w:rPr>
      </w:pPr>
      <w:r w:rsidRPr="00CB7104">
        <w:rPr>
          <w:rFonts w:ascii="Arial" w:eastAsia="Times New Roman" w:hAnsi="Arial" w:cs="Arial"/>
          <w:color w:val="000000" w:themeColor="text1"/>
          <w:sz w:val="20"/>
          <w:szCs w:val="20"/>
          <w:lang w:eastAsia="lv-LV"/>
        </w:rPr>
        <w:t>Aizstāt 12.punktā vārdus “</w:t>
      </w:r>
      <w:r w:rsidRPr="00CB7104">
        <w:rPr>
          <w:rFonts w:ascii="Arial" w:hAnsi="Arial" w:cs="Arial"/>
          <w:sz w:val="20"/>
          <w:szCs w:val="20"/>
        </w:rPr>
        <w:t>prasībām, un” ar vārdiem “prasībām, par ko konsultējas ar ministriju, kas atbildīga par jūras plānojuma izstrādi, un”.</w:t>
      </w:r>
    </w:p>
    <w:p w:rsidR="00CB7104" w:rsidRDefault="00CB7104" w:rsidP="00CB7104">
      <w:pPr>
        <w:pStyle w:val="NoSpacing"/>
        <w:jc w:val="both"/>
        <w:rPr>
          <w:rFonts w:ascii="Arial" w:eastAsia="Times New Roman" w:hAnsi="Arial" w:cs="Arial"/>
          <w:color w:val="000000" w:themeColor="text1"/>
          <w:sz w:val="20"/>
          <w:szCs w:val="20"/>
          <w:lang w:eastAsia="lv-LV"/>
        </w:rPr>
      </w:pPr>
    </w:p>
    <w:p w:rsidR="00CB7104" w:rsidRDefault="00CB7104" w:rsidP="00CB7104">
      <w:pPr>
        <w:pStyle w:val="NoSpacing"/>
        <w:jc w:val="both"/>
        <w:rPr>
          <w:rFonts w:ascii="Arial" w:hAnsi="Arial" w:cs="Arial"/>
          <w:color w:val="000000" w:themeColor="text1"/>
          <w:sz w:val="20"/>
          <w:szCs w:val="20"/>
        </w:rPr>
      </w:pPr>
      <w:r w:rsidRPr="00CB7104">
        <w:rPr>
          <w:rFonts w:ascii="Arial" w:eastAsia="Times New Roman" w:hAnsi="Arial" w:cs="Arial"/>
          <w:color w:val="000000" w:themeColor="text1"/>
          <w:sz w:val="20"/>
          <w:szCs w:val="20"/>
          <w:lang w:eastAsia="lv-LV"/>
        </w:rPr>
        <w:t>Ministru kabineta 2014.gada 14.oktobra noteikumu Nr.631</w:t>
      </w:r>
      <w:r w:rsidRPr="00CB7104">
        <w:rPr>
          <w:rFonts w:ascii="Arial" w:eastAsia="Times New Roman" w:hAnsi="Arial" w:cs="Arial"/>
          <w:b/>
          <w:color w:val="000000" w:themeColor="text1"/>
          <w:sz w:val="20"/>
          <w:szCs w:val="20"/>
          <w:lang w:eastAsia="lv-LV"/>
        </w:rPr>
        <w:t xml:space="preserve"> “</w:t>
      </w:r>
      <w:r w:rsidRPr="00CB7104">
        <w:rPr>
          <w:rFonts w:ascii="Arial" w:eastAsia="Times New Roman" w:hAnsi="Arial" w:cs="Arial"/>
          <w:b/>
          <w:bCs/>
          <w:color w:val="000000" w:themeColor="text1"/>
          <w:sz w:val="20"/>
          <w:szCs w:val="20"/>
          <w:lang w:eastAsia="lv-LV"/>
        </w:rPr>
        <w:t xml:space="preserve">Latvijas Republikas iekšējo jūras ūdeņu, teritoriālās jūras un ekskluzīvās ekonomiskās zonas būvju būvnoteikumi” </w:t>
      </w:r>
      <w:r w:rsidRPr="00CB7104">
        <w:rPr>
          <w:rFonts w:ascii="Arial" w:eastAsia="Times New Roman" w:hAnsi="Arial" w:cs="Arial"/>
          <w:bCs/>
          <w:color w:val="000000" w:themeColor="text1"/>
          <w:sz w:val="20"/>
          <w:szCs w:val="20"/>
          <w:lang w:eastAsia="lv-LV"/>
        </w:rPr>
        <w:t>11.punkts noteic, ka i</w:t>
      </w:r>
      <w:r w:rsidRPr="00CB7104">
        <w:rPr>
          <w:rFonts w:ascii="Arial" w:eastAsia="Times New Roman" w:hAnsi="Arial" w:cs="Arial"/>
          <w:color w:val="000000" w:themeColor="text1"/>
          <w:sz w:val="20"/>
          <w:szCs w:val="20"/>
          <w:lang w:eastAsia="lv-LV"/>
        </w:rPr>
        <w:t>esniegumam atbilstoši plānotajām darbībām pievieno informāciju, piemēram, par plānoto darbību ietekmi uz bioloģisko daudzveidību un Eiropas nozīmes aizsargājamām dabas teritorijām (</w:t>
      </w:r>
      <w:r w:rsidRPr="00CB7104">
        <w:rPr>
          <w:rFonts w:ascii="Arial" w:eastAsia="Times New Roman" w:hAnsi="Arial" w:cs="Arial"/>
          <w:i/>
          <w:iCs/>
          <w:color w:val="000000" w:themeColor="text1"/>
          <w:sz w:val="20"/>
          <w:szCs w:val="20"/>
          <w:lang w:eastAsia="lv-LV"/>
        </w:rPr>
        <w:t>Natura 2000</w:t>
      </w:r>
      <w:r w:rsidRPr="00CB7104">
        <w:rPr>
          <w:rFonts w:ascii="Arial" w:eastAsia="Times New Roman" w:hAnsi="Arial" w:cs="Arial"/>
          <w:color w:val="000000" w:themeColor="text1"/>
          <w:sz w:val="20"/>
          <w:szCs w:val="20"/>
          <w:lang w:eastAsia="lv-LV"/>
        </w:rPr>
        <w:t>), kuģu satiksmi. Noteikumu 12.punkts paredz, ka a</w:t>
      </w:r>
      <w:r w:rsidRPr="00CB7104">
        <w:rPr>
          <w:rFonts w:ascii="Arial" w:hAnsi="Arial" w:cs="Arial"/>
          <w:color w:val="000000" w:themeColor="text1"/>
          <w:sz w:val="20"/>
          <w:szCs w:val="20"/>
        </w:rPr>
        <w:t xml:space="preserve">tbildīgā ministrija mēneša laikā izskata iesniegumu un izvērtē, vai iesniegums, tam pievienotā informācija un dokumenti atbilst šo noteikumu un vides aizsardzības un jūras izmantošanas normatīvo aktu prasībām, un pieprasa papildu informāciju vai sagatavo attiecīgu Ministru kabineta rīkojuma projektu. </w:t>
      </w:r>
      <w:r>
        <w:rPr>
          <w:rFonts w:ascii="Arial" w:hAnsi="Arial" w:cs="Arial"/>
          <w:color w:val="000000" w:themeColor="text1"/>
          <w:sz w:val="20"/>
          <w:szCs w:val="20"/>
        </w:rPr>
        <w:t xml:space="preserve">Noteikumos būtu nepieciešams paredzēt, ka komersants var iesniegumā pievienot tikai norādi uz jūras plānojumu, ja tajā jau ir izvērtēta attiecīgas darbības veikšanas iespēja, kā arī noteikt par attiecīgo būvniecību atbildīgās ministrijas un par teritorijas plānošanu atbildīgās ministrijas sadarbība vēl pirms Ministru kabineta tiesību aktu projekta iesniegšanas, lai risinājumu panāktu savlaicīgi, nevis par komersanta ierosinājumu iestāžu domstarpības risinātu Ministru kabinetā. </w:t>
      </w:r>
    </w:p>
    <w:p w:rsidR="00EB3579" w:rsidRPr="00700FB4" w:rsidRDefault="00EB3579" w:rsidP="001E65FD">
      <w:pPr>
        <w:pStyle w:val="NoSpacing"/>
        <w:jc w:val="both"/>
        <w:rPr>
          <w:rFonts w:ascii="Arial" w:eastAsiaTheme="majorEastAsia" w:hAnsi="Arial" w:cstheme="majorBidi"/>
          <w:b/>
          <w:bCs/>
          <w:sz w:val="20"/>
          <w:szCs w:val="28"/>
        </w:rPr>
      </w:pPr>
      <w:r w:rsidRPr="00700FB4">
        <w:br w:type="page"/>
      </w:r>
    </w:p>
    <w:p w:rsidR="0014238E" w:rsidRPr="00700FB4" w:rsidRDefault="007F2786" w:rsidP="00665269">
      <w:pPr>
        <w:pStyle w:val="Heading1"/>
      </w:pPr>
      <w:bookmarkStart w:id="61" w:name="_Toc460402363"/>
      <w:r w:rsidRPr="00700FB4">
        <w:lastRenderedPageBreak/>
        <w:t>[8] Galvenie secinājumi</w:t>
      </w:r>
      <w:bookmarkEnd w:id="61"/>
    </w:p>
    <w:p w:rsidR="00294BA1" w:rsidRPr="00700FB4" w:rsidRDefault="00294BA1" w:rsidP="008C3116">
      <w:pPr>
        <w:pStyle w:val="NoSpacing"/>
        <w:rPr>
          <w:rFonts w:ascii="Arial" w:hAnsi="Arial" w:cs="Arial"/>
          <w:b/>
          <w:sz w:val="20"/>
          <w:szCs w:val="20"/>
        </w:rPr>
      </w:pPr>
    </w:p>
    <w:p w:rsidR="004C109C" w:rsidRPr="00700FB4" w:rsidRDefault="004C109C" w:rsidP="004C109C">
      <w:pPr>
        <w:pStyle w:val="NoSpacing"/>
        <w:jc w:val="both"/>
        <w:rPr>
          <w:rFonts w:ascii="Arial" w:hAnsi="Arial" w:cs="Arial"/>
          <w:b/>
          <w:sz w:val="20"/>
          <w:szCs w:val="20"/>
        </w:rPr>
      </w:pPr>
      <w:r w:rsidRPr="00700FB4">
        <w:rPr>
          <w:rFonts w:ascii="Arial" w:hAnsi="Arial" w:cs="Arial"/>
          <w:b/>
          <w:sz w:val="20"/>
          <w:szCs w:val="20"/>
        </w:rPr>
        <w:t xml:space="preserve">Attiecībā uz starptautiskajām tiesībām un Eiropas Savienības tiesībām </w:t>
      </w:r>
      <w:r w:rsidRPr="00700FB4">
        <w:rPr>
          <w:rFonts w:ascii="Arial" w:hAnsi="Arial" w:cs="Arial"/>
          <w:sz w:val="20"/>
          <w:szCs w:val="20"/>
        </w:rPr>
        <w:t>ņemams vērā, ka:</w:t>
      </w:r>
    </w:p>
    <w:p w:rsidR="00FB178A" w:rsidRPr="00700FB4" w:rsidRDefault="004654A7" w:rsidP="004C109C">
      <w:pPr>
        <w:pStyle w:val="NoSpacing"/>
        <w:jc w:val="both"/>
        <w:rPr>
          <w:rFonts w:ascii="Arial" w:hAnsi="Arial" w:cs="Arial"/>
          <w:sz w:val="20"/>
          <w:szCs w:val="20"/>
        </w:rPr>
      </w:pPr>
      <w:r w:rsidRPr="00700FB4">
        <w:rPr>
          <w:rFonts w:ascii="Arial" w:hAnsi="Arial" w:cs="Arial"/>
          <w:sz w:val="20"/>
          <w:szCs w:val="20"/>
        </w:rPr>
        <w:t>1. R</w:t>
      </w:r>
      <w:r w:rsidR="006D67E2" w:rsidRPr="00700FB4">
        <w:rPr>
          <w:rFonts w:ascii="Arial" w:hAnsi="Arial" w:cs="Arial"/>
          <w:sz w:val="20"/>
          <w:szCs w:val="20"/>
        </w:rPr>
        <w:t xml:space="preserve">espektējami </w:t>
      </w:r>
      <w:r w:rsidR="00FB178A" w:rsidRPr="00700FB4">
        <w:rPr>
          <w:rFonts w:ascii="Arial" w:hAnsi="Arial" w:cs="Arial"/>
          <w:sz w:val="20"/>
          <w:szCs w:val="20"/>
        </w:rPr>
        <w:t>ceļi, kurus parasti izmanto starptau</w:t>
      </w:r>
      <w:r w:rsidR="004C109C" w:rsidRPr="00700FB4">
        <w:rPr>
          <w:rFonts w:ascii="Arial" w:hAnsi="Arial" w:cs="Arial"/>
          <w:sz w:val="20"/>
          <w:szCs w:val="20"/>
        </w:rPr>
        <w:t>t</w:t>
      </w:r>
      <w:r w:rsidR="00FB178A" w:rsidRPr="00700FB4">
        <w:rPr>
          <w:rFonts w:ascii="Arial" w:hAnsi="Arial" w:cs="Arial"/>
          <w:sz w:val="20"/>
          <w:szCs w:val="20"/>
        </w:rPr>
        <w:t>iskajā kuģošanā</w:t>
      </w:r>
      <w:r w:rsidR="004C109C" w:rsidRPr="00700FB4">
        <w:rPr>
          <w:rFonts w:ascii="Arial" w:hAnsi="Arial" w:cs="Arial"/>
          <w:sz w:val="20"/>
          <w:szCs w:val="20"/>
        </w:rPr>
        <w:t xml:space="preserve">, kuģu satiksmes intensitāte, un </w:t>
      </w:r>
      <w:r w:rsidR="00FB178A" w:rsidRPr="00700FB4">
        <w:rPr>
          <w:rFonts w:ascii="Arial" w:hAnsi="Arial" w:cs="Arial"/>
          <w:sz w:val="20"/>
          <w:szCs w:val="20"/>
        </w:rPr>
        <w:t>nedrīkst nepamatoti ierobežot ārvalstu kuģu miermīlīgas caurbraukšanas tiesī</w:t>
      </w:r>
      <w:r w:rsidR="004C109C" w:rsidRPr="00700FB4">
        <w:rPr>
          <w:rFonts w:ascii="Arial" w:hAnsi="Arial" w:cs="Arial"/>
          <w:sz w:val="20"/>
          <w:szCs w:val="20"/>
        </w:rPr>
        <w:t>bas, tai skaitā nedrīkst atļaut veidot iekārtas un būves veidā, kas traucē starptautisko kuģošanu</w:t>
      </w:r>
    </w:p>
    <w:p w:rsidR="00FB178A" w:rsidRPr="00700FB4" w:rsidRDefault="004654A7" w:rsidP="004C109C">
      <w:pPr>
        <w:pStyle w:val="NoSpacing"/>
        <w:jc w:val="both"/>
        <w:rPr>
          <w:rFonts w:ascii="Arial" w:hAnsi="Arial" w:cs="Arial"/>
          <w:sz w:val="20"/>
          <w:szCs w:val="20"/>
        </w:rPr>
      </w:pPr>
      <w:r w:rsidRPr="00700FB4">
        <w:rPr>
          <w:rFonts w:ascii="Arial" w:hAnsi="Arial" w:cs="Arial"/>
          <w:sz w:val="20"/>
          <w:szCs w:val="20"/>
        </w:rPr>
        <w:t>2. N</w:t>
      </w:r>
      <w:r w:rsidR="00FB178A" w:rsidRPr="00700FB4">
        <w:rPr>
          <w:rFonts w:ascii="Arial" w:hAnsi="Arial" w:cs="Arial"/>
          <w:sz w:val="20"/>
          <w:szCs w:val="20"/>
        </w:rPr>
        <w:t>av vēlams noteikt tādu atļauto izmantošanu, kas būtiski varētu ietekmē</w:t>
      </w:r>
      <w:r w:rsidR="004C109C" w:rsidRPr="00700FB4">
        <w:rPr>
          <w:rFonts w:ascii="Arial" w:hAnsi="Arial" w:cs="Arial"/>
          <w:sz w:val="20"/>
          <w:szCs w:val="20"/>
        </w:rPr>
        <w:t>t plūdu apdraudētas teritorijas;</w:t>
      </w:r>
    </w:p>
    <w:p w:rsidR="00FB178A" w:rsidRPr="00700FB4" w:rsidRDefault="004654A7" w:rsidP="004C109C">
      <w:pPr>
        <w:pStyle w:val="NoSpacing"/>
        <w:jc w:val="both"/>
        <w:rPr>
          <w:rFonts w:ascii="Arial" w:hAnsi="Arial" w:cs="Arial"/>
          <w:sz w:val="20"/>
          <w:szCs w:val="20"/>
        </w:rPr>
      </w:pPr>
      <w:r w:rsidRPr="00700FB4">
        <w:rPr>
          <w:rFonts w:ascii="Arial" w:hAnsi="Arial" w:cs="Arial"/>
          <w:sz w:val="20"/>
          <w:szCs w:val="20"/>
        </w:rPr>
        <w:t>3. N</w:t>
      </w:r>
      <w:r w:rsidR="00FB178A" w:rsidRPr="00700FB4">
        <w:rPr>
          <w:rFonts w:ascii="Arial" w:hAnsi="Arial" w:cs="Arial"/>
          <w:sz w:val="20"/>
          <w:szCs w:val="20"/>
        </w:rPr>
        <w:t>osakot atļauto izmantošanu, jāņem vērā pasākumi transzonālo zivju krājumu un tālu migrējošo zivju krājumu saglabāšanai</w:t>
      </w:r>
      <w:r w:rsidR="004C109C" w:rsidRPr="00700FB4">
        <w:rPr>
          <w:rFonts w:ascii="Arial" w:hAnsi="Arial" w:cs="Arial"/>
          <w:sz w:val="20"/>
          <w:szCs w:val="20"/>
        </w:rPr>
        <w:t xml:space="preserve">, </w:t>
      </w:r>
      <w:r w:rsidR="00FB178A" w:rsidRPr="00700FB4">
        <w:rPr>
          <w:rFonts w:ascii="Arial" w:hAnsi="Arial" w:cs="Arial"/>
          <w:sz w:val="20"/>
          <w:szCs w:val="20"/>
        </w:rPr>
        <w:t>jāsadarbojas ar citām valstīm</w:t>
      </w:r>
      <w:r w:rsidR="004C109C" w:rsidRPr="00700FB4">
        <w:rPr>
          <w:rFonts w:ascii="Arial" w:hAnsi="Arial" w:cs="Arial"/>
          <w:sz w:val="20"/>
          <w:szCs w:val="20"/>
        </w:rPr>
        <w:t xml:space="preserve"> ietekmes novērtēšanā;</w:t>
      </w:r>
    </w:p>
    <w:p w:rsidR="00FB178A" w:rsidRPr="00700FB4" w:rsidRDefault="004654A7" w:rsidP="004C109C">
      <w:pPr>
        <w:pStyle w:val="NoSpacing"/>
        <w:jc w:val="both"/>
        <w:rPr>
          <w:rFonts w:ascii="Arial" w:hAnsi="Arial" w:cs="Arial"/>
          <w:sz w:val="20"/>
          <w:szCs w:val="20"/>
        </w:rPr>
      </w:pPr>
      <w:r w:rsidRPr="00700FB4">
        <w:rPr>
          <w:rFonts w:ascii="Arial" w:hAnsi="Arial" w:cs="Arial"/>
          <w:sz w:val="20"/>
          <w:szCs w:val="20"/>
        </w:rPr>
        <w:t>4</w:t>
      </w:r>
      <w:r w:rsidR="004C109C" w:rsidRPr="00700FB4">
        <w:rPr>
          <w:rFonts w:ascii="Arial" w:hAnsi="Arial" w:cs="Arial"/>
          <w:sz w:val="20"/>
          <w:szCs w:val="20"/>
        </w:rPr>
        <w:t xml:space="preserve">. </w:t>
      </w:r>
      <w:r w:rsidRPr="00700FB4">
        <w:rPr>
          <w:rFonts w:ascii="Arial" w:hAnsi="Arial" w:cs="Arial"/>
          <w:sz w:val="20"/>
          <w:szCs w:val="20"/>
        </w:rPr>
        <w:t>J</w:t>
      </w:r>
      <w:r w:rsidR="00FB178A" w:rsidRPr="00700FB4">
        <w:rPr>
          <w:rFonts w:ascii="Arial" w:hAnsi="Arial" w:cs="Arial"/>
          <w:sz w:val="20"/>
          <w:szCs w:val="20"/>
        </w:rPr>
        <w:t>a ir zemūdens arheoloģiskais mantojums,</w:t>
      </w:r>
      <w:r w:rsidR="004C109C" w:rsidRPr="00700FB4">
        <w:rPr>
          <w:rFonts w:ascii="Arial" w:hAnsi="Arial" w:cs="Arial"/>
          <w:sz w:val="20"/>
          <w:szCs w:val="20"/>
        </w:rPr>
        <w:t xml:space="preserve"> tas jāsaglabā un jāaizsargā;</w:t>
      </w:r>
    </w:p>
    <w:p w:rsidR="00FB178A" w:rsidRPr="00700FB4" w:rsidRDefault="004654A7" w:rsidP="004C109C">
      <w:pPr>
        <w:pStyle w:val="NoSpacing"/>
        <w:jc w:val="both"/>
        <w:rPr>
          <w:rFonts w:ascii="Arial" w:hAnsi="Arial" w:cs="Arial"/>
          <w:sz w:val="20"/>
          <w:szCs w:val="20"/>
        </w:rPr>
      </w:pPr>
      <w:r w:rsidRPr="00700FB4">
        <w:rPr>
          <w:rFonts w:ascii="Arial" w:hAnsi="Arial" w:cs="Arial"/>
          <w:sz w:val="20"/>
          <w:szCs w:val="20"/>
        </w:rPr>
        <w:t>5</w:t>
      </w:r>
      <w:r w:rsidR="004C109C" w:rsidRPr="00700FB4">
        <w:rPr>
          <w:rFonts w:ascii="Arial" w:hAnsi="Arial" w:cs="Arial"/>
          <w:sz w:val="20"/>
          <w:szCs w:val="20"/>
        </w:rPr>
        <w:t xml:space="preserve">. </w:t>
      </w:r>
      <w:r w:rsidRPr="00700FB4">
        <w:rPr>
          <w:rFonts w:ascii="Arial" w:hAnsi="Arial" w:cs="Arial"/>
          <w:sz w:val="20"/>
          <w:szCs w:val="20"/>
        </w:rPr>
        <w:t>V</w:t>
      </w:r>
      <w:r w:rsidR="00FB178A" w:rsidRPr="00700FB4">
        <w:rPr>
          <w:rFonts w:ascii="Arial" w:hAnsi="Arial" w:cs="Arial"/>
          <w:sz w:val="20"/>
          <w:szCs w:val="20"/>
        </w:rPr>
        <w:t>eids, kādā valsts izmanto savā jurisdikcijā esošos jūras resursus, nerada kaitējumu videi citās valstīs vai teri</w:t>
      </w:r>
      <w:r w:rsidR="00642204" w:rsidRPr="00700FB4">
        <w:rPr>
          <w:rFonts w:ascii="Arial" w:hAnsi="Arial" w:cs="Arial"/>
          <w:sz w:val="20"/>
          <w:szCs w:val="20"/>
        </w:rPr>
        <w:t>torijās ārpus tās jurisdikcijas;</w:t>
      </w:r>
    </w:p>
    <w:p w:rsidR="00642204" w:rsidRPr="00700FB4" w:rsidRDefault="004654A7" w:rsidP="004C109C">
      <w:pPr>
        <w:pStyle w:val="NoSpacing"/>
        <w:jc w:val="both"/>
        <w:rPr>
          <w:rFonts w:ascii="Arial" w:hAnsi="Arial" w:cs="Arial"/>
          <w:sz w:val="20"/>
          <w:szCs w:val="20"/>
        </w:rPr>
      </w:pPr>
      <w:r w:rsidRPr="00700FB4">
        <w:rPr>
          <w:rFonts w:ascii="Arial" w:hAnsi="Arial" w:cs="Arial"/>
          <w:sz w:val="20"/>
          <w:szCs w:val="20"/>
        </w:rPr>
        <w:t>6. J</w:t>
      </w:r>
      <w:r w:rsidR="00642204" w:rsidRPr="00700FB4">
        <w:rPr>
          <w:rFonts w:ascii="Arial" w:hAnsi="Arial" w:cs="Arial"/>
          <w:sz w:val="20"/>
          <w:szCs w:val="20"/>
        </w:rPr>
        <w:t xml:space="preserve">ūras plānojumu var pieņemt un to īstenot neatkarīgi Latvijas jūras robežas </w:t>
      </w:r>
      <w:r w:rsidR="006D67E2" w:rsidRPr="00700FB4">
        <w:rPr>
          <w:rFonts w:ascii="Arial" w:hAnsi="Arial" w:cs="Arial"/>
          <w:sz w:val="20"/>
          <w:szCs w:val="20"/>
        </w:rPr>
        <w:t>statusa ar citām valstīm, kā arī nav tādu citu starptautisku vai Eiropas Savienības noteikumu, kas liegtu jūras plānojuma pieņemšanu un īstenošanu, tieši pretēji šāds instruments pat tiek pieprasīts kā obligāts.</w:t>
      </w:r>
    </w:p>
    <w:p w:rsidR="004C109C" w:rsidRPr="00700FB4" w:rsidRDefault="004C109C" w:rsidP="004C109C">
      <w:pPr>
        <w:pStyle w:val="NoSpacing"/>
        <w:jc w:val="both"/>
        <w:rPr>
          <w:rFonts w:ascii="Arial" w:hAnsi="Arial" w:cs="Arial"/>
          <w:sz w:val="20"/>
          <w:szCs w:val="20"/>
        </w:rPr>
      </w:pPr>
    </w:p>
    <w:p w:rsidR="004C109C" w:rsidRPr="00700FB4" w:rsidRDefault="006D67E2" w:rsidP="004C109C">
      <w:pPr>
        <w:pStyle w:val="NoSpacing"/>
        <w:jc w:val="both"/>
        <w:rPr>
          <w:rFonts w:ascii="Arial" w:hAnsi="Arial" w:cs="Arial"/>
          <w:sz w:val="20"/>
          <w:szCs w:val="20"/>
        </w:rPr>
      </w:pPr>
      <w:r w:rsidRPr="00700FB4">
        <w:rPr>
          <w:rFonts w:ascii="Arial" w:hAnsi="Arial" w:cs="Arial"/>
          <w:b/>
          <w:sz w:val="20"/>
          <w:szCs w:val="20"/>
        </w:rPr>
        <w:t xml:space="preserve">Attiecībā uz citu Latvijas normatīvo aktu grozījumiem </w:t>
      </w:r>
      <w:r w:rsidRPr="00700FB4">
        <w:rPr>
          <w:rFonts w:ascii="Arial" w:hAnsi="Arial" w:cs="Arial"/>
          <w:sz w:val="20"/>
          <w:szCs w:val="20"/>
        </w:rPr>
        <w:t>ņemams vērā, ka:</w:t>
      </w:r>
    </w:p>
    <w:p w:rsidR="004C109C" w:rsidRPr="00700FB4" w:rsidRDefault="004654A7" w:rsidP="004C109C">
      <w:pPr>
        <w:pStyle w:val="NoSpacing"/>
        <w:jc w:val="both"/>
        <w:rPr>
          <w:rFonts w:ascii="Arial" w:hAnsi="Arial" w:cs="Arial"/>
          <w:sz w:val="20"/>
          <w:szCs w:val="20"/>
        </w:rPr>
      </w:pPr>
      <w:r w:rsidRPr="00700FB4">
        <w:rPr>
          <w:rFonts w:ascii="Arial" w:hAnsi="Arial" w:cs="Arial"/>
          <w:sz w:val="20"/>
          <w:szCs w:val="20"/>
        </w:rPr>
        <w:t>1</w:t>
      </w:r>
      <w:r w:rsidR="006D67E2" w:rsidRPr="00700FB4">
        <w:rPr>
          <w:rFonts w:ascii="Arial" w:hAnsi="Arial" w:cs="Arial"/>
          <w:sz w:val="20"/>
          <w:szCs w:val="20"/>
        </w:rPr>
        <w:t xml:space="preserve">. </w:t>
      </w:r>
      <w:r w:rsidRPr="00700FB4">
        <w:rPr>
          <w:rFonts w:ascii="Arial" w:hAnsi="Arial" w:cs="Arial"/>
          <w:sz w:val="20"/>
          <w:szCs w:val="20"/>
        </w:rPr>
        <w:t xml:space="preserve">Lai arī Teritorijas attīstības plānošanas likums šobrīd nenosaka jūras plānojuma tiesisko formu, </w:t>
      </w:r>
      <w:r w:rsidR="006D67E2" w:rsidRPr="00700FB4">
        <w:rPr>
          <w:rFonts w:ascii="Arial" w:hAnsi="Arial" w:cs="Arial"/>
          <w:sz w:val="20"/>
          <w:szCs w:val="20"/>
        </w:rPr>
        <w:t xml:space="preserve">jūras plānojums pēc tā satura visupirms ir attīstības plānošanas dokuments, kurš apstiprināms kā šāds dokuments, </w:t>
      </w:r>
      <w:r w:rsidR="00F5634D" w:rsidRPr="00700FB4">
        <w:rPr>
          <w:rFonts w:ascii="Arial" w:hAnsi="Arial" w:cs="Arial"/>
          <w:sz w:val="20"/>
          <w:szCs w:val="20"/>
        </w:rPr>
        <w:t>un tas ir saistošs valsts un pašvaldību institūcijām, bet attiecībā uz privātpersonām, kurām likums negarantē subjektīvs publiskas tiesības uz jūras izmantošanu,</w:t>
      </w:r>
      <w:r w:rsidRPr="00700FB4">
        <w:rPr>
          <w:rFonts w:ascii="Arial" w:hAnsi="Arial" w:cs="Arial"/>
          <w:sz w:val="20"/>
          <w:szCs w:val="20"/>
        </w:rPr>
        <w:t>–</w:t>
      </w:r>
      <w:r w:rsidR="00F5634D" w:rsidRPr="00700FB4">
        <w:rPr>
          <w:rFonts w:ascii="Arial" w:hAnsi="Arial" w:cs="Arial"/>
          <w:sz w:val="20"/>
          <w:szCs w:val="20"/>
        </w:rPr>
        <w:t xml:space="preserve"> Administratīvā procesa likuma </w:t>
      </w:r>
      <w:r w:rsidRPr="00700FB4">
        <w:rPr>
          <w:rFonts w:ascii="Arial" w:hAnsi="Arial" w:cs="Arial"/>
          <w:sz w:val="20"/>
          <w:szCs w:val="20"/>
        </w:rPr>
        <w:t>66.panta ietvaros;</w:t>
      </w:r>
    </w:p>
    <w:p w:rsidR="00700FB4" w:rsidRDefault="004654A7" w:rsidP="004C109C">
      <w:pPr>
        <w:pStyle w:val="NoSpacing"/>
        <w:jc w:val="both"/>
        <w:rPr>
          <w:rFonts w:ascii="Arial" w:hAnsi="Arial" w:cs="Arial"/>
          <w:sz w:val="20"/>
          <w:szCs w:val="20"/>
        </w:rPr>
      </w:pPr>
      <w:r w:rsidRPr="00700FB4">
        <w:rPr>
          <w:rFonts w:ascii="Arial" w:hAnsi="Arial" w:cs="Arial"/>
          <w:sz w:val="20"/>
          <w:szCs w:val="20"/>
        </w:rPr>
        <w:t>2</w:t>
      </w:r>
      <w:r w:rsidR="006D67E2" w:rsidRPr="00700FB4">
        <w:rPr>
          <w:rFonts w:ascii="Arial" w:hAnsi="Arial" w:cs="Arial"/>
          <w:sz w:val="20"/>
          <w:szCs w:val="20"/>
        </w:rPr>
        <w:t>.</w:t>
      </w:r>
      <w:r w:rsidRPr="00700FB4">
        <w:rPr>
          <w:rFonts w:ascii="Arial" w:hAnsi="Arial" w:cs="Arial"/>
          <w:sz w:val="20"/>
          <w:szCs w:val="20"/>
        </w:rPr>
        <w:t xml:space="preserve"> </w:t>
      </w:r>
      <w:r w:rsidR="00700FB4">
        <w:rPr>
          <w:rFonts w:ascii="Arial" w:hAnsi="Arial" w:cs="Arial"/>
          <w:sz w:val="20"/>
          <w:szCs w:val="20"/>
        </w:rPr>
        <w:t xml:space="preserve">Jūras vides pārvaldības un aizsardzības likumā </w:t>
      </w:r>
      <w:r w:rsidR="006D67E2" w:rsidRPr="00700FB4">
        <w:rPr>
          <w:rFonts w:ascii="Arial" w:hAnsi="Arial" w:cs="Arial"/>
          <w:sz w:val="20"/>
          <w:szCs w:val="20"/>
        </w:rPr>
        <w:t>ir jāparedz</w:t>
      </w:r>
      <w:r w:rsidRPr="00700FB4">
        <w:rPr>
          <w:rFonts w:ascii="Arial" w:hAnsi="Arial" w:cs="Arial"/>
          <w:sz w:val="20"/>
          <w:szCs w:val="20"/>
        </w:rPr>
        <w:t xml:space="preserve"> svarīgākie nosacījumi (pieejas, metodes, mērķi, prioritātes), kurus ņem vērā, piemērojot jūras plānojumu</w:t>
      </w:r>
      <w:r w:rsidR="00700FB4">
        <w:rPr>
          <w:rFonts w:ascii="Arial" w:hAnsi="Arial" w:cs="Arial"/>
          <w:sz w:val="20"/>
          <w:szCs w:val="20"/>
        </w:rPr>
        <w:t xml:space="preserve">. </w:t>
      </w:r>
    </w:p>
    <w:p w:rsidR="006D67E2" w:rsidRPr="00700FB4" w:rsidRDefault="00700FB4" w:rsidP="004C109C">
      <w:pPr>
        <w:pStyle w:val="NoSpacing"/>
        <w:jc w:val="both"/>
        <w:rPr>
          <w:rFonts w:ascii="Arial" w:hAnsi="Arial" w:cs="Arial"/>
          <w:sz w:val="20"/>
          <w:szCs w:val="20"/>
          <w:lang w:eastAsia="lv-LV"/>
        </w:rPr>
      </w:pPr>
      <w:r>
        <w:rPr>
          <w:rFonts w:ascii="Arial" w:hAnsi="Arial" w:cs="Arial"/>
          <w:sz w:val="20"/>
          <w:szCs w:val="20"/>
        </w:rPr>
        <w:t>3. Jūras plānojumu var apstiprināt un izmantot arī pirms normatīvo aktu grozījumu veikšanas, tomēr ieteicams, ka grozījumi Jūras vides pārvaldības un aizsardzības likumā tiek veikti tuvākajā laikā pēc jūras plānojuma apstiprināšanas</w:t>
      </w:r>
      <w:r w:rsidR="00120E8D">
        <w:rPr>
          <w:rFonts w:ascii="Arial" w:hAnsi="Arial" w:cs="Arial"/>
          <w:sz w:val="20"/>
          <w:szCs w:val="20"/>
        </w:rPr>
        <w:t>, lai samazinātu iespējamos tiesiskos riskus</w:t>
      </w:r>
      <w:r w:rsidR="006D67E2" w:rsidRPr="00700FB4">
        <w:rPr>
          <w:rFonts w:ascii="Arial" w:hAnsi="Arial" w:cs="Arial"/>
          <w:sz w:val="20"/>
          <w:szCs w:val="20"/>
          <w:lang w:eastAsia="lv-LV"/>
        </w:rPr>
        <w:t>;</w:t>
      </w:r>
    </w:p>
    <w:p w:rsidR="006D67E2" w:rsidRPr="00700FB4" w:rsidRDefault="00700FB4" w:rsidP="004C109C">
      <w:pPr>
        <w:pStyle w:val="NoSpacing"/>
        <w:jc w:val="both"/>
        <w:rPr>
          <w:rFonts w:ascii="Arial" w:hAnsi="Arial" w:cs="Arial"/>
          <w:sz w:val="20"/>
          <w:szCs w:val="20"/>
        </w:rPr>
      </w:pPr>
      <w:r>
        <w:rPr>
          <w:rFonts w:ascii="Arial" w:hAnsi="Arial" w:cs="Arial"/>
          <w:sz w:val="20"/>
          <w:szCs w:val="20"/>
        </w:rPr>
        <w:t>4</w:t>
      </w:r>
      <w:r w:rsidR="006D67E2" w:rsidRPr="00700FB4">
        <w:rPr>
          <w:rFonts w:ascii="Arial" w:hAnsi="Arial" w:cs="Arial"/>
          <w:sz w:val="20"/>
          <w:szCs w:val="20"/>
        </w:rPr>
        <w:t xml:space="preserve">. </w:t>
      </w:r>
      <w:r w:rsidR="00FC2172" w:rsidRPr="00700FB4">
        <w:rPr>
          <w:rFonts w:ascii="Arial" w:hAnsi="Arial" w:cs="Arial"/>
          <w:sz w:val="20"/>
          <w:szCs w:val="20"/>
        </w:rPr>
        <w:t>J</w:t>
      </w:r>
      <w:r w:rsidR="006D67E2" w:rsidRPr="00700FB4">
        <w:rPr>
          <w:rFonts w:ascii="Arial" w:hAnsi="Arial" w:cs="Arial"/>
          <w:sz w:val="20"/>
          <w:szCs w:val="20"/>
        </w:rPr>
        <w:t>ūras plānojuma praktisko piemērošanu nosakošā tiesību norma ir Jūras vides aizsardzība</w:t>
      </w:r>
      <w:r w:rsidR="004654A7" w:rsidRPr="00700FB4">
        <w:rPr>
          <w:rFonts w:ascii="Arial" w:hAnsi="Arial" w:cs="Arial"/>
          <w:sz w:val="20"/>
          <w:szCs w:val="20"/>
        </w:rPr>
        <w:t>s un pārvaldības likuma 19.pants</w:t>
      </w:r>
      <w:r w:rsidR="006D67E2" w:rsidRPr="00700FB4">
        <w:rPr>
          <w:rFonts w:ascii="Arial" w:hAnsi="Arial" w:cs="Arial"/>
          <w:sz w:val="20"/>
          <w:szCs w:val="20"/>
        </w:rPr>
        <w:t>, tomēr papildus tai tiesiskās skaidrības un efektivitātes labad jūras plānojums būtu arī</w:t>
      </w:r>
      <w:r w:rsidR="007F0DB5" w:rsidRPr="00700FB4">
        <w:rPr>
          <w:rFonts w:ascii="Arial" w:hAnsi="Arial" w:cs="Arial"/>
          <w:sz w:val="20"/>
          <w:szCs w:val="20"/>
        </w:rPr>
        <w:t xml:space="preserve"> minams Zemes pārvaldības likumā</w:t>
      </w:r>
      <w:r w:rsidR="006D67E2" w:rsidRPr="00700FB4">
        <w:rPr>
          <w:rFonts w:ascii="Arial" w:hAnsi="Arial" w:cs="Arial"/>
          <w:sz w:val="20"/>
          <w:szCs w:val="20"/>
        </w:rPr>
        <w:t>;</w:t>
      </w:r>
    </w:p>
    <w:p w:rsidR="004654A7" w:rsidRPr="00700FB4" w:rsidRDefault="00700FB4" w:rsidP="004C109C">
      <w:pPr>
        <w:pStyle w:val="NoSpacing"/>
        <w:jc w:val="both"/>
        <w:rPr>
          <w:rFonts w:ascii="Arial" w:hAnsi="Arial" w:cs="Arial"/>
          <w:sz w:val="20"/>
          <w:szCs w:val="20"/>
        </w:rPr>
      </w:pPr>
      <w:r>
        <w:rPr>
          <w:rFonts w:ascii="Arial" w:hAnsi="Arial" w:cs="Arial"/>
          <w:sz w:val="20"/>
          <w:szCs w:val="20"/>
        </w:rPr>
        <w:t>5</w:t>
      </w:r>
      <w:r w:rsidR="004654A7" w:rsidRPr="00700FB4">
        <w:rPr>
          <w:rFonts w:ascii="Arial" w:hAnsi="Arial" w:cs="Arial"/>
          <w:sz w:val="20"/>
          <w:szCs w:val="20"/>
        </w:rPr>
        <w:t>. Piekrastes ūdeņu izmantošanā piemērojams jūras plānojums, turklāt šie ūdeņi ir nevis divu kilometru, bet gan vienas jūras jūdzes akvatorija;</w:t>
      </w:r>
    </w:p>
    <w:p w:rsidR="006D67E2" w:rsidRPr="009C31DB" w:rsidRDefault="00700FB4" w:rsidP="004C109C">
      <w:pPr>
        <w:pStyle w:val="NoSpacing"/>
        <w:jc w:val="both"/>
        <w:rPr>
          <w:rFonts w:ascii="Arial" w:hAnsi="Arial" w:cs="Arial"/>
          <w:sz w:val="20"/>
          <w:szCs w:val="20"/>
        </w:rPr>
      </w:pPr>
      <w:r>
        <w:rPr>
          <w:rFonts w:ascii="Arial" w:hAnsi="Arial" w:cs="Arial"/>
          <w:sz w:val="20"/>
          <w:szCs w:val="20"/>
        </w:rPr>
        <w:t>6</w:t>
      </w:r>
      <w:r w:rsidR="004654A7" w:rsidRPr="00700FB4">
        <w:rPr>
          <w:rFonts w:ascii="Arial" w:hAnsi="Arial" w:cs="Arial"/>
          <w:sz w:val="20"/>
          <w:szCs w:val="20"/>
        </w:rPr>
        <w:t>. L</w:t>
      </w:r>
      <w:r w:rsidR="006D67E2" w:rsidRPr="00700FB4">
        <w:rPr>
          <w:rFonts w:ascii="Arial" w:hAnsi="Arial" w:cs="Arial"/>
          <w:sz w:val="20"/>
          <w:szCs w:val="20"/>
        </w:rPr>
        <w:t xml:space="preserve">ai nodrošinātu pašvaldību teritoriju plānojumu sasaisti ar jūras plānojumu, Ministru kabineta noteikumos nosakāms saskaņošanas pienākumus ar Vides aizsardzības un reģionālās </w:t>
      </w:r>
      <w:r w:rsidR="006D67E2" w:rsidRPr="009C31DB">
        <w:rPr>
          <w:rFonts w:ascii="Arial" w:hAnsi="Arial" w:cs="Arial"/>
          <w:sz w:val="20"/>
          <w:szCs w:val="20"/>
        </w:rPr>
        <w:t>attīstīb</w:t>
      </w:r>
      <w:r w:rsidR="004654A7" w:rsidRPr="009C31DB">
        <w:rPr>
          <w:rFonts w:ascii="Arial" w:hAnsi="Arial" w:cs="Arial"/>
          <w:sz w:val="20"/>
          <w:szCs w:val="20"/>
        </w:rPr>
        <w:t>as ministriju.</w:t>
      </w:r>
      <w:r w:rsidR="00EE76E8" w:rsidRPr="009C31DB">
        <w:rPr>
          <w:rFonts w:ascii="Arial" w:hAnsi="Arial" w:cs="Arial"/>
          <w:sz w:val="20"/>
          <w:szCs w:val="20"/>
        </w:rPr>
        <w:t xml:space="preserve"> Tas faktiski attiektos uz 17 piekrastes pašvaldībām. </w:t>
      </w:r>
    </w:p>
    <w:p w:rsidR="009C31DB" w:rsidRPr="009C31DB" w:rsidRDefault="009C31DB" w:rsidP="009C31DB">
      <w:pPr>
        <w:pStyle w:val="NoSpacing"/>
        <w:jc w:val="both"/>
        <w:rPr>
          <w:rFonts w:ascii="Arial" w:hAnsi="Arial" w:cs="Arial"/>
          <w:sz w:val="20"/>
          <w:szCs w:val="20"/>
        </w:rPr>
      </w:pPr>
      <w:r w:rsidRPr="009C31DB">
        <w:rPr>
          <w:rFonts w:ascii="Arial" w:hAnsi="Arial" w:cs="Arial"/>
          <w:sz w:val="20"/>
          <w:szCs w:val="20"/>
        </w:rPr>
        <w:t>7. Jūras plānojumu var uzturēt arī elektroniskā versijā, lai tas b</w:t>
      </w:r>
      <w:r w:rsidR="00193675">
        <w:rPr>
          <w:rFonts w:ascii="Arial" w:hAnsi="Arial" w:cs="Arial"/>
          <w:sz w:val="20"/>
          <w:szCs w:val="20"/>
        </w:rPr>
        <w:t>ūtu pieejams un uztveramāks lietotājam</w:t>
      </w:r>
      <w:r w:rsidRPr="009C31DB">
        <w:rPr>
          <w:rFonts w:ascii="Arial" w:hAnsi="Arial" w:cs="Arial"/>
          <w:sz w:val="20"/>
          <w:szCs w:val="20"/>
        </w:rPr>
        <w:t>. Lai paredzētu šādu iestādes funkciju, jāpapildina Ministru kabineta 2012.gada 30.oktobra noteikumi Nr. 740 “</w:t>
      </w:r>
      <w:r w:rsidRPr="009C31DB">
        <w:rPr>
          <w:rFonts w:ascii="Arial" w:eastAsia="Times New Roman" w:hAnsi="Arial" w:cs="Arial"/>
          <w:bCs/>
          <w:sz w:val="20"/>
          <w:szCs w:val="20"/>
          <w:lang w:eastAsia="lv-LV"/>
        </w:rPr>
        <w:t>Jūras plānojuma izstrādes, ieviešanas un uzraudzības kārtība</w:t>
      </w:r>
      <w:r>
        <w:rPr>
          <w:rFonts w:ascii="Arial" w:eastAsia="Times New Roman" w:hAnsi="Arial" w:cs="Arial"/>
          <w:bCs/>
          <w:sz w:val="20"/>
          <w:szCs w:val="20"/>
          <w:lang w:eastAsia="lv-LV"/>
        </w:rPr>
        <w:t xml:space="preserve">”, paredzot, ka šādas versijas uzturēšana ir viena no jūras plānojuma ieviešanas darbībām. </w:t>
      </w:r>
    </w:p>
    <w:p w:rsidR="009C31DB" w:rsidRDefault="009C31DB" w:rsidP="004C109C">
      <w:pPr>
        <w:pStyle w:val="NoSpacing"/>
        <w:jc w:val="both"/>
        <w:rPr>
          <w:rFonts w:ascii="Arial" w:hAnsi="Arial" w:cs="Arial"/>
          <w:sz w:val="20"/>
          <w:szCs w:val="20"/>
        </w:rPr>
      </w:pPr>
    </w:p>
    <w:p w:rsidR="006D67E2" w:rsidRDefault="006D67E2" w:rsidP="004C109C">
      <w:pPr>
        <w:pStyle w:val="NoSpacing"/>
        <w:jc w:val="both"/>
        <w:rPr>
          <w:rFonts w:ascii="Arial" w:hAnsi="Arial" w:cs="Arial"/>
          <w:sz w:val="20"/>
          <w:szCs w:val="20"/>
        </w:rPr>
      </w:pPr>
    </w:p>
    <w:p w:rsidR="006D67E2" w:rsidRDefault="006D67E2" w:rsidP="004C109C">
      <w:pPr>
        <w:pStyle w:val="NoSpacing"/>
        <w:jc w:val="both"/>
        <w:rPr>
          <w:rFonts w:ascii="Arial" w:hAnsi="Arial" w:cs="Arial"/>
          <w:sz w:val="20"/>
          <w:szCs w:val="20"/>
        </w:rPr>
      </w:pPr>
    </w:p>
    <w:p w:rsidR="006D67E2" w:rsidRDefault="006D67E2" w:rsidP="004C109C">
      <w:pPr>
        <w:pStyle w:val="NoSpacing"/>
        <w:jc w:val="both"/>
        <w:rPr>
          <w:rFonts w:ascii="Arial" w:hAnsi="Arial" w:cs="Arial"/>
          <w:sz w:val="20"/>
          <w:szCs w:val="20"/>
        </w:rPr>
      </w:pPr>
    </w:p>
    <w:p w:rsidR="009B00BF" w:rsidRPr="004C109C" w:rsidRDefault="009B00BF" w:rsidP="004C109C">
      <w:pPr>
        <w:pStyle w:val="NoSpacing"/>
        <w:jc w:val="both"/>
        <w:rPr>
          <w:rFonts w:ascii="Arial" w:hAnsi="Arial" w:cs="Arial"/>
          <w:sz w:val="20"/>
          <w:szCs w:val="20"/>
        </w:rPr>
      </w:pPr>
    </w:p>
    <w:p w:rsidR="0090678D" w:rsidRDefault="0090678D">
      <w:pPr>
        <w:rPr>
          <w:rFonts w:ascii="Arial" w:hAnsi="Arial" w:cs="Arial"/>
          <w:b/>
          <w:sz w:val="20"/>
          <w:szCs w:val="20"/>
        </w:rPr>
      </w:pPr>
    </w:p>
    <w:sectPr w:rsidR="0090678D" w:rsidSect="00834769">
      <w:footerReference w:type="default" r:id="rId11"/>
      <w:pgSz w:w="11906" w:h="16838"/>
      <w:pgMar w:top="1134" w:right="1701" w:bottom="1134"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92042" w:rsidRDefault="00B92042" w:rsidP="0014238E">
      <w:pPr>
        <w:spacing w:after="0" w:line="240" w:lineRule="auto"/>
      </w:pPr>
      <w:r>
        <w:separator/>
      </w:r>
    </w:p>
  </w:endnote>
  <w:endnote w:type="continuationSeparator" w:id="0">
    <w:p w:rsidR="00B92042" w:rsidRDefault="00B92042" w:rsidP="0014238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AFF" w:usb1="C0007841" w:usb2="00000009" w:usb3="00000000" w:csb0="000001FF" w:csb1="00000000"/>
  </w:font>
  <w:font w:name="Arial">
    <w:panose1 w:val="020B0604020202020204"/>
    <w:charset w:val="BA"/>
    <w:family w:val="swiss"/>
    <w:pitch w:val="variable"/>
    <w:sig w:usb0="E0002A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95182521"/>
      <w:docPartObj>
        <w:docPartGallery w:val="Page Numbers (Bottom of Page)"/>
        <w:docPartUnique/>
      </w:docPartObj>
    </w:sdtPr>
    <w:sdtEndPr>
      <w:rPr>
        <w:noProof/>
      </w:rPr>
    </w:sdtEndPr>
    <w:sdtContent>
      <w:p w:rsidR="00392247" w:rsidRDefault="007375F4" w:rsidP="00665269">
        <w:pPr>
          <w:pStyle w:val="Footer"/>
          <w:jc w:val="right"/>
        </w:pPr>
        <w:r w:rsidRPr="00834769">
          <w:rPr>
            <w:rFonts w:ascii="Arial" w:hAnsi="Arial" w:cs="Arial"/>
            <w:sz w:val="16"/>
            <w:szCs w:val="16"/>
          </w:rPr>
          <w:fldChar w:fldCharType="begin"/>
        </w:r>
        <w:r w:rsidR="00392247" w:rsidRPr="00834769">
          <w:rPr>
            <w:rFonts w:ascii="Arial" w:hAnsi="Arial" w:cs="Arial"/>
            <w:sz w:val="16"/>
            <w:szCs w:val="16"/>
          </w:rPr>
          <w:instrText xml:space="preserve"> PAGE   \* MERGEFORMAT </w:instrText>
        </w:r>
        <w:r w:rsidRPr="00834769">
          <w:rPr>
            <w:rFonts w:ascii="Arial" w:hAnsi="Arial" w:cs="Arial"/>
            <w:sz w:val="16"/>
            <w:szCs w:val="16"/>
          </w:rPr>
          <w:fldChar w:fldCharType="separate"/>
        </w:r>
        <w:r w:rsidR="00CC38A7">
          <w:rPr>
            <w:rFonts w:ascii="Arial" w:hAnsi="Arial" w:cs="Arial"/>
            <w:noProof/>
            <w:sz w:val="16"/>
            <w:szCs w:val="16"/>
          </w:rPr>
          <w:t>30</w:t>
        </w:r>
        <w:r w:rsidRPr="00834769">
          <w:rPr>
            <w:rFonts w:ascii="Arial" w:hAnsi="Arial" w:cs="Arial"/>
            <w:noProof/>
            <w:sz w:val="16"/>
            <w:szCs w:val="16"/>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92042" w:rsidRDefault="00B92042" w:rsidP="0014238E">
      <w:pPr>
        <w:spacing w:after="0" w:line="240" w:lineRule="auto"/>
      </w:pPr>
      <w:r>
        <w:separator/>
      </w:r>
    </w:p>
  </w:footnote>
  <w:footnote w:type="continuationSeparator" w:id="0">
    <w:p w:rsidR="00B92042" w:rsidRDefault="00B92042" w:rsidP="0014238E">
      <w:pPr>
        <w:spacing w:after="0" w:line="240" w:lineRule="auto"/>
      </w:pPr>
      <w:r>
        <w:continuationSeparator/>
      </w:r>
    </w:p>
  </w:footnote>
  <w:footnote w:id="1">
    <w:p w:rsidR="00392247" w:rsidRPr="00665269" w:rsidRDefault="00392247" w:rsidP="00665269">
      <w:pPr>
        <w:pStyle w:val="FootnoteText"/>
        <w:jc w:val="both"/>
        <w:rPr>
          <w:sz w:val="16"/>
          <w:szCs w:val="16"/>
        </w:rPr>
      </w:pPr>
      <w:r w:rsidRPr="00665269">
        <w:rPr>
          <w:rStyle w:val="FootnoteReference"/>
          <w:sz w:val="16"/>
          <w:szCs w:val="16"/>
        </w:rPr>
        <w:footnoteRef/>
      </w:r>
      <w:r w:rsidRPr="00665269">
        <w:rPr>
          <w:sz w:val="16"/>
          <w:szCs w:val="16"/>
        </w:rPr>
        <w:t xml:space="preserve"> Par spēkā stāšanās datumu sk.: https://www.vestnesis.lv/ta/id/207737</w:t>
      </w:r>
    </w:p>
  </w:footnote>
  <w:footnote w:id="2">
    <w:p w:rsidR="00392247" w:rsidRPr="00293C96" w:rsidRDefault="00392247" w:rsidP="00665269">
      <w:pPr>
        <w:pStyle w:val="FootnoteText"/>
        <w:jc w:val="both"/>
        <w:rPr>
          <w:sz w:val="16"/>
          <w:szCs w:val="16"/>
        </w:rPr>
      </w:pPr>
      <w:r w:rsidRPr="00293C96">
        <w:rPr>
          <w:rStyle w:val="FootnoteReference"/>
          <w:sz w:val="16"/>
          <w:szCs w:val="16"/>
        </w:rPr>
        <w:footnoteRef/>
      </w:r>
      <w:r w:rsidRPr="00293C96">
        <w:rPr>
          <w:sz w:val="16"/>
          <w:szCs w:val="16"/>
        </w:rPr>
        <w:t xml:space="preserve"> </w:t>
      </w:r>
      <w:proofErr w:type="spellStart"/>
      <w:r w:rsidRPr="00293C96">
        <w:rPr>
          <w:sz w:val="16"/>
          <w:szCs w:val="16"/>
        </w:rPr>
        <w:t>Malanczuk</w:t>
      </w:r>
      <w:proofErr w:type="spellEnd"/>
      <w:r w:rsidRPr="00293C96">
        <w:rPr>
          <w:sz w:val="16"/>
          <w:szCs w:val="16"/>
        </w:rPr>
        <w:t xml:space="preserve"> P. </w:t>
      </w:r>
      <w:proofErr w:type="spellStart"/>
      <w:r w:rsidRPr="00293C96">
        <w:rPr>
          <w:sz w:val="16"/>
          <w:szCs w:val="16"/>
        </w:rPr>
        <w:t>Akehurst’s</w:t>
      </w:r>
      <w:proofErr w:type="spellEnd"/>
      <w:r w:rsidRPr="00293C96">
        <w:rPr>
          <w:sz w:val="16"/>
          <w:szCs w:val="16"/>
        </w:rPr>
        <w:t xml:space="preserve"> </w:t>
      </w:r>
      <w:proofErr w:type="spellStart"/>
      <w:r w:rsidRPr="00293C96">
        <w:rPr>
          <w:sz w:val="16"/>
          <w:szCs w:val="16"/>
        </w:rPr>
        <w:t>Modern</w:t>
      </w:r>
      <w:proofErr w:type="spellEnd"/>
      <w:r w:rsidRPr="00293C96">
        <w:rPr>
          <w:sz w:val="16"/>
          <w:szCs w:val="16"/>
        </w:rPr>
        <w:t xml:space="preserve"> </w:t>
      </w:r>
      <w:proofErr w:type="spellStart"/>
      <w:r w:rsidRPr="00293C96">
        <w:rPr>
          <w:sz w:val="16"/>
          <w:szCs w:val="16"/>
        </w:rPr>
        <w:t>Introduction</w:t>
      </w:r>
      <w:proofErr w:type="spellEnd"/>
      <w:r w:rsidRPr="00293C96">
        <w:rPr>
          <w:sz w:val="16"/>
          <w:szCs w:val="16"/>
        </w:rPr>
        <w:t xml:space="preserve"> to </w:t>
      </w:r>
      <w:proofErr w:type="spellStart"/>
      <w:r w:rsidRPr="00293C96">
        <w:rPr>
          <w:sz w:val="16"/>
          <w:szCs w:val="16"/>
        </w:rPr>
        <w:t>International</w:t>
      </w:r>
      <w:proofErr w:type="spellEnd"/>
      <w:r w:rsidRPr="00293C96">
        <w:rPr>
          <w:sz w:val="16"/>
          <w:szCs w:val="16"/>
        </w:rPr>
        <w:t xml:space="preserve"> </w:t>
      </w:r>
      <w:proofErr w:type="spellStart"/>
      <w:r w:rsidRPr="00293C96">
        <w:rPr>
          <w:sz w:val="16"/>
          <w:szCs w:val="16"/>
        </w:rPr>
        <w:t>Law</w:t>
      </w:r>
      <w:proofErr w:type="spellEnd"/>
      <w:r w:rsidRPr="00293C96">
        <w:rPr>
          <w:sz w:val="16"/>
          <w:szCs w:val="16"/>
        </w:rPr>
        <w:t xml:space="preserve">. </w:t>
      </w:r>
      <w:proofErr w:type="spellStart"/>
      <w:r w:rsidRPr="00293C96">
        <w:rPr>
          <w:sz w:val="16"/>
          <w:szCs w:val="16"/>
        </w:rPr>
        <w:t>Psychology</w:t>
      </w:r>
      <w:proofErr w:type="spellEnd"/>
      <w:r w:rsidRPr="00293C96">
        <w:rPr>
          <w:sz w:val="16"/>
          <w:szCs w:val="16"/>
        </w:rPr>
        <w:t xml:space="preserve"> </w:t>
      </w:r>
      <w:proofErr w:type="spellStart"/>
      <w:r w:rsidRPr="00293C96">
        <w:rPr>
          <w:sz w:val="16"/>
          <w:szCs w:val="16"/>
        </w:rPr>
        <w:t>Press</w:t>
      </w:r>
      <w:proofErr w:type="spellEnd"/>
      <w:r w:rsidRPr="00293C96">
        <w:rPr>
          <w:sz w:val="16"/>
          <w:szCs w:val="16"/>
        </w:rPr>
        <w:t>, 1997, p.175.</w:t>
      </w:r>
    </w:p>
  </w:footnote>
  <w:footnote w:id="3">
    <w:p w:rsidR="00392247" w:rsidRPr="00293C96" w:rsidRDefault="00392247" w:rsidP="00665269">
      <w:pPr>
        <w:pStyle w:val="FootnoteText"/>
        <w:jc w:val="both"/>
        <w:rPr>
          <w:sz w:val="16"/>
          <w:szCs w:val="16"/>
          <w:lang w:val="en-US"/>
        </w:rPr>
      </w:pPr>
      <w:r w:rsidRPr="00293C96">
        <w:rPr>
          <w:rStyle w:val="FootnoteReference"/>
          <w:sz w:val="16"/>
          <w:szCs w:val="16"/>
          <w:lang w:val="en-US"/>
        </w:rPr>
        <w:footnoteRef/>
      </w:r>
      <w:r w:rsidRPr="00293C96">
        <w:rPr>
          <w:sz w:val="16"/>
          <w:szCs w:val="16"/>
          <w:lang w:val="en-US"/>
        </w:rPr>
        <w:t xml:space="preserve"> Sepulveda Amor B. </w:t>
      </w:r>
      <w:proofErr w:type="gramStart"/>
      <w:r w:rsidRPr="00293C96">
        <w:rPr>
          <w:sz w:val="16"/>
          <w:szCs w:val="16"/>
          <w:lang w:val="en-US"/>
        </w:rPr>
        <w:t>The International Court of Justice and the Law of the Sea.</w:t>
      </w:r>
      <w:proofErr w:type="gramEnd"/>
      <w:r w:rsidRPr="00293C96">
        <w:rPr>
          <w:sz w:val="16"/>
          <w:szCs w:val="16"/>
          <w:lang w:val="en-US"/>
        </w:rPr>
        <w:t xml:space="preserve"> </w:t>
      </w:r>
      <w:proofErr w:type="gramStart"/>
      <w:r w:rsidRPr="00293C96">
        <w:rPr>
          <w:sz w:val="16"/>
          <w:szCs w:val="16"/>
          <w:lang w:val="en-US"/>
        </w:rPr>
        <w:t xml:space="preserve">Universidad </w:t>
      </w:r>
      <w:proofErr w:type="spellStart"/>
      <w:r w:rsidRPr="00293C96">
        <w:rPr>
          <w:sz w:val="16"/>
          <w:szCs w:val="16"/>
          <w:lang w:val="en-US"/>
        </w:rPr>
        <w:t>Nacional</w:t>
      </w:r>
      <w:proofErr w:type="spellEnd"/>
      <w:r w:rsidRPr="00293C96">
        <w:rPr>
          <w:sz w:val="16"/>
          <w:szCs w:val="16"/>
          <w:lang w:val="en-US"/>
        </w:rPr>
        <w:t xml:space="preserve"> </w:t>
      </w:r>
      <w:proofErr w:type="spellStart"/>
      <w:r w:rsidRPr="00293C96">
        <w:rPr>
          <w:sz w:val="16"/>
          <w:szCs w:val="16"/>
          <w:lang w:val="en-US"/>
        </w:rPr>
        <w:t>Autonoma</w:t>
      </w:r>
      <w:proofErr w:type="spellEnd"/>
      <w:r w:rsidRPr="00293C96">
        <w:rPr>
          <w:sz w:val="16"/>
          <w:szCs w:val="16"/>
          <w:lang w:val="en-US"/>
        </w:rPr>
        <w:t xml:space="preserve"> de </w:t>
      </w:r>
      <w:r w:rsidRPr="00834769">
        <w:rPr>
          <w:sz w:val="16"/>
          <w:szCs w:val="16"/>
          <w:lang w:val="en-US"/>
        </w:rPr>
        <w:t>Mexico-</w:t>
      </w:r>
      <w:proofErr w:type="spellStart"/>
      <w:r w:rsidRPr="00834769">
        <w:rPr>
          <w:sz w:val="16"/>
          <w:szCs w:val="16"/>
          <w:lang w:val="en-US"/>
        </w:rPr>
        <w:t>Instituto</w:t>
      </w:r>
      <w:proofErr w:type="spellEnd"/>
      <w:r w:rsidRPr="00834769">
        <w:rPr>
          <w:sz w:val="16"/>
          <w:szCs w:val="16"/>
          <w:lang w:val="en-US"/>
        </w:rPr>
        <w:t xml:space="preserve"> de </w:t>
      </w:r>
      <w:proofErr w:type="spellStart"/>
      <w:r w:rsidRPr="00834769">
        <w:rPr>
          <w:sz w:val="16"/>
          <w:szCs w:val="16"/>
          <w:lang w:val="en-US"/>
        </w:rPr>
        <w:t>Investigaciones</w:t>
      </w:r>
      <w:proofErr w:type="spellEnd"/>
      <w:r w:rsidRPr="00834769">
        <w:rPr>
          <w:sz w:val="16"/>
          <w:szCs w:val="16"/>
          <w:lang w:val="en-US"/>
        </w:rPr>
        <w:t xml:space="preserve"> </w:t>
      </w:r>
      <w:proofErr w:type="spellStart"/>
      <w:r w:rsidRPr="00834769">
        <w:rPr>
          <w:sz w:val="16"/>
          <w:szCs w:val="16"/>
          <w:lang w:val="en-US"/>
        </w:rPr>
        <w:t>Juridicas</w:t>
      </w:r>
      <w:proofErr w:type="spellEnd"/>
      <w:r w:rsidRPr="00834769">
        <w:rPr>
          <w:sz w:val="16"/>
          <w:szCs w:val="16"/>
          <w:lang w:val="en-US"/>
        </w:rPr>
        <w:t>.</w:t>
      </w:r>
      <w:proofErr w:type="gramEnd"/>
      <w:r w:rsidRPr="00834769">
        <w:rPr>
          <w:sz w:val="16"/>
          <w:szCs w:val="16"/>
          <w:lang w:val="en-US"/>
        </w:rPr>
        <w:t xml:space="preserve"> </w:t>
      </w:r>
      <w:proofErr w:type="spellStart"/>
      <w:proofErr w:type="gramStart"/>
      <w:r w:rsidRPr="00834769">
        <w:rPr>
          <w:sz w:val="16"/>
          <w:szCs w:val="16"/>
          <w:lang w:val="en-US"/>
        </w:rPr>
        <w:t>Annuario</w:t>
      </w:r>
      <w:proofErr w:type="spellEnd"/>
      <w:r w:rsidRPr="00834769">
        <w:rPr>
          <w:sz w:val="16"/>
          <w:szCs w:val="16"/>
          <w:lang w:val="en-US"/>
        </w:rPr>
        <w:t xml:space="preserve"> </w:t>
      </w:r>
      <w:proofErr w:type="spellStart"/>
      <w:r w:rsidRPr="00834769">
        <w:rPr>
          <w:sz w:val="16"/>
          <w:szCs w:val="16"/>
          <w:lang w:val="en-US"/>
        </w:rPr>
        <w:t>Mexicano</w:t>
      </w:r>
      <w:proofErr w:type="spellEnd"/>
      <w:r w:rsidRPr="00834769">
        <w:rPr>
          <w:sz w:val="16"/>
          <w:szCs w:val="16"/>
          <w:lang w:val="en-US"/>
        </w:rPr>
        <w:t xml:space="preserve"> de </w:t>
      </w:r>
      <w:proofErr w:type="spellStart"/>
      <w:r w:rsidRPr="00834769">
        <w:rPr>
          <w:sz w:val="16"/>
          <w:szCs w:val="16"/>
          <w:lang w:val="en-US"/>
        </w:rPr>
        <w:t>Derecho</w:t>
      </w:r>
      <w:proofErr w:type="spellEnd"/>
      <w:r w:rsidRPr="00834769">
        <w:rPr>
          <w:sz w:val="16"/>
          <w:szCs w:val="16"/>
          <w:lang w:val="en-US"/>
        </w:rPr>
        <w:t xml:space="preserve"> </w:t>
      </w:r>
      <w:proofErr w:type="spellStart"/>
      <w:r w:rsidRPr="00834769">
        <w:rPr>
          <w:sz w:val="16"/>
          <w:szCs w:val="16"/>
          <w:lang w:val="en-US"/>
        </w:rPr>
        <w:t>Internacional</w:t>
      </w:r>
      <w:proofErr w:type="spellEnd"/>
      <w:r w:rsidRPr="00834769">
        <w:rPr>
          <w:sz w:val="16"/>
          <w:szCs w:val="16"/>
          <w:lang w:val="en-US"/>
        </w:rPr>
        <w:t>, 2012, p.5.</w:t>
      </w:r>
      <w:proofErr w:type="gramEnd"/>
      <w:r w:rsidRPr="00834769">
        <w:rPr>
          <w:sz w:val="16"/>
          <w:szCs w:val="16"/>
          <w:lang w:val="en-US"/>
        </w:rPr>
        <w:t xml:space="preserve"> Pieejams: </w:t>
      </w:r>
      <w:r w:rsidRPr="00834769">
        <w:rPr>
          <w:sz w:val="16"/>
          <w:szCs w:val="16"/>
        </w:rPr>
        <w:t>http://www.corteidh.or.cr/tablas/r29686.pdf</w:t>
      </w:r>
    </w:p>
  </w:footnote>
  <w:footnote w:id="4">
    <w:p w:rsidR="00392247" w:rsidRPr="00293C96" w:rsidRDefault="00392247" w:rsidP="00665269">
      <w:pPr>
        <w:pStyle w:val="FootnoteText"/>
        <w:jc w:val="both"/>
        <w:rPr>
          <w:sz w:val="16"/>
          <w:szCs w:val="16"/>
        </w:rPr>
      </w:pPr>
      <w:r w:rsidRPr="00293C96">
        <w:rPr>
          <w:rStyle w:val="FootnoteReference"/>
          <w:sz w:val="16"/>
          <w:szCs w:val="16"/>
        </w:rPr>
        <w:footnoteRef/>
      </w:r>
      <w:r w:rsidRPr="00293C96">
        <w:rPr>
          <w:sz w:val="16"/>
          <w:szCs w:val="16"/>
        </w:rPr>
        <w:t xml:space="preserve"> </w:t>
      </w:r>
      <w:proofErr w:type="spellStart"/>
      <w:r w:rsidRPr="00293C96">
        <w:rPr>
          <w:sz w:val="16"/>
          <w:szCs w:val="16"/>
        </w:rPr>
        <w:t>Paasivirta</w:t>
      </w:r>
      <w:proofErr w:type="spellEnd"/>
      <w:r w:rsidRPr="00293C96">
        <w:rPr>
          <w:sz w:val="16"/>
          <w:szCs w:val="16"/>
        </w:rPr>
        <w:t xml:space="preserve"> E. </w:t>
      </w:r>
      <w:proofErr w:type="spellStart"/>
      <w:r w:rsidRPr="00293C96">
        <w:rPr>
          <w:sz w:val="16"/>
          <w:szCs w:val="16"/>
        </w:rPr>
        <w:t>The</w:t>
      </w:r>
      <w:proofErr w:type="spellEnd"/>
      <w:r w:rsidRPr="00293C96">
        <w:rPr>
          <w:sz w:val="16"/>
          <w:szCs w:val="16"/>
        </w:rPr>
        <w:t xml:space="preserve"> </w:t>
      </w:r>
      <w:proofErr w:type="spellStart"/>
      <w:r w:rsidRPr="00293C96">
        <w:rPr>
          <w:sz w:val="16"/>
          <w:szCs w:val="16"/>
        </w:rPr>
        <w:t>European</w:t>
      </w:r>
      <w:proofErr w:type="spellEnd"/>
      <w:r w:rsidRPr="00293C96">
        <w:rPr>
          <w:sz w:val="16"/>
          <w:szCs w:val="16"/>
        </w:rPr>
        <w:t xml:space="preserve"> </w:t>
      </w:r>
      <w:proofErr w:type="spellStart"/>
      <w:r w:rsidRPr="00293C96">
        <w:rPr>
          <w:sz w:val="16"/>
          <w:szCs w:val="16"/>
        </w:rPr>
        <w:t>Union</w:t>
      </w:r>
      <w:proofErr w:type="spellEnd"/>
      <w:r w:rsidRPr="00293C96">
        <w:rPr>
          <w:sz w:val="16"/>
          <w:szCs w:val="16"/>
        </w:rPr>
        <w:t xml:space="preserve"> </w:t>
      </w:r>
      <w:proofErr w:type="spellStart"/>
      <w:r w:rsidRPr="00293C96">
        <w:rPr>
          <w:sz w:val="16"/>
          <w:szCs w:val="16"/>
        </w:rPr>
        <w:t>and</w:t>
      </w:r>
      <w:proofErr w:type="spellEnd"/>
      <w:r w:rsidRPr="00293C96">
        <w:rPr>
          <w:sz w:val="16"/>
          <w:szCs w:val="16"/>
        </w:rPr>
        <w:t xml:space="preserve"> </w:t>
      </w:r>
      <w:proofErr w:type="spellStart"/>
      <w:r w:rsidRPr="00293C96">
        <w:rPr>
          <w:sz w:val="16"/>
          <w:szCs w:val="16"/>
        </w:rPr>
        <w:t>the</w:t>
      </w:r>
      <w:proofErr w:type="spellEnd"/>
      <w:r w:rsidRPr="00293C96">
        <w:rPr>
          <w:sz w:val="16"/>
          <w:szCs w:val="16"/>
        </w:rPr>
        <w:t xml:space="preserve"> </w:t>
      </w:r>
      <w:proofErr w:type="spellStart"/>
      <w:r w:rsidRPr="00293C96">
        <w:rPr>
          <w:sz w:val="16"/>
          <w:szCs w:val="16"/>
        </w:rPr>
        <w:t>United</w:t>
      </w:r>
      <w:proofErr w:type="spellEnd"/>
      <w:r w:rsidRPr="00293C96">
        <w:rPr>
          <w:sz w:val="16"/>
          <w:szCs w:val="16"/>
        </w:rPr>
        <w:t xml:space="preserve"> </w:t>
      </w:r>
      <w:proofErr w:type="spellStart"/>
      <w:r w:rsidRPr="00293C96">
        <w:rPr>
          <w:sz w:val="16"/>
          <w:szCs w:val="16"/>
        </w:rPr>
        <w:t>Nations</w:t>
      </w:r>
      <w:proofErr w:type="spellEnd"/>
      <w:r w:rsidRPr="00293C96">
        <w:rPr>
          <w:sz w:val="16"/>
          <w:szCs w:val="16"/>
        </w:rPr>
        <w:t xml:space="preserve"> </w:t>
      </w:r>
      <w:proofErr w:type="spellStart"/>
      <w:r w:rsidRPr="00293C96">
        <w:rPr>
          <w:sz w:val="16"/>
          <w:szCs w:val="16"/>
        </w:rPr>
        <w:t>Convention</w:t>
      </w:r>
      <w:proofErr w:type="spellEnd"/>
      <w:r w:rsidRPr="00293C96">
        <w:rPr>
          <w:sz w:val="16"/>
          <w:szCs w:val="16"/>
        </w:rPr>
        <w:t xml:space="preserve"> </w:t>
      </w:r>
      <w:proofErr w:type="spellStart"/>
      <w:r w:rsidRPr="00293C96">
        <w:rPr>
          <w:sz w:val="16"/>
          <w:szCs w:val="16"/>
        </w:rPr>
        <w:t>on</w:t>
      </w:r>
      <w:proofErr w:type="spellEnd"/>
      <w:r w:rsidRPr="00293C96">
        <w:rPr>
          <w:sz w:val="16"/>
          <w:szCs w:val="16"/>
        </w:rPr>
        <w:t xml:space="preserve"> </w:t>
      </w:r>
      <w:proofErr w:type="spellStart"/>
      <w:r w:rsidRPr="00293C96">
        <w:rPr>
          <w:sz w:val="16"/>
          <w:szCs w:val="16"/>
        </w:rPr>
        <w:t>the</w:t>
      </w:r>
      <w:proofErr w:type="spellEnd"/>
      <w:r w:rsidRPr="00293C96">
        <w:rPr>
          <w:sz w:val="16"/>
          <w:szCs w:val="16"/>
        </w:rPr>
        <w:t xml:space="preserve"> </w:t>
      </w:r>
      <w:proofErr w:type="spellStart"/>
      <w:r w:rsidRPr="00293C96">
        <w:rPr>
          <w:sz w:val="16"/>
          <w:szCs w:val="16"/>
        </w:rPr>
        <w:t>Law</w:t>
      </w:r>
      <w:proofErr w:type="spellEnd"/>
      <w:r w:rsidRPr="00293C96">
        <w:rPr>
          <w:sz w:val="16"/>
          <w:szCs w:val="16"/>
        </w:rPr>
        <w:t xml:space="preserve"> </w:t>
      </w:r>
      <w:proofErr w:type="spellStart"/>
      <w:r w:rsidRPr="00293C96">
        <w:rPr>
          <w:sz w:val="16"/>
          <w:szCs w:val="16"/>
        </w:rPr>
        <w:t>of</w:t>
      </w:r>
      <w:proofErr w:type="spellEnd"/>
      <w:r w:rsidRPr="00293C96">
        <w:rPr>
          <w:sz w:val="16"/>
          <w:szCs w:val="16"/>
        </w:rPr>
        <w:t xml:space="preserve"> </w:t>
      </w:r>
      <w:proofErr w:type="spellStart"/>
      <w:r w:rsidRPr="00293C96">
        <w:rPr>
          <w:sz w:val="16"/>
          <w:szCs w:val="16"/>
        </w:rPr>
        <w:t>the</w:t>
      </w:r>
      <w:proofErr w:type="spellEnd"/>
      <w:r w:rsidRPr="00293C96">
        <w:rPr>
          <w:sz w:val="16"/>
          <w:szCs w:val="16"/>
        </w:rPr>
        <w:t xml:space="preserve"> </w:t>
      </w:r>
      <w:proofErr w:type="spellStart"/>
      <w:r w:rsidRPr="00293C96">
        <w:rPr>
          <w:sz w:val="16"/>
          <w:szCs w:val="16"/>
        </w:rPr>
        <w:t>Sea</w:t>
      </w:r>
      <w:proofErr w:type="spellEnd"/>
      <w:r w:rsidRPr="00293C96">
        <w:rPr>
          <w:sz w:val="16"/>
          <w:szCs w:val="16"/>
        </w:rPr>
        <w:t xml:space="preserve">. </w:t>
      </w:r>
      <w:proofErr w:type="spellStart"/>
      <w:r w:rsidRPr="00293C96">
        <w:rPr>
          <w:sz w:val="16"/>
          <w:szCs w:val="16"/>
        </w:rPr>
        <w:t>Fordham</w:t>
      </w:r>
      <w:proofErr w:type="spellEnd"/>
      <w:r w:rsidRPr="00293C96">
        <w:rPr>
          <w:sz w:val="16"/>
          <w:szCs w:val="16"/>
        </w:rPr>
        <w:t xml:space="preserve"> </w:t>
      </w:r>
      <w:proofErr w:type="spellStart"/>
      <w:r w:rsidRPr="00293C96">
        <w:rPr>
          <w:sz w:val="16"/>
          <w:szCs w:val="16"/>
        </w:rPr>
        <w:t>International</w:t>
      </w:r>
      <w:proofErr w:type="spellEnd"/>
      <w:r w:rsidRPr="00293C96">
        <w:rPr>
          <w:sz w:val="16"/>
          <w:szCs w:val="16"/>
        </w:rPr>
        <w:t xml:space="preserve"> </w:t>
      </w:r>
      <w:proofErr w:type="spellStart"/>
      <w:r w:rsidRPr="00293C96">
        <w:rPr>
          <w:sz w:val="16"/>
          <w:szCs w:val="16"/>
        </w:rPr>
        <w:t>Law</w:t>
      </w:r>
      <w:proofErr w:type="spellEnd"/>
      <w:r w:rsidRPr="00293C96">
        <w:rPr>
          <w:sz w:val="16"/>
          <w:szCs w:val="16"/>
        </w:rPr>
        <w:t xml:space="preserve"> </w:t>
      </w:r>
      <w:proofErr w:type="spellStart"/>
      <w:r w:rsidRPr="00293C96">
        <w:rPr>
          <w:sz w:val="16"/>
          <w:szCs w:val="16"/>
        </w:rPr>
        <w:t>Journal</w:t>
      </w:r>
      <w:proofErr w:type="spellEnd"/>
      <w:r w:rsidRPr="00293C96">
        <w:rPr>
          <w:sz w:val="16"/>
          <w:szCs w:val="16"/>
        </w:rPr>
        <w:t xml:space="preserve">. </w:t>
      </w:r>
      <w:proofErr w:type="spellStart"/>
      <w:r w:rsidRPr="00293C96">
        <w:rPr>
          <w:sz w:val="16"/>
          <w:szCs w:val="16"/>
        </w:rPr>
        <w:t>Volume</w:t>
      </w:r>
      <w:proofErr w:type="spellEnd"/>
      <w:r w:rsidRPr="00293C96">
        <w:rPr>
          <w:sz w:val="16"/>
          <w:szCs w:val="16"/>
        </w:rPr>
        <w:t xml:space="preserve"> 38, </w:t>
      </w:r>
      <w:proofErr w:type="spellStart"/>
      <w:r w:rsidRPr="00293C96">
        <w:rPr>
          <w:sz w:val="16"/>
          <w:szCs w:val="16"/>
        </w:rPr>
        <w:t>Issue</w:t>
      </w:r>
      <w:proofErr w:type="spellEnd"/>
      <w:r w:rsidRPr="00293C96">
        <w:rPr>
          <w:sz w:val="16"/>
          <w:szCs w:val="16"/>
        </w:rPr>
        <w:t xml:space="preserve"> 4, </w:t>
      </w:r>
      <w:proofErr w:type="spellStart"/>
      <w:r w:rsidRPr="00293C96">
        <w:rPr>
          <w:sz w:val="16"/>
          <w:szCs w:val="16"/>
        </w:rPr>
        <w:t>Article</w:t>
      </w:r>
      <w:proofErr w:type="spellEnd"/>
      <w:r w:rsidRPr="00293C96">
        <w:rPr>
          <w:sz w:val="16"/>
          <w:szCs w:val="16"/>
        </w:rPr>
        <w:t xml:space="preserve"> 5. 2015., p.1068.</w:t>
      </w:r>
    </w:p>
  </w:footnote>
  <w:footnote w:id="5">
    <w:p w:rsidR="00392247" w:rsidRPr="00293C96" w:rsidRDefault="00392247" w:rsidP="00665269">
      <w:pPr>
        <w:pStyle w:val="FootnoteText"/>
        <w:jc w:val="both"/>
        <w:rPr>
          <w:sz w:val="16"/>
          <w:szCs w:val="16"/>
        </w:rPr>
      </w:pPr>
      <w:r w:rsidRPr="00293C96">
        <w:rPr>
          <w:rStyle w:val="FootnoteReference"/>
          <w:sz w:val="16"/>
          <w:szCs w:val="16"/>
        </w:rPr>
        <w:footnoteRef/>
      </w:r>
      <w:r w:rsidRPr="00293C96">
        <w:rPr>
          <w:sz w:val="16"/>
          <w:szCs w:val="16"/>
        </w:rPr>
        <w:t xml:space="preserve"> </w:t>
      </w:r>
      <w:r w:rsidRPr="00293C96">
        <w:rPr>
          <w:sz w:val="16"/>
          <w:szCs w:val="16"/>
          <w:lang w:val="en-US"/>
        </w:rPr>
        <w:t>North Sea Continental Shelf, Judgment of February 20, 1969: I.C.J. Reports 1969, p.3, 19.punkts.</w:t>
      </w:r>
    </w:p>
  </w:footnote>
  <w:footnote w:id="6">
    <w:p w:rsidR="00392247" w:rsidRPr="00293C96" w:rsidRDefault="00392247" w:rsidP="00665269">
      <w:pPr>
        <w:pStyle w:val="FootnoteText"/>
        <w:jc w:val="both"/>
        <w:rPr>
          <w:sz w:val="16"/>
          <w:szCs w:val="16"/>
        </w:rPr>
      </w:pPr>
      <w:r w:rsidRPr="00293C96">
        <w:rPr>
          <w:rStyle w:val="FootnoteReference"/>
          <w:sz w:val="16"/>
          <w:szCs w:val="16"/>
        </w:rPr>
        <w:footnoteRef/>
      </w:r>
      <w:r w:rsidRPr="00293C96">
        <w:rPr>
          <w:sz w:val="16"/>
          <w:szCs w:val="16"/>
        </w:rPr>
        <w:t xml:space="preserve"> </w:t>
      </w:r>
      <w:proofErr w:type="spellStart"/>
      <w:r w:rsidRPr="00293C96">
        <w:rPr>
          <w:sz w:val="16"/>
          <w:szCs w:val="16"/>
        </w:rPr>
        <w:t>W.M.Reismann</w:t>
      </w:r>
      <w:proofErr w:type="spellEnd"/>
      <w:r w:rsidRPr="00293C96">
        <w:rPr>
          <w:sz w:val="16"/>
          <w:szCs w:val="16"/>
        </w:rPr>
        <w:t xml:space="preserve">/G.S. </w:t>
      </w:r>
      <w:proofErr w:type="spellStart"/>
      <w:r w:rsidRPr="00293C96">
        <w:rPr>
          <w:sz w:val="16"/>
          <w:szCs w:val="16"/>
        </w:rPr>
        <w:t>Westerman</w:t>
      </w:r>
      <w:proofErr w:type="spellEnd"/>
      <w:r w:rsidRPr="00293C96">
        <w:rPr>
          <w:sz w:val="16"/>
          <w:szCs w:val="16"/>
        </w:rPr>
        <w:t xml:space="preserve">, </w:t>
      </w:r>
      <w:proofErr w:type="spellStart"/>
      <w:r w:rsidRPr="00293C96">
        <w:rPr>
          <w:sz w:val="16"/>
          <w:szCs w:val="16"/>
        </w:rPr>
        <w:t>Straight</w:t>
      </w:r>
      <w:proofErr w:type="spellEnd"/>
      <w:r w:rsidRPr="00293C96">
        <w:rPr>
          <w:sz w:val="16"/>
          <w:szCs w:val="16"/>
        </w:rPr>
        <w:t xml:space="preserve"> </w:t>
      </w:r>
      <w:proofErr w:type="spellStart"/>
      <w:r w:rsidRPr="00293C96">
        <w:rPr>
          <w:sz w:val="16"/>
          <w:szCs w:val="16"/>
        </w:rPr>
        <w:t>Baselines</w:t>
      </w:r>
      <w:proofErr w:type="spellEnd"/>
      <w:r w:rsidRPr="00293C96">
        <w:rPr>
          <w:sz w:val="16"/>
          <w:szCs w:val="16"/>
        </w:rPr>
        <w:t xml:space="preserve"> </w:t>
      </w:r>
      <w:proofErr w:type="spellStart"/>
      <w:r w:rsidRPr="00293C96">
        <w:rPr>
          <w:sz w:val="16"/>
          <w:szCs w:val="16"/>
        </w:rPr>
        <w:t>in</w:t>
      </w:r>
      <w:proofErr w:type="spellEnd"/>
      <w:r w:rsidRPr="00293C96">
        <w:rPr>
          <w:sz w:val="16"/>
          <w:szCs w:val="16"/>
        </w:rPr>
        <w:t xml:space="preserve"> </w:t>
      </w:r>
      <w:proofErr w:type="spellStart"/>
      <w:r w:rsidRPr="00293C96">
        <w:rPr>
          <w:sz w:val="16"/>
          <w:szCs w:val="16"/>
        </w:rPr>
        <w:t>International</w:t>
      </w:r>
      <w:proofErr w:type="spellEnd"/>
      <w:r w:rsidRPr="00293C96">
        <w:rPr>
          <w:sz w:val="16"/>
          <w:szCs w:val="16"/>
        </w:rPr>
        <w:t xml:space="preserve"> </w:t>
      </w:r>
      <w:proofErr w:type="spellStart"/>
      <w:r w:rsidRPr="00293C96">
        <w:rPr>
          <w:sz w:val="16"/>
          <w:szCs w:val="16"/>
        </w:rPr>
        <w:t>Maritime</w:t>
      </w:r>
      <w:proofErr w:type="spellEnd"/>
      <w:r w:rsidRPr="00293C96">
        <w:rPr>
          <w:sz w:val="16"/>
          <w:szCs w:val="16"/>
        </w:rPr>
        <w:t xml:space="preserve"> </w:t>
      </w:r>
      <w:proofErr w:type="spellStart"/>
      <w:r w:rsidRPr="00293C96">
        <w:rPr>
          <w:sz w:val="16"/>
          <w:szCs w:val="16"/>
        </w:rPr>
        <w:t>Boundary</w:t>
      </w:r>
      <w:proofErr w:type="spellEnd"/>
      <w:r w:rsidRPr="00293C96">
        <w:rPr>
          <w:sz w:val="16"/>
          <w:szCs w:val="16"/>
        </w:rPr>
        <w:t xml:space="preserve"> </w:t>
      </w:r>
      <w:proofErr w:type="spellStart"/>
      <w:r w:rsidRPr="00293C96">
        <w:rPr>
          <w:sz w:val="16"/>
          <w:szCs w:val="16"/>
        </w:rPr>
        <w:t>Delimitation</w:t>
      </w:r>
      <w:proofErr w:type="spellEnd"/>
      <w:r w:rsidRPr="00293C96">
        <w:rPr>
          <w:sz w:val="16"/>
          <w:szCs w:val="16"/>
        </w:rPr>
        <w:t xml:space="preserve">, 1992; </w:t>
      </w:r>
      <w:proofErr w:type="spellStart"/>
      <w:r w:rsidRPr="00293C96">
        <w:rPr>
          <w:sz w:val="16"/>
          <w:szCs w:val="16"/>
        </w:rPr>
        <w:t>P.B.Beazley</w:t>
      </w:r>
      <w:proofErr w:type="spellEnd"/>
      <w:r w:rsidRPr="00293C96">
        <w:rPr>
          <w:sz w:val="16"/>
          <w:szCs w:val="16"/>
        </w:rPr>
        <w:t xml:space="preserve">, </w:t>
      </w:r>
      <w:proofErr w:type="spellStart"/>
      <w:r w:rsidRPr="00293C96">
        <w:rPr>
          <w:sz w:val="16"/>
          <w:szCs w:val="16"/>
        </w:rPr>
        <w:t>Baselines</w:t>
      </w:r>
      <w:proofErr w:type="spellEnd"/>
      <w:r w:rsidRPr="00293C96">
        <w:rPr>
          <w:sz w:val="16"/>
          <w:szCs w:val="16"/>
        </w:rPr>
        <w:t xml:space="preserve">, EPIL I (1992), 354–7; D.D. </w:t>
      </w:r>
      <w:proofErr w:type="spellStart"/>
      <w:r w:rsidRPr="00293C96">
        <w:rPr>
          <w:sz w:val="16"/>
          <w:szCs w:val="16"/>
        </w:rPr>
        <w:t>Caron</w:t>
      </w:r>
      <w:proofErr w:type="spellEnd"/>
      <w:r w:rsidRPr="00293C96">
        <w:rPr>
          <w:sz w:val="16"/>
          <w:szCs w:val="16"/>
        </w:rPr>
        <w:t xml:space="preserve">, </w:t>
      </w:r>
      <w:proofErr w:type="spellStart"/>
      <w:r w:rsidRPr="00293C96">
        <w:rPr>
          <w:sz w:val="16"/>
          <w:szCs w:val="16"/>
        </w:rPr>
        <w:t>When</w:t>
      </w:r>
      <w:proofErr w:type="spellEnd"/>
      <w:r w:rsidRPr="00293C96">
        <w:rPr>
          <w:sz w:val="16"/>
          <w:szCs w:val="16"/>
        </w:rPr>
        <w:t xml:space="preserve"> </w:t>
      </w:r>
      <w:proofErr w:type="spellStart"/>
      <w:r w:rsidRPr="00293C96">
        <w:rPr>
          <w:sz w:val="16"/>
          <w:szCs w:val="16"/>
        </w:rPr>
        <w:t>Law</w:t>
      </w:r>
      <w:proofErr w:type="spellEnd"/>
      <w:r w:rsidRPr="00293C96">
        <w:rPr>
          <w:sz w:val="16"/>
          <w:szCs w:val="16"/>
        </w:rPr>
        <w:t xml:space="preserve"> </w:t>
      </w:r>
      <w:proofErr w:type="spellStart"/>
      <w:r w:rsidRPr="00293C96">
        <w:rPr>
          <w:sz w:val="16"/>
          <w:szCs w:val="16"/>
        </w:rPr>
        <w:t>Makes</w:t>
      </w:r>
      <w:proofErr w:type="spellEnd"/>
      <w:r w:rsidRPr="00293C96">
        <w:rPr>
          <w:sz w:val="16"/>
          <w:szCs w:val="16"/>
        </w:rPr>
        <w:t xml:space="preserve"> </w:t>
      </w:r>
      <w:proofErr w:type="spellStart"/>
      <w:r w:rsidRPr="00293C96">
        <w:rPr>
          <w:sz w:val="16"/>
          <w:szCs w:val="16"/>
        </w:rPr>
        <w:t>Climate</w:t>
      </w:r>
      <w:proofErr w:type="spellEnd"/>
      <w:r w:rsidRPr="00293C96">
        <w:rPr>
          <w:sz w:val="16"/>
          <w:szCs w:val="16"/>
        </w:rPr>
        <w:t xml:space="preserve"> </w:t>
      </w:r>
      <w:proofErr w:type="spellStart"/>
      <w:r w:rsidRPr="00293C96">
        <w:rPr>
          <w:sz w:val="16"/>
          <w:szCs w:val="16"/>
        </w:rPr>
        <w:t>Change</w:t>
      </w:r>
      <w:proofErr w:type="spellEnd"/>
      <w:r w:rsidRPr="00293C96">
        <w:rPr>
          <w:sz w:val="16"/>
          <w:szCs w:val="16"/>
        </w:rPr>
        <w:t xml:space="preserve"> </w:t>
      </w:r>
      <w:proofErr w:type="spellStart"/>
      <w:r w:rsidRPr="00293C96">
        <w:rPr>
          <w:sz w:val="16"/>
          <w:szCs w:val="16"/>
        </w:rPr>
        <w:t>Worse</w:t>
      </w:r>
      <w:proofErr w:type="spellEnd"/>
      <w:r w:rsidRPr="00293C96">
        <w:rPr>
          <w:sz w:val="16"/>
          <w:szCs w:val="16"/>
        </w:rPr>
        <w:t xml:space="preserve">: </w:t>
      </w:r>
      <w:proofErr w:type="spellStart"/>
      <w:r w:rsidRPr="00293C96">
        <w:rPr>
          <w:sz w:val="16"/>
          <w:szCs w:val="16"/>
        </w:rPr>
        <w:t>Rethinking</w:t>
      </w:r>
      <w:proofErr w:type="spellEnd"/>
      <w:r w:rsidRPr="00293C96">
        <w:rPr>
          <w:sz w:val="16"/>
          <w:szCs w:val="16"/>
        </w:rPr>
        <w:t xml:space="preserve"> </w:t>
      </w:r>
      <w:proofErr w:type="spellStart"/>
      <w:r w:rsidRPr="00293C96">
        <w:rPr>
          <w:sz w:val="16"/>
          <w:szCs w:val="16"/>
        </w:rPr>
        <w:t>the</w:t>
      </w:r>
      <w:proofErr w:type="spellEnd"/>
      <w:r w:rsidRPr="00293C96">
        <w:rPr>
          <w:sz w:val="16"/>
          <w:szCs w:val="16"/>
        </w:rPr>
        <w:t xml:space="preserve"> </w:t>
      </w:r>
      <w:proofErr w:type="spellStart"/>
      <w:r w:rsidRPr="00293C96">
        <w:rPr>
          <w:sz w:val="16"/>
          <w:szCs w:val="16"/>
        </w:rPr>
        <w:t>Law</w:t>
      </w:r>
      <w:proofErr w:type="spellEnd"/>
      <w:r w:rsidRPr="00293C96">
        <w:rPr>
          <w:sz w:val="16"/>
          <w:szCs w:val="16"/>
        </w:rPr>
        <w:t xml:space="preserve"> </w:t>
      </w:r>
      <w:proofErr w:type="spellStart"/>
      <w:r w:rsidRPr="00293C96">
        <w:rPr>
          <w:sz w:val="16"/>
          <w:szCs w:val="16"/>
        </w:rPr>
        <w:t>of</w:t>
      </w:r>
      <w:proofErr w:type="spellEnd"/>
      <w:r w:rsidRPr="00293C96">
        <w:rPr>
          <w:sz w:val="16"/>
          <w:szCs w:val="16"/>
        </w:rPr>
        <w:t xml:space="preserve"> </w:t>
      </w:r>
      <w:proofErr w:type="spellStart"/>
      <w:r w:rsidRPr="00293C96">
        <w:rPr>
          <w:sz w:val="16"/>
          <w:szCs w:val="16"/>
        </w:rPr>
        <w:t>Baselines</w:t>
      </w:r>
      <w:proofErr w:type="spellEnd"/>
      <w:r w:rsidRPr="00293C96">
        <w:rPr>
          <w:sz w:val="16"/>
          <w:szCs w:val="16"/>
        </w:rPr>
        <w:t xml:space="preserve"> </w:t>
      </w:r>
      <w:proofErr w:type="spellStart"/>
      <w:r w:rsidRPr="00293C96">
        <w:rPr>
          <w:sz w:val="16"/>
          <w:szCs w:val="16"/>
        </w:rPr>
        <w:t>in</w:t>
      </w:r>
      <w:proofErr w:type="spellEnd"/>
      <w:r w:rsidRPr="00293C96">
        <w:rPr>
          <w:sz w:val="16"/>
          <w:szCs w:val="16"/>
        </w:rPr>
        <w:t xml:space="preserve"> </w:t>
      </w:r>
      <w:proofErr w:type="spellStart"/>
      <w:r w:rsidRPr="00293C96">
        <w:rPr>
          <w:sz w:val="16"/>
          <w:szCs w:val="16"/>
        </w:rPr>
        <w:t>Light</w:t>
      </w:r>
      <w:proofErr w:type="spellEnd"/>
      <w:r w:rsidRPr="00293C96">
        <w:rPr>
          <w:sz w:val="16"/>
          <w:szCs w:val="16"/>
        </w:rPr>
        <w:t xml:space="preserve"> </w:t>
      </w:r>
      <w:proofErr w:type="spellStart"/>
      <w:r w:rsidRPr="00293C96">
        <w:rPr>
          <w:sz w:val="16"/>
          <w:szCs w:val="16"/>
        </w:rPr>
        <w:t>of</w:t>
      </w:r>
      <w:proofErr w:type="spellEnd"/>
      <w:r w:rsidRPr="00293C96">
        <w:rPr>
          <w:sz w:val="16"/>
          <w:szCs w:val="16"/>
        </w:rPr>
        <w:t xml:space="preserve"> a </w:t>
      </w:r>
      <w:proofErr w:type="spellStart"/>
      <w:r w:rsidRPr="00293C96">
        <w:rPr>
          <w:sz w:val="16"/>
          <w:szCs w:val="16"/>
        </w:rPr>
        <w:t>Rising</w:t>
      </w:r>
      <w:proofErr w:type="spellEnd"/>
      <w:r w:rsidRPr="00293C96">
        <w:rPr>
          <w:sz w:val="16"/>
          <w:szCs w:val="16"/>
        </w:rPr>
        <w:t xml:space="preserve"> </w:t>
      </w:r>
      <w:proofErr w:type="spellStart"/>
      <w:r w:rsidRPr="00293C96">
        <w:rPr>
          <w:sz w:val="16"/>
          <w:szCs w:val="16"/>
        </w:rPr>
        <w:t>Sea</w:t>
      </w:r>
      <w:proofErr w:type="spellEnd"/>
      <w:r w:rsidRPr="00293C96">
        <w:rPr>
          <w:sz w:val="16"/>
          <w:szCs w:val="16"/>
        </w:rPr>
        <w:t xml:space="preserve"> </w:t>
      </w:r>
      <w:proofErr w:type="spellStart"/>
      <w:r w:rsidRPr="00293C96">
        <w:rPr>
          <w:sz w:val="16"/>
          <w:szCs w:val="16"/>
        </w:rPr>
        <w:t>Level</w:t>
      </w:r>
      <w:proofErr w:type="spellEnd"/>
      <w:r w:rsidRPr="00293C96">
        <w:rPr>
          <w:sz w:val="16"/>
          <w:szCs w:val="16"/>
        </w:rPr>
        <w:t>, ELQ 17 (1990), 621–53.</w:t>
      </w:r>
    </w:p>
  </w:footnote>
  <w:footnote w:id="7">
    <w:p w:rsidR="00392247" w:rsidRPr="00293C96" w:rsidRDefault="00392247" w:rsidP="00665269">
      <w:pPr>
        <w:pStyle w:val="FootnoteText"/>
        <w:jc w:val="both"/>
        <w:rPr>
          <w:sz w:val="16"/>
          <w:szCs w:val="16"/>
        </w:rPr>
      </w:pPr>
      <w:r w:rsidRPr="00293C96">
        <w:rPr>
          <w:rStyle w:val="FootnoteReference"/>
          <w:sz w:val="16"/>
          <w:szCs w:val="16"/>
        </w:rPr>
        <w:footnoteRef/>
      </w:r>
      <w:r w:rsidRPr="00293C96">
        <w:rPr>
          <w:sz w:val="16"/>
          <w:szCs w:val="16"/>
        </w:rPr>
        <w:t xml:space="preserve"> </w:t>
      </w:r>
      <w:proofErr w:type="spellStart"/>
      <w:r w:rsidRPr="00293C96">
        <w:rPr>
          <w:sz w:val="16"/>
          <w:szCs w:val="16"/>
        </w:rPr>
        <w:t>Malanczuk</w:t>
      </w:r>
      <w:proofErr w:type="spellEnd"/>
      <w:r w:rsidRPr="00293C96">
        <w:rPr>
          <w:sz w:val="16"/>
          <w:szCs w:val="16"/>
        </w:rPr>
        <w:t xml:space="preserve"> P. </w:t>
      </w:r>
      <w:proofErr w:type="spellStart"/>
      <w:r w:rsidRPr="00293C96">
        <w:rPr>
          <w:sz w:val="16"/>
          <w:szCs w:val="16"/>
        </w:rPr>
        <w:t>Akehurst’s</w:t>
      </w:r>
      <w:proofErr w:type="spellEnd"/>
      <w:r w:rsidRPr="00293C96">
        <w:rPr>
          <w:sz w:val="16"/>
          <w:szCs w:val="16"/>
        </w:rPr>
        <w:t xml:space="preserve"> </w:t>
      </w:r>
      <w:proofErr w:type="spellStart"/>
      <w:r w:rsidRPr="00293C96">
        <w:rPr>
          <w:sz w:val="16"/>
          <w:szCs w:val="16"/>
        </w:rPr>
        <w:t>Modern</w:t>
      </w:r>
      <w:proofErr w:type="spellEnd"/>
      <w:r w:rsidRPr="00293C96">
        <w:rPr>
          <w:sz w:val="16"/>
          <w:szCs w:val="16"/>
        </w:rPr>
        <w:t xml:space="preserve"> </w:t>
      </w:r>
      <w:proofErr w:type="spellStart"/>
      <w:r w:rsidRPr="00293C96">
        <w:rPr>
          <w:sz w:val="16"/>
          <w:szCs w:val="16"/>
        </w:rPr>
        <w:t>Introduction</w:t>
      </w:r>
      <w:proofErr w:type="spellEnd"/>
      <w:r w:rsidRPr="00293C96">
        <w:rPr>
          <w:sz w:val="16"/>
          <w:szCs w:val="16"/>
        </w:rPr>
        <w:t xml:space="preserve"> to </w:t>
      </w:r>
      <w:proofErr w:type="spellStart"/>
      <w:r w:rsidRPr="00293C96">
        <w:rPr>
          <w:sz w:val="16"/>
          <w:szCs w:val="16"/>
        </w:rPr>
        <w:t>International</w:t>
      </w:r>
      <w:proofErr w:type="spellEnd"/>
      <w:r w:rsidRPr="00293C96">
        <w:rPr>
          <w:sz w:val="16"/>
          <w:szCs w:val="16"/>
        </w:rPr>
        <w:t xml:space="preserve"> </w:t>
      </w:r>
      <w:proofErr w:type="spellStart"/>
      <w:r w:rsidRPr="00293C96">
        <w:rPr>
          <w:sz w:val="16"/>
          <w:szCs w:val="16"/>
        </w:rPr>
        <w:t>Law</w:t>
      </w:r>
      <w:proofErr w:type="spellEnd"/>
      <w:r w:rsidRPr="00293C96">
        <w:rPr>
          <w:sz w:val="16"/>
          <w:szCs w:val="16"/>
        </w:rPr>
        <w:t xml:space="preserve">. </w:t>
      </w:r>
      <w:proofErr w:type="spellStart"/>
      <w:r w:rsidRPr="00293C96">
        <w:rPr>
          <w:sz w:val="16"/>
          <w:szCs w:val="16"/>
        </w:rPr>
        <w:t>Psychology</w:t>
      </w:r>
      <w:proofErr w:type="spellEnd"/>
      <w:r w:rsidRPr="00293C96">
        <w:rPr>
          <w:sz w:val="16"/>
          <w:szCs w:val="16"/>
        </w:rPr>
        <w:t xml:space="preserve"> </w:t>
      </w:r>
      <w:proofErr w:type="spellStart"/>
      <w:r w:rsidRPr="00293C96">
        <w:rPr>
          <w:sz w:val="16"/>
          <w:szCs w:val="16"/>
        </w:rPr>
        <w:t>Press</w:t>
      </w:r>
      <w:proofErr w:type="spellEnd"/>
      <w:r w:rsidRPr="00293C96">
        <w:rPr>
          <w:sz w:val="16"/>
          <w:szCs w:val="16"/>
        </w:rPr>
        <w:t>, 1997, p.176, 178-180.</w:t>
      </w:r>
    </w:p>
  </w:footnote>
  <w:footnote w:id="8">
    <w:p w:rsidR="00392247" w:rsidRPr="00293C96" w:rsidRDefault="00392247" w:rsidP="00665269">
      <w:pPr>
        <w:pStyle w:val="FootnoteText"/>
        <w:jc w:val="both"/>
        <w:rPr>
          <w:sz w:val="16"/>
          <w:szCs w:val="16"/>
        </w:rPr>
      </w:pPr>
      <w:r w:rsidRPr="00293C96">
        <w:rPr>
          <w:rStyle w:val="FootnoteReference"/>
          <w:sz w:val="16"/>
          <w:szCs w:val="16"/>
        </w:rPr>
        <w:footnoteRef/>
      </w:r>
      <w:r w:rsidRPr="00293C96">
        <w:rPr>
          <w:sz w:val="16"/>
          <w:szCs w:val="16"/>
        </w:rPr>
        <w:t xml:space="preserve"> </w:t>
      </w:r>
      <w:proofErr w:type="spellStart"/>
      <w:r w:rsidRPr="00293C96">
        <w:rPr>
          <w:sz w:val="16"/>
          <w:szCs w:val="16"/>
        </w:rPr>
        <w:t>R.Wolfrum</w:t>
      </w:r>
      <w:proofErr w:type="spellEnd"/>
      <w:r w:rsidRPr="00293C96">
        <w:rPr>
          <w:sz w:val="16"/>
          <w:szCs w:val="16"/>
        </w:rPr>
        <w:t xml:space="preserve">, </w:t>
      </w:r>
      <w:proofErr w:type="spellStart"/>
      <w:r w:rsidRPr="00293C96">
        <w:rPr>
          <w:sz w:val="16"/>
          <w:szCs w:val="16"/>
        </w:rPr>
        <w:t>Coastal</w:t>
      </w:r>
      <w:proofErr w:type="spellEnd"/>
      <w:r w:rsidRPr="00293C96">
        <w:rPr>
          <w:sz w:val="16"/>
          <w:szCs w:val="16"/>
        </w:rPr>
        <w:t xml:space="preserve"> </w:t>
      </w:r>
      <w:proofErr w:type="spellStart"/>
      <w:r w:rsidRPr="00293C96">
        <w:rPr>
          <w:sz w:val="16"/>
          <w:szCs w:val="16"/>
        </w:rPr>
        <w:t>Fisheries</w:t>
      </w:r>
      <w:proofErr w:type="spellEnd"/>
      <w:r w:rsidRPr="00293C96">
        <w:rPr>
          <w:sz w:val="16"/>
          <w:szCs w:val="16"/>
        </w:rPr>
        <w:t>, EPIL 11 (1989), 61–3.</w:t>
      </w:r>
    </w:p>
  </w:footnote>
  <w:footnote w:id="9">
    <w:p w:rsidR="00392247" w:rsidRPr="00293C96" w:rsidRDefault="00392247" w:rsidP="00665269">
      <w:pPr>
        <w:pStyle w:val="FootnoteText"/>
        <w:jc w:val="both"/>
        <w:rPr>
          <w:sz w:val="16"/>
          <w:szCs w:val="16"/>
        </w:rPr>
      </w:pPr>
      <w:r w:rsidRPr="00293C96">
        <w:rPr>
          <w:rStyle w:val="FootnoteReference"/>
          <w:sz w:val="16"/>
          <w:szCs w:val="16"/>
        </w:rPr>
        <w:footnoteRef/>
      </w:r>
      <w:r w:rsidRPr="00293C96">
        <w:rPr>
          <w:sz w:val="16"/>
          <w:szCs w:val="16"/>
        </w:rPr>
        <w:t xml:space="preserve"> </w:t>
      </w:r>
      <w:proofErr w:type="spellStart"/>
      <w:r w:rsidRPr="00293C96">
        <w:rPr>
          <w:sz w:val="16"/>
          <w:szCs w:val="16"/>
        </w:rPr>
        <w:t>Malanczuk</w:t>
      </w:r>
      <w:proofErr w:type="spellEnd"/>
      <w:r w:rsidRPr="00293C96">
        <w:rPr>
          <w:sz w:val="16"/>
          <w:szCs w:val="16"/>
        </w:rPr>
        <w:t xml:space="preserve"> P. </w:t>
      </w:r>
      <w:proofErr w:type="spellStart"/>
      <w:r w:rsidRPr="00293C96">
        <w:rPr>
          <w:sz w:val="16"/>
          <w:szCs w:val="16"/>
        </w:rPr>
        <w:t>Akehurst’s</w:t>
      </w:r>
      <w:proofErr w:type="spellEnd"/>
      <w:r w:rsidRPr="00293C96">
        <w:rPr>
          <w:sz w:val="16"/>
          <w:szCs w:val="16"/>
        </w:rPr>
        <w:t xml:space="preserve"> </w:t>
      </w:r>
      <w:proofErr w:type="spellStart"/>
      <w:r w:rsidRPr="00293C96">
        <w:rPr>
          <w:sz w:val="16"/>
          <w:szCs w:val="16"/>
        </w:rPr>
        <w:t>Modern</w:t>
      </w:r>
      <w:proofErr w:type="spellEnd"/>
      <w:r w:rsidRPr="00293C96">
        <w:rPr>
          <w:sz w:val="16"/>
          <w:szCs w:val="16"/>
        </w:rPr>
        <w:t xml:space="preserve"> </w:t>
      </w:r>
      <w:proofErr w:type="spellStart"/>
      <w:r w:rsidRPr="00293C96">
        <w:rPr>
          <w:sz w:val="16"/>
          <w:szCs w:val="16"/>
        </w:rPr>
        <w:t>Introduction</w:t>
      </w:r>
      <w:proofErr w:type="spellEnd"/>
      <w:r w:rsidRPr="00293C96">
        <w:rPr>
          <w:sz w:val="16"/>
          <w:szCs w:val="16"/>
        </w:rPr>
        <w:t xml:space="preserve"> to </w:t>
      </w:r>
      <w:proofErr w:type="spellStart"/>
      <w:r w:rsidRPr="00293C96">
        <w:rPr>
          <w:sz w:val="16"/>
          <w:szCs w:val="16"/>
        </w:rPr>
        <w:t>International</w:t>
      </w:r>
      <w:proofErr w:type="spellEnd"/>
      <w:r w:rsidRPr="00293C96">
        <w:rPr>
          <w:sz w:val="16"/>
          <w:szCs w:val="16"/>
        </w:rPr>
        <w:t xml:space="preserve"> </w:t>
      </w:r>
      <w:proofErr w:type="spellStart"/>
      <w:r w:rsidRPr="00293C96">
        <w:rPr>
          <w:sz w:val="16"/>
          <w:szCs w:val="16"/>
        </w:rPr>
        <w:t>Law</w:t>
      </w:r>
      <w:proofErr w:type="spellEnd"/>
      <w:r w:rsidRPr="00293C96">
        <w:rPr>
          <w:sz w:val="16"/>
          <w:szCs w:val="16"/>
        </w:rPr>
        <w:t xml:space="preserve">. </w:t>
      </w:r>
      <w:proofErr w:type="spellStart"/>
      <w:r w:rsidRPr="00293C96">
        <w:rPr>
          <w:sz w:val="16"/>
          <w:szCs w:val="16"/>
        </w:rPr>
        <w:t>Psychology</w:t>
      </w:r>
      <w:proofErr w:type="spellEnd"/>
      <w:r w:rsidRPr="00293C96">
        <w:rPr>
          <w:sz w:val="16"/>
          <w:szCs w:val="16"/>
        </w:rPr>
        <w:t xml:space="preserve"> </w:t>
      </w:r>
      <w:proofErr w:type="spellStart"/>
      <w:r w:rsidRPr="00293C96">
        <w:rPr>
          <w:sz w:val="16"/>
          <w:szCs w:val="16"/>
        </w:rPr>
        <w:t>Press</w:t>
      </w:r>
      <w:proofErr w:type="spellEnd"/>
      <w:r w:rsidRPr="00293C96">
        <w:rPr>
          <w:sz w:val="16"/>
          <w:szCs w:val="16"/>
        </w:rPr>
        <w:t>, 1997, p.177.</w:t>
      </w:r>
    </w:p>
  </w:footnote>
  <w:footnote w:id="10">
    <w:p w:rsidR="00392247" w:rsidRPr="00293C96" w:rsidRDefault="00392247" w:rsidP="00665269">
      <w:pPr>
        <w:pStyle w:val="FootnoteText"/>
        <w:jc w:val="both"/>
        <w:rPr>
          <w:sz w:val="16"/>
          <w:szCs w:val="16"/>
        </w:rPr>
      </w:pPr>
      <w:r w:rsidRPr="00293C96">
        <w:rPr>
          <w:rStyle w:val="FootnoteReference"/>
          <w:sz w:val="16"/>
          <w:szCs w:val="16"/>
        </w:rPr>
        <w:footnoteRef/>
      </w:r>
      <w:r w:rsidRPr="00293C96">
        <w:rPr>
          <w:sz w:val="16"/>
          <w:szCs w:val="16"/>
        </w:rPr>
        <w:t xml:space="preserve"> </w:t>
      </w:r>
      <w:proofErr w:type="spellStart"/>
      <w:r w:rsidRPr="00293C96">
        <w:rPr>
          <w:sz w:val="16"/>
          <w:szCs w:val="16"/>
        </w:rPr>
        <w:t>Malanczuk</w:t>
      </w:r>
      <w:proofErr w:type="spellEnd"/>
      <w:r w:rsidRPr="00293C96">
        <w:rPr>
          <w:sz w:val="16"/>
          <w:szCs w:val="16"/>
        </w:rPr>
        <w:t xml:space="preserve"> P. </w:t>
      </w:r>
      <w:proofErr w:type="spellStart"/>
      <w:r w:rsidRPr="00293C96">
        <w:rPr>
          <w:sz w:val="16"/>
          <w:szCs w:val="16"/>
        </w:rPr>
        <w:t>Akehurst’s</w:t>
      </w:r>
      <w:proofErr w:type="spellEnd"/>
      <w:r w:rsidRPr="00293C96">
        <w:rPr>
          <w:sz w:val="16"/>
          <w:szCs w:val="16"/>
        </w:rPr>
        <w:t xml:space="preserve"> </w:t>
      </w:r>
      <w:proofErr w:type="spellStart"/>
      <w:r w:rsidRPr="00293C96">
        <w:rPr>
          <w:sz w:val="16"/>
          <w:szCs w:val="16"/>
        </w:rPr>
        <w:t>Modern</w:t>
      </w:r>
      <w:proofErr w:type="spellEnd"/>
      <w:r w:rsidRPr="00293C96">
        <w:rPr>
          <w:sz w:val="16"/>
          <w:szCs w:val="16"/>
        </w:rPr>
        <w:t xml:space="preserve"> </w:t>
      </w:r>
      <w:proofErr w:type="spellStart"/>
      <w:r w:rsidRPr="00293C96">
        <w:rPr>
          <w:sz w:val="16"/>
          <w:szCs w:val="16"/>
        </w:rPr>
        <w:t>Introduction</w:t>
      </w:r>
      <w:proofErr w:type="spellEnd"/>
      <w:r w:rsidRPr="00293C96">
        <w:rPr>
          <w:sz w:val="16"/>
          <w:szCs w:val="16"/>
        </w:rPr>
        <w:t xml:space="preserve"> to </w:t>
      </w:r>
      <w:proofErr w:type="spellStart"/>
      <w:r w:rsidRPr="00293C96">
        <w:rPr>
          <w:sz w:val="16"/>
          <w:szCs w:val="16"/>
        </w:rPr>
        <w:t>International</w:t>
      </w:r>
      <w:proofErr w:type="spellEnd"/>
      <w:r w:rsidRPr="00293C96">
        <w:rPr>
          <w:sz w:val="16"/>
          <w:szCs w:val="16"/>
        </w:rPr>
        <w:t xml:space="preserve"> </w:t>
      </w:r>
      <w:proofErr w:type="spellStart"/>
      <w:r w:rsidRPr="00293C96">
        <w:rPr>
          <w:sz w:val="16"/>
          <w:szCs w:val="16"/>
        </w:rPr>
        <w:t>Law</w:t>
      </w:r>
      <w:proofErr w:type="spellEnd"/>
      <w:r w:rsidRPr="00293C96">
        <w:rPr>
          <w:sz w:val="16"/>
          <w:szCs w:val="16"/>
        </w:rPr>
        <w:t xml:space="preserve">. </w:t>
      </w:r>
      <w:proofErr w:type="spellStart"/>
      <w:r w:rsidRPr="00293C96">
        <w:rPr>
          <w:sz w:val="16"/>
          <w:szCs w:val="16"/>
        </w:rPr>
        <w:t>Psychology</w:t>
      </w:r>
      <w:proofErr w:type="spellEnd"/>
      <w:r w:rsidRPr="00293C96">
        <w:rPr>
          <w:sz w:val="16"/>
          <w:szCs w:val="16"/>
        </w:rPr>
        <w:t xml:space="preserve"> </w:t>
      </w:r>
      <w:proofErr w:type="spellStart"/>
      <w:r w:rsidRPr="00293C96">
        <w:rPr>
          <w:sz w:val="16"/>
          <w:szCs w:val="16"/>
        </w:rPr>
        <w:t>Press</w:t>
      </w:r>
      <w:proofErr w:type="spellEnd"/>
      <w:r w:rsidRPr="00293C96">
        <w:rPr>
          <w:sz w:val="16"/>
          <w:szCs w:val="16"/>
        </w:rPr>
        <w:t xml:space="preserve">, 1997, p.177; </w:t>
      </w:r>
      <w:proofErr w:type="spellStart"/>
      <w:r w:rsidRPr="00293C96">
        <w:rPr>
          <w:sz w:val="16"/>
          <w:szCs w:val="16"/>
        </w:rPr>
        <w:t>R.C.Lane</w:t>
      </w:r>
      <w:proofErr w:type="spellEnd"/>
      <w:r w:rsidRPr="00293C96">
        <w:rPr>
          <w:sz w:val="16"/>
          <w:szCs w:val="16"/>
        </w:rPr>
        <w:t xml:space="preserve">, </w:t>
      </w:r>
      <w:proofErr w:type="spellStart"/>
      <w:r w:rsidRPr="00293C96">
        <w:rPr>
          <w:sz w:val="16"/>
          <w:szCs w:val="16"/>
        </w:rPr>
        <w:t>Cabotage</w:t>
      </w:r>
      <w:proofErr w:type="spellEnd"/>
      <w:r w:rsidRPr="00293C96">
        <w:rPr>
          <w:sz w:val="16"/>
          <w:szCs w:val="16"/>
        </w:rPr>
        <w:t>, EPIL I (1992), 519–21.</w:t>
      </w:r>
    </w:p>
  </w:footnote>
  <w:footnote w:id="11">
    <w:p w:rsidR="00392247" w:rsidRPr="00293C96" w:rsidRDefault="00392247" w:rsidP="00665269">
      <w:pPr>
        <w:pStyle w:val="FootnoteText"/>
        <w:jc w:val="both"/>
        <w:rPr>
          <w:sz w:val="16"/>
          <w:szCs w:val="16"/>
        </w:rPr>
      </w:pPr>
      <w:r w:rsidRPr="00293C96">
        <w:rPr>
          <w:rStyle w:val="FootnoteReference"/>
          <w:sz w:val="16"/>
          <w:szCs w:val="16"/>
        </w:rPr>
        <w:footnoteRef/>
      </w:r>
      <w:r w:rsidRPr="00293C96">
        <w:rPr>
          <w:sz w:val="16"/>
          <w:szCs w:val="16"/>
        </w:rPr>
        <w:t xml:space="preserve"> </w:t>
      </w:r>
      <w:proofErr w:type="spellStart"/>
      <w:r w:rsidRPr="00293C96">
        <w:rPr>
          <w:sz w:val="16"/>
          <w:szCs w:val="16"/>
        </w:rPr>
        <w:t>Malanczuk</w:t>
      </w:r>
      <w:proofErr w:type="spellEnd"/>
      <w:r w:rsidRPr="00293C96">
        <w:rPr>
          <w:sz w:val="16"/>
          <w:szCs w:val="16"/>
        </w:rPr>
        <w:t xml:space="preserve"> P. </w:t>
      </w:r>
      <w:proofErr w:type="spellStart"/>
      <w:r w:rsidRPr="00293C96">
        <w:rPr>
          <w:sz w:val="16"/>
          <w:szCs w:val="16"/>
        </w:rPr>
        <w:t>Akehurst’s</w:t>
      </w:r>
      <w:proofErr w:type="spellEnd"/>
      <w:r w:rsidRPr="00293C96">
        <w:rPr>
          <w:sz w:val="16"/>
          <w:szCs w:val="16"/>
        </w:rPr>
        <w:t xml:space="preserve"> </w:t>
      </w:r>
      <w:proofErr w:type="spellStart"/>
      <w:r w:rsidRPr="00293C96">
        <w:rPr>
          <w:sz w:val="16"/>
          <w:szCs w:val="16"/>
        </w:rPr>
        <w:t>Modern</w:t>
      </w:r>
      <w:proofErr w:type="spellEnd"/>
      <w:r w:rsidRPr="00293C96">
        <w:rPr>
          <w:sz w:val="16"/>
          <w:szCs w:val="16"/>
        </w:rPr>
        <w:t xml:space="preserve"> </w:t>
      </w:r>
      <w:proofErr w:type="spellStart"/>
      <w:r w:rsidRPr="00293C96">
        <w:rPr>
          <w:sz w:val="16"/>
          <w:szCs w:val="16"/>
        </w:rPr>
        <w:t>Introduction</w:t>
      </w:r>
      <w:proofErr w:type="spellEnd"/>
      <w:r w:rsidRPr="00293C96">
        <w:rPr>
          <w:sz w:val="16"/>
          <w:szCs w:val="16"/>
        </w:rPr>
        <w:t xml:space="preserve"> to </w:t>
      </w:r>
      <w:proofErr w:type="spellStart"/>
      <w:r w:rsidRPr="00293C96">
        <w:rPr>
          <w:sz w:val="16"/>
          <w:szCs w:val="16"/>
        </w:rPr>
        <w:t>International</w:t>
      </w:r>
      <w:proofErr w:type="spellEnd"/>
      <w:r w:rsidRPr="00293C96">
        <w:rPr>
          <w:sz w:val="16"/>
          <w:szCs w:val="16"/>
        </w:rPr>
        <w:t xml:space="preserve"> </w:t>
      </w:r>
      <w:proofErr w:type="spellStart"/>
      <w:r w:rsidRPr="00293C96">
        <w:rPr>
          <w:sz w:val="16"/>
          <w:szCs w:val="16"/>
        </w:rPr>
        <w:t>Law</w:t>
      </w:r>
      <w:proofErr w:type="spellEnd"/>
      <w:r w:rsidRPr="00293C96">
        <w:rPr>
          <w:sz w:val="16"/>
          <w:szCs w:val="16"/>
        </w:rPr>
        <w:t xml:space="preserve">. </w:t>
      </w:r>
      <w:proofErr w:type="spellStart"/>
      <w:r w:rsidRPr="00293C96">
        <w:rPr>
          <w:sz w:val="16"/>
          <w:szCs w:val="16"/>
        </w:rPr>
        <w:t>Psychology</w:t>
      </w:r>
      <w:proofErr w:type="spellEnd"/>
      <w:r w:rsidRPr="00293C96">
        <w:rPr>
          <w:sz w:val="16"/>
          <w:szCs w:val="16"/>
        </w:rPr>
        <w:t xml:space="preserve"> </w:t>
      </w:r>
      <w:proofErr w:type="spellStart"/>
      <w:r w:rsidRPr="00293C96">
        <w:rPr>
          <w:sz w:val="16"/>
          <w:szCs w:val="16"/>
        </w:rPr>
        <w:t>Press</w:t>
      </w:r>
      <w:proofErr w:type="spellEnd"/>
      <w:r w:rsidRPr="00293C96">
        <w:rPr>
          <w:sz w:val="16"/>
          <w:szCs w:val="16"/>
        </w:rPr>
        <w:t>, 1997, p.176, p.350-1.</w:t>
      </w:r>
    </w:p>
  </w:footnote>
  <w:footnote w:id="12">
    <w:p w:rsidR="00392247" w:rsidRPr="00293C96" w:rsidRDefault="00392247" w:rsidP="00665269">
      <w:pPr>
        <w:pStyle w:val="FootnoteText"/>
        <w:jc w:val="both"/>
        <w:rPr>
          <w:sz w:val="16"/>
          <w:szCs w:val="16"/>
        </w:rPr>
      </w:pPr>
      <w:r w:rsidRPr="00293C96">
        <w:rPr>
          <w:rStyle w:val="FootnoteReference"/>
          <w:sz w:val="16"/>
          <w:szCs w:val="16"/>
        </w:rPr>
        <w:footnoteRef/>
      </w:r>
      <w:r w:rsidRPr="00293C96">
        <w:rPr>
          <w:sz w:val="16"/>
          <w:szCs w:val="16"/>
        </w:rPr>
        <w:t xml:space="preserve"> </w:t>
      </w:r>
      <w:r w:rsidRPr="00293C96">
        <w:rPr>
          <w:sz w:val="16"/>
          <w:szCs w:val="16"/>
          <w:lang w:val="en-US"/>
        </w:rPr>
        <w:t>Fisheries case, Judgment of December 18, 1951: I.C.J. Reports 1951, p.116.</w:t>
      </w:r>
    </w:p>
  </w:footnote>
  <w:footnote w:id="13">
    <w:p w:rsidR="00392247" w:rsidRPr="00A16342" w:rsidRDefault="00392247" w:rsidP="00665269">
      <w:pPr>
        <w:pStyle w:val="FootnoteText"/>
        <w:jc w:val="both"/>
        <w:rPr>
          <w:sz w:val="16"/>
          <w:szCs w:val="16"/>
        </w:rPr>
      </w:pPr>
      <w:r w:rsidRPr="00A16342">
        <w:rPr>
          <w:rStyle w:val="FootnoteReference"/>
          <w:sz w:val="16"/>
          <w:szCs w:val="16"/>
        </w:rPr>
        <w:footnoteRef/>
      </w:r>
      <w:r w:rsidRPr="00A16342">
        <w:rPr>
          <w:sz w:val="16"/>
          <w:szCs w:val="16"/>
        </w:rPr>
        <w:t xml:space="preserve"> </w:t>
      </w:r>
      <w:r w:rsidRPr="00A16342">
        <w:rPr>
          <w:sz w:val="16"/>
          <w:szCs w:val="16"/>
          <w:lang w:val="en-US"/>
        </w:rPr>
        <w:t>Fisheries case, Judgment of December 18, 1951: I.C.J. Reports 1951, p.132.</w:t>
      </w:r>
    </w:p>
  </w:footnote>
  <w:footnote w:id="14">
    <w:p w:rsidR="00392247" w:rsidRPr="00A16342" w:rsidRDefault="00392247" w:rsidP="00665269">
      <w:pPr>
        <w:pStyle w:val="FootnoteText"/>
        <w:jc w:val="both"/>
        <w:rPr>
          <w:sz w:val="16"/>
          <w:szCs w:val="16"/>
          <w:lang w:val="en-US"/>
        </w:rPr>
      </w:pPr>
      <w:r w:rsidRPr="00A16342">
        <w:rPr>
          <w:rStyle w:val="FootnoteReference"/>
          <w:sz w:val="16"/>
          <w:szCs w:val="16"/>
          <w:lang w:val="en-US"/>
        </w:rPr>
        <w:footnoteRef/>
      </w:r>
      <w:r w:rsidRPr="00A16342">
        <w:rPr>
          <w:sz w:val="16"/>
          <w:szCs w:val="16"/>
          <w:lang w:val="en-US"/>
        </w:rPr>
        <w:t xml:space="preserve"> North Sea Continental Shelf, Judgment of February 20, 1969: I.C.J. Reports 1969, p.3.</w:t>
      </w:r>
    </w:p>
  </w:footnote>
  <w:footnote w:id="15">
    <w:p w:rsidR="00392247" w:rsidRPr="00A16342" w:rsidRDefault="00392247" w:rsidP="00665269">
      <w:pPr>
        <w:pStyle w:val="FootnoteText"/>
        <w:jc w:val="both"/>
        <w:rPr>
          <w:sz w:val="16"/>
          <w:szCs w:val="16"/>
        </w:rPr>
      </w:pPr>
      <w:r w:rsidRPr="00A16342">
        <w:rPr>
          <w:rStyle w:val="FootnoteReference"/>
          <w:sz w:val="16"/>
          <w:szCs w:val="16"/>
        </w:rPr>
        <w:footnoteRef/>
      </w:r>
      <w:r w:rsidRPr="00A16342">
        <w:rPr>
          <w:sz w:val="16"/>
          <w:szCs w:val="16"/>
        </w:rPr>
        <w:t xml:space="preserve"> </w:t>
      </w:r>
      <w:proofErr w:type="spellStart"/>
      <w:r w:rsidRPr="00A16342">
        <w:rPr>
          <w:sz w:val="16"/>
          <w:szCs w:val="16"/>
        </w:rPr>
        <w:t>Maritime</w:t>
      </w:r>
      <w:proofErr w:type="spellEnd"/>
      <w:r w:rsidRPr="00A16342">
        <w:rPr>
          <w:sz w:val="16"/>
          <w:szCs w:val="16"/>
        </w:rPr>
        <w:t xml:space="preserve"> </w:t>
      </w:r>
      <w:proofErr w:type="spellStart"/>
      <w:r w:rsidRPr="00A16342">
        <w:rPr>
          <w:sz w:val="16"/>
          <w:szCs w:val="16"/>
        </w:rPr>
        <w:t>Delimitation</w:t>
      </w:r>
      <w:proofErr w:type="spellEnd"/>
      <w:r w:rsidRPr="00A16342">
        <w:rPr>
          <w:sz w:val="16"/>
          <w:szCs w:val="16"/>
        </w:rPr>
        <w:t xml:space="preserve"> </w:t>
      </w:r>
      <w:proofErr w:type="spellStart"/>
      <w:r w:rsidRPr="00A16342">
        <w:rPr>
          <w:sz w:val="16"/>
          <w:szCs w:val="16"/>
        </w:rPr>
        <w:t>and</w:t>
      </w:r>
      <w:proofErr w:type="spellEnd"/>
      <w:r w:rsidRPr="00A16342">
        <w:rPr>
          <w:sz w:val="16"/>
          <w:szCs w:val="16"/>
        </w:rPr>
        <w:t xml:space="preserve"> </w:t>
      </w:r>
      <w:proofErr w:type="spellStart"/>
      <w:r w:rsidRPr="00A16342">
        <w:rPr>
          <w:sz w:val="16"/>
          <w:szCs w:val="16"/>
        </w:rPr>
        <w:t>Territorial</w:t>
      </w:r>
      <w:proofErr w:type="spellEnd"/>
      <w:r w:rsidRPr="00A16342">
        <w:rPr>
          <w:sz w:val="16"/>
          <w:szCs w:val="16"/>
        </w:rPr>
        <w:t xml:space="preserve"> </w:t>
      </w:r>
      <w:proofErr w:type="spellStart"/>
      <w:r w:rsidRPr="00A16342">
        <w:rPr>
          <w:sz w:val="16"/>
          <w:szCs w:val="16"/>
        </w:rPr>
        <w:t>Questions</w:t>
      </w:r>
      <w:proofErr w:type="spellEnd"/>
      <w:r w:rsidRPr="00A16342">
        <w:rPr>
          <w:sz w:val="16"/>
          <w:szCs w:val="16"/>
        </w:rPr>
        <w:t xml:space="preserve"> </w:t>
      </w:r>
      <w:proofErr w:type="spellStart"/>
      <w:r w:rsidRPr="00A16342">
        <w:rPr>
          <w:sz w:val="16"/>
          <w:szCs w:val="16"/>
        </w:rPr>
        <w:t>between</w:t>
      </w:r>
      <w:proofErr w:type="spellEnd"/>
      <w:r w:rsidRPr="00A16342">
        <w:rPr>
          <w:sz w:val="16"/>
          <w:szCs w:val="16"/>
        </w:rPr>
        <w:t xml:space="preserve"> </w:t>
      </w:r>
      <w:proofErr w:type="spellStart"/>
      <w:r w:rsidRPr="00A16342">
        <w:rPr>
          <w:sz w:val="16"/>
          <w:szCs w:val="16"/>
        </w:rPr>
        <w:t>Qatar</w:t>
      </w:r>
      <w:proofErr w:type="spellEnd"/>
      <w:r w:rsidRPr="00A16342">
        <w:rPr>
          <w:sz w:val="16"/>
          <w:szCs w:val="16"/>
        </w:rPr>
        <w:t xml:space="preserve"> </w:t>
      </w:r>
      <w:proofErr w:type="spellStart"/>
      <w:r w:rsidRPr="00A16342">
        <w:rPr>
          <w:sz w:val="16"/>
          <w:szCs w:val="16"/>
        </w:rPr>
        <w:t>and</w:t>
      </w:r>
      <w:proofErr w:type="spellEnd"/>
      <w:r w:rsidRPr="00A16342">
        <w:rPr>
          <w:sz w:val="16"/>
          <w:szCs w:val="16"/>
        </w:rPr>
        <w:t xml:space="preserve"> </w:t>
      </w:r>
      <w:proofErr w:type="spellStart"/>
      <w:r w:rsidRPr="00A16342">
        <w:rPr>
          <w:sz w:val="16"/>
          <w:szCs w:val="16"/>
        </w:rPr>
        <w:t>Bahrain</w:t>
      </w:r>
      <w:proofErr w:type="spellEnd"/>
      <w:r w:rsidRPr="00A16342">
        <w:rPr>
          <w:sz w:val="16"/>
          <w:szCs w:val="16"/>
        </w:rPr>
        <w:t xml:space="preserve">, </w:t>
      </w:r>
      <w:proofErr w:type="spellStart"/>
      <w:r w:rsidRPr="00A16342">
        <w:rPr>
          <w:sz w:val="16"/>
          <w:szCs w:val="16"/>
        </w:rPr>
        <w:t>Merits</w:t>
      </w:r>
      <w:proofErr w:type="spellEnd"/>
      <w:r w:rsidRPr="00A16342">
        <w:rPr>
          <w:sz w:val="16"/>
          <w:szCs w:val="16"/>
        </w:rPr>
        <w:t xml:space="preserve">, </w:t>
      </w:r>
      <w:proofErr w:type="spellStart"/>
      <w:r w:rsidRPr="00A16342">
        <w:rPr>
          <w:sz w:val="16"/>
          <w:szCs w:val="16"/>
        </w:rPr>
        <w:t>Judgment</w:t>
      </w:r>
      <w:proofErr w:type="spellEnd"/>
      <w:r w:rsidRPr="00A16342">
        <w:rPr>
          <w:sz w:val="16"/>
          <w:szCs w:val="16"/>
        </w:rPr>
        <w:t xml:space="preserve"> </w:t>
      </w:r>
      <w:proofErr w:type="spellStart"/>
      <w:r w:rsidRPr="00A16342">
        <w:rPr>
          <w:sz w:val="16"/>
          <w:szCs w:val="16"/>
        </w:rPr>
        <w:t>of</w:t>
      </w:r>
      <w:proofErr w:type="spellEnd"/>
      <w:r w:rsidRPr="00A16342">
        <w:rPr>
          <w:sz w:val="16"/>
          <w:szCs w:val="16"/>
        </w:rPr>
        <w:t xml:space="preserve"> </w:t>
      </w:r>
      <w:proofErr w:type="spellStart"/>
      <w:r w:rsidRPr="00A16342">
        <w:rPr>
          <w:sz w:val="16"/>
          <w:szCs w:val="16"/>
        </w:rPr>
        <w:t>March</w:t>
      </w:r>
      <w:proofErr w:type="spellEnd"/>
      <w:r w:rsidRPr="00A16342">
        <w:rPr>
          <w:sz w:val="16"/>
          <w:szCs w:val="16"/>
        </w:rPr>
        <w:t xml:space="preserve"> 16, 2001, I.C.J. </w:t>
      </w:r>
      <w:proofErr w:type="spellStart"/>
      <w:r w:rsidRPr="00A16342">
        <w:rPr>
          <w:sz w:val="16"/>
          <w:szCs w:val="16"/>
        </w:rPr>
        <w:t>Reports</w:t>
      </w:r>
      <w:proofErr w:type="spellEnd"/>
      <w:r w:rsidRPr="00A16342">
        <w:rPr>
          <w:sz w:val="16"/>
          <w:szCs w:val="16"/>
        </w:rPr>
        <w:t xml:space="preserve"> 2001, p.40.</w:t>
      </w:r>
    </w:p>
  </w:footnote>
  <w:footnote w:id="16">
    <w:p w:rsidR="00392247" w:rsidRPr="00A16342" w:rsidRDefault="00392247" w:rsidP="00665269">
      <w:pPr>
        <w:pStyle w:val="FootnoteText"/>
        <w:jc w:val="both"/>
        <w:rPr>
          <w:sz w:val="16"/>
          <w:szCs w:val="16"/>
        </w:rPr>
      </w:pPr>
      <w:r w:rsidRPr="00A16342">
        <w:rPr>
          <w:rStyle w:val="FootnoteReference"/>
          <w:sz w:val="16"/>
          <w:szCs w:val="16"/>
        </w:rPr>
        <w:footnoteRef/>
      </w:r>
      <w:r w:rsidRPr="00A16342">
        <w:rPr>
          <w:sz w:val="16"/>
          <w:szCs w:val="16"/>
        </w:rPr>
        <w:t xml:space="preserve"> </w:t>
      </w:r>
      <w:proofErr w:type="spellStart"/>
      <w:r w:rsidRPr="00A16342">
        <w:rPr>
          <w:sz w:val="16"/>
          <w:szCs w:val="16"/>
        </w:rPr>
        <w:t>F.Wooldridge</w:t>
      </w:r>
      <w:proofErr w:type="spellEnd"/>
      <w:r w:rsidRPr="00A16342">
        <w:rPr>
          <w:sz w:val="16"/>
          <w:szCs w:val="16"/>
        </w:rPr>
        <w:t xml:space="preserve">, </w:t>
      </w:r>
      <w:proofErr w:type="spellStart"/>
      <w:r w:rsidRPr="00A16342">
        <w:rPr>
          <w:sz w:val="16"/>
          <w:szCs w:val="16"/>
        </w:rPr>
        <w:t>Contiguous</w:t>
      </w:r>
      <w:proofErr w:type="spellEnd"/>
      <w:r w:rsidRPr="00A16342">
        <w:rPr>
          <w:sz w:val="16"/>
          <w:szCs w:val="16"/>
        </w:rPr>
        <w:t xml:space="preserve"> </w:t>
      </w:r>
      <w:proofErr w:type="spellStart"/>
      <w:r w:rsidRPr="00A16342">
        <w:rPr>
          <w:sz w:val="16"/>
          <w:szCs w:val="16"/>
        </w:rPr>
        <w:t>Zone</w:t>
      </w:r>
      <w:proofErr w:type="spellEnd"/>
      <w:r w:rsidRPr="00A16342">
        <w:rPr>
          <w:sz w:val="16"/>
          <w:szCs w:val="16"/>
        </w:rPr>
        <w:t xml:space="preserve">, EPIL I (1992), 779–83; </w:t>
      </w:r>
      <w:proofErr w:type="spellStart"/>
      <w:r w:rsidRPr="00A16342">
        <w:rPr>
          <w:sz w:val="16"/>
          <w:szCs w:val="16"/>
        </w:rPr>
        <w:t>Malanczuk</w:t>
      </w:r>
      <w:proofErr w:type="spellEnd"/>
      <w:r w:rsidRPr="00A16342">
        <w:rPr>
          <w:sz w:val="16"/>
          <w:szCs w:val="16"/>
        </w:rPr>
        <w:t xml:space="preserve"> P. </w:t>
      </w:r>
      <w:proofErr w:type="spellStart"/>
      <w:r w:rsidRPr="00A16342">
        <w:rPr>
          <w:sz w:val="16"/>
          <w:szCs w:val="16"/>
        </w:rPr>
        <w:t>Akehurst’s</w:t>
      </w:r>
      <w:proofErr w:type="spellEnd"/>
      <w:r w:rsidRPr="00A16342">
        <w:rPr>
          <w:sz w:val="16"/>
          <w:szCs w:val="16"/>
        </w:rPr>
        <w:t xml:space="preserve"> </w:t>
      </w:r>
      <w:proofErr w:type="spellStart"/>
      <w:r w:rsidRPr="00A16342">
        <w:rPr>
          <w:sz w:val="16"/>
          <w:szCs w:val="16"/>
        </w:rPr>
        <w:t>Modern</w:t>
      </w:r>
      <w:proofErr w:type="spellEnd"/>
      <w:r w:rsidRPr="00A16342">
        <w:rPr>
          <w:sz w:val="16"/>
          <w:szCs w:val="16"/>
        </w:rPr>
        <w:t xml:space="preserve"> </w:t>
      </w:r>
      <w:proofErr w:type="spellStart"/>
      <w:r w:rsidRPr="00A16342">
        <w:rPr>
          <w:sz w:val="16"/>
          <w:szCs w:val="16"/>
        </w:rPr>
        <w:t>Introduction</w:t>
      </w:r>
      <w:proofErr w:type="spellEnd"/>
      <w:r w:rsidRPr="00A16342">
        <w:rPr>
          <w:sz w:val="16"/>
          <w:szCs w:val="16"/>
        </w:rPr>
        <w:t xml:space="preserve"> to </w:t>
      </w:r>
      <w:proofErr w:type="spellStart"/>
      <w:r w:rsidRPr="00A16342">
        <w:rPr>
          <w:sz w:val="16"/>
          <w:szCs w:val="16"/>
        </w:rPr>
        <w:t>International</w:t>
      </w:r>
      <w:proofErr w:type="spellEnd"/>
      <w:r w:rsidRPr="00A16342">
        <w:rPr>
          <w:sz w:val="16"/>
          <w:szCs w:val="16"/>
        </w:rPr>
        <w:t xml:space="preserve"> </w:t>
      </w:r>
      <w:proofErr w:type="spellStart"/>
      <w:r w:rsidRPr="00A16342">
        <w:rPr>
          <w:sz w:val="16"/>
          <w:szCs w:val="16"/>
        </w:rPr>
        <w:t>Law</w:t>
      </w:r>
      <w:proofErr w:type="spellEnd"/>
      <w:r w:rsidRPr="00A16342">
        <w:rPr>
          <w:sz w:val="16"/>
          <w:szCs w:val="16"/>
        </w:rPr>
        <w:t xml:space="preserve">. </w:t>
      </w:r>
      <w:proofErr w:type="spellStart"/>
      <w:r w:rsidRPr="00A16342">
        <w:rPr>
          <w:sz w:val="16"/>
          <w:szCs w:val="16"/>
        </w:rPr>
        <w:t>Psychology</w:t>
      </w:r>
      <w:proofErr w:type="spellEnd"/>
      <w:r w:rsidRPr="00A16342">
        <w:rPr>
          <w:sz w:val="16"/>
          <w:szCs w:val="16"/>
        </w:rPr>
        <w:t xml:space="preserve"> </w:t>
      </w:r>
      <w:proofErr w:type="spellStart"/>
      <w:r w:rsidRPr="00A16342">
        <w:rPr>
          <w:sz w:val="16"/>
          <w:szCs w:val="16"/>
        </w:rPr>
        <w:t>Press</w:t>
      </w:r>
      <w:proofErr w:type="spellEnd"/>
      <w:r w:rsidRPr="00A16342">
        <w:rPr>
          <w:sz w:val="16"/>
          <w:szCs w:val="16"/>
        </w:rPr>
        <w:t>, 1997, p.182.</w:t>
      </w:r>
    </w:p>
  </w:footnote>
  <w:footnote w:id="17">
    <w:p w:rsidR="00392247" w:rsidRPr="00A16342" w:rsidRDefault="00392247" w:rsidP="00665269">
      <w:pPr>
        <w:pStyle w:val="FootnoteText"/>
        <w:jc w:val="both"/>
        <w:rPr>
          <w:sz w:val="16"/>
          <w:szCs w:val="16"/>
        </w:rPr>
      </w:pPr>
      <w:r w:rsidRPr="00A16342">
        <w:rPr>
          <w:rStyle w:val="FootnoteReference"/>
          <w:sz w:val="16"/>
          <w:szCs w:val="16"/>
        </w:rPr>
        <w:footnoteRef/>
      </w:r>
      <w:r w:rsidRPr="00A16342">
        <w:rPr>
          <w:sz w:val="16"/>
          <w:szCs w:val="16"/>
        </w:rPr>
        <w:t xml:space="preserve"> </w:t>
      </w:r>
      <w:proofErr w:type="spellStart"/>
      <w:r w:rsidRPr="00A16342">
        <w:rPr>
          <w:sz w:val="16"/>
          <w:szCs w:val="16"/>
        </w:rPr>
        <w:t>Malanczuk</w:t>
      </w:r>
      <w:proofErr w:type="spellEnd"/>
      <w:r w:rsidRPr="00A16342">
        <w:rPr>
          <w:sz w:val="16"/>
          <w:szCs w:val="16"/>
        </w:rPr>
        <w:t xml:space="preserve"> P. </w:t>
      </w:r>
      <w:proofErr w:type="spellStart"/>
      <w:r w:rsidRPr="00A16342">
        <w:rPr>
          <w:sz w:val="16"/>
          <w:szCs w:val="16"/>
        </w:rPr>
        <w:t>Akehurst’s</w:t>
      </w:r>
      <w:proofErr w:type="spellEnd"/>
      <w:r w:rsidRPr="00A16342">
        <w:rPr>
          <w:sz w:val="16"/>
          <w:szCs w:val="16"/>
        </w:rPr>
        <w:t xml:space="preserve"> </w:t>
      </w:r>
      <w:proofErr w:type="spellStart"/>
      <w:r w:rsidRPr="00A16342">
        <w:rPr>
          <w:sz w:val="16"/>
          <w:szCs w:val="16"/>
        </w:rPr>
        <w:t>Modern</w:t>
      </w:r>
      <w:proofErr w:type="spellEnd"/>
      <w:r w:rsidRPr="00A16342">
        <w:rPr>
          <w:sz w:val="16"/>
          <w:szCs w:val="16"/>
        </w:rPr>
        <w:t xml:space="preserve"> </w:t>
      </w:r>
      <w:proofErr w:type="spellStart"/>
      <w:r w:rsidRPr="00A16342">
        <w:rPr>
          <w:sz w:val="16"/>
          <w:szCs w:val="16"/>
        </w:rPr>
        <w:t>Introduction</w:t>
      </w:r>
      <w:proofErr w:type="spellEnd"/>
      <w:r w:rsidRPr="00A16342">
        <w:rPr>
          <w:sz w:val="16"/>
          <w:szCs w:val="16"/>
        </w:rPr>
        <w:t xml:space="preserve"> to </w:t>
      </w:r>
      <w:proofErr w:type="spellStart"/>
      <w:r w:rsidRPr="00A16342">
        <w:rPr>
          <w:sz w:val="16"/>
          <w:szCs w:val="16"/>
        </w:rPr>
        <w:t>International</w:t>
      </w:r>
      <w:proofErr w:type="spellEnd"/>
      <w:r w:rsidRPr="00A16342">
        <w:rPr>
          <w:sz w:val="16"/>
          <w:szCs w:val="16"/>
        </w:rPr>
        <w:t xml:space="preserve"> </w:t>
      </w:r>
      <w:proofErr w:type="spellStart"/>
      <w:r w:rsidRPr="00A16342">
        <w:rPr>
          <w:sz w:val="16"/>
          <w:szCs w:val="16"/>
        </w:rPr>
        <w:t>Law</w:t>
      </w:r>
      <w:proofErr w:type="spellEnd"/>
      <w:r w:rsidRPr="00A16342">
        <w:rPr>
          <w:sz w:val="16"/>
          <w:szCs w:val="16"/>
        </w:rPr>
        <w:t xml:space="preserve">. </w:t>
      </w:r>
      <w:proofErr w:type="spellStart"/>
      <w:r w:rsidRPr="00A16342">
        <w:rPr>
          <w:sz w:val="16"/>
          <w:szCs w:val="16"/>
        </w:rPr>
        <w:t>Psychology</w:t>
      </w:r>
      <w:proofErr w:type="spellEnd"/>
      <w:r w:rsidRPr="00A16342">
        <w:rPr>
          <w:sz w:val="16"/>
          <w:szCs w:val="16"/>
        </w:rPr>
        <w:t xml:space="preserve"> </w:t>
      </w:r>
      <w:proofErr w:type="spellStart"/>
      <w:r w:rsidRPr="00A16342">
        <w:rPr>
          <w:sz w:val="16"/>
          <w:szCs w:val="16"/>
        </w:rPr>
        <w:t>Press</w:t>
      </w:r>
      <w:proofErr w:type="spellEnd"/>
      <w:r w:rsidRPr="00A16342">
        <w:rPr>
          <w:sz w:val="16"/>
          <w:szCs w:val="16"/>
        </w:rPr>
        <w:t xml:space="preserve">, 1997, p.184; </w:t>
      </w:r>
      <w:proofErr w:type="spellStart"/>
      <w:r w:rsidRPr="00A16342">
        <w:rPr>
          <w:sz w:val="16"/>
          <w:szCs w:val="16"/>
        </w:rPr>
        <w:t>R.Lagoni</w:t>
      </w:r>
      <w:proofErr w:type="spellEnd"/>
      <w:r w:rsidRPr="00A16342">
        <w:rPr>
          <w:sz w:val="16"/>
          <w:szCs w:val="16"/>
        </w:rPr>
        <w:t xml:space="preserve">, </w:t>
      </w:r>
      <w:proofErr w:type="spellStart"/>
      <w:r w:rsidRPr="00A16342">
        <w:rPr>
          <w:sz w:val="16"/>
          <w:szCs w:val="16"/>
        </w:rPr>
        <w:t>Cables</w:t>
      </w:r>
      <w:proofErr w:type="spellEnd"/>
      <w:r w:rsidRPr="00A16342">
        <w:rPr>
          <w:sz w:val="16"/>
          <w:szCs w:val="16"/>
        </w:rPr>
        <w:t xml:space="preserve">, </w:t>
      </w:r>
      <w:proofErr w:type="spellStart"/>
      <w:r w:rsidRPr="00A16342">
        <w:rPr>
          <w:sz w:val="16"/>
          <w:szCs w:val="16"/>
        </w:rPr>
        <w:t>Submarine</w:t>
      </w:r>
      <w:proofErr w:type="spellEnd"/>
      <w:r w:rsidRPr="00A16342">
        <w:rPr>
          <w:sz w:val="16"/>
          <w:szCs w:val="16"/>
        </w:rPr>
        <w:t>, EPIL I (1992), 516–9.</w:t>
      </w:r>
    </w:p>
  </w:footnote>
  <w:footnote w:id="18">
    <w:p w:rsidR="00392247" w:rsidRPr="00A2137B" w:rsidRDefault="00392247" w:rsidP="00BD2E22">
      <w:pPr>
        <w:pStyle w:val="FootnoteText"/>
        <w:jc w:val="both"/>
        <w:rPr>
          <w:sz w:val="16"/>
          <w:szCs w:val="16"/>
        </w:rPr>
      </w:pPr>
      <w:r w:rsidRPr="00A2137B">
        <w:rPr>
          <w:rStyle w:val="FootnoteReference"/>
          <w:sz w:val="16"/>
          <w:szCs w:val="16"/>
        </w:rPr>
        <w:footnoteRef/>
      </w:r>
      <w:r w:rsidRPr="00A2137B">
        <w:rPr>
          <w:sz w:val="16"/>
          <w:szCs w:val="16"/>
        </w:rPr>
        <w:t xml:space="preserve"> </w:t>
      </w:r>
      <w:r w:rsidRPr="004C78E3">
        <w:rPr>
          <w:sz w:val="16"/>
          <w:szCs w:val="16"/>
        </w:rPr>
        <w:t>KOMISIJAS PAZIŅOJUMS EIROPAS PARLAMENTAM, PADOMEI, EIROPAS EKONOMIKAS UN SOCIĀLO LIETU KOMITEJAI UN REĢIONU KOMITEJAI jūras teritoriālā plānošana ES — sasniegumi un turpmākā attīstība. /* COM/2010/0771 galīgā redakcija */.</w:t>
      </w:r>
    </w:p>
  </w:footnote>
  <w:footnote w:id="19">
    <w:p w:rsidR="00392247" w:rsidRPr="000073A5" w:rsidRDefault="00392247" w:rsidP="00BD2E22">
      <w:pPr>
        <w:pStyle w:val="FootnoteText"/>
        <w:jc w:val="both"/>
        <w:rPr>
          <w:rFonts w:cs="Arial"/>
          <w:sz w:val="16"/>
          <w:szCs w:val="16"/>
        </w:rPr>
      </w:pPr>
      <w:r w:rsidRPr="000073A5">
        <w:rPr>
          <w:rStyle w:val="FootnoteReference"/>
          <w:rFonts w:cs="Arial"/>
          <w:sz w:val="16"/>
          <w:szCs w:val="16"/>
        </w:rPr>
        <w:footnoteRef/>
      </w:r>
      <w:r w:rsidRPr="000073A5">
        <w:rPr>
          <w:rFonts w:cs="Arial"/>
          <w:sz w:val="16"/>
          <w:szCs w:val="16"/>
        </w:rPr>
        <w:t xml:space="preserve"> Direktīva</w:t>
      </w:r>
      <w:r>
        <w:rPr>
          <w:rFonts w:cs="Arial"/>
          <w:sz w:val="16"/>
          <w:szCs w:val="16"/>
        </w:rPr>
        <w:t>s</w:t>
      </w:r>
      <w:r w:rsidRPr="000073A5">
        <w:rPr>
          <w:rFonts w:cs="Arial"/>
          <w:sz w:val="16"/>
          <w:szCs w:val="16"/>
        </w:rPr>
        <w:t xml:space="preserve"> 2014/89/ES</w:t>
      </w:r>
      <w:r>
        <w:rPr>
          <w:rFonts w:cs="Arial"/>
          <w:sz w:val="16"/>
          <w:szCs w:val="16"/>
        </w:rPr>
        <w:t xml:space="preserve"> (2014.gada 23.jūlijs)</w:t>
      </w:r>
      <w:r w:rsidRPr="000073A5">
        <w:rPr>
          <w:rFonts w:cs="Arial"/>
          <w:sz w:val="16"/>
          <w:szCs w:val="16"/>
        </w:rPr>
        <w:t xml:space="preserve"> preambulas 19.apsvērums, 1.pants un 8.panta 2.punkts</w:t>
      </w:r>
      <w:r>
        <w:rPr>
          <w:rFonts w:cs="Arial"/>
          <w:sz w:val="16"/>
          <w:szCs w:val="16"/>
        </w:rPr>
        <w:t>.</w:t>
      </w:r>
    </w:p>
  </w:footnote>
  <w:footnote w:id="20">
    <w:p w:rsidR="00392247" w:rsidRPr="000073A5" w:rsidRDefault="00392247" w:rsidP="00BD2E22">
      <w:pPr>
        <w:pStyle w:val="FootnoteText"/>
        <w:jc w:val="both"/>
        <w:rPr>
          <w:rFonts w:cs="Arial"/>
          <w:sz w:val="16"/>
          <w:szCs w:val="16"/>
        </w:rPr>
      </w:pPr>
      <w:r w:rsidRPr="000073A5">
        <w:rPr>
          <w:rStyle w:val="FootnoteReference"/>
          <w:rFonts w:cs="Arial"/>
          <w:sz w:val="16"/>
          <w:szCs w:val="16"/>
        </w:rPr>
        <w:footnoteRef/>
      </w:r>
      <w:r w:rsidRPr="000073A5">
        <w:rPr>
          <w:rFonts w:cs="Arial"/>
          <w:sz w:val="16"/>
          <w:szCs w:val="16"/>
        </w:rPr>
        <w:t xml:space="preserve"> Direktīva</w:t>
      </w:r>
      <w:r>
        <w:rPr>
          <w:rFonts w:cs="Arial"/>
          <w:sz w:val="16"/>
          <w:szCs w:val="16"/>
        </w:rPr>
        <w:t>s</w:t>
      </w:r>
      <w:r w:rsidRPr="000073A5">
        <w:rPr>
          <w:rFonts w:cs="Arial"/>
          <w:sz w:val="16"/>
          <w:szCs w:val="16"/>
        </w:rPr>
        <w:t xml:space="preserve"> 2014/89/ES</w:t>
      </w:r>
      <w:r>
        <w:rPr>
          <w:rFonts w:cs="Arial"/>
          <w:sz w:val="16"/>
          <w:szCs w:val="16"/>
        </w:rPr>
        <w:t xml:space="preserve"> (2014.gada 23.jūlijs)</w:t>
      </w:r>
      <w:r w:rsidRPr="000073A5">
        <w:rPr>
          <w:rFonts w:cs="Arial"/>
          <w:sz w:val="16"/>
          <w:szCs w:val="16"/>
        </w:rPr>
        <w:t xml:space="preserve"> 4.panta 3.punkts</w:t>
      </w:r>
      <w:r>
        <w:rPr>
          <w:rFonts w:cs="Arial"/>
          <w:sz w:val="16"/>
          <w:szCs w:val="16"/>
        </w:rPr>
        <w:t>.</w:t>
      </w:r>
    </w:p>
  </w:footnote>
  <w:footnote w:id="21">
    <w:p w:rsidR="00392247" w:rsidRPr="009A4454" w:rsidRDefault="00392247" w:rsidP="00BD2E22">
      <w:pPr>
        <w:pStyle w:val="FootnoteText"/>
        <w:jc w:val="both"/>
        <w:rPr>
          <w:rFonts w:cs="Arial"/>
          <w:sz w:val="16"/>
          <w:szCs w:val="16"/>
        </w:rPr>
      </w:pPr>
      <w:r w:rsidRPr="000073A5">
        <w:rPr>
          <w:rStyle w:val="FootnoteReference"/>
          <w:rFonts w:cs="Arial"/>
          <w:sz w:val="16"/>
          <w:szCs w:val="16"/>
        </w:rPr>
        <w:footnoteRef/>
      </w:r>
      <w:r w:rsidRPr="000073A5">
        <w:rPr>
          <w:rFonts w:cs="Arial"/>
          <w:sz w:val="16"/>
          <w:szCs w:val="16"/>
        </w:rPr>
        <w:t xml:space="preserve"> Direktīva</w:t>
      </w:r>
      <w:r>
        <w:rPr>
          <w:rFonts w:cs="Arial"/>
          <w:sz w:val="16"/>
          <w:szCs w:val="16"/>
        </w:rPr>
        <w:t>s</w:t>
      </w:r>
      <w:r w:rsidRPr="000073A5">
        <w:rPr>
          <w:rFonts w:cs="Arial"/>
          <w:sz w:val="16"/>
          <w:szCs w:val="16"/>
        </w:rPr>
        <w:t xml:space="preserve"> 2014/89/ES</w:t>
      </w:r>
      <w:r>
        <w:rPr>
          <w:rFonts w:cs="Arial"/>
          <w:sz w:val="16"/>
          <w:szCs w:val="16"/>
        </w:rPr>
        <w:t xml:space="preserve"> (2014.gada 23.jūlijs)</w:t>
      </w:r>
      <w:r w:rsidRPr="000073A5">
        <w:rPr>
          <w:rFonts w:cs="Arial"/>
          <w:sz w:val="16"/>
          <w:szCs w:val="16"/>
        </w:rPr>
        <w:t xml:space="preserve"> </w:t>
      </w:r>
      <w:r>
        <w:rPr>
          <w:rFonts w:cs="Arial"/>
          <w:sz w:val="16"/>
          <w:szCs w:val="16"/>
        </w:rPr>
        <w:t>3.panta 3.punkts, 4.panta 1.punkts.</w:t>
      </w:r>
    </w:p>
  </w:footnote>
  <w:footnote w:id="22">
    <w:p w:rsidR="00392247" w:rsidRPr="000073A5" w:rsidRDefault="00392247" w:rsidP="00BD2E22">
      <w:pPr>
        <w:pStyle w:val="FootnoteText"/>
        <w:jc w:val="both"/>
        <w:rPr>
          <w:rFonts w:cs="Arial"/>
          <w:sz w:val="16"/>
          <w:szCs w:val="16"/>
        </w:rPr>
      </w:pPr>
      <w:r w:rsidRPr="000073A5">
        <w:rPr>
          <w:rStyle w:val="FootnoteReference"/>
          <w:rFonts w:cs="Arial"/>
          <w:sz w:val="16"/>
          <w:szCs w:val="16"/>
        </w:rPr>
        <w:footnoteRef/>
      </w:r>
      <w:r w:rsidRPr="000073A5">
        <w:rPr>
          <w:rFonts w:cs="Arial"/>
          <w:sz w:val="16"/>
          <w:szCs w:val="16"/>
        </w:rPr>
        <w:t xml:space="preserve"> Direktīva</w:t>
      </w:r>
      <w:r>
        <w:rPr>
          <w:rFonts w:cs="Arial"/>
          <w:sz w:val="16"/>
          <w:szCs w:val="16"/>
        </w:rPr>
        <w:t>s</w:t>
      </w:r>
      <w:r w:rsidRPr="000073A5">
        <w:rPr>
          <w:rFonts w:cs="Arial"/>
          <w:sz w:val="16"/>
          <w:szCs w:val="16"/>
        </w:rPr>
        <w:t xml:space="preserve"> 2014/89/ES</w:t>
      </w:r>
      <w:r>
        <w:rPr>
          <w:rFonts w:cs="Arial"/>
          <w:sz w:val="16"/>
          <w:szCs w:val="16"/>
        </w:rPr>
        <w:t xml:space="preserve"> (2014.gada 23.jūlijs)</w:t>
      </w:r>
      <w:r w:rsidRPr="000073A5">
        <w:rPr>
          <w:rFonts w:cs="Arial"/>
          <w:sz w:val="16"/>
          <w:szCs w:val="16"/>
        </w:rPr>
        <w:t xml:space="preserve"> 2.pants</w:t>
      </w:r>
      <w:r>
        <w:rPr>
          <w:rFonts w:cs="Arial"/>
          <w:sz w:val="16"/>
          <w:szCs w:val="16"/>
        </w:rPr>
        <w:t>.</w:t>
      </w:r>
    </w:p>
  </w:footnote>
  <w:footnote w:id="23">
    <w:p w:rsidR="00392247" w:rsidRPr="000073A5" w:rsidRDefault="00392247" w:rsidP="00BD2E22">
      <w:pPr>
        <w:pStyle w:val="FootnoteText"/>
        <w:jc w:val="both"/>
        <w:rPr>
          <w:rFonts w:cs="Arial"/>
          <w:sz w:val="16"/>
          <w:szCs w:val="16"/>
        </w:rPr>
      </w:pPr>
      <w:r w:rsidRPr="000073A5">
        <w:rPr>
          <w:rStyle w:val="FootnoteReference"/>
          <w:rFonts w:cs="Arial"/>
          <w:sz w:val="16"/>
          <w:szCs w:val="16"/>
        </w:rPr>
        <w:footnoteRef/>
      </w:r>
      <w:r w:rsidRPr="000073A5">
        <w:rPr>
          <w:rFonts w:cs="Arial"/>
          <w:sz w:val="16"/>
          <w:szCs w:val="16"/>
        </w:rPr>
        <w:t xml:space="preserve"> Direktīva</w:t>
      </w:r>
      <w:r>
        <w:rPr>
          <w:rFonts w:cs="Arial"/>
          <w:sz w:val="16"/>
          <w:szCs w:val="16"/>
        </w:rPr>
        <w:t>s</w:t>
      </w:r>
      <w:r w:rsidRPr="000073A5">
        <w:rPr>
          <w:rFonts w:cs="Arial"/>
          <w:sz w:val="16"/>
          <w:szCs w:val="16"/>
        </w:rPr>
        <w:t xml:space="preserve"> 2014/89/ES</w:t>
      </w:r>
      <w:r>
        <w:rPr>
          <w:rFonts w:cs="Arial"/>
          <w:sz w:val="16"/>
          <w:szCs w:val="16"/>
        </w:rPr>
        <w:t xml:space="preserve"> (2014.gada 23.jūlijs)</w:t>
      </w:r>
      <w:r w:rsidRPr="000073A5">
        <w:rPr>
          <w:rFonts w:cs="Arial"/>
          <w:sz w:val="16"/>
          <w:szCs w:val="16"/>
        </w:rPr>
        <w:t xml:space="preserve"> preambulas 17.apsvērums</w:t>
      </w:r>
      <w:r>
        <w:rPr>
          <w:rFonts w:cs="Arial"/>
          <w:sz w:val="16"/>
          <w:szCs w:val="16"/>
        </w:rPr>
        <w:t>.</w:t>
      </w:r>
    </w:p>
  </w:footnote>
  <w:footnote w:id="24">
    <w:p w:rsidR="00392247" w:rsidRPr="000073A5" w:rsidRDefault="00392247" w:rsidP="00BD2E22">
      <w:pPr>
        <w:pStyle w:val="FootnoteText"/>
        <w:jc w:val="both"/>
        <w:rPr>
          <w:rFonts w:cs="Arial"/>
          <w:sz w:val="16"/>
          <w:szCs w:val="16"/>
        </w:rPr>
      </w:pPr>
      <w:r w:rsidRPr="000073A5">
        <w:rPr>
          <w:rStyle w:val="FootnoteReference"/>
          <w:rFonts w:cs="Arial"/>
          <w:sz w:val="16"/>
          <w:szCs w:val="16"/>
        </w:rPr>
        <w:footnoteRef/>
      </w:r>
      <w:r w:rsidRPr="000073A5">
        <w:rPr>
          <w:rFonts w:cs="Arial"/>
          <w:sz w:val="16"/>
          <w:szCs w:val="16"/>
        </w:rPr>
        <w:t xml:space="preserve"> Direktīva</w:t>
      </w:r>
      <w:r>
        <w:rPr>
          <w:rFonts w:cs="Arial"/>
          <w:sz w:val="16"/>
          <w:szCs w:val="16"/>
        </w:rPr>
        <w:t xml:space="preserve">s </w:t>
      </w:r>
      <w:r w:rsidRPr="000073A5">
        <w:rPr>
          <w:rFonts w:cs="Arial"/>
          <w:sz w:val="16"/>
          <w:szCs w:val="16"/>
        </w:rPr>
        <w:t>2014/89/ES</w:t>
      </w:r>
      <w:r>
        <w:rPr>
          <w:rFonts w:cs="Arial"/>
          <w:sz w:val="16"/>
          <w:szCs w:val="16"/>
        </w:rPr>
        <w:t xml:space="preserve"> (2014.gada 23.jūlijs) 3.panta 4.punkts.</w:t>
      </w:r>
      <w:r w:rsidRPr="000073A5">
        <w:rPr>
          <w:rFonts w:cs="Arial"/>
          <w:sz w:val="16"/>
          <w:szCs w:val="16"/>
        </w:rPr>
        <w:t xml:space="preserve"> Direktīva</w:t>
      </w:r>
      <w:r>
        <w:rPr>
          <w:rFonts w:cs="Arial"/>
          <w:sz w:val="16"/>
          <w:szCs w:val="16"/>
        </w:rPr>
        <w:t xml:space="preserve">s </w:t>
      </w:r>
      <w:r w:rsidRPr="000073A5">
        <w:rPr>
          <w:rFonts w:cs="Arial"/>
          <w:sz w:val="16"/>
          <w:szCs w:val="16"/>
        </w:rPr>
        <w:t>2000/60/EK</w:t>
      </w:r>
      <w:r>
        <w:rPr>
          <w:rFonts w:cs="Arial"/>
          <w:sz w:val="16"/>
          <w:szCs w:val="16"/>
        </w:rPr>
        <w:t xml:space="preserve"> (2000.gada 23.oktobra)</w:t>
      </w:r>
      <w:r w:rsidRPr="000073A5">
        <w:rPr>
          <w:rFonts w:cs="Arial"/>
          <w:sz w:val="16"/>
          <w:szCs w:val="16"/>
        </w:rPr>
        <w:t xml:space="preserve"> 2.panta 7.punkts</w:t>
      </w:r>
      <w:r>
        <w:rPr>
          <w:rFonts w:cs="Arial"/>
          <w:sz w:val="16"/>
          <w:szCs w:val="16"/>
        </w:rPr>
        <w:t>.</w:t>
      </w:r>
    </w:p>
  </w:footnote>
  <w:footnote w:id="25">
    <w:p w:rsidR="00392247" w:rsidRPr="000073A5" w:rsidRDefault="00392247" w:rsidP="00FE1937">
      <w:pPr>
        <w:pStyle w:val="FootnoteText"/>
        <w:jc w:val="both"/>
        <w:rPr>
          <w:rFonts w:cs="Arial"/>
          <w:sz w:val="16"/>
          <w:szCs w:val="16"/>
        </w:rPr>
      </w:pPr>
      <w:r w:rsidRPr="000073A5">
        <w:rPr>
          <w:rStyle w:val="FootnoteReference"/>
          <w:rFonts w:cs="Arial"/>
          <w:sz w:val="16"/>
          <w:szCs w:val="16"/>
        </w:rPr>
        <w:footnoteRef/>
      </w:r>
      <w:r w:rsidRPr="000073A5">
        <w:rPr>
          <w:rFonts w:cs="Arial"/>
          <w:sz w:val="16"/>
          <w:szCs w:val="16"/>
        </w:rPr>
        <w:t xml:space="preserve"> Zemes pārvaldības likuma 1.panta pirmās daļas 7.punkts nosaka: </w:t>
      </w:r>
      <w:r w:rsidRPr="000073A5">
        <w:rPr>
          <w:rFonts w:cs="Arial"/>
          <w:i/>
          <w:sz w:val="16"/>
          <w:szCs w:val="16"/>
        </w:rPr>
        <w:t>“[..] jūras piekrastes ūdeņi – šā likuma izpratnē: akvatorija divu kilometru platumā no jūras krasta līnijas [..]”</w:t>
      </w:r>
      <w:r w:rsidRPr="000073A5">
        <w:rPr>
          <w:rFonts w:cs="Arial"/>
          <w:sz w:val="16"/>
          <w:szCs w:val="16"/>
        </w:rPr>
        <w:t>.</w:t>
      </w:r>
    </w:p>
  </w:footnote>
  <w:footnote w:id="26">
    <w:p w:rsidR="00392247" w:rsidRPr="000073A5" w:rsidRDefault="00392247" w:rsidP="00AA70D1">
      <w:pPr>
        <w:pStyle w:val="FootnoteText"/>
        <w:jc w:val="both"/>
        <w:rPr>
          <w:rFonts w:cs="Arial"/>
          <w:sz w:val="16"/>
          <w:szCs w:val="16"/>
        </w:rPr>
      </w:pPr>
      <w:r w:rsidRPr="000073A5">
        <w:rPr>
          <w:rStyle w:val="FootnoteReference"/>
          <w:rFonts w:cs="Arial"/>
          <w:sz w:val="16"/>
          <w:szCs w:val="16"/>
        </w:rPr>
        <w:footnoteRef/>
      </w:r>
      <w:r w:rsidRPr="000073A5">
        <w:rPr>
          <w:rFonts w:cs="Arial"/>
          <w:sz w:val="16"/>
          <w:szCs w:val="16"/>
        </w:rPr>
        <w:t xml:space="preserve"> Direktīva</w:t>
      </w:r>
      <w:r>
        <w:rPr>
          <w:rFonts w:cs="Arial"/>
          <w:sz w:val="16"/>
          <w:szCs w:val="16"/>
        </w:rPr>
        <w:t>s</w:t>
      </w:r>
      <w:r w:rsidRPr="000073A5">
        <w:rPr>
          <w:rFonts w:cs="Arial"/>
          <w:sz w:val="16"/>
          <w:szCs w:val="16"/>
        </w:rPr>
        <w:t xml:space="preserve"> 2014/89/ES</w:t>
      </w:r>
      <w:r>
        <w:rPr>
          <w:rFonts w:cs="Arial"/>
          <w:sz w:val="16"/>
          <w:szCs w:val="16"/>
        </w:rPr>
        <w:t xml:space="preserve"> (2014.gada 23.jūlijs)</w:t>
      </w:r>
      <w:r w:rsidRPr="000073A5">
        <w:rPr>
          <w:rFonts w:cs="Arial"/>
          <w:sz w:val="16"/>
          <w:szCs w:val="16"/>
        </w:rPr>
        <w:t xml:space="preserve"> 12.pants</w:t>
      </w:r>
      <w:r>
        <w:rPr>
          <w:rFonts w:cs="Arial"/>
          <w:sz w:val="16"/>
          <w:szCs w:val="16"/>
        </w:rPr>
        <w:t>.</w:t>
      </w:r>
    </w:p>
  </w:footnote>
  <w:footnote w:id="27">
    <w:p w:rsidR="00392247" w:rsidRPr="0036515D" w:rsidRDefault="00392247" w:rsidP="00BD2E22">
      <w:pPr>
        <w:pStyle w:val="FootnoteText"/>
        <w:jc w:val="both"/>
        <w:rPr>
          <w:rFonts w:cs="Arial"/>
          <w:sz w:val="16"/>
          <w:szCs w:val="16"/>
          <w:lang w:val="de-DE"/>
        </w:rPr>
      </w:pPr>
      <w:r w:rsidRPr="000073A5">
        <w:rPr>
          <w:rStyle w:val="FootnoteReference"/>
          <w:rFonts w:cs="Arial"/>
          <w:sz w:val="16"/>
          <w:szCs w:val="16"/>
        </w:rPr>
        <w:footnoteRef/>
      </w:r>
      <w:r w:rsidRPr="0036515D">
        <w:rPr>
          <w:rFonts w:cs="Arial"/>
          <w:sz w:val="16"/>
          <w:szCs w:val="16"/>
          <w:lang w:val="de-DE"/>
        </w:rPr>
        <w:t xml:space="preserve"> </w:t>
      </w:r>
      <w:r w:rsidRPr="000073A5">
        <w:rPr>
          <w:rFonts w:cs="Arial"/>
          <w:sz w:val="16"/>
          <w:szCs w:val="16"/>
        </w:rPr>
        <w:t>Direktīva</w:t>
      </w:r>
      <w:r>
        <w:rPr>
          <w:rFonts w:cs="Arial"/>
          <w:sz w:val="16"/>
          <w:szCs w:val="16"/>
        </w:rPr>
        <w:t>s</w:t>
      </w:r>
      <w:r w:rsidRPr="000073A5">
        <w:rPr>
          <w:rFonts w:cs="Arial"/>
          <w:sz w:val="16"/>
          <w:szCs w:val="16"/>
        </w:rPr>
        <w:t xml:space="preserve"> 2014/89/ES</w:t>
      </w:r>
      <w:r>
        <w:rPr>
          <w:rFonts w:cs="Arial"/>
          <w:sz w:val="16"/>
          <w:szCs w:val="16"/>
        </w:rPr>
        <w:t xml:space="preserve"> (2014.gada 23.jūlijs)</w:t>
      </w:r>
      <w:r w:rsidRPr="000073A5">
        <w:rPr>
          <w:rFonts w:cs="Arial"/>
          <w:sz w:val="16"/>
          <w:szCs w:val="16"/>
        </w:rPr>
        <w:t xml:space="preserve"> 4.panta 4. un 5.punkts</w:t>
      </w:r>
      <w:r>
        <w:rPr>
          <w:rFonts w:cs="Arial"/>
          <w:sz w:val="16"/>
          <w:szCs w:val="16"/>
        </w:rPr>
        <w:t>.</w:t>
      </w:r>
    </w:p>
  </w:footnote>
  <w:footnote w:id="28">
    <w:p w:rsidR="00392247" w:rsidRPr="000073A5" w:rsidRDefault="00392247" w:rsidP="00BD2E22">
      <w:pPr>
        <w:pStyle w:val="FootnoteText"/>
        <w:jc w:val="both"/>
        <w:rPr>
          <w:rFonts w:cs="Arial"/>
          <w:sz w:val="16"/>
          <w:szCs w:val="16"/>
        </w:rPr>
      </w:pPr>
      <w:r w:rsidRPr="000073A5">
        <w:rPr>
          <w:rStyle w:val="FootnoteReference"/>
          <w:rFonts w:cs="Arial"/>
          <w:sz w:val="16"/>
          <w:szCs w:val="16"/>
        </w:rPr>
        <w:footnoteRef/>
      </w:r>
      <w:r w:rsidRPr="000073A5">
        <w:rPr>
          <w:rFonts w:cs="Arial"/>
          <w:sz w:val="16"/>
          <w:szCs w:val="16"/>
        </w:rPr>
        <w:t xml:space="preserve"> Direktīva</w:t>
      </w:r>
      <w:r>
        <w:rPr>
          <w:rFonts w:cs="Arial"/>
          <w:sz w:val="16"/>
          <w:szCs w:val="16"/>
        </w:rPr>
        <w:t>s</w:t>
      </w:r>
      <w:r w:rsidRPr="000073A5">
        <w:rPr>
          <w:rFonts w:cs="Arial"/>
          <w:sz w:val="16"/>
          <w:szCs w:val="16"/>
        </w:rPr>
        <w:t xml:space="preserve"> 2014/89/ES</w:t>
      </w:r>
      <w:r>
        <w:rPr>
          <w:rFonts w:cs="Arial"/>
          <w:sz w:val="16"/>
          <w:szCs w:val="16"/>
        </w:rPr>
        <w:t xml:space="preserve"> (2014.gada 23.jūlijs)</w:t>
      </w:r>
      <w:r w:rsidRPr="000073A5">
        <w:rPr>
          <w:rFonts w:cs="Arial"/>
          <w:sz w:val="16"/>
          <w:szCs w:val="16"/>
        </w:rPr>
        <w:t xml:space="preserve"> 6.panta 2.punkts, 7.panta 2.punkts un 9.pants</w:t>
      </w:r>
      <w:r>
        <w:rPr>
          <w:rFonts w:cs="Arial"/>
          <w:sz w:val="16"/>
          <w:szCs w:val="16"/>
        </w:rPr>
        <w:t>.</w:t>
      </w:r>
    </w:p>
  </w:footnote>
  <w:footnote w:id="29">
    <w:p w:rsidR="00392247" w:rsidRPr="0036515D" w:rsidRDefault="00392247" w:rsidP="00AA70D1">
      <w:pPr>
        <w:pStyle w:val="FootnoteText"/>
        <w:jc w:val="both"/>
        <w:rPr>
          <w:rFonts w:cs="Arial"/>
          <w:sz w:val="16"/>
          <w:szCs w:val="16"/>
        </w:rPr>
      </w:pPr>
      <w:r w:rsidRPr="000073A5">
        <w:rPr>
          <w:rStyle w:val="FootnoteReference"/>
          <w:rFonts w:cs="Arial"/>
          <w:sz w:val="16"/>
          <w:szCs w:val="16"/>
        </w:rPr>
        <w:footnoteRef/>
      </w:r>
      <w:r w:rsidRPr="000073A5">
        <w:rPr>
          <w:rFonts w:cs="Arial"/>
          <w:sz w:val="16"/>
          <w:szCs w:val="16"/>
        </w:rPr>
        <w:t xml:space="preserve"> Sk. arī: Eiropas Savienības Publikāciju birojs. Jūras teritoriālā plānošana ES – sasniegumi un turpmākā attīstība. Eiropas Savienība, 2011, 6. un 9</w:t>
      </w:r>
      <w:r>
        <w:rPr>
          <w:rFonts w:cs="Arial"/>
          <w:sz w:val="16"/>
          <w:szCs w:val="16"/>
        </w:rPr>
        <w:t>.</w:t>
      </w:r>
      <w:r w:rsidRPr="000073A5">
        <w:rPr>
          <w:rFonts w:cs="Arial"/>
          <w:sz w:val="16"/>
          <w:szCs w:val="16"/>
        </w:rPr>
        <w:t>lpp.</w:t>
      </w:r>
    </w:p>
  </w:footnote>
  <w:footnote w:id="30">
    <w:p w:rsidR="00392247" w:rsidRPr="00BD2E22" w:rsidRDefault="00392247" w:rsidP="00BD2E22">
      <w:pPr>
        <w:pStyle w:val="FootnoteText"/>
        <w:jc w:val="both"/>
        <w:rPr>
          <w:rFonts w:cs="Arial"/>
          <w:sz w:val="16"/>
          <w:szCs w:val="16"/>
        </w:rPr>
      </w:pPr>
      <w:r w:rsidRPr="00BD2E22">
        <w:rPr>
          <w:rStyle w:val="FootnoteReference"/>
          <w:rFonts w:cs="Arial"/>
          <w:sz w:val="16"/>
          <w:szCs w:val="16"/>
        </w:rPr>
        <w:footnoteRef/>
      </w:r>
      <w:r w:rsidRPr="00BD2E22">
        <w:rPr>
          <w:rFonts w:cs="Arial"/>
          <w:sz w:val="16"/>
          <w:szCs w:val="16"/>
        </w:rPr>
        <w:t xml:space="preserve"> </w:t>
      </w:r>
      <w:r w:rsidRPr="000073A5">
        <w:rPr>
          <w:rFonts w:cs="Arial"/>
          <w:sz w:val="16"/>
          <w:szCs w:val="16"/>
        </w:rPr>
        <w:t>Direktīva</w:t>
      </w:r>
      <w:r>
        <w:rPr>
          <w:rFonts w:cs="Arial"/>
          <w:sz w:val="16"/>
          <w:szCs w:val="16"/>
        </w:rPr>
        <w:t>s</w:t>
      </w:r>
      <w:r w:rsidRPr="000073A5">
        <w:rPr>
          <w:rFonts w:cs="Arial"/>
          <w:sz w:val="16"/>
          <w:szCs w:val="16"/>
        </w:rPr>
        <w:t xml:space="preserve"> 2014/89/ES</w:t>
      </w:r>
      <w:r>
        <w:rPr>
          <w:rFonts w:cs="Arial"/>
          <w:sz w:val="16"/>
          <w:szCs w:val="16"/>
        </w:rPr>
        <w:t xml:space="preserve"> (2014.gada 23.jūlijs)</w:t>
      </w:r>
      <w:r w:rsidRPr="00BD2E22">
        <w:rPr>
          <w:rFonts w:cs="Arial"/>
          <w:sz w:val="16"/>
          <w:szCs w:val="16"/>
        </w:rPr>
        <w:t xml:space="preserve"> 8.panta 2.punkts</w:t>
      </w:r>
      <w:r>
        <w:rPr>
          <w:rFonts w:cs="Arial"/>
          <w:sz w:val="16"/>
          <w:szCs w:val="16"/>
        </w:rPr>
        <w:t>.</w:t>
      </w:r>
    </w:p>
  </w:footnote>
  <w:footnote w:id="31">
    <w:p w:rsidR="00392247" w:rsidRPr="00BD2E22" w:rsidRDefault="00392247" w:rsidP="00BD2E22">
      <w:pPr>
        <w:pStyle w:val="FootnoteText"/>
        <w:jc w:val="both"/>
        <w:rPr>
          <w:rFonts w:cs="Arial"/>
          <w:sz w:val="16"/>
          <w:szCs w:val="16"/>
        </w:rPr>
      </w:pPr>
      <w:r w:rsidRPr="00BD2E22">
        <w:rPr>
          <w:rStyle w:val="FootnoteReference"/>
          <w:rFonts w:cs="Arial"/>
          <w:sz w:val="16"/>
          <w:szCs w:val="16"/>
        </w:rPr>
        <w:footnoteRef/>
      </w:r>
      <w:r w:rsidRPr="00BD2E22">
        <w:rPr>
          <w:rFonts w:cs="Arial"/>
          <w:sz w:val="16"/>
          <w:szCs w:val="16"/>
        </w:rPr>
        <w:t xml:space="preserve"> </w:t>
      </w:r>
      <w:r w:rsidRPr="000073A5">
        <w:rPr>
          <w:rFonts w:cs="Arial"/>
          <w:sz w:val="16"/>
          <w:szCs w:val="16"/>
        </w:rPr>
        <w:t>Direktīva</w:t>
      </w:r>
      <w:r>
        <w:rPr>
          <w:rFonts w:cs="Arial"/>
          <w:sz w:val="16"/>
          <w:szCs w:val="16"/>
        </w:rPr>
        <w:t>s</w:t>
      </w:r>
      <w:r w:rsidRPr="000073A5">
        <w:rPr>
          <w:rFonts w:cs="Arial"/>
          <w:sz w:val="16"/>
          <w:szCs w:val="16"/>
        </w:rPr>
        <w:t xml:space="preserve"> 2014/89/ES</w:t>
      </w:r>
      <w:r>
        <w:rPr>
          <w:rFonts w:cs="Arial"/>
          <w:sz w:val="16"/>
          <w:szCs w:val="16"/>
        </w:rPr>
        <w:t xml:space="preserve"> (2014.gada 23.jūlijs)</w:t>
      </w:r>
      <w:r w:rsidRPr="00BD2E22">
        <w:rPr>
          <w:rFonts w:cs="Arial"/>
          <w:sz w:val="16"/>
          <w:szCs w:val="16"/>
        </w:rPr>
        <w:t>, 6.panta 3.punkts un 12.</w:t>
      </w:r>
      <w:r>
        <w:rPr>
          <w:rFonts w:cs="Arial"/>
          <w:sz w:val="16"/>
          <w:szCs w:val="16"/>
        </w:rPr>
        <w:t xml:space="preserve"> – </w:t>
      </w:r>
      <w:r w:rsidRPr="00BD2E22">
        <w:rPr>
          <w:rFonts w:cs="Arial"/>
          <w:sz w:val="16"/>
          <w:szCs w:val="16"/>
        </w:rPr>
        <w:t>15.pants</w:t>
      </w:r>
      <w:r>
        <w:rPr>
          <w:rFonts w:cs="Arial"/>
          <w:sz w:val="16"/>
          <w:szCs w:val="16"/>
        </w:rPr>
        <w:t>.</w:t>
      </w:r>
    </w:p>
  </w:footnote>
  <w:footnote w:id="32">
    <w:p w:rsidR="00392247" w:rsidRDefault="00392247">
      <w:pPr>
        <w:pStyle w:val="FootnoteText"/>
      </w:pPr>
      <w:r w:rsidRPr="00665269">
        <w:rPr>
          <w:rStyle w:val="FootnoteReference"/>
          <w:sz w:val="16"/>
          <w:szCs w:val="16"/>
        </w:rPr>
        <w:footnoteRef/>
      </w:r>
      <w:r w:rsidRPr="00665269">
        <w:rPr>
          <w:sz w:val="16"/>
          <w:szCs w:val="16"/>
        </w:rPr>
        <w:t xml:space="preserve"> Plašāk sk.: http://eur-lex.europa.eu/legal-content/LV/TXT/?uri=CELEX%3A52009DC0248</w:t>
      </w:r>
      <w:r>
        <w:rPr>
          <w:sz w:val="16"/>
          <w:szCs w:val="16"/>
        </w:rPr>
        <w:t>.</w:t>
      </w:r>
    </w:p>
  </w:footnote>
  <w:footnote w:id="33">
    <w:p w:rsidR="00392247" w:rsidRPr="00665269" w:rsidRDefault="00392247" w:rsidP="00E323B6">
      <w:pPr>
        <w:pStyle w:val="FootnoteText"/>
        <w:jc w:val="both"/>
        <w:rPr>
          <w:sz w:val="16"/>
          <w:szCs w:val="16"/>
        </w:rPr>
      </w:pPr>
      <w:r w:rsidRPr="00665269">
        <w:rPr>
          <w:rStyle w:val="FootnoteReference"/>
          <w:sz w:val="16"/>
          <w:szCs w:val="16"/>
        </w:rPr>
        <w:footnoteRef/>
      </w:r>
      <w:r w:rsidRPr="00665269">
        <w:rPr>
          <w:sz w:val="16"/>
          <w:szCs w:val="16"/>
        </w:rPr>
        <w:t xml:space="preserve"> Paziņojums pieejams: http://eur-lex.europa.eu/legal-content/LV/TXT/?uri=COM%3A2014%3A0451%3AFIN</w:t>
      </w:r>
    </w:p>
  </w:footnote>
  <w:footnote w:id="34">
    <w:p w:rsidR="00392247" w:rsidRPr="008C3116" w:rsidRDefault="00392247" w:rsidP="00BD2E22">
      <w:pPr>
        <w:pStyle w:val="FootnoteText"/>
        <w:jc w:val="both"/>
        <w:rPr>
          <w:rFonts w:cs="Arial"/>
          <w:sz w:val="16"/>
          <w:szCs w:val="16"/>
        </w:rPr>
      </w:pPr>
      <w:r w:rsidRPr="008C3116">
        <w:rPr>
          <w:rStyle w:val="FootnoteReference"/>
          <w:rFonts w:cs="Arial"/>
          <w:sz w:val="16"/>
          <w:szCs w:val="16"/>
        </w:rPr>
        <w:footnoteRef/>
      </w:r>
      <w:r w:rsidRPr="008C3116">
        <w:rPr>
          <w:rFonts w:cs="Arial"/>
          <w:sz w:val="16"/>
          <w:szCs w:val="16"/>
        </w:rPr>
        <w:t xml:space="preserve"> </w:t>
      </w:r>
      <w:proofErr w:type="spellStart"/>
      <w:r w:rsidRPr="008C3116">
        <w:rPr>
          <w:rFonts w:cs="Arial"/>
          <w:sz w:val="16"/>
          <w:szCs w:val="16"/>
        </w:rPr>
        <w:t>Wolf</w:t>
      </w:r>
      <w:proofErr w:type="spellEnd"/>
      <w:r w:rsidRPr="008C3116">
        <w:rPr>
          <w:rFonts w:cs="Arial"/>
          <w:sz w:val="16"/>
          <w:szCs w:val="16"/>
        </w:rPr>
        <w:t xml:space="preserve"> S, </w:t>
      </w:r>
      <w:proofErr w:type="spellStart"/>
      <w:r w:rsidRPr="008C3116">
        <w:rPr>
          <w:rFonts w:cs="Arial"/>
          <w:sz w:val="16"/>
          <w:szCs w:val="16"/>
        </w:rPr>
        <w:t>Stanley</w:t>
      </w:r>
      <w:proofErr w:type="spellEnd"/>
      <w:r w:rsidRPr="008C3116">
        <w:rPr>
          <w:rFonts w:cs="Arial"/>
          <w:sz w:val="16"/>
          <w:szCs w:val="16"/>
        </w:rPr>
        <w:t xml:space="preserve"> N. </w:t>
      </w:r>
      <w:proofErr w:type="spellStart"/>
      <w:r w:rsidRPr="008C3116">
        <w:rPr>
          <w:rFonts w:cs="Arial"/>
          <w:sz w:val="16"/>
          <w:szCs w:val="16"/>
        </w:rPr>
        <w:t>Wolf</w:t>
      </w:r>
      <w:proofErr w:type="spellEnd"/>
      <w:r w:rsidRPr="008C3116">
        <w:rPr>
          <w:rFonts w:cs="Arial"/>
          <w:sz w:val="16"/>
          <w:szCs w:val="16"/>
        </w:rPr>
        <w:t xml:space="preserve"> </w:t>
      </w:r>
      <w:proofErr w:type="spellStart"/>
      <w:r w:rsidRPr="008C3116">
        <w:rPr>
          <w:rFonts w:cs="Arial"/>
          <w:sz w:val="16"/>
          <w:szCs w:val="16"/>
        </w:rPr>
        <w:t>and</w:t>
      </w:r>
      <w:proofErr w:type="spellEnd"/>
      <w:r w:rsidRPr="008C3116">
        <w:rPr>
          <w:rFonts w:cs="Arial"/>
          <w:sz w:val="16"/>
          <w:szCs w:val="16"/>
        </w:rPr>
        <w:t xml:space="preserve"> </w:t>
      </w:r>
      <w:proofErr w:type="spellStart"/>
      <w:r w:rsidRPr="008C3116">
        <w:rPr>
          <w:rFonts w:cs="Arial"/>
          <w:sz w:val="16"/>
          <w:szCs w:val="16"/>
        </w:rPr>
        <w:t>Stanley</w:t>
      </w:r>
      <w:proofErr w:type="spellEnd"/>
      <w:r w:rsidRPr="008C3116">
        <w:rPr>
          <w:rFonts w:cs="Arial"/>
          <w:sz w:val="16"/>
          <w:szCs w:val="16"/>
        </w:rPr>
        <w:t xml:space="preserve"> </w:t>
      </w:r>
      <w:proofErr w:type="spellStart"/>
      <w:r w:rsidRPr="008C3116">
        <w:rPr>
          <w:rFonts w:cs="Arial"/>
          <w:sz w:val="16"/>
          <w:szCs w:val="16"/>
        </w:rPr>
        <w:t>on</w:t>
      </w:r>
      <w:proofErr w:type="spellEnd"/>
      <w:r w:rsidRPr="008C3116">
        <w:rPr>
          <w:rFonts w:cs="Arial"/>
          <w:sz w:val="16"/>
          <w:szCs w:val="16"/>
        </w:rPr>
        <w:t xml:space="preserve"> </w:t>
      </w:r>
      <w:proofErr w:type="spellStart"/>
      <w:r w:rsidRPr="008C3116">
        <w:rPr>
          <w:rFonts w:cs="Arial"/>
          <w:sz w:val="16"/>
          <w:szCs w:val="16"/>
        </w:rPr>
        <w:t>Environmental</w:t>
      </w:r>
      <w:proofErr w:type="spellEnd"/>
      <w:r w:rsidRPr="008C3116">
        <w:rPr>
          <w:rFonts w:cs="Arial"/>
          <w:sz w:val="16"/>
          <w:szCs w:val="16"/>
        </w:rPr>
        <w:t xml:space="preserve"> </w:t>
      </w:r>
      <w:proofErr w:type="spellStart"/>
      <w:r w:rsidRPr="008C3116">
        <w:rPr>
          <w:rFonts w:cs="Arial"/>
          <w:sz w:val="16"/>
          <w:szCs w:val="16"/>
        </w:rPr>
        <w:t>Law</w:t>
      </w:r>
      <w:proofErr w:type="spellEnd"/>
      <w:r>
        <w:rPr>
          <w:rFonts w:cs="Arial"/>
          <w:sz w:val="16"/>
          <w:szCs w:val="16"/>
        </w:rPr>
        <w:t xml:space="preserve">. </w:t>
      </w:r>
      <w:proofErr w:type="spellStart"/>
      <w:r>
        <w:rPr>
          <w:rFonts w:cs="Arial"/>
          <w:sz w:val="16"/>
          <w:szCs w:val="16"/>
        </w:rPr>
        <w:t>Routledge</w:t>
      </w:r>
      <w:proofErr w:type="spellEnd"/>
      <w:r>
        <w:rPr>
          <w:rFonts w:cs="Arial"/>
          <w:sz w:val="16"/>
          <w:szCs w:val="16"/>
        </w:rPr>
        <w:t xml:space="preserve">, 6 </w:t>
      </w:r>
      <w:proofErr w:type="spellStart"/>
      <w:r>
        <w:rPr>
          <w:rFonts w:cs="Arial"/>
          <w:sz w:val="16"/>
          <w:szCs w:val="16"/>
        </w:rPr>
        <w:t>ed</w:t>
      </w:r>
      <w:proofErr w:type="spellEnd"/>
      <w:r>
        <w:rPr>
          <w:rFonts w:cs="Arial"/>
          <w:sz w:val="16"/>
          <w:szCs w:val="16"/>
        </w:rPr>
        <w:t>., 2013., 99.l</w:t>
      </w:r>
      <w:r w:rsidRPr="008C3116">
        <w:rPr>
          <w:rFonts w:cs="Arial"/>
          <w:sz w:val="16"/>
          <w:szCs w:val="16"/>
        </w:rPr>
        <w:t>pp.</w:t>
      </w:r>
    </w:p>
  </w:footnote>
  <w:footnote w:id="35">
    <w:p w:rsidR="00392247" w:rsidRPr="008C3116" w:rsidRDefault="00392247" w:rsidP="00BD2E22">
      <w:pPr>
        <w:pStyle w:val="FootnoteText"/>
        <w:jc w:val="both"/>
        <w:rPr>
          <w:rFonts w:cs="Arial"/>
          <w:sz w:val="16"/>
          <w:szCs w:val="16"/>
        </w:rPr>
      </w:pPr>
      <w:r w:rsidRPr="008C3116">
        <w:rPr>
          <w:rStyle w:val="FootnoteReference"/>
          <w:rFonts w:cs="Arial"/>
          <w:sz w:val="16"/>
          <w:szCs w:val="16"/>
        </w:rPr>
        <w:footnoteRef/>
      </w:r>
      <w:r w:rsidRPr="008C3116">
        <w:rPr>
          <w:rFonts w:cs="Arial"/>
          <w:sz w:val="16"/>
          <w:szCs w:val="16"/>
        </w:rPr>
        <w:t xml:space="preserve"> Atjaunota ES Ilgtspējīgas attīstības stratēģija: ES Pad</w:t>
      </w:r>
      <w:r>
        <w:rPr>
          <w:rFonts w:cs="Arial"/>
          <w:sz w:val="16"/>
          <w:szCs w:val="16"/>
        </w:rPr>
        <w:t>ome. 2006. 6.oktobris, 10917/06. S</w:t>
      </w:r>
      <w:r w:rsidRPr="008C3116">
        <w:rPr>
          <w:rFonts w:cs="Arial"/>
          <w:sz w:val="16"/>
          <w:szCs w:val="16"/>
        </w:rPr>
        <w:t>k. arī</w:t>
      </w:r>
      <w:r>
        <w:rPr>
          <w:rFonts w:cs="Arial"/>
          <w:sz w:val="16"/>
          <w:szCs w:val="16"/>
        </w:rPr>
        <w:t>:</w:t>
      </w:r>
      <w:r w:rsidRPr="008C3116">
        <w:rPr>
          <w:rFonts w:cs="Arial"/>
          <w:sz w:val="16"/>
          <w:szCs w:val="16"/>
        </w:rPr>
        <w:t xml:space="preserve"> Komisijas paziņojums. EIROPA 2020. Stratēģija gudrai, ilgtspējīgai un integrējošai izaugsmei. Briselē, 2010. 3.marts, COM(2010).</w:t>
      </w:r>
    </w:p>
  </w:footnote>
  <w:footnote w:id="36">
    <w:p w:rsidR="00392247" w:rsidRPr="008C3116" w:rsidRDefault="00392247" w:rsidP="00BD2E22">
      <w:pPr>
        <w:pStyle w:val="FootnoteText"/>
        <w:jc w:val="both"/>
        <w:rPr>
          <w:rFonts w:cs="Arial"/>
          <w:sz w:val="16"/>
          <w:szCs w:val="16"/>
        </w:rPr>
      </w:pPr>
      <w:r w:rsidRPr="008C3116">
        <w:rPr>
          <w:rStyle w:val="FootnoteReference"/>
          <w:rFonts w:cs="Arial"/>
          <w:sz w:val="16"/>
          <w:szCs w:val="16"/>
        </w:rPr>
        <w:footnoteRef/>
      </w:r>
      <w:r w:rsidRPr="008C3116">
        <w:rPr>
          <w:rFonts w:cs="Arial"/>
          <w:sz w:val="16"/>
          <w:szCs w:val="16"/>
        </w:rPr>
        <w:t xml:space="preserve"> </w:t>
      </w:r>
      <w:proofErr w:type="spellStart"/>
      <w:r w:rsidRPr="008C3116">
        <w:rPr>
          <w:rFonts w:cs="Arial"/>
          <w:sz w:val="16"/>
          <w:szCs w:val="16"/>
        </w:rPr>
        <w:t>Gabčikovo-Nagymaros</w:t>
      </w:r>
      <w:proofErr w:type="spellEnd"/>
      <w:r w:rsidRPr="008C3116">
        <w:rPr>
          <w:rFonts w:cs="Arial"/>
          <w:sz w:val="16"/>
          <w:szCs w:val="16"/>
        </w:rPr>
        <w:t xml:space="preserve"> Project (</w:t>
      </w:r>
      <w:proofErr w:type="spellStart"/>
      <w:r w:rsidRPr="008C3116">
        <w:rPr>
          <w:rFonts w:cs="Arial"/>
          <w:sz w:val="16"/>
          <w:szCs w:val="16"/>
        </w:rPr>
        <w:t>Hungary</w:t>
      </w:r>
      <w:proofErr w:type="spellEnd"/>
      <w:r w:rsidRPr="008C3116">
        <w:rPr>
          <w:rFonts w:cs="Arial"/>
          <w:sz w:val="16"/>
          <w:szCs w:val="16"/>
        </w:rPr>
        <w:t xml:space="preserve"> / </w:t>
      </w:r>
      <w:proofErr w:type="spellStart"/>
      <w:r w:rsidRPr="008C3116">
        <w:rPr>
          <w:rFonts w:cs="Arial"/>
          <w:sz w:val="16"/>
          <w:szCs w:val="16"/>
        </w:rPr>
        <w:t>Slovakia</w:t>
      </w:r>
      <w:proofErr w:type="spellEnd"/>
      <w:r w:rsidRPr="008C3116">
        <w:rPr>
          <w:rFonts w:cs="Arial"/>
          <w:sz w:val="16"/>
          <w:szCs w:val="16"/>
        </w:rPr>
        <w:t xml:space="preserve">), </w:t>
      </w:r>
      <w:proofErr w:type="spellStart"/>
      <w:r w:rsidRPr="008C3116">
        <w:rPr>
          <w:rFonts w:cs="Arial"/>
          <w:sz w:val="16"/>
          <w:szCs w:val="16"/>
        </w:rPr>
        <w:t>Judgment</w:t>
      </w:r>
      <w:proofErr w:type="spellEnd"/>
      <w:r w:rsidRPr="008C3116">
        <w:rPr>
          <w:rFonts w:cs="Arial"/>
          <w:sz w:val="16"/>
          <w:szCs w:val="16"/>
        </w:rPr>
        <w:t xml:space="preserve">, I.C.J. </w:t>
      </w:r>
      <w:proofErr w:type="spellStart"/>
      <w:r w:rsidRPr="008C3116">
        <w:rPr>
          <w:rFonts w:cs="Arial"/>
          <w:sz w:val="16"/>
          <w:szCs w:val="16"/>
        </w:rPr>
        <w:t>Reports</w:t>
      </w:r>
      <w:proofErr w:type="spellEnd"/>
      <w:r w:rsidRPr="008C3116">
        <w:rPr>
          <w:rFonts w:cs="Arial"/>
          <w:sz w:val="16"/>
          <w:szCs w:val="16"/>
        </w:rPr>
        <w:t xml:space="preserve"> 1997, p.7., 140.punkts.</w:t>
      </w:r>
    </w:p>
  </w:footnote>
  <w:footnote w:id="37">
    <w:p w:rsidR="00392247" w:rsidRPr="008C3116" w:rsidRDefault="00392247" w:rsidP="00BD2E22">
      <w:pPr>
        <w:pStyle w:val="FootnoteText"/>
        <w:jc w:val="both"/>
        <w:rPr>
          <w:rFonts w:cs="Arial"/>
          <w:sz w:val="16"/>
          <w:szCs w:val="16"/>
        </w:rPr>
      </w:pPr>
      <w:r w:rsidRPr="008C3116">
        <w:rPr>
          <w:rStyle w:val="FootnoteReference"/>
          <w:rFonts w:cs="Arial"/>
          <w:sz w:val="16"/>
          <w:szCs w:val="16"/>
        </w:rPr>
        <w:footnoteRef/>
      </w:r>
      <w:r w:rsidRPr="008C3116">
        <w:rPr>
          <w:rFonts w:cs="Arial"/>
          <w:sz w:val="16"/>
          <w:szCs w:val="16"/>
          <w:lang w:val="en-US"/>
        </w:rPr>
        <w:t xml:space="preserve"> </w:t>
      </w:r>
      <w:proofErr w:type="spellStart"/>
      <w:r w:rsidRPr="008C3116">
        <w:rPr>
          <w:rFonts w:cs="Arial"/>
          <w:sz w:val="16"/>
          <w:szCs w:val="16"/>
        </w:rPr>
        <w:t>Voigt</w:t>
      </w:r>
      <w:proofErr w:type="spellEnd"/>
      <w:r w:rsidRPr="008C3116">
        <w:rPr>
          <w:rFonts w:cs="Arial"/>
          <w:sz w:val="16"/>
          <w:szCs w:val="16"/>
        </w:rPr>
        <w:t xml:space="preserve"> C. </w:t>
      </w:r>
      <w:proofErr w:type="spellStart"/>
      <w:r w:rsidRPr="008C3116">
        <w:rPr>
          <w:rFonts w:cs="Arial"/>
          <w:sz w:val="16"/>
          <w:szCs w:val="16"/>
        </w:rPr>
        <w:t>From</w:t>
      </w:r>
      <w:proofErr w:type="spellEnd"/>
      <w:r w:rsidRPr="008C3116">
        <w:rPr>
          <w:rFonts w:cs="Arial"/>
          <w:sz w:val="16"/>
          <w:szCs w:val="16"/>
        </w:rPr>
        <w:t xml:space="preserve"> </w:t>
      </w:r>
      <w:proofErr w:type="spellStart"/>
      <w:r w:rsidRPr="008C3116">
        <w:rPr>
          <w:rFonts w:cs="Arial"/>
          <w:sz w:val="16"/>
          <w:szCs w:val="16"/>
        </w:rPr>
        <w:t>Climate</w:t>
      </w:r>
      <w:proofErr w:type="spellEnd"/>
      <w:r w:rsidRPr="008C3116">
        <w:rPr>
          <w:rFonts w:cs="Arial"/>
          <w:sz w:val="16"/>
          <w:szCs w:val="16"/>
        </w:rPr>
        <w:t xml:space="preserve"> </w:t>
      </w:r>
      <w:proofErr w:type="spellStart"/>
      <w:r w:rsidRPr="008C3116">
        <w:rPr>
          <w:rFonts w:cs="Arial"/>
          <w:sz w:val="16"/>
          <w:szCs w:val="16"/>
        </w:rPr>
        <w:t>Change</w:t>
      </w:r>
      <w:proofErr w:type="spellEnd"/>
      <w:r w:rsidRPr="008C3116">
        <w:rPr>
          <w:rFonts w:cs="Arial"/>
          <w:sz w:val="16"/>
          <w:szCs w:val="16"/>
        </w:rPr>
        <w:t xml:space="preserve"> to </w:t>
      </w:r>
      <w:proofErr w:type="spellStart"/>
      <w:r w:rsidRPr="008C3116">
        <w:rPr>
          <w:rFonts w:cs="Arial"/>
          <w:sz w:val="16"/>
          <w:szCs w:val="16"/>
        </w:rPr>
        <w:t>Sustainability</w:t>
      </w:r>
      <w:proofErr w:type="spellEnd"/>
      <w:r w:rsidRPr="008C3116">
        <w:rPr>
          <w:rFonts w:cs="Arial"/>
          <w:sz w:val="16"/>
          <w:szCs w:val="16"/>
        </w:rPr>
        <w:t xml:space="preserve">: </w:t>
      </w:r>
      <w:proofErr w:type="spellStart"/>
      <w:r w:rsidRPr="008C3116">
        <w:rPr>
          <w:rFonts w:cs="Arial"/>
          <w:sz w:val="16"/>
          <w:szCs w:val="16"/>
        </w:rPr>
        <w:t>An</w:t>
      </w:r>
      <w:proofErr w:type="spellEnd"/>
      <w:r w:rsidRPr="008C3116">
        <w:rPr>
          <w:rFonts w:cs="Arial"/>
          <w:sz w:val="16"/>
          <w:szCs w:val="16"/>
        </w:rPr>
        <w:t xml:space="preserve"> </w:t>
      </w:r>
      <w:proofErr w:type="spellStart"/>
      <w:r w:rsidRPr="008C3116">
        <w:rPr>
          <w:rFonts w:cs="Arial"/>
          <w:sz w:val="16"/>
          <w:szCs w:val="16"/>
        </w:rPr>
        <w:t>Essay</w:t>
      </w:r>
      <w:proofErr w:type="spellEnd"/>
      <w:r w:rsidRPr="008C3116">
        <w:rPr>
          <w:rFonts w:cs="Arial"/>
          <w:sz w:val="16"/>
          <w:szCs w:val="16"/>
        </w:rPr>
        <w:t xml:space="preserve"> </w:t>
      </w:r>
      <w:proofErr w:type="spellStart"/>
      <w:r w:rsidRPr="008C3116">
        <w:rPr>
          <w:rFonts w:cs="Arial"/>
          <w:sz w:val="16"/>
          <w:szCs w:val="16"/>
        </w:rPr>
        <w:t>on</w:t>
      </w:r>
      <w:proofErr w:type="spellEnd"/>
      <w:r w:rsidRPr="008C3116">
        <w:rPr>
          <w:rFonts w:cs="Arial"/>
          <w:sz w:val="16"/>
          <w:szCs w:val="16"/>
        </w:rPr>
        <w:t xml:space="preserve"> </w:t>
      </w:r>
      <w:proofErr w:type="spellStart"/>
      <w:r w:rsidRPr="008C3116">
        <w:rPr>
          <w:rFonts w:cs="Arial"/>
          <w:sz w:val="16"/>
          <w:szCs w:val="16"/>
        </w:rPr>
        <w:t>Sustainable</w:t>
      </w:r>
      <w:proofErr w:type="spellEnd"/>
      <w:r w:rsidRPr="008C3116">
        <w:rPr>
          <w:rFonts w:cs="Arial"/>
          <w:sz w:val="16"/>
          <w:szCs w:val="16"/>
        </w:rPr>
        <w:t xml:space="preserve"> </w:t>
      </w:r>
      <w:proofErr w:type="spellStart"/>
      <w:r w:rsidRPr="008C3116">
        <w:rPr>
          <w:rFonts w:cs="Arial"/>
          <w:sz w:val="16"/>
          <w:szCs w:val="16"/>
        </w:rPr>
        <w:t>Development</w:t>
      </w:r>
      <w:proofErr w:type="spellEnd"/>
      <w:r w:rsidRPr="008C3116">
        <w:rPr>
          <w:rFonts w:cs="Arial"/>
          <w:sz w:val="16"/>
          <w:szCs w:val="16"/>
        </w:rPr>
        <w:t xml:space="preserve">, </w:t>
      </w:r>
      <w:proofErr w:type="spellStart"/>
      <w:r w:rsidRPr="008C3116">
        <w:rPr>
          <w:rFonts w:cs="Arial"/>
          <w:sz w:val="16"/>
          <w:szCs w:val="16"/>
        </w:rPr>
        <w:t>Legal</w:t>
      </w:r>
      <w:proofErr w:type="spellEnd"/>
      <w:r w:rsidRPr="008C3116">
        <w:rPr>
          <w:rFonts w:cs="Arial"/>
          <w:sz w:val="16"/>
          <w:szCs w:val="16"/>
        </w:rPr>
        <w:t xml:space="preserve"> </w:t>
      </w:r>
      <w:proofErr w:type="spellStart"/>
      <w:r w:rsidRPr="008C3116">
        <w:rPr>
          <w:rFonts w:cs="Arial"/>
          <w:sz w:val="16"/>
          <w:szCs w:val="16"/>
        </w:rPr>
        <w:t>and</w:t>
      </w:r>
      <w:proofErr w:type="spellEnd"/>
      <w:r w:rsidRPr="008C3116">
        <w:rPr>
          <w:rFonts w:cs="Arial"/>
          <w:sz w:val="16"/>
          <w:szCs w:val="16"/>
        </w:rPr>
        <w:t xml:space="preserve"> </w:t>
      </w:r>
      <w:proofErr w:type="spellStart"/>
      <w:r w:rsidRPr="008C3116">
        <w:rPr>
          <w:rFonts w:cs="Arial"/>
          <w:sz w:val="16"/>
          <w:szCs w:val="16"/>
        </w:rPr>
        <w:t>Ethical</w:t>
      </w:r>
      <w:proofErr w:type="spellEnd"/>
      <w:r w:rsidRPr="008C3116">
        <w:rPr>
          <w:rFonts w:cs="Arial"/>
          <w:sz w:val="16"/>
          <w:szCs w:val="16"/>
        </w:rPr>
        <w:t xml:space="preserve"> </w:t>
      </w:r>
      <w:proofErr w:type="spellStart"/>
      <w:r w:rsidRPr="008C3116">
        <w:rPr>
          <w:rFonts w:cs="Arial"/>
          <w:sz w:val="16"/>
          <w:szCs w:val="16"/>
        </w:rPr>
        <w:t>Choices</w:t>
      </w:r>
      <w:proofErr w:type="spellEnd"/>
      <w:r w:rsidRPr="008C3116">
        <w:rPr>
          <w:rFonts w:cs="Arial"/>
          <w:sz w:val="16"/>
          <w:szCs w:val="16"/>
        </w:rPr>
        <w:t xml:space="preserve">. </w:t>
      </w:r>
      <w:proofErr w:type="spellStart"/>
      <w:r w:rsidRPr="008C3116">
        <w:rPr>
          <w:rFonts w:cs="Arial"/>
          <w:sz w:val="16"/>
          <w:szCs w:val="16"/>
        </w:rPr>
        <w:t>Worldviews</w:t>
      </w:r>
      <w:proofErr w:type="spellEnd"/>
      <w:r w:rsidRPr="008C3116">
        <w:rPr>
          <w:rFonts w:cs="Arial"/>
          <w:sz w:val="16"/>
          <w:szCs w:val="16"/>
        </w:rPr>
        <w:t xml:space="preserve">: </w:t>
      </w:r>
      <w:proofErr w:type="spellStart"/>
      <w:r w:rsidRPr="008C3116">
        <w:rPr>
          <w:rFonts w:cs="Arial"/>
          <w:sz w:val="16"/>
          <w:szCs w:val="16"/>
        </w:rPr>
        <w:t>Global</w:t>
      </w:r>
      <w:proofErr w:type="spellEnd"/>
      <w:r w:rsidRPr="008C3116">
        <w:rPr>
          <w:rFonts w:cs="Arial"/>
          <w:sz w:val="16"/>
          <w:szCs w:val="16"/>
        </w:rPr>
        <w:t xml:space="preserve"> </w:t>
      </w:r>
      <w:proofErr w:type="spellStart"/>
      <w:r w:rsidRPr="008C3116">
        <w:rPr>
          <w:rFonts w:cs="Arial"/>
          <w:sz w:val="16"/>
          <w:szCs w:val="16"/>
        </w:rPr>
        <w:t>Religions</w:t>
      </w:r>
      <w:proofErr w:type="spellEnd"/>
      <w:r w:rsidRPr="008C3116">
        <w:rPr>
          <w:rFonts w:cs="Arial"/>
          <w:sz w:val="16"/>
          <w:szCs w:val="16"/>
        </w:rPr>
        <w:t xml:space="preserve">, </w:t>
      </w:r>
      <w:proofErr w:type="spellStart"/>
      <w:r w:rsidRPr="008C3116">
        <w:rPr>
          <w:rFonts w:cs="Arial"/>
          <w:sz w:val="16"/>
          <w:szCs w:val="16"/>
        </w:rPr>
        <w:t>Culture</w:t>
      </w:r>
      <w:proofErr w:type="spellEnd"/>
      <w:r w:rsidRPr="008C3116">
        <w:rPr>
          <w:rFonts w:cs="Arial"/>
          <w:sz w:val="16"/>
          <w:szCs w:val="16"/>
        </w:rPr>
        <w:t xml:space="preserve">, </w:t>
      </w:r>
      <w:proofErr w:type="spellStart"/>
      <w:r w:rsidRPr="008C3116">
        <w:rPr>
          <w:rFonts w:cs="Arial"/>
          <w:sz w:val="16"/>
          <w:szCs w:val="16"/>
        </w:rPr>
        <w:t>and</w:t>
      </w:r>
      <w:proofErr w:type="spellEnd"/>
      <w:r w:rsidRPr="008C3116">
        <w:rPr>
          <w:rFonts w:cs="Arial"/>
          <w:sz w:val="16"/>
          <w:szCs w:val="16"/>
        </w:rPr>
        <w:t xml:space="preserve"> </w:t>
      </w:r>
      <w:proofErr w:type="spellStart"/>
      <w:r w:rsidRPr="008C3116">
        <w:rPr>
          <w:rFonts w:cs="Arial"/>
          <w:sz w:val="16"/>
          <w:szCs w:val="16"/>
        </w:rPr>
        <w:t>Ecology</w:t>
      </w:r>
      <w:proofErr w:type="spellEnd"/>
      <w:r w:rsidRPr="008C3116">
        <w:rPr>
          <w:rFonts w:cs="Arial"/>
          <w:sz w:val="16"/>
          <w:szCs w:val="16"/>
        </w:rPr>
        <w:t xml:space="preserve">. </w:t>
      </w:r>
      <w:proofErr w:type="spellStart"/>
      <w:r w:rsidRPr="008C3116">
        <w:rPr>
          <w:rFonts w:cs="Arial"/>
          <w:sz w:val="16"/>
          <w:szCs w:val="16"/>
        </w:rPr>
        <w:t>Volume</w:t>
      </w:r>
      <w:proofErr w:type="spellEnd"/>
      <w:r w:rsidRPr="008C3116">
        <w:rPr>
          <w:rFonts w:cs="Arial"/>
          <w:sz w:val="16"/>
          <w:szCs w:val="16"/>
        </w:rPr>
        <w:t xml:space="preserve"> 9, </w:t>
      </w:r>
      <w:proofErr w:type="spellStart"/>
      <w:r w:rsidRPr="008C3116">
        <w:rPr>
          <w:rFonts w:cs="Arial"/>
          <w:sz w:val="16"/>
          <w:szCs w:val="16"/>
        </w:rPr>
        <w:t>Issue</w:t>
      </w:r>
      <w:proofErr w:type="spellEnd"/>
      <w:r w:rsidRPr="008C3116">
        <w:rPr>
          <w:rFonts w:cs="Arial"/>
          <w:sz w:val="16"/>
          <w:szCs w:val="16"/>
        </w:rPr>
        <w:t xml:space="preserve"> 1. 2005., p.112-137.</w:t>
      </w:r>
    </w:p>
  </w:footnote>
  <w:footnote w:id="38">
    <w:p w:rsidR="00392247" w:rsidRPr="00665269" w:rsidRDefault="00392247" w:rsidP="00665269">
      <w:pPr>
        <w:pStyle w:val="FootnoteText"/>
        <w:jc w:val="both"/>
        <w:rPr>
          <w:sz w:val="16"/>
          <w:szCs w:val="16"/>
          <w:lang w:val="en-GB"/>
        </w:rPr>
      </w:pPr>
      <w:r w:rsidRPr="00665269">
        <w:rPr>
          <w:rStyle w:val="FootnoteReference"/>
          <w:sz w:val="16"/>
          <w:szCs w:val="16"/>
          <w:lang w:val="en-GB"/>
        </w:rPr>
        <w:footnoteRef/>
      </w:r>
      <w:r w:rsidRPr="00665269">
        <w:rPr>
          <w:sz w:val="16"/>
          <w:szCs w:val="16"/>
          <w:lang w:val="en-GB"/>
        </w:rPr>
        <w:t xml:space="preserve"> Frank V. </w:t>
      </w:r>
      <w:proofErr w:type="gramStart"/>
      <w:r w:rsidRPr="00665269">
        <w:rPr>
          <w:sz w:val="16"/>
          <w:szCs w:val="16"/>
          <w:lang w:val="en-GB"/>
        </w:rPr>
        <w:t>The European Community and marine environmental protection in the international law of the sea.</w:t>
      </w:r>
      <w:proofErr w:type="gramEnd"/>
      <w:r w:rsidRPr="00665269">
        <w:rPr>
          <w:sz w:val="16"/>
          <w:szCs w:val="16"/>
          <w:lang w:val="en-GB"/>
        </w:rPr>
        <w:t xml:space="preserve"> </w:t>
      </w:r>
      <w:proofErr w:type="gramStart"/>
      <w:r w:rsidRPr="00665269">
        <w:rPr>
          <w:sz w:val="16"/>
          <w:szCs w:val="16"/>
          <w:lang w:val="en-GB"/>
        </w:rPr>
        <w:t>Implementing Global Obligations at the Regional Level.</w:t>
      </w:r>
      <w:proofErr w:type="gramEnd"/>
      <w:r w:rsidRPr="00665269">
        <w:rPr>
          <w:sz w:val="16"/>
          <w:szCs w:val="16"/>
          <w:lang w:val="en-GB"/>
        </w:rPr>
        <w:t xml:space="preserve"> Leiden / Boston: </w:t>
      </w:r>
      <w:proofErr w:type="spellStart"/>
      <w:r w:rsidRPr="00665269">
        <w:rPr>
          <w:sz w:val="16"/>
          <w:szCs w:val="16"/>
          <w:lang w:val="en-GB"/>
        </w:rPr>
        <w:t>Martinus</w:t>
      </w:r>
      <w:proofErr w:type="spellEnd"/>
      <w:r w:rsidRPr="00665269">
        <w:rPr>
          <w:sz w:val="16"/>
          <w:szCs w:val="16"/>
          <w:lang w:val="en-GB"/>
        </w:rPr>
        <w:t xml:space="preserve"> </w:t>
      </w:r>
      <w:proofErr w:type="spellStart"/>
      <w:r w:rsidRPr="00665269">
        <w:rPr>
          <w:sz w:val="16"/>
          <w:szCs w:val="16"/>
          <w:lang w:val="en-GB"/>
        </w:rPr>
        <w:t>Nijhoff</w:t>
      </w:r>
      <w:proofErr w:type="spellEnd"/>
      <w:r w:rsidRPr="00665269">
        <w:rPr>
          <w:sz w:val="16"/>
          <w:szCs w:val="16"/>
          <w:lang w:val="en-GB"/>
        </w:rPr>
        <w:t xml:space="preserve"> Publishers, 2007, p. 384.</w:t>
      </w:r>
    </w:p>
  </w:footnote>
  <w:footnote w:id="39">
    <w:p w:rsidR="00392247" w:rsidRPr="00293C96" w:rsidRDefault="00392247" w:rsidP="00BD2E22">
      <w:pPr>
        <w:pStyle w:val="FootnoteText"/>
        <w:jc w:val="both"/>
        <w:rPr>
          <w:sz w:val="16"/>
          <w:szCs w:val="16"/>
        </w:rPr>
      </w:pPr>
      <w:r w:rsidRPr="00665269">
        <w:rPr>
          <w:rStyle w:val="FootnoteReference"/>
          <w:sz w:val="16"/>
          <w:szCs w:val="16"/>
          <w:lang w:val="en-GB"/>
        </w:rPr>
        <w:footnoteRef/>
      </w:r>
      <w:r w:rsidRPr="00665269">
        <w:rPr>
          <w:sz w:val="16"/>
          <w:szCs w:val="16"/>
          <w:lang w:val="en-GB"/>
        </w:rPr>
        <w:t xml:space="preserve"> Frank V. </w:t>
      </w:r>
      <w:proofErr w:type="gramStart"/>
      <w:r w:rsidRPr="00665269">
        <w:rPr>
          <w:sz w:val="16"/>
          <w:szCs w:val="16"/>
          <w:lang w:val="en-GB"/>
        </w:rPr>
        <w:t>The European Community and marine environmental protection in the international law of the sea.</w:t>
      </w:r>
      <w:proofErr w:type="gramEnd"/>
      <w:r w:rsidRPr="00665269">
        <w:rPr>
          <w:sz w:val="16"/>
          <w:szCs w:val="16"/>
          <w:lang w:val="en-GB"/>
        </w:rPr>
        <w:t xml:space="preserve"> </w:t>
      </w:r>
      <w:proofErr w:type="gramStart"/>
      <w:r w:rsidRPr="00665269">
        <w:rPr>
          <w:sz w:val="16"/>
          <w:szCs w:val="16"/>
          <w:lang w:val="en-GB"/>
        </w:rPr>
        <w:t>Implementing Global Obligations at the Regional Level.</w:t>
      </w:r>
      <w:proofErr w:type="gramEnd"/>
      <w:r w:rsidRPr="00665269">
        <w:rPr>
          <w:sz w:val="16"/>
          <w:szCs w:val="16"/>
          <w:lang w:val="en-GB"/>
        </w:rPr>
        <w:t xml:space="preserve"> Leiden / Boston: </w:t>
      </w:r>
      <w:proofErr w:type="spellStart"/>
      <w:r w:rsidRPr="00665269">
        <w:rPr>
          <w:sz w:val="16"/>
          <w:szCs w:val="16"/>
          <w:lang w:val="en-GB"/>
        </w:rPr>
        <w:t>Martinus</w:t>
      </w:r>
      <w:proofErr w:type="spellEnd"/>
      <w:r w:rsidRPr="00665269">
        <w:rPr>
          <w:sz w:val="16"/>
          <w:szCs w:val="16"/>
          <w:lang w:val="en-GB"/>
        </w:rPr>
        <w:t xml:space="preserve"> </w:t>
      </w:r>
      <w:proofErr w:type="spellStart"/>
      <w:r w:rsidRPr="00665269">
        <w:rPr>
          <w:sz w:val="16"/>
          <w:szCs w:val="16"/>
          <w:lang w:val="en-GB"/>
        </w:rPr>
        <w:t>Nijhoff</w:t>
      </w:r>
      <w:proofErr w:type="spellEnd"/>
      <w:r w:rsidRPr="00665269">
        <w:rPr>
          <w:sz w:val="16"/>
          <w:szCs w:val="16"/>
          <w:lang w:val="en-GB"/>
        </w:rPr>
        <w:t xml:space="preserve"> Publishers, 2007, p. 385.</w:t>
      </w:r>
    </w:p>
  </w:footnote>
  <w:footnote w:id="40">
    <w:p w:rsidR="00392247" w:rsidRPr="00293C96" w:rsidRDefault="00392247" w:rsidP="00BD2E22">
      <w:pPr>
        <w:pStyle w:val="FootnoteText"/>
        <w:jc w:val="both"/>
        <w:rPr>
          <w:sz w:val="16"/>
          <w:szCs w:val="16"/>
        </w:rPr>
      </w:pPr>
      <w:r w:rsidRPr="004C78E3">
        <w:rPr>
          <w:rStyle w:val="FootnoteReference"/>
          <w:sz w:val="16"/>
          <w:szCs w:val="16"/>
        </w:rPr>
        <w:footnoteRef/>
      </w:r>
      <w:r w:rsidRPr="004C78E3">
        <w:rPr>
          <w:sz w:val="16"/>
          <w:szCs w:val="16"/>
        </w:rPr>
        <w:t xml:space="preserve"> KOMISIJAS PAZIŅOJUMS EIROPAS PARLAMENTAM, PADOMEI, EIROPAS EKONOMIKAS UN SOCIĀLO LIETU KOMITEJAI UN REĢIONU KOMITEJAI jūras teritoriālā plānošana ES — sasniegumi un turpmākā attīstība. /* COM/2010/0771 galīgā redakcija */.</w:t>
      </w:r>
    </w:p>
  </w:footnote>
  <w:footnote w:id="41">
    <w:p w:rsidR="00392247" w:rsidRPr="00665269" w:rsidRDefault="00392247" w:rsidP="00665269">
      <w:pPr>
        <w:pStyle w:val="FootnoteText"/>
        <w:jc w:val="both"/>
        <w:rPr>
          <w:sz w:val="16"/>
          <w:szCs w:val="16"/>
        </w:rPr>
      </w:pPr>
      <w:r w:rsidRPr="00665269">
        <w:rPr>
          <w:rStyle w:val="FootnoteReference"/>
          <w:sz w:val="16"/>
          <w:szCs w:val="16"/>
        </w:rPr>
        <w:footnoteRef/>
      </w:r>
      <w:r w:rsidRPr="00665269">
        <w:rPr>
          <w:sz w:val="16"/>
          <w:szCs w:val="16"/>
        </w:rPr>
        <w:t xml:space="preserve"> </w:t>
      </w:r>
      <w:r w:rsidRPr="00CD1686">
        <w:rPr>
          <w:sz w:val="16"/>
          <w:szCs w:val="16"/>
        </w:rPr>
        <w:t>Z</w:t>
      </w:r>
      <w:r w:rsidRPr="00665269">
        <w:rPr>
          <w:sz w:val="16"/>
          <w:szCs w:val="16"/>
        </w:rPr>
        <w:t>iņojums pieejams: http://ec.europa.eu/transparency/regdoc/rep/1/2015/LV/1-2015-293-LV-F1-1.PDF</w:t>
      </w:r>
    </w:p>
  </w:footnote>
  <w:footnote w:id="42">
    <w:p w:rsidR="00392247" w:rsidRPr="00665269" w:rsidRDefault="00392247" w:rsidP="00665269">
      <w:pPr>
        <w:pStyle w:val="FootnoteText"/>
        <w:jc w:val="both"/>
        <w:rPr>
          <w:sz w:val="16"/>
          <w:szCs w:val="16"/>
        </w:rPr>
      </w:pPr>
      <w:r w:rsidRPr="00665269">
        <w:rPr>
          <w:rStyle w:val="FootnoteReference"/>
          <w:sz w:val="16"/>
          <w:szCs w:val="16"/>
        </w:rPr>
        <w:footnoteRef/>
      </w:r>
      <w:r w:rsidRPr="00665269">
        <w:rPr>
          <w:sz w:val="16"/>
          <w:szCs w:val="16"/>
        </w:rPr>
        <w:t xml:space="preserve"> Paziņojums pieejams: http://eur-lex.europa.eu/legal-content/LV/TXT/?uri=CELEX%3A52014DC0008</w:t>
      </w:r>
    </w:p>
  </w:footnote>
  <w:footnote w:id="43">
    <w:p w:rsidR="00392247" w:rsidRDefault="00392247" w:rsidP="00665269">
      <w:pPr>
        <w:pStyle w:val="FootnoteText"/>
        <w:jc w:val="both"/>
      </w:pPr>
      <w:r w:rsidRPr="00665269">
        <w:rPr>
          <w:rStyle w:val="FootnoteReference"/>
          <w:sz w:val="16"/>
          <w:szCs w:val="16"/>
        </w:rPr>
        <w:footnoteRef/>
      </w:r>
      <w:r>
        <w:rPr>
          <w:sz w:val="16"/>
          <w:szCs w:val="16"/>
        </w:rPr>
        <w:t> </w:t>
      </w:r>
      <w:r w:rsidRPr="00665269">
        <w:rPr>
          <w:sz w:val="16"/>
          <w:szCs w:val="16"/>
        </w:rPr>
        <w:t>Paziņojums Pieejams: https://publications.europa.eu/lv/publication-detail/-/publication/2390647d-df32-46ce-ba70-fa1ee51605e0/language-lv</w:t>
      </w:r>
    </w:p>
  </w:footnote>
  <w:footnote w:id="44">
    <w:p w:rsidR="00392247" w:rsidRPr="00457E80" w:rsidRDefault="00392247" w:rsidP="00665269">
      <w:pPr>
        <w:pStyle w:val="FootnoteText"/>
        <w:jc w:val="both"/>
        <w:rPr>
          <w:sz w:val="16"/>
          <w:szCs w:val="16"/>
        </w:rPr>
      </w:pPr>
      <w:r w:rsidRPr="00457E80">
        <w:rPr>
          <w:rStyle w:val="FootnoteReference"/>
          <w:sz w:val="16"/>
          <w:szCs w:val="16"/>
        </w:rPr>
        <w:footnoteRef/>
      </w:r>
      <w:r w:rsidRPr="00457E80">
        <w:rPr>
          <w:sz w:val="16"/>
          <w:szCs w:val="16"/>
        </w:rPr>
        <w:t xml:space="preserve"> E</w:t>
      </w:r>
      <w:r>
        <w:rPr>
          <w:sz w:val="16"/>
          <w:szCs w:val="16"/>
        </w:rPr>
        <w:t>ST 2001.gada 6.decembra atzinuma</w:t>
      </w:r>
      <w:r w:rsidRPr="00457E80">
        <w:rPr>
          <w:sz w:val="16"/>
          <w:szCs w:val="16"/>
        </w:rPr>
        <w:t xml:space="preserve"> lietā 2/00 </w:t>
      </w:r>
      <w:proofErr w:type="spellStart"/>
      <w:r w:rsidRPr="00457E80">
        <w:rPr>
          <w:i/>
          <w:sz w:val="16"/>
          <w:szCs w:val="16"/>
        </w:rPr>
        <w:t>Cartagena</w:t>
      </w:r>
      <w:proofErr w:type="spellEnd"/>
      <w:r w:rsidRPr="00457E80">
        <w:rPr>
          <w:i/>
          <w:sz w:val="16"/>
          <w:szCs w:val="16"/>
        </w:rPr>
        <w:t xml:space="preserve"> </w:t>
      </w:r>
      <w:proofErr w:type="spellStart"/>
      <w:r w:rsidRPr="00457E80">
        <w:rPr>
          <w:i/>
          <w:sz w:val="16"/>
          <w:szCs w:val="16"/>
        </w:rPr>
        <w:t>Protocol</w:t>
      </w:r>
      <w:proofErr w:type="spellEnd"/>
      <w:r w:rsidRPr="00457E80">
        <w:rPr>
          <w:sz w:val="16"/>
          <w:szCs w:val="16"/>
        </w:rPr>
        <w:t xml:space="preserve"> 18.punkts.</w:t>
      </w:r>
    </w:p>
  </w:footnote>
  <w:footnote w:id="45">
    <w:p w:rsidR="00392247" w:rsidRPr="00457E80" w:rsidRDefault="00392247" w:rsidP="00665269">
      <w:pPr>
        <w:pStyle w:val="FootnoteText"/>
        <w:jc w:val="both"/>
        <w:rPr>
          <w:sz w:val="16"/>
          <w:szCs w:val="16"/>
        </w:rPr>
      </w:pPr>
      <w:r w:rsidRPr="00457E80">
        <w:rPr>
          <w:rStyle w:val="FootnoteReference"/>
          <w:sz w:val="16"/>
          <w:szCs w:val="16"/>
        </w:rPr>
        <w:footnoteRef/>
      </w:r>
      <w:r w:rsidRPr="00457E80">
        <w:rPr>
          <w:sz w:val="16"/>
          <w:szCs w:val="16"/>
        </w:rPr>
        <w:t xml:space="preserve"> EST viedoklis 1/94, [1994] E.C.R. I-5272; EST spriedums lietā C-246/07 Komisija pret Zviedriju.</w:t>
      </w:r>
    </w:p>
  </w:footnote>
  <w:footnote w:id="46">
    <w:p w:rsidR="00392247" w:rsidRPr="00457E80" w:rsidRDefault="00392247" w:rsidP="00665269">
      <w:pPr>
        <w:pStyle w:val="FootnoteText"/>
        <w:jc w:val="both"/>
        <w:rPr>
          <w:sz w:val="16"/>
          <w:szCs w:val="16"/>
        </w:rPr>
      </w:pPr>
      <w:r w:rsidRPr="00457E80">
        <w:rPr>
          <w:rStyle w:val="FootnoteReference"/>
          <w:sz w:val="16"/>
          <w:szCs w:val="16"/>
        </w:rPr>
        <w:footnoteRef/>
      </w:r>
      <w:r w:rsidRPr="00457E80">
        <w:rPr>
          <w:sz w:val="16"/>
          <w:szCs w:val="16"/>
        </w:rPr>
        <w:t xml:space="preserve"> EST spriedums lietā C-6/64 </w:t>
      </w:r>
      <w:proofErr w:type="spellStart"/>
      <w:r w:rsidRPr="00457E80">
        <w:rPr>
          <w:sz w:val="16"/>
          <w:szCs w:val="16"/>
        </w:rPr>
        <w:t>Costa</w:t>
      </w:r>
      <w:proofErr w:type="spellEnd"/>
      <w:r w:rsidRPr="00457E80">
        <w:rPr>
          <w:sz w:val="16"/>
          <w:szCs w:val="16"/>
        </w:rPr>
        <w:t xml:space="preserve"> v. ENEL, [1964] E.C.R. 585, 593-94; EST spriedums lietā C-26/26 </w:t>
      </w:r>
      <w:proofErr w:type="spellStart"/>
      <w:r w:rsidRPr="00457E80">
        <w:rPr>
          <w:sz w:val="16"/>
          <w:szCs w:val="16"/>
        </w:rPr>
        <w:t>Van</w:t>
      </w:r>
      <w:proofErr w:type="spellEnd"/>
      <w:r w:rsidRPr="00457E80">
        <w:rPr>
          <w:sz w:val="16"/>
          <w:szCs w:val="16"/>
        </w:rPr>
        <w:t xml:space="preserve"> </w:t>
      </w:r>
      <w:proofErr w:type="spellStart"/>
      <w:r w:rsidRPr="00457E80">
        <w:rPr>
          <w:sz w:val="16"/>
          <w:szCs w:val="16"/>
        </w:rPr>
        <w:t>Gend</w:t>
      </w:r>
      <w:proofErr w:type="spellEnd"/>
      <w:r w:rsidRPr="00457E80">
        <w:rPr>
          <w:sz w:val="16"/>
          <w:szCs w:val="16"/>
        </w:rPr>
        <w:t xml:space="preserve"> &amp; </w:t>
      </w:r>
      <w:proofErr w:type="spellStart"/>
      <w:r w:rsidRPr="00457E80">
        <w:rPr>
          <w:sz w:val="16"/>
          <w:szCs w:val="16"/>
        </w:rPr>
        <w:t>Loos</w:t>
      </w:r>
      <w:proofErr w:type="spellEnd"/>
      <w:r w:rsidRPr="00457E80">
        <w:rPr>
          <w:sz w:val="16"/>
          <w:szCs w:val="16"/>
        </w:rPr>
        <w:t>, [1963] E.C.R. 1, 12.</w:t>
      </w:r>
    </w:p>
  </w:footnote>
  <w:footnote w:id="47">
    <w:p w:rsidR="00392247" w:rsidRPr="00153BE1" w:rsidRDefault="00392247" w:rsidP="00665269">
      <w:pPr>
        <w:pStyle w:val="FootnoteText"/>
        <w:jc w:val="both"/>
        <w:rPr>
          <w:sz w:val="16"/>
          <w:szCs w:val="16"/>
        </w:rPr>
      </w:pPr>
      <w:r w:rsidRPr="00457E80">
        <w:rPr>
          <w:rStyle w:val="FootnoteReference"/>
          <w:sz w:val="16"/>
          <w:szCs w:val="16"/>
        </w:rPr>
        <w:footnoteRef/>
      </w:r>
      <w:r w:rsidRPr="00457E80">
        <w:rPr>
          <w:sz w:val="16"/>
          <w:szCs w:val="16"/>
        </w:rPr>
        <w:t xml:space="preserve"> </w:t>
      </w:r>
      <w:proofErr w:type="spellStart"/>
      <w:r w:rsidRPr="00457E80">
        <w:rPr>
          <w:sz w:val="16"/>
          <w:szCs w:val="16"/>
        </w:rPr>
        <w:t>Paasivirta</w:t>
      </w:r>
      <w:proofErr w:type="spellEnd"/>
      <w:r w:rsidRPr="00457E80">
        <w:rPr>
          <w:sz w:val="16"/>
          <w:szCs w:val="16"/>
        </w:rPr>
        <w:t xml:space="preserve"> E. </w:t>
      </w:r>
      <w:proofErr w:type="spellStart"/>
      <w:r w:rsidRPr="00457E80">
        <w:rPr>
          <w:sz w:val="16"/>
          <w:szCs w:val="16"/>
        </w:rPr>
        <w:t>The</w:t>
      </w:r>
      <w:proofErr w:type="spellEnd"/>
      <w:r w:rsidRPr="00457E80">
        <w:rPr>
          <w:sz w:val="16"/>
          <w:szCs w:val="16"/>
        </w:rPr>
        <w:t xml:space="preserve"> </w:t>
      </w:r>
      <w:proofErr w:type="spellStart"/>
      <w:r w:rsidRPr="00457E80">
        <w:rPr>
          <w:sz w:val="16"/>
          <w:szCs w:val="16"/>
        </w:rPr>
        <w:t>European</w:t>
      </w:r>
      <w:proofErr w:type="spellEnd"/>
      <w:r w:rsidRPr="00457E80">
        <w:rPr>
          <w:sz w:val="16"/>
          <w:szCs w:val="16"/>
        </w:rPr>
        <w:t xml:space="preserve"> </w:t>
      </w:r>
      <w:proofErr w:type="spellStart"/>
      <w:r w:rsidRPr="00457E80">
        <w:rPr>
          <w:sz w:val="16"/>
          <w:szCs w:val="16"/>
        </w:rPr>
        <w:t>Union</w:t>
      </w:r>
      <w:proofErr w:type="spellEnd"/>
      <w:r w:rsidRPr="00457E80">
        <w:rPr>
          <w:sz w:val="16"/>
          <w:szCs w:val="16"/>
        </w:rPr>
        <w:t xml:space="preserve"> </w:t>
      </w:r>
      <w:proofErr w:type="spellStart"/>
      <w:r w:rsidRPr="00457E80">
        <w:rPr>
          <w:sz w:val="16"/>
          <w:szCs w:val="16"/>
        </w:rPr>
        <w:t>and</w:t>
      </w:r>
      <w:proofErr w:type="spellEnd"/>
      <w:r w:rsidRPr="00457E80">
        <w:rPr>
          <w:sz w:val="16"/>
          <w:szCs w:val="16"/>
        </w:rPr>
        <w:t xml:space="preserve"> </w:t>
      </w:r>
      <w:proofErr w:type="spellStart"/>
      <w:r w:rsidRPr="00457E80">
        <w:rPr>
          <w:sz w:val="16"/>
          <w:szCs w:val="16"/>
        </w:rPr>
        <w:t>the</w:t>
      </w:r>
      <w:proofErr w:type="spellEnd"/>
      <w:r w:rsidRPr="00457E80">
        <w:rPr>
          <w:sz w:val="16"/>
          <w:szCs w:val="16"/>
        </w:rPr>
        <w:t xml:space="preserve"> </w:t>
      </w:r>
      <w:proofErr w:type="spellStart"/>
      <w:r w:rsidRPr="00457E80">
        <w:rPr>
          <w:sz w:val="16"/>
          <w:szCs w:val="16"/>
        </w:rPr>
        <w:t>United</w:t>
      </w:r>
      <w:proofErr w:type="spellEnd"/>
      <w:r w:rsidRPr="00457E80">
        <w:rPr>
          <w:sz w:val="16"/>
          <w:szCs w:val="16"/>
        </w:rPr>
        <w:t xml:space="preserve"> </w:t>
      </w:r>
      <w:proofErr w:type="spellStart"/>
      <w:r w:rsidRPr="00457E80">
        <w:rPr>
          <w:sz w:val="16"/>
          <w:szCs w:val="16"/>
        </w:rPr>
        <w:t>Nations</w:t>
      </w:r>
      <w:proofErr w:type="spellEnd"/>
      <w:r w:rsidRPr="00457E80">
        <w:rPr>
          <w:sz w:val="16"/>
          <w:szCs w:val="16"/>
        </w:rPr>
        <w:t xml:space="preserve"> </w:t>
      </w:r>
      <w:proofErr w:type="spellStart"/>
      <w:r w:rsidRPr="00457E80">
        <w:rPr>
          <w:sz w:val="16"/>
          <w:szCs w:val="16"/>
        </w:rPr>
        <w:t>Convention</w:t>
      </w:r>
      <w:proofErr w:type="spellEnd"/>
      <w:r w:rsidRPr="00457E80">
        <w:rPr>
          <w:sz w:val="16"/>
          <w:szCs w:val="16"/>
        </w:rPr>
        <w:t xml:space="preserve"> </w:t>
      </w:r>
      <w:proofErr w:type="spellStart"/>
      <w:r w:rsidRPr="00457E80">
        <w:rPr>
          <w:sz w:val="16"/>
          <w:szCs w:val="16"/>
        </w:rPr>
        <w:t>on</w:t>
      </w:r>
      <w:proofErr w:type="spellEnd"/>
      <w:r w:rsidRPr="00457E80">
        <w:rPr>
          <w:sz w:val="16"/>
          <w:szCs w:val="16"/>
        </w:rPr>
        <w:t xml:space="preserve"> </w:t>
      </w:r>
      <w:proofErr w:type="spellStart"/>
      <w:r w:rsidRPr="00457E80">
        <w:rPr>
          <w:sz w:val="16"/>
          <w:szCs w:val="16"/>
        </w:rPr>
        <w:t>the</w:t>
      </w:r>
      <w:proofErr w:type="spellEnd"/>
      <w:r w:rsidRPr="00457E80">
        <w:rPr>
          <w:sz w:val="16"/>
          <w:szCs w:val="16"/>
        </w:rPr>
        <w:t xml:space="preserve"> </w:t>
      </w:r>
      <w:proofErr w:type="spellStart"/>
      <w:r w:rsidRPr="00457E80">
        <w:rPr>
          <w:sz w:val="16"/>
          <w:szCs w:val="16"/>
        </w:rPr>
        <w:t>Law</w:t>
      </w:r>
      <w:proofErr w:type="spellEnd"/>
      <w:r w:rsidRPr="00457E80">
        <w:rPr>
          <w:sz w:val="16"/>
          <w:szCs w:val="16"/>
        </w:rPr>
        <w:t xml:space="preserve"> </w:t>
      </w:r>
      <w:proofErr w:type="spellStart"/>
      <w:r w:rsidRPr="00457E80">
        <w:rPr>
          <w:sz w:val="16"/>
          <w:szCs w:val="16"/>
        </w:rPr>
        <w:t>of</w:t>
      </w:r>
      <w:proofErr w:type="spellEnd"/>
      <w:r w:rsidRPr="00457E80">
        <w:rPr>
          <w:sz w:val="16"/>
          <w:szCs w:val="16"/>
        </w:rPr>
        <w:t xml:space="preserve"> </w:t>
      </w:r>
      <w:proofErr w:type="spellStart"/>
      <w:r w:rsidRPr="00457E80">
        <w:rPr>
          <w:sz w:val="16"/>
          <w:szCs w:val="16"/>
        </w:rPr>
        <w:t>the</w:t>
      </w:r>
      <w:proofErr w:type="spellEnd"/>
      <w:r w:rsidRPr="00457E80">
        <w:rPr>
          <w:sz w:val="16"/>
          <w:szCs w:val="16"/>
        </w:rPr>
        <w:t xml:space="preserve"> </w:t>
      </w:r>
      <w:proofErr w:type="spellStart"/>
      <w:r w:rsidRPr="00457E80">
        <w:rPr>
          <w:sz w:val="16"/>
          <w:szCs w:val="16"/>
        </w:rPr>
        <w:t>Sea</w:t>
      </w:r>
      <w:proofErr w:type="spellEnd"/>
      <w:r w:rsidRPr="00457E80">
        <w:rPr>
          <w:sz w:val="16"/>
          <w:szCs w:val="16"/>
        </w:rPr>
        <w:t xml:space="preserve">. </w:t>
      </w:r>
      <w:proofErr w:type="spellStart"/>
      <w:r w:rsidRPr="00457E80">
        <w:rPr>
          <w:sz w:val="16"/>
          <w:szCs w:val="16"/>
        </w:rPr>
        <w:t>Fordham</w:t>
      </w:r>
      <w:proofErr w:type="spellEnd"/>
      <w:r w:rsidRPr="00457E80">
        <w:rPr>
          <w:sz w:val="16"/>
          <w:szCs w:val="16"/>
        </w:rPr>
        <w:t xml:space="preserve"> </w:t>
      </w:r>
      <w:proofErr w:type="spellStart"/>
      <w:r w:rsidRPr="00457E80">
        <w:rPr>
          <w:sz w:val="16"/>
          <w:szCs w:val="16"/>
        </w:rPr>
        <w:t>International</w:t>
      </w:r>
      <w:proofErr w:type="spellEnd"/>
      <w:r w:rsidRPr="00457E80">
        <w:rPr>
          <w:sz w:val="16"/>
          <w:szCs w:val="16"/>
        </w:rPr>
        <w:t xml:space="preserve"> </w:t>
      </w:r>
      <w:proofErr w:type="spellStart"/>
      <w:r w:rsidRPr="00457E80">
        <w:rPr>
          <w:sz w:val="16"/>
          <w:szCs w:val="16"/>
        </w:rPr>
        <w:t>Law</w:t>
      </w:r>
      <w:proofErr w:type="spellEnd"/>
      <w:r w:rsidRPr="00457E80">
        <w:rPr>
          <w:sz w:val="16"/>
          <w:szCs w:val="16"/>
        </w:rPr>
        <w:t xml:space="preserve"> </w:t>
      </w:r>
      <w:proofErr w:type="spellStart"/>
      <w:r w:rsidRPr="00153BE1">
        <w:rPr>
          <w:sz w:val="16"/>
          <w:szCs w:val="16"/>
        </w:rPr>
        <w:t>Journal</w:t>
      </w:r>
      <w:proofErr w:type="spellEnd"/>
      <w:r w:rsidRPr="00153BE1">
        <w:rPr>
          <w:sz w:val="16"/>
          <w:szCs w:val="16"/>
        </w:rPr>
        <w:t xml:space="preserve">. </w:t>
      </w:r>
      <w:proofErr w:type="spellStart"/>
      <w:r w:rsidRPr="00153BE1">
        <w:rPr>
          <w:sz w:val="16"/>
          <w:szCs w:val="16"/>
        </w:rPr>
        <w:t>Volume</w:t>
      </w:r>
      <w:proofErr w:type="spellEnd"/>
      <w:r w:rsidRPr="00153BE1">
        <w:rPr>
          <w:sz w:val="16"/>
          <w:szCs w:val="16"/>
        </w:rPr>
        <w:t xml:space="preserve"> 38, </w:t>
      </w:r>
      <w:proofErr w:type="spellStart"/>
      <w:r w:rsidRPr="00153BE1">
        <w:rPr>
          <w:sz w:val="16"/>
          <w:szCs w:val="16"/>
        </w:rPr>
        <w:t>Issue</w:t>
      </w:r>
      <w:proofErr w:type="spellEnd"/>
      <w:r w:rsidRPr="00153BE1">
        <w:rPr>
          <w:sz w:val="16"/>
          <w:szCs w:val="16"/>
        </w:rPr>
        <w:t xml:space="preserve"> 4, </w:t>
      </w:r>
      <w:proofErr w:type="spellStart"/>
      <w:r w:rsidRPr="00153BE1">
        <w:rPr>
          <w:sz w:val="16"/>
          <w:szCs w:val="16"/>
        </w:rPr>
        <w:t>Article</w:t>
      </w:r>
      <w:proofErr w:type="spellEnd"/>
      <w:r w:rsidRPr="00153BE1">
        <w:rPr>
          <w:sz w:val="16"/>
          <w:szCs w:val="16"/>
        </w:rPr>
        <w:t xml:space="preserve"> 5. 2015.</w:t>
      </w:r>
    </w:p>
  </w:footnote>
  <w:footnote w:id="48">
    <w:p w:rsidR="00392247" w:rsidRPr="00153BE1" w:rsidRDefault="00392247">
      <w:pPr>
        <w:pStyle w:val="FootnoteText"/>
        <w:rPr>
          <w:sz w:val="16"/>
          <w:szCs w:val="16"/>
        </w:rPr>
      </w:pPr>
      <w:r w:rsidRPr="00153BE1">
        <w:rPr>
          <w:rStyle w:val="FootnoteReference"/>
          <w:sz w:val="16"/>
          <w:szCs w:val="16"/>
        </w:rPr>
        <w:footnoteRef/>
      </w:r>
      <w:r w:rsidRPr="00153BE1">
        <w:rPr>
          <w:sz w:val="16"/>
          <w:szCs w:val="16"/>
        </w:rPr>
        <w:t xml:space="preserve"> EST 2016.gada 30.maija spriedums lietā C-459/03 </w:t>
      </w:r>
      <w:r w:rsidRPr="00153BE1">
        <w:rPr>
          <w:bCs/>
          <w:sz w:val="16"/>
          <w:szCs w:val="16"/>
        </w:rPr>
        <w:t xml:space="preserve">Lielbritānijas un Ziemeļīrijas Apvienotā Karaliste pret </w:t>
      </w:r>
      <w:r>
        <w:rPr>
          <w:bCs/>
          <w:sz w:val="16"/>
          <w:szCs w:val="16"/>
        </w:rPr>
        <w:t>Ī</w:t>
      </w:r>
      <w:r w:rsidRPr="00153BE1">
        <w:rPr>
          <w:bCs/>
          <w:sz w:val="16"/>
          <w:szCs w:val="16"/>
        </w:rPr>
        <w:t xml:space="preserve">riju. </w:t>
      </w:r>
    </w:p>
  </w:footnote>
  <w:footnote w:id="49">
    <w:p w:rsidR="00392247" w:rsidRPr="00457E80" w:rsidRDefault="00392247" w:rsidP="00665269">
      <w:pPr>
        <w:pStyle w:val="FootnoteText"/>
        <w:jc w:val="both"/>
        <w:rPr>
          <w:sz w:val="16"/>
          <w:szCs w:val="16"/>
        </w:rPr>
      </w:pPr>
      <w:r w:rsidRPr="00153BE1">
        <w:rPr>
          <w:rStyle w:val="FootnoteReference"/>
          <w:sz w:val="16"/>
          <w:szCs w:val="16"/>
        </w:rPr>
        <w:footnoteRef/>
      </w:r>
      <w:r w:rsidRPr="00153BE1">
        <w:rPr>
          <w:sz w:val="16"/>
          <w:szCs w:val="16"/>
        </w:rPr>
        <w:t xml:space="preserve"> EST 2014.gada 26.novembra sprieduma apvienotajās lietās C-103/12 un C-165/12 Eiropas Parlaments un Komisija pret Padomi (“Venecuēlas</w:t>
      </w:r>
      <w:r>
        <w:rPr>
          <w:sz w:val="16"/>
          <w:szCs w:val="16"/>
        </w:rPr>
        <w:t xml:space="preserve"> zvejnieki”)</w:t>
      </w:r>
      <w:r w:rsidRPr="00457E80">
        <w:rPr>
          <w:sz w:val="16"/>
          <w:szCs w:val="16"/>
        </w:rPr>
        <w:t xml:space="preserve"> 69</w:t>
      </w:r>
      <w:r>
        <w:rPr>
          <w:sz w:val="16"/>
          <w:szCs w:val="16"/>
        </w:rPr>
        <w:t xml:space="preserve">. – </w:t>
      </w:r>
      <w:r w:rsidRPr="00457E80">
        <w:rPr>
          <w:sz w:val="16"/>
          <w:szCs w:val="16"/>
        </w:rPr>
        <w:t>73.punkts.</w:t>
      </w:r>
    </w:p>
  </w:footnote>
  <w:footnote w:id="50">
    <w:p w:rsidR="00392247" w:rsidRPr="00457E80" w:rsidRDefault="00392247" w:rsidP="00665269">
      <w:pPr>
        <w:pStyle w:val="FootnoteText"/>
        <w:jc w:val="both"/>
        <w:rPr>
          <w:sz w:val="16"/>
          <w:szCs w:val="16"/>
        </w:rPr>
      </w:pPr>
      <w:r w:rsidRPr="00457E80">
        <w:rPr>
          <w:rStyle w:val="FootnoteReference"/>
          <w:sz w:val="16"/>
          <w:szCs w:val="16"/>
        </w:rPr>
        <w:footnoteRef/>
      </w:r>
      <w:r w:rsidRPr="00457E80">
        <w:rPr>
          <w:sz w:val="16"/>
          <w:szCs w:val="16"/>
        </w:rPr>
        <w:t xml:space="preserve"> EST 2008.gada 3.jūnija spriedums lietā C-308/06 </w:t>
      </w:r>
      <w:proofErr w:type="spellStart"/>
      <w:r w:rsidRPr="00457E80">
        <w:rPr>
          <w:sz w:val="16"/>
          <w:szCs w:val="16"/>
        </w:rPr>
        <w:t>Intertanko</w:t>
      </w:r>
      <w:proofErr w:type="spellEnd"/>
      <w:r w:rsidRPr="00457E80">
        <w:rPr>
          <w:sz w:val="16"/>
          <w:szCs w:val="16"/>
        </w:rPr>
        <w:t xml:space="preserve"> pret Valsts sekretāru transporta jomā.</w:t>
      </w:r>
    </w:p>
  </w:footnote>
  <w:footnote w:id="51">
    <w:p w:rsidR="00392247" w:rsidRPr="00457E80" w:rsidRDefault="00392247" w:rsidP="00BD2E22">
      <w:pPr>
        <w:pStyle w:val="FootnoteText"/>
        <w:jc w:val="both"/>
        <w:rPr>
          <w:sz w:val="16"/>
          <w:szCs w:val="16"/>
        </w:rPr>
      </w:pPr>
      <w:r w:rsidRPr="00457E80">
        <w:rPr>
          <w:rStyle w:val="FootnoteReference"/>
          <w:sz w:val="16"/>
          <w:szCs w:val="16"/>
        </w:rPr>
        <w:footnoteRef/>
      </w:r>
      <w:r w:rsidRPr="00457E80">
        <w:rPr>
          <w:sz w:val="16"/>
          <w:szCs w:val="16"/>
        </w:rPr>
        <w:t xml:space="preserve"> EST 2011.gada 21.decembra spriedums lietā C-366/10 </w:t>
      </w:r>
      <w:proofErr w:type="spellStart"/>
      <w:r w:rsidRPr="00457E80">
        <w:rPr>
          <w:sz w:val="16"/>
          <w:szCs w:val="16"/>
        </w:rPr>
        <w:t>Air</w:t>
      </w:r>
      <w:proofErr w:type="spellEnd"/>
      <w:r w:rsidRPr="00457E80">
        <w:rPr>
          <w:sz w:val="16"/>
          <w:szCs w:val="16"/>
        </w:rPr>
        <w:t xml:space="preserve"> </w:t>
      </w:r>
      <w:proofErr w:type="spellStart"/>
      <w:r w:rsidRPr="00457E80">
        <w:rPr>
          <w:sz w:val="16"/>
          <w:szCs w:val="16"/>
        </w:rPr>
        <w:t>Transport</w:t>
      </w:r>
      <w:proofErr w:type="spellEnd"/>
      <w:r w:rsidRPr="00457E80">
        <w:rPr>
          <w:sz w:val="16"/>
          <w:szCs w:val="16"/>
        </w:rPr>
        <w:t xml:space="preserve"> </w:t>
      </w:r>
      <w:proofErr w:type="spellStart"/>
      <w:r w:rsidRPr="00457E80">
        <w:rPr>
          <w:sz w:val="16"/>
          <w:szCs w:val="16"/>
        </w:rPr>
        <w:t>Association</w:t>
      </w:r>
      <w:proofErr w:type="spellEnd"/>
      <w:r w:rsidRPr="00457E80">
        <w:rPr>
          <w:sz w:val="16"/>
          <w:szCs w:val="16"/>
        </w:rPr>
        <w:t xml:space="preserve"> </w:t>
      </w:r>
      <w:proofErr w:type="spellStart"/>
      <w:r w:rsidRPr="00457E80">
        <w:rPr>
          <w:sz w:val="16"/>
          <w:szCs w:val="16"/>
        </w:rPr>
        <w:t>of</w:t>
      </w:r>
      <w:proofErr w:type="spellEnd"/>
      <w:r>
        <w:rPr>
          <w:sz w:val="16"/>
          <w:szCs w:val="16"/>
        </w:rPr>
        <w:t xml:space="preserve"> </w:t>
      </w:r>
      <w:proofErr w:type="spellStart"/>
      <w:r w:rsidRPr="00457E80">
        <w:rPr>
          <w:sz w:val="16"/>
          <w:szCs w:val="16"/>
        </w:rPr>
        <w:t>America</w:t>
      </w:r>
      <w:proofErr w:type="spellEnd"/>
      <w:r w:rsidRPr="00457E80">
        <w:rPr>
          <w:sz w:val="16"/>
          <w:szCs w:val="16"/>
        </w:rPr>
        <w:t xml:space="preserve"> v. </w:t>
      </w:r>
      <w:proofErr w:type="spellStart"/>
      <w:r w:rsidRPr="00457E80">
        <w:rPr>
          <w:sz w:val="16"/>
          <w:szCs w:val="16"/>
        </w:rPr>
        <w:t>Secretary</w:t>
      </w:r>
      <w:proofErr w:type="spellEnd"/>
      <w:r w:rsidRPr="00457E80">
        <w:rPr>
          <w:sz w:val="16"/>
          <w:szCs w:val="16"/>
        </w:rPr>
        <w:t xml:space="preserve"> </w:t>
      </w:r>
      <w:proofErr w:type="spellStart"/>
      <w:r w:rsidRPr="00457E80">
        <w:rPr>
          <w:sz w:val="16"/>
          <w:szCs w:val="16"/>
        </w:rPr>
        <w:t>for</w:t>
      </w:r>
      <w:proofErr w:type="spellEnd"/>
      <w:r w:rsidRPr="00457E80">
        <w:rPr>
          <w:sz w:val="16"/>
          <w:szCs w:val="16"/>
        </w:rPr>
        <w:t xml:space="preserve"> </w:t>
      </w:r>
      <w:proofErr w:type="spellStart"/>
      <w:r w:rsidRPr="00457E80">
        <w:rPr>
          <w:sz w:val="16"/>
          <w:szCs w:val="16"/>
        </w:rPr>
        <w:t>State</w:t>
      </w:r>
      <w:proofErr w:type="spellEnd"/>
      <w:r w:rsidRPr="00457E80">
        <w:rPr>
          <w:sz w:val="16"/>
          <w:szCs w:val="16"/>
        </w:rPr>
        <w:t xml:space="preserve"> </w:t>
      </w:r>
      <w:proofErr w:type="spellStart"/>
      <w:r w:rsidRPr="00457E80">
        <w:rPr>
          <w:sz w:val="16"/>
          <w:szCs w:val="16"/>
        </w:rPr>
        <w:t>of</w:t>
      </w:r>
      <w:proofErr w:type="spellEnd"/>
      <w:r w:rsidRPr="00457E80">
        <w:rPr>
          <w:sz w:val="16"/>
          <w:szCs w:val="16"/>
        </w:rPr>
        <w:t xml:space="preserve"> </w:t>
      </w:r>
      <w:proofErr w:type="spellStart"/>
      <w:r w:rsidRPr="00457E80">
        <w:rPr>
          <w:sz w:val="16"/>
          <w:szCs w:val="16"/>
        </w:rPr>
        <w:t>Energy</w:t>
      </w:r>
      <w:proofErr w:type="spellEnd"/>
      <w:r w:rsidRPr="00457E80">
        <w:rPr>
          <w:sz w:val="16"/>
          <w:szCs w:val="16"/>
        </w:rPr>
        <w:t xml:space="preserve"> </w:t>
      </w:r>
      <w:proofErr w:type="spellStart"/>
      <w:r w:rsidRPr="00457E80">
        <w:rPr>
          <w:sz w:val="16"/>
          <w:szCs w:val="16"/>
        </w:rPr>
        <w:t>and</w:t>
      </w:r>
      <w:proofErr w:type="spellEnd"/>
      <w:r w:rsidRPr="00457E80">
        <w:rPr>
          <w:sz w:val="16"/>
          <w:szCs w:val="16"/>
        </w:rPr>
        <w:t xml:space="preserve"> </w:t>
      </w:r>
      <w:proofErr w:type="spellStart"/>
      <w:r w:rsidRPr="00457E80">
        <w:rPr>
          <w:sz w:val="16"/>
          <w:szCs w:val="16"/>
        </w:rPr>
        <w:t>Climate</w:t>
      </w:r>
      <w:proofErr w:type="spellEnd"/>
      <w:r w:rsidRPr="00457E80">
        <w:rPr>
          <w:sz w:val="16"/>
          <w:szCs w:val="16"/>
        </w:rPr>
        <w:t xml:space="preserve"> </w:t>
      </w:r>
      <w:proofErr w:type="spellStart"/>
      <w:r w:rsidRPr="00457E80">
        <w:rPr>
          <w:sz w:val="16"/>
          <w:szCs w:val="16"/>
        </w:rPr>
        <w:t>Change</w:t>
      </w:r>
      <w:proofErr w:type="spellEnd"/>
      <w:r w:rsidRPr="00457E80">
        <w:rPr>
          <w:sz w:val="16"/>
          <w:szCs w:val="16"/>
        </w:rPr>
        <w:t>.</w:t>
      </w:r>
    </w:p>
  </w:footnote>
  <w:footnote w:id="52">
    <w:p w:rsidR="00392247" w:rsidRPr="00457E80" w:rsidRDefault="00392247" w:rsidP="00BD2E22">
      <w:pPr>
        <w:pStyle w:val="FootnoteText"/>
        <w:jc w:val="both"/>
        <w:rPr>
          <w:sz w:val="16"/>
          <w:szCs w:val="16"/>
        </w:rPr>
      </w:pPr>
      <w:r w:rsidRPr="00457E80">
        <w:rPr>
          <w:rStyle w:val="FootnoteReference"/>
          <w:sz w:val="16"/>
          <w:szCs w:val="16"/>
        </w:rPr>
        <w:footnoteRef/>
      </w:r>
      <w:r w:rsidRPr="00457E80">
        <w:rPr>
          <w:sz w:val="16"/>
          <w:szCs w:val="16"/>
        </w:rPr>
        <w:t xml:space="preserve"> Eiropas Savienības Tiesa</w:t>
      </w:r>
      <w:r>
        <w:rPr>
          <w:sz w:val="16"/>
          <w:szCs w:val="16"/>
        </w:rPr>
        <w:t>s 1970.gada 14.oktobra sprieduma</w:t>
      </w:r>
      <w:r w:rsidRPr="00457E80">
        <w:rPr>
          <w:sz w:val="16"/>
          <w:szCs w:val="16"/>
        </w:rPr>
        <w:t xml:space="preserve"> lietā C-22</w:t>
      </w:r>
      <w:r>
        <w:rPr>
          <w:sz w:val="16"/>
          <w:szCs w:val="16"/>
        </w:rPr>
        <w:t>/70 Komisija pret Padomi (ERTA)</w:t>
      </w:r>
      <w:r w:rsidRPr="00457E80">
        <w:rPr>
          <w:sz w:val="16"/>
          <w:szCs w:val="16"/>
        </w:rPr>
        <w:t xml:space="preserve"> 19.punkts.</w:t>
      </w:r>
    </w:p>
  </w:footnote>
  <w:footnote w:id="53">
    <w:p w:rsidR="00392247" w:rsidRPr="00457E80" w:rsidRDefault="00392247" w:rsidP="00BD2E22">
      <w:pPr>
        <w:pStyle w:val="FootnoteText"/>
        <w:jc w:val="both"/>
        <w:rPr>
          <w:sz w:val="16"/>
          <w:szCs w:val="16"/>
        </w:rPr>
      </w:pPr>
      <w:r w:rsidRPr="00457E80">
        <w:rPr>
          <w:rStyle w:val="FootnoteReference"/>
          <w:sz w:val="16"/>
          <w:szCs w:val="16"/>
        </w:rPr>
        <w:footnoteRef/>
      </w:r>
      <w:r w:rsidRPr="00457E80">
        <w:rPr>
          <w:sz w:val="16"/>
          <w:szCs w:val="16"/>
        </w:rPr>
        <w:t xml:space="preserve"> </w:t>
      </w:r>
      <w:proofErr w:type="spellStart"/>
      <w:r w:rsidRPr="00457E80">
        <w:rPr>
          <w:sz w:val="16"/>
          <w:szCs w:val="16"/>
        </w:rPr>
        <w:t>Liu</w:t>
      </w:r>
      <w:proofErr w:type="spellEnd"/>
      <w:r w:rsidRPr="00457E80">
        <w:rPr>
          <w:sz w:val="16"/>
          <w:szCs w:val="16"/>
        </w:rPr>
        <w:t xml:space="preserve"> N. </w:t>
      </w:r>
      <w:proofErr w:type="spellStart"/>
      <w:r w:rsidRPr="00457E80">
        <w:rPr>
          <w:sz w:val="16"/>
          <w:szCs w:val="16"/>
        </w:rPr>
        <w:t>The</w:t>
      </w:r>
      <w:proofErr w:type="spellEnd"/>
      <w:r w:rsidRPr="00457E80">
        <w:rPr>
          <w:sz w:val="16"/>
          <w:szCs w:val="16"/>
        </w:rPr>
        <w:t xml:space="preserve"> </w:t>
      </w:r>
      <w:proofErr w:type="spellStart"/>
      <w:r w:rsidRPr="00457E80">
        <w:rPr>
          <w:sz w:val="16"/>
          <w:szCs w:val="16"/>
        </w:rPr>
        <w:t>Relations</w:t>
      </w:r>
      <w:proofErr w:type="spellEnd"/>
      <w:r w:rsidRPr="00457E80">
        <w:rPr>
          <w:sz w:val="16"/>
          <w:szCs w:val="16"/>
        </w:rPr>
        <w:t xml:space="preserve"> </w:t>
      </w:r>
      <w:proofErr w:type="spellStart"/>
      <w:r w:rsidRPr="00457E80">
        <w:rPr>
          <w:sz w:val="16"/>
          <w:szCs w:val="16"/>
        </w:rPr>
        <w:t>Between</w:t>
      </w:r>
      <w:proofErr w:type="spellEnd"/>
      <w:r w:rsidRPr="00457E80">
        <w:rPr>
          <w:sz w:val="16"/>
          <w:szCs w:val="16"/>
        </w:rPr>
        <w:t xml:space="preserve"> </w:t>
      </w:r>
      <w:proofErr w:type="spellStart"/>
      <w:r w:rsidRPr="00457E80">
        <w:rPr>
          <w:sz w:val="16"/>
          <w:szCs w:val="16"/>
        </w:rPr>
        <w:t>the</w:t>
      </w:r>
      <w:proofErr w:type="spellEnd"/>
      <w:r w:rsidRPr="00457E80">
        <w:rPr>
          <w:sz w:val="16"/>
          <w:szCs w:val="16"/>
        </w:rPr>
        <w:t xml:space="preserve"> </w:t>
      </w:r>
      <w:proofErr w:type="spellStart"/>
      <w:r w:rsidRPr="00457E80">
        <w:rPr>
          <w:sz w:val="16"/>
          <w:szCs w:val="16"/>
        </w:rPr>
        <w:t>European</w:t>
      </w:r>
      <w:proofErr w:type="spellEnd"/>
      <w:r w:rsidRPr="00457E80">
        <w:rPr>
          <w:sz w:val="16"/>
          <w:szCs w:val="16"/>
        </w:rPr>
        <w:t xml:space="preserve"> </w:t>
      </w:r>
      <w:proofErr w:type="spellStart"/>
      <w:r w:rsidRPr="00457E80">
        <w:rPr>
          <w:sz w:val="16"/>
          <w:szCs w:val="16"/>
        </w:rPr>
        <w:t>Union</w:t>
      </w:r>
      <w:proofErr w:type="spellEnd"/>
      <w:r w:rsidRPr="00457E80">
        <w:rPr>
          <w:sz w:val="16"/>
          <w:szCs w:val="16"/>
        </w:rPr>
        <w:t xml:space="preserve"> </w:t>
      </w:r>
      <w:proofErr w:type="spellStart"/>
      <w:r w:rsidRPr="00457E80">
        <w:rPr>
          <w:sz w:val="16"/>
          <w:szCs w:val="16"/>
        </w:rPr>
        <w:t>and</w:t>
      </w:r>
      <w:proofErr w:type="spellEnd"/>
      <w:r w:rsidRPr="00457E80">
        <w:rPr>
          <w:sz w:val="16"/>
          <w:szCs w:val="16"/>
        </w:rPr>
        <w:t xml:space="preserve"> </w:t>
      </w:r>
      <w:proofErr w:type="spellStart"/>
      <w:r w:rsidRPr="00457E80">
        <w:rPr>
          <w:sz w:val="16"/>
          <w:szCs w:val="16"/>
        </w:rPr>
        <w:t>the</w:t>
      </w:r>
      <w:proofErr w:type="spellEnd"/>
      <w:r w:rsidRPr="00457E80">
        <w:rPr>
          <w:sz w:val="16"/>
          <w:szCs w:val="16"/>
        </w:rPr>
        <w:t xml:space="preserve"> </w:t>
      </w:r>
      <w:proofErr w:type="spellStart"/>
      <w:r w:rsidRPr="00457E80">
        <w:rPr>
          <w:sz w:val="16"/>
          <w:szCs w:val="16"/>
        </w:rPr>
        <w:t>International</w:t>
      </w:r>
      <w:proofErr w:type="spellEnd"/>
      <w:r w:rsidRPr="00457E80">
        <w:rPr>
          <w:sz w:val="16"/>
          <w:szCs w:val="16"/>
        </w:rPr>
        <w:t xml:space="preserve"> </w:t>
      </w:r>
      <w:proofErr w:type="spellStart"/>
      <w:r w:rsidRPr="00457E80">
        <w:rPr>
          <w:sz w:val="16"/>
          <w:szCs w:val="16"/>
        </w:rPr>
        <w:t>Maritime</w:t>
      </w:r>
      <w:proofErr w:type="spellEnd"/>
      <w:r w:rsidRPr="00457E80">
        <w:rPr>
          <w:sz w:val="16"/>
          <w:szCs w:val="16"/>
        </w:rPr>
        <w:t xml:space="preserve"> </w:t>
      </w:r>
      <w:proofErr w:type="spellStart"/>
      <w:r w:rsidRPr="00457E80">
        <w:rPr>
          <w:sz w:val="16"/>
          <w:szCs w:val="16"/>
        </w:rPr>
        <w:t>Organization</w:t>
      </w:r>
      <w:proofErr w:type="spellEnd"/>
      <w:r w:rsidRPr="00457E80">
        <w:rPr>
          <w:sz w:val="16"/>
          <w:szCs w:val="16"/>
        </w:rPr>
        <w:t xml:space="preserve">: </w:t>
      </w:r>
      <w:proofErr w:type="spellStart"/>
      <w:r w:rsidRPr="00457E80">
        <w:rPr>
          <w:sz w:val="16"/>
          <w:szCs w:val="16"/>
        </w:rPr>
        <w:t>an</w:t>
      </w:r>
      <w:proofErr w:type="spellEnd"/>
      <w:r w:rsidRPr="00457E80">
        <w:rPr>
          <w:sz w:val="16"/>
          <w:szCs w:val="16"/>
        </w:rPr>
        <w:t xml:space="preserve"> </w:t>
      </w:r>
      <w:proofErr w:type="spellStart"/>
      <w:r w:rsidRPr="00457E80">
        <w:rPr>
          <w:sz w:val="16"/>
          <w:szCs w:val="16"/>
        </w:rPr>
        <w:t>analysis</w:t>
      </w:r>
      <w:proofErr w:type="spellEnd"/>
      <w:r w:rsidRPr="00457E80">
        <w:rPr>
          <w:sz w:val="16"/>
          <w:szCs w:val="16"/>
        </w:rPr>
        <w:t xml:space="preserve">. </w:t>
      </w:r>
      <w:proofErr w:type="spellStart"/>
      <w:r w:rsidRPr="00457E80">
        <w:rPr>
          <w:sz w:val="16"/>
          <w:szCs w:val="16"/>
        </w:rPr>
        <w:t>Annual</w:t>
      </w:r>
      <w:proofErr w:type="spellEnd"/>
      <w:r w:rsidRPr="00457E80">
        <w:rPr>
          <w:sz w:val="16"/>
          <w:szCs w:val="16"/>
        </w:rPr>
        <w:t xml:space="preserve"> </w:t>
      </w:r>
      <w:proofErr w:type="spellStart"/>
      <w:r w:rsidRPr="00457E80">
        <w:rPr>
          <w:sz w:val="16"/>
          <w:szCs w:val="16"/>
        </w:rPr>
        <w:t>Legal</w:t>
      </w:r>
      <w:proofErr w:type="spellEnd"/>
      <w:r w:rsidRPr="00457E80">
        <w:rPr>
          <w:sz w:val="16"/>
          <w:szCs w:val="16"/>
        </w:rPr>
        <w:t xml:space="preserve"> </w:t>
      </w:r>
      <w:proofErr w:type="spellStart"/>
      <w:r w:rsidRPr="00457E80">
        <w:rPr>
          <w:sz w:val="16"/>
          <w:szCs w:val="16"/>
        </w:rPr>
        <w:t>Research</w:t>
      </w:r>
      <w:proofErr w:type="spellEnd"/>
      <w:r w:rsidRPr="00457E80">
        <w:rPr>
          <w:sz w:val="16"/>
          <w:szCs w:val="16"/>
        </w:rPr>
        <w:t xml:space="preserve"> </w:t>
      </w:r>
      <w:proofErr w:type="spellStart"/>
      <w:r w:rsidRPr="00457E80">
        <w:rPr>
          <w:sz w:val="16"/>
          <w:szCs w:val="16"/>
        </w:rPr>
        <w:t>Network</w:t>
      </w:r>
      <w:proofErr w:type="spellEnd"/>
      <w:r w:rsidRPr="00457E80">
        <w:rPr>
          <w:sz w:val="16"/>
          <w:szCs w:val="16"/>
        </w:rPr>
        <w:t xml:space="preserve"> </w:t>
      </w:r>
      <w:proofErr w:type="spellStart"/>
      <w:r w:rsidRPr="00457E80">
        <w:rPr>
          <w:sz w:val="16"/>
          <w:szCs w:val="16"/>
        </w:rPr>
        <w:t>Conference</w:t>
      </w:r>
      <w:proofErr w:type="spellEnd"/>
      <w:r w:rsidRPr="00457E80">
        <w:rPr>
          <w:sz w:val="16"/>
          <w:szCs w:val="16"/>
        </w:rPr>
        <w:t xml:space="preserve"> 2010. </w:t>
      </w:r>
      <w:proofErr w:type="spellStart"/>
      <w:r w:rsidRPr="00457E80">
        <w:rPr>
          <w:sz w:val="16"/>
          <w:szCs w:val="16"/>
        </w:rPr>
        <w:t>Ghent</w:t>
      </w:r>
      <w:proofErr w:type="spellEnd"/>
      <w:r w:rsidRPr="00457E80">
        <w:rPr>
          <w:sz w:val="16"/>
          <w:szCs w:val="16"/>
        </w:rPr>
        <w:t xml:space="preserve"> </w:t>
      </w:r>
      <w:proofErr w:type="spellStart"/>
      <w:r w:rsidRPr="00457E80">
        <w:rPr>
          <w:sz w:val="16"/>
          <w:szCs w:val="16"/>
        </w:rPr>
        <w:t>University</w:t>
      </w:r>
      <w:proofErr w:type="spellEnd"/>
      <w:r w:rsidRPr="00457E80">
        <w:rPr>
          <w:sz w:val="16"/>
          <w:szCs w:val="16"/>
        </w:rPr>
        <w:t xml:space="preserve">, </w:t>
      </w:r>
      <w:proofErr w:type="spellStart"/>
      <w:r w:rsidRPr="00457E80">
        <w:rPr>
          <w:sz w:val="16"/>
          <w:szCs w:val="16"/>
        </w:rPr>
        <w:t>page</w:t>
      </w:r>
      <w:proofErr w:type="spellEnd"/>
      <w:r w:rsidRPr="00457E80">
        <w:rPr>
          <w:sz w:val="16"/>
          <w:szCs w:val="16"/>
        </w:rPr>
        <w:t xml:space="preserve"> 4.</w:t>
      </w:r>
    </w:p>
  </w:footnote>
  <w:footnote w:id="54">
    <w:p w:rsidR="00392247" w:rsidRPr="00457E80" w:rsidRDefault="00392247" w:rsidP="00BD2E22">
      <w:pPr>
        <w:pStyle w:val="FootnoteText"/>
        <w:jc w:val="both"/>
        <w:rPr>
          <w:sz w:val="16"/>
          <w:szCs w:val="16"/>
        </w:rPr>
      </w:pPr>
      <w:r w:rsidRPr="00457E80">
        <w:rPr>
          <w:rStyle w:val="FootnoteReference"/>
          <w:sz w:val="16"/>
          <w:szCs w:val="16"/>
        </w:rPr>
        <w:footnoteRef/>
      </w:r>
      <w:r w:rsidRPr="00457E80">
        <w:rPr>
          <w:sz w:val="16"/>
          <w:szCs w:val="16"/>
        </w:rPr>
        <w:t xml:space="preserve"> Eiropas Savienības Tiesas 2009.gada 12.februāra spriedums lietā </w:t>
      </w:r>
      <w:r>
        <w:rPr>
          <w:sz w:val="16"/>
          <w:szCs w:val="16"/>
        </w:rPr>
        <w:t>C-45/07 Komisija pret Grieķiju.</w:t>
      </w:r>
    </w:p>
  </w:footnote>
  <w:footnote w:id="55">
    <w:p w:rsidR="00392247" w:rsidRPr="00457E80" w:rsidRDefault="00392247" w:rsidP="00BD2E22">
      <w:pPr>
        <w:pStyle w:val="FootnoteText"/>
        <w:jc w:val="both"/>
        <w:rPr>
          <w:sz w:val="16"/>
          <w:szCs w:val="16"/>
        </w:rPr>
      </w:pPr>
      <w:r w:rsidRPr="00457E80">
        <w:rPr>
          <w:rStyle w:val="FootnoteReference"/>
          <w:sz w:val="16"/>
          <w:szCs w:val="16"/>
        </w:rPr>
        <w:footnoteRef/>
      </w:r>
      <w:r w:rsidRPr="00457E80">
        <w:rPr>
          <w:sz w:val="16"/>
          <w:szCs w:val="16"/>
        </w:rPr>
        <w:t xml:space="preserve"> </w:t>
      </w:r>
      <w:proofErr w:type="spellStart"/>
      <w:r w:rsidRPr="00457E80">
        <w:rPr>
          <w:sz w:val="16"/>
          <w:szCs w:val="16"/>
        </w:rPr>
        <w:t>See</w:t>
      </w:r>
      <w:proofErr w:type="spellEnd"/>
      <w:r w:rsidRPr="00457E80">
        <w:rPr>
          <w:sz w:val="16"/>
          <w:szCs w:val="16"/>
        </w:rPr>
        <w:t xml:space="preserve"> </w:t>
      </w:r>
      <w:proofErr w:type="spellStart"/>
      <w:r w:rsidRPr="00457E80">
        <w:rPr>
          <w:sz w:val="16"/>
          <w:szCs w:val="16"/>
        </w:rPr>
        <w:t>also</w:t>
      </w:r>
      <w:proofErr w:type="spellEnd"/>
      <w:r w:rsidRPr="00457E80">
        <w:rPr>
          <w:sz w:val="16"/>
          <w:szCs w:val="16"/>
        </w:rPr>
        <w:t xml:space="preserve"> </w:t>
      </w:r>
      <w:proofErr w:type="spellStart"/>
      <w:r w:rsidRPr="00457E80">
        <w:rPr>
          <w:sz w:val="16"/>
          <w:szCs w:val="16"/>
        </w:rPr>
        <w:t>Cremona</w:t>
      </w:r>
      <w:proofErr w:type="spellEnd"/>
      <w:r w:rsidRPr="00457E80">
        <w:rPr>
          <w:sz w:val="16"/>
          <w:szCs w:val="16"/>
        </w:rPr>
        <w:t xml:space="preserve"> M. </w:t>
      </w:r>
      <w:proofErr w:type="spellStart"/>
      <w:r w:rsidRPr="00457E80">
        <w:rPr>
          <w:sz w:val="16"/>
          <w:szCs w:val="16"/>
        </w:rPr>
        <w:t>Extending</w:t>
      </w:r>
      <w:proofErr w:type="spellEnd"/>
      <w:r w:rsidRPr="00457E80">
        <w:rPr>
          <w:sz w:val="16"/>
          <w:szCs w:val="16"/>
        </w:rPr>
        <w:t xml:space="preserve"> </w:t>
      </w:r>
      <w:proofErr w:type="spellStart"/>
      <w:r w:rsidRPr="00457E80">
        <w:rPr>
          <w:sz w:val="16"/>
          <w:szCs w:val="16"/>
        </w:rPr>
        <w:t>the</w:t>
      </w:r>
      <w:proofErr w:type="spellEnd"/>
      <w:r w:rsidRPr="00457E80">
        <w:rPr>
          <w:sz w:val="16"/>
          <w:szCs w:val="16"/>
        </w:rPr>
        <w:t xml:space="preserve"> </w:t>
      </w:r>
      <w:proofErr w:type="spellStart"/>
      <w:r w:rsidRPr="00457E80">
        <w:rPr>
          <w:sz w:val="16"/>
          <w:szCs w:val="16"/>
        </w:rPr>
        <w:t>reach</w:t>
      </w:r>
      <w:proofErr w:type="spellEnd"/>
      <w:r w:rsidRPr="00457E80">
        <w:rPr>
          <w:sz w:val="16"/>
          <w:szCs w:val="16"/>
        </w:rPr>
        <w:t xml:space="preserve"> </w:t>
      </w:r>
      <w:proofErr w:type="spellStart"/>
      <w:r w:rsidRPr="00457E80">
        <w:rPr>
          <w:sz w:val="16"/>
          <w:szCs w:val="16"/>
        </w:rPr>
        <w:t>of</w:t>
      </w:r>
      <w:proofErr w:type="spellEnd"/>
      <w:r w:rsidRPr="00457E80">
        <w:rPr>
          <w:sz w:val="16"/>
          <w:szCs w:val="16"/>
        </w:rPr>
        <w:t xml:space="preserve"> </w:t>
      </w:r>
      <w:proofErr w:type="spellStart"/>
      <w:r w:rsidRPr="00457E80">
        <w:rPr>
          <w:sz w:val="16"/>
          <w:szCs w:val="16"/>
        </w:rPr>
        <w:t>the</w:t>
      </w:r>
      <w:proofErr w:type="spellEnd"/>
      <w:r w:rsidRPr="00457E80">
        <w:rPr>
          <w:sz w:val="16"/>
          <w:szCs w:val="16"/>
        </w:rPr>
        <w:t xml:space="preserve"> AETR </w:t>
      </w:r>
      <w:proofErr w:type="spellStart"/>
      <w:r w:rsidRPr="00457E80">
        <w:rPr>
          <w:sz w:val="16"/>
          <w:szCs w:val="16"/>
        </w:rPr>
        <w:t>principle</w:t>
      </w:r>
      <w:proofErr w:type="spellEnd"/>
      <w:r w:rsidRPr="00457E80">
        <w:rPr>
          <w:sz w:val="16"/>
          <w:szCs w:val="16"/>
        </w:rPr>
        <w:t xml:space="preserve">: </w:t>
      </w:r>
      <w:proofErr w:type="spellStart"/>
      <w:r w:rsidRPr="00457E80">
        <w:rPr>
          <w:sz w:val="16"/>
          <w:szCs w:val="16"/>
        </w:rPr>
        <w:t>comment</w:t>
      </w:r>
      <w:proofErr w:type="spellEnd"/>
      <w:r w:rsidRPr="00457E80">
        <w:rPr>
          <w:sz w:val="16"/>
          <w:szCs w:val="16"/>
        </w:rPr>
        <w:t xml:space="preserve"> </w:t>
      </w:r>
      <w:proofErr w:type="spellStart"/>
      <w:r w:rsidRPr="00457E80">
        <w:rPr>
          <w:sz w:val="16"/>
          <w:szCs w:val="16"/>
        </w:rPr>
        <w:t>on</w:t>
      </w:r>
      <w:proofErr w:type="spellEnd"/>
      <w:r w:rsidRPr="00457E80">
        <w:rPr>
          <w:sz w:val="16"/>
          <w:szCs w:val="16"/>
        </w:rPr>
        <w:t xml:space="preserve"> </w:t>
      </w:r>
      <w:proofErr w:type="spellStart"/>
      <w:r w:rsidRPr="00457E80">
        <w:rPr>
          <w:sz w:val="16"/>
          <w:szCs w:val="16"/>
        </w:rPr>
        <w:t>Commission</w:t>
      </w:r>
      <w:proofErr w:type="spellEnd"/>
      <w:r w:rsidRPr="00457E80">
        <w:rPr>
          <w:sz w:val="16"/>
          <w:szCs w:val="16"/>
        </w:rPr>
        <w:t xml:space="preserve"> v </w:t>
      </w:r>
      <w:proofErr w:type="spellStart"/>
      <w:r w:rsidRPr="00457E80">
        <w:rPr>
          <w:sz w:val="16"/>
          <w:szCs w:val="16"/>
        </w:rPr>
        <w:t>Greece</w:t>
      </w:r>
      <w:proofErr w:type="spellEnd"/>
      <w:r w:rsidRPr="00457E80">
        <w:rPr>
          <w:sz w:val="16"/>
          <w:szCs w:val="16"/>
        </w:rPr>
        <w:t xml:space="preserve"> (C-45/07), </w:t>
      </w:r>
      <w:proofErr w:type="spellStart"/>
      <w:r w:rsidRPr="00457E80">
        <w:rPr>
          <w:sz w:val="16"/>
          <w:szCs w:val="16"/>
        </w:rPr>
        <w:t>European</w:t>
      </w:r>
      <w:proofErr w:type="spellEnd"/>
      <w:r w:rsidRPr="00457E80">
        <w:rPr>
          <w:sz w:val="16"/>
          <w:szCs w:val="16"/>
        </w:rPr>
        <w:t xml:space="preserve"> </w:t>
      </w:r>
      <w:proofErr w:type="spellStart"/>
      <w:r w:rsidRPr="00457E80">
        <w:rPr>
          <w:sz w:val="16"/>
          <w:szCs w:val="16"/>
        </w:rPr>
        <w:t>Law</w:t>
      </w:r>
      <w:proofErr w:type="spellEnd"/>
      <w:r w:rsidRPr="00457E80">
        <w:rPr>
          <w:sz w:val="16"/>
          <w:szCs w:val="16"/>
        </w:rPr>
        <w:t xml:space="preserve"> </w:t>
      </w:r>
      <w:proofErr w:type="spellStart"/>
      <w:r w:rsidRPr="00457E80">
        <w:rPr>
          <w:sz w:val="16"/>
          <w:szCs w:val="16"/>
        </w:rPr>
        <w:t>Review</w:t>
      </w:r>
      <w:proofErr w:type="spellEnd"/>
      <w:r w:rsidRPr="00457E80">
        <w:rPr>
          <w:sz w:val="16"/>
          <w:szCs w:val="16"/>
        </w:rPr>
        <w:t xml:space="preserve"> 2009; 34 (5): 754-768.</w:t>
      </w:r>
    </w:p>
  </w:footnote>
  <w:footnote w:id="56">
    <w:p w:rsidR="00392247" w:rsidRPr="00457E80" w:rsidRDefault="00392247" w:rsidP="00BD2E22">
      <w:pPr>
        <w:pStyle w:val="FootnoteText"/>
        <w:jc w:val="both"/>
        <w:rPr>
          <w:sz w:val="16"/>
          <w:szCs w:val="16"/>
        </w:rPr>
      </w:pPr>
      <w:r w:rsidRPr="00457E80">
        <w:rPr>
          <w:rStyle w:val="FootnoteReference"/>
          <w:sz w:val="16"/>
          <w:szCs w:val="16"/>
        </w:rPr>
        <w:footnoteRef/>
      </w:r>
      <w:r w:rsidRPr="00457E80">
        <w:rPr>
          <w:sz w:val="16"/>
          <w:szCs w:val="16"/>
        </w:rPr>
        <w:t xml:space="preserve"> EST 2005.gada 20.oktobra spriedums lietā C-6/04 </w:t>
      </w:r>
      <w:proofErr w:type="spellStart"/>
      <w:r w:rsidRPr="00457E80">
        <w:rPr>
          <w:sz w:val="16"/>
          <w:szCs w:val="16"/>
        </w:rPr>
        <w:t>Commission</w:t>
      </w:r>
      <w:proofErr w:type="spellEnd"/>
      <w:r w:rsidRPr="00457E80">
        <w:rPr>
          <w:sz w:val="16"/>
          <w:szCs w:val="16"/>
        </w:rPr>
        <w:t xml:space="preserve"> </w:t>
      </w:r>
      <w:proofErr w:type="spellStart"/>
      <w:r w:rsidRPr="00457E80">
        <w:rPr>
          <w:sz w:val="16"/>
          <w:szCs w:val="16"/>
        </w:rPr>
        <w:t>of</w:t>
      </w:r>
      <w:proofErr w:type="spellEnd"/>
      <w:r w:rsidRPr="00457E80">
        <w:rPr>
          <w:sz w:val="16"/>
          <w:szCs w:val="16"/>
        </w:rPr>
        <w:t xml:space="preserve"> </w:t>
      </w:r>
      <w:proofErr w:type="spellStart"/>
      <w:r w:rsidRPr="00457E80">
        <w:rPr>
          <w:sz w:val="16"/>
          <w:szCs w:val="16"/>
        </w:rPr>
        <w:t>the</w:t>
      </w:r>
      <w:proofErr w:type="spellEnd"/>
      <w:r w:rsidRPr="00457E80">
        <w:rPr>
          <w:sz w:val="16"/>
          <w:szCs w:val="16"/>
        </w:rPr>
        <w:t xml:space="preserve"> </w:t>
      </w:r>
      <w:proofErr w:type="spellStart"/>
      <w:r w:rsidRPr="00457E80">
        <w:rPr>
          <w:sz w:val="16"/>
          <w:szCs w:val="16"/>
        </w:rPr>
        <w:t>European</w:t>
      </w:r>
      <w:proofErr w:type="spellEnd"/>
      <w:r w:rsidRPr="00457E80">
        <w:rPr>
          <w:sz w:val="16"/>
          <w:szCs w:val="16"/>
        </w:rPr>
        <w:t xml:space="preserve"> </w:t>
      </w:r>
      <w:proofErr w:type="spellStart"/>
      <w:r w:rsidRPr="00457E80">
        <w:rPr>
          <w:sz w:val="16"/>
          <w:szCs w:val="16"/>
        </w:rPr>
        <w:t>Communities</w:t>
      </w:r>
      <w:proofErr w:type="spellEnd"/>
      <w:r w:rsidRPr="00457E80">
        <w:rPr>
          <w:sz w:val="16"/>
          <w:szCs w:val="16"/>
        </w:rPr>
        <w:t xml:space="preserve"> v. </w:t>
      </w:r>
      <w:proofErr w:type="spellStart"/>
      <w:r w:rsidRPr="00457E80">
        <w:rPr>
          <w:sz w:val="16"/>
          <w:szCs w:val="16"/>
        </w:rPr>
        <w:t>United</w:t>
      </w:r>
      <w:proofErr w:type="spellEnd"/>
      <w:r w:rsidRPr="00457E80">
        <w:rPr>
          <w:sz w:val="16"/>
          <w:szCs w:val="16"/>
        </w:rPr>
        <w:t xml:space="preserve"> </w:t>
      </w:r>
      <w:proofErr w:type="spellStart"/>
      <w:r w:rsidRPr="00457E80">
        <w:rPr>
          <w:sz w:val="16"/>
          <w:szCs w:val="16"/>
        </w:rPr>
        <w:t>Kingdom</w:t>
      </w:r>
      <w:proofErr w:type="spellEnd"/>
      <w:r w:rsidRPr="00457E80">
        <w:rPr>
          <w:sz w:val="16"/>
          <w:szCs w:val="16"/>
        </w:rPr>
        <w:t xml:space="preserve"> </w:t>
      </w:r>
      <w:proofErr w:type="spellStart"/>
      <w:r w:rsidRPr="00457E80">
        <w:rPr>
          <w:sz w:val="16"/>
          <w:szCs w:val="16"/>
        </w:rPr>
        <w:t>of</w:t>
      </w:r>
      <w:proofErr w:type="spellEnd"/>
      <w:r w:rsidRPr="00457E80">
        <w:rPr>
          <w:sz w:val="16"/>
          <w:szCs w:val="16"/>
        </w:rPr>
        <w:t xml:space="preserve"> </w:t>
      </w:r>
      <w:proofErr w:type="spellStart"/>
      <w:r w:rsidRPr="00457E80">
        <w:rPr>
          <w:sz w:val="16"/>
          <w:szCs w:val="16"/>
        </w:rPr>
        <w:t>Great</w:t>
      </w:r>
      <w:proofErr w:type="spellEnd"/>
      <w:r w:rsidRPr="00457E80">
        <w:rPr>
          <w:sz w:val="16"/>
          <w:szCs w:val="16"/>
        </w:rPr>
        <w:t xml:space="preserve"> </w:t>
      </w:r>
      <w:proofErr w:type="spellStart"/>
      <w:r w:rsidRPr="00457E80">
        <w:rPr>
          <w:sz w:val="16"/>
          <w:szCs w:val="16"/>
        </w:rPr>
        <w:t>Britain</w:t>
      </w:r>
      <w:proofErr w:type="spellEnd"/>
      <w:r w:rsidRPr="00457E80">
        <w:rPr>
          <w:sz w:val="16"/>
          <w:szCs w:val="16"/>
        </w:rPr>
        <w:t xml:space="preserve"> </w:t>
      </w:r>
      <w:proofErr w:type="spellStart"/>
      <w:r w:rsidRPr="00457E80">
        <w:rPr>
          <w:sz w:val="16"/>
          <w:szCs w:val="16"/>
        </w:rPr>
        <w:t>and</w:t>
      </w:r>
      <w:proofErr w:type="spellEnd"/>
      <w:r w:rsidRPr="00457E80">
        <w:rPr>
          <w:sz w:val="16"/>
          <w:szCs w:val="16"/>
        </w:rPr>
        <w:t xml:space="preserve"> </w:t>
      </w:r>
      <w:proofErr w:type="spellStart"/>
      <w:r w:rsidRPr="00457E80">
        <w:rPr>
          <w:sz w:val="16"/>
          <w:szCs w:val="16"/>
        </w:rPr>
        <w:t>Northern</w:t>
      </w:r>
      <w:proofErr w:type="spellEnd"/>
      <w:r w:rsidRPr="00457E80">
        <w:rPr>
          <w:sz w:val="16"/>
          <w:szCs w:val="16"/>
        </w:rPr>
        <w:t xml:space="preserve"> </w:t>
      </w:r>
      <w:proofErr w:type="spellStart"/>
      <w:r w:rsidRPr="00457E80">
        <w:rPr>
          <w:sz w:val="16"/>
          <w:szCs w:val="16"/>
        </w:rPr>
        <w:t>Ireland</w:t>
      </w:r>
      <w:proofErr w:type="spellEnd"/>
      <w:r w:rsidRPr="00457E80">
        <w:rPr>
          <w:sz w:val="16"/>
          <w:szCs w:val="16"/>
        </w:rPr>
        <w:t>, 117.punkts.</w:t>
      </w:r>
    </w:p>
  </w:footnote>
  <w:footnote w:id="57">
    <w:p w:rsidR="00392247" w:rsidRPr="004F1F8E" w:rsidRDefault="00392247" w:rsidP="00BD2E22">
      <w:pPr>
        <w:pStyle w:val="FootnoteText"/>
        <w:jc w:val="both"/>
        <w:rPr>
          <w:sz w:val="16"/>
          <w:szCs w:val="16"/>
        </w:rPr>
      </w:pPr>
      <w:r w:rsidRPr="004F1F8E">
        <w:rPr>
          <w:rStyle w:val="FootnoteReference"/>
          <w:sz w:val="16"/>
          <w:szCs w:val="16"/>
        </w:rPr>
        <w:footnoteRef/>
      </w:r>
      <w:r w:rsidRPr="004F1F8E">
        <w:rPr>
          <w:sz w:val="16"/>
          <w:szCs w:val="16"/>
        </w:rPr>
        <w:t xml:space="preserve"> EST 2007.gada 29.marta sprieduma lietā C-111/05 </w:t>
      </w:r>
      <w:proofErr w:type="spellStart"/>
      <w:r w:rsidRPr="004F1F8E">
        <w:rPr>
          <w:sz w:val="16"/>
          <w:szCs w:val="16"/>
        </w:rPr>
        <w:t>Aktiebolaget</w:t>
      </w:r>
      <w:proofErr w:type="spellEnd"/>
      <w:r w:rsidRPr="004F1F8E">
        <w:rPr>
          <w:sz w:val="16"/>
          <w:szCs w:val="16"/>
        </w:rPr>
        <w:t xml:space="preserve"> NN v. </w:t>
      </w:r>
      <w:proofErr w:type="spellStart"/>
      <w:r w:rsidRPr="004F1F8E">
        <w:rPr>
          <w:sz w:val="16"/>
          <w:szCs w:val="16"/>
        </w:rPr>
        <w:t>Skatterverket</w:t>
      </w:r>
      <w:proofErr w:type="spellEnd"/>
      <w:r w:rsidRPr="004F1F8E">
        <w:rPr>
          <w:sz w:val="16"/>
          <w:szCs w:val="16"/>
        </w:rPr>
        <w:t xml:space="preserve"> 59.punkts.</w:t>
      </w:r>
    </w:p>
  </w:footnote>
  <w:footnote w:id="58">
    <w:p w:rsidR="00392247" w:rsidRPr="004F1F8E" w:rsidRDefault="00392247" w:rsidP="00BD2E22">
      <w:pPr>
        <w:pStyle w:val="FootnoteText"/>
        <w:jc w:val="both"/>
        <w:rPr>
          <w:sz w:val="16"/>
          <w:szCs w:val="16"/>
        </w:rPr>
      </w:pPr>
      <w:r w:rsidRPr="004F1F8E">
        <w:rPr>
          <w:rStyle w:val="FootnoteReference"/>
          <w:sz w:val="16"/>
          <w:szCs w:val="16"/>
        </w:rPr>
        <w:footnoteRef/>
      </w:r>
      <w:r w:rsidRPr="004F1F8E">
        <w:rPr>
          <w:sz w:val="16"/>
          <w:szCs w:val="16"/>
        </w:rPr>
        <w:t xml:space="preserve"> EST 2012.gada 17.janvāra spriedums lietā C-347/10 A. </w:t>
      </w:r>
      <w:proofErr w:type="spellStart"/>
      <w:r w:rsidRPr="004F1F8E">
        <w:rPr>
          <w:sz w:val="16"/>
          <w:szCs w:val="16"/>
        </w:rPr>
        <w:t>Salemink</w:t>
      </w:r>
      <w:proofErr w:type="spellEnd"/>
      <w:r w:rsidRPr="004F1F8E">
        <w:rPr>
          <w:sz w:val="16"/>
          <w:szCs w:val="16"/>
        </w:rPr>
        <w:t xml:space="preserve"> v. </w:t>
      </w:r>
      <w:proofErr w:type="spellStart"/>
      <w:r w:rsidRPr="004F1F8E">
        <w:rPr>
          <w:sz w:val="16"/>
          <w:szCs w:val="16"/>
        </w:rPr>
        <w:t>Raad</w:t>
      </w:r>
      <w:proofErr w:type="spellEnd"/>
      <w:r w:rsidRPr="004F1F8E">
        <w:rPr>
          <w:sz w:val="16"/>
          <w:szCs w:val="16"/>
        </w:rPr>
        <w:t xml:space="preserve"> </w:t>
      </w:r>
      <w:proofErr w:type="spellStart"/>
      <w:r w:rsidRPr="004F1F8E">
        <w:rPr>
          <w:sz w:val="16"/>
          <w:szCs w:val="16"/>
        </w:rPr>
        <w:t>van</w:t>
      </w:r>
      <w:proofErr w:type="spellEnd"/>
      <w:r w:rsidRPr="004F1F8E">
        <w:rPr>
          <w:sz w:val="16"/>
          <w:szCs w:val="16"/>
        </w:rPr>
        <w:t xml:space="preserve"> </w:t>
      </w:r>
      <w:proofErr w:type="spellStart"/>
      <w:r w:rsidRPr="004F1F8E">
        <w:rPr>
          <w:sz w:val="16"/>
          <w:szCs w:val="16"/>
        </w:rPr>
        <w:t>bestuur</w:t>
      </w:r>
      <w:proofErr w:type="spellEnd"/>
      <w:r w:rsidRPr="004F1F8E">
        <w:rPr>
          <w:sz w:val="16"/>
          <w:szCs w:val="16"/>
        </w:rPr>
        <w:t xml:space="preserve"> </w:t>
      </w:r>
      <w:proofErr w:type="spellStart"/>
      <w:r w:rsidRPr="004F1F8E">
        <w:rPr>
          <w:sz w:val="16"/>
          <w:szCs w:val="16"/>
        </w:rPr>
        <w:t>van</w:t>
      </w:r>
      <w:proofErr w:type="spellEnd"/>
      <w:r w:rsidRPr="004F1F8E">
        <w:rPr>
          <w:sz w:val="16"/>
          <w:szCs w:val="16"/>
        </w:rPr>
        <w:t xml:space="preserve"> </w:t>
      </w:r>
      <w:proofErr w:type="spellStart"/>
      <w:r w:rsidRPr="004F1F8E">
        <w:rPr>
          <w:sz w:val="16"/>
          <w:szCs w:val="16"/>
        </w:rPr>
        <w:t>het</w:t>
      </w:r>
      <w:proofErr w:type="spellEnd"/>
      <w:r w:rsidRPr="004F1F8E">
        <w:rPr>
          <w:sz w:val="16"/>
          <w:szCs w:val="16"/>
        </w:rPr>
        <w:t xml:space="preserve"> </w:t>
      </w:r>
      <w:proofErr w:type="spellStart"/>
      <w:r w:rsidRPr="004F1F8E">
        <w:rPr>
          <w:sz w:val="16"/>
          <w:szCs w:val="16"/>
        </w:rPr>
        <w:t>Uitvoeringsinstituut</w:t>
      </w:r>
      <w:proofErr w:type="spellEnd"/>
      <w:r w:rsidRPr="004F1F8E">
        <w:rPr>
          <w:sz w:val="16"/>
          <w:szCs w:val="16"/>
        </w:rPr>
        <w:t xml:space="preserve"> </w:t>
      </w:r>
      <w:proofErr w:type="spellStart"/>
      <w:r w:rsidRPr="004F1F8E">
        <w:rPr>
          <w:sz w:val="16"/>
          <w:szCs w:val="16"/>
        </w:rPr>
        <w:t>werknemersverzekeringen</w:t>
      </w:r>
      <w:proofErr w:type="spellEnd"/>
      <w:r w:rsidRPr="004F1F8E">
        <w:rPr>
          <w:sz w:val="16"/>
          <w:szCs w:val="16"/>
        </w:rPr>
        <w:t>.</w:t>
      </w:r>
    </w:p>
  </w:footnote>
  <w:footnote w:id="59">
    <w:p w:rsidR="00392247" w:rsidRPr="004F1F8E" w:rsidRDefault="00392247" w:rsidP="00665269">
      <w:pPr>
        <w:pStyle w:val="FootnoteText"/>
        <w:jc w:val="both"/>
        <w:rPr>
          <w:sz w:val="16"/>
          <w:szCs w:val="16"/>
        </w:rPr>
      </w:pPr>
      <w:r w:rsidRPr="004F1F8E">
        <w:rPr>
          <w:rStyle w:val="FootnoteReference"/>
          <w:sz w:val="16"/>
          <w:szCs w:val="16"/>
        </w:rPr>
        <w:footnoteRef/>
      </w:r>
      <w:r w:rsidRPr="004F1F8E">
        <w:rPr>
          <w:sz w:val="16"/>
          <w:szCs w:val="16"/>
        </w:rPr>
        <w:t xml:space="preserve"> EST 1978.gada 16.februāra spriedums lietā C-61/77 Komisija pret Īriju.</w:t>
      </w:r>
    </w:p>
  </w:footnote>
  <w:footnote w:id="60">
    <w:p w:rsidR="00392247" w:rsidRPr="004F1F8E" w:rsidRDefault="00392247" w:rsidP="00665269">
      <w:pPr>
        <w:pStyle w:val="FootnoteText"/>
        <w:jc w:val="both"/>
        <w:rPr>
          <w:sz w:val="16"/>
          <w:szCs w:val="16"/>
        </w:rPr>
      </w:pPr>
      <w:r w:rsidRPr="004F1F8E">
        <w:rPr>
          <w:rStyle w:val="FootnoteReference"/>
          <w:sz w:val="16"/>
          <w:szCs w:val="16"/>
        </w:rPr>
        <w:footnoteRef/>
      </w:r>
      <w:r w:rsidRPr="004F1F8E">
        <w:rPr>
          <w:sz w:val="16"/>
          <w:szCs w:val="16"/>
        </w:rPr>
        <w:t xml:space="preserve"> EST 1992.gada 9.jūlija sprieduma lietā C-2/90 Komisija pret Beļģiju </w:t>
      </w:r>
      <w:proofErr w:type="spellStart"/>
      <w:r w:rsidRPr="004F1F8E">
        <w:rPr>
          <w:sz w:val="16"/>
          <w:szCs w:val="16"/>
        </w:rPr>
        <w:t>Wallon</w:t>
      </w:r>
      <w:proofErr w:type="spellEnd"/>
      <w:r w:rsidRPr="004F1F8E">
        <w:rPr>
          <w:sz w:val="16"/>
          <w:szCs w:val="16"/>
        </w:rPr>
        <w:t xml:space="preserve"> </w:t>
      </w:r>
      <w:proofErr w:type="spellStart"/>
      <w:r w:rsidRPr="004F1F8E">
        <w:rPr>
          <w:sz w:val="16"/>
          <w:szCs w:val="16"/>
        </w:rPr>
        <w:t>Waste</w:t>
      </w:r>
      <w:proofErr w:type="spellEnd"/>
      <w:r w:rsidRPr="004F1F8E">
        <w:rPr>
          <w:sz w:val="16"/>
          <w:szCs w:val="16"/>
        </w:rPr>
        <w:t xml:space="preserve"> 28.punkts.</w:t>
      </w:r>
    </w:p>
  </w:footnote>
  <w:footnote w:id="61">
    <w:p w:rsidR="00392247" w:rsidRPr="004F1F8E" w:rsidRDefault="00392247" w:rsidP="005920B1">
      <w:pPr>
        <w:pStyle w:val="FootnoteText"/>
        <w:rPr>
          <w:sz w:val="16"/>
          <w:szCs w:val="16"/>
        </w:rPr>
      </w:pPr>
      <w:r w:rsidRPr="004F1F8E">
        <w:rPr>
          <w:rStyle w:val="FootnoteReference"/>
          <w:sz w:val="16"/>
          <w:szCs w:val="16"/>
        </w:rPr>
        <w:footnoteRef/>
      </w:r>
      <w:r w:rsidRPr="004F1F8E">
        <w:rPr>
          <w:sz w:val="16"/>
          <w:szCs w:val="16"/>
        </w:rPr>
        <w:t xml:space="preserve"> EST 1996.gada 5.marta spriedums apvienotajās lietās C-46/93 un C-48/93 </w:t>
      </w:r>
      <w:proofErr w:type="spellStart"/>
      <w:r w:rsidRPr="004F1F8E">
        <w:rPr>
          <w:i/>
          <w:sz w:val="16"/>
          <w:szCs w:val="16"/>
        </w:rPr>
        <w:t>Brasserie</w:t>
      </w:r>
      <w:proofErr w:type="spellEnd"/>
      <w:r w:rsidRPr="004F1F8E">
        <w:rPr>
          <w:i/>
          <w:sz w:val="16"/>
          <w:szCs w:val="16"/>
        </w:rPr>
        <w:t xml:space="preserve"> </w:t>
      </w:r>
      <w:proofErr w:type="spellStart"/>
      <w:r w:rsidRPr="004F1F8E">
        <w:rPr>
          <w:i/>
          <w:sz w:val="16"/>
          <w:szCs w:val="16"/>
        </w:rPr>
        <w:t>du</w:t>
      </w:r>
      <w:proofErr w:type="spellEnd"/>
      <w:r w:rsidRPr="004F1F8E">
        <w:rPr>
          <w:i/>
          <w:sz w:val="16"/>
          <w:szCs w:val="16"/>
        </w:rPr>
        <w:t xml:space="preserve"> </w:t>
      </w:r>
      <w:proofErr w:type="spellStart"/>
      <w:r w:rsidRPr="004F1F8E">
        <w:rPr>
          <w:i/>
          <w:sz w:val="16"/>
          <w:szCs w:val="16"/>
        </w:rPr>
        <w:t>Pecheur</w:t>
      </w:r>
      <w:proofErr w:type="spellEnd"/>
      <w:r w:rsidRPr="004F1F8E">
        <w:rPr>
          <w:i/>
          <w:sz w:val="16"/>
          <w:szCs w:val="16"/>
        </w:rPr>
        <w:t xml:space="preserve"> / </w:t>
      </w:r>
      <w:proofErr w:type="spellStart"/>
      <w:r w:rsidRPr="004F1F8E">
        <w:rPr>
          <w:i/>
          <w:sz w:val="16"/>
          <w:szCs w:val="16"/>
        </w:rPr>
        <w:t>Factortame</w:t>
      </w:r>
      <w:proofErr w:type="spellEnd"/>
      <w:r w:rsidRPr="004F1F8E">
        <w:rPr>
          <w:sz w:val="16"/>
          <w:szCs w:val="16"/>
        </w:rPr>
        <w:t>.</w:t>
      </w:r>
    </w:p>
  </w:footnote>
  <w:footnote w:id="62">
    <w:p w:rsidR="00392247" w:rsidRPr="004F1F8E" w:rsidRDefault="00392247" w:rsidP="00E043B2">
      <w:pPr>
        <w:pStyle w:val="FootnoteText"/>
        <w:jc w:val="both"/>
        <w:rPr>
          <w:sz w:val="16"/>
          <w:szCs w:val="16"/>
        </w:rPr>
      </w:pPr>
      <w:r w:rsidRPr="004F1F8E">
        <w:rPr>
          <w:rStyle w:val="FootnoteReference"/>
          <w:sz w:val="16"/>
          <w:szCs w:val="16"/>
        </w:rPr>
        <w:footnoteRef/>
      </w:r>
      <w:r w:rsidRPr="004F1F8E">
        <w:rPr>
          <w:sz w:val="16"/>
          <w:szCs w:val="16"/>
        </w:rPr>
        <w:t xml:space="preserve"> EST 2007.gada 11.janvāra spriedums lietā C-251/04 </w:t>
      </w:r>
      <w:r w:rsidRPr="004F1F8E">
        <w:rPr>
          <w:i/>
          <w:sz w:val="16"/>
          <w:szCs w:val="16"/>
        </w:rPr>
        <w:t>Komisija pret Grieķiju</w:t>
      </w:r>
      <w:r w:rsidRPr="004F1F8E">
        <w:rPr>
          <w:sz w:val="16"/>
          <w:szCs w:val="16"/>
        </w:rPr>
        <w:t>.</w:t>
      </w:r>
    </w:p>
  </w:footnote>
  <w:footnote w:id="63">
    <w:p w:rsidR="00392247" w:rsidRPr="004F1F8E" w:rsidRDefault="00392247" w:rsidP="00E043B2">
      <w:pPr>
        <w:pStyle w:val="FootnoteText"/>
        <w:jc w:val="both"/>
        <w:rPr>
          <w:sz w:val="16"/>
          <w:szCs w:val="16"/>
        </w:rPr>
      </w:pPr>
      <w:r w:rsidRPr="004F1F8E">
        <w:rPr>
          <w:rStyle w:val="FootnoteReference"/>
          <w:sz w:val="16"/>
          <w:szCs w:val="16"/>
        </w:rPr>
        <w:footnoteRef/>
      </w:r>
      <w:r w:rsidRPr="004F1F8E">
        <w:rPr>
          <w:sz w:val="16"/>
          <w:szCs w:val="16"/>
        </w:rPr>
        <w:t xml:space="preserve"> EST 2014.gada 1.jūlija spriedums lietā C-573/12 </w:t>
      </w:r>
      <w:proofErr w:type="spellStart"/>
      <w:r w:rsidRPr="004F1F8E">
        <w:rPr>
          <w:sz w:val="16"/>
          <w:szCs w:val="16"/>
        </w:rPr>
        <w:t>Ålands</w:t>
      </w:r>
      <w:proofErr w:type="spellEnd"/>
      <w:r w:rsidRPr="004F1F8E">
        <w:rPr>
          <w:sz w:val="16"/>
          <w:szCs w:val="16"/>
        </w:rPr>
        <w:t xml:space="preserve"> </w:t>
      </w:r>
      <w:proofErr w:type="spellStart"/>
      <w:r w:rsidRPr="004F1F8E">
        <w:rPr>
          <w:sz w:val="16"/>
          <w:szCs w:val="16"/>
        </w:rPr>
        <w:t>Vindkraft</w:t>
      </w:r>
      <w:proofErr w:type="spellEnd"/>
      <w:r w:rsidRPr="004F1F8E">
        <w:rPr>
          <w:sz w:val="16"/>
          <w:szCs w:val="16"/>
        </w:rPr>
        <w:t xml:space="preserve"> AB pret </w:t>
      </w:r>
      <w:proofErr w:type="spellStart"/>
      <w:r w:rsidRPr="004F1F8E">
        <w:rPr>
          <w:sz w:val="16"/>
          <w:szCs w:val="16"/>
        </w:rPr>
        <w:t>Energimyndigheten</w:t>
      </w:r>
      <w:proofErr w:type="spellEnd"/>
      <w:r w:rsidRPr="004F1F8E">
        <w:rPr>
          <w:sz w:val="16"/>
          <w:szCs w:val="16"/>
        </w:rPr>
        <w:t>.</w:t>
      </w:r>
    </w:p>
  </w:footnote>
  <w:footnote w:id="64">
    <w:p w:rsidR="00392247" w:rsidRPr="004F1F8E" w:rsidRDefault="00392247" w:rsidP="00E043B2">
      <w:pPr>
        <w:pStyle w:val="FootnoteText"/>
        <w:jc w:val="both"/>
        <w:rPr>
          <w:rFonts w:cs="Arial"/>
          <w:sz w:val="16"/>
          <w:szCs w:val="16"/>
        </w:rPr>
      </w:pPr>
      <w:r w:rsidRPr="004F1F8E">
        <w:rPr>
          <w:rStyle w:val="FootnoteReference"/>
          <w:rFonts w:cs="Arial"/>
          <w:sz w:val="16"/>
          <w:szCs w:val="16"/>
        </w:rPr>
        <w:footnoteRef/>
      </w:r>
      <w:r w:rsidRPr="004F1F8E">
        <w:rPr>
          <w:rFonts w:cs="Arial"/>
          <w:sz w:val="16"/>
          <w:szCs w:val="16"/>
        </w:rPr>
        <w:t xml:space="preserve"> EST 2014.gada 11.septembra spriedums apvienotajās lietās no C</w:t>
      </w:r>
      <w:r w:rsidRPr="004F1F8E">
        <w:rPr>
          <w:rFonts w:ascii="MS Gothic" w:eastAsia="MS Gothic" w:hAnsi="MS Gothic" w:cs="MS Gothic" w:hint="eastAsia"/>
          <w:sz w:val="16"/>
          <w:szCs w:val="16"/>
        </w:rPr>
        <w:t>‑</w:t>
      </w:r>
      <w:r w:rsidRPr="004F1F8E">
        <w:rPr>
          <w:rFonts w:cs="Arial"/>
          <w:sz w:val="16"/>
          <w:szCs w:val="16"/>
        </w:rPr>
        <w:t>204/12 līdz C</w:t>
      </w:r>
      <w:r w:rsidRPr="004F1F8E">
        <w:rPr>
          <w:rFonts w:ascii="MS Gothic" w:eastAsia="MS Gothic" w:hAnsi="MS Gothic" w:cs="MS Gothic" w:hint="eastAsia"/>
          <w:sz w:val="16"/>
          <w:szCs w:val="16"/>
        </w:rPr>
        <w:t>‑</w:t>
      </w:r>
      <w:r w:rsidRPr="004F1F8E">
        <w:rPr>
          <w:rFonts w:cs="Arial"/>
          <w:sz w:val="16"/>
          <w:szCs w:val="16"/>
        </w:rPr>
        <w:t xml:space="preserve">208/12 </w:t>
      </w:r>
      <w:proofErr w:type="spellStart"/>
      <w:r w:rsidRPr="004F1F8E">
        <w:rPr>
          <w:rFonts w:cs="Arial"/>
          <w:sz w:val="16"/>
          <w:szCs w:val="16"/>
        </w:rPr>
        <w:t>Essent</w:t>
      </w:r>
      <w:proofErr w:type="spellEnd"/>
      <w:r w:rsidRPr="004F1F8E">
        <w:rPr>
          <w:rFonts w:cs="Arial"/>
          <w:sz w:val="16"/>
          <w:szCs w:val="16"/>
        </w:rPr>
        <w:t xml:space="preserve"> </w:t>
      </w:r>
      <w:proofErr w:type="spellStart"/>
      <w:r w:rsidRPr="004F1F8E">
        <w:rPr>
          <w:rFonts w:cs="Arial"/>
          <w:sz w:val="16"/>
          <w:szCs w:val="16"/>
        </w:rPr>
        <w:t>Belgium</w:t>
      </w:r>
      <w:proofErr w:type="spellEnd"/>
      <w:r w:rsidRPr="004F1F8E">
        <w:rPr>
          <w:rFonts w:cs="Arial"/>
          <w:sz w:val="16"/>
          <w:szCs w:val="16"/>
        </w:rPr>
        <w:t xml:space="preserve"> NV pret </w:t>
      </w:r>
      <w:proofErr w:type="spellStart"/>
      <w:r w:rsidRPr="004F1F8E">
        <w:rPr>
          <w:rFonts w:cs="Arial"/>
          <w:sz w:val="16"/>
          <w:szCs w:val="16"/>
        </w:rPr>
        <w:t>Vlaamse</w:t>
      </w:r>
      <w:proofErr w:type="spellEnd"/>
      <w:r w:rsidRPr="004F1F8E">
        <w:rPr>
          <w:rFonts w:cs="Arial"/>
          <w:sz w:val="16"/>
          <w:szCs w:val="16"/>
        </w:rPr>
        <w:t xml:space="preserve"> </w:t>
      </w:r>
      <w:proofErr w:type="spellStart"/>
      <w:r w:rsidRPr="004F1F8E">
        <w:rPr>
          <w:rFonts w:cs="Arial"/>
          <w:sz w:val="16"/>
          <w:szCs w:val="16"/>
        </w:rPr>
        <w:t>Reguleringsinstantie</w:t>
      </w:r>
      <w:proofErr w:type="spellEnd"/>
      <w:r w:rsidRPr="004F1F8E">
        <w:rPr>
          <w:rFonts w:cs="Arial"/>
          <w:sz w:val="16"/>
          <w:szCs w:val="16"/>
        </w:rPr>
        <w:t xml:space="preserve"> </w:t>
      </w:r>
      <w:proofErr w:type="spellStart"/>
      <w:r w:rsidRPr="004F1F8E">
        <w:rPr>
          <w:rFonts w:cs="Arial"/>
          <w:sz w:val="16"/>
          <w:szCs w:val="16"/>
        </w:rPr>
        <w:t>voor</w:t>
      </w:r>
      <w:proofErr w:type="spellEnd"/>
      <w:r w:rsidRPr="004F1F8E">
        <w:rPr>
          <w:rFonts w:cs="Arial"/>
          <w:sz w:val="16"/>
          <w:szCs w:val="16"/>
        </w:rPr>
        <w:t xml:space="preserve"> </w:t>
      </w:r>
      <w:proofErr w:type="spellStart"/>
      <w:r w:rsidRPr="004F1F8E">
        <w:rPr>
          <w:rFonts w:cs="Arial"/>
          <w:sz w:val="16"/>
          <w:szCs w:val="16"/>
        </w:rPr>
        <w:t>de</w:t>
      </w:r>
      <w:proofErr w:type="spellEnd"/>
      <w:r w:rsidRPr="004F1F8E">
        <w:rPr>
          <w:rFonts w:cs="Arial"/>
          <w:sz w:val="16"/>
          <w:szCs w:val="16"/>
        </w:rPr>
        <w:t xml:space="preserve"> </w:t>
      </w:r>
      <w:proofErr w:type="spellStart"/>
      <w:r w:rsidRPr="004F1F8E">
        <w:rPr>
          <w:rFonts w:cs="Arial"/>
          <w:sz w:val="16"/>
          <w:szCs w:val="16"/>
        </w:rPr>
        <w:t>Elektriciteits-</w:t>
      </w:r>
      <w:proofErr w:type="spellEnd"/>
      <w:r w:rsidRPr="004F1F8E">
        <w:rPr>
          <w:rFonts w:cs="Arial"/>
          <w:sz w:val="16"/>
          <w:szCs w:val="16"/>
        </w:rPr>
        <w:t xml:space="preserve"> </w:t>
      </w:r>
      <w:proofErr w:type="spellStart"/>
      <w:r w:rsidRPr="004F1F8E">
        <w:rPr>
          <w:rFonts w:cs="Arial"/>
          <w:sz w:val="16"/>
          <w:szCs w:val="16"/>
        </w:rPr>
        <w:t>en</w:t>
      </w:r>
      <w:proofErr w:type="spellEnd"/>
      <w:r w:rsidRPr="004F1F8E">
        <w:rPr>
          <w:rFonts w:cs="Arial"/>
          <w:sz w:val="16"/>
          <w:szCs w:val="16"/>
        </w:rPr>
        <w:t xml:space="preserve"> </w:t>
      </w:r>
      <w:proofErr w:type="spellStart"/>
      <w:r w:rsidRPr="004F1F8E">
        <w:rPr>
          <w:rFonts w:cs="Arial"/>
          <w:sz w:val="16"/>
          <w:szCs w:val="16"/>
        </w:rPr>
        <w:t>Gasmarkt</w:t>
      </w:r>
      <w:proofErr w:type="spellEnd"/>
      <w:r w:rsidRPr="004F1F8E">
        <w:rPr>
          <w:rFonts w:cs="Arial"/>
          <w:sz w:val="16"/>
          <w:szCs w:val="16"/>
        </w:rPr>
        <w:t>.</w:t>
      </w:r>
    </w:p>
  </w:footnote>
  <w:footnote w:id="65">
    <w:p w:rsidR="00392247" w:rsidRPr="004F1F8E" w:rsidRDefault="00392247" w:rsidP="00E043B2">
      <w:pPr>
        <w:pStyle w:val="FootnoteText"/>
        <w:jc w:val="both"/>
        <w:rPr>
          <w:rFonts w:cs="Arial"/>
          <w:sz w:val="16"/>
          <w:szCs w:val="16"/>
        </w:rPr>
      </w:pPr>
      <w:r w:rsidRPr="004F1F8E">
        <w:rPr>
          <w:rStyle w:val="FootnoteReference"/>
          <w:rFonts w:cs="Arial"/>
          <w:sz w:val="16"/>
          <w:szCs w:val="16"/>
        </w:rPr>
        <w:footnoteRef/>
      </w:r>
      <w:r w:rsidRPr="004F1F8E">
        <w:rPr>
          <w:rFonts w:cs="Arial"/>
          <w:sz w:val="16"/>
          <w:szCs w:val="16"/>
        </w:rPr>
        <w:t xml:space="preserve"> </w:t>
      </w:r>
      <w:proofErr w:type="spellStart"/>
      <w:r w:rsidRPr="004F1F8E">
        <w:rPr>
          <w:rFonts w:cs="Arial"/>
          <w:sz w:val="16"/>
          <w:szCs w:val="16"/>
        </w:rPr>
        <w:t>Steinbach</w:t>
      </w:r>
      <w:proofErr w:type="spellEnd"/>
      <w:r w:rsidRPr="004F1F8E">
        <w:rPr>
          <w:rFonts w:cs="Arial"/>
          <w:sz w:val="16"/>
          <w:szCs w:val="16"/>
        </w:rPr>
        <w:t xml:space="preserve"> A., </w:t>
      </w:r>
      <w:proofErr w:type="spellStart"/>
      <w:r w:rsidRPr="004F1F8E">
        <w:rPr>
          <w:rFonts w:cs="Arial"/>
          <w:sz w:val="16"/>
          <w:szCs w:val="16"/>
        </w:rPr>
        <w:t>Bruckmann</w:t>
      </w:r>
      <w:proofErr w:type="spellEnd"/>
      <w:r w:rsidRPr="004F1F8E">
        <w:rPr>
          <w:rFonts w:cs="Arial"/>
          <w:sz w:val="16"/>
          <w:szCs w:val="16"/>
        </w:rPr>
        <w:t xml:space="preserve"> R. </w:t>
      </w:r>
      <w:proofErr w:type="spellStart"/>
      <w:r w:rsidRPr="004F1F8E">
        <w:rPr>
          <w:rFonts w:cs="Arial"/>
          <w:sz w:val="16"/>
          <w:szCs w:val="16"/>
        </w:rPr>
        <w:t>Renewable</w:t>
      </w:r>
      <w:proofErr w:type="spellEnd"/>
      <w:r w:rsidRPr="004F1F8E">
        <w:rPr>
          <w:rFonts w:cs="Arial"/>
          <w:sz w:val="16"/>
          <w:szCs w:val="16"/>
        </w:rPr>
        <w:t xml:space="preserve"> </w:t>
      </w:r>
      <w:proofErr w:type="spellStart"/>
      <w:r w:rsidRPr="004F1F8E">
        <w:rPr>
          <w:rFonts w:cs="Arial"/>
          <w:sz w:val="16"/>
          <w:szCs w:val="16"/>
        </w:rPr>
        <w:t>Energy</w:t>
      </w:r>
      <w:proofErr w:type="spellEnd"/>
      <w:r w:rsidRPr="004F1F8E">
        <w:rPr>
          <w:rFonts w:cs="Arial"/>
          <w:sz w:val="16"/>
          <w:szCs w:val="16"/>
        </w:rPr>
        <w:t xml:space="preserve"> </w:t>
      </w:r>
      <w:proofErr w:type="spellStart"/>
      <w:r w:rsidRPr="004F1F8E">
        <w:rPr>
          <w:rFonts w:cs="Arial"/>
          <w:sz w:val="16"/>
          <w:szCs w:val="16"/>
        </w:rPr>
        <w:t>and</w:t>
      </w:r>
      <w:proofErr w:type="spellEnd"/>
      <w:r w:rsidRPr="004F1F8E">
        <w:rPr>
          <w:rFonts w:cs="Arial"/>
          <w:sz w:val="16"/>
          <w:szCs w:val="16"/>
        </w:rPr>
        <w:t xml:space="preserve"> </w:t>
      </w:r>
      <w:proofErr w:type="spellStart"/>
      <w:r w:rsidRPr="004F1F8E">
        <w:rPr>
          <w:rFonts w:cs="Arial"/>
          <w:sz w:val="16"/>
          <w:szCs w:val="16"/>
        </w:rPr>
        <w:t>the</w:t>
      </w:r>
      <w:proofErr w:type="spellEnd"/>
      <w:r w:rsidRPr="004F1F8E">
        <w:rPr>
          <w:rFonts w:cs="Arial"/>
          <w:sz w:val="16"/>
          <w:szCs w:val="16"/>
        </w:rPr>
        <w:t xml:space="preserve"> </w:t>
      </w:r>
      <w:proofErr w:type="spellStart"/>
      <w:r w:rsidRPr="004F1F8E">
        <w:rPr>
          <w:rFonts w:cs="Arial"/>
          <w:sz w:val="16"/>
          <w:szCs w:val="16"/>
        </w:rPr>
        <w:t>Free</w:t>
      </w:r>
      <w:proofErr w:type="spellEnd"/>
      <w:r w:rsidRPr="004F1F8E">
        <w:rPr>
          <w:rFonts w:cs="Arial"/>
          <w:sz w:val="16"/>
          <w:szCs w:val="16"/>
        </w:rPr>
        <w:t xml:space="preserve"> </w:t>
      </w:r>
      <w:proofErr w:type="spellStart"/>
      <w:r w:rsidRPr="004F1F8E">
        <w:rPr>
          <w:rFonts w:cs="Arial"/>
          <w:sz w:val="16"/>
          <w:szCs w:val="16"/>
        </w:rPr>
        <w:t>Movement</w:t>
      </w:r>
      <w:proofErr w:type="spellEnd"/>
      <w:r w:rsidRPr="004F1F8E">
        <w:rPr>
          <w:rFonts w:cs="Arial"/>
          <w:sz w:val="16"/>
          <w:szCs w:val="16"/>
        </w:rPr>
        <w:t xml:space="preserve"> </w:t>
      </w:r>
      <w:proofErr w:type="spellStart"/>
      <w:r w:rsidRPr="004F1F8E">
        <w:rPr>
          <w:rFonts w:cs="Arial"/>
          <w:sz w:val="16"/>
          <w:szCs w:val="16"/>
        </w:rPr>
        <w:t>of</w:t>
      </w:r>
      <w:proofErr w:type="spellEnd"/>
      <w:r w:rsidRPr="004F1F8E">
        <w:rPr>
          <w:rFonts w:cs="Arial"/>
          <w:sz w:val="16"/>
          <w:szCs w:val="16"/>
        </w:rPr>
        <w:t xml:space="preserve"> </w:t>
      </w:r>
      <w:proofErr w:type="spellStart"/>
      <w:r w:rsidRPr="004F1F8E">
        <w:rPr>
          <w:rFonts w:cs="Arial"/>
          <w:sz w:val="16"/>
          <w:szCs w:val="16"/>
        </w:rPr>
        <w:t>Goods</w:t>
      </w:r>
      <w:proofErr w:type="spellEnd"/>
      <w:r w:rsidRPr="004F1F8E">
        <w:rPr>
          <w:rFonts w:cs="Arial"/>
          <w:sz w:val="16"/>
          <w:szCs w:val="16"/>
        </w:rPr>
        <w:t xml:space="preserve">. </w:t>
      </w:r>
      <w:proofErr w:type="spellStart"/>
      <w:r w:rsidRPr="004F1F8E">
        <w:rPr>
          <w:rFonts w:cs="Arial"/>
          <w:sz w:val="16"/>
          <w:szCs w:val="16"/>
        </w:rPr>
        <w:t>Nuffield</w:t>
      </w:r>
      <w:proofErr w:type="spellEnd"/>
      <w:r w:rsidRPr="004F1F8E">
        <w:rPr>
          <w:rFonts w:cs="Arial"/>
          <w:sz w:val="16"/>
          <w:szCs w:val="16"/>
        </w:rPr>
        <w:t xml:space="preserve"> </w:t>
      </w:r>
      <w:proofErr w:type="spellStart"/>
      <w:r w:rsidRPr="004F1F8E">
        <w:rPr>
          <w:rFonts w:cs="Arial"/>
          <w:sz w:val="16"/>
          <w:szCs w:val="16"/>
        </w:rPr>
        <w:t>College</w:t>
      </w:r>
      <w:proofErr w:type="spellEnd"/>
      <w:r w:rsidRPr="004F1F8E">
        <w:rPr>
          <w:rFonts w:cs="Arial"/>
          <w:sz w:val="16"/>
          <w:szCs w:val="16"/>
        </w:rPr>
        <w:t xml:space="preserve">, </w:t>
      </w:r>
      <w:proofErr w:type="spellStart"/>
      <w:r w:rsidRPr="004F1F8E">
        <w:rPr>
          <w:rFonts w:cs="Arial"/>
          <w:sz w:val="16"/>
          <w:szCs w:val="16"/>
        </w:rPr>
        <w:t>Working</w:t>
      </w:r>
      <w:proofErr w:type="spellEnd"/>
      <w:r w:rsidRPr="004F1F8E">
        <w:rPr>
          <w:rFonts w:cs="Arial"/>
          <w:sz w:val="16"/>
          <w:szCs w:val="16"/>
        </w:rPr>
        <w:t xml:space="preserve"> Paper </w:t>
      </w:r>
      <w:proofErr w:type="spellStart"/>
      <w:r w:rsidRPr="004F1F8E">
        <w:rPr>
          <w:rFonts w:cs="Arial"/>
          <w:sz w:val="16"/>
          <w:szCs w:val="16"/>
        </w:rPr>
        <w:t>Series</w:t>
      </w:r>
      <w:proofErr w:type="spellEnd"/>
      <w:r w:rsidRPr="004F1F8E">
        <w:rPr>
          <w:rFonts w:cs="Arial"/>
          <w:sz w:val="16"/>
          <w:szCs w:val="16"/>
        </w:rPr>
        <w:t xml:space="preserve"> </w:t>
      </w:r>
      <w:proofErr w:type="spellStart"/>
      <w:r w:rsidRPr="004F1F8E">
        <w:rPr>
          <w:rFonts w:cs="Arial"/>
          <w:sz w:val="16"/>
          <w:szCs w:val="16"/>
        </w:rPr>
        <w:t>in</w:t>
      </w:r>
      <w:proofErr w:type="spellEnd"/>
      <w:r w:rsidRPr="004F1F8E">
        <w:rPr>
          <w:rFonts w:cs="Arial"/>
          <w:sz w:val="16"/>
          <w:szCs w:val="16"/>
        </w:rPr>
        <w:t xml:space="preserve"> </w:t>
      </w:r>
      <w:proofErr w:type="spellStart"/>
      <w:r w:rsidRPr="004F1F8E">
        <w:rPr>
          <w:rFonts w:cs="Arial"/>
          <w:sz w:val="16"/>
          <w:szCs w:val="16"/>
        </w:rPr>
        <w:t>Politics</w:t>
      </w:r>
      <w:proofErr w:type="spellEnd"/>
      <w:r w:rsidRPr="004F1F8E">
        <w:rPr>
          <w:rFonts w:cs="Arial"/>
          <w:sz w:val="16"/>
          <w:szCs w:val="16"/>
        </w:rPr>
        <w:t>. 2015, p.12.</w:t>
      </w:r>
    </w:p>
  </w:footnote>
  <w:footnote w:id="66">
    <w:p w:rsidR="00392247" w:rsidRPr="004F1F8E" w:rsidRDefault="00392247" w:rsidP="00E043B2">
      <w:pPr>
        <w:pStyle w:val="FootnoteText"/>
        <w:jc w:val="both"/>
        <w:rPr>
          <w:rFonts w:cs="Arial"/>
          <w:sz w:val="16"/>
          <w:szCs w:val="16"/>
        </w:rPr>
      </w:pPr>
      <w:r w:rsidRPr="004F1F8E">
        <w:rPr>
          <w:rStyle w:val="FootnoteReference"/>
          <w:rFonts w:cs="Arial"/>
          <w:sz w:val="16"/>
          <w:szCs w:val="16"/>
        </w:rPr>
        <w:footnoteRef/>
      </w:r>
      <w:r w:rsidRPr="004F1F8E">
        <w:rPr>
          <w:rFonts w:cs="Arial"/>
          <w:sz w:val="16"/>
          <w:szCs w:val="16"/>
        </w:rPr>
        <w:t xml:space="preserve"> EST 1996.gada 5.marta spriedums apvienotajās lietās C-46/93 un C-48/93 </w:t>
      </w:r>
      <w:proofErr w:type="spellStart"/>
      <w:r w:rsidRPr="004F1F8E">
        <w:rPr>
          <w:rFonts w:cs="Arial"/>
          <w:i/>
          <w:sz w:val="16"/>
          <w:szCs w:val="16"/>
        </w:rPr>
        <w:t>Brasserie</w:t>
      </w:r>
      <w:proofErr w:type="spellEnd"/>
      <w:r w:rsidRPr="004F1F8E">
        <w:rPr>
          <w:rFonts w:cs="Arial"/>
          <w:i/>
          <w:sz w:val="16"/>
          <w:szCs w:val="16"/>
        </w:rPr>
        <w:t xml:space="preserve"> </w:t>
      </w:r>
      <w:proofErr w:type="spellStart"/>
      <w:r w:rsidRPr="004F1F8E">
        <w:rPr>
          <w:rFonts w:cs="Arial"/>
          <w:i/>
          <w:sz w:val="16"/>
          <w:szCs w:val="16"/>
        </w:rPr>
        <w:t>du</w:t>
      </w:r>
      <w:proofErr w:type="spellEnd"/>
      <w:r w:rsidRPr="004F1F8E">
        <w:rPr>
          <w:rFonts w:cs="Arial"/>
          <w:i/>
          <w:sz w:val="16"/>
          <w:szCs w:val="16"/>
        </w:rPr>
        <w:t xml:space="preserve"> </w:t>
      </w:r>
      <w:proofErr w:type="spellStart"/>
      <w:r w:rsidRPr="004F1F8E">
        <w:rPr>
          <w:rFonts w:cs="Arial"/>
          <w:i/>
          <w:sz w:val="16"/>
          <w:szCs w:val="16"/>
        </w:rPr>
        <w:t>Pecheur</w:t>
      </w:r>
      <w:proofErr w:type="spellEnd"/>
      <w:r w:rsidRPr="004F1F8E">
        <w:rPr>
          <w:rFonts w:cs="Arial"/>
          <w:i/>
          <w:sz w:val="16"/>
          <w:szCs w:val="16"/>
        </w:rPr>
        <w:t xml:space="preserve"> / </w:t>
      </w:r>
      <w:proofErr w:type="spellStart"/>
      <w:r w:rsidRPr="004F1F8E">
        <w:rPr>
          <w:rFonts w:cs="Arial"/>
          <w:i/>
          <w:sz w:val="16"/>
          <w:szCs w:val="16"/>
        </w:rPr>
        <w:t>Factortame</w:t>
      </w:r>
      <w:proofErr w:type="spellEnd"/>
      <w:r w:rsidRPr="004F1F8E">
        <w:rPr>
          <w:rFonts w:cs="Arial"/>
          <w:sz w:val="16"/>
          <w:szCs w:val="16"/>
        </w:rPr>
        <w:t>.</w:t>
      </w:r>
    </w:p>
  </w:footnote>
  <w:footnote w:id="67">
    <w:p w:rsidR="00392247" w:rsidRPr="004F1F8E" w:rsidRDefault="00392247" w:rsidP="00E043B2">
      <w:pPr>
        <w:pStyle w:val="FootnoteText"/>
        <w:jc w:val="both"/>
        <w:rPr>
          <w:rFonts w:cs="Arial"/>
          <w:sz w:val="16"/>
          <w:szCs w:val="16"/>
        </w:rPr>
      </w:pPr>
      <w:r w:rsidRPr="004F1F8E">
        <w:rPr>
          <w:rStyle w:val="FootnoteReference"/>
          <w:rFonts w:cs="Arial"/>
          <w:sz w:val="16"/>
          <w:szCs w:val="16"/>
        </w:rPr>
        <w:footnoteRef/>
      </w:r>
      <w:r w:rsidRPr="004F1F8E">
        <w:rPr>
          <w:rFonts w:cs="Arial"/>
          <w:sz w:val="16"/>
          <w:szCs w:val="16"/>
        </w:rPr>
        <w:t xml:space="preserve"> EST 2015.gada 15.decembra spriedums apvienotajās lietās C-132/14 līdz C-136/14 </w:t>
      </w:r>
      <w:r w:rsidRPr="004F1F8E">
        <w:rPr>
          <w:rFonts w:cs="Arial"/>
          <w:i/>
          <w:sz w:val="16"/>
          <w:szCs w:val="16"/>
        </w:rPr>
        <w:t>Parlaments un Komisija pret Padomi</w:t>
      </w:r>
      <w:r w:rsidRPr="004F1F8E">
        <w:rPr>
          <w:rFonts w:cs="Arial"/>
          <w:sz w:val="16"/>
          <w:szCs w:val="16"/>
        </w:rPr>
        <w:t>.</w:t>
      </w:r>
    </w:p>
  </w:footnote>
  <w:footnote w:id="68">
    <w:p w:rsidR="00392247" w:rsidRPr="004F1F8E" w:rsidRDefault="00392247" w:rsidP="00E043B2">
      <w:pPr>
        <w:pStyle w:val="FootnoteText"/>
        <w:jc w:val="both"/>
        <w:rPr>
          <w:sz w:val="16"/>
          <w:szCs w:val="16"/>
        </w:rPr>
      </w:pPr>
      <w:r w:rsidRPr="004F1F8E">
        <w:rPr>
          <w:rStyle w:val="FootnoteReference"/>
          <w:sz w:val="16"/>
          <w:szCs w:val="16"/>
        </w:rPr>
        <w:footnoteRef/>
      </w:r>
      <w:r w:rsidRPr="004F1F8E">
        <w:rPr>
          <w:sz w:val="16"/>
          <w:szCs w:val="16"/>
        </w:rPr>
        <w:t xml:space="preserve"> EST 1991.gada 28.februāra spriedums lietā C-57/89 </w:t>
      </w:r>
      <w:r w:rsidRPr="004F1F8E">
        <w:rPr>
          <w:i/>
          <w:sz w:val="16"/>
          <w:szCs w:val="16"/>
        </w:rPr>
        <w:t>Komisija pret Vāciju “</w:t>
      </w:r>
      <w:proofErr w:type="spellStart"/>
      <w:r w:rsidRPr="004F1F8E">
        <w:rPr>
          <w:i/>
          <w:sz w:val="16"/>
          <w:szCs w:val="16"/>
        </w:rPr>
        <w:t>Leybucht</w:t>
      </w:r>
      <w:proofErr w:type="spellEnd"/>
      <w:r w:rsidRPr="004F1F8E">
        <w:rPr>
          <w:i/>
          <w:sz w:val="16"/>
          <w:szCs w:val="16"/>
        </w:rPr>
        <w:t>”</w:t>
      </w:r>
      <w:r w:rsidRPr="004F1F8E">
        <w:rPr>
          <w:sz w:val="16"/>
          <w:szCs w:val="16"/>
        </w:rPr>
        <w:t>.</w:t>
      </w:r>
    </w:p>
  </w:footnote>
  <w:footnote w:id="69">
    <w:p w:rsidR="00392247" w:rsidRPr="00F82829" w:rsidRDefault="00392247" w:rsidP="00665269">
      <w:pPr>
        <w:pStyle w:val="FootnoteText"/>
        <w:jc w:val="both"/>
        <w:rPr>
          <w:sz w:val="16"/>
          <w:szCs w:val="16"/>
        </w:rPr>
      </w:pPr>
      <w:r w:rsidRPr="00F82829">
        <w:rPr>
          <w:rStyle w:val="FootnoteReference"/>
          <w:sz w:val="16"/>
          <w:szCs w:val="16"/>
        </w:rPr>
        <w:footnoteRef/>
      </w:r>
      <w:r w:rsidRPr="00F82829">
        <w:rPr>
          <w:sz w:val="16"/>
          <w:szCs w:val="16"/>
        </w:rPr>
        <w:t xml:space="preserve"> </w:t>
      </w:r>
      <w:proofErr w:type="spellStart"/>
      <w:r w:rsidRPr="00F82829">
        <w:rPr>
          <w:sz w:val="16"/>
          <w:szCs w:val="16"/>
        </w:rPr>
        <w:t>Legality</w:t>
      </w:r>
      <w:proofErr w:type="spellEnd"/>
      <w:r w:rsidRPr="00F82829">
        <w:rPr>
          <w:sz w:val="16"/>
          <w:szCs w:val="16"/>
        </w:rPr>
        <w:t xml:space="preserve"> </w:t>
      </w:r>
      <w:proofErr w:type="spellStart"/>
      <w:r w:rsidRPr="00F82829">
        <w:rPr>
          <w:sz w:val="16"/>
          <w:szCs w:val="16"/>
        </w:rPr>
        <w:t>of</w:t>
      </w:r>
      <w:proofErr w:type="spellEnd"/>
      <w:r w:rsidRPr="00F82829">
        <w:rPr>
          <w:sz w:val="16"/>
          <w:szCs w:val="16"/>
        </w:rPr>
        <w:t xml:space="preserve"> </w:t>
      </w:r>
      <w:proofErr w:type="spellStart"/>
      <w:r w:rsidRPr="00F82829">
        <w:rPr>
          <w:sz w:val="16"/>
          <w:szCs w:val="16"/>
        </w:rPr>
        <w:t>the</w:t>
      </w:r>
      <w:proofErr w:type="spellEnd"/>
      <w:r w:rsidRPr="00F82829">
        <w:rPr>
          <w:sz w:val="16"/>
          <w:szCs w:val="16"/>
        </w:rPr>
        <w:t xml:space="preserve"> </w:t>
      </w:r>
      <w:proofErr w:type="spellStart"/>
      <w:r w:rsidRPr="00F82829">
        <w:rPr>
          <w:sz w:val="16"/>
          <w:szCs w:val="16"/>
        </w:rPr>
        <w:t>Threat</w:t>
      </w:r>
      <w:proofErr w:type="spellEnd"/>
      <w:r w:rsidRPr="00F82829">
        <w:rPr>
          <w:sz w:val="16"/>
          <w:szCs w:val="16"/>
        </w:rPr>
        <w:t xml:space="preserve"> </w:t>
      </w:r>
      <w:proofErr w:type="spellStart"/>
      <w:r w:rsidRPr="00F82829">
        <w:rPr>
          <w:sz w:val="16"/>
          <w:szCs w:val="16"/>
        </w:rPr>
        <w:t>or</w:t>
      </w:r>
      <w:proofErr w:type="spellEnd"/>
      <w:r w:rsidRPr="00F82829">
        <w:rPr>
          <w:sz w:val="16"/>
          <w:szCs w:val="16"/>
        </w:rPr>
        <w:t xml:space="preserve"> </w:t>
      </w:r>
      <w:proofErr w:type="spellStart"/>
      <w:r w:rsidRPr="00F82829">
        <w:rPr>
          <w:sz w:val="16"/>
          <w:szCs w:val="16"/>
        </w:rPr>
        <w:t>Use</w:t>
      </w:r>
      <w:proofErr w:type="spellEnd"/>
      <w:r w:rsidRPr="00F82829">
        <w:rPr>
          <w:sz w:val="16"/>
          <w:szCs w:val="16"/>
        </w:rPr>
        <w:t xml:space="preserve"> </w:t>
      </w:r>
      <w:proofErr w:type="spellStart"/>
      <w:r w:rsidRPr="00F82829">
        <w:rPr>
          <w:sz w:val="16"/>
          <w:szCs w:val="16"/>
        </w:rPr>
        <w:t>of</w:t>
      </w:r>
      <w:proofErr w:type="spellEnd"/>
      <w:r w:rsidRPr="00F82829">
        <w:rPr>
          <w:sz w:val="16"/>
          <w:szCs w:val="16"/>
        </w:rPr>
        <w:t xml:space="preserve"> </w:t>
      </w:r>
      <w:proofErr w:type="spellStart"/>
      <w:r w:rsidRPr="00F82829">
        <w:rPr>
          <w:sz w:val="16"/>
          <w:szCs w:val="16"/>
        </w:rPr>
        <w:t>Nuclear</w:t>
      </w:r>
      <w:proofErr w:type="spellEnd"/>
      <w:r w:rsidRPr="00F82829">
        <w:rPr>
          <w:sz w:val="16"/>
          <w:szCs w:val="16"/>
        </w:rPr>
        <w:t xml:space="preserve"> </w:t>
      </w:r>
      <w:proofErr w:type="spellStart"/>
      <w:r w:rsidRPr="00F82829">
        <w:rPr>
          <w:sz w:val="16"/>
          <w:szCs w:val="16"/>
        </w:rPr>
        <w:t>Weapons</w:t>
      </w:r>
      <w:proofErr w:type="spellEnd"/>
      <w:r w:rsidRPr="00F82829">
        <w:rPr>
          <w:sz w:val="16"/>
          <w:szCs w:val="16"/>
        </w:rPr>
        <w:t xml:space="preserve">. </w:t>
      </w:r>
      <w:proofErr w:type="spellStart"/>
      <w:r w:rsidRPr="00F82829">
        <w:rPr>
          <w:sz w:val="16"/>
          <w:szCs w:val="16"/>
        </w:rPr>
        <w:t>Advisory</w:t>
      </w:r>
      <w:proofErr w:type="spellEnd"/>
      <w:r w:rsidRPr="00F82829">
        <w:rPr>
          <w:sz w:val="16"/>
          <w:szCs w:val="16"/>
        </w:rPr>
        <w:t xml:space="preserve"> </w:t>
      </w:r>
      <w:proofErr w:type="spellStart"/>
      <w:r w:rsidRPr="00F82829">
        <w:rPr>
          <w:sz w:val="16"/>
          <w:szCs w:val="16"/>
        </w:rPr>
        <w:t>Opinion</w:t>
      </w:r>
      <w:proofErr w:type="spellEnd"/>
      <w:r w:rsidRPr="00F82829">
        <w:rPr>
          <w:sz w:val="16"/>
          <w:szCs w:val="16"/>
        </w:rPr>
        <w:t xml:space="preserve"> </w:t>
      </w:r>
      <w:proofErr w:type="spellStart"/>
      <w:r w:rsidRPr="00F82829">
        <w:rPr>
          <w:sz w:val="16"/>
          <w:szCs w:val="16"/>
        </w:rPr>
        <w:t>of</w:t>
      </w:r>
      <w:proofErr w:type="spellEnd"/>
      <w:r w:rsidRPr="00F82829">
        <w:rPr>
          <w:sz w:val="16"/>
          <w:szCs w:val="16"/>
        </w:rPr>
        <w:t xml:space="preserve"> 8 </w:t>
      </w:r>
      <w:proofErr w:type="spellStart"/>
      <w:r w:rsidRPr="00F82829">
        <w:rPr>
          <w:sz w:val="16"/>
          <w:szCs w:val="16"/>
        </w:rPr>
        <w:t>July</w:t>
      </w:r>
      <w:proofErr w:type="spellEnd"/>
      <w:r w:rsidRPr="00F82829">
        <w:rPr>
          <w:sz w:val="16"/>
          <w:szCs w:val="16"/>
        </w:rPr>
        <w:t xml:space="preserve"> 1996. I.C.J. </w:t>
      </w:r>
      <w:proofErr w:type="spellStart"/>
      <w:r w:rsidRPr="00F82829">
        <w:rPr>
          <w:sz w:val="16"/>
          <w:szCs w:val="16"/>
        </w:rPr>
        <w:t>Reports</w:t>
      </w:r>
      <w:proofErr w:type="spellEnd"/>
      <w:r w:rsidRPr="00F82829">
        <w:rPr>
          <w:sz w:val="16"/>
          <w:szCs w:val="16"/>
        </w:rPr>
        <w:t xml:space="preserve"> 1996, </w:t>
      </w:r>
      <w:proofErr w:type="spellStart"/>
      <w:r w:rsidRPr="00F82829">
        <w:rPr>
          <w:sz w:val="16"/>
          <w:szCs w:val="16"/>
        </w:rPr>
        <w:t>para</w:t>
      </w:r>
      <w:proofErr w:type="spellEnd"/>
      <w:r w:rsidRPr="00F82829">
        <w:rPr>
          <w:sz w:val="16"/>
          <w:szCs w:val="16"/>
        </w:rPr>
        <w:t xml:space="preserve"> 29.</w:t>
      </w:r>
    </w:p>
  </w:footnote>
  <w:footnote w:id="70">
    <w:p w:rsidR="00392247" w:rsidRDefault="00392247" w:rsidP="00665269">
      <w:pPr>
        <w:pStyle w:val="FootnoteText"/>
        <w:jc w:val="both"/>
      </w:pPr>
      <w:r w:rsidRPr="00F82829">
        <w:rPr>
          <w:rStyle w:val="FootnoteReference"/>
          <w:sz w:val="16"/>
          <w:szCs w:val="16"/>
        </w:rPr>
        <w:footnoteRef/>
      </w:r>
      <w:r w:rsidRPr="00F82829">
        <w:rPr>
          <w:sz w:val="16"/>
          <w:szCs w:val="16"/>
        </w:rPr>
        <w:t xml:space="preserve"> </w:t>
      </w:r>
      <w:proofErr w:type="spellStart"/>
      <w:r w:rsidRPr="00F82829">
        <w:rPr>
          <w:sz w:val="16"/>
          <w:szCs w:val="16"/>
        </w:rPr>
        <w:t>Gabčikovo-Nagymaros</w:t>
      </w:r>
      <w:proofErr w:type="spellEnd"/>
      <w:r w:rsidRPr="00F82829">
        <w:rPr>
          <w:sz w:val="16"/>
          <w:szCs w:val="16"/>
        </w:rPr>
        <w:t xml:space="preserve"> Project (</w:t>
      </w:r>
      <w:proofErr w:type="spellStart"/>
      <w:r w:rsidRPr="00F82829">
        <w:rPr>
          <w:sz w:val="16"/>
          <w:szCs w:val="16"/>
        </w:rPr>
        <w:t>Hungary</w:t>
      </w:r>
      <w:proofErr w:type="spellEnd"/>
      <w:r w:rsidRPr="00F82829">
        <w:rPr>
          <w:sz w:val="16"/>
          <w:szCs w:val="16"/>
        </w:rPr>
        <w:t xml:space="preserve"> / </w:t>
      </w:r>
      <w:proofErr w:type="spellStart"/>
      <w:r w:rsidRPr="00F82829">
        <w:rPr>
          <w:sz w:val="16"/>
          <w:szCs w:val="16"/>
        </w:rPr>
        <w:t>Slovakia</w:t>
      </w:r>
      <w:proofErr w:type="spellEnd"/>
      <w:r w:rsidRPr="00F82829">
        <w:rPr>
          <w:sz w:val="16"/>
          <w:szCs w:val="16"/>
        </w:rPr>
        <w:t xml:space="preserve">), </w:t>
      </w:r>
      <w:proofErr w:type="spellStart"/>
      <w:r w:rsidRPr="00F82829">
        <w:rPr>
          <w:sz w:val="16"/>
          <w:szCs w:val="16"/>
        </w:rPr>
        <w:t>Judgment</w:t>
      </w:r>
      <w:proofErr w:type="spellEnd"/>
      <w:r w:rsidRPr="00F82829">
        <w:rPr>
          <w:sz w:val="16"/>
          <w:szCs w:val="16"/>
        </w:rPr>
        <w:t xml:space="preserve">, I.C.J. </w:t>
      </w:r>
      <w:proofErr w:type="spellStart"/>
      <w:r w:rsidRPr="00F82829">
        <w:rPr>
          <w:sz w:val="16"/>
          <w:szCs w:val="16"/>
        </w:rPr>
        <w:t>Reports</w:t>
      </w:r>
      <w:proofErr w:type="spellEnd"/>
      <w:r w:rsidRPr="00F82829">
        <w:rPr>
          <w:sz w:val="16"/>
          <w:szCs w:val="16"/>
        </w:rPr>
        <w:t xml:space="preserve"> 1997, p.7.</w:t>
      </w:r>
    </w:p>
  </w:footnote>
  <w:footnote w:id="71">
    <w:p w:rsidR="00392247" w:rsidRPr="00F329AB" w:rsidRDefault="00392247" w:rsidP="00BD2E22">
      <w:pPr>
        <w:pStyle w:val="FootnoteText"/>
        <w:jc w:val="both"/>
        <w:rPr>
          <w:sz w:val="16"/>
          <w:szCs w:val="16"/>
        </w:rPr>
      </w:pPr>
      <w:r w:rsidRPr="00F329AB">
        <w:rPr>
          <w:rStyle w:val="FootnoteReference"/>
          <w:sz w:val="16"/>
          <w:szCs w:val="16"/>
        </w:rPr>
        <w:footnoteRef/>
      </w:r>
      <w:r w:rsidRPr="00F329AB">
        <w:rPr>
          <w:sz w:val="16"/>
          <w:szCs w:val="16"/>
        </w:rPr>
        <w:t xml:space="preserve"> Autoru kolektīvs prof. R.Baloža zinātniskā vadībā. Latvijas Republikas Satversmes komentāri. VII nodaļa. Cilvēka pamattiesības. Rīga: Latvijas Vēstnesis, 2011. 720.lpp.</w:t>
      </w:r>
    </w:p>
  </w:footnote>
  <w:footnote w:id="72">
    <w:p w:rsidR="00392247" w:rsidRPr="00E07984" w:rsidRDefault="00392247" w:rsidP="00BD2E22">
      <w:pPr>
        <w:pStyle w:val="FootnoteText"/>
        <w:jc w:val="both"/>
        <w:rPr>
          <w:sz w:val="16"/>
          <w:szCs w:val="16"/>
          <w:lang w:val="en-US"/>
        </w:rPr>
      </w:pPr>
      <w:r w:rsidRPr="00E07984">
        <w:rPr>
          <w:rStyle w:val="FootnoteReference"/>
          <w:sz w:val="16"/>
          <w:szCs w:val="16"/>
          <w:lang w:val="en-US"/>
        </w:rPr>
        <w:footnoteRef/>
      </w:r>
      <w:r w:rsidRPr="00E07984">
        <w:rPr>
          <w:sz w:val="16"/>
          <w:szCs w:val="16"/>
          <w:lang w:val="en-US"/>
        </w:rPr>
        <w:t xml:space="preserve"> Corfu Channel case, Judgment of April 9, 1949: I.C.J. Reports 1949, p.4.</w:t>
      </w:r>
    </w:p>
  </w:footnote>
  <w:footnote w:id="73">
    <w:p w:rsidR="00392247" w:rsidRPr="006D5D43" w:rsidRDefault="00392247" w:rsidP="00BD2E22">
      <w:pPr>
        <w:pStyle w:val="FootnoteText"/>
        <w:jc w:val="both"/>
        <w:rPr>
          <w:lang w:val="en-US"/>
        </w:rPr>
      </w:pPr>
      <w:r w:rsidRPr="00E07984">
        <w:rPr>
          <w:rStyle w:val="FootnoteReference"/>
          <w:sz w:val="16"/>
          <w:szCs w:val="16"/>
          <w:lang w:val="en-US"/>
        </w:rPr>
        <w:footnoteRef/>
      </w:r>
      <w:r w:rsidRPr="00E07984">
        <w:rPr>
          <w:sz w:val="16"/>
          <w:szCs w:val="16"/>
          <w:lang w:val="en-US"/>
        </w:rPr>
        <w:t xml:space="preserve"> Sepulveda Amor B. </w:t>
      </w:r>
      <w:proofErr w:type="gramStart"/>
      <w:r w:rsidRPr="00E07984">
        <w:rPr>
          <w:sz w:val="16"/>
          <w:szCs w:val="16"/>
          <w:lang w:val="en-US"/>
        </w:rPr>
        <w:t>The International Court of Justice and the Law of the Sea.</w:t>
      </w:r>
      <w:proofErr w:type="gramEnd"/>
      <w:r w:rsidRPr="00E07984">
        <w:rPr>
          <w:sz w:val="16"/>
          <w:szCs w:val="16"/>
          <w:lang w:val="en-US"/>
        </w:rPr>
        <w:t xml:space="preserve"> </w:t>
      </w:r>
      <w:proofErr w:type="gramStart"/>
      <w:r w:rsidRPr="00E07984">
        <w:rPr>
          <w:sz w:val="16"/>
          <w:szCs w:val="16"/>
          <w:lang w:val="en-US"/>
        </w:rPr>
        <w:t xml:space="preserve">Universidad </w:t>
      </w:r>
      <w:proofErr w:type="spellStart"/>
      <w:r w:rsidRPr="00E07984">
        <w:rPr>
          <w:sz w:val="16"/>
          <w:szCs w:val="16"/>
          <w:lang w:val="en-US"/>
        </w:rPr>
        <w:t>Nacional</w:t>
      </w:r>
      <w:proofErr w:type="spellEnd"/>
      <w:r w:rsidRPr="00E07984">
        <w:rPr>
          <w:sz w:val="16"/>
          <w:szCs w:val="16"/>
          <w:lang w:val="en-US"/>
        </w:rPr>
        <w:t xml:space="preserve"> </w:t>
      </w:r>
      <w:proofErr w:type="spellStart"/>
      <w:r w:rsidRPr="00E07984">
        <w:rPr>
          <w:sz w:val="16"/>
          <w:szCs w:val="16"/>
          <w:lang w:val="en-US"/>
        </w:rPr>
        <w:t>Autonoma</w:t>
      </w:r>
      <w:proofErr w:type="spellEnd"/>
      <w:r w:rsidRPr="00E07984">
        <w:rPr>
          <w:sz w:val="16"/>
          <w:szCs w:val="16"/>
          <w:lang w:val="en-US"/>
        </w:rPr>
        <w:t xml:space="preserve"> de Mexico-</w:t>
      </w:r>
      <w:proofErr w:type="spellStart"/>
      <w:r w:rsidRPr="004C78E3">
        <w:rPr>
          <w:sz w:val="16"/>
          <w:szCs w:val="16"/>
          <w:lang w:val="en-US"/>
        </w:rPr>
        <w:t>Instituto</w:t>
      </w:r>
      <w:proofErr w:type="spellEnd"/>
      <w:r w:rsidRPr="004C78E3">
        <w:rPr>
          <w:sz w:val="16"/>
          <w:szCs w:val="16"/>
          <w:lang w:val="en-US"/>
        </w:rPr>
        <w:t xml:space="preserve"> de </w:t>
      </w:r>
      <w:proofErr w:type="spellStart"/>
      <w:r w:rsidRPr="004C78E3">
        <w:rPr>
          <w:sz w:val="16"/>
          <w:szCs w:val="16"/>
          <w:lang w:val="en-US"/>
        </w:rPr>
        <w:t>Investigaciones</w:t>
      </w:r>
      <w:proofErr w:type="spellEnd"/>
      <w:r w:rsidRPr="004C78E3">
        <w:rPr>
          <w:sz w:val="16"/>
          <w:szCs w:val="16"/>
          <w:lang w:val="en-US"/>
        </w:rPr>
        <w:t xml:space="preserve"> </w:t>
      </w:r>
      <w:proofErr w:type="spellStart"/>
      <w:r w:rsidRPr="004C78E3">
        <w:rPr>
          <w:sz w:val="16"/>
          <w:szCs w:val="16"/>
          <w:lang w:val="en-US"/>
        </w:rPr>
        <w:t>Juridicas</w:t>
      </w:r>
      <w:proofErr w:type="spellEnd"/>
      <w:r w:rsidRPr="004C78E3">
        <w:rPr>
          <w:sz w:val="16"/>
          <w:szCs w:val="16"/>
          <w:lang w:val="en-US"/>
        </w:rPr>
        <w:t>.</w:t>
      </w:r>
      <w:proofErr w:type="gramEnd"/>
      <w:r w:rsidRPr="004C78E3">
        <w:rPr>
          <w:sz w:val="16"/>
          <w:szCs w:val="16"/>
          <w:lang w:val="en-US"/>
        </w:rPr>
        <w:t xml:space="preserve"> </w:t>
      </w:r>
      <w:proofErr w:type="spellStart"/>
      <w:proofErr w:type="gramStart"/>
      <w:r w:rsidRPr="004C78E3">
        <w:rPr>
          <w:sz w:val="16"/>
          <w:szCs w:val="16"/>
          <w:lang w:val="en-US"/>
        </w:rPr>
        <w:t>Annuario</w:t>
      </w:r>
      <w:proofErr w:type="spellEnd"/>
      <w:r w:rsidRPr="004C78E3">
        <w:rPr>
          <w:sz w:val="16"/>
          <w:szCs w:val="16"/>
          <w:lang w:val="en-US"/>
        </w:rPr>
        <w:t xml:space="preserve"> </w:t>
      </w:r>
      <w:proofErr w:type="spellStart"/>
      <w:r w:rsidRPr="004C78E3">
        <w:rPr>
          <w:sz w:val="16"/>
          <w:szCs w:val="16"/>
          <w:lang w:val="en-US"/>
        </w:rPr>
        <w:t>Mexicano</w:t>
      </w:r>
      <w:proofErr w:type="spellEnd"/>
      <w:r w:rsidRPr="004C78E3">
        <w:rPr>
          <w:sz w:val="16"/>
          <w:szCs w:val="16"/>
          <w:lang w:val="en-US"/>
        </w:rPr>
        <w:t xml:space="preserve"> de </w:t>
      </w:r>
      <w:proofErr w:type="spellStart"/>
      <w:r w:rsidRPr="004C78E3">
        <w:rPr>
          <w:sz w:val="16"/>
          <w:szCs w:val="16"/>
          <w:lang w:val="en-US"/>
        </w:rPr>
        <w:t>Derecho</w:t>
      </w:r>
      <w:proofErr w:type="spellEnd"/>
      <w:r w:rsidRPr="004C78E3">
        <w:rPr>
          <w:sz w:val="16"/>
          <w:szCs w:val="16"/>
          <w:lang w:val="en-US"/>
        </w:rPr>
        <w:t xml:space="preserve"> </w:t>
      </w:r>
      <w:proofErr w:type="spellStart"/>
      <w:r w:rsidRPr="004C78E3">
        <w:rPr>
          <w:sz w:val="16"/>
          <w:szCs w:val="16"/>
          <w:lang w:val="en-US"/>
        </w:rPr>
        <w:t>Internacional</w:t>
      </w:r>
      <w:proofErr w:type="spellEnd"/>
      <w:r w:rsidRPr="004C78E3">
        <w:rPr>
          <w:sz w:val="16"/>
          <w:szCs w:val="16"/>
          <w:lang w:val="en-US"/>
        </w:rPr>
        <w:t>, 2012, p.7.</w:t>
      </w:r>
      <w:proofErr w:type="gramEnd"/>
      <w:r w:rsidRPr="004C78E3">
        <w:rPr>
          <w:sz w:val="16"/>
          <w:szCs w:val="16"/>
          <w:lang w:val="en-US"/>
        </w:rPr>
        <w:t xml:space="preserve"> Pieejams: </w:t>
      </w:r>
      <w:r w:rsidRPr="004C78E3">
        <w:rPr>
          <w:sz w:val="16"/>
          <w:szCs w:val="16"/>
        </w:rPr>
        <w:t>http://www.corteidh.or.cr/tablas/r29686.pdf</w:t>
      </w:r>
    </w:p>
  </w:footnote>
  <w:footnote w:id="74">
    <w:p w:rsidR="00392247" w:rsidRPr="00E07984" w:rsidRDefault="00392247" w:rsidP="00BD2E22">
      <w:pPr>
        <w:pStyle w:val="FootnoteText"/>
        <w:jc w:val="both"/>
        <w:rPr>
          <w:sz w:val="16"/>
          <w:szCs w:val="16"/>
          <w:lang w:val="en-US"/>
        </w:rPr>
      </w:pPr>
      <w:r w:rsidRPr="00E07984">
        <w:rPr>
          <w:rStyle w:val="FootnoteReference"/>
          <w:sz w:val="16"/>
          <w:szCs w:val="16"/>
          <w:lang w:val="en-US"/>
        </w:rPr>
        <w:footnoteRef/>
      </w:r>
      <w:r w:rsidRPr="00E07984">
        <w:rPr>
          <w:sz w:val="16"/>
          <w:szCs w:val="16"/>
          <w:lang w:val="en-US"/>
        </w:rPr>
        <w:t xml:space="preserve"> </w:t>
      </w:r>
      <w:proofErr w:type="gramStart"/>
      <w:r w:rsidRPr="00E07984">
        <w:rPr>
          <w:sz w:val="16"/>
          <w:szCs w:val="16"/>
          <w:lang w:val="en-US"/>
        </w:rPr>
        <w:t>Military and Paramilitary Activities in and against Nicaragua (Nicaragua v. United States of America), Merits, Judgment of June 27, 1986, I.C.J. Reports 1986, p.14, 213.</w:t>
      </w:r>
      <w:proofErr w:type="gramEnd"/>
      <w:r>
        <w:rPr>
          <w:sz w:val="16"/>
          <w:szCs w:val="16"/>
          <w:lang w:val="en-US"/>
        </w:rPr>
        <w:t xml:space="preserve"> </w:t>
      </w:r>
      <w:proofErr w:type="gramStart"/>
      <w:r>
        <w:rPr>
          <w:sz w:val="16"/>
          <w:szCs w:val="16"/>
          <w:lang w:val="en-US"/>
        </w:rPr>
        <w:t xml:space="preserve">– </w:t>
      </w:r>
      <w:r w:rsidRPr="00E07984">
        <w:rPr>
          <w:sz w:val="16"/>
          <w:szCs w:val="16"/>
          <w:lang w:val="en-US"/>
        </w:rPr>
        <w:t>214.punkts.</w:t>
      </w:r>
      <w:proofErr w:type="gramEnd"/>
    </w:p>
  </w:footnote>
  <w:footnote w:id="75">
    <w:p w:rsidR="00392247" w:rsidRDefault="00392247" w:rsidP="00BD2E22">
      <w:pPr>
        <w:pStyle w:val="FootnoteText"/>
        <w:jc w:val="both"/>
      </w:pPr>
      <w:r w:rsidRPr="00E07984">
        <w:rPr>
          <w:rStyle w:val="FootnoteReference"/>
          <w:sz w:val="16"/>
          <w:szCs w:val="16"/>
        </w:rPr>
        <w:footnoteRef/>
      </w:r>
      <w:r w:rsidRPr="00E07984">
        <w:rPr>
          <w:sz w:val="16"/>
          <w:szCs w:val="16"/>
        </w:rPr>
        <w:t xml:space="preserve"> </w:t>
      </w:r>
      <w:proofErr w:type="spellStart"/>
      <w:r w:rsidRPr="00E07984">
        <w:rPr>
          <w:sz w:val="16"/>
          <w:szCs w:val="16"/>
        </w:rPr>
        <w:t>Maritime</w:t>
      </w:r>
      <w:proofErr w:type="spellEnd"/>
      <w:r w:rsidRPr="00E07984">
        <w:rPr>
          <w:sz w:val="16"/>
          <w:szCs w:val="16"/>
        </w:rPr>
        <w:t xml:space="preserve"> </w:t>
      </w:r>
      <w:proofErr w:type="spellStart"/>
      <w:r w:rsidRPr="00E07984">
        <w:rPr>
          <w:sz w:val="16"/>
          <w:szCs w:val="16"/>
        </w:rPr>
        <w:t>Delimitation</w:t>
      </w:r>
      <w:proofErr w:type="spellEnd"/>
      <w:r w:rsidRPr="00E07984">
        <w:rPr>
          <w:sz w:val="16"/>
          <w:szCs w:val="16"/>
        </w:rPr>
        <w:t xml:space="preserve"> </w:t>
      </w:r>
      <w:proofErr w:type="spellStart"/>
      <w:r w:rsidRPr="00E07984">
        <w:rPr>
          <w:sz w:val="16"/>
          <w:szCs w:val="16"/>
        </w:rPr>
        <w:t>and</w:t>
      </w:r>
      <w:proofErr w:type="spellEnd"/>
      <w:r w:rsidRPr="00E07984">
        <w:rPr>
          <w:sz w:val="16"/>
          <w:szCs w:val="16"/>
        </w:rPr>
        <w:t xml:space="preserve"> </w:t>
      </w:r>
      <w:proofErr w:type="spellStart"/>
      <w:r w:rsidRPr="00E07984">
        <w:rPr>
          <w:sz w:val="16"/>
          <w:szCs w:val="16"/>
        </w:rPr>
        <w:t>Territorial</w:t>
      </w:r>
      <w:proofErr w:type="spellEnd"/>
      <w:r w:rsidRPr="00E07984">
        <w:rPr>
          <w:sz w:val="16"/>
          <w:szCs w:val="16"/>
        </w:rPr>
        <w:t xml:space="preserve"> </w:t>
      </w:r>
      <w:proofErr w:type="spellStart"/>
      <w:r w:rsidRPr="00E07984">
        <w:rPr>
          <w:sz w:val="16"/>
          <w:szCs w:val="16"/>
        </w:rPr>
        <w:t>Questions</w:t>
      </w:r>
      <w:proofErr w:type="spellEnd"/>
      <w:r w:rsidRPr="00E07984">
        <w:rPr>
          <w:sz w:val="16"/>
          <w:szCs w:val="16"/>
        </w:rPr>
        <w:t xml:space="preserve"> </w:t>
      </w:r>
      <w:proofErr w:type="spellStart"/>
      <w:r w:rsidRPr="00E07984">
        <w:rPr>
          <w:sz w:val="16"/>
          <w:szCs w:val="16"/>
        </w:rPr>
        <w:t>between</w:t>
      </w:r>
      <w:proofErr w:type="spellEnd"/>
      <w:r w:rsidRPr="00E07984">
        <w:rPr>
          <w:sz w:val="16"/>
          <w:szCs w:val="16"/>
        </w:rPr>
        <w:t xml:space="preserve"> </w:t>
      </w:r>
      <w:proofErr w:type="spellStart"/>
      <w:r w:rsidRPr="00E07984">
        <w:rPr>
          <w:sz w:val="16"/>
          <w:szCs w:val="16"/>
        </w:rPr>
        <w:t>Qatar</w:t>
      </w:r>
      <w:proofErr w:type="spellEnd"/>
      <w:r w:rsidRPr="00E07984">
        <w:rPr>
          <w:sz w:val="16"/>
          <w:szCs w:val="16"/>
        </w:rPr>
        <w:t xml:space="preserve"> </w:t>
      </w:r>
      <w:proofErr w:type="spellStart"/>
      <w:r w:rsidRPr="00E07984">
        <w:rPr>
          <w:sz w:val="16"/>
          <w:szCs w:val="16"/>
        </w:rPr>
        <w:t>and</w:t>
      </w:r>
      <w:proofErr w:type="spellEnd"/>
      <w:r w:rsidRPr="00E07984">
        <w:rPr>
          <w:sz w:val="16"/>
          <w:szCs w:val="16"/>
        </w:rPr>
        <w:t xml:space="preserve"> </w:t>
      </w:r>
      <w:proofErr w:type="spellStart"/>
      <w:r w:rsidRPr="00E07984">
        <w:rPr>
          <w:sz w:val="16"/>
          <w:szCs w:val="16"/>
        </w:rPr>
        <w:t>Bahrain</w:t>
      </w:r>
      <w:proofErr w:type="spellEnd"/>
      <w:r w:rsidRPr="00E07984">
        <w:rPr>
          <w:sz w:val="16"/>
          <w:szCs w:val="16"/>
        </w:rPr>
        <w:t xml:space="preserve">, </w:t>
      </w:r>
      <w:proofErr w:type="spellStart"/>
      <w:r w:rsidRPr="00E07984">
        <w:rPr>
          <w:sz w:val="16"/>
          <w:szCs w:val="16"/>
        </w:rPr>
        <w:t>Merits</w:t>
      </w:r>
      <w:proofErr w:type="spellEnd"/>
      <w:r w:rsidRPr="00E07984">
        <w:rPr>
          <w:sz w:val="16"/>
          <w:szCs w:val="16"/>
        </w:rPr>
        <w:t xml:space="preserve">, </w:t>
      </w:r>
      <w:proofErr w:type="spellStart"/>
      <w:r w:rsidRPr="00E07984">
        <w:rPr>
          <w:sz w:val="16"/>
          <w:szCs w:val="16"/>
        </w:rPr>
        <w:t>Judgment</w:t>
      </w:r>
      <w:proofErr w:type="spellEnd"/>
      <w:r w:rsidRPr="00E07984">
        <w:rPr>
          <w:sz w:val="16"/>
          <w:szCs w:val="16"/>
        </w:rPr>
        <w:t xml:space="preserve"> </w:t>
      </w:r>
      <w:proofErr w:type="spellStart"/>
      <w:r w:rsidRPr="00E07984">
        <w:rPr>
          <w:sz w:val="16"/>
          <w:szCs w:val="16"/>
        </w:rPr>
        <w:t>of</w:t>
      </w:r>
      <w:proofErr w:type="spellEnd"/>
      <w:r w:rsidRPr="00E07984">
        <w:rPr>
          <w:sz w:val="16"/>
          <w:szCs w:val="16"/>
        </w:rPr>
        <w:t xml:space="preserve"> </w:t>
      </w:r>
      <w:proofErr w:type="spellStart"/>
      <w:r w:rsidRPr="00E07984">
        <w:rPr>
          <w:sz w:val="16"/>
          <w:szCs w:val="16"/>
        </w:rPr>
        <w:t>March</w:t>
      </w:r>
      <w:proofErr w:type="spellEnd"/>
      <w:r w:rsidRPr="00E07984">
        <w:rPr>
          <w:sz w:val="16"/>
          <w:szCs w:val="16"/>
        </w:rPr>
        <w:t xml:space="preserve"> 16, 2001, I.C.J. </w:t>
      </w:r>
      <w:proofErr w:type="spellStart"/>
      <w:r w:rsidRPr="00E07984">
        <w:rPr>
          <w:sz w:val="16"/>
          <w:szCs w:val="16"/>
        </w:rPr>
        <w:t>Reports</w:t>
      </w:r>
      <w:proofErr w:type="spellEnd"/>
      <w:r w:rsidRPr="00E07984">
        <w:rPr>
          <w:sz w:val="16"/>
          <w:szCs w:val="16"/>
        </w:rPr>
        <w:t xml:space="preserve"> 2001, p.40.</w:t>
      </w:r>
    </w:p>
  </w:footnote>
  <w:footnote w:id="76">
    <w:p w:rsidR="00392247" w:rsidRPr="00E07984" w:rsidRDefault="00392247" w:rsidP="00BD2E22">
      <w:pPr>
        <w:pStyle w:val="FootnoteText"/>
        <w:jc w:val="both"/>
        <w:rPr>
          <w:sz w:val="16"/>
          <w:szCs w:val="16"/>
        </w:rPr>
      </w:pPr>
      <w:r w:rsidRPr="00E07984">
        <w:rPr>
          <w:rStyle w:val="FootnoteReference"/>
          <w:sz w:val="16"/>
          <w:szCs w:val="16"/>
        </w:rPr>
        <w:footnoteRef/>
      </w:r>
      <w:r w:rsidRPr="00E07984">
        <w:rPr>
          <w:sz w:val="16"/>
          <w:szCs w:val="16"/>
        </w:rPr>
        <w:t xml:space="preserve"> </w:t>
      </w:r>
      <w:proofErr w:type="spellStart"/>
      <w:r w:rsidRPr="00E07984">
        <w:rPr>
          <w:sz w:val="16"/>
          <w:szCs w:val="16"/>
        </w:rPr>
        <w:t>Wawryk</w:t>
      </w:r>
      <w:proofErr w:type="spellEnd"/>
      <w:r w:rsidRPr="00E07984">
        <w:rPr>
          <w:sz w:val="16"/>
          <w:szCs w:val="16"/>
        </w:rPr>
        <w:t xml:space="preserve"> S. A. </w:t>
      </w:r>
      <w:proofErr w:type="spellStart"/>
      <w:r w:rsidRPr="00E07984">
        <w:rPr>
          <w:sz w:val="16"/>
          <w:szCs w:val="16"/>
        </w:rPr>
        <w:t>International</w:t>
      </w:r>
      <w:proofErr w:type="spellEnd"/>
      <w:r w:rsidRPr="00E07984">
        <w:rPr>
          <w:sz w:val="16"/>
          <w:szCs w:val="16"/>
        </w:rPr>
        <w:t xml:space="preserve"> </w:t>
      </w:r>
      <w:proofErr w:type="spellStart"/>
      <w:r w:rsidRPr="00E07984">
        <w:rPr>
          <w:sz w:val="16"/>
          <w:szCs w:val="16"/>
        </w:rPr>
        <w:t>Energy</w:t>
      </w:r>
      <w:proofErr w:type="spellEnd"/>
      <w:r w:rsidRPr="00E07984">
        <w:rPr>
          <w:sz w:val="16"/>
          <w:szCs w:val="16"/>
        </w:rPr>
        <w:t xml:space="preserve"> </w:t>
      </w:r>
      <w:proofErr w:type="spellStart"/>
      <w:r w:rsidRPr="00E07984">
        <w:rPr>
          <w:sz w:val="16"/>
          <w:szCs w:val="16"/>
        </w:rPr>
        <w:t>Law</w:t>
      </w:r>
      <w:proofErr w:type="spellEnd"/>
      <w:r w:rsidRPr="00E07984">
        <w:rPr>
          <w:sz w:val="16"/>
          <w:szCs w:val="16"/>
        </w:rPr>
        <w:t xml:space="preserve">: </w:t>
      </w:r>
      <w:proofErr w:type="spellStart"/>
      <w:r w:rsidRPr="00665269">
        <w:rPr>
          <w:sz w:val="16"/>
          <w:szCs w:val="16"/>
        </w:rPr>
        <w:t>An</w:t>
      </w:r>
      <w:proofErr w:type="spellEnd"/>
      <w:r w:rsidRPr="00665269">
        <w:rPr>
          <w:sz w:val="16"/>
          <w:szCs w:val="16"/>
        </w:rPr>
        <w:t xml:space="preserve"> </w:t>
      </w:r>
      <w:proofErr w:type="spellStart"/>
      <w:r w:rsidRPr="00665269">
        <w:rPr>
          <w:sz w:val="16"/>
          <w:szCs w:val="16"/>
        </w:rPr>
        <w:t>Emerging</w:t>
      </w:r>
      <w:proofErr w:type="spellEnd"/>
      <w:r w:rsidRPr="00665269">
        <w:rPr>
          <w:sz w:val="16"/>
          <w:szCs w:val="16"/>
        </w:rPr>
        <w:t xml:space="preserve"> </w:t>
      </w:r>
      <w:proofErr w:type="spellStart"/>
      <w:r w:rsidRPr="00665269">
        <w:rPr>
          <w:sz w:val="16"/>
          <w:szCs w:val="16"/>
        </w:rPr>
        <w:t>Academic</w:t>
      </w:r>
      <w:proofErr w:type="spellEnd"/>
      <w:r w:rsidRPr="00665269">
        <w:rPr>
          <w:sz w:val="16"/>
          <w:szCs w:val="16"/>
        </w:rPr>
        <w:t xml:space="preserve"> </w:t>
      </w:r>
      <w:proofErr w:type="spellStart"/>
      <w:r w:rsidRPr="00665269">
        <w:rPr>
          <w:sz w:val="16"/>
          <w:szCs w:val="16"/>
        </w:rPr>
        <w:t>Discipline</w:t>
      </w:r>
      <w:proofErr w:type="spellEnd"/>
      <w:r w:rsidRPr="00665269">
        <w:rPr>
          <w:sz w:val="16"/>
          <w:szCs w:val="16"/>
        </w:rPr>
        <w:t xml:space="preserve"> (</w:t>
      </w:r>
      <w:proofErr w:type="spellStart"/>
      <w:r w:rsidRPr="00665269">
        <w:rPr>
          <w:sz w:val="16"/>
          <w:szCs w:val="16"/>
        </w:rPr>
        <w:t>June</w:t>
      </w:r>
      <w:proofErr w:type="spellEnd"/>
      <w:r w:rsidRPr="00665269">
        <w:rPr>
          <w:sz w:val="16"/>
          <w:szCs w:val="16"/>
        </w:rPr>
        <w:t xml:space="preserve"> 2, 2014). U. </w:t>
      </w:r>
      <w:proofErr w:type="spellStart"/>
      <w:r w:rsidRPr="00665269">
        <w:rPr>
          <w:sz w:val="16"/>
          <w:szCs w:val="16"/>
        </w:rPr>
        <w:t>of</w:t>
      </w:r>
      <w:proofErr w:type="spellEnd"/>
      <w:r w:rsidRPr="00665269">
        <w:rPr>
          <w:sz w:val="16"/>
          <w:szCs w:val="16"/>
        </w:rPr>
        <w:t xml:space="preserve"> Adelaide </w:t>
      </w:r>
      <w:proofErr w:type="spellStart"/>
      <w:r w:rsidRPr="00665269">
        <w:rPr>
          <w:sz w:val="16"/>
          <w:szCs w:val="16"/>
        </w:rPr>
        <w:t>Law</w:t>
      </w:r>
      <w:proofErr w:type="spellEnd"/>
      <w:r w:rsidRPr="00665269">
        <w:rPr>
          <w:sz w:val="16"/>
          <w:szCs w:val="16"/>
        </w:rPr>
        <w:t xml:space="preserve"> </w:t>
      </w:r>
      <w:proofErr w:type="spellStart"/>
      <w:r w:rsidRPr="00665269">
        <w:rPr>
          <w:sz w:val="16"/>
          <w:szCs w:val="16"/>
        </w:rPr>
        <w:t>Research</w:t>
      </w:r>
      <w:proofErr w:type="spellEnd"/>
      <w:r w:rsidRPr="00665269">
        <w:rPr>
          <w:sz w:val="16"/>
          <w:szCs w:val="16"/>
        </w:rPr>
        <w:t xml:space="preserve"> Paper No. 2014-16, p.14. Pieejams: http://ssrn.com/abstract=2445267</w:t>
      </w:r>
    </w:p>
  </w:footnote>
  <w:footnote w:id="77">
    <w:p w:rsidR="00392247" w:rsidRPr="00550115" w:rsidRDefault="00392247" w:rsidP="00BD2E22">
      <w:pPr>
        <w:pStyle w:val="FootnoteText"/>
        <w:jc w:val="both"/>
        <w:rPr>
          <w:rFonts w:cs="Arial"/>
          <w:sz w:val="16"/>
          <w:szCs w:val="16"/>
        </w:rPr>
      </w:pPr>
      <w:r w:rsidRPr="00550115">
        <w:rPr>
          <w:rStyle w:val="FootnoteReference"/>
          <w:rFonts w:cs="Arial"/>
          <w:sz w:val="16"/>
          <w:szCs w:val="16"/>
        </w:rPr>
        <w:footnoteRef/>
      </w:r>
      <w:r w:rsidRPr="00550115">
        <w:rPr>
          <w:rFonts w:cs="Arial"/>
          <w:sz w:val="16"/>
          <w:szCs w:val="16"/>
        </w:rPr>
        <w:t xml:space="preserve"> Atbilstoši likumam “Par ietekmes uz vidi novērtējumu” 1.panta 3.punktam paredzētā darbība ir skaidrota </w:t>
      </w:r>
      <w:r>
        <w:rPr>
          <w:rFonts w:cs="Arial"/>
          <w:sz w:val="16"/>
          <w:szCs w:val="16"/>
        </w:rPr>
        <w:t>šādi</w:t>
      </w:r>
      <w:r w:rsidRPr="00550115">
        <w:rPr>
          <w:rFonts w:cs="Arial"/>
          <w:sz w:val="16"/>
          <w:szCs w:val="16"/>
        </w:rPr>
        <w:t xml:space="preserve">: </w:t>
      </w:r>
      <w:r w:rsidRPr="00550115">
        <w:rPr>
          <w:rFonts w:cs="Arial"/>
          <w:i/>
          <w:sz w:val="16"/>
          <w:szCs w:val="16"/>
        </w:rPr>
        <w:t>“</w:t>
      </w:r>
      <w:r w:rsidRPr="00550115">
        <w:rPr>
          <w:rFonts w:cs="Arial"/>
          <w:bCs/>
          <w:i/>
          <w:sz w:val="16"/>
          <w:szCs w:val="16"/>
        </w:rPr>
        <w:t>paredzētā darbība</w:t>
      </w:r>
      <w:r w:rsidRPr="00550115">
        <w:rPr>
          <w:rFonts w:cs="Arial"/>
          <w:i/>
          <w:sz w:val="16"/>
          <w:szCs w:val="16"/>
        </w:rPr>
        <w:t xml:space="preserve"> </w:t>
      </w:r>
      <w:r>
        <w:rPr>
          <w:rFonts w:cs="Arial"/>
          <w:i/>
          <w:sz w:val="16"/>
          <w:szCs w:val="16"/>
        </w:rPr>
        <w:t>–</w:t>
      </w:r>
      <w:r w:rsidRPr="00550115">
        <w:rPr>
          <w:rFonts w:cs="Arial"/>
          <w:i/>
          <w:sz w:val="16"/>
          <w:szCs w:val="16"/>
        </w:rPr>
        <w:t xml:space="preserve"> aprīkojuma, iekārtas un tehnoloģijas ieviešana, papildināšana vai maiņa, projekta īstenošana, būvniecība, dabas resursu ieguve vai izmantošana, cilvēka darbības neskartu vai </w:t>
      </w:r>
      <w:proofErr w:type="spellStart"/>
      <w:r w:rsidRPr="00550115">
        <w:rPr>
          <w:rFonts w:cs="Arial"/>
          <w:i/>
          <w:sz w:val="16"/>
          <w:szCs w:val="16"/>
        </w:rPr>
        <w:t>mazpārveidotu</w:t>
      </w:r>
      <w:proofErr w:type="spellEnd"/>
      <w:r w:rsidRPr="00550115">
        <w:rPr>
          <w:rFonts w:cs="Arial"/>
          <w:i/>
          <w:sz w:val="16"/>
          <w:szCs w:val="16"/>
        </w:rPr>
        <w:t xml:space="preserve"> teritoriju un ainavu ietekmēšana, kā arī citas darbības, kuru veikšana vai galarezul</w:t>
      </w:r>
      <w:r>
        <w:rPr>
          <w:rFonts w:cs="Arial"/>
          <w:i/>
          <w:sz w:val="16"/>
          <w:szCs w:val="16"/>
        </w:rPr>
        <w:t>tāts var būtiski ietekmēt vidi”.</w:t>
      </w:r>
    </w:p>
  </w:footnote>
  <w:footnote w:id="78">
    <w:p w:rsidR="00392247" w:rsidRPr="00550115" w:rsidRDefault="00392247" w:rsidP="00BD2E22">
      <w:pPr>
        <w:pStyle w:val="FootnoteText"/>
        <w:jc w:val="both"/>
        <w:rPr>
          <w:rFonts w:cs="Arial"/>
          <w:sz w:val="16"/>
          <w:szCs w:val="16"/>
        </w:rPr>
      </w:pPr>
      <w:r w:rsidRPr="00550115">
        <w:rPr>
          <w:rStyle w:val="FootnoteReference"/>
          <w:rFonts w:cs="Arial"/>
          <w:sz w:val="16"/>
          <w:szCs w:val="16"/>
        </w:rPr>
        <w:footnoteRef/>
      </w:r>
      <w:r w:rsidRPr="00550115">
        <w:rPr>
          <w:rFonts w:cs="Arial"/>
          <w:sz w:val="16"/>
          <w:szCs w:val="16"/>
        </w:rPr>
        <w:t xml:space="preserve"> Likuma “Par ietekmes uz vidi novērtējumu” 1.panta 2.punkts, 1.panta 2.</w:t>
      </w:r>
      <w:r w:rsidRPr="00550115">
        <w:rPr>
          <w:rFonts w:cs="Arial"/>
          <w:sz w:val="16"/>
          <w:szCs w:val="16"/>
          <w:vertAlign w:val="superscript"/>
        </w:rPr>
        <w:t>1</w:t>
      </w:r>
      <w:r w:rsidRPr="00550115">
        <w:rPr>
          <w:rFonts w:cs="Arial"/>
          <w:sz w:val="16"/>
          <w:szCs w:val="16"/>
        </w:rPr>
        <w:t>.punkts, 3.</w:t>
      </w:r>
      <w:r w:rsidRPr="00550115">
        <w:rPr>
          <w:rFonts w:cs="Arial"/>
          <w:sz w:val="16"/>
          <w:szCs w:val="16"/>
          <w:vertAlign w:val="superscript"/>
        </w:rPr>
        <w:t>2</w:t>
      </w:r>
      <w:r w:rsidRPr="00550115">
        <w:rPr>
          <w:rFonts w:cs="Arial"/>
          <w:sz w:val="16"/>
          <w:szCs w:val="16"/>
        </w:rPr>
        <w:t>.pants, 4.pants, 4.</w:t>
      </w:r>
      <w:r w:rsidRPr="00550115">
        <w:rPr>
          <w:rFonts w:cs="Arial"/>
          <w:sz w:val="16"/>
          <w:szCs w:val="16"/>
          <w:vertAlign w:val="superscript"/>
        </w:rPr>
        <w:t>1</w:t>
      </w:r>
      <w:r w:rsidRPr="00550115">
        <w:rPr>
          <w:rFonts w:cs="Arial"/>
          <w:sz w:val="16"/>
          <w:szCs w:val="16"/>
        </w:rPr>
        <w:t>.pants</w:t>
      </w:r>
      <w:r>
        <w:rPr>
          <w:rFonts w:cs="Arial"/>
          <w:sz w:val="16"/>
          <w:szCs w:val="16"/>
        </w:rPr>
        <w:t>.</w:t>
      </w:r>
    </w:p>
  </w:footnote>
  <w:footnote w:id="79">
    <w:p w:rsidR="00392247" w:rsidRPr="00E5467F" w:rsidRDefault="00392247" w:rsidP="00BD2E22">
      <w:pPr>
        <w:pStyle w:val="FootnoteText"/>
        <w:jc w:val="both"/>
        <w:rPr>
          <w:rFonts w:cs="Arial"/>
          <w:sz w:val="16"/>
          <w:szCs w:val="16"/>
        </w:rPr>
      </w:pPr>
      <w:r w:rsidRPr="00E5467F">
        <w:rPr>
          <w:rStyle w:val="FootnoteReference"/>
          <w:rFonts w:cs="Arial"/>
          <w:sz w:val="16"/>
          <w:szCs w:val="16"/>
        </w:rPr>
        <w:footnoteRef/>
      </w:r>
      <w:r w:rsidRPr="0036515D">
        <w:rPr>
          <w:rFonts w:cs="Arial"/>
          <w:sz w:val="16"/>
          <w:szCs w:val="16"/>
        </w:rPr>
        <w:t xml:space="preserve"> </w:t>
      </w:r>
      <w:r w:rsidRPr="00E5467F">
        <w:rPr>
          <w:rFonts w:cs="Arial"/>
          <w:sz w:val="16"/>
          <w:szCs w:val="16"/>
        </w:rPr>
        <w:t>Likuma “Par ietekmes uz vidi novērtējumu” 1.panta 2.</w:t>
      </w:r>
      <w:r w:rsidRPr="00E5467F">
        <w:rPr>
          <w:rFonts w:cs="Arial"/>
          <w:sz w:val="16"/>
          <w:szCs w:val="16"/>
          <w:vertAlign w:val="superscript"/>
        </w:rPr>
        <w:t>1</w:t>
      </w:r>
      <w:r>
        <w:rPr>
          <w:rFonts w:cs="Arial"/>
          <w:sz w:val="16"/>
          <w:szCs w:val="16"/>
        </w:rPr>
        <w:t xml:space="preserve"> </w:t>
      </w:r>
      <w:r w:rsidRPr="00E5467F">
        <w:rPr>
          <w:rFonts w:cs="Arial"/>
          <w:sz w:val="16"/>
          <w:szCs w:val="16"/>
        </w:rPr>
        <w:t>punkts</w:t>
      </w:r>
      <w:r>
        <w:rPr>
          <w:rFonts w:cs="Arial"/>
          <w:sz w:val="16"/>
          <w:szCs w:val="16"/>
        </w:rPr>
        <w:t>.</w:t>
      </w:r>
    </w:p>
  </w:footnote>
  <w:footnote w:id="80">
    <w:p w:rsidR="00392247" w:rsidRPr="00E5467F" w:rsidRDefault="00392247" w:rsidP="00BD2E22">
      <w:pPr>
        <w:pStyle w:val="FootnoteText"/>
        <w:jc w:val="both"/>
        <w:rPr>
          <w:rFonts w:cs="Arial"/>
          <w:sz w:val="16"/>
          <w:szCs w:val="16"/>
        </w:rPr>
      </w:pPr>
      <w:r w:rsidRPr="00E5467F">
        <w:rPr>
          <w:rStyle w:val="FootnoteReference"/>
          <w:rFonts w:cs="Arial"/>
          <w:sz w:val="16"/>
          <w:szCs w:val="16"/>
        </w:rPr>
        <w:footnoteRef/>
      </w:r>
      <w:r w:rsidRPr="0036515D">
        <w:rPr>
          <w:rFonts w:cs="Arial"/>
          <w:sz w:val="16"/>
          <w:szCs w:val="16"/>
        </w:rPr>
        <w:t xml:space="preserve"> </w:t>
      </w:r>
      <w:r w:rsidRPr="00E5467F">
        <w:rPr>
          <w:rFonts w:cs="Arial"/>
          <w:sz w:val="16"/>
          <w:szCs w:val="16"/>
        </w:rPr>
        <w:t>Augstākās tiesas Administratīvo lietu departamenta 2012.gada</w:t>
      </w:r>
      <w:r>
        <w:rPr>
          <w:rFonts w:cs="Arial"/>
          <w:sz w:val="16"/>
          <w:szCs w:val="16"/>
        </w:rPr>
        <w:t xml:space="preserve"> 30.oktobra sprieduma lietā Nr. </w:t>
      </w:r>
      <w:r w:rsidRPr="00E5467F">
        <w:rPr>
          <w:rFonts w:cs="Arial"/>
          <w:sz w:val="16"/>
          <w:szCs w:val="16"/>
        </w:rPr>
        <w:t>SKA-139/2012 23.punkts</w:t>
      </w:r>
      <w:r>
        <w:rPr>
          <w:rFonts w:cs="Arial"/>
          <w:sz w:val="16"/>
          <w:szCs w:val="16"/>
        </w:rPr>
        <w:t>.</w:t>
      </w:r>
    </w:p>
  </w:footnote>
  <w:footnote w:id="81">
    <w:p w:rsidR="00392247" w:rsidRPr="00E5467F" w:rsidRDefault="00392247" w:rsidP="00BD2E22">
      <w:pPr>
        <w:pStyle w:val="FootnoteText"/>
        <w:jc w:val="both"/>
        <w:rPr>
          <w:rFonts w:cs="Arial"/>
          <w:sz w:val="16"/>
          <w:szCs w:val="16"/>
        </w:rPr>
      </w:pPr>
      <w:r w:rsidRPr="00E5467F">
        <w:rPr>
          <w:rStyle w:val="FootnoteReference"/>
          <w:rFonts w:cs="Arial"/>
          <w:sz w:val="16"/>
          <w:szCs w:val="16"/>
        </w:rPr>
        <w:footnoteRef/>
      </w:r>
      <w:r w:rsidRPr="0036515D">
        <w:rPr>
          <w:rFonts w:cs="Arial"/>
          <w:sz w:val="16"/>
          <w:szCs w:val="16"/>
        </w:rPr>
        <w:t xml:space="preserve"> </w:t>
      </w:r>
      <w:r w:rsidRPr="00E5467F">
        <w:rPr>
          <w:rFonts w:cs="Arial"/>
          <w:sz w:val="16"/>
          <w:szCs w:val="16"/>
        </w:rPr>
        <w:t>Augstākās tiesas Administratīvo lietu departament</w:t>
      </w:r>
      <w:r>
        <w:rPr>
          <w:rFonts w:cs="Arial"/>
          <w:sz w:val="16"/>
          <w:szCs w:val="16"/>
        </w:rPr>
        <w:t>a 2012.gada 30.oktobra sprieduma</w:t>
      </w:r>
      <w:r w:rsidRPr="00E5467F">
        <w:rPr>
          <w:rFonts w:cs="Arial"/>
          <w:sz w:val="16"/>
          <w:szCs w:val="16"/>
        </w:rPr>
        <w:t xml:space="preserve"> </w:t>
      </w:r>
      <w:r>
        <w:rPr>
          <w:rFonts w:cs="Arial"/>
          <w:sz w:val="16"/>
          <w:szCs w:val="16"/>
        </w:rPr>
        <w:t>lietā Nr. SKA-139/2012 9.punkts.</w:t>
      </w:r>
    </w:p>
  </w:footnote>
  <w:footnote w:id="82">
    <w:p w:rsidR="00392247" w:rsidRPr="00550115" w:rsidRDefault="00392247" w:rsidP="00BD2E22">
      <w:pPr>
        <w:pStyle w:val="FootnoteText"/>
        <w:jc w:val="both"/>
        <w:rPr>
          <w:rFonts w:cs="Arial"/>
          <w:sz w:val="16"/>
          <w:szCs w:val="16"/>
        </w:rPr>
      </w:pPr>
      <w:r w:rsidRPr="00E5467F">
        <w:rPr>
          <w:rStyle w:val="FootnoteReference"/>
          <w:rFonts w:cs="Arial"/>
          <w:sz w:val="16"/>
          <w:szCs w:val="16"/>
        </w:rPr>
        <w:footnoteRef/>
      </w:r>
      <w:r w:rsidRPr="00E5467F">
        <w:rPr>
          <w:rFonts w:cs="Arial"/>
          <w:sz w:val="16"/>
          <w:szCs w:val="16"/>
        </w:rPr>
        <w:t xml:space="preserve"> Likuma “Par ietekmes uz vidi novērtējumu” 3.</w:t>
      </w:r>
      <w:r w:rsidRPr="00E5467F">
        <w:rPr>
          <w:rFonts w:cs="Arial"/>
          <w:sz w:val="16"/>
          <w:szCs w:val="16"/>
          <w:vertAlign w:val="superscript"/>
        </w:rPr>
        <w:t>2</w:t>
      </w:r>
      <w:r w:rsidRPr="00E5467F">
        <w:rPr>
          <w:rFonts w:cs="Arial"/>
          <w:sz w:val="16"/>
          <w:szCs w:val="16"/>
        </w:rPr>
        <w:t>.panta pirmā daļa</w:t>
      </w:r>
      <w:r>
        <w:rPr>
          <w:rFonts w:cs="Arial"/>
          <w:sz w:val="16"/>
          <w:szCs w:val="16"/>
        </w:rPr>
        <w:t>.</w:t>
      </w:r>
    </w:p>
  </w:footnote>
  <w:footnote w:id="83">
    <w:p w:rsidR="00392247" w:rsidRPr="003D67FE" w:rsidRDefault="00392247" w:rsidP="00726CD1">
      <w:pPr>
        <w:pStyle w:val="FootnoteText"/>
        <w:jc w:val="both"/>
        <w:rPr>
          <w:rFonts w:cs="Arial"/>
          <w:sz w:val="16"/>
          <w:szCs w:val="16"/>
        </w:rPr>
      </w:pPr>
      <w:r w:rsidRPr="003D67FE">
        <w:rPr>
          <w:rStyle w:val="FootnoteReference"/>
          <w:rFonts w:cs="Arial"/>
          <w:sz w:val="16"/>
          <w:szCs w:val="16"/>
        </w:rPr>
        <w:footnoteRef/>
      </w:r>
      <w:r w:rsidRPr="003D67FE">
        <w:rPr>
          <w:rFonts w:cs="Arial"/>
          <w:sz w:val="16"/>
          <w:szCs w:val="16"/>
        </w:rPr>
        <w:t xml:space="preserve"> Likuma “Par ietekmes uz vidi novērtējumu” 4.panta pirmā daļa.</w:t>
      </w:r>
    </w:p>
  </w:footnote>
  <w:footnote w:id="84">
    <w:p w:rsidR="00392247" w:rsidRPr="00817DD1" w:rsidRDefault="00392247" w:rsidP="00726CD1">
      <w:pPr>
        <w:pStyle w:val="FootnoteText"/>
        <w:jc w:val="both"/>
        <w:rPr>
          <w:sz w:val="16"/>
          <w:szCs w:val="16"/>
        </w:rPr>
      </w:pPr>
      <w:r w:rsidRPr="00817DD1">
        <w:rPr>
          <w:rStyle w:val="FootnoteReference"/>
          <w:sz w:val="16"/>
          <w:szCs w:val="16"/>
        </w:rPr>
        <w:footnoteRef/>
      </w:r>
      <w:r w:rsidRPr="00817DD1">
        <w:rPr>
          <w:sz w:val="16"/>
          <w:szCs w:val="16"/>
        </w:rPr>
        <w:t xml:space="preserve"> EST1999.gada 16.septembra spriedums lie</w:t>
      </w:r>
      <w:r>
        <w:rPr>
          <w:sz w:val="16"/>
          <w:szCs w:val="16"/>
        </w:rPr>
        <w:t xml:space="preserve">tā C-435/97 </w:t>
      </w:r>
      <w:proofErr w:type="spellStart"/>
      <w:r>
        <w:rPr>
          <w:sz w:val="16"/>
          <w:szCs w:val="16"/>
        </w:rPr>
        <w:t>World</w:t>
      </w:r>
      <w:proofErr w:type="spellEnd"/>
      <w:r>
        <w:rPr>
          <w:sz w:val="16"/>
          <w:szCs w:val="16"/>
        </w:rPr>
        <w:t xml:space="preserve"> </w:t>
      </w:r>
      <w:proofErr w:type="spellStart"/>
      <w:r>
        <w:rPr>
          <w:sz w:val="16"/>
          <w:szCs w:val="16"/>
        </w:rPr>
        <w:t>Wildlife</w:t>
      </w:r>
      <w:proofErr w:type="spellEnd"/>
      <w:r>
        <w:rPr>
          <w:sz w:val="16"/>
          <w:szCs w:val="16"/>
        </w:rPr>
        <w:t xml:space="preserve"> </w:t>
      </w:r>
      <w:proofErr w:type="spellStart"/>
      <w:r>
        <w:rPr>
          <w:sz w:val="16"/>
          <w:szCs w:val="16"/>
        </w:rPr>
        <w:t>Fund</w:t>
      </w:r>
      <w:proofErr w:type="spellEnd"/>
      <w:r w:rsidRPr="00817DD1">
        <w:rPr>
          <w:sz w:val="16"/>
          <w:szCs w:val="16"/>
        </w:rPr>
        <w:t>.</w:t>
      </w:r>
    </w:p>
  </w:footnote>
  <w:footnote w:id="85">
    <w:p w:rsidR="00392247" w:rsidRPr="00817DD1" w:rsidRDefault="00392247" w:rsidP="00726CD1">
      <w:pPr>
        <w:pStyle w:val="FootnoteText"/>
        <w:jc w:val="both"/>
        <w:rPr>
          <w:sz w:val="16"/>
          <w:szCs w:val="16"/>
        </w:rPr>
      </w:pPr>
      <w:r w:rsidRPr="00817DD1">
        <w:rPr>
          <w:rStyle w:val="FootnoteReference"/>
          <w:sz w:val="16"/>
          <w:szCs w:val="16"/>
        </w:rPr>
        <w:footnoteRef/>
      </w:r>
      <w:r w:rsidRPr="00817DD1">
        <w:rPr>
          <w:sz w:val="16"/>
          <w:szCs w:val="16"/>
        </w:rPr>
        <w:t xml:space="preserve"> EST 2016.gada 14.janvāra spriedums lietā C-141/14 Komisija pret Bulgāriju, 93.punkts; EST 2013.gada 21.marta spriedums lietā C-244/12 </w:t>
      </w:r>
      <w:proofErr w:type="spellStart"/>
      <w:r>
        <w:rPr>
          <w:sz w:val="16"/>
          <w:szCs w:val="16"/>
        </w:rPr>
        <w:t>Salzburger</w:t>
      </w:r>
      <w:proofErr w:type="spellEnd"/>
      <w:r>
        <w:rPr>
          <w:sz w:val="16"/>
          <w:szCs w:val="16"/>
        </w:rPr>
        <w:t xml:space="preserve"> </w:t>
      </w:r>
      <w:proofErr w:type="spellStart"/>
      <w:r>
        <w:rPr>
          <w:sz w:val="16"/>
          <w:szCs w:val="16"/>
        </w:rPr>
        <w:t>Flughafen</w:t>
      </w:r>
      <w:proofErr w:type="spellEnd"/>
      <w:r>
        <w:rPr>
          <w:sz w:val="16"/>
          <w:szCs w:val="16"/>
        </w:rPr>
        <w:t>, 30.punkts,</w:t>
      </w:r>
      <w:r w:rsidRPr="00817DD1">
        <w:rPr>
          <w:sz w:val="16"/>
          <w:szCs w:val="16"/>
        </w:rPr>
        <w:t xml:space="preserve"> EST 2015.gada 11.februāra spriedums lietā C-531/13 </w:t>
      </w:r>
      <w:proofErr w:type="spellStart"/>
      <w:r w:rsidRPr="00817DD1">
        <w:rPr>
          <w:sz w:val="16"/>
          <w:szCs w:val="16"/>
        </w:rPr>
        <w:t>Marktgemeinde</w:t>
      </w:r>
      <w:proofErr w:type="spellEnd"/>
      <w:r w:rsidRPr="00817DD1">
        <w:rPr>
          <w:sz w:val="16"/>
          <w:szCs w:val="16"/>
        </w:rPr>
        <w:t xml:space="preserve"> </w:t>
      </w:r>
      <w:proofErr w:type="spellStart"/>
      <w:r w:rsidRPr="00817DD1">
        <w:rPr>
          <w:sz w:val="16"/>
          <w:szCs w:val="16"/>
        </w:rPr>
        <w:t>Straßwalchen</w:t>
      </w:r>
      <w:proofErr w:type="spellEnd"/>
      <w:r w:rsidRPr="00817DD1">
        <w:rPr>
          <w:sz w:val="16"/>
          <w:szCs w:val="16"/>
        </w:rPr>
        <w:t>, 41.punkts.</w:t>
      </w:r>
    </w:p>
  </w:footnote>
  <w:footnote w:id="86">
    <w:p w:rsidR="00392247" w:rsidRPr="00817DD1" w:rsidRDefault="00392247" w:rsidP="00BD2E22">
      <w:pPr>
        <w:pStyle w:val="FootnoteText"/>
        <w:jc w:val="both"/>
        <w:rPr>
          <w:rFonts w:cs="Arial"/>
          <w:sz w:val="16"/>
          <w:szCs w:val="16"/>
        </w:rPr>
      </w:pPr>
      <w:r w:rsidRPr="00817DD1">
        <w:rPr>
          <w:rStyle w:val="FootnoteReference"/>
          <w:rFonts w:cs="Arial"/>
          <w:sz w:val="16"/>
          <w:szCs w:val="16"/>
        </w:rPr>
        <w:footnoteRef/>
      </w:r>
      <w:r w:rsidRPr="00817DD1">
        <w:rPr>
          <w:rFonts w:cs="Arial"/>
          <w:sz w:val="16"/>
          <w:szCs w:val="16"/>
        </w:rPr>
        <w:t xml:space="preserve"> Minētajā pielikumā ir ietvertas darbības, kuram veicams sākotnējais ietekmes uz vidi novērtējums. Šajā tabulas rindā tiks atspoguļots tas, kādus kritērijus Latvija ir ieviesusi, nosakot, kurām darbībām ir veicams sākotnējais ietekmes uz vidi novērtējums un kurām sākotnējais ietekmes uz vidi novērtējums nav veicams.</w:t>
      </w:r>
    </w:p>
  </w:footnote>
  <w:footnote w:id="87">
    <w:p w:rsidR="00392247" w:rsidRPr="00874E84" w:rsidRDefault="00392247" w:rsidP="00BD2E22">
      <w:pPr>
        <w:pStyle w:val="FootnoteText"/>
        <w:jc w:val="both"/>
        <w:rPr>
          <w:rFonts w:cs="Arial"/>
          <w:sz w:val="16"/>
          <w:szCs w:val="16"/>
        </w:rPr>
      </w:pPr>
      <w:r w:rsidRPr="00874E84">
        <w:rPr>
          <w:rStyle w:val="FootnoteReference"/>
          <w:rFonts w:cs="Arial"/>
          <w:sz w:val="16"/>
          <w:szCs w:val="16"/>
        </w:rPr>
        <w:footnoteRef/>
      </w:r>
      <w:r w:rsidRPr="00874E84">
        <w:rPr>
          <w:rFonts w:cs="Arial"/>
          <w:sz w:val="16"/>
          <w:szCs w:val="16"/>
        </w:rPr>
        <w:t xml:space="preserve"> </w:t>
      </w:r>
      <w:proofErr w:type="spellStart"/>
      <w:r w:rsidRPr="00874E84">
        <w:rPr>
          <w:rFonts w:cs="Arial"/>
          <w:bCs/>
          <w:color w:val="000000" w:themeColor="text1"/>
          <w:sz w:val="16"/>
          <w:szCs w:val="16"/>
        </w:rPr>
        <w:t>Statkus</w:t>
      </w:r>
      <w:proofErr w:type="spellEnd"/>
      <w:r w:rsidRPr="00874E84">
        <w:rPr>
          <w:rFonts w:cs="Arial"/>
          <w:bCs/>
          <w:color w:val="000000" w:themeColor="text1"/>
          <w:sz w:val="16"/>
          <w:szCs w:val="16"/>
        </w:rPr>
        <w:t xml:space="preserve"> S. Teritorijas plānojumu kontrole. Jurista Vārds, 2004.gada 10.februāris, Nr.5(310).</w:t>
      </w:r>
    </w:p>
  </w:footnote>
  <w:footnote w:id="88">
    <w:p w:rsidR="00392247" w:rsidRPr="00874E84" w:rsidRDefault="00392247" w:rsidP="00BD2E22">
      <w:pPr>
        <w:pStyle w:val="NoSpacing"/>
        <w:jc w:val="both"/>
        <w:rPr>
          <w:rFonts w:ascii="Arial" w:hAnsi="Arial" w:cs="Arial"/>
          <w:sz w:val="16"/>
          <w:szCs w:val="16"/>
        </w:rPr>
      </w:pPr>
      <w:r w:rsidRPr="00874E84">
        <w:rPr>
          <w:rStyle w:val="FootnoteReference"/>
          <w:rFonts w:ascii="Arial" w:hAnsi="Arial" w:cs="Arial"/>
          <w:sz w:val="16"/>
          <w:szCs w:val="16"/>
        </w:rPr>
        <w:footnoteRef/>
      </w:r>
      <w:r w:rsidRPr="00874E84">
        <w:rPr>
          <w:rFonts w:ascii="Arial" w:hAnsi="Arial" w:cs="Arial"/>
          <w:sz w:val="16"/>
          <w:szCs w:val="16"/>
        </w:rPr>
        <w:t xml:space="preserve"> </w:t>
      </w:r>
      <w:proofErr w:type="spellStart"/>
      <w:r w:rsidRPr="00874E84">
        <w:rPr>
          <w:rFonts w:ascii="Arial" w:hAnsi="Arial" w:cs="Arial"/>
          <w:sz w:val="16"/>
          <w:szCs w:val="16"/>
        </w:rPr>
        <w:t>Mahendra</w:t>
      </w:r>
      <w:proofErr w:type="spellEnd"/>
      <w:r w:rsidRPr="00874E84">
        <w:rPr>
          <w:rFonts w:ascii="Arial" w:hAnsi="Arial" w:cs="Arial"/>
          <w:sz w:val="16"/>
          <w:szCs w:val="16"/>
        </w:rPr>
        <w:t xml:space="preserve"> P. </w:t>
      </w:r>
      <w:proofErr w:type="spellStart"/>
      <w:r w:rsidRPr="00874E84">
        <w:rPr>
          <w:rFonts w:ascii="Arial" w:hAnsi="Arial" w:cs="Arial"/>
          <w:sz w:val="16"/>
          <w:szCs w:val="16"/>
        </w:rPr>
        <w:t>Singh</w:t>
      </w:r>
      <w:proofErr w:type="spellEnd"/>
      <w:r w:rsidRPr="00874E84">
        <w:rPr>
          <w:rFonts w:ascii="Arial" w:hAnsi="Arial" w:cs="Arial"/>
          <w:sz w:val="16"/>
          <w:szCs w:val="16"/>
        </w:rPr>
        <w:t xml:space="preserve">. </w:t>
      </w:r>
      <w:proofErr w:type="spellStart"/>
      <w:r w:rsidRPr="00874E84">
        <w:rPr>
          <w:rFonts w:ascii="Arial" w:hAnsi="Arial" w:cs="Arial"/>
          <w:sz w:val="16"/>
          <w:szCs w:val="16"/>
        </w:rPr>
        <w:t>German</w:t>
      </w:r>
      <w:proofErr w:type="spellEnd"/>
      <w:r w:rsidRPr="00874E84">
        <w:rPr>
          <w:rFonts w:ascii="Arial" w:hAnsi="Arial" w:cs="Arial"/>
          <w:sz w:val="16"/>
          <w:szCs w:val="16"/>
        </w:rPr>
        <w:t xml:space="preserve"> </w:t>
      </w:r>
      <w:proofErr w:type="spellStart"/>
      <w:r w:rsidRPr="00874E84">
        <w:rPr>
          <w:rFonts w:ascii="Arial" w:hAnsi="Arial" w:cs="Arial"/>
          <w:sz w:val="16"/>
          <w:szCs w:val="16"/>
        </w:rPr>
        <w:t>Administrative</w:t>
      </w:r>
      <w:proofErr w:type="spellEnd"/>
      <w:r w:rsidRPr="00874E84">
        <w:rPr>
          <w:rFonts w:ascii="Arial" w:hAnsi="Arial" w:cs="Arial"/>
          <w:sz w:val="16"/>
          <w:szCs w:val="16"/>
        </w:rPr>
        <w:t xml:space="preserve"> </w:t>
      </w:r>
      <w:proofErr w:type="spellStart"/>
      <w:r w:rsidRPr="00874E84">
        <w:rPr>
          <w:rFonts w:ascii="Arial" w:hAnsi="Arial" w:cs="Arial"/>
          <w:sz w:val="16"/>
          <w:szCs w:val="16"/>
        </w:rPr>
        <w:t>Law</w:t>
      </w:r>
      <w:proofErr w:type="spellEnd"/>
      <w:r w:rsidRPr="00874E84">
        <w:rPr>
          <w:rFonts w:ascii="Arial" w:hAnsi="Arial" w:cs="Arial"/>
          <w:sz w:val="16"/>
          <w:szCs w:val="16"/>
        </w:rPr>
        <w:t xml:space="preserve">. </w:t>
      </w:r>
      <w:proofErr w:type="spellStart"/>
      <w:r w:rsidRPr="00874E84">
        <w:rPr>
          <w:rFonts w:ascii="Arial" w:hAnsi="Arial" w:cs="Arial"/>
          <w:sz w:val="16"/>
          <w:szCs w:val="16"/>
        </w:rPr>
        <w:t>In</w:t>
      </w:r>
      <w:proofErr w:type="spellEnd"/>
      <w:r w:rsidRPr="00874E84">
        <w:rPr>
          <w:rFonts w:ascii="Arial" w:hAnsi="Arial" w:cs="Arial"/>
          <w:sz w:val="16"/>
          <w:szCs w:val="16"/>
        </w:rPr>
        <w:t xml:space="preserve"> </w:t>
      </w:r>
      <w:proofErr w:type="spellStart"/>
      <w:r w:rsidRPr="00874E84">
        <w:rPr>
          <w:rFonts w:ascii="Arial" w:hAnsi="Arial" w:cs="Arial"/>
          <w:sz w:val="16"/>
          <w:szCs w:val="16"/>
        </w:rPr>
        <w:t>Common</w:t>
      </w:r>
      <w:proofErr w:type="spellEnd"/>
      <w:r w:rsidRPr="00874E84">
        <w:rPr>
          <w:rFonts w:ascii="Arial" w:hAnsi="Arial" w:cs="Arial"/>
          <w:sz w:val="16"/>
          <w:szCs w:val="16"/>
        </w:rPr>
        <w:t xml:space="preserve"> </w:t>
      </w:r>
      <w:proofErr w:type="spellStart"/>
      <w:r w:rsidRPr="00874E84">
        <w:rPr>
          <w:rFonts w:ascii="Arial" w:hAnsi="Arial" w:cs="Arial"/>
          <w:sz w:val="16"/>
          <w:szCs w:val="16"/>
        </w:rPr>
        <w:t>Law</w:t>
      </w:r>
      <w:proofErr w:type="spellEnd"/>
      <w:r w:rsidRPr="00874E84">
        <w:rPr>
          <w:rFonts w:ascii="Arial" w:hAnsi="Arial" w:cs="Arial"/>
          <w:sz w:val="16"/>
          <w:szCs w:val="16"/>
        </w:rPr>
        <w:t xml:space="preserve"> </w:t>
      </w:r>
      <w:proofErr w:type="spellStart"/>
      <w:r w:rsidRPr="00874E84">
        <w:rPr>
          <w:rFonts w:ascii="Arial" w:hAnsi="Arial" w:cs="Arial"/>
          <w:sz w:val="16"/>
          <w:szCs w:val="16"/>
        </w:rPr>
        <w:t>Perspective</w:t>
      </w:r>
      <w:proofErr w:type="spellEnd"/>
      <w:r w:rsidRPr="00874E84">
        <w:rPr>
          <w:rFonts w:ascii="Arial" w:hAnsi="Arial" w:cs="Arial"/>
          <w:sz w:val="16"/>
          <w:szCs w:val="16"/>
        </w:rPr>
        <w:t xml:space="preserve">. </w:t>
      </w:r>
      <w:proofErr w:type="spellStart"/>
      <w:r w:rsidRPr="00874E84">
        <w:rPr>
          <w:rFonts w:ascii="Arial" w:hAnsi="Arial" w:cs="Arial"/>
          <w:sz w:val="16"/>
          <w:szCs w:val="16"/>
        </w:rPr>
        <w:t>Berlin</w:t>
      </w:r>
      <w:proofErr w:type="spellEnd"/>
      <w:r w:rsidRPr="00874E84">
        <w:rPr>
          <w:rFonts w:ascii="Arial" w:hAnsi="Arial" w:cs="Arial"/>
          <w:sz w:val="16"/>
          <w:szCs w:val="16"/>
        </w:rPr>
        <w:t>, Springer-</w:t>
      </w:r>
      <w:proofErr w:type="spellStart"/>
      <w:r w:rsidRPr="00874E84">
        <w:rPr>
          <w:rFonts w:ascii="Arial" w:hAnsi="Arial" w:cs="Arial"/>
          <w:sz w:val="16"/>
          <w:szCs w:val="16"/>
        </w:rPr>
        <w:t>Verlag</w:t>
      </w:r>
      <w:proofErr w:type="spellEnd"/>
      <w:r w:rsidRPr="00874E84">
        <w:rPr>
          <w:rFonts w:ascii="Arial" w:hAnsi="Arial" w:cs="Arial"/>
          <w:sz w:val="16"/>
          <w:szCs w:val="16"/>
        </w:rPr>
        <w:t>, 1985, p. 59-60.</w:t>
      </w:r>
    </w:p>
  </w:footnote>
  <w:footnote w:id="89">
    <w:p w:rsidR="00392247" w:rsidRPr="001C47F5" w:rsidRDefault="00392247" w:rsidP="00BD2E22">
      <w:pPr>
        <w:pStyle w:val="FootnoteText"/>
        <w:jc w:val="both"/>
      </w:pPr>
      <w:r w:rsidRPr="001C47F5">
        <w:rPr>
          <w:rStyle w:val="FootnoteReference"/>
          <w:rFonts w:cs="Arial"/>
          <w:sz w:val="16"/>
          <w:szCs w:val="16"/>
        </w:rPr>
        <w:footnoteRef/>
      </w:r>
      <w:r w:rsidRPr="001C47F5">
        <w:rPr>
          <w:rFonts w:cs="Arial"/>
          <w:sz w:val="16"/>
          <w:szCs w:val="16"/>
        </w:rPr>
        <w:t xml:space="preserve"> Par to plašāk sk. Augstākās tiesas Administratīvo lietu departamenta 2012.gada 9.februāra lēmuma lietā Nr. SKA-271/2011 11.punktu</w:t>
      </w:r>
      <w:r>
        <w:rPr>
          <w:rFonts w:cs="Arial"/>
          <w:sz w:val="16"/>
          <w:szCs w:val="16"/>
        </w:rPr>
        <w:t>.</w:t>
      </w:r>
    </w:p>
  </w:footnote>
  <w:footnote w:id="90">
    <w:p w:rsidR="00392247" w:rsidRPr="00874E84" w:rsidRDefault="00392247" w:rsidP="00BD2E22">
      <w:pPr>
        <w:pStyle w:val="FootnoteText"/>
        <w:jc w:val="both"/>
        <w:rPr>
          <w:rFonts w:cs="Arial"/>
          <w:sz w:val="16"/>
          <w:szCs w:val="16"/>
        </w:rPr>
      </w:pPr>
      <w:r w:rsidRPr="00874E84">
        <w:rPr>
          <w:rStyle w:val="FootnoteReference"/>
          <w:rFonts w:cs="Arial"/>
          <w:sz w:val="16"/>
          <w:szCs w:val="16"/>
        </w:rPr>
        <w:footnoteRef/>
      </w:r>
      <w:r w:rsidRPr="00874E84">
        <w:rPr>
          <w:rFonts w:cs="Arial"/>
          <w:sz w:val="16"/>
          <w:szCs w:val="16"/>
        </w:rPr>
        <w:t xml:space="preserve"> </w:t>
      </w:r>
      <w:r w:rsidRPr="00874E84">
        <w:rPr>
          <w:rFonts w:eastAsia="Arial" w:cs="Arial"/>
          <w:sz w:val="16"/>
          <w:szCs w:val="16"/>
        </w:rPr>
        <w:t>Latvijas Republikas Satversmes komentāri. VIII nodaļa. Cilvēka pamattiesības. Autoru kolektīvs prof. R. Baloža zinātniskā vadībā. Rīga: Latvijas Vēstnesis, 2011, 470.lpp.</w:t>
      </w:r>
    </w:p>
  </w:footnote>
  <w:footnote w:id="91">
    <w:p w:rsidR="00392247" w:rsidRPr="00874E84" w:rsidRDefault="00392247" w:rsidP="00BD2E22">
      <w:pPr>
        <w:pStyle w:val="FootnoteText"/>
        <w:jc w:val="both"/>
        <w:rPr>
          <w:rFonts w:cs="Arial"/>
          <w:color w:val="000000" w:themeColor="text1"/>
          <w:sz w:val="16"/>
          <w:szCs w:val="16"/>
        </w:rPr>
      </w:pPr>
      <w:r w:rsidRPr="00874E84">
        <w:rPr>
          <w:rStyle w:val="FootnoteReference"/>
          <w:rFonts w:cs="Arial"/>
          <w:color w:val="000000" w:themeColor="text1"/>
          <w:sz w:val="16"/>
          <w:szCs w:val="16"/>
        </w:rPr>
        <w:footnoteRef/>
      </w:r>
      <w:r w:rsidRPr="00874E84">
        <w:rPr>
          <w:rFonts w:cs="Arial"/>
          <w:color w:val="000000" w:themeColor="text1"/>
          <w:sz w:val="16"/>
          <w:szCs w:val="16"/>
        </w:rPr>
        <w:t xml:space="preserve"> Satversmes tiesas 2007. gada 26. aprīļa sprieduma lietā Nr. 2006-38-03 8.1.punkts.</w:t>
      </w:r>
    </w:p>
  </w:footnote>
  <w:footnote w:id="92">
    <w:p w:rsidR="00392247" w:rsidRPr="00874E84" w:rsidRDefault="00392247" w:rsidP="00BD2E22">
      <w:pPr>
        <w:pStyle w:val="FootnoteText"/>
        <w:jc w:val="both"/>
        <w:rPr>
          <w:rFonts w:cs="Arial"/>
          <w:sz w:val="16"/>
          <w:szCs w:val="16"/>
        </w:rPr>
      </w:pPr>
      <w:r w:rsidRPr="00874E84">
        <w:rPr>
          <w:rStyle w:val="FootnoteReference"/>
          <w:rFonts w:cs="Arial"/>
          <w:sz w:val="16"/>
          <w:szCs w:val="16"/>
        </w:rPr>
        <w:footnoteRef/>
      </w:r>
      <w:r w:rsidRPr="00874E84">
        <w:rPr>
          <w:rFonts w:cs="Arial"/>
          <w:sz w:val="16"/>
          <w:szCs w:val="16"/>
        </w:rPr>
        <w:t xml:space="preserve"> F.J. </w:t>
      </w:r>
      <w:proofErr w:type="spellStart"/>
      <w:r w:rsidRPr="00874E84">
        <w:rPr>
          <w:rFonts w:cs="Arial"/>
          <w:sz w:val="16"/>
          <w:szCs w:val="16"/>
        </w:rPr>
        <w:t>Paine</w:t>
      </w:r>
      <w:proofErr w:type="spellEnd"/>
      <w:r w:rsidRPr="00874E84">
        <w:rPr>
          <w:rFonts w:cs="Arial"/>
          <w:sz w:val="16"/>
          <w:szCs w:val="16"/>
        </w:rPr>
        <w:t>. Vācijas vispārīgās administratīvās tiesības (ceturtais pārstrādātais izdevums). Vācijas Administratīvā procesa likums. Rīga: Tiesu namu aģentūra, 2002, 125. – 126.lpp.</w:t>
      </w:r>
    </w:p>
  </w:footnote>
  <w:footnote w:id="93">
    <w:p w:rsidR="00392247" w:rsidRPr="0036515D" w:rsidRDefault="00392247" w:rsidP="00BD2E22">
      <w:pPr>
        <w:pStyle w:val="FootnoteText"/>
        <w:jc w:val="both"/>
      </w:pPr>
      <w:r w:rsidRPr="00CC4045">
        <w:rPr>
          <w:rStyle w:val="FootnoteReference"/>
          <w:rFonts w:cs="Arial"/>
          <w:sz w:val="16"/>
          <w:szCs w:val="16"/>
        </w:rPr>
        <w:footnoteRef/>
      </w:r>
      <w:r w:rsidRPr="00CC4045">
        <w:rPr>
          <w:rFonts w:cs="Arial"/>
          <w:sz w:val="16"/>
          <w:szCs w:val="16"/>
        </w:rPr>
        <w:t xml:space="preserve"> Par pār</w:t>
      </w:r>
      <w:r>
        <w:rPr>
          <w:rFonts w:cs="Arial"/>
          <w:sz w:val="16"/>
          <w:szCs w:val="16"/>
        </w:rPr>
        <w:t xml:space="preserve">valdes tiesiskuma principu: </w:t>
      </w:r>
      <w:r w:rsidRPr="00CC4045">
        <w:rPr>
          <w:rFonts w:cs="Arial"/>
          <w:sz w:val="16"/>
          <w:szCs w:val="16"/>
        </w:rPr>
        <w:t>Satversmes tiesas 2008.gada 27.marta spriedum</w:t>
      </w:r>
      <w:r>
        <w:rPr>
          <w:rFonts w:cs="Arial"/>
          <w:sz w:val="16"/>
          <w:szCs w:val="16"/>
        </w:rPr>
        <w:t>a lietā Nr. 2007-17-05 13.punkts.</w:t>
      </w:r>
    </w:p>
  </w:footnote>
  <w:footnote w:id="94">
    <w:p w:rsidR="00392247" w:rsidRPr="000073A5" w:rsidRDefault="00392247" w:rsidP="00BD2E22">
      <w:pPr>
        <w:pStyle w:val="FootnoteText"/>
        <w:jc w:val="both"/>
        <w:rPr>
          <w:rFonts w:cs="Arial"/>
          <w:sz w:val="16"/>
          <w:szCs w:val="16"/>
        </w:rPr>
      </w:pPr>
      <w:r w:rsidRPr="000073A5">
        <w:rPr>
          <w:rStyle w:val="FootnoteReference"/>
          <w:rFonts w:cs="Arial"/>
          <w:sz w:val="16"/>
          <w:szCs w:val="16"/>
        </w:rPr>
        <w:footnoteRef/>
      </w:r>
      <w:r w:rsidRPr="000073A5">
        <w:rPr>
          <w:rFonts w:cs="Arial"/>
          <w:sz w:val="16"/>
          <w:szCs w:val="16"/>
        </w:rPr>
        <w:t xml:space="preserve"> Par li</w:t>
      </w:r>
      <w:r>
        <w:rPr>
          <w:rFonts w:cs="Arial"/>
          <w:sz w:val="16"/>
          <w:szCs w:val="16"/>
        </w:rPr>
        <w:t xml:space="preserve">kuma atrunas principu plašāk skatīt </w:t>
      </w:r>
      <w:r w:rsidRPr="000073A5">
        <w:rPr>
          <w:rFonts w:cs="Arial"/>
          <w:sz w:val="16"/>
          <w:szCs w:val="16"/>
        </w:rPr>
        <w:t xml:space="preserve">Augstākās tiesas Administratīvo lietu departamenta 2009.gada 16.marta sprieduma </w:t>
      </w:r>
      <w:r>
        <w:rPr>
          <w:rFonts w:cs="Arial"/>
          <w:sz w:val="16"/>
          <w:szCs w:val="16"/>
        </w:rPr>
        <w:t>lietā Nr. SKA-30/2009 10.punktu. Papildus:</w:t>
      </w:r>
      <w:r w:rsidRPr="000073A5">
        <w:rPr>
          <w:rFonts w:cs="Arial"/>
          <w:sz w:val="16"/>
          <w:szCs w:val="16"/>
        </w:rPr>
        <w:t xml:space="preserve"> Autoru kolektīvs. Administratīvā procesa likuma komentāri. A un B daļa. Rīga: Tiesu namu aģentūra, 2013, 171.</w:t>
      </w:r>
      <w:r>
        <w:rPr>
          <w:rFonts w:cs="Arial"/>
          <w:sz w:val="16"/>
          <w:szCs w:val="16"/>
        </w:rPr>
        <w:t xml:space="preserve"> – </w:t>
      </w:r>
      <w:r w:rsidRPr="000073A5">
        <w:rPr>
          <w:rFonts w:cs="Arial"/>
          <w:sz w:val="16"/>
          <w:szCs w:val="16"/>
        </w:rPr>
        <w:t>175.lpp.</w:t>
      </w:r>
    </w:p>
  </w:footnote>
  <w:footnote w:id="95">
    <w:p w:rsidR="00392247" w:rsidRPr="000073A5" w:rsidRDefault="00392247" w:rsidP="00BD2E22">
      <w:pPr>
        <w:pStyle w:val="FootnoteText"/>
        <w:jc w:val="both"/>
        <w:rPr>
          <w:rFonts w:cs="Arial"/>
          <w:sz w:val="16"/>
          <w:szCs w:val="16"/>
        </w:rPr>
      </w:pPr>
      <w:r w:rsidRPr="000073A5">
        <w:rPr>
          <w:rStyle w:val="FootnoteReference"/>
          <w:rFonts w:cs="Arial"/>
          <w:sz w:val="16"/>
          <w:szCs w:val="16"/>
        </w:rPr>
        <w:footnoteRef/>
      </w:r>
      <w:r w:rsidRPr="000073A5">
        <w:rPr>
          <w:rFonts w:cs="Arial"/>
          <w:sz w:val="16"/>
          <w:szCs w:val="16"/>
        </w:rPr>
        <w:t xml:space="preserve"> Rezevska D. Vispārējo tiesību principu nozīme un piemērošana. 2.izdevums. Rīga: Daigas Rezevskas izdevums, 2015, 75.</w:t>
      </w:r>
      <w:r>
        <w:rPr>
          <w:rFonts w:cs="Arial"/>
          <w:sz w:val="16"/>
          <w:szCs w:val="16"/>
        </w:rPr>
        <w:t xml:space="preserve"> – </w:t>
      </w:r>
      <w:r w:rsidRPr="000073A5">
        <w:rPr>
          <w:rFonts w:cs="Arial"/>
          <w:sz w:val="16"/>
          <w:szCs w:val="16"/>
        </w:rPr>
        <w:t>76.lpp.</w:t>
      </w:r>
    </w:p>
  </w:footnote>
  <w:footnote w:id="96">
    <w:p w:rsidR="00392247" w:rsidRPr="000073A5" w:rsidRDefault="00392247" w:rsidP="00BD2E22">
      <w:pPr>
        <w:pStyle w:val="FootnoteText"/>
        <w:jc w:val="both"/>
        <w:rPr>
          <w:rFonts w:cs="Arial"/>
          <w:sz w:val="16"/>
          <w:szCs w:val="16"/>
        </w:rPr>
      </w:pPr>
      <w:r w:rsidRPr="000073A5">
        <w:rPr>
          <w:rStyle w:val="FootnoteReference"/>
          <w:rFonts w:cs="Arial"/>
          <w:sz w:val="16"/>
          <w:szCs w:val="16"/>
        </w:rPr>
        <w:footnoteRef/>
      </w:r>
      <w:r w:rsidRPr="000073A5">
        <w:rPr>
          <w:rFonts w:cs="Arial"/>
          <w:sz w:val="16"/>
          <w:szCs w:val="16"/>
        </w:rPr>
        <w:t xml:space="preserve"> </w:t>
      </w:r>
      <w:r>
        <w:rPr>
          <w:rFonts w:cs="Arial"/>
          <w:sz w:val="16"/>
          <w:szCs w:val="16"/>
        </w:rPr>
        <w:t>Sk.</w:t>
      </w:r>
      <w:r w:rsidRPr="000073A5">
        <w:rPr>
          <w:rFonts w:cs="Arial"/>
          <w:sz w:val="16"/>
          <w:szCs w:val="16"/>
        </w:rPr>
        <w:t xml:space="preserve"> Administratīvās rajona tiesas 2013.gada 8.novembra sprieduma lietā Nr. </w:t>
      </w:r>
      <w:r w:rsidRPr="0036515D">
        <w:rPr>
          <w:rFonts w:cs="Arial"/>
          <w:sz w:val="16"/>
          <w:szCs w:val="16"/>
        </w:rPr>
        <w:t>A420340813 10.punktu</w:t>
      </w:r>
      <w:r>
        <w:rPr>
          <w:rFonts w:cs="Arial"/>
          <w:sz w:val="16"/>
          <w:szCs w:val="16"/>
        </w:rPr>
        <w:t>,</w:t>
      </w:r>
      <w:r w:rsidRPr="000073A5">
        <w:rPr>
          <w:rFonts w:cs="Arial"/>
          <w:sz w:val="16"/>
          <w:szCs w:val="16"/>
        </w:rPr>
        <w:t xml:space="preserve"> 2014.gada 28.janvāra sprieduma lietā Nr. A420390013 14.punktu</w:t>
      </w:r>
    </w:p>
  </w:footnote>
  <w:footnote w:id="97">
    <w:p w:rsidR="00392247" w:rsidRPr="000073A5" w:rsidRDefault="00392247" w:rsidP="00BD2E22">
      <w:pPr>
        <w:pStyle w:val="FootnoteText"/>
        <w:jc w:val="both"/>
        <w:rPr>
          <w:rFonts w:cs="Arial"/>
          <w:sz w:val="16"/>
          <w:szCs w:val="16"/>
        </w:rPr>
      </w:pPr>
      <w:r w:rsidRPr="000073A5">
        <w:rPr>
          <w:rStyle w:val="FootnoteReference"/>
          <w:rFonts w:cs="Arial"/>
          <w:sz w:val="16"/>
          <w:szCs w:val="16"/>
        </w:rPr>
        <w:footnoteRef/>
      </w:r>
      <w:r w:rsidRPr="000073A5">
        <w:rPr>
          <w:rFonts w:cs="Arial"/>
          <w:sz w:val="16"/>
          <w:szCs w:val="16"/>
        </w:rPr>
        <w:t xml:space="preserve"> Augstākās tiesas Administratīvo lietu departamenta 2010.gada 6.decembra sprie</w:t>
      </w:r>
      <w:r>
        <w:rPr>
          <w:rFonts w:cs="Arial"/>
          <w:sz w:val="16"/>
          <w:szCs w:val="16"/>
        </w:rPr>
        <w:t>duma lietā Nr. SKA-673/2010</w:t>
      </w:r>
      <w:r w:rsidRPr="000073A5">
        <w:rPr>
          <w:rFonts w:cs="Arial"/>
          <w:sz w:val="16"/>
          <w:szCs w:val="16"/>
        </w:rPr>
        <w:t xml:space="preserve"> 11.punkts</w:t>
      </w:r>
      <w:r>
        <w:rPr>
          <w:rFonts w:cs="Arial"/>
          <w:sz w:val="16"/>
          <w:szCs w:val="16"/>
        </w:rPr>
        <w:t>.</w:t>
      </w:r>
    </w:p>
  </w:footnote>
  <w:footnote w:id="98">
    <w:p w:rsidR="00392247" w:rsidRPr="0036515D" w:rsidRDefault="00392247" w:rsidP="00BD2E22">
      <w:pPr>
        <w:pStyle w:val="FootnoteText"/>
        <w:jc w:val="both"/>
        <w:rPr>
          <w:rFonts w:cs="Arial"/>
          <w:sz w:val="16"/>
          <w:szCs w:val="16"/>
        </w:rPr>
      </w:pPr>
      <w:r w:rsidRPr="000073A5">
        <w:rPr>
          <w:rStyle w:val="FootnoteReference"/>
          <w:rFonts w:cs="Arial"/>
          <w:sz w:val="16"/>
          <w:szCs w:val="16"/>
        </w:rPr>
        <w:footnoteRef/>
      </w:r>
      <w:r w:rsidRPr="000073A5">
        <w:rPr>
          <w:rFonts w:cs="Arial"/>
          <w:sz w:val="16"/>
          <w:szCs w:val="16"/>
        </w:rPr>
        <w:t xml:space="preserve"> Augstākās tiesas Administratīvo lietu departamenta</w:t>
      </w:r>
      <w:r>
        <w:rPr>
          <w:rFonts w:cs="Arial"/>
          <w:sz w:val="16"/>
          <w:szCs w:val="16"/>
        </w:rPr>
        <w:t xml:space="preserve"> 2012.gada 21.decembra sprieduma lietā Nr. </w:t>
      </w:r>
      <w:r w:rsidRPr="000073A5">
        <w:rPr>
          <w:rFonts w:cs="Arial"/>
          <w:sz w:val="16"/>
          <w:szCs w:val="16"/>
        </w:rPr>
        <w:t>SKA-699/2012, 6.punkts</w:t>
      </w:r>
      <w:r>
        <w:rPr>
          <w:rFonts w:cs="Arial"/>
          <w:sz w:val="16"/>
          <w:szCs w:val="16"/>
        </w:rPr>
        <w:t>.</w:t>
      </w:r>
    </w:p>
  </w:footnote>
  <w:footnote w:id="99">
    <w:p w:rsidR="00392247" w:rsidRPr="000073A5" w:rsidRDefault="00392247" w:rsidP="00BD2E22">
      <w:pPr>
        <w:pStyle w:val="FootnoteText"/>
        <w:jc w:val="both"/>
        <w:rPr>
          <w:rFonts w:cs="Arial"/>
          <w:sz w:val="16"/>
          <w:szCs w:val="16"/>
        </w:rPr>
      </w:pPr>
      <w:r w:rsidRPr="000073A5">
        <w:rPr>
          <w:rStyle w:val="FootnoteReference"/>
          <w:rFonts w:cs="Arial"/>
          <w:sz w:val="16"/>
          <w:szCs w:val="16"/>
        </w:rPr>
        <w:footnoteRef/>
      </w:r>
      <w:r w:rsidRPr="000073A5">
        <w:rPr>
          <w:rFonts w:cs="Arial"/>
          <w:sz w:val="16"/>
          <w:szCs w:val="16"/>
        </w:rPr>
        <w:t xml:space="preserve"> Augstākās tiesas Administratīvo lietu departament</w:t>
      </w:r>
      <w:r>
        <w:rPr>
          <w:rFonts w:cs="Arial"/>
          <w:sz w:val="16"/>
          <w:szCs w:val="16"/>
        </w:rPr>
        <w:t>a 2010.gada 6.decembra sprieduma lietā Nr. </w:t>
      </w:r>
      <w:r w:rsidRPr="000073A5">
        <w:rPr>
          <w:rFonts w:cs="Arial"/>
          <w:sz w:val="16"/>
          <w:szCs w:val="16"/>
        </w:rPr>
        <w:t>SKA-673/2010, 11.punkts</w:t>
      </w:r>
      <w:r>
        <w:rPr>
          <w:rFonts w:cs="Arial"/>
          <w:sz w:val="16"/>
          <w:szCs w:val="16"/>
        </w:rPr>
        <w:t>.</w:t>
      </w:r>
    </w:p>
  </w:footnote>
  <w:footnote w:id="100">
    <w:p w:rsidR="00392247" w:rsidRPr="00D4117E" w:rsidRDefault="00392247" w:rsidP="00BD2E22">
      <w:pPr>
        <w:pStyle w:val="FootnoteText"/>
        <w:jc w:val="both"/>
        <w:rPr>
          <w:rFonts w:cs="Arial"/>
          <w:sz w:val="16"/>
          <w:szCs w:val="16"/>
        </w:rPr>
      </w:pPr>
      <w:r w:rsidRPr="000073A5">
        <w:rPr>
          <w:rStyle w:val="FootnoteReference"/>
          <w:rFonts w:cs="Arial"/>
          <w:sz w:val="16"/>
          <w:szCs w:val="16"/>
        </w:rPr>
        <w:footnoteRef/>
      </w:r>
      <w:r w:rsidRPr="000073A5">
        <w:rPr>
          <w:rFonts w:cs="Arial"/>
          <w:sz w:val="16"/>
          <w:szCs w:val="16"/>
        </w:rPr>
        <w:t xml:space="preserve"> Eiropas Cilvēktiesību tiesa</w:t>
      </w:r>
      <w:r>
        <w:rPr>
          <w:rFonts w:cs="Arial"/>
          <w:sz w:val="16"/>
          <w:szCs w:val="16"/>
        </w:rPr>
        <w:t>s 2012.gada 25.oktobra sprieduma</w:t>
      </w:r>
      <w:r w:rsidRPr="000073A5">
        <w:rPr>
          <w:rFonts w:cs="Arial"/>
          <w:sz w:val="16"/>
          <w:szCs w:val="16"/>
        </w:rPr>
        <w:t xml:space="preserve"> lietā </w:t>
      </w:r>
      <w:proofErr w:type="spellStart"/>
      <w:r w:rsidRPr="00F329AB">
        <w:rPr>
          <w:rFonts w:cs="Arial"/>
          <w:i/>
          <w:sz w:val="16"/>
          <w:szCs w:val="16"/>
        </w:rPr>
        <w:t>Vistiņš</w:t>
      </w:r>
      <w:proofErr w:type="spellEnd"/>
      <w:r w:rsidRPr="00F329AB">
        <w:rPr>
          <w:rFonts w:cs="Arial"/>
          <w:i/>
          <w:sz w:val="16"/>
          <w:szCs w:val="16"/>
        </w:rPr>
        <w:t xml:space="preserve"> </w:t>
      </w:r>
      <w:proofErr w:type="spellStart"/>
      <w:r w:rsidRPr="00F329AB">
        <w:rPr>
          <w:rFonts w:cs="Arial"/>
          <w:i/>
          <w:sz w:val="16"/>
          <w:szCs w:val="16"/>
        </w:rPr>
        <w:t>and</w:t>
      </w:r>
      <w:proofErr w:type="spellEnd"/>
      <w:r w:rsidRPr="00F329AB">
        <w:rPr>
          <w:rFonts w:cs="Arial"/>
          <w:i/>
          <w:sz w:val="16"/>
          <w:szCs w:val="16"/>
        </w:rPr>
        <w:t xml:space="preserve"> </w:t>
      </w:r>
      <w:proofErr w:type="spellStart"/>
      <w:r w:rsidRPr="00F329AB">
        <w:rPr>
          <w:rFonts w:cs="Arial"/>
          <w:i/>
          <w:sz w:val="16"/>
          <w:szCs w:val="16"/>
        </w:rPr>
        <w:t>Perepjolkins</w:t>
      </w:r>
      <w:proofErr w:type="spellEnd"/>
      <w:r w:rsidRPr="00F329AB">
        <w:rPr>
          <w:rFonts w:cs="Arial"/>
          <w:i/>
          <w:sz w:val="16"/>
          <w:szCs w:val="16"/>
        </w:rPr>
        <w:t xml:space="preserve"> v. </w:t>
      </w:r>
      <w:proofErr w:type="spellStart"/>
      <w:r w:rsidRPr="00F329AB">
        <w:rPr>
          <w:rFonts w:cs="Arial"/>
          <w:i/>
          <w:sz w:val="16"/>
          <w:szCs w:val="16"/>
        </w:rPr>
        <w:t>Latvia</w:t>
      </w:r>
      <w:proofErr w:type="spellEnd"/>
      <w:r>
        <w:rPr>
          <w:rFonts w:cs="Arial"/>
          <w:sz w:val="16"/>
          <w:szCs w:val="16"/>
        </w:rPr>
        <w:t xml:space="preserve"> 95.punkts, </w:t>
      </w:r>
      <w:r w:rsidRPr="000073A5">
        <w:rPr>
          <w:rFonts w:cs="Arial"/>
          <w:sz w:val="16"/>
          <w:szCs w:val="16"/>
        </w:rPr>
        <w:t>2011.gada 11.</w:t>
      </w:r>
      <w:r>
        <w:rPr>
          <w:rFonts w:cs="Arial"/>
          <w:sz w:val="16"/>
          <w:szCs w:val="16"/>
        </w:rPr>
        <w:t>oktobra sprieduma</w:t>
      </w:r>
      <w:r w:rsidRPr="00D4117E">
        <w:rPr>
          <w:rFonts w:cs="Arial"/>
          <w:sz w:val="16"/>
          <w:szCs w:val="16"/>
        </w:rPr>
        <w:t xml:space="preserve"> lietā </w:t>
      </w:r>
      <w:proofErr w:type="spellStart"/>
      <w:r w:rsidRPr="00F329AB">
        <w:rPr>
          <w:rFonts w:cs="Arial"/>
          <w:i/>
          <w:sz w:val="16"/>
          <w:szCs w:val="16"/>
        </w:rPr>
        <w:t>Vassallo</w:t>
      </w:r>
      <w:proofErr w:type="spellEnd"/>
      <w:r w:rsidRPr="00F329AB">
        <w:rPr>
          <w:rFonts w:cs="Arial"/>
          <w:i/>
          <w:sz w:val="16"/>
          <w:szCs w:val="16"/>
        </w:rPr>
        <w:t xml:space="preserve"> v. Malta</w:t>
      </w:r>
      <w:r w:rsidRPr="00D4117E">
        <w:rPr>
          <w:rFonts w:cs="Arial"/>
          <w:sz w:val="16"/>
          <w:szCs w:val="16"/>
        </w:rPr>
        <w:t xml:space="preserve"> 36.punkt</w:t>
      </w:r>
      <w:r>
        <w:rPr>
          <w:rFonts w:cs="Arial"/>
          <w:sz w:val="16"/>
          <w:szCs w:val="16"/>
        </w:rPr>
        <w:t>s, 2004.gada 27.aprīļa sprieduma</w:t>
      </w:r>
      <w:r w:rsidRPr="00D4117E">
        <w:rPr>
          <w:rFonts w:cs="Arial"/>
          <w:sz w:val="16"/>
          <w:szCs w:val="16"/>
        </w:rPr>
        <w:t xml:space="preserve"> lietā </w:t>
      </w:r>
      <w:proofErr w:type="spellStart"/>
      <w:r w:rsidRPr="00F329AB">
        <w:rPr>
          <w:rFonts w:cs="Arial"/>
          <w:i/>
          <w:sz w:val="16"/>
          <w:szCs w:val="16"/>
        </w:rPr>
        <w:t>Gorraiz</w:t>
      </w:r>
      <w:proofErr w:type="spellEnd"/>
      <w:r w:rsidRPr="00F329AB">
        <w:rPr>
          <w:rFonts w:cs="Arial"/>
          <w:i/>
          <w:sz w:val="16"/>
          <w:szCs w:val="16"/>
        </w:rPr>
        <w:t xml:space="preserve"> </w:t>
      </w:r>
      <w:proofErr w:type="spellStart"/>
      <w:r w:rsidRPr="00F329AB">
        <w:rPr>
          <w:rFonts w:cs="Arial"/>
          <w:i/>
          <w:sz w:val="16"/>
          <w:szCs w:val="16"/>
        </w:rPr>
        <w:t>Lizarraga</w:t>
      </w:r>
      <w:proofErr w:type="spellEnd"/>
      <w:r w:rsidRPr="00F329AB">
        <w:rPr>
          <w:rFonts w:cs="Arial"/>
          <w:i/>
          <w:sz w:val="16"/>
          <w:szCs w:val="16"/>
        </w:rPr>
        <w:t xml:space="preserve"> </w:t>
      </w:r>
      <w:proofErr w:type="spellStart"/>
      <w:r w:rsidRPr="00F329AB">
        <w:rPr>
          <w:rFonts w:cs="Arial"/>
          <w:i/>
          <w:sz w:val="16"/>
          <w:szCs w:val="16"/>
        </w:rPr>
        <w:t>and</w:t>
      </w:r>
      <w:proofErr w:type="spellEnd"/>
      <w:r w:rsidRPr="00F329AB">
        <w:rPr>
          <w:rFonts w:cs="Arial"/>
          <w:i/>
          <w:sz w:val="16"/>
          <w:szCs w:val="16"/>
        </w:rPr>
        <w:t xml:space="preserve"> </w:t>
      </w:r>
      <w:proofErr w:type="spellStart"/>
      <w:r w:rsidRPr="00F329AB">
        <w:rPr>
          <w:rFonts w:cs="Arial"/>
          <w:i/>
          <w:sz w:val="16"/>
          <w:szCs w:val="16"/>
        </w:rPr>
        <w:t>others</w:t>
      </w:r>
      <w:proofErr w:type="spellEnd"/>
      <w:r w:rsidRPr="00F329AB">
        <w:rPr>
          <w:rFonts w:cs="Arial"/>
          <w:i/>
          <w:sz w:val="16"/>
          <w:szCs w:val="16"/>
        </w:rPr>
        <w:t xml:space="preserve"> v. </w:t>
      </w:r>
      <w:proofErr w:type="spellStart"/>
      <w:r w:rsidRPr="00F329AB">
        <w:rPr>
          <w:rFonts w:cs="Arial"/>
          <w:i/>
          <w:sz w:val="16"/>
          <w:szCs w:val="16"/>
        </w:rPr>
        <w:t>Spain</w:t>
      </w:r>
      <w:proofErr w:type="spellEnd"/>
      <w:r w:rsidRPr="00D4117E">
        <w:rPr>
          <w:rFonts w:cs="Arial"/>
          <w:sz w:val="16"/>
          <w:szCs w:val="16"/>
        </w:rPr>
        <w:t xml:space="preserve"> 70.punkts</w:t>
      </w:r>
      <w:r>
        <w:rPr>
          <w:rFonts w:cs="Arial"/>
          <w:sz w:val="16"/>
          <w:szCs w:val="16"/>
        </w:rPr>
        <w:t>.</w:t>
      </w:r>
    </w:p>
  </w:footnote>
  <w:footnote w:id="101">
    <w:p w:rsidR="00392247" w:rsidRPr="00803E59" w:rsidRDefault="00392247" w:rsidP="00BD2E22">
      <w:pPr>
        <w:pStyle w:val="NoSpacing"/>
        <w:jc w:val="both"/>
        <w:rPr>
          <w:rFonts w:ascii="Arial" w:hAnsi="Arial" w:cs="Arial"/>
          <w:sz w:val="16"/>
          <w:szCs w:val="16"/>
        </w:rPr>
      </w:pPr>
      <w:r w:rsidRPr="005242CD">
        <w:rPr>
          <w:rStyle w:val="FootnoteReference"/>
          <w:rFonts w:ascii="Arial" w:hAnsi="Arial" w:cs="Arial"/>
          <w:sz w:val="16"/>
          <w:szCs w:val="16"/>
        </w:rPr>
        <w:footnoteRef/>
      </w:r>
      <w:r w:rsidRPr="005242CD">
        <w:rPr>
          <w:rFonts w:ascii="Arial" w:hAnsi="Arial" w:cs="Arial"/>
          <w:sz w:val="16"/>
          <w:szCs w:val="16"/>
        </w:rPr>
        <w:t xml:space="preserve"> Augstākās tiesas Administratīvo lietu departam</w:t>
      </w:r>
      <w:r>
        <w:rPr>
          <w:rFonts w:ascii="Arial" w:hAnsi="Arial" w:cs="Arial"/>
          <w:sz w:val="16"/>
          <w:szCs w:val="16"/>
        </w:rPr>
        <w:t>enta 2012.gada 9.februāra lēmuma lietā Nr. SKA-271/2011</w:t>
      </w:r>
      <w:r w:rsidRPr="005242CD">
        <w:rPr>
          <w:rFonts w:ascii="Arial" w:hAnsi="Arial" w:cs="Arial"/>
          <w:sz w:val="16"/>
          <w:szCs w:val="16"/>
        </w:rPr>
        <w:t xml:space="preserve"> </w:t>
      </w:r>
      <w:r w:rsidRPr="00803E59">
        <w:rPr>
          <w:rFonts w:ascii="Arial" w:hAnsi="Arial" w:cs="Arial"/>
          <w:sz w:val="16"/>
          <w:szCs w:val="16"/>
        </w:rPr>
        <w:t>11.3.punkts.</w:t>
      </w:r>
    </w:p>
  </w:footnote>
  <w:footnote w:id="102">
    <w:p w:rsidR="00392247" w:rsidRDefault="00392247" w:rsidP="00803E59">
      <w:pPr>
        <w:pStyle w:val="NoSpacing"/>
        <w:jc w:val="both"/>
      </w:pPr>
      <w:r w:rsidRPr="00803E59">
        <w:rPr>
          <w:rStyle w:val="FootnoteReference"/>
          <w:rFonts w:ascii="Arial" w:hAnsi="Arial" w:cs="Arial"/>
          <w:sz w:val="16"/>
          <w:szCs w:val="16"/>
        </w:rPr>
        <w:footnoteRef/>
      </w:r>
      <w:r w:rsidRPr="00803E59">
        <w:rPr>
          <w:rFonts w:ascii="Arial" w:hAnsi="Arial" w:cs="Arial"/>
          <w:sz w:val="16"/>
          <w:szCs w:val="16"/>
        </w:rPr>
        <w:t xml:space="preserve"> Augstākās tiesas Administratīvo lietu departamenta 2011.gada 7.novembra lēmuma lietā SKA-963/2011 10.punkts.</w:t>
      </w:r>
    </w:p>
  </w:footnote>
  <w:footnote w:id="103">
    <w:p w:rsidR="00392247" w:rsidRPr="005242CD" w:rsidRDefault="00392247" w:rsidP="00BD2E22">
      <w:pPr>
        <w:pStyle w:val="NoSpacing"/>
        <w:jc w:val="both"/>
        <w:rPr>
          <w:rFonts w:ascii="Arial" w:hAnsi="Arial" w:cs="Arial"/>
          <w:color w:val="000000" w:themeColor="text1"/>
          <w:sz w:val="16"/>
          <w:szCs w:val="16"/>
        </w:rPr>
      </w:pPr>
      <w:r w:rsidRPr="005242CD">
        <w:rPr>
          <w:rStyle w:val="FootnoteReference"/>
          <w:rFonts w:ascii="Arial" w:hAnsi="Arial" w:cs="Arial"/>
          <w:color w:val="000000" w:themeColor="text1"/>
          <w:sz w:val="16"/>
          <w:szCs w:val="16"/>
        </w:rPr>
        <w:footnoteRef/>
      </w:r>
      <w:r w:rsidRPr="005242CD">
        <w:rPr>
          <w:rFonts w:ascii="Arial" w:hAnsi="Arial" w:cs="Arial"/>
          <w:color w:val="000000" w:themeColor="text1"/>
          <w:sz w:val="16"/>
          <w:szCs w:val="16"/>
        </w:rPr>
        <w:t xml:space="preserve"> Satversmes tiesas 1</w:t>
      </w:r>
      <w:r>
        <w:rPr>
          <w:rFonts w:ascii="Arial" w:hAnsi="Arial" w:cs="Arial"/>
          <w:color w:val="000000" w:themeColor="text1"/>
          <w:sz w:val="16"/>
          <w:szCs w:val="16"/>
        </w:rPr>
        <w:t>999.gada 9.</w:t>
      </w:r>
      <w:r w:rsidRPr="005242CD">
        <w:rPr>
          <w:rFonts w:ascii="Arial" w:hAnsi="Arial" w:cs="Arial"/>
          <w:color w:val="000000" w:themeColor="text1"/>
          <w:sz w:val="16"/>
          <w:szCs w:val="16"/>
        </w:rPr>
        <w:t xml:space="preserve">jūlija sprieduma lietā Nr. </w:t>
      </w:r>
      <w:r>
        <w:rPr>
          <w:rFonts w:ascii="Arial" w:hAnsi="Arial" w:cs="Arial"/>
          <w:color w:val="000000" w:themeColor="text1"/>
          <w:sz w:val="16"/>
          <w:szCs w:val="16"/>
        </w:rPr>
        <w:t>04 – 03(99) secinājumu daļas 3.</w:t>
      </w:r>
      <w:r w:rsidRPr="005242CD">
        <w:rPr>
          <w:rFonts w:ascii="Arial" w:hAnsi="Arial" w:cs="Arial"/>
          <w:color w:val="000000" w:themeColor="text1"/>
          <w:sz w:val="16"/>
          <w:szCs w:val="16"/>
        </w:rPr>
        <w:t xml:space="preserve">punkts. </w:t>
      </w:r>
    </w:p>
  </w:footnote>
  <w:footnote w:id="104">
    <w:p w:rsidR="00392247" w:rsidRPr="000073A5" w:rsidRDefault="00392247" w:rsidP="00BD2E22">
      <w:pPr>
        <w:pStyle w:val="FootnoteText"/>
        <w:jc w:val="both"/>
        <w:rPr>
          <w:rFonts w:cs="Arial"/>
          <w:sz w:val="16"/>
          <w:szCs w:val="16"/>
        </w:rPr>
      </w:pPr>
      <w:r w:rsidRPr="000073A5">
        <w:rPr>
          <w:rStyle w:val="FootnoteReference"/>
          <w:rFonts w:cs="Arial"/>
          <w:sz w:val="16"/>
          <w:szCs w:val="16"/>
        </w:rPr>
        <w:footnoteRef/>
      </w:r>
      <w:r>
        <w:rPr>
          <w:rFonts w:cs="Arial"/>
          <w:sz w:val="16"/>
          <w:szCs w:val="16"/>
        </w:rPr>
        <w:t xml:space="preserve"> Par tiesiskuma principu:</w:t>
      </w:r>
      <w:r w:rsidRPr="000073A5">
        <w:rPr>
          <w:rFonts w:cs="Arial"/>
          <w:sz w:val="16"/>
          <w:szCs w:val="16"/>
        </w:rPr>
        <w:t xml:space="preserve"> Satversmes tiesas 2011.gada 14.aprīļa spriedu</w:t>
      </w:r>
      <w:r>
        <w:rPr>
          <w:rFonts w:cs="Arial"/>
          <w:sz w:val="16"/>
          <w:szCs w:val="16"/>
        </w:rPr>
        <w:t>ma lietā Nr. 2010-62-03 9.punkts,</w:t>
      </w:r>
      <w:r w:rsidRPr="000073A5">
        <w:rPr>
          <w:rFonts w:cs="Arial"/>
          <w:sz w:val="16"/>
          <w:szCs w:val="16"/>
        </w:rPr>
        <w:t xml:space="preserve"> 2011.gada 24.februāra sprieduma</w:t>
      </w:r>
      <w:r>
        <w:rPr>
          <w:rFonts w:cs="Arial"/>
          <w:sz w:val="16"/>
          <w:szCs w:val="16"/>
        </w:rPr>
        <w:t xml:space="preserve"> lietā Nr. 2010-48-03 9.3.punkts.</w:t>
      </w:r>
    </w:p>
  </w:footnote>
  <w:footnote w:id="105">
    <w:p w:rsidR="00392247" w:rsidRPr="00DE0BC7" w:rsidRDefault="00392247" w:rsidP="00BD2E22">
      <w:pPr>
        <w:pStyle w:val="NoSpacing"/>
        <w:jc w:val="both"/>
        <w:rPr>
          <w:rFonts w:ascii="Arial" w:hAnsi="Arial" w:cs="Arial"/>
          <w:sz w:val="16"/>
          <w:szCs w:val="16"/>
        </w:rPr>
      </w:pPr>
      <w:r w:rsidRPr="00DE0BC7">
        <w:rPr>
          <w:rStyle w:val="FootnoteReference"/>
          <w:rFonts w:ascii="Arial" w:hAnsi="Arial" w:cs="Arial"/>
          <w:sz w:val="16"/>
          <w:szCs w:val="16"/>
        </w:rPr>
        <w:footnoteRef/>
      </w:r>
      <w:r w:rsidRPr="00DE0BC7">
        <w:rPr>
          <w:rFonts w:ascii="Arial" w:hAnsi="Arial" w:cs="Arial"/>
          <w:sz w:val="16"/>
          <w:szCs w:val="16"/>
        </w:rPr>
        <w:t xml:space="preserve"> Administratīvās apgabaltiesas 2010.gada 11.maij</w:t>
      </w:r>
      <w:r>
        <w:rPr>
          <w:rFonts w:ascii="Arial" w:hAnsi="Arial" w:cs="Arial"/>
          <w:sz w:val="16"/>
          <w:szCs w:val="16"/>
        </w:rPr>
        <w:t>a spriedums lietā Nr. A42653709.</w:t>
      </w:r>
      <w:r w:rsidRPr="00DE0BC7">
        <w:rPr>
          <w:rFonts w:ascii="Arial" w:hAnsi="Arial" w:cs="Arial"/>
          <w:sz w:val="16"/>
          <w:szCs w:val="16"/>
        </w:rPr>
        <w:t xml:space="preserve"> Augstākā tiesa. Teritorijas plānošana, būvniecība un vides lietas. Tiesu prakses apkopojums: 2013.gads, 7.2.</w:t>
      </w:r>
      <w:r>
        <w:rPr>
          <w:rFonts w:ascii="Arial" w:hAnsi="Arial" w:cs="Arial"/>
          <w:sz w:val="16"/>
          <w:szCs w:val="16"/>
        </w:rPr>
        <w:t xml:space="preserve">punkts. Pieejams: </w:t>
      </w:r>
      <w:proofErr w:type="spellStart"/>
      <w:r>
        <w:rPr>
          <w:rFonts w:ascii="Arial" w:hAnsi="Arial" w:cs="Arial"/>
          <w:sz w:val="16"/>
          <w:szCs w:val="16"/>
        </w:rPr>
        <w:t>www.at.gov.lv</w:t>
      </w:r>
      <w:proofErr w:type="spellEnd"/>
      <w:r>
        <w:rPr>
          <w:rFonts w:ascii="Arial" w:hAnsi="Arial" w:cs="Arial"/>
          <w:sz w:val="16"/>
          <w:szCs w:val="16"/>
        </w:rPr>
        <w:t>.</w:t>
      </w:r>
    </w:p>
  </w:footnote>
  <w:footnote w:id="106">
    <w:p w:rsidR="00392247" w:rsidRPr="00DE0BC7" w:rsidRDefault="00392247" w:rsidP="00BD2E22">
      <w:pPr>
        <w:pStyle w:val="NoSpacing"/>
        <w:jc w:val="both"/>
        <w:rPr>
          <w:rFonts w:ascii="Arial" w:hAnsi="Arial" w:cs="Arial"/>
          <w:sz w:val="16"/>
          <w:szCs w:val="16"/>
        </w:rPr>
      </w:pPr>
      <w:r w:rsidRPr="00DE0BC7">
        <w:rPr>
          <w:rStyle w:val="FootnoteReference"/>
          <w:rFonts w:ascii="Arial" w:hAnsi="Arial" w:cs="Arial"/>
          <w:sz w:val="16"/>
          <w:szCs w:val="16"/>
        </w:rPr>
        <w:footnoteRef/>
      </w:r>
      <w:r w:rsidRPr="00DE0BC7">
        <w:rPr>
          <w:rFonts w:ascii="Arial" w:hAnsi="Arial" w:cs="Arial"/>
          <w:sz w:val="16"/>
          <w:szCs w:val="16"/>
        </w:rPr>
        <w:t xml:space="preserve"> Administratīvās rajona tiesas 2014.gada 11.augusta spriedums lietā Nr. A420243514</w:t>
      </w:r>
      <w:r>
        <w:rPr>
          <w:rFonts w:ascii="Arial" w:hAnsi="Arial" w:cs="Arial"/>
          <w:sz w:val="16"/>
          <w:szCs w:val="16"/>
        </w:rPr>
        <w:t>.</w:t>
      </w:r>
    </w:p>
  </w:footnote>
  <w:footnote w:id="107">
    <w:p w:rsidR="00392247" w:rsidRPr="0097240C" w:rsidRDefault="00392247" w:rsidP="00BD2E22">
      <w:pPr>
        <w:pStyle w:val="NoSpacing"/>
        <w:jc w:val="both"/>
      </w:pPr>
      <w:r w:rsidRPr="00DE0BC7">
        <w:rPr>
          <w:rStyle w:val="FootnoteReference"/>
          <w:rFonts w:ascii="Arial" w:hAnsi="Arial" w:cs="Arial"/>
          <w:sz w:val="16"/>
          <w:szCs w:val="16"/>
        </w:rPr>
        <w:footnoteRef/>
      </w:r>
      <w:r w:rsidRPr="00DE0BC7">
        <w:rPr>
          <w:rFonts w:ascii="Arial" w:hAnsi="Arial" w:cs="Arial"/>
          <w:sz w:val="16"/>
          <w:szCs w:val="16"/>
        </w:rPr>
        <w:t xml:space="preserve"> Augstākās tiesas Administratīvo lietu departamenta 2005.gada 11.oktobra spriedums lietā Nr. SKA-275. Citēts no Administratīvās rajona tiesas 2014.gada 11.augusta sprieduma lietā Nr. A420243514</w:t>
      </w:r>
      <w:r>
        <w:rPr>
          <w:rFonts w:ascii="Arial" w:hAnsi="Arial" w:cs="Arial"/>
          <w:sz w:val="16"/>
          <w:szCs w:val="16"/>
        </w:rPr>
        <w:t>.</w:t>
      </w:r>
    </w:p>
  </w:footnote>
  <w:footnote w:id="108">
    <w:p w:rsidR="00392247" w:rsidRPr="00646543" w:rsidRDefault="00392247" w:rsidP="006B5B53">
      <w:pPr>
        <w:pStyle w:val="FootnoteText"/>
        <w:jc w:val="both"/>
        <w:rPr>
          <w:rFonts w:cs="Arial"/>
          <w:sz w:val="16"/>
          <w:szCs w:val="16"/>
        </w:rPr>
      </w:pPr>
      <w:r w:rsidRPr="00646543">
        <w:rPr>
          <w:rStyle w:val="FootnoteReference"/>
          <w:rFonts w:cs="Arial"/>
          <w:sz w:val="16"/>
          <w:szCs w:val="16"/>
        </w:rPr>
        <w:footnoteRef/>
      </w:r>
      <w:r w:rsidRPr="00646543">
        <w:rPr>
          <w:rFonts w:cs="Arial"/>
          <w:sz w:val="16"/>
          <w:szCs w:val="16"/>
        </w:rPr>
        <w:t xml:space="preserve"> Likuma prioritātes princips, kas nostiprināts APL 14.pantā, ir ietverts minētajā tiesību normā tikai administratīvā procesa nozīmē. </w:t>
      </w:r>
      <w:r>
        <w:rPr>
          <w:rFonts w:cs="Arial"/>
          <w:sz w:val="16"/>
          <w:szCs w:val="16"/>
        </w:rPr>
        <w:t>L</w:t>
      </w:r>
      <w:r w:rsidRPr="00646543">
        <w:rPr>
          <w:rFonts w:cs="Arial"/>
          <w:sz w:val="16"/>
          <w:szCs w:val="16"/>
        </w:rPr>
        <w:t>ikuma prioritātes princips ārējo normatīvo tiesību aktu jaunrades procesā uzliek par pienākumu noregulēt būtiskākos jautājumus ar likumu</w:t>
      </w:r>
      <w:r>
        <w:rPr>
          <w:rFonts w:cs="Arial"/>
          <w:sz w:val="16"/>
          <w:szCs w:val="16"/>
        </w:rPr>
        <w:t xml:space="preserve">. Par to plašāk sk.: </w:t>
      </w:r>
      <w:r w:rsidRPr="000073A5">
        <w:rPr>
          <w:rFonts w:cs="Arial"/>
          <w:sz w:val="16"/>
          <w:szCs w:val="16"/>
        </w:rPr>
        <w:t>Autoru kolektīvs. Administratīvā procesa likuma komentāri. A un B daļa. Rīga: Tiesu na</w:t>
      </w:r>
      <w:r>
        <w:rPr>
          <w:rFonts w:cs="Arial"/>
          <w:sz w:val="16"/>
          <w:szCs w:val="16"/>
        </w:rPr>
        <w:t>mu aģentūra, 2013, 199.lpp.</w:t>
      </w:r>
    </w:p>
  </w:footnote>
  <w:footnote w:id="109">
    <w:p w:rsidR="00392247" w:rsidRPr="0005633B" w:rsidRDefault="00392247" w:rsidP="00BD2E22">
      <w:pPr>
        <w:pStyle w:val="FootnoteText"/>
        <w:jc w:val="both"/>
        <w:rPr>
          <w:rFonts w:cs="Arial"/>
          <w:sz w:val="16"/>
          <w:szCs w:val="16"/>
        </w:rPr>
      </w:pPr>
      <w:r w:rsidRPr="0005633B">
        <w:rPr>
          <w:rStyle w:val="FootnoteReference"/>
          <w:rFonts w:cs="Arial"/>
          <w:sz w:val="16"/>
          <w:szCs w:val="16"/>
        </w:rPr>
        <w:footnoteRef/>
      </w:r>
      <w:r w:rsidRPr="0005633B">
        <w:rPr>
          <w:rFonts w:cs="Arial"/>
          <w:sz w:val="16"/>
          <w:szCs w:val="16"/>
        </w:rPr>
        <w:t xml:space="preserve"> Piekrastes telpiskās attīstības pamatnostādn</w:t>
      </w:r>
      <w:r>
        <w:rPr>
          <w:rFonts w:cs="Arial"/>
          <w:sz w:val="16"/>
          <w:szCs w:val="16"/>
        </w:rPr>
        <w:t>e</w:t>
      </w:r>
      <w:r w:rsidRPr="0005633B">
        <w:rPr>
          <w:rFonts w:cs="Arial"/>
          <w:sz w:val="16"/>
          <w:szCs w:val="16"/>
        </w:rPr>
        <w:t>s 2011.</w:t>
      </w:r>
      <w:r>
        <w:rPr>
          <w:rFonts w:cs="Arial"/>
          <w:sz w:val="16"/>
          <w:szCs w:val="16"/>
        </w:rPr>
        <w:t xml:space="preserve"> – </w:t>
      </w:r>
      <w:r w:rsidRPr="0005633B">
        <w:rPr>
          <w:rFonts w:cs="Arial"/>
          <w:sz w:val="16"/>
          <w:szCs w:val="16"/>
        </w:rPr>
        <w:t>2017.gadam. Rīga: 2011, 29.</w:t>
      </w:r>
      <w:r>
        <w:rPr>
          <w:rFonts w:cs="Arial"/>
          <w:sz w:val="16"/>
          <w:szCs w:val="16"/>
        </w:rPr>
        <w:t xml:space="preserve"> – </w:t>
      </w:r>
      <w:r w:rsidRPr="0005633B">
        <w:rPr>
          <w:rFonts w:cs="Arial"/>
          <w:sz w:val="16"/>
          <w:szCs w:val="16"/>
        </w:rPr>
        <w:t>30</w:t>
      </w:r>
      <w:r>
        <w:rPr>
          <w:rFonts w:cs="Arial"/>
          <w:sz w:val="16"/>
          <w:szCs w:val="16"/>
        </w:rPr>
        <w:t>.</w:t>
      </w:r>
      <w:r w:rsidRPr="0005633B">
        <w:rPr>
          <w:rFonts w:cs="Arial"/>
          <w:sz w:val="16"/>
          <w:szCs w:val="16"/>
        </w:rPr>
        <w:t>lpp.</w:t>
      </w:r>
    </w:p>
  </w:footnote>
  <w:footnote w:id="110">
    <w:p w:rsidR="00392247" w:rsidRPr="0005633B" w:rsidRDefault="00392247" w:rsidP="00BD2E22">
      <w:pPr>
        <w:pStyle w:val="FootnoteText"/>
        <w:jc w:val="both"/>
        <w:rPr>
          <w:rFonts w:cs="Arial"/>
          <w:sz w:val="16"/>
          <w:szCs w:val="16"/>
        </w:rPr>
      </w:pPr>
      <w:r w:rsidRPr="0005633B">
        <w:rPr>
          <w:rStyle w:val="FootnoteReference"/>
          <w:rFonts w:cs="Arial"/>
          <w:sz w:val="16"/>
          <w:szCs w:val="16"/>
        </w:rPr>
        <w:footnoteRef/>
      </w:r>
      <w:r w:rsidRPr="0005633B">
        <w:rPr>
          <w:rFonts w:cs="Arial"/>
          <w:sz w:val="16"/>
          <w:szCs w:val="16"/>
        </w:rPr>
        <w:t xml:space="preserve"> Piekrastes telpiskās attīstības pamatnostādn</w:t>
      </w:r>
      <w:r>
        <w:rPr>
          <w:rFonts w:cs="Arial"/>
          <w:sz w:val="16"/>
          <w:szCs w:val="16"/>
        </w:rPr>
        <w:t>e</w:t>
      </w:r>
      <w:r w:rsidRPr="0005633B">
        <w:rPr>
          <w:rFonts w:cs="Arial"/>
          <w:sz w:val="16"/>
          <w:szCs w:val="16"/>
        </w:rPr>
        <w:t>s 2011.</w:t>
      </w:r>
      <w:r>
        <w:rPr>
          <w:rFonts w:cs="Arial"/>
          <w:sz w:val="16"/>
          <w:szCs w:val="16"/>
        </w:rPr>
        <w:t xml:space="preserve"> – </w:t>
      </w:r>
      <w:r w:rsidRPr="0005633B">
        <w:rPr>
          <w:rFonts w:cs="Arial"/>
          <w:sz w:val="16"/>
          <w:szCs w:val="16"/>
        </w:rPr>
        <w:t>2017.gadam. Rīga: 2011, 39.lpp.</w:t>
      </w:r>
    </w:p>
  </w:footnote>
  <w:footnote w:id="111">
    <w:p w:rsidR="00392247" w:rsidRPr="000C420F" w:rsidRDefault="00392247" w:rsidP="00BD2E22">
      <w:pPr>
        <w:pStyle w:val="FootnoteText"/>
        <w:jc w:val="both"/>
        <w:rPr>
          <w:rFonts w:cs="Arial"/>
          <w:sz w:val="16"/>
          <w:szCs w:val="16"/>
        </w:rPr>
      </w:pPr>
      <w:r w:rsidRPr="0005633B">
        <w:rPr>
          <w:rStyle w:val="FootnoteReference"/>
          <w:rFonts w:cs="Arial"/>
          <w:sz w:val="16"/>
          <w:szCs w:val="16"/>
        </w:rPr>
        <w:footnoteRef/>
      </w:r>
      <w:r w:rsidRPr="0005633B">
        <w:rPr>
          <w:rFonts w:cs="Arial"/>
          <w:sz w:val="16"/>
          <w:szCs w:val="16"/>
        </w:rPr>
        <w:t xml:space="preserve"> Piekrastes telpiskās attīstības pamatnostādn</w:t>
      </w:r>
      <w:r>
        <w:rPr>
          <w:rFonts w:cs="Arial"/>
          <w:sz w:val="16"/>
          <w:szCs w:val="16"/>
        </w:rPr>
        <w:t>e</w:t>
      </w:r>
      <w:r w:rsidRPr="0005633B">
        <w:rPr>
          <w:rFonts w:cs="Arial"/>
          <w:sz w:val="16"/>
          <w:szCs w:val="16"/>
        </w:rPr>
        <w:t>s 2011.</w:t>
      </w:r>
      <w:r>
        <w:rPr>
          <w:rFonts w:cs="Arial"/>
          <w:sz w:val="16"/>
          <w:szCs w:val="16"/>
        </w:rPr>
        <w:t xml:space="preserve"> – </w:t>
      </w:r>
      <w:r w:rsidRPr="0005633B">
        <w:rPr>
          <w:rFonts w:cs="Arial"/>
          <w:sz w:val="16"/>
          <w:szCs w:val="16"/>
        </w:rPr>
        <w:t>2017.gadam. Rīga: 2011, 37.lpp.</w:t>
      </w:r>
    </w:p>
  </w:footnote>
  <w:footnote w:id="112">
    <w:p w:rsidR="00392247" w:rsidRPr="00142721" w:rsidRDefault="00392247" w:rsidP="00BD2E22">
      <w:pPr>
        <w:pStyle w:val="FootnoteText"/>
        <w:jc w:val="both"/>
        <w:rPr>
          <w:rFonts w:cs="Arial"/>
          <w:sz w:val="16"/>
          <w:szCs w:val="16"/>
        </w:rPr>
      </w:pPr>
      <w:r w:rsidRPr="00142721">
        <w:rPr>
          <w:rStyle w:val="FootnoteReference"/>
          <w:rFonts w:cs="Arial"/>
          <w:sz w:val="16"/>
          <w:szCs w:val="16"/>
        </w:rPr>
        <w:footnoteRef/>
      </w:r>
      <w:r w:rsidRPr="00142721">
        <w:rPr>
          <w:rFonts w:cs="Arial"/>
          <w:sz w:val="16"/>
          <w:szCs w:val="16"/>
        </w:rPr>
        <w:t xml:space="preserve"> Par to, kas ir jūras piekras</w:t>
      </w:r>
      <w:r>
        <w:rPr>
          <w:rFonts w:cs="Arial"/>
          <w:sz w:val="16"/>
          <w:szCs w:val="16"/>
        </w:rPr>
        <w:t>tes ūdeņi un sauszemes daļa, skatīt</w:t>
      </w:r>
      <w:r w:rsidRPr="00142721">
        <w:rPr>
          <w:rFonts w:cs="Arial"/>
          <w:sz w:val="16"/>
          <w:szCs w:val="16"/>
        </w:rPr>
        <w:t xml:space="preserve"> Zemes pārvaldības likuma 1.panta 7. un 8.punktu</w:t>
      </w:r>
      <w:r>
        <w:rPr>
          <w:rFonts w:cs="Arial"/>
          <w:sz w:val="16"/>
          <w:szCs w:val="16"/>
        </w:rPr>
        <w:t>.</w:t>
      </w:r>
    </w:p>
  </w:footnote>
  <w:footnote w:id="113">
    <w:p w:rsidR="00392247" w:rsidRPr="000C420F" w:rsidRDefault="00392247" w:rsidP="00BD2E22">
      <w:pPr>
        <w:pStyle w:val="FootnoteText"/>
        <w:jc w:val="both"/>
        <w:rPr>
          <w:rFonts w:cs="Arial"/>
          <w:sz w:val="16"/>
          <w:szCs w:val="16"/>
        </w:rPr>
      </w:pPr>
      <w:r w:rsidRPr="000C420F">
        <w:rPr>
          <w:rStyle w:val="FootnoteReference"/>
          <w:rFonts w:cs="Arial"/>
          <w:sz w:val="16"/>
          <w:szCs w:val="16"/>
        </w:rPr>
        <w:footnoteRef/>
      </w:r>
      <w:r w:rsidRPr="000C420F">
        <w:rPr>
          <w:rFonts w:cs="Arial"/>
          <w:sz w:val="16"/>
          <w:szCs w:val="16"/>
        </w:rPr>
        <w:t xml:space="preserve"> Teritorijas attīstības plānošanas likuma 21.</w:t>
      </w:r>
      <w:r>
        <w:rPr>
          <w:rFonts w:cs="Arial"/>
          <w:sz w:val="16"/>
          <w:szCs w:val="16"/>
        </w:rPr>
        <w:t xml:space="preserve"> – </w:t>
      </w:r>
      <w:r w:rsidRPr="000C420F">
        <w:rPr>
          <w:rFonts w:cs="Arial"/>
          <w:sz w:val="16"/>
          <w:szCs w:val="16"/>
        </w:rPr>
        <w:t>24.pants, 28. un 32.pants</w:t>
      </w:r>
      <w:r>
        <w:rPr>
          <w:rFonts w:cs="Arial"/>
          <w:sz w:val="16"/>
          <w:szCs w:val="16"/>
        </w:rPr>
        <w:t>.</w:t>
      </w:r>
    </w:p>
  </w:footnote>
  <w:footnote w:id="114">
    <w:p w:rsidR="00392247" w:rsidRPr="00F254CE" w:rsidRDefault="00392247" w:rsidP="00BD2E22">
      <w:pPr>
        <w:pStyle w:val="FootnoteText"/>
        <w:jc w:val="both"/>
        <w:rPr>
          <w:rFonts w:cs="Arial"/>
          <w:sz w:val="16"/>
          <w:szCs w:val="16"/>
        </w:rPr>
      </w:pPr>
      <w:r w:rsidRPr="00F254CE">
        <w:rPr>
          <w:rStyle w:val="FootnoteReference"/>
          <w:rFonts w:cs="Arial"/>
          <w:sz w:val="16"/>
          <w:szCs w:val="16"/>
        </w:rPr>
        <w:footnoteRef/>
      </w:r>
      <w:r w:rsidRPr="00F254CE">
        <w:rPr>
          <w:rFonts w:cs="Arial"/>
          <w:sz w:val="16"/>
          <w:szCs w:val="16"/>
        </w:rPr>
        <w:t xml:space="preserve"> Likuma “Par kultūras pieminekļu aizsardzību” 2.pants</w:t>
      </w:r>
      <w:r>
        <w:rPr>
          <w:rFonts w:cs="Arial"/>
          <w:sz w:val="16"/>
          <w:szCs w:val="16"/>
        </w:rPr>
        <w:t>.</w:t>
      </w:r>
    </w:p>
  </w:footnote>
  <w:footnote w:id="115">
    <w:p w:rsidR="00392247" w:rsidRPr="00F254CE" w:rsidRDefault="00392247" w:rsidP="00BD2E22">
      <w:pPr>
        <w:pStyle w:val="FootnoteText"/>
        <w:jc w:val="both"/>
        <w:rPr>
          <w:rFonts w:cs="Arial"/>
          <w:sz w:val="16"/>
          <w:szCs w:val="16"/>
        </w:rPr>
      </w:pPr>
      <w:r w:rsidRPr="00F254CE">
        <w:rPr>
          <w:rStyle w:val="FootnoteReference"/>
          <w:rFonts w:cs="Arial"/>
          <w:sz w:val="16"/>
          <w:szCs w:val="16"/>
        </w:rPr>
        <w:footnoteRef/>
      </w:r>
      <w:r w:rsidRPr="00F254CE">
        <w:rPr>
          <w:rFonts w:cs="Arial"/>
          <w:sz w:val="16"/>
          <w:szCs w:val="16"/>
        </w:rPr>
        <w:t xml:space="preserve"> Likuma “Par kultūras pieminekļu aizsardzību” 3.pants un 7.panta pirmā daļa</w:t>
      </w:r>
      <w:r>
        <w:rPr>
          <w:rFonts w:cs="Arial"/>
          <w:sz w:val="16"/>
          <w:szCs w:val="16"/>
        </w:rPr>
        <w:t>.</w:t>
      </w:r>
    </w:p>
  </w:footnote>
  <w:footnote w:id="116">
    <w:p w:rsidR="00392247" w:rsidRPr="00485884" w:rsidRDefault="00392247" w:rsidP="00BD2E22">
      <w:pPr>
        <w:pStyle w:val="FootnoteText"/>
        <w:jc w:val="both"/>
        <w:rPr>
          <w:rFonts w:cs="Arial"/>
          <w:sz w:val="16"/>
          <w:szCs w:val="16"/>
        </w:rPr>
      </w:pPr>
      <w:r w:rsidRPr="00485884">
        <w:rPr>
          <w:rStyle w:val="FootnoteReference"/>
          <w:rFonts w:cs="Arial"/>
          <w:sz w:val="16"/>
          <w:szCs w:val="16"/>
        </w:rPr>
        <w:footnoteRef/>
      </w:r>
      <w:r w:rsidRPr="00485884">
        <w:rPr>
          <w:rFonts w:cs="Arial"/>
          <w:sz w:val="16"/>
          <w:szCs w:val="16"/>
        </w:rPr>
        <w:t xml:space="preserve"> Likuma “Par kultūras pieminekļu aizsardzību” 19.pants</w:t>
      </w:r>
      <w:r>
        <w:rPr>
          <w:rFonts w:cs="Arial"/>
          <w:sz w:val="16"/>
          <w:szCs w:val="16"/>
        </w:rPr>
        <w:t>.</w:t>
      </w:r>
    </w:p>
  </w:footnote>
  <w:footnote w:id="117">
    <w:p w:rsidR="00392247" w:rsidRPr="00485884" w:rsidRDefault="00392247" w:rsidP="00BD2E22">
      <w:pPr>
        <w:pStyle w:val="FootnoteText"/>
        <w:jc w:val="both"/>
        <w:rPr>
          <w:rFonts w:cs="Arial"/>
          <w:sz w:val="16"/>
          <w:szCs w:val="16"/>
        </w:rPr>
      </w:pPr>
      <w:r w:rsidRPr="00485884">
        <w:rPr>
          <w:rStyle w:val="FootnoteReference"/>
          <w:rFonts w:cs="Arial"/>
          <w:sz w:val="16"/>
          <w:szCs w:val="16"/>
        </w:rPr>
        <w:footnoteRef/>
      </w:r>
      <w:r w:rsidRPr="00485884">
        <w:rPr>
          <w:rFonts w:cs="Arial"/>
          <w:sz w:val="16"/>
          <w:szCs w:val="16"/>
        </w:rPr>
        <w:t xml:space="preserve"> Tūrisma likuma 8.pants</w:t>
      </w:r>
      <w:r>
        <w:rPr>
          <w:rFonts w:cs="Arial"/>
          <w:sz w:val="16"/>
          <w:szCs w:val="16"/>
        </w:rPr>
        <w:t>.</w:t>
      </w:r>
    </w:p>
  </w:footnote>
  <w:footnote w:id="118">
    <w:p w:rsidR="00392247" w:rsidRPr="00937C46" w:rsidRDefault="00392247" w:rsidP="00BD2E22">
      <w:pPr>
        <w:pStyle w:val="FootnoteText"/>
        <w:jc w:val="both"/>
        <w:rPr>
          <w:rFonts w:cs="Arial"/>
          <w:sz w:val="16"/>
          <w:szCs w:val="16"/>
        </w:rPr>
      </w:pPr>
      <w:r w:rsidRPr="00485884">
        <w:rPr>
          <w:rStyle w:val="FootnoteReference"/>
          <w:rFonts w:cs="Arial"/>
          <w:sz w:val="16"/>
          <w:szCs w:val="16"/>
        </w:rPr>
        <w:footnoteRef/>
      </w:r>
      <w:r w:rsidRPr="00485884">
        <w:rPr>
          <w:rFonts w:cs="Arial"/>
          <w:sz w:val="16"/>
          <w:szCs w:val="16"/>
        </w:rPr>
        <w:t xml:space="preserve"> Par ostu noteikumiem, piemēram, sk. Liepājas pilsētas domes 2007.gada 20.decembra saistošos noteikumus Nr.23 “Liepājas ostas noteikumi”; Ventspils pilsētas domes 2012.gada 2.marta saistošos noteikumus Nr.9 “Ventspils brīvostas noteikumi”; Rīgas domes 2006.gada 7.marta saistošos noteikumus Nr. 42 “Rīgas brīvostas noteikumi”</w:t>
      </w:r>
      <w:r>
        <w:rPr>
          <w:rFonts w:cs="Arial"/>
          <w:sz w:val="16"/>
          <w:szCs w:val="16"/>
        </w:rPr>
        <w:t>.</w:t>
      </w:r>
    </w:p>
  </w:footnote>
  <w:footnote w:id="119">
    <w:p w:rsidR="00392247" w:rsidRPr="00EF4D78" w:rsidRDefault="00392247" w:rsidP="00BD2E22">
      <w:pPr>
        <w:pStyle w:val="FootnoteText"/>
        <w:jc w:val="both"/>
        <w:rPr>
          <w:rFonts w:cs="Arial"/>
          <w:sz w:val="16"/>
          <w:szCs w:val="16"/>
        </w:rPr>
      </w:pPr>
      <w:r w:rsidRPr="00F254CE">
        <w:rPr>
          <w:rStyle w:val="FootnoteReference"/>
          <w:rFonts w:cs="Arial"/>
          <w:sz w:val="16"/>
          <w:szCs w:val="16"/>
        </w:rPr>
        <w:footnoteRef/>
      </w:r>
      <w:r w:rsidRPr="00F254CE">
        <w:rPr>
          <w:rFonts w:cs="Arial"/>
          <w:sz w:val="16"/>
          <w:szCs w:val="16"/>
        </w:rPr>
        <w:t xml:space="preserve"> Būvniecības likuma 7. un 12.pants</w:t>
      </w:r>
      <w:r>
        <w:rPr>
          <w:rFonts w:cs="Arial"/>
          <w:sz w:val="16"/>
          <w:szCs w:val="16"/>
        </w:rPr>
        <w:t>.</w:t>
      </w:r>
    </w:p>
  </w:footnote>
  <w:footnote w:id="120">
    <w:p w:rsidR="00392247" w:rsidRPr="00FD054F" w:rsidRDefault="00392247" w:rsidP="00BD2E22">
      <w:pPr>
        <w:pStyle w:val="FootnoteText"/>
        <w:jc w:val="both"/>
        <w:rPr>
          <w:rFonts w:cs="Arial"/>
          <w:sz w:val="16"/>
          <w:szCs w:val="16"/>
        </w:rPr>
      </w:pPr>
      <w:r w:rsidRPr="00FD054F">
        <w:rPr>
          <w:rStyle w:val="FootnoteReference"/>
          <w:rFonts w:cs="Arial"/>
          <w:sz w:val="16"/>
          <w:szCs w:val="16"/>
        </w:rPr>
        <w:footnoteRef/>
      </w:r>
      <w:r w:rsidRPr="00FD054F">
        <w:rPr>
          <w:rFonts w:cs="Arial"/>
          <w:sz w:val="16"/>
          <w:szCs w:val="16"/>
        </w:rPr>
        <w:t xml:space="preserve"> </w:t>
      </w:r>
      <w:r>
        <w:rPr>
          <w:rFonts w:cs="Arial"/>
          <w:sz w:val="16"/>
          <w:szCs w:val="16"/>
        </w:rPr>
        <w:t>Par ostas teritorijas jēdzienu sk. likuma par ostām 2.pantu; Par ostu teritoriju robežām, piemēram</w:t>
      </w:r>
      <w:r w:rsidRPr="00FD054F">
        <w:rPr>
          <w:rFonts w:cs="Arial"/>
          <w:sz w:val="16"/>
          <w:szCs w:val="16"/>
        </w:rPr>
        <w:t>, sk. Ministru kabineta 2010.gada 26.janvāra noteikumus Nr. 78 “Noteikumi par Ventspils ostas robežu noteikšanu”</w:t>
      </w:r>
      <w:bookmarkStart w:id="43" w:name="n0"/>
      <w:bookmarkEnd w:id="43"/>
      <w:r>
        <w:rPr>
          <w:rFonts w:cs="Arial"/>
          <w:sz w:val="16"/>
          <w:szCs w:val="16"/>
        </w:rPr>
        <w:t xml:space="preserve"> un Ministru kabineta 2006.gada 22.augusta noteikumus Nr. 690 “Noteikumi par Rīgas brīvostas robežu noteikšanu”.</w:t>
      </w:r>
    </w:p>
  </w:footnote>
  <w:footnote w:id="121">
    <w:p w:rsidR="00392247" w:rsidRPr="008C7678" w:rsidRDefault="00392247" w:rsidP="00BD2E22">
      <w:pPr>
        <w:pStyle w:val="FootnoteText"/>
        <w:jc w:val="both"/>
        <w:rPr>
          <w:rFonts w:cs="Arial"/>
          <w:sz w:val="16"/>
          <w:szCs w:val="16"/>
        </w:rPr>
      </w:pPr>
      <w:r w:rsidRPr="00EF4D78">
        <w:rPr>
          <w:rStyle w:val="FootnoteReference"/>
          <w:rFonts w:cs="Arial"/>
          <w:sz w:val="16"/>
          <w:szCs w:val="16"/>
        </w:rPr>
        <w:footnoteRef/>
      </w:r>
      <w:r w:rsidRPr="00EF4D78">
        <w:rPr>
          <w:rFonts w:cs="Arial"/>
          <w:sz w:val="16"/>
          <w:szCs w:val="16"/>
        </w:rPr>
        <w:t xml:space="preserve"> Ministru kabineta 2012.gada 10.janvāra</w:t>
      </w:r>
      <w:r w:rsidRPr="008C7678">
        <w:rPr>
          <w:rFonts w:cs="Arial"/>
          <w:sz w:val="16"/>
          <w:szCs w:val="16"/>
        </w:rPr>
        <w:t xml:space="preserve"> noteikumi Nr. 38 “Peldvietas izveidošanas un uzturēšanas kārtība”, 8. un 12. punkts</w:t>
      </w:r>
      <w:r>
        <w:rPr>
          <w:rFonts w:cs="Arial"/>
          <w:sz w:val="16"/>
          <w:szCs w:val="16"/>
        </w:rPr>
        <w:t>.</w:t>
      </w:r>
    </w:p>
  </w:footnote>
  <w:footnote w:id="122">
    <w:p w:rsidR="00392247" w:rsidRPr="008C7678" w:rsidRDefault="00392247" w:rsidP="00BD2E22">
      <w:pPr>
        <w:pStyle w:val="FootnoteText"/>
        <w:jc w:val="both"/>
        <w:rPr>
          <w:rFonts w:cs="Arial"/>
          <w:sz w:val="16"/>
          <w:szCs w:val="16"/>
        </w:rPr>
      </w:pPr>
      <w:r w:rsidRPr="008C7678">
        <w:rPr>
          <w:rStyle w:val="FootnoteReference"/>
          <w:rFonts w:cs="Arial"/>
          <w:sz w:val="16"/>
          <w:szCs w:val="16"/>
        </w:rPr>
        <w:footnoteRef/>
      </w:r>
      <w:r w:rsidRPr="008C7678">
        <w:rPr>
          <w:rFonts w:cs="Arial"/>
          <w:sz w:val="16"/>
          <w:szCs w:val="16"/>
        </w:rPr>
        <w:t xml:space="preserve"> Ministru kabineta 201</w:t>
      </w:r>
      <w:r>
        <w:rPr>
          <w:rFonts w:cs="Arial"/>
          <w:sz w:val="16"/>
          <w:szCs w:val="16"/>
        </w:rPr>
        <w:t>2.gada 10.janvāra noteikumi Nr. </w:t>
      </w:r>
      <w:r w:rsidRPr="008C7678">
        <w:rPr>
          <w:rFonts w:cs="Arial"/>
          <w:sz w:val="16"/>
          <w:szCs w:val="16"/>
        </w:rPr>
        <w:t>38 “Peldvietas izveid</w:t>
      </w:r>
      <w:r>
        <w:rPr>
          <w:rFonts w:cs="Arial"/>
          <w:sz w:val="16"/>
          <w:szCs w:val="16"/>
        </w:rPr>
        <w:t>ošanas un uzturēšanas kārtība” 10.punktu.</w:t>
      </w:r>
    </w:p>
  </w:footnote>
  <w:footnote w:id="123">
    <w:p w:rsidR="00392247" w:rsidRPr="003E5335" w:rsidRDefault="00392247" w:rsidP="00BD2E22">
      <w:pPr>
        <w:pStyle w:val="FootnoteText"/>
        <w:jc w:val="both"/>
        <w:rPr>
          <w:rFonts w:cs="Arial"/>
          <w:sz w:val="16"/>
          <w:szCs w:val="16"/>
        </w:rPr>
      </w:pPr>
      <w:r w:rsidRPr="008C7678">
        <w:rPr>
          <w:rStyle w:val="FootnoteReference"/>
          <w:rFonts w:cs="Arial"/>
          <w:sz w:val="16"/>
          <w:szCs w:val="16"/>
        </w:rPr>
        <w:footnoteRef/>
      </w:r>
      <w:r w:rsidRPr="008C7678">
        <w:rPr>
          <w:rFonts w:cs="Arial"/>
          <w:sz w:val="16"/>
          <w:szCs w:val="16"/>
        </w:rPr>
        <w:t xml:space="preserve"> Ministru kabineta 2012.gada 10.janvāra</w:t>
      </w:r>
      <w:r>
        <w:rPr>
          <w:rFonts w:cs="Arial"/>
          <w:sz w:val="16"/>
          <w:szCs w:val="16"/>
        </w:rPr>
        <w:t xml:space="preserve"> noteikumu</w:t>
      </w:r>
      <w:r w:rsidRPr="003E5335">
        <w:rPr>
          <w:rFonts w:cs="Arial"/>
          <w:sz w:val="16"/>
          <w:szCs w:val="16"/>
        </w:rPr>
        <w:t xml:space="preserve"> Nr. 38 “Peldvietas izvei</w:t>
      </w:r>
      <w:r>
        <w:rPr>
          <w:rFonts w:cs="Arial"/>
          <w:sz w:val="16"/>
          <w:szCs w:val="16"/>
        </w:rPr>
        <w:t>došanas un uzturēšanas kārtība”</w:t>
      </w:r>
      <w:r w:rsidRPr="003E5335">
        <w:rPr>
          <w:rFonts w:cs="Arial"/>
          <w:sz w:val="16"/>
          <w:szCs w:val="16"/>
        </w:rPr>
        <w:t xml:space="preserve"> 4.punkts</w:t>
      </w:r>
      <w:r>
        <w:rPr>
          <w:rFonts w:cs="Arial"/>
          <w:sz w:val="16"/>
          <w:szCs w:val="16"/>
        </w:rPr>
        <w:t>.</w:t>
      </w:r>
    </w:p>
  </w:footnote>
  <w:footnote w:id="124">
    <w:p w:rsidR="00392247" w:rsidRPr="003E5335" w:rsidRDefault="00392247" w:rsidP="00BD2E22">
      <w:pPr>
        <w:pStyle w:val="FootnoteText"/>
        <w:jc w:val="both"/>
        <w:rPr>
          <w:rFonts w:cs="Arial"/>
          <w:sz w:val="16"/>
          <w:szCs w:val="16"/>
        </w:rPr>
      </w:pPr>
      <w:r w:rsidRPr="003E5335">
        <w:rPr>
          <w:rStyle w:val="FootnoteReference"/>
          <w:rFonts w:cs="Arial"/>
          <w:sz w:val="16"/>
          <w:szCs w:val="16"/>
        </w:rPr>
        <w:footnoteRef/>
      </w:r>
      <w:r>
        <w:rPr>
          <w:rFonts w:cs="Arial"/>
          <w:sz w:val="16"/>
          <w:szCs w:val="16"/>
        </w:rPr>
        <w:t> </w:t>
      </w:r>
      <w:r w:rsidRPr="003E5335">
        <w:rPr>
          <w:rFonts w:cs="Arial"/>
          <w:sz w:val="16"/>
          <w:szCs w:val="16"/>
        </w:rPr>
        <w:t>Ministru kabinet</w:t>
      </w:r>
      <w:r>
        <w:rPr>
          <w:rFonts w:cs="Arial"/>
          <w:sz w:val="16"/>
          <w:szCs w:val="16"/>
        </w:rPr>
        <w:t>a 2012.gada 10.janvāra noteikumu</w:t>
      </w:r>
      <w:r w:rsidRPr="003E5335">
        <w:rPr>
          <w:rFonts w:cs="Arial"/>
          <w:sz w:val="16"/>
          <w:szCs w:val="16"/>
        </w:rPr>
        <w:t xml:space="preserve"> Nr. 38 “Peldvietas izvei</w:t>
      </w:r>
      <w:r>
        <w:rPr>
          <w:rFonts w:cs="Arial"/>
          <w:sz w:val="16"/>
          <w:szCs w:val="16"/>
        </w:rPr>
        <w:t>došanas un uzturēšanas kārtība”</w:t>
      </w:r>
      <w:r w:rsidRPr="003E5335">
        <w:rPr>
          <w:rFonts w:cs="Arial"/>
          <w:sz w:val="16"/>
          <w:szCs w:val="16"/>
        </w:rPr>
        <w:t xml:space="preserve"> 12.punkts</w:t>
      </w:r>
      <w:r>
        <w:rPr>
          <w:rFonts w:cs="Arial"/>
          <w:sz w:val="16"/>
          <w:szCs w:val="16"/>
        </w:rPr>
        <w:t>.</w:t>
      </w:r>
    </w:p>
  </w:footnote>
  <w:footnote w:id="125">
    <w:p w:rsidR="00392247" w:rsidRPr="001C47F5" w:rsidRDefault="00392247" w:rsidP="00BD2E22">
      <w:pPr>
        <w:pStyle w:val="FootnoteText"/>
        <w:jc w:val="both"/>
        <w:rPr>
          <w:rFonts w:cs="Arial"/>
          <w:sz w:val="16"/>
          <w:szCs w:val="16"/>
        </w:rPr>
      </w:pPr>
      <w:r w:rsidRPr="001C47F5">
        <w:rPr>
          <w:rStyle w:val="FootnoteReference"/>
          <w:rFonts w:cs="Arial"/>
          <w:sz w:val="16"/>
          <w:szCs w:val="16"/>
        </w:rPr>
        <w:footnoteRef/>
      </w:r>
      <w:r w:rsidRPr="001C47F5">
        <w:rPr>
          <w:rFonts w:cs="Arial"/>
          <w:sz w:val="16"/>
          <w:szCs w:val="16"/>
        </w:rPr>
        <w:t xml:space="preserve"> Ministru kabineta 2012.gada 10.janvāra noteikum</w:t>
      </w:r>
      <w:r>
        <w:rPr>
          <w:rFonts w:cs="Arial"/>
          <w:sz w:val="16"/>
          <w:szCs w:val="16"/>
        </w:rPr>
        <w:t>u</w:t>
      </w:r>
      <w:r w:rsidRPr="001C47F5">
        <w:rPr>
          <w:rFonts w:cs="Arial"/>
          <w:sz w:val="16"/>
          <w:szCs w:val="16"/>
        </w:rPr>
        <w:t xml:space="preserve"> Nr. 38 “Peldvietas izvei</w:t>
      </w:r>
      <w:r>
        <w:rPr>
          <w:rFonts w:cs="Arial"/>
          <w:sz w:val="16"/>
          <w:szCs w:val="16"/>
        </w:rPr>
        <w:t>došanas un uzturēšanas kārtība”</w:t>
      </w:r>
      <w:r w:rsidRPr="001C47F5">
        <w:rPr>
          <w:rFonts w:cs="Arial"/>
          <w:sz w:val="16"/>
          <w:szCs w:val="16"/>
        </w:rPr>
        <w:t xml:space="preserve"> 13. un 14.punkts</w:t>
      </w:r>
      <w:r>
        <w:rPr>
          <w:rFonts w:cs="Arial"/>
          <w:sz w:val="16"/>
          <w:szCs w:val="16"/>
        </w:rPr>
        <w:t>.</w:t>
      </w:r>
    </w:p>
  </w:footnote>
  <w:footnote w:id="126">
    <w:p w:rsidR="00392247" w:rsidRPr="001C47F5" w:rsidRDefault="00392247" w:rsidP="00BD2E22">
      <w:pPr>
        <w:pStyle w:val="FootnoteText"/>
        <w:jc w:val="both"/>
        <w:rPr>
          <w:rFonts w:cs="Arial"/>
          <w:sz w:val="16"/>
          <w:szCs w:val="16"/>
        </w:rPr>
      </w:pPr>
      <w:r w:rsidRPr="001C47F5">
        <w:rPr>
          <w:rStyle w:val="FootnoteReference"/>
          <w:rFonts w:cs="Arial"/>
          <w:sz w:val="16"/>
          <w:szCs w:val="16"/>
        </w:rPr>
        <w:footnoteRef/>
      </w:r>
      <w:r w:rsidRPr="001C47F5">
        <w:rPr>
          <w:rFonts w:cs="Arial"/>
          <w:sz w:val="16"/>
          <w:szCs w:val="16"/>
        </w:rPr>
        <w:t xml:space="preserve"> Ministru kabineta 2003.gada 26.augusta noteikum</w:t>
      </w:r>
      <w:r>
        <w:rPr>
          <w:rFonts w:cs="Arial"/>
          <w:sz w:val="16"/>
          <w:szCs w:val="16"/>
        </w:rPr>
        <w:t>u</w:t>
      </w:r>
      <w:r w:rsidRPr="001C47F5">
        <w:rPr>
          <w:rFonts w:cs="Arial"/>
          <w:sz w:val="16"/>
          <w:szCs w:val="16"/>
        </w:rPr>
        <w:t xml:space="preserve"> Nr. 474 “Noteikumi par kultūras pieminekļu uzskaiti, aizsardzību, izmantošanu, restaurāciju un vidi degradējoša objekta statusa piešķiršanu” </w:t>
      </w:r>
      <w:r w:rsidRPr="00606E1C">
        <w:rPr>
          <w:rFonts w:cs="Arial"/>
          <w:sz w:val="16"/>
          <w:szCs w:val="16"/>
        </w:rPr>
        <w:t>43.punkts</w:t>
      </w:r>
      <w:r>
        <w:rPr>
          <w:rFonts w:cs="Arial"/>
          <w:sz w:val="16"/>
          <w:szCs w:val="16"/>
        </w:rPr>
        <w:t>.</w:t>
      </w:r>
    </w:p>
  </w:footnote>
  <w:footnote w:id="127">
    <w:p w:rsidR="00392247" w:rsidRPr="00ED14E3" w:rsidRDefault="00392247" w:rsidP="00BD2E22">
      <w:pPr>
        <w:pStyle w:val="FootnoteText"/>
        <w:jc w:val="both"/>
        <w:rPr>
          <w:sz w:val="16"/>
          <w:szCs w:val="16"/>
        </w:rPr>
      </w:pPr>
      <w:r w:rsidRPr="00ED14E3">
        <w:rPr>
          <w:rStyle w:val="FootnoteReference"/>
          <w:sz w:val="16"/>
          <w:szCs w:val="16"/>
        </w:rPr>
        <w:footnoteRef/>
      </w:r>
      <w:r>
        <w:rPr>
          <w:sz w:val="16"/>
          <w:szCs w:val="16"/>
        </w:rPr>
        <w:t> </w:t>
      </w:r>
      <w:r w:rsidRPr="00ED14E3">
        <w:rPr>
          <w:sz w:val="16"/>
          <w:szCs w:val="16"/>
        </w:rPr>
        <w:t>Likumprojekta "Jūras ūdeņu aizsardzības un pārvaldības likums" sākotnējās ietekmes n</w:t>
      </w:r>
      <w:r>
        <w:rPr>
          <w:sz w:val="16"/>
          <w:szCs w:val="16"/>
        </w:rPr>
        <w:t>ovērtējuma ziņojuma (anotācijas)</w:t>
      </w:r>
      <w:r w:rsidRPr="00ED14E3">
        <w:rPr>
          <w:sz w:val="16"/>
          <w:szCs w:val="16"/>
        </w:rPr>
        <w:t xml:space="preserve"> 2.punkts. </w:t>
      </w:r>
    </w:p>
  </w:footnote>
  <w:footnote w:id="128">
    <w:p w:rsidR="00392247" w:rsidRPr="00CE3DDD" w:rsidRDefault="00392247" w:rsidP="00834769">
      <w:pPr>
        <w:pStyle w:val="FootnoteText"/>
        <w:jc w:val="both"/>
        <w:rPr>
          <w:sz w:val="16"/>
          <w:szCs w:val="16"/>
        </w:rPr>
      </w:pPr>
      <w:r w:rsidRPr="00CE3DDD">
        <w:rPr>
          <w:vertAlign w:val="superscript"/>
        </w:rPr>
        <w:footnoteRef/>
      </w:r>
      <w:r>
        <w:rPr>
          <w:sz w:val="16"/>
          <w:szCs w:val="16"/>
        </w:rPr>
        <w:t> </w:t>
      </w:r>
      <w:r w:rsidRPr="00CE3DDD">
        <w:rPr>
          <w:sz w:val="16"/>
          <w:szCs w:val="16"/>
        </w:rPr>
        <w:t>Atļauja tiek izsniegta atbilstoši Ministru kabineta 2010.gada 21.decembra noteikumiem Nr.1171 “Noteikumi par Latvijas ūdeņu izmantošanas kārtību un kuģošanas režīmu tajos”</w:t>
      </w:r>
      <w:r>
        <w:rPr>
          <w:sz w:val="16"/>
          <w:szCs w:val="16"/>
        </w:rPr>
        <w:t>.</w:t>
      </w:r>
    </w:p>
  </w:footnote>
  <w:footnote w:id="129">
    <w:p w:rsidR="00392247" w:rsidRPr="00CE3DDD" w:rsidRDefault="00392247" w:rsidP="00834769">
      <w:pPr>
        <w:pStyle w:val="FootnoteText"/>
        <w:jc w:val="both"/>
        <w:rPr>
          <w:sz w:val="16"/>
          <w:szCs w:val="16"/>
          <w:highlight w:val="yellow"/>
        </w:rPr>
      </w:pPr>
      <w:r w:rsidRPr="00CE3DDD">
        <w:rPr>
          <w:rStyle w:val="FootnoteReference"/>
          <w:sz w:val="16"/>
          <w:szCs w:val="16"/>
        </w:rPr>
        <w:footnoteRef/>
      </w:r>
      <w:r>
        <w:rPr>
          <w:sz w:val="16"/>
          <w:szCs w:val="16"/>
        </w:rPr>
        <w:t> </w:t>
      </w:r>
      <w:r w:rsidRPr="00CE3DDD">
        <w:rPr>
          <w:sz w:val="16"/>
          <w:szCs w:val="16"/>
        </w:rPr>
        <w:t>Atļauja tiek izsniegta atbilstoši Būvniecības likumam un Ministru kabineta 2014.gada 16.septembra noteikumiem Nr.551 “Ostu hidrotehnisko, siltumenerģijas, gāzes un citu, atsevišķi neklasificētu, inženierbūvju būvnoteikumi”</w:t>
      </w:r>
      <w:r>
        <w:rPr>
          <w:sz w:val="16"/>
          <w:szCs w:val="16"/>
        </w:rPr>
        <w:t>.</w:t>
      </w:r>
    </w:p>
  </w:footnote>
  <w:footnote w:id="130">
    <w:p w:rsidR="00392247" w:rsidRPr="00CE72E2" w:rsidRDefault="00392247" w:rsidP="004E56BA">
      <w:pPr>
        <w:spacing w:after="0" w:line="240" w:lineRule="auto"/>
        <w:jc w:val="both"/>
        <w:rPr>
          <w:rFonts w:ascii="Arial" w:hAnsi="Arial" w:cs="Arial"/>
          <w:sz w:val="16"/>
          <w:szCs w:val="16"/>
        </w:rPr>
      </w:pPr>
      <w:r w:rsidRPr="00CE72E2">
        <w:rPr>
          <w:rStyle w:val="FootnoteReference"/>
          <w:rFonts w:ascii="Arial" w:hAnsi="Arial" w:cs="Arial"/>
          <w:sz w:val="16"/>
          <w:szCs w:val="16"/>
        </w:rPr>
        <w:footnoteRef/>
      </w:r>
      <w:r w:rsidRPr="00CE72E2">
        <w:rPr>
          <w:rFonts w:ascii="Arial" w:hAnsi="Arial" w:cs="Arial"/>
          <w:sz w:val="16"/>
          <w:szCs w:val="16"/>
        </w:rPr>
        <w:t xml:space="preserve"> </w:t>
      </w:r>
      <w:r>
        <w:rPr>
          <w:rFonts w:ascii="Arial" w:hAnsi="Arial" w:cs="Arial"/>
          <w:sz w:val="16"/>
          <w:szCs w:val="16"/>
        </w:rPr>
        <w:t>Slīteres nacionālā parka likums,</w:t>
      </w:r>
      <w:r w:rsidRPr="00CE72E2">
        <w:rPr>
          <w:rFonts w:ascii="Arial" w:hAnsi="Arial" w:cs="Arial"/>
          <w:sz w:val="16"/>
          <w:szCs w:val="16"/>
        </w:rPr>
        <w:t xml:space="preserve"> Ministru kabineta 2001.gada 13.marta noteikumi Nr.116 “Slīteres nacionālā parka individuālie aizsardzības un izmantošanas noteikumi”</w:t>
      </w:r>
      <w:r>
        <w:rPr>
          <w:rFonts w:ascii="Arial" w:hAnsi="Arial" w:cs="Arial"/>
          <w:sz w:val="16"/>
          <w:szCs w:val="16"/>
        </w:rPr>
        <w:t>.</w:t>
      </w:r>
    </w:p>
  </w:footnote>
  <w:footnote w:id="131">
    <w:p w:rsidR="00392247" w:rsidRPr="00CE72E2" w:rsidRDefault="00392247" w:rsidP="004E56BA">
      <w:pPr>
        <w:spacing w:after="0" w:line="240" w:lineRule="auto"/>
        <w:jc w:val="both"/>
        <w:rPr>
          <w:rFonts w:ascii="Arial" w:hAnsi="Arial" w:cs="Arial"/>
          <w:sz w:val="16"/>
          <w:szCs w:val="16"/>
        </w:rPr>
      </w:pPr>
      <w:r w:rsidRPr="00CE72E2">
        <w:rPr>
          <w:rStyle w:val="FootnoteReference"/>
          <w:rFonts w:ascii="Arial" w:hAnsi="Arial" w:cs="Arial"/>
          <w:sz w:val="16"/>
          <w:szCs w:val="16"/>
        </w:rPr>
        <w:footnoteRef/>
      </w:r>
      <w:r>
        <w:rPr>
          <w:rFonts w:ascii="Arial" w:hAnsi="Arial" w:cs="Arial"/>
          <w:sz w:val="16"/>
          <w:szCs w:val="16"/>
        </w:rPr>
        <w:t xml:space="preserve"> Ķemeru nacionālā parka likums,</w:t>
      </w:r>
      <w:r w:rsidRPr="00CE72E2">
        <w:rPr>
          <w:rFonts w:ascii="Arial" w:hAnsi="Arial" w:cs="Arial"/>
          <w:sz w:val="16"/>
          <w:szCs w:val="16"/>
        </w:rPr>
        <w:t xml:space="preserve"> Ministru kabineta 2002.gada 18.jūnija noteikumi Nr.236 “Ķemeru nacionālā parka individuālie aizsardzības un izmantošanas noteikumi”</w:t>
      </w:r>
      <w:r>
        <w:rPr>
          <w:rFonts w:ascii="Arial" w:hAnsi="Arial" w:cs="Arial"/>
          <w:sz w:val="16"/>
          <w:szCs w:val="16"/>
        </w:rPr>
        <w:t>.</w:t>
      </w:r>
    </w:p>
  </w:footnote>
  <w:footnote w:id="132">
    <w:p w:rsidR="00392247" w:rsidRPr="00CE72E2" w:rsidRDefault="00392247" w:rsidP="004E56BA">
      <w:pPr>
        <w:spacing w:after="0" w:line="240" w:lineRule="auto"/>
        <w:jc w:val="both"/>
        <w:rPr>
          <w:rFonts w:ascii="Arial" w:hAnsi="Arial" w:cs="Arial"/>
          <w:sz w:val="16"/>
          <w:szCs w:val="16"/>
        </w:rPr>
      </w:pPr>
      <w:r w:rsidRPr="00CE72E2">
        <w:rPr>
          <w:rStyle w:val="FootnoteReference"/>
          <w:rFonts w:ascii="Arial" w:hAnsi="Arial" w:cs="Arial"/>
          <w:sz w:val="16"/>
          <w:szCs w:val="16"/>
        </w:rPr>
        <w:footnoteRef/>
      </w:r>
      <w:r w:rsidRPr="00CE72E2">
        <w:rPr>
          <w:rFonts w:ascii="Arial" w:hAnsi="Arial" w:cs="Arial"/>
          <w:sz w:val="16"/>
          <w:szCs w:val="16"/>
        </w:rPr>
        <w:t xml:space="preserve"> Ministru kabineta 2012.gada 28.augusta noteikumi Nr.596 “Dabas parka “Engures ezers” individuālie aizsardzības un izmantošanas noteikumi”</w:t>
      </w:r>
      <w:r>
        <w:rPr>
          <w:rFonts w:ascii="Arial" w:hAnsi="Arial" w:cs="Arial"/>
          <w:sz w:val="16"/>
          <w:szCs w:val="16"/>
        </w:rPr>
        <w:t>.</w:t>
      </w:r>
    </w:p>
  </w:footnote>
  <w:footnote w:id="133">
    <w:p w:rsidR="00392247" w:rsidRPr="00CE72E2" w:rsidRDefault="00392247" w:rsidP="004E56BA">
      <w:pPr>
        <w:spacing w:after="0" w:line="240" w:lineRule="auto"/>
        <w:jc w:val="both"/>
        <w:rPr>
          <w:rFonts w:ascii="Arial" w:hAnsi="Arial" w:cs="Arial"/>
          <w:sz w:val="16"/>
          <w:szCs w:val="16"/>
        </w:rPr>
      </w:pPr>
      <w:r w:rsidRPr="00CE72E2">
        <w:rPr>
          <w:rStyle w:val="FootnoteReference"/>
          <w:rFonts w:ascii="Arial" w:hAnsi="Arial" w:cs="Arial"/>
          <w:sz w:val="16"/>
          <w:szCs w:val="16"/>
        </w:rPr>
        <w:footnoteRef/>
      </w:r>
      <w:r w:rsidRPr="00CE72E2">
        <w:rPr>
          <w:rFonts w:ascii="Arial" w:hAnsi="Arial" w:cs="Arial"/>
          <w:sz w:val="16"/>
          <w:szCs w:val="16"/>
        </w:rPr>
        <w:t xml:space="preserve"> Ministru kabineta 200</w:t>
      </w:r>
      <w:r>
        <w:rPr>
          <w:rFonts w:ascii="Arial" w:hAnsi="Arial" w:cs="Arial"/>
          <w:sz w:val="16"/>
          <w:szCs w:val="16"/>
        </w:rPr>
        <w:t>4.gada 10.augusta noteikumi Nr.</w:t>
      </w:r>
      <w:r w:rsidRPr="00CE72E2">
        <w:rPr>
          <w:rFonts w:ascii="Arial" w:hAnsi="Arial" w:cs="Arial"/>
          <w:sz w:val="16"/>
          <w:szCs w:val="16"/>
        </w:rPr>
        <w:t>702 “Dabas parka “</w:t>
      </w:r>
      <w:proofErr w:type="spellStart"/>
      <w:r w:rsidRPr="00CE72E2">
        <w:rPr>
          <w:rFonts w:ascii="Arial" w:hAnsi="Arial" w:cs="Arial"/>
          <w:sz w:val="16"/>
          <w:szCs w:val="16"/>
        </w:rPr>
        <w:t>Ragakāpa</w:t>
      </w:r>
      <w:proofErr w:type="spellEnd"/>
      <w:r w:rsidRPr="00CE72E2">
        <w:rPr>
          <w:rFonts w:ascii="Arial" w:hAnsi="Arial" w:cs="Arial"/>
          <w:sz w:val="16"/>
          <w:szCs w:val="16"/>
        </w:rPr>
        <w:t>” individuālie aizsardzības un izmantošanas noteikumi”</w:t>
      </w:r>
      <w:r>
        <w:rPr>
          <w:rFonts w:ascii="Arial" w:hAnsi="Arial" w:cs="Arial"/>
          <w:sz w:val="16"/>
          <w:szCs w:val="16"/>
        </w:rPr>
        <w:t>.</w:t>
      </w:r>
    </w:p>
  </w:footnote>
  <w:footnote w:id="134">
    <w:p w:rsidR="00392247" w:rsidRPr="00CD77A2" w:rsidRDefault="00392247" w:rsidP="004E56BA">
      <w:pPr>
        <w:spacing w:after="0" w:line="240" w:lineRule="auto"/>
        <w:jc w:val="both"/>
        <w:rPr>
          <w:rFonts w:ascii="Arial" w:hAnsi="Arial" w:cs="Arial"/>
          <w:sz w:val="16"/>
          <w:szCs w:val="16"/>
        </w:rPr>
      </w:pPr>
      <w:r w:rsidRPr="00CE72E2">
        <w:rPr>
          <w:rStyle w:val="FootnoteReference"/>
          <w:rFonts w:ascii="Arial" w:hAnsi="Arial" w:cs="Arial"/>
          <w:sz w:val="16"/>
          <w:szCs w:val="16"/>
        </w:rPr>
        <w:footnoteRef/>
      </w:r>
      <w:r w:rsidRPr="00CE72E2">
        <w:rPr>
          <w:rFonts w:ascii="Arial" w:hAnsi="Arial" w:cs="Arial"/>
          <w:sz w:val="16"/>
          <w:szCs w:val="16"/>
        </w:rPr>
        <w:t xml:space="preserve"> Ministru kabineta 2011.</w:t>
      </w:r>
      <w:r>
        <w:rPr>
          <w:rFonts w:ascii="Arial" w:hAnsi="Arial" w:cs="Arial"/>
          <w:sz w:val="16"/>
          <w:szCs w:val="16"/>
        </w:rPr>
        <w:t>gada 20.septembra noteikumi Nr.</w:t>
      </w:r>
      <w:r w:rsidRPr="00CE72E2">
        <w:rPr>
          <w:rFonts w:ascii="Arial" w:hAnsi="Arial" w:cs="Arial"/>
          <w:sz w:val="16"/>
          <w:szCs w:val="16"/>
        </w:rPr>
        <w:t xml:space="preserve">706 “Dabas parka “Pape” individuālie aizsardzības un </w:t>
      </w:r>
      <w:r w:rsidRPr="00CD77A2">
        <w:rPr>
          <w:rFonts w:ascii="Arial" w:hAnsi="Arial" w:cs="Arial"/>
          <w:sz w:val="16"/>
          <w:szCs w:val="16"/>
        </w:rPr>
        <w:t>izmantošanas noteikumi”.</w:t>
      </w:r>
    </w:p>
  </w:footnote>
  <w:footnote w:id="135">
    <w:p w:rsidR="00392247" w:rsidRPr="003E5D3B" w:rsidRDefault="00392247" w:rsidP="006918CF">
      <w:pPr>
        <w:pStyle w:val="FootnoteText"/>
        <w:jc w:val="both"/>
        <w:rPr>
          <w:sz w:val="16"/>
          <w:szCs w:val="16"/>
        </w:rPr>
      </w:pPr>
      <w:r w:rsidRPr="003E5D3B">
        <w:rPr>
          <w:rStyle w:val="FootnoteReference"/>
          <w:sz w:val="16"/>
          <w:szCs w:val="16"/>
        </w:rPr>
        <w:footnoteRef/>
      </w:r>
      <w:r w:rsidRPr="003E5D3B">
        <w:rPr>
          <w:sz w:val="16"/>
          <w:szCs w:val="16"/>
        </w:rPr>
        <w:t xml:space="preserve"> Satversmes ties</w:t>
      </w:r>
      <w:r>
        <w:rPr>
          <w:sz w:val="16"/>
          <w:szCs w:val="16"/>
        </w:rPr>
        <w:t>as 2011.gada 14.aprīļa sprieduma lietā Nr. 2010-62-03</w:t>
      </w:r>
      <w:r w:rsidRPr="003E5D3B">
        <w:rPr>
          <w:sz w:val="16"/>
          <w:szCs w:val="16"/>
        </w:rPr>
        <w:t xml:space="preserve"> 10.punkts</w:t>
      </w:r>
      <w:r>
        <w:rPr>
          <w:sz w:val="16"/>
          <w:szCs w:val="16"/>
        </w:rPr>
        <w:t>.</w:t>
      </w:r>
    </w:p>
  </w:footnote>
  <w:footnote w:id="136">
    <w:p w:rsidR="00392247" w:rsidRPr="001F0C17" w:rsidRDefault="00392247" w:rsidP="001F0C17">
      <w:pPr>
        <w:pStyle w:val="FootnoteText"/>
        <w:jc w:val="both"/>
        <w:rPr>
          <w:rFonts w:cs="Arial"/>
          <w:sz w:val="16"/>
          <w:szCs w:val="16"/>
        </w:rPr>
      </w:pPr>
      <w:r w:rsidRPr="001F0C17">
        <w:rPr>
          <w:rStyle w:val="FootnoteReference"/>
          <w:sz w:val="16"/>
          <w:szCs w:val="16"/>
        </w:rPr>
        <w:footnoteRef/>
      </w:r>
      <w:r w:rsidRPr="001F0C17">
        <w:rPr>
          <w:sz w:val="16"/>
          <w:szCs w:val="16"/>
        </w:rPr>
        <w:t xml:space="preserve"> </w:t>
      </w:r>
      <w:r w:rsidRPr="001F0C17">
        <w:rPr>
          <w:rFonts w:cs="Arial"/>
          <w:sz w:val="16"/>
          <w:szCs w:val="16"/>
        </w:rPr>
        <w:t>Piekrastes telpiskās attīstības pamatnostādnes 2011.-2017.gadam. Rīga: 2011, 7.lpp.</w:t>
      </w:r>
    </w:p>
  </w:footnote>
  <w:footnote w:id="137">
    <w:p w:rsidR="00392247" w:rsidRPr="000073A5" w:rsidRDefault="00392247" w:rsidP="00855DDF">
      <w:pPr>
        <w:pStyle w:val="FootnoteText"/>
        <w:jc w:val="both"/>
        <w:rPr>
          <w:rFonts w:cs="Arial"/>
          <w:sz w:val="16"/>
          <w:szCs w:val="16"/>
        </w:rPr>
      </w:pPr>
      <w:r w:rsidRPr="000073A5">
        <w:rPr>
          <w:rStyle w:val="FootnoteReference"/>
          <w:rFonts w:cs="Arial"/>
          <w:sz w:val="16"/>
          <w:szCs w:val="16"/>
        </w:rPr>
        <w:footnoteRef/>
      </w:r>
      <w:r w:rsidRPr="000073A5">
        <w:rPr>
          <w:rFonts w:cs="Arial"/>
          <w:sz w:val="16"/>
          <w:szCs w:val="16"/>
        </w:rPr>
        <w:t xml:space="preserve"> Direktīva</w:t>
      </w:r>
      <w:r>
        <w:rPr>
          <w:rFonts w:cs="Arial"/>
          <w:sz w:val="16"/>
          <w:szCs w:val="16"/>
        </w:rPr>
        <w:t>s</w:t>
      </w:r>
      <w:r w:rsidRPr="000073A5">
        <w:rPr>
          <w:rFonts w:cs="Arial"/>
          <w:sz w:val="16"/>
          <w:szCs w:val="16"/>
        </w:rPr>
        <w:t xml:space="preserve"> 2014/89/ES</w:t>
      </w:r>
      <w:r>
        <w:rPr>
          <w:rFonts w:cs="Arial"/>
          <w:sz w:val="16"/>
          <w:szCs w:val="16"/>
        </w:rPr>
        <w:t xml:space="preserve"> (2014.gada 23.jūlijs) 3.panta 4.punkts.</w:t>
      </w:r>
      <w:r w:rsidRPr="000073A5">
        <w:rPr>
          <w:rFonts w:cs="Arial"/>
          <w:sz w:val="16"/>
          <w:szCs w:val="16"/>
        </w:rPr>
        <w:t xml:space="preserve"> Direktīva</w:t>
      </w:r>
      <w:r>
        <w:rPr>
          <w:rFonts w:cs="Arial"/>
          <w:sz w:val="16"/>
          <w:szCs w:val="16"/>
        </w:rPr>
        <w:t xml:space="preserve">s </w:t>
      </w:r>
      <w:r w:rsidRPr="000073A5">
        <w:rPr>
          <w:rFonts w:cs="Arial"/>
          <w:sz w:val="16"/>
          <w:szCs w:val="16"/>
        </w:rPr>
        <w:t>2000/60/EK</w:t>
      </w:r>
      <w:r>
        <w:rPr>
          <w:rFonts w:cs="Arial"/>
          <w:sz w:val="16"/>
          <w:szCs w:val="16"/>
        </w:rPr>
        <w:t xml:space="preserve"> (2000.gada 23.oktobra)</w:t>
      </w:r>
      <w:r w:rsidRPr="000073A5">
        <w:rPr>
          <w:rFonts w:cs="Arial"/>
          <w:sz w:val="16"/>
          <w:szCs w:val="16"/>
        </w:rPr>
        <w:t xml:space="preserve"> 2.panta 7.punkts</w:t>
      </w:r>
      <w:r>
        <w:rPr>
          <w:rFonts w:cs="Arial"/>
          <w:sz w:val="16"/>
          <w:szCs w:val="16"/>
        </w:rPr>
        <w:t>.</w:t>
      </w:r>
    </w:p>
  </w:footnote>
  <w:footnote w:id="138">
    <w:p w:rsidR="00392247" w:rsidRPr="008E6F1D" w:rsidRDefault="00392247" w:rsidP="008E6F1D">
      <w:pPr>
        <w:pStyle w:val="FootnoteText"/>
        <w:jc w:val="both"/>
        <w:rPr>
          <w:sz w:val="16"/>
          <w:szCs w:val="16"/>
        </w:rPr>
      </w:pPr>
      <w:r w:rsidRPr="008E6F1D">
        <w:rPr>
          <w:rStyle w:val="FootnoteReference"/>
          <w:sz w:val="16"/>
          <w:szCs w:val="16"/>
        </w:rPr>
        <w:footnoteRef/>
      </w:r>
      <w:r w:rsidRPr="008E6F1D">
        <w:rPr>
          <w:sz w:val="16"/>
          <w:szCs w:val="16"/>
        </w:rPr>
        <w:t xml:space="preserve"> Teritori</w:t>
      </w:r>
      <w:r>
        <w:rPr>
          <w:sz w:val="16"/>
          <w:szCs w:val="16"/>
        </w:rPr>
        <w:t>jas attīstības plānošanas likuma</w:t>
      </w:r>
      <w:r w:rsidRPr="008E6F1D">
        <w:rPr>
          <w:sz w:val="16"/>
          <w:szCs w:val="16"/>
        </w:rPr>
        <w:t xml:space="preserve"> </w:t>
      </w:r>
      <w:r w:rsidRPr="008E6F1D">
        <w:rPr>
          <w:rFonts w:cs="Arial"/>
          <w:color w:val="000000" w:themeColor="text1"/>
          <w:sz w:val="16"/>
          <w:szCs w:val="16"/>
        </w:rPr>
        <w:t>3.panta 8.punkts un 5.panta pirmā daļa</w:t>
      </w:r>
      <w:r>
        <w:rPr>
          <w:rFonts w:cs="Arial"/>
          <w:color w:val="000000" w:themeColor="text1"/>
          <w:sz w:val="16"/>
          <w:szCs w:val="16"/>
        </w:rPr>
        <w:t>.</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974328"/>
    <w:multiLevelType w:val="hybridMultilevel"/>
    <w:tmpl w:val="B9FC69D6"/>
    <w:lvl w:ilvl="0" w:tplc="F0743E9E">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
    <w:nsid w:val="06B17719"/>
    <w:multiLevelType w:val="multilevel"/>
    <w:tmpl w:val="85CC56B2"/>
    <w:lvl w:ilvl="0">
      <w:start w:val="3"/>
      <w:numFmt w:val="decimal"/>
      <w:lvlText w:val="%1."/>
      <w:lvlJc w:val="left"/>
      <w:pPr>
        <w:ind w:left="420" w:hanging="420"/>
      </w:pPr>
      <w:rPr>
        <w:rFonts w:hint="default"/>
      </w:rPr>
    </w:lvl>
    <w:lvl w:ilvl="1">
      <w:start w:val="4"/>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
    <w:nsid w:val="188F5F23"/>
    <w:multiLevelType w:val="hybridMultilevel"/>
    <w:tmpl w:val="EA6247E2"/>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nsid w:val="2DFE32B0"/>
    <w:multiLevelType w:val="multilevel"/>
    <w:tmpl w:val="B4E4079E"/>
    <w:lvl w:ilvl="0">
      <w:start w:val="1"/>
      <w:numFmt w:val="decimal"/>
      <w:lvlText w:val="%1."/>
      <w:lvlJc w:val="left"/>
      <w:pPr>
        <w:ind w:left="420" w:hanging="420"/>
      </w:pPr>
      <w:rPr>
        <w:rFonts w:hint="default"/>
      </w:rPr>
    </w:lvl>
    <w:lvl w:ilvl="1">
      <w:start w:val="2"/>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4">
    <w:nsid w:val="34F26B02"/>
    <w:multiLevelType w:val="hybridMultilevel"/>
    <w:tmpl w:val="AE38453E"/>
    <w:lvl w:ilvl="0" w:tplc="0426000F">
      <w:start w:val="4"/>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nsid w:val="3DB454F8"/>
    <w:multiLevelType w:val="hybridMultilevel"/>
    <w:tmpl w:val="EE0E2EF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nsid w:val="3FB707C3"/>
    <w:multiLevelType w:val="multilevel"/>
    <w:tmpl w:val="05B0A9F4"/>
    <w:lvl w:ilvl="0">
      <w:start w:val="2"/>
      <w:numFmt w:val="decimal"/>
      <w:lvlText w:val="%1."/>
      <w:lvlJc w:val="left"/>
      <w:pPr>
        <w:ind w:left="540" w:hanging="540"/>
      </w:pPr>
      <w:rPr>
        <w:rFonts w:hint="default"/>
        <w:b/>
      </w:rPr>
    </w:lvl>
    <w:lvl w:ilvl="1">
      <w:start w:val="1"/>
      <w:numFmt w:val="decimal"/>
      <w:lvlText w:val="%1.%2."/>
      <w:lvlJc w:val="left"/>
      <w:pPr>
        <w:ind w:left="540" w:hanging="54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7">
    <w:nsid w:val="45FE55A2"/>
    <w:multiLevelType w:val="hybridMultilevel"/>
    <w:tmpl w:val="D638AB5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nsid w:val="48872B0D"/>
    <w:multiLevelType w:val="multilevel"/>
    <w:tmpl w:val="0D9EB59E"/>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nsid w:val="4DA457E6"/>
    <w:multiLevelType w:val="hybridMultilevel"/>
    <w:tmpl w:val="0846E574"/>
    <w:lvl w:ilvl="0" w:tplc="7DAA5AF6">
      <w:start w:val="2"/>
      <w:numFmt w:val="bullet"/>
      <w:lvlText w:val="-"/>
      <w:lvlJc w:val="left"/>
      <w:pPr>
        <w:ind w:left="720" w:hanging="360"/>
      </w:pPr>
      <w:rPr>
        <w:rFonts w:ascii="Arial" w:eastAsia="Calibri" w:hAnsi="Arial" w:cs="Aria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0">
    <w:nsid w:val="4FAB2495"/>
    <w:multiLevelType w:val="hybridMultilevel"/>
    <w:tmpl w:val="D12C2766"/>
    <w:lvl w:ilvl="0" w:tplc="4FAA811E">
      <w:start w:val="1"/>
      <w:numFmt w:val="decimal"/>
      <w:lvlText w:val="%1)"/>
      <w:lvlJc w:val="left"/>
      <w:pPr>
        <w:ind w:left="720" w:hanging="360"/>
      </w:pPr>
      <w:rPr>
        <w:rFonts w:eastAsia="MS Mincho"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nsid w:val="510867DD"/>
    <w:multiLevelType w:val="hybridMultilevel"/>
    <w:tmpl w:val="91F63724"/>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nsid w:val="55445CB4"/>
    <w:multiLevelType w:val="hybridMultilevel"/>
    <w:tmpl w:val="571EA5FE"/>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nsid w:val="591B18A1"/>
    <w:multiLevelType w:val="hybridMultilevel"/>
    <w:tmpl w:val="5C1026EA"/>
    <w:lvl w:ilvl="0" w:tplc="26E46308">
      <w:start w:val="1"/>
      <w:numFmt w:val="decimal"/>
      <w:lvlText w:val="3.%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nsid w:val="5BC73A17"/>
    <w:multiLevelType w:val="hybridMultilevel"/>
    <w:tmpl w:val="73C8501C"/>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nsid w:val="5D8E4BB3"/>
    <w:multiLevelType w:val="hybridMultilevel"/>
    <w:tmpl w:val="AD1A602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nsid w:val="624A6E59"/>
    <w:multiLevelType w:val="multilevel"/>
    <w:tmpl w:val="99E43E5E"/>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520" w:hanging="72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3960" w:hanging="1080"/>
      </w:pPr>
      <w:rPr>
        <w:rFonts w:hint="default"/>
      </w:rPr>
    </w:lvl>
    <w:lvl w:ilvl="8">
      <w:start w:val="1"/>
      <w:numFmt w:val="decimal"/>
      <w:isLgl/>
      <w:lvlText w:val="%1.%2.%3.%4.%5.%6.%7.%8.%9."/>
      <w:lvlJc w:val="left"/>
      <w:pPr>
        <w:ind w:left="4680" w:hanging="1440"/>
      </w:pPr>
      <w:rPr>
        <w:rFonts w:hint="default"/>
      </w:rPr>
    </w:lvl>
  </w:abstractNum>
  <w:abstractNum w:abstractNumId="17">
    <w:nsid w:val="637140EC"/>
    <w:multiLevelType w:val="multilevel"/>
    <w:tmpl w:val="E4FE89FC"/>
    <w:lvl w:ilvl="0">
      <w:start w:val="2"/>
      <w:numFmt w:val="decimal"/>
      <w:lvlText w:val="%1."/>
      <w:lvlJc w:val="left"/>
      <w:pPr>
        <w:ind w:left="420" w:hanging="42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8">
    <w:nsid w:val="67CC504A"/>
    <w:multiLevelType w:val="multilevel"/>
    <w:tmpl w:val="CD0249C0"/>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nsid w:val="6D1A43B1"/>
    <w:multiLevelType w:val="hybridMultilevel"/>
    <w:tmpl w:val="DBEC6E6C"/>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nsid w:val="766F4BEE"/>
    <w:multiLevelType w:val="multilevel"/>
    <w:tmpl w:val="D36A42BC"/>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num w:numId="1">
    <w:abstractNumId w:val="11"/>
  </w:num>
  <w:num w:numId="2">
    <w:abstractNumId w:val="17"/>
  </w:num>
  <w:num w:numId="3">
    <w:abstractNumId w:val="13"/>
  </w:num>
  <w:num w:numId="4">
    <w:abstractNumId w:val="1"/>
  </w:num>
  <w:num w:numId="5">
    <w:abstractNumId w:val="3"/>
  </w:num>
  <w:num w:numId="6">
    <w:abstractNumId w:val="4"/>
  </w:num>
  <w:num w:numId="7">
    <w:abstractNumId w:val="7"/>
  </w:num>
  <w:num w:numId="8">
    <w:abstractNumId w:val="20"/>
  </w:num>
  <w:num w:numId="9">
    <w:abstractNumId w:val="15"/>
  </w:num>
  <w:num w:numId="10">
    <w:abstractNumId w:val="6"/>
  </w:num>
  <w:num w:numId="11">
    <w:abstractNumId w:val="18"/>
  </w:num>
  <w:num w:numId="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num>
  <w:num w:numId="14">
    <w:abstractNumId w:val="8"/>
  </w:num>
  <w:num w:numId="15">
    <w:abstractNumId w:val="16"/>
  </w:num>
  <w:num w:numId="16">
    <w:abstractNumId w:val="12"/>
  </w:num>
  <w:num w:numId="17">
    <w:abstractNumId w:val="19"/>
  </w:num>
  <w:num w:numId="18">
    <w:abstractNumId w:val="0"/>
  </w:num>
  <w:num w:numId="19">
    <w:abstractNumId w:val="5"/>
  </w:num>
  <w:num w:numId="20">
    <w:abstractNumId w:val="2"/>
  </w:num>
  <w:num w:numId="21">
    <w:abstractNumId w:val="14"/>
  </w:num>
  <w:num w:numId="22">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5122"/>
  </w:hdrShapeDefaults>
  <w:footnotePr>
    <w:footnote w:id="-1"/>
    <w:footnote w:id="0"/>
  </w:footnotePr>
  <w:endnotePr>
    <w:endnote w:id="-1"/>
    <w:endnote w:id="0"/>
  </w:endnotePr>
  <w:compat/>
  <w:rsids>
    <w:rsidRoot w:val="0014238E"/>
    <w:rsid w:val="00006F6A"/>
    <w:rsid w:val="00017196"/>
    <w:rsid w:val="00021F64"/>
    <w:rsid w:val="00025BCC"/>
    <w:rsid w:val="000266D7"/>
    <w:rsid w:val="00031ADF"/>
    <w:rsid w:val="00032825"/>
    <w:rsid w:val="00032A31"/>
    <w:rsid w:val="00034452"/>
    <w:rsid w:val="000352FF"/>
    <w:rsid w:val="0004161F"/>
    <w:rsid w:val="000619BF"/>
    <w:rsid w:val="000662CE"/>
    <w:rsid w:val="0007471C"/>
    <w:rsid w:val="00083AF1"/>
    <w:rsid w:val="00094D45"/>
    <w:rsid w:val="000A1A80"/>
    <w:rsid w:val="000A2DE7"/>
    <w:rsid w:val="000A7936"/>
    <w:rsid w:val="000C295C"/>
    <w:rsid w:val="000D7600"/>
    <w:rsid w:val="000E00B8"/>
    <w:rsid w:val="000E689A"/>
    <w:rsid w:val="000F5003"/>
    <w:rsid w:val="000F55CA"/>
    <w:rsid w:val="000F55D5"/>
    <w:rsid w:val="00102BC0"/>
    <w:rsid w:val="001033EA"/>
    <w:rsid w:val="00120E8D"/>
    <w:rsid w:val="00123E43"/>
    <w:rsid w:val="00124BC5"/>
    <w:rsid w:val="00125F2F"/>
    <w:rsid w:val="00126EEA"/>
    <w:rsid w:val="0014238E"/>
    <w:rsid w:val="001432C3"/>
    <w:rsid w:val="00152EE2"/>
    <w:rsid w:val="00153BE1"/>
    <w:rsid w:val="001571F2"/>
    <w:rsid w:val="00165D5D"/>
    <w:rsid w:val="00170741"/>
    <w:rsid w:val="001827B5"/>
    <w:rsid w:val="00193675"/>
    <w:rsid w:val="00196C58"/>
    <w:rsid w:val="001A09FF"/>
    <w:rsid w:val="001A1B64"/>
    <w:rsid w:val="001A401F"/>
    <w:rsid w:val="001C0013"/>
    <w:rsid w:val="001C54CA"/>
    <w:rsid w:val="001D00C6"/>
    <w:rsid w:val="001D0445"/>
    <w:rsid w:val="001D0875"/>
    <w:rsid w:val="001D6990"/>
    <w:rsid w:val="001E1ED3"/>
    <w:rsid w:val="001E65FD"/>
    <w:rsid w:val="001F0C17"/>
    <w:rsid w:val="001F0D55"/>
    <w:rsid w:val="002012EE"/>
    <w:rsid w:val="00201B25"/>
    <w:rsid w:val="002037C9"/>
    <w:rsid w:val="00207E1C"/>
    <w:rsid w:val="002104B7"/>
    <w:rsid w:val="00215835"/>
    <w:rsid w:val="00226535"/>
    <w:rsid w:val="00231873"/>
    <w:rsid w:val="00232626"/>
    <w:rsid w:val="00234171"/>
    <w:rsid w:val="00234BBB"/>
    <w:rsid w:val="00236C10"/>
    <w:rsid w:val="0024149A"/>
    <w:rsid w:val="00253D7F"/>
    <w:rsid w:val="0025420D"/>
    <w:rsid w:val="00255644"/>
    <w:rsid w:val="002620CB"/>
    <w:rsid w:val="0026235D"/>
    <w:rsid w:val="00263DF2"/>
    <w:rsid w:val="0027201F"/>
    <w:rsid w:val="0028265A"/>
    <w:rsid w:val="0028341B"/>
    <w:rsid w:val="002842BE"/>
    <w:rsid w:val="0028463C"/>
    <w:rsid w:val="00285329"/>
    <w:rsid w:val="00286FE4"/>
    <w:rsid w:val="002900F1"/>
    <w:rsid w:val="00290536"/>
    <w:rsid w:val="00293C96"/>
    <w:rsid w:val="00294BA1"/>
    <w:rsid w:val="002A5985"/>
    <w:rsid w:val="002A60A3"/>
    <w:rsid w:val="002A6F3B"/>
    <w:rsid w:val="002B31ED"/>
    <w:rsid w:val="002B3304"/>
    <w:rsid w:val="002B530D"/>
    <w:rsid w:val="002B7A70"/>
    <w:rsid w:val="002C158C"/>
    <w:rsid w:val="002C1A55"/>
    <w:rsid w:val="002D074F"/>
    <w:rsid w:val="002D416B"/>
    <w:rsid w:val="002D445F"/>
    <w:rsid w:val="002D76BF"/>
    <w:rsid w:val="002E6543"/>
    <w:rsid w:val="002F219E"/>
    <w:rsid w:val="002F4447"/>
    <w:rsid w:val="002F53F8"/>
    <w:rsid w:val="002F5B45"/>
    <w:rsid w:val="002F5F46"/>
    <w:rsid w:val="0030344B"/>
    <w:rsid w:val="003114C6"/>
    <w:rsid w:val="0031154A"/>
    <w:rsid w:val="003134DE"/>
    <w:rsid w:val="00317524"/>
    <w:rsid w:val="00331215"/>
    <w:rsid w:val="00332487"/>
    <w:rsid w:val="00333598"/>
    <w:rsid w:val="003340D6"/>
    <w:rsid w:val="00337E42"/>
    <w:rsid w:val="00343E57"/>
    <w:rsid w:val="00350D70"/>
    <w:rsid w:val="0035381A"/>
    <w:rsid w:val="003572F1"/>
    <w:rsid w:val="003626A2"/>
    <w:rsid w:val="003653F4"/>
    <w:rsid w:val="00371B7F"/>
    <w:rsid w:val="003822AC"/>
    <w:rsid w:val="00392247"/>
    <w:rsid w:val="00397370"/>
    <w:rsid w:val="003A00EB"/>
    <w:rsid w:val="003A6929"/>
    <w:rsid w:val="003B5AA8"/>
    <w:rsid w:val="003C7F37"/>
    <w:rsid w:val="003D3502"/>
    <w:rsid w:val="003D67FE"/>
    <w:rsid w:val="003E0E21"/>
    <w:rsid w:val="003E5D3B"/>
    <w:rsid w:val="003E6D6B"/>
    <w:rsid w:val="003E7632"/>
    <w:rsid w:val="003E7D37"/>
    <w:rsid w:val="003F00FD"/>
    <w:rsid w:val="003F1F18"/>
    <w:rsid w:val="003F2293"/>
    <w:rsid w:val="003F7590"/>
    <w:rsid w:val="00414193"/>
    <w:rsid w:val="00417180"/>
    <w:rsid w:val="004378E1"/>
    <w:rsid w:val="00440A22"/>
    <w:rsid w:val="0044347F"/>
    <w:rsid w:val="00454437"/>
    <w:rsid w:val="004573CA"/>
    <w:rsid w:val="00457E80"/>
    <w:rsid w:val="004654A7"/>
    <w:rsid w:val="00466223"/>
    <w:rsid w:val="00467C64"/>
    <w:rsid w:val="00484CB9"/>
    <w:rsid w:val="00485414"/>
    <w:rsid w:val="0049295E"/>
    <w:rsid w:val="004953DE"/>
    <w:rsid w:val="004961F7"/>
    <w:rsid w:val="004971BA"/>
    <w:rsid w:val="004A01D1"/>
    <w:rsid w:val="004A1059"/>
    <w:rsid w:val="004A3A04"/>
    <w:rsid w:val="004B03E1"/>
    <w:rsid w:val="004B3F8B"/>
    <w:rsid w:val="004C109C"/>
    <w:rsid w:val="004C4D78"/>
    <w:rsid w:val="004C5848"/>
    <w:rsid w:val="004C6366"/>
    <w:rsid w:val="004C78E3"/>
    <w:rsid w:val="004D4560"/>
    <w:rsid w:val="004E42FF"/>
    <w:rsid w:val="004E56BA"/>
    <w:rsid w:val="004F0B2F"/>
    <w:rsid w:val="004F1F8E"/>
    <w:rsid w:val="004F5120"/>
    <w:rsid w:val="004F5B48"/>
    <w:rsid w:val="004F7B6E"/>
    <w:rsid w:val="00503581"/>
    <w:rsid w:val="005044BD"/>
    <w:rsid w:val="00514C68"/>
    <w:rsid w:val="005154AF"/>
    <w:rsid w:val="0051598B"/>
    <w:rsid w:val="005242CD"/>
    <w:rsid w:val="00525FA6"/>
    <w:rsid w:val="005276AF"/>
    <w:rsid w:val="00534894"/>
    <w:rsid w:val="0054294A"/>
    <w:rsid w:val="00544AF9"/>
    <w:rsid w:val="00560C34"/>
    <w:rsid w:val="0056319D"/>
    <w:rsid w:val="005710F9"/>
    <w:rsid w:val="00576749"/>
    <w:rsid w:val="00583DA7"/>
    <w:rsid w:val="005855B9"/>
    <w:rsid w:val="005912CA"/>
    <w:rsid w:val="005920B1"/>
    <w:rsid w:val="005957B8"/>
    <w:rsid w:val="005A04A5"/>
    <w:rsid w:val="005A3470"/>
    <w:rsid w:val="005B2448"/>
    <w:rsid w:val="005B7304"/>
    <w:rsid w:val="005D7EDD"/>
    <w:rsid w:val="005E7708"/>
    <w:rsid w:val="005F09A5"/>
    <w:rsid w:val="005F4D7E"/>
    <w:rsid w:val="005F73DF"/>
    <w:rsid w:val="006005D7"/>
    <w:rsid w:val="00604EC7"/>
    <w:rsid w:val="00610BDA"/>
    <w:rsid w:val="00621AB0"/>
    <w:rsid w:val="00623098"/>
    <w:rsid w:val="006252E9"/>
    <w:rsid w:val="006317C9"/>
    <w:rsid w:val="00634B79"/>
    <w:rsid w:val="006407D5"/>
    <w:rsid w:val="006410D5"/>
    <w:rsid w:val="00642204"/>
    <w:rsid w:val="0064345D"/>
    <w:rsid w:val="00644C40"/>
    <w:rsid w:val="006503AD"/>
    <w:rsid w:val="00651AF0"/>
    <w:rsid w:val="00663CB1"/>
    <w:rsid w:val="006642DD"/>
    <w:rsid w:val="00665269"/>
    <w:rsid w:val="00680078"/>
    <w:rsid w:val="0068542B"/>
    <w:rsid w:val="006918CF"/>
    <w:rsid w:val="00692580"/>
    <w:rsid w:val="00696E16"/>
    <w:rsid w:val="006A39CB"/>
    <w:rsid w:val="006B1CA8"/>
    <w:rsid w:val="006B5B53"/>
    <w:rsid w:val="006C3974"/>
    <w:rsid w:val="006D1C41"/>
    <w:rsid w:val="006D67E2"/>
    <w:rsid w:val="006E06B5"/>
    <w:rsid w:val="00700FB4"/>
    <w:rsid w:val="00703BC5"/>
    <w:rsid w:val="007049E6"/>
    <w:rsid w:val="00712992"/>
    <w:rsid w:val="00716BF1"/>
    <w:rsid w:val="00726CD1"/>
    <w:rsid w:val="007323AA"/>
    <w:rsid w:val="007375F4"/>
    <w:rsid w:val="0075524D"/>
    <w:rsid w:val="00755BBF"/>
    <w:rsid w:val="00756DE9"/>
    <w:rsid w:val="00763507"/>
    <w:rsid w:val="00777D7D"/>
    <w:rsid w:val="00792A59"/>
    <w:rsid w:val="007B02DF"/>
    <w:rsid w:val="007B0BB6"/>
    <w:rsid w:val="007B3DBB"/>
    <w:rsid w:val="007B6A26"/>
    <w:rsid w:val="007C745E"/>
    <w:rsid w:val="007D7C73"/>
    <w:rsid w:val="007E6C90"/>
    <w:rsid w:val="007F0DB5"/>
    <w:rsid w:val="007F2786"/>
    <w:rsid w:val="007F7377"/>
    <w:rsid w:val="00800E28"/>
    <w:rsid w:val="00803E59"/>
    <w:rsid w:val="00805479"/>
    <w:rsid w:val="00817DD1"/>
    <w:rsid w:val="00822D7C"/>
    <w:rsid w:val="00827021"/>
    <w:rsid w:val="0083238F"/>
    <w:rsid w:val="00833D50"/>
    <w:rsid w:val="00834769"/>
    <w:rsid w:val="00836283"/>
    <w:rsid w:val="00840ADB"/>
    <w:rsid w:val="008446F0"/>
    <w:rsid w:val="00847D08"/>
    <w:rsid w:val="00853094"/>
    <w:rsid w:val="00853A93"/>
    <w:rsid w:val="00855DDF"/>
    <w:rsid w:val="00856FB0"/>
    <w:rsid w:val="0086062E"/>
    <w:rsid w:val="00865606"/>
    <w:rsid w:val="00876B2E"/>
    <w:rsid w:val="00880C90"/>
    <w:rsid w:val="0088124B"/>
    <w:rsid w:val="00885E6D"/>
    <w:rsid w:val="008B4A24"/>
    <w:rsid w:val="008B7BDB"/>
    <w:rsid w:val="008C0F87"/>
    <w:rsid w:val="008C3116"/>
    <w:rsid w:val="008C780B"/>
    <w:rsid w:val="008D1E33"/>
    <w:rsid w:val="008E651D"/>
    <w:rsid w:val="008E6F1D"/>
    <w:rsid w:val="00901D6F"/>
    <w:rsid w:val="0090678D"/>
    <w:rsid w:val="009070AF"/>
    <w:rsid w:val="00907A05"/>
    <w:rsid w:val="0091434F"/>
    <w:rsid w:val="00914510"/>
    <w:rsid w:val="0091579F"/>
    <w:rsid w:val="0091585E"/>
    <w:rsid w:val="00915DD6"/>
    <w:rsid w:val="0093437F"/>
    <w:rsid w:val="009344A8"/>
    <w:rsid w:val="00935D05"/>
    <w:rsid w:val="00942E97"/>
    <w:rsid w:val="009548D1"/>
    <w:rsid w:val="00956E6D"/>
    <w:rsid w:val="00962D8F"/>
    <w:rsid w:val="009834C4"/>
    <w:rsid w:val="009A6A48"/>
    <w:rsid w:val="009A79F4"/>
    <w:rsid w:val="009B00BF"/>
    <w:rsid w:val="009B2B08"/>
    <w:rsid w:val="009B7603"/>
    <w:rsid w:val="009C31DB"/>
    <w:rsid w:val="009C7CBE"/>
    <w:rsid w:val="009D33B8"/>
    <w:rsid w:val="009D3F8C"/>
    <w:rsid w:val="009E1E2E"/>
    <w:rsid w:val="009E1E96"/>
    <w:rsid w:val="009E1EB4"/>
    <w:rsid w:val="009E3111"/>
    <w:rsid w:val="009E4D66"/>
    <w:rsid w:val="009E5544"/>
    <w:rsid w:val="009F397F"/>
    <w:rsid w:val="00A02024"/>
    <w:rsid w:val="00A11F51"/>
    <w:rsid w:val="00A12267"/>
    <w:rsid w:val="00A15EAE"/>
    <w:rsid w:val="00A16342"/>
    <w:rsid w:val="00A2016C"/>
    <w:rsid w:val="00A2137B"/>
    <w:rsid w:val="00A25D14"/>
    <w:rsid w:val="00A31EAC"/>
    <w:rsid w:val="00A34607"/>
    <w:rsid w:val="00A4678B"/>
    <w:rsid w:val="00A53EE7"/>
    <w:rsid w:val="00A577D3"/>
    <w:rsid w:val="00A649D0"/>
    <w:rsid w:val="00A66BD6"/>
    <w:rsid w:val="00A76748"/>
    <w:rsid w:val="00A77C52"/>
    <w:rsid w:val="00A85681"/>
    <w:rsid w:val="00A87A8B"/>
    <w:rsid w:val="00A93F34"/>
    <w:rsid w:val="00A97FAE"/>
    <w:rsid w:val="00AA2678"/>
    <w:rsid w:val="00AA70D1"/>
    <w:rsid w:val="00AB6FC1"/>
    <w:rsid w:val="00AC6826"/>
    <w:rsid w:val="00AC6CCB"/>
    <w:rsid w:val="00AD3659"/>
    <w:rsid w:val="00AD5FAB"/>
    <w:rsid w:val="00AE1DBE"/>
    <w:rsid w:val="00AE4B0F"/>
    <w:rsid w:val="00AF384D"/>
    <w:rsid w:val="00AF7947"/>
    <w:rsid w:val="00B04424"/>
    <w:rsid w:val="00B057F0"/>
    <w:rsid w:val="00B326CE"/>
    <w:rsid w:val="00B34B99"/>
    <w:rsid w:val="00B35A8C"/>
    <w:rsid w:val="00B44893"/>
    <w:rsid w:val="00B54811"/>
    <w:rsid w:val="00B56C96"/>
    <w:rsid w:val="00B57513"/>
    <w:rsid w:val="00B62239"/>
    <w:rsid w:val="00B623CF"/>
    <w:rsid w:val="00B629FE"/>
    <w:rsid w:val="00B71FE4"/>
    <w:rsid w:val="00B74368"/>
    <w:rsid w:val="00B853F2"/>
    <w:rsid w:val="00B86F56"/>
    <w:rsid w:val="00B92042"/>
    <w:rsid w:val="00B92782"/>
    <w:rsid w:val="00BA5438"/>
    <w:rsid w:val="00BB36D5"/>
    <w:rsid w:val="00BB7186"/>
    <w:rsid w:val="00BC5001"/>
    <w:rsid w:val="00BC7CB2"/>
    <w:rsid w:val="00BD21CB"/>
    <w:rsid w:val="00BD2E22"/>
    <w:rsid w:val="00BE2603"/>
    <w:rsid w:val="00BE7871"/>
    <w:rsid w:val="00BF57F3"/>
    <w:rsid w:val="00C10E18"/>
    <w:rsid w:val="00C144DD"/>
    <w:rsid w:val="00C15BE3"/>
    <w:rsid w:val="00C16109"/>
    <w:rsid w:val="00C165B0"/>
    <w:rsid w:val="00C21A97"/>
    <w:rsid w:val="00C369ED"/>
    <w:rsid w:val="00C3752F"/>
    <w:rsid w:val="00C42B1C"/>
    <w:rsid w:val="00C47EBC"/>
    <w:rsid w:val="00C541FC"/>
    <w:rsid w:val="00C55ADD"/>
    <w:rsid w:val="00C5617E"/>
    <w:rsid w:val="00C60200"/>
    <w:rsid w:val="00C66064"/>
    <w:rsid w:val="00C72624"/>
    <w:rsid w:val="00C81CFA"/>
    <w:rsid w:val="00C9149C"/>
    <w:rsid w:val="00C94930"/>
    <w:rsid w:val="00CA1D41"/>
    <w:rsid w:val="00CA3E1C"/>
    <w:rsid w:val="00CB2779"/>
    <w:rsid w:val="00CB298B"/>
    <w:rsid w:val="00CB2FCA"/>
    <w:rsid w:val="00CB7104"/>
    <w:rsid w:val="00CC20C9"/>
    <w:rsid w:val="00CC38A7"/>
    <w:rsid w:val="00CC4C8A"/>
    <w:rsid w:val="00CD1686"/>
    <w:rsid w:val="00CD77A2"/>
    <w:rsid w:val="00CE3DDD"/>
    <w:rsid w:val="00CE3FB9"/>
    <w:rsid w:val="00CF1D8D"/>
    <w:rsid w:val="00CF46B6"/>
    <w:rsid w:val="00D03CAC"/>
    <w:rsid w:val="00D106A7"/>
    <w:rsid w:val="00D12B09"/>
    <w:rsid w:val="00D1555D"/>
    <w:rsid w:val="00D16C6C"/>
    <w:rsid w:val="00D2714A"/>
    <w:rsid w:val="00D3551D"/>
    <w:rsid w:val="00D42C7C"/>
    <w:rsid w:val="00D559A9"/>
    <w:rsid w:val="00D60B72"/>
    <w:rsid w:val="00D669A9"/>
    <w:rsid w:val="00D66E9C"/>
    <w:rsid w:val="00D728D2"/>
    <w:rsid w:val="00D74F61"/>
    <w:rsid w:val="00D75447"/>
    <w:rsid w:val="00D8307F"/>
    <w:rsid w:val="00D834DB"/>
    <w:rsid w:val="00D83686"/>
    <w:rsid w:val="00D85023"/>
    <w:rsid w:val="00DA5A99"/>
    <w:rsid w:val="00DA6E35"/>
    <w:rsid w:val="00DB35B9"/>
    <w:rsid w:val="00DB3B7B"/>
    <w:rsid w:val="00DB453E"/>
    <w:rsid w:val="00DC5371"/>
    <w:rsid w:val="00DD00E8"/>
    <w:rsid w:val="00DD0B82"/>
    <w:rsid w:val="00DE0BC7"/>
    <w:rsid w:val="00DE5BF7"/>
    <w:rsid w:val="00E03D7D"/>
    <w:rsid w:val="00E043B2"/>
    <w:rsid w:val="00E04682"/>
    <w:rsid w:val="00E0573A"/>
    <w:rsid w:val="00E07984"/>
    <w:rsid w:val="00E17FD4"/>
    <w:rsid w:val="00E21AEB"/>
    <w:rsid w:val="00E323B6"/>
    <w:rsid w:val="00E32BA1"/>
    <w:rsid w:val="00E33A12"/>
    <w:rsid w:val="00E41F1B"/>
    <w:rsid w:val="00E51601"/>
    <w:rsid w:val="00E55EFD"/>
    <w:rsid w:val="00E62F7D"/>
    <w:rsid w:val="00E66DAF"/>
    <w:rsid w:val="00E676DA"/>
    <w:rsid w:val="00E67B62"/>
    <w:rsid w:val="00E72621"/>
    <w:rsid w:val="00E86DE9"/>
    <w:rsid w:val="00E87368"/>
    <w:rsid w:val="00E8780B"/>
    <w:rsid w:val="00E87835"/>
    <w:rsid w:val="00E927D7"/>
    <w:rsid w:val="00E93282"/>
    <w:rsid w:val="00EA0C32"/>
    <w:rsid w:val="00EB2C51"/>
    <w:rsid w:val="00EB3579"/>
    <w:rsid w:val="00EC53FB"/>
    <w:rsid w:val="00EC5E13"/>
    <w:rsid w:val="00EC6376"/>
    <w:rsid w:val="00ED14E3"/>
    <w:rsid w:val="00ED3BA3"/>
    <w:rsid w:val="00EE032E"/>
    <w:rsid w:val="00EE76E8"/>
    <w:rsid w:val="00EE7B7B"/>
    <w:rsid w:val="00EF04DF"/>
    <w:rsid w:val="00F00208"/>
    <w:rsid w:val="00F03463"/>
    <w:rsid w:val="00F055FC"/>
    <w:rsid w:val="00F0585E"/>
    <w:rsid w:val="00F11A28"/>
    <w:rsid w:val="00F161D6"/>
    <w:rsid w:val="00F2453B"/>
    <w:rsid w:val="00F24CCB"/>
    <w:rsid w:val="00F300E5"/>
    <w:rsid w:val="00F329AB"/>
    <w:rsid w:val="00F55139"/>
    <w:rsid w:val="00F5634D"/>
    <w:rsid w:val="00F6344C"/>
    <w:rsid w:val="00F67B7E"/>
    <w:rsid w:val="00F74878"/>
    <w:rsid w:val="00F82829"/>
    <w:rsid w:val="00F902F7"/>
    <w:rsid w:val="00F90C25"/>
    <w:rsid w:val="00FB178A"/>
    <w:rsid w:val="00FC2172"/>
    <w:rsid w:val="00FD0576"/>
    <w:rsid w:val="00FD0810"/>
    <w:rsid w:val="00FD646F"/>
    <w:rsid w:val="00FE1937"/>
    <w:rsid w:val="00FE3727"/>
    <w:rsid w:val="00FE4232"/>
    <w:rsid w:val="00FF09D2"/>
    <w:rsid w:val="00FF3E91"/>
    <w:rsid w:val="00FF507F"/>
    <w:rsid w:val="00FF69B4"/>
  </w:rsids>
  <m:mathPr>
    <m:mathFont m:val="Cambria Math"/>
    <m:brkBin m:val="before"/>
    <m:brkBinSub m:val="--"/>
    <m:smallFrac m:val="off"/>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75F4"/>
  </w:style>
  <w:style w:type="paragraph" w:styleId="Heading1">
    <w:name w:val="heading 1"/>
    <w:basedOn w:val="Normal"/>
    <w:next w:val="Normal"/>
    <w:link w:val="Heading1Char"/>
    <w:uiPriority w:val="9"/>
    <w:qFormat/>
    <w:rsid w:val="00E93282"/>
    <w:pPr>
      <w:keepNext/>
      <w:keepLines/>
      <w:spacing w:before="480" w:after="0" w:line="240" w:lineRule="auto"/>
      <w:outlineLvl w:val="0"/>
    </w:pPr>
    <w:rPr>
      <w:rFonts w:ascii="Arial" w:eastAsiaTheme="majorEastAsia" w:hAnsi="Arial" w:cstheme="majorBidi"/>
      <w:b/>
      <w:bCs/>
      <w:sz w:val="20"/>
      <w:szCs w:val="28"/>
    </w:rPr>
  </w:style>
  <w:style w:type="paragraph" w:styleId="Heading2">
    <w:name w:val="heading 2"/>
    <w:basedOn w:val="Normal"/>
    <w:next w:val="Normal"/>
    <w:link w:val="Heading2Char"/>
    <w:uiPriority w:val="9"/>
    <w:unhideWhenUsed/>
    <w:qFormat/>
    <w:rsid w:val="00E93282"/>
    <w:pPr>
      <w:keepNext/>
      <w:keepLines/>
      <w:spacing w:after="0" w:line="240" w:lineRule="auto"/>
      <w:outlineLvl w:val="1"/>
    </w:pPr>
    <w:rPr>
      <w:rFonts w:ascii="Arial" w:eastAsiaTheme="majorEastAsia" w:hAnsi="Arial" w:cstheme="majorBidi"/>
      <w:b/>
      <w:bCs/>
      <w:sz w:val="20"/>
      <w:szCs w:val="26"/>
    </w:rPr>
  </w:style>
  <w:style w:type="paragraph" w:styleId="Heading3">
    <w:name w:val="heading 3"/>
    <w:basedOn w:val="Normal"/>
    <w:next w:val="Normal"/>
    <w:link w:val="Heading3Char"/>
    <w:uiPriority w:val="9"/>
    <w:unhideWhenUsed/>
    <w:qFormat/>
    <w:rsid w:val="00E93282"/>
    <w:pPr>
      <w:keepNext/>
      <w:keepLines/>
      <w:spacing w:after="0" w:line="240" w:lineRule="auto"/>
      <w:outlineLvl w:val="2"/>
    </w:pPr>
    <w:rPr>
      <w:rFonts w:ascii="Arial" w:eastAsiaTheme="majorEastAsia" w:hAnsi="Arial" w:cstheme="majorBidi"/>
      <w:b/>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14238E"/>
    <w:pPr>
      <w:spacing w:after="0" w:line="240" w:lineRule="auto"/>
    </w:pPr>
  </w:style>
  <w:style w:type="paragraph" w:styleId="FootnoteText">
    <w:name w:val="footnote text"/>
    <w:basedOn w:val="Normal"/>
    <w:link w:val="FootnoteTextChar"/>
    <w:uiPriority w:val="99"/>
    <w:unhideWhenUsed/>
    <w:rsid w:val="0014238E"/>
    <w:pPr>
      <w:spacing w:after="0" w:line="240" w:lineRule="auto"/>
    </w:pPr>
    <w:rPr>
      <w:rFonts w:ascii="Arial" w:hAnsi="Arial"/>
      <w:sz w:val="20"/>
      <w:szCs w:val="20"/>
    </w:rPr>
  </w:style>
  <w:style w:type="character" w:customStyle="1" w:styleId="FootnoteTextChar">
    <w:name w:val="Footnote Text Char"/>
    <w:basedOn w:val="DefaultParagraphFont"/>
    <w:link w:val="FootnoteText"/>
    <w:uiPriority w:val="99"/>
    <w:rsid w:val="0014238E"/>
    <w:rPr>
      <w:rFonts w:ascii="Arial" w:hAnsi="Arial"/>
      <w:sz w:val="20"/>
      <w:szCs w:val="20"/>
    </w:rPr>
  </w:style>
  <w:style w:type="character" w:styleId="FootnoteReference">
    <w:name w:val="footnote reference"/>
    <w:basedOn w:val="DefaultParagraphFont"/>
    <w:uiPriority w:val="99"/>
    <w:unhideWhenUsed/>
    <w:rsid w:val="0014238E"/>
    <w:rPr>
      <w:vertAlign w:val="superscript"/>
    </w:rPr>
  </w:style>
  <w:style w:type="character" w:styleId="Hyperlink">
    <w:name w:val="Hyperlink"/>
    <w:basedOn w:val="DefaultParagraphFont"/>
    <w:uiPriority w:val="99"/>
    <w:unhideWhenUsed/>
    <w:rsid w:val="0014238E"/>
    <w:rPr>
      <w:color w:val="0563C1" w:themeColor="hyperlink"/>
      <w:u w:val="single"/>
    </w:rPr>
  </w:style>
  <w:style w:type="paragraph" w:styleId="ListParagraph">
    <w:name w:val="List Paragraph"/>
    <w:basedOn w:val="Normal"/>
    <w:link w:val="ListParagraphChar"/>
    <w:uiPriority w:val="34"/>
    <w:qFormat/>
    <w:rsid w:val="0014238E"/>
    <w:pPr>
      <w:spacing w:line="252" w:lineRule="auto"/>
      <w:ind w:left="720"/>
      <w:contextualSpacing/>
    </w:pPr>
    <w:rPr>
      <w:rFonts w:ascii="Calibri" w:hAnsi="Calibri" w:cs="Times New Roman"/>
    </w:rPr>
  </w:style>
  <w:style w:type="character" w:customStyle="1" w:styleId="Heading1Char">
    <w:name w:val="Heading 1 Char"/>
    <w:basedOn w:val="DefaultParagraphFont"/>
    <w:link w:val="Heading1"/>
    <w:uiPriority w:val="9"/>
    <w:rsid w:val="00E93282"/>
    <w:rPr>
      <w:rFonts w:ascii="Arial" w:eastAsiaTheme="majorEastAsia" w:hAnsi="Arial" w:cstheme="majorBidi"/>
      <w:b/>
      <w:bCs/>
      <w:sz w:val="20"/>
      <w:szCs w:val="28"/>
    </w:rPr>
  </w:style>
  <w:style w:type="character" w:customStyle="1" w:styleId="Heading2Char">
    <w:name w:val="Heading 2 Char"/>
    <w:basedOn w:val="DefaultParagraphFont"/>
    <w:link w:val="Heading2"/>
    <w:uiPriority w:val="9"/>
    <w:rsid w:val="00E93282"/>
    <w:rPr>
      <w:rFonts w:ascii="Arial" w:eastAsiaTheme="majorEastAsia" w:hAnsi="Arial" w:cstheme="majorBidi"/>
      <w:b/>
      <w:bCs/>
      <w:sz w:val="20"/>
      <w:szCs w:val="26"/>
    </w:rPr>
  </w:style>
  <w:style w:type="character" w:customStyle="1" w:styleId="NoSpacingChar">
    <w:name w:val="No Spacing Char"/>
    <w:basedOn w:val="DefaultParagraphFont"/>
    <w:link w:val="NoSpacing"/>
    <w:uiPriority w:val="1"/>
    <w:rsid w:val="005044BD"/>
  </w:style>
  <w:style w:type="table" w:styleId="TableGrid">
    <w:name w:val="Table Grid"/>
    <w:basedOn w:val="TableNormal"/>
    <w:uiPriority w:val="39"/>
    <w:rsid w:val="002B31E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otnoteTextChar1">
    <w:name w:val="Footnote Text Char1"/>
    <w:uiPriority w:val="99"/>
    <w:semiHidden/>
    <w:locked/>
    <w:rsid w:val="00962D8F"/>
    <w:rPr>
      <w:rFonts w:ascii="Times New Roman" w:eastAsia="Times New Roman" w:hAnsi="Times New Roman" w:cs="Times New Roman"/>
      <w:szCs w:val="20"/>
    </w:rPr>
  </w:style>
  <w:style w:type="character" w:customStyle="1" w:styleId="ListParagraphChar">
    <w:name w:val="List Paragraph Char"/>
    <w:link w:val="ListParagraph"/>
    <w:uiPriority w:val="34"/>
    <w:locked/>
    <w:rsid w:val="00962D8F"/>
    <w:rPr>
      <w:rFonts w:ascii="Calibri" w:hAnsi="Calibri" w:cs="Times New Roman"/>
    </w:rPr>
  </w:style>
  <w:style w:type="character" w:styleId="CommentReference">
    <w:name w:val="annotation reference"/>
    <w:basedOn w:val="DefaultParagraphFont"/>
    <w:uiPriority w:val="99"/>
    <w:semiHidden/>
    <w:unhideWhenUsed/>
    <w:rsid w:val="00962D8F"/>
    <w:rPr>
      <w:sz w:val="16"/>
      <w:szCs w:val="16"/>
    </w:rPr>
  </w:style>
  <w:style w:type="paragraph" w:styleId="CommentText">
    <w:name w:val="annotation text"/>
    <w:basedOn w:val="Normal"/>
    <w:link w:val="CommentTextChar"/>
    <w:uiPriority w:val="99"/>
    <w:semiHidden/>
    <w:unhideWhenUsed/>
    <w:rsid w:val="00962D8F"/>
    <w:pPr>
      <w:spacing w:before="200" w:after="0" w:line="240" w:lineRule="auto"/>
    </w:pPr>
    <w:rPr>
      <w:rFonts w:ascii="Arial" w:hAnsi="Arial"/>
      <w:sz w:val="20"/>
      <w:szCs w:val="20"/>
    </w:rPr>
  </w:style>
  <w:style w:type="character" w:customStyle="1" w:styleId="CommentTextChar">
    <w:name w:val="Comment Text Char"/>
    <w:basedOn w:val="DefaultParagraphFont"/>
    <w:link w:val="CommentText"/>
    <w:uiPriority w:val="99"/>
    <w:semiHidden/>
    <w:rsid w:val="00962D8F"/>
    <w:rPr>
      <w:rFonts w:ascii="Arial" w:hAnsi="Arial"/>
      <w:sz w:val="20"/>
      <w:szCs w:val="20"/>
    </w:rPr>
  </w:style>
  <w:style w:type="paragraph" w:styleId="BalloonText">
    <w:name w:val="Balloon Text"/>
    <w:basedOn w:val="Normal"/>
    <w:link w:val="BalloonTextChar"/>
    <w:uiPriority w:val="99"/>
    <w:semiHidden/>
    <w:unhideWhenUsed/>
    <w:rsid w:val="00962D8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2D8F"/>
    <w:rPr>
      <w:rFonts w:ascii="Segoe UI" w:hAnsi="Segoe UI" w:cs="Segoe UI"/>
      <w:sz w:val="18"/>
      <w:szCs w:val="18"/>
    </w:rPr>
  </w:style>
  <w:style w:type="paragraph" w:styleId="Header">
    <w:name w:val="header"/>
    <w:basedOn w:val="Normal"/>
    <w:link w:val="HeaderChar"/>
    <w:uiPriority w:val="99"/>
    <w:unhideWhenUsed/>
    <w:rsid w:val="00A16342"/>
    <w:pPr>
      <w:tabs>
        <w:tab w:val="center" w:pos="4153"/>
        <w:tab w:val="right" w:pos="8306"/>
      </w:tabs>
      <w:spacing w:after="0" w:line="240" w:lineRule="auto"/>
    </w:pPr>
  </w:style>
  <w:style w:type="character" w:customStyle="1" w:styleId="HeaderChar">
    <w:name w:val="Header Char"/>
    <w:basedOn w:val="DefaultParagraphFont"/>
    <w:link w:val="Header"/>
    <w:uiPriority w:val="99"/>
    <w:rsid w:val="00A16342"/>
  </w:style>
  <w:style w:type="paragraph" w:styleId="Footer">
    <w:name w:val="footer"/>
    <w:basedOn w:val="Normal"/>
    <w:link w:val="FooterChar"/>
    <w:uiPriority w:val="99"/>
    <w:unhideWhenUsed/>
    <w:rsid w:val="00A16342"/>
    <w:pPr>
      <w:tabs>
        <w:tab w:val="center" w:pos="4153"/>
        <w:tab w:val="right" w:pos="8306"/>
      </w:tabs>
      <w:spacing w:after="0" w:line="240" w:lineRule="auto"/>
    </w:pPr>
  </w:style>
  <w:style w:type="character" w:customStyle="1" w:styleId="FooterChar">
    <w:name w:val="Footer Char"/>
    <w:basedOn w:val="DefaultParagraphFont"/>
    <w:link w:val="Footer"/>
    <w:uiPriority w:val="99"/>
    <w:rsid w:val="00A16342"/>
  </w:style>
  <w:style w:type="character" w:styleId="FollowedHyperlink">
    <w:name w:val="FollowedHyperlink"/>
    <w:basedOn w:val="DefaultParagraphFont"/>
    <w:uiPriority w:val="99"/>
    <w:semiHidden/>
    <w:unhideWhenUsed/>
    <w:rsid w:val="005855B9"/>
    <w:rPr>
      <w:color w:val="954F72" w:themeColor="followedHyperlink"/>
      <w:u w:val="single"/>
    </w:rPr>
  </w:style>
  <w:style w:type="character" w:customStyle="1" w:styleId="st1">
    <w:name w:val="st1"/>
    <w:basedOn w:val="DefaultParagraphFont"/>
    <w:rsid w:val="00C72624"/>
  </w:style>
  <w:style w:type="character" w:styleId="Strong">
    <w:name w:val="Strong"/>
    <w:basedOn w:val="DefaultParagraphFont"/>
    <w:uiPriority w:val="22"/>
    <w:qFormat/>
    <w:rsid w:val="00B04424"/>
    <w:rPr>
      <w:b/>
      <w:bCs/>
    </w:rPr>
  </w:style>
  <w:style w:type="paragraph" w:styleId="CommentSubject">
    <w:name w:val="annotation subject"/>
    <w:basedOn w:val="CommentText"/>
    <w:next w:val="CommentText"/>
    <w:link w:val="CommentSubjectChar"/>
    <w:uiPriority w:val="99"/>
    <w:semiHidden/>
    <w:unhideWhenUsed/>
    <w:rsid w:val="00BD2E22"/>
    <w:pPr>
      <w:spacing w:before="0" w:after="160"/>
    </w:pPr>
    <w:rPr>
      <w:rFonts w:asciiTheme="minorHAnsi" w:hAnsiTheme="minorHAnsi"/>
      <w:b/>
      <w:bCs/>
    </w:rPr>
  </w:style>
  <w:style w:type="character" w:customStyle="1" w:styleId="CommentSubjectChar">
    <w:name w:val="Comment Subject Char"/>
    <w:basedOn w:val="CommentTextChar"/>
    <w:link w:val="CommentSubject"/>
    <w:uiPriority w:val="99"/>
    <w:semiHidden/>
    <w:rsid w:val="00BD2E22"/>
    <w:rPr>
      <w:rFonts w:ascii="Arial" w:hAnsi="Arial"/>
      <w:b/>
      <w:bCs/>
      <w:sz w:val="20"/>
      <w:szCs w:val="20"/>
    </w:rPr>
  </w:style>
  <w:style w:type="paragraph" w:styleId="Revision">
    <w:name w:val="Revision"/>
    <w:hidden/>
    <w:uiPriority w:val="99"/>
    <w:semiHidden/>
    <w:rsid w:val="00BD2E22"/>
    <w:pPr>
      <w:spacing w:after="0" w:line="240" w:lineRule="auto"/>
    </w:pPr>
  </w:style>
  <w:style w:type="paragraph" w:customStyle="1" w:styleId="doc-ti2">
    <w:name w:val="doc-ti2"/>
    <w:basedOn w:val="Normal"/>
    <w:rsid w:val="00E17FD4"/>
    <w:pPr>
      <w:spacing w:before="240" w:after="120" w:line="312" w:lineRule="atLeast"/>
      <w:jc w:val="center"/>
    </w:pPr>
    <w:rPr>
      <w:rFonts w:ascii="Times New Roman" w:eastAsia="Times New Roman" w:hAnsi="Times New Roman" w:cs="Times New Roman"/>
      <w:b/>
      <w:bCs/>
      <w:sz w:val="24"/>
      <w:szCs w:val="24"/>
      <w:lang w:eastAsia="lv-LV"/>
    </w:rPr>
  </w:style>
  <w:style w:type="character" w:customStyle="1" w:styleId="Heading3Char">
    <w:name w:val="Heading 3 Char"/>
    <w:basedOn w:val="DefaultParagraphFont"/>
    <w:link w:val="Heading3"/>
    <w:uiPriority w:val="9"/>
    <w:rsid w:val="00E93282"/>
    <w:rPr>
      <w:rFonts w:ascii="Arial" w:eastAsiaTheme="majorEastAsia" w:hAnsi="Arial" w:cstheme="majorBidi"/>
      <w:b/>
      <w:sz w:val="20"/>
      <w:szCs w:val="24"/>
    </w:rPr>
  </w:style>
  <w:style w:type="paragraph" w:styleId="TOC2">
    <w:name w:val="toc 2"/>
    <w:basedOn w:val="Normal"/>
    <w:next w:val="Normal"/>
    <w:autoRedefine/>
    <w:uiPriority w:val="39"/>
    <w:unhideWhenUsed/>
    <w:rsid w:val="00017196"/>
    <w:pPr>
      <w:tabs>
        <w:tab w:val="right" w:leader="dot" w:pos="8494"/>
      </w:tabs>
      <w:spacing w:after="100"/>
      <w:ind w:left="220"/>
    </w:pPr>
  </w:style>
  <w:style w:type="paragraph" w:styleId="TOC1">
    <w:name w:val="toc 1"/>
    <w:basedOn w:val="Normal"/>
    <w:next w:val="Normal"/>
    <w:autoRedefine/>
    <w:uiPriority w:val="39"/>
    <w:unhideWhenUsed/>
    <w:rsid w:val="000F5003"/>
    <w:pPr>
      <w:tabs>
        <w:tab w:val="right" w:leader="dot" w:pos="8494"/>
      </w:tabs>
      <w:spacing w:after="100"/>
    </w:pPr>
    <w:rPr>
      <w:rFonts w:ascii="Arial" w:hAnsi="Arial" w:cs="Arial"/>
      <w:b/>
      <w:noProof/>
      <w:sz w:val="20"/>
      <w:szCs w:val="20"/>
    </w:rPr>
  </w:style>
  <w:style w:type="paragraph" w:styleId="TOC3">
    <w:name w:val="toc 3"/>
    <w:basedOn w:val="Normal"/>
    <w:next w:val="Normal"/>
    <w:autoRedefine/>
    <w:uiPriority w:val="39"/>
    <w:unhideWhenUsed/>
    <w:rsid w:val="0027201F"/>
    <w:pPr>
      <w:spacing w:after="100"/>
      <w:ind w:left="440"/>
    </w:pPr>
  </w:style>
  <w:style w:type="paragraph" w:customStyle="1" w:styleId="tv2132">
    <w:name w:val="tv2132"/>
    <w:basedOn w:val="Normal"/>
    <w:rsid w:val="001A1B64"/>
    <w:pPr>
      <w:spacing w:after="0" w:line="360" w:lineRule="auto"/>
      <w:ind w:firstLine="300"/>
    </w:pPr>
    <w:rPr>
      <w:rFonts w:ascii="Times New Roman" w:eastAsia="Times New Roman" w:hAnsi="Times New Roman" w:cs="Times New Roman"/>
      <w:color w:val="414142"/>
      <w:sz w:val="20"/>
      <w:szCs w:val="20"/>
      <w:lang w:eastAsia="lv-LV"/>
    </w:rPr>
  </w:style>
  <w:style w:type="paragraph" w:customStyle="1" w:styleId="norm3">
    <w:name w:val="norm3"/>
    <w:basedOn w:val="Normal"/>
    <w:rsid w:val="00DE5BF7"/>
    <w:pPr>
      <w:spacing w:before="120" w:after="0" w:line="312" w:lineRule="atLeast"/>
      <w:jc w:val="both"/>
    </w:pPr>
    <w:rPr>
      <w:rFonts w:ascii="Times New Roman" w:eastAsia="Times New Roman" w:hAnsi="Times New Roman" w:cs="Times New Roman"/>
      <w:sz w:val="24"/>
      <w:szCs w:val="24"/>
      <w:lang w:eastAsia="lv-LV"/>
    </w:rPr>
  </w:style>
</w:styles>
</file>

<file path=word/webSettings.xml><?xml version="1.0" encoding="utf-8"?>
<w:webSettings xmlns:r="http://schemas.openxmlformats.org/officeDocument/2006/relationships" xmlns:w="http://schemas.openxmlformats.org/wordprocessingml/2006/main">
  <w:divs>
    <w:div w:id="130952478">
      <w:bodyDiv w:val="1"/>
      <w:marLeft w:val="0"/>
      <w:marRight w:val="0"/>
      <w:marTop w:val="0"/>
      <w:marBottom w:val="0"/>
      <w:divBdr>
        <w:top w:val="none" w:sz="0" w:space="0" w:color="auto"/>
        <w:left w:val="none" w:sz="0" w:space="0" w:color="auto"/>
        <w:bottom w:val="none" w:sz="0" w:space="0" w:color="auto"/>
        <w:right w:val="none" w:sz="0" w:space="0" w:color="auto"/>
      </w:divBdr>
      <w:divsChild>
        <w:div w:id="1362122778">
          <w:marLeft w:val="0"/>
          <w:marRight w:val="0"/>
          <w:marTop w:val="0"/>
          <w:marBottom w:val="0"/>
          <w:divBdr>
            <w:top w:val="none" w:sz="0" w:space="0" w:color="auto"/>
            <w:left w:val="none" w:sz="0" w:space="0" w:color="auto"/>
            <w:bottom w:val="none" w:sz="0" w:space="0" w:color="auto"/>
            <w:right w:val="none" w:sz="0" w:space="0" w:color="auto"/>
          </w:divBdr>
          <w:divsChild>
            <w:div w:id="879440705">
              <w:marLeft w:val="0"/>
              <w:marRight w:val="0"/>
              <w:marTop w:val="0"/>
              <w:marBottom w:val="0"/>
              <w:divBdr>
                <w:top w:val="none" w:sz="0" w:space="0" w:color="auto"/>
                <w:left w:val="none" w:sz="0" w:space="0" w:color="auto"/>
                <w:bottom w:val="none" w:sz="0" w:space="0" w:color="auto"/>
                <w:right w:val="none" w:sz="0" w:space="0" w:color="auto"/>
              </w:divBdr>
              <w:divsChild>
                <w:div w:id="636423384">
                  <w:marLeft w:val="0"/>
                  <w:marRight w:val="0"/>
                  <w:marTop w:val="0"/>
                  <w:marBottom w:val="0"/>
                  <w:divBdr>
                    <w:top w:val="none" w:sz="0" w:space="0" w:color="auto"/>
                    <w:left w:val="none" w:sz="0" w:space="0" w:color="auto"/>
                    <w:bottom w:val="none" w:sz="0" w:space="0" w:color="auto"/>
                    <w:right w:val="none" w:sz="0" w:space="0" w:color="auto"/>
                  </w:divBdr>
                  <w:divsChild>
                    <w:div w:id="234241616">
                      <w:marLeft w:val="0"/>
                      <w:marRight w:val="0"/>
                      <w:marTop w:val="0"/>
                      <w:marBottom w:val="0"/>
                      <w:divBdr>
                        <w:top w:val="none" w:sz="0" w:space="0" w:color="auto"/>
                        <w:left w:val="none" w:sz="0" w:space="0" w:color="auto"/>
                        <w:bottom w:val="none" w:sz="0" w:space="0" w:color="auto"/>
                        <w:right w:val="none" w:sz="0" w:space="0" w:color="auto"/>
                      </w:divBdr>
                      <w:divsChild>
                        <w:div w:id="765344538">
                          <w:marLeft w:val="0"/>
                          <w:marRight w:val="0"/>
                          <w:marTop w:val="0"/>
                          <w:marBottom w:val="0"/>
                          <w:divBdr>
                            <w:top w:val="none" w:sz="0" w:space="0" w:color="auto"/>
                            <w:left w:val="none" w:sz="0" w:space="0" w:color="auto"/>
                            <w:bottom w:val="none" w:sz="0" w:space="0" w:color="auto"/>
                            <w:right w:val="none" w:sz="0" w:space="0" w:color="auto"/>
                          </w:divBdr>
                          <w:divsChild>
                            <w:div w:id="1565870308">
                              <w:marLeft w:val="0"/>
                              <w:marRight w:val="0"/>
                              <w:marTop w:val="0"/>
                              <w:marBottom w:val="0"/>
                              <w:divBdr>
                                <w:top w:val="none" w:sz="0" w:space="0" w:color="auto"/>
                                <w:left w:val="none" w:sz="0" w:space="0" w:color="auto"/>
                                <w:bottom w:val="none" w:sz="0" w:space="0" w:color="auto"/>
                                <w:right w:val="none" w:sz="0" w:space="0" w:color="auto"/>
                              </w:divBdr>
                              <w:divsChild>
                                <w:div w:id="324628577">
                                  <w:marLeft w:val="0"/>
                                  <w:marRight w:val="0"/>
                                  <w:marTop w:val="0"/>
                                  <w:marBottom w:val="0"/>
                                  <w:divBdr>
                                    <w:top w:val="none" w:sz="0" w:space="0" w:color="auto"/>
                                    <w:left w:val="none" w:sz="0" w:space="0" w:color="auto"/>
                                    <w:bottom w:val="none" w:sz="0" w:space="0" w:color="auto"/>
                                    <w:right w:val="none" w:sz="0" w:space="0" w:color="auto"/>
                                  </w:divBdr>
                                </w:div>
                              </w:divsChild>
                            </w:div>
                            <w:div w:id="991181006">
                              <w:marLeft w:val="0"/>
                              <w:marRight w:val="0"/>
                              <w:marTop w:val="0"/>
                              <w:marBottom w:val="0"/>
                              <w:divBdr>
                                <w:top w:val="none" w:sz="0" w:space="0" w:color="auto"/>
                                <w:left w:val="none" w:sz="0" w:space="0" w:color="auto"/>
                                <w:bottom w:val="none" w:sz="0" w:space="0" w:color="auto"/>
                                <w:right w:val="none" w:sz="0" w:space="0" w:color="auto"/>
                              </w:divBdr>
                              <w:divsChild>
                                <w:div w:id="1770153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8620973">
      <w:bodyDiv w:val="1"/>
      <w:marLeft w:val="0"/>
      <w:marRight w:val="0"/>
      <w:marTop w:val="0"/>
      <w:marBottom w:val="0"/>
      <w:divBdr>
        <w:top w:val="none" w:sz="0" w:space="0" w:color="auto"/>
        <w:left w:val="none" w:sz="0" w:space="0" w:color="auto"/>
        <w:bottom w:val="none" w:sz="0" w:space="0" w:color="auto"/>
        <w:right w:val="none" w:sz="0" w:space="0" w:color="auto"/>
      </w:divBdr>
      <w:divsChild>
        <w:div w:id="841091023">
          <w:marLeft w:val="120"/>
          <w:marRight w:val="120"/>
          <w:marTop w:val="120"/>
          <w:marBottom w:val="120"/>
          <w:divBdr>
            <w:top w:val="none" w:sz="0" w:space="0" w:color="auto"/>
            <w:left w:val="none" w:sz="0" w:space="0" w:color="auto"/>
            <w:bottom w:val="none" w:sz="0" w:space="0" w:color="auto"/>
            <w:right w:val="none" w:sz="0" w:space="0" w:color="auto"/>
          </w:divBdr>
          <w:divsChild>
            <w:div w:id="500237626">
              <w:marLeft w:val="0"/>
              <w:marRight w:val="0"/>
              <w:marTop w:val="0"/>
              <w:marBottom w:val="0"/>
              <w:divBdr>
                <w:top w:val="none" w:sz="0" w:space="0" w:color="auto"/>
                <w:left w:val="none" w:sz="0" w:space="0" w:color="auto"/>
                <w:bottom w:val="none" w:sz="0" w:space="0" w:color="auto"/>
                <w:right w:val="none" w:sz="0" w:space="0" w:color="auto"/>
              </w:divBdr>
            </w:div>
            <w:div w:id="134759767">
              <w:marLeft w:val="0"/>
              <w:marRight w:val="0"/>
              <w:marTop w:val="0"/>
              <w:marBottom w:val="0"/>
              <w:divBdr>
                <w:top w:val="none" w:sz="0" w:space="0" w:color="auto"/>
                <w:left w:val="none" w:sz="0" w:space="0" w:color="auto"/>
                <w:bottom w:val="none" w:sz="0" w:space="0" w:color="auto"/>
                <w:right w:val="none" w:sz="0" w:space="0" w:color="auto"/>
              </w:divBdr>
            </w:div>
            <w:div w:id="1993365807">
              <w:marLeft w:val="0"/>
              <w:marRight w:val="0"/>
              <w:marTop w:val="0"/>
              <w:marBottom w:val="0"/>
              <w:divBdr>
                <w:top w:val="none" w:sz="0" w:space="0" w:color="auto"/>
                <w:left w:val="none" w:sz="0" w:space="0" w:color="auto"/>
                <w:bottom w:val="none" w:sz="0" w:space="0" w:color="auto"/>
                <w:right w:val="none" w:sz="0" w:space="0" w:color="auto"/>
              </w:divBdr>
            </w:div>
            <w:div w:id="216085343">
              <w:marLeft w:val="0"/>
              <w:marRight w:val="0"/>
              <w:marTop w:val="0"/>
              <w:marBottom w:val="0"/>
              <w:divBdr>
                <w:top w:val="none" w:sz="0" w:space="0" w:color="auto"/>
                <w:left w:val="none" w:sz="0" w:space="0" w:color="auto"/>
                <w:bottom w:val="none" w:sz="0" w:space="0" w:color="auto"/>
                <w:right w:val="none" w:sz="0" w:space="0" w:color="auto"/>
              </w:divBdr>
            </w:div>
            <w:div w:id="1591617413">
              <w:marLeft w:val="0"/>
              <w:marRight w:val="0"/>
              <w:marTop w:val="0"/>
              <w:marBottom w:val="0"/>
              <w:divBdr>
                <w:top w:val="none" w:sz="0" w:space="0" w:color="auto"/>
                <w:left w:val="none" w:sz="0" w:space="0" w:color="auto"/>
                <w:bottom w:val="none" w:sz="0" w:space="0" w:color="auto"/>
                <w:right w:val="none" w:sz="0" w:space="0" w:color="auto"/>
              </w:divBdr>
            </w:div>
            <w:div w:id="533421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386136">
      <w:bodyDiv w:val="1"/>
      <w:marLeft w:val="0"/>
      <w:marRight w:val="0"/>
      <w:marTop w:val="0"/>
      <w:marBottom w:val="0"/>
      <w:divBdr>
        <w:top w:val="none" w:sz="0" w:space="0" w:color="auto"/>
        <w:left w:val="none" w:sz="0" w:space="0" w:color="auto"/>
        <w:bottom w:val="none" w:sz="0" w:space="0" w:color="auto"/>
        <w:right w:val="none" w:sz="0" w:space="0" w:color="auto"/>
      </w:divBdr>
      <w:divsChild>
        <w:div w:id="2025085255">
          <w:marLeft w:val="120"/>
          <w:marRight w:val="120"/>
          <w:marTop w:val="120"/>
          <w:marBottom w:val="120"/>
          <w:divBdr>
            <w:top w:val="none" w:sz="0" w:space="0" w:color="auto"/>
            <w:left w:val="none" w:sz="0" w:space="0" w:color="auto"/>
            <w:bottom w:val="none" w:sz="0" w:space="0" w:color="auto"/>
            <w:right w:val="none" w:sz="0" w:space="0" w:color="auto"/>
          </w:divBdr>
          <w:divsChild>
            <w:div w:id="1664431187">
              <w:marLeft w:val="0"/>
              <w:marRight w:val="0"/>
              <w:marTop w:val="0"/>
              <w:marBottom w:val="0"/>
              <w:divBdr>
                <w:top w:val="none" w:sz="0" w:space="0" w:color="auto"/>
                <w:left w:val="none" w:sz="0" w:space="0" w:color="auto"/>
                <w:bottom w:val="none" w:sz="0" w:space="0" w:color="auto"/>
                <w:right w:val="none" w:sz="0" w:space="0" w:color="auto"/>
              </w:divBdr>
            </w:div>
            <w:div w:id="1874807240">
              <w:marLeft w:val="0"/>
              <w:marRight w:val="0"/>
              <w:marTop w:val="0"/>
              <w:marBottom w:val="0"/>
              <w:divBdr>
                <w:top w:val="none" w:sz="0" w:space="0" w:color="auto"/>
                <w:left w:val="none" w:sz="0" w:space="0" w:color="auto"/>
                <w:bottom w:val="none" w:sz="0" w:space="0" w:color="auto"/>
                <w:right w:val="none" w:sz="0" w:space="0" w:color="auto"/>
              </w:divBdr>
            </w:div>
            <w:div w:id="485049552">
              <w:marLeft w:val="0"/>
              <w:marRight w:val="0"/>
              <w:marTop w:val="0"/>
              <w:marBottom w:val="0"/>
              <w:divBdr>
                <w:top w:val="none" w:sz="0" w:space="0" w:color="auto"/>
                <w:left w:val="none" w:sz="0" w:space="0" w:color="auto"/>
                <w:bottom w:val="none" w:sz="0" w:space="0" w:color="auto"/>
                <w:right w:val="none" w:sz="0" w:space="0" w:color="auto"/>
              </w:divBdr>
            </w:div>
            <w:div w:id="123158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1153351">
      <w:bodyDiv w:val="1"/>
      <w:marLeft w:val="0"/>
      <w:marRight w:val="0"/>
      <w:marTop w:val="0"/>
      <w:marBottom w:val="0"/>
      <w:divBdr>
        <w:top w:val="none" w:sz="0" w:space="0" w:color="auto"/>
        <w:left w:val="none" w:sz="0" w:space="0" w:color="auto"/>
        <w:bottom w:val="none" w:sz="0" w:space="0" w:color="auto"/>
        <w:right w:val="none" w:sz="0" w:space="0" w:color="auto"/>
      </w:divBdr>
      <w:divsChild>
        <w:div w:id="1100494115">
          <w:marLeft w:val="0"/>
          <w:marRight w:val="0"/>
          <w:marTop w:val="0"/>
          <w:marBottom w:val="0"/>
          <w:divBdr>
            <w:top w:val="none" w:sz="0" w:space="0" w:color="auto"/>
            <w:left w:val="none" w:sz="0" w:space="0" w:color="auto"/>
            <w:bottom w:val="none" w:sz="0" w:space="0" w:color="auto"/>
            <w:right w:val="none" w:sz="0" w:space="0" w:color="auto"/>
          </w:divBdr>
          <w:divsChild>
            <w:div w:id="945380677">
              <w:marLeft w:val="0"/>
              <w:marRight w:val="0"/>
              <w:marTop w:val="0"/>
              <w:marBottom w:val="0"/>
              <w:divBdr>
                <w:top w:val="none" w:sz="0" w:space="0" w:color="auto"/>
                <w:left w:val="none" w:sz="0" w:space="0" w:color="auto"/>
                <w:bottom w:val="none" w:sz="0" w:space="0" w:color="auto"/>
                <w:right w:val="none" w:sz="0" w:space="0" w:color="auto"/>
              </w:divBdr>
              <w:divsChild>
                <w:div w:id="272983472">
                  <w:marLeft w:val="0"/>
                  <w:marRight w:val="0"/>
                  <w:marTop w:val="0"/>
                  <w:marBottom w:val="0"/>
                  <w:divBdr>
                    <w:top w:val="none" w:sz="0" w:space="0" w:color="auto"/>
                    <w:left w:val="none" w:sz="0" w:space="0" w:color="auto"/>
                    <w:bottom w:val="none" w:sz="0" w:space="0" w:color="auto"/>
                    <w:right w:val="none" w:sz="0" w:space="0" w:color="auto"/>
                  </w:divBdr>
                  <w:divsChild>
                    <w:div w:id="488250550">
                      <w:marLeft w:val="0"/>
                      <w:marRight w:val="0"/>
                      <w:marTop w:val="0"/>
                      <w:marBottom w:val="0"/>
                      <w:divBdr>
                        <w:top w:val="none" w:sz="0" w:space="0" w:color="auto"/>
                        <w:left w:val="none" w:sz="0" w:space="0" w:color="auto"/>
                        <w:bottom w:val="none" w:sz="0" w:space="0" w:color="auto"/>
                        <w:right w:val="none" w:sz="0" w:space="0" w:color="auto"/>
                      </w:divBdr>
                      <w:divsChild>
                        <w:div w:id="880899481">
                          <w:marLeft w:val="0"/>
                          <w:marRight w:val="0"/>
                          <w:marTop w:val="0"/>
                          <w:marBottom w:val="0"/>
                          <w:divBdr>
                            <w:top w:val="none" w:sz="0" w:space="0" w:color="auto"/>
                            <w:left w:val="none" w:sz="0" w:space="0" w:color="auto"/>
                            <w:bottom w:val="none" w:sz="0" w:space="0" w:color="auto"/>
                            <w:right w:val="none" w:sz="0" w:space="0" w:color="auto"/>
                          </w:divBdr>
                          <w:divsChild>
                            <w:div w:id="1389765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16500065">
      <w:bodyDiv w:val="1"/>
      <w:marLeft w:val="0"/>
      <w:marRight w:val="0"/>
      <w:marTop w:val="0"/>
      <w:marBottom w:val="0"/>
      <w:divBdr>
        <w:top w:val="none" w:sz="0" w:space="0" w:color="auto"/>
        <w:left w:val="none" w:sz="0" w:space="0" w:color="auto"/>
        <w:bottom w:val="none" w:sz="0" w:space="0" w:color="auto"/>
        <w:right w:val="none" w:sz="0" w:space="0" w:color="auto"/>
      </w:divBdr>
      <w:divsChild>
        <w:div w:id="1546140233">
          <w:marLeft w:val="0"/>
          <w:marRight w:val="0"/>
          <w:marTop w:val="0"/>
          <w:marBottom w:val="0"/>
          <w:divBdr>
            <w:top w:val="none" w:sz="0" w:space="0" w:color="auto"/>
            <w:left w:val="none" w:sz="0" w:space="0" w:color="auto"/>
            <w:bottom w:val="none" w:sz="0" w:space="0" w:color="auto"/>
            <w:right w:val="none" w:sz="0" w:space="0" w:color="auto"/>
          </w:divBdr>
          <w:divsChild>
            <w:div w:id="940455488">
              <w:marLeft w:val="0"/>
              <w:marRight w:val="0"/>
              <w:marTop w:val="0"/>
              <w:marBottom w:val="0"/>
              <w:divBdr>
                <w:top w:val="none" w:sz="0" w:space="0" w:color="auto"/>
                <w:left w:val="none" w:sz="0" w:space="0" w:color="auto"/>
                <w:bottom w:val="none" w:sz="0" w:space="0" w:color="auto"/>
                <w:right w:val="none" w:sz="0" w:space="0" w:color="auto"/>
              </w:divBdr>
              <w:divsChild>
                <w:div w:id="987780841">
                  <w:marLeft w:val="0"/>
                  <w:marRight w:val="0"/>
                  <w:marTop w:val="0"/>
                  <w:marBottom w:val="0"/>
                  <w:divBdr>
                    <w:top w:val="none" w:sz="0" w:space="0" w:color="auto"/>
                    <w:left w:val="none" w:sz="0" w:space="0" w:color="auto"/>
                    <w:bottom w:val="none" w:sz="0" w:space="0" w:color="auto"/>
                    <w:right w:val="none" w:sz="0" w:space="0" w:color="auto"/>
                  </w:divBdr>
                  <w:divsChild>
                    <w:div w:id="433399015">
                      <w:marLeft w:val="0"/>
                      <w:marRight w:val="0"/>
                      <w:marTop w:val="0"/>
                      <w:marBottom w:val="0"/>
                      <w:divBdr>
                        <w:top w:val="none" w:sz="0" w:space="0" w:color="auto"/>
                        <w:left w:val="none" w:sz="0" w:space="0" w:color="auto"/>
                        <w:bottom w:val="none" w:sz="0" w:space="0" w:color="auto"/>
                        <w:right w:val="none" w:sz="0" w:space="0" w:color="auto"/>
                      </w:divBdr>
                      <w:divsChild>
                        <w:div w:id="431055667">
                          <w:marLeft w:val="0"/>
                          <w:marRight w:val="0"/>
                          <w:marTop w:val="0"/>
                          <w:marBottom w:val="0"/>
                          <w:divBdr>
                            <w:top w:val="none" w:sz="0" w:space="0" w:color="auto"/>
                            <w:left w:val="none" w:sz="0" w:space="0" w:color="auto"/>
                            <w:bottom w:val="none" w:sz="0" w:space="0" w:color="auto"/>
                            <w:right w:val="none" w:sz="0" w:space="0" w:color="auto"/>
                          </w:divBdr>
                          <w:divsChild>
                            <w:div w:id="2118794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3604923">
      <w:bodyDiv w:val="1"/>
      <w:marLeft w:val="0"/>
      <w:marRight w:val="0"/>
      <w:marTop w:val="0"/>
      <w:marBottom w:val="0"/>
      <w:divBdr>
        <w:top w:val="none" w:sz="0" w:space="0" w:color="auto"/>
        <w:left w:val="none" w:sz="0" w:space="0" w:color="auto"/>
        <w:bottom w:val="none" w:sz="0" w:space="0" w:color="auto"/>
        <w:right w:val="none" w:sz="0" w:space="0" w:color="auto"/>
      </w:divBdr>
    </w:div>
    <w:div w:id="407848748">
      <w:bodyDiv w:val="1"/>
      <w:marLeft w:val="0"/>
      <w:marRight w:val="0"/>
      <w:marTop w:val="0"/>
      <w:marBottom w:val="0"/>
      <w:divBdr>
        <w:top w:val="none" w:sz="0" w:space="0" w:color="auto"/>
        <w:left w:val="none" w:sz="0" w:space="0" w:color="auto"/>
        <w:bottom w:val="none" w:sz="0" w:space="0" w:color="auto"/>
        <w:right w:val="none" w:sz="0" w:space="0" w:color="auto"/>
      </w:divBdr>
      <w:divsChild>
        <w:div w:id="2132507367">
          <w:marLeft w:val="0"/>
          <w:marRight w:val="0"/>
          <w:marTop w:val="0"/>
          <w:marBottom w:val="0"/>
          <w:divBdr>
            <w:top w:val="none" w:sz="0" w:space="0" w:color="auto"/>
            <w:left w:val="none" w:sz="0" w:space="0" w:color="auto"/>
            <w:bottom w:val="none" w:sz="0" w:space="0" w:color="auto"/>
            <w:right w:val="none" w:sz="0" w:space="0" w:color="auto"/>
          </w:divBdr>
          <w:divsChild>
            <w:div w:id="1134829930">
              <w:marLeft w:val="0"/>
              <w:marRight w:val="0"/>
              <w:marTop w:val="0"/>
              <w:marBottom w:val="0"/>
              <w:divBdr>
                <w:top w:val="none" w:sz="0" w:space="0" w:color="auto"/>
                <w:left w:val="none" w:sz="0" w:space="0" w:color="auto"/>
                <w:bottom w:val="none" w:sz="0" w:space="0" w:color="auto"/>
                <w:right w:val="none" w:sz="0" w:space="0" w:color="auto"/>
              </w:divBdr>
              <w:divsChild>
                <w:div w:id="2135631072">
                  <w:marLeft w:val="0"/>
                  <w:marRight w:val="0"/>
                  <w:marTop w:val="0"/>
                  <w:marBottom w:val="0"/>
                  <w:divBdr>
                    <w:top w:val="none" w:sz="0" w:space="0" w:color="auto"/>
                    <w:left w:val="none" w:sz="0" w:space="0" w:color="auto"/>
                    <w:bottom w:val="none" w:sz="0" w:space="0" w:color="auto"/>
                    <w:right w:val="none" w:sz="0" w:space="0" w:color="auto"/>
                  </w:divBdr>
                  <w:divsChild>
                    <w:div w:id="1340890459">
                      <w:marLeft w:val="0"/>
                      <w:marRight w:val="0"/>
                      <w:marTop w:val="0"/>
                      <w:marBottom w:val="0"/>
                      <w:divBdr>
                        <w:top w:val="none" w:sz="0" w:space="0" w:color="auto"/>
                        <w:left w:val="none" w:sz="0" w:space="0" w:color="auto"/>
                        <w:bottom w:val="none" w:sz="0" w:space="0" w:color="auto"/>
                        <w:right w:val="none" w:sz="0" w:space="0" w:color="auto"/>
                      </w:divBdr>
                      <w:divsChild>
                        <w:div w:id="1682049932">
                          <w:marLeft w:val="0"/>
                          <w:marRight w:val="0"/>
                          <w:marTop w:val="0"/>
                          <w:marBottom w:val="0"/>
                          <w:divBdr>
                            <w:top w:val="none" w:sz="0" w:space="0" w:color="auto"/>
                            <w:left w:val="none" w:sz="0" w:space="0" w:color="auto"/>
                            <w:bottom w:val="none" w:sz="0" w:space="0" w:color="auto"/>
                            <w:right w:val="none" w:sz="0" w:space="0" w:color="auto"/>
                          </w:divBdr>
                          <w:divsChild>
                            <w:div w:id="1345472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8034739">
      <w:bodyDiv w:val="1"/>
      <w:marLeft w:val="0"/>
      <w:marRight w:val="0"/>
      <w:marTop w:val="0"/>
      <w:marBottom w:val="0"/>
      <w:divBdr>
        <w:top w:val="none" w:sz="0" w:space="0" w:color="auto"/>
        <w:left w:val="none" w:sz="0" w:space="0" w:color="auto"/>
        <w:bottom w:val="none" w:sz="0" w:space="0" w:color="auto"/>
        <w:right w:val="none" w:sz="0" w:space="0" w:color="auto"/>
      </w:divBdr>
      <w:divsChild>
        <w:div w:id="948439365">
          <w:marLeft w:val="0"/>
          <w:marRight w:val="0"/>
          <w:marTop w:val="0"/>
          <w:marBottom w:val="0"/>
          <w:divBdr>
            <w:top w:val="none" w:sz="0" w:space="0" w:color="auto"/>
            <w:left w:val="none" w:sz="0" w:space="0" w:color="auto"/>
            <w:bottom w:val="none" w:sz="0" w:space="0" w:color="auto"/>
            <w:right w:val="none" w:sz="0" w:space="0" w:color="auto"/>
          </w:divBdr>
          <w:divsChild>
            <w:div w:id="871572444">
              <w:marLeft w:val="0"/>
              <w:marRight w:val="0"/>
              <w:marTop w:val="0"/>
              <w:marBottom w:val="0"/>
              <w:divBdr>
                <w:top w:val="none" w:sz="0" w:space="0" w:color="auto"/>
                <w:left w:val="none" w:sz="0" w:space="0" w:color="auto"/>
                <w:bottom w:val="none" w:sz="0" w:space="0" w:color="auto"/>
                <w:right w:val="none" w:sz="0" w:space="0" w:color="auto"/>
              </w:divBdr>
              <w:divsChild>
                <w:div w:id="188108373">
                  <w:marLeft w:val="0"/>
                  <w:marRight w:val="0"/>
                  <w:marTop w:val="0"/>
                  <w:marBottom w:val="0"/>
                  <w:divBdr>
                    <w:top w:val="none" w:sz="0" w:space="0" w:color="auto"/>
                    <w:left w:val="none" w:sz="0" w:space="0" w:color="auto"/>
                    <w:bottom w:val="none" w:sz="0" w:space="0" w:color="auto"/>
                    <w:right w:val="none" w:sz="0" w:space="0" w:color="auto"/>
                  </w:divBdr>
                  <w:divsChild>
                    <w:div w:id="821895404">
                      <w:marLeft w:val="0"/>
                      <w:marRight w:val="0"/>
                      <w:marTop w:val="0"/>
                      <w:marBottom w:val="0"/>
                      <w:divBdr>
                        <w:top w:val="none" w:sz="0" w:space="0" w:color="auto"/>
                        <w:left w:val="none" w:sz="0" w:space="0" w:color="auto"/>
                        <w:bottom w:val="none" w:sz="0" w:space="0" w:color="auto"/>
                        <w:right w:val="none" w:sz="0" w:space="0" w:color="auto"/>
                      </w:divBdr>
                      <w:divsChild>
                        <w:div w:id="782576884">
                          <w:marLeft w:val="0"/>
                          <w:marRight w:val="0"/>
                          <w:marTop w:val="0"/>
                          <w:marBottom w:val="0"/>
                          <w:divBdr>
                            <w:top w:val="none" w:sz="0" w:space="0" w:color="auto"/>
                            <w:left w:val="none" w:sz="0" w:space="0" w:color="auto"/>
                            <w:bottom w:val="none" w:sz="0" w:space="0" w:color="auto"/>
                            <w:right w:val="none" w:sz="0" w:space="0" w:color="auto"/>
                          </w:divBdr>
                          <w:divsChild>
                            <w:div w:id="827599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0604055">
      <w:bodyDiv w:val="1"/>
      <w:marLeft w:val="0"/>
      <w:marRight w:val="0"/>
      <w:marTop w:val="0"/>
      <w:marBottom w:val="0"/>
      <w:divBdr>
        <w:top w:val="none" w:sz="0" w:space="0" w:color="auto"/>
        <w:left w:val="none" w:sz="0" w:space="0" w:color="auto"/>
        <w:bottom w:val="none" w:sz="0" w:space="0" w:color="auto"/>
        <w:right w:val="none" w:sz="0" w:space="0" w:color="auto"/>
      </w:divBdr>
    </w:div>
    <w:div w:id="598028961">
      <w:bodyDiv w:val="1"/>
      <w:marLeft w:val="0"/>
      <w:marRight w:val="0"/>
      <w:marTop w:val="0"/>
      <w:marBottom w:val="0"/>
      <w:divBdr>
        <w:top w:val="none" w:sz="0" w:space="0" w:color="auto"/>
        <w:left w:val="none" w:sz="0" w:space="0" w:color="auto"/>
        <w:bottom w:val="none" w:sz="0" w:space="0" w:color="auto"/>
        <w:right w:val="none" w:sz="0" w:space="0" w:color="auto"/>
      </w:divBdr>
      <w:divsChild>
        <w:div w:id="1195580722">
          <w:marLeft w:val="0"/>
          <w:marRight w:val="0"/>
          <w:marTop w:val="0"/>
          <w:marBottom w:val="0"/>
          <w:divBdr>
            <w:top w:val="none" w:sz="0" w:space="0" w:color="auto"/>
            <w:left w:val="none" w:sz="0" w:space="0" w:color="auto"/>
            <w:bottom w:val="none" w:sz="0" w:space="0" w:color="auto"/>
            <w:right w:val="none" w:sz="0" w:space="0" w:color="auto"/>
          </w:divBdr>
          <w:divsChild>
            <w:div w:id="2000498843">
              <w:marLeft w:val="0"/>
              <w:marRight w:val="0"/>
              <w:marTop w:val="0"/>
              <w:marBottom w:val="0"/>
              <w:divBdr>
                <w:top w:val="none" w:sz="0" w:space="0" w:color="auto"/>
                <w:left w:val="none" w:sz="0" w:space="0" w:color="auto"/>
                <w:bottom w:val="none" w:sz="0" w:space="0" w:color="auto"/>
                <w:right w:val="none" w:sz="0" w:space="0" w:color="auto"/>
              </w:divBdr>
              <w:divsChild>
                <w:div w:id="1108695890">
                  <w:marLeft w:val="0"/>
                  <w:marRight w:val="0"/>
                  <w:marTop w:val="0"/>
                  <w:marBottom w:val="0"/>
                  <w:divBdr>
                    <w:top w:val="none" w:sz="0" w:space="0" w:color="auto"/>
                    <w:left w:val="none" w:sz="0" w:space="0" w:color="auto"/>
                    <w:bottom w:val="none" w:sz="0" w:space="0" w:color="auto"/>
                    <w:right w:val="none" w:sz="0" w:space="0" w:color="auto"/>
                  </w:divBdr>
                  <w:divsChild>
                    <w:div w:id="863789358">
                      <w:marLeft w:val="1"/>
                      <w:marRight w:val="1"/>
                      <w:marTop w:val="0"/>
                      <w:marBottom w:val="0"/>
                      <w:divBdr>
                        <w:top w:val="none" w:sz="0" w:space="0" w:color="auto"/>
                        <w:left w:val="none" w:sz="0" w:space="0" w:color="auto"/>
                        <w:bottom w:val="none" w:sz="0" w:space="0" w:color="auto"/>
                        <w:right w:val="none" w:sz="0" w:space="0" w:color="auto"/>
                      </w:divBdr>
                      <w:divsChild>
                        <w:div w:id="173805260">
                          <w:marLeft w:val="0"/>
                          <w:marRight w:val="0"/>
                          <w:marTop w:val="0"/>
                          <w:marBottom w:val="0"/>
                          <w:divBdr>
                            <w:top w:val="none" w:sz="0" w:space="0" w:color="auto"/>
                            <w:left w:val="none" w:sz="0" w:space="0" w:color="auto"/>
                            <w:bottom w:val="none" w:sz="0" w:space="0" w:color="auto"/>
                            <w:right w:val="none" w:sz="0" w:space="0" w:color="auto"/>
                          </w:divBdr>
                          <w:divsChild>
                            <w:div w:id="656959168">
                              <w:marLeft w:val="0"/>
                              <w:marRight w:val="0"/>
                              <w:marTop w:val="0"/>
                              <w:marBottom w:val="360"/>
                              <w:divBdr>
                                <w:top w:val="none" w:sz="0" w:space="0" w:color="auto"/>
                                <w:left w:val="none" w:sz="0" w:space="0" w:color="auto"/>
                                <w:bottom w:val="none" w:sz="0" w:space="0" w:color="auto"/>
                                <w:right w:val="none" w:sz="0" w:space="0" w:color="auto"/>
                              </w:divBdr>
                              <w:divsChild>
                                <w:div w:id="2073772101">
                                  <w:marLeft w:val="0"/>
                                  <w:marRight w:val="0"/>
                                  <w:marTop w:val="0"/>
                                  <w:marBottom w:val="0"/>
                                  <w:divBdr>
                                    <w:top w:val="none" w:sz="0" w:space="0" w:color="auto"/>
                                    <w:left w:val="none" w:sz="0" w:space="0" w:color="auto"/>
                                    <w:bottom w:val="none" w:sz="0" w:space="0" w:color="auto"/>
                                    <w:right w:val="none" w:sz="0" w:space="0" w:color="auto"/>
                                  </w:divBdr>
                                  <w:divsChild>
                                    <w:div w:id="305739092">
                                      <w:marLeft w:val="0"/>
                                      <w:marRight w:val="0"/>
                                      <w:marTop w:val="0"/>
                                      <w:marBottom w:val="0"/>
                                      <w:divBdr>
                                        <w:top w:val="none" w:sz="0" w:space="0" w:color="auto"/>
                                        <w:left w:val="none" w:sz="0" w:space="0" w:color="auto"/>
                                        <w:bottom w:val="none" w:sz="0" w:space="0" w:color="auto"/>
                                        <w:right w:val="none" w:sz="0" w:space="0" w:color="auto"/>
                                      </w:divBdr>
                                      <w:divsChild>
                                        <w:div w:id="1889873093">
                                          <w:marLeft w:val="0"/>
                                          <w:marRight w:val="0"/>
                                          <w:marTop w:val="0"/>
                                          <w:marBottom w:val="0"/>
                                          <w:divBdr>
                                            <w:top w:val="none" w:sz="0" w:space="0" w:color="auto"/>
                                            <w:left w:val="none" w:sz="0" w:space="0" w:color="auto"/>
                                            <w:bottom w:val="none" w:sz="0" w:space="0" w:color="auto"/>
                                            <w:right w:val="none" w:sz="0" w:space="0" w:color="auto"/>
                                          </w:divBdr>
                                          <w:divsChild>
                                            <w:div w:id="1923369955">
                                              <w:marLeft w:val="0"/>
                                              <w:marRight w:val="0"/>
                                              <w:marTop w:val="0"/>
                                              <w:marBottom w:val="0"/>
                                              <w:divBdr>
                                                <w:top w:val="none" w:sz="0" w:space="0" w:color="auto"/>
                                                <w:left w:val="none" w:sz="0" w:space="0" w:color="auto"/>
                                                <w:bottom w:val="none" w:sz="0" w:space="0" w:color="auto"/>
                                                <w:right w:val="none" w:sz="0" w:space="0" w:color="auto"/>
                                              </w:divBdr>
                                              <w:divsChild>
                                                <w:div w:id="2007200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99568105">
      <w:bodyDiv w:val="1"/>
      <w:marLeft w:val="0"/>
      <w:marRight w:val="0"/>
      <w:marTop w:val="0"/>
      <w:marBottom w:val="0"/>
      <w:divBdr>
        <w:top w:val="none" w:sz="0" w:space="0" w:color="auto"/>
        <w:left w:val="none" w:sz="0" w:space="0" w:color="auto"/>
        <w:bottom w:val="none" w:sz="0" w:space="0" w:color="auto"/>
        <w:right w:val="none" w:sz="0" w:space="0" w:color="auto"/>
      </w:divBdr>
      <w:divsChild>
        <w:div w:id="986474665">
          <w:marLeft w:val="0"/>
          <w:marRight w:val="0"/>
          <w:marTop w:val="0"/>
          <w:marBottom w:val="0"/>
          <w:divBdr>
            <w:top w:val="none" w:sz="0" w:space="0" w:color="auto"/>
            <w:left w:val="none" w:sz="0" w:space="0" w:color="auto"/>
            <w:bottom w:val="none" w:sz="0" w:space="0" w:color="auto"/>
            <w:right w:val="none" w:sz="0" w:space="0" w:color="auto"/>
          </w:divBdr>
          <w:divsChild>
            <w:div w:id="212159188">
              <w:marLeft w:val="0"/>
              <w:marRight w:val="0"/>
              <w:marTop w:val="0"/>
              <w:marBottom w:val="0"/>
              <w:divBdr>
                <w:top w:val="none" w:sz="0" w:space="0" w:color="auto"/>
                <w:left w:val="none" w:sz="0" w:space="0" w:color="auto"/>
                <w:bottom w:val="none" w:sz="0" w:space="0" w:color="auto"/>
                <w:right w:val="none" w:sz="0" w:space="0" w:color="auto"/>
              </w:divBdr>
              <w:divsChild>
                <w:div w:id="673918949">
                  <w:marLeft w:val="0"/>
                  <w:marRight w:val="0"/>
                  <w:marTop w:val="0"/>
                  <w:marBottom w:val="0"/>
                  <w:divBdr>
                    <w:top w:val="none" w:sz="0" w:space="0" w:color="auto"/>
                    <w:left w:val="none" w:sz="0" w:space="0" w:color="auto"/>
                    <w:bottom w:val="none" w:sz="0" w:space="0" w:color="auto"/>
                    <w:right w:val="none" w:sz="0" w:space="0" w:color="auto"/>
                  </w:divBdr>
                  <w:divsChild>
                    <w:div w:id="2057503788">
                      <w:marLeft w:val="0"/>
                      <w:marRight w:val="0"/>
                      <w:marTop w:val="0"/>
                      <w:marBottom w:val="0"/>
                      <w:divBdr>
                        <w:top w:val="none" w:sz="0" w:space="0" w:color="auto"/>
                        <w:left w:val="none" w:sz="0" w:space="0" w:color="auto"/>
                        <w:bottom w:val="none" w:sz="0" w:space="0" w:color="auto"/>
                        <w:right w:val="none" w:sz="0" w:space="0" w:color="auto"/>
                      </w:divBdr>
                      <w:divsChild>
                        <w:div w:id="594443186">
                          <w:marLeft w:val="0"/>
                          <w:marRight w:val="0"/>
                          <w:marTop w:val="0"/>
                          <w:marBottom w:val="0"/>
                          <w:divBdr>
                            <w:top w:val="none" w:sz="0" w:space="0" w:color="auto"/>
                            <w:left w:val="none" w:sz="0" w:space="0" w:color="auto"/>
                            <w:bottom w:val="none" w:sz="0" w:space="0" w:color="auto"/>
                            <w:right w:val="none" w:sz="0" w:space="0" w:color="auto"/>
                          </w:divBdr>
                          <w:divsChild>
                            <w:div w:id="1144539921">
                              <w:marLeft w:val="0"/>
                              <w:marRight w:val="0"/>
                              <w:marTop w:val="48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0293646">
      <w:bodyDiv w:val="1"/>
      <w:marLeft w:val="0"/>
      <w:marRight w:val="0"/>
      <w:marTop w:val="0"/>
      <w:marBottom w:val="0"/>
      <w:divBdr>
        <w:top w:val="none" w:sz="0" w:space="0" w:color="auto"/>
        <w:left w:val="none" w:sz="0" w:space="0" w:color="auto"/>
        <w:bottom w:val="none" w:sz="0" w:space="0" w:color="auto"/>
        <w:right w:val="none" w:sz="0" w:space="0" w:color="auto"/>
      </w:divBdr>
      <w:divsChild>
        <w:div w:id="197357891">
          <w:marLeft w:val="0"/>
          <w:marRight w:val="0"/>
          <w:marTop w:val="0"/>
          <w:marBottom w:val="0"/>
          <w:divBdr>
            <w:top w:val="none" w:sz="0" w:space="0" w:color="auto"/>
            <w:left w:val="none" w:sz="0" w:space="0" w:color="auto"/>
            <w:bottom w:val="none" w:sz="0" w:space="0" w:color="auto"/>
            <w:right w:val="none" w:sz="0" w:space="0" w:color="auto"/>
          </w:divBdr>
          <w:divsChild>
            <w:div w:id="383795421">
              <w:marLeft w:val="0"/>
              <w:marRight w:val="0"/>
              <w:marTop w:val="0"/>
              <w:marBottom w:val="0"/>
              <w:divBdr>
                <w:top w:val="none" w:sz="0" w:space="0" w:color="auto"/>
                <w:left w:val="none" w:sz="0" w:space="0" w:color="auto"/>
                <w:bottom w:val="none" w:sz="0" w:space="0" w:color="auto"/>
                <w:right w:val="none" w:sz="0" w:space="0" w:color="auto"/>
              </w:divBdr>
              <w:divsChild>
                <w:div w:id="547380044">
                  <w:marLeft w:val="0"/>
                  <w:marRight w:val="0"/>
                  <w:marTop w:val="0"/>
                  <w:marBottom w:val="0"/>
                  <w:divBdr>
                    <w:top w:val="none" w:sz="0" w:space="0" w:color="auto"/>
                    <w:left w:val="none" w:sz="0" w:space="0" w:color="auto"/>
                    <w:bottom w:val="none" w:sz="0" w:space="0" w:color="auto"/>
                    <w:right w:val="none" w:sz="0" w:space="0" w:color="auto"/>
                  </w:divBdr>
                  <w:divsChild>
                    <w:div w:id="2094475781">
                      <w:marLeft w:val="0"/>
                      <w:marRight w:val="0"/>
                      <w:marTop w:val="0"/>
                      <w:marBottom w:val="0"/>
                      <w:divBdr>
                        <w:top w:val="none" w:sz="0" w:space="0" w:color="auto"/>
                        <w:left w:val="none" w:sz="0" w:space="0" w:color="auto"/>
                        <w:bottom w:val="none" w:sz="0" w:space="0" w:color="auto"/>
                        <w:right w:val="none" w:sz="0" w:space="0" w:color="auto"/>
                      </w:divBdr>
                      <w:divsChild>
                        <w:div w:id="2033916073">
                          <w:marLeft w:val="0"/>
                          <w:marRight w:val="0"/>
                          <w:marTop w:val="0"/>
                          <w:marBottom w:val="0"/>
                          <w:divBdr>
                            <w:top w:val="none" w:sz="0" w:space="0" w:color="auto"/>
                            <w:left w:val="none" w:sz="0" w:space="0" w:color="auto"/>
                            <w:bottom w:val="none" w:sz="0" w:space="0" w:color="auto"/>
                            <w:right w:val="none" w:sz="0" w:space="0" w:color="auto"/>
                          </w:divBdr>
                          <w:divsChild>
                            <w:div w:id="1935939589">
                              <w:marLeft w:val="0"/>
                              <w:marRight w:val="0"/>
                              <w:marTop w:val="48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9582983">
      <w:bodyDiv w:val="1"/>
      <w:marLeft w:val="0"/>
      <w:marRight w:val="0"/>
      <w:marTop w:val="0"/>
      <w:marBottom w:val="0"/>
      <w:divBdr>
        <w:top w:val="none" w:sz="0" w:space="0" w:color="auto"/>
        <w:left w:val="none" w:sz="0" w:space="0" w:color="auto"/>
        <w:bottom w:val="none" w:sz="0" w:space="0" w:color="auto"/>
        <w:right w:val="none" w:sz="0" w:space="0" w:color="auto"/>
      </w:divBdr>
      <w:divsChild>
        <w:div w:id="82454689">
          <w:marLeft w:val="120"/>
          <w:marRight w:val="120"/>
          <w:marTop w:val="120"/>
          <w:marBottom w:val="120"/>
          <w:divBdr>
            <w:top w:val="none" w:sz="0" w:space="0" w:color="auto"/>
            <w:left w:val="none" w:sz="0" w:space="0" w:color="auto"/>
            <w:bottom w:val="none" w:sz="0" w:space="0" w:color="auto"/>
            <w:right w:val="none" w:sz="0" w:space="0" w:color="auto"/>
          </w:divBdr>
          <w:divsChild>
            <w:div w:id="875578866">
              <w:marLeft w:val="0"/>
              <w:marRight w:val="0"/>
              <w:marTop w:val="0"/>
              <w:marBottom w:val="0"/>
              <w:divBdr>
                <w:top w:val="none" w:sz="0" w:space="0" w:color="auto"/>
                <w:left w:val="none" w:sz="0" w:space="0" w:color="auto"/>
                <w:bottom w:val="none" w:sz="0" w:space="0" w:color="auto"/>
                <w:right w:val="none" w:sz="0" w:space="0" w:color="auto"/>
              </w:divBdr>
            </w:div>
            <w:div w:id="1788698863">
              <w:marLeft w:val="0"/>
              <w:marRight w:val="0"/>
              <w:marTop w:val="0"/>
              <w:marBottom w:val="0"/>
              <w:divBdr>
                <w:top w:val="none" w:sz="0" w:space="0" w:color="auto"/>
                <w:left w:val="none" w:sz="0" w:space="0" w:color="auto"/>
                <w:bottom w:val="none" w:sz="0" w:space="0" w:color="auto"/>
                <w:right w:val="none" w:sz="0" w:space="0" w:color="auto"/>
              </w:divBdr>
            </w:div>
            <w:div w:id="1426682358">
              <w:marLeft w:val="0"/>
              <w:marRight w:val="0"/>
              <w:marTop w:val="0"/>
              <w:marBottom w:val="0"/>
              <w:divBdr>
                <w:top w:val="none" w:sz="0" w:space="0" w:color="auto"/>
                <w:left w:val="none" w:sz="0" w:space="0" w:color="auto"/>
                <w:bottom w:val="none" w:sz="0" w:space="0" w:color="auto"/>
                <w:right w:val="none" w:sz="0" w:space="0" w:color="auto"/>
              </w:divBdr>
            </w:div>
            <w:div w:id="325911098">
              <w:marLeft w:val="0"/>
              <w:marRight w:val="0"/>
              <w:marTop w:val="0"/>
              <w:marBottom w:val="0"/>
              <w:divBdr>
                <w:top w:val="none" w:sz="0" w:space="0" w:color="auto"/>
                <w:left w:val="none" w:sz="0" w:space="0" w:color="auto"/>
                <w:bottom w:val="none" w:sz="0" w:space="0" w:color="auto"/>
                <w:right w:val="none" w:sz="0" w:space="0" w:color="auto"/>
              </w:divBdr>
            </w:div>
            <w:div w:id="1946577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9548884">
      <w:bodyDiv w:val="1"/>
      <w:marLeft w:val="0"/>
      <w:marRight w:val="0"/>
      <w:marTop w:val="0"/>
      <w:marBottom w:val="0"/>
      <w:divBdr>
        <w:top w:val="none" w:sz="0" w:space="0" w:color="auto"/>
        <w:left w:val="none" w:sz="0" w:space="0" w:color="auto"/>
        <w:bottom w:val="none" w:sz="0" w:space="0" w:color="auto"/>
        <w:right w:val="none" w:sz="0" w:space="0" w:color="auto"/>
      </w:divBdr>
      <w:divsChild>
        <w:div w:id="1067846678">
          <w:marLeft w:val="0"/>
          <w:marRight w:val="0"/>
          <w:marTop w:val="0"/>
          <w:marBottom w:val="0"/>
          <w:divBdr>
            <w:top w:val="none" w:sz="0" w:space="0" w:color="auto"/>
            <w:left w:val="none" w:sz="0" w:space="0" w:color="auto"/>
            <w:bottom w:val="none" w:sz="0" w:space="0" w:color="auto"/>
            <w:right w:val="none" w:sz="0" w:space="0" w:color="auto"/>
          </w:divBdr>
          <w:divsChild>
            <w:div w:id="782455578">
              <w:marLeft w:val="0"/>
              <w:marRight w:val="0"/>
              <w:marTop w:val="0"/>
              <w:marBottom w:val="0"/>
              <w:divBdr>
                <w:top w:val="none" w:sz="0" w:space="0" w:color="auto"/>
                <w:left w:val="none" w:sz="0" w:space="0" w:color="auto"/>
                <w:bottom w:val="none" w:sz="0" w:space="0" w:color="auto"/>
                <w:right w:val="none" w:sz="0" w:space="0" w:color="auto"/>
              </w:divBdr>
              <w:divsChild>
                <w:div w:id="1081872840">
                  <w:marLeft w:val="0"/>
                  <w:marRight w:val="0"/>
                  <w:marTop w:val="0"/>
                  <w:marBottom w:val="0"/>
                  <w:divBdr>
                    <w:top w:val="none" w:sz="0" w:space="0" w:color="auto"/>
                    <w:left w:val="none" w:sz="0" w:space="0" w:color="auto"/>
                    <w:bottom w:val="none" w:sz="0" w:space="0" w:color="auto"/>
                    <w:right w:val="none" w:sz="0" w:space="0" w:color="auto"/>
                  </w:divBdr>
                  <w:divsChild>
                    <w:div w:id="955328730">
                      <w:marLeft w:val="0"/>
                      <w:marRight w:val="0"/>
                      <w:marTop w:val="0"/>
                      <w:marBottom w:val="0"/>
                      <w:divBdr>
                        <w:top w:val="none" w:sz="0" w:space="0" w:color="auto"/>
                        <w:left w:val="none" w:sz="0" w:space="0" w:color="auto"/>
                        <w:bottom w:val="none" w:sz="0" w:space="0" w:color="auto"/>
                        <w:right w:val="none" w:sz="0" w:space="0" w:color="auto"/>
                      </w:divBdr>
                      <w:divsChild>
                        <w:div w:id="238907627">
                          <w:marLeft w:val="0"/>
                          <w:marRight w:val="0"/>
                          <w:marTop w:val="0"/>
                          <w:marBottom w:val="0"/>
                          <w:divBdr>
                            <w:top w:val="none" w:sz="0" w:space="0" w:color="auto"/>
                            <w:left w:val="none" w:sz="0" w:space="0" w:color="auto"/>
                            <w:bottom w:val="none" w:sz="0" w:space="0" w:color="auto"/>
                            <w:right w:val="none" w:sz="0" w:space="0" w:color="auto"/>
                          </w:divBdr>
                          <w:divsChild>
                            <w:div w:id="1170875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7604945">
      <w:bodyDiv w:val="1"/>
      <w:marLeft w:val="0"/>
      <w:marRight w:val="0"/>
      <w:marTop w:val="0"/>
      <w:marBottom w:val="0"/>
      <w:divBdr>
        <w:top w:val="none" w:sz="0" w:space="0" w:color="auto"/>
        <w:left w:val="none" w:sz="0" w:space="0" w:color="auto"/>
        <w:bottom w:val="none" w:sz="0" w:space="0" w:color="auto"/>
        <w:right w:val="none" w:sz="0" w:space="0" w:color="auto"/>
      </w:divBdr>
      <w:divsChild>
        <w:div w:id="587234371">
          <w:marLeft w:val="0"/>
          <w:marRight w:val="0"/>
          <w:marTop w:val="0"/>
          <w:marBottom w:val="0"/>
          <w:divBdr>
            <w:top w:val="none" w:sz="0" w:space="0" w:color="auto"/>
            <w:left w:val="none" w:sz="0" w:space="0" w:color="auto"/>
            <w:bottom w:val="none" w:sz="0" w:space="0" w:color="auto"/>
            <w:right w:val="none" w:sz="0" w:space="0" w:color="auto"/>
          </w:divBdr>
          <w:divsChild>
            <w:div w:id="1783648499">
              <w:marLeft w:val="0"/>
              <w:marRight w:val="0"/>
              <w:marTop w:val="0"/>
              <w:marBottom w:val="0"/>
              <w:divBdr>
                <w:top w:val="none" w:sz="0" w:space="0" w:color="auto"/>
                <w:left w:val="none" w:sz="0" w:space="0" w:color="auto"/>
                <w:bottom w:val="none" w:sz="0" w:space="0" w:color="auto"/>
                <w:right w:val="none" w:sz="0" w:space="0" w:color="auto"/>
              </w:divBdr>
              <w:divsChild>
                <w:div w:id="432750346">
                  <w:marLeft w:val="0"/>
                  <w:marRight w:val="0"/>
                  <w:marTop w:val="0"/>
                  <w:marBottom w:val="0"/>
                  <w:divBdr>
                    <w:top w:val="none" w:sz="0" w:space="0" w:color="auto"/>
                    <w:left w:val="none" w:sz="0" w:space="0" w:color="auto"/>
                    <w:bottom w:val="none" w:sz="0" w:space="0" w:color="auto"/>
                    <w:right w:val="none" w:sz="0" w:space="0" w:color="auto"/>
                  </w:divBdr>
                  <w:divsChild>
                    <w:div w:id="1157962237">
                      <w:marLeft w:val="1"/>
                      <w:marRight w:val="1"/>
                      <w:marTop w:val="0"/>
                      <w:marBottom w:val="0"/>
                      <w:divBdr>
                        <w:top w:val="none" w:sz="0" w:space="0" w:color="auto"/>
                        <w:left w:val="none" w:sz="0" w:space="0" w:color="auto"/>
                        <w:bottom w:val="none" w:sz="0" w:space="0" w:color="auto"/>
                        <w:right w:val="none" w:sz="0" w:space="0" w:color="auto"/>
                      </w:divBdr>
                      <w:divsChild>
                        <w:div w:id="906233314">
                          <w:marLeft w:val="0"/>
                          <w:marRight w:val="0"/>
                          <w:marTop w:val="0"/>
                          <w:marBottom w:val="0"/>
                          <w:divBdr>
                            <w:top w:val="none" w:sz="0" w:space="0" w:color="auto"/>
                            <w:left w:val="none" w:sz="0" w:space="0" w:color="auto"/>
                            <w:bottom w:val="none" w:sz="0" w:space="0" w:color="auto"/>
                            <w:right w:val="none" w:sz="0" w:space="0" w:color="auto"/>
                          </w:divBdr>
                          <w:divsChild>
                            <w:div w:id="1855336119">
                              <w:marLeft w:val="0"/>
                              <w:marRight w:val="0"/>
                              <w:marTop w:val="0"/>
                              <w:marBottom w:val="360"/>
                              <w:divBdr>
                                <w:top w:val="none" w:sz="0" w:space="0" w:color="auto"/>
                                <w:left w:val="none" w:sz="0" w:space="0" w:color="auto"/>
                                <w:bottom w:val="none" w:sz="0" w:space="0" w:color="auto"/>
                                <w:right w:val="none" w:sz="0" w:space="0" w:color="auto"/>
                              </w:divBdr>
                              <w:divsChild>
                                <w:div w:id="605036476">
                                  <w:marLeft w:val="0"/>
                                  <w:marRight w:val="0"/>
                                  <w:marTop w:val="0"/>
                                  <w:marBottom w:val="0"/>
                                  <w:divBdr>
                                    <w:top w:val="none" w:sz="0" w:space="0" w:color="auto"/>
                                    <w:left w:val="none" w:sz="0" w:space="0" w:color="auto"/>
                                    <w:bottom w:val="none" w:sz="0" w:space="0" w:color="auto"/>
                                    <w:right w:val="none" w:sz="0" w:space="0" w:color="auto"/>
                                  </w:divBdr>
                                  <w:divsChild>
                                    <w:div w:id="1120537091">
                                      <w:marLeft w:val="0"/>
                                      <w:marRight w:val="0"/>
                                      <w:marTop w:val="0"/>
                                      <w:marBottom w:val="0"/>
                                      <w:divBdr>
                                        <w:top w:val="none" w:sz="0" w:space="0" w:color="auto"/>
                                        <w:left w:val="none" w:sz="0" w:space="0" w:color="auto"/>
                                        <w:bottom w:val="none" w:sz="0" w:space="0" w:color="auto"/>
                                        <w:right w:val="none" w:sz="0" w:space="0" w:color="auto"/>
                                      </w:divBdr>
                                      <w:divsChild>
                                        <w:div w:id="1302467213">
                                          <w:marLeft w:val="0"/>
                                          <w:marRight w:val="0"/>
                                          <w:marTop w:val="0"/>
                                          <w:marBottom w:val="0"/>
                                          <w:divBdr>
                                            <w:top w:val="none" w:sz="0" w:space="0" w:color="auto"/>
                                            <w:left w:val="none" w:sz="0" w:space="0" w:color="auto"/>
                                            <w:bottom w:val="none" w:sz="0" w:space="0" w:color="auto"/>
                                            <w:right w:val="none" w:sz="0" w:space="0" w:color="auto"/>
                                          </w:divBdr>
                                          <w:divsChild>
                                            <w:div w:id="1869640741">
                                              <w:marLeft w:val="0"/>
                                              <w:marRight w:val="0"/>
                                              <w:marTop w:val="0"/>
                                              <w:marBottom w:val="0"/>
                                              <w:divBdr>
                                                <w:top w:val="none" w:sz="0" w:space="0" w:color="auto"/>
                                                <w:left w:val="none" w:sz="0" w:space="0" w:color="auto"/>
                                                <w:bottom w:val="none" w:sz="0" w:space="0" w:color="auto"/>
                                                <w:right w:val="none" w:sz="0" w:space="0" w:color="auto"/>
                                              </w:divBdr>
                                              <w:divsChild>
                                                <w:div w:id="1791971690">
                                                  <w:marLeft w:val="0"/>
                                                  <w:marRight w:val="0"/>
                                                  <w:marTop w:val="0"/>
                                                  <w:marBottom w:val="0"/>
                                                  <w:divBdr>
                                                    <w:top w:val="none" w:sz="0" w:space="0" w:color="auto"/>
                                                    <w:left w:val="none" w:sz="0" w:space="0" w:color="auto"/>
                                                    <w:bottom w:val="none" w:sz="0" w:space="0" w:color="auto"/>
                                                    <w:right w:val="none" w:sz="0" w:space="0" w:color="auto"/>
                                                  </w:divBdr>
                                                  <w:divsChild>
                                                    <w:div w:id="303587963">
                                                      <w:marLeft w:val="480"/>
                                                      <w:marRight w:val="0"/>
                                                      <w:marTop w:val="0"/>
                                                      <w:marBottom w:val="0"/>
                                                      <w:divBdr>
                                                        <w:top w:val="none" w:sz="0" w:space="0" w:color="auto"/>
                                                        <w:left w:val="none" w:sz="0" w:space="0" w:color="auto"/>
                                                        <w:bottom w:val="none" w:sz="0" w:space="0" w:color="auto"/>
                                                        <w:right w:val="none" w:sz="0" w:space="0" w:color="auto"/>
                                                      </w:divBdr>
                                                    </w:div>
                                                    <w:div w:id="600532805">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38437223">
      <w:bodyDiv w:val="1"/>
      <w:marLeft w:val="0"/>
      <w:marRight w:val="0"/>
      <w:marTop w:val="0"/>
      <w:marBottom w:val="0"/>
      <w:divBdr>
        <w:top w:val="none" w:sz="0" w:space="0" w:color="auto"/>
        <w:left w:val="none" w:sz="0" w:space="0" w:color="auto"/>
        <w:bottom w:val="none" w:sz="0" w:space="0" w:color="auto"/>
        <w:right w:val="none" w:sz="0" w:space="0" w:color="auto"/>
      </w:divBdr>
    </w:div>
    <w:div w:id="1248533810">
      <w:bodyDiv w:val="1"/>
      <w:marLeft w:val="0"/>
      <w:marRight w:val="0"/>
      <w:marTop w:val="0"/>
      <w:marBottom w:val="0"/>
      <w:divBdr>
        <w:top w:val="none" w:sz="0" w:space="0" w:color="auto"/>
        <w:left w:val="none" w:sz="0" w:space="0" w:color="auto"/>
        <w:bottom w:val="none" w:sz="0" w:space="0" w:color="auto"/>
        <w:right w:val="none" w:sz="0" w:space="0" w:color="auto"/>
      </w:divBdr>
    </w:div>
    <w:div w:id="1373993030">
      <w:bodyDiv w:val="1"/>
      <w:marLeft w:val="0"/>
      <w:marRight w:val="0"/>
      <w:marTop w:val="0"/>
      <w:marBottom w:val="0"/>
      <w:divBdr>
        <w:top w:val="none" w:sz="0" w:space="0" w:color="auto"/>
        <w:left w:val="none" w:sz="0" w:space="0" w:color="auto"/>
        <w:bottom w:val="none" w:sz="0" w:space="0" w:color="auto"/>
        <w:right w:val="none" w:sz="0" w:space="0" w:color="auto"/>
      </w:divBdr>
      <w:divsChild>
        <w:div w:id="1710303384">
          <w:marLeft w:val="0"/>
          <w:marRight w:val="0"/>
          <w:marTop w:val="0"/>
          <w:marBottom w:val="0"/>
          <w:divBdr>
            <w:top w:val="none" w:sz="0" w:space="0" w:color="auto"/>
            <w:left w:val="none" w:sz="0" w:space="0" w:color="auto"/>
            <w:bottom w:val="none" w:sz="0" w:space="0" w:color="auto"/>
            <w:right w:val="none" w:sz="0" w:space="0" w:color="auto"/>
          </w:divBdr>
          <w:divsChild>
            <w:div w:id="1541551123">
              <w:marLeft w:val="0"/>
              <w:marRight w:val="0"/>
              <w:marTop w:val="0"/>
              <w:marBottom w:val="0"/>
              <w:divBdr>
                <w:top w:val="none" w:sz="0" w:space="0" w:color="auto"/>
                <w:left w:val="none" w:sz="0" w:space="0" w:color="auto"/>
                <w:bottom w:val="none" w:sz="0" w:space="0" w:color="auto"/>
                <w:right w:val="none" w:sz="0" w:space="0" w:color="auto"/>
              </w:divBdr>
              <w:divsChild>
                <w:div w:id="936407364">
                  <w:marLeft w:val="0"/>
                  <w:marRight w:val="0"/>
                  <w:marTop w:val="0"/>
                  <w:marBottom w:val="0"/>
                  <w:divBdr>
                    <w:top w:val="none" w:sz="0" w:space="0" w:color="auto"/>
                    <w:left w:val="none" w:sz="0" w:space="0" w:color="auto"/>
                    <w:bottom w:val="none" w:sz="0" w:space="0" w:color="auto"/>
                    <w:right w:val="none" w:sz="0" w:space="0" w:color="auto"/>
                  </w:divBdr>
                  <w:divsChild>
                    <w:div w:id="543097467">
                      <w:marLeft w:val="0"/>
                      <w:marRight w:val="0"/>
                      <w:marTop w:val="0"/>
                      <w:marBottom w:val="0"/>
                      <w:divBdr>
                        <w:top w:val="none" w:sz="0" w:space="0" w:color="auto"/>
                        <w:left w:val="none" w:sz="0" w:space="0" w:color="auto"/>
                        <w:bottom w:val="none" w:sz="0" w:space="0" w:color="auto"/>
                        <w:right w:val="none" w:sz="0" w:space="0" w:color="auto"/>
                      </w:divBdr>
                      <w:divsChild>
                        <w:div w:id="517044445">
                          <w:marLeft w:val="0"/>
                          <w:marRight w:val="0"/>
                          <w:marTop w:val="0"/>
                          <w:marBottom w:val="0"/>
                          <w:divBdr>
                            <w:top w:val="none" w:sz="0" w:space="0" w:color="auto"/>
                            <w:left w:val="none" w:sz="0" w:space="0" w:color="auto"/>
                            <w:bottom w:val="none" w:sz="0" w:space="0" w:color="auto"/>
                            <w:right w:val="none" w:sz="0" w:space="0" w:color="auto"/>
                          </w:divBdr>
                          <w:divsChild>
                            <w:div w:id="2062093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6824668">
      <w:bodyDiv w:val="1"/>
      <w:marLeft w:val="0"/>
      <w:marRight w:val="0"/>
      <w:marTop w:val="0"/>
      <w:marBottom w:val="0"/>
      <w:divBdr>
        <w:top w:val="none" w:sz="0" w:space="0" w:color="auto"/>
        <w:left w:val="none" w:sz="0" w:space="0" w:color="auto"/>
        <w:bottom w:val="none" w:sz="0" w:space="0" w:color="auto"/>
        <w:right w:val="none" w:sz="0" w:space="0" w:color="auto"/>
      </w:divBdr>
      <w:divsChild>
        <w:div w:id="2030832106">
          <w:marLeft w:val="0"/>
          <w:marRight w:val="0"/>
          <w:marTop w:val="0"/>
          <w:marBottom w:val="0"/>
          <w:divBdr>
            <w:top w:val="none" w:sz="0" w:space="0" w:color="auto"/>
            <w:left w:val="none" w:sz="0" w:space="0" w:color="auto"/>
            <w:bottom w:val="none" w:sz="0" w:space="0" w:color="auto"/>
            <w:right w:val="none" w:sz="0" w:space="0" w:color="auto"/>
          </w:divBdr>
          <w:divsChild>
            <w:div w:id="222834764">
              <w:marLeft w:val="0"/>
              <w:marRight w:val="0"/>
              <w:marTop w:val="0"/>
              <w:marBottom w:val="0"/>
              <w:divBdr>
                <w:top w:val="none" w:sz="0" w:space="0" w:color="auto"/>
                <w:left w:val="none" w:sz="0" w:space="0" w:color="auto"/>
                <w:bottom w:val="none" w:sz="0" w:space="0" w:color="auto"/>
                <w:right w:val="none" w:sz="0" w:space="0" w:color="auto"/>
              </w:divBdr>
              <w:divsChild>
                <w:div w:id="1795515703">
                  <w:marLeft w:val="0"/>
                  <w:marRight w:val="0"/>
                  <w:marTop w:val="0"/>
                  <w:marBottom w:val="0"/>
                  <w:divBdr>
                    <w:top w:val="none" w:sz="0" w:space="0" w:color="auto"/>
                    <w:left w:val="none" w:sz="0" w:space="0" w:color="auto"/>
                    <w:bottom w:val="none" w:sz="0" w:space="0" w:color="auto"/>
                    <w:right w:val="none" w:sz="0" w:space="0" w:color="auto"/>
                  </w:divBdr>
                  <w:divsChild>
                    <w:div w:id="1294485722">
                      <w:marLeft w:val="0"/>
                      <w:marRight w:val="0"/>
                      <w:marTop w:val="0"/>
                      <w:marBottom w:val="0"/>
                      <w:divBdr>
                        <w:top w:val="none" w:sz="0" w:space="0" w:color="auto"/>
                        <w:left w:val="none" w:sz="0" w:space="0" w:color="auto"/>
                        <w:bottom w:val="none" w:sz="0" w:space="0" w:color="auto"/>
                        <w:right w:val="none" w:sz="0" w:space="0" w:color="auto"/>
                      </w:divBdr>
                      <w:divsChild>
                        <w:div w:id="1119689754">
                          <w:marLeft w:val="0"/>
                          <w:marRight w:val="0"/>
                          <w:marTop w:val="0"/>
                          <w:marBottom w:val="0"/>
                          <w:divBdr>
                            <w:top w:val="none" w:sz="0" w:space="0" w:color="auto"/>
                            <w:left w:val="none" w:sz="0" w:space="0" w:color="auto"/>
                            <w:bottom w:val="none" w:sz="0" w:space="0" w:color="auto"/>
                            <w:right w:val="none" w:sz="0" w:space="0" w:color="auto"/>
                          </w:divBdr>
                          <w:divsChild>
                            <w:div w:id="1339697397">
                              <w:marLeft w:val="0"/>
                              <w:marRight w:val="0"/>
                              <w:marTop w:val="48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4390302">
      <w:bodyDiv w:val="1"/>
      <w:marLeft w:val="0"/>
      <w:marRight w:val="0"/>
      <w:marTop w:val="0"/>
      <w:marBottom w:val="0"/>
      <w:divBdr>
        <w:top w:val="none" w:sz="0" w:space="0" w:color="auto"/>
        <w:left w:val="none" w:sz="0" w:space="0" w:color="auto"/>
        <w:bottom w:val="none" w:sz="0" w:space="0" w:color="auto"/>
        <w:right w:val="none" w:sz="0" w:space="0" w:color="auto"/>
      </w:divBdr>
      <w:divsChild>
        <w:div w:id="955675852">
          <w:marLeft w:val="0"/>
          <w:marRight w:val="0"/>
          <w:marTop w:val="0"/>
          <w:marBottom w:val="0"/>
          <w:divBdr>
            <w:top w:val="none" w:sz="0" w:space="0" w:color="auto"/>
            <w:left w:val="none" w:sz="0" w:space="0" w:color="auto"/>
            <w:bottom w:val="none" w:sz="0" w:space="0" w:color="auto"/>
            <w:right w:val="none" w:sz="0" w:space="0" w:color="auto"/>
          </w:divBdr>
          <w:divsChild>
            <w:div w:id="1658146766">
              <w:marLeft w:val="0"/>
              <w:marRight w:val="0"/>
              <w:marTop w:val="0"/>
              <w:marBottom w:val="0"/>
              <w:divBdr>
                <w:top w:val="none" w:sz="0" w:space="0" w:color="auto"/>
                <w:left w:val="none" w:sz="0" w:space="0" w:color="auto"/>
                <w:bottom w:val="none" w:sz="0" w:space="0" w:color="auto"/>
                <w:right w:val="none" w:sz="0" w:space="0" w:color="auto"/>
              </w:divBdr>
              <w:divsChild>
                <w:div w:id="2124840531">
                  <w:marLeft w:val="0"/>
                  <w:marRight w:val="0"/>
                  <w:marTop w:val="0"/>
                  <w:marBottom w:val="0"/>
                  <w:divBdr>
                    <w:top w:val="none" w:sz="0" w:space="0" w:color="auto"/>
                    <w:left w:val="none" w:sz="0" w:space="0" w:color="auto"/>
                    <w:bottom w:val="none" w:sz="0" w:space="0" w:color="auto"/>
                    <w:right w:val="none" w:sz="0" w:space="0" w:color="auto"/>
                  </w:divBdr>
                  <w:divsChild>
                    <w:div w:id="966206059">
                      <w:marLeft w:val="0"/>
                      <w:marRight w:val="0"/>
                      <w:marTop w:val="0"/>
                      <w:marBottom w:val="0"/>
                      <w:divBdr>
                        <w:top w:val="none" w:sz="0" w:space="0" w:color="auto"/>
                        <w:left w:val="none" w:sz="0" w:space="0" w:color="auto"/>
                        <w:bottom w:val="none" w:sz="0" w:space="0" w:color="auto"/>
                        <w:right w:val="none" w:sz="0" w:space="0" w:color="auto"/>
                      </w:divBdr>
                      <w:divsChild>
                        <w:div w:id="549079071">
                          <w:marLeft w:val="0"/>
                          <w:marRight w:val="0"/>
                          <w:marTop w:val="0"/>
                          <w:marBottom w:val="0"/>
                          <w:divBdr>
                            <w:top w:val="none" w:sz="0" w:space="0" w:color="auto"/>
                            <w:left w:val="none" w:sz="0" w:space="0" w:color="auto"/>
                            <w:bottom w:val="none" w:sz="0" w:space="0" w:color="auto"/>
                            <w:right w:val="none" w:sz="0" w:space="0" w:color="auto"/>
                          </w:divBdr>
                          <w:divsChild>
                            <w:div w:id="1076899252">
                              <w:marLeft w:val="0"/>
                              <w:marRight w:val="0"/>
                              <w:marTop w:val="48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5840500">
      <w:bodyDiv w:val="1"/>
      <w:marLeft w:val="0"/>
      <w:marRight w:val="0"/>
      <w:marTop w:val="0"/>
      <w:marBottom w:val="0"/>
      <w:divBdr>
        <w:top w:val="none" w:sz="0" w:space="0" w:color="auto"/>
        <w:left w:val="none" w:sz="0" w:space="0" w:color="auto"/>
        <w:bottom w:val="none" w:sz="0" w:space="0" w:color="auto"/>
        <w:right w:val="none" w:sz="0" w:space="0" w:color="auto"/>
      </w:divBdr>
    </w:div>
    <w:div w:id="1669627186">
      <w:bodyDiv w:val="1"/>
      <w:marLeft w:val="0"/>
      <w:marRight w:val="0"/>
      <w:marTop w:val="0"/>
      <w:marBottom w:val="0"/>
      <w:divBdr>
        <w:top w:val="none" w:sz="0" w:space="0" w:color="auto"/>
        <w:left w:val="none" w:sz="0" w:space="0" w:color="auto"/>
        <w:bottom w:val="none" w:sz="0" w:space="0" w:color="auto"/>
        <w:right w:val="none" w:sz="0" w:space="0" w:color="auto"/>
      </w:divBdr>
      <w:divsChild>
        <w:div w:id="1596786945">
          <w:marLeft w:val="0"/>
          <w:marRight w:val="0"/>
          <w:marTop w:val="0"/>
          <w:marBottom w:val="0"/>
          <w:divBdr>
            <w:top w:val="none" w:sz="0" w:space="0" w:color="auto"/>
            <w:left w:val="none" w:sz="0" w:space="0" w:color="auto"/>
            <w:bottom w:val="none" w:sz="0" w:space="0" w:color="auto"/>
            <w:right w:val="none" w:sz="0" w:space="0" w:color="auto"/>
          </w:divBdr>
          <w:divsChild>
            <w:div w:id="947085878">
              <w:marLeft w:val="0"/>
              <w:marRight w:val="0"/>
              <w:marTop w:val="0"/>
              <w:marBottom w:val="0"/>
              <w:divBdr>
                <w:top w:val="none" w:sz="0" w:space="0" w:color="auto"/>
                <w:left w:val="none" w:sz="0" w:space="0" w:color="auto"/>
                <w:bottom w:val="none" w:sz="0" w:space="0" w:color="auto"/>
                <w:right w:val="none" w:sz="0" w:space="0" w:color="auto"/>
              </w:divBdr>
              <w:divsChild>
                <w:div w:id="2087605409">
                  <w:marLeft w:val="0"/>
                  <w:marRight w:val="0"/>
                  <w:marTop w:val="0"/>
                  <w:marBottom w:val="0"/>
                  <w:divBdr>
                    <w:top w:val="none" w:sz="0" w:space="0" w:color="auto"/>
                    <w:left w:val="none" w:sz="0" w:space="0" w:color="auto"/>
                    <w:bottom w:val="none" w:sz="0" w:space="0" w:color="auto"/>
                    <w:right w:val="none" w:sz="0" w:space="0" w:color="auto"/>
                  </w:divBdr>
                  <w:divsChild>
                    <w:div w:id="641427743">
                      <w:marLeft w:val="0"/>
                      <w:marRight w:val="0"/>
                      <w:marTop w:val="0"/>
                      <w:marBottom w:val="0"/>
                      <w:divBdr>
                        <w:top w:val="none" w:sz="0" w:space="0" w:color="auto"/>
                        <w:left w:val="none" w:sz="0" w:space="0" w:color="auto"/>
                        <w:bottom w:val="none" w:sz="0" w:space="0" w:color="auto"/>
                        <w:right w:val="none" w:sz="0" w:space="0" w:color="auto"/>
                      </w:divBdr>
                      <w:divsChild>
                        <w:div w:id="196624102">
                          <w:marLeft w:val="0"/>
                          <w:marRight w:val="0"/>
                          <w:marTop w:val="0"/>
                          <w:marBottom w:val="0"/>
                          <w:divBdr>
                            <w:top w:val="none" w:sz="0" w:space="0" w:color="auto"/>
                            <w:left w:val="none" w:sz="0" w:space="0" w:color="auto"/>
                            <w:bottom w:val="none" w:sz="0" w:space="0" w:color="auto"/>
                            <w:right w:val="none" w:sz="0" w:space="0" w:color="auto"/>
                          </w:divBdr>
                          <w:divsChild>
                            <w:div w:id="1697652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1367913">
      <w:bodyDiv w:val="1"/>
      <w:marLeft w:val="0"/>
      <w:marRight w:val="0"/>
      <w:marTop w:val="0"/>
      <w:marBottom w:val="0"/>
      <w:divBdr>
        <w:top w:val="none" w:sz="0" w:space="0" w:color="auto"/>
        <w:left w:val="none" w:sz="0" w:space="0" w:color="auto"/>
        <w:bottom w:val="none" w:sz="0" w:space="0" w:color="auto"/>
        <w:right w:val="none" w:sz="0" w:space="0" w:color="auto"/>
      </w:divBdr>
      <w:divsChild>
        <w:div w:id="1078987472">
          <w:marLeft w:val="0"/>
          <w:marRight w:val="0"/>
          <w:marTop w:val="0"/>
          <w:marBottom w:val="0"/>
          <w:divBdr>
            <w:top w:val="none" w:sz="0" w:space="0" w:color="auto"/>
            <w:left w:val="none" w:sz="0" w:space="0" w:color="auto"/>
            <w:bottom w:val="none" w:sz="0" w:space="0" w:color="auto"/>
            <w:right w:val="none" w:sz="0" w:space="0" w:color="auto"/>
          </w:divBdr>
          <w:divsChild>
            <w:div w:id="1433743078">
              <w:marLeft w:val="0"/>
              <w:marRight w:val="0"/>
              <w:marTop w:val="0"/>
              <w:marBottom w:val="0"/>
              <w:divBdr>
                <w:top w:val="none" w:sz="0" w:space="0" w:color="auto"/>
                <w:left w:val="none" w:sz="0" w:space="0" w:color="auto"/>
                <w:bottom w:val="none" w:sz="0" w:space="0" w:color="auto"/>
                <w:right w:val="none" w:sz="0" w:space="0" w:color="auto"/>
              </w:divBdr>
              <w:divsChild>
                <w:div w:id="1751653320">
                  <w:marLeft w:val="0"/>
                  <w:marRight w:val="0"/>
                  <w:marTop w:val="0"/>
                  <w:marBottom w:val="0"/>
                  <w:divBdr>
                    <w:top w:val="none" w:sz="0" w:space="0" w:color="auto"/>
                    <w:left w:val="none" w:sz="0" w:space="0" w:color="auto"/>
                    <w:bottom w:val="none" w:sz="0" w:space="0" w:color="auto"/>
                    <w:right w:val="none" w:sz="0" w:space="0" w:color="auto"/>
                  </w:divBdr>
                  <w:divsChild>
                    <w:div w:id="1565409087">
                      <w:marLeft w:val="0"/>
                      <w:marRight w:val="0"/>
                      <w:marTop w:val="0"/>
                      <w:marBottom w:val="0"/>
                      <w:divBdr>
                        <w:top w:val="none" w:sz="0" w:space="0" w:color="auto"/>
                        <w:left w:val="none" w:sz="0" w:space="0" w:color="auto"/>
                        <w:bottom w:val="none" w:sz="0" w:space="0" w:color="auto"/>
                        <w:right w:val="none" w:sz="0" w:space="0" w:color="auto"/>
                      </w:divBdr>
                      <w:divsChild>
                        <w:div w:id="218831664">
                          <w:marLeft w:val="0"/>
                          <w:marRight w:val="0"/>
                          <w:marTop w:val="0"/>
                          <w:marBottom w:val="0"/>
                          <w:divBdr>
                            <w:top w:val="none" w:sz="0" w:space="0" w:color="auto"/>
                            <w:left w:val="none" w:sz="0" w:space="0" w:color="auto"/>
                            <w:bottom w:val="none" w:sz="0" w:space="0" w:color="auto"/>
                            <w:right w:val="none" w:sz="0" w:space="0" w:color="auto"/>
                          </w:divBdr>
                          <w:divsChild>
                            <w:div w:id="959847893">
                              <w:marLeft w:val="0"/>
                              <w:marRight w:val="0"/>
                              <w:marTop w:val="48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9984220">
      <w:bodyDiv w:val="1"/>
      <w:marLeft w:val="0"/>
      <w:marRight w:val="0"/>
      <w:marTop w:val="0"/>
      <w:marBottom w:val="0"/>
      <w:divBdr>
        <w:top w:val="none" w:sz="0" w:space="0" w:color="auto"/>
        <w:left w:val="none" w:sz="0" w:space="0" w:color="auto"/>
        <w:bottom w:val="none" w:sz="0" w:space="0" w:color="auto"/>
        <w:right w:val="none" w:sz="0" w:space="0" w:color="auto"/>
      </w:divBdr>
    </w:div>
    <w:div w:id="1819568451">
      <w:bodyDiv w:val="1"/>
      <w:marLeft w:val="0"/>
      <w:marRight w:val="0"/>
      <w:marTop w:val="0"/>
      <w:marBottom w:val="0"/>
      <w:divBdr>
        <w:top w:val="none" w:sz="0" w:space="0" w:color="auto"/>
        <w:left w:val="none" w:sz="0" w:space="0" w:color="auto"/>
        <w:bottom w:val="none" w:sz="0" w:space="0" w:color="auto"/>
        <w:right w:val="none" w:sz="0" w:space="0" w:color="auto"/>
      </w:divBdr>
    </w:div>
    <w:div w:id="1855607651">
      <w:bodyDiv w:val="1"/>
      <w:marLeft w:val="0"/>
      <w:marRight w:val="0"/>
      <w:marTop w:val="0"/>
      <w:marBottom w:val="0"/>
      <w:divBdr>
        <w:top w:val="none" w:sz="0" w:space="0" w:color="auto"/>
        <w:left w:val="none" w:sz="0" w:space="0" w:color="auto"/>
        <w:bottom w:val="none" w:sz="0" w:space="0" w:color="auto"/>
        <w:right w:val="none" w:sz="0" w:space="0" w:color="auto"/>
      </w:divBdr>
      <w:divsChild>
        <w:div w:id="1198738537">
          <w:marLeft w:val="0"/>
          <w:marRight w:val="0"/>
          <w:marTop w:val="0"/>
          <w:marBottom w:val="0"/>
          <w:divBdr>
            <w:top w:val="none" w:sz="0" w:space="0" w:color="auto"/>
            <w:left w:val="none" w:sz="0" w:space="0" w:color="auto"/>
            <w:bottom w:val="none" w:sz="0" w:space="0" w:color="auto"/>
            <w:right w:val="none" w:sz="0" w:space="0" w:color="auto"/>
          </w:divBdr>
          <w:divsChild>
            <w:div w:id="1968243357">
              <w:marLeft w:val="0"/>
              <w:marRight w:val="0"/>
              <w:marTop w:val="0"/>
              <w:marBottom w:val="0"/>
              <w:divBdr>
                <w:top w:val="none" w:sz="0" w:space="0" w:color="auto"/>
                <w:left w:val="none" w:sz="0" w:space="0" w:color="auto"/>
                <w:bottom w:val="none" w:sz="0" w:space="0" w:color="auto"/>
                <w:right w:val="none" w:sz="0" w:space="0" w:color="auto"/>
              </w:divBdr>
              <w:divsChild>
                <w:div w:id="1727606483">
                  <w:marLeft w:val="0"/>
                  <w:marRight w:val="0"/>
                  <w:marTop w:val="0"/>
                  <w:marBottom w:val="0"/>
                  <w:divBdr>
                    <w:top w:val="none" w:sz="0" w:space="0" w:color="auto"/>
                    <w:left w:val="none" w:sz="0" w:space="0" w:color="auto"/>
                    <w:bottom w:val="none" w:sz="0" w:space="0" w:color="auto"/>
                    <w:right w:val="none" w:sz="0" w:space="0" w:color="auto"/>
                  </w:divBdr>
                  <w:divsChild>
                    <w:div w:id="1784692806">
                      <w:marLeft w:val="0"/>
                      <w:marRight w:val="0"/>
                      <w:marTop w:val="0"/>
                      <w:marBottom w:val="0"/>
                      <w:divBdr>
                        <w:top w:val="none" w:sz="0" w:space="0" w:color="auto"/>
                        <w:left w:val="none" w:sz="0" w:space="0" w:color="auto"/>
                        <w:bottom w:val="none" w:sz="0" w:space="0" w:color="auto"/>
                        <w:right w:val="none" w:sz="0" w:space="0" w:color="auto"/>
                      </w:divBdr>
                      <w:divsChild>
                        <w:div w:id="584337408">
                          <w:marLeft w:val="0"/>
                          <w:marRight w:val="0"/>
                          <w:marTop w:val="0"/>
                          <w:marBottom w:val="0"/>
                          <w:divBdr>
                            <w:top w:val="none" w:sz="0" w:space="0" w:color="auto"/>
                            <w:left w:val="none" w:sz="0" w:space="0" w:color="auto"/>
                            <w:bottom w:val="none" w:sz="0" w:space="0" w:color="auto"/>
                            <w:right w:val="none" w:sz="0" w:space="0" w:color="auto"/>
                          </w:divBdr>
                          <w:divsChild>
                            <w:div w:id="1715620647">
                              <w:marLeft w:val="0"/>
                              <w:marRight w:val="0"/>
                              <w:marTop w:val="48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4223444">
      <w:bodyDiv w:val="1"/>
      <w:marLeft w:val="0"/>
      <w:marRight w:val="0"/>
      <w:marTop w:val="0"/>
      <w:marBottom w:val="0"/>
      <w:divBdr>
        <w:top w:val="none" w:sz="0" w:space="0" w:color="auto"/>
        <w:left w:val="none" w:sz="0" w:space="0" w:color="auto"/>
        <w:bottom w:val="none" w:sz="0" w:space="0" w:color="auto"/>
        <w:right w:val="none" w:sz="0" w:space="0" w:color="auto"/>
      </w:divBdr>
      <w:divsChild>
        <w:div w:id="1291281525">
          <w:marLeft w:val="0"/>
          <w:marRight w:val="0"/>
          <w:marTop w:val="0"/>
          <w:marBottom w:val="0"/>
          <w:divBdr>
            <w:top w:val="none" w:sz="0" w:space="0" w:color="auto"/>
            <w:left w:val="none" w:sz="0" w:space="0" w:color="auto"/>
            <w:bottom w:val="none" w:sz="0" w:space="0" w:color="auto"/>
            <w:right w:val="none" w:sz="0" w:space="0" w:color="auto"/>
          </w:divBdr>
          <w:divsChild>
            <w:div w:id="399211083">
              <w:marLeft w:val="0"/>
              <w:marRight w:val="0"/>
              <w:marTop w:val="0"/>
              <w:marBottom w:val="0"/>
              <w:divBdr>
                <w:top w:val="none" w:sz="0" w:space="0" w:color="auto"/>
                <w:left w:val="none" w:sz="0" w:space="0" w:color="auto"/>
                <w:bottom w:val="none" w:sz="0" w:space="0" w:color="auto"/>
                <w:right w:val="none" w:sz="0" w:space="0" w:color="auto"/>
              </w:divBdr>
              <w:divsChild>
                <w:div w:id="245388731">
                  <w:marLeft w:val="0"/>
                  <w:marRight w:val="0"/>
                  <w:marTop w:val="0"/>
                  <w:marBottom w:val="0"/>
                  <w:divBdr>
                    <w:top w:val="none" w:sz="0" w:space="0" w:color="auto"/>
                    <w:left w:val="none" w:sz="0" w:space="0" w:color="auto"/>
                    <w:bottom w:val="none" w:sz="0" w:space="0" w:color="auto"/>
                    <w:right w:val="none" w:sz="0" w:space="0" w:color="auto"/>
                  </w:divBdr>
                  <w:divsChild>
                    <w:div w:id="1050498464">
                      <w:marLeft w:val="0"/>
                      <w:marRight w:val="0"/>
                      <w:marTop w:val="0"/>
                      <w:marBottom w:val="0"/>
                      <w:divBdr>
                        <w:top w:val="none" w:sz="0" w:space="0" w:color="auto"/>
                        <w:left w:val="none" w:sz="0" w:space="0" w:color="auto"/>
                        <w:bottom w:val="none" w:sz="0" w:space="0" w:color="auto"/>
                        <w:right w:val="none" w:sz="0" w:space="0" w:color="auto"/>
                      </w:divBdr>
                      <w:divsChild>
                        <w:div w:id="690568283">
                          <w:marLeft w:val="0"/>
                          <w:marRight w:val="0"/>
                          <w:marTop w:val="0"/>
                          <w:marBottom w:val="0"/>
                          <w:divBdr>
                            <w:top w:val="none" w:sz="0" w:space="0" w:color="auto"/>
                            <w:left w:val="none" w:sz="0" w:space="0" w:color="auto"/>
                            <w:bottom w:val="none" w:sz="0" w:space="0" w:color="auto"/>
                            <w:right w:val="none" w:sz="0" w:space="0" w:color="auto"/>
                          </w:divBdr>
                          <w:divsChild>
                            <w:div w:id="1137842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0796044">
      <w:bodyDiv w:val="1"/>
      <w:marLeft w:val="0"/>
      <w:marRight w:val="0"/>
      <w:marTop w:val="0"/>
      <w:marBottom w:val="0"/>
      <w:divBdr>
        <w:top w:val="none" w:sz="0" w:space="0" w:color="auto"/>
        <w:left w:val="none" w:sz="0" w:space="0" w:color="auto"/>
        <w:bottom w:val="none" w:sz="0" w:space="0" w:color="auto"/>
        <w:right w:val="none" w:sz="0" w:space="0" w:color="auto"/>
      </w:divBdr>
      <w:divsChild>
        <w:div w:id="1664353296">
          <w:marLeft w:val="0"/>
          <w:marRight w:val="0"/>
          <w:marTop w:val="0"/>
          <w:marBottom w:val="0"/>
          <w:divBdr>
            <w:top w:val="none" w:sz="0" w:space="0" w:color="auto"/>
            <w:left w:val="none" w:sz="0" w:space="0" w:color="auto"/>
            <w:bottom w:val="none" w:sz="0" w:space="0" w:color="auto"/>
            <w:right w:val="none" w:sz="0" w:space="0" w:color="auto"/>
          </w:divBdr>
          <w:divsChild>
            <w:div w:id="2090422657">
              <w:marLeft w:val="0"/>
              <w:marRight w:val="0"/>
              <w:marTop w:val="0"/>
              <w:marBottom w:val="0"/>
              <w:divBdr>
                <w:top w:val="none" w:sz="0" w:space="0" w:color="auto"/>
                <w:left w:val="none" w:sz="0" w:space="0" w:color="auto"/>
                <w:bottom w:val="none" w:sz="0" w:space="0" w:color="auto"/>
                <w:right w:val="none" w:sz="0" w:space="0" w:color="auto"/>
              </w:divBdr>
              <w:divsChild>
                <w:div w:id="616183998">
                  <w:marLeft w:val="0"/>
                  <w:marRight w:val="0"/>
                  <w:marTop w:val="0"/>
                  <w:marBottom w:val="0"/>
                  <w:divBdr>
                    <w:top w:val="none" w:sz="0" w:space="0" w:color="auto"/>
                    <w:left w:val="none" w:sz="0" w:space="0" w:color="auto"/>
                    <w:bottom w:val="none" w:sz="0" w:space="0" w:color="auto"/>
                    <w:right w:val="none" w:sz="0" w:space="0" w:color="auto"/>
                  </w:divBdr>
                  <w:divsChild>
                    <w:div w:id="2094008868">
                      <w:marLeft w:val="0"/>
                      <w:marRight w:val="0"/>
                      <w:marTop w:val="0"/>
                      <w:marBottom w:val="0"/>
                      <w:divBdr>
                        <w:top w:val="none" w:sz="0" w:space="0" w:color="auto"/>
                        <w:left w:val="none" w:sz="0" w:space="0" w:color="auto"/>
                        <w:bottom w:val="none" w:sz="0" w:space="0" w:color="auto"/>
                        <w:right w:val="none" w:sz="0" w:space="0" w:color="auto"/>
                      </w:divBdr>
                      <w:divsChild>
                        <w:div w:id="1163424616">
                          <w:marLeft w:val="0"/>
                          <w:marRight w:val="0"/>
                          <w:marTop w:val="0"/>
                          <w:marBottom w:val="0"/>
                          <w:divBdr>
                            <w:top w:val="none" w:sz="0" w:space="0" w:color="auto"/>
                            <w:left w:val="none" w:sz="0" w:space="0" w:color="auto"/>
                            <w:bottom w:val="none" w:sz="0" w:space="0" w:color="auto"/>
                            <w:right w:val="none" w:sz="0" w:space="0" w:color="auto"/>
                          </w:divBdr>
                          <w:divsChild>
                            <w:div w:id="1984196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1562879">
      <w:bodyDiv w:val="1"/>
      <w:marLeft w:val="0"/>
      <w:marRight w:val="0"/>
      <w:marTop w:val="0"/>
      <w:marBottom w:val="0"/>
      <w:divBdr>
        <w:top w:val="none" w:sz="0" w:space="0" w:color="auto"/>
        <w:left w:val="none" w:sz="0" w:space="0" w:color="auto"/>
        <w:bottom w:val="none" w:sz="0" w:space="0" w:color="auto"/>
        <w:right w:val="none" w:sz="0" w:space="0" w:color="auto"/>
      </w:divBdr>
      <w:divsChild>
        <w:div w:id="1271545353">
          <w:marLeft w:val="0"/>
          <w:marRight w:val="0"/>
          <w:marTop w:val="0"/>
          <w:marBottom w:val="0"/>
          <w:divBdr>
            <w:top w:val="none" w:sz="0" w:space="0" w:color="auto"/>
            <w:left w:val="none" w:sz="0" w:space="0" w:color="auto"/>
            <w:bottom w:val="none" w:sz="0" w:space="0" w:color="auto"/>
            <w:right w:val="none" w:sz="0" w:space="0" w:color="auto"/>
          </w:divBdr>
          <w:divsChild>
            <w:div w:id="957370873">
              <w:marLeft w:val="0"/>
              <w:marRight w:val="0"/>
              <w:marTop w:val="0"/>
              <w:marBottom w:val="0"/>
              <w:divBdr>
                <w:top w:val="none" w:sz="0" w:space="0" w:color="auto"/>
                <w:left w:val="none" w:sz="0" w:space="0" w:color="auto"/>
                <w:bottom w:val="none" w:sz="0" w:space="0" w:color="auto"/>
                <w:right w:val="none" w:sz="0" w:space="0" w:color="auto"/>
              </w:divBdr>
              <w:divsChild>
                <w:div w:id="1635018901">
                  <w:marLeft w:val="0"/>
                  <w:marRight w:val="0"/>
                  <w:marTop w:val="0"/>
                  <w:marBottom w:val="0"/>
                  <w:divBdr>
                    <w:top w:val="none" w:sz="0" w:space="0" w:color="auto"/>
                    <w:left w:val="none" w:sz="0" w:space="0" w:color="auto"/>
                    <w:bottom w:val="none" w:sz="0" w:space="0" w:color="auto"/>
                    <w:right w:val="none" w:sz="0" w:space="0" w:color="auto"/>
                  </w:divBdr>
                  <w:divsChild>
                    <w:div w:id="2052805584">
                      <w:marLeft w:val="0"/>
                      <w:marRight w:val="0"/>
                      <w:marTop w:val="0"/>
                      <w:marBottom w:val="0"/>
                      <w:divBdr>
                        <w:top w:val="none" w:sz="0" w:space="0" w:color="auto"/>
                        <w:left w:val="none" w:sz="0" w:space="0" w:color="auto"/>
                        <w:bottom w:val="none" w:sz="0" w:space="0" w:color="auto"/>
                        <w:right w:val="none" w:sz="0" w:space="0" w:color="auto"/>
                      </w:divBdr>
                      <w:divsChild>
                        <w:div w:id="1608082134">
                          <w:marLeft w:val="0"/>
                          <w:marRight w:val="0"/>
                          <w:marTop w:val="0"/>
                          <w:marBottom w:val="0"/>
                          <w:divBdr>
                            <w:top w:val="none" w:sz="0" w:space="0" w:color="auto"/>
                            <w:left w:val="none" w:sz="0" w:space="0" w:color="auto"/>
                            <w:bottom w:val="none" w:sz="0" w:space="0" w:color="auto"/>
                            <w:right w:val="none" w:sz="0" w:space="0" w:color="auto"/>
                          </w:divBdr>
                          <w:divsChild>
                            <w:div w:id="1881670663">
                              <w:marLeft w:val="0"/>
                              <w:marRight w:val="0"/>
                              <w:marTop w:val="48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7577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04350A-1F15-4DCD-ADB8-A7BCE648AD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50</Pages>
  <Words>116047</Words>
  <Characters>66147</Characters>
  <Application>Microsoft Office Word</Application>
  <DocSecurity>0</DocSecurity>
  <Lines>551</Lines>
  <Paragraphs>363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181831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Edgars Pastars</dc:creator>
  <cp:lastModifiedBy>MartinsG</cp:lastModifiedBy>
  <cp:revision>2</cp:revision>
  <cp:lastPrinted>2016-08-02T15:55:00Z</cp:lastPrinted>
  <dcterms:created xsi:type="dcterms:W3CDTF">2016-11-08T14:30:00Z</dcterms:created>
  <dcterms:modified xsi:type="dcterms:W3CDTF">2016-11-08T14:30:00Z</dcterms:modified>
</cp:coreProperties>
</file>