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9D17D" w14:textId="77777777" w:rsidR="003908DB" w:rsidRPr="00330635" w:rsidRDefault="003908DB" w:rsidP="00E56202">
      <w:pPr>
        <w:jc w:val="center"/>
        <w:rPr>
          <w:b/>
          <w:sz w:val="28"/>
          <w:szCs w:val="28"/>
        </w:rPr>
      </w:pPr>
      <w:r w:rsidRPr="00330635">
        <w:rPr>
          <w:b/>
          <w:sz w:val="28"/>
          <w:szCs w:val="28"/>
        </w:rPr>
        <w:t xml:space="preserve">Ministru kabineta </w:t>
      </w:r>
      <w:r w:rsidR="00330635" w:rsidRPr="00330635">
        <w:rPr>
          <w:b/>
          <w:sz w:val="28"/>
          <w:szCs w:val="28"/>
        </w:rPr>
        <w:t>noteikumu</w:t>
      </w:r>
      <w:r w:rsidRPr="00330635">
        <w:rPr>
          <w:b/>
          <w:sz w:val="28"/>
          <w:szCs w:val="28"/>
        </w:rPr>
        <w:t xml:space="preserve"> projekta</w:t>
      </w:r>
    </w:p>
    <w:p w14:paraId="608657D7" w14:textId="77777777" w:rsidR="003908DB" w:rsidRDefault="00867A46" w:rsidP="00E56202">
      <w:pPr>
        <w:spacing w:after="120"/>
        <w:jc w:val="center"/>
      </w:pPr>
      <w:r w:rsidRPr="00867A46">
        <w:rPr>
          <w:b/>
          <w:sz w:val="28"/>
          <w:szCs w:val="28"/>
        </w:rPr>
        <w:t>„Darbības programmas “Izaugsme un nodarbinātība” 5.3.1. specifiskā atbalsta mērķa “Attīstīt un uzlabot ūdensapgādes un kanalizācijas sistēmas pakalpojumu kvalitāti un nodrošināt pieslēgšanas iespējas” īstenošanas noteikumi”</w:t>
      </w:r>
      <w:r w:rsidRPr="006D2391">
        <w:t xml:space="preserve"> </w:t>
      </w:r>
      <w:r w:rsidR="003908DB" w:rsidRPr="00330635">
        <w:rPr>
          <w:b/>
          <w:sz w:val="28"/>
          <w:szCs w:val="28"/>
        </w:rPr>
        <w:t>sākotnējās ietekmes novērtējuma ziņojums (anotācija)</w:t>
      </w:r>
    </w:p>
    <w:tbl>
      <w:tblPr>
        <w:tblW w:w="96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1555"/>
        <w:gridCol w:w="7523"/>
      </w:tblGrid>
      <w:tr w:rsidR="00C61A59" w:rsidRPr="00155D30" w14:paraId="0BABF303" w14:textId="77777777" w:rsidTr="00F77CD7">
        <w:tc>
          <w:tcPr>
            <w:tcW w:w="962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E4AC1F" w14:textId="77777777" w:rsidR="00C61A59" w:rsidRPr="00155D30" w:rsidRDefault="00C61A59" w:rsidP="00E56202">
            <w:pPr>
              <w:pStyle w:val="ListParagraph"/>
              <w:tabs>
                <w:tab w:val="left" w:pos="2268"/>
                <w:tab w:val="left" w:pos="2410"/>
              </w:tabs>
              <w:ind w:left="1080"/>
              <w:jc w:val="center"/>
              <w:rPr>
                <w:b/>
                <w:sz w:val="24"/>
                <w:szCs w:val="24"/>
                <w:lang w:eastAsia="en-US"/>
              </w:rPr>
            </w:pPr>
            <w:r w:rsidRPr="00155D30">
              <w:rPr>
                <w:b/>
                <w:bCs/>
                <w:sz w:val="24"/>
                <w:szCs w:val="24"/>
              </w:rPr>
              <w:t>I. Tiesību akta projekta izstrādes nepieciešamība</w:t>
            </w:r>
          </w:p>
        </w:tc>
      </w:tr>
      <w:tr w:rsidR="00C61A59" w:rsidRPr="00155D30" w14:paraId="68778164" w14:textId="77777777" w:rsidTr="00F77CD7">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5E967415" w14:textId="77777777" w:rsidR="00C61A59" w:rsidRDefault="00C61A59" w:rsidP="00E56202">
            <w:pPr>
              <w:jc w:val="center"/>
              <w:rPr>
                <w:lang w:eastAsia="en-US"/>
              </w:rPr>
            </w:pPr>
            <w:r>
              <w:t>1.</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4CF03A19" w14:textId="77777777" w:rsidR="00C61A59" w:rsidRDefault="00C61A59" w:rsidP="00E56202">
            <w:pPr>
              <w:tabs>
                <w:tab w:val="left" w:pos="1904"/>
              </w:tabs>
              <w:rPr>
                <w:lang w:eastAsia="en-US"/>
              </w:rPr>
            </w:pPr>
            <w:r>
              <w:t>Pamatojums</w:t>
            </w:r>
          </w:p>
        </w:tc>
        <w:tc>
          <w:tcPr>
            <w:tcW w:w="7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19D36" w14:textId="77777777" w:rsidR="00867A46" w:rsidRPr="00867A46" w:rsidRDefault="006D2391" w:rsidP="00E56202">
            <w:pPr>
              <w:pStyle w:val="ListParagraph"/>
              <w:tabs>
                <w:tab w:val="left" w:pos="635"/>
              </w:tabs>
              <w:spacing w:before="60" w:after="60"/>
              <w:ind w:left="0"/>
              <w:contextualSpacing w:val="0"/>
              <w:jc w:val="both"/>
              <w:rPr>
                <w:iCs/>
                <w:sz w:val="24"/>
                <w:szCs w:val="24"/>
              </w:rPr>
            </w:pPr>
            <w:r w:rsidRPr="006D2391">
              <w:rPr>
                <w:sz w:val="24"/>
                <w:szCs w:val="24"/>
                <w:shd w:val="clear" w:color="auto" w:fill="FFFFFF"/>
              </w:rPr>
              <w:t xml:space="preserve">Ministru kabineta noteikumu projekts </w:t>
            </w:r>
            <w:r w:rsidRPr="00867A46">
              <w:rPr>
                <w:sz w:val="24"/>
                <w:szCs w:val="24"/>
                <w:shd w:val="clear" w:color="auto" w:fill="FFFFFF"/>
              </w:rPr>
              <w:t>„</w:t>
            </w:r>
            <w:r w:rsidR="00867A46" w:rsidRPr="00867A46">
              <w:rPr>
                <w:sz w:val="24"/>
                <w:szCs w:val="24"/>
                <w:shd w:val="clear" w:color="auto" w:fill="FFFFFF"/>
              </w:rPr>
              <w:t>Darbības programmas “Izaugsme un nodarbinātība” 5.3.1. specifiskā atbalsta mērķa “Attīstīt un uzlabot ūdensapgādes un kanalizācijas sistēmas pakalpojumu kvalitāti un nodrošināt pieslēgšanas iespējas” īstenošanas noteikumi</w:t>
            </w:r>
            <w:r w:rsidRPr="006D2391">
              <w:rPr>
                <w:sz w:val="24"/>
                <w:szCs w:val="24"/>
              </w:rPr>
              <w:t xml:space="preserve">” </w:t>
            </w:r>
            <w:r w:rsidRPr="00AD004C">
              <w:rPr>
                <w:sz w:val="24"/>
                <w:szCs w:val="24"/>
              </w:rPr>
              <w:t>(turpmāk – MK noteikumu projekts)</w:t>
            </w:r>
            <w:r w:rsidR="00867A46">
              <w:t xml:space="preserve"> ir</w:t>
            </w:r>
            <w:r w:rsidRPr="00AD004C">
              <w:rPr>
                <w:sz w:val="24"/>
                <w:szCs w:val="24"/>
              </w:rPr>
              <w:t xml:space="preserve"> </w:t>
            </w:r>
            <w:r w:rsidRPr="00AD004C">
              <w:rPr>
                <w:sz w:val="24"/>
                <w:szCs w:val="24"/>
                <w:shd w:val="clear" w:color="auto" w:fill="FFFFFF"/>
              </w:rPr>
              <w:t>izstrādāts</w:t>
            </w:r>
            <w:r w:rsidR="00867A46">
              <w:rPr>
                <w:sz w:val="24"/>
                <w:szCs w:val="24"/>
                <w:shd w:val="clear" w:color="auto" w:fill="FFFFFF"/>
              </w:rPr>
              <w:t xml:space="preserve"> atbilstoši:</w:t>
            </w:r>
          </w:p>
          <w:p w14:paraId="6E28E912" w14:textId="77777777" w:rsidR="00867A46" w:rsidRPr="00F911EC" w:rsidRDefault="00867A46" w:rsidP="00E56202">
            <w:pPr>
              <w:pStyle w:val="ListParagraph"/>
              <w:numPr>
                <w:ilvl w:val="0"/>
                <w:numId w:val="33"/>
              </w:numPr>
              <w:tabs>
                <w:tab w:val="left" w:pos="459"/>
              </w:tabs>
              <w:spacing w:before="60" w:after="60"/>
              <w:ind w:left="459" w:hanging="425"/>
              <w:contextualSpacing w:val="0"/>
              <w:jc w:val="both"/>
              <w:rPr>
                <w:iCs/>
                <w:sz w:val="24"/>
                <w:szCs w:val="24"/>
              </w:rPr>
            </w:pPr>
            <w:r w:rsidRPr="00F911EC">
              <w:rPr>
                <w:iCs/>
                <w:sz w:val="24"/>
                <w:szCs w:val="24"/>
              </w:rPr>
              <w:t>Eiropas Savienības struktūrfondu un Kohēzijas fonda 2014.-2020.gada plānošanas perioda vadības likuma 20.panta 13.punktam;</w:t>
            </w:r>
          </w:p>
          <w:p w14:paraId="32824A2E" w14:textId="77777777" w:rsidR="00867A46" w:rsidRPr="00F911EC" w:rsidRDefault="00867A46" w:rsidP="00E56202">
            <w:pPr>
              <w:pStyle w:val="ListParagraph"/>
              <w:numPr>
                <w:ilvl w:val="0"/>
                <w:numId w:val="33"/>
              </w:numPr>
              <w:tabs>
                <w:tab w:val="left" w:pos="459"/>
              </w:tabs>
              <w:spacing w:before="60" w:after="60"/>
              <w:ind w:left="459" w:hanging="425"/>
              <w:contextualSpacing w:val="0"/>
              <w:jc w:val="both"/>
              <w:rPr>
                <w:iCs/>
                <w:sz w:val="24"/>
                <w:szCs w:val="24"/>
              </w:rPr>
            </w:pPr>
            <w:r w:rsidRPr="00F911EC">
              <w:rPr>
                <w:iCs/>
                <w:sz w:val="24"/>
                <w:szCs w:val="24"/>
              </w:rPr>
              <w:t>Partnerības līgumam Eiropas Savienības investīciju fondu 2014.-2020.gada plānošanas periodam;</w:t>
            </w:r>
          </w:p>
          <w:p w14:paraId="4B649D41" w14:textId="77777777" w:rsidR="00867A46" w:rsidRDefault="00867A46" w:rsidP="00E56202">
            <w:pPr>
              <w:pStyle w:val="ListParagraph"/>
              <w:numPr>
                <w:ilvl w:val="0"/>
                <w:numId w:val="33"/>
              </w:numPr>
              <w:tabs>
                <w:tab w:val="left" w:pos="459"/>
              </w:tabs>
              <w:spacing w:before="60" w:after="60"/>
              <w:ind w:left="459" w:hanging="425"/>
              <w:contextualSpacing w:val="0"/>
              <w:jc w:val="both"/>
              <w:rPr>
                <w:iCs/>
                <w:sz w:val="24"/>
                <w:szCs w:val="24"/>
              </w:rPr>
            </w:pPr>
            <w:r w:rsidRPr="00F911EC">
              <w:rPr>
                <w:iCs/>
                <w:sz w:val="24"/>
                <w:szCs w:val="24"/>
              </w:rPr>
              <w:t xml:space="preserve">Eiropas Savienības struktūrfondu un Kohēzijas fonda 2014.-2020.gada plānošanas perioda darbības programmai „Izaugsme un nodarbinātība” (turpmāk – </w:t>
            </w:r>
            <w:r w:rsidR="007A27ED">
              <w:rPr>
                <w:iCs/>
                <w:sz w:val="24"/>
                <w:szCs w:val="24"/>
              </w:rPr>
              <w:t>D</w:t>
            </w:r>
            <w:r w:rsidRPr="00F911EC">
              <w:rPr>
                <w:iCs/>
                <w:sz w:val="24"/>
                <w:szCs w:val="24"/>
              </w:rPr>
              <w:t>arbības programma)</w:t>
            </w:r>
            <w:r>
              <w:rPr>
                <w:iCs/>
                <w:sz w:val="24"/>
                <w:szCs w:val="24"/>
              </w:rPr>
              <w:t>,</w:t>
            </w:r>
          </w:p>
          <w:p w14:paraId="6DF19895" w14:textId="77777777" w:rsidR="00C61A59" w:rsidRPr="00867A46" w:rsidRDefault="00867A46" w:rsidP="00F312F7">
            <w:pPr>
              <w:pStyle w:val="ListParagraph"/>
              <w:tabs>
                <w:tab w:val="left" w:pos="635"/>
              </w:tabs>
              <w:spacing w:before="60" w:after="60"/>
              <w:ind w:left="34"/>
              <w:contextualSpacing w:val="0"/>
              <w:jc w:val="both"/>
              <w:rPr>
                <w:iCs/>
                <w:sz w:val="24"/>
                <w:szCs w:val="24"/>
              </w:rPr>
            </w:pPr>
            <w:r>
              <w:rPr>
                <w:iCs/>
                <w:sz w:val="24"/>
                <w:szCs w:val="24"/>
              </w:rPr>
              <w:t xml:space="preserve">lai nodrošinātu Eiropas </w:t>
            </w:r>
            <w:r w:rsidR="00F312F7">
              <w:rPr>
                <w:iCs/>
                <w:sz w:val="24"/>
                <w:szCs w:val="24"/>
              </w:rPr>
              <w:t>S</w:t>
            </w:r>
            <w:r>
              <w:rPr>
                <w:iCs/>
                <w:sz w:val="24"/>
                <w:szCs w:val="24"/>
              </w:rPr>
              <w:t xml:space="preserve">avienības </w:t>
            </w:r>
            <w:r w:rsidR="007E40D8">
              <w:rPr>
                <w:iCs/>
                <w:sz w:val="24"/>
                <w:szCs w:val="24"/>
              </w:rPr>
              <w:t xml:space="preserve">(turpmāk – ES) </w:t>
            </w:r>
            <w:r>
              <w:rPr>
                <w:iCs/>
                <w:sz w:val="24"/>
                <w:szCs w:val="24"/>
              </w:rPr>
              <w:t>fondu 2014. -2020.gada plānošanas perioda projektu ieviešanu ūdenssaimniecības jomā.</w:t>
            </w:r>
          </w:p>
        </w:tc>
      </w:tr>
      <w:tr w:rsidR="00C61A59" w:rsidRPr="00155D30" w14:paraId="47E7E83D" w14:textId="77777777" w:rsidTr="00F77CD7">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4BABBD82" w14:textId="77777777" w:rsidR="00C61A59" w:rsidRDefault="00C61A59" w:rsidP="00E56202">
            <w:pPr>
              <w:jc w:val="center"/>
              <w:rPr>
                <w:lang w:eastAsia="en-US"/>
              </w:rPr>
            </w:pPr>
            <w:r>
              <w:t>2.</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1691F873" w14:textId="77777777" w:rsidR="00C61A59" w:rsidRDefault="00C61A59" w:rsidP="00E56202">
            <w:pPr>
              <w:rPr>
                <w:lang w:eastAsia="en-US"/>
              </w:rPr>
            </w:pPr>
            <w:r>
              <w:t>Pašreizējā situācija un problēmas, kuru risināšanai tiesību akta projekts izstrādāts, tiesiskā regulējuma mērķis un būtība</w:t>
            </w:r>
          </w:p>
        </w:tc>
        <w:tc>
          <w:tcPr>
            <w:tcW w:w="7523" w:type="dxa"/>
            <w:tcBorders>
              <w:top w:val="single" w:sz="4" w:space="0" w:color="auto"/>
              <w:left w:val="single" w:sz="4" w:space="0" w:color="auto"/>
              <w:bottom w:val="single" w:sz="4" w:space="0" w:color="auto"/>
              <w:right w:val="single" w:sz="4" w:space="0" w:color="auto"/>
            </w:tcBorders>
            <w:shd w:val="clear" w:color="auto" w:fill="FFFFFF"/>
            <w:hideMark/>
          </w:tcPr>
          <w:p w14:paraId="78F50D8B" w14:textId="77777777" w:rsidR="00867A46" w:rsidRDefault="00867A46" w:rsidP="00E56202">
            <w:pPr>
              <w:widowControl w:val="0"/>
              <w:tabs>
                <w:tab w:val="left" w:pos="501"/>
              </w:tabs>
              <w:autoSpaceDE w:val="0"/>
              <w:autoSpaceDN w:val="0"/>
              <w:adjustRightInd w:val="0"/>
              <w:spacing w:after="120"/>
              <w:contextualSpacing/>
              <w:jc w:val="both"/>
            </w:pPr>
            <w:r w:rsidRPr="00EC37A5">
              <w:t xml:space="preserve">Eiropas Komisija </w:t>
            </w:r>
            <w:r w:rsidR="007E40D8">
              <w:t xml:space="preserve">(turpmāk – EK) </w:t>
            </w:r>
            <w:r w:rsidRPr="00EC37A5">
              <w:t>2014.gada 11.novembrī apstiprināja Latvijas izstrādāto darbības programmu, kurā noteikts, ka</w:t>
            </w:r>
            <w:r w:rsidR="00556687">
              <w:t xml:space="preserve"> </w:t>
            </w:r>
            <w:r>
              <w:t>specifiskā atbalsta mērķa</w:t>
            </w:r>
            <w:r w:rsidRPr="00EC37A5">
              <w:t xml:space="preserve"> </w:t>
            </w:r>
            <w:r>
              <w:t>5.3.1. “</w:t>
            </w:r>
            <w:r w:rsidRPr="00867A46">
              <w:rPr>
                <w:shd w:val="clear" w:color="auto" w:fill="FFFFFF"/>
              </w:rPr>
              <w:t>Attīstīt un uzlabot ūdensapgādes un kanalizācijas sistēmas pakalpojumu kvalitāti un nodrošināt pieslēgšanas iespējas</w:t>
            </w:r>
            <w:r>
              <w:rPr>
                <w:shd w:val="clear" w:color="auto" w:fill="FFFFFF"/>
              </w:rPr>
              <w:t xml:space="preserve">” (turpmāk </w:t>
            </w:r>
            <w:r w:rsidR="00D479CC">
              <w:rPr>
                <w:shd w:val="clear" w:color="auto" w:fill="FFFFFF"/>
              </w:rPr>
              <w:t>–</w:t>
            </w:r>
            <w:r>
              <w:rPr>
                <w:shd w:val="clear" w:color="auto" w:fill="FFFFFF"/>
              </w:rPr>
              <w:t xml:space="preserve"> SAM 5.3.1.)</w:t>
            </w:r>
            <w:r w:rsidRPr="006056DD">
              <w:t xml:space="preserve"> </w:t>
            </w:r>
            <w:r>
              <w:t xml:space="preserve">ietvaros tiek </w:t>
            </w:r>
            <w:r w:rsidR="00556687">
              <w:t>atbalstīta ūdenssaimniecības sistēmu attīstība, lai virzītos</w:t>
            </w:r>
            <w:r w:rsidRPr="006056DD">
              <w:t xml:space="preserve"> </w:t>
            </w:r>
            <w:r w:rsidR="00D479CC">
              <w:t xml:space="preserve">uz </w:t>
            </w:r>
            <w:r w:rsidRPr="006056DD">
              <w:t xml:space="preserve">ES vides </w:t>
            </w:r>
            <w:proofErr w:type="spellStart"/>
            <w:r w:rsidRPr="00916654">
              <w:rPr>
                <w:i/>
              </w:rPr>
              <w:t>acquis</w:t>
            </w:r>
            <w:proofErr w:type="spellEnd"/>
            <w:r w:rsidRPr="006056DD">
              <w:t xml:space="preserve"> direktīvu prasību izpild</w:t>
            </w:r>
            <w:r w:rsidR="00556687">
              <w:t>i</w:t>
            </w:r>
            <w:r>
              <w:t xml:space="preserve"> ūdenssaimniecības jomā</w:t>
            </w:r>
            <w:r w:rsidR="00556687">
              <w:t>.</w:t>
            </w:r>
          </w:p>
          <w:p w14:paraId="6C158F6B" w14:textId="264F5308" w:rsidR="007E40D8" w:rsidRDefault="00556687" w:rsidP="00E56202">
            <w:pPr>
              <w:widowControl w:val="0"/>
              <w:tabs>
                <w:tab w:val="left" w:pos="501"/>
              </w:tabs>
              <w:autoSpaceDE w:val="0"/>
              <w:autoSpaceDN w:val="0"/>
              <w:adjustRightInd w:val="0"/>
              <w:spacing w:after="120"/>
              <w:contextualSpacing/>
              <w:jc w:val="both"/>
            </w:pPr>
            <w:r>
              <w:t>Latvija,</w:t>
            </w:r>
            <w:r w:rsidR="007E40D8">
              <w:t xml:space="preserve"> iestājoties ES</w:t>
            </w:r>
            <w:r>
              <w:t>,</w:t>
            </w:r>
            <w:r w:rsidRPr="00BA58C7">
              <w:t xml:space="preserve"> </w:t>
            </w:r>
            <w:r>
              <w:t>uzņēmās dažādas</w:t>
            </w:r>
            <w:r w:rsidRPr="00BA58C7">
              <w:t xml:space="preserve"> saistības, </w:t>
            </w:r>
            <w:r>
              <w:t>tostarp</w:t>
            </w:r>
            <w:r w:rsidRPr="00BA58C7">
              <w:t xml:space="preserve"> nodrošināt</w:t>
            </w:r>
            <w:r>
              <w:t xml:space="preserve"> </w:t>
            </w:r>
            <w:r w:rsidRPr="00582B34">
              <w:t xml:space="preserve">Padomes 1991.gada 21.maija Direktīvas </w:t>
            </w:r>
            <w:hyperlink r:id="rId11" w:tgtFrame="_blank" w:history="1">
              <w:r w:rsidRPr="00582B34">
                <w:t>91/271/EEK</w:t>
              </w:r>
            </w:hyperlink>
            <w:r w:rsidRPr="00582B34">
              <w:t xml:space="preserve"> </w:t>
            </w:r>
            <w:r w:rsidRPr="006D6FA8">
              <w:t>par komunālo notekūdeņu attīrīšanu</w:t>
            </w:r>
            <w:r w:rsidRPr="00582B34">
              <w:t xml:space="preserve"> (turpmāk – </w:t>
            </w:r>
            <w:r>
              <w:t xml:space="preserve">Direktīva 91/271/EEK), kas </w:t>
            </w:r>
            <w:r w:rsidRPr="00BA58C7">
              <w:t>pārņemta ar Ministru Kabineta 2002.</w:t>
            </w:r>
            <w:r>
              <w:t> </w:t>
            </w:r>
            <w:r w:rsidRPr="00BA58C7">
              <w:t>gada 22.</w:t>
            </w:r>
            <w:r>
              <w:t> </w:t>
            </w:r>
            <w:r w:rsidRPr="00BA58C7">
              <w:t>janvāra noteikumiem Nr.34 „Noteikumi par piesārņojošo vielu emisiju ūdenī”</w:t>
            </w:r>
            <w:r>
              <w:t>,</w:t>
            </w:r>
            <w:r w:rsidRPr="00BA58C7">
              <w:t xml:space="preserve"> prasību izpildi. </w:t>
            </w:r>
            <w:r>
              <w:t>D</w:t>
            </w:r>
            <w:r w:rsidRPr="004F4875">
              <w:t xml:space="preserve">irektīvas </w:t>
            </w:r>
            <w:r w:rsidRPr="00BA58C7">
              <w:t>91/271/EEK</w:t>
            </w:r>
            <w:r w:rsidRPr="004F4875">
              <w:t xml:space="preserve"> prasības attiec</w:t>
            </w:r>
            <w:r>
              <w:t>ināmas</w:t>
            </w:r>
            <w:r w:rsidRPr="004F4875">
              <w:t xml:space="preserve"> uz visām apdzīvotajām vietām, </w:t>
            </w:r>
            <w:r>
              <w:t xml:space="preserve">kurās ir izveidotas un ir </w:t>
            </w:r>
            <w:r w:rsidR="006D6FA8">
              <w:t xml:space="preserve">tehniski un ekonomiski </w:t>
            </w:r>
            <w:r w:rsidRPr="006D6FA8">
              <w:t>pamatoti</w:t>
            </w:r>
            <w:r>
              <w:t xml:space="preserve"> izveidot</w:t>
            </w:r>
            <w:r w:rsidRPr="004F4875">
              <w:t xml:space="preserve"> centralizētas kanalizācijas sistēm</w:t>
            </w:r>
            <w:r>
              <w:t>a</w:t>
            </w:r>
            <w:r w:rsidRPr="004F4875">
              <w:t>s</w:t>
            </w:r>
            <w:r>
              <w:t xml:space="preserve"> </w:t>
            </w:r>
            <w:r w:rsidRPr="004F4875">
              <w:t>komunāl</w:t>
            </w:r>
            <w:r>
              <w:t>o</w:t>
            </w:r>
            <w:r w:rsidRPr="004F4875">
              <w:t xml:space="preserve"> notekūdeņi </w:t>
            </w:r>
            <w:r>
              <w:t>savākšanai</w:t>
            </w:r>
            <w:r w:rsidRPr="004F4875">
              <w:t xml:space="preserve">. Atbilstoši </w:t>
            </w:r>
            <w:r>
              <w:t>D</w:t>
            </w:r>
            <w:r w:rsidRPr="004F4875">
              <w:t>irektīvas prasībām, apdzīvotās vietās</w:t>
            </w:r>
            <w:r w:rsidR="001F552F">
              <w:t xml:space="preserve"> ar</w:t>
            </w:r>
            <w:r w:rsidRPr="004F4875">
              <w:t xml:space="preserve"> cilvēku ekvivalent</w:t>
            </w:r>
            <w:r w:rsidR="001F552F">
              <w:t>u</w:t>
            </w:r>
            <w:r w:rsidRPr="00556687">
              <w:rPr>
                <w:vertAlign w:val="superscript"/>
              </w:rPr>
              <w:footnoteReference w:id="2"/>
            </w:r>
            <w:r w:rsidRPr="004F4875">
              <w:t xml:space="preserve"> </w:t>
            </w:r>
            <w:r w:rsidR="00916654">
              <w:t xml:space="preserve">(turpmāk </w:t>
            </w:r>
            <w:r w:rsidR="00F312F7">
              <w:t>–</w:t>
            </w:r>
            <w:r w:rsidR="00916654">
              <w:t xml:space="preserve"> CE) </w:t>
            </w:r>
            <w:r w:rsidRPr="004F4875">
              <w:t>no 2</w:t>
            </w:r>
            <w:r w:rsidR="00F204E1">
              <w:t xml:space="preserve"> </w:t>
            </w:r>
            <w:r w:rsidRPr="004F4875">
              <w:t>000 līdz 10</w:t>
            </w:r>
            <w:r>
              <w:t xml:space="preserve"> </w:t>
            </w:r>
            <w:r w:rsidRPr="004F4875">
              <w:t>000, visiem centralizētajās kanalizācijas sistēmās savāktajiem</w:t>
            </w:r>
            <w:r>
              <w:t xml:space="preserve"> un novadītajiem</w:t>
            </w:r>
            <w:r w:rsidRPr="004F4875">
              <w:t xml:space="preserve"> notekūdeņiem </w:t>
            </w:r>
            <w:r>
              <w:t>jā</w:t>
            </w:r>
            <w:r w:rsidRPr="004F4875">
              <w:t>veic otrēj</w:t>
            </w:r>
            <w:r>
              <w:t>ā</w:t>
            </w:r>
            <w:r w:rsidRPr="004F4875">
              <w:t xml:space="preserve"> (bioloģisk</w:t>
            </w:r>
            <w:r>
              <w:t>ā</w:t>
            </w:r>
            <w:r w:rsidRPr="004F4875">
              <w:t>) attīrīšan</w:t>
            </w:r>
            <w:r>
              <w:t>a</w:t>
            </w:r>
            <w:r w:rsidRPr="004F4875">
              <w:t>, bet apdzīvotā</w:t>
            </w:r>
            <w:r>
              <w:t>s</w:t>
            </w:r>
            <w:r w:rsidRPr="004F4875">
              <w:t xml:space="preserve"> vietā</w:t>
            </w:r>
            <w:r>
              <w:t>s</w:t>
            </w:r>
            <w:r w:rsidR="000D6A74">
              <w:t xml:space="preserve"> ar</w:t>
            </w:r>
            <w:r w:rsidRPr="004F4875">
              <w:t xml:space="preserve"> </w:t>
            </w:r>
            <w:r w:rsidR="000D6A74">
              <w:t>CE</w:t>
            </w:r>
            <w:r w:rsidRPr="004F4875">
              <w:t xml:space="preserve"> lielāk</w:t>
            </w:r>
            <w:r w:rsidR="000D6A74">
              <w:t>u</w:t>
            </w:r>
            <w:r w:rsidRPr="004F4875">
              <w:t xml:space="preserve"> par 10</w:t>
            </w:r>
            <w:r>
              <w:t xml:space="preserve"> </w:t>
            </w:r>
            <w:r w:rsidRPr="004F4875">
              <w:t xml:space="preserve">000, </w:t>
            </w:r>
            <w:r w:rsidR="000C38DC">
              <w:t>prasības notekūdeņu attīrīšanai ir stingrākas</w:t>
            </w:r>
            <w:r w:rsidR="00EA1786">
              <w:t xml:space="preserve">, tāpēc </w:t>
            </w:r>
            <w:r>
              <w:t>jāveic</w:t>
            </w:r>
            <w:r w:rsidRPr="004F4875">
              <w:t xml:space="preserve"> </w:t>
            </w:r>
            <w:r>
              <w:t>papildus pasākumi</w:t>
            </w:r>
            <w:r w:rsidRPr="004F4875">
              <w:t xml:space="preserve"> slāpekļa un fosfora attīrīšan</w:t>
            </w:r>
            <w:r>
              <w:t>ai jeb jānodrošina trešējā (terciārā) notekūdeņu attīrīšana</w:t>
            </w:r>
            <w:r w:rsidRPr="004F4875">
              <w:t>.</w:t>
            </w:r>
            <w:r w:rsidR="00B73438">
              <w:t xml:space="preserve"> </w:t>
            </w:r>
          </w:p>
          <w:p w14:paraId="122BFAE1" w14:textId="77777777" w:rsidR="00B73438" w:rsidRDefault="00B73438" w:rsidP="00F312F7">
            <w:pPr>
              <w:widowControl w:val="0"/>
              <w:tabs>
                <w:tab w:val="left" w:pos="501"/>
              </w:tabs>
              <w:autoSpaceDE w:val="0"/>
              <w:autoSpaceDN w:val="0"/>
              <w:adjustRightInd w:val="0"/>
              <w:spacing w:after="120"/>
              <w:contextualSpacing/>
              <w:jc w:val="both"/>
            </w:pPr>
            <w:r>
              <w:t xml:space="preserve">Direktīvas </w:t>
            </w:r>
            <w:r w:rsidRPr="00BA58C7">
              <w:t>91/271/EEK</w:t>
            </w:r>
            <w:r>
              <w:t xml:space="preserve"> prasību pārņemšanas termiņi ir atkarīgi no aglomerācijas lieluma (sk. 1.tabulu).</w:t>
            </w:r>
          </w:p>
          <w:p w14:paraId="3C4438B8" w14:textId="77777777" w:rsidR="00B73438" w:rsidRPr="00B73438" w:rsidRDefault="00B73438" w:rsidP="00E56202">
            <w:pPr>
              <w:widowControl w:val="0"/>
              <w:tabs>
                <w:tab w:val="left" w:pos="501"/>
              </w:tabs>
              <w:autoSpaceDE w:val="0"/>
              <w:autoSpaceDN w:val="0"/>
              <w:adjustRightInd w:val="0"/>
              <w:spacing w:after="120"/>
              <w:ind w:firstLine="317"/>
              <w:contextualSpacing/>
              <w:jc w:val="center"/>
            </w:pPr>
            <w:r w:rsidRPr="00B73438">
              <w:rPr>
                <w:b/>
              </w:rPr>
              <w:lastRenderedPageBreak/>
              <w:t>1.tabula.</w:t>
            </w:r>
            <w:r w:rsidRPr="00B73438">
              <w:t xml:space="preserve"> Direktīvas 91/271/EEK prasību ieviešanas termiņi</w:t>
            </w:r>
          </w:p>
          <w:tbl>
            <w:tblPr>
              <w:tblW w:w="7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506"/>
              <w:gridCol w:w="4798"/>
            </w:tblGrid>
            <w:tr w:rsidR="008E1D72" w:rsidRPr="00B73438" w14:paraId="15C79983" w14:textId="77777777" w:rsidTr="008E1D72">
              <w:trPr>
                <w:trHeight w:val="59"/>
              </w:trPr>
              <w:tc>
                <w:tcPr>
                  <w:tcW w:w="2506" w:type="dxa"/>
                  <w:shd w:val="clear" w:color="auto" w:fill="auto"/>
                  <w:tcMar>
                    <w:top w:w="72" w:type="dxa"/>
                    <w:left w:w="144" w:type="dxa"/>
                    <w:bottom w:w="72" w:type="dxa"/>
                    <w:right w:w="144" w:type="dxa"/>
                  </w:tcMar>
                </w:tcPr>
                <w:p w14:paraId="2040C06A" w14:textId="77777777" w:rsidR="00B73438" w:rsidRPr="00B73438" w:rsidRDefault="00B73438" w:rsidP="00E56202">
                  <w:pPr>
                    <w:widowControl w:val="0"/>
                    <w:tabs>
                      <w:tab w:val="left" w:pos="501"/>
                    </w:tabs>
                    <w:autoSpaceDE w:val="0"/>
                    <w:autoSpaceDN w:val="0"/>
                    <w:adjustRightInd w:val="0"/>
                    <w:ind w:firstLine="318"/>
                    <w:jc w:val="center"/>
                    <w:rPr>
                      <w:b/>
                    </w:rPr>
                  </w:pPr>
                  <w:r w:rsidRPr="00B73438">
                    <w:rPr>
                      <w:b/>
                    </w:rPr>
                    <w:t>Ieviešanas gads</w:t>
                  </w:r>
                </w:p>
              </w:tc>
              <w:tc>
                <w:tcPr>
                  <w:tcW w:w="4798" w:type="dxa"/>
                  <w:shd w:val="clear" w:color="auto" w:fill="auto"/>
                  <w:tcMar>
                    <w:top w:w="72" w:type="dxa"/>
                    <w:left w:w="144" w:type="dxa"/>
                    <w:bottom w:w="72" w:type="dxa"/>
                    <w:right w:w="144" w:type="dxa"/>
                  </w:tcMar>
                </w:tcPr>
                <w:p w14:paraId="6F22669D" w14:textId="77777777" w:rsidR="00B73438" w:rsidRPr="00B73438" w:rsidRDefault="00B73438" w:rsidP="00E56202">
                  <w:pPr>
                    <w:widowControl w:val="0"/>
                    <w:tabs>
                      <w:tab w:val="left" w:pos="501"/>
                    </w:tabs>
                    <w:autoSpaceDE w:val="0"/>
                    <w:autoSpaceDN w:val="0"/>
                    <w:adjustRightInd w:val="0"/>
                    <w:ind w:firstLine="318"/>
                    <w:jc w:val="center"/>
                    <w:rPr>
                      <w:b/>
                    </w:rPr>
                  </w:pPr>
                  <w:r w:rsidRPr="00B73438">
                    <w:rPr>
                      <w:b/>
                    </w:rPr>
                    <w:t>Aglomerāciju grupa</w:t>
                  </w:r>
                </w:p>
              </w:tc>
            </w:tr>
            <w:tr w:rsidR="00B73438" w:rsidRPr="00B73438" w14:paraId="48EFA959" w14:textId="77777777" w:rsidTr="008E1D72">
              <w:trPr>
                <w:trHeight w:val="59"/>
              </w:trPr>
              <w:tc>
                <w:tcPr>
                  <w:tcW w:w="2506" w:type="dxa"/>
                  <w:shd w:val="clear" w:color="auto" w:fill="auto"/>
                  <w:tcMar>
                    <w:top w:w="72" w:type="dxa"/>
                    <w:left w:w="144" w:type="dxa"/>
                    <w:bottom w:w="72" w:type="dxa"/>
                    <w:right w:w="144" w:type="dxa"/>
                  </w:tcMar>
                </w:tcPr>
                <w:p w14:paraId="2558EF76" w14:textId="77777777" w:rsidR="00B73438" w:rsidRPr="00B73438" w:rsidRDefault="00B73438" w:rsidP="00E56202">
                  <w:pPr>
                    <w:widowControl w:val="0"/>
                    <w:tabs>
                      <w:tab w:val="left" w:pos="501"/>
                    </w:tabs>
                    <w:autoSpaceDE w:val="0"/>
                    <w:autoSpaceDN w:val="0"/>
                    <w:adjustRightInd w:val="0"/>
                    <w:ind w:firstLine="318"/>
                    <w:jc w:val="both"/>
                  </w:pPr>
                  <w:r>
                    <w:t>2015.gads</w:t>
                  </w:r>
                </w:p>
              </w:tc>
              <w:tc>
                <w:tcPr>
                  <w:tcW w:w="4798" w:type="dxa"/>
                  <w:shd w:val="clear" w:color="auto" w:fill="auto"/>
                  <w:tcMar>
                    <w:top w:w="72" w:type="dxa"/>
                    <w:left w:w="144" w:type="dxa"/>
                    <w:bottom w:w="72" w:type="dxa"/>
                    <w:right w:w="144" w:type="dxa"/>
                  </w:tcMar>
                </w:tcPr>
                <w:p w14:paraId="5FE75689" w14:textId="77777777" w:rsidR="00B73438" w:rsidRPr="00B73438" w:rsidRDefault="00B73438" w:rsidP="00E56202">
                  <w:pPr>
                    <w:widowControl w:val="0"/>
                    <w:tabs>
                      <w:tab w:val="left" w:pos="501"/>
                    </w:tabs>
                    <w:autoSpaceDE w:val="0"/>
                    <w:autoSpaceDN w:val="0"/>
                    <w:adjustRightInd w:val="0"/>
                    <w:ind w:firstLine="318"/>
                    <w:jc w:val="both"/>
                  </w:pPr>
                  <w:r w:rsidRPr="00B73438">
                    <w:t>Aglomerācijas ar CE 2</w:t>
                  </w:r>
                  <w:r w:rsidR="00F204E1">
                    <w:t xml:space="preserve"> 000 </w:t>
                  </w:r>
                  <w:r w:rsidR="00EA1786">
                    <w:t>–</w:t>
                  </w:r>
                  <w:r w:rsidRPr="00B73438">
                    <w:t xml:space="preserve"> 10 </w:t>
                  </w:r>
                  <w:r w:rsidR="00F204E1">
                    <w:t>000</w:t>
                  </w:r>
                  <w:r w:rsidRPr="00B73438">
                    <w:t xml:space="preserve"> </w:t>
                  </w:r>
                </w:p>
              </w:tc>
            </w:tr>
            <w:tr w:rsidR="00B73438" w:rsidRPr="00B73438" w14:paraId="01E1F403" w14:textId="77777777" w:rsidTr="008E1D72">
              <w:trPr>
                <w:trHeight w:val="30"/>
              </w:trPr>
              <w:tc>
                <w:tcPr>
                  <w:tcW w:w="2506" w:type="dxa"/>
                  <w:shd w:val="clear" w:color="auto" w:fill="auto"/>
                  <w:tcMar>
                    <w:top w:w="72" w:type="dxa"/>
                    <w:left w:w="144" w:type="dxa"/>
                    <w:bottom w:w="72" w:type="dxa"/>
                    <w:right w:w="144" w:type="dxa"/>
                  </w:tcMar>
                  <w:hideMark/>
                </w:tcPr>
                <w:p w14:paraId="2D40A488" w14:textId="77777777" w:rsidR="00B73438" w:rsidRPr="00B73438" w:rsidRDefault="00B73438" w:rsidP="00E56202">
                  <w:pPr>
                    <w:widowControl w:val="0"/>
                    <w:tabs>
                      <w:tab w:val="left" w:pos="501"/>
                    </w:tabs>
                    <w:autoSpaceDE w:val="0"/>
                    <w:autoSpaceDN w:val="0"/>
                    <w:adjustRightInd w:val="0"/>
                    <w:ind w:firstLine="318"/>
                    <w:jc w:val="both"/>
                  </w:pPr>
                  <w:r>
                    <w:t>2011.gads</w:t>
                  </w:r>
                </w:p>
              </w:tc>
              <w:tc>
                <w:tcPr>
                  <w:tcW w:w="4798" w:type="dxa"/>
                  <w:shd w:val="clear" w:color="auto" w:fill="auto"/>
                  <w:tcMar>
                    <w:top w:w="72" w:type="dxa"/>
                    <w:left w:w="144" w:type="dxa"/>
                    <w:bottom w:w="72" w:type="dxa"/>
                    <w:right w:w="144" w:type="dxa"/>
                  </w:tcMar>
                  <w:hideMark/>
                </w:tcPr>
                <w:p w14:paraId="23F4D025" w14:textId="77777777" w:rsidR="00B73438" w:rsidRPr="00B73438" w:rsidRDefault="00B73438" w:rsidP="00E56202">
                  <w:pPr>
                    <w:widowControl w:val="0"/>
                    <w:tabs>
                      <w:tab w:val="left" w:pos="501"/>
                    </w:tabs>
                    <w:autoSpaceDE w:val="0"/>
                    <w:autoSpaceDN w:val="0"/>
                    <w:adjustRightInd w:val="0"/>
                    <w:ind w:firstLine="318"/>
                    <w:jc w:val="both"/>
                  </w:pPr>
                  <w:r w:rsidRPr="00B73438">
                    <w:t>Aglomerācijas ar CE 10</w:t>
                  </w:r>
                  <w:r w:rsidR="00F204E1">
                    <w:t xml:space="preserve"> 000 </w:t>
                  </w:r>
                  <w:r w:rsidRPr="00B73438">
                    <w:t xml:space="preserve">– 100 </w:t>
                  </w:r>
                  <w:r w:rsidR="00F204E1">
                    <w:t>000</w:t>
                  </w:r>
                </w:p>
              </w:tc>
            </w:tr>
            <w:tr w:rsidR="008E1D72" w:rsidRPr="00B73438" w14:paraId="397E0990" w14:textId="77777777" w:rsidTr="008E1D72">
              <w:trPr>
                <w:trHeight w:val="76"/>
              </w:trPr>
              <w:tc>
                <w:tcPr>
                  <w:tcW w:w="2506" w:type="dxa"/>
                  <w:shd w:val="clear" w:color="auto" w:fill="auto"/>
                  <w:tcMar>
                    <w:top w:w="72" w:type="dxa"/>
                    <w:left w:w="144" w:type="dxa"/>
                    <w:bottom w:w="72" w:type="dxa"/>
                    <w:right w:w="144" w:type="dxa"/>
                  </w:tcMar>
                  <w:hideMark/>
                </w:tcPr>
                <w:p w14:paraId="545ABF07" w14:textId="77777777" w:rsidR="00B73438" w:rsidRPr="00B73438" w:rsidRDefault="00B73438" w:rsidP="00E56202">
                  <w:pPr>
                    <w:widowControl w:val="0"/>
                    <w:tabs>
                      <w:tab w:val="left" w:pos="501"/>
                    </w:tabs>
                    <w:autoSpaceDE w:val="0"/>
                    <w:autoSpaceDN w:val="0"/>
                    <w:adjustRightInd w:val="0"/>
                    <w:ind w:firstLine="318"/>
                    <w:jc w:val="both"/>
                  </w:pPr>
                  <w:r>
                    <w:t>2008.gads</w:t>
                  </w:r>
                </w:p>
              </w:tc>
              <w:tc>
                <w:tcPr>
                  <w:tcW w:w="4798" w:type="dxa"/>
                  <w:shd w:val="clear" w:color="auto" w:fill="auto"/>
                  <w:tcMar>
                    <w:top w:w="72" w:type="dxa"/>
                    <w:left w:w="144" w:type="dxa"/>
                    <w:bottom w:w="72" w:type="dxa"/>
                    <w:right w:w="144" w:type="dxa"/>
                  </w:tcMar>
                  <w:hideMark/>
                </w:tcPr>
                <w:p w14:paraId="385F4244" w14:textId="77777777" w:rsidR="00B73438" w:rsidRPr="00B73438" w:rsidRDefault="00B73438" w:rsidP="00E56202">
                  <w:pPr>
                    <w:widowControl w:val="0"/>
                    <w:tabs>
                      <w:tab w:val="left" w:pos="501"/>
                    </w:tabs>
                    <w:autoSpaceDE w:val="0"/>
                    <w:autoSpaceDN w:val="0"/>
                    <w:adjustRightInd w:val="0"/>
                    <w:ind w:firstLine="318"/>
                    <w:jc w:val="both"/>
                  </w:pPr>
                  <w:r>
                    <w:t>Aglomerācijas ar CE virs</w:t>
                  </w:r>
                  <w:r w:rsidRPr="00B73438">
                    <w:t xml:space="preserve"> 100 </w:t>
                  </w:r>
                  <w:r w:rsidR="00F204E1">
                    <w:t>000</w:t>
                  </w:r>
                </w:p>
              </w:tc>
            </w:tr>
          </w:tbl>
          <w:p w14:paraId="3935230B" w14:textId="77777777" w:rsidR="001F552F" w:rsidRDefault="001F552F" w:rsidP="00E56202">
            <w:pPr>
              <w:widowControl w:val="0"/>
              <w:tabs>
                <w:tab w:val="left" w:pos="501"/>
              </w:tabs>
              <w:autoSpaceDE w:val="0"/>
              <w:autoSpaceDN w:val="0"/>
              <w:adjustRightInd w:val="0"/>
              <w:spacing w:before="120" w:after="120"/>
              <w:contextualSpacing/>
              <w:jc w:val="both"/>
            </w:pPr>
          </w:p>
          <w:p w14:paraId="3341B181" w14:textId="328B1DFB" w:rsidR="00B73438" w:rsidRDefault="00B73438" w:rsidP="00E56202">
            <w:pPr>
              <w:widowControl w:val="0"/>
              <w:tabs>
                <w:tab w:val="left" w:pos="501"/>
              </w:tabs>
              <w:autoSpaceDE w:val="0"/>
              <w:autoSpaceDN w:val="0"/>
              <w:adjustRightInd w:val="0"/>
              <w:spacing w:before="120" w:after="120"/>
              <w:contextualSpacing/>
              <w:jc w:val="both"/>
            </w:pPr>
            <w:r>
              <w:t>D</w:t>
            </w:r>
            <w:r w:rsidRPr="004F4875">
              <w:t xml:space="preserve">irektīvas </w:t>
            </w:r>
            <w:r w:rsidRPr="00BA58C7">
              <w:t>91/271/EEK</w:t>
            </w:r>
            <w:r>
              <w:t xml:space="preserve"> </w:t>
            </w:r>
            <w:r w:rsidR="00E87C59">
              <w:t xml:space="preserve">15.panta un 17.panta ziņojumā </w:t>
            </w:r>
            <w:r w:rsidR="00EA1786">
              <w:t xml:space="preserve">Eiropas Komisijai </w:t>
            </w:r>
            <w:r w:rsidR="00E87C59">
              <w:t xml:space="preserve">ir sniegta informācija par Direktīvas 91/271/EEK </w:t>
            </w:r>
            <w:r>
              <w:t>prasību izpildi aglomerācij</w:t>
            </w:r>
            <w:r w:rsidR="00D61222">
              <w:t>ā</w:t>
            </w:r>
            <w:r>
              <w:t>s ar CE virs</w:t>
            </w:r>
            <w:r w:rsidRPr="00B73438">
              <w:t xml:space="preserve"> 100</w:t>
            </w:r>
            <w:r w:rsidR="00D0471E">
              <w:t> </w:t>
            </w:r>
            <w:r w:rsidR="00F204E1">
              <w:t>000</w:t>
            </w:r>
            <w:r w:rsidR="00D0471E">
              <w:t xml:space="preserve"> (2012.gada aglomerāciju robežās)</w:t>
            </w:r>
            <w:r>
              <w:t xml:space="preserve">. </w:t>
            </w:r>
          </w:p>
          <w:p w14:paraId="7A4373AF" w14:textId="18F287F0" w:rsidR="00556687" w:rsidRDefault="00D45F84" w:rsidP="00E56202">
            <w:pPr>
              <w:widowControl w:val="0"/>
              <w:tabs>
                <w:tab w:val="left" w:pos="501"/>
              </w:tabs>
              <w:autoSpaceDE w:val="0"/>
              <w:autoSpaceDN w:val="0"/>
              <w:adjustRightInd w:val="0"/>
              <w:spacing w:after="120"/>
              <w:contextualSpacing/>
              <w:jc w:val="both"/>
            </w:pPr>
            <w:r>
              <w:t>Investīcijas ūdenssaimniecību sistēmu attīstībai ir uzsāktas ja</w:t>
            </w:r>
            <w:r w:rsidR="009B09C8">
              <w:t>u 1999.gadā ar</w:t>
            </w:r>
            <w:r w:rsidR="00A67409">
              <w:t xml:space="preserve"> </w:t>
            </w:r>
            <w:r w:rsidR="00A67409" w:rsidRPr="00A67409">
              <w:t>ES strukturālās politikas pirmsiestāšanās finan</w:t>
            </w:r>
            <w:r w:rsidR="00A67409">
              <w:t>š</w:t>
            </w:r>
            <w:r w:rsidR="00A67409" w:rsidRPr="00A67409">
              <w:t>u instrument</w:t>
            </w:r>
            <w:r w:rsidR="00A67409">
              <w:t>a</w:t>
            </w:r>
            <w:r w:rsidR="009B09C8">
              <w:t xml:space="preserve"> ISPA finansējumu un turpinātas gan ES fondu 2004.-2006.gada plānošanas periodā</w:t>
            </w:r>
            <w:r w:rsidR="00D0471E">
              <w:t>, gan</w:t>
            </w:r>
            <w:r w:rsidR="009B09C8">
              <w:t xml:space="preserve"> 2007.-2013.gada plānošanas periodā.</w:t>
            </w:r>
            <w:r w:rsidR="00661A9B">
              <w:t xml:space="preserve"> Kopā ieguldītais finansējuma apjoms ūdenssaimniecību attīstībā Latvijā aglomerācijās ar CE virs 2</w:t>
            </w:r>
            <w:r w:rsidR="003267C7">
              <w:t> </w:t>
            </w:r>
            <w:r w:rsidR="00661A9B">
              <w:t xml:space="preserve">000 pārsniedz 848 miljonus </w:t>
            </w:r>
            <w:proofErr w:type="spellStart"/>
            <w:r w:rsidR="00661A9B" w:rsidRPr="00661A9B">
              <w:rPr>
                <w:i/>
              </w:rPr>
              <w:t>euro</w:t>
            </w:r>
            <w:proofErr w:type="spellEnd"/>
            <w:r w:rsidR="00661A9B">
              <w:t xml:space="preserve">. </w:t>
            </w:r>
            <w:r w:rsidR="007E025D">
              <w:t xml:space="preserve">ES </w:t>
            </w:r>
            <w:r w:rsidR="002073D4">
              <w:t xml:space="preserve">fondu </w:t>
            </w:r>
            <w:r w:rsidR="00556687">
              <w:t>2007.</w:t>
            </w:r>
            <w:r w:rsidR="009B09C8">
              <w:t>-2013.</w:t>
            </w:r>
            <w:r w:rsidR="00556687">
              <w:t xml:space="preserve">gada plānošanas periodā kā prioritāte ūdenssaimniecības pakalpojumu jomā tika </w:t>
            </w:r>
            <w:r w:rsidR="00916654">
              <w:t xml:space="preserve">noteikta </w:t>
            </w:r>
            <w:r w:rsidR="00556687">
              <w:t>atbilstošas notekūdeņu attīrīšanas un dzeramā ūdens kvalitātes nodrošināšana, t.i., notekūdeņu attīrīšanas iekārtu un dzeramā ūdens sagatavošanas iekārtu</w:t>
            </w:r>
            <w:r w:rsidR="00556687" w:rsidRPr="006E75F1">
              <w:t xml:space="preserve"> </w:t>
            </w:r>
            <w:r w:rsidR="00556687">
              <w:t>izbūve un rekonstrukcija, kā arī pakalpojumu pieejamības (pārklājuma) nodrošināšana, paredzot pakāpenisku pakalpojumu faktisko izmantotāju (pieslēguma) skaita pieaugumu.</w:t>
            </w:r>
            <w:r>
              <w:t xml:space="preserve"> </w:t>
            </w:r>
          </w:p>
          <w:p w14:paraId="08B9E7E7" w14:textId="7EE932B2" w:rsidR="00B73438" w:rsidRDefault="00D45F84" w:rsidP="00E56202">
            <w:pPr>
              <w:spacing w:after="120"/>
              <w:jc w:val="both"/>
            </w:pPr>
            <w:r w:rsidRPr="002D7D3A">
              <w:t>Neskatoties uz ieguldīto apjomīgo darbu notekūde</w:t>
            </w:r>
            <w:r>
              <w:t>ņu</w:t>
            </w:r>
            <w:r w:rsidRPr="002D7D3A">
              <w:t xml:space="preserve"> sistēmu sakārtošanā aglomerācijās ar CE</w:t>
            </w:r>
            <w:r w:rsidR="00821FC5">
              <w:t xml:space="preserve"> virs </w:t>
            </w:r>
            <w:r>
              <w:t>2</w:t>
            </w:r>
            <w:r w:rsidR="00136592">
              <w:t> </w:t>
            </w:r>
            <w:r>
              <w:t>000,</w:t>
            </w:r>
            <w:r w:rsidRPr="002D7D3A">
              <w:t xml:space="preserve"> </w:t>
            </w:r>
            <w:r w:rsidR="00821FC5">
              <w:t>lielākajā daļā ūdenssaimniecības</w:t>
            </w:r>
            <w:r>
              <w:t xml:space="preserve"> aglomerācij</w:t>
            </w:r>
            <w:r w:rsidR="00821FC5">
              <w:t>u</w:t>
            </w:r>
            <w:r>
              <w:t xml:space="preserve"> </w:t>
            </w:r>
            <w:r w:rsidRPr="002D7D3A">
              <w:t xml:space="preserve">ir nepieciešams turpināt uzsāktās darbības arī </w:t>
            </w:r>
            <w:r w:rsidR="007E025D">
              <w:t xml:space="preserve">ES fondu </w:t>
            </w:r>
            <w:r>
              <w:t>2014.–2020.gada</w:t>
            </w:r>
            <w:r w:rsidR="00821FC5">
              <w:t xml:space="preserve"> </w:t>
            </w:r>
            <w:r w:rsidRPr="002D7D3A">
              <w:t>plānošanas period</w:t>
            </w:r>
            <w:r>
              <w:t xml:space="preserve">ā, lai izbūvētu </w:t>
            </w:r>
            <w:r w:rsidRPr="00481FC8">
              <w:t>centralizētus</w:t>
            </w:r>
            <w:r w:rsidR="00B73438" w:rsidRPr="00481FC8">
              <w:t xml:space="preserve"> </w:t>
            </w:r>
            <w:r w:rsidR="00331CD4" w:rsidRPr="00481FC8">
              <w:t>kanalizācijas</w:t>
            </w:r>
            <w:r w:rsidRPr="00481FC8">
              <w:t xml:space="preserve"> tīklus</w:t>
            </w:r>
            <w:r w:rsidRPr="00A201B6">
              <w:t xml:space="preserve"> teritorijās, kur tas ir tehniski un ekonomiski pamatoti</w:t>
            </w:r>
            <w:r w:rsidR="007E025D">
              <w:t>, kā arī</w:t>
            </w:r>
            <w:r w:rsidRPr="00A201B6">
              <w:t xml:space="preserve"> finansiāli iesp</w:t>
            </w:r>
            <w:r w:rsidRPr="00DA143F">
              <w:t>ējams</w:t>
            </w:r>
            <w:r w:rsidR="00821FC5" w:rsidRPr="00DA143F">
              <w:t>, lai veicinātu virzību uz Direktīvas 91/271</w:t>
            </w:r>
            <w:r w:rsidR="00821FC5" w:rsidRPr="002D7D3A">
              <w:t>/EE</w:t>
            </w:r>
            <w:r w:rsidR="00821FC5">
              <w:t>K prasību izpildi</w:t>
            </w:r>
            <w:r>
              <w:t>.</w:t>
            </w:r>
            <w:r w:rsidR="007E40D8">
              <w:t xml:space="preserve"> </w:t>
            </w:r>
          </w:p>
          <w:p w14:paraId="5F024EF9" w14:textId="179AA40A" w:rsidR="007E40D8" w:rsidRDefault="007E40D8" w:rsidP="00E56202">
            <w:pPr>
              <w:spacing w:after="120"/>
              <w:jc w:val="both"/>
            </w:pPr>
            <w:r>
              <w:t>Darbības programmā ir analizēti un noteikti prioritārie ieguldījum</w:t>
            </w:r>
            <w:r w:rsidR="00D0471E">
              <w:t>u</w:t>
            </w:r>
            <w:r>
              <w:t xml:space="preserve"> virzie</w:t>
            </w:r>
            <w:r w:rsidR="00FB1F56">
              <w:t>n</w:t>
            </w:r>
            <w:r>
              <w:t xml:space="preserve">i ūdenssaimniecības attīstībai </w:t>
            </w:r>
            <w:r w:rsidR="007E025D">
              <w:t xml:space="preserve">ES fondu </w:t>
            </w:r>
            <w:r>
              <w:t>2014.-2020.gada plānošanas periodam</w:t>
            </w:r>
            <w:r w:rsidR="00D2599B">
              <w:t>, kas</w:t>
            </w:r>
            <w:r w:rsidR="00DB5DF1">
              <w:t xml:space="preserve"> </w:t>
            </w:r>
            <w:r w:rsidR="00D2599B">
              <w:t xml:space="preserve">noteikti šādā </w:t>
            </w:r>
            <w:r w:rsidR="00DB5DF1">
              <w:t>prioritā</w:t>
            </w:r>
            <w:r w:rsidR="00D2599B">
              <w:t>rā</w:t>
            </w:r>
            <w:r w:rsidR="00DB5DF1">
              <w:t xml:space="preserve"> secībā:</w:t>
            </w:r>
          </w:p>
          <w:p w14:paraId="769CA04A" w14:textId="77777777" w:rsidR="007E40D8" w:rsidRPr="00DB5DF1" w:rsidRDefault="007E40D8" w:rsidP="00E56202">
            <w:pPr>
              <w:ind w:firstLine="34"/>
              <w:jc w:val="both"/>
            </w:pPr>
            <w:r w:rsidRPr="00DB5DF1">
              <w:rPr>
                <w:bCs/>
              </w:rPr>
              <w:t xml:space="preserve">1. Notekūdeņu tīklu pieejamības veicināšana; </w:t>
            </w:r>
          </w:p>
          <w:p w14:paraId="71BE1E0E" w14:textId="1157E11B" w:rsidR="007E40D8" w:rsidRPr="00DB5DF1" w:rsidRDefault="007E40D8" w:rsidP="00E56202">
            <w:pPr>
              <w:ind w:firstLine="34"/>
              <w:jc w:val="both"/>
            </w:pPr>
            <w:r w:rsidRPr="00DB5DF1">
              <w:rPr>
                <w:bCs/>
              </w:rPr>
              <w:t xml:space="preserve">2. Notekūdeņu attīrīšanas iekārtu darbības uzlabošana </w:t>
            </w:r>
            <w:r w:rsidRPr="00DB5DF1">
              <w:t>(trešējā attīrīšana aglomerācijās</w:t>
            </w:r>
            <w:r w:rsidR="00B36F92">
              <w:t xml:space="preserve"> ar </w:t>
            </w:r>
            <w:r w:rsidRPr="00DB5DF1">
              <w:t>CE</w:t>
            </w:r>
            <w:r w:rsidR="00DB5DF1">
              <w:t xml:space="preserve"> virs</w:t>
            </w:r>
            <w:r w:rsidRPr="00DB5DF1">
              <w:t xml:space="preserve"> 2</w:t>
            </w:r>
            <w:r w:rsidR="00F204E1">
              <w:t xml:space="preserve"> </w:t>
            </w:r>
            <w:r w:rsidRPr="00DB5DF1">
              <w:t>000);</w:t>
            </w:r>
          </w:p>
          <w:p w14:paraId="259403F0" w14:textId="77777777" w:rsidR="00DB5DF1" w:rsidRDefault="007E40D8" w:rsidP="00E56202">
            <w:pPr>
              <w:ind w:firstLine="34"/>
              <w:jc w:val="both"/>
            </w:pPr>
            <w:r w:rsidRPr="00DB5DF1">
              <w:rPr>
                <w:bCs/>
              </w:rPr>
              <w:t xml:space="preserve">3. Pieslēgumu izveide </w:t>
            </w:r>
            <w:r w:rsidRPr="00481FC8">
              <w:rPr>
                <w:bCs/>
              </w:rPr>
              <w:t>notekūdeņu savākšanas tīkliem</w:t>
            </w:r>
            <w:r w:rsidRPr="00A201B6">
              <w:t>,</w:t>
            </w:r>
            <w:r w:rsidRPr="00DB5DF1">
              <w:t xml:space="preserve"> atbalstu sniedzot sociālā riska grupām;</w:t>
            </w:r>
          </w:p>
          <w:p w14:paraId="3A67C39D" w14:textId="63852286" w:rsidR="00DB5DF1" w:rsidRDefault="00DB5DF1" w:rsidP="00E56202">
            <w:pPr>
              <w:ind w:firstLine="34"/>
              <w:jc w:val="both"/>
            </w:pPr>
            <w:r>
              <w:t xml:space="preserve">4. </w:t>
            </w:r>
            <w:r w:rsidR="007E40D8" w:rsidRPr="00DB5DF1">
              <w:t xml:space="preserve">Papildu </w:t>
            </w:r>
            <w:r w:rsidR="007E40D8" w:rsidRPr="00DB5DF1">
              <w:rPr>
                <w:bCs/>
              </w:rPr>
              <w:t>pasākumu veikšana notekūdeņu attīrīšanas iekārtu uzlabošanai apdzīvotās vietās</w:t>
            </w:r>
            <w:r w:rsidR="00B36F92">
              <w:rPr>
                <w:bCs/>
              </w:rPr>
              <w:t xml:space="preserve"> ar </w:t>
            </w:r>
            <w:r w:rsidR="007E40D8" w:rsidRPr="00DB5DF1">
              <w:rPr>
                <w:bCs/>
              </w:rPr>
              <w:t xml:space="preserve">CE </w:t>
            </w:r>
            <w:r w:rsidR="00B36F92">
              <w:rPr>
                <w:bCs/>
              </w:rPr>
              <w:t xml:space="preserve">no </w:t>
            </w:r>
            <w:r w:rsidR="007E40D8" w:rsidRPr="00B36F92">
              <w:t xml:space="preserve">200 </w:t>
            </w:r>
            <w:r w:rsidR="00B36F92" w:rsidRPr="00B36F92">
              <w:t>līdz</w:t>
            </w:r>
            <w:r w:rsidR="007E40D8" w:rsidRPr="00B36F92">
              <w:t xml:space="preserve"> 2</w:t>
            </w:r>
            <w:r w:rsidR="00F204E1" w:rsidRPr="00B36F92">
              <w:t xml:space="preserve"> </w:t>
            </w:r>
            <w:r w:rsidR="007E40D8" w:rsidRPr="00B36F92">
              <w:t>000</w:t>
            </w:r>
            <w:r w:rsidR="007E40D8" w:rsidRPr="00DB5DF1">
              <w:t>, uzlabojot riska ūdens objekta vides stāvokli;</w:t>
            </w:r>
            <w:r w:rsidR="007E40D8" w:rsidRPr="00DB5DF1">
              <w:rPr>
                <w:bCs/>
              </w:rPr>
              <w:t xml:space="preserve"> </w:t>
            </w:r>
          </w:p>
          <w:p w14:paraId="39C82511" w14:textId="39D2571C" w:rsidR="00DB5DF1" w:rsidRPr="00DB5DF1" w:rsidRDefault="007E40D8" w:rsidP="00E56202">
            <w:pPr>
              <w:pStyle w:val="Heading3"/>
              <w:spacing w:before="0" w:beforeAutospacing="0" w:after="120" w:afterAutospacing="0"/>
              <w:jc w:val="both"/>
              <w:rPr>
                <w:rFonts w:eastAsia="Calibri"/>
                <w:b w:val="0"/>
                <w:sz w:val="24"/>
                <w:szCs w:val="24"/>
              </w:rPr>
            </w:pPr>
            <w:r w:rsidRPr="00DB5DF1">
              <w:rPr>
                <w:rFonts w:eastAsia="Calibri"/>
                <w:b w:val="0"/>
                <w:sz w:val="24"/>
                <w:szCs w:val="24"/>
              </w:rPr>
              <w:t xml:space="preserve">5. Dzeramā ūdens infrastruktūras attīstība, lai nodrošinātu dzeramā ūdens kvalitāti atbilstoši </w:t>
            </w:r>
            <w:r w:rsidR="00DB5DF1" w:rsidRPr="00DB5DF1">
              <w:rPr>
                <w:rFonts w:eastAsia="Calibri"/>
                <w:b w:val="0"/>
                <w:sz w:val="24"/>
                <w:szCs w:val="24"/>
              </w:rPr>
              <w:t xml:space="preserve">Padomes </w:t>
            </w:r>
            <w:r w:rsidR="007E025D">
              <w:rPr>
                <w:rFonts w:eastAsia="Calibri"/>
                <w:b w:val="0"/>
                <w:sz w:val="24"/>
                <w:szCs w:val="24"/>
              </w:rPr>
              <w:t>1998. gada 3. novembra</w:t>
            </w:r>
            <w:r w:rsidR="007E025D" w:rsidRPr="00DB5DF1">
              <w:rPr>
                <w:rFonts w:eastAsia="Calibri"/>
                <w:b w:val="0"/>
                <w:sz w:val="24"/>
                <w:szCs w:val="24"/>
              </w:rPr>
              <w:t xml:space="preserve"> </w:t>
            </w:r>
            <w:r w:rsidR="00DB5DF1" w:rsidRPr="00DB5DF1">
              <w:rPr>
                <w:rFonts w:eastAsia="Calibri"/>
                <w:b w:val="0"/>
                <w:sz w:val="24"/>
                <w:szCs w:val="24"/>
              </w:rPr>
              <w:t>Direktīva</w:t>
            </w:r>
            <w:r w:rsidR="00DB5DF1">
              <w:rPr>
                <w:rFonts w:eastAsia="Calibri"/>
                <w:b w:val="0"/>
                <w:sz w:val="24"/>
                <w:szCs w:val="24"/>
              </w:rPr>
              <w:t>i</w:t>
            </w:r>
            <w:r w:rsidR="00DB5DF1" w:rsidRPr="00DB5DF1">
              <w:rPr>
                <w:rFonts w:eastAsia="Calibri"/>
                <w:b w:val="0"/>
                <w:sz w:val="24"/>
                <w:szCs w:val="24"/>
              </w:rPr>
              <w:t xml:space="preserve"> 98/83/EK par dzeramā ūdens kvalitāti</w:t>
            </w:r>
            <w:r w:rsidR="00DB5DF1">
              <w:rPr>
                <w:rFonts w:eastAsia="Calibri"/>
                <w:b w:val="0"/>
                <w:sz w:val="24"/>
                <w:szCs w:val="24"/>
              </w:rPr>
              <w:t>.</w:t>
            </w:r>
          </w:p>
          <w:p w14:paraId="4E42DE82" w14:textId="55C70470" w:rsidR="007E40D8" w:rsidRDefault="00DB5DF1" w:rsidP="00E56202">
            <w:pPr>
              <w:spacing w:after="120"/>
              <w:ind w:firstLine="34"/>
              <w:jc w:val="both"/>
            </w:pPr>
            <w:r>
              <w:t xml:space="preserve">Lai nodrošinātu </w:t>
            </w:r>
            <w:r w:rsidR="00615920" w:rsidRPr="00481FC8">
              <w:rPr>
                <w:b/>
              </w:rPr>
              <w:t xml:space="preserve">noteikumu projekta īstenošanai </w:t>
            </w:r>
            <w:r>
              <w:t xml:space="preserve">piešķirtā </w:t>
            </w:r>
            <w:r w:rsidR="00615920">
              <w:t>K</w:t>
            </w:r>
            <w:r w:rsidR="00081534">
              <w:t>ohēzijas fonda</w:t>
            </w:r>
            <w:r w:rsidR="00615920">
              <w:t xml:space="preserve"> </w:t>
            </w:r>
            <w:r>
              <w:t xml:space="preserve">finansējuma apjoma – 126 574 186 </w:t>
            </w:r>
            <w:proofErr w:type="spellStart"/>
            <w:r w:rsidRPr="00DB5DF1">
              <w:rPr>
                <w:i/>
              </w:rPr>
              <w:t>euro</w:t>
            </w:r>
            <w:proofErr w:type="spellEnd"/>
            <w:r>
              <w:t xml:space="preserve"> – efektīvu un </w:t>
            </w:r>
            <w:r w:rsidR="007E025D">
              <w:t>D</w:t>
            </w:r>
            <w:r>
              <w:t>arbības programmai atbilstoš</w:t>
            </w:r>
            <w:r w:rsidR="00E959EE">
              <w:t>u</w:t>
            </w:r>
            <w:r>
              <w:t xml:space="preserve"> finansējuma sadali, </w:t>
            </w:r>
            <w:r w:rsidR="00524670">
              <w:t xml:space="preserve">Vides aizsardzības un reģionālās attīstības ministrija (turpmāk – </w:t>
            </w:r>
            <w:r>
              <w:t>VARAM</w:t>
            </w:r>
            <w:r w:rsidR="00524670">
              <w:t>)</w:t>
            </w:r>
            <w:r>
              <w:t xml:space="preserve"> 2014.gadā uzsāka SAM 5.3.1. projektu </w:t>
            </w:r>
            <w:r>
              <w:lastRenderedPageBreak/>
              <w:t xml:space="preserve">priekšatlases procesu. Priekšatlases procesā, veicot </w:t>
            </w:r>
            <w:r w:rsidR="00331CD4">
              <w:t xml:space="preserve">sabiedrisko </w:t>
            </w:r>
            <w:r>
              <w:t xml:space="preserve">ūdenssaimniecības pakalpojumu sniedzēju vajadzību aptauju, tika secināts, ka </w:t>
            </w:r>
            <w:r w:rsidR="00F95019">
              <w:t>D</w:t>
            </w:r>
            <w:r w:rsidR="00E959EE">
              <w:t xml:space="preserve">arbības programmas </w:t>
            </w:r>
            <w:r>
              <w:t xml:space="preserve">pirmās prioritātes </w:t>
            </w:r>
            <w:r w:rsidR="00F312F7">
              <w:t>–</w:t>
            </w:r>
            <w:r>
              <w:t xml:space="preserve"> notekūdeņu tīklu pieejamības veicināšanai (t.i., jaunu </w:t>
            </w:r>
            <w:r w:rsidRPr="00481FC8">
              <w:t xml:space="preserve">kanalizācijas </w:t>
            </w:r>
            <w:r w:rsidR="00490E7C">
              <w:t>ārējo inženier</w:t>
            </w:r>
            <w:r w:rsidRPr="00481FC8">
              <w:t>tīklu</w:t>
            </w:r>
            <w:r>
              <w:t xml:space="preserve"> izbūvei) </w:t>
            </w:r>
            <w:r w:rsidR="00FB1F56">
              <w:t>–</w:t>
            </w:r>
            <w:r>
              <w:t xml:space="preserve"> nepieciešamais finansējums pārsniedz SAM 5.3.1. ietvaros pieejamo finansējumu, tāpēc pārējo </w:t>
            </w:r>
            <w:r w:rsidR="007A27ED">
              <w:t>D</w:t>
            </w:r>
            <w:r>
              <w:t xml:space="preserve">arbības programmā noteikto prioritāšu ieviešanai finanšu līdzekļi šobrīd nav pietiekami. </w:t>
            </w:r>
          </w:p>
          <w:p w14:paraId="765EF930" w14:textId="77777777" w:rsidR="00003C40" w:rsidRDefault="00003C40" w:rsidP="00E56202">
            <w:pPr>
              <w:spacing w:after="120"/>
              <w:ind w:firstLine="34"/>
              <w:jc w:val="both"/>
            </w:pPr>
            <w:r>
              <w:t>Investīciju projektu priekšatlases procesā, izvērtējot:</w:t>
            </w:r>
          </w:p>
          <w:p w14:paraId="348AB015" w14:textId="77777777" w:rsidR="00003C40" w:rsidRDefault="00003C40" w:rsidP="00E56202">
            <w:pPr>
              <w:numPr>
                <w:ilvl w:val="0"/>
                <w:numId w:val="42"/>
              </w:numPr>
              <w:spacing w:after="120"/>
              <w:ind w:left="743" w:hanging="289"/>
              <w:jc w:val="both"/>
            </w:pPr>
            <w:r>
              <w:t>iesniegtās projektu idejas pēc vienotiem kritērijiem (aglomerācijas radītās vides slodzes samazinājums, projektā plānotais centralizēt</w:t>
            </w:r>
            <w:r w:rsidR="00DD1676">
              <w:t>o</w:t>
            </w:r>
            <w:r>
              <w:t xml:space="preserve"> kanalizācijas </w:t>
            </w:r>
            <w:r w:rsidR="00DD1676">
              <w:t xml:space="preserve">tīklu </w:t>
            </w:r>
            <w:r>
              <w:t xml:space="preserve">faktiskās izmantošanas un pārklājuma palielinājums, ieguldījums </w:t>
            </w:r>
            <w:r w:rsidR="003D0393">
              <w:t xml:space="preserve">aglomerāciju </w:t>
            </w:r>
            <w:r>
              <w:t xml:space="preserve">grupas </w:t>
            </w:r>
            <w:r w:rsidR="003D0393">
              <w:t xml:space="preserve">mērķa sasniegšanā attiecībā uz </w:t>
            </w:r>
            <w:r w:rsidR="00DD1676">
              <w:t xml:space="preserve">centralizēto kanalizācijas tīklu </w:t>
            </w:r>
            <w:r w:rsidR="003D0393">
              <w:t>faktisko</w:t>
            </w:r>
            <w:r>
              <w:t xml:space="preserve"> izmanto</w:t>
            </w:r>
            <w:r w:rsidR="003D0393">
              <w:t>šanu</w:t>
            </w:r>
            <w:r>
              <w:t xml:space="preserve"> un pārklājum</w:t>
            </w:r>
            <w:r w:rsidR="003D0393">
              <w:t>u,</w:t>
            </w:r>
            <w:r>
              <w:t xml:space="preserve"> </w:t>
            </w:r>
            <w:r w:rsidR="003D0393">
              <w:t xml:space="preserve">projekta </w:t>
            </w:r>
            <w:r>
              <w:t xml:space="preserve">izmaksu efektivitāte, u.c.), </w:t>
            </w:r>
          </w:p>
          <w:p w14:paraId="4791E308" w14:textId="77777777" w:rsidR="00003C40" w:rsidRDefault="00003C40" w:rsidP="00E56202">
            <w:pPr>
              <w:numPr>
                <w:ilvl w:val="0"/>
                <w:numId w:val="42"/>
              </w:numPr>
              <w:spacing w:after="120"/>
              <w:ind w:left="743" w:hanging="289"/>
              <w:jc w:val="both"/>
            </w:pPr>
            <w:r>
              <w:t>vienkāršotu projekta finanšu analīzi</w:t>
            </w:r>
            <w:r w:rsidR="003D0393">
              <w:t>,</w:t>
            </w:r>
          </w:p>
          <w:p w14:paraId="42BF75BC" w14:textId="5F149040" w:rsidR="00DB5DF1" w:rsidRDefault="003D0393" w:rsidP="00E56202">
            <w:pPr>
              <w:widowControl w:val="0"/>
              <w:tabs>
                <w:tab w:val="left" w:pos="501"/>
              </w:tabs>
              <w:autoSpaceDE w:val="0"/>
              <w:autoSpaceDN w:val="0"/>
              <w:adjustRightInd w:val="0"/>
              <w:contextualSpacing/>
              <w:jc w:val="both"/>
            </w:pPr>
            <w:r w:rsidRPr="003D0393">
              <w:rPr>
                <w:color w:val="000000"/>
              </w:rPr>
              <w:t xml:space="preserve">ir veikta aglomerāciju investīciju vajadzību izvērtēšana un </w:t>
            </w:r>
            <w:proofErr w:type="spellStart"/>
            <w:r w:rsidRPr="003D0393">
              <w:rPr>
                <w:color w:val="000000"/>
              </w:rPr>
              <w:t>prioritizēšana</w:t>
            </w:r>
            <w:proofErr w:type="spellEnd"/>
            <w:r w:rsidRPr="003D0393">
              <w:rPr>
                <w:color w:val="000000"/>
              </w:rPr>
              <w:t xml:space="preserve"> pa prioritārajām aglomerāciju grupām, kas noteiktas, ievērojot </w:t>
            </w:r>
            <w:r w:rsidR="007E025D">
              <w:rPr>
                <w:color w:val="000000"/>
              </w:rPr>
              <w:t>D</w:t>
            </w:r>
            <w:r w:rsidRPr="003D0393">
              <w:rPr>
                <w:color w:val="000000"/>
              </w:rPr>
              <w:t xml:space="preserve">irektīvas 91/271/EEK ieviešanas termiņus un EK iesniegtos paziņojumus. </w:t>
            </w:r>
            <w:r w:rsidR="00003C40" w:rsidRPr="003D0393">
              <w:t xml:space="preserve">SAM 5.3.1. ietvaros prioritāri atbalstāmā aglomerāciju grupa ir </w:t>
            </w:r>
            <w:r w:rsidRPr="003D0393">
              <w:t xml:space="preserve">noteikta </w:t>
            </w:r>
            <w:r w:rsidR="00003C40" w:rsidRPr="003D0393">
              <w:t>aglomerācijas ar CE 10</w:t>
            </w:r>
            <w:r w:rsidR="00F204E1">
              <w:t xml:space="preserve"> 000 </w:t>
            </w:r>
            <w:r w:rsidR="00003C40" w:rsidRPr="003D0393">
              <w:t xml:space="preserve">– 100 </w:t>
            </w:r>
            <w:r w:rsidR="00F204E1">
              <w:t>000</w:t>
            </w:r>
            <w:r w:rsidRPr="003D0393">
              <w:t xml:space="preserve">, bet </w:t>
            </w:r>
            <w:r w:rsidR="00003C40" w:rsidRPr="003D0393">
              <w:t>otrā atbalstāmā grupa ir noteikta aglomerācijas ar CE 2</w:t>
            </w:r>
            <w:r w:rsidR="00F204E1">
              <w:t xml:space="preserve"> 000</w:t>
            </w:r>
            <w:r w:rsidR="00003C40" w:rsidRPr="003D0393">
              <w:t xml:space="preserve"> </w:t>
            </w:r>
            <w:r w:rsidR="00E959EE">
              <w:t>–</w:t>
            </w:r>
            <w:r w:rsidR="00003C40" w:rsidRPr="003D0393">
              <w:t xml:space="preserve"> 10 </w:t>
            </w:r>
            <w:r w:rsidR="00F204E1">
              <w:t>000</w:t>
            </w:r>
            <w:r w:rsidRPr="003D0393">
              <w:t>.</w:t>
            </w:r>
            <w:r w:rsidR="00E959EE">
              <w:t xml:space="preserve"> </w:t>
            </w:r>
          </w:p>
          <w:p w14:paraId="4614803E" w14:textId="4F3F24E8" w:rsidR="00A63745" w:rsidRDefault="00993860" w:rsidP="00A63745">
            <w:pPr>
              <w:autoSpaceDE w:val="0"/>
              <w:autoSpaceDN w:val="0"/>
              <w:adjustRightInd w:val="0"/>
              <w:spacing w:after="120"/>
              <w:jc w:val="both"/>
            </w:pPr>
            <w:r>
              <w:t>Tā kā</w:t>
            </w:r>
            <w:r w:rsidR="00A63745">
              <w:t xml:space="preserve"> pēc priekšatlases otrā posma </w:t>
            </w:r>
            <w:r>
              <w:t>–</w:t>
            </w:r>
            <w:r w:rsidR="00A63745">
              <w:t xml:space="preserve"> </w:t>
            </w:r>
            <w:r>
              <w:t xml:space="preserve">projektu </w:t>
            </w:r>
            <w:r w:rsidR="00A63745">
              <w:t>izmaksu un ieguvumu analīzes veikšanas</w:t>
            </w:r>
            <w:r w:rsidR="000162AA">
              <w:t xml:space="preserve"> </w:t>
            </w:r>
            <w:r w:rsidR="000162AA" w:rsidRPr="003D1048">
              <w:rPr>
                <w:b/>
              </w:rPr>
              <w:t>un projektu dzīvotspējas izvērtējuma</w:t>
            </w:r>
            <w:r w:rsidR="00A63745">
              <w:t xml:space="preserve"> vairākas aglomerācijas</w:t>
            </w:r>
            <w:r w:rsidR="000162AA">
              <w:t xml:space="preserve"> </w:t>
            </w:r>
            <w:r w:rsidR="000162AA" w:rsidRPr="00B32AF9">
              <w:rPr>
                <w:b/>
              </w:rPr>
              <w:t>(Dagda, Ilūkste, Jaunjelgava, Kuldīga, Lubāna, Ogre, Vecumnieki)</w:t>
            </w:r>
            <w:r w:rsidR="00A63745">
              <w:t xml:space="preserve"> ir pieņēmušas lēmumu par atteikšanos no projekta īstenošanas, tad ir izveidojies finanšu ietaupījums, </w:t>
            </w:r>
            <w:r w:rsidR="007A27ED">
              <w:t xml:space="preserve">kuru </w:t>
            </w:r>
            <w:r w:rsidR="00A63745">
              <w:t xml:space="preserve">var novirzīt citām </w:t>
            </w:r>
            <w:r w:rsidR="007A27ED">
              <w:t xml:space="preserve">Darbības </w:t>
            </w:r>
            <w:r w:rsidR="00A63745">
              <w:t xml:space="preserve">programmā noteiktās investīciju 1.prioritātes “Notekūdeņu tīklu pieejamības veicināšana” ieviešanas aktivitātēm – būtu atbalstāma jaunu </w:t>
            </w:r>
            <w:r w:rsidR="00A63745" w:rsidRPr="00481FC8">
              <w:t>kanalizācijas tīklu</w:t>
            </w:r>
            <w:r w:rsidR="00A63745">
              <w:t xml:space="preserve"> izveide pēc 2012.gada paplašinātajās notekūdeņu pakalpojumu aglomerāciju robežās. </w:t>
            </w:r>
            <w:r>
              <w:t>Savukārt ņemot vērā to, ka par aglomerācijām grupā ar CE virs 100 000 2014.gadā EK ir paziņoti dati par direktīvu izpildi un notekūdeņu atbilstošu apsaimniekošanu</w:t>
            </w:r>
            <w:r w:rsidR="001A510B">
              <w:t xml:space="preserve"> 2012.gada aglomerāciju robežās</w:t>
            </w:r>
            <w:r>
              <w:t>, ievērojot sociālo un sadarbības partneru priekšlikumus un</w:t>
            </w:r>
            <w:r w:rsidR="00A63745">
              <w:t xml:space="preserve"> </w:t>
            </w:r>
            <w:r w:rsidR="00DA143F">
              <w:t>D</w:t>
            </w:r>
            <w:r w:rsidR="00A63745">
              <w:t xml:space="preserve">arbības programmā noteikto principu, ka prioritāri atbalstāmas darbības aglomerācijās ar lielāku iedzīvotāju skaitu, investīcijas paplašinātajās notekūdeņu pakalpojumu aglomerāciju robežās tiek primāri piešķirtas aglomerāciju grupai ar CE virs 100 000 (Rīga un Daugavpils). </w:t>
            </w:r>
          </w:p>
          <w:p w14:paraId="1B88A74A" w14:textId="77777777" w:rsidR="00D45F84" w:rsidRDefault="003D0393" w:rsidP="00E56202">
            <w:pPr>
              <w:widowControl w:val="0"/>
              <w:tabs>
                <w:tab w:val="left" w:pos="501"/>
              </w:tabs>
              <w:autoSpaceDE w:val="0"/>
              <w:autoSpaceDN w:val="0"/>
              <w:adjustRightInd w:val="0"/>
              <w:contextualSpacing/>
              <w:jc w:val="both"/>
            </w:pPr>
            <w:r>
              <w:rPr>
                <w:color w:val="000000"/>
              </w:rPr>
              <w:t xml:space="preserve">Lai nodrošinātu SAM 5.3.1. ieviešanu atbilstoši veiktajai </w:t>
            </w:r>
            <w:proofErr w:type="spellStart"/>
            <w:r>
              <w:rPr>
                <w:color w:val="000000"/>
              </w:rPr>
              <w:t>priekšatlasei</w:t>
            </w:r>
            <w:proofErr w:type="spellEnd"/>
            <w:r>
              <w:rPr>
                <w:color w:val="000000"/>
              </w:rPr>
              <w:t xml:space="preserve"> un </w:t>
            </w:r>
            <w:r w:rsidR="00F95019">
              <w:rPr>
                <w:color w:val="000000"/>
              </w:rPr>
              <w:t>D</w:t>
            </w:r>
            <w:r>
              <w:rPr>
                <w:color w:val="000000"/>
              </w:rPr>
              <w:t>arbības programmā paredzētajam, ir sagatavots MK noteikumu projekts. Tas</w:t>
            </w:r>
            <w:r w:rsidR="00D45F84" w:rsidRPr="00EC37A5">
              <w:t xml:space="preserve"> nosaka SAM </w:t>
            </w:r>
            <w:r w:rsidR="002142E8">
              <w:t xml:space="preserve">5.3.1. </w:t>
            </w:r>
            <w:r w:rsidR="00D45F84" w:rsidRPr="00EC37A5">
              <w:t xml:space="preserve">īstenošanas nosacījumus, mērķi un sasniedzamos rezultāta, iznākuma un finanšu rādītājus, mērķa grupu, SAM </w:t>
            </w:r>
            <w:r w:rsidR="002142E8">
              <w:t xml:space="preserve">5.3.1. </w:t>
            </w:r>
            <w:r w:rsidR="007A27ED" w:rsidRPr="00481FC8">
              <w:rPr>
                <w:b/>
              </w:rPr>
              <w:t xml:space="preserve">plānoto </w:t>
            </w:r>
            <w:r w:rsidR="00D45F84" w:rsidRPr="00EC37A5">
              <w:t>finansējumu, projektu iesniedzēju loku un tiem noteiktās prasības, atbalstāmo darbību un izmaksu attiecināmības nosacījumus un atmaksājamās palīdzības nosacījumus.</w:t>
            </w:r>
          </w:p>
          <w:p w14:paraId="64867069" w14:textId="77777777" w:rsidR="00D45F84" w:rsidRPr="00F312F7" w:rsidRDefault="00D45F84" w:rsidP="00E56202">
            <w:pPr>
              <w:pStyle w:val="Default"/>
              <w:jc w:val="both"/>
              <w:rPr>
                <w:color w:val="auto"/>
                <w:u w:val="single"/>
              </w:rPr>
            </w:pPr>
            <w:r w:rsidRPr="00F312F7">
              <w:rPr>
                <w:color w:val="auto"/>
                <w:u w:val="single"/>
              </w:rPr>
              <w:t xml:space="preserve">SAM </w:t>
            </w:r>
            <w:r w:rsidR="002142E8" w:rsidRPr="00F312F7">
              <w:rPr>
                <w:u w:val="single"/>
              </w:rPr>
              <w:t xml:space="preserve">5.3.1. </w:t>
            </w:r>
            <w:r w:rsidRPr="00F312F7">
              <w:rPr>
                <w:color w:val="auto"/>
                <w:u w:val="single"/>
              </w:rPr>
              <w:t>atlases veids, atlases kārtas</w:t>
            </w:r>
          </w:p>
          <w:p w14:paraId="149364A2" w14:textId="77777777" w:rsidR="00D45F84" w:rsidRPr="00EC37A5" w:rsidRDefault="00D45F84" w:rsidP="00E56202">
            <w:pPr>
              <w:pStyle w:val="Default"/>
              <w:spacing w:after="120"/>
              <w:jc w:val="both"/>
              <w:rPr>
                <w:color w:val="auto"/>
              </w:rPr>
            </w:pPr>
            <w:r w:rsidRPr="00EC37A5">
              <w:rPr>
                <w:color w:val="auto"/>
              </w:rPr>
              <w:lastRenderedPageBreak/>
              <w:t xml:space="preserve">MK noteikumu projektā paredzēts, ka SAM </w:t>
            </w:r>
            <w:r w:rsidR="002142E8">
              <w:t xml:space="preserve">5.3.1. </w:t>
            </w:r>
            <w:r w:rsidRPr="00EC37A5">
              <w:rPr>
                <w:color w:val="auto"/>
              </w:rPr>
              <w:t xml:space="preserve">īsteno ierobežotas projektu iesniegumu atlases veidā </w:t>
            </w:r>
            <w:r w:rsidR="000A77E8">
              <w:rPr>
                <w:color w:val="auto"/>
              </w:rPr>
              <w:t>četrās</w:t>
            </w:r>
            <w:r w:rsidR="000A77E8" w:rsidRPr="00EC37A5">
              <w:rPr>
                <w:color w:val="auto"/>
              </w:rPr>
              <w:t xml:space="preserve"> </w:t>
            </w:r>
            <w:r w:rsidRPr="00EC37A5">
              <w:rPr>
                <w:color w:val="auto"/>
              </w:rPr>
              <w:t>atlases kārtās:</w:t>
            </w:r>
          </w:p>
          <w:p w14:paraId="75885152" w14:textId="77777777" w:rsidR="00D45F84" w:rsidRPr="00D45F84" w:rsidRDefault="00D45F84" w:rsidP="00E56202">
            <w:pPr>
              <w:numPr>
                <w:ilvl w:val="0"/>
                <w:numId w:val="40"/>
              </w:numPr>
              <w:spacing w:after="120"/>
              <w:ind w:left="753" w:hanging="284"/>
              <w:jc w:val="both"/>
            </w:pPr>
            <w:r w:rsidRPr="00D45F84">
              <w:t xml:space="preserve">pirmā atlases kārta – ūdenssaimniecības attīstība aglomerācijās ar </w:t>
            </w:r>
            <w:r w:rsidR="00B93BF1">
              <w:t>CE</w:t>
            </w:r>
            <w:r w:rsidRPr="00D45F84">
              <w:t xml:space="preserve"> </w:t>
            </w:r>
            <w:r w:rsidR="00005ECF">
              <w:t>virs</w:t>
            </w:r>
            <w:r w:rsidR="00005ECF" w:rsidRPr="00D45F84">
              <w:t xml:space="preserve"> </w:t>
            </w:r>
            <w:r w:rsidRPr="00D45F84">
              <w:t xml:space="preserve">10 000; </w:t>
            </w:r>
          </w:p>
          <w:p w14:paraId="09A4B905" w14:textId="77777777" w:rsidR="000A77E8" w:rsidRDefault="00D45F84" w:rsidP="00E56202">
            <w:pPr>
              <w:numPr>
                <w:ilvl w:val="0"/>
                <w:numId w:val="40"/>
              </w:numPr>
              <w:spacing w:after="120"/>
              <w:ind w:left="753" w:hanging="284"/>
              <w:jc w:val="both"/>
            </w:pPr>
            <w:r w:rsidRPr="00D45F84">
              <w:t xml:space="preserve">otrā un trešā atlases kārta – ūdenssaimniecības attīstība aglomerācijās ar </w:t>
            </w:r>
            <w:r w:rsidR="00B93BF1">
              <w:t>CE</w:t>
            </w:r>
            <w:r w:rsidRPr="00D45F84">
              <w:t xml:space="preserve"> virs 2</w:t>
            </w:r>
            <w:r w:rsidR="000A77E8">
              <w:t> </w:t>
            </w:r>
            <w:r w:rsidRPr="00D45F84">
              <w:t>000</w:t>
            </w:r>
            <w:r w:rsidR="000A77E8">
              <w:t>;</w:t>
            </w:r>
          </w:p>
          <w:p w14:paraId="0F5A9C9B" w14:textId="77777777" w:rsidR="00D45F84" w:rsidRPr="00490E7C" w:rsidRDefault="000A77E8" w:rsidP="00E56202">
            <w:pPr>
              <w:numPr>
                <w:ilvl w:val="0"/>
                <w:numId w:val="40"/>
              </w:numPr>
              <w:spacing w:after="120"/>
              <w:ind w:left="753" w:hanging="284"/>
              <w:jc w:val="both"/>
            </w:pPr>
            <w:r>
              <w:t xml:space="preserve">ceturtā atlases kārta – ūdenssaimniecības attīstība aglomerācijās ar CE </w:t>
            </w:r>
            <w:r w:rsidRPr="00490E7C">
              <w:t>virs 100 000</w:t>
            </w:r>
            <w:r w:rsidR="00D45F84" w:rsidRPr="00490E7C">
              <w:t>.</w:t>
            </w:r>
          </w:p>
          <w:p w14:paraId="2236AB18" w14:textId="77777777" w:rsidR="000A77E8" w:rsidRDefault="00B93BF1" w:rsidP="00E56202">
            <w:pPr>
              <w:autoSpaceDE w:val="0"/>
              <w:autoSpaceDN w:val="0"/>
              <w:adjustRightInd w:val="0"/>
              <w:spacing w:after="120"/>
              <w:jc w:val="both"/>
            </w:pPr>
            <w:r w:rsidRPr="00490E7C">
              <w:t>Pirmā atlases kārta ir paredzēta ūdenssaimniecības attīstība</w:t>
            </w:r>
            <w:r w:rsidR="00F204E1" w:rsidRPr="00490E7C">
              <w:t>i</w:t>
            </w:r>
            <w:r w:rsidRPr="00490E7C">
              <w:t xml:space="preserve"> aglomerācijās ar CE </w:t>
            </w:r>
            <w:r w:rsidR="00E311CC" w:rsidRPr="00490E7C">
              <w:t xml:space="preserve">virs </w:t>
            </w:r>
            <w:r w:rsidRPr="00490E7C">
              <w:t>10 000</w:t>
            </w:r>
            <w:r w:rsidR="00E311CC" w:rsidRPr="00490E7C">
              <w:t>, atbilstoši MK noteikumu projekta pielikumā pievienotajam aglomerāciju sarakstam</w:t>
            </w:r>
            <w:r w:rsidRPr="00490E7C">
              <w:t xml:space="preserve">, ievērojot to, ka šai aglomerāciju grupai ir primāri un nekavējoši jānodrošina Direktīvas 91/271/EEK prasību izpilde, jo prasību izpildes termiņš ir iestājies jau 2011.gada 31.decembrī. </w:t>
            </w:r>
            <w:r w:rsidR="00F204E1" w:rsidRPr="00490E7C">
              <w:t>Otrajā un trešajā atlases kārtā tiek iekļautas aglomerācij</w:t>
            </w:r>
            <w:r w:rsidR="000A77E8" w:rsidRPr="00490E7C">
              <w:t>a</w:t>
            </w:r>
            <w:r w:rsidR="00F204E1" w:rsidRPr="00490E7C">
              <w:t>s ar CE virs 2 000.</w:t>
            </w:r>
            <w:r w:rsidR="001B54B3" w:rsidRPr="00490E7C">
              <w:t xml:space="preserve"> </w:t>
            </w:r>
            <w:r w:rsidR="00B21E34" w:rsidRPr="00490E7C">
              <w:rPr>
                <w:b/>
              </w:rPr>
              <w:t>Ceturtajā atlases kārtā tiek iekļautas aglomerācijas ar CE virs 100 000 paplašinātajās</w:t>
            </w:r>
            <w:r w:rsidR="00B21E34" w:rsidRPr="00481FC8">
              <w:rPr>
                <w:b/>
              </w:rPr>
              <w:t xml:space="preserve"> notekūdeņu pakalpojumu aglomerāciju robežās.</w:t>
            </w:r>
          </w:p>
          <w:p w14:paraId="264E87D2" w14:textId="309806BD" w:rsidR="00F204E1" w:rsidRDefault="00F204E1" w:rsidP="00E56202">
            <w:pPr>
              <w:autoSpaceDE w:val="0"/>
              <w:autoSpaceDN w:val="0"/>
              <w:adjustRightInd w:val="0"/>
              <w:spacing w:after="120"/>
              <w:jc w:val="both"/>
            </w:pPr>
            <w:r>
              <w:t>MK noteikumu projekta 1.pielikumā ir noteiktas</w:t>
            </w:r>
            <w:r w:rsidRPr="00EC37A5">
              <w:t xml:space="preserve"> </w:t>
            </w:r>
            <w:r>
              <w:t>ūdenssaimniecības aglomerācijas, kuras tiek iekļautas pirmajā atlases kārtā. MK noteikumu pielikums tiks papildināts ar otrās</w:t>
            </w:r>
            <w:r w:rsidR="00C369FD">
              <w:t>,</w:t>
            </w:r>
            <w:r>
              <w:t xml:space="preserve"> trešās </w:t>
            </w:r>
            <w:r w:rsidR="00C369FD">
              <w:t xml:space="preserve">un ceturtās </w:t>
            </w:r>
            <w:r>
              <w:t>atlases kārtas ūdenssaimniecības aglomer</w:t>
            </w:r>
            <w:r w:rsidR="00E56202">
              <w:t>āciju sarakstu pirms atlases kārtas izsludināšanas.</w:t>
            </w:r>
          </w:p>
          <w:p w14:paraId="2DBD3D6F" w14:textId="3039000A" w:rsidR="00F204E1" w:rsidRDefault="00A44F0D" w:rsidP="00E56202">
            <w:pPr>
              <w:jc w:val="both"/>
            </w:pPr>
            <w:r>
              <w:t>Pirmās atlases kārtas izsludināšana paredzēta 2016.gadā, otrās</w:t>
            </w:r>
            <w:r w:rsidR="005032AF">
              <w:t>,</w:t>
            </w:r>
            <w:r>
              <w:t xml:space="preserve"> trešās atlases kārtas</w:t>
            </w:r>
            <w:r w:rsidR="005032AF">
              <w:t xml:space="preserve">, kā arī ceturtās atlases kārtas </w:t>
            </w:r>
            <w:r w:rsidR="006D6FA8">
              <w:t xml:space="preserve">pirmā </w:t>
            </w:r>
            <w:r w:rsidR="005032AF">
              <w:t>uzsaukum</w:t>
            </w:r>
            <w:r w:rsidR="006D6FA8">
              <w:t>a</w:t>
            </w:r>
            <w:r w:rsidR="00853463">
              <w:t xml:space="preserve"> </w:t>
            </w:r>
            <w:r w:rsidR="006D6FA8">
              <w:t xml:space="preserve">izsludināšana paredzēta </w:t>
            </w:r>
            <w:r>
              <w:t>2017.gad</w:t>
            </w:r>
            <w:r w:rsidR="00F95019">
              <w:t>a</w:t>
            </w:r>
            <w:r>
              <w:t xml:space="preserve"> </w:t>
            </w:r>
            <w:r w:rsidR="00EC7D7D">
              <w:t>I</w:t>
            </w:r>
            <w:r w:rsidR="006D6FA8">
              <w:t xml:space="preserve"> </w:t>
            </w:r>
            <w:r w:rsidR="00853463">
              <w:t xml:space="preserve">- </w:t>
            </w:r>
            <w:r w:rsidR="005032AF">
              <w:t>II</w:t>
            </w:r>
            <w:r w:rsidR="00EC7D7D">
              <w:t xml:space="preserve"> ceturksnī</w:t>
            </w:r>
            <w:r w:rsidR="00E7374B">
              <w:t xml:space="preserve">. </w:t>
            </w:r>
            <w:r w:rsidR="00481FC8" w:rsidRPr="00481FC8">
              <w:rPr>
                <w:b/>
              </w:rPr>
              <w:t xml:space="preserve">Otrā un trešā atlases kārtā iekļautās aglomerācijas tiks sadalītas kārtās, ņemot vērā katras aglomerācijas plānotā investīciju projekta gatavības stadiju, izmaksu efektivitāti un VARAM veiktās </w:t>
            </w:r>
            <w:r w:rsidR="00481FC8">
              <w:rPr>
                <w:b/>
              </w:rPr>
              <w:t xml:space="preserve">projektu </w:t>
            </w:r>
            <w:r w:rsidR="00481FC8" w:rsidRPr="00481FC8">
              <w:rPr>
                <w:b/>
              </w:rPr>
              <w:t>priekšatlases rezultātus.</w:t>
            </w:r>
            <w:r w:rsidR="00481FC8">
              <w:t xml:space="preserve"> </w:t>
            </w:r>
            <w:r w:rsidR="00C369FD">
              <w:t>Ceturtā</w:t>
            </w:r>
            <w:r w:rsidR="001B54B3">
              <w:t>s</w:t>
            </w:r>
            <w:r w:rsidR="00C369FD">
              <w:t xml:space="preserve"> </w:t>
            </w:r>
            <w:r w:rsidR="00E56202">
              <w:t>atlases kārt</w:t>
            </w:r>
            <w:r w:rsidR="008F1CFF">
              <w:t>a</w:t>
            </w:r>
            <w:r w:rsidR="001B54B3">
              <w:t>s otrais uzsaukums</w:t>
            </w:r>
            <w:r w:rsidR="00E56202">
              <w:t xml:space="preserve"> </w:t>
            </w:r>
            <w:r w:rsidR="001B54B3" w:rsidRPr="005F7A39">
              <w:t>(nepārsniedzot katrai aglomerācijai noteikto kopsummu)</w:t>
            </w:r>
            <w:r w:rsidR="001B54B3">
              <w:t xml:space="preserve"> </w:t>
            </w:r>
            <w:r w:rsidR="00E56202">
              <w:t>ti</w:t>
            </w:r>
            <w:r w:rsidR="00F204E1" w:rsidRPr="00F204E1">
              <w:t>k</w:t>
            </w:r>
            <w:r w:rsidR="00E56202">
              <w:t>s</w:t>
            </w:r>
            <w:r w:rsidR="00F204E1" w:rsidRPr="00F204E1">
              <w:t xml:space="preserve"> organizēt</w:t>
            </w:r>
            <w:r w:rsidR="001B54B3">
              <w:t>s</w:t>
            </w:r>
            <w:r w:rsidR="00F204E1" w:rsidRPr="00F204E1">
              <w:t xml:space="preserve"> pēc 2018.gada</w:t>
            </w:r>
            <w:r w:rsidR="00F204E1">
              <w:t xml:space="preserve"> </w:t>
            </w:r>
            <w:r w:rsidR="00F204E1" w:rsidRPr="00EC37A5">
              <w:t>31.decembr</w:t>
            </w:r>
            <w:r w:rsidR="00F204E1">
              <w:t>a</w:t>
            </w:r>
            <w:r w:rsidR="00F204E1" w:rsidRPr="00F204E1">
              <w:t xml:space="preserve">, kad </w:t>
            </w:r>
            <w:r w:rsidR="00E56202">
              <w:t>būs</w:t>
            </w:r>
            <w:r w:rsidR="00F204E1" w:rsidRPr="00F204E1">
              <w:t xml:space="preserve"> </w:t>
            </w:r>
            <w:r w:rsidR="00F204E1">
              <w:t>zināms snieguma rezerves apjoma piešķīrums.</w:t>
            </w:r>
          </w:p>
          <w:p w14:paraId="73152BE2" w14:textId="77777777" w:rsidR="00D95688" w:rsidRDefault="00D95688" w:rsidP="00E56202">
            <w:pPr>
              <w:jc w:val="both"/>
            </w:pPr>
          </w:p>
          <w:p w14:paraId="35ECADD0" w14:textId="77777777" w:rsidR="00D95688" w:rsidRDefault="00D95688" w:rsidP="00D95688">
            <w:pPr>
              <w:autoSpaceDE w:val="0"/>
              <w:autoSpaceDN w:val="0"/>
              <w:spacing w:after="120"/>
              <w:jc w:val="both"/>
            </w:pPr>
            <w:r w:rsidRPr="00D95688">
              <w:t>Detalizētāka informācija par VARAM veikto “Specifiskā atbalsta mērķa 5.3.1. „Attīstīt un uzlabot ūdensapgādes un kanalizācijas sistēmas pakalpojumu kvalitāti un nodrošināt pieslēgšanas iespējas”” Sākotnējo novērtējumu, tajā skaitā, projektu prioritāro sarakstu un aglomerācijām, kas tālāk nepretendē uz SAM 5.3.1. finansējumu, pieejama Eiropas Savienības struktūrfondu un Kohēzijas fonda Uzraudzības komitejas e-portfelī ievietotajos materiālos:</w:t>
            </w:r>
          </w:p>
          <w:p w14:paraId="1421E32F" w14:textId="273434CD" w:rsidR="00D95688" w:rsidRDefault="00E76D2F" w:rsidP="00D95688">
            <w:pPr>
              <w:autoSpaceDE w:val="0"/>
              <w:autoSpaceDN w:val="0"/>
              <w:spacing w:after="120"/>
              <w:jc w:val="both"/>
              <w:rPr>
                <w:i/>
                <w:iCs/>
                <w:sz w:val="20"/>
                <w:szCs w:val="20"/>
              </w:rPr>
            </w:pPr>
            <w:hyperlink r:id="rId12" w:anchor="/SitePages/Home.aspx" w:history="1">
              <w:r w:rsidR="00D95688" w:rsidRPr="00D95688">
                <w:rPr>
                  <w:rStyle w:val="Hyperlink"/>
                  <w:i/>
                  <w:iCs/>
                  <w:szCs w:val="20"/>
                </w:rPr>
                <w:t>https://komitejas.esfondi.lv/_layouts/15/start.aspx#/SitePages/Home.aspx</w:t>
              </w:r>
            </w:hyperlink>
            <w:r w:rsidR="00D95688" w:rsidRPr="00D95688">
              <w:rPr>
                <w:i/>
                <w:iCs/>
                <w:szCs w:val="20"/>
              </w:rPr>
              <w:t>.</w:t>
            </w:r>
          </w:p>
          <w:p w14:paraId="4FEAA35D" w14:textId="77777777" w:rsidR="00E56202" w:rsidRDefault="00E56202" w:rsidP="00E56202">
            <w:pPr>
              <w:spacing w:after="120"/>
              <w:jc w:val="both"/>
            </w:pPr>
          </w:p>
          <w:p w14:paraId="778A1108" w14:textId="77777777" w:rsidR="00D45F84" w:rsidRPr="00EC37A5" w:rsidRDefault="00D45F84" w:rsidP="00E56202">
            <w:pPr>
              <w:jc w:val="both"/>
              <w:rPr>
                <w:u w:val="single"/>
              </w:rPr>
            </w:pPr>
            <w:r w:rsidRPr="00492A51">
              <w:rPr>
                <w:u w:val="single"/>
              </w:rPr>
              <w:t xml:space="preserve">SAM </w:t>
            </w:r>
            <w:r w:rsidR="002142E8" w:rsidRPr="00DE795D">
              <w:rPr>
                <w:u w:val="single"/>
              </w:rPr>
              <w:t xml:space="preserve">5.3.1. </w:t>
            </w:r>
            <w:r w:rsidRPr="00492A51">
              <w:rPr>
                <w:u w:val="single"/>
              </w:rPr>
              <w:t>iznākuma</w:t>
            </w:r>
            <w:r w:rsidRPr="00EC37A5">
              <w:rPr>
                <w:u w:val="single"/>
              </w:rPr>
              <w:t>, finanšu un rezultāta rādītāji</w:t>
            </w:r>
          </w:p>
          <w:p w14:paraId="06BC4F7A" w14:textId="77777777" w:rsidR="00D45F84" w:rsidRDefault="00D45F84" w:rsidP="00E56202">
            <w:pPr>
              <w:spacing w:after="120"/>
              <w:jc w:val="both"/>
            </w:pPr>
            <w:r w:rsidRPr="00EC37A5">
              <w:t xml:space="preserve">MK noteikumu projekts nosaka SAM </w:t>
            </w:r>
            <w:r w:rsidR="002142E8">
              <w:t xml:space="preserve">5.3.1. </w:t>
            </w:r>
            <w:r w:rsidRPr="00EC37A5">
              <w:t xml:space="preserve">ietvaros plānotos </w:t>
            </w:r>
            <w:r w:rsidR="00B93BF1">
              <w:t xml:space="preserve">uzraudzības </w:t>
            </w:r>
            <w:r w:rsidRPr="00EC37A5">
              <w:t xml:space="preserve">rādītājus, kas sasniedzami </w:t>
            </w:r>
            <w:r w:rsidRPr="005F7A39">
              <w:t>līdz 202</w:t>
            </w:r>
            <w:r w:rsidR="00D06A5F" w:rsidRPr="005F7A39">
              <w:t>2</w:t>
            </w:r>
            <w:r w:rsidRPr="005F7A39">
              <w:t>.gada</w:t>
            </w:r>
            <w:r w:rsidRPr="00EC37A5">
              <w:t xml:space="preserve"> 31.decembrim</w:t>
            </w:r>
            <w:r w:rsidR="00125F98">
              <w:t>,</w:t>
            </w:r>
            <w:r w:rsidR="00CB5FFD">
              <w:t xml:space="preserve"> un iznākuma </w:t>
            </w:r>
            <w:r w:rsidR="00CB5FFD">
              <w:lastRenderedPageBreak/>
              <w:t xml:space="preserve">rādītāja un </w:t>
            </w:r>
            <w:r w:rsidRPr="00EC37A5">
              <w:t>finanšu rādītāja</w:t>
            </w:r>
            <w:r w:rsidR="00CB5FFD">
              <w:t xml:space="preserve"> starpposma vērtības</w:t>
            </w:r>
            <w:r w:rsidRPr="00EC37A5">
              <w:t>, kas sasniedzam</w:t>
            </w:r>
            <w:r w:rsidR="00125F98">
              <w:t>a</w:t>
            </w:r>
            <w:r w:rsidR="00CB5FFD">
              <w:t>s</w:t>
            </w:r>
            <w:r w:rsidRPr="00EC37A5">
              <w:t xml:space="preserve"> līdz 2018.gada 31.decembrim.</w:t>
            </w:r>
          </w:p>
          <w:p w14:paraId="0141C0A2" w14:textId="4CA25C88" w:rsidR="00CB5FFD" w:rsidRDefault="00B93BF1" w:rsidP="00E56202">
            <w:pPr>
              <w:spacing w:after="120"/>
              <w:jc w:val="both"/>
            </w:pPr>
            <w:r>
              <w:t>MK noteikumu projektā noteiktā iznākuma rādītāj</w:t>
            </w:r>
            <w:r w:rsidR="00CB5FFD">
              <w:t>a</w:t>
            </w:r>
            <w:r>
              <w:t xml:space="preserve"> (</w:t>
            </w:r>
            <w:r w:rsidRPr="00B93BF1">
              <w:t>notekūdeņu attīrīšanas sistēmu</w:t>
            </w:r>
            <w:r w:rsidR="00F95019">
              <w:t>, kas</w:t>
            </w:r>
            <w:r w:rsidRPr="00B93BF1">
              <w:t xml:space="preserve"> </w:t>
            </w:r>
            <w:r w:rsidR="00F95019" w:rsidRPr="00B93BF1">
              <w:t>uzlabot</w:t>
            </w:r>
            <w:r w:rsidR="00F95019">
              <w:t xml:space="preserve">as specifiskā atbalsta ietvaros, </w:t>
            </w:r>
            <w:r w:rsidRPr="00B93BF1">
              <w:t>apkalpoto iedzīvotāju skaita pieaugums</w:t>
            </w:r>
            <w:r w:rsidR="00D45F84" w:rsidRPr="00EC37A5">
              <w:t xml:space="preserve">) </w:t>
            </w:r>
            <w:r w:rsidR="00CB5FFD">
              <w:t xml:space="preserve">piemērošana </w:t>
            </w:r>
            <w:r>
              <w:t xml:space="preserve">izriet no Darbības programmas un </w:t>
            </w:r>
            <w:r w:rsidR="00E56202" w:rsidRPr="000B7E62">
              <w:t>Eiropas Parlamenta un Pado</w:t>
            </w:r>
            <w:r w:rsidR="00E56202">
              <w:t xml:space="preserve">mes </w:t>
            </w:r>
            <w:r w:rsidR="00A47CBB">
              <w:t xml:space="preserve">2013.gada 17.decembra </w:t>
            </w:r>
            <w:r w:rsidR="00E56202">
              <w:t xml:space="preserve">Regulas (ES) Nr. 1300/2013 </w:t>
            </w:r>
            <w:r w:rsidR="00E56202" w:rsidRPr="005F2683">
              <w:rPr>
                <w:i/>
              </w:rPr>
              <w:t>par Kohēzijas fondu un ar ko atceļ Padomes Regulu (EK) Nr.1084/2006</w:t>
            </w:r>
            <w:r>
              <w:t>.</w:t>
            </w:r>
            <w:r w:rsidR="00CB5FFD">
              <w:t xml:space="preserve"> Rādītāju vērtības ir noteiktas saskaņā ar Darbības programmu un Darbības programmas p</w:t>
            </w:r>
            <w:r w:rsidR="00125F98">
              <w:t>apildinājumu</w:t>
            </w:r>
            <w:r w:rsidR="00CB5FFD">
              <w:t>.</w:t>
            </w:r>
          </w:p>
          <w:p w14:paraId="5287BB00" w14:textId="4597433B" w:rsidR="00406873" w:rsidRDefault="00CB5FFD" w:rsidP="00E56202">
            <w:pPr>
              <w:spacing w:after="120"/>
              <w:jc w:val="both"/>
            </w:pPr>
            <w:r>
              <w:t xml:space="preserve">SAM 5.3.1. iznākuma rādītāja un tā starpposma vērtība ir iekļauta Darbības programmas piektā prioritārā virziena “Vides </w:t>
            </w:r>
            <w:r w:rsidRPr="00E56202">
              <w:t>aizsardzība un resursu izmantošanas efektivitāte” prioritā</w:t>
            </w:r>
            <w:r w:rsidR="00764119">
              <w:t>rajā snieguma ietvarā</w:t>
            </w:r>
            <w:r w:rsidRPr="00E56202">
              <w:t xml:space="preserve">. </w:t>
            </w:r>
            <w:r w:rsidR="00764119">
              <w:t>Tādēļ, l</w:t>
            </w:r>
            <w:r w:rsidR="00406873" w:rsidRPr="00E56202">
              <w:t>ai nodrošinātu iznākuma</w:t>
            </w:r>
            <w:r w:rsidR="006D6FA8">
              <w:t xml:space="preserve"> </w:t>
            </w:r>
            <w:r w:rsidR="00406873" w:rsidRPr="00E56202">
              <w:t>rādītāja sasniegšanu</w:t>
            </w:r>
            <w:r w:rsidR="00764119">
              <w:t xml:space="preserve"> un snieguma ietvara izpildi</w:t>
            </w:r>
            <w:r w:rsidR="00406873" w:rsidRPr="00E56202">
              <w:t xml:space="preserve">, </w:t>
            </w:r>
            <w:r w:rsidR="00764119">
              <w:t>MK noteikum</w:t>
            </w:r>
            <w:r w:rsidR="00524670">
              <w:t>u projektā</w:t>
            </w:r>
            <w:r w:rsidR="00764119">
              <w:t xml:space="preserve"> tiek</w:t>
            </w:r>
            <w:r w:rsidR="00406873" w:rsidRPr="00E56202">
              <w:t xml:space="preserve"> noteikta projekta ietvaros </w:t>
            </w:r>
            <w:r w:rsidR="00764119" w:rsidRPr="00E56202">
              <w:t xml:space="preserve">konkrēta </w:t>
            </w:r>
            <w:r w:rsidR="00406873" w:rsidRPr="00E56202">
              <w:t>sasniedzam</w:t>
            </w:r>
            <w:r w:rsidR="00D06A5F">
              <w:t>ā</w:t>
            </w:r>
            <w:r w:rsidR="00406873" w:rsidRPr="00E56202">
              <w:t xml:space="preserve"> iznākuma</w:t>
            </w:r>
            <w:r w:rsidR="00406873">
              <w:t xml:space="preserve"> rādītāja vērtība. Savukārt, l</w:t>
            </w:r>
            <w:r>
              <w:t>ai nodrošinātu starpposma rādītāja izpildi</w:t>
            </w:r>
            <w:r w:rsidR="00406873">
              <w:t xml:space="preserve"> noteiktajā apjomā</w:t>
            </w:r>
            <w:r>
              <w:t>, pirmās atlases kārtas projektu ietvaros katram projektam ir noteikta</w:t>
            </w:r>
            <w:r w:rsidR="00406873">
              <w:t xml:space="preserve"> arī </w:t>
            </w:r>
            <w:r>
              <w:t xml:space="preserve">uz 2018.gadu sasniedzamā </w:t>
            </w:r>
            <w:r w:rsidR="00406873">
              <w:t>starpposma</w:t>
            </w:r>
            <w:r>
              <w:t xml:space="preserve"> rādītāja vērtība</w:t>
            </w:r>
            <w:r w:rsidR="00406873">
              <w:t xml:space="preserve"> </w:t>
            </w:r>
            <w:r w:rsidR="00A57907">
              <w:t>7</w:t>
            </w:r>
            <w:r w:rsidR="00FB1F56">
              <w:t>,</w:t>
            </w:r>
            <w:r w:rsidR="00A57907">
              <w:t>5</w:t>
            </w:r>
            <w:r w:rsidR="00905E24">
              <w:t xml:space="preserve"> procentu</w:t>
            </w:r>
            <w:r w:rsidR="00FB1F56">
              <w:t xml:space="preserve"> </w:t>
            </w:r>
            <w:r>
              <w:t xml:space="preserve">apjomā no </w:t>
            </w:r>
            <w:r w:rsidR="00D06A5F">
              <w:t xml:space="preserve">projektam </w:t>
            </w:r>
            <w:r>
              <w:t xml:space="preserve">noteiktā kopējā sasniedzamā </w:t>
            </w:r>
            <w:r w:rsidR="00406873">
              <w:t xml:space="preserve">iznākuma </w:t>
            </w:r>
            <w:r>
              <w:t>rādītāja apjoma.</w:t>
            </w:r>
          </w:p>
          <w:p w14:paraId="3C1DD906" w14:textId="77777777" w:rsidR="00406873" w:rsidRDefault="00406873" w:rsidP="00E56202">
            <w:pPr>
              <w:spacing w:after="120"/>
              <w:jc w:val="both"/>
            </w:pPr>
            <w:r w:rsidRPr="00FE27AC">
              <w:t>Rezultāta rādītāj</w:t>
            </w:r>
            <w:r w:rsidR="00FE27AC" w:rsidRPr="00FE27AC">
              <w:t>i</w:t>
            </w:r>
            <w:r w:rsidRPr="00FE27AC">
              <w:t xml:space="preserve"> parāda iedzīvotāju,</w:t>
            </w:r>
            <w:r w:rsidR="00FE27AC" w:rsidRPr="00FE27AC">
              <w:t xml:space="preserve"> </w:t>
            </w:r>
            <w:r w:rsidR="00FE27AC" w:rsidRPr="00481FC8">
              <w:rPr>
                <w:b/>
              </w:rPr>
              <w:t>kam</w:t>
            </w:r>
            <w:r w:rsidR="00FE27AC" w:rsidRPr="00FE27AC">
              <w:t xml:space="preserve"> </w:t>
            </w:r>
            <w:r w:rsidRPr="00FE27AC">
              <w:t>nodrošināti normatīvo aktu prasībām atbilstošu</w:t>
            </w:r>
            <w:r w:rsidR="00FE27AC" w:rsidRPr="00FE27AC">
              <w:t xml:space="preserve"> </w:t>
            </w:r>
            <w:r w:rsidR="00FE27AC" w:rsidRPr="00481FC8">
              <w:rPr>
                <w:b/>
              </w:rPr>
              <w:t>centralizēto</w:t>
            </w:r>
            <w:r w:rsidRPr="00FE27AC">
              <w:t xml:space="preserve"> notekūdeņu apsaimniekošanas pakalpojumu</w:t>
            </w:r>
            <w:r w:rsidR="00FE27AC" w:rsidRPr="00FE27AC">
              <w:t xml:space="preserve"> </w:t>
            </w:r>
            <w:r w:rsidR="00FE27AC" w:rsidRPr="00481FC8">
              <w:rPr>
                <w:b/>
              </w:rPr>
              <w:t>pieslēgumi</w:t>
            </w:r>
            <w:r w:rsidR="003C44EA" w:rsidRPr="00481FC8">
              <w:rPr>
                <w:b/>
              </w:rPr>
              <w:t>,</w:t>
            </w:r>
            <w:r w:rsidRPr="00481FC8">
              <w:rPr>
                <w:b/>
              </w:rPr>
              <w:t xml:space="preserve"> </w:t>
            </w:r>
            <w:r w:rsidR="003C44EA" w:rsidRPr="00481FC8">
              <w:rPr>
                <w:b/>
              </w:rPr>
              <w:t>skaitu un īpatsvaru</w:t>
            </w:r>
            <w:r w:rsidR="003C44EA" w:rsidRPr="00FE27AC" w:rsidDel="00FE27AC">
              <w:t xml:space="preserve"> </w:t>
            </w:r>
            <w:r w:rsidRPr="00FE27AC">
              <w:t>no aglomerāciju ar CE lielāku par 2000 kopējā i</w:t>
            </w:r>
            <w:r w:rsidRPr="003C44EA">
              <w:t xml:space="preserve">edzīvotāju skaita </w:t>
            </w:r>
            <w:r w:rsidR="003C44EA" w:rsidRPr="00481FC8">
              <w:rPr>
                <w:b/>
              </w:rPr>
              <w:t>un īpatsvara</w:t>
            </w:r>
            <w:r w:rsidR="003C44EA">
              <w:t xml:space="preserve"> </w:t>
            </w:r>
            <w:r w:rsidRPr="003C44EA">
              <w:t>katrā aglomerāciju grupā.</w:t>
            </w:r>
            <w:r>
              <w:t xml:space="preserve"> Tā sniegums ir cieši saistīts ar sasniegto iznākuma rādītāju vērtību.</w:t>
            </w:r>
          </w:p>
          <w:p w14:paraId="601BA14E" w14:textId="3B060B40" w:rsidR="00322617" w:rsidRPr="00322617" w:rsidRDefault="00322617" w:rsidP="00E56202">
            <w:pPr>
              <w:spacing w:after="120"/>
              <w:jc w:val="both"/>
              <w:rPr>
                <w:b/>
              </w:rPr>
            </w:pPr>
            <w:r w:rsidRPr="00322617">
              <w:t xml:space="preserve">Ja projekta īstenošanas rezultātā finansējuma saņēmējs nesasniedz apstiprinātajā projekta iesniegumā plānoto iznākuma rādītāja vērtību, </w:t>
            </w:r>
            <w:r w:rsidRPr="00322617">
              <w:rPr>
                <w:b/>
              </w:rPr>
              <w:t>kā arī iedzīvotāju īpatsvaru, kam nodrošināti normatīvo aktu prasībām atbilstošu centralizēto notekūdeņu apsaimniekošanas pakalpojumu pieslēgumi</w:t>
            </w:r>
            <w:r w:rsidRPr="00322617">
              <w:t xml:space="preserve">, </w:t>
            </w:r>
            <w:r w:rsidRPr="00322617">
              <w:rPr>
                <w:b/>
              </w:rPr>
              <w:t>finansējuma saņēmējs</w:t>
            </w:r>
            <w:r w:rsidRPr="00322617">
              <w:t xml:space="preserve"> atmaksā Centrālajai finanšu un līgumu aģentūrai kā sadarbības iestādei (turpmāk – </w:t>
            </w:r>
            <w:r w:rsidR="00A47CBB">
              <w:t>S</w:t>
            </w:r>
            <w:r w:rsidRPr="00322617">
              <w:t>adarbības iestāde) KF finansējumu par nesasniegto iznākuma rādītāja apjomu. Atmaksājamo summu aprēķina reizinot nesasniegto iznākuma rādītāja apjomu ar vienas iznākuma rādītāja vērtības izmaksām, ko nosaka atbilstoši projekta faktiskā KF finansējuma un kopējās projektā sasniedzamās iznākuma rādītāja vērtības attiecībai.</w:t>
            </w:r>
            <w:r w:rsidR="00853463">
              <w:t xml:space="preserve"> </w:t>
            </w:r>
            <w:r w:rsidRPr="00322617">
              <w:rPr>
                <w:b/>
              </w:rPr>
              <w:t>Atmaksājamās palīdzības mehānismu un finanšu korekciju nepiemēro, ja finansējuma saņēmējs sasniedz projekta iesniegumā plānoto iznākuma rādītāja vērtību vai iedzīvotāju īpatsvaru, kam nodrošināti normatīvo aktu prasībām atbilstošu centralizēto notekūdeņu apsaimniekošanas pakalpojumu pieslēgumi.</w:t>
            </w:r>
            <w:r w:rsidR="00853463">
              <w:t xml:space="preserve"> </w:t>
            </w:r>
            <w:r w:rsidR="00853463" w:rsidRPr="006D6FA8">
              <w:rPr>
                <w:b/>
              </w:rPr>
              <w:t>Lai nodrošinātu vienotu pieeju, VARAM izstrādās metodiku gan uzraudzības rādītāju, gan a</w:t>
            </w:r>
            <w:r w:rsidR="00853463" w:rsidRPr="00853463">
              <w:rPr>
                <w:b/>
              </w:rPr>
              <w:t>tmaksājamās palīdzības</w:t>
            </w:r>
            <w:r w:rsidR="00853463" w:rsidRPr="00780AC4">
              <w:rPr>
                <w:b/>
              </w:rPr>
              <w:t xml:space="preserve"> apjoma </w:t>
            </w:r>
            <w:r w:rsidR="00853463" w:rsidRPr="006D6FA8">
              <w:rPr>
                <w:b/>
              </w:rPr>
              <w:t>aprēķināšanai</w:t>
            </w:r>
            <w:r w:rsidR="00853463" w:rsidRPr="00853463">
              <w:rPr>
                <w:b/>
              </w:rPr>
              <w:t>.</w:t>
            </w:r>
          </w:p>
          <w:p w14:paraId="1F081D48" w14:textId="71EA5783" w:rsidR="00D45F84" w:rsidRDefault="00D45F84" w:rsidP="00E56202">
            <w:pPr>
              <w:spacing w:after="120"/>
              <w:jc w:val="both"/>
            </w:pPr>
            <w:r w:rsidRPr="00EC37A5">
              <w:t xml:space="preserve">MK noteikumu projektā ir paredzēta atmaksājamās palīdzības atmaksas kārtība, kas paredz, ka lēmumu par atmaksājamā finansējuma apmēru </w:t>
            </w:r>
            <w:r w:rsidR="009C0491">
              <w:t>S</w:t>
            </w:r>
            <w:r w:rsidRPr="00EC37A5">
              <w:t xml:space="preserve">adarbības iestāde pieņem sešu mēnešu laikā pēc apstiprinātajā projekta iesniegumā noteiktā iznākuma rādītāju sasniegšanas termiņa beigām. Ja finansējumu nav iespējams atmaksāt </w:t>
            </w:r>
            <w:r w:rsidR="009B6FC9">
              <w:t>12</w:t>
            </w:r>
            <w:r w:rsidRPr="00EC37A5">
              <w:t xml:space="preserve"> mēnešu laikā, iesaistītās puses var </w:t>
            </w:r>
            <w:r w:rsidRPr="00EC37A5">
              <w:lastRenderedPageBreak/>
              <w:t xml:space="preserve">vienoties par atmaksājamā finansējuma atmaksas grafiku, kas kopumā nepārsniedz </w:t>
            </w:r>
            <w:r w:rsidR="009B6FC9">
              <w:t>24</w:t>
            </w:r>
            <w:r w:rsidRPr="00EC37A5">
              <w:t xml:space="preserve"> mēnešus.</w:t>
            </w:r>
            <w:r w:rsidR="00406873">
              <w:t xml:space="preserve"> </w:t>
            </w:r>
          </w:p>
          <w:p w14:paraId="155814DF" w14:textId="43685C06" w:rsidR="00D45F84" w:rsidRPr="006D6FA8" w:rsidRDefault="00853463" w:rsidP="00E56202">
            <w:pPr>
              <w:jc w:val="both"/>
            </w:pPr>
            <w:r w:rsidRPr="006D6FA8">
              <w:t xml:space="preserve">Šādi </w:t>
            </w:r>
            <w:r w:rsidR="00D45F84" w:rsidRPr="006D6FA8">
              <w:t xml:space="preserve">atmaksāto finansējumu uzskata par </w:t>
            </w:r>
            <w:r w:rsidR="00D45F84" w:rsidRPr="006D6FA8">
              <w:rPr>
                <w:u w:val="single"/>
              </w:rPr>
              <w:t>atmaksājamo palīdzību</w:t>
            </w:r>
            <w:r w:rsidR="00D45F84" w:rsidRPr="006D6FA8">
              <w:t xml:space="preserve"> atbilstoši </w:t>
            </w:r>
            <w:r w:rsidR="00D45F84" w:rsidRPr="006D6FA8">
              <w:rPr>
                <w:bCs/>
              </w:rPr>
              <w:t>Eiropas Parlamenta un Padomes 2013.gada 17.decembra Regul</w:t>
            </w:r>
            <w:r w:rsidR="00A47CBB" w:rsidRPr="006D6FA8">
              <w:rPr>
                <w:bCs/>
              </w:rPr>
              <w:t>as</w:t>
            </w:r>
            <w:r w:rsidR="00D45F84" w:rsidRPr="006D6FA8">
              <w:rPr>
                <w:bCs/>
              </w:rPr>
              <w:t xml:space="preserve"> (ES) Nr.1303/2013, </w:t>
            </w:r>
            <w:r w:rsidR="00D45F84" w:rsidRPr="006D6FA8">
              <w:rPr>
                <w:bCs/>
                <w:i/>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w:t>
            </w:r>
            <w:r w:rsidR="00D45F84" w:rsidRPr="006D6FA8">
              <w:rPr>
                <w:bCs/>
              </w:rPr>
              <w:t xml:space="preserve"> (turpmāk – Eiropas Parlamenta un Padomes 2013.gada 17.decembra Regula (ES) Nr.1303/2013) 67., 68.un 69.pantā noteiktajam</w:t>
            </w:r>
            <w:r w:rsidR="00615E14">
              <w:rPr>
                <w:bCs/>
              </w:rPr>
              <w:t xml:space="preserve">, </w:t>
            </w:r>
            <w:r w:rsidR="00615E14" w:rsidRPr="00615E14">
              <w:rPr>
                <w:b/>
                <w:bCs/>
              </w:rPr>
              <w:t>kas tiešā veidā ļauj atmaksāt tikai tās izmaksas, kas attiecas uz projektā nesasniegto rezultāta rādītāju, tādējādi veicinot projekta uzraudzības rādītāju – notekūdeņu pakalpojumu pieslēgumu nodrošināšanu</w:t>
            </w:r>
            <w:r w:rsidR="00D45F84" w:rsidRPr="006D6FA8">
              <w:rPr>
                <w:bCs/>
              </w:rPr>
              <w:t xml:space="preserve">. Izpildot Eiropas Parlamenta un Padomes 2013.gada 17.decembra Regulas (ES) Nr.1303/2013 67.pantā noteikto, MK noteikumu projekts paredz, ka atmaksāto palīdzību </w:t>
            </w:r>
            <w:r w:rsidR="00D45F84" w:rsidRPr="006D6FA8">
              <w:t xml:space="preserve">atkārtoti izmanto projektu īstenošanai </w:t>
            </w:r>
            <w:r w:rsidR="00737E11" w:rsidRPr="006D6FA8">
              <w:rPr>
                <w:b/>
              </w:rPr>
              <w:t>nākamo</w:t>
            </w:r>
            <w:r w:rsidR="00737E11" w:rsidRPr="006D6FA8">
              <w:t xml:space="preserve"> </w:t>
            </w:r>
            <w:r w:rsidR="00D45F84" w:rsidRPr="006D6FA8">
              <w:t xml:space="preserve">atlases </w:t>
            </w:r>
            <w:r w:rsidR="00737E11" w:rsidRPr="006D6FA8">
              <w:t xml:space="preserve">kārtu </w:t>
            </w:r>
            <w:r w:rsidR="00D45F84" w:rsidRPr="006D6FA8">
              <w:t>ietvaros. Ja atmaksāto finansējumu laika trūkuma dēļ nav iespējams izmantot ES fondu 2014.–2020.gada plānošanas perioda ietvaros, to izmanto atbilstoši SAM</w:t>
            </w:r>
            <w:r w:rsidR="002142E8" w:rsidRPr="006D6FA8">
              <w:t xml:space="preserve"> 5.3.1. </w:t>
            </w:r>
            <w:r w:rsidR="00D45F84" w:rsidRPr="006D6FA8">
              <w:t>mērķim ārpus ES fondu ietvara.</w:t>
            </w:r>
          </w:p>
          <w:p w14:paraId="6F256DF3" w14:textId="77777777" w:rsidR="00E56202" w:rsidRPr="006D6FA8" w:rsidRDefault="00E56202" w:rsidP="00E56202">
            <w:pPr>
              <w:jc w:val="both"/>
            </w:pPr>
          </w:p>
          <w:p w14:paraId="09F7F34C" w14:textId="77777777" w:rsidR="00D45F84" w:rsidRPr="00EC37A5" w:rsidRDefault="00D45F84" w:rsidP="00E56202">
            <w:pPr>
              <w:jc w:val="both"/>
              <w:rPr>
                <w:rStyle w:val="cspklasifikatorscodename"/>
                <w:u w:val="single"/>
              </w:rPr>
            </w:pPr>
            <w:r w:rsidRPr="00EC37A5">
              <w:rPr>
                <w:rStyle w:val="cspklasifikatorscodename"/>
                <w:u w:val="single"/>
              </w:rPr>
              <w:t>Finansējums</w:t>
            </w:r>
          </w:p>
          <w:p w14:paraId="083D735E" w14:textId="7EAB7721" w:rsidR="00E7374B" w:rsidRDefault="00D45F84" w:rsidP="00E56202">
            <w:pPr>
              <w:spacing w:after="120"/>
              <w:jc w:val="both"/>
              <w:rPr>
                <w:bCs/>
              </w:rPr>
            </w:pPr>
            <w:r w:rsidRPr="00EC37A5">
              <w:rPr>
                <w:rStyle w:val="cspklasifikatorscodename"/>
              </w:rPr>
              <w:t xml:space="preserve">MK noteikumu projekts nosaka SAM </w:t>
            </w:r>
            <w:r w:rsidR="002142E8">
              <w:t xml:space="preserve">5.3.1. </w:t>
            </w:r>
            <w:r w:rsidR="00737E11" w:rsidRPr="00176D28">
              <w:rPr>
                <w:rStyle w:val="cspklasifikatorscodename"/>
                <w:b/>
              </w:rPr>
              <w:t>plānoto</w:t>
            </w:r>
            <w:r w:rsidR="00737E11" w:rsidRPr="00EC37A5">
              <w:rPr>
                <w:rStyle w:val="cspklasifikatorscodename"/>
              </w:rPr>
              <w:t xml:space="preserve"> </w:t>
            </w:r>
            <w:r w:rsidRPr="00EC37A5">
              <w:rPr>
                <w:rStyle w:val="cspklasifikatorscodename"/>
              </w:rPr>
              <w:t xml:space="preserve">finansējuma apjomu, tajā </w:t>
            </w:r>
            <w:r w:rsidRPr="00490F1B">
              <w:rPr>
                <w:bCs/>
              </w:rPr>
              <w:t>skaitā sadalījumā pa finansējuma avotiem. Vienlaikus MK noteikumu projekts nosaka atlases kārt</w:t>
            </w:r>
            <w:r w:rsidR="001B54B3">
              <w:rPr>
                <w:bCs/>
              </w:rPr>
              <w:t>ām</w:t>
            </w:r>
            <w:r w:rsidRPr="00490F1B">
              <w:rPr>
                <w:bCs/>
              </w:rPr>
              <w:t xml:space="preserve"> pieejamo finansējumu</w:t>
            </w:r>
            <w:r w:rsidR="00006960" w:rsidRPr="00490F1B">
              <w:rPr>
                <w:bCs/>
              </w:rPr>
              <w:t xml:space="preserve">. Pirmās atlases kārtā plānotais pieejamais finansējums ir ne </w:t>
            </w:r>
            <w:r w:rsidR="00436DE5" w:rsidRPr="00490F1B">
              <w:rPr>
                <w:bCs/>
              </w:rPr>
              <w:t>mazāk</w:t>
            </w:r>
            <w:r w:rsidR="00006960" w:rsidRPr="00490F1B">
              <w:rPr>
                <w:bCs/>
              </w:rPr>
              <w:t xml:space="preserve"> kā </w:t>
            </w:r>
            <w:r w:rsidR="001443E2" w:rsidRPr="000D72AF">
              <w:rPr>
                <w:b/>
                <w:bCs/>
              </w:rPr>
              <w:t xml:space="preserve">69 408 </w:t>
            </w:r>
            <w:r w:rsidR="000432D2" w:rsidRPr="000D72AF">
              <w:rPr>
                <w:b/>
                <w:bCs/>
              </w:rPr>
              <w:t>120</w:t>
            </w:r>
            <w:r w:rsidR="000432D2" w:rsidRPr="00490F1B">
              <w:rPr>
                <w:bCs/>
              </w:rPr>
              <w:t xml:space="preserve"> </w:t>
            </w:r>
            <w:proofErr w:type="spellStart"/>
            <w:r w:rsidR="00006960" w:rsidRPr="00490F1B">
              <w:rPr>
                <w:bCs/>
                <w:i/>
              </w:rPr>
              <w:t>euro</w:t>
            </w:r>
            <w:proofErr w:type="spellEnd"/>
            <w:r w:rsidR="00006960" w:rsidRPr="00490F1B">
              <w:rPr>
                <w:bCs/>
              </w:rPr>
              <w:t xml:space="preserve">, tai skaitā Kohēzijas fonda finansējums – </w:t>
            </w:r>
            <w:r w:rsidR="00436DE5" w:rsidRPr="00490F1B">
              <w:rPr>
                <w:bCs/>
              </w:rPr>
              <w:t xml:space="preserve">ne mazāk kā </w:t>
            </w:r>
            <w:r w:rsidR="000432D2" w:rsidRPr="000D72AF">
              <w:rPr>
                <w:b/>
                <w:bCs/>
              </w:rPr>
              <w:t>58 996 902</w:t>
            </w:r>
            <w:r w:rsidR="00006960" w:rsidRPr="00490F1B">
              <w:rPr>
                <w:bCs/>
              </w:rPr>
              <w:t> </w:t>
            </w:r>
            <w:proofErr w:type="spellStart"/>
            <w:r w:rsidR="00006960" w:rsidRPr="00490F1B">
              <w:rPr>
                <w:bCs/>
                <w:i/>
              </w:rPr>
              <w:t>euro</w:t>
            </w:r>
            <w:proofErr w:type="spellEnd"/>
            <w:r w:rsidR="000432D2">
              <w:rPr>
                <w:bCs/>
                <w:i/>
              </w:rPr>
              <w:t xml:space="preserve"> </w:t>
            </w:r>
            <w:r w:rsidR="000432D2" w:rsidRPr="000D72AF">
              <w:rPr>
                <w:b/>
                <w:bCs/>
              </w:rPr>
              <w:t>un nacionālais privātais finansējums vismaz 10 411 218</w:t>
            </w:r>
            <w:r w:rsidR="000432D2" w:rsidRPr="000D72AF">
              <w:rPr>
                <w:b/>
                <w:bCs/>
                <w:i/>
              </w:rPr>
              <w:t xml:space="preserve"> </w:t>
            </w:r>
            <w:proofErr w:type="spellStart"/>
            <w:r w:rsidR="000432D2" w:rsidRPr="000D72AF">
              <w:rPr>
                <w:b/>
                <w:bCs/>
                <w:i/>
              </w:rPr>
              <w:t>euro</w:t>
            </w:r>
            <w:proofErr w:type="spellEnd"/>
            <w:r w:rsidR="00006960" w:rsidRPr="00490F1B">
              <w:rPr>
                <w:bCs/>
              </w:rPr>
              <w:t xml:space="preserve">. </w:t>
            </w:r>
            <w:r w:rsidR="00FE6147">
              <w:rPr>
                <w:bCs/>
              </w:rPr>
              <w:t>O</w:t>
            </w:r>
            <w:r w:rsidR="00006960" w:rsidRPr="00490F1B">
              <w:rPr>
                <w:bCs/>
              </w:rPr>
              <w:t xml:space="preserve">trajai un trešajai atlases kārtai </w:t>
            </w:r>
            <w:r w:rsidR="00CF7A85">
              <w:rPr>
                <w:bCs/>
              </w:rPr>
              <w:t>pieejamais</w:t>
            </w:r>
            <w:r w:rsidR="00006960" w:rsidRPr="00490F1B">
              <w:rPr>
                <w:bCs/>
              </w:rPr>
              <w:t xml:space="preserve"> </w:t>
            </w:r>
            <w:r w:rsidR="00436DE5" w:rsidRPr="00490F1B">
              <w:rPr>
                <w:bCs/>
              </w:rPr>
              <w:t xml:space="preserve">kopējais </w:t>
            </w:r>
            <w:r w:rsidR="00006960" w:rsidRPr="00490F1B">
              <w:rPr>
                <w:bCs/>
              </w:rPr>
              <w:t xml:space="preserve">pieejamais finansējums ir ne mazāk kā </w:t>
            </w:r>
            <w:r w:rsidR="000D72AF" w:rsidRPr="000D72AF">
              <w:rPr>
                <w:b/>
                <w:bCs/>
              </w:rPr>
              <w:t>65 728 835</w:t>
            </w:r>
            <w:r w:rsidR="000D72AF">
              <w:rPr>
                <w:bCs/>
              </w:rPr>
              <w:t xml:space="preserve"> </w:t>
            </w:r>
            <w:proofErr w:type="spellStart"/>
            <w:r w:rsidR="00006960" w:rsidRPr="00490F1B">
              <w:rPr>
                <w:bCs/>
                <w:i/>
              </w:rPr>
              <w:t>euro</w:t>
            </w:r>
            <w:proofErr w:type="spellEnd"/>
            <w:r w:rsidR="00006960" w:rsidRPr="00490F1B">
              <w:rPr>
                <w:bCs/>
              </w:rPr>
              <w:t xml:space="preserve">, tai skaitā Kohēzijas fonda finansējums – </w:t>
            </w:r>
            <w:r w:rsidR="000D72AF" w:rsidRPr="000D72AF">
              <w:rPr>
                <w:b/>
                <w:bCs/>
              </w:rPr>
              <w:t>55 869 509</w:t>
            </w:r>
            <w:r w:rsidR="00006960" w:rsidRPr="00490F1B">
              <w:rPr>
                <w:bCs/>
              </w:rPr>
              <w:t xml:space="preserve"> </w:t>
            </w:r>
            <w:proofErr w:type="spellStart"/>
            <w:r w:rsidR="00006960" w:rsidRPr="00490F1B">
              <w:rPr>
                <w:bCs/>
                <w:i/>
              </w:rPr>
              <w:t>euro</w:t>
            </w:r>
            <w:proofErr w:type="spellEnd"/>
            <w:r w:rsidR="000D72AF">
              <w:rPr>
                <w:bCs/>
                <w:i/>
              </w:rPr>
              <w:t xml:space="preserve">, </w:t>
            </w:r>
            <w:r w:rsidR="000D72AF" w:rsidRPr="000D72AF">
              <w:rPr>
                <w:b/>
                <w:bCs/>
              </w:rPr>
              <w:t>nacionālais privātais finansējums vismaz 9 488 570</w:t>
            </w:r>
            <w:r w:rsidR="000D72AF" w:rsidRPr="000D72AF">
              <w:rPr>
                <w:b/>
                <w:bCs/>
                <w:i/>
              </w:rPr>
              <w:t xml:space="preserve"> </w:t>
            </w:r>
            <w:proofErr w:type="spellStart"/>
            <w:r w:rsidR="000D72AF" w:rsidRPr="000D72AF">
              <w:rPr>
                <w:b/>
                <w:bCs/>
                <w:i/>
              </w:rPr>
              <w:t>euro</w:t>
            </w:r>
            <w:proofErr w:type="spellEnd"/>
            <w:r w:rsidR="000D72AF" w:rsidRPr="000D72AF">
              <w:rPr>
                <w:b/>
                <w:bCs/>
                <w:i/>
              </w:rPr>
              <w:t xml:space="preserve"> </w:t>
            </w:r>
            <w:r w:rsidR="000D72AF" w:rsidRPr="000D72AF">
              <w:rPr>
                <w:b/>
                <w:bCs/>
              </w:rPr>
              <w:t>un nacionālais pašvaldību finansējums vismaz 370 756</w:t>
            </w:r>
            <w:r w:rsidR="000D72AF" w:rsidRPr="000D72AF">
              <w:rPr>
                <w:b/>
                <w:bCs/>
                <w:i/>
              </w:rPr>
              <w:t xml:space="preserve"> </w:t>
            </w:r>
            <w:proofErr w:type="spellStart"/>
            <w:r w:rsidR="000D72AF" w:rsidRPr="000D72AF">
              <w:rPr>
                <w:b/>
                <w:bCs/>
                <w:i/>
              </w:rPr>
              <w:t>euro</w:t>
            </w:r>
            <w:proofErr w:type="spellEnd"/>
            <w:r w:rsidR="000D72AF">
              <w:rPr>
                <w:bCs/>
                <w:i/>
              </w:rPr>
              <w:t xml:space="preserve">. </w:t>
            </w:r>
            <w:r w:rsidR="000D72AF">
              <w:rPr>
                <w:bCs/>
              </w:rPr>
              <w:t>S</w:t>
            </w:r>
            <w:r w:rsidR="00FE6147">
              <w:rPr>
                <w:bCs/>
              </w:rPr>
              <w:t xml:space="preserve">avukārt ceturtajai atlases kārtai pieejamais finansējums ir ne mazāk kā </w:t>
            </w:r>
            <w:r w:rsidR="00FE6147" w:rsidRPr="00CF7A85">
              <w:rPr>
                <w:b/>
                <w:bCs/>
              </w:rPr>
              <w:t>13 773 85</w:t>
            </w:r>
            <w:r w:rsidR="00CF7A85" w:rsidRPr="00CF7A85">
              <w:rPr>
                <w:b/>
                <w:bCs/>
              </w:rPr>
              <w:t>3</w:t>
            </w:r>
            <w:r w:rsidR="00FE6147">
              <w:rPr>
                <w:bCs/>
              </w:rPr>
              <w:t xml:space="preserve"> </w:t>
            </w:r>
            <w:proofErr w:type="spellStart"/>
            <w:r w:rsidR="00FE6147" w:rsidRPr="001F7AA1">
              <w:rPr>
                <w:bCs/>
                <w:i/>
              </w:rPr>
              <w:t>euro</w:t>
            </w:r>
            <w:proofErr w:type="spellEnd"/>
            <w:r w:rsidR="00FE6147">
              <w:rPr>
                <w:bCs/>
              </w:rPr>
              <w:t xml:space="preserve">, tai skaitā Kohēzijas fonda finansējums 11 707 775 </w:t>
            </w:r>
            <w:proofErr w:type="spellStart"/>
            <w:r w:rsidR="00FE6147" w:rsidRPr="001F7AA1">
              <w:rPr>
                <w:bCs/>
                <w:i/>
              </w:rPr>
              <w:t>euro</w:t>
            </w:r>
            <w:proofErr w:type="spellEnd"/>
            <w:r w:rsidR="000D72AF">
              <w:rPr>
                <w:bCs/>
                <w:i/>
              </w:rPr>
              <w:t xml:space="preserve"> </w:t>
            </w:r>
            <w:r w:rsidR="000D72AF" w:rsidRPr="000D72AF">
              <w:rPr>
                <w:b/>
                <w:bCs/>
              </w:rPr>
              <w:t>un nacionālais privātais finansējums vismaz 2 066 078</w:t>
            </w:r>
            <w:r w:rsidR="000D72AF" w:rsidRPr="000D72AF">
              <w:rPr>
                <w:b/>
                <w:bCs/>
                <w:i/>
              </w:rPr>
              <w:t xml:space="preserve"> </w:t>
            </w:r>
            <w:proofErr w:type="spellStart"/>
            <w:r w:rsidR="000D72AF" w:rsidRPr="000D72AF">
              <w:rPr>
                <w:b/>
                <w:bCs/>
                <w:i/>
              </w:rPr>
              <w:t>euro</w:t>
            </w:r>
            <w:proofErr w:type="spellEnd"/>
            <w:r w:rsidR="00FE6147">
              <w:rPr>
                <w:bCs/>
              </w:rPr>
              <w:t>.</w:t>
            </w:r>
            <w:r w:rsidR="00436DE5" w:rsidRPr="00490F1B">
              <w:rPr>
                <w:bCs/>
              </w:rPr>
              <w:t xml:space="preserve"> </w:t>
            </w:r>
            <w:r w:rsidR="00490F1B" w:rsidRPr="00490F1B">
              <w:rPr>
                <w:bCs/>
              </w:rPr>
              <w:t>Precīzs</w:t>
            </w:r>
            <w:r w:rsidR="00490F1B">
              <w:rPr>
                <w:bCs/>
              </w:rPr>
              <w:t xml:space="preserve"> finansējuma</w:t>
            </w:r>
            <w:r w:rsidR="00436DE5" w:rsidRPr="00490F1B">
              <w:rPr>
                <w:bCs/>
              </w:rPr>
              <w:t xml:space="preserve"> sadalījums</w:t>
            </w:r>
            <w:r w:rsidR="00490F1B">
              <w:rPr>
                <w:bCs/>
              </w:rPr>
              <w:t xml:space="preserve"> otrajai</w:t>
            </w:r>
            <w:r w:rsidR="00FE6147">
              <w:rPr>
                <w:bCs/>
              </w:rPr>
              <w:t>,</w:t>
            </w:r>
            <w:r w:rsidR="00490F1B">
              <w:rPr>
                <w:bCs/>
              </w:rPr>
              <w:t xml:space="preserve"> trešajai</w:t>
            </w:r>
            <w:r w:rsidR="00FE6147">
              <w:rPr>
                <w:bCs/>
              </w:rPr>
              <w:t xml:space="preserve"> un ceturtajai</w:t>
            </w:r>
            <w:r w:rsidR="00490F1B">
              <w:rPr>
                <w:bCs/>
              </w:rPr>
              <w:t xml:space="preserve"> atlases kārtai</w:t>
            </w:r>
            <w:r w:rsidR="00A47CBB">
              <w:rPr>
                <w:bCs/>
              </w:rPr>
              <w:t>, kā arī</w:t>
            </w:r>
            <w:r w:rsidR="00BE3EAD">
              <w:rPr>
                <w:bCs/>
              </w:rPr>
              <w:t xml:space="preserve"> tajā iekļautajām aglomerācijām</w:t>
            </w:r>
            <w:r w:rsidR="00490F1B">
              <w:rPr>
                <w:bCs/>
              </w:rPr>
              <w:t xml:space="preserve"> tiks noteikts 2016.gada beig</w:t>
            </w:r>
            <w:r w:rsidR="00A44F0D">
              <w:rPr>
                <w:bCs/>
              </w:rPr>
              <w:t xml:space="preserve">ās </w:t>
            </w:r>
            <w:r w:rsidR="00BE3EAD">
              <w:rPr>
                <w:bCs/>
              </w:rPr>
              <w:t>atbilstoši projektu vienkāršoto izmaksu – ieguvumu analīzes rezultātiem.</w:t>
            </w:r>
            <w:r w:rsidR="00A44F0D">
              <w:rPr>
                <w:bCs/>
              </w:rPr>
              <w:t xml:space="preserve"> </w:t>
            </w:r>
          </w:p>
          <w:p w14:paraId="387F9EF0" w14:textId="6828D1BE" w:rsidR="00E7374B" w:rsidRPr="00851144" w:rsidRDefault="00D45F84" w:rsidP="00E7374B">
            <w:pPr>
              <w:spacing w:after="120"/>
              <w:jc w:val="both"/>
              <w:rPr>
                <w:bCs/>
              </w:rPr>
            </w:pPr>
            <w:r w:rsidRPr="00EC37A5">
              <w:t xml:space="preserve">Ņemot vērā snieguma rezerves apjomu, </w:t>
            </w:r>
            <w:r w:rsidR="009C0491">
              <w:t>S</w:t>
            </w:r>
            <w:r w:rsidRPr="00EC37A5">
              <w:t>adarbības iestāde līdz 2018.gada 31.decembrim slēdz vienošanās vai civiltiesiskos līgumus par projektu īstenošanu tādā apjomā, kas nepārsniedz 93,</w:t>
            </w:r>
            <w:r w:rsidR="009E652D">
              <w:t>81</w:t>
            </w:r>
            <w:r w:rsidRPr="00EC37A5">
              <w:t xml:space="preserve"> procentus no kopējā SAM</w:t>
            </w:r>
            <w:r w:rsidR="002142E8">
              <w:t xml:space="preserve"> 5.3.1. </w:t>
            </w:r>
            <w:r w:rsidRPr="00EC37A5">
              <w:t xml:space="preserve">ietvaros pieejamā </w:t>
            </w:r>
            <w:r w:rsidR="00CF7A85">
              <w:t>KF</w:t>
            </w:r>
            <w:r w:rsidRPr="00EC37A5">
              <w:t xml:space="preserve"> finansējuma.  </w:t>
            </w:r>
            <w:r w:rsidR="00E7374B">
              <w:t>S</w:t>
            </w:r>
            <w:r w:rsidR="00E7374B" w:rsidRPr="00E56202">
              <w:t xml:space="preserve">nieguma rezerve </w:t>
            </w:r>
            <w:r w:rsidR="00E7374B" w:rsidRPr="00E56202">
              <w:rPr>
                <w:bCs/>
              </w:rPr>
              <w:t>tiek iekļaut</w:t>
            </w:r>
            <w:r w:rsidR="00E7374B">
              <w:rPr>
                <w:bCs/>
              </w:rPr>
              <w:t>a ceturt</w:t>
            </w:r>
            <w:r w:rsidR="00CF7A85">
              <w:rPr>
                <w:bCs/>
              </w:rPr>
              <w:t>ajā</w:t>
            </w:r>
            <w:r w:rsidR="00E7374B" w:rsidRPr="00E56202">
              <w:rPr>
                <w:bCs/>
              </w:rPr>
              <w:t xml:space="preserve"> atlases kārtā</w:t>
            </w:r>
            <w:r w:rsidR="00E7374B" w:rsidRPr="00E56202">
              <w:t xml:space="preserve"> (6,19 procentu apjomā no SAM 5.3.1. </w:t>
            </w:r>
            <w:r w:rsidR="00CF7A85">
              <w:t xml:space="preserve">KF </w:t>
            </w:r>
            <w:r w:rsidR="00E7374B" w:rsidRPr="00E56202">
              <w:t>finansējuma)</w:t>
            </w:r>
            <w:r w:rsidR="00E7374B">
              <w:t>, atlases kārtu organizējot divos uzsaukumos.</w:t>
            </w:r>
          </w:p>
          <w:p w14:paraId="13012319" w14:textId="0FBDF13C" w:rsidR="00D45F84" w:rsidRPr="00EC37A5" w:rsidRDefault="00D45F84" w:rsidP="00E56202">
            <w:pPr>
              <w:spacing w:after="120"/>
              <w:jc w:val="both"/>
              <w:outlineLvl w:val="0"/>
            </w:pPr>
            <w:r w:rsidRPr="00845462">
              <w:lastRenderedPageBreak/>
              <w:t xml:space="preserve">MK noteikumu projekts nosaka </w:t>
            </w:r>
            <w:r w:rsidR="00125F98">
              <w:t xml:space="preserve">arī </w:t>
            </w:r>
            <w:r w:rsidRPr="00845462">
              <w:t xml:space="preserve">avansa piešķiršanas nosacījumus un avansa apmēru, kas var būt līdz </w:t>
            </w:r>
            <w:r w:rsidR="009E652D" w:rsidRPr="00845462">
              <w:t>3</w:t>
            </w:r>
            <w:r w:rsidRPr="00845462">
              <w:t>0 proc</w:t>
            </w:r>
            <w:r w:rsidR="009E652D" w:rsidRPr="00845462">
              <w:t xml:space="preserve">entiem no projektam piešķirtā </w:t>
            </w:r>
            <w:r w:rsidR="00CF7A85">
              <w:t>KF</w:t>
            </w:r>
            <w:r w:rsidR="009E652D" w:rsidRPr="00845462">
              <w:t xml:space="preserve"> finansējuma apjoma</w:t>
            </w:r>
            <w:r w:rsidRPr="00845462">
              <w:t>.</w:t>
            </w:r>
            <w:r w:rsidRPr="00EC37A5">
              <w:t xml:space="preserve"> </w:t>
            </w:r>
            <w:r w:rsidR="00004D4C" w:rsidRPr="00004D4C">
              <w:rPr>
                <w:b/>
              </w:rPr>
              <w:t>Avansu var izmaksāt vairākos maksājumos.</w:t>
            </w:r>
          </w:p>
          <w:p w14:paraId="2DAC3B9E" w14:textId="77777777" w:rsidR="00D45F84" w:rsidRPr="00EC37A5" w:rsidRDefault="00D45F84" w:rsidP="00E56202">
            <w:pPr>
              <w:jc w:val="both"/>
              <w:rPr>
                <w:u w:val="single"/>
              </w:rPr>
            </w:pPr>
            <w:r w:rsidRPr="00EC37A5">
              <w:rPr>
                <w:u w:val="single"/>
              </w:rPr>
              <w:t>Izmaksu attiecināmība</w:t>
            </w:r>
          </w:p>
          <w:p w14:paraId="4377E574" w14:textId="553CA39A" w:rsidR="00AE165A" w:rsidRPr="00B968C5" w:rsidRDefault="00D45F84" w:rsidP="0073727C">
            <w:pPr>
              <w:spacing w:after="120"/>
              <w:jc w:val="both"/>
              <w:outlineLvl w:val="0"/>
              <w:rPr>
                <w:sz w:val="28"/>
                <w:szCs w:val="28"/>
              </w:rPr>
            </w:pPr>
            <w:r w:rsidRPr="00EC37A5">
              <w:t xml:space="preserve">MK noteikumu projektā </w:t>
            </w:r>
            <w:r w:rsidR="00AE165A">
              <w:t>noteiktas</w:t>
            </w:r>
            <w:r w:rsidRPr="00EC37A5">
              <w:t xml:space="preserve"> </w:t>
            </w:r>
            <w:r w:rsidR="000E726E">
              <w:t xml:space="preserve">projektos </w:t>
            </w:r>
            <w:r w:rsidR="00AE165A">
              <w:t>atbalstāmās darbības,</w:t>
            </w:r>
            <w:r w:rsidR="000E726E">
              <w:t xml:space="preserve"> kas</w:t>
            </w:r>
            <w:r w:rsidR="00AE165A">
              <w:t xml:space="preserve"> </w:t>
            </w:r>
            <w:r w:rsidR="000E726E" w:rsidRPr="00EC37A5">
              <w:t xml:space="preserve">sekmē SAM </w:t>
            </w:r>
            <w:r w:rsidR="000E726E">
              <w:t xml:space="preserve">5.3.1. </w:t>
            </w:r>
            <w:r w:rsidR="000E726E" w:rsidRPr="00EC37A5">
              <w:t>iznākuma rādītāju sasniegšanu</w:t>
            </w:r>
            <w:r w:rsidR="000E726E">
              <w:t xml:space="preserve">, </w:t>
            </w:r>
            <w:r w:rsidR="00AE165A">
              <w:t xml:space="preserve">kā arī darbības, kuras </w:t>
            </w:r>
            <w:r w:rsidR="00AE165A" w:rsidRPr="00AE165A">
              <w:t>nav atbalstāmas</w:t>
            </w:r>
            <w:r w:rsidR="000E726E">
              <w:t>, līdz ar to</w:t>
            </w:r>
            <w:r w:rsidR="00AE165A" w:rsidRPr="00AE165A">
              <w:t xml:space="preserve"> projektā nav iekļaujamas.</w:t>
            </w:r>
            <w:r w:rsidR="00AE165A">
              <w:t xml:space="preserve"> </w:t>
            </w:r>
            <w:r w:rsidR="00AE165A" w:rsidRPr="00176D28">
              <w:t>Projekt</w:t>
            </w:r>
            <w:r w:rsidR="00125F98" w:rsidRPr="00176D28">
              <w:t>u ietvaros</w:t>
            </w:r>
            <w:r w:rsidR="00AE165A" w:rsidRPr="00176D28">
              <w:t xml:space="preserve"> nav atbalstāma ūdensapgādes būvju </w:t>
            </w:r>
            <w:r w:rsidR="000E726E">
              <w:t>būvniecība</w:t>
            </w:r>
            <w:r w:rsidR="00AE165A" w:rsidRPr="00176D28">
              <w:t xml:space="preserve"> ārpus </w:t>
            </w:r>
            <w:r w:rsidR="000E726E">
              <w:t xml:space="preserve">esošās apbūves un </w:t>
            </w:r>
            <w:r w:rsidR="00AE165A" w:rsidRPr="00176D28">
              <w:t>ūdensapgādes apkalpes zonas</w:t>
            </w:r>
            <w:r w:rsidR="000E726E">
              <w:t>, kā arī</w:t>
            </w:r>
            <w:r w:rsidR="00AE165A" w:rsidRPr="00176D28">
              <w:t xml:space="preserve"> kanalizācijas būvju </w:t>
            </w:r>
            <w:r w:rsidR="000E726E">
              <w:t>būvniecība</w:t>
            </w:r>
            <w:r w:rsidR="00AE165A" w:rsidRPr="00176D28">
              <w:t xml:space="preserve"> ārpus </w:t>
            </w:r>
            <w:r w:rsidR="000A6162">
              <w:t xml:space="preserve">esošās apbūves un </w:t>
            </w:r>
            <w:r w:rsidR="00AE165A" w:rsidRPr="00176D28">
              <w:t>aglomerācijas teritorijas</w:t>
            </w:r>
            <w:r w:rsidR="00042D20" w:rsidRPr="00176D28">
              <w:t xml:space="preserve">, izņemot </w:t>
            </w:r>
            <w:r w:rsidR="000E726E">
              <w:t xml:space="preserve">savienojošos </w:t>
            </w:r>
            <w:r w:rsidR="000A6162">
              <w:t>kanalizācijas ārējos inženiertīklus</w:t>
            </w:r>
            <w:r w:rsidR="00042D20" w:rsidRPr="00176D28">
              <w:t>, kas nepieciešam</w:t>
            </w:r>
            <w:r w:rsidR="000E726E">
              <w:t>i</w:t>
            </w:r>
            <w:r w:rsidR="00042D20" w:rsidRPr="00176D28">
              <w:t xml:space="preserve"> projekt</w:t>
            </w:r>
            <w:r w:rsidR="000E726E">
              <w:t>ā</w:t>
            </w:r>
            <w:r w:rsidR="00042D20" w:rsidRPr="00176D28">
              <w:t xml:space="preserve"> izbūvēt</w:t>
            </w:r>
            <w:r w:rsidR="000A6162">
              <w:t xml:space="preserve">o kanalizācijas ārējo inženiertīklu </w:t>
            </w:r>
            <w:r w:rsidR="00042D20" w:rsidRPr="00176D28">
              <w:t>savienošanai ar esoš</w:t>
            </w:r>
            <w:r w:rsidR="000A6162">
              <w:t>ajām</w:t>
            </w:r>
            <w:r w:rsidR="00042D20" w:rsidRPr="00176D28">
              <w:t xml:space="preserve"> notekūdeņu savākšanas un attīrīšanas </w:t>
            </w:r>
            <w:r w:rsidR="000A6162">
              <w:t>būvēm</w:t>
            </w:r>
            <w:r w:rsidR="008459F5" w:rsidRPr="00176D28">
              <w:t xml:space="preserve"> (t.i. </w:t>
            </w:r>
            <w:r w:rsidR="00C25585" w:rsidRPr="00176D28">
              <w:t xml:space="preserve">spiedvadi vai citi maģistrālie notekūdeņu savākšanas </w:t>
            </w:r>
            <w:r w:rsidR="000A6162">
              <w:t>ārējie inženiertīkli</w:t>
            </w:r>
            <w:r w:rsidR="00C25585" w:rsidRPr="00176D28">
              <w:t>, kas netiek tieši izmantoti pakalpojuma lietotāju pieslēguma izveidei</w:t>
            </w:r>
            <w:r w:rsidR="008459F5" w:rsidRPr="00176D28">
              <w:t>, bet nepieciešam</w:t>
            </w:r>
            <w:r w:rsidR="00C25585" w:rsidRPr="00176D28">
              <w:t>i</w:t>
            </w:r>
            <w:r w:rsidR="00231CE5" w:rsidRPr="00C25585">
              <w:t xml:space="preserve"> taisnāka trasējuma izbūvei, efektīvākai finansējuma izmantošanai)</w:t>
            </w:r>
            <w:r w:rsidR="000E726E">
              <w:t>.</w:t>
            </w:r>
            <w:r w:rsidR="00AE165A" w:rsidRPr="00C25585">
              <w:t xml:space="preserve"> </w:t>
            </w:r>
            <w:r w:rsidR="000E726E">
              <w:t>Projektu ietvaros nav atbalstāma</w:t>
            </w:r>
            <w:r w:rsidR="00AE165A">
              <w:t xml:space="preserve"> arī </w:t>
            </w:r>
            <w:r w:rsidR="000E726E">
              <w:t xml:space="preserve">sabiedrisko </w:t>
            </w:r>
            <w:r w:rsidR="00AE165A" w:rsidRPr="00AE165A">
              <w:t>ūdenssaimniecības pakalpojumu kvalitātes uzlabošana, kas jau sākotnēji atbilst normatīvajos aktos par dzeramā ūdens kvalitāti un notekūdeņu savākšanu un būvnormatīvos noteiktām prasībām</w:t>
            </w:r>
            <w:r w:rsidR="00AE165A">
              <w:t xml:space="preserve">, jo SAM 5.3.1. investīciju primārais mērķis ir nodrošināt ES </w:t>
            </w:r>
            <w:proofErr w:type="spellStart"/>
            <w:r w:rsidR="00AE165A" w:rsidRPr="00AE165A">
              <w:rPr>
                <w:i/>
              </w:rPr>
              <w:t>acquis</w:t>
            </w:r>
            <w:proofErr w:type="spellEnd"/>
            <w:r w:rsidR="00AE165A">
              <w:t xml:space="preserve"> prasību izpildi ūdenssaimniecību jomā. Tāpat, ievērojot</w:t>
            </w:r>
            <w:r w:rsidR="00137F75">
              <w:t xml:space="preserve"> gan iepriekšējos </w:t>
            </w:r>
            <w:r w:rsidR="00A47CBB">
              <w:t>ES fondu</w:t>
            </w:r>
            <w:r w:rsidR="00137F75">
              <w:t xml:space="preserve"> plānošanas periodos veiktās</w:t>
            </w:r>
            <w:r w:rsidR="00AE165A">
              <w:t xml:space="preserve"> </w:t>
            </w:r>
            <w:r w:rsidR="00137F75">
              <w:t>investīcijas, gan SAM 5.3.1. ierobežoto finansējuma apjomu,</w:t>
            </w:r>
            <w:r w:rsidR="00AE165A">
              <w:t xml:space="preserve"> </w:t>
            </w:r>
            <w:r w:rsidR="00137F75">
              <w:t xml:space="preserve">kā neatbalstāmas </w:t>
            </w:r>
            <w:r w:rsidR="00AE165A">
              <w:t>noteikt</w:t>
            </w:r>
            <w:r w:rsidR="00137F75">
              <w:t>a</w:t>
            </w:r>
            <w:r w:rsidR="00AE165A">
              <w:t>s izmaksas</w:t>
            </w:r>
            <w:r w:rsidR="00AE165A" w:rsidRPr="00AE165A">
              <w:t xml:space="preserve"> dzeramā ūdens ieguves vietu, sagatavošanas staciju un </w:t>
            </w:r>
            <w:r w:rsidR="000E726E">
              <w:t xml:space="preserve">to </w:t>
            </w:r>
            <w:r w:rsidR="00AE165A" w:rsidRPr="00AE165A">
              <w:t xml:space="preserve">iekārtu </w:t>
            </w:r>
            <w:r w:rsidR="00137F75">
              <w:t>būvniecīb</w:t>
            </w:r>
            <w:r w:rsidR="00A347D6">
              <w:t>ai</w:t>
            </w:r>
            <w:r w:rsidR="00AE165A">
              <w:t xml:space="preserve">, </w:t>
            </w:r>
            <w:r w:rsidR="00AE165A" w:rsidRPr="00AE165A">
              <w:t xml:space="preserve">notekūdeņu attīrīšanas </w:t>
            </w:r>
            <w:r w:rsidR="000E726E">
              <w:t>būvju</w:t>
            </w:r>
            <w:r w:rsidR="00AE165A" w:rsidRPr="00AE165A">
              <w:t xml:space="preserve"> (t.sk. notekūdeņu attīrīšanas procesā radušos dūņu pārstrādes un apsaimniekošanas iekārtu) </w:t>
            </w:r>
            <w:r w:rsidR="00137F75">
              <w:t>būvniecīb</w:t>
            </w:r>
            <w:r w:rsidR="00A347D6">
              <w:t>ai</w:t>
            </w:r>
            <w:r w:rsidR="00AE165A">
              <w:t>,</w:t>
            </w:r>
            <w:r w:rsidR="00AE165A" w:rsidRPr="00AE165A">
              <w:t xml:space="preserve"> </w:t>
            </w:r>
            <w:r w:rsidR="00125F98">
              <w:t xml:space="preserve">kā arī </w:t>
            </w:r>
            <w:r w:rsidR="00AE165A" w:rsidRPr="00AE165A">
              <w:t xml:space="preserve">zemes vai </w:t>
            </w:r>
            <w:r w:rsidR="00137F75">
              <w:t>būves iegād</w:t>
            </w:r>
            <w:r w:rsidR="00A347D6">
              <w:t>ei</w:t>
            </w:r>
            <w:r w:rsidR="00AE165A" w:rsidRPr="00AE165A">
              <w:t>.</w:t>
            </w:r>
            <w:r w:rsidR="000E726E" w:rsidRPr="00AE165A">
              <w:t xml:space="preserve"> </w:t>
            </w:r>
            <w:r w:rsidR="00A347D6">
              <w:t>MK</w:t>
            </w:r>
            <w:r w:rsidR="00A347D6" w:rsidRPr="00A347D6">
              <w:t xml:space="preserve"> noteikumu projekt</w:t>
            </w:r>
            <w:r w:rsidR="00A347D6">
              <w:t>ā</w:t>
            </w:r>
            <w:r w:rsidR="00A347D6" w:rsidRPr="00A347D6">
              <w:t xml:space="preserve"> norādīt</w:t>
            </w:r>
            <w:r w:rsidR="00A347D6">
              <w:t>s</w:t>
            </w:r>
            <w:r w:rsidR="00A347D6" w:rsidRPr="00A347D6">
              <w:t xml:space="preserve">, ka projektā nav iekļaujamas izmaksas aprīkojuma iegādei, kas attiecas uz kanalizācijas un ūdensapgādes </w:t>
            </w:r>
            <w:r w:rsidR="000A6162">
              <w:t>ārējo inženier</w:t>
            </w:r>
            <w:r w:rsidR="00A347D6" w:rsidRPr="00A347D6">
              <w:t>tīklu uzturēšanas, apkalpošanas un izbūves pasākumiem, piem</w:t>
            </w:r>
            <w:r w:rsidR="00A347D6">
              <w:t>.</w:t>
            </w:r>
            <w:r w:rsidR="00A347D6" w:rsidRPr="00A347D6">
              <w:t>, hidrodinamiskās mašīnas</w:t>
            </w:r>
            <w:r w:rsidR="00A347D6">
              <w:t>, ekskavatori</w:t>
            </w:r>
            <w:r w:rsidR="00A347D6" w:rsidRPr="00A347D6">
              <w:t xml:space="preserve"> un </w:t>
            </w:r>
            <w:r w:rsidR="00A347D6">
              <w:t xml:space="preserve">cits </w:t>
            </w:r>
            <w:r w:rsidR="00A347D6" w:rsidRPr="00A347D6">
              <w:t>aprīkojums</w:t>
            </w:r>
            <w:r w:rsidR="00A347D6">
              <w:t>.</w:t>
            </w:r>
            <w:r w:rsidR="00A347D6" w:rsidRPr="00A347D6">
              <w:t xml:space="preserve"> </w:t>
            </w:r>
            <w:r w:rsidR="000A6162">
              <w:t>Tāpat izmaksas nav attiecināmas par būvēm, kas pirms projekta iesnieguma iesniegšanas ir pieņemtas ekspluatācijā, vai par precēm, par kurām pirms projekta iesnieguma iesniegšanas ir parakstīti preču nodošanas un pieņemšanas akti.</w:t>
            </w:r>
          </w:p>
          <w:p w14:paraId="69AA70CC" w14:textId="1C701FE9" w:rsidR="005C3A47" w:rsidRDefault="00125F98" w:rsidP="00E56202">
            <w:pPr>
              <w:spacing w:after="120"/>
              <w:jc w:val="both"/>
            </w:pPr>
            <w:r>
              <w:t>SAM 5.3.1.</w:t>
            </w:r>
            <w:r w:rsidR="00E91B91" w:rsidRPr="00E91B91">
              <w:rPr>
                <w:bCs/>
              </w:rPr>
              <w:t xml:space="preserve"> ietvaros plāno tiešās attiecināmās izmaksas un neattiecināmās izmaksas. </w:t>
            </w:r>
            <w:r w:rsidR="00E91B91">
              <w:rPr>
                <w:bCs/>
              </w:rPr>
              <w:t>A</w:t>
            </w:r>
            <w:r w:rsidR="00D45F84" w:rsidRPr="00EC37A5">
              <w:t xml:space="preserve">ttiecināmajās izmaksās ir iekļaujamas </w:t>
            </w:r>
            <w:r w:rsidR="00137F75" w:rsidRPr="00137F75">
              <w:t xml:space="preserve">kanalizācijas ārējo inženiertīklu </w:t>
            </w:r>
            <w:r w:rsidR="00137F75" w:rsidRPr="0095420D">
              <w:t>būvprojekta</w:t>
            </w:r>
            <w:r w:rsidR="007B4A7D">
              <w:t xml:space="preserve">, </w:t>
            </w:r>
            <w:r w:rsidR="007B4A7D" w:rsidRPr="006D6FA8">
              <w:rPr>
                <w:b/>
              </w:rPr>
              <w:t>tai skaitā ar būvniecības ieceri un būvprojekta minimālā sastāvā saistīto sagatavošanas darbu</w:t>
            </w:r>
            <w:r w:rsidR="00137F75" w:rsidRPr="006D6FA8">
              <w:rPr>
                <w:b/>
              </w:rPr>
              <w:t xml:space="preserve"> </w:t>
            </w:r>
            <w:r w:rsidR="007B4A7D" w:rsidRPr="006D6FA8">
              <w:rPr>
                <w:b/>
              </w:rPr>
              <w:t>izmaksas,</w:t>
            </w:r>
            <w:r w:rsidR="007B4A7D">
              <w:t xml:space="preserve"> būvprojekta</w:t>
            </w:r>
            <w:r w:rsidR="00137F75" w:rsidRPr="00137F75">
              <w:t xml:space="preserve"> būvekspertīzes izmaksas, kā arī būvdarbu autoruzraudzības un būvuzraudzības izmaksas</w:t>
            </w:r>
            <w:r w:rsidR="00845462">
              <w:t>. Šīs</w:t>
            </w:r>
            <w:r w:rsidR="00137F75" w:rsidRPr="00137F75">
              <w:t xml:space="preserve"> visas iepriekš minētās izmaksas kopā </w:t>
            </w:r>
            <w:r w:rsidR="00845462">
              <w:t>nedrīkst pārsniegt</w:t>
            </w:r>
            <w:r w:rsidR="00137F75" w:rsidRPr="00137F75">
              <w:t xml:space="preserve"> 7 </w:t>
            </w:r>
            <w:r w:rsidR="00FB1F56">
              <w:t>procentus</w:t>
            </w:r>
            <w:r w:rsidR="00D2599B" w:rsidRPr="00137F75">
              <w:t xml:space="preserve"> </w:t>
            </w:r>
            <w:r w:rsidR="00137F75" w:rsidRPr="00137F75">
              <w:t>no bū</w:t>
            </w:r>
            <w:r w:rsidR="001B33E5">
              <w:t>vdarbu attiecināmajām izmaksām. Izmaksu ierobežojums</w:t>
            </w:r>
            <w:r w:rsidR="005C3A47">
              <w:t xml:space="preserve"> </w:t>
            </w:r>
            <w:r w:rsidR="001B33E5">
              <w:t xml:space="preserve">noteikts, ievērojot </w:t>
            </w:r>
            <w:r w:rsidR="00A56EDD">
              <w:t>ES</w:t>
            </w:r>
            <w:r w:rsidR="001B33E5">
              <w:t xml:space="preserve"> </w:t>
            </w:r>
            <w:r w:rsidR="00A47CBB">
              <w:t xml:space="preserve">fondu </w:t>
            </w:r>
            <w:r w:rsidR="001B33E5">
              <w:t>2007.-2013.gada plānošanas perioda 3.5.1.1.aktivitātei</w:t>
            </w:r>
            <w:r w:rsidR="001B33E5" w:rsidRPr="001B33E5">
              <w:t xml:space="preserve"> </w:t>
            </w:r>
            <w:r w:rsidR="001B33E5">
              <w:t>“</w:t>
            </w:r>
            <w:r w:rsidR="001B33E5" w:rsidRPr="001B33E5">
              <w:t>Ūdenssaimniecības infrastruktūras attīstība aglomerācijās ar cilvēku ekvivalentu lielāku par 2000</w:t>
            </w:r>
            <w:r w:rsidR="001B33E5">
              <w:t xml:space="preserve">” noteikto attiecīgo izmaksu ierobežojumu apjomu. Vienlaikus, izvērtējot </w:t>
            </w:r>
            <w:r w:rsidR="007B4A7D">
              <w:t>3.5.1.1.</w:t>
            </w:r>
            <w:r w:rsidR="001B33E5">
              <w:t xml:space="preserve">aktivitātes ieviešanas pieredzi, ka atsevišķu pakalpojumu pozīciju izmaksas tika pārsniegtas, bet dažās veidojās pārpalikums, </w:t>
            </w:r>
            <w:r>
              <w:t>SAM 5.3.1. ietvaros netiek izdalīts</w:t>
            </w:r>
            <w:r w:rsidR="001B33E5">
              <w:t xml:space="preserve"> maksimāl</w:t>
            </w:r>
            <w:r>
              <w:t>ais finansējuma ierobežojums</w:t>
            </w:r>
            <w:r w:rsidR="001B33E5">
              <w:t xml:space="preserve"> katram iepriekš minētajam </w:t>
            </w:r>
            <w:r w:rsidR="001B33E5">
              <w:lastRenderedPageBreak/>
              <w:t xml:space="preserve">pakalpojuma veidam, bet </w:t>
            </w:r>
            <w:r>
              <w:t>i</w:t>
            </w:r>
            <w:r w:rsidR="00FB1F56">
              <w:t>r</w:t>
            </w:r>
            <w:r>
              <w:t xml:space="preserve"> </w:t>
            </w:r>
            <w:r w:rsidR="001B33E5">
              <w:t>noteikt</w:t>
            </w:r>
            <w:r>
              <w:t>s</w:t>
            </w:r>
            <w:r w:rsidR="001B33E5">
              <w:t xml:space="preserve"> kopsummas ierobežojum</w:t>
            </w:r>
            <w:r>
              <w:t>s</w:t>
            </w:r>
            <w:r w:rsidR="001B33E5">
              <w:t xml:space="preserve"> visiem pakalpojumiem kopā.</w:t>
            </w:r>
            <w:r w:rsidR="005C3A47" w:rsidRPr="005C3A47">
              <w:t xml:space="preserve"> Papildus iepriekš minētajam, </w:t>
            </w:r>
            <w:r>
              <w:t xml:space="preserve">MK noteikumu projekts nosaka, ka </w:t>
            </w:r>
            <w:r w:rsidR="005C3A47" w:rsidRPr="005C3A47">
              <w:t xml:space="preserve">izmaksas par </w:t>
            </w:r>
            <w:r w:rsidR="007B4A7D">
              <w:t>projektēšanu,</w:t>
            </w:r>
            <w:r w:rsidR="005C3A47" w:rsidRPr="005C3A47">
              <w:t xml:space="preserve"> autoruzraudzību un būvuzraudzību aprēķina atbilstoši būvdarbu attiecināmo un neattiecināmo izmaksu proporcionālai attiecībai, ievērojot būvdarbu tāmēs norādīto būvdarbu izmaksas.</w:t>
            </w:r>
          </w:p>
          <w:p w14:paraId="4D65855F" w14:textId="1D80415D" w:rsidR="00D45F84" w:rsidRPr="00D2599B" w:rsidRDefault="00087B88" w:rsidP="00E56202">
            <w:pPr>
              <w:spacing w:after="120"/>
              <w:jc w:val="both"/>
            </w:pPr>
            <w:r>
              <w:t>A</w:t>
            </w:r>
            <w:r w:rsidR="001B33E5">
              <w:t xml:space="preserve">ttiecināmajās izmaksās </w:t>
            </w:r>
            <w:r w:rsidR="00845462">
              <w:t>iekļau</w:t>
            </w:r>
            <w:r w:rsidR="00564531">
              <w:t>j</w:t>
            </w:r>
            <w:r w:rsidR="001B33E5">
              <w:t xml:space="preserve"> </w:t>
            </w:r>
            <w:r w:rsidR="00137F75" w:rsidRPr="00106300">
              <w:t>jaunu kanalizācijas ārējo inženiertīklu būvdarbu izmaksas, ieskaitot kanalizācijas</w:t>
            </w:r>
            <w:r w:rsidR="00046931" w:rsidRPr="00046931">
              <w:t xml:space="preserve">, ūdensapgādes, citu esošo </w:t>
            </w:r>
            <w:r w:rsidR="00D95688">
              <w:t xml:space="preserve">ārējo </w:t>
            </w:r>
            <w:r w:rsidR="00137F75" w:rsidRPr="00106300">
              <w:t xml:space="preserve">inženiertīklu elementu vai inženiertīkla posma </w:t>
            </w:r>
            <w:r w:rsidR="00137F75" w:rsidRPr="00176D28">
              <w:t>nojaukšanas</w:t>
            </w:r>
            <w:r w:rsidR="00564531">
              <w:t>, pārneses</w:t>
            </w:r>
            <w:r w:rsidR="00137F75" w:rsidRPr="00176D28">
              <w:t xml:space="preserve"> </w:t>
            </w:r>
            <w:r w:rsidR="00046931" w:rsidRPr="006D6FA8">
              <w:rPr>
                <w:b/>
              </w:rPr>
              <w:t xml:space="preserve">un </w:t>
            </w:r>
            <w:r w:rsidR="00564531" w:rsidRPr="006D6FA8">
              <w:rPr>
                <w:b/>
              </w:rPr>
              <w:t>šķērsošanas</w:t>
            </w:r>
            <w:r w:rsidR="00137F75" w:rsidRPr="006D6FA8">
              <w:rPr>
                <w:b/>
              </w:rPr>
              <w:t xml:space="preserve"> izmaksas</w:t>
            </w:r>
            <w:r w:rsidR="00E7374B" w:rsidRPr="00176D28">
              <w:t xml:space="preserve">, kas nepieciešamas šo jauno kanalizācijas </w:t>
            </w:r>
            <w:r w:rsidR="00C52C81">
              <w:t>ārējo inženier</w:t>
            </w:r>
            <w:r w:rsidR="00E7374B" w:rsidRPr="00176D28">
              <w:t>tīklu izbūvei</w:t>
            </w:r>
            <w:r w:rsidR="00125F98" w:rsidRPr="00176D28">
              <w:t xml:space="preserve">. </w:t>
            </w:r>
            <w:r w:rsidR="001B33E5" w:rsidRPr="00176D28">
              <w:t>Atšķirībā no iepriekšējiem plānošanas periodiem SAM 5.3.1.</w:t>
            </w:r>
            <w:r w:rsidR="00106300" w:rsidRPr="00176D28">
              <w:t xml:space="preserve"> ietvaros</w:t>
            </w:r>
            <w:r w:rsidR="001B33E5" w:rsidRPr="00176D28">
              <w:t xml:space="preserve"> </w:t>
            </w:r>
            <w:r w:rsidR="00137F75" w:rsidRPr="00176D28">
              <w:t xml:space="preserve">kanalizācijas ārējo inženiertīklu pārbūves un atjaunošanas izmaksas </w:t>
            </w:r>
            <w:r w:rsidR="003A3C92" w:rsidRPr="00176D28">
              <w:t>attiecināma</w:t>
            </w:r>
            <w:r w:rsidR="00106300" w:rsidRPr="00176D28">
              <w:t>s</w:t>
            </w:r>
            <w:r w:rsidR="003F04E3" w:rsidRPr="00176D28">
              <w:t xml:space="preserve"> tādā apmērā, kas</w:t>
            </w:r>
            <w:r w:rsidR="00106300" w:rsidRPr="00176D28">
              <w:t xml:space="preserve"> kop</w:t>
            </w:r>
            <w:r w:rsidR="003A3C92" w:rsidRPr="00176D28">
              <w:t>um</w:t>
            </w:r>
            <w:r w:rsidR="00106300" w:rsidRPr="00176D28">
              <w:t>ā nepārsnied</w:t>
            </w:r>
            <w:r w:rsidR="003F04E3" w:rsidRPr="00176D28">
              <w:t>z</w:t>
            </w:r>
            <w:r w:rsidR="00106300" w:rsidRPr="00176D28">
              <w:t xml:space="preserve"> 5 procentus</w:t>
            </w:r>
            <w:r w:rsidR="00137F75" w:rsidRPr="00176D28">
              <w:t xml:space="preserve"> no būvdarbu attiecināmajām izmaksām. Minētās izmaksas ir attiecināmas, ja kanalizācijas </w:t>
            </w:r>
            <w:r w:rsidR="00C52C81">
              <w:t>ārējo inženier</w:t>
            </w:r>
            <w:r w:rsidR="00137F75" w:rsidRPr="00176D28">
              <w:t xml:space="preserve">tīklu un to elementu pārbūve vai atjaunošana ir nepieciešama projekta ietvaros jaunbūvējamo kanalizācijas </w:t>
            </w:r>
            <w:r w:rsidR="00C52C81">
              <w:t>ārējo inženier</w:t>
            </w:r>
            <w:r w:rsidR="00137F75" w:rsidRPr="00176D28">
              <w:t>tīklu posmu darbības nodrošināšanai un pamatota ar h</w:t>
            </w:r>
            <w:r w:rsidR="00B91E69" w:rsidRPr="00176D28">
              <w:t>idrauliskiem aprēķiniem. Minētais izmaksu ierobežojums ir noteikts iev</w:t>
            </w:r>
            <w:r w:rsidR="003A3C92" w:rsidRPr="00176D28">
              <w:t>ērojot SAM 5.3.1. ierobežoto finansējuma</w:t>
            </w:r>
            <w:r w:rsidR="003A3C92">
              <w:t xml:space="preserve"> apjomu</w:t>
            </w:r>
            <w:r>
              <w:t>,</w:t>
            </w:r>
            <w:r w:rsidR="003A3C92">
              <w:t xml:space="preserve"> nepieciešamību </w:t>
            </w:r>
            <w:r>
              <w:t>veicināt</w:t>
            </w:r>
            <w:r w:rsidRPr="00EC37A5">
              <w:t xml:space="preserve"> uz SAM </w:t>
            </w:r>
            <w:r w:rsidR="002142E8">
              <w:t xml:space="preserve">5.3.1. </w:t>
            </w:r>
            <w:r w:rsidRPr="00EC37A5">
              <w:t>mērķi un rezultātu orientētas investīcijas</w:t>
            </w:r>
            <w:r>
              <w:t xml:space="preserve"> un </w:t>
            </w:r>
            <w:r w:rsidR="003A3C92">
              <w:t xml:space="preserve">nodrošināt SAM 5.3.1. uzraudzības rādītāju sasniegšanu. </w:t>
            </w:r>
            <w:r w:rsidR="00E91B91">
              <w:t xml:space="preserve">Attiecināmas ir arī </w:t>
            </w:r>
            <w:r w:rsidR="0073727C">
              <w:t xml:space="preserve">ir </w:t>
            </w:r>
            <w:r w:rsidR="00137F75" w:rsidRPr="00106300">
              <w:t>obligāto inform</w:t>
            </w:r>
            <w:r w:rsidR="00137F75" w:rsidRPr="00D2599B">
              <w:t>atīvo un publicitātes pasākumu izmaksas</w:t>
            </w:r>
            <w:r w:rsidR="00D45F84" w:rsidRPr="00D2599B">
              <w:t>.</w:t>
            </w:r>
          </w:p>
          <w:p w14:paraId="6D3B2C6F" w14:textId="5D79BD19" w:rsidR="004915AE" w:rsidRDefault="00845462" w:rsidP="00780AC4">
            <w:pPr>
              <w:autoSpaceDE w:val="0"/>
              <w:autoSpaceDN w:val="0"/>
              <w:adjustRightInd w:val="0"/>
              <w:spacing w:after="120"/>
              <w:jc w:val="both"/>
            </w:pPr>
            <w:r w:rsidRPr="00D2599B">
              <w:t xml:space="preserve">Neattiecināmās izmaksas finansējuma saņēmējs sedz no saviem līdzekļiem. </w:t>
            </w:r>
            <w:r w:rsidR="0073727C" w:rsidRPr="00D2599B">
              <w:t>Neattiecināmajās izmaksās iekļaujamas tās izmaksas, kas pārsniedz attiecināmo izmaksu apjomu, izmaksas, kas nav noteiktas kā attiecināmās izmaksas, bet ir atbalstāmas, tieši saistītas ar projektu un ir nepieciešamas projekta mērķa sasniegšanai</w:t>
            </w:r>
            <w:r w:rsidR="0073727C">
              <w:t xml:space="preserve">, </w:t>
            </w:r>
            <w:r w:rsidR="0073727C" w:rsidRPr="00EE637A">
              <w:rPr>
                <w:b/>
              </w:rPr>
              <w:t>piemēram</w:t>
            </w:r>
            <w:r w:rsidR="00780AC4" w:rsidRPr="00EE637A">
              <w:rPr>
                <w:b/>
              </w:rPr>
              <w:t>,</w:t>
            </w:r>
            <w:r w:rsidR="0073727C" w:rsidRPr="00EE637A">
              <w:rPr>
                <w:b/>
              </w:rPr>
              <w:t xml:space="preserve"> jaunu pievadu izbūv</w:t>
            </w:r>
            <w:r w:rsidR="003C04EA" w:rsidRPr="00EE637A">
              <w:rPr>
                <w:b/>
              </w:rPr>
              <w:t>ei pieslēgumu izveidei pie projektā izbūvētajiem kanalizācijas tīkliem pakalpojumu lietotāju nekustamajā īpašumā</w:t>
            </w:r>
            <w:r w:rsidR="0073727C" w:rsidRPr="00EE637A">
              <w:rPr>
                <w:b/>
              </w:rPr>
              <w:t xml:space="preserve">. </w:t>
            </w:r>
            <w:r w:rsidR="00780AC4">
              <w:t>N</w:t>
            </w:r>
            <w:r w:rsidR="00087B88" w:rsidRPr="005F2683">
              <w:t>eattiecināmajās izmaksās var tikt iekļauta</w:t>
            </w:r>
            <w:r w:rsidR="00780AC4">
              <w:t xml:space="preserve"> arī</w:t>
            </w:r>
            <w:r w:rsidR="00087B88" w:rsidRPr="005F2683">
              <w:t xml:space="preserve"> ūdensapgādes būvju izveide ūdensapgādes apkalpes zonā projekta teritorijā, tādejādi vienlaikus ar </w:t>
            </w:r>
            <w:r w:rsidR="0073727C">
              <w:t>kanalizācijas tīklu</w:t>
            </w:r>
            <w:r w:rsidR="00087B88" w:rsidRPr="005F2683">
              <w:t xml:space="preserve"> att</w:t>
            </w:r>
            <w:r w:rsidR="00973200" w:rsidRPr="005F2683">
              <w:t>īstīb</w:t>
            </w:r>
            <w:r w:rsidR="00087B88" w:rsidRPr="005F2683">
              <w:t xml:space="preserve">u </w:t>
            </w:r>
            <w:r w:rsidR="00973200" w:rsidRPr="005F2683">
              <w:t>paplašinot</w:t>
            </w:r>
            <w:r w:rsidR="00087B88" w:rsidRPr="005F2683">
              <w:t xml:space="preserve"> arī ūdensapgādes </w:t>
            </w:r>
            <w:r w:rsidR="0073727C">
              <w:t>tīklus, tādējādi</w:t>
            </w:r>
            <w:r w:rsidR="00087B88" w:rsidRPr="005F2683">
              <w:t xml:space="preserve"> sasniedzot šo MK noteikumu</w:t>
            </w:r>
            <w:r w:rsidR="0073727C">
              <w:t xml:space="preserve"> projekta </w:t>
            </w:r>
            <w:r w:rsidR="00087B88" w:rsidRPr="005F2683">
              <w:t>mēr</w:t>
            </w:r>
            <w:r w:rsidR="00973200" w:rsidRPr="005F2683">
              <w:t>ķi.</w:t>
            </w:r>
            <w:r w:rsidRPr="005F2683">
              <w:t xml:space="preserve"> </w:t>
            </w:r>
          </w:p>
          <w:p w14:paraId="1224819B" w14:textId="77777777" w:rsidR="0073727C" w:rsidRPr="003C04EA" w:rsidRDefault="0073727C" w:rsidP="0073727C">
            <w:pPr>
              <w:spacing w:after="120"/>
              <w:jc w:val="both"/>
              <w:outlineLvl w:val="0"/>
            </w:pPr>
            <w:r w:rsidRPr="003C04EA">
              <w:t>Neattiecināmās izmaksās ir iekļaujamas piegādes līgumu izmaksas, tai skaitā šādu līgumu ietvaros iegādāto tehnoloģisko iekārtu, to montāžas un ieregulēšanas izmaksas, piemēram, iekārtas kanalizācijas sūkņu stacijām. Tomēr jāņem vērā, ka šīs pašas iekārtas kanalizācijas sūkņu stacijām būvdarbu līguma ietvaros var iekļaut projekta attiecināmajās izmaksās.</w:t>
            </w:r>
          </w:p>
          <w:p w14:paraId="1D8CE4B6" w14:textId="33975659" w:rsidR="0073727C" w:rsidRPr="00B968C5" w:rsidRDefault="0073727C" w:rsidP="0073727C">
            <w:pPr>
              <w:spacing w:after="120"/>
              <w:jc w:val="both"/>
              <w:outlineLvl w:val="0"/>
              <w:rPr>
                <w:sz w:val="28"/>
                <w:szCs w:val="28"/>
              </w:rPr>
            </w:pPr>
            <w:r w:rsidRPr="003C04EA">
              <w:t xml:space="preserve">Tāpat </w:t>
            </w:r>
            <w:r w:rsidRPr="00EE637A">
              <w:rPr>
                <w:b/>
              </w:rPr>
              <w:t xml:space="preserve">neattiecināmajās izmaksās </w:t>
            </w:r>
            <w:r w:rsidR="00780AC4" w:rsidRPr="00EE637A">
              <w:rPr>
                <w:b/>
              </w:rPr>
              <w:t xml:space="preserve">var iekļaut </w:t>
            </w:r>
            <w:r w:rsidRPr="00EE637A">
              <w:rPr>
                <w:b/>
              </w:rPr>
              <w:t xml:space="preserve">jaunu lietus ūdeņu kanalizācijas </w:t>
            </w:r>
            <w:proofErr w:type="spellStart"/>
            <w:r w:rsidRPr="00EE637A">
              <w:rPr>
                <w:b/>
              </w:rPr>
              <w:t>šķirtsistēmu</w:t>
            </w:r>
            <w:proofErr w:type="spellEnd"/>
            <w:r w:rsidRPr="00EE637A">
              <w:rPr>
                <w:b/>
              </w:rPr>
              <w:t xml:space="preserve"> izveidi</w:t>
            </w:r>
            <w:r w:rsidR="003C04EA" w:rsidRPr="003C04EA">
              <w:t xml:space="preserve"> un projekta iesnieguma pamatojošās dokumentācijas, t.sk. tehniski ekonomiskā pamatojuma un izmaksu un ieguvumu analīzes izstrādes un ar tām saistītās aktualizācijas, kā arī ar ietekmes uz vidi novērtējumu saistītās dokumentācijas izstrādes izmaksas.</w:t>
            </w:r>
          </w:p>
          <w:p w14:paraId="412EE5F2" w14:textId="77777777" w:rsidR="004915AE" w:rsidRPr="003F04E3" w:rsidRDefault="004915AE" w:rsidP="003F04E3">
            <w:pPr>
              <w:autoSpaceDE w:val="0"/>
              <w:autoSpaceDN w:val="0"/>
              <w:adjustRightInd w:val="0"/>
              <w:spacing w:after="120"/>
              <w:jc w:val="both"/>
            </w:pPr>
            <w:r w:rsidRPr="00D2599B">
              <w:t xml:space="preserve">Lai skaidri un precīzi </w:t>
            </w:r>
            <w:r w:rsidRPr="004915AE">
              <w:t xml:space="preserve">varētu nodalīt attiecināmās un neattiecināmās izmaksas, MK </w:t>
            </w:r>
            <w:r w:rsidRPr="003F04E3">
              <w:t>noteikum</w:t>
            </w:r>
            <w:r w:rsidR="00A51CF4">
              <w:t>u projekts</w:t>
            </w:r>
            <w:r w:rsidRPr="003F04E3">
              <w:t xml:space="preserve"> nosaka prasības </w:t>
            </w:r>
            <w:r w:rsidRPr="00825310">
              <w:t>būvdarbu līgumu</w:t>
            </w:r>
            <w:r w:rsidR="001F21A9">
              <w:t>, tai skaitā</w:t>
            </w:r>
            <w:r w:rsidRPr="003F04E3">
              <w:t xml:space="preserve"> finanšu sadaļu sagatavošanai. M</w:t>
            </w:r>
            <w:r w:rsidR="00845462" w:rsidRPr="003F04E3">
              <w:t>K noteikumu projekts nosaka, ka g</w:t>
            </w:r>
            <w:r w:rsidR="00973200" w:rsidRPr="003F04E3">
              <w:t xml:space="preserve">adījumā, ja projektā tiek iekļauti arī ūdensapgādes </w:t>
            </w:r>
            <w:r w:rsidR="001F21A9">
              <w:t>inženiertīklu</w:t>
            </w:r>
            <w:r w:rsidR="00973200" w:rsidRPr="003F04E3">
              <w:t xml:space="preserve"> būvniecības </w:t>
            </w:r>
            <w:r w:rsidR="00973200" w:rsidRPr="003F04E3">
              <w:lastRenderedPageBreak/>
              <w:t>darbi un tie tiek veikt</w:t>
            </w:r>
            <w:r w:rsidR="00BB5C85">
              <w:t>i</w:t>
            </w:r>
            <w:r w:rsidR="00973200" w:rsidRPr="003F04E3">
              <w:t xml:space="preserve"> viena būvniecības līguma ietvaros </w:t>
            </w:r>
            <w:r w:rsidR="00845462" w:rsidRPr="003F04E3">
              <w:t xml:space="preserve">ar </w:t>
            </w:r>
            <w:r w:rsidR="00973200" w:rsidRPr="003F04E3">
              <w:t>ārējo kanalizācijas inženiertīklu būvniecību</w:t>
            </w:r>
            <w:r w:rsidR="00845462" w:rsidRPr="003F04E3">
              <w:t xml:space="preserve">, </w:t>
            </w:r>
            <w:r w:rsidR="00973200" w:rsidRPr="003F04E3">
              <w:t xml:space="preserve">tāmēs jānodala ārējo kanalizācijas inženiertīklu būvdarbu pozīcijas un to summas no ūdensapgādes </w:t>
            </w:r>
            <w:r w:rsidR="001F21A9">
              <w:t xml:space="preserve">inženiertīklu </w:t>
            </w:r>
            <w:r w:rsidR="00973200" w:rsidRPr="003F04E3">
              <w:t>pozīcijām un summām</w:t>
            </w:r>
            <w:r w:rsidR="00845462" w:rsidRPr="003F04E3">
              <w:t>. Šāds nosacījums par pozīciju un to summu nodalīšanu attiecas arī uz līgumiem, kas paredz ārējo kanalizācijas inženiertīklu izbūves un pārbūves vai atjaunošanas būvdarbus.</w:t>
            </w:r>
            <w:r w:rsidR="00633FC1">
              <w:t xml:space="preserve"> Tāpat MK noteikumu projektā ir </w:t>
            </w:r>
            <w:r w:rsidR="00CD207C">
              <w:t>noteikti nosacījumi, lai izmantotu finanšu rezervi</w:t>
            </w:r>
            <w:r w:rsidRPr="003F04E3">
              <w:t xml:space="preserve"> </w:t>
            </w:r>
            <w:r w:rsidR="00CD207C">
              <w:t>neparedzētiem darbiem un izdevumiem.</w:t>
            </w:r>
          </w:p>
          <w:p w14:paraId="3F3847DC" w14:textId="77777777" w:rsidR="00D45F84" w:rsidRDefault="00845462" w:rsidP="003F04E3">
            <w:pPr>
              <w:spacing w:after="120"/>
              <w:jc w:val="both"/>
            </w:pPr>
            <w:r w:rsidRPr="003F04E3">
              <w:t xml:space="preserve">Izmaksas ir attiecināmas, ja tās radušās </w:t>
            </w:r>
            <w:r w:rsidR="001F21A9">
              <w:t>pēc</w:t>
            </w:r>
            <w:r w:rsidRPr="003F04E3">
              <w:t xml:space="preserve"> 2014. gada 1.decembra. Šāds izmaksu attiecināmības datums ir noteikts, ievērojot VARAM veiktās SAM 5.3.1. priekšatlases uzsākšanas laiku.</w:t>
            </w:r>
          </w:p>
          <w:p w14:paraId="6D299FAE" w14:textId="77777777" w:rsidR="00D45F84" w:rsidRDefault="00D45F84" w:rsidP="00E56202">
            <w:pPr>
              <w:jc w:val="both"/>
              <w:rPr>
                <w:rFonts w:eastAsia="Times New Roman"/>
                <w:szCs w:val="22"/>
                <w:u w:val="single"/>
                <w:lang w:eastAsia="en-US"/>
              </w:rPr>
            </w:pPr>
            <w:r w:rsidRPr="00EC37A5">
              <w:rPr>
                <w:rFonts w:eastAsia="Times New Roman"/>
                <w:szCs w:val="22"/>
                <w:u w:val="single"/>
                <w:lang w:eastAsia="en-US"/>
              </w:rPr>
              <w:t>Citi nosacījumi</w:t>
            </w:r>
          </w:p>
          <w:p w14:paraId="70DFD177" w14:textId="1BFBD5C3" w:rsidR="00225563" w:rsidRPr="00713EC3" w:rsidRDefault="003F04E3" w:rsidP="00225563">
            <w:pPr>
              <w:pStyle w:val="CommentText"/>
              <w:spacing w:after="120"/>
              <w:jc w:val="both"/>
              <w:rPr>
                <w:sz w:val="24"/>
                <w:szCs w:val="24"/>
                <w:lang w:val="lv-LV" w:eastAsia="lv-LV"/>
              </w:rPr>
            </w:pPr>
            <w:r w:rsidRPr="00225563">
              <w:rPr>
                <w:sz w:val="24"/>
                <w:szCs w:val="24"/>
                <w:lang w:val="lv-LV" w:eastAsia="lv-LV"/>
              </w:rPr>
              <w:t>MK noti</w:t>
            </w:r>
            <w:r w:rsidR="00225563" w:rsidRPr="00225563">
              <w:rPr>
                <w:sz w:val="24"/>
                <w:szCs w:val="24"/>
                <w:lang w:val="lv-LV" w:eastAsia="lv-LV"/>
              </w:rPr>
              <w:t>ekumu projekts</w:t>
            </w:r>
            <w:r w:rsidRPr="00225563">
              <w:rPr>
                <w:sz w:val="24"/>
                <w:szCs w:val="24"/>
                <w:lang w:val="lv-LV" w:eastAsia="lv-LV"/>
              </w:rPr>
              <w:t xml:space="preserve"> nosaka prasības projekta iesniedzējam, t.sk. attiecībā uz </w:t>
            </w:r>
            <w:r w:rsidR="000E55B3">
              <w:rPr>
                <w:sz w:val="24"/>
                <w:szCs w:val="24"/>
                <w:lang w:val="lv-LV" w:eastAsia="lv-LV"/>
              </w:rPr>
              <w:t xml:space="preserve">pakalpojumu </w:t>
            </w:r>
            <w:r w:rsidRPr="00225563">
              <w:rPr>
                <w:sz w:val="24"/>
                <w:szCs w:val="24"/>
                <w:lang w:val="lv-LV" w:eastAsia="lv-LV"/>
              </w:rPr>
              <w:t xml:space="preserve">līguma, pārvaldes lēmuma vai saistošo noteikumu par sabiedrisko ūdenssaimniecības pakalpojumu sniegšanu </w:t>
            </w:r>
            <w:r w:rsidR="00225563" w:rsidRPr="00225563">
              <w:rPr>
                <w:sz w:val="24"/>
                <w:szCs w:val="24"/>
                <w:lang w:val="lv-LV" w:eastAsia="lv-LV"/>
              </w:rPr>
              <w:t xml:space="preserve">esamību un saturu. </w:t>
            </w:r>
            <w:r w:rsidR="00225563" w:rsidRPr="00D95688">
              <w:rPr>
                <w:b/>
                <w:sz w:val="24"/>
                <w:szCs w:val="24"/>
                <w:lang w:val="lv-LV" w:eastAsia="lv-LV"/>
              </w:rPr>
              <w:t>Tāpat MK noteikumu projekts nosaka</w:t>
            </w:r>
            <w:r w:rsidR="00D95688" w:rsidRPr="00D95688">
              <w:rPr>
                <w:b/>
                <w:sz w:val="24"/>
                <w:szCs w:val="24"/>
                <w:lang w:val="lv-LV" w:eastAsia="lv-LV"/>
              </w:rPr>
              <w:t xml:space="preserve"> nepieciešamību nodrošināt</w:t>
            </w:r>
            <w:r w:rsidR="00225563" w:rsidRPr="00D95688">
              <w:rPr>
                <w:b/>
                <w:sz w:val="24"/>
                <w:szCs w:val="24"/>
                <w:lang w:val="lv-LV" w:eastAsia="lv-LV"/>
              </w:rPr>
              <w:t xml:space="preserve"> projekta rezultātu uzturēšan</w:t>
            </w:r>
            <w:r w:rsidR="00D95688" w:rsidRPr="00D95688">
              <w:rPr>
                <w:b/>
                <w:sz w:val="24"/>
                <w:szCs w:val="24"/>
                <w:lang w:val="lv-LV" w:eastAsia="lv-LV"/>
              </w:rPr>
              <w:t xml:space="preserve">u </w:t>
            </w:r>
            <w:r w:rsidR="00225563" w:rsidRPr="00D95688">
              <w:rPr>
                <w:b/>
                <w:sz w:val="24"/>
                <w:szCs w:val="24"/>
                <w:lang w:val="lv-LV" w:eastAsia="lv-LV"/>
              </w:rPr>
              <w:t xml:space="preserve">vismaz </w:t>
            </w:r>
            <w:r w:rsidR="001706F2" w:rsidRPr="00D95688">
              <w:rPr>
                <w:b/>
                <w:sz w:val="24"/>
                <w:szCs w:val="24"/>
                <w:lang w:val="lv-LV" w:eastAsia="lv-LV"/>
              </w:rPr>
              <w:t xml:space="preserve">piecus </w:t>
            </w:r>
            <w:r w:rsidR="00225563" w:rsidRPr="00D95688">
              <w:rPr>
                <w:b/>
                <w:sz w:val="24"/>
                <w:szCs w:val="24"/>
                <w:lang w:val="lv-LV" w:eastAsia="lv-LV"/>
              </w:rPr>
              <w:t>gadus pēc projekta īstenošanas</w:t>
            </w:r>
            <w:r w:rsidR="00B04A34">
              <w:rPr>
                <w:b/>
                <w:sz w:val="24"/>
                <w:szCs w:val="24"/>
                <w:lang w:val="lv-LV" w:eastAsia="lv-LV"/>
              </w:rPr>
              <w:t xml:space="preserve">, kā arī nodrošināt </w:t>
            </w:r>
            <w:r w:rsidR="00B04A34" w:rsidRPr="00B04A34">
              <w:rPr>
                <w:b/>
                <w:sz w:val="24"/>
                <w:szCs w:val="24"/>
                <w:lang w:val="lv-LV" w:eastAsia="lv-LV"/>
              </w:rPr>
              <w:t>centralizētās ūdensapgādes un kanalizācijas sistēmas</w:t>
            </w:r>
            <w:r w:rsidR="00B04A34">
              <w:rPr>
                <w:b/>
                <w:sz w:val="24"/>
                <w:szCs w:val="24"/>
                <w:lang w:val="lv-LV" w:eastAsia="lv-LV"/>
              </w:rPr>
              <w:t xml:space="preserve"> ilgtspēju</w:t>
            </w:r>
            <w:r w:rsidR="00E76D2F">
              <w:rPr>
                <w:b/>
                <w:sz w:val="24"/>
                <w:szCs w:val="24"/>
                <w:lang w:val="lv-LV" w:eastAsia="lv-LV"/>
              </w:rPr>
              <w:t>,</w:t>
            </w:r>
            <w:bookmarkStart w:id="0" w:name="_GoBack"/>
            <w:bookmarkEnd w:id="0"/>
            <w:r w:rsidR="00B04A34">
              <w:rPr>
                <w:b/>
                <w:sz w:val="24"/>
                <w:szCs w:val="24"/>
                <w:lang w:val="lv-LV" w:eastAsia="lv-LV"/>
              </w:rPr>
              <w:t xml:space="preserve"> </w:t>
            </w:r>
            <w:r w:rsidR="00B04A34" w:rsidRPr="00B04A34">
              <w:rPr>
                <w:b/>
                <w:sz w:val="24"/>
                <w:szCs w:val="24"/>
                <w:lang w:val="lv-LV" w:eastAsia="lv-LV"/>
              </w:rPr>
              <w:t xml:space="preserve">iekļaujot ūdenssaimniecības pakalpojumu tarifā ar ūdenssaimniecības pakalpojumu sniegšanu saistītās izmaksas saskaņā ar projekta iesniegumam pievienoto izmaksu un ieguvumu analīzi. </w:t>
            </w:r>
          </w:p>
          <w:p w14:paraId="5573BACA" w14:textId="77777777" w:rsidR="00225563" w:rsidRPr="00225563" w:rsidRDefault="003F04E3" w:rsidP="00225563">
            <w:pPr>
              <w:spacing w:after="120"/>
              <w:jc w:val="both"/>
              <w:outlineLvl w:val="0"/>
            </w:pPr>
            <w:r w:rsidRPr="00EC37A5">
              <w:t>MK noteikumu projektā noteikts</w:t>
            </w:r>
            <w:r>
              <w:t xml:space="preserve">, ka </w:t>
            </w:r>
            <w:r w:rsidR="00BB5C85">
              <w:t>m</w:t>
            </w:r>
            <w:r w:rsidR="00225563" w:rsidRPr="00225563">
              <w:t>aksimālais specifiskā atbalsta iesniegtā projekta īstenošanas ilgums pirmās atlases kārtas projektiem ir pieci gadi no līguma vai vienošanās par projekta īstenošanu noslēgšanas, bet otrās</w:t>
            </w:r>
            <w:r w:rsidR="00A259FE">
              <w:t>,</w:t>
            </w:r>
            <w:r w:rsidR="00225563" w:rsidRPr="00225563">
              <w:t xml:space="preserve"> trešās </w:t>
            </w:r>
            <w:r w:rsidR="00A259FE">
              <w:t xml:space="preserve">un ceturtās </w:t>
            </w:r>
            <w:r w:rsidR="00225563" w:rsidRPr="00225563">
              <w:t xml:space="preserve">atlases kārtas projektiem </w:t>
            </w:r>
            <w:r w:rsidR="00BB5C85">
              <w:t>–</w:t>
            </w:r>
            <w:r w:rsidR="00225563" w:rsidRPr="00225563">
              <w:t xml:space="preserve"> četri gadi no līguma vai vienošanās par projekta īstenošanu noslēgšanas, bet </w:t>
            </w:r>
            <w:r w:rsidR="006377A9" w:rsidRPr="006377A9">
              <w:rPr>
                <w:b/>
              </w:rPr>
              <w:t>ne ilgāk par</w:t>
            </w:r>
            <w:r w:rsidR="00225563" w:rsidRPr="00225563">
              <w:t xml:space="preserve"> 2022.gada 31.decembri.</w:t>
            </w:r>
          </w:p>
          <w:p w14:paraId="53D1BB43" w14:textId="00175366" w:rsidR="00225563" w:rsidRPr="003F04E3" w:rsidRDefault="00225563" w:rsidP="00225563">
            <w:pPr>
              <w:autoSpaceDE w:val="0"/>
              <w:autoSpaceDN w:val="0"/>
              <w:adjustRightInd w:val="0"/>
              <w:spacing w:after="120"/>
              <w:jc w:val="both"/>
            </w:pPr>
            <w:r>
              <w:t>A</w:t>
            </w:r>
            <w:r w:rsidRPr="00EC37A5">
              <w:t>ttiecībā uz īpašumtiesību nosacījumiem</w:t>
            </w:r>
            <w:r>
              <w:t>,</w:t>
            </w:r>
            <w:r w:rsidRPr="00EC37A5">
              <w:t xml:space="preserve"> MK noteikumu projekts </w:t>
            </w:r>
            <w:r>
              <w:t xml:space="preserve">nosaka, ka </w:t>
            </w:r>
            <w:r w:rsidRPr="00EE637A">
              <w:t>izbūvējamajai un atjaunojamajai</w:t>
            </w:r>
            <w:r w:rsidRPr="003F04E3">
              <w:t xml:space="preserve"> infrastruktūrai, kur plānots veikt ieguldījumus, ir jābūt projekta iesniedzēja īpašumā</w:t>
            </w:r>
            <w:r w:rsidR="00E05F6E">
              <w:t xml:space="preserve">, </w:t>
            </w:r>
            <w:r w:rsidR="003D1048">
              <w:rPr>
                <w:b/>
              </w:rPr>
              <w:t>t</w:t>
            </w:r>
            <w:r w:rsidR="0091453B">
              <w:rPr>
                <w:b/>
              </w:rPr>
              <w:t>urklāt</w:t>
            </w:r>
            <w:r w:rsidR="00C358DC" w:rsidRPr="00176D28">
              <w:rPr>
                <w:b/>
              </w:rPr>
              <w:t xml:space="preserve"> projekta iesniedzēj</w:t>
            </w:r>
            <w:r w:rsidR="0091453B">
              <w:rPr>
                <w:b/>
              </w:rPr>
              <w:t>s nodrošina, ka tam ir tiesības</w:t>
            </w:r>
            <w:r w:rsidR="003D1048">
              <w:rPr>
                <w:b/>
              </w:rPr>
              <w:t xml:space="preserve"> piekļūt,</w:t>
            </w:r>
            <w:r w:rsidR="004B1BDE">
              <w:rPr>
                <w:b/>
              </w:rPr>
              <w:t xml:space="preserve"> veikt </w:t>
            </w:r>
            <w:r w:rsidR="003D1048">
              <w:rPr>
                <w:b/>
              </w:rPr>
              <w:t xml:space="preserve">ūdensapgādes un kanalizācijas ārējo inženiertīklu </w:t>
            </w:r>
            <w:r w:rsidR="004B1BDE">
              <w:rPr>
                <w:b/>
              </w:rPr>
              <w:t>būvdarbus</w:t>
            </w:r>
            <w:r w:rsidR="003D1048">
              <w:rPr>
                <w:b/>
              </w:rPr>
              <w:t xml:space="preserve"> un uzturēšanu</w:t>
            </w:r>
            <w:r w:rsidR="004B1BDE">
              <w:rPr>
                <w:b/>
              </w:rPr>
              <w:t xml:space="preserve"> zemesgabalos, kur projekta ietvaros paredzēti būvdarbi, </w:t>
            </w:r>
            <w:r w:rsidR="005124DF" w:rsidRPr="00176D28">
              <w:rPr>
                <w:b/>
              </w:rPr>
              <w:t>projekta</w:t>
            </w:r>
            <w:r w:rsidR="003D1048">
              <w:rPr>
                <w:b/>
              </w:rPr>
              <w:t xml:space="preserve"> īstenošanas un</w:t>
            </w:r>
            <w:r w:rsidR="005124DF" w:rsidRPr="00176D28">
              <w:rPr>
                <w:b/>
              </w:rPr>
              <w:t xml:space="preserve"> </w:t>
            </w:r>
            <w:proofErr w:type="spellStart"/>
            <w:r w:rsidR="005124DF" w:rsidRPr="00176D28">
              <w:rPr>
                <w:b/>
              </w:rPr>
              <w:t>pēcuzraudzības</w:t>
            </w:r>
            <w:proofErr w:type="spellEnd"/>
            <w:r w:rsidR="005124DF" w:rsidRPr="00176D28">
              <w:rPr>
                <w:b/>
              </w:rPr>
              <w:t xml:space="preserve"> </w:t>
            </w:r>
            <w:r w:rsidR="003D1048">
              <w:rPr>
                <w:b/>
              </w:rPr>
              <w:t>laikā</w:t>
            </w:r>
            <w:r w:rsidRPr="008F15ED">
              <w:t>.</w:t>
            </w:r>
          </w:p>
          <w:p w14:paraId="3009D80D" w14:textId="05823C73" w:rsidR="009B09C8" w:rsidRPr="009B09C8" w:rsidRDefault="00D45F84" w:rsidP="00E56202">
            <w:pPr>
              <w:spacing w:after="120"/>
              <w:jc w:val="both"/>
            </w:pPr>
            <w:r w:rsidRPr="00EC37A5">
              <w:t xml:space="preserve">MK noteikumu projektā tiek noteikti gadījumi, kādos </w:t>
            </w:r>
            <w:r w:rsidR="009C0491">
              <w:t>S</w:t>
            </w:r>
            <w:r w:rsidRPr="00EC37A5">
              <w:t>adarbības iestādei ir tiesības vienpusēji atkāpties no noslēgtā</w:t>
            </w:r>
            <w:r w:rsidR="00B025A6">
              <w:t xml:space="preserve"> civiltiesiskā līguma vai</w:t>
            </w:r>
            <w:r w:rsidRPr="00EC37A5">
              <w:t xml:space="preserve"> vienošanās ar finansējuma saņēmēju par projekta īstenošanu, kas detalizēti tiks norādīti </w:t>
            </w:r>
            <w:r w:rsidRPr="00225563">
              <w:t xml:space="preserve">vienošanās vai </w:t>
            </w:r>
            <w:r w:rsidRPr="009B09C8">
              <w:t>civiltiesiskajā līgumā par projekta īstenošanu</w:t>
            </w:r>
            <w:r w:rsidRPr="00EC37A5">
              <w:t>.</w:t>
            </w:r>
            <w:r w:rsidR="009B09C8" w:rsidRPr="009B09C8">
              <w:t xml:space="preserve"> </w:t>
            </w:r>
          </w:p>
          <w:p w14:paraId="04B234FB" w14:textId="09115FB9" w:rsidR="00D45F84" w:rsidRPr="00EC37A5" w:rsidRDefault="009B09C8" w:rsidP="00E56202">
            <w:pPr>
              <w:spacing w:after="120"/>
              <w:jc w:val="both"/>
            </w:pPr>
            <w:r w:rsidRPr="009B09C8">
              <w:t xml:space="preserve">Tāpat tiek paredzēts nosacījums, ka gadījumā, ja </w:t>
            </w:r>
            <w:r w:rsidR="004B1BDE">
              <w:t>VARAM</w:t>
            </w:r>
            <w:r w:rsidRPr="009B09C8">
              <w:t xml:space="preserve"> izveido datu bāzi par </w:t>
            </w:r>
            <w:r w:rsidR="00B025A6">
              <w:t>ES</w:t>
            </w:r>
            <w:r w:rsidRPr="009B09C8">
              <w:t xml:space="preserve"> direktīvu prasību izpildi ūdenssaimniecības jomā, tad projekta īstenošanas un </w:t>
            </w:r>
            <w:proofErr w:type="spellStart"/>
            <w:r w:rsidRPr="009B09C8">
              <w:t>pēcuzraudzības</w:t>
            </w:r>
            <w:proofErr w:type="spellEnd"/>
            <w:r w:rsidRPr="009B09C8">
              <w:t xml:space="preserve"> laikā finansējuma saņēmēj</w:t>
            </w:r>
            <w:r w:rsidR="00F446AF">
              <w:t>s</w:t>
            </w:r>
            <w:r w:rsidRPr="009B09C8">
              <w:t xml:space="preserve"> ievada informāciju par projektu un iepriekš īstenotiem </w:t>
            </w:r>
            <w:r w:rsidR="00B025A6">
              <w:t>ES</w:t>
            </w:r>
            <w:r w:rsidRPr="009B09C8">
              <w:t xml:space="preserve"> struktūrfondu projektiem. </w:t>
            </w:r>
            <w:r w:rsidR="00381CA2" w:rsidRPr="00381CA2">
              <w:t xml:space="preserve">Tiek plānots, ka </w:t>
            </w:r>
            <w:r w:rsidR="00381CA2" w:rsidRPr="00401AB7">
              <w:rPr>
                <w:b/>
              </w:rPr>
              <w:t xml:space="preserve">minētās datu bāzes izveidei un uzturēšanai finansējums tiks nodrošināts INTERREG projekta ietvaros (finansējums tiks plānots VARAM budžeta apakšprogrammā 69.08.00 “Pārrobežu sadarbības </w:t>
            </w:r>
            <w:r w:rsidR="00381CA2" w:rsidRPr="00401AB7">
              <w:rPr>
                <w:b/>
              </w:rPr>
              <w:lastRenderedPageBreak/>
              <w:t>programmu darbības nodrošināšana, projekti un pasākumi (2014-2020)”), finansējumu pieprasot no 80.00.00 programmas „Nesadalītais finansējums Eiropas Savienības politiku instrumentu un pārējās ārvalstu finanšu palīdzības līdzfinansēto projektu un pasākumu īstenošanai</w:t>
            </w:r>
            <w:r w:rsidR="00381CA2" w:rsidRPr="002F2377">
              <w:rPr>
                <w:b/>
              </w:rPr>
              <w:t>” un projektu īstenojot</w:t>
            </w:r>
            <w:r w:rsidR="00381CA2" w:rsidRPr="00381CA2">
              <w:t xml:space="preserve"> ne ātrāk kā 2019.gadā.</w:t>
            </w:r>
            <w:r w:rsidR="00381CA2">
              <w:t xml:space="preserve"> </w:t>
            </w:r>
            <w:r w:rsidR="00BB5C85">
              <w:t>D</w:t>
            </w:r>
            <w:r>
              <w:t>atu ievade sistēmā paredzēta vienu reizi pēc projekta termiņa beigām, ievadot datus par projektu un iepriekš īstenotajiem projektiem, kā arī datu atjaunošana finansējuma saņēmējam būtu jāveic reizi divos gados atbilstoši ziņošanas biežumam par Direktīvas</w:t>
            </w:r>
            <w:r w:rsidR="00B025A6">
              <w:t xml:space="preserve"> 91/271/EEK</w:t>
            </w:r>
            <w:r>
              <w:t xml:space="preserve"> prasību izpildi.</w:t>
            </w:r>
          </w:p>
          <w:p w14:paraId="43A734E2" w14:textId="77777777" w:rsidR="00A35BA7" w:rsidRDefault="00D45F84" w:rsidP="00BB5C85">
            <w:pPr>
              <w:spacing w:before="60" w:after="60"/>
              <w:jc w:val="both"/>
            </w:pPr>
            <w:r w:rsidRPr="00EC37A5">
              <w:t>Ietekme uz horizontālo principu „Ilgtspējīga attīstība” ir zaļā iepirkuma principu ievērošana publiskajos iepirkumos, un projektu vērtēšanā tiks piešķirti papildu punkti projektiem, kas paredzēs attiecīgā kritērija izpildi vai arī tā izpildi pēc iespējas augstākā kvalitātē. Lai nodrošinātu šī principa uzraudzību, tiks uzkrāti dati par attiecīgo kritēriju sasniegšanu projektu ietvaros.</w:t>
            </w:r>
          </w:p>
          <w:p w14:paraId="00A4A8AF" w14:textId="4E1D4C61" w:rsidR="003656EE" w:rsidRPr="008638E9" w:rsidRDefault="00DF332E" w:rsidP="001C57D6">
            <w:pPr>
              <w:spacing w:before="60" w:after="60"/>
              <w:jc w:val="both"/>
              <w:rPr>
                <w:b/>
                <w:bCs/>
              </w:rPr>
            </w:pPr>
            <w:r w:rsidRPr="008638E9">
              <w:rPr>
                <w:b/>
              </w:rPr>
              <w:t xml:space="preserve">Ieguldījumi SAM 5.3.1. ietvaros </w:t>
            </w:r>
            <w:r w:rsidRPr="008638E9">
              <w:rPr>
                <w:b/>
                <w:bCs/>
              </w:rPr>
              <w:t xml:space="preserve">ir plānoti saskaņā ar intervences kodu </w:t>
            </w:r>
            <w:r w:rsidR="003656EE" w:rsidRPr="008638E9">
              <w:rPr>
                <w:b/>
                <w:bCs/>
              </w:rPr>
              <w:t>21</w:t>
            </w:r>
            <w:r w:rsidRPr="008638E9">
              <w:rPr>
                <w:b/>
                <w:bCs/>
              </w:rPr>
              <w:t xml:space="preserve"> </w:t>
            </w:r>
            <w:r w:rsidR="003656EE" w:rsidRPr="008638E9">
              <w:rPr>
                <w:b/>
                <w:bCs/>
              </w:rPr>
              <w:t>“</w:t>
            </w:r>
            <w:r w:rsidR="003656EE" w:rsidRPr="008638E9">
              <w:rPr>
                <w:b/>
                <w:color w:val="000000"/>
              </w:rPr>
              <w:t xml:space="preserve">Ūdens apsaimniekošana un dzeramā ūdens saglabāšana (tostarp upju baseinu apsaimniekošana, ūdens apgāde, konkrēti pasākumi, lai pielāgotos klimata pārmaiņām, rajonu un patērētāju patēriņa uzskaitīšana, iekasēšanas sistēmas un noplūdes mazināšana)” </w:t>
            </w:r>
            <w:r w:rsidR="007241EE">
              <w:rPr>
                <w:b/>
                <w:color w:val="000000"/>
              </w:rPr>
              <w:t>126 574 186</w:t>
            </w:r>
            <w:r w:rsidR="003656EE" w:rsidRPr="008638E9">
              <w:rPr>
                <w:b/>
                <w:color w:val="000000"/>
              </w:rPr>
              <w:t xml:space="preserve"> </w:t>
            </w:r>
            <w:proofErr w:type="spellStart"/>
            <w:r w:rsidR="003656EE" w:rsidRPr="008638E9">
              <w:rPr>
                <w:b/>
                <w:i/>
                <w:color w:val="000000"/>
              </w:rPr>
              <w:t>euro</w:t>
            </w:r>
            <w:proofErr w:type="spellEnd"/>
            <w:r w:rsidR="003656EE" w:rsidRPr="008638E9">
              <w:rPr>
                <w:b/>
                <w:color w:val="000000"/>
              </w:rPr>
              <w:t xml:space="preserve"> apmērā</w:t>
            </w:r>
            <w:r w:rsidR="007241EE">
              <w:rPr>
                <w:b/>
                <w:color w:val="000000"/>
              </w:rPr>
              <w:t>.</w:t>
            </w:r>
            <w:r w:rsidR="003656EE" w:rsidRPr="008638E9">
              <w:rPr>
                <w:b/>
                <w:color w:val="000000"/>
              </w:rPr>
              <w:t xml:space="preserve"> </w:t>
            </w:r>
            <w:r w:rsidR="007241EE">
              <w:rPr>
                <w:b/>
                <w:color w:val="000000"/>
              </w:rPr>
              <w:t>Darbības programm</w:t>
            </w:r>
            <w:r w:rsidR="001C57D6">
              <w:rPr>
                <w:b/>
                <w:color w:val="000000"/>
              </w:rPr>
              <w:t>as</w:t>
            </w:r>
            <w:r w:rsidR="007241EE">
              <w:rPr>
                <w:b/>
                <w:color w:val="000000"/>
              </w:rPr>
              <w:t xml:space="preserve"> SAM 5.3.1. ietvaros kā trešā prioritāte bija plānotas investīcijas arī notekūdeņu attīrīšanas iekārtu darbības uzlabošanai ar</w:t>
            </w:r>
            <w:r w:rsidR="003656EE" w:rsidRPr="008638E9">
              <w:rPr>
                <w:b/>
                <w:color w:val="000000"/>
              </w:rPr>
              <w:t xml:space="preserve"> intervences kodu 22 “Notekūdeņu attīrīšana”</w:t>
            </w:r>
            <w:r w:rsidR="001C57D6">
              <w:rPr>
                <w:b/>
                <w:color w:val="000000"/>
              </w:rPr>
              <w:t>.</w:t>
            </w:r>
            <w:r w:rsidR="007241EE">
              <w:rPr>
                <w:b/>
                <w:color w:val="000000"/>
              </w:rPr>
              <w:t xml:space="preserve"> </w:t>
            </w:r>
            <w:r w:rsidR="001C57D6">
              <w:rPr>
                <w:b/>
                <w:color w:val="000000"/>
              </w:rPr>
              <w:t>T</w:t>
            </w:r>
            <w:r w:rsidR="007241EE">
              <w:rPr>
                <w:b/>
                <w:color w:val="000000"/>
              </w:rPr>
              <w:t xml:space="preserve">omēr, </w:t>
            </w:r>
            <w:r w:rsidR="00F77CD7">
              <w:rPr>
                <w:b/>
                <w:color w:val="000000"/>
              </w:rPr>
              <w:t xml:space="preserve">ierobežota finansējuma apstākļos, </w:t>
            </w:r>
            <w:r w:rsidR="007241EE">
              <w:rPr>
                <w:b/>
                <w:color w:val="000000"/>
              </w:rPr>
              <w:t>lai nodrošinātu SAM 5.3.1. uzraudzības rādītāju sasniegšanu</w:t>
            </w:r>
            <w:r w:rsidR="001C57D6">
              <w:rPr>
                <w:b/>
                <w:color w:val="000000"/>
              </w:rPr>
              <w:t>,</w:t>
            </w:r>
            <w:r w:rsidR="003656EE" w:rsidRPr="008638E9">
              <w:rPr>
                <w:b/>
                <w:color w:val="000000"/>
              </w:rPr>
              <w:t xml:space="preserve"> </w:t>
            </w:r>
            <w:r w:rsidR="007241EE">
              <w:rPr>
                <w:b/>
                <w:color w:val="000000"/>
              </w:rPr>
              <w:t>viss plānotais Kohēzijas fonda finansējums tiek novirzīts Darbības programmas pirmās investīciju prioritātes ieviešanai</w:t>
            </w:r>
            <w:r w:rsidR="001C57D6">
              <w:rPr>
                <w:b/>
                <w:color w:val="000000"/>
              </w:rPr>
              <w:t>, līdz ar to neplānojot ieguldījumus ar intervences kodu 22</w:t>
            </w:r>
            <w:r w:rsidR="003656EE" w:rsidRPr="008638E9">
              <w:rPr>
                <w:b/>
                <w:color w:val="000000"/>
              </w:rPr>
              <w:t>.</w:t>
            </w:r>
          </w:p>
        </w:tc>
      </w:tr>
      <w:tr w:rsidR="00330C43" w:rsidRPr="00155D30" w14:paraId="031106A3" w14:textId="77777777" w:rsidTr="00F77CD7">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26C53B83" w14:textId="77777777" w:rsidR="00330C43" w:rsidRDefault="00D42A0C" w:rsidP="00D42A0C">
            <w:pPr>
              <w:jc w:val="center"/>
              <w:rPr>
                <w:lang w:eastAsia="en-US"/>
              </w:rPr>
            </w:pPr>
            <w:r>
              <w:lastRenderedPageBreak/>
              <w:t>3.</w:t>
            </w:r>
            <w:r w:rsidR="00B73438">
              <w:t xml:space="preserve"> </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7788DD3D" w14:textId="77777777" w:rsidR="00330C43" w:rsidRDefault="00330C43" w:rsidP="00E56202">
            <w:pPr>
              <w:rPr>
                <w:lang w:eastAsia="en-US"/>
              </w:rPr>
            </w:pPr>
            <w:r>
              <w:t>Projekta izstrādē iesaistītās institūcijas</w:t>
            </w:r>
          </w:p>
        </w:tc>
        <w:tc>
          <w:tcPr>
            <w:tcW w:w="7523" w:type="dxa"/>
            <w:tcBorders>
              <w:top w:val="single" w:sz="4" w:space="0" w:color="auto"/>
              <w:left w:val="single" w:sz="4" w:space="0" w:color="auto"/>
              <w:bottom w:val="single" w:sz="4" w:space="0" w:color="auto"/>
              <w:right w:val="single" w:sz="4" w:space="0" w:color="auto"/>
            </w:tcBorders>
            <w:shd w:val="clear" w:color="auto" w:fill="auto"/>
            <w:hideMark/>
          </w:tcPr>
          <w:p w14:paraId="589C6665" w14:textId="77777777" w:rsidR="00893FBD" w:rsidRPr="00AD004C" w:rsidRDefault="00F83222" w:rsidP="00E56202">
            <w:pPr>
              <w:jc w:val="both"/>
            </w:pPr>
            <w:r w:rsidRPr="00AD004C">
              <w:t>Nav.</w:t>
            </w:r>
          </w:p>
        </w:tc>
      </w:tr>
      <w:tr w:rsidR="00330C43" w:rsidRPr="00155D30" w14:paraId="0C471FCA" w14:textId="77777777" w:rsidTr="00F77CD7">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3F385BCE" w14:textId="77777777" w:rsidR="00330C43" w:rsidRDefault="00330C43" w:rsidP="00E56202">
            <w:pPr>
              <w:jc w:val="center"/>
              <w:rPr>
                <w:lang w:eastAsia="en-US"/>
              </w:rPr>
            </w:pPr>
            <w:r>
              <w:t>4.</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7026B757" w14:textId="77777777" w:rsidR="00330C43" w:rsidRDefault="00330C43" w:rsidP="00E56202">
            <w:pPr>
              <w:rPr>
                <w:lang w:eastAsia="en-US"/>
              </w:rPr>
            </w:pPr>
            <w:r>
              <w:t>Cita informācija</w:t>
            </w:r>
          </w:p>
        </w:tc>
        <w:tc>
          <w:tcPr>
            <w:tcW w:w="7523" w:type="dxa"/>
            <w:tcBorders>
              <w:top w:val="single" w:sz="4" w:space="0" w:color="auto"/>
              <w:left w:val="single" w:sz="4" w:space="0" w:color="auto"/>
              <w:bottom w:val="single" w:sz="4" w:space="0" w:color="auto"/>
              <w:right w:val="single" w:sz="4" w:space="0" w:color="auto"/>
            </w:tcBorders>
            <w:shd w:val="clear" w:color="auto" w:fill="FFFFFF"/>
            <w:hideMark/>
          </w:tcPr>
          <w:p w14:paraId="18547CB8" w14:textId="18FBF5E7" w:rsidR="0052189F" w:rsidRPr="00A67409" w:rsidRDefault="0052189F" w:rsidP="00E56202">
            <w:pPr>
              <w:pStyle w:val="naiskr"/>
              <w:spacing w:before="0" w:beforeAutospacing="0" w:after="0" w:afterAutospacing="0"/>
              <w:ind w:right="57"/>
              <w:jc w:val="both"/>
            </w:pPr>
            <w:r w:rsidRPr="00A67409">
              <w:t>Projekta iesnieguma vērtēšanas kritērij</w:t>
            </w:r>
            <w:r w:rsidR="00F83222" w:rsidRPr="00A67409">
              <w:t xml:space="preserve">i </w:t>
            </w:r>
            <w:r w:rsidR="001358CB" w:rsidRPr="00A67409">
              <w:t>ir izskatīti Eiropas Savienības struktūrfondu un Kohēzijas fonda 2014.–2020.gada plānošanas perioda Vides aizsardzības un resursu izmantošanas efektivitāte</w:t>
            </w:r>
            <w:r w:rsidR="00EB208C" w:rsidRPr="00A67409">
              <w:t>s</w:t>
            </w:r>
            <w:r w:rsidR="001358CB" w:rsidRPr="00A67409">
              <w:t xml:space="preserve"> prioritārā virziena apakškomitejā (turpmāk – Uzraudzības komitejas Apakškomiteja)</w:t>
            </w:r>
            <w:r w:rsidRPr="00A67409">
              <w:t>, kuras sastāvā ir iekļaut</w:t>
            </w:r>
            <w:r w:rsidR="009507C6" w:rsidRPr="00A67409">
              <w:t>i</w:t>
            </w:r>
            <w:r w:rsidRPr="00A67409">
              <w:t xml:space="preserve"> arī sociālie, nevalstiskā sektora un reģionālie partneri</w:t>
            </w:r>
            <w:r w:rsidR="001358CB" w:rsidRPr="00A67409">
              <w:t>, un virzīti tālāk apstiprināšanai Eiropas Savienības struktūrfondu un Kohēzijas fonda 2014.–2020.gada plānošanas perioda Uzraudzības komitejā</w:t>
            </w:r>
            <w:r w:rsidRPr="00A67409">
              <w:t>.</w:t>
            </w:r>
          </w:p>
          <w:p w14:paraId="7C4158E9" w14:textId="77777777" w:rsidR="00A35BA7" w:rsidRDefault="00702183" w:rsidP="00BB5C85">
            <w:pPr>
              <w:pStyle w:val="naiskr"/>
              <w:spacing w:before="120" w:beforeAutospacing="0" w:after="0" w:afterAutospacing="0"/>
              <w:ind w:right="57"/>
              <w:jc w:val="both"/>
              <w:rPr>
                <w:color w:val="000000"/>
              </w:rPr>
            </w:pPr>
            <w:r w:rsidRPr="00AD004C">
              <w:rPr>
                <w:color w:val="000000"/>
              </w:rPr>
              <w:t>Horizontālā principa „</w:t>
            </w:r>
            <w:r w:rsidR="00B025A6">
              <w:rPr>
                <w:color w:val="000000"/>
              </w:rPr>
              <w:t>I</w:t>
            </w:r>
            <w:r w:rsidRPr="00AD004C">
              <w:rPr>
                <w:color w:val="000000"/>
              </w:rPr>
              <w:t xml:space="preserve">lgtspējīga attīstība” </w:t>
            </w:r>
            <w:r w:rsidR="00CE0E71" w:rsidRPr="00AD004C">
              <w:rPr>
                <w:color w:val="000000"/>
              </w:rPr>
              <w:t>(turpmāk –</w:t>
            </w:r>
            <w:r w:rsidR="00D93C8B" w:rsidRPr="00AD004C">
              <w:rPr>
                <w:color w:val="000000"/>
              </w:rPr>
              <w:t xml:space="preserve"> </w:t>
            </w:r>
            <w:r w:rsidR="00CE0E71" w:rsidRPr="00AD004C">
              <w:rPr>
                <w:color w:val="000000"/>
              </w:rPr>
              <w:t xml:space="preserve">HP IA) </w:t>
            </w:r>
            <w:r w:rsidRPr="00AD004C">
              <w:rPr>
                <w:color w:val="000000"/>
              </w:rPr>
              <w:t>uzraudzības rādītāj</w:t>
            </w:r>
            <w:r w:rsidR="00F366CE">
              <w:rPr>
                <w:color w:val="000000"/>
              </w:rPr>
              <w:t>s</w:t>
            </w:r>
            <w:r w:rsidR="00D42A0C">
              <w:rPr>
                <w:color w:val="000000"/>
              </w:rPr>
              <w:t xml:space="preserve"> atbilst SAM 5.3.1.</w:t>
            </w:r>
            <w:r w:rsidR="00517372" w:rsidRPr="00AD004C">
              <w:t xml:space="preserve"> mērķa</w:t>
            </w:r>
            <w:r w:rsidR="0092249F" w:rsidRPr="00AD004C">
              <w:rPr>
                <w:color w:val="000000"/>
              </w:rPr>
              <w:t>, kuram ir tieša pozitīva ietekme uz šī principa ievērošanu,</w:t>
            </w:r>
            <w:r w:rsidRPr="00AD004C">
              <w:rPr>
                <w:color w:val="000000"/>
              </w:rPr>
              <w:t xml:space="preserve"> </w:t>
            </w:r>
            <w:r w:rsidR="00D42A0C">
              <w:rPr>
                <w:color w:val="000000"/>
              </w:rPr>
              <w:t>iznākuma</w:t>
            </w:r>
            <w:r w:rsidRPr="00AD004C">
              <w:rPr>
                <w:color w:val="000000"/>
              </w:rPr>
              <w:t xml:space="preserve"> rādītāj</w:t>
            </w:r>
            <w:r w:rsidR="00F366CE">
              <w:rPr>
                <w:color w:val="000000"/>
              </w:rPr>
              <w:t>a</w:t>
            </w:r>
            <w:r w:rsidR="0092249F" w:rsidRPr="00AD004C">
              <w:rPr>
                <w:color w:val="000000"/>
              </w:rPr>
              <w:t>m</w:t>
            </w:r>
            <w:r w:rsidR="00CE0E71" w:rsidRPr="00AD004C">
              <w:rPr>
                <w:color w:val="000000"/>
              </w:rPr>
              <w:t xml:space="preserve">, </w:t>
            </w:r>
            <w:r w:rsidR="0092249F" w:rsidRPr="00AD004C">
              <w:rPr>
                <w:color w:val="000000"/>
              </w:rPr>
              <w:t xml:space="preserve">kā arī </w:t>
            </w:r>
            <w:r w:rsidR="00D42A0C">
              <w:rPr>
                <w:color w:val="000000"/>
              </w:rPr>
              <w:t>SAM 5.3.1 ietvaros var piemērot kopējo darbības programmas</w:t>
            </w:r>
            <w:r w:rsidR="00CE0E71">
              <w:rPr>
                <w:color w:val="000000"/>
              </w:rPr>
              <w:t xml:space="preserve"> HP IA rādītāju „zaļais iepirkums”, ja tas ir a</w:t>
            </w:r>
            <w:r w:rsidR="00D93C8B">
              <w:rPr>
                <w:color w:val="000000"/>
              </w:rPr>
              <w:t>ttiecināms uz konkrēto proje</w:t>
            </w:r>
            <w:r w:rsidR="00D42A0C">
              <w:rPr>
                <w:color w:val="000000"/>
              </w:rPr>
              <w:t>ktu.</w:t>
            </w:r>
          </w:p>
          <w:p w14:paraId="71FCDA14" w14:textId="18FBD6DC" w:rsidR="00DE7228" w:rsidRPr="00A67409" w:rsidRDefault="00A67409" w:rsidP="00826E45">
            <w:pPr>
              <w:pStyle w:val="naiskr"/>
              <w:spacing w:before="120" w:beforeAutospacing="0" w:after="0" w:afterAutospacing="0"/>
              <w:ind w:right="57"/>
              <w:jc w:val="both"/>
            </w:pPr>
            <w:r w:rsidRPr="00A67409">
              <w:rPr>
                <w:color w:val="000000"/>
              </w:rPr>
              <w:t xml:space="preserve">Lai nodrošinātu SAM 5.3.1. </w:t>
            </w:r>
            <w:r w:rsidRPr="00A67409">
              <w:t xml:space="preserve">noteiktā iznākuma rādītāja (uzlaboto notekūdeņu attīrīšanas sistēmu apkalpoto iedzīvotāju skaita pieaugums) sasniegšanu, sabiedrisko ūdenssaimniecības pakalpojumu sniedzēji un </w:t>
            </w:r>
            <w:r w:rsidRPr="00A67409">
              <w:lastRenderedPageBreak/>
              <w:t xml:space="preserve">pašvaldības </w:t>
            </w:r>
            <w:r w:rsidRPr="00A67409">
              <w:rPr>
                <w:b/>
              </w:rPr>
              <w:t>atbilstoši</w:t>
            </w:r>
            <w:r w:rsidRPr="00A67409">
              <w:rPr>
                <w:b/>
                <w:bCs/>
              </w:rPr>
              <w:t xml:space="preserve"> Ūdenssaimniecības pakalpojumu likuma 9.panta sestajā daļā noteiktajam</w:t>
            </w:r>
            <w:r w:rsidRPr="00A67409">
              <w:rPr>
                <w:bCs/>
              </w:rPr>
              <w:t xml:space="preserve"> </w:t>
            </w:r>
            <w:r w:rsidRPr="00A67409">
              <w:t xml:space="preserve">var plānot pieslēgumu veicināšanas atbalsta programmas pašvaldības līmenī, izdodot pašvaldības saistošos noteikumus, </w:t>
            </w:r>
            <w:r w:rsidRPr="00A67409">
              <w:rPr>
                <w:b/>
              </w:rPr>
              <w:t xml:space="preserve">tāpat var paredzēt </w:t>
            </w:r>
            <w:r w:rsidRPr="00A67409">
              <w:rPr>
                <w:b/>
                <w:bCs/>
              </w:rPr>
              <w:t>tādus netiešos stimulus iedzīvotāju pieslēgumu veidošanai, kā, piemērām, vienojoties ar pakalpojumu sniedzēju par pieslēgumu veidošanas apmaksu pa daļām, bet pašvaldības dome varēs lemt par finansējuma piešķiršanu šo darbu daļējai apmaksai no pašvaldības budžeta</w:t>
            </w:r>
            <w:r w:rsidRPr="00A67409">
              <w:rPr>
                <w:bCs/>
              </w:rPr>
              <w:t>.</w:t>
            </w:r>
          </w:p>
        </w:tc>
      </w:tr>
    </w:tbl>
    <w:p w14:paraId="1F9B38DD" w14:textId="77777777" w:rsidR="005C6D4B" w:rsidRPr="005C6D4B" w:rsidRDefault="005C6D4B" w:rsidP="00E56202">
      <w:pPr>
        <w:rPr>
          <w:vanish/>
        </w:rPr>
      </w:pPr>
    </w:p>
    <w:tbl>
      <w:tblPr>
        <w:tblpPr w:leftFromText="180" w:rightFromText="180" w:vertAnchor="text" w:horzAnchor="margin" w:tblpX="-137" w:tblpY="13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
        <w:gridCol w:w="2683"/>
        <w:gridCol w:w="6510"/>
      </w:tblGrid>
      <w:tr w:rsidR="0055506E" w:rsidRPr="00A76ADD" w14:paraId="5D60BEC9" w14:textId="77777777" w:rsidTr="00F77CD7">
        <w:trPr>
          <w:trHeight w:val="556"/>
        </w:trPr>
        <w:tc>
          <w:tcPr>
            <w:tcW w:w="9634" w:type="dxa"/>
            <w:gridSpan w:val="3"/>
            <w:vAlign w:val="center"/>
          </w:tcPr>
          <w:p w14:paraId="20E13DC5" w14:textId="77777777" w:rsidR="0055506E" w:rsidRPr="00A76ADD" w:rsidRDefault="0055506E" w:rsidP="00E56202">
            <w:pPr>
              <w:pStyle w:val="naisnod"/>
              <w:spacing w:before="0" w:beforeAutospacing="0" w:after="0" w:afterAutospacing="0"/>
              <w:ind w:left="57" w:right="57"/>
              <w:jc w:val="center"/>
              <w:rPr>
                <w:b/>
              </w:rPr>
            </w:pPr>
            <w:r w:rsidRPr="00A76ADD">
              <w:rPr>
                <w:b/>
              </w:rPr>
              <w:t>II. Tiesību akta projekta ietekme uz sabiedrību, tautsaimniecības attīstību</w:t>
            </w:r>
          </w:p>
          <w:p w14:paraId="7C0B6CFA" w14:textId="77777777" w:rsidR="0055506E" w:rsidRPr="00A76ADD" w:rsidRDefault="0055506E" w:rsidP="00E56202">
            <w:pPr>
              <w:pStyle w:val="naisnod"/>
              <w:spacing w:before="0" w:beforeAutospacing="0" w:after="0" w:afterAutospacing="0"/>
              <w:ind w:left="57" w:right="57"/>
              <w:jc w:val="center"/>
              <w:rPr>
                <w:b/>
              </w:rPr>
            </w:pPr>
            <w:r w:rsidRPr="00A76ADD">
              <w:rPr>
                <w:b/>
              </w:rPr>
              <w:t>un administratīvo slogu</w:t>
            </w:r>
          </w:p>
        </w:tc>
      </w:tr>
      <w:tr w:rsidR="0055506E" w:rsidRPr="00A76ADD" w14:paraId="48B1F587" w14:textId="77777777" w:rsidTr="00F77CD7">
        <w:trPr>
          <w:trHeight w:val="467"/>
        </w:trPr>
        <w:tc>
          <w:tcPr>
            <w:tcW w:w="441" w:type="dxa"/>
          </w:tcPr>
          <w:p w14:paraId="63840A8C" w14:textId="77777777" w:rsidR="0055506E" w:rsidRPr="00A76ADD" w:rsidRDefault="0055506E" w:rsidP="00E56202">
            <w:pPr>
              <w:pStyle w:val="naiskr"/>
              <w:spacing w:before="0" w:beforeAutospacing="0" w:after="0" w:afterAutospacing="0"/>
              <w:ind w:left="57" w:right="57"/>
              <w:jc w:val="both"/>
            </w:pPr>
            <w:r w:rsidRPr="00A76ADD">
              <w:t>1.</w:t>
            </w:r>
          </w:p>
        </w:tc>
        <w:tc>
          <w:tcPr>
            <w:tcW w:w="2683" w:type="dxa"/>
          </w:tcPr>
          <w:p w14:paraId="5B957B6B" w14:textId="77777777" w:rsidR="0055506E" w:rsidRPr="00A76ADD" w:rsidRDefault="0055506E" w:rsidP="00E56202">
            <w:pPr>
              <w:pStyle w:val="naiskr"/>
              <w:spacing w:before="0" w:beforeAutospacing="0" w:after="0" w:afterAutospacing="0"/>
              <w:ind w:left="57" w:right="57"/>
            </w:pPr>
            <w:r w:rsidRPr="00A76ADD">
              <w:t>Sabiedrības mērķgrupas, kuras tiesiskais regulējums ietekmē vai varētu ietekmēt</w:t>
            </w:r>
          </w:p>
        </w:tc>
        <w:tc>
          <w:tcPr>
            <w:tcW w:w="6510" w:type="dxa"/>
          </w:tcPr>
          <w:p w14:paraId="10AC9A8E" w14:textId="5C8A9807" w:rsidR="0055506E" w:rsidRPr="00A76ADD" w:rsidRDefault="00841056" w:rsidP="00E56202">
            <w:pPr>
              <w:shd w:val="clear" w:color="auto" w:fill="FFFFFF"/>
              <w:ind w:left="57" w:right="113"/>
              <w:jc w:val="both"/>
            </w:pPr>
            <w:bookmarkStart w:id="1" w:name="p21"/>
            <w:bookmarkEnd w:id="1"/>
            <w:r w:rsidRPr="00A76ADD">
              <w:t>MK noteikumu projekts šo jomu neskar.</w:t>
            </w:r>
          </w:p>
        </w:tc>
      </w:tr>
      <w:tr w:rsidR="0055506E" w:rsidRPr="00A76ADD" w14:paraId="26FD1933" w14:textId="77777777" w:rsidTr="00F77CD7">
        <w:trPr>
          <w:trHeight w:val="523"/>
        </w:trPr>
        <w:tc>
          <w:tcPr>
            <w:tcW w:w="441" w:type="dxa"/>
          </w:tcPr>
          <w:p w14:paraId="6E2521DE" w14:textId="77777777" w:rsidR="0055506E" w:rsidRPr="00A76ADD" w:rsidRDefault="0055506E" w:rsidP="00E56202">
            <w:pPr>
              <w:pStyle w:val="naiskr"/>
              <w:spacing w:before="0" w:beforeAutospacing="0" w:after="0" w:afterAutospacing="0"/>
              <w:ind w:left="57" w:right="57"/>
              <w:jc w:val="both"/>
            </w:pPr>
            <w:r w:rsidRPr="00A76ADD">
              <w:t>2.</w:t>
            </w:r>
          </w:p>
        </w:tc>
        <w:tc>
          <w:tcPr>
            <w:tcW w:w="2683" w:type="dxa"/>
          </w:tcPr>
          <w:p w14:paraId="21913C15" w14:textId="77777777" w:rsidR="0055506E" w:rsidRPr="00A76ADD" w:rsidRDefault="0055506E" w:rsidP="00E56202">
            <w:pPr>
              <w:pStyle w:val="naiskr"/>
              <w:spacing w:before="0" w:beforeAutospacing="0" w:after="0" w:afterAutospacing="0"/>
              <w:ind w:left="57" w:right="57"/>
            </w:pPr>
            <w:r w:rsidRPr="00A76ADD">
              <w:t>Tiesiskā regulējuma ietekme uz tautsaimniecību un administratīvo slogu</w:t>
            </w:r>
          </w:p>
        </w:tc>
        <w:tc>
          <w:tcPr>
            <w:tcW w:w="6510" w:type="dxa"/>
          </w:tcPr>
          <w:p w14:paraId="5BBAC3F9" w14:textId="77777777" w:rsidR="0055506E" w:rsidRPr="00A76ADD" w:rsidRDefault="00B520ED" w:rsidP="00826E45">
            <w:pPr>
              <w:ind w:left="144" w:right="142"/>
              <w:jc w:val="both"/>
            </w:pPr>
            <w:r w:rsidRPr="00AD004C">
              <w:rPr>
                <w:bCs/>
              </w:rPr>
              <w:t xml:space="preserve">Nav paredzams, ka </w:t>
            </w:r>
            <w:r w:rsidR="00517372" w:rsidRPr="00AD004C">
              <w:t xml:space="preserve">projektu </w:t>
            </w:r>
            <w:r w:rsidRPr="00AD004C">
              <w:rPr>
                <w:bCs/>
              </w:rPr>
              <w:t xml:space="preserve">īstenošanai būs ietekme uz </w:t>
            </w:r>
            <w:r w:rsidRPr="00AD004C">
              <w:t>sociālo sfēru,</w:t>
            </w:r>
            <w:r w:rsidRPr="00AD004C">
              <w:rPr>
                <w:bCs/>
              </w:rPr>
              <w:t xml:space="preserve"> pārvaldes iestāžu funkcijām un cilvēkresursiem, kā arī uz valsts un pašvaldību informācijas sistēmām. </w:t>
            </w:r>
            <w:r w:rsidR="00D42A0C">
              <w:rPr>
                <w:bCs/>
              </w:rPr>
              <w:t xml:space="preserve">SAM 5.3.1. </w:t>
            </w:r>
            <w:r w:rsidRPr="00AD004C">
              <w:rPr>
                <w:bCs/>
              </w:rPr>
              <w:t xml:space="preserve">neietekmēs spēkā esošo tiesību normu sistēmu. </w:t>
            </w:r>
            <w:r w:rsidRPr="00AD004C">
              <w:t xml:space="preserve">Vērtējot </w:t>
            </w:r>
            <w:r w:rsidR="00D42A0C">
              <w:rPr>
                <w:bCs/>
              </w:rPr>
              <w:t>SAM 5.3.1.</w:t>
            </w:r>
            <w:r w:rsidRPr="00AD004C">
              <w:t xml:space="preserve"> </w:t>
            </w:r>
            <w:r>
              <w:t xml:space="preserve">īstenošanas </w:t>
            </w:r>
            <w:r w:rsidRPr="00F010A1">
              <w:t xml:space="preserve">ietekmi uz administratīvajām procedūrām un to izmaksām, </w:t>
            </w:r>
            <w:r>
              <w:t>nav identificēts administratīvā sloga palielinājums ne potenciālajiem finansējuma saņēmējiem, ne fondu vadībā iesaistītajām institūcijām.</w:t>
            </w:r>
            <w:r w:rsidRPr="00F010A1">
              <w:rPr>
                <w:sz w:val="28"/>
                <w:szCs w:val="28"/>
              </w:rPr>
              <w:t xml:space="preserve"> </w:t>
            </w:r>
          </w:p>
        </w:tc>
      </w:tr>
      <w:tr w:rsidR="0055506E" w:rsidRPr="00A76ADD" w14:paraId="72545074" w14:textId="77777777" w:rsidTr="00F77CD7">
        <w:trPr>
          <w:trHeight w:val="523"/>
        </w:trPr>
        <w:tc>
          <w:tcPr>
            <w:tcW w:w="441" w:type="dxa"/>
          </w:tcPr>
          <w:p w14:paraId="56BC8906" w14:textId="77777777" w:rsidR="0055506E" w:rsidRPr="00A76ADD" w:rsidRDefault="0055506E" w:rsidP="00E56202">
            <w:pPr>
              <w:pStyle w:val="naiskr"/>
              <w:spacing w:before="0" w:beforeAutospacing="0" w:after="0" w:afterAutospacing="0"/>
              <w:ind w:left="57" w:right="57"/>
              <w:jc w:val="both"/>
            </w:pPr>
            <w:r w:rsidRPr="00A76ADD">
              <w:t>3.</w:t>
            </w:r>
          </w:p>
        </w:tc>
        <w:tc>
          <w:tcPr>
            <w:tcW w:w="2683" w:type="dxa"/>
          </w:tcPr>
          <w:p w14:paraId="19E1A0AB" w14:textId="77777777" w:rsidR="0055506E" w:rsidRPr="00A76ADD" w:rsidRDefault="0055506E" w:rsidP="00E56202">
            <w:pPr>
              <w:pStyle w:val="naiskr"/>
              <w:spacing w:before="0" w:beforeAutospacing="0" w:after="0" w:afterAutospacing="0"/>
              <w:ind w:left="57" w:right="57"/>
            </w:pPr>
            <w:r w:rsidRPr="00A76ADD">
              <w:t>Administratīvo izmaksu monetārs novērtējums</w:t>
            </w:r>
          </w:p>
        </w:tc>
        <w:tc>
          <w:tcPr>
            <w:tcW w:w="6510" w:type="dxa"/>
          </w:tcPr>
          <w:p w14:paraId="7FDD92C3" w14:textId="77777777" w:rsidR="0055506E" w:rsidRPr="00A76ADD" w:rsidRDefault="00841056" w:rsidP="00E56202">
            <w:pPr>
              <w:shd w:val="clear" w:color="auto" w:fill="FFFFFF"/>
              <w:ind w:left="57" w:right="113"/>
              <w:jc w:val="both"/>
            </w:pPr>
            <w:r w:rsidRPr="00A76ADD">
              <w:t>MK noteikumu projekts šo jomu neskar.</w:t>
            </w:r>
          </w:p>
        </w:tc>
      </w:tr>
      <w:tr w:rsidR="0055506E" w:rsidRPr="00A76ADD" w14:paraId="644E1906" w14:textId="77777777" w:rsidTr="00F77CD7">
        <w:trPr>
          <w:trHeight w:val="357"/>
        </w:trPr>
        <w:tc>
          <w:tcPr>
            <w:tcW w:w="441" w:type="dxa"/>
          </w:tcPr>
          <w:p w14:paraId="279F57AC" w14:textId="77777777" w:rsidR="0055506E" w:rsidRPr="00A76ADD" w:rsidRDefault="0055506E" w:rsidP="00E56202">
            <w:pPr>
              <w:pStyle w:val="naiskr"/>
              <w:spacing w:before="0" w:beforeAutospacing="0" w:after="0" w:afterAutospacing="0"/>
              <w:ind w:left="57" w:right="57"/>
              <w:jc w:val="both"/>
            </w:pPr>
            <w:r w:rsidRPr="00A76ADD">
              <w:t>4.</w:t>
            </w:r>
          </w:p>
        </w:tc>
        <w:tc>
          <w:tcPr>
            <w:tcW w:w="2683" w:type="dxa"/>
          </w:tcPr>
          <w:p w14:paraId="26F319C2" w14:textId="77777777" w:rsidR="0055506E" w:rsidRPr="00A76ADD" w:rsidRDefault="0055506E" w:rsidP="00E56202">
            <w:pPr>
              <w:pStyle w:val="naiskr"/>
              <w:spacing w:before="0" w:beforeAutospacing="0" w:after="0" w:afterAutospacing="0"/>
              <w:ind w:left="57" w:right="57"/>
            </w:pPr>
            <w:r w:rsidRPr="00A76ADD">
              <w:t>Cita informācija</w:t>
            </w:r>
          </w:p>
        </w:tc>
        <w:tc>
          <w:tcPr>
            <w:tcW w:w="6510" w:type="dxa"/>
          </w:tcPr>
          <w:p w14:paraId="572FEAC3" w14:textId="77777777" w:rsidR="0055506E" w:rsidRPr="00A76ADD" w:rsidRDefault="0055506E" w:rsidP="00E56202">
            <w:pPr>
              <w:shd w:val="clear" w:color="auto" w:fill="FFFFFF"/>
              <w:ind w:left="57" w:right="113"/>
              <w:jc w:val="both"/>
            </w:pPr>
            <w:r w:rsidRPr="00A76ADD">
              <w:t>Nav.</w:t>
            </w:r>
          </w:p>
        </w:tc>
      </w:tr>
    </w:tbl>
    <w:p w14:paraId="2322E162" w14:textId="77777777" w:rsidR="000D3D70" w:rsidRDefault="000D3D70" w:rsidP="00E56202">
      <w:pPr>
        <w:jc w:val="both"/>
      </w:pPr>
    </w:p>
    <w:tbl>
      <w:tblPr>
        <w:tblW w:w="9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134"/>
        <w:gridCol w:w="1417"/>
        <w:gridCol w:w="1418"/>
        <w:gridCol w:w="1417"/>
        <w:gridCol w:w="1418"/>
      </w:tblGrid>
      <w:tr w:rsidR="00C61A59" w:rsidRPr="00155D30" w14:paraId="3E8FBEC2" w14:textId="77777777" w:rsidTr="00F77CD7">
        <w:tc>
          <w:tcPr>
            <w:tcW w:w="975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C2D3D27" w14:textId="77777777" w:rsidR="00C61A59" w:rsidRPr="00155D30" w:rsidRDefault="00C61A59" w:rsidP="00E56202">
            <w:pPr>
              <w:pStyle w:val="ListParagraph"/>
              <w:tabs>
                <w:tab w:val="left" w:pos="2268"/>
                <w:tab w:val="left" w:pos="2410"/>
              </w:tabs>
              <w:ind w:left="1080"/>
              <w:jc w:val="center"/>
              <w:rPr>
                <w:b/>
                <w:bCs/>
                <w:sz w:val="24"/>
                <w:szCs w:val="24"/>
                <w:lang w:eastAsia="en-US"/>
              </w:rPr>
            </w:pPr>
            <w:r w:rsidRPr="00155D30">
              <w:rPr>
                <w:b/>
                <w:bCs/>
                <w:sz w:val="24"/>
                <w:szCs w:val="24"/>
              </w:rPr>
              <w:t>III. Tiesību akta projekta ietekme uz valsts budžetu un pašvaldību budžetiem</w:t>
            </w:r>
          </w:p>
        </w:tc>
      </w:tr>
      <w:tr w:rsidR="00C61A59" w:rsidRPr="00155D30" w14:paraId="6346BF38" w14:textId="77777777" w:rsidTr="00F77CD7">
        <w:trPr>
          <w:trHeight w:val="324"/>
        </w:trPr>
        <w:tc>
          <w:tcPr>
            <w:tcW w:w="2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5FE28" w14:textId="77777777" w:rsidR="00C61A59" w:rsidRPr="00155D30" w:rsidRDefault="00C61A59" w:rsidP="00E56202">
            <w:pPr>
              <w:jc w:val="center"/>
              <w:rPr>
                <w:b/>
                <w:lang w:eastAsia="en-US"/>
              </w:rPr>
            </w:pPr>
            <w:r w:rsidRPr="00155D30">
              <w:rPr>
                <w:b/>
              </w:rPr>
              <w:t>Rādītāji</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40AAA" w14:textId="77777777" w:rsidR="00C61A59" w:rsidRPr="00155D30" w:rsidRDefault="00C61A59" w:rsidP="00E56202">
            <w:pPr>
              <w:jc w:val="center"/>
              <w:rPr>
                <w:b/>
                <w:lang w:eastAsia="en-US"/>
              </w:rPr>
            </w:pPr>
            <w:r w:rsidRPr="00155D30">
              <w:rPr>
                <w:b/>
              </w:rPr>
              <w:t>201</w:t>
            </w:r>
            <w:r w:rsidR="000A7845">
              <w:rPr>
                <w:b/>
              </w:rPr>
              <w:t>6</w:t>
            </w:r>
            <w:r w:rsidRPr="00155D30">
              <w:rPr>
                <w:b/>
              </w:rPr>
              <w:t>.gads</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59F633" w14:textId="77777777" w:rsidR="00C61A59" w:rsidRPr="00155D30" w:rsidRDefault="00C61A59" w:rsidP="00E56202">
            <w:pPr>
              <w:jc w:val="center"/>
              <w:rPr>
                <w:b/>
                <w:lang w:eastAsia="en-US"/>
              </w:rPr>
            </w:pPr>
            <w:r w:rsidRPr="00155D30">
              <w:rPr>
                <w:b/>
              </w:rPr>
              <w:t>Turpmākie trīs gadi (</w:t>
            </w:r>
            <w:proofErr w:type="spellStart"/>
            <w:r w:rsidRPr="00155D30">
              <w:rPr>
                <w:b/>
              </w:rPr>
              <w:t>euro</w:t>
            </w:r>
            <w:proofErr w:type="spellEnd"/>
            <w:r w:rsidRPr="00155D30">
              <w:rPr>
                <w:b/>
              </w:rPr>
              <w:t>)</w:t>
            </w:r>
          </w:p>
        </w:tc>
      </w:tr>
      <w:tr w:rsidR="00C61A59" w:rsidRPr="00155D30" w14:paraId="4F18F157" w14:textId="77777777" w:rsidTr="00F77CD7">
        <w:tc>
          <w:tcPr>
            <w:tcW w:w="2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22A621" w14:textId="77777777" w:rsidR="00C61A59" w:rsidRPr="00155D30" w:rsidRDefault="00C61A59" w:rsidP="00E56202">
            <w:pPr>
              <w:rPr>
                <w:b/>
                <w:lang w:eastAsia="en-US"/>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4C1136" w14:textId="77777777" w:rsidR="00C61A59" w:rsidRPr="00155D30" w:rsidRDefault="00C61A59" w:rsidP="00E56202">
            <w:pPr>
              <w:rPr>
                <w:b/>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D1A90" w14:textId="77777777" w:rsidR="00C61A59" w:rsidRPr="00155D30" w:rsidRDefault="00C61A59" w:rsidP="000A7845">
            <w:pPr>
              <w:jc w:val="center"/>
              <w:rPr>
                <w:b/>
                <w:lang w:eastAsia="en-US"/>
              </w:rPr>
            </w:pPr>
            <w:r w:rsidRPr="00155D30">
              <w:rPr>
                <w:b/>
              </w:rPr>
              <w:t>201</w:t>
            </w:r>
            <w:r w:rsidR="000A7845">
              <w:rPr>
                <w:b/>
              </w:rPr>
              <w:t>7</w:t>
            </w:r>
            <w:r w:rsidRPr="00155D30">
              <w:rPr>
                <w:b/>
              </w:rPr>
              <w:t>.g.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0C6E7" w14:textId="77777777" w:rsidR="00C61A59" w:rsidRPr="00155D30" w:rsidRDefault="00C61A59" w:rsidP="00E56202">
            <w:pPr>
              <w:jc w:val="center"/>
              <w:rPr>
                <w:b/>
                <w:lang w:eastAsia="en-US"/>
              </w:rPr>
            </w:pPr>
            <w:r w:rsidRPr="00155D30">
              <w:rPr>
                <w:b/>
              </w:rPr>
              <w:t>201</w:t>
            </w:r>
            <w:r w:rsidR="000A7845">
              <w:rPr>
                <w:b/>
              </w:rPr>
              <w:t>8</w:t>
            </w:r>
            <w:r w:rsidRPr="00155D30">
              <w:rPr>
                <w:b/>
              </w:rPr>
              <w:t>.g.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B556B" w14:textId="77777777" w:rsidR="00C61A59" w:rsidRPr="00155D30" w:rsidRDefault="00C61A59" w:rsidP="00E56202">
            <w:pPr>
              <w:jc w:val="center"/>
              <w:rPr>
                <w:b/>
                <w:lang w:eastAsia="en-US"/>
              </w:rPr>
            </w:pPr>
            <w:r w:rsidRPr="00155D30">
              <w:rPr>
                <w:b/>
              </w:rPr>
              <w:t>201</w:t>
            </w:r>
            <w:r w:rsidR="000A7845">
              <w:rPr>
                <w:b/>
              </w:rPr>
              <w:t>9</w:t>
            </w:r>
            <w:r w:rsidRPr="00155D30">
              <w:rPr>
                <w:b/>
              </w:rPr>
              <w:t>.g.</w:t>
            </w:r>
          </w:p>
        </w:tc>
      </w:tr>
      <w:tr w:rsidR="00C61A59" w:rsidRPr="00155D30" w14:paraId="0CA7C382" w14:textId="77777777" w:rsidTr="00F77CD7">
        <w:tc>
          <w:tcPr>
            <w:tcW w:w="2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EF8008" w14:textId="77777777" w:rsidR="00C61A59" w:rsidRPr="00155D30" w:rsidRDefault="00C61A59" w:rsidP="00E56202">
            <w:pPr>
              <w:rPr>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F7C30" w14:textId="77777777" w:rsidR="00C61A59" w:rsidRPr="00155D30" w:rsidRDefault="00C61A59" w:rsidP="00E56202">
            <w:pPr>
              <w:jc w:val="center"/>
              <w:rPr>
                <w:b/>
                <w:lang w:eastAsia="en-US"/>
              </w:rPr>
            </w:pPr>
            <w:r w:rsidRPr="00155D30">
              <w:rPr>
                <w:b/>
              </w:rPr>
              <w:t>saskaņā ar valsts budžetu kārtējam gadam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C09A3" w14:textId="77777777" w:rsidR="00C61A59" w:rsidRPr="00155D30" w:rsidRDefault="00C61A59" w:rsidP="00E56202">
            <w:pPr>
              <w:jc w:val="center"/>
              <w:rPr>
                <w:b/>
                <w:lang w:eastAsia="en-US"/>
              </w:rPr>
            </w:pPr>
            <w:r w:rsidRPr="00155D30">
              <w:rPr>
                <w:b/>
              </w:rPr>
              <w:t>izmaiņas kārtējā gadā, salīdzinot ar valsts budžetu kārtējam gadam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AA800" w14:textId="77777777" w:rsidR="00C61A59" w:rsidRPr="00155D30" w:rsidRDefault="00C61A59" w:rsidP="00FF2AB6">
            <w:pPr>
              <w:jc w:val="center"/>
              <w:rPr>
                <w:b/>
                <w:lang w:eastAsia="en-US"/>
              </w:rPr>
            </w:pPr>
            <w:r w:rsidRPr="00155D30">
              <w:rPr>
                <w:b/>
              </w:rPr>
              <w:t>izmaiņas, salīdzinot ar kārtējo (</w:t>
            </w:r>
            <w:r w:rsidR="00FF2AB6">
              <w:rPr>
                <w:b/>
              </w:rPr>
              <w:t>2016</w:t>
            </w:r>
            <w:r w:rsidRPr="00155D30">
              <w:rPr>
                <w:b/>
              </w:rPr>
              <w:t>) gadu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BF685" w14:textId="77777777" w:rsidR="00C61A59" w:rsidRPr="00155D30" w:rsidRDefault="00C61A59" w:rsidP="00FF2AB6">
            <w:pPr>
              <w:jc w:val="center"/>
              <w:rPr>
                <w:b/>
                <w:lang w:eastAsia="en-US"/>
              </w:rPr>
            </w:pPr>
            <w:r w:rsidRPr="00155D30">
              <w:rPr>
                <w:b/>
              </w:rPr>
              <w:t>izmaiņas, salīdzinot ar kārtējo (</w:t>
            </w:r>
            <w:r w:rsidR="00FF2AB6">
              <w:rPr>
                <w:b/>
              </w:rPr>
              <w:t>2016</w:t>
            </w:r>
            <w:r w:rsidRPr="00155D30">
              <w:rPr>
                <w:b/>
              </w:rPr>
              <w:t>) gadu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D2316" w14:textId="77777777" w:rsidR="00C61A59" w:rsidRPr="00155D30" w:rsidRDefault="00C61A59" w:rsidP="00FF2AB6">
            <w:pPr>
              <w:jc w:val="center"/>
              <w:rPr>
                <w:b/>
                <w:lang w:eastAsia="en-US"/>
              </w:rPr>
            </w:pPr>
            <w:r w:rsidRPr="00155D30">
              <w:rPr>
                <w:b/>
              </w:rPr>
              <w:t>izmaiņas, salīdzinot ar kārtējo (</w:t>
            </w:r>
            <w:r w:rsidR="00FF2AB6">
              <w:rPr>
                <w:b/>
              </w:rPr>
              <w:t>2016</w:t>
            </w:r>
            <w:r w:rsidRPr="00155D30">
              <w:rPr>
                <w:b/>
              </w:rPr>
              <w:t>) gadu</w:t>
            </w:r>
          </w:p>
        </w:tc>
      </w:tr>
      <w:tr w:rsidR="00C61A59" w:rsidRPr="00155D30" w14:paraId="1DA8B5F2" w14:textId="77777777" w:rsidTr="00F77CD7">
        <w:trPr>
          <w:trHeight w:val="70"/>
        </w:trPr>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414C4" w14:textId="77777777" w:rsidR="00C61A59" w:rsidRDefault="00C61A59" w:rsidP="00E56202">
            <w:pPr>
              <w:jc w:val="center"/>
              <w:rPr>
                <w:lang w:eastAsia="en-US"/>
              </w:rPr>
            </w:pPr>
            <w: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D6212" w14:textId="77777777" w:rsidR="00C61A59" w:rsidRDefault="00C61A59" w:rsidP="00E56202">
            <w:pPr>
              <w:jc w:val="center"/>
              <w:rPr>
                <w:lang w:eastAsia="en-US"/>
              </w:rPr>
            </w:pPr>
            <w: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80F39" w14:textId="77777777" w:rsidR="00C61A59" w:rsidRDefault="00C61A59" w:rsidP="00E56202">
            <w:pPr>
              <w:jc w:val="center"/>
              <w:rPr>
                <w:lang w:eastAsia="en-US"/>
              </w:rPr>
            </w:pPr>
            <w: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CF0DF" w14:textId="77777777" w:rsidR="00C61A59" w:rsidRDefault="00C61A59" w:rsidP="00E56202">
            <w:pPr>
              <w:jc w:val="center"/>
              <w:rPr>
                <w:lang w:eastAsia="en-US"/>
              </w:rPr>
            </w:pPr>
            <w: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17BD1" w14:textId="77777777" w:rsidR="00C61A59" w:rsidRDefault="00C61A59" w:rsidP="00E56202">
            <w:pPr>
              <w:jc w:val="center"/>
              <w:rPr>
                <w:lang w:eastAsia="en-US"/>
              </w:rPr>
            </w:pPr>
            <w: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7F4D7" w14:textId="77777777" w:rsidR="00C61A59" w:rsidRDefault="00C61A59" w:rsidP="00E56202">
            <w:pPr>
              <w:jc w:val="center"/>
              <w:rPr>
                <w:lang w:eastAsia="en-US"/>
              </w:rPr>
            </w:pPr>
            <w:r>
              <w:t>6</w:t>
            </w:r>
          </w:p>
        </w:tc>
      </w:tr>
      <w:tr w:rsidR="0070160D" w:rsidRPr="00155D30" w14:paraId="1A8D9FA1"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6C58D695" w14:textId="77777777" w:rsidR="0070160D" w:rsidRDefault="0070160D" w:rsidP="0070160D">
            <w:pPr>
              <w:rPr>
                <w:lang w:eastAsia="en-US"/>
              </w:rPr>
            </w:pPr>
            <w:r>
              <w:t>1. Budžeta ieņēmumi: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D11E2" w14:textId="77777777" w:rsidR="0070160D" w:rsidRPr="003A45CB" w:rsidRDefault="00A613BE" w:rsidP="00A613BE">
            <w:pPr>
              <w:jc w:val="right"/>
              <w:rPr>
                <w:b/>
                <w:lang w:eastAsia="en-US"/>
              </w:rPr>
            </w:pPr>
            <w:r w:rsidRPr="003A45CB">
              <w:rPr>
                <w:b/>
                <w:lang w:eastAsia="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3D968" w14:textId="77777777" w:rsidR="0070160D" w:rsidRPr="00EB208C" w:rsidRDefault="00A613BE" w:rsidP="00A613BE">
            <w:pPr>
              <w:jc w:val="right"/>
              <w:rPr>
                <w:b/>
                <w:lang w:eastAsia="en-US"/>
              </w:rPr>
            </w:pPr>
            <w:r w:rsidRPr="00EB208C">
              <w:rPr>
                <w:b/>
              </w:rPr>
              <w:t>17 699 071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81724" w14:textId="77777777" w:rsidR="0070160D" w:rsidRDefault="0070160D" w:rsidP="0070160D">
            <w:pPr>
              <w:jc w:val="right"/>
              <w:rPr>
                <w:lang w:eastAsia="en-US"/>
              </w:rPr>
            </w:pPr>
            <w:r>
              <w:t>19 000 000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C87EF" w14:textId="77777777" w:rsidR="0070160D" w:rsidRDefault="0070160D" w:rsidP="0070160D">
            <w:pPr>
              <w:jc w:val="right"/>
              <w:rPr>
                <w:lang w:eastAsia="en-US"/>
              </w:rPr>
            </w:pPr>
            <w:r>
              <w:t>19 000 000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7BD16" w14:textId="77777777" w:rsidR="0070160D" w:rsidRDefault="0070160D" w:rsidP="0070160D">
            <w:pPr>
              <w:jc w:val="right"/>
              <w:rPr>
                <w:lang w:eastAsia="en-US"/>
              </w:rPr>
            </w:pPr>
            <w:r>
              <w:t>19 000 000</w:t>
            </w:r>
          </w:p>
        </w:tc>
      </w:tr>
      <w:tr w:rsidR="00A613BE" w:rsidRPr="00155D30" w14:paraId="0E315C9F"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4631A487" w14:textId="77777777" w:rsidR="00A613BE" w:rsidRDefault="00A613BE" w:rsidP="00A613BE">
            <w:pPr>
              <w:rPr>
                <w:lang w:eastAsia="en-US"/>
              </w:rPr>
            </w:pPr>
            <w:r>
              <w:t>1.1. valsts pamatbudžets, tai skaitā ieņēmumi no maksas pakalpojumiem un citi pašu ieņēmumi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819BFE" w14:textId="77777777" w:rsidR="00A613BE" w:rsidRPr="003A45CB" w:rsidRDefault="00A613BE" w:rsidP="00A613BE">
            <w:pPr>
              <w:jc w:val="right"/>
              <w:rPr>
                <w:b/>
                <w:lang w:eastAsia="en-US"/>
              </w:rPr>
            </w:pPr>
            <w:r w:rsidRPr="003A45CB">
              <w:rPr>
                <w:b/>
                <w:lang w:eastAsia="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A4E04" w14:textId="77777777" w:rsidR="00A613BE" w:rsidRPr="00EB208C" w:rsidRDefault="00A613BE" w:rsidP="00A613BE">
            <w:pPr>
              <w:jc w:val="right"/>
              <w:rPr>
                <w:b/>
                <w:lang w:eastAsia="en-US"/>
              </w:rPr>
            </w:pPr>
            <w:r w:rsidRPr="00EB208C">
              <w:rPr>
                <w:b/>
              </w:rPr>
              <w:t>17 699 071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DB46" w14:textId="77777777" w:rsidR="00A613BE" w:rsidRDefault="00A613BE" w:rsidP="00A613BE">
            <w:pPr>
              <w:jc w:val="right"/>
              <w:rPr>
                <w:lang w:eastAsia="en-US"/>
              </w:rPr>
            </w:pPr>
            <w:r>
              <w:t>19 000 000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BF4F5" w14:textId="77777777" w:rsidR="00A613BE" w:rsidRDefault="00A613BE" w:rsidP="00A613BE">
            <w:pPr>
              <w:jc w:val="right"/>
              <w:rPr>
                <w:lang w:eastAsia="en-US"/>
              </w:rPr>
            </w:pPr>
            <w:r>
              <w:t>19 000 000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11D64" w14:textId="77777777" w:rsidR="00A613BE" w:rsidRDefault="00A613BE" w:rsidP="00A613BE">
            <w:pPr>
              <w:jc w:val="right"/>
              <w:rPr>
                <w:lang w:eastAsia="en-US"/>
              </w:rPr>
            </w:pPr>
            <w:r>
              <w:t>19 000 000</w:t>
            </w:r>
          </w:p>
        </w:tc>
      </w:tr>
      <w:tr w:rsidR="00A613BE" w:rsidRPr="00155D30" w14:paraId="40C6498C"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16BB0AB1" w14:textId="77777777" w:rsidR="00A613BE" w:rsidRDefault="00A613BE" w:rsidP="00A613BE">
            <w:pPr>
              <w:rPr>
                <w:lang w:eastAsia="en-US"/>
              </w:rPr>
            </w:pPr>
            <w:r>
              <w:t>1.2. valsts speciālais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5F45B" w14:textId="77777777" w:rsidR="00A613BE" w:rsidRPr="00A613BE" w:rsidRDefault="00A613BE" w:rsidP="00A613BE">
            <w:pPr>
              <w:jc w:val="right"/>
              <w:rPr>
                <w:lang w:eastAsia="en-US"/>
              </w:rPr>
            </w:pPr>
            <w:r w:rsidRPr="00A613BE">
              <w:rPr>
                <w:lang w:eastAsia="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C088C" w14:textId="77777777" w:rsidR="00A613BE" w:rsidRPr="00EB208C" w:rsidRDefault="00A613BE" w:rsidP="00A613BE">
            <w:pPr>
              <w:jc w:val="right"/>
              <w:rPr>
                <w:lang w:eastAsia="en-US"/>
              </w:rPr>
            </w:pPr>
            <w:r w:rsidRPr="00EB208C">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0B342" w14:textId="77777777" w:rsidR="00A613BE" w:rsidRDefault="00A613BE" w:rsidP="00A613BE">
            <w:pPr>
              <w:jc w:val="right"/>
              <w:rPr>
                <w:lang w:eastAsia="en-US"/>
              </w:rPr>
            </w:pPr>
            <w: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9C0FF" w14:textId="77777777" w:rsidR="00A613BE" w:rsidRDefault="00A613BE" w:rsidP="00A613BE">
            <w:pPr>
              <w:jc w:val="right"/>
              <w:rPr>
                <w:lang w:eastAsia="en-US"/>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DBE32" w14:textId="77777777" w:rsidR="00A613BE" w:rsidRDefault="00A613BE" w:rsidP="00A613BE">
            <w:pPr>
              <w:jc w:val="right"/>
              <w:rPr>
                <w:lang w:eastAsia="en-US"/>
              </w:rPr>
            </w:pPr>
            <w:r>
              <w:t>0</w:t>
            </w:r>
          </w:p>
        </w:tc>
      </w:tr>
      <w:tr w:rsidR="00A613BE" w:rsidRPr="00155D30" w14:paraId="7F00CA7A"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12006158" w14:textId="77777777" w:rsidR="00A613BE" w:rsidRDefault="00A613BE" w:rsidP="00A613BE">
            <w:pPr>
              <w:rPr>
                <w:lang w:eastAsia="en-US"/>
              </w:rPr>
            </w:pPr>
            <w:r>
              <w:t>1.3. pašvaldību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32C82" w14:textId="77777777" w:rsidR="00A613BE" w:rsidRPr="00A613BE" w:rsidRDefault="00A613BE" w:rsidP="00A613BE">
            <w:pPr>
              <w:jc w:val="right"/>
              <w:rPr>
                <w:lang w:eastAsia="en-US"/>
              </w:rPr>
            </w:pPr>
            <w:r w:rsidRPr="00A613BE">
              <w:rPr>
                <w:lang w:eastAsia="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F5244" w14:textId="77777777" w:rsidR="00A613BE" w:rsidRPr="00EB208C" w:rsidRDefault="00A613BE" w:rsidP="00A613BE">
            <w:pPr>
              <w:jc w:val="right"/>
              <w:rPr>
                <w:lang w:eastAsia="en-US"/>
              </w:rPr>
            </w:pPr>
            <w:r w:rsidRPr="00EB208C">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C8C8" w14:textId="77777777" w:rsidR="00A613BE" w:rsidRDefault="00A613BE" w:rsidP="00A613BE">
            <w:pPr>
              <w:jc w:val="right"/>
              <w:rPr>
                <w:lang w:eastAsia="en-US"/>
              </w:rPr>
            </w:pPr>
            <w: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A5E78" w14:textId="77777777" w:rsidR="00A613BE" w:rsidRDefault="00A613BE" w:rsidP="00A613BE">
            <w:pPr>
              <w:jc w:val="right"/>
              <w:rPr>
                <w:lang w:eastAsia="en-US"/>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71C2E" w14:textId="77777777" w:rsidR="00A613BE" w:rsidRDefault="00A613BE" w:rsidP="00A613BE">
            <w:pPr>
              <w:jc w:val="right"/>
              <w:rPr>
                <w:lang w:eastAsia="en-US"/>
              </w:rPr>
            </w:pPr>
            <w:r>
              <w:t>0</w:t>
            </w:r>
          </w:p>
        </w:tc>
      </w:tr>
      <w:tr w:rsidR="00A613BE" w:rsidRPr="00155D30" w14:paraId="69C2C296"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5C64AC3F" w14:textId="77777777" w:rsidR="00A613BE" w:rsidRDefault="00A613BE" w:rsidP="00A613BE">
            <w:pPr>
              <w:rPr>
                <w:lang w:eastAsia="en-US"/>
              </w:rPr>
            </w:pPr>
            <w:r>
              <w:lastRenderedPageBreak/>
              <w:t>2. Budžeta izdevumi: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30C588" w14:textId="77777777" w:rsidR="00A613BE" w:rsidRPr="003A45CB" w:rsidRDefault="00A613BE" w:rsidP="00A613BE">
            <w:pPr>
              <w:jc w:val="right"/>
              <w:rPr>
                <w:b/>
              </w:rPr>
            </w:pPr>
            <w:r w:rsidRPr="003A45CB">
              <w:rPr>
                <w:b/>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7316A14F" w14:textId="77777777" w:rsidR="00A613BE" w:rsidRPr="00EB208C" w:rsidRDefault="00A613BE" w:rsidP="00A613BE">
            <w:pPr>
              <w:rPr>
                <w:b/>
              </w:rPr>
            </w:pPr>
            <w:r w:rsidRPr="00EB208C">
              <w:rPr>
                <w:b/>
              </w:rPr>
              <w:t>17 699 071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3748AA" w14:textId="77777777" w:rsidR="00A613BE" w:rsidRPr="000C4026" w:rsidRDefault="00A613BE" w:rsidP="00A613BE">
            <w:pPr>
              <w:jc w:val="right"/>
              <w:rPr>
                <w:b/>
                <w:lang w:eastAsia="en-US"/>
              </w:rPr>
            </w:pPr>
            <w:r w:rsidRPr="000C4026">
              <w:rPr>
                <w:b/>
              </w:rPr>
              <w:t>19 080 000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EB6A10" w14:textId="77777777" w:rsidR="00A613BE" w:rsidRPr="000C4026" w:rsidRDefault="00A613BE" w:rsidP="00A613BE">
            <w:pPr>
              <w:jc w:val="right"/>
              <w:rPr>
                <w:b/>
                <w:lang w:eastAsia="en-US"/>
              </w:rPr>
            </w:pPr>
            <w:r w:rsidRPr="000C4026">
              <w:rPr>
                <w:b/>
              </w:rPr>
              <w:t>19 060 000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50CC84" w14:textId="77777777" w:rsidR="00A613BE" w:rsidRPr="000C4026" w:rsidRDefault="00A613BE" w:rsidP="00A613BE">
            <w:pPr>
              <w:rPr>
                <w:b/>
                <w:lang w:eastAsia="en-US"/>
              </w:rPr>
            </w:pPr>
            <w:r w:rsidRPr="000C4026">
              <w:rPr>
                <w:b/>
              </w:rPr>
              <w:t>19 060 000</w:t>
            </w:r>
          </w:p>
        </w:tc>
      </w:tr>
      <w:tr w:rsidR="00A613BE" w:rsidRPr="00155D30" w14:paraId="52877681"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6FAFDE23" w14:textId="77777777" w:rsidR="00A613BE" w:rsidRDefault="00A613BE" w:rsidP="00A613BE">
            <w:pPr>
              <w:rPr>
                <w:lang w:eastAsia="en-US"/>
              </w:rPr>
            </w:pPr>
            <w:r>
              <w:t>2.1. valsts pamatbudžets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E9E943" w14:textId="77777777" w:rsidR="00A613BE" w:rsidRPr="003A45CB" w:rsidRDefault="00A613BE" w:rsidP="00A613BE">
            <w:pPr>
              <w:jc w:val="right"/>
              <w:rPr>
                <w:b/>
              </w:rPr>
            </w:pPr>
            <w:r w:rsidRPr="003A45CB">
              <w:rPr>
                <w:b/>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0A6959E" w14:textId="77777777" w:rsidR="00A613BE" w:rsidRPr="00EB208C" w:rsidRDefault="00A613BE" w:rsidP="00A613BE">
            <w:pPr>
              <w:rPr>
                <w:b/>
              </w:rPr>
            </w:pPr>
            <w:r w:rsidRPr="00EB208C">
              <w:rPr>
                <w:b/>
              </w:rPr>
              <w:t>17 699 071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6A5EB" w14:textId="77777777" w:rsidR="00A613BE" w:rsidRPr="000C4026" w:rsidRDefault="00A613BE" w:rsidP="00A613BE">
            <w:pPr>
              <w:jc w:val="right"/>
              <w:rPr>
                <w:b/>
                <w:lang w:eastAsia="en-US"/>
              </w:rPr>
            </w:pPr>
            <w:r w:rsidRPr="000C4026">
              <w:rPr>
                <w:b/>
              </w:rPr>
              <w:t>19 000 000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7E1D7" w14:textId="77777777" w:rsidR="00A613BE" w:rsidRPr="000C4026" w:rsidRDefault="00A613BE" w:rsidP="00A613BE">
            <w:pPr>
              <w:jc w:val="right"/>
              <w:rPr>
                <w:b/>
                <w:lang w:eastAsia="en-US"/>
              </w:rPr>
            </w:pPr>
            <w:r w:rsidRPr="000C4026">
              <w:rPr>
                <w:b/>
              </w:rPr>
              <w:t>19 000 000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FFDB28" w14:textId="77777777" w:rsidR="00A613BE" w:rsidRPr="000C4026" w:rsidRDefault="00A613BE" w:rsidP="00A613BE">
            <w:pPr>
              <w:rPr>
                <w:b/>
                <w:lang w:eastAsia="en-US"/>
              </w:rPr>
            </w:pPr>
            <w:r w:rsidRPr="000C4026">
              <w:rPr>
                <w:b/>
              </w:rPr>
              <w:t>19 000 000</w:t>
            </w:r>
          </w:p>
        </w:tc>
      </w:tr>
      <w:tr w:rsidR="00716F8E" w:rsidRPr="00155D30" w14:paraId="7716D58E"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31DA1F10" w14:textId="77777777" w:rsidR="00716F8E" w:rsidRDefault="00716F8E" w:rsidP="00716F8E">
            <w:pPr>
              <w:rPr>
                <w:lang w:eastAsia="en-US"/>
              </w:rPr>
            </w:pPr>
            <w:r>
              <w:t>2.2. valsts speciālais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66761" w14:textId="77777777" w:rsidR="00716F8E" w:rsidRPr="00CE40FD" w:rsidRDefault="00716F8E" w:rsidP="00716F8E">
            <w:pPr>
              <w:jc w:val="right"/>
              <w:rPr>
                <w:lang w:eastAsia="en-US"/>
              </w:rPr>
            </w:pPr>
            <w:r w:rsidRPr="00CE40FD">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18C169" w14:textId="77777777" w:rsidR="00716F8E" w:rsidRPr="00D1656E" w:rsidRDefault="00716F8E" w:rsidP="00716F8E">
            <w:pPr>
              <w:jc w:val="right"/>
              <w:rPr>
                <w:lang w:eastAsia="en-US"/>
              </w:rPr>
            </w:pPr>
            <w:r w:rsidRPr="00D1656E">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C0DCCB" w14:textId="77777777" w:rsidR="00716F8E" w:rsidRPr="00D1656E" w:rsidRDefault="00716F8E" w:rsidP="00716F8E">
            <w:pPr>
              <w:jc w:val="right"/>
              <w:rPr>
                <w:lang w:eastAsia="en-US"/>
              </w:rPr>
            </w:pPr>
            <w: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E33721" w14:textId="77777777" w:rsidR="00716F8E" w:rsidRPr="002B4D5F" w:rsidRDefault="00716F8E" w:rsidP="00716F8E">
            <w:pPr>
              <w:jc w:val="right"/>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C6CF98" w14:textId="77777777" w:rsidR="00716F8E" w:rsidRDefault="00716F8E" w:rsidP="00716F8E">
            <w:pPr>
              <w:jc w:val="right"/>
              <w:rPr>
                <w:lang w:eastAsia="en-US"/>
              </w:rPr>
            </w:pPr>
          </w:p>
        </w:tc>
      </w:tr>
      <w:tr w:rsidR="00716F8E" w:rsidRPr="00155D30" w14:paraId="06C63BEB"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420B9289" w14:textId="77777777" w:rsidR="00716F8E" w:rsidRDefault="00716F8E" w:rsidP="00716F8E">
            <w:pPr>
              <w:rPr>
                <w:lang w:eastAsia="en-US"/>
              </w:rPr>
            </w:pPr>
            <w:r>
              <w:t>2.3. pašvaldību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1659D" w14:textId="77777777" w:rsidR="00716F8E" w:rsidRPr="00CE40FD" w:rsidRDefault="00716F8E" w:rsidP="00716F8E">
            <w:pPr>
              <w:jc w:val="right"/>
              <w:rPr>
                <w:lang w:eastAsia="en-US"/>
              </w:rPr>
            </w:pPr>
            <w: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41BB1" w14:textId="77777777" w:rsidR="00716F8E" w:rsidRPr="00D1656E" w:rsidRDefault="00716F8E" w:rsidP="00716F8E">
            <w:pPr>
              <w:jc w:val="right"/>
              <w:rPr>
                <w:lang w:eastAsia="en-US"/>
              </w:rPr>
            </w:pPr>
            <w:r w:rsidRPr="00D1656E">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71F1B" w14:textId="77777777" w:rsidR="00716F8E" w:rsidRPr="000C4026" w:rsidRDefault="00E4007D" w:rsidP="00E4007D">
            <w:pPr>
              <w:jc w:val="right"/>
              <w:rPr>
                <w:b/>
                <w:lang w:eastAsia="en-US"/>
              </w:rPr>
            </w:pPr>
            <w:r w:rsidRPr="000C4026">
              <w:rPr>
                <w:b/>
              </w:rPr>
              <w:t>80</w:t>
            </w:r>
            <w:r w:rsidR="00C938C0" w:rsidRPr="000C4026">
              <w:rPr>
                <w:b/>
              </w:rPr>
              <w:t> </w:t>
            </w:r>
            <w:r w:rsidRPr="000C4026">
              <w:rPr>
                <w:b/>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01256E" w14:textId="77777777" w:rsidR="00716F8E" w:rsidRPr="000C4026" w:rsidRDefault="00E4007D" w:rsidP="00E4007D">
            <w:pPr>
              <w:jc w:val="right"/>
              <w:rPr>
                <w:b/>
                <w:lang w:eastAsia="en-US"/>
              </w:rPr>
            </w:pPr>
            <w:r w:rsidRPr="000C4026">
              <w:rPr>
                <w:b/>
                <w:lang w:eastAsia="en-US"/>
              </w:rPr>
              <w:t>60</w:t>
            </w:r>
            <w:r w:rsidR="00C81538" w:rsidRPr="000C4026">
              <w:rPr>
                <w:b/>
                <w:lang w:eastAsia="en-US"/>
              </w:rPr>
              <w:t> 0</w:t>
            </w:r>
            <w:r w:rsidRPr="000C4026">
              <w:rPr>
                <w:b/>
                <w:lang w:eastAsia="en-US"/>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059F8A" w14:textId="77777777" w:rsidR="00716F8E" w:rsidRPr="000C4026" w:rsidRDefault="00E4007D" w:rsidP="00716F8E">
            <w:pPr>
              <w:jc w:val="right"/>
              <w:rPr>
                <w:b/>
                <w:lang w:eastAsia="en-US"/>
              </w:rPr>
            </w:pPr>
            <w:r w:rsidRPr="000C4026">
              <w:rPr>
                <w:b/>
                <w:lang w:eastAsia="en-US"/>
              </w:rPr>
              <w:t>60 000</w:t>
            </w:r>
          </w:p>
        </w:tc>
      </w:tr>
      <w:tr w:rsidR="003508AE" w:rsidRPr="00155D30" w14:paraId="57CA08AE"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7DF5499F" w14:textId="77777777" w:rsidR="003508AE" w:rsidRDefault="003508AE" w:rsidP="003508AE">
            <w:pPr>
              <w:rPr>
                <w:lang w:eastAsia="en-US"/>
              </w:rPr>
            </w:pPr>
            <w:r>
              <w:t>3. Finansiālā ietekme: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65781" w14:textId="77777777" w:rsidR="003508AE" w:rsidRPr="00CE40FD" w:rsidRDefault="00CE000C" w:rsidP="003508AE">
            <w:pPr>
              <w:jc w:val="right"/>
              <w:rPr>
                <w:lang w:eastAsia="en-US"/>
              </w:rPr>
            </w:pPr>
            <w: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7BFF6" w14:textId="77777777" w:rsidR="003508AE" w:rsidRPr="00D1656E" w:rsidRDefault="003508AE" w:rsidP="003508AE">
            <w:pPr>
              <w:jc w:val="right"/>
              <w:rPr>
                <w:lang w:eastAsia="en-US"/>
              </w:rPr>
            </w:pPr>
            <w:r w:rsidRPr="00D1656E">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FC20E0" w14:textId="77777777" w:rsidR="003508AE" w:rsidRPr="000C4026" w:rsidRDefault="001A32CE" w:rsidP="00E4007D">
            <w:pPr>
              <w:jc w:val="right"/>
              <w:rPr>
                <w:b/>
                <w:lang w:eastAsia="en-US"/>
              </w:rPr>
            </w:pPr>
            <w:r w:rsidRPr="000C4026">
              <w:rPr>
                <w:b/>
              </w:rPr>
              <w:t>-</w:t>
            </w:r>
            <w:r w:rsidR="00E4007D" w:rsidRPr="000C4026">
              <w:rPr>
                <w:b/>
              </w:rPr>
              <w:t>80</w:t>
            </w:r>
            <w:r w:rsidRPr="000C4026">
              <w:rPr>
                <w:b/>
              </w:rPr>
              <w:t> </w:t>
            </w:r>
            <w:r w:rsidR="00E4007D" w:rsidRPr="000C4026">
              <w:rPr>
                <w:b/>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86096A" w14:textId="77777777" w:rsidR="003508AE" w:rsidRPr="000C4026" w:rsidRDefault="001A32CE" w:rsidP="003508AE">
            <w:pPr>
              <w:jc w:val="right"/>
              <w:rPr>
                <w:b/>
                <w:lang w:eastAsia="en-US"/>
              </w:rPr>
            </w:pPr>
            <w:r w:rsidRPr="000C4026">
              <w:rPr>
                <w:b/>
              </w:rPr>
              <w:t>-</w:t>
            </w:r>
            <w:r w:rsidR="00E4007D" w:rsidRPr="000C4026">
              <w:rPr>
                <w:b/>
                <w:lang w:eastAsia="en-US"/>
              </w:rPr>
              <w:t>60 000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2411C1" w14:textId="77777777" w:rsidR="003508AE" w:rsidRPr="000C4026" w:rsidRDefault="001A32CE" w:rsidP="00E4007D">
            <w:pPr>
              <w:jc w:val="right"/>
              <w:rPr>
                <w:b/>
                <w:lang w:eastAsia="en-US"/>
              </w:rPr>
            </w:pPr>
            <w:r w:rsidRPr="000C4026">
              <w:rPr>
                <w:b/>
              </w:rPr>
              <w:t>-</w:t>
            </w:r>
            <w:r w:rsidR="00E4007D" w:rsidRPr="000C4026">
              <w:rPr>
                <w:b/>
                <w:lang w:eastAsia="en-US"/>
              </w:rPr>
              <w:t>60 000</w:t>
            </w:r>
          </w:p>
        </w:tc>
      </w:tr>
      <w:tr w:rsidR="003508AE" w:rsidRPr="00155D30" w14:paraId="7BDD227D"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7CBBE6CE" w14:textId="77777777" w:rsidR="003508AE" w:rsidRDefault="003508AE" w:rsidP="003508AE">
            <w:pPr>
              <w:rPr>
                <w:lang w:eastAsia="en-US"/>
              </w:rPr>
            </w:pPr>
            <w:r>
              <w:t>3.1. valsts pamatbudžets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266BE" w14:textId="77777777" w:rsidR="003508AE" w:rsidRPr="00CE40FD" w:rsidRDefault="00CE000C" w:rsidP="003508AE">
            <w:pPr>
              <w:jc w:val="right"/>
              <w:rPr>
                <w:lang w:eastAsia="en-US"/>
              </w:rPr>
            </w:pPr>
            <w: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C753E" w14:textId="77777777" w:rsidR="003508AE" w:rsidRPr="00D1656E" w:rsidRDefault="003508AE" w:rsidP="003508AE">
            <w:pPr>
              <w:jc w:val="right"/>
              <w:rPr>
                <w:lang w:eastAsia="en-US"/>
              </w:rPr>
            </w:pPr>
            <w:r w:rsidRPr="00D1656E">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AAACC8" w14:textId="77777777" w:rsidR="003508AE" w:rsidRPr="000C4026" w:rsidRDefault="001A32CE" w:rsidP="003508AE">
            <w:pPr>
              <w:jc w:val="right"/>
              <w:rPr>
                <w:lang w:eastAsia="en-US"/>
              </w:rPr>
            </w:pPr>
            <w:r w:rsidRPr="000C4026">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345A7" w14:textId="77777777" w:rsidR="003508AE" w:rsidRPr="000C4026" w:rsidRDefault="001A32CE" w:rsidP="003508AE">
            <w:pPr>
              <w:jc w:val="right"/>
              <w:rPr>
                <w:lang w:eastAsia="en-US"/>
              </w:rPr>
            </w:pPr>
            <w:r w:rsidRPr="000C4026">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83FF11" w14:textId="77777777" w:rsidR="003508AE" w:rsidRPr="000C4026" w:rsidRDefault="001A32CE" w:rsidP="001A32CE">
            <w:pPr>
              <w:jc w:val="right"/>
              <w:rPr>
                <w:lang w:eastAsia="en-US"/>
              </w:rPr>
            </w:pPr>
            <w:r w:rsidRPr="000C4026">
              <w:t>0</w:t>
            </w:r>
          </w:p>
        </w:tc>
      </w:tr>
      <w:tr w:rsidR="003508AE" w:rsidRPr="00155D30" w14:paraId="59CA8AE3"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6D81043A" w14:textId="77777777" w:rsidR="003508AE" w:rsidRDefault="003508AE" w:rsidP="003508AE">
            <w:pPr>
              <w:rPr>
                <w:lang w:eastAsia="en-US"/>
              </w:rPr>
            </w:pPr>
            <w:r>
              <w:t>3.2. speciālais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C17CA" w14:textId="77777777" w:rsidR="003508AE" w:rsidRPr="00CE40FD" w:rsidRDefault="003508AE" w:rsidP="003508AE">
            <w:pPr>
              <w:jc w:val="right"/>
              <w:rPr>
                <w:lang w:eastAsia="en-US"/>
              </w:rPr>
            </w:pPr>
            <w:r w:rsidRPr="00CE40FD">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95774" w14:textId="77777777" w:rsidR="003508AE" w:rsidRPr="00D1656E" w:rsidRDefault="003508AE" w:rsidP="003508AE">
            <w:pPr>
              <w:jc w:val="right"/>
              <w:rPr>
                <w:lang w:eastAsia="en-US"/>
              </w:rPr>
            </w:pPr>
            <w:r w:rsidRPr="00D1656E">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1CEA62" w14:textId="77777777" w:rsidR="003508AE" w:rsidRPr="000C4026" w:rsidRDefault="003508AE" w:rsidP="003508AE">
            <w:pPr>
              <w:jc w:val="right"/>
              <w:rPr>
                <w:lang w:eastAsia="en-US"/>
              </w:rPr>
            </w:pPr>
            <w:r w:rsidRPr="000C4026">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58AB5D" w14:textId="63FEB33A" w:rsidR="003508AE" w:rsidRPr="000C4026" w:rsidRDefault="000C4026" w:rsidP="003508AE">
            <w:pPr>
              <w:jc w:val="right"/>
              <w:rPr>
                <w:lang w:eastAsia="en-US"/>
              </w:rPr>
            </w:pPr>
            <w:r w:rsidRPr="000C4026">
              <w:rPr>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B2C8B5" w14:textId="3D2E91AF" w:rsidR="003508AE" w:rsidRPr="000C4026" w:rsidRDefault="000C4026" w:rsidP="003508AE">
            <w:pPr>
              <w:jc w:val="right"/>
              <w:rPr>
                <w:lang w:eastAsia="en-US"/>
              </w:rPr>
            </w:pPr>
            <w:r w:rsidRPr="000C4026">
              <w:rPr>
                <w:lang w:eastAsia="en-US"/>
              </w:rPr>
              <w:t>0</w:t>
            </w:r>
          </w:p>
        </w:tc>
      </w:tr>
      <w:tr w:rsidR="003508AE" w:rsidRPr="00155D30" w14:paraId="0F2BFB61"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4A3F1D13" w14:textId="77777777" w:rsidR="003508AE" w:rsidRDefault="003508AE" w:rsidP="003508AE">
            <w:pPr>
              <w:rPr>
                <w:lang w:eastAsia="en-US"/>
              </w:rPr>
            </w:pPr>
            <w:r>
              <w:t>3.3. pašvaldību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B5058" w14:textId="77777777" w:rsidR="003508AE" w:rsidRPr="00CE40FD" w:rsidRDefault="003508AE" w:rsidP="003508AE">
            <w:pPr>
              <w:jc w:val="right"/>
              <w:rPr>
                <w:lang w:eastAsia="en-US"/>
              </w:rPr>
            </w:pPr>
            <w: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63621" w14:textId="77777777" w:rsidR="003508AE" w:rsidRPr="00D1656E" w:rsidRDefault="003508AE" w:rsidP="003508AE">
            <w:pPr>
              <w:jc w:val="right"/>
              <w:rPr>
                <w:lang w:eastAsia="en-US"/>
              </w:rPr>
            </w:pPr>
            <w:r w:rsidRPr="00D1656E">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677B0F" w14:textId="77777777" w:rsidR="003508AE" w:rsidRPr="000C4026" w:rsidRDefault="001A32CE" w:rsidP="00E4007D">
            <w:pPr>
              <w:jc w:val="right"/>
              <w:rPr>
                <w:b/>
                <w:lang w:eastAsia="en-US"/>
              </w:rPr>
            </w:pPr>
            <w:r w:rsidRPr="000C4026">
              <w:rPr>
                <w:b/>
              </w:rPr>
              <w:t>-</w:t>
            </w:r>
            <w:r w:rsidR="00E4007D" w:rsidRPr="000C4026">
              <w:rPr>
                <w:b/>
              </w:rPr>
              <w:t>80</w:t>
            </w:r>
            <w:r w:rsidR="003508AE" w:rsidRPr="000C4026">
              <w:rPr>
                <w:b/>
              </w:rPr>
              <w:t> </w:t>
            </w:r>
            <w:r w:rsidR="00E4007D" w:rsidRPr="000C4026">
              <w:rPr>
                <w:b/>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E8DDF2" w14:textId="77777777" w:rsidR="003508AE" w:rsidRPr="000C4026" w:rsidRDefault="001A32CE" w:rsidP="003508AE">
            <w:pPr>
              <w:jc w:val="right"/>
              <w:rPr>
                <w:b/>
                <w:lang w:eastAsia="en-US"/>
              </w:rPr>
            </w:pPr>
            <w:r w:rsidRPr="000C4026">
              <w:rPr>
                <w:b/>
                <w:lang w:eastAsia="en-US"/>
              </w:rPr>
              <w:t>-</w:t>
            </w:r>
            <w:r w:rsidR="00E4007D" w:rsidRPr="000C4026">
              <w:rPr>
                <w:b/>
                <w:lang w:eastAsia="en-US"/>
              </w:rPr>
              <w:t>60 000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974B2D" w14:textId="77777777" w:rsidR="003508AE" w:rsidRPr="000C4026" w:rsidRDefault="001A32CE" w:rsidP="003508AE">
            <w:pPr>
              <w:jc w:val="right"/>
              <w:rPr>
                <w:b/>
                <w:lang w:eastAsia="en-US"/>
              </w:rPr>
            </w:pPr>
            <w:r w:rsidRPr="000C4026">
              <w:rPr>
                <w:b/>
                <w:lang w:eastAsia="en-US"/>
              </w:rPr>
              <w:t>-</w:t>
            </w:r>
            <w:r w:rsidR="00E4007D" w:rsidRPr="000C4026">
              <w:rPr>
                <w:b/>
                <w:lang w:eastAsia="en-US"/>
              </w:rPr>
              <w:t>60 000</w:t>
            </w:r>
          </w:p>
        </w:tc>
      </w:tr>
      <w:tr w:rsidR="00716F8E" w:rsidRPr="00155D30" w14:paraId="0683E635" w14:textId="77777777" w:rsidTr="00F77CD7">
        <w:trPr>
          <w:trHeight w:val="1380"/>
        </w:trPr>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25577FA6" w14:textId="77777777" w:rsidR="00716F8E" w:rsidRDefault="00716F8E" w:rsidP="00716F8E">
            <w:pPr>
              <w:rPr>
                <w:lang w:eastAsia="en-US"/>
              </w:rPr>
            </w:pPr>
            <w:r>
              <w:t>4. Finanšu līdzekļi papildu izdevumu finansēšanai (kompensējošu izdevumu samazinājumu norāda ar "+" zīmi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8BAC1" w14:textId="77777777" w:rsidR="00716F8E" w:rsidRDefault="00716F8E" w:rsidP="00716F8E">
            <w:pPr>
              <w:jc w:val="right"/>
              <w:rPr>
                <w:lang w:eastAsia="en-US"/>
              </w:rPr>
            </w:pPr>
            <w:r>
              <w:t>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B1417A" w14:textId="77777777" w:rsidR="00716F8E" w:rsidRPr="00D1656E" w:rsidRDefault="00716F8E" w:rsidP="00716F8E">
            <w:pPr>
              <w:jc w:val="right"/>
              <w:rPr>
                <w:lang w:eastAsia="en-US"/>
              </w:rPr>
            </w:pPr>
            <w:r w:rsidRPr="00D1656E">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9A41D" w14:textId="77777777" w:rsidR="00716F8E" w:rsidRPr="00D1656E" w:rsidRDefault="00716F8E" w:rsidP="00716F8E">
            <w:pPr>
              <w:jc w:val="right"/>
              <w:rPr>
                <w:lang w:eastAsia="en-US"/>
              </w:rPr>
            </w:pPr>
            <w:r w:rsidRPr="00D1656E">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9A841" w14:textId="77777777" w:rsidR="00716F8E" w:rsidRPr="002B4D5F" w:rsidRDefault="00716F8E" w:rsidP="00716F8E">
            <w:pPr>
              <w:jc w:val="right"/>
              <w:rPr>
                <w:lang w:eastAsia="en-US"/>
              </w:rPr>
            </w:pPr>
            <w:r w:rsidRPr="002B4D5F">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8968A" w14:textId="77777777" w:rsidR="00716F8E" w:rsidRDefault="00716F8E" w:rsidP="00716F8E">
            <w:pPr>
              <w:jc w:val="right"/>
              <w:rPr>
                <w:lang w:eastAsia="en-US"/>
              </w:rPr>
            </w:pPr>
            <w:r>
              <w:t>0</w:t>
            </w:r>
          </w:p>
        </w:tc>
      </w:tr>
      <w:tr w:rsidR="00716F8E" w:rsidRPr="00155D30" w14:paraId="2C261A70"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0D2329F7" w14:textId="77777777" w:rsidR="00716F8E" w:rsidRDefault="00716F8E" w:rsidP="00716F8E">
            <w:pPr>
              <w:rPr>
                <w:lang w:eastAsia="en-US"/>
              </w:rPr>
            </w:pPr>
            <w:r>
              <w:t>5. Precizēta finansiālā ietekme: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DB0BD" w14:textId="77777777" w:rsidR="00716F8E" w:rsidRDefault="00716F8E" w:rsidP="00716F8E">
            <w:pPr>
              <w:jc w:val="right"/>
              <w:rPr>
                <w:lang w:eastAsia="en-US"/>
              </w:rPr>
            </w:pPr>
            <w:r>
              <w:t>x</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20B7E" w14:textId="77777777" w:rsidR="00716F8E" w:rsidRDefault="00716F8E" w:rsidP="00716F8E">
            <w:pPr>
              <w:jc w:val="right"/>
              <w:rPr>
                <w:lang w:eastAsia="en-US"/>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FA988" w14:textId="77777777" w:rsidR="00716F8E" w:rsidRDefault="00716F8E" w:rsidP="00716F8E">
            <w:pPr>
              <w:jc w:val="right"/>
              <w:rPr>
                <w:lang w:eastAsia="en-US"/>
              </w:rPr>
            </w:pPr>
            <w: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78832" w14:textId="77777777" w:rsidR="00716F8E" w:rsidRDefault="00716F8E" w:rsidP="00716F8E">
            <w:pPr>
              <w:jc w:val="right"/>
              <w:rPr>
                <w:lang w:eastAsia="en-US"/>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0AC13" w14:textId="77777777" w:rsidR="00716F8E" w:rsidRDefault="00716F8E" w:rsidP="00716F8E">
            <w:pPr>
              <w:jc w:val="right"/>
              <w:rPr>
                <w:lang w:eastAsia="en-US"/>
              </w:rPr>
            </w:pPr>
            <w:r>
              <w:t>0</w:t>
            </w:r>
          </w:p>
        </w:tc>
      </w:tr>
      <w:tr w:rsidR="00716F8E" w:rsidRPr="00155D30" w14:paraId="18E696D5"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4CD103BE" w14:textId="77777777" w:rsidR="00716F8E" w:rsidRDefault="00716F8E" w:rsidP="00716F8E">
            <w:pPr>
              <w:rPr>
                <w:lang w:eastAsia="en-US"/>
              </w:rPr>
            </w:pPr>
            <w:r>
              <w:t>5.1. valsts pamatbudžets</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896DB0" w14:textId="77777777" w:rsidR="00716F8E" w:rsidRDefault="00716F8E" w:rsidP="00716F8E">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1AE5C" w14:textId="77777777" w:rsidR="00716F8E" w:rsidRDefault="00716F8E" w:rsidP="00716F8E">
            <w:pPr>
              <w:jc w:val="right"/>
              <w:rPr>
                <w:lang w:eastAsia="en-US"/>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AECD2" w14:textId="77777777" w:rsidR="00716F8E" w:rsidRDefault="00716F8E" w:rsidP="00716F8E">
            <w:pPr>
              <w:jc w:val="right"/>
              <w:rPr>
                <w:lang w:eastAsia="en-US"/>
              </w:rPr>
            </w:pPr>
            <w: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BEF42" w14:textId="77777777" w:rsidR="00716F8E" w:rsidRDefault="00716F8E" w:rsidP="00716F8E">
            <w:pPr>
              <w:jc w:val="right"/>
              <w:rPr>
                <w:lang w:eastAsia="en-US"/>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68EF1" w14:textId="77777777" w:rsidR="00716F8E" w:rsidRDefault="00716F8E" w:rsidP="00716F8E">
            <w:pPr>
              <w:jc w:val="right"/>
              <w:rPr>
                <w:lang w:eastAsia="en-US"/>
              </w:rPr>
            </w:pPr>
            <w:r>
              <w:t>0</w:t>
            </w:r>
          </w:p>
        </w:tc>
      </w:tr>
      <w:tr w:rsidR="00716F8E" w:rsidRPr="00155D30" w14:paraId="3232BEEC"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613536B4" w14:textId="77777777" w:rsidR="00716F8E" w:rsidRDefault="00716F8E" w:rsidP="00716F8E">
            <w:pPr>
              <w:rPr>
                <w:lang w:eastAsia="en-US"/>
              </w:rPr>
            </w:pPr>
            <w:r>
              <w:t>5.2. speciālais budžets</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80829D" w14:textId="77777777" w:rsidR="00716F8E" w:rsidRDefault="00716F8E" w:rsidP="00716F8E">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F981A" w14:textId="77777777" w:rsidR="00716F8E" w:rsidRDefault="00716F8E" w:rsidP="00716F8E">
            <w:pPr>
              <w:jc w:val="right"/>
              <w:rPr>
                <w:lang w:eastAsia="en-US"/>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AF9D5" w14:textId="77777777" w:rsidR="00716F8E" w:rsidRDefault="00716F8E" w:rsidP="00716F8E">
            <w:pPr>
              <w:jc w:val="right"/>
              <w:rPr>
                <w:lang w:eastAsia="en-US"/>
              </w:rPr>
            </w:pPr>
            <w: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F38CB" w14:textId="77777777" w:rsidR="00716F8E" w:rsidRDefault="00716F8E" w:rsidP="00716F8E">
            <w:pPr>
              <w:jc w:val="right"/>
              <w:rPr>
                <w:lang w:eastAsia="en-US"/>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2AA7A" w14:textId="77777777" w:rsidR="00716F8E" w:rsidRDefault="00716F8E" w:rsidP="00716F8E">
            <w:pPr>
              <w:jc w:val="right"/>
              <w:rPr>
                <w:lang w:eastAsia="en-US"/>
              </w:rPr>
            </w:pPr>
            <w:r>
              <w:t>0</w:t>
            </w:r>
          </w:p>
        </w:tc>
      </w:tr>
      <w:tr w:rsidR="00716F8E" w:rsidRPr="00155D30" w14:paraId="1896D4FD"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5FD32AD7" w14:textId="77777777" w:rsidR="00716F8E" w:rsidRDefault="00716F8E" w:rsidP="00716F8E">
            <w:pPr>
              <w:rPr>
                <w:lang w:eastAsia="en-US"/>
              </w:rPr>
            </w:pPr>
            <w:r>
              <w:t>5.3. pašvaldību budžets</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1F6268" w14:textId="77777777" w:rsidR="00716F8E" w:rsidRDefault="00716F8E" w:rsidP="00716F8E">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F03A1" w14:textId="77777777" w:rsidR="00716F8E" w:rsidRDefault="00716F8E" w:rsidP="00716F8E">
            <w:pPr>
              <w:jc w:val="right"/>
              <w:rPr>
                <w:lang w:eastAsia="en-US"/>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F4C8" w14:textId="77777777" w:rsidR="00716F8E" w:rsidRDefault="00716F8E" w:rsidP="00716F8E">
            <w:pPr>
              <w:jc w:val="right"/>
              <w:rPr>
                <w:lang w:eastAsia="en-US"/>
              </w:rPr>
            </w:pPr>
            <w: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D6676" w14:textId="77777777" w:rsidR="00716F8E" w:rsidRDefault="00716F8E" w:rsidP="00716F8E">
            <w:pPr>
              <w:jc w:val="right"/>
              <w:rPr>
                <w:lang w:eastAsia="en-US"/>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0937C" w14:textId="77777777" w:rsidR="00716F8E" w:rsidRDefault="00716F8E" w:rsidP="00716F8E">
            <w:pPr>
              <w:jc w:val="right"/>
              <w:rPr>
                <w:lang w:eastAsia="en-US"/>
              </w:rPr>
            </w:pPr>
            <w:r>
              <w:t>0</w:t>
            </w:r>
          </w:p>
        </w:tc>
      </w:tr>
      <w:tr w:rsidR="00716F8E" w:rsidRPr="00155D30" w14:paraId="46DB2AE3"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6D75B8B0" w14:textId="77777777" w:rsidR="00716F8E" w:rsidRDefault="00716F8E" w:rsidP="00716F8E">
            <w:pPr>
              <w:rPr>
                <w:lang w:eastAsia="en-US"/>
              </w:rPr>
            </w:pPr>
            <w:r>
              <w:t>6. Detalizēts ieņēmumu un izdevumu aprēķins (ja nepieciešams, detalizētu ieņēmumu un izdevumu aprēķinu var pievienot anotācijas pielikumā):</w:t>
            </w:r>
          </w:p>
        </w:tc>
        <w:tc>
          <w:tcPr>
            <w:tcW w:w="6804"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583B1C6A" w14:textId="09396FA3" w:rsidR="00977209" w:rsidRPr="00195B5A" w:rsidRDefault="00377776" w:rsidP="00377776">
            <w:pPr>
              <w:spacing w:after="120"/>
              <w:jc w:val="both"/>
              <w:rPr>
                <w:b/>
                <w:color w:val="000000"/>
              </w:rPr>
            </w:pPr>
            <w:r w:rsidRPr="00195B5A">
              <w:rPr>
                <w:b/>
                <w:color w:val="000000"/>
                <w:shd w:val="clear" w:color="auto" w:fill="FFFFFF"/>
              </w:rPr>
              <w:t>SAM</w:t>
            </w:r>
            <w:r w:rsidR="00DE08DF">
              <w:rPr>
                <w:b/>
                <w:color w:val="000000"/>
                <w:shd w:val="clear" w:color="auto" w:fill="FFFFFF"/>
              </w:rPr>
              <w:t xml:space="preserve"> 5.3.1.</w:t>
            </w:r>
            <w:r w:rsidRPr="00195B5A">
              <w:rPr>
                <w:b/>
                <w:color w:val="000000"/>
                <w:shd w:val="clear" w:color="auto" w:fill="FFFFFF"/>
              </w:rPr>
              <w:t xml:space="preserve"> ietvaros</w:t>
            </w:r>
            <w:r w:rsidR="00776CF0" w:rsidRPr="00195B5A">
              <w:rPr>
                <w:b/>
                <w:color w:val="000000"/>
                <w:shd w:val="clear" w:color="auto" w:fill="FFFFFF"/>
              </w:rPr>
              <w:t xml:space="preserve"> līdz 2023.gadam</w:t>
            </w:r>
            <w:r w:rsidRPr="00195B5A">
              <w:rPr>
                <w:b/>
                <w:color w:val="000000"/>
              </w:rPr>
              <w:t xml:space="preserve"> publiskais finansējums plānots </w:t>
            </w:r>
            <w:r w:rsidR="00AF119C" w:rsidRPr="00195B5A">
              <w:rPr>
                <w:b/>
              </w:rPr>
              <w:t>148 910 808</w:t>
            </w:r>
            <w:r w:rsidRPr="00195B5A">
              <w:rPr>
                <w:b/>
              </w:rPr>
              <w:t xml:space="preserve"> </w:t>
            </w:r>
            <w:proofErr w:type="spellStart"/>
            <w:r w:rsidRPr="00195B5A">
              <w:rPr>
                <w:b/>
                <w:i/>
                <w:color w:val="000000"/>
              </w:rPr>
              <w:t>euro</w:t>
            </w:r>
            <w:proofErr w:type="spellEnd"/>
            <w:r w:rsidRPr="00195B5A">
              <w:rPr>
                <w:b/>
                <w:color w:val="000000"/>
              </w:rPr>
              <w:t xml:space="preserve">, tai skaitā, </w:t>
            </w:r>
            <w:r w:rsidR="00AF119C" w:rsidRPr="00195B5A">
              <w:rPr>
                <w:b/>
                <w:color w:val="000000"/>
              </w:rPr>
              <w:t>KF</w:t>
            </w:r>
            <w:r w:rsidRPr="00195B5A">
              <w:rPr>
                <w:b/>
                <w:color w:val="000000"/>
              </w:rPr>
              <w:t xml:space="preserve"> finansējums </w:t>
            </w:r>
            <w:r w:rsidR="00AF119C" w:rsidRPr="00195B5A">
              <w:rPr>
                <w:b/>
                <w:color w:val="000000"/>
              </w:rPr>
              <w:t>126 574 186</w:t>
            </w:r>
            <w:r w:rsidRPr="00195B5A">
              <w:rPr>
                <w:b/>
                <w:color w:val="000000"/>
              </w:rPr>
              <w:t xml:space="preserve"> </w:t>
            </w:r>
            <w:proofErr w:type="spellStart"/>
            <w:r w:rsidRPr="00195B5A">
              <w:rPr>
                <w:b/>
                <w:i/>
                <w:color w:val="000000"/>
              </w:rPr>
              <w:t>euro</w:t>
            </w:r>
            <w:proofErr w:type="spellEnd"/>
            <w:r w:rsidRPr="00195B5A">
              <w:rPr>
                <w:b/>
                <w:color w:val="000000"/>
              </w:rPr>
              <w:t xml:space="preserve"> </w:t>
            </w:r>
            <w:r w:rsidR="00AF119C" w:rsidRPr="00195B5A">
              <w:rPr>
                <w:b/>
                <w:color w:val="000000"/>
              </w:rPr>
              <w:t>un nacionālais</w:t>
            </w:r>
            <w:r w:rsidRPr="00195B5A">
              <w:rPr>
                <w:b/>
                <w:color w:val="000000"/>
              </w:rPr>
              <w:t xml:space="preserve"> finansējums </w:t>
            </w:r>
            <w:r w:rsidR="00AF119C" w:rsidRPr="00195B5A">
              <w:rPr>
                <w:b/>
                <w:color w:val="000000"/>
              </w:rPr>
              <w:t>(privātais finansējums, pašvaldību finansējums) vismaz 22 336 622</w:t>
            </w:r>
            <w:r w:rsidRPr="00195B5A">
              <w:rPr>
                <w:b/>
                <w:color w:val="000000"/>
              </w:rPr>
              <w:t xml:space="preserve"> </w:t>
            </w:r>
            <w:proofErr w:type="spellStart"/>
            <w:r w:rsidR="00AF119C" w:rsidRPr="00195B5A">
              <w:rPr>
                <w:b/>
                <w:i/>
                <w:color w:val="000000"/>
              </w:rPr>
              <w:t>euro</w:t>
            </w:r>
            <w:proofErr w:type="spellEnd"/>
            <w:r w:rsidR="00AF119C" w:rsidRPr="00195B5A">
              <w:rPr>
                <w:b/>
                <w:i/>
                <w:color w:val="000000"/>
              </w:rPr>
              <w:t>.</w:t>
            </w:r>
            <w:r w:rsidRPr="00195B5A">
              <w:rPr>
                <w:b/>
                <w:color w:val="000000"/>
              </w:rPr>
              <w:t xml:space="preserve"> </w:t>
            </w:r>
          </w:p>
          <w:p w14:paraId="6EBDFEAC" w14:textId="77777777" w:rsidR="00377776" w:rsidRPr="00195B5A" w:rsidRDefault="00AF119C" w:rsidP="00377776">
            <w:pPr>
              <w:spacing w:after="120"/>
              <w:jc w:val="both"/>
              <w:rPr>
                <w:b/>
                <w:color w:val="000000"/>
              </w:rPr>
            </w:pPr>
            <w:r w:rsidRPr="00195B5A">
              <w:rPr>
                <w:b/>
                <w:color w:val="000000"/>
              </w:rPr>
              <w:t>Pašvaldību finansējums</w:t>
            </w:r>
            <w:r w:rsidR="005D278D" w:rsidRPr="00195B5A">
              <w:rPr>
                <w:b/>
                <w:color w:val="000000"/>
              </w:rPr>
              <w:t xml:space="preserve"> vismaz 370 756 </w:t>
            </w:r>
            <w:proofErr w:type="spellStart"/>
            <w:r w:rsidR="005D278D" w:rsidRPr="00195B5A">
              <w:rPr>
                <w:b/>
                <w:i/>
                <w:color w:val="000000"/>
              </w:rPr>
              <w:t>euro</w:t>
            </w:r>
            <w:proofErr w:type="spellEnd"/>
            <w:r w:rsidRPr="00195B5A">
              <w:rPr>
                <w:b/>
                <w:color w:val="000000"/>
              </w:rPr>
              <w:t xml:space="preserve"> ir plānots</w:t>
            </w:r>
            <w:r w:rsidR="00977209" w:rsidRPr="00195B5A">
              <w:rPr>
                <w:b/>
                <w:color w:val="000000"/>
              </w:rPr>
              <w:t xml:space="preserve"> otrās un trešās atlases kārtas</w:t>
            </w:r>
            <w:r w:rsidRPr="00195B5A">
              <w:rPr>
                <w:b/>
                <w:color w:val="000000"/>
              </w:rPr>
              <w:t xml:space="preserve"> </w:t>
            </w:r>
            <w:r w:rsidR="005D278D" w:rsidRPr="00195B5A">
              <w:rPr>
                <w:b/>
                <w:color w:val="000000"/>
              </w:rPr>
              <w:t>ūdenssaimniecības aglomerācijā</w:t>
            </w:r>
            <w:r w:rsidR="00977209" w:rsidRPr="00195B5A">
              <w:rPr>
                <w:b/>
                <w:color w:val="000000"/>
              </w:rPr>
              <w:t>s</w:t>
            </w:r>
            <w:r w:rsidRPr="00195B5A">
              <w:rPr>
                <w:b/>
                <w:color w:val="000000"/>
              </w:rPr>
              <w:t>,</w:t>
            </w:r>
            <w:r w:rsidR="005D278D" w:rsidRPr="00195B5A">
              <w:rPr>
                <w:b/>
                <w:color w:val="000000"/>
              </w:rPr>
              <w:t xml:space="preserve"> kurās sabiedriskos ūdenssaimniecības pakalpojumus nodrošina pašvaldības, to iestādes, t.sk. pašvaldību aģentūras.</w:t>
            </w:r>
            <w:r w:rsidRPr="00195B5A">
              <w:rPr>
                <w:b/>
                <w:color w:val="000000"/>
              </w:rPr>
              <w:t xml:space="preserve"> </w:t>
            </w:r>
          </w:p>
          <w:p w14:paraId="09E00978" w14:textId="77777777" w:rsidR="00377776" w:rsidRPr="00195B5A" w:rsidRDefault="00377776" w:rsidP="00377776">
            <w:pPr>
              <w:spacing w:after="120"/>
              <w:jc w:val="both"/>
              <w:rPr>
                <w:b/>
                <w:color w:val="000000"/>
              </w:rPr>
            </w:pPr>
            <w:r w:rsidRPr="00195B5A">
              <w:rPr>
                <w:b/>
                <w:color w:val="000000"/>
              </w:rPr>
              <w:t>Budžeta ieņēmumu daļā norādīta maksimāli iespējamā finansējuma KF daļa 85 procentu apmērā no projekta publiskā attiecināmā finansējuma.</w:t>
            </w:r>
          </w:p>
          <w:p w14:paraId="72D7F32B" w14:textId="653EBED9" w:rsidR="00377776" w:rsidRPr="00195B5A" w:rsidRDefault="00377776" w:rsidP="00377776">
            <w:pPr>
              <w:spacing w:after="120"/>
              <w:jc w:val="both"/>
              <w:rPr>
                <w:b/>
                <w:color w:val="000000"/>
              </w:rPr>
            </w:pPr>
            <w:r w:rsidRPr="00195B5A">
              <w:rPr>
                <w:b/>
                <w:color w:val="000000"/>
              </w:rPr>
              <w:t xml:space="preserve">Budžeta izdevumu daļā norādīti projektu ieviešanai nepieciešamie valsts un pašvaldību līdzekļi. </w:t>
            </w:r>
            <w:r w:rsidR="00FB1F7B" w:rsidRPr="00195B5A">
              <w:rPr>
                <w:rFonts w:eastAsia="PMingLiU"/>
                <w:b/>
                <w:color w:val="000000"/>
              </w:rPr>
              <w:t>P</w:t>
            </w:r>
            <w:r w:rsidR="00DD274B" w:rsidRPr="00195B5A">
              <w:rPr>
                <w:rFonts w:eastAsia="PMingLiU"/>
                <w:b/>
                <w:color w:val="000000"/>
              </w:rPr>
              <w:t>rojektu</w:t>
            </w:r>
            <w:r w:rsidR="00DD274B" w:rsidRPr="00195B5A">
              <w:rPr>
                <w:b/>
                <w:color w:val="000000"/>
              </w:rPr>
              <w:t xml:space="preserve"> ieviešanai </w:t>
            </w:r>
            <w:r w:rsidR="00FB1F7B" w:rsidRPr="00195B5A">
              <w:rPr>
                <w:rFonts w:eastAsia="PMingLiU"/>
                <w:b/>
                <w:color w:val="000000"/>
              </w:rPr>
              <w:t xml:space="preserve">tiek </w:t>
            </w:r>
            <w:r w:rsidR="00DD274B" w:rsidRPr="00195B5A">
              <w:rPr>
                <w:b/>
                <w:color w:val="000000"/>
              </w:rPr>
              <w:t>plānot</w:t>
            </w:r>
            <w:r w:rsidR="00977209" w:rsidRPr="00195B5A">
              <w:rPr>
                <w:b/>
                <w:color w:val="000000"/>
              </w:rPr>
              <w:t>s</w:t>
            </w:r>
            <w:r w:rsidR="00FB1F7B" w:rsidRPr="00195B5A">
              <w:rPr>
                <w:b/>
                <w:color w:val="000000"/>
              </w:rPr>
              <w:t xml:space="preserve"> </w:t>
            </w:r>
            <w:r w:rsidR="00FB1F7B" w:rsidRPr="00195B5A">
              <w:rPr>
                <w:rFonts w:eastAsia="PMingLiU"/>
                <w:b/>
                <w:color w:val="000000"/>
              </w:rPr>
              <w:t>arī</w:t>
            </w:r>
            <w:r w:rsidR="00977209" w:rsidRPr="00195B5A">
              <w:rPr>
                <w:rFonts w:eastAsia="PMingLiU"/>
                <w:b/>
                <w:color w:val="000000"/>
              </w:rPr>
              <w:t xml:space="preserve"> </w:t>
            </w:r>
            <w:r w:rsidR="00977209" w:rsidRPr="00195B5A">
              <w:rPr>
                <w:b/>
                <w:color w:val="000000"/>
              </w:rPr>
              <w:t>attiecināmais</w:t>
            </w:r>
            <w:r w:rsidR="00DD274B" w:rsidRPr="00195B5A">
              <w:rPr>
                <w:b/>
                <w:color w:val="000000"/>
              </w:rPr>
              <w:t xml:space="preserve"> komersantu pašu </w:t>
            </w:r>
            <w:r w:rsidR="00977209" w:rsidRPr="00195B5A">
              <w:rPr>
                <w:b/>
                <w:color w:val="000000"/>
              </w:rPr>
              <w:t xml:space="preserve">finansējums vismaz 21 965 866 </w:t>
            </w:r>
            <w:proofErr w:type="spellStart"/>
            <w:r w:rsidR="00977209" w:rsidRPr="00195B5A">
              <w:rPr>
                <w:b/>
                <w:i/>
                <w:color w:val="000000"/>
              </w:rPr>
              <w:t>euro</w:t>
            </w:r>
            <w:proofErr w:type="spellEnd"/>
            <w:r w:rsidR="00FB1F7B" w:rsidRPr="00195B5A">
              <w:rPr>
                <w:rFonts w:eastAsia="PMingLiU"/>
                <w:b/>
                <w:i/>
                <w:color w:val="000000"/>
              </w:rPr>
              <w:t xml:space="preserve"> </w:t>
            </w:r>
            <w:r w:rsidR="00FB1F7B" w:rsidRPr="00195B5A">
              <w:rPr>
                <w:rFonts w:eastAsia="PMingLiU"/>
                <w:b/>
                <w:color w:val="000000"/>
              </w:rPr>
              <w:t>(līdz 202</w:t>
            </w:r>
            <w:r w:rsidR="00195B5A">
              <w:rPr>
                <w:rFonts w:eastAsia="PMingLiU"/>
                <w:b/>
                <w:color w:val="000000"/>
              </w:rPr>
              <w:t>2</w:t>
            </w:r>
            <w:r w:rsidR="00FB1F7B" w:rsidRPr="00195B5A">
              <w:rPr>
                <w:rFonts w:eastAsia="PMingLiU"/>
                <w:b/>
                <w:color w:val="000000"/>
              </w:rPr>
              <w:t>.gada</w:t>
            </w:r>
            <w:r w:rsidR="00195B5A">
              <w:rPr>
                <w:rFonts w:eastAsia="PMingLiU"/>
                <w:b/>
                <w:color w:val="000000"/>
              </w:rPr>
              <w:t xml:space="preserve"> 31.decembrim</w:t>
            </w:r>
            <w:r w:rsidR="00FB1F7B" w:rsidRPr="00195B5A">
              <w:rPr>
                <w:rFonts w:eastAsia="PMingLiU"/>
                <w:b/>
                <w:color w:val="000000"/>
              </w:rPr>
              <w:t>)</w:t>
            </w:r>
            <w:r w:rsidR="00DD274B" w:rsidRPr="00195B5A">
              <w:rPr>
                <w:rFonts w:eastAsia="PMingLiU"/>
                <w:b/>
                <w:color w:val="000000"/>
              </w:rPr>
              <w:t xml:space="preserve">, </w:t>
            </w:r>
            <w:r w:rsidR="00DD274B" w:rsidRPr="00195B5A">
              <w:rPr>
                <w:b/>
                <w:color w:val="000000"/>
              </w:rPr>
              <w:t>kas šajā tabulā netiek norādīt</w:t>
            </w:r>
            <w:r w:rsidR="00977209" w:rsidRPr="00195B5A">
              <w:rPr>
                <w:b/>
                <w:color w:val="000000"/>
              </w:rPr>
              <w:t>s</w:t>
            </w:r>
            <w:r w:rsidR="00DD274B" w:rsidRPr="00195B5A">
              <w:rPr>
                <w:b/>
                <w:color w:val="000000"/>
              </w:rPr>
              <w:t>.</w:t>
            </w:r>
          </w:p>
          <w:p w14:paraId="6198A9C3" w14:textId="0DF00576" w:rsidR="00977209" w:rsidRPr="00195B5A" w:rsidRDefault="00776CF0" w:rsidP="00377776">
            <w:pPr>
              <w:spacing w:after="120"/>
              <w:jc w:val="both"/>
              <w:rPr>
                <w:b/>
                <w:color w:val="000000"/>
              </w:rPr>
            </w:pPr>
            <w:r w:rsidRPr="00195B5A">
              <w:rPr>
                <w:rFonts w:eastAsia="PMingLiU"/>
                <w:b/>
                <w:color w:val="000000"/>
              </w:rPr>
              <w:t>Bud</w:t>
            </w:r>
            <w:r w:rsidR="00195B5A">
              <w:rPr>
                <w:rFonts w:eastAsia="PMingLiU"/>
                <w:b/>
                <w:color w:val="000000"/>
              </w:rPr>
              <w:t>že</w:t>
            </w:r>
            <w:r w:rsidRPr="00195B5A">
              <w:rPr>
                <w:rFonts w:eastAsia="PMingLiU"/>
                <w:b/>
                <w:color w:val="000000"/>
              </w:rPr>
              <w:t xml:space="preserve">ta prognožu sastādīšanā ņemts vērā projektu īstenošanas laiks un avansa nosacījumi. </w:t>
            </w:r>
          </w:p>
          <w:p w14:paraId="38B58278" w14:textId="7B7C666D" w:rsidR="00DD274B" w:rsidRPr="00195B5A" w:rsidRDefault="00776CF0" w:rsidP="00377776">
            <w:pPr>
              <w:spacing w:after="120"/>
              <w:jc w:val="both"/>
              <w:rPr>
                <w:b/>
                <w:color w:val="000000"/>
              </w:rPr>
            </w:pPr>
            <w:r w:rsidRPr="00195B5A">
              <w:rPr>
                <w:rFonts w:eastAsia="PMingLiU"/>
                <w:b/>
                <w:color w:val="000000"/>
              </w:rPr>
              <w:t>Avansa maksājums tiek paredzēts</w:t>
            </w:r>
            <w:r w:rsidR="00DE08DF">
              <w:rPr>
                <w:rFonts w:eastAsia="PMingLiU"/>
                <w:b/>
                <w:color w:val="000000"/>
              </w:rPr>
              <w:t xml:space="preserve"> </w:t>
            </w:r>
            <w:r w:rsidRPr="00195B5A">
              <w:rPr>
                <w:rFonts w:eastAsia="PMingLiU"/>
                <w:b/>
                <w:color w:val="000000"/>
              </w:rPr>
              <w:t>gadā, kad tiek slēgta</w:t>
            </w:r>
            <w:r w:rsidRPr="00195B5A">
              <w:rPr>
                <w:b/>
                <w:color w:val="000000"/>
              </w:rPr>
              <w:t xml:space="preserve"> </w:t>
            </w:r>
            <w:r w:rsidR="00977209" w:rsidRPr="00195B5A">
              <w:rPr>
                <w:b/>
                <w:color w:val="000000"/>
              </w:rPr>
              <w:t xml:space="preserve">vienošanās vai </w:t>
            </w:r>
            <w:r w:rsidR="00DD274B" w:rsidRPr="00195B5A">
              <w:rPr>
                <w:rFonts w:eastAsia="PMingLiU"/>
                <w:b/>
                <w:color w:val="000000"/>
              </w:rPr>
              <w:t>civiltiesisk</w:t>
            </w:r>
            <w:r w:rsidRPr="00195B5A">
              <w:rPr>
                <w:rFonts w:eastAsia="PMingLiU"/>
                <w:b/>
                <w:color w:val="000000"/>
              </w:rPr>
              <w:t>ais</w:t>
            </w:r>
            <w:r w:rsidR="00DD274B" w:rsidRPr="00195B5A">
              <w:rPr>
                <w:b/>
                <w:color w:val="000000"/>
              </w:rPr>
              <w:t xml:space="preserve"> </w:t>
            </w:r>
            <w:r w:rsidRPr="00195B5A">
              <w:rPr>
                <w:rFonts w:eastAsia="PMingLiU"/>
                <w:b/>
                <w:color w:val="000000"/>
              </w:rPr>
              <w:t>līgums</w:t>
            </w:r>
            <w:r w:rsidRPr="00195B5A">
              <w:rPr>
                <w:b/>
                <w:color w:val="000000"/>
              </w:rPr>
              <w:t xml:space="preserve"> </w:t>
            </w:r>
            <w:r w:rsidR="00DD274B" w:rsidRPr="00195B5A">
              <w:rPr>
                <w:b/>
                <w:color w:val="000000"/>
              </w:rPr>
              <w:t>par projekta īstenošanu</w:t>
            </w:r>
            <w:r w:rsidR="00D56905" w:rsidRPr="00195B5A">
              <w:rPr>
                <w:b/>
                <w:color w:val="000000"/>
              </w:rPr>
              <w:t>.</w:t>
            </w:r>
            <w:r w:rsidR="008C3720" w:rsidRPr="00195B5A">
              <w:rPr>
                <w:b/>
                <w:color w:val="000000"/>
              </w:rPr>
              <w:t xml:space="preserve"> </w:t>
            </w:r>
            <w:r w:rsidR="00D56905" w:rsidRPr="00195B5A">
              <w:rPr>
                <w:b/>
                <w:color w:val="000000"/>
              </w:rPr>
              <w:t>S</w:t>
            </w:r>
            <w:r w:rsidR="00DD274B" w:rsidRPr="00195B5A">
              <w:rPr>
                <w:b/>
                <w:color w:val="000000"/>
              </w:rPr>
              <w:t xml:space="preserve">avukārt tālākajam naudas plūsmas aprēķinam </w:t>
            </w:r>
            <w:r w:rsidR="008C3720" w:rsidRPr="00195B5A">
              <w:rPr>
                <w:b/>
                <w:color w:val="000000"/>
              </w:rPr>
              <w:t xml:space="preserve">katras atlases kārtas ietvaros </w:t>
            </w:r>
            <w:r w:rsidR="00DD274B" w:rsidRPr="00195B5A">
              <w:rPr>
                <w:b/>
                <w:color w:val="000000"/>
              </w:rPr>
              <w:t>tiek pieņemts, ka otrajā</w:t>
            </w:r>
            <w:r w:rsidR="00593990" w:rsidRPr="00195B5A">
              <w:rPr>
                <w:b/>
                <w:color w:val="000000"/>
              </w:rPr>
              <w:t xml:space="preserve"> un trešajā</w:t>
            </w:r>
            <w:r w:rsidRPr="00195B5A">
              <w:rPr>
                <w:b/>
                <w:color w:val="000000"/>
              </w:rPr>
              <w:t xml:space="preserve"> </w:t>
            </w:r>
            <w:r w:rsidRPr="00195B5A">
              <w:rPr>
                <w:rFonts w:eastAsia="PMingLiU"/>
                <w:b/>
                <w:color w:val="000000"/>
              </w:rPr>
              <w:t>projekta</w:t>
            </w:r>
            <w:r w:rsidR="00DD274B" w:rsidRPr="00195B5A">
              <w:rPr>
                <w:rFonts w:eastAsia="PMingLiU"/>
                <w:b/>
                <w:color w:val="000000"/>
              </w:rPr>
              <w:t xml:space="preserve"> </w:t>
            </w:r>
            <w:r w:rsidR="00DD274B" w:rsidRPr="00195B5A">
              <w:rPr>
                <w:b/>
                <w:color w:val="000000"/>
              </w:rPr>
              <w:t xml:space="preserve">ieviešanas gadā tiek apgūts </w:t>
            </w:r>
            <w:r w:rsidR="00D56905" w:rsidRPr="00195B5A">
              <w:rPr>
                <w:b/>
                <w:color w:val="000000"/>
              </w:rPr>
              <w:t xml:space="preserve">aptuveni </w:t>
            </w:r>
            <w:r w:rsidR="00DD274B" w:rsidRPr="00195B5A">
              <w:rPr>
                <w:b/>
                <w:color w:val="000000"/>
              </w:rPr>
              <w:t>10</w:t>
            </w:r>
            <w:r w:rsidR="00593990" w:rsidRPr="00195B5A">
              <w:rPr>
                <w:b/>
                <w:color w:val="000000"/>
              </w:rPr>
              <w:t>-15</w:t>
            </w:r>
            <w:r w:rsidR="00DD274B" w:rsidRPr="00195B5A">
              <w:rPr>
                <w:b/>
                <w:color w:val="000000"/>
              </w:rPr>
              <w:t xml:space="preserve">%, </w:t>
            </w:r>
            <w:r w:rsidR="00D56905" w:rsidRPr="00195B5A">
              <w:rPr>
                <w:b/>
                <w:color w:val="000000"/>
              </w:rPr>
              <w:t>ceturtajā gadā aptuveni 20%</w:t>
            </w:r>
            <w:r w:rsidR="00593990" w:rsidRPr="00195B5A">
              <w:rPr>
                <w:b/>
                <w:color w:val="000000"/>
              </w:rPr>
              <w:t xml:space="preserve"> no projekta attiecināmajām izmaksām.</w:t>
            </w:r>
          </w:p>
          <w:p w14:paraId="265B0D43" w14:textId="77777777" w:rsidR="00F74723" w:rsidRPr="00195B5A" w:rsidRDefault="008C3720" w:rsidP="00377776">
            <w:pPr>
              <w:spacing w:after="120"/>
              <w:jc w:val="both"/>
              <w:rPr>
                <w:b/>
                <w:color w:val="000000"/>
              </w:rPr>
            </w:pPr>
            <w:r w:rsidRPr="00195B5A">
              <w:rPr>
                <w:b/>
                <w:color w:val="000000"/>
              </w:rPr>
              <w:t>Ievērojot visu atlases kārtu izsludināšanas termiņus, summējot pa gadiem kopā atsevišķo atlases kārtu plānotās naudas plūsmas</w:t>
            </w:r>
            <w:r w:rsidR="00593990" w:rsidRPr="00195B5A">
              <w:rPr>
                <w:b/>
                <w:color w:val="000000"/>
              </w:rPr>
              <w:t xml:space="preserve">, budžeta izdevumu daļā </w:t>
            </w:r>
            <w:r w:rsidR="00DD274B" w:rsidRPr="00195B5A">
              <w:rPr>
                <w:b/>
                <w:color w:val="000000"/>
              </w:rPr>
              <w:t>kārtēj</w:t>
            </w:r>
            <w:r w:rsidR="00593990" w:rsidRPr="00195B5A">
              <w:rPr>
                <w:b/>
                <w:color w:val="000000"/>
              </w:rPr>
              <w:t>am</w:t>
            </w:r>
            <w:r w:rsidR="00DD274B" w:rsidRPr="00195B5A">
              <w:rPr>
                <w:b/>
                <w:color w:val="000000"/>
              </w:rPr>
              <w:t xml:space="preserve"> gada</w:t>
            </w:r>
            <w:r w:rsidR="00593990" w:rsidRPr="00195B5A">
              <w:rPr>
                <w:b/>
                <w:color w:val="000000"/>
              </w:rPr>
              <w:t xml:space="preserve">m, t.i. 2016.gadā ir </w:t>
            </w:r>
            <w:r w:rsidR="00593990" w:rsidRPr="00195B5A">
              <w:rPr>
                <w:b/>
                <w:color w:val="000000"/>
              </w:rPr>
              <w:lastRenderedPageBreak/>
              <w:t>norādīts pirmās atlases kārtas avansa maksājums</w:t>
            </w:r>
            <w:r w:rsidR="00F74723" w:rsidRPr="00195B5A">
              <w:rPr>
                <w:b/>
                <w:color w:val="000000"/>
              </w:rPr>
              <w:t>, kas kopumā sastāda 14% no SAM attiecināmajām izmaksām</w:t>
            </w:r>
            <w:r w:rsidRPr="00195B5A">
              <w:rPr>
                <w:b/>
                <w:color w:val="000000"/>
              </w:rPr>
              <w:t>, savukārt p</w:t>
            </w:r>
            <w:r w:rsidR="00377776" w:rsidRPr="00195B5A">
              <w:rPr>
                <w:b/>
                <w:color w:val="000000"/>
              </w:rPr>
              <w:t>rognozējams, ka 2017.</w:t>
            </w:r>
            <w:r w:rsidR="00593990" w:rsidRPr="00195B5A">
              <w:rPr>
                <w:b/>
                <w:color w:val="000000"/>
              </w:rPr>
              <w:t xml:space="preserve">gadā tiek izsludinātas </w:t>
            </w:r>
            <w:r w:rsidRPr="00195B5A">
              <w:rPr>
                <w:b/>
                <w:color w:val="000000"/>
              </w:rPr>
              <w:t xml:space="preserve">nākamās </w:t>
            </w:r>
            <w:r w:rsidR="00593990" w:rsidRPr="00195B5A">
              <w:rPr>
                <w:b/>
                <w:color w:val="000000"/>
              </w:rPr>
              <w:t>projektu atlases un 2017.gada beigās jau izmaksāti avansa maksājumi</w:t>
            </w:r>
            <w:r w:rsidRPr="00195B5A">
              <w:rPr>
                <w:b/>
                <w:color w:val="000000"/>
              </w:rPr>
              <w:t xml:space="preserve">, kas kopumā </w:t>
            </w:r>
            <w:r w:rsidR="00445F80" w:rsidRPr="00195B5A">
              <w:rPr>
                <w:b/>
                <w:color w:val="000000"/>
              </w:rPr>
              <w:t>budžeta izdevumu daļā 2017.gadā un nākamajos divos gados sastāda 15% no SAM attiecināmajām izmaksām</w:t>
            </w:r>
            <w:r w:rsidR="00377776" w:rsidRPr="00195B5A">
              <w:rPr>
                <w:b/>
                <w:color w:val="000000"/>
              </w:rPr>
              <w:t xml:space="preserve">. </w:t>
            </w:r>
          </w:p>
          <w:p w14:paraId="0E188AC0" w14:textId="77777777" w:rsidR="007A7A96" w:rsidRPr="00195B5A" w:rsidRDefault="007A7A96" w:rsidP="00377776">
            <w:pPr>
              <w:spacing w:after="120"/>
              <w:jc w:val="both"/>
              <w:rPr>
                <w:b/>
                <w:color w:val="000000"/>
              </w:rPr>
            </w:pPr>
            <w:r w:rsidRPr="00195B5A">
              <w:rPr>
                <w:b/>
                <w:color w:val="000000"/>
              </w:rPr>
              <w:t>Pašvaldības budžeta izdevumu daļa veidojas nedaudz atšķirīgi, jo šīs izmaksas tiek plānotas tikai otrās un trešās kārtas kopumā pieciem projektiem, līdz ar to kārtējā gadā pašvaldības budžeta izdevumi netiek plānoti, 2017.gadā tie sastāda 21,6% no kopējā pašvaldību finansējuma</w:t>
            </w:r>
            <w:r w:rsidR="004F3299" w:rsidRPr="00195B5A">
              <w:rPr>
                <w:b/>
                <w:color w:val="000000"/>
              </w:rPr>
              <w:t xml:space="preserve"> un </w:t>
            </w:r>
            <w:r w:rsidRPr="00195B5A">
              <w:rPr>
                <w:b/>
                <w:color w:val="000000"/>
              </w:rPr>
              <w:t xml:space="preserve">katrā nākamajā gadā 16,2% no kopējā pašvaldību finansējuma. </w:t>
            </w:r>
          </w:p>
          <w:p w14:paraId="5E8F9F32" w14:textId="77777777" w:rsidR="00716F8E" w:rsidRPr="00EC6683" w:rsidRDefault="00377776" w:rsidP="00EC6683">
            <w:pPr>
              <w:spacing w:after="120"/>
              <w:jc w:val="both"/>
              <w:rPr>
                <w:rFonts w:eastAsia="PMingLiU"/>
                <w:color w:val="000000"/>
              </w:rPr>
            </w:pPr>
            <w:r w:rsidRPr="00195B5A">
              <w:rPr>
                <w:b/>
                <w:color w:val="000000"/>
              </w:rPr>
              <w:t xml:space="preserve">Ņemot vērā SAM noteikto sertificējamo izdevumu mērķi, kas uz 2018.gada 31.decembri noteikts </w:t>
            </w:r>
            <w:r w:rsidR="00F74723" w:rsidRPr="00195B5A">
              <w:rPr>
                <w:b/>
                <w:color w:val="000000"/>
              </w:rPr>
              <w:t>37 227 701</w:t>
            </w:r>
            <w:r w:rsidRPr="00195B5A">
              <w:rPr>
                <w:b/>
                <w:color w:val="000000"/>
              </w:rPr>
              <w:t xml:space="preserve"> </w:t>
            </w:r>
            <w:proofErr w:type="spellStart"/>
            <w:r w:rsidRPr="00195B5A">
              <w:rPr>
                <w:b/>
                <w:i/>
                <w:color w:val="000000"/>
              </w:rPr>
              <w:t>euro</w:t>
            </w:r>
            <w:proofErr w:type="spellEnd"/>
            <w:r w:rsidRPr="00195B5A">
              <w:rPr>
                <w:b/>
                <w:color w:val="000000"/>
              </w:rPr>
              <w:t xml:space="preserve"> apmērā, kā arī iespējamos avans</w:t>
            </w:r>
            <w:r w:rsidR="00F74723" w:rsidRPr="00195B5A">
              <w:rPr>
                <w:b/>
                <w:color w:val="000000"/>
              </w:rPr>
              <w:t>a</w:t>
            </w:r>
            <w:r w:rsidRPr="00195B5A">
              <w:rPr>
                <w:b/>
                <w:color w:val="000000"/>
              </w:rPr>
              <w:t xml:space="preserve"> </w:t>
            </w:r>
            <w:r w:rsidR="00F74723" w:rsidRPr="00195B5A">
              <w:rPr>
                <w:b/>
                <w:color w:val="000000"/>
              </w:rPr>
              <w:t>un starpposma maksājumus, 2017.,</w:t>
            </w:r>
            <w:r w:rsidRPr="00195B5A">
              <w:rPr>
                <w:b/>
                <w:color w:val="000000"/>
              </w:rPr>
              <w:t xml:space="preserve"> 2018.</w:t>
            </w:r>
            <w:r w:rsidR="00F74723" w:rsidRPr="00195B5A">
              <w:rPr>
                <w:b/>
                <w:color w:val="000000"/>
              </w:rPr>
              <w:t xml:space="preserve"> un 2019.gad</w:t>
            </w:r>
            <w:r w:rsidRPr="00195B5A">
              <w:rPr>
                <w:b/>
                <w:color w:val="000000"/>
              </w:rPr>
              <w:t>a finansējums plānots indikatīvi 1</w:t>
            </w:r>
            <w:r w:rsidR="00F74723" w:rsidRPr="00195B5A">
              <w:rPr>
                <w:b/>
                <w:color w:val="000000"/>
              </w:rPr>
              <w:t>5</w:t>
            </w:r>
            <w:r w:rsidRPr="00195B5A">
              <w:rPr>
                <w:b/>
                <w:color w:val="000000"/>
              </w:rPr>
              <w:t xml:space="preserve">% apmērā no SAM pieejamā finansējuma. Attiecīgi no 2019. līdz 2022.gadam plānots nodrošināt atlikušā SAM finansējuma apguvi. </w:t>
            </w:r>
          </w:p>
        </w:tc>
      </w:tr>
      <w:tr w:rsidR="00716F8E" w:rsidRPr="00155D30" w14:paraId="6E92F59B"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61092B9E" w14:textId="77777777" w:rsidR="00716F8E" w:rsidRDefault="00716F8E" w:rsidP="00716F8E">
            <w:pPr>
              <w:rPr>
                <w:lang w:eastAsia="en-US"/>
              </w:rPr>
            </w:pPr>
            <w:r>
              <w:t>6.1. detalizēts ieņēmumu aprēķins</w:t>
            </w:r>
          </w:p>
        </w:tc>
        <w:tc>
          <w:tcPr>
            <w:tcW w:w="6804"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DB2E7B" w14:textId="77777777" w:rsidR="00716F8E" w:rsidRDefault="00716F8E" w:rsidP="00716F8E">
            <w:pPr>
              <w:rPr>
                <w:lang w:eastAsia="en-US"/>
              </w:rPr>
            </w:pPr>
          </w:p>
        </w:tc>
      </w:tr>
      <w:tr w:rsidR="00716F8E" w:rsidRPr="00155D30" w14:paraId="5DE07BF5"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16E51BBF" w14:textId="77777777" w:rsidR="00716F8E" w:rsidRDefault="00716F8E" w:rsidP="00716F8E">
            <w:pPr>
              <w:rPr>
                <w:lang w:eastAsia="en-US"/>
              </w:rPr>
            </w:pPr>
            <w:r>
              <w:t>6.2. detalizēts izdevumu aprēķins</w:t>
            </w:r>
          </w:p>
        </w:tc>
        <w:tc>
          <w:tcPr>
            <w:tcW w:w="6804"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6192B" w14:textId="77777777" w:rsidR="00716F8E" w:rsidRDefault="00716F8E" w:rsidP="00716F8E">
            <w:pPr>
              <w:rPr>
                <w:lang w:eastAsia="en-US"/>
              </w:rPr>
            </w:pPr>
          </w:p>
        </w:tc>
      </w:tr>
      <w:tr w:rsidR="00716F8E" w:rsidRPr="00155D30" w14:paraId="17211C1B" w14:textId="77777777" w:rsidTr="00F77CD7">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0800513B" w14:textId="77777777" w:rsidR="00716F8E" w:rsidRPr="002A7679" w:rsidRDefault="00716F8E" w:rsidP="00716F8E">
            <w:pPr>
              <w:rPr>
                <w:bCs/>
              </w:rPr>
            </w:pPr>
            <w:r w:rsidRPr="002A7679">
              <w:rPr>
                <w:bCs/>
              </w:rPr>
              <w:t>7. Cita informācija</w:t>
            </w:r>
          </w:p>
        </w:tc>
        <w:tc>
          <w:tcPr>
            <w:tcW w:w="6804" w:type="dxa"/>
            <w:gridSpan w:val="5"/>
            <w:tcBorders>
              <w:top w:val="single" w:sz="4" w:space="0" w:color="auto"/>
              <w:left w:val="single" w:sz="4" w:space="0" w:color="auto"/>
              <w:bottom w:val="single" w:sz="4" w:space="0" w:color="auto"/>
              <w:right w:val="single" w:sz="4" w:space="0" w:color="auto"/>
            </w:tcBorders>
            <w:shd w:val="clear" w:color="auto" w:fill="auto"/>
            <w:hideMark/>
          </w:tcPr>
          <w:p w14:paraId="0F38F524" w14:textId="7603B40E" w:rsidR="00716F8E" w:rsidRPr="00195B5A" w:rsidRDefault="001706F2" w:rsidP="000C0999">
            <w:pPr>
              <w:jc w:val="both"/>
              <w:rPr>
                <w:b/>
              </w:rPr>
            </w:pPr>
            <w:r w:rsidRPr="00195B5A">
              <w:rPr>
                <w:b/>
                <w:bCs/>
              </w:rPr>
              <w:t>MK n</w:t>
            </w:r>
            <w:r w:rsidR="0016023C" w:rsidRPr="00195B5A">
              <w:rPr>
                <w:b/>
                <w:bCs/>
              </w:rPr>
              <w:t>oteikumu</w:t>
            </w:r>
            <w:r w:rsidR="0016023C" w:rsidRPr="00195B5A">
              <w:rPr>
                <w:b/>
              </w:rPr>
              <w:t xml:space="preserve"> projektam nepieciešamie valsts budžeta līdzekļi normatīvajos aktos noteiktajā kārtībā tiks pieprasīti no 74.resora “Gadskārtējā valsts budžeta izpildes procesā pārdalāmais finansējums” 80.00.00 programmas “Nesadalītais finansējums Eiropas Savienības politiku instrumentu un pārējās ārvalstu finanšu palīdzības līdzfinansēto projektu un pasākumu īstenošanai”.</w:t>
            </w:r>
          </w:p>
        </w:tc>
      </w:tr>
    </w:tbl>
    <w:p w14:paraId="6C3FE9DC" w14:textId="77777777" w:rsidR="00EC7D7D" w:rsidRPr="00DB79CC" w:rsidRDefault="00EC7D7D" w:rsidP="00EC7D7D">
      <w:pPr>
        <w:jc w:val="both"/>
      </w:pPr>
    </w:p>
    <w:tbl>
      <w:tblPr>
        <w:tblW w:w="96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
        <w:gridCol w:w="2493"/>
        <w:gridCol w:w="6672"/>
      </w:tblGrid>
      <w:tr w:rsidR="00EC7D7D" w:rsidRPr="00C10D84" w14:paraId="4DF65258" w14:textId="77777777" w:rsidTr="00F77CD7">
        <w:trPr>
          <w:trHeight w:val="421"/>
        </w:trPr>
        <w:tc>
          <w:tcPr>
            <w:tcW w:w="9650" w:type="dxa"/>
            <w:gridSpan w:val="3"/>
            <w:tcBorders>
              <w:top w:val="single" w:sz="4" w:space="0" w:color="auto"/>
              <w:left w:val="single" w:sz="4" w:space="0" w:color="auto"/>
              <w:bottom w:val="single" w:sz="4" w:space="0" w:color="auto"/>
              <w:right w:val="single" w:sz="4" w:space="0" w:color="auto"/>
            </w:tcBorders>
            <w:vAlign w:val="center"/>
            <w:hideMark/>
          </w:tcPr>
          <w:p w14:paraId="6AFB83A5" w14:textId="77777777" w:rsidR="00EC7D7D" w:rsidRPr="00C10D84" w:rsidRDefault="00EC7D7D" w:rsidP="00260B38">
            <w:pPr>
              <w:ind w:left="57" w:right="57"/>
              <w:jc w:val="center"/>
              <w:rPr>
                <w:rFonts w:eastAsia="Times New Roman"/>
              </w:rPr>
            </w:pPr>
            <w:r w:rsidRPr="00C10D84">
              <w:rPr>
                <w:rFonts w:eastAsia="Times New Roman"/>
                <w:b/>
              </w:rPr>
              <w:t>V. Tiesību akta projekta atbilstība Latvijas Republikas starptautiskajām saistībām</w:t>
            </w:r>
          </w:p>
        </w:tc>
      </w:tr>
      <w:tr w:rsidR="00EC7D7D" w:rsidRPr="00C10D84" w14:paraId="63B419E9" w14:textId="77777777" w:rsidTr="00F77CD7">
        <w:trPr>
          <w:trHeight w:val="553"/>
        </w:trPr>
        <w:tc>
          <w:tcPr>
            <w:tcW w:w="485" w:type="dxa"/>
            <w:tcBorders>
              <w:top w:val="single" w:sz="4" w:space="0" w:color="auto"/>
              <w:left w:val="single" w:sz="4" w:space="0" w:color="auto"/>
              <w:bottom w:val="single" w:sz="4" w:space="0" w:color="auto"/>
              <w:right w:val="single" w:sz="4" w:space="0" w:color="auto"/>
            </w:tcBorders>
            <w:hideMark/>
          </w:tcPr>
          <w:p w14:paraId="7DC1C81E" w14:textId="77777777" w:rsidR="00EC7D7D" w:rsidRPr="00C10D84" w:rsidRDefault="00EC7D7D" w:rsidP="00260B38">
            <w:pPr>
              <w:ind w:left="57" w:right="57"/>
              <w:jc w:val="both"/>
              <w:rPr>
                <w:bCs/>
              </w:rPr>
            </w:pPr>
            <w:r w:rsidRPr="00C10D84">
              <w:rPr>
                <w:bCs/>
              </w:rPr>
              <w:t>1.</w:t>
            </w:r>
          </w:p>
        </w:tc>
        <w:tc>
          <w:tcPr>
            <w:tcW w:w="2493" w:type="dxa"/>
            <w:tcBorders>
              <w:top w:val="single" w:sz="4" w:space="0" w:color="auto"/>
              <w:left w:val="single" w:sz="4" w:space="0" w:color="auto"/>
              <w:bottom w:val="single" w:sz="4" w:space="0" w:color="auto"/>
              <w:right w:val="single" w:sz="4" w:space="0" w:color="auto"/>
            </w:tcBorders>
            <w:hideMark/>
          </w:tcPr>
          <w:p w14:paraId="0E27120D" w14:textId="77777777" w:rsidR="00EC7D7D" w:rsidRPr="00C10D84" w:rsidRDefault="00EC7D7D" w:rsidP="00260B38">
            <w:pPr>
              <w:ind w:left="57" w:right="57"/>
            </w:pPr>
            <w:r w:rsidRPr="00C10D84">
              <w:t>Saistības pret Eiropas Savienību</w:t>
            </w:r>
          </w:p>
        </w:tc>
        <w:tc>
          <w:tcPr>
            <w:tcW w:w="6672" w:type="dxa"/>
            <w:tcBorders>
              <w:top w:val="single" w:sz="4" w:space="0" w:color="auto"/>
              <w:left w:val="single" w:sz="4" w:space="0" w:color="auto"/>
              <w:bottom w:val="single" w:sz="4" w:space="0" w:color="auto"/>
              <w:right w:val="single" w:sz="4" w:space="0" w:color="auto"/>
            </w:tcBorders>
            <w:hideMark/>
          </w:tcPr>
          <w:p w14:paraId="0BEC269C" w14:textId="5B1311C2" w:rsidR="00EC7D7D" w:rsidRDefault="00EC7D7D" w:rsidP="00260B38">
            <w:pPr>
              <w:shd w:val="clear" w:color="auto" w:fill="FFFFFF"/>
              <w:spacing w:after="120"/>
              <w:ind w:left="80" w:right="113"/>
              <w:jc w:val="both"/>
            </w:pPr>
            <w:r w:rsidRPr="002D27EE">
              <w:t>Eiropas Parlamenta un Padomes 2013.gada 17.decembra Regula (ES) Nr.1303/2013.</w:t>
            </w:r>
          </w:p>
          <w:p w14:paraId="7D91F6C0" w14:textId="77777777" w:rsidR="00DE16DC" w:rsidRPr="00176D28" w:rsidRDefault="00DE16DC" w:rsidP="00FD6838">
            <w:pPr>
              <w:shd w:val="clear" w:color="auto" w:fill="FFFFFF"/>
              <w:spacing w:after="120"/>
              <w:ind w:left="80" w:right="113"/>
              <w:jc w:val="both"/>
              <w:rPr>
                <w:b/>
              </w:rPr>
            </w:pPr>
            <w:r w:rsidRPr="00176D28">
              <w:rPr>
                <w:b/>
              </w:rPr>
              <w:t>Eiropas Komisijas 2011.gada 20.decembra lēmums</w:t>
            </w:r>
            <w:r w:rsidR="00FD6838">
              <w:rPr>
                <w:b/>
              </w:rPr>
              <w:t xml:space="preserve"> Nr.</w:t>
            </w:r>
            <w:r w:rsidR="00176D28" w:rsidRPr="00176D28">
              <w:rPr>
                <w:b/>
              </w:rPr>
              <w:t xml:space="preserve"> 2012/21/ES</w:t>
            </w:r>
            <w:r w:rsidRPr="00176D28">
              <w:rPr>
                <w:b/>
              </w:rPr>
              <w:t xml:space="preserve"> par Līguma par Eiropas Savienības darbību 106.panta 2.punkta piemērošanu valsts atbalstam attiecībā uz kompensāciju par sabiedriskajiem pakalpojumiem dažiem uzņēmumiem, kuriem uzticēts sniegt pakalpojumus ar vispārēju tautsaimniecisku nozīmi</w:t>
            </w:r>
            <w:r w:rsidR="00176D28">
              <w:rPr>
                <w:b/>
              </w:rPr>
              <w:t>.</w:t>
            </w:r>
          </w:p>
        </w:tc>
      </w:tr>
      <w:tr w:rsidR="00EC7D7D" w:rsidRPr="00C10D84" w14:paraId="647869BB" w14:textId="77777777" w:rsidTr="00F77CD7">
        <w:trPr>
          <w:trHeight w:val="339"/>
        </w:trPr>
        <w:tc>
          <w:tcPr>
            <w:tcW w:w="485" w:type="dxa"/>
            <w:tcBorders>
              <w:top w:val="single" w:sz="4" w:space="0" w:color="auto"/>
              <w:left w:val="single" w:sz="4" w:space="0" w:color="auto"/>
              <w:bottom w:val="single" w:sz="4" w:space="0" w:color="auto"/>
              <w:right w:val="single" w:sz="4" w:space="0" w:color="auto"/>
            </w:tcBorders>
            <w:hideMark/>
          </w:tcPr>
          <w:p w14:paraId="0F52EAB8" w14:textId="77777777" w:rsidR="00EC7D7D" w:rsidRPr="00C10D84" w:rsidRDefault="00EC7D7D" w:rsidP="00260B38">
            <w:pPr>
              <w:ind w:left="57" w:right="57"/>
              <w:jc w:val="both"/>
              <w:rPr>
                <w:bCs/>
              </w:rPr>
            </w:pPr>
            <w:r w:rsidRPr="00C10D84">
              <w:rPr>
                <w:bCs/>
              </w:rPr>
              <w:t>2.</w:t>
            </w:r>
          </w:p>
        </w:tc>
        <w:tc>
          <w:tcPr>
            <w:tcW w:w="2493" w:type="dxa"/>
            <w:tcBorders>
              <w:top w:val="single" w:sz="4" w:space="0" w:color="auto"/>
              <w:left w:val="single" w:sz="4" w:space="0" w:color="auto"/>
              <w:bottom w:val="single" w:sz="4" w:space="0" w:color="auto"/>
              <w:right w:val="single" w:sz="4" w:space="0" w:color="auto"/>
            </w:tcBorders>
            <w:hideMark/>
          </w:tcPr>
          <w:p w14:paraId="7B035DF8" w14:textId="77777777" w:rsidR="00EC7D7D" w:rsidRPr="00C10D84" w:rsidRDefault="00EC7D7D" w:rsidP="00260B38">
            <w:pPr>
              <w:ind w:left="57" w:right="57"/>
            </w:pPr>
            <w:r w:rsidRPr="00C10D84">
              <w:t>Citas starptautiskās saistības</w:t>
            </w:r>
          </w:p>
        </w:tc>
        <w:tc>
          <w:tcPr>
            <w:tcW w:w="6672" w:type="dxa"/>
            <w:tcBorders>
              <w:top w:val="single" w:sz="4" w:space="0" w:color="auto"/>
              <w:left w:val="single" w:sz="4" w:space="0" w:color="auto"/>
              <w:bottom w:val="single" w:sz="4" w:space="0" w:color="auto"/>
              <w:right w:val="single" w:sz="4" w:space="0" w:color="auto"/>
            </w:tcBorders>
            <w:hideMark/>
          </w:tcPr>
          <w:p w14:paraId="4B38FE16" w14:textId="77777777" w:rsidR="00EC7D7D" w:rsidRPr="002D27EE" w:rsidRDefault="00EC7D7D" w:rsidP="00260B38">
            <w:pPr>
              <w:shd w:val="clear" w:color="auto" w:fill="FFFFFF"/>
              <w:ind w:left="57" w:right="113"/>
              <w:jc w:val="both"/>
              <w:rPr>
                <w:kern w:val="24"/>
              </w:rPr>
            </w:pPr>
            <w:r w:rsidRPr="002D27EE">
              <w:rPr>
                <w:iCs/>
              </w:rPr>
              <w:t>MK noteikumu projekts šo jomu neskar.</w:t>
            </w:r>
          </w:p>
        </w:tc>
      </w:tr>
      <w:tr w:rsidR="00EC7D7D" w:rsidRPr="00C10D84" w14:paraId="3D925C22" w14:textId="77777777" w:rsidTr="00F77CD7">
        <w:trPr>
          <w:trHeight w:val="476"/>
        </w:trPr>
        <w:tc>
          <w:tcPr>
            <w:tcW w:w="485" w:type="dxa"/>
            <w:tcBorders>
              <w:top w:val="single" w:sz="4" w:space="0" w:color="auto"/>
              <w:left w:val="single" w:sz="4" w:space="0" w:color="auto"/>
              <w:bottom w:val="single" w:sz="4" w:space="0" w:color="auto"/>
              <w:right w:val="single" w:sz="4" w:space="0" w:color="auto"/>
            </w:tcBorders>
            <w:hideMark/>
          </w:tcPr>
          <w:p w14:paraId="7A7D1FAB" w14:textId="77777777" w:rsidR="00EC7D7D" w:rsidRPr="00C10D84" w:rsidRDefault="00EC7D7D" w:rsidP="00260B38">
            <w:pPr>
              <w:ind w:left="57" w:right="57"/>
              <w:jc w:val="both"/>
              <w:rPr>
                <w:bCs/>
              </w:rPr>
            </w:pPr>
            <w:r w:rsidRPr="00C10D84">
              <w:rPr>
                <w:bCs/>
              </w:rPr>
              <w:t>3.</w:t>
            </w:r>
          </w:p>
        </w:tc>
        <w:tc>
          <w:tcPr>
            <w:tcW w:w="2493" w:type="dxa"/>
            <w:tcBorders>
              <w:top w:val="single" w:sz="4" w:space="0" w:color="auto"/>
              <w:left w:val="single" w:sz="4" w:space="0" w:color="auto"/>
              <w:bottom w:val="single" w:sz="4" w:space="0" w:color="auto"/>
              <w:right w:val="single" w:sz="4" w:space="0" w:color="auto"/>
            </w:tcBorders>
            <w:hideMark/>
          </w:tcPr>
          <w:p w14:paraId="2D34E32D" w14:textId="77777777" w:rsidR="00EC7D7D" w:rsidRPr="00C10D84" w:rsidRDefault="00EC7D7D" w:rsidP="00260B38">
            <w:pPr>
              <w:ind w:left="57" w:right="57"/>
            </w:pPr>
            <w:r w:rsidRPr="00C10D84">
              <w:t>Cita informācija</w:t>
            </w:r>
          </w:p>
        </w:tc>
        <w:tc>
          <w:tcPr>
            <w:tcW w:w="6672" w:type="dxa"/>
            <w:tcBorders>
              <w:top w:val="single" w:sz="4" w:space="0" w:color="auto"/>
              <w:left w:val="single" w:sz="4" w:space="0" w:color="auto"/>
              <w:bottom w:val="single" w:sz="4" w:space="0" w:color="auto"/>
              <w:right w:val="single" w:sz="4" w:space="0" w:color="auto"/>
            </w:tcBorders>
            <w:hideMark/>
          </w:tcPr>
          <w:p w14:paraId="60FBF928" w14:textId="77777777" w:rsidR="00EC7D7D" w:rsidRPr="002D27EE" w:rsidRDefault="00EC7D7D" w:rsidP="00260B38">
            <w:pPr>
              <w:shd w:val="clear" w:color="auto" w:fill="FFFFFF"/>
              <w:ind w:left="57" w:right="113"/>
              <w:jc w:val="both"/>
            </w:pPr>
            <w:r w:rsidRPr="002D27EE">
              <w:t xml:space="preserve">Nav. </w:t>
            </w:r>
          </w:p>
        </w:tc>
      </w:tr>
    </w:tbl>
    <w:p w14:paraId="32E54DB5" w14:textId="77777777" w:rsidR="00EC7D7D" w:rsidRPr="00C10D84" w:rsidRDefault="00EC7D7D" w:rsidP="00EC7D7D">
      <w:pPr>
        <w:jc w:val="center"/>
        <w:rPr>
          <w:lang w:eastAsia="en-US"/>
        </w:rPr>
      </w:pPr>
    </w:p>
    <w:p w14:paraId="21E2EBED" w14:textId="77777777" w:rsidR="00EC7D7D" w:rsidRPr="00C10D84" w:rsidRDefault="00EC7D7D" w:rsidP="00EC7D7D">
      <w:pPr>
        <w:jc w:val="center"/>
        <w:rPr>
          <w:lang w:eastAsia="en-U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517"/>
        <w:gridCol w:w="1843"/>
        <w:gridCol w:w="2722"/>
      </w:tblGrid>
      <w:tr w:rsidR="00EC7D7D" w:rsidRPr="00C10D84" w14:paraId="1F0C6DF3" w14:textId="77777777" w:rsidTr="00F77CD7">
        <w:tc>
          <w:tcPr>
            <w:tcW w:w="9782" w:type="dxa"/>
            <w:gridSpan w:val="4"/>
            <w:tcBorders>
              <w:top w:val="single" w:sz="4" w:space="0" w:color="auto"/>
              <w:left w:val="single" w:sz="4" w:space="0" w:color="auto"/>
              <w:bottom w:val="single" w:sz="4" w:space="0" w:color="auto"/>
              <w:right w:val="single" w:sz="4" w:space="0" w:color="auto"/>
            </w:tcBorders>
            <w:hideMark/>
          </w:tcPr>
          <w:p w14:paraId="1981AE67" w14:textId="77777777" w:rsidR="00EC7D7D" w:rsidRPr="00C10D84" w:rsidRDefault="00EC7D7D" w:rsidP="00260B38">
            <w:pPr>
              <w:spacing w:line="276" w:lineRule="auto"/>
              <w:jc w:val="center"/>
              <w:rPr>
                <w:rFonts w:eastAsia="Times New Roman"/>
                <w:lang w:eastAsia="en-US"/>
              </w:rPr>
            </w:pPr>
            <w:r w:rsidRPr="00C10D84">
              <w:rPr>
                <w:rFonts w:eastAsia="Times New Roman"/>
                <w:b/>
                <w:lang w:eastAsia="en-US"/>
              </w:rPr>
              <w:t>1.tabula. Tiesību akta projekta atbilstība ES tiesību aktiem</w:t>
            </w:r>
          </w:p>
        </w:tc>
      </w:tr>
      <w:tr w:rsidR="00EC7D7D" w:rsidRPr="00C10D84" w14:paraId="3ED96B58" w14:textId="77777777" w:rsidTr="00F77CD7">
        <w:tc>
          <w:tcPr>
            <w:tcW w:w="2700" w:type="dxa"/>
            <w:tcBorders>
              <w:top w:val="single" w:sz="4" w:space="0" w:color="auto"/>
              <w:left w:val="single" w:sz="4" w:space="0" w:color="auto"/>
              <w:bottom w:val="single" w:sz="4" w:space="0" w:color="auto"/>
              <w:right w:val="single" w:sz="4" w:space="0" w:color="auto"/>
            </w:tcBorders>
            <w:hideMark/>
          </w:tcPr>
          <w:p w14:paraId="3AE2D686" w14:textId="77777777" w:rsidR="00EC7D7D" w:rsidRPr="00C10D84" w:rsidRDefault="00EC7D7D" w:rsidP="00260B38">
            <w:pPr>
              <w:rPr>
                <w:lang w:eastAsia="en-US"/>
              </w:rPr>
            </w:pPr>
            <w:r w:rsidRPr="00C10D84">
              <w:t>Attiecīgā ES tiesību akta datums, numurs un nosaukums</w:t>
            </w:r>
          </w:p>
        </w:tc>
        <w:tc>
          <w:tcPr>
            <w:tcW w:w="7082" w:type="dxa"/>
            <w:gridSpan w:val="3"/>
            <w:tcBorders>
              <w:top w:val="single" w:sz="4" w:space="0" w:color="auto"/>
              <w:left w:val="single" w:sz="4" w:space="0" w:color="auto"/>
              <w:bottom w:val="single" w:sz="4" w:space="0" w:color="auto"/>
              <w:right w:val="single" w:sz="4" w:space="0" w:color="auto"/>
            </w:tcBorders>
            <w:hideMark/>
          </w:tcPr>
          <w:p w14:paraId="2B4CA4F4" w14:textId="77777777" w:rsidR="00EC7D7D" w:rsidRPr="00C10D84" w:rsidRDefault="00EC7D7D" w:rsidP="00260B38">
            <w:pPr>
              <w:tabs>
                <w:tab w:val="left" w:pos="566"/>
              </w:tabs>
              <w:spacing w:line="276" w:lineRule="auto"/>
              <w:ind w:left="141"/>
              <w:jc w:val="both"/>
              <w:rPr>
                <w:rFonts w:eastAsia="Times New Roman"/>
                <w:lang w:eastAsia="en-US"/>
              </w:rPr>
            </w:pPr>
            <w:r w:rsidRPr="00C10D84">
              <w:rPr>
                <w:rFonts w:eastAsia="Times New Roman"/>
                <w:lang w:eastAsia="en-US"/>
              </w:rPr>
              <w:t>Eiropas Parlamenta un Padomes regula Nr.1303/2013;</w:t>
            </w:r>
          </w:p>
          <w:p w14:paraId="3660E90D" w14:textId="77777777" w:rsidR="00EC7D7D" w:rsidRPr="00C10D84" w:rsidRDefault="00EC7D7D" w:rsidP="00260B38">
            <w:pPr>
              <w:tabs>
                <w:tab w:val="left" w:pos="566"/>
              </w:tabs>
              <w:spacing w:line="276" w:lineRule="auto"/>
              <w:ind w:left="141"/>
              <w:jc w:val="both"/>
              <w:rPr>
                <w:rFonts w:eastAsia="Times New Roman"/>
              </w:rPr>
            </w:pPr>
          </w:p>
        </w:tc>
      </w:tr>
      <w:tr w:rsidR="00EC7D7D" w:rsidRPr="00C10D84" w14:paraId="02C8318D" w14:textId="77777777" w:rsidTr="00F77CD7">
        <w:tc>
          <w:tcPr>
            <w:tcW w:w="2700" w:type="dxa"/>
            <w:tcBorders>
              <w:top w:val="single" w:sz="4" w:space="0" w:color="auto"/>
              <w:left w:val="single" w:sz="4" w:space="0" w:color="auto"/>
              <w:bottom w:val="single" w:sz="4" w:space="0" w:color="auto"/>
              <w:right w:val="single" w:sz="4" w:space="0" w:color="auto"/>
            </w:tcBorders>
            <w:hideMark/>
          </w:tcPr>
          <w:p w14:paraId="35F7DDB8" w14:textId="77777777" w:rsidR="00EC7D7D" w:rsidRPr="00C10D84" w:rsidRDefault="00EC7D7D" w:rsidP="00260B38">
            <w:pPr>
              <w:jc w:val="center"/>
              <w:rPr>
                <w:lang w:eastAsia="en-US"/>
              </w:rPr>
            </w:pPr>
            <w:r w:rsidRPr="00C10D84">
              <w:t>A</w:t>
            </w:r>
          </w:p>
        </w:tc>
        <w:tc>
          <w:tcPr>
            <w:tcW w:w="2517" w:type="dxa"/>
            <w:tcBorders>
              <w:top w:val="single" w:sz="4" w:space="0" w:color="auto"/>
              <w:left w:val="single" w:sz="4" w:space="0" w:color="auto"/>
              <w:bottom w:val="single" w:sz="4" w:space="0" w:color="auto"/>
              <w:right w:val="single" w:sz="4" w:space="0" w:color="auto"/>
            </w:tcBorders>
            <w:hideMark/>
          </w:tcPr>
          <w:p w14:paraId="0101B204" w14:textId="77777777" w:rsidR="00EC7D7D" w:rsidRPr="00C10D84" w:rsidRDefault="00EC7D7D" w:rsidP="00260B38">
            <w:pPr>
              <w:jc w:val="center"/>
              <w:rPr>
                <w:lang w:eastAsia="en-US"/>
              </w:rPr>
            </w:pPr>
            <w:r w:rsidRPr="00C10D84">
              <w:t>B</w:t>
            </w:r>
          </w:p>
        </w:tc>
        <w:tc>
          <w:tcPr>
            <w:tcW w:w="1843" w:type="dxa"/>
            <w:tcBorders>
              <w:top w:val="single" w:sz="4" w:space="0" w:color="auto"/>
              <w:left w:val="single" w:sz="4" w:space="0" w:color="auto"/>
              <w:bottom w:val="single" w:sz="4" w:space="0" w:color="auto"/>
              <w:right w:val="single" w:sz="4" w:space="0" w:color="auto"/>
            </w:tcBorders>
            <w:hideMark/>
          </w:tcPr>
          <w:p w14:paraId="3916F295" w14:textId="77777777" w:rsidR="00EC7D7D" w:rsidRPr="00C10D84" w:rsidRDefault="00EC7D7D" w:rsidP="00260B38">
            <w:pPr>
              <w:jc w:val="center"/>
              <w:rPr>
                <w:lang w:eastAsia="en-US"/>
              </w:rPr>
            </w:pPr>
            <w:r w:rsidRPr="00C10D84">
              <w:t>C</w:t>
            </w:r>
          </w:p>
        </w:tc>
        <w:tc>
          <w:tcPr>
            <w:tcW w:w="2722" w:type="dxa"/>
            <w:tcBorders>
              <w:top w:val="single" w:sz="4" w:space="0" w:color="auto"/>
              <w:left w:val="single" w:sz="4" w:space="0" w:color="auto"/>
              <w:bottom w:val="single" w:sz="4" w:space="0" w:color="auto"/>
              <w:right w:val="single" w:sz="4" w:space="0" w:color="auto"/>
            </w:tcBorders>
            <w:hideMark/>
          </w:tcPr>
          <w:p w14:paraId="406521A3" w14:textId="77777777" w:rsidR="00EC7D7D" w:rsidRPr="00C10D84" w:rsidRDefault="00EC7D7D" w:rsidP="00260B38">
            <w:pPr>
              <w:jc w:val="center"/>
              <w:rPr>
                <w:lang w:eastAsia="en-US"/>
              </w:rPr>
            </w:pPr>
            <w:r w:rsidRPr="00C10D84">
              <w:t>D</w:t>
            </w:r>
          </w:p>
        </w:tc>
      </w:tr>
      <w:tr w:rsidR="00EC7D7D" w:rsidRPr="00C10D84" w14:paraId="0ED2A5EA" w14:textId="77777777" w:rsidTr="00F77CD7">
        <w:tc>
          <w:tcPr>
            <w:tcW w:w="2700" w:type="dxa"/>
            <w:tcBorders>
              <w:top w:val="single" w:sz="4" w:space="0" w:color="auto"/>
              <w:left w:val="single" w:sz="4" w:space="0" w:color="auto"/>
              <w:bottom w:val="single" w:sz="4" w:space="0" w:color="auto"/>
              <w:right w:val="single" w:sz="4" w:space="0" w:color="auto"/>
            </w:tcBorders>
            <w:hideMark/>
          </w:tcPr>
          <w:p w14:paraId="55219EB3" w14:textId="77777777" w:rsidR="00EC7D7D" w:rsidRPr="00C10D84" w:rsidRDefault="00EC7D7D" w:rsidP="00826E45">
            <w:pPr>
              <w:jc w:val="both"/>
              <w:rPr>
                <w:lang w:eastAsia="en-US"/>
              </w:rPr>
            </w:pPr>
            <w:r w:rsidRPr="00C10D84">
              <w:lastRenderedPageBreak/>
              <w:t>Attiecīgā ES tiesību akta panta numurs (uzskaitot katru tiesību akta vienību – pantu, daļu, punktu, apakšpunktu)</w:t>
            </w:r>
          </w:p>
        </w:tc>
        <w:tc>
          <w:tcPr>
            <w:tcW w:w="2517" w:type="dxa"/>
            <w:tcBorders>
              <w:top w:val="single" w:sz="4" w:space="0" w:color="auto"/>
              <w:left w:val="single" w:sz="4" w:space="0" w:color="auto"/>
              <w:bottom w:val="single" w:sz="4" w:space="0" w:color="auto"/>
              <w:right w:val="single" w:sz="4" w:space="0" w:color="auto"/>
            </w:tcBorders>
            <w:hideMark/>
          </w:tcPr>
          <w:p w14:paraId="05D226E1" w14:textId="77777777" w:rsidR="00EC7D7D" w:rsidRPr="00C10D84" w:rsidRDefault="00EC7D7D" w:rsidP="00260B38">
            <w:pPr>
              <w:jc w:val="both"/>
              <w:rPr>
                <w:lang w:eastAsia="en-US"/>
              </w:rPr>
            </w:pPr>
            <w:r w:rsidRPr="00C10D84">
              <w:t>Projekta vienība, kas pārņem vai ievieš katru šīs tabulas A ailē minēto ES tiesību akta vienību, vai tiesību akts, kur attiecīgā ES tiesību akta vienība pārņemta vai ieviesta</w:t>
            </w:r>
          </w:p>
        </w:tc>
        <w:tc>
          <w:tcPr>
            <w:tcW w:w="1843" w:type="dxa"/>
            <w:tcBorders>
              <w:top w:val="single" w:sz="4" w:space="0" w:color="auto"/>
              <w:left w:val="single" w:sz="4" w:space="0" w:color="auto"/>
              <w:bottom w:val="single" w:sz="4" w:space="0" w:color="auto"/>
              <w:right w:val="single" w:sz="4" w:space="0" w:color="auto"/>
            </w:tcBorders>
            <w:hideMark/>
          </w:tcPr>
          <w:p w14:paraId="6A2A34CA" w14:textId="77777777" w:rsidR="00EC7D7D" w:rsidRPr="00C10D84" w:rsidRDefault="00EC7D7D" w:rsidP="00260B38">
            <w:pPr>
              <w:jc w:val="both"/>
            </w:pPr>
            <w:r w:rsidRPr="00C10D84">
              <w:t>Informācija par to, vai šīs tabulas A ailē minētās ES tiesību akta vienības tiek pārņemtas vai ieviestas pilnībā vai daļēji.</w:t>
            </w:r>
          </w:p>
          <w:p w14:paraId="70382C48" w14:textId="77777777" w:rsidR="00EC7D7D" w:rsidRPr="00C10D84" w:rsidRDefault="00EC7D7D" w:rsidP="00260B38">
            <w:pPr>
              <w:jc w:val="both"/>
            </w:pPr>
            <w:r w:rsidRPr="00C10D84">
              <w:t>Ja attiecīgā ES tiesību akta vienība tiek pārņemta vai ieviesta daļēji, – sniedz attiecīgu skaidrojumu, kā arī precīzi norāda, kad un kādā veidā ES tiesību akta vienība tiks pārņemta vai ieviesta pilnībā.</w:t>
            </w:r>
          </w:p>
          <w:p w14:paraId="3607AC82" w14:textId="77777777" w:rsidR="00EC7D7D" w:rsidRPr="00C10D84" w:rsidRDefault="00EC7D7D" w:rsidP="00260B38">
            <w:pPr>
              <w:jc w:val="both"/>
              <w:rPr>
                <w:lang w:eastAsia="en-US"/>
              </w:rPr>
            </w:pPr>
            <w:r w:rsidRPr="00C10D84">
              <w:t>Norāda institūciju, kas ir atbildīga par šo saistību izpildi pilnībā</w:t>
            </w:r>
          </w:p>
        </w:tc>
        <w:tc>
          <w:tcPr>
            <w:tcW w:w="2722" w:type="dxa"/>
            <w:tcBorders>
              <w:top w:val="single" w:sz="4" w:space="0" w:color="auto"/>
              <w:left w:val="single" w:sz="4" w:space="0" w:color="auto"/>
              <w:bottom w:val="single" w:sz="4" w:space="0" w:color="auto"/>
              <w:right w:val="single" w:sz="4" w:space="0" w:color="auto"/>
            </w:tcBorders>
            <w:hideMark/>
          </w:tcPr>
          <w:p w14:paraId="5F71D5DC" w14:textId="77777777" w:rsidR="00EC7D7D" w:rsidRPr="00C10D84" w:rsidRDefault="00EC7D7D" w:rsidP="00260B38">
            <w:pPr>
              <w:jc w:val="both"/>
            </w:pPr>
            <w:r w:rsidRPr="00C10D84">
              <w:t>Informācija par to, vai šīs tabulas B ailē minētās projekta vienības paredz stingrākas prasības nekā šīs tabulas A ailē minētās ES tiesību akta vienības.</w:t>
            </w:r>
          </w:p>
          <w:p w14:paraId="2D264292" w14:textId="77777777" w:rsidR="00EC7D7D" w:rsidRPr="00C10D84" w:rsidRDefault="00EC7D7D" w:rsidP="00260B38">
            <w:pPr>
              <w:jc w:val="both"/>
            </w:pPr>
            <w:r w:rsidRPr="00C10D84">
              <w:t>Ja projekts satur stingrākas prasības nekā attiecīgais ES tiesību akts, – norāda pamatojumu un samērīgumu.</w:t>
            </w:r>
          </w:p>
          <w:p w14:paraId="2FD4B93A" w14:textId="77777777" w:rsidR="00EC7D7D" w:rsidRPr="00C10D84" w:rsidRDefault="00EC7D7D" w:rsidP="00260B38">
            <w:pPr>
              <w:jc w:val="both"/>
              <w:rPr>
                <w:lang w:eastAsia="en-US"/>
              </w:rPr>
            </w:pPr>
            <w:r w:rsidRPr="00C10D84">
              <w:t>Norāda iespējamās alternatīvas (t.sk. alternatīvas, kas neparedz tiesiskā regulējuma izstrādi) – kādos gadījumos būtu iespējams izvairīties no stingrāku prasību noteikšanas, nekā paredzēts attiecīgajos ES tiesību aktos</w:t>
            </w:r>
          </w:p>
        </w:tc>
      </w:tr>
      <w:tr w:rsidR="00EC7D7D" w:rsidRPr="00C10D84" w14:paraId="6541A067" w14:textId="77777777" w:rsidTr="00F77CD7">
        <w:trPr>
          <w:trHeight w:val="1132"/>
        </w:trPr>
        <w:tc>
          <w:tcPr>
            <w:tcW w:w="2700" w:type="dxa"/>
            <w:tcBorders>
              <w:top w:val="single" w:sz="4" w:space="0" w:color="auto"/>
              <w:left w:val="single" w:sz="4" w:space="0" w:color="auto"/>
              <w:bottom w:val="single" w:sz="4" w:space="0" w:color="auto"/>
              <w:right w:val="single" w:sz="4" w:space="0" w:color="auto"/>
            </w:tcBorders>
            <w:hideMark/>
          </w:tcPr>
          <w:p w14:paraId="4233AC31" w14:textId="77777777" w:rsidR="00EC7D7D" w:rsidRDefault="00EC7D7D" w:rsidP="00260B38">
            <w:pPr>
              <w:jc w:val="both"/>
            </w:pPr>
            <w:r w:rsidRPr="00C10D84">
              <w:rPr>
                <w:bCs/>
              </w:rPr>
              <w:t xml:space="preserve">Eiropas Parlamenta un Padomes </w:t>
            </w:r>
            <w:r>
              <w:rPr>
                <w:bCs/>
              </w:rPr>
              <w:t>Regulas Nr.1303/2013</w:t>
            </w:r>
          </w:p>
          <w:p w14:paraId="5361B7C1" w14:textId="77777777" w:rsidR="00EC7D7D" w:rsidRPr="00C10D84" w:rsidRDefault="00EC7D7D" w:rsidP="00260B38">
            <w:pPr>
              <w:jc w:val="both"/>
              <w:rPr>
                <w:lang w:eastAsia="en-US"/>
              </w:rPr>
            </w:pPr>
            <w:r w:rsidRPr="002D3245">
              <w:t>XII pielikuma 2.2.apakšpunkts</w:t>
            </w:r>
          </w:p>
        </w:tc>
        <w:tc>
          <w:tcPr>
            <w:tcW w:w="2517" w:type="dxa"/>
            <w:tcBorders>
              <w:top w:val="single" w:sz="4" w:space="0" w:color="auto"/>
              <w:left w:val="single" w:sz="4" w:space="0" w:color="auto"/>
              <w:bottom w:val="single" w:sz="4" w:space="0" w:color="auto"/>
              <w:right w:val="single" w:sz="4" w:space="0" w:color="auto"/>
            </w:tcBorders>
            <w:hideMark/>
          </w:tcPr>
          <w:p w14:paraId="66D34CCA" w14:textId="77777777" w:rsidR="00EC7D7D" w:rsidRPr="00C10D84" w:rsidRDefault="00EC7D7D" w:rsidP="00260B38">
            <w:pPr>
              <w:jc w:val="both"/>
            </w:pPr>
            <w:r w:rsidRPr="00C10D84">
              <w:t xml:space="preserve">MK noteikumu projekta </w:t>
            </w:r>
            <w:r>
              <w:t>19.7.apakš</w:t>
            </w:r>
            <w:r w:rsidRPr="00C10D84">
              <w:t>punkts</w:t>
            </w:r>
          </w:p>
        </w:tc>
        <w:tc>
          <w:tcPr>
            <w:tcW w:w="1843" w:type="dxa"/>
            <w:tcBorders>
              <w:top w:val="single" w:sz="4" w:space="0" w:color="auto"/>
              <w:left w:val="single" w:sz="4" w:space="0" w:color="auto"/>
              <w:bottom w:val="single" w:sz="4" w:space="0" w:color="auto"/>
              <w:right w:val="single" w:sz="4" w:space="0" w:color="auto"/>
            </w:tcBorders>
            <w:hideMark/>
          </w:tcPr>
          <w:p w14:paraId="5335CDE1" w14:textId="77777777" w:rsidR="00EC7D7D" w:rsidRPr="00C10D84" w:rsidRDefault="00EC7D7D" w:rsidP="00597B1F">
            <w:pPr>
              <w:rPr>
                <w:iCs/>
              </w:rPr>
            </w:pPr>
            <w:r w:rsidRPr="00C10D84">
              <w:t>Vienība tiek ieviesta pilnībā</w:t>
            </w:r>
            <w:r>
              <w:t>.</w:t>
            </w:r>
            <w:r w:rsidRPr="002D3245">
              <w:t xml:space="preserve"> </w:t>
            </w:r>
          </w:p>
        </w:tc>
        <w:tc>
          <w:tcPr>
            <w:tcW w:w="2722" w:type="dxa"/>
            <w:tcBorders>
              <w:top w:val="single" w:sz="4" w:space="0" w:color="auto"/>
              <w:left w:val="single" w:sz="4" w:space="0" w:color="auto"/>
              <w:bottom w:val="single" w:sz="4" w:space="0" w:color="auto"/>
              <w:right w:val="single" w:sz="4" w:space="0" w:color="auto"/>
            </w:tcBorders>
            <w:hideMark/>
          </w:tcPr>
          <w:p w14:paraId="52280B2D" w14:textId="77777777" w:rsidR="00EC7D7D" w:rsidRPr="00C10D84" w:rsidRDefault="00EC7D7D" w:rsidP="00260B38">
            <w:pPr>
              <w:jc w:val="center"/>
              <w:rPr>
                <w:iCs/>
              </w:rPr>
            </w:pPr>
            <w:r w:rsidRPr="00C10D84">
              <w:t>Neparedz stingrākas prasības</w:t>
            </w:r>
          </w:p>
        </w:tc>
      </w:tr>
      <w:tr w:rsidR="004A5EB3" w:rsidRPr="00176D28" w14:paraId="01E131CF" w14:textId="77777777" w:rsidTr="00F77CD7">
        <w:trPr>
          <w:trHeight w:val="1132"/>
        </w:trPr>
        <w:tc>
          <w:tcPr>
            <w:tcW w:w="2700" w:type="dxa"/>
            <w:tcBorders>
              <w:top w:val="single" w:sz="4" w:space="0" w:color="auto"/>
              <w:left w:val="single" w:sz="4" w:space="0" w:color="auto"/>
              <w:bottom w:val="single" w:sz="4" w:space="0" w:color="auto"/>
              <w:right w:val="single" w:sz="4" w:space="0" w:color="auto"/>
            </w:tcBorders>
          </w:tcPr>
          <w:p w14:paraId="21B36E34" w14:textId="77777777" w:rsidR="004A5EB3" w:rsidRPr="00176D28" w:rsidRDefault="004A5EB3" w:rsidP="00FD6838">
            <w:pPr>
              <w:jc w:val="both"/>
              <w:rPr>
                <w:b/>
                <w:bCs/>
              </w:rPr>
            </w:pPr>
            <w:r w:rsidRPr="00176D28">
              <w:rPr>
                <w:b/>
                <w:bCs/>
              </w:rPr>
              <w:t>Eiropas Komisijas 2011.gada 20.decembra lēmums</w:t>
            </w:r>
            <w:r w:rsidR="00FD6838">
              <w:rPr>
                <w:b/>
                <w:bCs/>
              </w:rPr>
              <w:t xml:space="preserve"> Nr.</w:t>
            </w:r>
            <w:r w:rsidR="00176D28" w:rsidRPr="00176D28">
              <w:rPr>
                <w:b/>
                <w:bCs/>
              </w:rPr>
              <w:t xml:space="preserve"> 2012/21/ES</w:t>
            </w:r>
            <w:r w:rsidRPr="00176D28">
              <w:rPr>
                <w:b/>
                <w:bCs/>
              </w:rPr>
              <w:t xml:space="preserve"> par Līguma par Eiropas Savienības darbību 106.panta 2.punkts </w:t>
            </w:r>
          </w:p>
        </w:tc>
        <w:tc>
          <w:tcPr>
            <w:tcW w:w="2517" w:type="dxa"/>
            <w:tcBorders>
              <w:top w:val="single" w:sz="4" w:space="0" w:color="auto"/>
              <w:left w:val="single" w:sz="4" w:space="0" w:color="auto"/>
              <w:bottom w:val="single" w:sz="4" w:space="0" w:color="auto"/>
              <w:right w:val="single" w:sz="4" w:space="0" w:color="auto"/>
            </w:tcBorders>
          </w:tcPr>
          <w:p w14:paraId="7B97921C" w14:textId="77777777" w:rsidR="004A5EB3" w:rsidRPr="00176D28" w:rsidRDefault="004A5EB3" w:rsidP="00260B38">
            <w:pPr>
              <w:jc w:val="both"/>
              <w:rPr>
                <w:b/>
              </w:rPr>
            </w:pPr>
            <w:r w:rsidRPr="00176D28">
              <w:rPr>
                <w:b/>
              </w:rPr>
              <w:t xml:space="preserve">MK noteikumu projekta </w:t>
            </w:r>
            <w:r w:rsidR="00F73221" w:rsidRPr="00176D28">
              <w:rPr>
                <w:b/>
              </w:rPr>
              <w:t>12.7., 13.5. un 14.8.apakšpunkts</w:t>
            </w:r>
          </w:p>
        </w:tc>
        <w:tc>
          <w:tcPr>
            <w:tcW w:w="1843" w:type="dxa"/>
            <w:tcBorders>
              <w:top w:val="single" w:sz="4" w:space="0" w:color="auto"/>
              <w:left w:val="single" w:sz="4" w:space="0" w:color="auto"/>
              <w:bottom w:val="single" w:sz="4" w:space="0" w:color="auto"/>
              <w:right w:val="single" w:sz="4" w:space="0" w:color="auto"/>
            </w:tcBorders>
          </w:tcPr>
          <w:p w14:paraId="00CD387B" w14:textId="77777777" w:rsidR="004A5EB3" w:rsidRPr="00176D28" w:rsidRDefault="004A5EB3" w:rsidP="00597B1F">
            <w:pPr>
              <w:rPr>
                <w:b/>
              </w:rPr>
            </w:pPr>
            <w:r w:rsidRPr="00176D28">
              <w:rPr>
                <w:b/>
              </w:rPr>
              <w:t>Vienība tiek ieviesta pilnībā</w:t>
            </w:r>
          </w:p>
        </w:tc>
        <w:tc>
          <w:tcPr>
            <w:tcW w:w="2722" w:type="dxa"/>
            <w:tcBorders>
              <w:top w:val="single" w:sz="4" w:space="0" w:color="auto"/>
              <w:left w:val="single" w:sz="4" w:space="0" w:color="auto"/>
              <w:bottom w:val="single" w:sz="4" w:space="0" w:color="auto"/>
              <w:right w:val="single" w:sz="4" w:space="0" w:color="auto"/>
            </w:tcBorders>
          </w:tcPr>
          <w:p w14:paraId="5BFC8758" w14:textId="77777777" w:rsidR="004A5EB3" w:rsidRPr="00176D28" w:rsidRDefault="004A5EB3" w:rsidP="00260B38">
            <w:pPr>
              <w:jc w:val="center"/>
              <w:rPr>
                <w:b/>
              </w:rPr>
            </w:pPr>
            <w:r w:rsidRPr="00176D28">
              <w:rPr>
                <w:b/>
              </w:rPr>
              <w:t>Neparedz stingrākas prasības</w:t>
            </w:r>
          </w:p>
        </w:tc>
      </w:tr>
      <w:tr w:rsidR="00EC7D7D" w:rsidRPr="00C10D84" w14:paraId="23098FD1" w14:textId="77777777" w:rsidTr="00F77CD7">
        <w:tc>
          <w:tcPr>
            <w:tcW w:w="5217" w:type="dxa"/>
            <w:gridSpan w:val="2"/>
            <w:tcBorders>
              <w:top w:val="single" w:sz="4" w:space="0" w:color="auto"/>
              <w:left w:val="single" w:sz="4" w:space="0" w:color="auto"/>
              <w:bottom w:val="single" w:sz="4" w:space="0" w:color="auto"/>
              <w:right w:val="single" w:sz="4" w:space="0" w:color="auto"/>
            </w:tcBorders>
            <w:hideMark/>
          </w:tcPr>
          <w:p w14:paraId="37409449" w14:textId="77777777" w:rsidR="00EC7D7D" w:rsidRPr="00C10D84" w:rsidRDefault="00EC7D7D" w:rsidP="00260B38">
            <w:r w:rsidRPr="00C10D84">
              <w:t>Kā ir izmantota ES tiesību aktā paredzētā rīcības brīvība dalībvalstij pārņemt vai ieviest noteiktas ES tiesību akta normas?</w:t>
            </w:r>
          </w:p>
          <w:p w14:paraId="4385964E" w14:textId="77777777" w:rsidR="00EC7D7D" w:rsidRPr="00C10D84" w:rsidRDefault="00EC7D7D" w:rsidP="00260B38">
            <w:pPr>
              <w:rPr>
                <w:i/>
                <w:lang w:eastAsia="en-US"/>
              </w:rPr>
            </w:pPr>
            <w:r w:rsidRPr="00C10D84">
              <w:t>Kādēļ?</w:t>
            </w:r>
          </w:p>
        </w:tc>
        <w:tc>
          <w:tcPr>
            <w:tcW w:w="4565" w:type="dxa"/>
            <w:gridSpan w:val="2"/>
            <w:tcBorders>
              <w:top w:val="single" w:sz="4" w:space="0" w:color="auto"/>
              <w:left w:val="single" w:sz="4" w:space="0" w:color="auto"/>
              <w:bottom w:val="single" w:sz="4" w:space="0" w:color="auto"/>
              <w:right w:val="single" w:sz="4" w:space="0" w:color="auto"/>
            </w:tcBorders>
            <w:hideMark/>
          </w:tcPr>
          <w:p w14:paraId="76E3FA63" w14:textId="77777777" w:rsidR="00EC7D7D" w:rsidRPr="002D27EE" w:rsidRDefault="00EC7D7D" w:rsidP="00260B38">
            <w:pPr>
              <w:rPr>
                <w:lang w:eastAsia="en-US"/>
              </w:rPr>
            </w:pPr>
            <w:r w:rsidRPr="002D27EE">
              <w:rPr>
                <w:iCs/>
              </w:rPr>
              <w:t>MK noteikumu projekts šo jomu neskar.</w:t>
            </w:r>
          </w:p>
        </w:tc>
      </w:tr>
      <w:tr w:rsidR="00EC7D7D" w:rsidRPr="00C10D84" w14:paraId="5CDB1E52" w14:textId="77777777" w:rsidTr="00F77CD7">
        <w:tc>
          <w:tcPr>
            <w:tcW w:w="5217" w:type="dxa"/>
            <w:gridSpan w:val="2"/>
            <w:tcBorders>
              <w:top w:val="single" w:sz="4" w:space="0" w:color="auto"/>
              <w:left w:val="single" w:sz="4" w:space="0" w:color="auto"/>
              <w:bottom w:val="single" w:sz="4" w:space="0" w:color="auto"/>
              <w:right w:val="single" w:sz="4" w:space="0" w:color="auto"/>
            </w:tcBorders>
            <w:hideMark/>
          </w:tcPr>
          <w:p w14:paraId="40DF1579" w14:textId="77777777" w:rsidR="00EC7D7D" w:rsidRPr="00C10D84" w:rsidRDefault="00EC7D7D" w:rsidP="00260B38">
            <w:pPr>
              <w:rPr>
                <w:i/>
                <w:lang w:eastAsia="en-US"/>
              </w:rPr>
            </w:pPr>
            <w:r w:rsidRPr="00C10D84">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565" w:type="dxa"/>
            <w:gridSpan w:val="2"/>
            <w:tcBorders>
              <w:top w:val="single" w:sz="4" w:space="0" w:color="auto"/>
              <w:left w:val="single" w:sz="4" w:space="0" w:color="auto"/>
              <w:bottom w:val="single" w:sz="4" w:space="0" w:color="auto"/>
              <w:right w:val="single" w:sz="4" w:space="0" w:color="auto"/>
            </w:tcBorders>
            <w:hideMark/>
          </w:tcPr>
          <w:p w14:paraId="4947A6E9" w14:textId="77777777" w:rsidR="00EC7D7D" w:rsidRPr="002D27EE" w:rsidRDefault="00EC7D7D" w:rsidP="00260B38">
            <w:pPr>
              <w:jc w:val="both"/>
            </w:pPr>
            <w:r w:rsidRPr="002D27EE">
              <w:rPr>
                <w:iCs/>
              </w:rPr>
              <w:t>MK noteikumu projekts šo jomu neskar.</w:t>
            </w:r>
          </w:p>
        </w:tc>
      </w:tr>
      <w:tr w:rsidR="00EC7D7D" w:rsidRPr="00C10D84" w14:paraId="6232F80F" w14:textId="77777777" w:rsidTr="00F77CD7">
        <w:tc>
          <w:tcPr>
            <w:tcW w:w="5217" w:type="dxa"/>
            <w:gridSpan w:val="2"/>
            <w:tcBorders>
              <w:top w:val="single" w:sz="4" w:space="0" w:color="auto"/>
              <w:left w:val="single" w:sz="4" w:space="0" w:color="auto"/>
              <w:bottom w:val="single" w:sz="4" w:space="0" w:color="auto"/>
              <w:right w:val="single" w:sz="4" w:space="0" w:color="auto"/>
            </w:tcBorders>
            <w:hideMark/>
          </w:tcPr>
          <w:p w14:paraId="5D271C49" w14:textId="77777777" w:rsidR="00EC7D7D" w:rsidRPr="00C10D84" w:rsidRDefault="00EC7D7D" w:rsidP="00260B38">
            <w:pPr>
              <w:spacing w:line="276" w:lineRule="auto"/>
              <w:rPr>
                <w:rFonts w:eastAsia="Times New Roman"/>
                <w:i/>
                <w:lang w:eastAsia="en-US"/>
              </w:rPr>
            </w:pPr>
            <w:r w:rsidRPr="00C10D84">
              <w:rPr>
                <w:rFonts w:eastAsia="Times New Roman"/>
                <w:lang w:eastAsia="en-US"/>
              </w:rPr>
              <w:lastRenderedPageBreak/>
              <w:t>Cita informācija</w:t>
            </w:r>
          </w:p>
        </w:tc>
        <w:tc>
          <w:tcPr>
            <w:tcW w:w="4565" w:type="dxa"/>
            <w:gridSpan w:val="2"/>
            <w:tcBorders>
              <w:top w:val="single" w:sz="4" w:space="0" w:color="auto"/>
              <w:left w:val="single" w:sz="4" w:space="0" w:color="auto"/>
              <w:bottom w:val="single" w:sz="4" w:space="0" w:color="auto"/>
              <w:right w:val="single" w:sz="4" w:space="0" w:color="auto"/>
            </w:tcBorders>
            <w:hideMark/>
          </w:tcPr>
          <w:p w14:paraId="4074F6F5" w14:textId="77777777" w:rsidR="00EC7D7D" w:rsidRPr="00C10D84" w:rsidRDefault="00EC7D7D" w:rsidP="00260B38">
            <w:pPr>
              <w:jc w:val="both"/>
              <w:rPr>
                <w:lang w:eastAsia="en-US"/>
              </w:rPr>
            </w:pPr>
            <w:r>
              <w:rPr>
                <w:lang w:eastAsia="en-US"/>
              </w:rPr>
              <w:t>Nav.</w:t>
            </w:r>
          </w:p>
        </w:tc>
      </w:tr>
    </w:tbl>
    <w:p w14:paraId="5863363B" w14:textId="77777777" w:rsidR="00EC7D7D" w:rsidRPr="00C10D84" w:rsidRDefault="00EC7D7D" w:rsidP="00EC7D7D">
      <w:pPr>
        <w:jc w:val="center"/>
        <w:rPr>
          <w:lang w:eastAsia="en-US"/>
        </w:rPr>
      </w:pPr>
    </w:p>
    <w:p w14:paraId="71246D04" w14:textId="77777777" w:rsidR="00EC7D7D" w:rsidRPr="00C10D84" w:rsidRDefault="00EC7D7D" w:rsidP="00EC7D7D">
      <w:pPr>
        <w:jc w:val="center"/>
        <w:rPr>
          <w:lang w:eastAsia="en-U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3096"/>
        <w:gridCol w:w="3013"/>
      </w:tblGrid>
      <w:tr w:rsidR="00EC7D7D" w:rsidRPr="00C10D84" w14:paraId="25DEB857" w14:textId="77777777" w:rsidTr="00F77CD7">
        <w:tc>
          <w:tcPr>
            <w:tcW w:w="9782" w:type="dxa"/>
            <w:gridSpan w:val="3"/>
            <w:tcBorders>
              <w:top w:val="single" w:sz="4" w:space="0" w:color="auto"/>
              <w:left w:val="single" w:sz="4" w:space="0" w:color="auto"/>
              <w:bottom w:val="single" w:sz="4" w:space="0" w:color="auto"/>
              <w:right w:val="single" w:sz="4" w:space="0" w:color="auto"/>
            </w:tcBorders>
            <w:hideMark/>
          </w:tcPr>
          <w:p w14:paraId="1D772EC3" w14:textId="77777777" w:rsidR="00EC7D7D" w:rsidRPr="00C10D84" w:rsidRDefault="00EC7D7D" w:rsidP="00260B38">
            <w:pPr>
              <w:spacing w:line="276" w:lineRule="auto"/>
              <w:jc w:val="center"/>
              <w:rPr>
                <w:rFonts w:eastAsia="Times New Roman"/>
                <w:b/>
                <w:lang w:eastAsia="en-US"/>
              </w:rPr>
            </w:pPr>
            <w:r w:rsidRPr="00C10D84">
              <w:rPr>
                <w:rFonts w:eastAsia="Times New Roman"/>
                <w:b/>
                <w:lang w:eastAsia="en-US"/>
              </w:rPr>
              <w:t>2.tabula. Ar tiesību akta projektu uzņemtās saistības, kas izriet no starptautiskajiem tiesību aktiem vai starptautiskas institūcijas vai organizācijas dokumentiem</w:t>
            </w:r>
          </w:p>
          <w:p w14:paraId="0049AF82" w14:textId="77777777" w:rsidR="00EC7D7D" w:rsidRPr="00C10D84" w:rsidRDefault="00EC7D7D" w:rsidP="00260B38">
            <w:pPr>
              <w:jc w:val="center"/>
              <w:rPr>
                <w:lang w:eastAsia="en-US"/>
              </w:rPr>
            </w:pPr>
            <w:r w:rsidRPr="00C10D84">
              <w:rPr>
                <w:b/>
              </w:rPr>
              <w:t>Pasākumi šo saistību izpildei</w:t>
            </w:r>
          </w:p>
        </w:tc>
      </w:tr>
      <w:tr w:rsidR="00EC7D7D" w:rsidRPr="00C10D84" w14:paraId="181C61F1" w14:textId="77777777" w:rsidTr="00F77CD7">
        <w:tc>
          <w:tcPr>
            <w:tcW w:w="3673" w:type="dxa"/>
            <w:tcBorders>
              <w:top w:val="single" w:sz="4" w:space="0" w:color="auto"/>
              <w:left w:val="single" w:sz="4" w:space="0" w:color="auto"/>
              <w:bottom w:val="single" w:sz="4" w:space="0" w:color="auto"/>
              <w:right w:val="single" w:sz="4" w:space="0" w:color="auto"/>
            </w:tcBorders>
            <w:hideMark/>
          </w:tcPr>
          <w:p w14:paraId="6C52983A" w14:textId="77777777" w:rsidR="00EC7D7D" w:rsidRPr="00C10D84" w:rsidRDefault="00EC7D7D" w:rsidP="00260B38">
            <w:pPr>
              <w:jc w:val="both"/>
              <w:rPr>
                <w:lang w:eastAsia="en-US"/>
              </w:rPr>
            </w:pPr>
            <w:r w:rsidRPr="00C10D84">
              <w:t>Attiecīgā starptautiskā tiesību akta vai starptautiskas institūcijas vai organizācijas dokumenta (turpmāk – starptautiskais dokuments) datums, numurs un nosaukums</w:t>
            </w:r>
          </w:p>
        </w:tc>
        <w:tc>
          <w:tcPr>
            <w:tcW w:w="6109" w:type="dxa"/>
            <w:gridSpan w:val="2"/>
            <w:tcBorders>
              <w:top w:val="single" w:sz="4" w:space="0" w:color="auto"/>
              <w:left w:val="single" w:sz="4" w:space="0" w:color="auto"/>
              <w:bottom w:val="single" w:sz="4" w:space="0" w:color="auto"/>
              <w:right w:val="single" w:sz="4" w:space="0" w:color="auto"/>
            </w:tcBorders>
            <w:hideMark/>
          </w:tcPr>
          <w:p w14:paraId="37A6E142" w14:textId="77777777" w:rsidR="00EC7D7D" w:rsidRPr="00C10D84" w:rsidRDefault="00EC7D7D" w:rsidP="00260B38">
            <w:pPr>
              <w:tabs>
                <w:tab w:val="left" w:pos="325"/>
              </w:tabs>
              <w:rPr>
                <w:i/>
                <w:lang w:eastAsia="en-US"/>
              </w:rPr>
            </w:pPr>
            <w:r w:rsidRPr="00C10D84">
              <w:rPr>
                <w:iCs/>
              </w:rPr>
              <w:t>MK noteikumu projekts šo jomu neskar.</w:t>
            </w:r>
          </w:p>
        </w:tc>
      </w:tr>
      <w:tr w:rsidR="00EC7D7D" w:rsidRPr="00C10D84" w14:paraId="07075BD3" w14:textId="77777777" w:rsidTr="00F77CD7">
        <w:tc>
          <w:tcPr>
            <w:tcW w:w="3673" w:type="dxa"/>
            <w:tcBorders>
              <w:top w:val="single" w:sz="4" w:space="0" w:color="auto"/>
              <w:left w:val="single" w:sz="4" w:space="0" w:color="auto"/>
              <w:bottom w:val="single" w:sz="4" w:space="0" w:color="auto"/>
              <w:right w:val="single" w:sz="4" w:space="0" w:color="auto"/>
            </w:tcBorders>
            <w:hideMark/>
          </w:tcPr>
          <w:p w14:paraId="13E62089" w14:textId="77777777" w:rsidR="00EC7D7D" w:rsidRPr="00C10D84" w:rsidRDefault="00EC7D7D" w:rsidP="00260B38">
            <w:pPr>
              <w:jc w:val="center"/>
              <w:rPr>
                <w:lang w:eastAsia="en-US"/>
              </w:rPr>
            </w:pPr>
            <w:r w:rsidRPr="00C10D84">
              <w:t>A</w:t>
            </w:r>
          </w:p>
        </w:tc>
        <w:tc>
          <w:tcPr>
            <w:tcW w:w="3096" w:type="dxa"/>
            <w:tcBorders>
              <w:top w:val="single" w:sz="4" w:space="0" w:color="auto"/>
              <w:left w:val="single" w:sz="4" w:space="0" w:color="auto"/>
              <w:bottom w:val="single" w:sz="4" w:space="0" w:color="auto"/>
              <w:right w:val="single" w:sz="4" w:space="0" w:color="auto"/>
            </w:tcBorders>
            <w:hideMark/>
          </w:tcPr>
          <w:p w14:paraId="7E7AF445" w14:textId="77777777" w:rsidR="00EC7D7D" w:rsidRPr="00C10D84" w:rsidRDefault="00EC7D7D" w:rsidP="00260B38">
            <w:pPr>
              <w:jc w:val="center"/>
              <w:rPr>
                <w:lang w:eastAsia="en-US"/>
              </w:rPr>
            </w:pPr>
            <w:r w:rsidRPr="00C10D84">
              <w:t>B</w:t>
            </w:r>
          </w:p>
        </w:tc>
        <w:tc>
          <w:tcPr>
            <w:tcW w:w="3013" w:type="dxa"/>
            <w:tcBorders>
              <w:top w:val="single" w:sz="4" w:space="0" w:color="auto"/>
              <w:left w:val="single" w:sz="4" w:space="0" w:color="auto"/>
              <w:bottom w:val="single" w:sz="4" w:space="0" w:color="auto"/>
              <w:right w:val="single" w:sz="4" w:space="0" w:color="auto"/>
            </w:tcBorders>
            <w:hideMark/>
          </w:tcPr>
          <w:p w14:paraId="4DF9E65D" w14:textId="77777777" w:rsidR="00EC7D7D" w:rsidRPr="00C10D84" w:rsidRDefault="00EC7D7D" w:rsidP="00260B38">
            <w:pPr>
              <w:jc w:val="center"/>
              <w:rPr>
                <w:lang w:eastAsia="en-US"/>
              </w:rPr>
            </w:pPr>
            <w:r w:rsidRPr="00C10D84">
              <w:t>C</w:t>
            </w:r>
          </w:p>
        </w:tc>
      </w:tr>
      <w:tr w:rsidR="00EC7D7D" w:rsidRPr="00C10D84" w14:paraId="0D02913A" w14:textId="77777777" w:rsidTr="00F77CD7">
        <w:tc>
          <w:tcPr>
            <w:tcW w:w="3673" w:type="dxa"/>
            <w:tcBorders>
              <w:top w:val="single" w:sz="4" w:space="0" w:color="auto"/>
              <w:left w:val="single" w:sz="4" w:space="0" w:color="auto"/>
              <w:bottom w:val="single" w:sz="4" w:space="0" w:color="auto"/>
              <w:right w:val="single" w:sz="4" w:space="0" w:color="auto"/>
            </w:tcBorders>
            <w:hideMark/>
          </w:tcPr>
          <w:p w14:paraId="405A5F8E" w14:textId="77777777" w:rsidR="00EC7D7D" w:rsidRPr="00C10D84" w:rsidRDefault="00EC7D7D" w:rsidP="00260B38">
            <w:pPr>
              <w:jc w:val="both"/>
            </w:pPr>
            <w:r w:rsidRPr="00C10D84">
              <w:t>Starptautiskās saistības (pēc būtības), kas izriet no norādītā starptautiskā dokumenta.</w:t>
            </w:r>
          </w:p>
          <w:p w14:paraId="6610A360" w14:textId="77777777" w:rsidR="00EC7D7D" w:rsidRPr="00C10D84" w:rsidRDefault="00EC7D7D" w:rsidP="00260B38">
            <w:pPr>
              <w:jc w:val="both"/>
              <w:rPr>
                <w:lang w:eastAsia="en-US"/>
              </w:rPr>
            </w:pPr>
            <w:r w:rsidRPr="00C10D84">
              <w:t>Konkrēti veicamie pasākumi vai uzdevumi, kas nepieciešami šo starptautisko saistību izpildei</w:t>
            </w:r>
          </w:p>
        </w:tc>
        <w:tc>
          <w:tcPr>
            <w:tcW w:w="3096" w:type="dxa"/>
            <w:tcBorders>
              <w:top w:val="single" w:sz="4" w:space="0" w:color="auto"/>
              <w:left w:val="single" w:sz="4" w:space="0" w:color="auto"/>
              <w:bottom w:val="single" w:sz="4" w:space="0" w:color="auto"/>
              <w:right w:val="single" w:sz="4" w:space="0" w:color="auto"/>
            </w:tcBorders>
            <w:hideMark/>
          </w:tcPr>
          <w:p w14:paraId="27587D15" w14:textId="77777777" w:rsidR="00EC7D7D" w:rsidRPr="00C10D84" w:rsidRDefault="00EC7D7D" w:rsidP="00260B38">
            <w:pPr>
              <w:jc w:val="both"/>
              <w:rPr>
                <w:lang w:eastAsia="en-US"/>
              </w:rPr>
            </w:pPr>
            <w:r w:rsidRPr="00C10D84">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3013" w:type="dxa"/>
            <w:tcBorders>
              <w:top w:val="single" w:sz="4" w:space="0" w:color="auto"/>
              <w:left w:val="single" w:sz="4" w:space="0" w:color="auto"/>
              <w:bottom w:val="single" w:sz="4" w:space="0" w:color="auto"/>
              <w:right w:val="single" w:sz="4" w:space="0" w:color="auto"/>
            </w:tcBorders>
            <w:hideMark/>
          </w:tcPr>
          <w:p w14:paraId="08C354FE" w14:textId="77777777" w:rsidR="00EC7D7D" w:rsidRPr="00C10D84" w:rsidRDefault="00EC7D7D" w:rsidP="00260B38">
            <w:pPr>
              <w:jc w:val="both"/>
            </w:pPr>
            <w:r w:rsidRPr="00C10D84">
              <w:t>Informācija par to, vai starptautiskās saistības, kas minētas šīs tabulas A ailē, tiek izpildītas pilnībā vai daļēji.</w:t>
            </w:r>
          </w:p>
          <w:p w14:paraId="48A036E4" w14:textId="77777777" w:rsidR="00EC7D7D" w:rsidRPr="00C10D84" w:rsidRDefault="00EC7D7D" w:rsidP="00260B38">
            <w:pPr>
              <w:jc w:val="both"/>
            </w:pPr>
            <w:r w:rsidRPr="00C10D84">
              <w:t>Ja attiecīgās starptautiskās saistības tiek izpildītas daļēji, sniedz attiecīgu skaidrojumu, kā arī precīzi norāda, kad un kādā veidā starptautiskās saistības tiks izpildītas pilnībā.</w:t>
            </w:r>
          </w:p>
          <w:p w14:paraId="45669F85" w14:textId="77777777" w:rsidR="00EC7D7D" w:rsidRPr="00C10D84" w:rsidRDefault="00EC7D7D" w:rsidP="00260B38">
            <w:pPr>
              <w:jc w:val="both"/>
              <w:rPr>
                <w:lang w:eastAsia="en-US"/>
              </w:rPr>
            </w:pPr>
            <w:r w:rsidRPr="00C10D84">
              <w:t>Norāda institūciju, kas ir atbildīga par šo saistību izpildi pilnībā</w:t>
            </w:r>
          </w:p>
        </w:tc>
      </w:tr>
      <w:tr w:rsidR="00EC7D7D" w:rsidRPr="00C10D84" w14:paraId="17492752" w14:textId="77777777" w:rsidTr="00F77CD7">
        <w:tc>
          <w:tcPr>
            <w:tcW w:w="3673" w:type="dxa"/>
            <w:tcBorders>
              <w:top w:val="single" w:sz="4" w:space="0" w:color="auto"/>
              <w:left w:val="single" w:sz="4" w:space="0" w:color="auto"/>
              <w:bottom w:val="single" w:sz="4" w:space="0" w:color="auto"/>
              <w:right w:val="single" w:sz="4" w:space="0" w:color="auto"/>
            </w:tcBorders>
            <w:hideMark/>
          </w:tcPr>
          <w:p w14:paraId="368A24BB" w14:textId="77777777" w:rsidR="00EC7D7D" w:rsidRPr="00C10D84" w:rsidRDefault="00EC7D7D" w:rsidP="00260B38">
            <w:pPr>
              <w:jc w:val="both"/>
              <w:rPr>
                <w:lang w:eastAsia="en-US"/>
              </w:rPr>
            </w:pPr>
            <w:r w:rsidRPr="00C10D84">
              <w:rPr>
                <w:iCs/>
              </w:rPr>
              <w:t>Noteikumu projekts šo jomu neskar.</w:t>
            </w:r>
          </w:p>
        </w:tc>
        <w:tc>
          <w:tcPr>
            <w:tcW w:w="3096" w:type="dxa"/>
            <w:tcBorders>
              <w:top w:val="single" w:sz="4" w:space="0" w:color="auto"/>
              <w:left w:val="single" w:sz="4" w:space="0" w:color="auto"/>
              <w:bottom w:val="single" w:sz="4" w:space="0" w:color="auto"/>
              <w:right w:val="single" w:sz="4" w:space="0" w:color="auto"/>
            </w:tcBorders>
            <w:hideMark/>
          </w:tcPr>
          <w:p w14:paraId="6CAFD86C" w14:textId="77777777" w:rsidR="00EC7D7D" w:rsidRPr="002D27EE" w:rsidRDefault="00EC7D7D" w:rsidP="00260B38">
            <w:pPr>
              <w:jc w:val="both"/>
              <w:rPr>
                <w:lang w:eastAsia="en-US"/>
              </w:rPr>
            </w:pPr>
            <w:r w:rsidRPr="002D27EE">
              <w:rPr>
                <w:iCs/>
              </w:rPr>
              <w:t>MK noteikumu projekts šo jomu neskar.</w:t>
            </w:r>
          </w:p>
        </w:tc>
        <w:tc>
          <w:tcPr>
            <w:tcW w:w="3013" w:type="dxa"/>
            <w:tcBorders>
              <w:top w:val="single" w:sz="4" w:space="0" w:color="auto"/>
              <w:left w:val="single" w:sz="4" w:space="0" w:color="auto"/>
              <w:bottom w:val="single" w:sz="4" w:space="0" w:color="auto"/>
              <w:right w:val="single" w:sz="4" w:space="0" w:color="auto"/>
            </w:tcBorders>
            <w:hideMark/>
          </w:tcPr>
          <w:p w14:paraId="310E93CF" w14:textId="77777777" w:rsidR="00EC7D7D" w:rsidRPr="002D27EE" w:rsidRDefault="00EC7D7D" w:rsidP="00260B38">
            <w:pPr>
              <w:jc w:val="both"/>
              <w:rPr>
                <w:lang w:eastAsia="en-US"/>
              </w:rPr>
            </w:pPr>
            <w:r w:rsidRPr="002D27EE">
              <w:rPr>
                <w:iCs/>
              </w:rPr>
              <w:t>MK noteikumu projekts šo jomu neskar.</w:t>
            </w:r>
          </w:p>
        </w:tc>
      </w:tr>
      <w:tr w:rsidR="00EC7D7D" w:rsidRPr="00C10D84" w14:paraId="7358F6BC" w14:textId="77777777" w:rsidTr="00F77CD7">
        <w:tc>
          <w:tcPr>
            <w:tcW w:w="3673" w:type="dxa"/>
            <w:tcBorders>
              <w:top w:val="single" w:sz="4" w:space="0" w:color="auto"/>
              <w:left w:val="single" w:sz="4" w:space="0" w:color="auto"/>
              <w:bottom w:val="single" w:sz="4" w:space="0" w:color="auto"/>
              <w:right w:val="single" w:sz="4" w:space="0" w:color="auto"/>
            </w:tcBorders>
            <w:hideMark/>
          </w:tcPr>
          <w:p w14:paraId="6C763453" w14:textId="77777777" w:rsidR="00EC7D7D" w:rsidRPr="00C10D84" w:rsidRDefault="00EC7D7D" w:rsidP="00260B38">
            <w:pPr>
              <w:jc w:val="both"/>
              <w:rPr>
                <w:lang w:eastAsia="en-US"/>
              </w:rPr>
            </w:pPr>
            <w:r w:rsidRPr="00C10D84">
              <w:t>Vai starptautiskajā dokumentā paredzētās saistības nav pretrunā ar jau esošajām Latvijas Republikas starptautiskajām saistībām</w:t>
            </w:r>
          </w:p>
        </w:tc>
        <w:tc>
          <w:tcPr>
            <w:tcW w:w="6109" w:type="dxa"/>
            <w:gridSpan w:val="2"/>
            <w:tcBorders>
              <w:top w:val="single" w:sz="4" w:space="0" w:color="auto"/>
              <w:left w:val="single" w:sz="4" w:space="0" w:color="auto"/>
              <w:bottom w:val="single" w:sz="4" w:space="0" w:color="auto"/>
              <w:right w:val="single" w:sz="4" w:space="0" w:color="auto"/>
            </w:tcBorders>
            <w:hideMark/>
          </w:tcPr>
          <w:p w14:paraId="0DC2558F" w14:textId="77777777" w:rsidR="00EC7D7D" w:rsidRPr="002D27EE" w:rsidRDefault="00EC7D7D" w:rsidP="00260B38">
            <w:pPr>
              <w:rPr>
                <w:i/>
                <w:lang w:eastAsia="en-US"/>
              </w:rPr>
            </w:pPr>
            <w:r w:rsidRPr="002D27EE">
              <w:rPr>
                <w:iCs/>
              </w:rPr>
              <w:t>MK noteikumu projekts šo jomu neskar.</w:t>
            </w:r>
          </w:p>
        </w:tc>
      </w:tr>
      <w:tr w:rsidR="00EC7D7D" w:rsidRPr="00C10D84" w14:paraId="3A2B4FD7" w14:textId="77777777" w:rsidTr="00F77CD7">
        <w:tc>
          <w:tcPr>
            <w:tcW w:w="3673" w:type="dxa"/>
            <w:tcBorders>
              <w:top w:val="single" w:sz="4" w:space="0" w:color="auto"/>
              <w:left w:val="single" w:sz="4" w:space="0" w:color="auto"/>
              <w:bottom w:val="single" w:sz="4" w:space="0" w:color="auto"/>
              <w:right w:val="single" w:sz="4" w:space="0" w:color="auto"/>
            </w:tcBorders>
            <w:hideMark/>
          </w:tcPr>
          <w:p w14:paraId="36FE7572" w14:textId="77777777" w:rsidR="00EC7D7D" w:rsidRPr="00C10D84" w:rsidRDefault="00EC7D7D" w:rsidP="00260B38">
            <w:pPr>
              <w:rPr>
                <w:lang w:eastAsia="en-US"/>
              </w:rPr>
            </w:pPr>
            <w:r w:rsidRPr="00C10D84">
              <w:t>Cita informācija</w:t>
            </w:r>
          </w:p>
        </w:tc>
        <w:tc>
          <w:tcPr>
            <w:tcW w:w="6109" w:type="dxa"/>
            <w:gridSpan w:val="2"/>
            <w:tcBorders>
              <w:top w:val="single" w:sz="4" w:space="0" w:color="auto"/>
              <w:left w:val="single" w:sz="4" w:space="0" w:color="auto"/>
              <w:bottom w:val="single" w:sz="4" w:space="0" w:color="auto"/>
              <w:right w:val="single" w:sz="4" w:space="0" w:color="auto"/>
            </w:tcBorders>
            <w:hideMark/>
          </w:tcPr>
          <w:p w14:paraId="5AEC66A9" w14:textId="77777777" w:rsidR="00EC7D7D" w:rsidRPr="00C10D84" w:rsidRDefault="00EC7D7D" w:rsidP="00260B38">
            <w:pPr>
              <w:rPr>
                <w:lang w:eastAsia="en-US"/>
              </w:rPr>
            </w:pPr>
            <w:r w:rsidRPr="00C10D84">
              <w:t>Nav.</w:t>
            </w:r>
          </w:p>
        </w:tc>
      </w:tr>
    </w:tbl>
    <w:p w14:paraId="2AA2BAE8" w14:textId="77777777" w:rsidR="00C61A59" w:rsidRDefault="00C61A59" w:rsidP="00E56202">
      <w:pPr>
        <w:jc w:val="center"/>
        <w:rPr>
          <w:lang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5"/>
        <w:gridCol w:w="2821"/>
        <w:gridCol w:w="6650"/>
      </w:tblGrid>
      <w:tr w:rsidR="00330C43" w:rsidRPr="00A76ADD" w14:paraId="6CBA6B88" w14:textId="77777777" w:rsidTr="00F77CD7">
        <w:trPr>
          <w:trHeight w:val="421"/>
          <w:jc w:val="center"/>
        </w:trPr>
        <w:tc>
          <w:tcPr>
            <w:tcW w:w="9776" w:type="dxa"/>
            <w:gridSpan w:val="3"/>
            <w:vAlign w:val="center"/>
          </w:tcPr>
          <w:p w14:paraId="3FE91AEA" w14:textId="77777777" w:rsidR="00330C43" w:rsidRPr="00A76ADD" w:rsidRDefault="00330C43" w:rsidP="00E56202">
            <w:pPr>
              <w:pStyle w:val="naisnod"/>
              <w:spacing w:before="0" w:beforeAutospacing="0" w:after="0" w:afterAutospacing="0"/>
              <w:ind w:left="57" w:right="57"/>
              <w:jc w:val="center"/>
            </w:pPr>
            <w:r w:rsidRPr="00A76ADD">
              <w:rPr>
                <w:b/>
              </w:rPr>
              <w:t>VI. Sabiedrības līdzdalība un komunikācijas aktivitātes</w:t>
            </w:r>
          </w:p>
        </w:tc>
      </w:tr>
      <w:tr w:rsidR="00330C43" w:rsidRPr="00A76ADD" w14:paraId="2F2722F7" w14:textId="77777777" w:rsidTr="00F77CD7">
        <w:trPr>
          <w:trHeight w:val="553"/>
          <w:jc w:val="center"/>
        </w:trPr>
        <w:tc>
          <w:tcPr>
            <w:tcW w:w="305" w:type="dxa"/>
          </w:tcPr>
          <w:p w14:paraId="46BC2928" w14:textId="77777777" w:rsidR="00330C43" w:rsidRPr="00A76ADD" w:rsidRDefault="00330C43" w:rsidP="00E56202">
            <w:pPr>
              <w:ind w:left="57" w:right="57"/>
              <w:jc w:val="both"/>
              <w:rPr>
                <w:bCs/>
              </w:rPr>
            </w:pPr>
            <w:r w:rsidRPr="00A76ADD">
              <w:rPr>
                <w:bCs/>
              </w:rPr>
              <w:t>1.</w:t>
            </w:r>
          </w:p>
        </w:tc>
        <w:tc>
          <w:tcPr>
            <w:tcW w:w="2821" w:type="dxa"/>
          </w:tcPr>
          <w:p w14:paraId="3B83BAF9" w14:textId="77777777" w:rsidR="00330C43" w:rsidRPr="00A76ADD" w:rsidRDefault="00330C43" w:rsidP="00E56202">
            <w:pPr>
              <w:tabs>
                <w:tab w:val="left" w:pos="170"/>
              </w:tabs>
              <w:ind w:left="57" w:right="57"/>
            </w:pPr>
            <w:r w:rsidRPr="00A76ADD">
              <w:t>Plānotās sabiedrības līdzdalības un komunikācijas aktivitātes saistībā ar projektu</w:t>
            </w:r>
          </w:p>
        </w:tc>
        <w:tc>
          <w:tcPr>
            <w:tcW w:w="6650" w:type="dxa"/>
          </w:tcPr>
          <w:p w14:paraId="47A8BB52" w14:textId="6DC0CA95" w:rsidR="00330C43" w:rsidRPr="00A76ADD" w:rsidRDefault="00330C43" w:rsidP="00E56202">
            <w:pPr>
              <w:shd w:val="clear" w:color="auto" w:fill="FFFFFF"/>
              <w:ind w:left="57" w:right="113"/>
              <w:jc w:val="both"/>
            </w:pPr>
            <w:bookmarkStart w:id="2" w:name="p61"/>
            <w:bookmarkEnd w:id="2"/>
            <w:r w:rsidRPr="00A76ADD">
              <w:rPr>
                <w:bCs/>
              </w:rPr>
              <w:t>Īstenojot projektu, finansējuma saņēmējs nodrošina informācijas un publicitātes pasākumus, kas noteikti Eiropas Parlamenta un Padomes 2013.</w:t>
            </w:r>
            <w:r>
              <w:rPr>
                <w:bCs/>
              </w:rPr>
              <w:t xml:space="preserve"> </w:t>
            </w:r>
            <w:r w:rsidRPr="00A76ADD">
              <w:rPr>
                <w:bCs/>
              </w:rPr>
              <w:t>gada 17.</w:t>
            </w:r>
            <w:r>
              <w:rPr>
                <w:bCs/>
              </w:rPr>
              <w:t xml:space="preserve"> </w:t>
            </w:r>
            <w:r w:rsidRPr="00A76ADD">
              <w:rPr>
                <w:bCs/>
              </w:rPr>
              <w:t>decembra Regulā (ES) Nr.1303/2013 prasību nodrošināšanu, un normatīvajos aktos par Eiropas Savienības fondu publicitātes un vizuālās identitātes prasību nodrošināšanu</w:t>
            </w:r>
            <w:r>
              <w:rPr>
                <w:bCs/>
              </w:rPr>
              <w:t>.</w:t>
            </w:r>
          </w:p>
        </w:tc>
      </w:tr>
      <w:tr w:rsidR="00330C43" w:rsidRPr="00A76ADD" w14:paraId="67B969BB" w14:textId="77777777" w:rsidTr="00F77CD7">
        <w:trPr>
          <w:trHeight w:val="339"/>
          <w:jc w:val="center"/>
        </w:trPr>
        <w:tc>
          <w:tcPr>
            <w:tcW w:w="305" w:type="dxa"/>
          </w:tcPr>
          <w:p w14:paraId="0B751FF8" w14:textId="77777777" w:rsidR="00330C43" w:rsidRPr="00A76ADD" w:rsidRDefault="00330C43" w:rsidP="00E56202">
            <w:pPr>
              <w:ind w:left="57" w:right="57"/>
              <w:jc w:val="both"/>
              <w:rPr>
                <w:bCs/>
              </w:rPr>
            </w:pPr>
            <w:r w:rsidRPr="00A76ADD">
              <w:rPr>
                <w:bCs/>
              </w:rPr>
              <w:t>2.</w:t>
            </w:r>
          </w:p>
        </w:tc>
        <w:tc>
          <w:tcPr>
            <w:tcW w:w="2821" w:type="dxa"/>
          </w:tcPr>
          <w:p w14:paraId="27583673" w14:textId="77777777" w:rsidR="00330C43" w:rsidRPr="00A76ADD" w:rsidRDefault="00330C43" w:rsidP="00E56202">
            <w:pPr>
              <w:ind w:left="57" w:right="57"/>
            </w:pPr>
            <w:r w:rsidRPr="00A76ADD">
              <w:t>Sabiedrības līdzdalība projekta izstrādē</w:t>
            </w:r>
          </w:p>
        </w:tc>
        <w:tc>
          <w:tcPr>
            <w:tcW w:w="6650" w:type="dxa"/>
          </w:tcPr>
          <w:p w14:paraId="7E2DACF2" w14:textId="77777777" w:rsidR="00E3522D" w:rsidRPr="00E3522D" w:rsidRDefault="00E3522D" w:rsidP="00E56202">
            <w:pPr>
              <w:shd w:val="clear" w:color="auto" w:fill="FFFFFF"/>
              <w:ind w:left="57" w:right="113"/>
              <w:jc w:val="both"/>
            </w:pPr>
            <w:bookmarkStart w:id="3" w:name="p62"/>
            <w:bookmarkEnd w:id="3"/>
            <w:r w:rsidRPr="00E3522D">
              <w:t>Atbilstoši normatīvo aktu prasībām VARAM tīmekļa vietnē ievietota informācija par MK noteikumu projektu un par tā virzību.</w:t>
            </w:r>
          </w:p>
          <w:p w14:paraId="3950B195" w14:textId="77777777" w:rsidR="004773BC" w:rsidRPr="00EE184D" w:rsidRDefault="008276CB" w:rsidP="00F36D61">
            <w:pPr>
              <w:shd w:val="clear" w:color="auto" w:fill="FFFFFF"/>
              <w:spacing w:before="120"/>
              <w:ind w:left="57" w:right="113"/>
              <w:jc w:val="both"/>
              <w:rPr>
                <w:kern w:val="24"/>
              </w:rPr>
            </w:pPr>
            <w:r>
              <w:rPr>
                <w:bCs/>
              </w:rPr>
              <w:t>Projektu</w:t>
            </w:r>
            <w:r w:rsidR="00330C43" w:rsidRPr="00AD004C">
              <w:t xml:space="preserve"> </w:t>
            </w:r>
            <w:r w:rsidR="00E3522D" w:rsidRPr="00AD004C">
              <w:t xml:space="preserve">iesniegumu vērtēšanas </w:t>
            </w:r>
            <w:r w:rsidR="00F83222" w:rsidRPr="00AD004C">
              <w:t>kritēriji</w:t>
            </w:r>
            <w:r>
              <w:t xml:space="preserve"> un MK noteikumu projekts</w:t>
            </w:r>
            <w:r w:rsidR="00F83222" w:rsidRPr="00AD004C">
              <w:t xml:space="preserve"> ir </w:t>
            </w:r>
            <w:r w:rsidR="00F36D61" w:rsidRPr="00176D28">
              <w:rPr>
                <w:b/>
              </w:rPr>
              <w:t xml:space="preserve">izskatīti </w:t>
            </w:r>
            <w:r w:rsidR="00330C43" w:rsidRPr="00FE7D7A">
              <w:t>Uzraudzības komitej</w:t>
            </w:r>
            <w:r w:rsidRPr="00FE7D7A">
              <w:t>as Apakškomitejā</w:t>
            </w:r>
            <w:r w:rsidR="00330C43" w:rsidRPr="00A76ADD">
              <w:t>, kuras sastāvā ir iekļaut</w:t>
            </w:r>
            <w:r w:rsidR="00330C43">
              <w:t>i</w:t>
            </w:r>
            <w:r w:rsidR="00330C43" w:rsidRPr="00A76ADD">
              <w:t xml:space="preserve"> arī s</w:t>
            </w:r>
            <w:r>
              <w:t>ociālie</w:t>
            </w:r>
            <w:r w:rsidR="00826E45">
              <w:t xml:space="preserve"> un sadarbības</w:t>
            </w:r>
            <w:r>
              <w:t xml:space="preserve"> </w:t>
            </w:r>
            <w:r w:rsidR="00330C43" w:rsidRPr="00A76ADD">
              <w:t>partneri</w:t>
            </w:r>
            <w:r w:rsidR="00F36D61">
              <w:t xml:space="preserve">, </w:t>
            </w:r>
            <w:r w:rsidR="00F36D61" w:rsidRPr="00176D28">
              <w:rPr>
                <w:b/>
              </w:rPr>
              <w:t xml:space="preserve">un virzīti tālāk </w:t>
            </w:r>
            <w:r w:rsidR="00F36D61" w:rsidRPr="00176D28">
              <w:rPr>
                <w:b/>
              </w:rPr>
              <w:lastRenderedPageBreak/>
              <w:t>apstiprināšanai Eiropas Savienības struktūrfondu un Kohēzijas fonda 2014.–2020.gada plānošanas perioda Uzraudzības komitejā</w:t>
            </w:r>
            <w:r w:rsidR="00330C43" w:rsidRPr="00F36D61">
              <w:t>.</w:t>
            </w:r>
            <w:r>
              <w:t xml:space="preserve"> </w:t>
            </w:r>
          </w:p>
        </w:tc>
      </w:tr>
      <w:tr w:rsidR="00330C43" w:rsidRPr="00A76ADD" w14:paraId="15B9FC4D" w14:textId="77777777" w:rsidTr="00F77CD7">
        <w:trPr>
          <w:trHeight w:val="476"/>
          <w:jc w:val="center"/>
        </w:trPr>
        <w:tc>
          <w:tcPr>
            <w:tcW w:w="305" w:type="dxa"/>
          </w:tcPr>
          <w:p w14:paraId="4F1A2B83" w14:textId="77777777" w:rsidR="00330C43" w:rsidRPr="00A76ADD" w:rsidRDefault="00330C43" w:rsidP="00E56202">
            <w:pPr>
              <w:ind w:left="57" w:right="57"/>
              <w:jc w:val="both"/>
              <w:rPr>
                <w:bCs/>
              </w:rPr>
            </w:pPr>
            <w:r w:rsidRPr="00A76ADD">
              <w:rPr>
                <w:bCs/>
              </w:rPr>
              <w:lastRenderedPageBreak/>
              <w:t>3.</w:t>
            </w:r>
          </w:p>
        </w:tc>
        <w:tc>
          <w:tcPr>
            <w:tcW w:w="2821" w:type="dxa"/>
          </w:tcPr>
          <w:p w14:paraId="3A040EBE" w14:textId="77777777" w:rsidR="00330C43" w:rsidRPr="00A76ADD" w:rsidRDefault="00330C43" w:rsidP="00E56202">
            <w:pPr>
              <w:ind w:left="57" w:right="57"/>
            </w:pPr>
            <w:r w:rsidRPr="00A76ADD">
              <w:t>Sabiedrības līdzdalības rezultāti</w:t>
            </w:r>
          </w:p>
        </w:tc>
        <w:tc>
          <w:tcPr>
            <w:tcW w:w="6650" w:type="dxa"/>
          </w:tcPr>
          <w:p w14:paraId="48B653CF" w14:textId="77777777" w:rsidR="00330C43" w:rsidRPr="00A76ADD" w:rsidRDefault="008276CB" w:rsidP="008276CB">
            <w:pPr>
              <w:shd w:val="clear" w:color="auto" w:fill="FFFFFF"/>
              <w:ind w:left="57" w:right="113"/>
              <w:jc w:val="both"/>
            </w:pPr>
            <w:r>
              <w:t xml:space="preserve">Izskatīti un MK noteikumu projekta precizēšanā ievēroti arī </w:t>
            </w:r>
            <w:r w:rsidRPr="00FE7D7A">
              <w:t>Uzraudzības komitejas Apakškomitejas</w:t>
            </w:r>
            <w:r>
              <w:t xml:space="preserve"> locekļu sniegtie komentāri par MK notiekumu projektu.</w:t>
            </w:r>
          </w:p>
        </w:tc>
      </w:tr>
      <w:tr w:rsidR="00330C43" w:rsidRPr="00A76ADD" w14:paraId="0E33E50C" w14:textId="77777777" w:rsidTr="00F77CD7">
        <w:trPr>
          <w:trHeight w:val="476"/>
          <w:jc w:val="center"/>
        </w:trPr>
        <w:tc>
          <w:tcPr>
            <w:tcW w:w="305" w:type="dxa"/>
          </w:tcPr>
          <w:p w14:paraId="1B10D01F" w14:textId="77777777" w:rsidR="00330C43" w:rsidRPr="00A76ADD" w:rsidRDefault="00330C43" w:rsidP="00E56202">
            <w:pPr>
              <w:ind w:left="57" w:right="57"/>
              <w:jc w:val="both"/>
              <w:rPr>
                <w:bCs/>
              </w:rPr>
            </w:pPr>
            <w:r w:rsidRPr="00A76ADD">
              <w:rPr>
                <w:bCs/>
              </w:rPr>
              <w:t>4.</w:t>
            </w:r>
          </w:p>
        </w:tc>
        <w:tc>
          <w:tcPr>
            <w:tcW w:w="2821" w:type="dxa"/>
          </w:tcPr>
          <w:p w14:paraId="6F0CE6F0" w14:textId="77777777" w:rsidR="00330C43" w:rsidRPr="00A76ADD" w:rsidRDefault="00330C43" w:rsidP="00E56202">
            <w:pPr>
              <w:ind w:left="57" w:right="57"/>
            </w:pPr>
            <w:r w:rsidRPr="00A76ADD">
              <w:t>Cita informācija</w:t>
            </w:r>
          </w:p>
        </w:tc>
        <w:tc>
          <w:tcPr>
            <w:tcW w:w="6650" w:type="dxa"/>
          </w:tcPr>
          <w:p w14:paraId="5D046F6F" w14:textId="77777777" w:rsidR="00330C43" w:rsidRPr="00A76ADD" w:rsidRDefault="00330C43" w:rsidP="00E56202">
            <w:pPr>
              <w:ind w:left="57" w:right="113"/>
              <w:jc w:val="both"/>
            </w:pPr>
            <w:r w:rsidRPr="00A76ADD">
              <w:t>Nav.</w:t>
            </w:r>
          </w:p>
        </w:tc>
      </w:tr>
    </w:tbl>
    <w:p w14:paraId="77E6AA2A" w14:textId="77777777" w:rsidR="00D7163F" w:rsidRDefault="00D7163F" w:rsidP="00E56202">
      <w:pPr>
        <w:jc w:val="both"/>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84"/>
        <w:gridCol w:w="2813"/>
        <w:gridCol w:w="6114"/>
      </w:tblGrid>
      <w:tr w:rsidR="00B520ED" w:rsidRPr="00A76ADD" w14:paraId="11B292B5" w14:textId="77777777" w:rsidTr="00D15B66">
        <w:trPr>
          <w:trHeight w:val="381"/>
          <w:jc w:val="center"/>
        </w:trPr>
        <w:tc>
          <w:tcPr>
            <w:tcW w:w="9511" w:type="dxa"/>
            <w:gridSpan w:val="3"/>
            <w:vAlign w:val="center"/>
          </w:tcPr>
          <w:p w14:paraId="671AFEEC" w14:textId="77777777" w:rsidR="00B520ED" w:rsidRPr="00A76ADD" w:rsidRDefault="00B520ED" w:rsidP="00E56202">
            <w:pPr>
              <w:pStyle w:val="naisnod"/>
              <w:spacing w:before="0" w:beforeAutospacing="0" w:after="0" w:afterAutospacing="0"/>
              <w:ind w:left="57" w:right="57"/>
              <w:jc w:val="center"/>
            </w:pPr>
            <w:r w:rsidRPr="00A76ADD">
              <w:rPr>
                <w:b/>
              </w:rPr>
              <w:t>VII. Tiesību akta projekta izpildes nodrošināšana un tās ietekme uz institūcijām</w:t>
            </w:r>
          </w:p>
        </w:tc>
      </w:tr>
      <w:tr w:rsidR="00B520ED" w:rsidRPr="00A76ADD" w14:paraId="74A036C3" w14:textId="77777777" w:rsidTr="00D15B66">
        <w:trPr>
          <w:trHeight w:val="427"/>
          <w:jc w:val="center"/>
        </w:trPr>
        <w:tc>
          <w:tcPr>
            <w:tcW w:w="584" w:type="dxa"/>
          </w:tcPr>
          <w:p w14:paraId="0AB2DD9C" w14:textId="77777777" w:rsidR="00B520ED" w:rsidRPr="00A76ADD" w:rsidRDefault="00B520ED" w:rsidP="00E56202">
            <w:pPr>
              <w:pStyle w:val="naisnod"/>
              <w:spacing w:before="0" w:beforeAutospacing="0" w:after="0" w:afterAutospacing="0"/>
              <w:ind w:left="57" w:right="57"/>
              <w:jc w:val="both"/>
            </w:pPr>
            <w:r w:rsidRPr="00A76ADD">
              <w:t>1.</w:t>
            </w:r>
          </w:p>
        </w:tc>
        <w:tc>
          <w:tcPr>
            <w:tcW w:w="2813" w:type="dxa"/>
          </w:tcPr>
          <w:p w14:paraId="0AEC5176" w14:textId="77777777" w:rsidR="00B520ED" w:rsidRPr="00A76ADD" w:rsidRDefault="00B520ED" w:rsidP="00E56202">
            <w:pPr>
              <w:pStyle w:val="naisf"/>
              <w:spacing w:before="0" w:beforeAutospacing="0" w:after="0" w:afterAutospacing="0"/>
              <w:ind w:left="57" w:right="57"/>
            </w:pPr>
            <w:r w:rsidRPr="00A76ADD">
              <w:t>Projekta izpildē iesaistītās institūcijas</w:t>
            </w:r>
          </w:p>
        </w:tc>
        <w:tc>
          <w:tcPr>
            <w:tcW w:w="6114" w:type="dxa"/>
          </w:tcPr>
          <w:p w14:paraId="26FDE0A7" w14:textId="77777777" w:rsidR="00B520ED" w:rsidRPr="00A76ADD" w:rsidRDefault="00B520ED" w:rsidP="00A20864">
            <w:pPr>
              <w:shd w:val="clear" w:color="auto" w:fill="FFFFFF"/>
              <w:ind w:left="57" w:right="113"/>
              <w:jc w:val="both"/>
            </w:pPr>
            <w:bookmarkStart w:id="4" w:name="p66"/>
            <w:bookmarkStart w:id="5" w:name="p67"/>
            <w:bookmarkStart w:id="6" w:name="p68"/>
            <w:bookmarkStart w:id="7" w:name="p69"/>
            <w:bookmarkEnd w:id="4"/>
            <w:bookmarkEnd w:id="5"/>
            <w:bookmarkEnd w:id="6"/>
            <w:bookmarkEnd w:id="7"/>
            <w:r>
              <w:t>Vides aizsardzības un reģionālās attīstības</w:t>
            </w:r>
            <w:r w:rsidRPr="00A578DC">
              <w:t xml:space="preserve"> ministrija</w:t>
            </w:r>
            <w:r>
              <w:t xml:space="preserve"> kā </w:t>
            </w:r>
            <w:r w:rsidRPr="00A578DC">
              <w:t>atbildīgā iestāde</w:t>
            </w:r>
            <w:r w:rsidRPr="00A76ADD">
              <w:t xml:space="preserve">, </w:t>
            </w:r>
            <w:r>
              <w:t xml:space="preserve">Centrālā finanšu un līgumu aģentūra kā sadarbības iestāde un </w:t>
            </w:r>
            <w:r w:rsidR="00A20864">
              <w:t>sabiedrisko</w:t>
            </w:r>
            <w:r w:rsidR="00A20864" w:rsidDel="00D153C3">
              <w:t xml:space="preserve"> </w:t>
            </w:r>
            <w:r w:rsidR="00D153C3">
              <w:t>ūdenssaimniecības pakalpojumu sniedzēj</w:t>
            </w:r>
            <w:r w:rsidR="00E52EDC">
              <w:t>i</w:t>
            </w:r>
            <w:r w:rsidR="00D153C3" w:rsidRPr="00A76ADD">
              <w:t xml:space="preserve"> </w:t>
            </w:r>
            <w:r w:rsidRPr="00A76ADD">
              <w:t>kā finansējuma saņēmējs.</w:t>
            </w:r>
          </w:p>
        </w:tc>
      </w:tr>
      <w:tr w:rsidR="00B520ED" w:rsidRPr="00A76ADD" w14:paraId="1B852B85" w14:textId="77777777" w:rsidTr="00D15B66">
        <w:trPr>
          <w:trHeight w:val="463"/>
          <w:jc w:val="center"/>
        </w:trPr>
        <w:tc>
          <w:tcPr>
            <w:tcW w:w="584" w:type="dxa"/>
          </w:tcPr>
          <w:p w14:paraId="4161DDB6" w14:textId="77777777" w:rsidR="00B520ED" w:rsidRPr="00A76ADD" w:rsidRDefault="00B520ED" w:rsidP="00E56202">
            <w:pPr>
              <w:pStyle w:val="naisnod"/>
              <w:spacing w:before="0" w:beforeAutospacing="0" w:after="0" w:afterAutospacing="0"/>
              <w:ind w:left="57" w:right="57"/>
              <w:jc w:val="both"/>
            </w:pPr>
            <w:r w:rsidRPr="00A76ADD">
              <w:t>2.</w:t>
            </w:r>
          </w:p>
        </w:tc>
        <w:tc>
          <w:tcPr>
            <w:tcW w:w="2813" w:type="dxa"/>
          </w:tcPr>
          <w:p w14:paraId="62836728" w14:textId="77777777" w:rsidR="00B520ED" w:rsidRPr="00A76ADD" w:rsidRDefault="00B520ED" w:rsidP="00E56202">
            <w:pPr>
              <w:pStyle w:val="naisf"/>
              <w:spacing w:before="0" w:beforeAutospacing="0" w:after="0" w:afterAutospacing="0"/>
              <w:ind w:left="57" w:right="57"/>
            </w:pPr>
            <w:r w:rsidRPr="00A76ADD">
              <w:t>Projekta izpildes ietekme uz pār</w:t>
            </w:r>
            <w:r w:rsidRPr="00A76ADD">
              <w:softHyphen/>
              <w:t>valdes funkcijām un institucionālo struktūru.</w:t>
            </w:r>
          </w:p>
          <w:p w14:paraId="661953C7" w14:textId="77777777" w:rsidR="00B520ED" w:rsidRPr="00A76ADD" w:rsidRDefault="00B520ED" w:rsidP="00E56202">
            <w:pPr>
              <w:pStyle w:val="naisf"/>
              <w:spacing w:before="0" w:beforeAutospacing="0" w:after="0" w:afterAutospacing="0"/>
              <w:ind w:left="57" w:right="57"/>
            </w:pPr>
            <w:r w:rsidRPr="00A76ADD">
              <w:t>Jaunu institūciju izveide, esošu institūciju likvidācija vai reorga</w:t>
            </w:r>
            <w:r w:rsidRPr="00A76ADD">
              <w:softHyphen/>
              <w:t>nizācija, to ietekme uz institūcijas cilvēkresursiem</w:t>
            </w:r>
          </w:p>
        </w:tc>
        <w:tc>
          <w:tcPr>
            <w:tcW w:w="6114" w:type="dxa"/>
          </w:tcPr>
          <w:p w14:paraId="74AFE8DC" w14:textId="6E7255DC" w:rsidR="00B520ED" w:rsidRPr="00A76ADD" w:rsidRDefault="00BD69D5" w:rsidP="00DE08DF">
            <w:pPr>
              <w:shd w:val="clear" w:color="auto" w:fill="FFFFFF"/>
              <w:ind w:left="57" w:right="113"/>
              <w:jc w:val="both"/>
            </w:pPr>
            <w:r>
              <w:t>Nav plānota j</w:t>
            </w:r>
            <w:r w:rsidRPr="00A76ADD">
              <w:t>aunu institūciju izveide, esošu institūciju likvidācija vai reorganizācija</w:t>
            </w:r>
            <w:r w:rsidR="00B520ED" w:rsidRPr="00A76ADD">
              <w:t>.</w:t>
            </w:r>
          </w:p>
        </w:tc>
      </w:tr>
      <w:tr w:rsidR="00B520ED" w:rsidRPr="00A76ADD" w14:paraId="2A232E5A" w14:textId="77777777" w:rsidTr="00D15B66">
        <w:trPr>
          <w:trHeight w:val="402"/>
          <w:jc w:val="center"/>
        </w:trPr>
        <w:tc>
          <w:tcPr>
            <w:tcW w:w="584" w:type="dxa"/>
            <w:tcBorders>
              <w:top w:val="single" w:sz="4" w:space="0" w:color="auto"/>
              <w:left w:val="single" w:sz="4" w:space="0" w:color="auto"/>
              <w:bottom w:val="single" w:sz="4" w:space="0" w:color="auto"/>
              <w:right w:val="single" w:sz="4" w:space="0" w:color="auto"/>
            </w:tcBorders>
          </w:tcPr>
          <w:p w14:paraId="5EE360DC" w14:textId="77777777" w:rsidR="00B520ED" w:rsidRPr="00A76ADD" w:rsidRDefault="00B520ED" w:rsidP="00E56202">
            <w:pPr>
              <w:pStyle w:val="naisnod"/>
              <w:spacing w:before="0" w:beforeAutospacing="0" w:after="0" w:afterAutospacing="0"/>
              <w:ind w:left="57" w:right="57"/>
              <w:jc w:val="both"/>
            </w:pPr>
            <w:r w:rsidRPr="00A76ADD">
              <w:t>3.</w:t>
            </w:r>
          </w:p>
        </w:tc>
        <w:tc>
          <w:tcPr>
            <w:tcW w:w="2813" w:type="dxa"/>
            <w:tcBorders>
              <w:top w:val="single" w:sz="4" w:space="0" w:color="auto"/>
              <w:left w:val="single" w:sz="4" w:space="0" w:color="auto"/>
              <w:bottom w:val="single" w:sz="4" w:space="0" w:color="auto"/>
              <w:right w:val="single" w:sz="4" w:space="0" w:color="auto"/>
            </w:tcBorders>
          </w:tcPr>
          <w:p w14:paraId="5407C611" w14:textId="77777777" w:rsidR="00B520ED" w:rsidRPr="00A76ADD" w:rsidRDefault="00B520ED" w:rsidP="00E56202">
            <w:pPr>
              <w:pStyle w:val="naisf"/>
              <w:spacing w:before="0" w:beforeAutospacing="0" w:after="0" w:afterAutospacing="0"/>
              <w:ind w:left="57" w:right="57"/>
            </w:pPr>
            <w:r w:rsidRPr="00A76ADD">
              <w:t>Cita informācija</w:t>
            </w:r>
          </w:p>
        </w:tc>
        <w:tc>
          <w:tcPr>
            <w:tcW w:w="6114" w:type="dxa"/>
            <w:tcBorders>
              <w:top w:val="single" w:sz="4" w:space="0" w:color="auto"/>
              <w:left w:val="single" w:sz="4" w:space="0" w:color="auto"/>
              <w:bottom w:val="single" w:sz="4" w:space="0" w:color="auto"/>
              <w:right w:val="single" w:sz="4" w:space="0" w:color="auto"/>
            </w:tcBorders>
          </w:tcPr>
          <w:p w14:paraId="49465477" w14:textId="77777777" w:rsidR="00B520ED" w:rsidRPr="00A76ADD" w:rsidRDefault="00B520ED" w:rsidP="00E56202">
            <w:pPr>
              <w:ind w:left="57" w:right="57"/>
              <w:jc w:val="both"/>
            </w:pPr>
            <w:r w:rsidRPr="00A76ADD">
              <w:t>Nav.</w:t>
            </w:r>
          </w:p>
        </w:tc>
      </w:tr>
    </w:tbl>
    <w:p w14:paraId="22B5F35C" w14:textId="77777777" w:rsidR="00B520ED" w:rsidRDefault="00B520ED" w:rsidP="00E56202">
      <w:pPr>
        <w:jc w:val="both"/>
      </w:pPr>
    </w:p>
    <w:p w14:paraId="3945E0E5" w14:textId="77777777" w:rsidR="00693999" w:rsidRPr="00F638B2" w:rsidRDefault="008F23E8" w:rsidP="00E56202">
      <w:pPr>
        <w:ind w:firstLine="720"/>
        <w:jc w:val="both"/>
      </w:pPr>
      <w:r>
        <w:t xml:space="preserve">Anotācijas </w:t>
      </w:r>
      <w:r w:rsidR="001676EB">
        <w:t>IV.</w:t>
      </w:r>
      <w:r w:rsidR="00EC7D7D">
        <w:t xml:space="preserve"> </w:t>
      </w:r>
      <w:r w:rsidR="00693999">
        <w:t>sadaļa –</w:t>
      </w:r>
      <w:r w:rsidR="00176D28">
        <w:t xml:space="preserve"> </w:t>
      </w:r>
      <w:r w:rsidR="00F638B2" w:rsidRPr="00F638B2">
        <w:rPr>
          <w:iCs/>
        </w:rPr>
        <w:t>projekts š</w:t>
      </w:r>
      <w:r w:rsidR="00EC7D7D">
        <w:rPr>
          <w:iCs/>
        </w:rPr>
        <w:t>o</w:t>
      </w:r>
      <w:r w:rsidR="00F638B2" w:rsidRPr="00F638B2">
        <w:rPr>
          <w:iCs/>
        </w:rPr>
        <w:t xml:space="preserve"> jom</w:t>
      </w:r>
      <w:r w:rsidR="00EC7D7D">
        <w:rPr>
          <w:iCs/>
        </w:rPr>
        <w:t>u</w:t>
      </w:r>
      <w:r w:rsidR="00F638B2" w:rsidRPr="00F638B2">
        <w:rPr>
          <w:iCs/>
        </w:rPr>
        <w:t xml:space="preserve"> neskar.</w:t>
      </w:r>
    </w:p>
    <w:p w14:paraId="48D18E2D" w14:textId="77777777" w:rsidR="00C61A59" w:rsidRDefault="00C61A59" w:rsidP="00E56202">
      <w:pPr>
        <w:jc w:val="both"/>
      </w:pPr>
    </w:p>
    <w:p w14:paraId="14496149" w14:textId="77777777" w:rsidR="0013666E" w:rsidRDefault="0013666E" w:rsidP="00E56202">
      <w:pPr>
        <w:jc w:val="both"/>
      </w:pPr>
      <w:r>
        <w:t>Iesniedzējs:</w:t>
      </w:r>
    </w:p>
    <w:p w14:paraId="2A483E26" w14:textId="1828B9A1" w:rsidR="00D7163F" w:rsidRPr="006F05FF" w:rsidRDefault="009C0491" w:rsidP="00E56202">
      <w:pPr>
        <w:jc w:val="both"/>
      </w:pPr>
      <w:r>
        <w:t>v</w:t>
      </w:r>
      <w:r w:rsidR="00D7163F" w:rsidRPr="006F05FF">
        <w:t>ides aizsardzības un reģionālās</w:t>
      </w:r>
    </w:p>
    <w:p w14:paraId="3084FD90" w14:textId="77777777" w:rsidR="00D7163F" w:rsidRDefault="00D7163F" w:rsidP="00E56202">
      <w:pPr>
        <w:jc w:val="both"/>
      </w:pPr>
      <w:r w:rsidRPr="006F05FF">
        <w:t>attīstības ministrijas ministrs</w:t>
      </w:r>
      <w:r w:rsidRPr="006F05FF">
        <w:tab/>
      </w:r>
      <w:r w:rsidR="002B4D5F">
        <w:tab/>
      </w:r>
      <w:r w:rsidR="002B4D5F">
        <w:tab/>
      </w:r>
      <w:r w:rsidRPr="006F05FF">
        <w:tab/>
      </w:r>
      <w:r w:rsidRPr="006F05FF">
        <w:tab/>
      </w:r>
      <w:r w:rsidRPr="006F05FF">
        <w:tab/>
      </w:r>
      <w:r w:rsidRPr="006F05FF">
        <w:tab/>
      </w:r>
      <w:r w:rsidRPr="006F05FF">
        <w:tab/>
      </w:r>
      <w:r w:rsidR="002B4D5F">
        <w:t>K.Gerhards</w:t>
      </w:r>
      <w:r w:rsidRPr="006F05FF">
        <w:tab/>
      </w:r>
    </w:p>
    <w:p w14:paraId="55D28262" w14:textId="77777777" w:rsidR="003908DB" w:rsidRDefault="003908DB" w:rsidP="00E56202">
      <w:pPr>
        <w:jc w:val="both"/>
      </w:pPr>
    </w:p>
    <w:p w14:paraId="07E0D5BA" w14:textId="77777777" w:rsidR="00F6588F" w:rsidRPr="00A250CA" w:rsidRDefault="00F6588F" w:rsidP="00E56202">
      <w:pPr>
        <w:jc w:val="both"/>
      </w:pPr>
    </w:p>
    <w:p w14:paraId="5773F82A" w14:textId="6C09B186" w:rsidR="003908DB" w:rsidRPr="009A2C2D" w:rsidRDefault="00490E7C" w:rsidP="00E56202">
      <w:pPr>
        <w:jc w:val="both"/>
        <w:rPr>
          <w:sz w:val="20"/>
          <w:szCs w:val="20"/>
        </w:rPr>
      </w:pPr>
      <w:r>
        <w:rPr>
          <w:sz w:val="20"/>
          <w:szCs w:val="20"/>
        </w:rPr>
        <w:t>0</w:t>
      </w:r>
      <w:r w:rsidR="00E30175">
        <w:rPr>
          <w:sz w:val="20"/>
          <w:szCs w:val="20"/>
        </w:rPr>
        <w:t>7</w:t>
      </w:r>
      <w:r>
        <w:rPr>
          <w:sz w:val="20"/>
          <w:szCs w:val="20"/>
        </w:rPr>
        <w:t>.06</w:t>
      </w:r>
      <w:r w:rsidR="00137F75" w:rsidRPr="009A2C2D">
        <w:rPr>
          <w:sz w:val="20"/>
          <w:szCs w:val="20"/>
        </w:rPr>
        <w:t>.2016.</w:t>
      </w:r>
      <w:r w:rsidR="004F171B" w:rsidRPr="009A2C2D">
        <w:rPr>
          <w:sz w:val="20"/>
          <w:szCs w:val="20"/>
        </w:rPr>
        <w:t xml:space="preserve"> </w:t>
      </w:r>
      <w:r w:rsidR="00003E85" w:rsidRPr="009A2C2D">
        <w:rPr>
          <w:sz w:val="20"/>
          <w:szCs w:val="20"/>
        </w:rPr>
        <w:t>1</w:t>
      </w:r>
      <w:r w:rsidR="007900DC">
        <w:rPr>
          <w:sz w:val="20"/>
          <w:szCs w:val="20"/>
        </w:rPr>
        <w:t>5</w:t>
      </w:r>
      <w:r w:rsidR="006019FF" w:rsidRPr="009A2C2D">
        <w:rPr>
          <w:sz w:val="20"/>
          <w:szCs w:val="20"/>
        </w:rPr>
        <w:t>:</w:t>
      </w:r>
      <w:r w:rsidR="00E30175">
        <w:rPr>
          <w:sz w:val="20"/>
          <w:szCs w:val="20"/>
        </w:rPr>
        <w:t>5</w:t>
      </w:r>
      <w:r w:rsidR="00003E85" w:rsidRPr="009A2C2D">
        <w:rPr>
          <w:sz w:val="20"/>
          <w:szCs w:val="20"/>
        </w:rPr>
        <w:t>2</w:t>
      </w:r>
    </w:p>
    <w:p w14:paraId="17045AEC" w14:textId="21FB4D46" w:rsidR="003908DB" w:rsidRPr="00A250CA" w:rsidRDefault="003D2E93" w:rsidP="00E56202">
      <w:pPr>
        <w:jc w:val="both"/>
        <w:rPr>
          <w:sz w:val="20"/>
          <w:szCs w:val="20"/>
        </w:rPr>
      </w:pPr>
      <w:r>
        <w:rPr>
          <w:sz w:val="20"/>
          <w:szCs w:val="20"/>
        </w:rPr>
        <w:t>51</w:t>
      </w:r>
      <w:r w:rsidR="00E30175">
        <w:rPr>
          <w:sz w:val="20"/>
          <w:szCs w:val="20"/>
        </w:rPr>
        <w:t>8</w:t>
      </w:r>
      <w:r w:rsidR="0075304E">
        <w:rPr>
          <w:sz w:val="20"/>
          <w:szCs w:val="20"/>
        </w:rPr>
        <w:t>5</w:t>
      </w:r>
    </w:p>
    <w:p w14:paraId="1D20C649" w14:textId="77777777" w:rsidR="00003E85" w:rsidRDefault="00003E85" w:rsidP="00E56202">
      <w:pPr>
        <w:jc w:val="both"/>
        <w:rPr>
          <w:sz w:val="20"/>
          <w:szCs w:val="20"/>
        </w:rPr>
      </w:pPr>
      <w:r>
        <w:rPr>
          <w:sz w:val="20"/>
          <w:szCs w:val="20"/>
        </w:rPr>
        <w:t xml:space="preserve">I.Opermane, </w:t>
      </w:r>
      <w:r w:rsidR="003908DB" w:rsidRPr="00A250CA">
        <w:rPr>
          <w:sz w:val="20"/>
          <w:szCs w:val="20"/>
        </w:rPr>
        <w:t>66016</w:t>
      </w:r>
      <w:r w:rsidR="00137F75">
        <w:rPr>
          <w:sz w:val="20"/>
          <w:szCs w:val="20"/>
        </w:rPr>
        <w:t>7</w:t>
      </w:r>
      <w:r>
        <w:rPr>
          <w:sz w:val="20"/>
          <w:szCs w:val="20"/>
        </w:rPr>
        <w:t>45</w:t>
      </w:r>
    </w:p>
    <w:p w14:paraId="0D639AFD" w14:textId="77777777" w:rsidR="003908DB" w:rsidRPr="00A250CA" w:rsidRDefault="00003E85" w:rsidP="00E56202">
      <w:pPr>
        <w:jc w:val="both"/>
        <w:rPr>
          <w:sz w:val="20"/>
          <w:szCs w:val="20"/>
        </w:rPr>
      </w:pPr>
      <w:r>
        <w:rPr>
          <w:sz w:val="20"/>
          <w:szCs w:val="20"/>
        </w:rPr>
        <w:t>ilze.opermane@varam.gov.lv</w:t>
      </w:r>
    </w:p>
    <w:sectPr w:rsidR="003908DB" w:rsidRPr="00A250CA" w:rsidSect="00016DB8">
      <w:headerReference w:type="default" r:id="rId13"/>
      <w:footerReference w:type="even" r:id="rId14"/>
      <w:footerReference w:type="default" r:id="rId15"/>
      <w:footerReference w:type="first" r:id="rId16"/>
      <w:pgSz w:w="11906" w:h="16838"/>
      <w:pgMar w:top="1418" w:right="1134" w:bottom="1134" w:left="1701" w:header="709" w:footer="3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86E2" w14:textId="77777777" w:rsidR="000012AA" w:rsidRDefault="000012AA">
      <w:r>
        <w:separator/>
      </w:r>
    </w:p>
  </w:endnote>
  <w:endnote w:type="continuationSeparator" w:id="0">
    <w:p w14:paraId="7A12538C" w14:textId="77777777" w:rsidR="000012AA" w:rsidRDefault="000012AA">
      <w:r>
        <w:continuationSeparator/>
      </w:r>
    </w:p>
  </w:endnote>
  <w:endnote w:type="continuationNotice" w:id="1">
    <w:p w14:paraId="1A2A6A33" w14:textId="77777777" w:rsidR="000012AA" w:rsidRDefault="00001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F250" w14:textId="77777777" w:rsidR="003F04E3" w:rsidRPr="00186C21" w:rsidRDefault="003F04E3" w:rsidP="00AE31DE">
    <w:pPr>
      <w:pStyle w:val="BodyText2"/>
      <w:spacing w:line="240" w:lineRule="auto"/>
      <w:jc w:val="both"/>
      <w:rPr>
        <w:b w:val="0"/>
        <w:bCs w:val="0"/>
        <w:sz w:val="20"/>
        <w:szCs w:val="20"/>
      </w:rPr>
    </w:pPr>
    <w:r w:rsidRPr="00186C21">
      <w:rPr>
        <w:b w:val="0"/>
        <w:bCs w:val="0"/>
        <w:sz w:val="20"/>
        <w:szCs w:val="20"/>
      </w:rPr>
      <w:t>RAPLManot_051109_Lubanas; Ministru kabineta rīkojuma projekta „Par finanšu līdzekļu piešķiršanu no valsts pamatbudžeta apakšprogrammas „Līdzekļi neparedzētiem gadījumiem””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A434E" w14:textId="3194D62F" w:rsidR="005F2683" w:rsidRPr="00330635" w:rsidRDefault="004174C6" w:rsidP="005F2683">
    <w:pPr>
      <w:tabs>
        <w:tab w:val="center" w:pos="4153"/>
        <w:tab w:val="right" w:pos="8306"/>
      </w:tabs>
      <w:spacing w:before="240"/>
      <w:jc w:val="both"/>
      <w:rPr>
        <w:sz w:val="20"/>
        <w:szCs w:val="20"/>
      </w:rPr>
    </w:pPr>
    <w:r w:rsidRPr="009B3E8D">
      <w:rPr>
        <w:bCs/>
        <w:sz w:val="20"/>
        <w:szCs w:val="20"/>
      </w:rPr>
      <w:t>VARAMAnot_SAM</w:t>
    </w:r>
    <w:r>
      <w:rPr>
        <w:bCs/>
        <w:sz w:val="20"/>
        <w:szCs w:val="20"/>
      </w:rPr>
      <w:t>531_</w:t>
    </w:r>
    <w:r w:rsidR="003D3D51">
      <w:rPr>
        <w:bCs/>
        <w:sz w:val="20"/>
        <w:szCs w:val="20"/>
      </w:rPr>
      <w:t>0</w:t>
    </w:r>
    <w:r w:rsidR="000F434B">
      <w:rPr>
        <w:bCs/>
        <w:sz w:val="20"/>
        <w:szCs w:val="20"/>
      </w:rPr>
      <w:t>7</w:t>
    </w:r>
    <w:r w:rsidR="00994C27">
      <w:rPr>
        <w:bCs/>
        <w:sz w:val="20"/>
        <w:szCs w:val="20"/>
      </w:rPr>
      <w:t>06</w:t>
    </w:r>
    <w:r>
      <w:rPr>
        <w:bCs/>
        <w:sz w:val="20"/>
        <w:szCs w:val="20"/>
      </w:rPr>
      <w:t>2016</w:t>
    </w:r>
    <w:r w:rsidR="005F2683" w:rsidRPr="009B3E8D">
      <w:rPr>
        <w:bCs/>
        <w:sz w:val="20"/>
        <w:szCs w:val="20"/>
      </w:rPr>
      <w:t>;</w:t>
    </w:r>
    <w:r w:rsidR="005F2683" w:rsidRPr="00330635">
      <w:rPr>
        <w:bCs/>
        <w:sz w:val="20"/>
        <w:szCs w:val="20"/>
      </w:rPr>
      <w:t xml:space="preserve"> </w:t>
    </w:r>
    <w:r w:rsidR="005F2683" w:rsidRPr="00330635">
      <w:rPr>
        <w:sz w:val="20"/>
        <w:szCs w:val="20"/>
      </w:rPr>
      <w:t>Ministru kabineta noteikumu projekta</w:t>
    </w:r>
    <w:r w:rsidR="005F2683">
      <w:rPr>
        <w:sz w:val="20"/>
        <w:szCs w:val="20"/>
      </w:rPr>
      <w:t xml:space="preserve"> </w:t>
    </w:r>
    <w:r w:rsidR="005F2683" w:rsidRPr="00137F75">
      <w:rPr>
        <w:sz w:val="20"/>
        <w:szCs w:val="20"/>
      </w:rPr>
      <w:t>Ministru kabineta noteikumu projekta</w:t>
    </w:r>
    <w:r w:rsidR="005F2683">
      <w:rPr>
        <w:sz w:val="20"/>
        <w:szCs w:val="20"/>
      </w:rPr>
      <w:t xml:space="preserve"> </w:t>
    </w:r>
    <w:r w:rsidR="005F2683" w:rsidRPr="00137F75">
      <w:rPr>
        <w:sz w:val="20"/>
        <w:szCs w:val="20"/>
      </w:rPr>
      <w:t>„Darbības programmas „Izaugsme un nodarbinātība” 5.3.1. specifiskā atbalsta mērķa „</w:t>
    </w:r>
    <w:r w:rsidR="005F2683" w:rsidRPr="00137F75" w:rsidDel="005F2683">
      <w:rPr>
        <w:sz w:val="20"/>
        <w:szCs w:val="20"/>
      </w:rPr>
      <w:t xml:space="preserve"> </w:t>
    </w:r>
    <w:r w:rsidR="005F2683" w:rsidRPr="00137F75">
      <w:rPr>
        <w:sz w:val="20"/>
        <w:szCs w:val="20"/>
      </w:rPr>
      <w:t>Attīstīt un uzlabot ūdensapgādes un kanalizācijas sistēmas pakalpojumu kvalitāti un nodrošināt pieslēgšanas iespējas” īstenošanas noteikumi” sākotnējās ietekmes novērtējuma ziņojums (anotācija)</w:t>
    </w:r>
  </w:p>
  <w:p w14:paraId="3C34D8DC" w14:textId="77777777" w:rsidR="003F04E3" w:rsidRPr="00330635" w:rsidRDefault="003F04E3" w:rsidP="00330635">
    <w:pPr>
      <w:pStyle w:val="Footer"/>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2A858" w14:textId="53C3DC7E" w:rsidR="003F04E3" w:rsidRPr="00330635" w:rsidRDefault="003F04E3" w:rsidP="00137F75">
    <w:pPr>
      <w:tabs>
        <w:tab w:val="center" w:pos="4153"/>
        <w:tab w:val="right" w:pos="8306"/>
      </w:tabs>
      <w:spacing w:before="240"/>
      <w:jc w:val="both"/>
      <w:rPr>
        <w:sz w:val="20"/>
        <w:szCs w:val="20"/>
      </w:rPr>
    </w:pPr>
    <w:r w:rsidRPr="009B3E8D">
      <w:rPr>
        <w:bCs/>
        <w:sz w:val="20"/>
        <w:szCs w:val="20"/>
      </w:rPr>
      <w:t>VARAMAnot_SAM</w:t>
    </w:r>
    <w:r w:rsidR="009B3E8D">
      <w:rPr>
        <w:bCs/>
        <w:sz w:val="20"/>
        <w:szCs w:val="20"/>
      </w:rPr>
      <w:t>531</w:t>
    </w:r>
    <w:r w:rsidR="004174C6">
      <w:rPr>
        <w:bCs/>
        <w:sz w:val="20"/>
        <w:szCs w:val="20"/>
      </w:rPr>
      <w:t>_</w:t>
    </w:r>
    <w:r w:rsidR="00633075">
      <w:rPr>
        <w:bCs/>
        <w:sz w:val="20"/>
        <w:szCs w:val="20"/>
      </w:rPr>
      <w:t>0</w:t>
    </w:r>
    <w:r w:rsidR="000F434B">
      <w:rPr>
        <w:bCs/>
        <w:sz w:val="20"/>
        <w:szCs w:val="20"/>
      </w:rPr>
      <w:t>7</w:t>
    </w:r>
    <w:r w:rsidR="00633075">
      <w:rPr>
        <w:bCs/>
        <w:sz w:val="20"/>
        <w:szCs w:val="20"/>
      </w:rPr>
      <w:t>06</w:t>
    </w:r>
    <w:r w:rsidR="004174C6">
      <w:rPr>
        <w:bCs/>
        <w:sz w:val="20"/>
        <w:szCs w:val="20"/>
      </w:rPr>
      <w:t>2016</w:t>
    </w:r>
    <w:r w:rsidRPr="009B3E8D">
      <w:rPr>
        <w:bCs/>
        <w:sz w:val="20"/>
        <w:szCs w:val="20"/>
      </w:rPr>
      <w:t>;</w:t>
    </w:r>
    <w:r w:rsidRPr="00330635">
      <w:rPr>
        <w:bCs/>
        <w:sz w:val="20"/>
        <w:szCs w:val="20"/>
      </w:rPr>
      <w:t xml:space="preserve"> </w:t>
    </w:r>
    <w:r w:rsidRPr="00330635">
      <w:rPr>
        <w:sz w:val="20"/>
        <w:szCs w:val="20"/>
      </w:rPr>
      <w:t>Ministru kabineta noteikumu projekta</w:t>
    </w:r>
    <w:r>
      <w:rPr>
        <w:sz w:val="20"/>
        <w:szCs w:val="20"/>
      </w:rPr>
      <w:t xml:space="preserve"> </w:t>
    </w:r>
    <w:r w:rsidRPr="00137F75">
      <w:rPr>
        <w:sz w:val="20"/>
        <w:szCs w:val="20"/>
      </w:rPr>
      <w:t>Ministru kabineta noteikumu projekta</w:t>
    </w:r>
    <w:r>
      <w:rPr>
        <w:sz w:val="20"/>
        <w:szCs w:val="20"/>
      </w:rPr>
      <w:t xml:space="preserve"> </w:t>
    </w:r>
    <w:r w:rsidRPr="00137F75">
      <w:rPr>
        <w:sz w:val="20"/>
        <w:szCs w:val="20"/>
      </w:rPr>
      <w:t xml:space="preserve">„Darbības programmas </w:t>
    </w:r>
    <w:r w:rsidR="005F2683" w:rsidRPr="00137F75">
      <w:rPr>
        <w:sz w:val="20"/>
        <w:szCs w:val="20"/>
      </w:rPr>
      <w:t>„</w:t>
    </w:r>
    <w:r w:rsidRPr="00137F75">
      <w:rPr>
        <w:sz w:val="20"/>
        <w:szCs w:val="20"/>
      </w:rPr>
      <w:t xml:space="preserve">Izaugsme un nodarbinātība” 5.3.1. specifiskā atbalsta mērķa </w:t>
    </w:r>
    <w:r w:rsidR="005F2683" w:rsidRPr="00137F75">
      <w:rPr>
        <w:sz w:val="20"/>
        <w:szCs w:val="20"/>
      </w:rPr>
      <w:t>„</w:t>
    </w:r>
    <w:r w:rsidR="005F2683" w:rsidRPr="00137F75" w:rsidDel="005F2683">
      <w:rPr>
        <w:sz w:val="20"/>
        <w:szCs w:val="20"/>
      </w:rPr>
      <w:t xml:space="preserve"> </w:t>
    </w:r>
    <w:r w:rsidRPr="00137F75">
      <w:rPr>
        <w:sz w:val="20"/>
        <w:szCs w:val="20"/>
      </w:rPr>
      <w:t>Attīstīt un uzlabot ūdensapgādes un kanalizācijas sistēmas pakalpojumu kvalitāti un nodrošināt pieslēgšanas iespējas” īstenošanas noteikumi” sākotnējās ietekmes novērtējuma ziņojums (anotācija)</w:t>
    </w:r>
  </w:p>
  <w:p w14:paraId="192102FA" w14:textId="77777777" w:rsidR="003F04E3" w:rsidRPr="00330635" w:rsidRDefault="003F04E3" w:rsidP="008032CD">
    <w:pPr>
      <w:pStyle w:val="BodyText2"/>
      <w:spacing w:line="240" w:lineRule="auto"/>
      <w:jc w:val="both"/>
      <w:rPr>
        <w:b w:val="0"/>
        <w:bCs w:val="0"/>
        <w:sz w:val="20"/>
        <w:szCs w:val="20"/>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7F560" w14:textId="77777777" w:rsidR="000012AA" w:rsidRDefault="000012AA">
      <w:r>
        <w:separator/>
      </w:r>
    </w:p>
  </w:footnote>
  <w:footnote w:type="continuationSeparator" w:id="0">
    <w:p w14:paraId="23C7D0CC" w14:textId="77777777" w:rsidR="000012AA" w:rsidRDefault="000012AA">
      <w:r>
        <w:continuationSeparator/>
      </w:r>
    </w:p>
  </w:footnote>
  <w:footnote w:type="continuationNotice" w:id="1">
    <w:p w14:paraId="2F8EDB03" w14:textId="77777777" w:rsidR="000012AA" w:rsidRDefault="000012AA"/>
  </w:footnote>
  <w:footnote w:id="2">
    <w:p w14:paraId="20608CAF" w14:textId="77777777" w:rsidR="003F04E3" w:rsidRPr="00194A7E" w:rsidRDefault="003F04E3" w:rsidP="00556687">
      <w:pPr>
        <w:jc w:val="both"/>
        <w:rPr>
          <w:sz w:val="20"/>
        </w:rPr>
      </w:pPr>
      <w:r w:rsidRPr="00165790">
        <w:rPr>
          <w:rStyle w:val="FootnoteReference"/>
          <w:sz w:val="20"/>
        </w:rPr>
        <w:footnoteRef/>
      </w:r>
      <w:r w:rsidRPr="00165790">
        <w:rPr>
          <w:sz w:val="20"/>
        </w:rPr>
        <w:t xml:space="preserve"> Cilvēku ekvivalentos izteikto piesārņojuma daudzumu aprēķina, pamatojoties uz maksimālo nedēļas vidējo piesārņojuma daudzumu, kas komunālo notekūdeņu attīrīšanas iekārtās nonāk gada laikā. Cilvēku ekvivalenta viena vienība ir organisko vielu piesārņojuma daudzums, kas atbilst bioķīmiskajam skābekļa patēriņam 60g O</w:t>
      </w:r>
      <w:r w:rsidRPr="00165790">
        <w:rPr>
          <w:sz w:val="20"/>
          <w:vertAlign w:val="subscript"/>
        </w:rPr>
        <w:t>2</w:t>
      </w:r>
      <w:r w:rsidRPr="00165790">
        <w:rPr>
          <w:sz w:val="20"/>
        </w:rPr>
        <w:t xml:space="preserve"> dienā.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1E719" w14:textId="77777777" w:rsidR="003F04E3" w:rsidRDefault="003F04E3" w:rsidP="00AE31D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6D2F">
      <w:rPr>
        <w:rStyle w:val="PageNumber"/>
        <w:noProof/>
      </w:rPr>
      <w:t>16</w:t>
    </w:r>
    <w:r>
      <w:rPr>
        <w:rStyle w:val="PageNumber"/>
      </w:rPr>
      <w:fldChar w:fldCharType="end"/>
    </w:r>
  </w:p>
  <w:p w14:paraId="6B0B7588" w14:textId="77777777" w:rsidR="003F04E3" w:rsidRDefault="003F0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757"/>
    <w:multiLevelType w:val="hybridMultilevel"/>
    <w:tmpl w:val="9C249366"/>
    <w:lvl w:ilvl="0" w:tplc="82F4411E">
      <w:numFmt w:val="bullet"/>
      <w:lvlText w:val="-"/>
      <w:lvlJc w:val="left"/>
      <w:pPr>
        <w:ind w:left="819" w:hanging="360"/>
      </w:pPr>
      <w:rPr>
        <w:rFonts w:ascii="Times New Roman" w:eastAsia="Calibri" w:hAnsi="Times New Roman" w:cs="Times New Roman" w:hint="default"/>
      </w:rPr>
    </w:lvl>
    <w:lvl w:ilvl="1" w:tplc="04260003" w:tentative="1">
      <w:start w:val="1"/>
      <w:numFmt w:val="bullet"/>
      <w:lvlText w:val="o"/>
      <w:lvlJc w:val="left"/>
      <w:pPr>
        <w:ind w:left="1539" w:hanging="360"/>
      </w:pPr>
      <w:rPr>
        <w:rFonts w:ascii="Courier New" w:hAnsi="Courier New" w:cs="Courier New" w:hint="default"/>
      </w:rPr>
    </w:lvl>
    <w:lvl w:ilvl="2" w:tplc="04260005" w:tentative="1">
      <w:start w:val="1"/>
      <w:numFmt w:val="bullet"/>
      <w:lvlText w:val=""/>
      <w:lvlJc w:val="left"/>
      <w:pPr>
        <w:ind w:left="2259" w:hanging="360"/>
      </w:pPr>
      <w:rPr>
        <w:rFonts w:ascii="Wingdings" w:hAnsi="Wingdings" w:hint="default"/>
      </w:rPr>
    </w:lvl>
    <w:lvl w:ilvl="3" w:tplc="04260001" w:tentative="1">
      <w:start w:val="1"/>
      <w:numFmt w:val="bullet"/>
      <w:lvlText w:val=""/>
      <w:lvlJc w:val="left"/>
      <w:pPr>
        <w:ind w:left="2979" w:hanging="360"/>
      </w:pPr>
      <w:rPr>
        <w:rFonts w:ascii="Symbol" w:hAnsi="Symbol" w:hint="default"/>
      </w:rPr>
    </w:lvl>
    <w:lvl w:ilvl="4" w:tplc="04260003" w:tentative="1">
      <w:start w:val="1"/>
      <w:numFmt w:val="bullet"/>
      <w:lvlText w:val="o"/>
      <w:lvlJc w:val="left"/>
      <w:pPr>
        <w:ind w:left="3699" w:hanging="360"/>
      </w:pPr>
      <w:rPr>
        <w:rFonts w:ascii="Courier New" w:hAnsi="Courier New" w:cs="Courier New" w:hint="default"/>
      </w:rPr>
    </w:lvl>
    <w:lvl w:ilvl="5" w:tplc="04260005" w:tentative="1">
      <w:start w:val="1"/>
      <w:numFmt w:val="bullet"/>
      <w:lvlText w:val=""/>
      <w:lvlJc w:val="left"/>
      <w:pPr>
        <w:ind w:left="4419" w:hanging="360"/>
      </w:pPr>
      <w:rPr>
        <w:rFonts w:ascii="Wingdings" w:hAnsi="Wingdings" w:hint="default"/>
      </w:rPr>
    </w:lvl>
    <w:lvl w:ilvl="6" w:tplc="04260001" w:tentative="1">
      <w:start w:val="1"/>
      <w:numFmt w:val="bullet"/>
      <w:lvlText w:val=""/>
      <w:lvlJc w:val="left"/>
      <w:pPr>
        <w:ind w:left="5139" w:hanging="360"/>
      </w:pPr>
      <w:rPr>
        <w:rFonts w:ascii="Symbol" w:hAnsi="Symbol" w:hint="default"/>
      </w:rPr>
    </w:lvl>
    <w:lvl w:ilvl="7" w:tplc="04260003" w:tentative="1">
      <w:start w:val="1"/>
      <w:numFmt w:val="bullet"/>
      <w:lvlText w:val="o"/>
      <w:lvlJc w:val="left"/>
      <w:pPr>
        <w:ind w:left="5859" w:hanging="360"/>
      </w:pPr>
      <w:rPr>
        <w:rFonts w:ascii="Courier New" w:hAnsi="Courier New" w:cs="Courier New" w:hint="default"/>
      </w:rPr>
    </w:lvl>
    <w:lvl w:ilvl="8" w:tplc="04260005" w:tentative="1">
      <w:start w:val="1"/>
      <w:numFmt w:val="bullet"/>
      <w:lvlText w:val=""/>
      <w:lvlJc w:val="left"/>
      <w:pPr>
        <w:ind w:left="6579" w:hanging="360"/>
      </w:pPr>
      <w:rPr>
        <w:rFonts w:ascii="Wingdings" w:hAnsi="Wingdings" w:hint="default"/>
      </w:rPr>
    </w:lvl>
  </w:abstractNum>
  <w:abstractNum w:abstractNumId="1" w15:restartNumberingAfterBreak="0">
    <w:nsid w:val="0175092B"/>
    <w:multiLevelType w:val="hybridMultilevel"/>
    <w:tmpl w:val="DDDC05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BA7C87"/>
    <w:multiLevelType w:val="hybridMultilevel"/>
    <w:tmpl w:val="40A2152A"/>
    <w:lvl w:ilvl="0" w:tplc="AB149EC4">
      <w:start w:val="1"/>
      <w:numFmt w:val="upperLetter"/>
      <w:lvlText w:val="%1."/>
      <w:lvlJc w:val="left"/>
      <w:pPr>
        <w:ind w:left="819" w:hanging="360"/>
      </w:pPr>
    </w:lvl>
    <w:lvl w:ilvl="1" w:tplc="04260019">
      <w:start w:val="1"/>
      <w:numFmt w:val="lowerLetter"/>
      <w:lvlText w:val="%2."/>
      <w:lvlJc w:val="left"/>
      <w:pPr>
        <w:ind w:left="1539" w:hanging="360"/>
      </w:pPr>
    </w:lvl>
    <w:lvl w:ilvl="2" w:tplc="0426001B">
      <w:start w:val="1"/>
      <w:numFmt w:val="lowerRoman"/>
      <w:lvlText w:val="%3."/>
      <w:lvlJc w:val="right"/>
      <w:pPr>
        <w:ind w:left="2259" w:hanging="180"/>
      </w:pPr>
    </w:lvl>
    <w:lvl w:ilvl="3" w:tplc="0426000F">
      <w:start w:val="1"/>
      <w:numFmt w:val="decimal"/>
      <w:lvlText w:val="%4."/>
      <w:lvlJc w:val="left"/>
      <w:pPr>
        <w:ind w:left="2979" w:hanging="360"/>
      </w:pPr>
    </w:lvl>
    <w:lvl w:ilvl="4" w:tplc="04260019">
      <w:start w:val="1"/>
      <w:numFmt w:val="lowerLetter"/>
      <w:lvlText w:val="%5."/>
      <w:lvlJc w:val="left"/>
      <w:pPr>
        <w:ind w:left="3699" w:hanging="360"/>
      </w:pPr>
    </w:lvl>
    <w:lvl w:ilvl="5" w:tplc="0426001B">
      <w:start w:val="1"/>
      <w:numFmt w:val="lowerRoman"/>
      <w:lvlText w:val="%6."/>
      <w:lvlJc w:val="right"/>
      <w:pPr>
        <w:ind w:left="4419" w:hanging="180"/>
      </w:pPr>
    </w:lvl>
    <w:lvl w:ilvl="6" w:tplc="0426000F">
      <w:start w:val="1"/>
      <w:numFmt w:val="decimal"/>
      <w:lvlText w:val="%7."/>
      <w:lvlJc w:val="left"/>
      <w:pPr>
        <w:ind w:left="5139" w:hanging="360"/>
      </w:pPr>
    </w:lvl>
    <w:lvl w:ilvl="7" w:tplc="04260019">
      <w:start w:val="1"/>
      <w:numFmt w:val="lowerLetter"/>
      <w:lvlText w:val="%8."/>
      <w:lvlJc w:val="left"/>
      <w:pPr>
        <w:ind w:left="5859" w:hanging="360"/>
      </w:pPr>
    </w:lvl>
    <w:lvl w:ilvl="8" w:tplc="0426001B">
      <w:start w:val="1"/>
      <w:numFmt w:val="lowerRoman"/>
      <w:lvlText w:val="%9."/>
      <w:lvlJc w:val="right"/>
      <w:pPr>
        <w:ind w:left="6579" w:hanging="180"/>
      </w:pPr>
    </w:lvl>
  </w:abstractNum>
  <w:abstractNum w:abstractNumId="3" w15:restartNumberingAfterBreak="0">
    <w:nsid w:val="06922C5F"/>
    <w:multiLevelType w:val="hybridMultilevel"/>
    <w:tmpl w:val="F25C361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335D79"/>
    <w:multiLevelType w:val="multilevel"/>
    <w:tmpl w:val="EDDEFFC2"/>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E39402F"/>
    <w:multiLevelType w:val="hybridMultilevel"/>
    <w:tmpl w:val="308025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DC60C8"/>
    <w:multiLevelType w:val="hybridMultilevel"/>
    <w:tmpl w:val="AC582DDE"/>
    <w:lvl w:ilvl="0" w:tplc="52EA6420">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7" w15:restartNumberingAfterBreak="0">
    <w:nsid w:val="1CEA71D0"/>
    <w:multiLevelType w:val="hybridMultilevel"/>
    <w:tmpl w:val="4678D800"/>
    <w:lvl w:ilvl="0" w:tplc="1F9E47F2">
      <w:start w:val="1"/>
      <w:numFmt w:val="lowerLetter"/>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0506390"/>
    <w:multiLevelType w:val="hybridMultilevel"/>
    <w:tmpl w:val="4F144ADA"/>
    <w:lvl w:ilvl="0" w:tplc="1AD26348">
      <w:start w:val="1"/>
      <w:numFmt w:val="lowerLetter"/>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79832E8"/>
    <w:multiLevelType w:val="hybridMultilevel"/>
    <w:tmpl w:val="FDCE5816"/>
    <w:lvl w:ilvl="0" w:tplc="EA66E5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BDE0F7A"/>
    <w:multiLevelType w:val="hybridMultilevel"/>
    <w:tmpl w:val="1B54C0A0"/>
    <w:lvl w:ilvl="0" w:tplc="7E24CACA">
      <w:start w:val="1"/>
      <w:numFmt w:val="decimal"/>
      <w:lvlText w:val="%1)"/>
      <w:lvlJc w:val="left"/>
      <w:pPr>
        <w:ind w:left="360" w:hanging="360"/>
      </w:pPr>
      <w:rPr>
        <w:rFonts w:ascii="EUAlbertina" w:hAnsi="EUAlbertina" w:cs="EUAlbertina"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F5D49A0"/>
    <w:multiLevelType w:val="hybridMultilevel"/>
    <w:tmpl w:val="84263E80"/>
    <w:lvl w:ilvl="0" w:tplc="0426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A91145"/>
    <w:multiLevelType w:val="multilevel"/>
    <w:tmpl w:val="EEF6D74C"/>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3E48B9"/>
    <w:multiLevelType w:val="hybridMultilevel"/>
    <w:tmpl w:val="2FF4EACA"/>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4" w15:restartNumberingAfterBreak="0">
    <w:nsid w:val="318321E2"/>
    <w:multiLevelType w:val="hybridMultilevel"/>
    <w:tmpl w:val="37926036"/>
    <w:lvl w:ilvl="0" w:tplc="04260001">
      <w:start w:val="1"/>
      <w:numFmt w:val="bullet"/>
      <w:lvlText w:val=""/>
      <w:lvlJc w:val="left"/>
      <w:pPr>
        <w:ind w:left="814" w:hanging="360"/>
      </w:pPr>
      <w:rPr>
        <w:rFonts w:ascii="Symbol" w:hAnsi="Symbol" w:hint="default"/>
      </w:rPr>
    </w:lvl>
    <w:lvl w:ilvl="1" w:tplc="04260003" w:tentative="1">
      <w:start w:val="1"/>
      <w:numFmt w:val="bullet"/>
      <w:lvlText w:val="o"/>
      <w:lvlJc w:val="left"/>
      <w:pPr>
        <w:ind w:left="1534" w:hanging="360"/>
      </w:pPr>
      <w:rPr>
        <w:rFonts w:ascii="Courier New" w:hAnsi="Courier New" w:cs="Courier New" w:hint="default"/>
      </w:rPr>
    </w:lvl>
    <w:lvl w:ilvl="2" w:tplc="04260005" w:tentative="1">
      <w:start w:val="1"/>
      <w:numFmt w:val="bullet"/>
      <w:lvlText w:val=""/>
      <w:lvlJc w:val="left"/>
      <w:pPr>
        <w:ind w:left="2254" w:hanging="360"/>
      </w:pPr>
      <w:rPr>
        <w:rFonts w:ascii="Wingdings" w:hAnsi="Wingdings" w:hint="default"/>
      </w:rPr>
    </w:lvl>
    <w:lvl w:ilvl="3" w:tplc="04260001" w:tentative="1">
      <w:start w:val="1"/>
      <w:numFmt w:val="bullet"/>
      <w:lvlText w:val=""/>
      <w:lvlJc w:val="left"/>
      <w:pPr>
        <w:ind w:left="2974" w:hanging="360"/>
      </w:pPr>
      <w:rPr>
        <w:rFonts w:ascii="Symbol" w:hAnsi="Symbol" w:hint="default"/>
      </w:rPr>
    </w:lvl>
    <w:lvl w:ilvl="4" w:tplc="04260003" w:tentative="1">
      <w:start w:val="1"/>
      <w:numFmt w:val="bullet"/>
      <w:lvlText w:val="o"/>
      <w:lvlJc w:val="left"/>
      <w:pPr>
        <w:ind w:left="3694" w:hanging="360"/>
      </w:pPr>
      <w:rPr>
        <w:rFonts w:ascii="Courier New" w:hAnsi="Courier New" w:cs="Courier New" w:hint="default"/>
      </w:rPr>
    </w:lvl>
    <w:lvl w:ilvl="5" w:tplc="04260005" w:tentative="1">
      <w:start w:val="1"/>
      <w:numFmt w:val="bullet"/>
      <w:lvlText w:val=""/>
      <w:lvlJc w:val="left"/>
      <w:pPr>
        <w:ind w:left="4414" w:hanging="360"/>
      </w:pPr>
      <w:rPr>
        <w:rFonts w:ascii="Wingdings" w:hAnsi="Wingdings" w:hint="default"/>
      </w:rPr>
    </w:lvl>
    <w:lvl w:ilvl="6" w:tplc="04260001" w:tentative="1">
      <w:start w:val="1"/>
      <w:numFmt w:val="bullet"/>
      <w:lvlText w:val=""/>
      <w:lvlJc w:val="left"/>
      <w:pPr>
        <w:ind w:left="5134" w:hanging="360"/>
      </w:pPr>
      <w:rPr>
        <w:rFonts w:ascii="Symbol" w:hAnsi="Symbol" w:hint="default"/>
      </w:rPr>
    </w:lvl>
    <w:lvl w:ilvl="7" w:tplc="04260003" w:tentative="1">
      <w:start w:val="1"/>
      <w:numFmt w:val="bullet"/>
      <w:lvlText w:val="o"/>
      <w:lvlJc w:val="left"/>
      <w:pPr>
        <w:ind w:left="5854" w:hanging="360"/>
      </w:pPr>
      <w:rPr>
        <w:rFonts w:ascii="Courier New" w:hAnsi="Courier New" w:cs="Courier New" w:hint="default"/>
      </w:rPr>
    </w:lvl>
    <w:lvl w:ilvl="8" w:tplc="04260005" w:tentative="1">
      <w:start w:val="1"/>
      <w:numFmt w:val="bullet"/>
      <w:lvlText w:val=""/>
      <w:lvlJc w:val="left"/>
      <w:pPr>
        <w:ind w:left="6574" w:hanging="360"/>
      </w:pPr>
      <w:rPr>
        <w:rFonts w:ascii="Wingdings" w:hAnsi="Wingdings" w:hint="default"/>
      </w:rPr>
    </w:lvl>
  </w:abstractNum>
  <w:abstractNum w:abstractNumId="15" w15:restartNumberingAfterBreak="0">
    <w:nsid w:val="32C43B95"/>
    <w:multiLevelType w:val="hybridMultilevel"/>
    <w:tmpl w:val="7D525A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37749F"/>
    <w:multiLevelType w:val="hybridMultilevel"/>
    <w:tmpl w:val="2C1A40D2"/>
    <w:lvl w:ilvl="0" w:tplc="86AA86DC">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5C63306"/>
    <w:multiLevelType w:val="hybridMultilevel"/>
    <w:tmpl w:val="62780AFA"/>
    <w:lvl w:ilvl="0" w:tplc="65FE5392">
      <w:numFmt w:val="bullet"/>
      <w:lvlText w:val="•"/>
      <w:lvlJc w:val="left"/>
      <w:pPr>
        <w:ind w:left="855" w:hanging="495"/>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6E0"/>
    <w:multiLevelType w:val="hybridMultilevel"/>
    <w:tmpl w:val="9E326B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8609D5"/>
    <w:multiLevelType w:val="hybridMultilevel"/>
    <w:tmpl w:val="14E4EED2"/>
    <w:lvl w:ilvl="0" w:tplc="E8F6D3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0D1BC1"/>
    <w:multiLevelType w:val="multilevel"/>
    <w:tmpl w:val="47D07B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22E2DDC"/>
    <w:multiLevelType w:val="hybridMultilevel"/>
    <w:tmpl w:val="2530140C"/>
    <w:lvl w:ilvl="0" w:tplc="99D0540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E23FC"/>
    <w:multiLevelType w:val="multilevel"/>
    <w:tmpl w:val="58E487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073CE5"/>
    <w:multiLevelType w:val="hybridMultilevel"/>
    <w:tmpl w:val="4AD401F0"/>
    <w:lvl w:ilvl="0" w:tplc="6658CF38">
      <w:start w:val="7"/>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A9D24F8"/>
    <w:multiLevelType w:val="hybridMultilevel"/>
    <w:tmpl w:val="09A45D60"/>
    <w:lvl w:ilvl="0" w:tplc="3D5A275A">
      <w:start w:val="1"/>
      <w:numFmt w:val="decimal"/>
      <w:lvlText w:val="%1."/>
      <w:lvlJc w:val="left"/>
      <w:pPr>
        <w:ind w:left="819" w:hanging="360"/>
      </w:pPr>
    </w:lvl>
    <w:lvl w:ilvl="1" w:tplc="04260019">
      <w:start w:val="1"/>
      <w:numFmt w:val="lowerLetter"/>
      <w:lvlText w:val="%2."/>
      <w:lvlJc w:val="left"/>
      <w:pPr>
        <w:ind w:left="1539" w:hanging="360"/>
      </w:pPr>
    </w:lvl>
    <w:lvl w:ilvl="2" w:tplc="0426001B">
      <w:start w:val="1"/>
      <w:numFmt w:val="lowerRoman"/>
      <w:lvlText w:val="%3."/>
      <w:lvlJc w:val="right"/>
      <w:pPr>
        <w:ind w:left="2259" w:hanging="180"/>
      </w:pPr>
    </w:lvl>
    <w:lvl w:ilvl="3" w:tplc="0426000F">
      <w:start w:val="1"/>
      <w:numFmt w:val="decimal"/>
      <w:lvlText w:val="%4."/>
      <w:lvlJc w:val="left"/>
      <w:pPr>
        <w:ind w:left="2979" w:hanging="360"/>
      </w:pPr>
    </w:lvl>
    <w:lvl w:ilvl="4" w:tplc="04260019">
      <w:start w:val="1"/>
      <w:numFmt w:val="lowerLetter"/>
      <w:lvlText w:val="%5."/>
      <w:lvlJc w:val="left"/>
      <w:pPr>
        <w:ind w:left="3699" w:hanging="360"/>
      </w:pPr>
    </w:lvl>
    <w:lvl w:ilvl="5" w:tplc="0426001B">
      <w:start w:val="1"/>
      <w:numFmt w:val="lowerRoman"/>
      <w:lvlText w:val="%6."/>
      <w:lvlJc w:val="right"/>
      <w:pPr>
        <w:ind w:left="4419" w:hanging="180"/>
      </w:pPr>
    </w:lvl>
    <w:lvl w:ilvl="6" w:tplc="0426000F">
      <w:start w:val="1"/>
      <w:numFmt w:val="decimal"/>
      <w:lvlText w:val="%7."/>
      <w:lvlJc w:val="left"/>
      <w:pPr>
        <w:ind w:left="5139" w:hanging="360"/>
      </w:pPr>
    </w:lvl>
    <w:lvl w:ilvl="7" w:tplc="04260019">
      <w:start w:val="1"/>
      <w:numFmt w:val="lowerLetter"/>
      <w:lvlText w:val="%8."/>
      <w:lvlJc w:val="left"/>
      <w:pPr>
        <w:ind w:left="5859" w:hanging="360"/>
      </w:pPr>
    </w:lvl>
    <w:lvl w:ilvl="8" w:tplc="0426001B">
      <w:start w:val="1"/>
      <w:numFmt w:val="lowerRoman"/>
      <w:lvlText w:val="%9."/>
      <w:lvlJc w:val="right"/>
      <w:pPr>
        <w:ind w:left="6579" w:hanging="180"/>
      </w:pPr>
    </w:lvl>
  </w:abstractNum>
  <w:abstractNum w:abstractNumId="25" w15:restartNumberingAfterBreak="0">
    <w:nsid w:val="4D062D85"/>
    <w:multiLevelType w:val="hybridMultilevel"/>
    <w:tmpl w:val="3544DA86"/>
    <w:lvl w:ilvl="0" w:tplc="88F8124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F0289A"/>
    <w:multiLevelType w:val="hybridMultilevel"/>
    <w:tmpl w:val="DB18A8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2010D2"/>
    <w:multiLevelType w:val="hybridMultilevel"/>
    <w:tmpl w:val="E572F60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43C3F9F"/>
    <w:multiLevelType w:val="hybridMultilevel"/>
    <w:tmpl w:val="89F63E30"/>
    <w:lvl w:ilvl="0" w:tplc="03DC7704">
      <w:start w:val="1"/>
      <w:numFmt w:val="lowerLetter"/>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888243C"/>
    <w:multiLevelType w:val="hybridMultilevel"/>
    <w:tmpl w:val="CEF2C8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DD443F"/>
    <w:multiLevelType w:val="hybridMultilevel"/>
    <w:tmpl w:val="BBA2A9E0"/>
    <w:lvl w:ilvl="0" w:tplc="129C5344">
      <w:start w:val="9"/>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F0223FF"/>
    <w:multiLevelType w:val="hybridMultilevel"/>
    <w:tmpl w:val="D2B035A2"/>
    <w:lvl w:ilvl="0" w:tplc="7B528034">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65BB735D"/>
    <w:multiLevelType w:val="hybridMultilevel"/>
    <w:tmpl w:val="977CDA66"/>
    <w:lvl w:ilvl="0" w:tplc="12C425D4">
      <w:start w:val="1"/>
      <w:numFmt w:val="decimal"/>
      <w:lvlText w:val="%1."/>
      <w:lvlJc w:val="left"/>
      <w:pPr>
        <w:ind w:left="1284" w:hanging="360"/>
      </w:pPr>
    </w:lvl>
    <w:lvl w:ilvl="1" w:tplc="04260019">
      <w:start w:val="1"/>
      <w:numFmt w:val="lowerLetter"/>
      <w:lvlText w:val="%2."/>
      <w:lvlJc w:val="left"/>
      <w:pPr>
        <w:ind w:left="2004" w:hanging="360"/>
      </w:pPr>
    </w:lvl>
    <w:lvl w:ilvl="2" w:tplc="0426001B">
      <w:start w:val="1"/>
      <w:numFmt w:val="lowerRoman"/>
      <w:lvlText w:val="%3."/>
      <w:lvlJc w:val="right"/>
      <w:pPr>
        <w:ind w:left="2724" w:hanging="180"/>
      </w:pPr>
    </w:lvl>
    <w:lvl w:ilvl="3" w:tplc="0426000F">
      <w:start w:val="1"/>
      <w:numFmt w:val="decimal"/>
      <w:lvlText w:val="%4."/>
      <w:lvlJc w:val="left"/>
      <w:pPr>
        <w:ind w:left="3444" w:hanging="360"/>
      </w:pPr>
    </w:lvl>
    <w:lvl w:ilvl="4" w:tplc="04260019">
      <w:start w:val="1"/>
      <w:numFmt w:val="lowerLetter"/>
      <w:lvlText w:val="%5."/>
      <w:lvlJc w:val="left"/>
      <w:pPr>
        <w:ind w:left="4164" w:hanging="360"/>
      </w:pPr>
    </w:lvl>
    <w:lvl w:ilvl="5" w:tplc="0426001B">
      <w:start w:val="1"/>
      <w:numFmt w:val="lowerRoman"/>
      <w:lvlText w:val="%6."/>
      <w:lvlJc w:val="right"/>
      <w:pPr>
        <w:ind w:left="4884" w:hanging="180"/>
      </w:pPr>
    </w:lvl>
    <w:lvl w:ilvl="6" w:tplc="0426000F">
      <w:start w:val="1"/>
      <w:numFmt w:val="decimal"/>
      <w:lvlText w:val="%7."/>
      <w:lvlJc w:val="left"/>
      <w:pPr>
        <w:ind w:left="5604" w:hanging="360"/>
      </w:pPr>
    </w:lvl>
    <w:lvl w:ilvl="7" w:tplc="04260019">
      <w:start w:val="1"/>
      <w:numFmt w:val="lowerLetter"/>
      <w:lvlText w:val="%8."/>
      <w:lvlJc w:val="left"/>
      <w:pPr>
        <w:ind w:left="6324" w:hanging="360"/>
      </w:pPr>
    </w:lvl>
    <w:lvl w:ilvl="8" w:tplc="0426001B">
      <w:start w:val="1"/>
      <w:numFmt w:val="lowerRoman"/>
      <w:lvlText w:val="%9."/>
      <w:lvlJc w:val="right"/>
      <w:pPr>
        <w:ind w:left="7044" w:hanging="180"/>
      </w:pPr>
    </w:lvl>
  </w:abstractNum>
  <w:abstractNum w:abstractNumId="33" w15:restartNumberingAfterBreak="0">
    <w:nsid w:val="68600049"/>
    <w:multiLevelType w:val="hybridMultilevel"/>
    <w:tmpl w:val="2D44F8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B00934"/>
    <w:multiLevelType w:val="multilevel"/>
    <w:tmpl w:val="0A6C55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A658E9"/>
    <w:multiLevelType w:val="hybridMultilevel"/>
    <w:tmpl w:val="4E9AE84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6" w15:restartNumberingAfterBreak="0">
    <w:nsid w:val="792F4E30"/>
    <w:multiLevelType w:val="hybridMultilevel"/>
    <w:tmpl w:val="9D6A78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F24DBE"/>
    <w:multiLevelType w:val="hybridMultilevel"/>
    <w:tmpl w:val="6192AEB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797C44"/>
    <w:multiLevelType w:val="hybridMultilevel"/>
    <w:tmpl w:val="9ED85306"/>
    <w:lvl w:ilvl="0" w:tplc="6A7A27B6">
      <w:start w:val="1"/>
      <w:numFmt w:val="decimal"/>
      <w:lvlText w:val="%1)"/>
      <w:lvlJc w:val="left"/>
      <w:pPr>
        <w:ind w:left="1244" w:hanging="360"/>
      </w:pPr>
      <w:rPr>
        <w:b/>
      </w:rPr>
    </w:lvl>
    <w:lvl w:ilvl="1" w:tplc="04260019">
      <w:start w:val="1"/>
      <w:numFmt w:val="lowerLetter"/>
      <w:lvlText w:val="%2."/>
      <w:lvlJc w:val="left"/>
      <w:pPr>
        <w:ind w:left="1964" w:hanging="360"/>
      </w:pPr>
    </w:lvl>
    <w:lvl w:ilvl="2" w:tplc="0426001B">
      <w:start w:val="1"/>
      <w:numFmt w:val="lowerRoman"/>
      <w:lvlText w:val="%3."/>
      <w:lvlJc w:val="right"/>
      <w:pPr>
        <w:ind w:left="2684" w:hanging="180"/>
      </w:pPr>
    </w:lvl>
    <w:lvl w:ilvl="3" w:tplc="0426000F">
      <w:start w:val="1"/>
      <w:numFmt w:val="decimal"/>
      <w:lvlText w:val="%4."/>
      <w:lvlJc w:val="left"/>
      <w:pPr>
        <w:ind w:left="3404" w:hanging="360"/>
      </w:pPr>
    </w:lvl>
    <w:lvl w:ilvl="4" w:tplc="04260019">
      <w:start w:val="1"/>
      <w:numFmt w:val="lowerLetter"/>
      <w:lvlText w:val="%5."/>
      <w:lvlJc w:val="left"/>
      <w:pPr>
        <w:ind w:left="4124" w:hanging="360"/>
      </w:pPr>
    </w:lvl>
    <w:lvl w:ilvl="5" w:tplc="0426001B">
      <w:start w:val="1"/>
      <w:numFmt w:val="lowerRoman"/>
      <w:lvlText w:val="%6."/>
      <w:lvlJc w:val="right"/>
      <w:pPr>
        <w:ind w:left="4844" w:hanging="180"/>
      </w:pPr>
    </w:lvl>
    <w:lvl w:ilvl="6" w:tplc="0426000F">
      <w:start w:val="1"/>
      <w:numFmt w:val="decimal"/>
      <w:lvlText w:val="%7."/>
      <w:lvlJc w:val="left"/>
      <w:pPr>
        <w:ind w:left="5564" w:hanging="360"/>
      </w:pPr>
    </w:lvl>
    <w:lvl w:ilvl="7" w:tplc="04260019">
      <w:start w:val="1"/>
      <w:numFmt w:val="lowerLetter"/>
      <w:lvlText w:val="%8."/>
      <w:lvlJc w:val="left"/>
      <w:pPr>
        <w:ind w:left="6284" w:hanging="360"/>
      </w:pPr>
    </w:lvl>
    <w:lvl w:ilvl="8" w:tplc="0426001B">
      <w:start w:val="1"/>
      <w:numFmt w:val="lowerRoman"/>
      <w:lvlText w:val="%9."/>
      <w:lvlJc w:val="right"/>
      <w:pPr>
        <w:ind w:left="7004" w:hanging="180"/>
      </w:pPr>
    </w:lvl>
  </w:abstractNum>
  <w:abstractNum w:abstractNumId="39" w15:restartNumberingAfterBreak="0">
    <w:nsid w:val="7FA76E22"/>
    <w:multiLevelType w:val="hybridMultilevel"/>
    <w:tmpl w:val="0EAC615C"/>
    <w:lvl w:ilvl="0" w:tplc="E828D67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abstractNumId w:val="16"/>
  </w:num>
  <w:num w:numId="2">
    <w:abstractNumId w:val="23"/>
  </w:num>
  <w:num w:numId="3">
    <w:abstractNumId w:val="19"/>
  </w:num>
  <w:num w:numId="4">
    <w:abstractNumId w:val="34"/>
  </w:num>
  <w:num w:numId="5">
    <w:abstractNumId w:val="20"/>
  </w:num>
  <w:num w:numId="6">
    <w:abstractNumId w:val="22"/>
  </w:num>
  <w:num w:numId="7">
    <w:abstractNumId w:val="3"/>
  </w:num>
  <w:num w:numId="8">
    <w:abstractNumId w:val="4"/>
  </w:num>
  <w:num w:numId="9">
    <w:abstractNumId w:val="15"/>
  </w:num>
  <w:num w:numId="10">
    <w:abstractNumId w:val="36"/>
  </w:num>
  <w:num w:numId="11">
    <w:abstractNumId w:val="9"/>
  </w:num>
  <w:num w:numId="12">
    <w:abstractNumId w:val="31"/>
  </w:num>
  <w:num w:numId="13">
    <w:abstractNumId w:val="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5"/>
  </w:num>
  <w:num w:numId="24">
    <w:abstractNumId w:val="5"/>
  </w:num>
  <w:num w:numId="25">
    <w:abstractNumId w:val="2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1"/>
  </w:num>
  <w:num w:numId="29">
    <w:abstractNumId w:val="17"/>
  </w:num>
  <w:num w:numId="30">
    <w:abstractNumId w:val="13"/>
  </w:num>
  <w:num w:numId="31">
    <w:abstractNumId w:val="1"/>
  </w:num>
  <w:num w:numId="32">
    <w:abstractNumId w:val="33"/>
  </w:num>
  <w:num w:numId="33">
    <w:abstractNumId w:val="6"/>
  </w:num>
  <w:num w:numId="34">
    <w:abstractNumId w:val="18"/>
  </w:num>
  <w:num w:numId="35">
    <w:abstractNumId w:val="12"/>
  </w:num>
  <w:num w:numId="36">
    <w:abstractNumId w:val="11"/>
  </w:num>
  <w:num w:numId="37">
    <w:abstractNumId w:val="30"/>
  </w:num>
  <w:num w:numId="38">
    <w:abstractNumId w:val="10"/>
  </w:num>
  <w:num w:numId="39">
    <w:abstractNumId w:val="37"/>
  </w:num>
  <w:num w:numId="40">
    <w:abstractNumId w:val="27"/>
  </w:num>
  <w:num w:numId="41">
    <w:abstractNumId w:val="35"/>
  </w:num>
  <w:num w:numId="42">
    <w:abstractNumId w:val="14"/>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8D"/>
    <w:rsid w:val="000008F9"/>
    <w:rsid w:val="00000A3B"/>
    <w:rsid w:val="0000102F"/>
    <w:rsid w:val="000012AA"/>
    <w:rsid w:val="00002E0E"/>
    <w:rsid w:val="00003A26"/>
    <w:rsid w:val="00003C40"/>
    <w:rsid w:val="00003E85"/>
    <w:rsid w:val="00004D4C"/>
    <w:rsid w:val="00005ECF"/>
    <w:rsid w:val="00006960"/>
    <w:rsid w:val="000069F6"/>
    <w:rsid w:val="000070AB"/>
    <w:rsid w:val="00010130"/>
    <w:rsid w:val="0001036C"/>
    <w:rsid w:val="00010917"/>
    <w:rsid w:val="00011F50"/>
    <w:rsid w:val="000126CC"/>
    <w:rsid w:val="000162AA"/>
    <w:rsid w:val="00016A4F"/>
    <w:rsid w:val="00016DB8"/>
    <w:rsid w:val="00016FFA"/>
    <w:rsid w:val="00023AE5"/>
    <w:rsid w:val="00025D9F"/>
    <w:rsid w:val="00025DF1"/>
    <w:rsid w:val="00031531"/>
    <w:rsid w:val="00032C84"/>
    <w:rsid w:val="00032CC9"/>
    <w:rsid w:val="00033622"/>
    <w:rsid w:val="00033962"/>
    <w:rsid w:val="0003629B"/>
    <w:rsid w:val="00037647"/>
    <w:rsid w:val="00037EA8"/>
    <w:rsid w:val="000412AD"/>
    <w:rsid w:val="00042D20"/>
    <w:rsid w:val="000432D2"/>
    <w:rsid w:val="00043C55"/>
    <w:rsid w:val="00046931"/>
    <w:rsid w:val="00046B88"/>
    <w:rsid w:val="00046DAE"/>
    <w:rsid w:val="000501E1"/>
    <w:rsid w:val="000503D4"/>
    <w:rsid w:val="00056289"/>
    <w:rsid w:val="000600BF"/>
    <w:rsid w:val="00061BA5"/>
    <w:rsid w:val="00062143"/>
    <w:rsid w:val="000624F1"/>
    <w:rsid w:val="000643D4"/>
    <w:rsid w:val="000648AC"/>
    <w:rsid w:val="0006611D"/>
    <w:rsid w:val="000663AF"/>
    <w:rsid w:val="000671DF"/>
    <w:rsid w:val="00067C96"/>
    <w:rsid w:val="000706BF"/>
    <w:rsid w:val="00070CCC"/>
    <w:rsid w:val="000731FE"/>
    <w:rsid w:val="000775DD"/>
    <w:rsid w:val="00081113"/>
    <w:rsid w:val="00081534"/>
    <w:rsid w:val="000817DA"/>
    <w:rsid w:val="00083A4D"/>
    <w:rsid w:val="00084A32"/>
    <w:rsid w:val="00084CE3"/>
    <w:rsid w:val="0008752E"/>
    <w:rsid w:val="00087B88"/>
    <w:rsid w:val="0009178C"/>
    <w:rsid w:val="00093676"/>
    <w:rsid w:val="0009448B"/>
    <w:rsid w:val="00094926"/>
    <w:rsid w:val="00095292"/>
    <w:rsid w:val="000952A1"/>
    <w:rsid w:val="0009693B"/>
    <w:rsid w:val="000A03A6"/>
    <w:rsid w:val="000A423C"/>
    <w:rsid w:val="000A534A"/>
    <w:rsid w:val="000A6162"/>
    <w:rsid w:val="000A77E8"/>
    <w:rsid w:val="000A7845"/>
    <w:rsid w:val="000A79AB"/>
    <w:rsid w:val="000B146C"/>
    <w:rsid w:val="000B3E3D"/>
    <w:rsid w:val="000B744A"/>
    <w:rsid w:val="000B74F2"/>
    <w:rsid w:val="000B7AB5"/>
    <w:rsid w:val="000C0999"/>
    <w:rsid w:val="000C0F79"/>
    <w:rsid w:val="000C1255"/>
    <w:rsid w:val="000C38DC"/>
    <w:rsid w:val="000C4026"/>
    <w:rsid w:val="000D0DCE"/>
    <w:rsid w:val="000D1838"/>
    <w:rsid w:val="000D2C17"/>
    <w:rsid w:val="000D2E24"/>
    <w:rsid w:val="000D3D70"/>
    <w:rsid w:val="000D4C0F"/>
    <w:rsid w:val="000D5611"/>
    <w:rsid w:val="000D5891"/>
    <w:rsid w:val="000D6A74"/>
    <w:rsid w:val="000D72AF"/>
    <w:rsid w:val="000D7999"/>
    <w:rsid w:val="000E327F"/>
    <w:rsid w:val="000E55B3"/>
    <w:rsid w:val="000E5BDF"/>
    <w:rsid w:val="000E611A"/>
    <w:rsid w:val="000E6573"/>
    <w:rsid w:val="000E6952"/>
    <w:rsid w:val="000E726E"/>
    <w:rsid w:val="000E7F76"/>
    <w:rsid w:val="000F06A3"/>
    <w:rsid w:val="000F0C52"/>
    <w:rsid w:val="000F0E3B"/>
    <w:rsid w:val="000F434B"/>
    <w:rsid w:val="000F4DC7"/>
    <w:rsid w:val="000F4F3B"/>
    <w:rsid w:val="000F56A7"/>
    <w:rsid w:val="00100D7C"/>
    <w:rsid w:val="00102912"/>
    <w:rsid w:val="001037F8"/>
    <w:rsid w:val="00103A6C"/>
    <w:rsid w:val="00104E5A"/>
    <w:rsid w:val="00104E6E"/>
    <w:rsid w:val="00106300"/>
    <w:rsid w:val="00107630"/>
    <w:rsid w:val="00112330"/>
    <w:rsid w:val="0011299A"/>
    <w:rsid w:val="00112F49"/>
    <w:rsid w:val="0011584F"/>
    <w:rsid w:val="00116DE0"/>
    <w:rsid w:val="00121F0F"/>
    <w:rsid w:val="00122093"/>
    <w:rsid w:val="00125297"/>
    <w:rsid w:val="00125F98"/>
    <w:rsid w:val="00126C02"/>
    <w:rsid w:val="001320BC"/>
    <w:rsid w:val="00132A3E"/>
    <w:rsid w:val="001333C1"/>
    <w:rsid w:val="00133C20"/>
    <w:rsid w:val="00134084"/>
    <w:rsid w:val="001356F7"/>
    <w:rsid w:val="001358CB"/>
    <w:rsid w:val="00136592"/>
    <w:rsid w:val="0013666E"/>
    <w:rsid w:val="00136B1B"/>
    <w:rsid w:val="00137F75"/>
    <w:rsid w:val="001404C5"/>
    <w:rsid w:val="001418C6"/>
    <w:rsid w:val="001428A9"/>
    <w:rsid w:val="00142AEA"/>
    <w:rsid w:val="0014304D"/>
    <w:rsid w:val="001443E2"/>
    <w:rsid w:val="00144810"/>
    <w:rsid w:val="00144BF2"/>
    <w:rsid w:val="00152A3B"/>
    <w:rsid w:val="0015323A"/>
    <w:rsid w:val="00153AEE"/>
    <w:rsid w:val="001556AE"/>
    <w:rsid w:val="00155D30"/>
    <w:rsid w:val="0015709E"/>
    <w:rsid w:val="0016023C"/>
    <w:rsid w:val="00162AB7"/>
    <w:rsid w:val="00162E94"/>
    <w:rsid w:val="00162EED"/>
    <w:rsid w:val="00163EB4"/>
    <w:rsid w:val="001676EB"/>
    <w:rsid w:val="00167959"/>
    <w:rsid w:val="001706F2"/>
    <w:rsid w:val="00171627"/>
    <w:rsid w:val="001725AE"/>
    <w:rsid w:val="001750CD"/>
    <w:rsid w:val="00175C1D"/>
    <w:rsid w:val="00175DD1"/>
    <w:rsid w:val="00176350"/>
    <w:rsid w:val="00176D28"/>
    <w:rsid w:val="00177068"/>
    <w:rsid w:val="00180BDE"/>
    <w:rsid w:val="0018577E"/>
    <w:rsid w:val="001878FE"/>
    <w:rsid w:val="00187945"/>
    <w:rsid w:val="001913BD"/>
    <w:rsid w:val="001934C4"/>
    <w:rsid w:val="001950E0"/>
    <w:rsid w:val="00195B5A"/>
    <w:rsid w:val="00195D1F"/>
    <w:rsid w:val="0019632B"/>
    <w:rsid w:val="001979DD"/>
    <w:rsid w:val="001A0A2C"/>
    <w:rsid w:val="001A32CE"/>
    <w:rsid w:val="001A3B59"/>
    <w:rsid w:val="001A510B"/>
    <w:rsid w:val="001A5627"/>
    <w:rsid w:val="001A5867"/>
    <w:rsid w:val="001A756C"/>
    <w:rsid w:val="001B0A1F"/>
    <w:rsid w:val="001B2391"/>
    <w:rsid w:val="001B2891"/>
    <w:rsid w:val="001B2B6D"/>
    <w:rsid w:val="001B33E5"/>
    <w:rsid w:val="001B50DE"/>
    <w:rsid w:val="001B54B3"/>
    <w:rsid w:val="001B6148"/>
    <w:rsid w:val="001B6264"/>
    <w:rsid w:val="001B688B"/>
    <w:rsid w:val="001C1418"/>
    <w:rsid w:val="001C363B"/>
    <w:rsid w:val="001C4291"/>
    <w:rsid w:val="001C5252"/>
    <w:rsid w:val="001C53BB"/>
    <w:rsid w:val="001C57D6"/>
    <w:rsid w:val="001C70DA"/>
    <w:rsid w:val="001D0A43"/>
    <w:rsid w:val="001D11CD"/>
    <w:rsid w:val="001D2003"/>
    <w:rsid w:val="001D2BED"/>
    <w:rsid w:val="001D2C76"/>
    <w:rsid w:val="001D2F71"/>
    <w:rsid w:val="001D4894"/>
    <w:rsid w:val="001D5FE3"/>
    <w:rsid w:val="001E05C0"/>
    <w:rsid w:val="001E065F"/>
    <w:rsid w:val="001E1862"/>
    <w:rsid w:val="001E1D73"/>
    <w:rsid w:val="001E228E"/>
    <w:rsid w:val="001E6375"/>
    <w:rsid w:val="001F14FA"/>
    <w:rsid w:val="001F21A9"/>
    <w:rsid w:val="001F2E31"/>
    <w:rsid w:val="001F34E6"/>
    <w:rsid w:val="001F3D4C"/>
    <w:rsid w:val="001F4DB2"/>
    <w:rsid w:val="001F4DD8"/>
    <w:rsid w:val="001F5063"/>
    <w:rsid w:val="001F552F"/>
    <w:rsid w:val="001F595C"/>
    <w:rsid w:val="001F7AA1"/>
    <w:rsid w:val="0020001C"/>
    <w:rsid w:val="00202DA4"/>
    <w:rsid w:val="002030DB"/>
    <w:rsid w:val="0020342E"/>
    <w:rsid w:val="00206342"/>
    <w:rsid w:val="00206722"/>
    <w:rsid w:val="00207072"/>
    <w:rsid w:val="002073D4"/>
    <w:rsid w:val="002074E1"/>
    <w:rsid w:val="00207B52"/>
    <w:rsid w:val="00212218"/>
    <w:rsid w:val="002142E8"/>
    <w:rsid w:val="00214F0B"/>
    <w:rsid w:val="0021747A"/>
    <w:rsid w:val="002202EA"/>
    <w:rsid w:val="002218C7"/>
    <w:rsid w:val="00222172"/>
    <w:rsid w:val="00222C27"/>
    <w:rsid w:val="00225563"/>
    <w:rsid w:val="00225C7F"/>
    <w:rsid w:val="002305A8"/>
    <w:rsid w:val="00231CE5"/>
    <w:rsid w:val="00234F2B"/>
    <w:rsid w:val="00235496"/>
    <w:rsid w:val="002413A6"/>
    <w:rsid w:val="002421F8"/>
    <w:rsid w:val="00244398"/>
    <w:rsid w:val="0024626D"/>
    <w:rsid w:val="002463FA"/>
    <w:rsid w:val="00246F31"/>
    <w:rsid w:val="002539BA"/>
    <w:rsid w:val="00254323"/>
    <w:rsid w:val="00255679"/>
    <w:rsid w:val="00255E6A"/>
    <w:rsid w:val="00255FEF"/>
    <w:rsid w:val="0026038E"/>
    <w:rsid w:val="00260B38"/>
    <w:rsid w:val="002636FC"/>
    <w:rsid w:val="002673AF"/>
    <w:rsid w:val="002703C7"/>
    <w:rsid w:val="0027270B"/>
    <w:rsid w:val="002732E7"/>
    <w:rsid w:val="00273339"/>
    <w:rsid w:val="002737E1"/>
    <w:rsid w:val="0027380B"/>
    <w:rsid w:val="00273F81"/>
    <w:rsid w:val="00275FF8"/>
    <w:rsid w:val="00277ACD"/>
    <w:rsid w:val="00280927"/>
    <w:rsid w:val="00283B24"/>
    <w:rsid w:val="0028403E"/>
    <w:rsid w:val="00291A73"/>
    <w:rsid w:val="00291E5B"/>
    <w:rsid w:val="002924D8"/>
    <w:rsid w:val="00293318"/>
    <w:rsid w:val="002934CB"/>
    <w:rsid w:val="00293548"/>
    <w:rsid w:val="0029357C"/>
    <w:rsid w:val="0029375C"/>
    <w:rsid w:val="00293BE3"/>
    <w:rsid w:val="002969B6"/>
    <w:rsid w:val="00296AB3"/>
    <w:rsid w:val="002976ED"/>
    <w:rsid w:val="002A1D97"/>
    <w:rsid w:val="002A24C3"/>
    <w:rsid w:val="002A3FAF"/>
    <w:rsid w:val="002A6F88"/>
    <w:rsid w:val="002A7679"/>
    <w:rsid w:val="002B4865"/>
    <w:rsid w:val="002B49EC"/>
    <w:rsid w:val="002B4A30"/>
    <w:rsid w:val="002B4D5F"/>
    <w:rsid w:val="002B5A2C"/>
    <w:rsid w:val="002B628A"/>
    <w:rsid w:val="002B6636"/>
    <w:rsid w:val="002B746F"/>
    <w:rsid w:val="002C2730"/>
    <w:rsid w:val="002C5C63"/>
    <w:rsid w:val="002C6820"/>
    <w:rsid w:val="002C752A"/>
    <w:rsid w:val="002C7B42"/>
    <w:rsid w:val="002D1242"/>
    <w:rsid w:val="002D370A"/>
    <w:rsid w:val="002E0B99"/>
    <w:rsid w:val="002E1A3E"/>
    <w:rsid w:val="002E5602"/>
    <w:rsid w:val="002F2377"/>
    <w:rsid w:val="002F2901"/>
    <w:rsid w:val="002F5BDF"/>
    <w:rsid w:val="0030001F"/>
    <w:rsid w:val="00303797"/>
    <w:rsid w:val="00303918"/>
    <w:rsid w:val="00303A7F"/>
    <w:rsid w:val="0030432F"/>
    <w:rsid w:val="003046B0"/>
    <w:rsid w:val="00306BDD"/>
    <w:rsid w:val="0030778C"/>
    <w:rsid w:val="003112BD"/>
    <w:rsid w:val="0031255F"/>
    <w:rsid w:val="003134F0"/>
    <w:rsid w:val="00313D2D"/>
    <w:rsid w:val="00314552"/>
    <w:rsid w:val="00315B99"/>
    <w:rsid w:val="00320DEC"/>
    <w:rsid w:val="00322617"/>
    <w:rsid w:val="00322AB4"/>
    <w:rsid w:val="00323828"/>
    <w:rsid w:val="00323B3C"/>
    <w:rsid w:val="00324557"/>
    <w:rsid w:val="0032512B"/>
    <w:rsid w:val="003251E1"/>
    <w:rsid w:val="003258F1"/>
    <w:rsid w:val="00325C75"/>
    <w:rsid w:val="00325F9C"/>
    <w:rsid w:val="003267C7"/>
    <w:rsid w:val="00326A33"/>
    <w:rsid w:val="00326FA6"/>
    <w:rsid w:val="0032708F"/>
    <w:rsid w:val="00330635"/>
    <w:rsid w:val="00330C43"/>
    <w:rsid w:val="00331CD4"/>
    <w:rsid w:val="00332436"/>
    <w:rsid w:val="0033321E"/>
    <w:rsid w:val="00334AA3"/>
    <w:rsid w:val="00334B92"/>
    <w:rsid w:val="00340A6F"/>
    <w:rsid w:val="00341E26"/>
    <w:rsid w:val="00342E1B"/>
    <w:rsid w:val="00344178"/>
    <w:rsid w:val="00345AC5"/>
    <w:rsid w:val="00347231"/>
    <w:rsid w:val="0034786E"/>
    <w:rsid w:val="003508AE"/>
    <w:rsid w:val="0035093B"/>
    <w:rsid w:val="003554D8"/>
    <w:rsid w:val="00360B24"/>
    <w:rsid w:val="00360CDE"/>
    <w:rsid w:val="00362B4E"/>
    <w:rsid w:val="00365127"/>
    <w:rsid w:val="003656EE"/>
    <w:rsid w:val="00366D85"/>
    <w:rsid w:val="0036751E"/>
    <w:rsid w:val="00377776"/>
    <w:rsid w:val="00381CA2"/>
    <w:rsid w:val="0038424B"/>
    <w:rsid w:val="00384F30"/>
    <w:rsid w:val="0038574C"/>
    <w:rsid w:val="00385C2A"/>
    <w:rsid w:val="00386E38"/>
    <w:rsid w:val="003908DB"/>
    <w:rsid w:val="00392E82"/>
    <w:rsid w:val="003933E9"/>
    <w:rsid w:val="003934B8"/>
    <w:rsid w:val="00393D05"/>
    <w:rsid w:val="003942BF"/>
    <w:rsid w:val="00394C33"/>
    <w:rsid w:val="003971DC"/>
    <w:rsid w:val="003A0C47"/>
    <w:rsid w:val="003A2154"/>
    <w:rsid w:val="003A2A13"/>
    <w:rsid w:val="003A3C92"/>
    <w:rsid w:val="003A45CB"/>
    <w:rsid w:val="003A4AC8"/>
    <w:rsid w:val="003A5E0E"/>
    <w:rsid w:val="003A6127"/>
    <w:rsid w:val="003A6AB4"/>
    <w:rsid w:val="003B31CD"/>
    <w:rsid w:val="003B39A6"/>
    <w:rsid w:val="003B4632"/>
    <w:rsid w:val="003B4B1B"/>
    <w:rsid w:val="003B5AF9"/>
    <w:rsid w:val="003B601E"/>
    <w:rsid w:val="003B7C62"/>
    <w:rsid w:val="003C04EA"/>
    <w:rsid w:val="003C2574"/>
    <w:rsid w:val="003C2797"/>
    <w:rsid w:val="003C2DA4"/>
    <w:rsid w:val="003C39F1"/>
    <w:rsid w:val="003C44EA"/>
    <w:rsid w:val="003C5D25"/>
    <w:rsid w:val="003C6CB6"/>
    <w:rsid w:val="003C6E0F"/>
    <w:rsid w:val="003C7725"/>
    <w:rsid w:val="003C7C96"/>
    <w:rsid w:val="003D0393"/>
    <w:rsid w:val="003D1048"/>
    <w:rsid w:val="003D2917"/>
    <w:rsid w:val="003D2E93"/>
    <w:rsid w:val="003D3ADD"/>
    <w:rsid w:val="003D3D51"/>
    <w:rsid w:val="003D3DC7"/>
    <w:rsid w:val="003D42F9"/>
    <w:rsid w:val="003E4701"/>
    <w:rsid w:val="003E5C83"/>
    <w:rsid w:val="003E73BB"/>
    <w:rsid w:val="003E755C"/>
    <w:rsid w:val="003F04E3"/>
    <w:rsid w:val="003F13F0"/>
    <w:rsid w:val="003F1B8F"/>
    <w:rsid w:val="003F222E"/>
    <w:rsid w:val="003F24CB"/>
    <w:rsid w:val="003F373D"/>
    <w:rsid w:val="003F4D8D"/>
    <w:rsid w:val="003F60F0"/>
    <w:rsid w:val="0040028C"/>
    <w:rsid w:val="0040030D"/>
    <w:rsid w:val="00400D2F"/>
    <w:rsid w:val="00401AB7"/>
    <w:rsid w:val="00401FC2"/>
    <w:rsid w:val="004045C7"/>
    <w:rsid w:val="0040559D"/>
    <w:rsid w:val="00405B29"/>
    <w:rsid w:val="00406797"/>
    <w:rsid w:val="00406873"/>
    <w:rsid w:val="004110C4"/>
    <w:rsid w:val="00412305"/>
    <w:rsid w:val="00413696"/>
    <w:rsid w:val="00414050"/>
    <w:rsid w:val="0041659D"/>
    <w:rsid w:val="004174C6"/>
    <w:rsid w:val="0042049C"/>
    <w:rsid w:val="00425B84"/>
    <w:rsid w:val="00425FF2"/>
    <w:rsid w:val="00426A4A"/>
    <w:rsid w:val="00431C6A"/>
    <w:rsid w:val="00431F6D"/>
    <w:rsid w:val="00433222"/>
    <w:rsid w:val="004359E1"/>
    <w:rsid w:val="004365FE"/>
    <w:rsid w:val="00436DE5"/>
    <w:rsid w:val="00437EB4"/>
    <w:rsid w:val="004405B1"/>
    <w:rsid w:val="00440BD5"/>
    <w:rsid w:val="004437F3"/>
    <w:rsid w:val="00445707"/>
    <w:rsid w:val="00445F80"/>
    <w:rsid w:val="0044757A"/>
    <w:rsid w:val="004477A8"/>
    <w:rsid w:val="004505A8"/>
    <w:rsid w:val="00450C25"/>
    <w:rsid w:val="00452232"/>
    <w:rsid w:val="00453898"/>
    <w:rsid w:val="0045457B"/>
    <w:rsid w:val="00454890"/>
    <w:rsid w:val="004565EC"/>
    <w:rsid w:val="004603AF"/>
    <w:rsid w:val="00461071"/>
    <w:rsid w:val="00462226"/>
    <w:rsid w:val="00464EF7"/>
    <w:rsid w:val="00466720"/>
    <w:rsid w:val="0046732D"/>
    <w:rsid w:val="00467EA6"/>
    <w:rsid w:val="0047025D"/>
    <w:rsid w:val="00471474"/>
    <w:rsid w:val="00473AFD"/>
    <w:rsid w:val="00475999"/>
    <w:rsid w:val="004773BC"/>
    <w:rsid w:val="004803A0"/>
    <w:rsid w:val="00481FC8"/>
    <w:rsid w:val="00482F27"/>
    <w:rsid w:val="00483994"/>
    <w:rsid w:val="00484D6F"/>
    <w:rsid w:val="00485372"/>
    <w:rsid w:val="00485857"/>
    <w:rsid w:val="00486163"/>
    <w:rsid w:val="004867DC"/>
    <w:rsid w:val="00490BC2"/>
    <w:rsid w:val="00490E7C"/>
    <w:rsid w:val="00490F1B"/>
    <w:rsid w:val="004915AE"/>
    <w:rsid w:val="00492A51"/>
    <w:rsid w:val="004943B2"/>
    <w:rsid w:val="0049546C"/>
    <w:rsid w:val="004960DD"/>
    <w:rsid w:val="00497B1B"/>
    <w:rsid w:val="004A0A47"/>
    <w:rsid w:val="004A3D81"/>
    <w:rsid w:val="004A4EFE"/>
    <w:rsid w:val="004A570F"/>
    <w:rsid w:val="004A5EB3"/>
    <w:rsid w:val="004A7FFE"/>
    <w:rsid w:val="004B0CAD"/>
    <w:rsid w:val="004B1BDE"/>
    <w:rsid w:val="004B3733"/>
    <w:rsid w:val="004B38D7"/>
    <w:rsid w:val="004B4564"/>
    <w:rsid w:val="004C1386"/>
    <w:rsid w:val="004C25C3"/>
    <w:rsid w:val="004C713D"/>
    <w:rsid w:val="004C7D56"/>
    <w:rsid w:val="004C7DDE"/>
    <w:rsid w:val="004D2541"/>
    <w:rsid w:val="004D3C8A"/>
    <w:rsid w:val="004D3D5A"/>
    <w:rsid w:val="004D74C1"/>
    <w:rsid w:val="004E1136"/>
    <w:rsid w:val="004E13D3"/>
    <w:rsid w:val="004E2585"/>
    <w:rsid w:val="004E2A2E"/>
    <w:rsid w:val="004E6223"/>
    <w:rsid w:val="004E62C3"/>
    <w:rsid w:val="004F0AC4"/>
    <w:rsid w:val="004F171B"/>
    <w:rsid w:val="004F1BAE"/>
    <w:rsid w:val="004F1BD3"/>
    <w:rsid w:val="004F3299"/>
    <w:rsid w:val="004F38FE"/>
    <w:rsid w:val="004F3972"/>
    <w:rsid w:val="004F6878"/>
    <w:rsid w:val="004F7D9F"/>
    <w:rsid w:val="005011A8"/>
    <w:rsid w:val="00502855"/>
    <w:rsid w:val="005032AF"/>
    <w:rsid w:val="00504917"/>
    <w:rsid w:val="00504A57"/>
    <w:rsid w:val="005050DC"/>
    <w:rsid w:val="0050586E"/>
    <w:rsid w:val="005065E4"/>
    <w:rsid w:val="00506F73"/>
    <w:rsid w:val="00512138"/>
    <w:rsid w:val="00512355"/>
    <w:rsid w:val="005124DF"/>
    <w:rsid w:val="00513D72"/>
    <w:rsid w:val="00513EF3"/>
    <w:rsid w:val="00514837"/>
    <w:rsid w:val="00514E3B"/>
    <w:rsid w:val="00515068"/>
    <w:rsid w:val="00515B13"/>
    <w:rsid w:val="00516BD9"/>
    <w:rsid w:val="00517372"/>
    <w:rsid w:val="00517B52"/>
    <w:rsid w:val="00517CFE"/>
    <w:rsid w:val="0052015A"/>
    <w:rsid w:val="00521703"/>
    <w:rsid w:val="0052189F"/>
    <w:rsid w:val="00524670"/>
    <w:rsid w:val="00524E89"/>
    <w:rsid w:val="00526830"/>
    <w:rsid w:val="00526FD3"/>
    <w:rsid w:val="0053322A"/>
    <w:rsid w:val="005339A0"/>
    <w:rsid w:val="00535EB4"/>
    <w:rsid w:val="00536E0E"/>
    <w:rsid w:val="005370F6"/>
    <w:rsid w:val="00542820"/>
    <w:rsid w:val="00543C2C"/>
    <w:rsid w:val="00545540"/>
    <w:rsid w:val="00546C98"/>
    <w:rsid w:val="00547711"/>
    <w:rsid w:val="00551742"/>
    <w:rsid w:val="00552BEC"/>
    <w:rsid w:val="00553189"/>
    <w:rsid w:val="0055506E"/>
    <w:rsid w:val="00555A9D"/>
    <w:rsid w:val="00556687"/>
    <w:rsid w:val="005576B0"/>
    <w:rsid w:val="00564531"/>
    <w:rsid w:val="00565507"/>
    <w:rsid w:val="00566497"/>
    <w:rsid w:val="005670FE"/>
    <w:rsid w:val="00567432"/>
    <w:rsid w:val="0057235E"/>
    <w:rsid w:val="00573772"/>
    <w:rsid w:val="005739B0"/>
    <w:rsid w:val="00576865"/>
    <w:rsid w:val="005775BF"/>
    <w:rsid w:val="0058130D"/>
    <w:rsid w:val="00582658"/>
    <w:rsid w:val="005855B0"/>
    <w:rsid w:val="00586D51"/>
    <w:rsid w:val="005908C8"/>
    <w:rsid w:val="00591A64"/>
    <w:rsid w:val="005921A0"/>
    <w:rsid w:val="00593014"/>
    <w:rsid w:val="00593990"/>
    <w:rsid w:val="00595346"/>
    <w:rsid w:val="00596457"/>
    <w:rsid w:val="00597B1F"/>
    <w:rsid w:val="005A0E62"/>
    <w:rsid w:val="005A10FB"/>
    <w:rsid w:val="005A2057"/>
    <w:rsid w:val="005A2BC6"/>
    <w:rsid w:val="005A6A6F"/>
    <w:rsid w:val="005B11E3"/>
    <w:rsid w:val="005B13AF"/>
    <w:rsid w:val="005B26BE"/>
    <w:rsid w:val="005B4971"/>
    <w:rsid w:val="005B582E"/>
    <w:rsid w:val="005B66B2"/>
    <w:rsid w:val="005B702B"/>
    <w:rsid w:val="005B7A2B"/>
    <w:rsid w:val="005C009E"/>
    <w:rsid w:val="005C03CF"/>
    <w:rsid w:val="005C04AE"/>
    <w:rsid w:val="005C0957"/>
    <w:rsid w:val="005C3527"/>
    <w:rsid w:val="005C3A47"/>
    <w:rsid w:val="005C6D4B"/>
    <w:rsid w:val="005D127A"/>
    <w:rsid w:val="005D278D"/>
    <w:rsid w:val="005D5A73"/>
    <w:rsid w:val="005D70B9"/>
    <w:rsid w:val="005E527A"/>
    <w:rsid w:val="005F2683"/>
    <w:rsid w:val="005F3977"/>
    <w:rsid w:val="005F5441"/>
    <w:rsid w:val="005F5D0D"/>
    <w:rsid w:val="005F7A39"/>
    <w:rsid w:val="00601522"/>
    <w:rsid w:val="006019FF"/>
    <w:rsid w:val="00602DC3"/>
    <w:rsid w:val="00604B03"/>
    <w:rsid w:val="00607C2F"/>
    <w:rsid w:val="006100BF"/>
    <w:rsid w:val="00612807"/>
    <w:rsid w:val="006131AA"/>
    <w:rsid w:val="00613C26"/>
    <w:rsid w:val="00615920"/>
    <w:rsid w:val="006159B1"/>
    <w:rsid w:val="00615E14"/>
    <w:rsid w:val="006168D2"/>
    <w:rsid w:val="006177B3"/>
    <w:rsid w:val="006203D0"/>
    <w:rsid w:val="0062219A"/>
    <w:rsid w:val="00630B3B"/>
    <w:rsid w:val="006310E2"/>
    <w:rsid w:val="00631240"/>
    <w:rsid w:val="0063145B"/>
    <w:rsid w:val="00631FB8"/>
    <w:rsid w:val="00632612"/>
    <w:rsid w:val="00633075"/>
    <w:rsid w:val="00633CC4"/>
    <w:rsid w:val="00633F09"/>
    <w:rsid w:val="00633FC1"/>
    <w:rsid w:val="0063453D"/>
    <w:rsid w:val="00634856"/>
    <w:rsid w:val="006354BD"/>
    <w:rsid w:val="00636957"/>
    <w:rsid w:val="006377A9"/>
    <w:rsid w:val="0064001D"/>
    <w:rsid w:val="00642604"/>
    <w:rsid w:val="00642B0A"/>
    <w:rsid w:val="00650359"/>
    <w:rsid w:val="006508A5"/>
    <w:rsid w:val="00652E55"/>
    <w:rsid w:val="00653DE8"/>
    <w:rsid w:val="006542E4"/>
    <w:rsid w:val="0065452A"/>
    <w:rsid w:val="00655A09"/>
    <w:rsid w:val="00660212"/>
    <w:rsid w:val="00661189"/>
    <w:rsid w:val="00661A9B"/>
    <w:rsid w:val="00662B5B"/>
    <w:rsid w:val="00671392"/>
    <w:rsid w:val="006718EF"/>
    <w:rsid w:val="00676196"/>
    <w:rsid w:val="00676D30"/>
    <w:rsid w:val="00677826"/>
    <w:rsid w:val="006806C4"/>
    <w:rsid w:val="0068454C"/>
    <w:rsid w:val="00684DCE"/>
    <w:rsid w:val="00685C82"/>
    <w:rsid w:val="00687E19"/>
    <w:rsid w:val="00687FA7"/>
    <w:rsid w:val="00690170"/>
    <w:rsid w:val="00692584"/>
    <w:rsid w:val="0069386D"/>
    <w:rsid w:val="00693999"/>
    <w:rsid w:val="00697523"/>
    <w:rsid w:val="006A0A61"/>
    <w:rsid w:val="006A10CA"/>
    <w:rsid w:val="006A1E33"/>
    <w:rsid w:val="006A25EB"/>
    <w:rsid w:val="006A48D9"/>
    <w:rsid w:val="006A5FDF"/>
    <w:rsid w:val="006B13B3"/>
    <w:rsid w:val="006B1BCB"/>
    <w:rsid w:val="006B2982"/>
    <w:rsid w:val="006B4D9B"/>
    <w:rsid w:val="006B55C3"/>
    <w:rsid w:val="006C0361"/>
    <w:rsid w:val="006C3F38"/>
    <w:rsid w:val="006C451E"/>
    <w:rsid w:val="006C6368"/>
    <w:rsid w:val="006D04E8"/>
    <w:rsid w:val="006D11F0"/>
    <w:rsid w:val="006D1EED"/>
    <w:rsid w:val="006D2391"/>
    <w:rsid w:val="006D2742"/>
    <w:rsid w:val="006D2DAA"/>
    <w:rsid w:val="006D4A39"/>
    <w:rsid w:val="006D4F76"/>
    <w:rsid w:val="006D6FA8"/>
    <w:rsid w:val="006E1A40"/>
    <w:rsid w:val="006E2A65"/>
    <w:rsid w:val="006E39D0"/>
    <w:rsid w:val="006E4338"/>
    <w:rsid w:val="006E4CE1"/>
    <w:rsid w:val="006E654C"/>
    <w:rsid w:val="006F0F9F"/>
    <w:rsid w:val="006F2C9A"/>
    <w:rsid w:val="006F5701"/>
    <w:rsid w:val="007002DF"/>
    <w:rsid w:val="0070131C"/>
    <w:rsid w:val="0070160D"/>
    <w:rsid w:val="00701815"/>
    <w:rsid w:val="00702183"/>
    <w:rsid w:val="00702642"/>
    <w:rsid w:val="007032A7"/>
    <w:rsid w:val="007045F4"/>
    <w:rsid w:val="00706CD2"/>
    <w:rsid w:val="007070BD"/>
    <w:rsid w:val="007117AB"/>
    <w:rsid w:val="0071382C"/>
    <w:rsid w:val="00713CA6"/>
    <w:rsid w:val="00713EC3"/>
    <w:rsid w:val="00715246"/>
    <w:rsid w:val="0071583D"/>
    <w:rsid w:val="00716DF3"/>
    <w:rsid w:val="00716F8E"/>
    <w:rsid w:val="00717E52"/>
    <w:rsid w:val="007219B3"/>
    <w:rsid w:val="00721CE1"/>
    <w:rsid w:val="00723A39"/>
    <w:rsid w:val="007241EE"/>
    <w:rsid w:val="00724E9D"/>
    <w:rsid w:val="007252A5"/>
    <w:rsid w:val="00725D61"/>
    <w:rsid w:val="00727A98"/>
    <w:rsid w:val="00733AA7"/>
    <w:rsid w:val="00735728"/>
    <w:rsid w:val="0073727C"/>
    <w:rsid w:val="00737E11"/>
    <w:rsid w:val="00737E7E"/>
    <w:rsid w:val="007410CF"/>
    <w:rsid w:val="00743122"/>
    <w:rsid w:val="00743536"/>
    <w:rsid w:val="00743680"/>
    <w:rsid w:val="0074525F"/>
    <w:rsid w:val="0074534E"/>
    <w:rsid w:val="00747929"/>
    <w:rsid w:val="007509A3"/>
    <w:rsid w:val="00752783"/>
    <w:rsid w:val="00752E42"/>
    <w:rsid w:val="0075304E"/>
    <w:rsid w:val="00753FC7"/>
    <w:rsid w:val="0075444B"/>
    <w:rsid w:val="00754503"/>
    <w:rsid w:val="00755BA7"/>
    <w:rsid w:val="00756366"/>
    <w:rsid w:val="007626DA"/>
    <w:rsid w:val="00763E53"/>
    <w:rsid w:val="00764119"/>
    <w:rsid w:val="007650F5"/>
    <w:rsid w:val="00765AAC"/>
    <w:rsid w:val="00767C41"/>
    <w:rsid w:val="00770D41"/>
    <w:rsid w:val="00771694"/>
    <w:rsid w:val="00771758"/>
    <w:rsid w:val="00772941"/>
    <w:rsid w:val="007729DB"/>
    <w:rsid w:val="00773A85"/>
    <w:rsid w:val="00773E94"/>
    <w:rsid w:val="00774DBF"/>
    <w:rsid w:val="00775563"/>
    <w:rsid w:val="00776141"/>
    <w:rsid w:val="0077692C"/>
    <w:rsid w:val="00776CF0"/>
    <w:rsid w:val="00777540"/>
    <w:rsid w:val="007808CD"/>
    <w:rsid w:val="00780AC4"/>
    <w:rsid w:val="00781895"/>
    <w:rsid w:val="00782EF5"/>
    <w:rsid w:val="007900DC"/>
    <w:rsid w:val="0079068A"/>
    <w:rsid w:val="00790757"/>
    <w:rsid w:val="007908D6"/>
    <w:rsid w:val="0079179D"/>
    <w:rsid w:val="00796733"/>
    <w:rsid w:val="00796848"/>
    <w:rsid w:val="00796A3B"/>
    <w:rsid w:val="007A27ED"/>
    <w:rsid w:val="007A3282"/>
    <w:rsid w:val="007A3C10"/>
    <w:rsid w:val="007A3DD8"/>
    <w:rsid w:val="007A41B7"/>
    <w:rsid w:val="007A547F"/>
    <w:rsid w:val="007A6714"/>
    <w:rsid w:val="007A6742"/>
    <w:rsid w:val="007A7A96"/>
    <w:rsid w:val="007B06BE"/>
    <w:rsid w:val="007B08A2"/>
    <w:rsid w:val="007B3382"/>
    <w:rsid w:val="007B34BD"/>
    <w:rsid w:val="007B4935"/>
    <w:rsid w:val="007B4A7D"/>
    <w:rsid w:val="007B5D22"/>
    <w:rsid w:val="007B6A8D"/>
    <w:rsid w:val="007B7025"/>
    <w:rsid w:val="007C089A"/>
    <w:rsid w:val="007C336D"/>
    <w:rsid w:val="007C337A"/>
    <w:rsid w:val="007C6F56"/>
    <w:rsid w:val="007D1A9C"/>
    <w:rsid w:val="007D3394"/>
    <w:rsid w:val="007D34E5"/>
    <w:rsid w:val="007D3894"/>
    <w:rsid w:val="007D467E"/>
    <w:rsid w:val="007D491B"/>
    <w:rsid w:val="007D7F39"/>
    <w:rsid w:val="007E025D"/>
    <w:rsid w:val="007E11CC"/>
    <w:rsid w:val="007E40D8"/>
    <w:rsid w:val="007E5013"/>
    <w:rsid w:val="007E5597"/>
    <w:rsid w:val="007E6491"/>
    <w:rsid w:val="007E6B8B"/>
    <w:rsid w:val="007E757C"/>
    <w:rsid w:val="007F33A1"/>
    <w:rsid w:val="007F34A1"/>
    <w:rsid w:val="007F52DF"/>
    <w:rsid w:val="007F7144"/>
    <w:rsid w:val="008019F1"/>
    <w:rsid w:val="00801DE0"/>
    <w:rsid w:val="008024BA"/>
    <w:rsid w:val="008025E5"/>
    <w:rsid w:val="008032CD"/>
    <w:rsid w:val="008052BB"/>
    <w:rsid w:val="00806F09"/>
    <w:rsid w:val="00807166"/>
    <w:rsid w:val="00807DA5"/>
    <w:rsid w:val="00813495"/>
    <w:rsid w:val="00816075"/>
    <w:rsid w:val="00820E3D"/>
    <w:rsid w:val="00821FC5"/>
    <w:rsid w:val="00822172"/>
    <w:rsid w:val="00825310"/>
    <w:rsid w:val="00826E45"/>
    <w:rsid w:val="008276CB"/>
    <w:rsid w:val="00836FAA"/>
    <w:rsid w:val="00841056"/>
    <w:rsid w:val="00842CF0"/>
    <w:rsid w:val="00843E25"/>
    <w:rsid w:val="00844F61"/>
    <w:rsid w:val="00845462"/>
    <w:rsid w:val="008459F5"/>
    <w:rsid w:val="00850210"/>
    <w:rsid w:val="00851144"/>
    <w:rsid w:val="0085338B"/>
    <w:rsid w:val="00853463"/>
    <w:rsid w:val="00853B12"/>
    <w:rsid w:val="008542CA"/>
    <w:rsid w:val="00855F45"/>
    <w:rsid w:val="0085621C"/>
    <w:rsid w:val="008567BE"/>
    <w:rsid w:val="008572C2"/>
    <w:rsid w:val="00860171"/>
    <w:rsid w:val="0086037D"/>
    <w:rsid w:val="00860C20"/>
    <w:rsid w:val="0086136A"/>
    <w:rsid w:val="00861F9D"/>
    <w:rsid w:val="00862D38"/>
    <w:rsid w:val="008638E9"/>
    <w:rsid w:val="0086590F"/>
    <w:rsid w:val="00866E70"/>
    <w:rsid w:val="00866FDE"/>
    <w:rsid w:val="00867797"/>
    <w:rsid w:val="00867A46"/>
    <w:rsid w:val="00872696"/>
    <w:rsid w:val="00873983"/>
    <w:rsid w:val="00873E50"/>
    <w:rsid w:val="0087484E"/>
    <w:rsid w:val="00875F2C"/>
    <w:rsid w:val="00875FC0"/>
    <w:rsid w:val="00876EFD"/>
    <w:rsid w:val="00880E65"/>
    <w:rsid w:val="00882FF6"/>
    <w:rsid w:val="008843EF"/>
    <w:rsid w:val="008850E9"/>
    <w:rsid w:val="00891A61"/>
    <w:rsid w:val="008927D4"/>
    <w:rsid w:val="00892FF9"/>
    <w:rsid w:val="00893326"/>
    <w:rsid w:val="00893FBD"/>
    <w:rsid w:val="0089574D"/>
    <w:rsid w:val="00896CFD"/>
    <w:rsid w:val="00896EEF"/>
    <w:rsid w:val="008A3FDC"/>
    <w:rsid w:val="008A43C4"/>
    <w:rsid w:val="008A4BCE"/>
    <w:rsid w:val="008A4E08"/>
    <w:rsid w:val="008A6881"/>
    <w:rsid w:val="008B0346"/>
    <w:rsid w:val="008B2080"/>
    <w:rsid w:val="008B44C6"/>
    <w:rsid w:val="008B73FA"/>
    <w:rsid w:val="008C0689"/>
    <w:rsid w:val="008C0ED3"/>
    <w:rsid w:val="008C1304"/>
    <w:rsid w:val="008C3720"/>
    <w:rsid w:val="008C54EA"/>
    <w:rsid w:val="008C70B0"/>
    <w:rsid w:val="008C72CC"/>
    <w:rsid w:val="008C7460"/>
    <w:rsid w:val="008C7633"/>
    <w:rsid w:val="008D4624"/>
    <w:rsid w:val="008D475E"/>
    <w:rsid w:val="008D4FBF"/>
    <w:rsid w:val="008D64C6"/>
    <w:rsid w:val="008D701B"/>
    <w:rsid w:val="008E1D72"/>
    <w:rsid w:val="008E3B04"/>
    <w:rsid w:val="008E52AE"/>
    <w:rsid w:val="008E5A0E"/>
    <w:rsid w:val="008E7DE2"/>
    <w:rsid w:val="008F1412"/>
    <w:rsid w:val="008F1432"/>
    <w:rsid w:val="008F15ED"/>
    <w:rsid w:val="008F1CFF"/>
    <w:rsid w:val="008F1D55"/>
    <w:rsid w:val="008F23E8"/>
    <w:rsid w:val="008F5616"/>
    <w:rsid w:val="008F6597"/>
    <w:rsid w:val="00900EA0"/>
    <w:rsid w:val="009028C9"/>
    <w:rsid w:val="0090301A"/>
    <w:rsid w:val="009033D9"/>
    <w:rsid w:val="00905E24"/>
    <w:rsid w:val="00907401"/>
    <w:rsid w:val="00911B00"/>
    <w:rsid w:val="00912151"/>
    <w:rsid w:val="00912DCD"/>
    <w:rsid w:val="00913472"/>
    <w:rsid w:val="0091378C"/>
    <w:rsid w:val="0091453B"/>
    <w:rsid w:val="00916654"/>
    <w:rsid w:val="009179C9"/>
    <w:rsid w:val="0092249F"/>
    <w:rsid w:val="00923280"/>
    <w:rsid w:val="00924CB3"/>
    <w:rsid w:val="00925022"/>
    <w:rsid w:val="00925454"/>
    <w:rsid w:val="009254F8"/>
    <w:rsid w:val="00927E6F"/>
    <w:rsid w:val="00932DEC"/>
    <w:rsid w:val="00934046"/>
    <w:rsid w:val="00935088"/>
    <w:rsid w:val="009373FA"/>
    <w:rsid w:val="00941F50"/>
    <w:rsid w:val="00946DBE"/>
    <w:rsid w:val="009507C6"/>
    <w:rsid w:val="00953CB4"/>
    <w:rsid w:val="00953F60"/>
    <w:rsid w:val="0095420D"/>
    <w:rsid w:val="00954258"/>
    <w:rsid w:val="009550BC"/>
    <w:rsid w:val="00956ACC"/>
    <w:rsid w:val="00961F6D"/>
    <w:rsid w:val="009623F4"/>
    <w:rsid w:val="00965315"/>
    <w:rsid w:val="0096668D"/>
    <w:rsid w:val="009668FA"/>
    <w:rsid w:val="0097068A"/>
    <w:rsid w:val="00970E38"/>
    <w:rsid w:val="00973200"/>
    <w:rsid w:val="009767C5"/>
    <w:rsid w:val="00977209"/>
    <w:rsid w:val="009777FF"/>
    <w:rsid w:val="00981765"/>
    <w:rsid w:val="00983EEF"/>
    <w:rsid w:val="009840ED"/>
    <w:rsid w:val="00984E63"/>
    <w:rsid w:val="009850BC"/>
    <w:rsid w:val="009865D3"/>
    <w:rsid w:val="009905AC"/>
    <w:rsid w:val="009914B7"/>
    <w:rsid w:val="00993860"/>
    <w:rsid w:val="00994C27"/>
    <w:rsid w:val="00995EC2"/>
    <w:rsid w:val="00996FB2"/>
    <w:rsid w:val="009A059E"/>
    <w:rsid w:val="009A0899"/>
    <w:rsid w:val="009A2C2D"/>
    <w:rsid w:val="009A6963"/>
    <w:rsid w:val="009A6C95"/>
    <w:rsid w:val="009B0444"/>
    <w:rsid w:val="009B09C8"/>
    <w:rsid w:val="009B0F71"/>
    <w:rsid w:val="009B229C"/>
    <w:rsid w:val="009B259F"/>
    <w:rsid w:val="009B3E8D"/>
    <w:rsid w:val="009B52C1"/>
    <w:rsid w:val="009B59CA"/>
    <w:rsid w:val="009B6FC9"/>
    <w:rsid w:val="009C0491"/>
    <w:rsid w:val="009C0F32"/>
    <w:rsid w:val="009C11AB"/>
    <w:rsid w:val="009C321E"/>
    <w:rsid w:val="009C47EB"/>
    <w:rsid w:val="009C61B9"/>
    <w:rsid w:val="009C717B"/>
    <w:rsid w:val="009D0802"/>
    <w:rsid w:val="009D1560"/>
    <w:rsid w:val="009D31EF"/>
    <w:rsid w:val="009D5626"/>
    <w:rsid w:val="009D63FE"/>
    <w:rsid w:val="009E16AA"/>
    <w:rsid w:val="009E2897"/>
    <w:rsid w:val="009E4632"/>
    <w:rsid w:val="009E538D"/>
    <w:rsid w:val="009E5533"/>
    <w:rsid w:val="009E652D"/>
    <w:rsid w:val="009E6D94"/>
    <w:rsid w:val="009F1E09"/>
    <w:rsid w:val="009F2175"/>
    <w:rsid w:val="009F2919"/>
    <w:rsid w:val="009F2A98"/>
    <w:rsid w:val="009F7C1D"/>
    <w:rsid w:val="009F7CEE"/>
    <w:rsid w:val="00A019DD"/>
    <w:rsid w:val="00A04BA4"/>
    <w:rsid w:val="00A04BB2"/>
    <w:rsid w:val="00A05249"/>
    <w:rsid w:val="00A0651B"/>
    <w:rsid w:val="00A069CC"/>
    <w:rsid w:val="00A10E1C"/>
    <w:rsid w:val="00A119C5"/>
    <w:rsid w:val="00A12878"/>
    <w:rsid w:val="00A14660"/>
    <w:rsid w:val="00A16034"/>
    <w:rsid w:val="00A17EE4"/>
    <w:rsid w:val="00A201B6"/>
    <w:rsid w:val="00A20864"/>
    <w:rsid w:val="00A253BF"/>
    <w:rsid w:val="00A2589E"/>
    <w:rsid w:val="00A259FE"/>
    <w:rsid w:val="00A26DA7"/>
    <w:rsid w:val="00A2712C"/>
    <w:rsid w:val="00A27807"/>
    <w:rsid w:val="00A278FB"/>
    <w:rsid w:val="00A2797D"/>
    <w:rsid w:val="00A279D9"/>
    <w:rsid w:val="00A304F9"/>
    <w:rsid w:val="00A31A2E"/>
    <w:rsid w:val="00A33041"/>
    <w:rsid w:val="00A347D6"/>
    <w:rsid w:val="00A35BA7"/>
    <w:rsid w:val="00A360DD"/>
    <w:rsid w:val="00A402E2"/>
    <w:rsid w:val="00A428A2"/>
    <w:rsid w:val="00A44195"/>
    <w:rsid w:val="00A44F0D"/>
    <w:rsid w:val="00A47CBB"/>
    <w:rsid w:val="00A50676"/>
    <w:rsid w:val="00A51CF4"/>
    <w:rsid w:val="00A52124"/>
    <w:rsid w:val="00A52A16"/>
    <w:rsid w:val="00A5416B"/>
    <w:rsid w:val="00A54D13"/>
    <w:rsid w:val="00A54FF8"/>
    <w:rsid w:val="00A552A2"/>
    <w:rsid w:val="00A56B1F"/>
    <w:rsid w:val="00A56EDD"/>
    <w:rsid w:val="00A57907"/>
    <w:rsid w:val="00A60B4E"/>
    <w:rsid w:val="00A60D7C"/>
    <w:rsid w:val="00A613BE"/>
    <w:rsid w:val="00A61866"/>
    <w:rsid w:val="00A61C40"/>
    <w:rsid w:val="00A61DFF"/>
    <w:rsid w:val="00A63745"/>
    <w:rsid w:val="00A67409"/>
    <w:rsid w:val="00A71A45"/>
    <w:rsid w:val="00A72388"/>
    <w:rsid w:val="00A73D8C"/>
    <w:rsid w:val="00A748EE"/>
    <w:rsid w:val="00A75566"/>
    <w:rsid w:val="00A81715"/>
    <w:rsid w:val="00A81BC0"/>
    <w:rsid w:val="00A82BCE"/>
    <w:rsid w:val="00A8321F"/>
    <w:rsid w:val="00A84BA5"/>
    <w:rsid w:val="00A84D91"/>
    <w:rsid w:val="00A87C09"/>
    <w:rsid w:val="00A908E0"/>
    <w:rsid w:val="00A940F7"/>
    <w:rsid w:val="00A952E2"/>
    <w:rsid w:val="00A956CF"/>
    <w:rsid w:val="00A96EF5"/>
    <w:rsid w:val="00AA0057"/>
    <w:rsid w:val="00AA0482"/>
    <w:rsid w:val="00AA1663"/>
    <w:rsid w:val="00AA3C8F"/>
    <w:rsid w:val="00AA4AB1"/>
    <w:rsid w:val="00AA7959"/>
    <w:rsid w:val="00AA7C3F"/>
    <w:rsid w:val="00AB09B4"/>
    <w:rsid w:val="00AB4076"/>
    <w:rsid w:val="00AB4123"/>
    <w:rsid w:val="00AB419D"/>
    <w:rsid w:val="00AC1405"/>
    <w:rsid w:val="00AC2E05"/>
    <w:rsid w:val="00AC3C70"/>
    <w:rsid w:val="00AC4893"/>
    <w:rsid w:val="00AC739B"/>
    <w:rsid w:val="00AC7A4B"/>
    <w:rsid w:val="00AD004C"/>
    <w:rsid w:val="00AD0CFD"/>
    <w:rsid w:val="00AD4816"/>
    <w:rsid w:val="00AD5806"/>
    <w:rsid w:val="00AD59F8"/>
    <w:rsid w:val="00AD70CD"/>
    <w:rsid w:val="00AD74D3"/>
    <w:rsid w:val="00AD7EB3"/>
    <w:rsid w:val="00AD7F47"/>
    <w:rsid w:val="00AE08E4"/>
    <w:rsid w:val="00AE165A"/>
    <w:rsid w:val="00AE2CDE"/>
    <w:rsid w:val="00AE31DE"/>
    <w:rsid w:val="00AE3E9C"/>
    <w:rsid w:val="00AE490A"/>
    <w:rsid w:val="00AE5D47"/>
    <w:rsid w:val="00AE6B86"/>
    <w:rsid w:val="00AE77FE"/>
    <w:rsid w:val="00AE7DCB"/>
    <w:rsid w:val="00AF0203"/>
    <w:rsid w:val="00AF119C"/>
    <w:rsid w:val="00AF1DA1"/>
    <w:rsid w:val="00AF3C86"/>
    <w:rsid w:val="00AF429D"/>
    <w:rsid w:val="00AF49AD"/>
    <w:rsid w:val="00AF5E83"/>
    <w:rsid w:val="00AF6E0E"/>
    <w:rsid w:val="00AF73AC"/>
    <w:rsid w:val="00AF78FE"/>
    <w:rsid w:val="00B025A6"/>
    <w:rsid w:val="00B02E0E"/>
    <w:rsid w:val="00B03905"/>
    <w:rsid w:val="00B04A34"/>
    <w:rsid w:val="00B051CF"/>
    <w:rsid w:val="00B0571A"/>
    <w:rsid w:val="00B0623F"/>
    <w:rsid w:val="00B063C8"/>
    <w:rsid w:val="00B06E99"/>
    <w:rsid w:val="00B070CA"/>
    <w:rsid w:val="00B10BD7"/>
    <w:rsid w:val="00B17BFE"/>
    <w:rsid w:val="00B201C9"/>
    <w:rsid w:val="00B21E34"/>
    <w:rsid w:val="00B222DF"/>
    <w:rsid w:val="00B25DF5"/>
    <w:rsid w:val="00B30577"/>
    <w:rsid w:val="00B3086C"/>
    <w:rsid w:val="00B31421"/>
    <w:rsid w:val="00B315D8"/>
    <w:rsid w:val="00B31AB6"/>
    <w:rsid w:val="00B33800"/>
    <w:rsid w:val="00B360B9"/>
    <w:rsid w:val="00B360D0"/>
    <w:rsid w:val="00B36911"/>
    <w:rsid w:val="00B36F92"/>
    <w:rsid w:val="00B40964"/>
    <w:rsid w:val="00B430D1"/>
    <w:rsid w:val="00B44EAE"/>
    <w:rsid w:val="00B520ED"/>
    <w:rsid w:val="00B52842"/>
    <w:rsid w:val="00B52EAB"/>
    <w:rsid w:val="00B537F2"/>
    <w:rsid w:val="00B54E8A"/>
    <w:rsid w:val="00B56A70"/>
    <w:rsid w:val="00B57127"/>
    <w:rsid w:val="00B57A56"/>
    <w:rsid w:val="00B604F9"/>
    <w:rsid w:val="00B60E0C"/>
    <w:rsid w:val="00B62AF1"/>
    <w:rsid w:val="00B64EC4"/>
    <w:rsid w:val="00B657CA"/>
    <w:rsid w:val="00B65844"/>
    <w:rsid w:val="00B72FDA"/>
    <w:rsid w:val="00B73438"/>
    <w:rsid w:val="00B7579E"/>
    <w:rsid w:val="00B75835"/>
    <w:rsid w:val="00B75CB4"/>
    <w:rsid w:val="00B77F0E"/>
    <w:rsid w:val="00B80216"/>
    <w:rsid w:val="00B826D8"/>
    <w:rsid w:val="00B8555E"/>
    <w:rsid w:val="00B8618F"/>
    <w:rsid w:val="00B91E69"/>
    <w:rsid w:val="00B924DB"/>
    <w:rsid w:val="00B9306B"/>
    <w:rsid w:val="00B93972"/>
    <w:rsid w:val="00B93BF1"/>
    <w:rsid w:val="00BA190B"/>
    <w:rsid w:val="00BA2086"/>
    <w:rsid w:val="00BA24E5"/>
    <w:rsid w:val="00BA27B0"/>
    <w:rsid w:val="00BA38EB"/>
    <w:rsid w:val="00BA551D"/>
    <w:rsid w:val="00BA581D"/>
    <w:rsid w:val="00BB0CB6"/>
    <w:rsid w:val="00BB2692"/>
    <w:rsid w:val="00BB288B"/>
    <w:rsid w:val="00BB2CDC"/>
    <w:rsid w:val="00BB42A5"/>
    <w:rsid w:val="00BB4C92"/>
    <w:rsid w:val="00BB5C85"/>
    <w:rsid w:val="00BB5DCA"/>
    <w:rsid w:val="00BB5E04"/>
    <w:rsid w:val="00BB63CE"/>
    <w:rsid w:val="00BB7696"/>
    <w:rsid w:val="00BC02DC"/>
    <w:rsid w:val="00BC10AC"/>
    <w:rsid w:val="00BC25A0"/>
    <w:rsid w:val="00BC2B8C"/>
    <w:rsid w:val="00BC449A"/>
    <w:rsid w:val="00BC62D4"/>
    <w:rsid w:val="00BC73A3"/>
    <w:rsid w:val="00BC7AD1"/>
    <w:rsid w:val="00BD0612"/>
    <w:rsid w:val="00BD3238"/>
    <w:rsid w:val="00BD44FE"/>
    <w:rsid w:val="00BD58F1"/>
    <w:rsid w:val="00BD5F95"/>
    <w:rsid w:val="00BD69D5"/>
    <w:rsid w:val="00BD70B5"/>
    <w:rsid w:val="00BE02EF"/>
    <w:rsid w:val="00BE0517"/>
    <w:rsid w:val="00BE0597"/>
    <w:rsid w:val="00BE3160"/>
    <w:rsid w:val="00BE3EAD"/>
    <w:rsid w:val="00BE7C0D"/>
    <w:rsid w:val="00BF549F"/>
    <w:rsid w:val="00BF5DDA"/>
    <w:rsid w:val="00BF60E2"/>
    <w:rsid w:val="00BF620C"/>
    <w:rsid w:val="00C035A3"/>
    <w:rsid w:val="00C03F4B"/>
    <w:rsid w:val="00C047CE"/>
    <w:rsid w:val="00C06EDA"/>
    <w:rsid w:val="00C10737"/>
    <w:rsid w:val="00C1471F"/>
    <w:rsid w:val="00C14721"/>
    <w:rsid w:val="00C21984"/>
    <w:rsid w:val="00C21C43"/>
    <w:rsid w:val="00C21D54"/>
    <w:rsid w:val="00C22A2D"/>
    <w:rsid w:val="00C24033"/>
    <w:rsid w:val="00C25585"/>
    <w:rsid w:val="00C31D99"/>
    <w:rsid w:val="00C32BB4"/>
    <w:rsid w:val="00C355D8"/>
    <w:rsid w:val="00C358DC"/>
    <w:rsid w:val="00C36463"/>
    <w:rsid w:val="00C36699"/>
    <w:rsid w:val="00C369FD"/>
    <w:rsid w:val="00C37C02"/>
    <w:rsid w:val="00C37F8E"/>
    <w:rsid w:val="00C4256A"/>
    <w:rsid w:val="00C42CC8"/>
    <w:rsid w:val="00C42D9F"/>
    <w:rsid w:val="00C43A8F"/>
    <w:rsid w:val="00C44220"/>
    <w:rsid w:val="00C44A56"/>
    <w:rsid w:val="00C46DB3"/>
    <w:rsid w:val="00C52C81"/>
    <w:rsid w:val="00C55123"/>
    <w:rsid w:val="00C56F2C"/>
    <w:rsid w:val="00C57231"/>
    <w:rsid w:val="00C61A59"/>
    <w:rsid w:val="00C62C98"/>
    <w:rsid w:val="00C637BD"/>
    <w:rsid w:val="00C63CA4"/>
    <w:rsid w:val="00C64C06"/>
    <w:rsid w:val="00C64F99"/>
    <w:rsid w:val="00C6673C"/>
    <w:rsid w:val="00C66758"/>
    <w:rsid w:val="00C66879"/>
    <w:rsid w:val="00C718C7"/>
    <w:rsid w:val="00C7250B"/>
    <w:rsid w:val="00C733AC"/>
    <w:rsid w:val="00C73C74"/>
    <w:rsid w:val="00C73DA6"/>
    <w:rsid w:val="00C75F30"/>
    <w:rsid w:val="00C77635"/>
    <w:rsid w:val="00C81538"/>
    <w:rsid w:val="00C8516D"/>
    <w:rsid w:val="00C86869"/>
    <w:rsid w:val="00C923C1"/>
    <w:rsid w:val="00C93500"/>
    <w:rsid w:val="00C938C0"/>
    <w:rsid w:val="00C94156"/>
    <w:rsid w:val="00C95CCF"/>
    <w:rsid w:val="00C95F14"/>
    <w:rsid w:val="00C96B69"/>
    <w:rsid w:val="00C96BF5"/>
    <w:rsid w:val="00C97DC9"/>
    <w:rsid w:val="00CA351E"/>
    <w:rsid w:val="00CA3691"/>
    <w:rsid w:val="00CA5A2C"/>
    <w:rsid w:val="00CA5B04"/>
    <w:rsid w:val="00CB1DA7"/>
    <w:rsid w:val="00CB344B"/>
    <w:rsid w:val="00CB5873"/>
    <w:rsid w:val="00CB5E7B"/>
    <w:rsid w:val="00CB5FFD"/>
    <w:rsid w:val="00CC0023"/>
    <w:rsid w:val="00CC2B81"/>
    <w:rsid w:val="00CC3BB9"/>
    <w:rsid w:val="00CC5847"/>
    <w:rsid w:val="00CC6AAF"/>
    <w:rsid w:val="00CC72CD"/>
    <w:rsid w:val="00CD189A"/>
    <w:rsid w:val="00CD207C"/>
    <w:rsid w:val="00CD34CD"/>
    <w:rsid w:val="00CD39FC"/>
    <w:rsid w:val="00CD5150"/>
    <w:rsid w:val="00CD5D39"/>
    <w:rsid w:val="00CD6B9C"/>
    <w:rsid w:val="00CE000C"/>
    <w:rsid w:val="00CE0E71"/>
    <w:rsid w:val="00CE1AF7"/>
    <w:rsid w:val="00CE26C7"/>
    <w:rsid w:val="00CE366C"/>
    <w:rsid w:val="00CE40FD"/>
    <w:rsid w:val="00CE5250"/>
    <w:rsid w:val="00CE7C62"/>
    <w:rsid w:val="00CF0302"/>
    <w:rsid w:val="00CF21FE"/>
    <w:rsid w:val="00CF3404"/>
    <w:rsid w:val="00CF47A0"/>
    <w:rsid w:val="00CF7A85"/>
    <w:rsid w:val="00D02EF2"/>
    <w:rsid w:val="00D038A8"/>
    <w:rsid w:val="00D0471E"/>
    <w:rsid w:val="00D06A5F"/>
    <w:rsid w:val="00D06FF9"/>
    <w:rsid w:val="00D11105"/>
    <w:rsid w:val="00D13578"/>
    <w:rsid w:val="00D153C3"/>
    <w:rsid w:val="00D15B66"/>
    <w:rsid w:val="00D1656E"/>
    <w:rsid w:val="00D17A04"/>
    <w:rsid w:val="00D20309"/>
    <w:rsid w:val="00D233DB"/>
    <w:rsid w:val="00D23EE9"/>
    <w:rsid w:val="00D253CA"/>
    <w:rsid w:val="00D2599B"/>
    <w:rsid w:val="00D25E48"/>
    <w:rsid w:val="00D26271"/>
    <w:rsid w:val="00D307C0"/>
    <w:rsid w:val="00D31719"/>
    <w:rsid w:val="00D31ABC"/>
    <w:rsid w:val="00D42A0C"/>
    <w:rsid w:val="00D439B2"/>
    <w:rsid w:val="00D43F8B"/>
    <w:rsid w:val="00D44275"/>
    <w:rsid w:val="00D45F84"/>
    <w:rsid w:val="00D479CC"/>
    <w:rsid w:val="00D52D77"/>
    <w:rsid w:val="00D54B0E"/>
    <w:rsid w:val="00D56905"/>
    <w:rsid w:val="00D57F22"/>
    <w:rsid w:val="00D608DA"/>
    <w:rsid w:val="00D60987"/>
    <w:rsid w:val="00D61222"/>
    <w:rsid w:val="00D615CD"/>
    <w:rsid w:val="00D62721"/>
    <w:rsid w:val="00D67710"/>
    <w:rsid w:val="00D709A3"/>
    <w:rsid w:val="00D70AD6"/>
    <w:rsid w:val="00D70C7F"/>
    <w:rsid w:val="00D7163F"/>
    <w:rsid w:val="00D724F1"/>
    <w:rsid w:val="00D72F92"/>
    <w:rsid w:val="00D73847"/>
    <w:rsid w:val="00D74243"/>
    <w:rsid w:val="00D75802"/>
    <w:rsid w:val="00D80DF0"/>
    <w:rsid w:val="00D827F6"/>
    <w:rsid w:val="00D9068E"/>
    <w:rsid w:val="00D90DAC"/>
    <w:rsid w:val="00D931C7"/>
    <w:rsid w:val="00D9352C"/>
    <w:rsid w:val="00D93873"/>
    <w:rsid w:val="00D93B9D"/>
    <w:rsid w:val="00D93C8B"/>
    <w:rsid w:val="00D95688"/>
    <w:rsid w:val="00D960E5"/>
    <w:rsid w:val="00D96514"/>
    <w:rsid w:val="00D97E4F"/>
    <w:rsid w:val="00DA143F"/>
    <w:rsid w:val="00DA28DA"/>
    <w:rsid w:val="00DA35BD"/>
    <w:rsid w:val="00DA3A24"/>
    <w:rsid w:val="00DA4FB4"/>
    <w:rsid w:val="00DA7E9C"/>
    <w:rsid w:val="00DB032F"/>
    <w:rsid w:val="00DB0593"/>
    <w:rsid w:val="00DB15A0"/>
    <w:rsid w:val="00DB4733"/>
    <w:rsid w:val="00DB49B6"/>
    <w:rsid w:val="00DB55DA"/>
    <w:rsid w:val="00DB5C8C"/>
    <w:rsid w:val="00DB5DF1"/>
    <w:rsid w:val="00DB60C3"/>
    <w:rsid w:val="00DC3D3A"/>
    <w:rsid w:val="00DC4924"/>
    <w:rsid w:val="00DC67D9"/>
    <w:rsid w:val="00DC6AB9"/>
    <w:rsid w:val="00DD0E8E"/>
    <w:rsid w:val="00DD1676"/>
    <w:rsid w:val="00DD16B0"/>
    <w:rsid w:val="00DD1A9B"/>
    <w:rsid w:val="00DD274B"/>
    <w:rsid w:val="00DD4CEC"/>
    <w:rsid w:val="00DD63E8"/>
    <w:rsid w:val="00DD6C65"/>
    <w:rsid w:val="00DE0149"/>
    <w:rsid w:val="00DE08DF"/>
    <w:rsid w:val="00DE16DC"/>
    <w:rsid w:val="00DE28C9"/>
    <w:rsid w:val="00DE306B"/>
    <w:rsid w:val="00DE541D"/>
    <w:rsid w:val="00DE7228"/>
    <w:rsid w:val="00DE795D"/>
    <w:rsid w:val="00DF10E3"/>
    <w:rsid w:val="00DF1387"/>
    <w:rsid w:val="00DF1438"/>
    <w:rsid w:val="00DF332E"/>
    <w:rsid w:val="00DF5118"/>
    <w:rsid w:val="00DF76ED"/>
    <w:rsid w:val="00E01CE0"/>
    <w:rsid w:val="00E01F86"/>
    <w:rsid w:val="00E023F1"/>
    <w:rsid w:val="00E027FA"/>
    <w:rsid w:val="00E051C8"/>
    <w:rsid w:val="00E05D03"/>
    <w:rsid w:val="00E05F25"/>
    <w:rsid w:val="00E05F6E"/>
    <w:rsid w:val="00E06025"/>
    <w:rsid w:val="00E06324"/>
    <w:rsid w:val="00E10D4B"/>
    <w:rsid w:val="00E15357"/>
    <w:rsid w:val="00E15AFF"/>
    <w:rsid w:val="00E16A68"/>
    <w:rsid w:val="00E21773"/>
    <w:rsid w:val="00E22CFD"/>
    <w:rsid w:val="00E246BE"/>
    <w:rsid w:val="00E261CA"/>
    <w:rsid w:val="00E26820"/>
    <w:rsid w:val="00E30175"/>
    <w:rsid w:val="00E306A6"/>
    <w:rsid w:val="00E30776"/>
    <w:rsid w:val="00E30BA5"/>
    <w:rsid w:val="00E311CC"/>
    <w:rsid w:val="00E31C23"/>
    <w:rsid w:val="00E3522D"/>
    <w:rsid w:val="00E352B5"/>
    <w:rsid w:val="00E35D25"/>
    <w:rsid w:val="00E35D4A"/>
    <w:rsid w:val="00E36CE8"/>
    <w:rsid w:val="00E36DC1"/>
    <w:rsid w:val="00E4007D"/>
    <w:rsid w:val="00E4197C"/>
    <w:rsid w:val="00E43B36"/>
    <w:rsid w:val="00E44D36"/>
    <w:rsid w:val="00E44DA7"/>
    <w:rsid w:val="00E4648C"/>
    <w:rsid w:val="00E46C63"/>
    <w:rsid w:val="00E46F83"/>
    <w:rsid w:val="00E47790"/>
    <w:rsid w:val="00E50D68"/>
    <w:rsid w:val="00E52957"/>
    <w:rsid w:val="00E52EDC"/>
    <w:rsid w:val="00E540AC"/>
    <w:rsid w:val="00E55AE0"/>
    <w:rsid w:val="00E56046"/>
    <w:rsid w:val="00E56202"/>
    <w:rsid w:val="00E60CE1"/>
    <w:rsid w:val="00E61CFA"/>
    <w:rsid w:val="00E635BB"/>
    <w:rsid w:val="00E639CA"/>
    <w:rsid w:val="00E640A7"/>
    <w:rsid w:val="00E649D1"/>
    <w:rsid w:val="00E64CA0"/>
    <w:rsid w:val="00E65AD1"/>
    <w:rsid w:val="00E707EA"/>
    <w:rsid w:val="00E7374B"/>
    <w:rsid w:val="00E73BED"/>
    <w:rsid w:val="00E73E6D"/>
    <w:rsid w:val="00E74934"/>
    <w:rsid w:val="00E76D2F"/>
    <w:rsid w:val="00E77FAA"/>
    <w:rsid w:val="00E83FA4"/>
    <w:rsid w:val="00E858A2"/>
    <w:rsid w:val="00E8593D"/>
    <w:rsid w:val="00E87C59"/>
    <w:rsid w:val="00E90B90"/>
    <w:rsid w:val="00E9197D"/>
    <w:rsid w:val="00E91B91"/>
    <w:rsid w:val="00E93A00"/>
    <w:rsid w:val="00E945C7"/>
    <w:rsid w:val="00E94B8D"/>
    <w:rsid w:val="00E959EE"/>
    <w:rsid w:val="00E96422"/>
    <w:rsid w:val="00E96B70"/>
    <w:rsid w:val="00E97957"/>
    <w:rsid w:val="00EA1786"/>
    <w:rsid w:val="00EA3E90"/>
    <w:rsid w:val="00EA49AA"/>
    <w:rsid w:val="00EA7BB0"/>
    <w:rsid w:val="00EB06DC"/>
    <w:rsid w:val="00EB0DBC"/>
    <w:rsid w:val="00EB208C"/>
    <w:rsid w:val="00EB2952"/>
    <w:rsid w:val="00EB3EC7"/>
    <w:rsid w:val="00EB4A11"/>
    <w:rsid w:val="00EB5B17"/>
    <w:rsid w:val="00EB6DC3"/>
    <w:rsid w:val="00EB732A"/>
    <w:rsid w:val="00EC08CA"/>
    <w:rsid w:val="00EC24E4"/>
    <w:rsid w:val="00EC456A"/>
    <w:rsid w:val="00EC6456"/>
    <w:rsid w:val="00EC6683"/>
    <w:rsid w:val="00EC735A"/>
    <w:rsid w:val="00EC7D7D"/>
    <w:rsid w:val="00ED2163"/>
    <w:rsid w:val="00ED2DDC"/>
    <w:rsid w:val="00ED2F5B"/>
    <w:rsid w:val="00ED427C"/>
    <w:rsid w:val="00ED5546"/>
    <w:rsid w:val="00ED6511"/>
    <w:rsid w:val="00EE184D"/>
    <w:rsid w:val="00EE2F25"/>
    <w:rsid w:val="00EE637A"/>
    <w:rsid w:val="00EE68B1"/>
    <w:rsid w:val="00EF1EE0"/>
    <w:rsid w:val="00EF37D0"/>
    <w:rsid w:val="00EF4776"/>
    <w:rsid w:val="00EF48F6"/>
    <w:rsid w:val="00EF492A"/>
    <w:rsid w:val="00EF508C"/>
    <w:rsid w:val="00EF53ED"/>
    <w:rsid w:val="00F0108C"/>
    <w:rsid w:val="00F01A62"/>
    <w:rsid w:val="00F044AE"/>
    <w:rsid w:val="00F06706"/>
    <w:rsid w:val="00F07DBC"/>
    <w:rsid w:val="00F10DE0"/>
    <w:rsid w:val="00F12142"/>
    <w:rsid w:val="00F121B4"/>
    <w:rsid w:val="00F1226F"/>
    <w:rsid w:val="00F1303D"/>
    <w:rsid w:val="00F13EFC"/>
    <w:rsid w:val="00F1508F"/>
    <w:rsid w:val="00F15885"/>
    <w:rsid w:val="00F166A4"/>
    <w:rsid w:val="00F178E3"/>
    <w:rsid w:val="00F204E1"/>
    <w:rsid w:val="00F205FE"/>
    <w:rsid w:val="00F20ADE"/>
    <w:rsid w:val="00F20F94"/>
    <w:rsid w:val="00F2111F"/>
    <w:rsid w:val="00F23AF8"/>
    <w:rsid w:val="00F247DF"/>
    <w:rsid w:val="00F312F7"/>
    <w:rsid w:val="00F366CE"/>
    <w:rsid w:val="00F36821"/>
    <w:rsid w:val="00F36D61"/>
    <w:rsid w:val="00F40005"/>
    <w:rsid w:val="00F4267D"/>
    <w:rsid w:val="00F43649"/>
    <w:rsid w:val="00F43A4B"/>
    <w:rsid w:val="00F446AF"/>
    <w:rsid w:val="00F50D66"/>
    <w:rsid w:val="00F526B2"/>
    <w:rsid w:val="00F52711"/>
    <w:rsid w:val="00F52DC8"/>
    <w:rsid w:val="00F62772"/>
    <w:rsid w:val="00F63684"/>
    <w:rsid w:val="00F638B2"/>
    <w:rsid w:val="00F63ABB"/>
    <w:rsid w:val="00F63B8D"/>
    <w:rsid w:val="00F653BE"/>
    <w:rsid w:val="00F6588F"/>
    <w:rsid w:val="00F65F16"/>
    <w:rsid w:val="00F705AB"/>
    <w:rsid w:val="00F7111F"/>
    <w:rsid w:val="00F73221"/>
    <w:rsid w:val="00F73768"/>
    <w:rsid w:val="00F74723"/>
    <w:rsid w:val="00F76277"/>
    <w:rsid w:val="00F766CE"/>
    <w:rsid w:val="00F77172"/>
    <w:rsid w:val="00F77CD7"/>
    <w:rsid w:val="00F81DB5"/>
    <w:rsid w:val="00F82FF6"/>
    <w:rsid w:val="00F83222"/>
    <w:rsid w:val="00F843A0"/>
    <w:rsid w:val="00F8454B"/>
    <w:rsid w:val="00F85406"/>
    <w:rsid w:val="00F85790"/>
    <w:rsid w:val="00F9473F"/>
    <w:rsid w:val="00F95019"/>
    <w:rsid w:val="00F9523F"/>
    <w:rsid w:val="00F9623B"/>
    <w:rsid w:val="00FA16E2"/>
    <w:rsid w:val="00FA173E"/>
    <w:rsid w:val="00FA312C"/>
    <w:rsid w:val="00FA3ACF"/>
    <w:rsid w:val="00FA3F41"/>
    <w:rsid w:val="00FA456E"/>
    <w:rsid w:val="00FA4747"/>
    <w:rsid w:val="00FB0643"/>
    <w:rsid w:val="00FB1F56"/>
    <w:rsid w:val="00FB1F7B"/>
    <w:rsid w:val="00FB215E"/>
    <w:rsid w:val="00FB21C8"/>
    <w:rsid w:val="00FB5C88"/>
    <w:rsid w:val="00FC233D"/>
    <w:rsid w:val="00FC3974"/>
    <w:rsid w:val="00FC4C13"/>
    <w:rsid w:val="00FD0032"/>
    <w:rsid w:val="00FD45F7"/>
    <w:rsid w:val="00FD5DCE"/>
    <w:rsid w:val="00FD6099"/>
    <w:rsid w:val="00FD6838"/>
    <w:rsid w:val="00FD7F9D"/>
    <w:rsid w:val="00FE27AC"/>
    <w:rsid w:val="00FE39BB"/>
    <w:rsid w:val="00FE3EE8"/>
    <w:rsid w:val="00FE41B8"/>
    <w:rsid w:val="00FE6147"/>
    <w:rsid w:val="00FE77D9"/>
    <w:rsid w:val="00FE7D7A"/>
    <w:rsid w:val="00FE7F98"/>
    <w:rsid w:val="00FF1239"/>
    <w:rsid w:val="00FF1FC4"/>
    <w:rsid w:val="00FF2AB6"/>
    <w:rsid w:val="00FF3C80"/>
    <w:rsid w:val="00FF49AF"/>
    <w:rsid w:val="00FF4A18"/>
    <w:rsid w:val="00FF6014"/>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51A2"/>
  <w15:chartTrackingRefBased/>
  <w15:docId w15:val="{278C2FFA-294B-46A9-9BC4-22BD2FCA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8D"/>
    <w:rPr>
      <w:rFonts w:ascii="Times New Roman" w:hAnsi="Times New Roman"/>
      <w:sz w:val="24"/>
      <w:szCs w:val="24"/>
      <w:lang w:val="lv-LV" w:eastAsia="lv-LV"/>
    </w:rPr>
  </w:style>
  <w:style w:type="paragraph" w:styleId="Heading3">
    <w:name w:val="heading 3"/>
    <w:basedOn w:val="Normal"/>
    <w:link w:val="Heading3Char"/>
    <w:uiPriority w:val="9"/>
    <w:qFormat/>
    <w:rsid w:val="00DB5DF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c">
    <w:name w:val="naisc"/>
    <w:basedOn w:val="Normal"/>
    <w:rsid w:val="00F63B8D"/>
    <w:pPr>
      <w:spacing w:before="100" w:beforeAutospacing="1" w:after="100" w:afterAutospacing="1"/>
    </w:pPr>
  </w:style>
  <w:style w:type="paragraph" w:styleId="Header">
    <w:name w:val="header"/>
    <w:basedOn w:val="Normal"/>
    <w:link w:val="HeaderChar"/>
    <w:rsid w:val="00F63B8D"/>
    <w:pPr>
      <w:tabs>
        <w:tab w:val="center" w:pos="4153"/>
        <w:tab w:val="right" w:pos="8306"/>
      </w:tabs>
    </w:pPr>
    <w:rPr>
      <w:lang w:val="x-none"/>
    </w:rPr>
  </w:style>
  <w:style w:type="character" w:customStyle="1" w:styleId="HeaderChar">
    <w:name w:val="Header Char"/>
    <w:link w:val="Header"/>
    <w:rsid w:val="00F63B8D"/>
    <w:rPr>
      <w:rFonts w:ascii="Times New Roman" w:eastAsia="Calibri" w:hAnsi="Times New Roman" w:cs="Times New Roman"/>
      <w:sz w:val="24"/>
      <w:szCs w:val="24"/>
      <w:lang w:eastAsia="lv-LV"/>
    </w:rPr>
  </w:style>
  <w:style w:type="character" w:styleId="PageNumber">
    <w:name w:val="page number"/>
    <w:rsid w:val="00F63B8D"/>
    <w:rPr>
      <w:rFonts w:cs="Times New Roman"/>
    </w:rPr>
  </w:style>
  <w:style w:type="character" w:styleId="Hyperlink">
    <w:name w:val="Hyperlink"/>
    <w:uiPriority w:val="99"/>
    <w:rsid w:val="00F63B8D"/>
    <w:rPr>
      <w:rFonts w:cs="Times New Roman"/>
      <w:color w:val="0000FF"/>
      <w:u w:val="single"/>
    </w:rPr>
  </w:style>
  <w:style w:type="paragraph" w:styleId="BodyText2">
    <w:name w:val="Body Text 2"/>
    <w:basedOn w:val="Normal"/>
    <w:link w:val="BodyText2Char"/>
    <w:semiHidden/>
    <w:rsid w:val="00F63B8D"/>
    <w:pPr>
      <w:widowControl w:val="0"/>
      <w:adjustRightInd w:val="0"/>
      <w:spacing w:line="360" w:lineRule="atLeast"/>
      <w:jc w:val="center"/>
      <w:textAlignment w:val="baseline"/>
    </w:pPr>
    <w:rPr>
      <w:b/>
      <w:bCs/>
      <w:sz w:val="28"/>
      <w:szCs w:val="28"/>
      <w:lang w:val="x-none" w:eastAsia="x-none"/>
    </w:rPr>
  </w:style>
  <w:style w:type="character" w:customStyle="1" w:styleId="BodyText2Char">
    <w:name w:val="Body Text 2 Char"/>
    <w:link w:val="BodyText2"/>
    <w:semiHidden/>
    <w:rsid w:val="00F63B8D"/>
    <w:rPr>
      <w:rFonts w:ascii="Times New Roman" w:eastAsia="Calibri" w:hAnsi="Times New Roman" w:cs="Times New Roman"/>
      <w:b/>
      <w:bCs/>
      <w:sz w:val="28"/>
      <w:szCs w:val="28"/>
    </w:rPr>
  </w:style>
  <w:style w:type="paragraph" w:styleId="Footer">
    <w:name w:val="footer"/>
    <w:basedOn w:val="Normal"/>
    <w:link w:val="FooterChar"/>
    <w:uiPriority w:val="99"/>
    <w:semiHidden/>
    <w:unhideWhenUsed/>
    <w:rsid w:val="00D253CA"/>
    <w:pPr>
      <w:tabs>
        <w:tab w:val="center" w:pos="4153"/>
        <w:tab w:val="right" w:pos="8306"/>
      </w:tabs>
    </w:pPr>
    <w:rPr>
      <w:lang w:val="x-none" w:eastAsia="x-none"/>
    </w:rPr>
  </w:style>
  <w:style w:type="character" w:customStyle="1" w:styleId="FooterChar">
    <w:name w:val="Footer Char"/>
    <w:link w:val="Footer"/>
    <w:uiPriority w:val="99"/>
    <w:semiHidden/>
    <w:rsid w:val="00D253CA"/>
    <w:rPr>
      <w:rFonts w:ascii="Times New Roman" w:hAnsi="Times New Roman"/>
      <w:sz w:val="24"/>
      <w:szCs w:val="24"/>
    </w:rPr>
  </w:style>
  <w:style w:type="table" w:styleId="TableGrid">
    <w:name w:val="Table Grid"/>
    <w:basedOn w:val="TableNormal"/>
    <w:uiPriority w:val="59"/>
    <w:rsid w:val="00084A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52842"/>
    <w:pPr>
      <w:spacing w:before="100" w:beforeAutospacing="1" w:after="100" w:afterAutospacing="1"/>
    </w:pPr>
    <w:rPr>
      <w:rFonts w:ascii="Verdana" w:eastAsia="Times New Roman" w:hAnsi="Verdana"/>
      <w:sz w:val="18"/>
      <w:szCs w:val="18"/>
    </w:rPr>
  </w:style>
  <w:style w:type="paragraph" w:styleId="BodyText">
    <w:name w:val="Body Text"/>
    <w:basedOn w:val="Normal"/>
    <w:link w:val="BodyTextChar"/>
    <w:rsid w:val="00767C41"/>
    <w:pPr>
      <w:spacing w:after="120"/>
    </w:pPr>
    <w:rPr>
      <w:lang w:val="x-none" w:eastAsia="x-none"/>
    </w:rPr>
  </w:style>
  <w:style w:type="character" w:customStyle="1" w:styleId="BodyTextChar">
    <w:name w:val="Body Text Char"/>
    <w:link w:val="BodyText"/>
    <w:rsid w:val="00767C41"/>
    <w:rPr>
      <w:rFonts w:ascii="Times New Roman" w:hAnsi="Times New Roman"/>
      <w:sz w:val="24"/>
      <w:szCs w:val="24"/>
    </w:rPr>
  </w:style>
  <w:style w:type="character" w:styleId="CommentReference">
    <w:name w:val="annotation reference"/>
    <w:semiHidden/>
    <w:unhideWhenUsed/>
    <w:rsid w:val="00B56A70"/>
    <w:rPr>
      <w:sz w:val="16"/>
      <w:szCs w:val="16"/>
    </w:rPr>
  </w:style>
  <w:style w:type="paragraph" w:styleId="CommentText">
    <w:name w:val="annotation text"/>
    <w:basedOn w:val="Normal"/>
    <w:link w:val="CommentTextChar"/>
    <w:unhideWhenUsed/>
    <w:rsid w:val="00B56A70"/>
    <w:rPr>
      <w:sz w:val="20"/>
      <w:szCs w:val="20"/>
      <w:lang w:val="x-none" w:eastAsia="x-none"/>
    </w:rPr>
  </w:style>
  <w:style w:type="paragraph" w:styleId="BalloonText">
    <w:name w:val="Balloon Text"/>
    <w:basedOn w:val="Normal"/>
    <w:semiHidden/>
    <w:rsid w:val="00B56A70"/>
    <w:rPr>
      <w:rFonts w:ascii="Tahoma" w:hAnsi="Tahoma" w:cs="Tahoma"/>
      <w:sz w:val="16"/>
      <w:szCs w:val="16"/>
    </w:rPr>
  </w:style>
  <w:style w:type="character" w:styleId="FollowedHyperlink">
    <w:name w:val="FollowedHyperlink"/>
    <w:rsid w:val="00AF49AD"/>
    <w:rPr>
      <w:color w:val="800080"/>
      <w:u w:val="single"/>
    </w:rPr>
  </w:style>
  <w:style w:type="character" w:styleId="Strong">
    <w:name w:val="Strong"/>
    <w:qFormat/>
    <w:rsid w:val="00BD3238"/>
    <w:rPr>
      <w:b/>
      <w:bCs/>
    </w:rPr>
  </w:style>
  <w:style w:type="character" w:customStyle="1" w:styleId="FontStyle17">
    <w:name w:val="Font Style17"/>
    <w:rsid w:val="004943B2"/>
    <w:rPr>
      <w:rFonts w:ascii="Times New Roman" w:hAnsi="Times New Roman" w:cs="Times New Roman"/>
      <w:sz w:val="20"/>
      <w:szCs w:val="20"/>
    </w:rPr>
  </w:style>
  <w:style w:type="paragraph" w:styleId="ListParagraph">
    <w:name w:val="List Paragraph"/>
    <w:aliases w:val="2,Strip,H&amp;P List Paragraph"/>
    <w:basedOn w:val="Normal"/>
    <w:link w:val="ListParagraphChar"/>
    <w:uiPriority w:val="99"/>
    <w:qFormat/>
    <w:rsid w:val="005C04AE"/>
    <w:pPr>
      <w:ind w:left="720"/>
      <w:contextualSpacing/>
    </w:pPr>
    <w:rPr>
      <w:rFonts w:eastAsia="Times New Roman"/>
      <w:sz w:val="22"/>
      <w:szCs w:val="22"/>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rsid w:val="005C04AE"/>
    <w:rPr>
      <w:rFonts w:eastAsia="Times New Roman"/>
      <w:sz w:val="20"/>
      <w:szCs w:val="20"/>
      <w:lang w:val="en-AU"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5C04AE"/>
    <w:rPr>
      <w:rFonts w:ascii="Times New Roman" w:eastAsia="Times New Roman" w:hAnsi="Times New Roman"/>
      <w:lang w:val="en-AU"/>
    </w:rPr>
  </w:style>
  <w:style w:type="character" w:styleId="FootnoteReference">
    <w:name w:val="footnote reference"/>
    <w:aliases w:val="Footnote Reference Number,SUPERS,Char1,Ref,de nota al pie,Footnote symbol,Footnote Reference Superscript,Footnote Refernece,ftref,Odwołanie przypisu,BVI fnr,Footnotes refss,-E Fußnotenzeichen,Footnote reference number,Times 10 Point,E"/>
    <w:uiPriority w:val="99"/>
    <w:rsid w:val="005C04AE"/>
    <w:rPr>
      <w:vertAlign w:val="superscript"/>
    </w:rPr>
  </w:style>
  <w:style w:type="character" w:customStyle="1" w:styleId="tvhtml">
    <w:name w:val="tv_html"/>
    <w:rsid w:val="003908DB"/>
  </w:style>
  <w:style w:type="paragraph" w:customStyle="1" w:styleId="naiskr">
    <w:name w:val="naiskr"/>
    <w:basedOn w:val="Normal"/>
    <w:rsid w:val="00330C43"/>
    <w:pPr>
      <w:spacing w:before="100" w:beforeAutospacing="1" w:after="100" w:afterAutospacing="1"/>
    </w:pPr>
    <w:rPr>
      <w:rFonts w:eastAsia="Times New Roman"/>
    </w:rPr>
  </w:style>
  <w:style w:type="paragraph" w:customStyle="1" w:styleId="naisnod">
    <w:name w:val="naisnod"/>
    <w:basedOn w:val="Normal"/>
    <w:rsid w:val="00330C43"/>
    <w:pPr>
      <w:spacing w:before="100" w:beforeAutospacing="1" w:after="100" w:afterAutospacing="1"/>
    </w:pPr>
    <w:rPr>
      <w:rFonts w:eastAsia="Times New Roman"/>
    </w:rPr>
  </w:style>
  <w:style w:type="character" w:customStyle="1" w:styleId="ListParagraphChar">
    <w:name w:val="List Paragraph Char"/>
    <w:aliases w:val="2 Char,Strip Char,H&amp;P List Paragraph Char"/>
    <w:link w:val="ListParagraph"/>
    <w:uiPriority w:val="99"/>
    <w:rsid w:val="000503D4"/>
    <w:rPr>
      <w:rFonts w:ascii="Times New Roman" w:eastAsia="Times New Roman" w:hAnsi="Times New Roman"/>
      <w:sz w:val="22"/>
      <w:szCs w:val="22"/>
      <w:lang w:val="lv-LV" w:eastAsia="lv-LV"/>
    </w:rPr>
  </w:style>
  <w:style w:type="paragraph" w:styleId="CommentSubject">
    <w:name w:val="annotation subject"/>
    <w:basedOn w:val="CommentText"/>
    <w:next w:val="CommentText"/>
    <w:link w:val="CommentSubjectChar"/>
    <w:uiPriority w:val="99"/>
    <w:semiHidden/>
    <w:unhideWhenUsed/>
    <w:rsid w:val="001A5867"/>
    <w:rPr>
      <w:b/>
      <w:bCs/>
    </w:rPr>
  </w:style>
  <w:style w:type="character" w:customStyle="1" w:styleId="CommentTextChar">
    <w:name w:val="Comment Text Char"/>
    <w:link w:val="CommentText"/>
    <w:rsid w:val="001A5867"/>
    <w:rPr>
      <w:rFonts w:ascii="Times New Roman" w:hAnsi="Times New Roman"/>
    </w:rPr>
  </w:style>
  <w:style w:type="character" w:customStyle="1" w:styleId="CommentSubjectChar">
    <w:name w:val="Comment Subject Char"/>
    <w:basedOn w:val="CommentTextChar"/>
    <w:link w:val="CommentSubject"/>
    <w:rsid w:val="001A5867"/>
    <w:rPr>
      <w:rFonts w:ascii="Times New Roman" w:hAnsi="Times New Roman"/>
    </w:rPr>
  </w:style>
  <w:style w:type="paragraph" w:customStyle="1" w:styleId="naisf">
    <w:name w:val="naisf"/>
    <w:basedOn w:val="Normal"/>
    <w:rsid w:val="00B520ED"/>
    <w:pPr>
      <w:spacing w:before="100" w:beforeAutospacing="1" w:after="100" w:afterAutospacing="1"/>
    </w:pPr>
    <w:rPr>
      <w:rFonts w:eastAsia="Times New Roman"/>
    </w:rPr>
  </w:style>
  <w:style w:type="paragraph" w:customStyle="1" w:styleId="CM4">
    <w:name w:val="CM4"/>
    <w:basedOn w:val="Normal"/>
    <w:uiPriority w:val="99"/>
    <w:rsid w:val="00FB215E"/>
    <w:pPr>
      <w:autoSpaceDE w:val="0"/>
      <w:autoSpaceDN w:val="0"/>
    </w:pPr>
    <w:rPr>
      <w:rFonts w:ascii="EUAlbertina" w:hAnsi="EUAlbertina"/>
      <w:lang w:val="en-US" w:eastAsia="en-US"/>
    </w:rPr>
  </w:style>
  <w:style w:type="paragraph" w:customStyle="1" w:styleId="Default">
    <w:name w:val="Default"/>
    <w:rsid w:val="00D45F84"/>
    <w:pPr>
      <w:autoSpaceDE w:val="0"/>
      <w:autoSpaceDN w:val="0"/>
      <w:adjustRightInd w:val="0"/>
    </w:pPr>
    <w:rPr>
      <w:rFonts w:ascii="Times New Roman" w:hAnsi="Times New Roman"/>
      <w:color w:val="000000"/>
      <w:sz w:val="24"/>
      <w:szCs w:val="24"/>
      <w:lang w:val="lv-LV" w:eastAsia="lv-LV"/>
    </w:rPr>
  </w:style>
  <w:style w:type="character" w:customStyle="1" w:styleId="cspklasifikatorscodename">
    <w:name w:val="csp_klasifikators_code_name"/>
    <w:rsid w:val="00D45F84"/>
  </w:style>
  <w:style w:type="character" w:customStyle="1" w:styleId="msoins0">
    <w:name w:val="msoins"/>
    <w:rsid w:val="00D45F84"/>
  </w:style>
  <w:style w:type="character" w:customStyle="1" w:styleId="Heading3Char">
    <w:name w:val="Heading 3 Char"/>
    <w:link w:val="Heading3"/>
    <w:uiPriority w:val="9"/>
    <w:rsid w:val="00DB5DF1"/>
    <w:rPr>
      <w:rFonts w:ascii="Times New Roman" w:eastAsia="Times New Roman" w:hAnsi="Times New Roman"/>
      <w:b/>
      <w:bCs/>
      <w:sz w:val="27"/>
      <w:szCs w:val="27"/>
    </w:rPr>
  </w:style>
  <w:style w:type="paragraph" w:customStyle="1" w:styleId="tv213">
    <w:name w:val="tv213"/>
    <w:basedOn w:val="Normal"/>
    <w:rsid w:val="00225563"/>
    <w:pPr>
      <w:spacing w:before="100" w:beforeAutospacing="1" w:after="100" w:afterAutospacing="1"/>
    </w:pPr>
  </w:style>
  <w:style w:type="paragraph" w:styleId="Revision">
    <w:name w:val="Revision"/>
    <w:hidden/>
    <w:uiPriority w:val="99"/>
    <w:semiHidden/>
    <w:rsid w:val="00D2599B"/>
    <w:rPr>
      <w:rFonts w:ascii="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6548">
      <w:bodyDiv w:val="1"/>
      <w:marLeft w:val="0"/>
      <w:marRight w:val="0"/>
      <w:marTop w:val="0"/>
      <w:marBottom w:val="0"/>
      <w:divBdr>
        <w:top w:val="none" w:sz="0" w:space="0" w:color="auto"/>
        <w:left w:val="none" w:sz="0" w:space="0" w:color="auto"/>
        <w:bottom w:val="none" w:sz="0" w:space="0" w:color="auto"/>
        <w:right w:val="none" w:sz="0" w:space="0" w:color="auto"/>
      </w:divBdr>
    </w:div>
    <w:div w:id="279342161">
      <w:bodyDiv w:val="1"/>
      <w:marLeft w:val="0"/>
      <w:marRight w:val="0"/>
      <w:marTop w:val="0"/>
      <w:marBottom w:val="0"/>
      <w:divBdr>
        <w:top w:val="none" w:sz="0" w:space="0" w:color="auto"/>
        <w:left w:val="none" w:sz="0" w:space="0" w:color="auto"/>
        <w:bottom w:val="none" w:sz="0" w:space="0" w:color="auto"/>
        <w:right w:val="none" w:sz="0" w:space="0" w:color="auto"/>
      </w:divBdr>
    </w:div>
    <w:div w:id="497113473">
      <w:bodyDiv w:val="1"/>
      <w:marLeft w:val="0"/>
      <w:marRight w:val="0"/>
      <w:marTop w:val="0"/>
      <w:marBottom w:val="0"/>
      <w:divBdr>
        <w:top w:val="none" w:sz="0" w:space="0" w:color="auto"/>
        <w:left w:val="none" w:sz="0" w:space="0" w:color="auto"/>
        <w:bottom w:val="none" w:sz="0" w:space="0" w:color="auto"/>
        <w:right w:val="none" w:sz="0" w:space="0" w:color="auto"/>
      </w:divBdr>
    </w:div>
    <w:div w:id="513304631">
      <w:bodyDiv w:val="1"/>
      <w:marLeft w:val="0"/>
      <w:marRight w:val="0"/>
      <w:marTop w:val="0"/>
      <w:marBottom w:val="0"/>
      <w:divBdr>
        <w:top w:val="none" w:sz="0" w:space="0" w:color="auto"/>
        <w:left w:val="none" w:sz="0" w:space="0" w:color="auto"/>
        <w:bottom w:val="none" w:sz="0" w:space="0" w:color="auto"/>
        <w:right w:val="none" w:sz="0" w:space="0" w:color="auto"/>
      </w:divBdr>
    </w:div>
    <w:div w:id="656885945">
      <w:bodyDiv w:val="1"/>
      <w:marLeft w:val="0"/>
      <w:marRight w:val="0"/>
      <w:marTop w:val="0"/>
      <w:marBottom w:val="0"/>
      <w:divBdr>
        <w:top w:val="none" w:sz="0" w:space="0" w:color="auto"/>
        <w:left w:val="none" w:sz="0" w:space="0" w:color="auto"/>
        <w:bottom w:val="none" w:sz="0" w:space="0" w:color="auto"/>
        <w:right w:val="none" w:sz="0" w:space="0" w:color="auto"/>
      </w:divBdr>
    </w:div>
    <w:div w:id="931204897">
      <w:bodyDiv w:val="1"/>
      <w:marLeft w:val="0"/>
      <w:marRight w:val="0"/>
      <w:marTop w:val="0"/>
      <w:marBottom w:val="0"/>
      <w:divBdr>
        <w:top w:val="none" w:sz="0" w:space="0" w:color="auto"/>
        <w:left w:val="none" w:sz="0" w:space="0" w:color="auto"/>
        <w:bottom w:val="none" w:sz="0" w:space="0" w:color="auto"/>
        <w:right w:val="none" w:sz="0" w:space="0" w:color="auto"/>
      </w:divBdr>
      <w:divsChild>
        <w:div w:id="284315361">
          <w:marLeft w:val="0"/>
          <w:marRight w:val="0"/>
          <w:marTop w:val="0"/>
          <w:marBottom w:val="0"/>
          <w:divBdr>
            <w:top w:val="none" w:sz="0" w:space="0" w:color="auto"/>
            <w:left w:val="none" w:sz="0" w:space="0" w:color="auto"/>
            <w:bottom w:val="none" w:sz="0" w:space="0" w:color="auto"/>
            <w:right w:val="none" w:sz="0" w:space="0" w:color="auto"/>
          </w:divBdr>
          <w:divsChild>
            <w:div w:id="1729382188">
              <w:marLeft w:val="0"/>
              <w:marRight w:val="0"/>
              <w:marTop w:val="0"/>
              <w:marBottom w:val="0"/>
              <w:divBdr>
                <w:top w:val="none" w:sz="0" w:space="0" w:color="auto"/>
                <w:left w:val="none" w:sz="0" w:space="0" w:color="auto"/>
                <w:bottom w:val="none" w:sz="0" w:space="0" w:color="auto"/>
                <w:right w:val="none" w:sz="0" w:space="0" w:color="auto"/>
              </w:divBdr>
              <w:divsChild>
                <w:div w:id="811749191">
                  <w:marLeft w:val="0"/>
                  <w:marRight w:val="0"/>
                  <w:marTop w:val="0"/>
                  <w:marBottom w:val="0"/>
                  <w:divBdr>
                    <w:top w:val="none" w:sz="0" w:space="0" w:color="auto"/>
                    <w:left w:val="none" w:sz="0" w:space="0" w:color="auto"/>
                    <w:bottom w:val="none" w:sz="0" w:space="0" w:color="auto"/>
                    <w:right w:val="none" w:sz="0" w:space="0" w:color="auto"/>
                  </w:divBdr>
                  <w:divsChild>
                    <w:div w:id="2028097176">
                      <w:marLeft w:val="0"/>
                      <w:marRight w:val="0"/>
                      <w:marTop w:val="0"/>
                      <w:marBottom w:val="0"/>
                      <w:divBdr>
                        <w:top w:val="none" w:sz="0" w:space="0" w:color="auto"/>
                        <w:left w:val="none" w:sz="0" w:space="0" w:color="auto"/>
                        <w:bottom w:val="none" w:sz="0" w:space="0" w:color="auto"/>
                        <w:right w:val="none" w:sz="0" w:space="0" w:color="auto"/>
                      </w:divBdr>
                      <w:divsChild>
                        <w:div w:id="1499924307">
                          <w:marLeft w:val="0"/>
                          <w:marRight w:val="0"/>
                          <w:marTop w:val="300"/>
                          <w:marBottom w:val="0"/>
                          <w:divBdr>
                            <w:top w:val="none" w:sz="0" w:space="0" w:color="auto"/>
                            <w:left w:val="none" w:sz="0" w:space="0" w:color="auto"/>
                            <w:bottom w:val="none" w:sz="0" w:space="0" w:color="auto"/>
                            <w:right w:val="none" w:sz="0" w:space="0" w:color="auto"/>
                          </w:divBdr>
                          <w:divsChild>
                            <w:div w:id="201814434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801172">
      <w:bodyDiv w:val="1"/>
      <w:marLeft w:val="0"/>
      <w:marRight w:val="0"/>
      <w:marTop w:val="0"/>
      <w:marBottom w:val="0"/>
      <w:divBdr>
        <w:top w:val="none" w:sz="0" w:space="0" w:color="auto"/>
        <w:left w:val="none" w:sz="0" w:space="0" w:color="auto"/>
        <w:bottom w:val="none" w:sz="0" w:space="0" w:color="auto"/>
        <w:right w:val="none" w:sz="0" w:space="0" w:color="auto"/>
      </w:divBdr>
    </w:div>
    <w:div w:id="1220628647">
      <w:bodyDiv w:val="1"/>
      <w:marLeft w:val="0"/>
      <w:marRight w:val="0"/>
      <w:marTop w:val="0"/>
      <w:marBottom w:val="0"/>
      <w:divBdr>
        <w:top w:val="none" w:sz="0" w:space="0" w:color="auto"/>
        <w:left w:val="none" w:sz="0" w:space="0" w:color="auto"/>
        <w:bottom w:val="none" w:sz="0" w:space="0" w:color="auto"/>
        <w:right w:val="none" w:sz="0" w:space="0" w:color="auto"/>
      </w:divBdr>
    </w:div>
    <w:div w:id="1281110714">
      <w:bodyDiv w:val="1"/>
      <w:marLeft w:val="0"/>
      <w:marRight w:val="0"/>
      <w:marTop w:val="0"/>
      <w:marBottom w:val="0"/>
      <w:divBdr>
        <w:top w:val="none" w:sz="0" w:space="0" w:color="auto"/>
        <w:left w:val="none" w:sz="0" w:space="0" w:color="auto"/>
        <w:bottom w:val="none" w:sz="0" w:space="0" w:color="auto"/>
        <w:right w:val="none" w:sz="0" w:space="0" w:color="auto"/>
      </w:divBdr>
    </w:div>
    <w:div w:id="1310867550">
      <w:bodyDiv w:val="1"/>
      <w:marLeft w:val="0"/>
      <w:marRight w:val="0"/>
      <w:marTop w:val="0"/>
      <w:marBottom w:val="0"/>
      <w:divBdr>
        <w:top w:val="none" w:sz="0" w:space="0" w:color="auto"/>
        <w:left w:val="none" w:sz="0" w:space="0" w:color="auto"/>
        <w:bottom w:val="none" w:sz="0" w:space="0" w:color="auto"/>
        <w:right w:val="none" w:sz="0" w:space="0" w:color="auto"/>
      </w:divBdr>
    </w:div>
    <w:div w:id="1807315001">
      <w:bodyDiv w:val="1"/>
      <w:marLeft w:val="0"/>
      <w:marRight w:val="0"/>
      <w:marTop w:val="0"/>
      <w:marBottom w:val="0"/>
      <w:divBdr>
        <w:top w:val="none" w:sz="0" w:space="0" w:color="auto"/>
        <w:left w:val="none" w:sz="0" w:space="0" w:color="auto"/>
        <w:bottom w:val="none" w:sz="0" w:space="0" w:color="auto"/>
        <w:right w:val="none" w:sz="0" w:space="0" w:color="auto"/>
      </w:divBdr>
    </w:div>
    <w:div w:id="1811046879">
      <w:bodyDiv w:val="1"/>
      <w:marLeft w:val="0"/>
      <w:marRight w:val="0"/>
      <w:marTop w:val="0"/>
      <w:marBottom w:val="0"/>
      <w:divBdr>
        <w:top w:val="none" w:sz="0" w:space="0" w:color="auto"/>
        <w:left w:val="none" w:sz="0" w:space="0" w:color="auto"/>
        <w:bottom w:val="none" w:sz="0" w:space="0" w:color="auto"/>
        <w:right w:val="none" w:sz="0" w:space="0" w:color="auto"/>
      </w:divBdr>
    </w:div>
    <w:div w:id="1834447357">
      <w:bodyDiv w:val="1"/>
      <w:marLeft w:val="0"/>
      <w:marRight w:val="0"/>
      <w:marTop w:val="0"/>
      <w:marBottom w:val="0"/>
      <w:divBdr>
        <w:top w:val="none" w:sz="0" w:space="0" w:color="auto"/>
        <w:left w:val="none" w:sz="0" w:space="0" w:color="auto"/>
        <w:bottom w:val="none" w:sz="0" w:space="0" w:color="auto"/>
        <w:right w:val="none" w:sz="0" w:space="0" w:color="auto"/>
      </w:divBdr>
    </w:div>
    <w:div w:id="2003972051">
      <w:bodyDiv w:val="1"/>
      <w:marLeft w:val="0"/>
      <w:marRight w:val="0"/>
      <w:marTop w:val="0"/>
      <w:marBottom w:val="0"/>
      <w:divBdr>
        <w:top w:val="none" w:sz="0" w:space="0" w:color="auto"/>
        <w:left w:val="none" w:sz="0" w:space="0" w:color="auto"/>
        <w:bottom w:val="none" w:sz="0" w:space="0" w:color="auto"/>
        <w:right w:val="none" w:sz="0" w:space="0" w:color="auto"/>
      </w:divBdr>
    </w:div>
    <w:div w:id="2020504927">
      <w:bodyDiv w:val="1"/>
      <w:marLeft w:val="0"/>
      <w:marRight w:val="0"/>
      <w:marTop w:val="0"/>
      <w:marBottom w:val="0"/>
      <w:divBdr>
        <w:top w:val="none" w:sz="0" w:space="0" w:color="auto"/>
        <w:left w:val="none" w:sz="0" w:space="0" w:color="auto"/>
        <w:bottom w:val="none" w:sz="0" w:space="0" w:color="auto"/>
        <w:right w:val="none" w:sz="0" w:space="0" w:color="auto"/>
      </w:divBdr>
    </w:div>
    <w:div w:id="205877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omitejas.esfondi.lv/_layouts/15/star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xUriServ/LexUriServ.do?uri=CELEX:31991L0271:LV: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DEA860613EA764D817F892493A9F4E7" ma:contentTypeVersion="0" ma:contentTypeDescription="Izveidot jaunu dokumentu." ma:contentTypeScope="" ma:versionID="7ec00c100d33c5432cac3d74232d789e">
  <xsd:schema xmlns:xsd="http://www.w3.org/2001/XMLSchema" xmlns:p="http://schemas.microsoft.com/office/2006/metadata/properties" targetNamespace="http://schemas.microsoft.com/office/2006/metadata/properties" ma:root="true" ma:fieldsID="03f02128687e48d6f6cc7d7a99a2c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ma:readOnly="true"/>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E3596-C8D2-4232-918E-FE68BE9E6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16E924C-03E6-4BBC-8977-0B73FDD0D01C}">
  <ds:schemaRefs>
    <ds:schemaRef ds:uri="http://schemas.microsoft.com/sharepoint/v3/contenttype/forms"/>
  </ds:schemaRefs>
</ds:datastoreItem>
</file>

<file path=customXml/itemProps3.xml><?xml version="1.0" encoding="utf-8"?>
<ds:datastoreItem xmlns:ds="http://schemas.openxmlformats.org/officeDocument/2006/customXml" ds:itemID="{217BFACD-586F-4BD3-B55C-5D8617CC2D24}">
  <ds:schemaRef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4F3E79E8-8029-472C-A31F-7A9C36C4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6260</Words>
  <Characters>35684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Ministru kabineta noteikumu projekta „Darbības programmas "Izaugsme un nodarbinātība" 5.1.1. specifiskā atbalsta mērķa "Novērst plūdu un krasta erozijas risku apdraudējumu pilsētu teritorijās” pirmās projektu iesniegumu atlases kārtas  īstenošanas noteiku</vt:lpstr>
    </vt:vector>
  </TitlesOfParts>
  <Company>CFLA</Company>
  <LinksUpToDate>false</LinksUpToDate>
  <CharactersWithSpaces>41861</CharactersWithSpaces>
  <SharedDoc>false</SharedDoc>
  <HLinks>
    <vt:vector size="6" baseType="variant">
      <vt:variant>
        <vt:i4>3211385</vt:i4>
      </vt:variant>
      <vt:variant>
        <vt:i4>0</vt:i4>
      </vt:variant>
      <vt:variant>
        <vt:i4>0</vt:i4>
      </vt:variant>
      <vt:variant>
        <vt:i4>5</vt:i4>
      </vt:variant>
      <vt:variant>
        <vt:lpwstr>http://eur-lex.europa.eu/LexUriServ/LexUriServ.do?uri=CELEX:31991L0271:LV:HTML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„Darbības programmas "Izaugsme un nodarbinātība" 5.1.1. specifiskā atbalsta mērķa "Novērst plūdu un krasta erozijas risku apdraudējumu pilsētu teritorijās” pirmās projektu iesniegumu atlases kārtas  īstenošanas noteikumu” sākotnējās ietekmes novērtējuma ziņojums (anotācija)</dc:title>
  <dc:subject>MK noteikumu anotācija</dc:subject>
  <dc:creator>Ilze Opermane</dc:creator>
  <cp:keywords/>
  <dc:description>sarmite.klavina@varam.gov.lv
66016581</dc:description>
  <cp:lastModifiedBy>Ilze Opermane</cp:lastModifiedBy>
  <cp:revision>7</cp:revision>
  <cp:lastPrinted>2016-05-19T09:38:00Z</cp:lastPrinted>
  <dcterms:created xsi:type="dcterms:W3CDTF">2016-06-07T12:33:00Z</dcterms:created>
  <dcterms:modified xsi:type="dcterms:W3CDTF">2016-06-07T12:50:00Z</dcterms:modified>
</cp:coreProperties>
</file>