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5C358" w14:textId="77777777" w:rsidR="00575438" w:rsidRPr="009C1037" w:rsidRDefault="00575438" w:rsidP="00A63C58">
      <w:pPr>
        <w:spacing w:after="0" w:line="240" w:lineRule="auto"/>
        <w:jc w:val="right"/>
        <w:rPr>
          <w:rFonts w:ascii="Times New Roman" w:hAnsi="Times New Roman"/>
        </w:rPr>
      </w:pPr>
      <w:r w:rsidRPr="009C1037">
        <w:rPr>
          <w:rFonts w:ascii="Times New Roman" w:hAnsi="Times New Roman"/>
        </w:rPr>
        <w:t>DK_</w:t>
      </w:r>
      <w:r w:rsidR="00B12CC2" w:rsidRPr="009C1037">
        <w:rPr>
          <w:rFonts w:ascii="Times New Roman" w:hAnsi="Times New Roman"/>
        </w:rPr>
        <w:t>__.__</w:t>
      </w:r>
      <w:r w:rsidRPr="009C1037">
        <w:rPr>
          <w:rFonts w:ascii="Times New Roman" w:hAnsi="Times New Roman"/>
        </w:rPr>
        <w:t>.</w:t>
      </w:r>
    </w:p>
    <w:p w14:paraId="4995C359" w14:textId="77777777" w:rsidR="00280E80" w:rsidRPr="009C1037" w:rsidRDefault="00280E80" w:rsidP="00A63C58">
      <w:pPr>
        <w:spacing w:after="0" w:line="240" w:lineRule="auto"/>
        <w:jc w:val="center"/>
        <w:rPr>
          <w:rFonts w:ascii="Times New Roman" w:hAnsi="Times New Roman"/>
        </w:rPr>
      </w:pPr>
    </w:p>
    <w:p w14:paraId="4995C35A" w14:textId="28FE9309" w:rsidR="006B34D2" w:rsidRPr="009C1037" w:rsidRDefault="00746A00" w:rsidP="00A63C58">
      <w:pPr>
        <w:spacing w:after="0" w:line="240" w:lineRule="auto"/>
        <w:jc w:val="center"/>
        <w:rPr>
          <w:rFonts w:ascii="Times New Roman" w:hAnsi="Times New Roman"/>
          <w:b/>
        </w:rPr>
      </w:pPr>
      <w:r w:rsidRPr="009C1037">
        <w:rPr>
          <w:rFonts w:ascii="Times New Roman" w:hAnsi="Times New Roman"/>
          <w:b/>
        </w:rPr>
        <w:t xml:space="preserve">Uzziņa </w:t>
      </w:r>
      <w:r w:rsidR="00107D97">
        <w:rPr>
          <w:rFonts w:ascii="Times New Roman" w:hAnsi="Times New Roman"/>
          <w:b/>
        </w:rPr>
        <w:t>2</w:t>
      </w:r>
      <w:r w:rsidR="005E1B7E">
        <w:rPr>
          <w:rFonts w:ascii="Times New Roman" w:hAnsi="Times New Roman"/>
          <w:b/>
        </w:rPr>
        <w:t>2</w:t>
      </w:r>
      <w:r w:rsidR="00BC3DAD" w:rsidRPr="009C1037">
        <w:rPr>
          <w:rFonts w:ascii="Times New Roman" w:hAnsi="Times New Roman"/>
          <w:b/>
        </w:rPr>
        <w:t>.</w:t>
      </w:r>
      <w:r w:rsidR="00AB4733">
        <w:rPr>
          <w:rFonts w:ascii="Times New Roman" w:hAnsi="Times New Roman"/>
          <w:b/>
        </w:rPr>
        <w:t>04</w:t>
      </w:r>
      <w:r w:rsidR="00C52AD9" w:rsidRPr="009C1037">
        <w:rPr>
          <w:rFonts w:ascii="Times New Roman" w:hAnsi="Times New Roman"/>
          <w:b/>
        </w:rPr>
        <w:t>.</w:t>
      </w:r>
      <w:r w:rsidR="006A5938" w:rsidRPr="009C1037">
        <w:rPr>
          <w:rFonts w:ascii="Times New Roman" w:hAnsi="Times New Roman"/>
          <w:b/>
        </w:rPr>
        <w:t>20</w:t>
      </w:r>
      <w:r w:rsidR="00EE60B1" w:rsidRPr="009C1037">
        <w:rPr>
          <w:rFonts w:ascii="Times New Roman" w:hAnsi="Times New Roman"/>
          <w:b/>
        </w:rPr>
        <w:t>2</w:t>
      </w:r>
      <w:r w:rsidR="00AB4733">
        <w:rPr>
          <w:rFonts w:ascii="Times New Roman" w:hAnsi="Times New Roman"/>
          <w:b/>
        </w:rPr>
        <w:t>1</w:t>
      </w:r>
      <w:r w:rsidR="00C52AD9" w:rsidRPr="009C1037">
        <w:rPr>
          <w:rFonts w:ascii="Times New Roman" w:hAnsi="Times New Roman"/>
          <w:b/>
        </w:rPr>
        <w:t xml:space="preserve">. </w:t>
      </w:r>
      <w:r w:rsidRPr="009C1037">
        <w:rPr>
          <w:rFonts w:ascii="Times New Roman" w:hAnsi="Times New Roman"/>
          <w:b/>
        </w:rPr>
        <w:t xml:space="preserve">vadības sēdei par </w:t>
      </w:r>
      <w:r w:rsidR="006B34D2" w:rsidRPr="009C1037">
        <w:rPr>
          <w:rFonts w:ascii="Times New Roman" w:hAnsi="Times New Roman"/>
          <w:b/>
        </w:rPr>
        <w:t>informatīv</w:t>
      </w:r>
      <w:r w:rsidR="009E586B" w:rsidRPr="009C1037">
        <w:rPr>
          <w:rFonts w:ascii="Times New Roman" w:hAnsi="Times New Roman"/>
          <w:b/>
        </w:rPr>
        <w:t>ā ziņojuma projektu</w:t>
      </w:r>
    </w:p>
    <w:p w14:paraId="4995C35C" w14:textId="6E15B066" w:rsidR="007B3560" w:rsidRPr="009C1037" w:rsidRDefault="007B3560" w:rsidP="007B3560">
      <w:pPr>
        <w:pStyle w:val="Default"/>
        <w:jc w:val="center"/>
        <w:rPr>
          <w:bCs/>
          <w:color w:val="auto"/>
          <w:sz w:val="22"/>
          <w:szCs w:val="22"/>
          <w:lang w:val="lv-LV"/>
        </w:rPr>
      </w:pPr>
      <w:r w:rsidRPr="009C1037">
        <w:rPr>
          <w:b/>
          <w:bCs/>
          <w:color w:val="auto"/>
          <w:sz w:val="22"/>
          <w:szCs w:val="22"/>
          <w:lang w:val="lv-LV"/>
        </w:rPr>
        <w:t>“</w:t>
      </w:r>
      <w:r w:rsidR="00AB4733" w:rsidRPr="00AB4733">
        <w:rPr>
          <w:b/>
          <w:color w:val="auto"/>
          <w:sz w:val="22"/>
          <w:szCs w:val="22"/>
          <w:lang w:val="lv-LV"/>
        </w:rPr>
        <w:t>Par Vienotās digitālās vārtejas regulas prasību ieviešanu 2020</w:t>
      </w:r>
      <w:r w:rsidR="00AB4733">
        <w:rPr>
          <w:b/>
          <w:color w:val="auto"/>
          <w:sz w:val="22"/>
          <w:szCs w:val="22"/>
          <w:lang w:val="lv-LV"/>
        </w:rPr>
        <w:t>”</w:t>
      </w:r>
    </w:p>
    <w:p w14:paraId="4995C35D" w14:textId="77777777" w:rsidR="006A5938" w:rsidRPr="009C1037" w:rsidRDefault="006A5938" w:rsidP="00A63C58">
      <w:pPr>
        <w:spacing w:after="0" w:line="240" w:lineRule="auto"/>
        <w:rPr>
          <w:rFonts w:ascii="Times New Roman" w:hAnsi="Times New Roman"/>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12"/>
      </w:tblGrid>
      <w:tr w:rsidR="009C1037" w:rsidRPr="0086582F" w14:paraId="4995C361" w14:textId="77777777" w:rsidTr="00402714">
        <w:tc>
          <w:tcPr>
            <w:tcW w:w="2694" w:type="dxa"/>
            <w:shd w:val="clear" w:color="auto" w:fill="auto"/>
          </w:tcPr>
          <w:p w14:paraId="4995C35E" w14:textId="77777777" w:rsidR="00746A00" w:rsidRPr="0086582F" w:rsidRDefault="00746A00" w:rsidP="0086582F">
            <w:pPr>
              <w:spacing w:after="120" w:line="240" w:lineRule="auto"/>
              <w:jc w:val="both"/>
              <w:rPr>
                <w:rFonts w:ascii="Times New Roman" w:hAnsi="Times New Roman"/>
              </w:rPr>
            </w:pPr>
            <w:r w:rsidRPr="0086582F">
              <w:rPr>
                <w:rFonts w:ascii="Times New Roman" w:hAnsi="Times New Roman"/>
              </w:rPr>
              <w:t>Projekta izstrādes nepieciešamība (risināmā problēma)</w:t>
            </w:r>
          </w:p>
        </w:tc>
        <w:tc>
          <w:tcPr>
            <w:tcW w:w="7512" w:type="dxa"/>
            <w:shd w:val="clear" w:color="auto" w:fill="auto"/>
          </w:tcPr>
          <w:p w14:paraId="5379D1D6" w14:textId="3BDD3DE7" w:rsidR="00E31D1B" w:rsidRPr="0086582F" w:rsidRDefault="007B3560" w:rsidP="0086582F">
            <w:pPr>
              <w:tabs>
                <w:tab w:val="left" w:pos="1134"/>
              </w:tabs>
              <w:spacing w:after="120" w:line="240" w:lineRule="auto"/>
              <w:jc w:val="both"/>
              <w:rPr>
                <w:rFonts w:ascii="Times New Roman" w:hAnsi="Times New Roman"/>
              </w:rPr>
            </w:pPr>
            <w:r w:rsidRPr="0086582F">
              <w:rPr>
                <w:rFonts w:ascii="Times New Roman" w:hAnsi="Times New Roman"/>
              </w:rPr>
              <w:t xml:space="preserve">Informatīvais ziņojums izstrādāts, pamatojoties </w:t>
            </w:r>
            <w:r w:rsidR="00E31D1B" w:rsidRPr="0086582F">
              <w:rPr>
                <w:rFonts w:ascii="Times New Roman" w:hAnsi="Times New Roman"/>
              </w:rPr>
              <w:t>uz MK 2020.</w:t>
            </w:r>
            <w:r w:rsidR="004F1499" w:rsidRPr="0086582F">
              <w:rPr>
                <w:rFonts w:ascii="Times New Roman" w:hAnsi="Times New Roman"/>
              </w:rPr>
              <w:t> </w:t>
            </w:r>
            <w:r w:rsidR="00E31D1B" w:rsidRPr="0086582F">
              <w:rPr>
                <w:rFonts w:ascii="Times New Roman" w:hAnsi="Times New Roman"/>
              </w:rPr>
              <w:t>gada 19. maija rīkojumu Nr. 34 “Par Vienotās digitālās vārtejas regulas prasību ieviešanu</w:t>
            </w:r>
            <w:r w:rsidR="004F1499" w:rsidRPr="0086582F">
              <w:rPr>
                <w:rFonts w:ascii="Times New Roman" w:hAnsi="Times New Roman"/>
              </w:rPr>
              <w:t>”</w:t>
            </w:r>
            <w:r w:rsidR="00E31D1B" w:rsidRPr="0086582F">
              <w:rPr>
                <w:rFonts w:ascii="Times New Roman" w:hAnsi="Times New Roman"/>
              </w:rPr>
              <w:t xml:space="preserve"> (</w:t>
            </w:r>
            <w:r w:rsidR="004F1499" w:rsidRPr="0086582F">
              <w:rPr>
                <w:rFonts w:ascii="Times New Roman" w:hAnsi="Times New Roman"/>
              </w:rPr>
              <w:t>p</w:t>
            </w:r>
            <w:r w:rsidR="00E31D1B" w:rsidRPr="0086582F">
              <w:rPr>
                <w:rFonts w:ascii="Times New Roman" w:hAnsi="Times New Roman"/>
              </w:rPr>
              <w:t>rot. Nr.</w:t>
            </w:r>
            <w:r w:rsidR="004F1499" w:rsidRPr="0086582F">
              <w:rPr>
                <w:rFonts w:ascii="Times New Roman" w:hAnsi="Times New Roman"/>
              </w:rPr>
              <w:t> </w:t>
            </w:r>
            <w:r w:rsidR="00E31D1B" w:rsidRPr="0086582F">
              <w:rPr>
                <w:rFonts w:ascii="Times New Roman" w:hAnsi="Times New Roman"/>
              </w:rPr>
              <w:t xml:space="preserve">22.§) 6. punktu, ar kuru noteikts uzdevums VARAM katru gadu līdz 30. aprīlim (līdz 2024. gadam) iesniegt MK informatīvo ziņojumu par </w:t>
            </w:r>
            <w:r w:rsidR="00B14D95" w:rsidRPr="0086582F">
              <w:rPr>
                <w:rFonts w:ascii="Times New Roman" w:hAnsi="Times New Roman"/>
              </w:rPr>
              <w:t>Vienotās digitālās vārtejas r</w:t>
            </w:r>
            <w:r w:rsidR="00E31D1B" w:rsidRPr="0086582F">
              <w:rPr>
                <w:rFonts w:ascii="Times New Roman" w:hAnsi="Times New Roman"/>
              </w:rPr>
              <w:t>egulas ieviešanas gaitu.</w:t>
            </w:r>
          </w:p>
          <w:p w14:paraId="4995C360" w14:textId="67FB33CF" w:rsidR="00A63C58" w:rsidRPr="0086582F" w:rsidRDefault="00A73EE4" w:rsidP="0086582F">
            <w:pPr>
              <w:spacing w:after="120" w:line="240" w:lineRule="auto"/>
              <w:jc w:val="both"/>
              <w:rPr>
                <w:rFonts w:ascii="Times New Roman" w:hAnsi="Times New Roman"/>
              </w:rPr>
            </w:pPr>
            <w:r w:rsidRPr="0086582F">
              <w:rPr>
                <w:rFonts w:ascii="Times New Roman" w:hAnsi="Times New Roman"/>
              </w:rPr>
              <w:t xml:space="preserve">Informatīvais ziņojums sagatavots atbilstoši Eiropas Parlamenta un Padomes 2018. gada 2. oktobra Regulai (ES) 2018/1724, </w:t>
            </w:r>
            <w:r w:rsidRPr="0086582F">
              <w:rPr>
                <w:rFonts w:ascii="Times New Roman" w:hAnsi="Times New Roman"/>
                <w:iCs/>
              </w:rPr>
              <w:t>ar ko izveido vienotu digitālo vārteju, lai sniegtu piekļuvi informācijai, procedūrām un palīdzības un problēmu risināšanas pakalpojumiem, un ar ko groza Regulu (ES) Nr. 1024/2012</w:t>
            </w:r>
            <w:r w:rsidRPr="0086582F">
              <w:rPr>
                <w:rFonts w:ascii="Times New Roman" w:hAnsi="Times New Roman"/>
              </w:rPr>
              <w:t xml:space="preserve"> (turpmāk – Regula),</w:t>
            </w:r>
            <w:r w:rsidRPr="0086582F">
              <w:rPr>
                <w:rFonts w:ascii="Times New Roman" w:hAnsi="Times New Roman"/>
                <w:vertAlign w:val="superscript"/>
              </w:rPr>
              <w:footnoteReference w:id="2"/>
            </w:r>
            <w:r w:rsidRPr="0086582F">
              <w:rPr>
                <w:rFonts w:ascii="Times New Roman" w:hAnsi="Times New Roman"/>
              </w:rPr>
              <w:t xml:space="preserve"> kas paredz tiešsaistes piekļuvi informācijai, procedūrām, palīdzības un problēmu risināšanas pakalpojumiem ES mērogā.</w:t>
            </w:r>
          </w:p>
        </w:tc>
      </w:tr>
      <w:tr w:rsidR="009C1037" w:rsidRPr="0086582F" w14:paraId="4995C364" w14:textId="77777777" w:rsidTr="00402714">
        <w:trPr>
          <w:trHeight w:val="775"/>
        </w:trPr>
        <w:tc>
          <w:tcPr>
            <w:tcW w:w="2694" w:type="dxa"/>
            <w:shd w:val="clear" w:color="auto" w:fill="auto"/>
          </w:tcPr>
          <w:p w14:paraId="4995C362"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Projekta satura galvenie virzieni</w:t>
            </w:r>
          </w:p>
        </w:tc>
        <w:tc>
          <w:tcPr>
            <w:tcW w:w="7512" w:type="dxa"/>
            <w:shd w:val="clear" w:color="auto" w:fill="auto"/>
          </w:tcPr>
          <w:p w14:paraId="08E11F35" w14:textId="27CE734A" w:rsidR="00A63C58" w:rsidRPr="0086582F" w:rsidRDefault="007B3560" w:rsidP="0086582F">
            <w:pPr>
              <w:spacing w:after="120" w:line="240" w:lineRule="auto"/>
              <w:jc w:val="both"/>
              <w:rPr>
                <w:rFonts w:ascii="Times New Roman" w:hAnsi="Times New Roman"/>
                <w:bCs/>
                <w:shd w:val="clear" w:color="auto" w:fill="FFFFFF"/>
              </w:rPr>
            </w:pPr>
            <w:r w:rsidRPr="0086582F">
              <w:rPr>
                <w:rFonts w:ascii="Times New Roman" w:hAnsi="Times New Roman"/>
                <w:bCs/>
              </w:rPr>
              <w:t xml:space="preserve">Informatīvā ziņojuma </w:t>
            </w:r>
            <w:r w:rsidRPr="0086582F">
              <w:rPr>
                <w:rFonts w:ascii="Times New Roman" w:hAnsi="Times New Roman"/>
              </w:rPr>
              <w:t xml:space="preserve">mērķis ir sniegt informāciju par </w:t>
            </w:r>
            <w:r w:rsidR="00AB4733" w:rsidRPr="0086582F">
              <w:rPr>
                <w:rFonts w:ascii="Times New Roman" w:hAnsi="Times New Roman"/>
                <w:bCs/>
              </w:rPr>
              <w:t>Regulas ieviešanas gaitu 2020.</w:t>
            </w:r>
            <w:r w:rsidR="001E2162" w:rsidRPr="0086582F">
              <w:rPr>
                <w:rFonts w:ascii="Times New Roman" w:hAnsi="Times New Roman"/>
                <w:bCs/>
              </w:rPr>
              <w:t> </w:t>
            </w:r>
            <w:r w:rsidR="00AB4733" w:rsidRPr="0086582F">
              <w:rPr>
                <w:rFonts w:ascii="Times New Roman" w:hAnsi="Times New Roman"/>
                <w:bCs/>
              </w:rPr>
              <w:t xml:space="preserve">gadā </w:t>
            </w:r>
            <w:r w:rsidRPr="0086582F">
              <w:rPr>
                <w:rFonts w:ascii="Times New Roman" w:hAnsi="Times New Roman"/>
                <w:shd w:val="clear" w:color="auto" w:fill="FFFFFF"/>
              </w:rPr>
              <w:t xml:space="preserve">laika posmā no </w:t>
            </w:r>
            <w:r w:rsidR="009853D3" w:rsidRPr="0086582F">
              <w:rPr>
                <w:rFonts w:ascii="Times New Roman" w:hAnsi="Times New Roman"/>
                <w:bCs/>
                <w:shd w:val="clear" w:color="auto" w:fill="FFFFFF"/>
              </w:rPr>
              <w:t>20</w:t>
            </w:r>
            <w:r w:rsidR="00AB4733" w:rsidRPr="0086582F">
              <w:rPr>
                <w:rFonts w:ascii="Times New Roman" w:hAnsi="Times New Roman"/>
                <w:bCs/>
                <w:shd w:val="clear" w:color="auto" w:fill="FFFFFF"/>
              </w:rPr>
              <w:t>20.</w:t>
            </w:r>
            <w:r w:rsidR="001E2162" w:rsidRPr="0086582F">
              <w:rPr>
                <w:rFonts w:ascii="Times New Roman" w:hAnsi="Times New Roman"/>
                <w:bCs/>
                <w:shd w:val="clear" w:color="auto" w:fill="FFFFFF"/>
              </w:rPr>
              <w:t> </w:t>
            </w:r>
            <w:r w:rsidR="00AB4733" w:rsidRPr="0086582F">
              <w:rPr>
                <w:rFonts w:ascii="Times New Roman" w:hAnsi="Times New Roman"/>
                <w:bCs/>
                <w:shd w:val="clear" w:color="auto" w:fill="FFFFFF"/>
              </w:rPr>
              <w:t>gada 1.</w:t>
            </w:r>
            <w:r w:rsidR="001E2162" w:rsidRPr="0086582F">
              <w:rPr>
                <w:rFonts w:ascii="Times New Roman" w:hAnsi="Times New Roman"/>
                <w:bCs/>
                <w:shd w:val="clear" w:color="auto" w:fill="FFFFFF"/>
              </w:rPr>
              <w:t> </w:t>
            </w:r>
            <w:r w:rsidR="00AB4733" w:rsidRPr="0086582F">
              <w:rPr>
                <w:rFonts w:ascii="Times New Roman" w:hAnsi="Times New Roman"/>
                <w:bCs/>
                <w:shd w:val="clear" w:color="auto" w:fill="FFFFFF"/>
              </w:rPr>
              <w:t>janvār</w:t>
            </w:r>
            <w:r w:rsidR="001E2162" w:rsidRPr="0086582F">
              <w:rPr>
                <w:rFonts w:ascii="Times New Roman" w:hAnsi="Times New Roman"/>
                <w:bCs/>
                <w:shd w:val="clear" w:color="auto" w:fill="FFFFFF"/>
              </w:rPr>
              <w:t>a</w:t>
            </w:r>
            <w:r w:rsidR="00AB4733" w:rsidRPr="0086582F">
              <w:rPr>
                <w:rFonts w:ascii="Times New Roman" w:hAnsi="Times New Roman"/>
                <w:bCs/>
                <w:shd w:val="clear" w:color="auto" w:fill="FFFFFF"/>
              </w:rPr>
              <w:t xml:space="preserve"> līdz </w:t>
            </w:r>
            <w:r w:rsidR="009853D3" w:rsidRPr="0086582F">
              <w:rPr>
                <w:rFonts w:ascii="Times New Roman" w:hAnsi="Times New Roman"/>
                <w:bCs/>
                <w:shd w:val="clear" w:color="auto" w:fill="FFFFFF"/>
              </w:rPr>
              <w:t xml:space="preserve">2020. gada </w:t>
            </w:r>
            <w:r w:rsidR="00BD62EE" w:rsidRPr="0086582F">
              <w:rPr>
                <w:rFonts w:ascii="Times New Roman" w:hAnsi="Times New Roman"/>
                <w:bCs/>
                <w:shd w:val="clear" w:color="auto" w:fill="FFFFFF"/>
              </w:rPr>
              <w:t>3</w:t>
            </w:r>
            <w:r w:rsidR="009853D3" w:rsidRPr="0086582F">
              <w:rPr>
                <w:rFonts w:ascii="Times New Roman" w:hAnsi="Times New Roman"/>
                <w:bCs/>
                <w:shd w:val="clear" w:color="auto" w:fill="FFFFFF"/>
              </w:rPr>
              <w:t>1.</w:t>
            </w:r>
            <w:r w:rsidR="001E2162" w:rsidRPr="0086582F">
              <w:rPr>
                <w:rFonts w:ascii="Times New Roman" w:hAnsi="Times New Roman"/>
                <w:bCs/>
                <w:shd w:val="clear" w:color="auto" w:fill="FFFFFF"/>
              </w:rPr>
              <w:t> </w:t>
            </w:r>
            <w:r w:rsidR="00BD62EE" w:rsidRPr="0086582F">
              <w:rPr>
                <w:rFonts w:ascii="Times New Roman" w:hAnsi="Times New Roman"/>
                <w:bCs/>
                <w:shd w:val="clear" w:color="auto" w:fill="FFFFFF"/>
              </w:rPr>
              <w:t>decembrim.</w:t>
            </w:r>
          </w:p>
          <w:p w14:paraId="0A5DD26F" w14:textId="2428B434" w:rsidR="002F47AF" w:rsidRPr="0086582F" w:rsidRDefault="00D04F6B" w:rsidP="0086582F">
            <w:pPr>
              <w:spacing w:after="120" w:line="240" w:lineRule="auto"/>
              <w:jc w:val="both"/>
              <w:rPr>
                <w:rFonts w:ascii="Times New Roman" w:hAnsi="Times New Roman"/>
              </w:rPr>
            </w:pPr>
            <w:r w:rsidRPr="0086582F">
              <w:rPr>
                <w:rFonts w:ascii="Times New Roman" w:hAnsi="Times New Roman"/>
              </w:rPr>
              <w:t>Informatīvais z</w:t>
            </w:r>
            <w:r w:rsidR="006535F3" w:rsidRPr="0086582F">
              <w:rPr>
                <w:rFonts w:ascii="Times New Roman" w:hAnsi="Times New Roman"/>
              </w:rPr>
              <w:t xml:space="preserve">iņojums </w:t>
            </w:r>
            <w:r w:rsidRPr="0086582F">
              <w:rPr>
                <w:rFonts w:ascii="Times New Roman" w:hAnsi="Times New Roman"/>
              </w:rPr>
              <w:t>sagatavots a</w:t>
            </w:r>
            <w:r w:rsidR="00A73EE4" w:rsidRPr="0086582F">
              <w:rPr>
                <w:rFonts w:ascii="Times New Roman" w:hAnsi="Times New Roman"/>
              </w:rPr>
              <w:t>tbilstoši</w:t>
            </w:r>
            <w:r w:rsidR="00737D8C" w:rsidRPr="0086582F">
              <w:rPr>
                <w:rFonts w:ascii="Times New Roman" w:hAnsi="Times New Roman"/>
              </w:rPr>
              <w:t xml:space="preserve"> Valdības rīcības plāna Deklarācijas par Artura Krišjāņa Kariņa vadītā Ministru kabineta iecerēto darbību īstenošanai</w:t>
            </w:r>
            <w:r w:rsidR="000B1639" w:rsidRPr="0086582F">
              <w:rPr>
                <w:rFonts w:ascii="Times New Roman" w:hAnsi="Times New Roman"/>
              </w:rPr>
              <w:t xml:space="preserve"> uzdevumu Nr.</w:t>
            </w:r>
            <w:r w:rsidR="0037636F" w:rsidRPr="0086582F">
              <w:rPr>
                <w:rFonts w:ascii="Times New Roman" w:hAnsi="Times New Roman"/>
              </w:rPr>
              <w:t> </w:t>
            </w:r>
            <w:r w:rsidR="000B1639" w:rsidRPr="0086582F">
              <w:rPr>
                <w:rFonts w:ascii="Times New Roman" w:hAnsi="Times New Roman"/>
              </w:rPr>
              <w:t>246.3.</w:t>
            </w:r>
            <w:r w:rsidR="000B1639" w:rsidRPr="0086582F">
              <w:rPr>
                <w:rFonts w:ascii="Times New Roman" w:hAnsi="Times New Roman"/>
                <w:vertAlign w:val="superscript"/>
              </w:rPr>
              <w:footnoteReference w:id="3"/>
            </w:r>
            <w:r w:rsidR="000B1639" w:rsidRPr="0086582F">
              <w:rPr>
                <w:rFonts w:ascii="Times New Roman" w:hAnsi="Times New Roman"/>
              </w:rPr>
              <w:t xml:space="preserve"> </w:t>
            </w:r>
            <w:r w:rsidR="00A73EE4" w:rsidRPr="0086582F">
              <w:rPr>
                <w:rFonts w:ascii="Times New Roman" w:hAnsi="Times New Roman"/>
              </w:rPr>
              <w:t>“Nodrošināt publisko pakalpojumu pieejamību digitālajā vidē, uzturot un attīstot portālu www.latvija.lv, tai skaitā nodrošinot pārrobežu publisko pakalpojumu pieejamību un Regulas par vienoto digitālo vārteju ieviešanu”</w:t>
            </w:r>
            <w:r w:rsidR="00B22FEB" w:rsidRPr="0086582F">
              <w:rPr>
                <w:rFonts w:ascii="Times New Roman" w:hAnsi="Times New Roman"/>
              </w:rPr>
              <w:t>.</w:t>
            </w:r>
          </w:p>
          <w:p w14:paraId="0DFFE86B" w14:textId="26D4891A" w:rsidR="0098148F" w:rsidRPr="0086582F" w:rsidRDefault="007051D2" w:rsidP="0086582F">
            <w:pPr>
              <w:spacing w:after="120" w:line="240" w:lineRule="auto"/>
              <w:jc w:val="both"/>
              <w:rPr>
                <w:rFonts w:ascii="Times New Roman" w:hAnsi="Times New Roman"/>
              </w:rPr>
            </w:pPr>
            <w:r w:rsidRPr="0086582F">
              <w:rPr>
                <w:rFonts w:ascii="Times New Roman" w:hAnsi="Times New Roman"/>
              </w:rPr>
              <w:t xml:space="preserve">Informatīvajā ziņojumā sniegta informācija par </w:t>
            </w:r>
            <w:r w:rsidR="00521041" w:rsidRPr="0086582F">
              <w:rPr>
                <w:rFonts w:ascii="Times New Roman" w:hAnsi="Times New Roman"/>
              </w:rPr>
              <w:t>sešu</w:t>
            </w:r>
            <w:r w:rsidRPr="0086582F">
              <w:rPr>
                <w:rFonts w:ascii="Times New Roman" w:hAnsi="Times New Roman"/>
              </w:rPr>
              <w:t xml:space="preserve"> rīcības virzienu izpildi 2020.</w:t>
            </w:r>
            <w:r w:rsidR="0037636F" w:rsidRPr="0086582F">
              <w:rPr>
                <w:rFonts w:ascii="Times New Roman" w:hAnsi="Times New Roman"/>
              </w:rPr>
              <w:t> </w:t>
            </w:r>
            <w:r w:rsidRPr="0086582F">
              <w:rPr>
                <w:rFonts w:ascii="Times New Roman" w:hAnsi="Times New Roman"/>
              </w:rPr>
              <w:t>gadā</w:t>
            </w:r>
            <w:r w:rsidR="00D66ABD" w:rsidRPr="0086582F">
              <w:rPr>
                <w:rFonts w:ascii="Times New Roman" w:hAnsi="Times New Roman"/>
              </w:rPr>
              <w:t xml:space="preserve">: </w:t>
            </w:r>
            <w:r w:rsidR="001D60DB" w:rsidRPr="0086582F">
              <w:rPr>
                <w:rFonts w:ascii="Times New Roman" w:hAnsi="Times New Roman"/>
              </w:rPr>
              <w:t>1.</w:t>
            </w:r>
            <w:r w:rsidR="0037636F" w:rsidRPr="0086582F">
              <w:rPr>
                <w:rFonts w:ascii="Times New Roman" w:hAnsi="Times New Roman"/>
              </w:rPr>
              <w:t> </w:t>
            </w:r>
            <w:r w:rsidR="001D60DB" w:rsidRPr="0086582F">
              <w:rPr>
                <w:rFonts w:ascii="Times New Roman" w:hAnsi="Times New Roman"/>
              </w:rPr>
              <w:t>P</w:t>
            </w:r>
            <w:r w:rsidR="00550C0C" w:rsidRPr="0086582F">
              <w:rPr>
                <w:rFonts w:ascii="Times New Roman" w:hAnsi="Times New Roman"/>
              </w:rPr>
              <w:t>ar</w:t>
            </w:r>
            <w:r w:rsidRPr="0086582F">
              <w:rPr>
                <w:rFonts w:ascii="Times New Roman" w:hAnsi="Times New Roman"/>
              </w:rPr>
              <w:t xml:space="preserve"> i</w:t>
            </w:r>
            <w:r w:rsidR="00ED5DEF" w:rsidRPr="0086582F">
              <w:rPr>
                <w:rFonts w:ascii="Times New Roman" w:hAnsi="Times New Roman"/>
              </w:rPr>
              <w:t>nformācijas pieejamīb</w:t>
            </w:r>
            <w:r w:rsidRPr="0086582F">
              <w:rPr>
                <w:rFonts w:ascii="Times New Roman" w:hAnsi="Times New Roman"/>
              </w:rPr>
              <w:t xml:space="preserve">u </w:t>
            </w:r>
            <w:r w:rsidR="00ED5DEF" w:rsidRPr="0086582F">
              <w:rPr>
                <w:rFonts w:ascii="Times New Roman" w:hAnsi="Times New Roman"/>
              </w:rPr>
              <w:t>un kvalitāt</w:t>
            </w:r>
            <w:r w:rsidRPr="0086582F">
              <w:rPr>
                <w:rFonts w:ascii="Times New Roman" w:hAnsi="Times New Roman"/>
              </w:rPr>
              <w:t>i Regulas tvērumā</w:t>
            </w:r>
            <w:r w:rsidR="00A371D0" w:rsidRPr="0086582F">
              <w:rPr>
                <w:rFonts w:ascii="Times New Roman" w:hAnsi="Times New Roman"/>
              </w:rPr>
              <w:t>;</w:t>
            </w:r>
            <w:r w:rsidR="00D66ABD" w:rsidRPr="0086582F">
              <w:rPr>
                <w:rFonts w:ascii="Times New Roman" w:hAnsi="Times New Roman"/>
              </w:rPr>
              <w:t xml:space="preserve"> </w:t>
            </w:r>
            <w:r w:rsidR="001D60DB" w:rsidRPr="0086582F">
              <w:rPr>
                <w:rFonts w:ascii="Times New Roman" w:hAnsi="Times New Roman"/>
              </w:rPr>
              <w:t>2.</w:t>
            </w:r>
            <w:r w:rsidR="0037636F" w:rsidRPr="0086582F">
              <w:rPr>
                <w:rFonts w:ascii="Times New Roman" w:hAnsi="Times New Roman"/>
              </w:rPr>
              <w:t> </w:t>
            </w:r>
            <w:r w:rsidR="001D60DB" w:rsidRPr="0086582F">
              <w:rPr>
                <w:rFonts w:ascii="Times New Roman" w:hAnsi="Times New Roman"/>
              </w:rPr>
              <w:t>P</w:t>
            </w:r>
            <w:r w:rsidR="009C0BC3" w:rsidRPr="0086582F">
              <w:rPr>
                <w:rFonts w:ascii="Times New Roman" w:hAnsi="Times New Roman"/>
              </w:rPr>
              <w:t>ar</w:t>
            </w:r>
            <w:r w:rsidR="00903EB7" w:rsidRPr="0086582F">
              <w:rPr>
                <w:rFonts w:ascii="Times New Roman" w:hAnsi="Times New Roman"/>
              </w:rPr>
              <w:t xml:space="preserve"> pakalpojumu </w:t>
            </w:r>
            <w:r w:rsidR="00ED5DEF" w:rsidRPr="0086582F">
              <w:rPr>
                <w:rFonts w:ascii="Times New Roman" w:hAnsi="Times New Roman"/>
              </w:rPr>
              <w:t>pārrobežu pieejamīb</w:t>
            </w:r>
            <w:r w:rsidR="00903EB7" w:rsidRPr="0086582F">
              <w:rPr>
                <w:rFonts w:ascii="Times New Roman" w:hAnsi="Times New Roman"/>
              </w:rPr>
              <w:t>u</w:t>
            </w:r>
            <w:r w:rsidR="00F605C1" w:rsidRPr="0086582F">
              <w:rPr>
                <w:rFonts w:ascii="Times New Roman" w:hAnsi="Times New Roman"/>
              </w:rPr>
              <w:t>;</w:t>
            </w:r>
            <w:r w:rsidR="00D66ABD" w:rsidRPr="0086582F">
              <w:rPr>
                <w:rFonts w:ascii="Times New Roman" w:hAnsi="Times New Roman"/>
              </w:rPr>
              <w:t xml:space="preserve"> </w:t>
            </w:r>
            <w:r w:rsidR="001D60DB" w:rsidRPr="0086582F">
              <w:rPr>
                <w:rFonts w:ascii="Times New Roman" w:hAnsi="Times New Roman"/>
              </w:rPr>
              <w:t>3.</w:t>
            </w:r>
            <w:r w:rsidR="0037636F" w:rsidRPr="0086582F">
              <w:rPr>
                <w:rFonts w:ascii="Times New Roman" w:hAnsi="Times New Roman"/>
              </w:rPr>
              <w:t> </w:t>
            </w:r>
            <w:r w:rsidR="001D60DB" w:rsidRPr="0086582F">
              <w:rPr>
                <w:rFonts w:ascii="Times New Roman" w:hAnsi="Times New Roman"/>
              </w:rPr>
              <w:t>P</w:t>
            </w:r>
            <w:r w:rsidR="00D66ABD" w:rsidRPr="0086582F">
              <w:rPr>
                <w:rFonts w:ascii="Times New Roman" w:hAnsi="Times New Roman"/>
              </w:rPr>
              <w:t>ar</w:t>
            </w:r>
            <w:r w:rsidR="00903EB7" w:rsidRPr="0086582F">
              <w:rPr>
                <w:rFonts w:ascii="Times New Roman" w:hAnsi="Times New Roman"/>
              </w:rPr>
              <w:t xml:space="preserve"> p</w:t>
            </w:r>
            <w:r w:rsidR="00ED5DEF" w:rsidRPr="0086582F">
              <w:rPr>
                <w:rFonts w:ascii="Times New Roman" w:hAnsi="Times New Roman"/>
              </w:rPr>
              <w:t>alīdzības un problēmu risināšanas pakalpojumu nodrošināšan</w:t>
            </w:r>
            <w:r w:rsidR="00903EB7" w:rsidRPr="0086582F">
              <w:rPr>
                <w:rFonts w:ascii="Times New Roman" w:hAnsi="Times New Roman"/>
              </w:rPr>
              <w:t>u</w:t>
            </w:r>
            <w:r w:rsidR="00D66ABD" w:rsidRPr="0086582F">
              <w:rPr>
                <w:rFonts w:ascii="Times New Roman" w:hAnsi="Times New Roman"/>
              </w:rPr>
              <w:t xml:space="preserve">; </w:t>
            </w:r>
            <w:r w:rsidR="001D60DB" w:rsidRPr="0086582F">
              <w:rPr>
                <w:rFonts w:ascii="Times New Roman" w:hAnsi="Times New Roman"/>
              </w:rPr>
              <w:t>4.</w:t>
            </w:r>
            <w:r w:rsidR="0037636F" w:rsidRPr="0086582F">
              <w:rPr>
                <w:rFonts w:ascii="Times New Roman" w:hAnsi="Times New Roman"/>
              </w:rPr>
              <w:t> </w:t>
            </w:r>
            <w:r w:rsidR="001D60DB" w:rsidRPr="0086582F">
              <w:rPr>
                <w:rFonts w:ascii="Times New Roman" w:hAnsi="Times New Roman"/>
              </w:rPr>
              <w:t xml:space="preserve">Par </w:t>
            </w:r>
            <w:r w:rsidR="00EA0E2E" w:rsidRPr="0086582F">
              <w:rPr>
                <w:rFonts w:ascii="Times New Roman" w:hAnsi="Times New Roman"/>
              </w:rPr>
              <w:t>l</w:t>
            </w:r>
            <w:r w:rsidR="00ED5DEF" w:rsidRPr="0086582F">
              <w:rPr>
                <w:rFonts w:ascii="Times New Roman" w:hAnsi="Times New Roman"/>
              </w:rPr>
              <w:t xml:space="preserve">ietotāju atsauksmju un </w:t>
            </w:r>
            <w:r w:rsidR="00EA0E2E" w:rsidRPr="0086582F">
              <w:rPr>
                <w:rFonts w:ascii="Times New Roman" w:hAnsi="Times New Roman"/>
              </w:rPr>
              <w:t>l</w:t>
            </w:r>
            <w:r w:rsidR="00ED5DEF" w:rsidRPr="0086582F">
              <w:rPr>
                <w:rFonts w:ascii="Times New Roman" w:hAnsi="Times New Roman"/>
              </w:rPr>
              <w:t>ietošanas statistikas apkopošan</w:t>
            </w:r>
            <w:r w:rsidR="00EA0E2E" w:rsidRPr="0086582F">
              <w:rPr>
                <w:rFonts w:ascii="Times New Roman" w:hAnsi="Times New Roman"/>
              </w:rPr>
              <w:t>u</w:t>
            </w:r>
            <w:r w:rsidR="001D60DB" w:rsidRPr="0086582F">
              <w:rPr>
                <w:rFonts w:ascii="Times New Roman" w:hAnsi="Times New Roman"/>
              </w:rPr>
              <w:t xml:space="preserve">; </w:t>
            </w:r>
            <w:r w:rsidR="00B438B7" w:rsidRPr="0086582F">
              <w:rPr>
                <w:rFonts w:ascii="Times New Roman" w:hAnsi="Times New Roman"/>
              </w:rPr>
              <w:t>5.</w:t>
            </w:r>
            <w:r w:rsidR="0037636F" w:rsidRPr="0086582F">
              <w:rPr>
                <w:rFonts w:ascii="Times New Roman" w:hAnsi="Times New Roman"/>
              </w:rPr>
              <w:t> </w:t>
            </w:r>
            <w:r w:rsidR="00ED5DEF" w:rsidRPr="0086582F">
              <w:rPr>
                <w:rFonts w:ascii="Times New Roman" w:hAnsi="Times New Roman"/>
              </w:rPr>
              <w:t>Vārtejas popularizēšana</w:t>
            </w:r>
            <w:r w:rsidR="001D60DB" w:rsidRPr="0086582F">
              <w:rPr>
                <w:rFonts w:ascii="Times New Roman" w:hAnsi="Times New Roman"/>
              </w:rPr>
              <w:t xml:space="preserve">; </w:t>
            </w:r>
            <w:r w:rsidR="003C757C" w:rsidRPr="0086582F">
              <w:rPr>
                <w:rFonts w:ascii="Times New Roman" w:hAnsi="Times New Roman"/>
              </w:rPr>
              <w:t>6.</w:t>
            </w:r>
            <w:r w:rsidR="0037636F" w:rsidRPr="0086582F">
              <w:rPr>
                <w:rFonts w:ascii="Times New Roman" w:hAnsi="Times New Roman"/>
              </w:rPr>
              <w:t> </w:t>
            </w:r>
            <w:r w:rsidR="001D60DB" w:rsidRPr="0086582F">
              <w:rPr>
                <w:rFonts w:ascii="Times New Roman" w:hAnsi="Times New Roman"/>
              </w:rPr>
              <w:t>R</w:t>
            </w:r>
            <w:r w:rsidR="00ED5DEF" w:rsidRPr="0086582F">
              <w:rPr>
                <w:rFonts w:ascii="Times New Roman" w:hAnsi="Times New Roman"/>
              </w:rPr>
              <w:t>egulas ieviešanas procesa koordinācija</w:t>
            </w:r>
            <w:r w:rsidR="00CA123D" w:rsidRPr="0086582F">
              <w:rPr>
                <w:rFonts w:ascii="Times New Roman" w:hAnsi="Times New Roman"/>
              </w:rPr>
              <w:t>.</w:t>
            </w:r>
          </w:p>
          <w:p w14:paraId="4995C363" w14:textId="6BC0C4FB" w:rsidR="007A3936" w:rsidRPr="0086582F" w:rsidRDefault="0098148F" w:rsidP="0086582F">
            <w:pPr>
              <w:spacing w:after="120" w:line="240" w:lineRule="auto"/>
              <w:jc w:val="both"/>
              <w:rPr>
                <w:rFonts w:ascii="Times New Roman" w:hAnsi="Times New Roman"/>
              </w:rPr>
            </w:pPr>
            <w:r w:rsidRPr="0086582F">
              <w:rPr>
                <w:rFonts w:ascii="Times New Roman" w:hAnsi="Times New Roman"/>
                <w:iCs/>
              </w:rPr>
              <w:t xml:space="preserve">Informatīvais ziņojums neparedz </w:t>
            </w:r>
            <w:r w:rsidRPr="0086582F">
              <w:rPr>
                <w:rFonts w:ascii="Times New Roman" w:hAnsi="Times New Roman"/>
              </w:rPr>
              <w:t>institūciju turpmāku rīcību.</w:t>
            </w:r>
            <w:r w:rsidR="007C7201" w:rsidRPr="0086582F">
              <w:rPr>
                <w:rFonts w:ascii="Times New Roman" w:hAnsi="Times New Roman"/>
              </w:rPr>
              <w:t xml:space="preserve"> Tam ir informatīvs raksturs</w:t>
            </w:r>
            <w:r w:rsidR="007C7201" w:rsidRPr="0086582F">
              <w:rPr>
                <w:rFonts w:ascii="Times New Roman" w:hAnsi="Times New Roman"/>
                <w:iCs/>
              </w:rPr>
              <w:t>.</w:t>
            </w:r>
          </w:p>
        </w:tc>
      </w:tr>
      <w:tr w:rsidR="009C1037" w:rsidRPr="0086582F" w14:paraId="4995C367" w14:textId="77777777" w:rsidTr="00402714">
        <w:tc>
          <w:tcPr>
            <w:tcW w:w="2694" w:type="dxa"/>
            <w:shd w:val="clear" w:color="auto" w:fill="auto"/>
          </w:tcPr>
          <w:p w14:paraId="4995C365"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Citi risinājuma varianti, ja tādi pastāv</w:t>
            </w:r>
          </w:p>
        </w:tc>
        <w:tc>
          <w:tcPr>
            <w:tcW w:w="7512" w:type="dxa"/>
            <w:shd w:val="clear" w:color="auto" w:fill="auto"/>
          </w:tcPr>
          <w:p w14:paraId="4995C366" w14:textId="77777777" w:rsidR="00746A00" w:rsidRPr="0086582F" w:rsidRDefault="00746A00" w:rsidP="0086582F">
            <w:pPr>
              <w:spacing w:after="120" w:line="240" w:lineRule="auto"/>
              <w:jc w:val="both"/>
              <w:rPr>
                <w:rFonts w:ascii="Times New Roman" w:hAnsi="Times New Roman"/>
              </w:rPr>
            </w:pPr>
            <w:r w:rsidRPr="0086582F">
              <w:rPr>
                <w:rFonts w:ascii="Times New Roman" w:hAnsi="Times New Roman"/>
              </w:rPr>
              <w:t>Nav</w:t>
            </w:r>
          </w:p>
        </w:tc>
      </w:tr>
      <w:tr w:rsidR="009C1037" w:rsidRPr="0086582F" w14:paraId="4995C36A" w14:textId="77777777" w:rsidTr="00402714">
        <w:tc>
          <w:tcPr>
            <w:tcW w:w="2694" w:type="dxa"/>
            <w:shd w:val="clear" w:color="auto" w:fill="auto"/>
          </w:tcPr>
          <w:p w14:paraId="4995C368"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Atbildīgā amatpersona par projektu</w:t>
            </w:r>
          </w:p>
        </w:tc>
        <w:tc>
          <w:tcPr>
            <w:tcW w:w="7512" w:type="dxa"/>
            <w:shd w:val="clear" w:color="auto" w:fill="auto"/>
          </w:tcPr>
          <w:p w14:paraId="4995C369" w14:textId="5CEBB97B" w:rsidR="00746A00" w:rsidRPr="0086582F" w:rsidRDefault="00D37D16" w:rsidP="0086582F">
            <w:pPr>
              <w:spacing w:after="120" w:line="240" w:lineRule="auto"/>
              <w:jc w:val="both"/>
              <w:rPr>
                <w:rFonts w:ascii="Times New Roman" w:hAnsi="Times New Roman"/>
              </w:rPr>
            </w:pPr>
            <w:r w:rsidRPr="0086582F">
              <w:rPr>
                <w:rFonts w:ascii="Times New Roman" w:hAnsi="Times New Roman"/>
              </w:rPr>
              <w:t xml:space="preserve">Uģis </w:t>
            </w:r>
            <w:r w:rsidR="00521041" w:rsidRPr="0086582F">
              <w:rPr>
                <w:rFonts w:ascii="Times New Roman" w:hAnsi="Times New Roman"/>
              </w:rPr>
              <w:t xml:space="preserve">Bisenieks, </w:t>
            </w:r>
            <w:r w:rsidR="004C3627" w:rsidRPr="0086582F">
              <w:rPr>
                <w:rFonts w:ascii="Times New Roman" w:hAnsi="Times New Roman"/>
              </w:rPr>
              <w:t>Valsts pārvaldes pakalpojumu attīstības departamenta direktors</w:t>
            </w:r>
          </w:p>
        </w:tc>
      </w:tr>
      <w:tr w:rsidR="009C1037" w:rsidRPr="0086582F" w14:paraId="4995C36D" w14:textId="77777777" w:rsidTr="00402714">
        <w:tc>
          <w:tcPr>
            <w:tcW w:w="2694" w:type="dxa"/>
            <w:shd w:val="clear" w:color="auto" w:fill="auto"/>
          </w:tcPr>
          <w:p w14:paraId="4995C36B"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Struktūrvienības un padotības iestādes, ar kurām projekts jāsaskaņo</w:t>
            </w:r>
          </w:p>
        </w:tc>
        <w:tc>
          <w:tcPr>
            <w:tcW w:w="7512" w:type="dxa"/>
            <w:shd w:val="clear" w:color="auto" w:fill="auto"/>
          </w:tcPr>
          <w:p w14:paraId="4995C36C" w14:textId="0A8F6197" w:rsidR="00746A00" w:rsidRPr="0086582F" w:rsidRDefault="00746A00" w:rsidP="0086582F">
            <w:pPr>
              <w:spacing w:after="120" w:line="240" w:lineRule="auto"/>
              <w:jc w:val="both"/>
              <w:rPr>
                <w:rFonts w:ascii="Times New Roman" w:hAnsi="Times New Roman"/>
              </w:rPr>
            </w:pPr>
            <w:r w:rsidRPr="0086582F">
              <w:rPr>
                <w:rFonts w:ascii="Times New Roman" w:hAnsi="Times New Roman"/>
              </w:rPr>
              <w:t>Juridiskais departaments</w:t>
            </w:r>
          </w:p>
        </w:tc>
      </w:tr>
      <w:tr w:rsidR="009C1037" w:rsidRPr="0086582F" w14:paraId="4995C370" w14:textId="77777777" w:rsidTr="00402714">
        <w:tc>
          <w:tcPr>
            <w:tcW w:w="2694" w:type="dxa"/>
            <w:shd w:val="clear" w:color="auto" w:fill="auto"/>
          </w:tcPr>
          <w:p w14:paraId="4995C36E"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Finansiālā ietekme uz valsts budžetu (ir vai nav; aptuvenais novērtējums)</w:t>
            </w:r>
          </w:p>
        </w:tc>
        <w:tc>
          <w:tcPr>
            <w:tcW w:w="7512" w:type="dxa"/>
            <w:shd w:val="clear" w:color="auto" w:fill="auto"/>
          </w:tcPr>
          <w:p w14:paraId="4995C36F" w14:textId="77777777" w:rsidR="00A63C58" w:rsidRPr="0086582F" w:rsidRDefault="00C83751" w:rsidP="0086582F">
            <w:pPr>
              <w:shd w:val="clear" w:color="auto" w:fill="FFFFFF"/>
              <w:spacing w:after="120" w:line="240" w:lineRule="auto"/>
              <w:jc w:val="both"/>
              <w:rPr>
                <w:rFonts w:ascii="Times New Roman" w:eastAsia="Times New Roman" w:hAnsi="Times New Roman"/>
                <w:highlight w:val="yellow"/>
                <w:lang w:eastAsia="lv-LV"/>
              </w:rPr>
            </w:pPr>
            <w:r w:rsidRPr="0086582F">
              <w:rPr>
                <w:rFonts w:ascii="Times New Roman" w:eastAsia="Times New Roman" w:hAnsi="Times New Roman"/>
                <w:lang w:eastAsia="lv-LV"/>
              </w:rPr>
              <w:t>nav</w:t>
            </w:r>
          </w:p>
        </w:tc>
      </w:tr>
      <w:tr w:rsidR="009C1037" w:rsidRPr="0086582F" w14:paraId="4995C373" w14:textId="77777777" w:rsidTr="00402714">
        <w:tc>
          <w:tcPr>
            <w:tcW w:w="2694" w:type="dxa"/>
            <w:shd w:val="clear" w:color="auto" w:fill="auto"/>
          </w:tcPr>
          <w:p w14:paraId="4995C371"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Informācija par riskiem, kas saistīti ar projekta virzību, ja ir</w:t>
            </w:r>
          </w:p>
        </w:tc>
        <w:tc>
          <w:tcPr>
            <w:tcW w:w="7512" w:type="dxa"/>
            <w:shd w:val="clear" w:color="auto" w:fill="auto"/>
          </w:tcPr>
          <w:p w14:paraId="4995C372" w14:textId="77777777" w:rsidR="00A63C58" w:rsidRPr="0086582F" w:rsidRDefault="00C83751" w:rsidP="0086582F">
            <w:pPr>
              <w:spacing w:after="120" w:line="240" w:lineRule="auto"/>
              <w:jc w:val="both"/>
              <w:rPr>
                <w:rFonts w:ascii="Times New Roman" w:hAnsi="Times New Roman"/>
              </w:rPr>
            </w:pPr>
            <w:r w:rsidRPr="0086582F">
              <w:rPr>
                <w:rFonts w:ascii="Times New Roman" w:hAnsi="Times New Roman"/>
              </w:rPr>
              <w:t>nav</w:t>
            </w:r>
          </w:p>
        </w:tc>
      </w:tr>
      <w:tr w:rsidR="009C1037" w:rsidRPr="0086582F" w14:paraId="4995C378" w14:textId="77777777" w:rsidTr="00402714">
        <w:trPr>
          <w:trHeight w:val="516"/>
        </w:trPr>
        <w:tc>
          <w:tcPr>
            <w:tcW w:w="2694" w:type="dxa"/>
            <w:shd w:val="clear" w:color="auto" w:fill="auto"/>
          </w:tcPr>
          <w:p w14:paraId="4995C374"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Projekta virzības kalendārais plāns</w:t>
            </w:r>
          </w:p>
        </w:tc>
        <w:tc>
          <w:tcPr>
            <w:tcW w:w="7512" w:type="dxa"/>
            <w:shd w:val="clear" w:color="auto" w:fill="auto"/>
          </w:tcPr>
          <w:p w14:paraId="4995C375" w14:textId="50D21505" w:rsidR="00EE145F" w:rsidRPr="0086582F" w:rsidRDefault="00EE145F" w:rsidP="0086582F">
            <w:pPr>
              <w:spacing w:after="120" w:line="240" w:lineRule="auto"/>
              <w:jc w:val="both"/>
              <w:rPr>
                <w:rFonts w:ascii="Times New Roman" w:hAnsi="Times New Roman"/>
              </w:rPr>
            </w:pPr>
            <w:r w:rsidRPr="0086582F">
              <w:rPr>
                <w:rFonts w:ascii="Times New Roman" w:hAnsi="Times New Roman"/>
              </w:rPr>
              <w:t>Iz</w:t>
            </w:r>
            <w:r w:rsidR="00C529AE" w:rsidRPr="0086582F">
              <w:rPr>
                <w:rFonts w:ascii="Times New Roman" w:hAnsi="Times New Roman"/>
              </w:rPr>
              <w:t>sūtīt saskaņošanai</w:t>
            </w:r>
            <w:r w:rsidR="00873F52" w:rsidRPr="0086582F">
              <w:rPr>
                <w:rFonts w:ascii="Times New Roman" w:hAnsi="Times New Roman"/>
              </w:rPr>
              <w:t xml:space="preserve"> ar JD</w:t>
            </w:r>
            <w:r w:rsidR="00C83751" w:rsidRPr="0086582F">
              <w:rPr>
                <w:rFonts w:ascii="Times New Roman" w:hAnsi="Times New Roman"/>
              </w:rPr>
              <w:t xml:space="preserve"> </w:t>
            </w:r>
            <w:r w:rsidR="00695C55" w:rsidRPr="0086582F">
              <w:rPr>
                <w:rFonts w:ascii="Times New Roman" w:hAnsi="Times New Roman"/>
              </w:rPr>
              <w:t>16</w:t>
            </w:r>
            <w:r w:rsidR="007B3560" w:rsidRPr="0086582F">
              <w:rPr>
                <w:rFonts w:ascii="Times New Roman" w:hAnsi="Times New Roman"/>
              </w:rPr>
              <w:t>.0</w:t>
            </w:r>
            <w:r w:rsidR="002E305E" w:rsidRPr="0086582F">
              <w:rPr>
                <w:rFonts w:ascii="Times New Roman" w:hAnsi="Times New Roman"/>
              </w:rPr>
              <w:t>4</w:t>
            </w:r>
            <w:r w:rsidR="007B3560" w:rsidRPr="0086582F">
              <w:rPr>
                <w:rFonts w:ascii="Times New Roman" w:hAnsi="Times New Roman"/>
              </w:rPr>
              <w:t>.20</w:t>
            </w:r>
            <w:r w:rsidR="00845236" w:rsidRPr="0086582F">
              <w:rPr>
                <w:rFonts w:ascii="Times New Roman" w:hAnsi="Times New Roman"/>
              </w:rPr>
              <w:t>2</w:t>
            </w:r>
            <w:r w:rsidR="002E305E" w:rsidRPr="0086582F">
              <w:rPr>
                <w:rFonts w:ascii="Times New Roman" w:hAnsi="Times New Roman"/>
              </w:rPr>
              <w:t>1</w:t>
            </w:r>
            <w:r w:rsidR="00845236" w:rsidRPr="0086582F">
              <w:rPr>
                <w:rFonts w:ascii="Times New Roman" w:hAnsi="Times New Roman"/>
              </w:rPr>
              <w:t>.</w:t>
            </w:r>
          </w:p>
          <w:p w14:paraId="4995C377" w14:textId="0D45DEE1" w:rsidR="00C83751" w:rsidRPr="0086582F" w:rsidRDefault="00A04AC3" w:rsidP="0086582F">
            <w:pPr>
              <w:spacing w:after="120" w:line="240" w:lineRule="auto"/>
              <w:jc w:val="both"/>
              <w:rPr>
                <w:rFonts w:ascii="Times New Roman" w:hAnsi="Times New Roman"/>
              </w:rPr>
            </w:pPr>
            <w:r w:rsidRPr="0086582F">
              <w:rPr>
                <w:rFonts w:ascii="Times New Roman" w:hAnsi="Times New Roman"/>
              </w:rPr>
              <w:t xml:space="preserve">Iesniegt Ministru kabinetā: </w:t>
            </w:r>
            <w:r w:rsidR="007B3560" w:rsidRPr="0086582F">
              <w:rPr>
                <w:rFonts w:ascii="Times New Roman" w:hAnsi="Times New Roman"/>
              </w:rPr>
              <w:t>30</w:t>
            </w:r>
            <w:r w:rsidR="009E586B" w:rsidRPr="0086582F">
              <w:rPr>
                <w:rFonts w:ascii="Times New Roman" w:hAnsi="Times New Roman"/>
              </w:rPr>
              <w:t>.</w:t>
            </w:r>
            <w:r w:rsidR="007B3560" w:rsidRPr="0086582F">
              <w:rPr>
                <w:rFonts w:ascii="Times New Roman" w:hAnsi="Times New Roman"/>
              </w:rPr>
              <w:t>0</w:t>
            </w:r>
            <w:r w:rsidR="00774B6E" w:rsidRPr="0086582F">
              <w:rPr>
                <w:rFonts w:ascii="Times New Roman" w:hAnsi="Times New Roman"/>
              </w:rPr>
              <w:t>4</w:t>
            </w:r>
            <w:r w:rsidR="00C529AE" w:rsidRPr="0086582F">
              <w:rPr>
                <w:rFonts w:ascii="Times New Roman" w:hAnsi="Times New Roman"/>
              </w:rPr>
              <w:t>.20</w:t>
            </w:r>
            <w:r w:rsidR="00845236" w:rsidRPr="0086582F">
              <w:rPr>
                <w:rFonts w:ascii="Times New Roman" w:hAnsi="Times New Roman"/>
              </w:rPr>
              <w:t>2</w:t>
            </w:r>
            <w:r w:rsidR="001C75AD" w:rsidRPr="0086582F">
              <w:rPr>
                <w:rFonts w:ascii="Times New Roman" w:hAnsi="Times New Roman"/>
              </w:rPr>
              <w:t>1</w:t>
            </w:r>
            <w:r w:rsidR="00873F52" w:rsidRPr="0086582F">
              <w:rPr>
                <w:rFonts w:ascii="Times New Roman" w:hAnsi="Times New Roman"/>
              </w:rPr>
              <w:t>.</w:t>
            </w:r>
          </w:p>
        </w:tc>
      </w:tr>
      <w:tr w:rsidR="009C1037" w:rsidRPr="0086582F" w14:paraId="4995C37A" w14:textId="77777777" w:rsidTr="00402714">
        <w:tc>
          <w:tcPr>
            <w:tcW w:w="10206" w:type="dxa"/>
            <w:gridSpan w:val="2"/>
            <w:shd w:val="clear" w:color="auto" w:fill="auto"/>
          </w:tcPr>
          <w:p w14:paraId="4995C379" w14:textId="77777777" w:rsidR="00746A00" w:rsidRPr="0086582F" w:rsidRDefault="00746A00" w:rsidP="0086582F">
            <w:pPr>
              <w:spacing w:after="120" w:line="240" w:lineRule="auto"/>
              <w:jc w:val="center"/>
              <w:rPr>
                <w:rFonts w:ascii="Times New Roman" w:hAnsi="Times New Roman"/>
              </w:rPr>
            </w:pPr>
            <w:r w:rsidRPr="0086582F">
              <w:rPr>
                <w:rFonts w:ascii="Times New Roman" w:hAnsi="Times New Roman"/>
              </w:rPr>
              <w:lastRenderedPageBreak/>
              <w:t>Sabiedrības līdzdalība</w:t>
            </w:r>
          </w:p>
        </w:tc>
      </w:tr>
      <w:tr w:rsidR="009C1037" w:rsidRPr="0086582F" w14:paraId="4995C37D" w14:textId="77777777" w:rsidTr="00402714">
        <w:tc>
          <w:tcPr>
            <w:tcW w:w="2694" w:type="dxa"/>
            <w:shd w:val="clear" w:color="auto" w:fill="auto"/>
          </w:tcPr>
          <w:p w14:paraId="4995C37B"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Datums, kad plānots dokumenta projektu publicēt ministrijas tīmekļa vietnē sabiedrības līdzdalības nodrošināšanai</w:t>
            </w:r>
          </w:p>
        </w:tc>
        <w:tc>
          <w:tcPr>
            <w:tcW w:w="7512" w:type="dxa"/>
            <w:shd w:val="clear" w:color="auto" w:fill="auto"/>
          </w:tcPr>
          <w:p w14:paraId="4995C37C" w14:textId="77777777" w:rsidR="00746A00" w:rsidRPr="0086582F" w:rsidRDefault="00C83751" w:rsidP="0086582F">
            <w:pPr>
              <w:spacing w:after="120" w:line="240" w:lineRule="auto"/>
              <w:jc w:val="both"/>
              <w:rPr>
                <w:rFonts w:ascii="Times New Roman" w:hAnsi="Times New Roman"/>
              </w:rPr>
            </w:pPr>
            <w:r w:rsidRPr="0086582F">
              <w:rPr>
                <w:rFonts w:ascii="Times New Roman" w:hAnsi="Times New Roman"/>
              </w:rPr>
              <w:t>Ministru kabineta noteikumi Nr.</w:t>
            </w:r>
            <w:r w:rsidR="007B3560" w:rsidRPr="0086582F">
              <w:rPr>
                <w:rFonts w:ascii="Times New Roman" w:hAnsi="Times New Roman"/>
              </w:rPr>
              <w:t> </w:t>
            </w:r>
            <w:r w:rsidRPr="0086582F">
              <w:rPr>
                <w:rFonts w:ascii="Times New Roman" w:hAnsi="Times New Roman"/>
              </w:rPr>
              <w:t>737 “Attīstības plānošanas dokumentu izstrādes un ietekmes izvērtēšanas noteikumi” nenosaka prasības informatīvo ziņojumu publicēšanai iestādes mājas lapā, jo informatīvais ziņojums nevar ietvert konceptuālus jautājumus, tātad izmaiņas politikā vai uzdevumos, un tādejādi nav attīstības plānošanas dokuments.</w:t>
            </w:r>
          </w:p>
        </w:tc>
      </w:tr>
      <w:tr w:rsidR="009C1037" w:rsidRPr="0086582F" w14:paraId="4995C380" w14:textId="77777777" w:rsidTr="00402714">
        <w:tc>
          <w:tcPr>
            <w:tcW w:w="2694" w:type="dxa"/>
            <w:shd w:val="clear" w:color="auto" w:fill="auto"/>
          </w:tcPr>
          <w:p w14:paraId="4995C37E"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Sabiedrības mērķgrupas</w:t>
            </w:r>
          </w:p>
        </w:tc>
        <w:tc>
          <w:tcPr>
            <w:tcW w:w="7512" w:type="dxa"/>
            <w:shd w:val="clear" w:color="auto" w:fill="auto"/>
          </w:tcPr>
          <w:p w14:paraId="4995C37F" w14:textId="6C0C4266" w:rsidR="00746A00" w:rsidRPr="0086582F" w:rsidRDefault="00D37D16" w:rsidP="0086582F">
            <w:pPr>
              <w:pStyle w:val="Default"/>
              <w:spacing w:after="120"/>
              <w:ind w:right="138"/>
              <w:jc w:val="both"/>
              <w:rPr>
                <w:color w:val="auto"/>
                <w:sz w:val="22"/>
                <w:szCs w:val="22"/>
                <w:lang w:val="lv-LV"/>
              </w:rPr>
            </w:pPr>
            <w:r w:rsidRPr="0086582F">
              <w:rPr>
                <w:color w:val="auto"/>
                <w:sz w:val="22"/>
                <w:szCs w:val="22"/>
                <w:lang w:val="lv-LV"/>
              </w:rPr>
              <w:t>Regulas tvērumā</w:t>
            </w:r>
            <w:r w:rsidR="00F24608" w:rsidRPr="0086582F">
              <w:rPr>
                <w:color w:val="auto"/>
                <w:sz w:val="22"/>
                <w:szCs w:val="22"/>
                <w:lang w:val="lv-LV"/>
              </w:rPr>
              <w:t xml:space="preserve"> iesaistītās pašvaldības un iestādes, kuras tiek pārstāvētas</w:t>
            </w:r>
            <w:r w:rsidRPr="0086582F">
              <w:rPr>
                <w:color w:val="auto"/>
                <w:sz w:val="22"/>
                <w:szCs w:val="22"/>
                <w:lang w:val="lv-LV"/>
              </w:rPr>
              <w:t>, Latvijas iedzīvotāji, ārvalstnieki</w:t>
            </w:r>
            <w:r w:rsidR="00D46AB7" w:rsidRPr="0086582F">
              <w:rPr>
                <w:color w:val="auto"/>
                <w:sz w:val="22"/>
                <w:szCs w:val="22"/>
                <w:lang w:val="lv-LV"/>
              </w:rPr>
              <w:t xml:space="preserve">, uz kuriem attiecas Regulas tvērums. </w:t>
            </w:r>
          </w:p>
        </w:tc>
      </w:tr>
      <w:tr w:rsidR="009C1037" w:rsidRPr="0086582F" w14:paraId="4995C383" w14:textId="77777777" w:rsidTr="00402714">
        <w:tc>
          <w:tcPr>
            <w:tcW w:w="2694" w:type="dxa"/>
            <w:shd w:val="clear" w:color="auto" w:fill="auto"/>
          </w:tcPr>
          <w:p w14:paraId="4995C381" w14:textId="77777777" w:rsidR="00746A00" w:rsidRPr="0086582F" w:rsidRDefault="00746A00" w:rsidP="0086582F">
            <w:pPr>
              <w:spacing w:after="120" w:line="240" w:lineRule="auto"/>
              <w:rPr>
                <w:rFonts w:ascii="Times New Roman" w:hAnsi="Times New Roman"/>
              </w:rPr>
            </w:pPr>
            <w:r w:rsidRPr="0086582F">
              <w:rPr>
                <w:rFonts w:ascii="Times New Roman" w:hAnsi="Times New Roman"/>
              </w:rPr>
              <w:t>Plānotie sabiedrības līdzdalības veidi</w:t>
            </w:r>
          </w:p>
        </w:tc>
        <w:tc>
          <w:tcPr>
            <w:tcW w:w="7512" w:type="dxa"/>
            <w:shd w:val="clear" w:color="auto" w:fill="auto"/>
          </w:tcPr>
          <w:p w14:paraId="4995C382" w14:textId="458BE5C3" w:rsidR="0045784D" w:rsidRPr="0086582F" w:rsidRDefault="00D81426" w:rsidP="0086582F">
            <w:pPr>
              <w:pStyle w:val="Default"/>
              <w:spacing w:after="120"/>
              <w:ind w:right="138"/>
              <w:jc w:val="both"/>
              <w:rPr>
                <w:color w:val="auto"/>
                <w:sz w:val="22"/>
                <w:szCs w:val="22"/>
                <w:lang w:val="lv-LV"/>
              </w:rPr>
            </w:pPr>
            <w:r w:rsidRPr="0086582F">
              <w:rPr>
                <w:color w:val="auto"/>
                <w:sz w:val="22"/>
                <w:szCs w:val="22"/>
                <w:lang w:val="lv-LV"/>
              </w:rPr>
              <w:t>Nosūtīt s</w:t>
            </w:r>
            <w:r w:rsidR="00C83751" w:rsidRPr="0086582F">
              <w:rPr>
                <w:color w:val="auto"/>
                <w:sz w:val="22"/>
                <w:szCs w:val="22"/>
                <w:lang w:val="lv-LV"/>
              </w:rPr>
              <w:t>askaņo</w:t>
            </w:r>
            <w:r w:rsidRPr="0086582F">
              <w:rPr>
                <w:color w:val="auto"/>
                <w:sz w:val="22"/>
                <w:szCs w:val="22"/>
                <w:lang w:val="lv-LV"/>
              </w:rPr>
              <w:t>šanai</w:t>
            </w:r>
            <w:r w:rsidR="00C83751" w:rsidRPr="0086582F">
              <w:rPr>
                <w:color w:val="auto"/>
                <w:sz w:val="22"/>
                <w:szCs w:val="22"/>
                <w:lang w:val="lv-LV"/>
              </w:rPr>
              <w:t xml:space="preserve"> </w:t>
            </w:r>
            <w:r w:rsidR="00A40CDE" w:rsidRPr="0086582F">
              <w:rPr>
                <w:color w:val="auto"/>
                <w:sz w:val="22"/>
                <w:szCs w:val="22"/>
                <w:lang w:val="lv-LV"/>
              </w:rPr>
              <w:t>Vārtejas Starpinstitūciju darba grup</w:t>
            </w:r>
            <w:r w:rsidRPr="0086582F">
              <w:rPr>
                <w:color w:val="auto"/>
                <w:sz w:val="22"/>
                <w:szCs w:val="22"/>
                <w:lang w:val="lv-LV"/>
              </w:rPr>
              <w:t>ai</w:t>
            </w:r>
            <w:r w:rsidR="00A40CDE" w:rsidRPr="0086582F">
              <w:rPr>
                <w:color w:val="auto"/>
                <w:sz w:val="22"/>
                <w:szCs w:val="22"/>
                <w:lang w:val="lv-LV"/>
              </w:rPr>
              <w:t xml:space="preserve"> </w:t>
            </w:r>
            <w:r w:rsidR="00B25585" w:rsidRPr="0086582F">
              <w:rPr>
                <w:color w:val="auto"/>
                <w:sz w:val="22"/>
                <w:szCs w:val="22"/>
                <w:lang w:val="lv-LV"/>
              </w:rPr>
              <w:t>16</w:t>
            </w:r>
            <w:r w:rsidR="007B3560" w:rsidRPr="0086582F">
              <w:rPr>
                <w:color w:val="auto"/>
                <w:sz w:val="22"/>
                <w:szCs w:val="22"/>
                <w:lang w:val="lv-LV"/>
              </w:rPr>
              <w:t>.0</w:t>
            </w:r>
            <w:r w:rsidR="00164E8E" w:rsidRPr="0086582F">
              <w:rPr>
                <w:color w:val="auto"/>
                <w:sz w:val="22"/>
                <w:szCs w:val="22"/>
                <w:lang w:val="lv-LV"/>
              </w:rPr>
              <w:t>4</w:t>
            </w:r>
            <w:r w:rsidR="007B3560" w:rsidRPr="0086582F">
              <w:rPr>
                <w:color w:val="auto"/>
                <w:sz w:val="22"/>
                <w:szCs w:val="22"/>
                <w:lang w:val="lv-LV"/>
              </w:rPr>
              <w:t>.20</w:t>
            </w:r>
            <w:r w:rsidR="00332FE0" w:rsidRPr="0086582F">
              <w:rPr>
                <w:color w:val="auto"/>
                <w:sz w:val="22"/>
                <w:szCs w:val="22"/>
                <w:lang w:val="lv-LV"/>
              </w:rPr>
              <w:t>2</w:t>
            </w:r>
            <w:r w:rsidR="003820AF" w:rsidRPr="0086582F">
              <w:rPr>
                <w:color w:val="auto"/>
                <w:sz w:val="22"/>
                <w:szCs w:val="22"/>
                <w:lang w:val="lv-LV"/>
              </w:rPr>
              <w:t>1</w:t>
            </w:r>
            <w:r w:rsidR="007B3560" w:rsidRPr="0086582F">
              <w:rPr>
                <w:color w:val="auto"/>
                <w:sz w:val="22"/>
                <w:szCs w:val="22"/>
                <w:lang w:val="lv-LV"/>
              </w:rPr>
              <w:t>.</w:t>
            </w:r>
          </w:p>
        </w:tc>
      </w:tr>
    </w:tbl>
    <w:p w14:paraId="4995C384" w14:textId="77777777" w:rsidR="006D1D98" w:rsidRPr="009C1037" w:rsidRDefault="006D1D98" w:rsidP="00A63C58">
      <w:pPr>
        <w:spacing w:after="0" w:line="240" w:lineRule="auto"/>
        <w:rPr>
          <w:rFonts w:ascii="Times New Roman" w:hAnsi="Times New Roman"/>
        </w:rPr>
      </w:pPr>
    </w:p>
    <w:p w14:paraId="4995C385" w14:textId="77777777" w:rsidR="006D1D98" w:rsidRPr="009C1037" w:rsidRDefault="006D1D98" w:rsidP="00A63C58">
      <w:pPr>
        <w:spacing w:after="0" w:line="240" w:lineRule="auto"/>
        <w:rPr>
          <w:rFonts w:ascii="Times New Roman" w:hAnsi="Times New Roman"/>
        </w:rPr>
      </w:pPr>
    </w:p>
    <w:p w14:paraId="4995C386" w14:textId="610E9087" w:rsidR="00873F52" w:rsidRPr="009C1037" w:rsidRDefault="00D37D16" w:rsidP="00A63C58">
      <w:pPr>
        <w:spacing w:after="0" w:line="240" w:lineRule="auto"/>
        <w:rPr>
          <w:rFonts w:ascii="Times New Roman" w:hAnsi="Times New Roman"/>
        </w:rPr>
      </w:pPr>
      <w:r>
        <w:rPr>
          <w:rFonts w:ascii="Times New Roman" w:hAnsi="Times New Roman"/>
        </w:rPr>
        <w:t>Amberga</w:t>
      </w:r>
      <w:r w:rsidR="00C83751" w:rsidRPr="009C1037">
        <w:rPr>
          <w:rFonts w:ascii="Times New Roman" w:hAnsi="Times New Roman"/>
        </w:rPr>
        <w:t xml:space="preserve">, </w:t>
      </w:r>
      <w:r w:rsidRPr="00D37D16">
        <w:rPr>
          <w:rFonts w:ascii="Times New Roman" w:hAnsi="Times New Roman"/>
        </w:rPr>
        <w:t>66016736</w:t>
      </w:r>
    </w:p>
    <w:p w14:paraId="4995C387" w14:textId="0ECE72EF" w:rsidR="00C83751" w:rsidRPr="009C1037" w:rsidRDefault="00D37D16" w:rsidP="00A63C58">
      <w:pPr>
        <w:spacing w:after="0" w:line="240" w:lineRule="auto"/>
        <w:rPr>
          <w:rFonts w:ascii="Times New Roman" w:hAnsi="Times New Roman"/>
        </w:rPr>
      </w:pPr>
      <w:r>
        <w:rPr>
          <w:rFonts w:ascii="Times New Roman" w:hAnsi="Times New Roman"/>
        </w:rPr>
        <w:t>Svetlana.amberga</w:t>
      </w:r>
      <w:r w:rsidR="00C83751" w:rsidRPr="009C1037">
        <w:rPr>
          <w:rFonts w:ascii="Times New Roman" w:hAnsi="Times New Roman"/>
        </w:rPr>
        <w:t>@varam.gov.lv</w:t>
      </w:r>
    </w:p>
    <w:sectPr w:rsidR="00C83751" w:rsidRPr="009C1037" w:rsidSect="0086582F">
      <w:headerReference w:type="default" r:id="rId10"/>
      <w:footerReference w:type="default" r:id="rId11"/>
      <w:pgSz w:w="11906" w:h="16838"/>
      <w:pgMar w:top="1134" w:right="567" w:bottom="567" w:left="1134" w:header="709"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A10CE" w14:textId="77777777" w:rsidR="00AF15C1" w:rsidRDefault="00AF15C1" w:rsidP="00DE7C93">
      <w:pPr>
        <w:spacing w:after="0" w:line="240" w:lineRule="auto"/>
      </w:pPr>
      <w:r>
        <w:separator/>
      </w:r>
    </w:p>
  </w:endnote>
  <w:endnote w:type="continuationSeparator" w:id="0">
    <w:p w14:paraId="32779A9F" w14:textId="77777777" w:rsidR="00AF15C1" w:rsidRDefault="00AF15C1" w:rsidP="00DE7C93">
      <w:pPr>
        <w:spacing w:after="0" w:line="240" w:lineRule="auto"/>
      </w:pPr>
      <w:r>
        <w:continuationSeparator/>
      </w:r>
    </w:p>
  </w:endnote>
  <w:endnote w:type="continuationNotice" w:id="1">
    <w:p w14:paraId="3C59E1A2" w14:textId="77777777" w:rsidR="00AF15C1" w:rsidRDefault="00AF15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C38C" w14:textId="77777777" w:rsidR="00AF15C1" w:rsidRPr="004568DE" w:rsidRDefault="00AF15C1" w:rsidP="004568DE">
    <w:pPr>
      <w:pStyle w:val="Footer"/>
      <w:jc w:val="center"/>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EA2EE" w14:textId="77777777" w:rsidR="00AF15C1" w:rsidRDefault="00AF15C1" w:rsidP="00DE7C93">
      <w:pPr>
        <w:spacing w:after="0" w:line="240" w:lineRule="auto"/>
      </w:pPr>
      <w:r>
        <w:separator/>
      </w:r>
    </w:p>
  </w:footnote>
  <w:footnote w:type="continuationSeparator" w:id="0">
    <w:p w14:paraId="078E7023" w14:textId="77777777" w:rsidR="00AF15C1" w:rsidRDefault="00AF15C1" w:rsidP="00DE7C93">
      <w:pPr>
        <w:spacing w:after="0" w:line="240" w:lineRule="auto"/>
      </w:pPr>
      <w:r>
        <w:continuationSeparator/>
      </w:r>
    </w:p>
  </w:footnote>
  <w:footnote w:type="continuationNotice" w:id="1">
    <w:p w14:paraId="3F844092" w14:textId="77777777" w:rsidR="00AF15C1" w:rsidRDefault="00AF15C1">
      <w:pPr>
        <w:spacing w:after="0" w:line="240" w:lineRule="auto"/>
      </w:pPr>
    </w:p>
  </w:footnote>
  <w:footnote w:id="2">
    <w:p w14:paraId="12DB05CD" w14:textId="77777777" w:rsidR="00A73EE4" w:rsidRPr="00B568D2" w:rsidRDefault="00A73EE4" w:rsidP="00A73EE4">
      <w:pPr>
        <w:pStyle w:val="FootnoteText"/>
        <w:rPr>
          <w:rFonts w:ascii="Times New Roman" w:hAnsi="Times New Roman"/>
        </w:rPr>
      </w:pPr>
      <w:r w:rsidRPr="00B568D2">
        <w:rPr>
          <w:rStyle w:val="FootnoteReference"/>
          <w:rFonts w:ascii="Times New Roman" w:hAnsi="Times New Roman"/>
        </w:rPr>
        <w:footnoteRef/>
      </w:r>
      <w:r w:rsidRPr="00B568D2">
        <w:rPr>
          <w:rFonts w:ascii="Times New Roman" w:hAnsi="Times New Roman"/>
        </w:rPr>
        <w:t xml:space="preserve"> Regula, ar ko izveido vienotu digitālo Vārteju, lai sniegtu piekļuvi informācijai, procedūrām un palīdzības un problēmu risināšanas pakalpojumiem, un ar ko groza Regulu (ES) Nr. 1024/2012 – </w:t>
      </w:r>
      <w:hyperlink r:id="rId1" w:history="1">
        <w:r w:rsidRPr="00B568D2">
          <w:rPr>
            <w:rStyle w:val="Hyperlink"/>
            <w:rFonts w:ascii="Times New Roman" w:hAnsi="Times New Roman"/>
          </w:rPr>
          <w:t>https://eur-lex.europa.eu/legal-content/LV/TXT/?uri=CELEX:32018R1724</w:t>
        </w:r>
      </w:hyperlink>
    </w:p>
  </w:footnote>
  <w:footnote w:id="3">
    <w:p w14:paraId="0D6089DB" w14:textId="77777777" w:rsidR="000B1639" w:rsidRPr="0050298F" w:rsidRDefault="000B1639" w:rsidP="000B1639">
      <w:pPr>
        <w:pStyle w:val="FootnoteText"/>
        <w:jc w:val="both"/>
        <w:rPr>
          <w:rFonts w:ascii="Times New Roman" w:hAnsi="Times New Roman"/>
        </w:rPr>
      </w:pPr>
      <w:r w:rsidRPr="0050298F">
        <w:rPr>
          <w:rStyle w:val="FootnoteReference"/>
          <w:rFonts w:ascii="Times New Roman" w:hAnsi="Times New Roman"/>
        </w:rPr>
        <w:footnoteRef/>
      </w:r>
      <w:r w:rsidRPr="0050298F">
        <w:rPr>
          <w:rFonts w:ascii="Times New Roman" w:hAnsi="Times New Roman"/>
        </w:rPr>
        <w:t xml:space="preserve"> Valdības rīcības plāns pieejams: </w:t>
      </w:r>
      <w:hyperlink r:id="rId2" w:history="1">
        <w:r w:rsidRPr="0050298F">
          <w:rPr>
            <w:rStyle w:val="Hyperlink"/>
            <w:rFonts w:ascii="Times New Roman" w:hAnsi="Times New Roman"/>
          </w:rPr>
          <w:t>https://likumi.lv/ta/id/306691-par-valdibas-ricibas-planu-deklaracijas-par-artura-krisjana-karina-vadita-ministru-kabineta-iecereto-darbibu-istenosanai</w:t>
        </w:r>
      </w:hyperlink>
      <w:r w:rsidRPr="0050298F">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922048"/>
      <w:docPartObj>
        <w:docPartGallery w:val="Page Numbers (Top of Page)"/>
        <w:docPartUnique/>
      </w:docPartObj>
    </w:sdtPr>
    <w:sdtEndPr>
      <w:rPr>
        <w:noProof/>
      </w:rPr>
    </w:sdtEndPr>
    <w:sdtContent>
      <w:p w14:paraId="7E8173CC" w14:textId="21C1BF3B" w:rsidR="00FA6EAB" w:rsidRDefault="00FA6EA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EB5C25C" w14:textId="77777777" w:rsidR="00FA6EAB" w:rsidRDefault="00FA6E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07F4"/>
    <w:multiLevelType w:val="hybridMultilevel"/>
    <w:tmpl w:val="799CED90"/>
    <w:lvl w:ilvl="0" w:tplc="AEBE586A">
      <w:start w:val="1"/>
      <w:numFmt w:val="bullet"/>
      <w:lvlText w:val="•"/>
      <w:lvlJc w:val="left"/>
      <w:pPr>
        <w:tabs>
          <w:tab w:val="num" w:pos="720"/>
        </w:tabs>
        <w:ind w:left="720" w:hanging="360"/>
      </w:pPr>
      <w:rPr>
        <w:rFonts w:ascii="Arial" w:hAnsi="Arial" w:hint="default"/>
      </w:rPr>
    </w:lvl>
    <w:lvl w:ilvl="1" w:tplc="0426000F">
      <w:start w:val="1"/>
      <w:numFmt w:val="decimal"/>
      <w:lvlText w:val="%2."/>
      <w:lvlJc w:val="left"/>
      <w:pPr>
        <w:tabs>
          <w:tab w:val="num" w:pos="1440"/>
        </w:tabs>
        <w:ind w:left="1440" w:hanging="360"/>
      </w:pPr>
      <w:rPr>
        <w:rFonts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5550DA"/>
    <w:multiLevelType w:val="hybridMultilevel"/>
    <w:tmpl w:val="087CF81E"/>
    <w:lvl w:ilvl="0" w:tplc="2A52FF66">
      <w:start w:val="1"/>
      <w:numFmt w:val="bullet"/>
      <w:lvlText w:val="•"/>
      <w:lvlJc w:val="left"/>
      <w:pPr>
        <w:tabs>
          <w:tab w:val="num" w:pos="720"/>
        </w:tabs>
        <w:ind w:left="720" w:hanging="360"/>
      </w:pPr>
      <w:rPr>
        <w:rFonts w:ascii="Arial" w:hAnsi="Arial" w:hint="default"/>
      </w:rPr>
    </w:lvl>
    <w:lvl w:ilvl="1" w:tplc="A5C0313C">
      <w:start w:val="1"/>
      <w:numFmt w:val="bullet"/>
      <w:lvlText w:val="•"/>
      <w:lvlJc w:val="left"/>
      <w:pPr>
        <w:tabs>
          <w:tab w:val="num" w:pos="1440"/>
        </w:tabs>
        <w:ind w:left="1440" w:hanging="360"/>
      </w:pPr>
      <w:rPr>
        <w:rFonts w:ascii="Arial" w:hAnsi="Arial" w:hint="default"/>
      </w:rPr>
    </w:lvl>
    <w:lvl w:ilvl="2" w:tplc="504CDE9E" w:tentative="1">
      <w:start w:val="1"/>
      <w:numFmt w:val="bullet"/>
      <w:lvlText w:val="•"/>
      <w:lvlJc w:val="left"/>
      <w:pPr>
        <w:tabs>
          <w:tab w:val="num" w:pos="2160"/>
        </w:tabs>
        <w:ind w:left="2160" w:hanging="360"/>
      </w:pPr>
      <w:rPr>
        <w:rFonts w:ascii="Arial" w:hAnsi="Arial" w:hint="default"/>
      </w:rPr>
    </w:lvl>
    <w:lvl w:ilvl="3" w:tplc="E9F27F22" w:tentative="1">
      <w:start w:val="1"/>
      <w:numFmt w:val="bullet"/>
      <w:lvlText w:val="•"/>
      <w:lvlJc w:val="left"/>
      <w:pPr>
        <w:tabs>
          <w:tab w:val="num" w:pos="2880"/>
        </w:tabs>
        <w:ind w:left="2880" w:hanging="360"/>
      </w:pPr>
      <w:rPr>
        <w:rFonts w:ascii="Arial" w:hAnsi="Arial" w:hint="default"/>
      </w:rPr>
    </w:lvl>
    <w:lvl w:ilvl="4" w:tplc="B7861B6E" w:tentative="1">
      <w:start w:val="1"/>
      <w:numFmt w:val="bullet"/>
      <w:lvlText w:val="•"/>
      <w:lvlJc w:val="left"/>
      <w:pPr>
        <w:tabs>
          <w:tab w:val="num" w:pos="3600"/>
        </w:tabs>
        <w:ind w:left="3600" w:hanging="360"/>
      </w:pPr>
      <w:rPr>
        <w:rFonts w:ascii="Arial" w:hAnsi="Arial" w:hint="default"/>
      </w:rPr>
    </w:lvl>
    <w:lvl w:ilvl="5" w:tplc="B960382E" w:tentative="1">
      <w:start w:val="1"/>
      <w:numFmt w:val="bullet"/>
      <w:lvlText w:val="•"/>
      <w:lvlJc w:val="left"/>
      <w:pPr>
        <w:tabs>
          <w:tab w:val="num" w:pos="4320"/>
        </w:tabs>
        <w:ind w:left="4320" w:hanging="360"/>
      </w:pPr>
      <w:rPr>
        <w:rFonts w:ascii="Arial" w:hAnsi="Arial" w:hint="default"/>
      </w:rPr>
    </w:lvl>
    <w:lvl w:ilvl="6" w:tplc="992005A0" w:tentative="1">
      <w:start w:val="1"/>
      <w:numFmt w:val="bullet"/>
      <w:lvlText w:val="•"/>
      <w:lvlJc w:val="left"/>
      <w:pPr>
        <w:tabs>
          <w:tab w:val="num" w:pos="5040"/>
        </w:tabs>
        <w:ind w:left="5040" w:hanging="360"/>
      </w:pPr>
      <w:rPr>
        <w:rFonts w:ascii="Arial" w:hAnsi="Arial" w:hint="default"/>
      </w:rPr>
    </w:lvl>
    <w:lvl w:ilvl="7" w:tplc="4172FEBC" w:tentative="1">
      <w:start w:val="1"/>
      <w:numFmt w:val="bullet"/>
      <w:lvlText w:val="•"/>
      <w:lvlJc w:val="left"/>
      <w:pPr>
        <w:tabs>
          <w:tab w:val="num" w:pos="5760"/>
        </w:tabs>
        <w:ind w:left="5760" w:hanging="360"/>
      </w:pPr>
      <w:rPr>
        <w:rFonts w:ascii="Arial" w:hAnsi="Arial" w:hint="default"/>
      </w:rPr>
    </w:lvl>
    <w:lvl w:ilvl="8" w:tplc="030AE4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7B3F02"/>
    <w:multiLevelType w:val="hybridMultilevel"/>
    <w:tmpl w:val="BBD2060A"/>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2B726391"/>
    <w:multiLevelType w:val="hybridMultilevel"/>
    <w:tmpl w:val="0AE2F694"/>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54D529D1"/>
    <w:multiLevelType w:val="hybridMultilevel"/>
    <w:tmpl w:val="F3B4023A"/>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5" w15:restartNumberingAfterBreak="0">
    <w:nsid w:val="7E5F510F"/>
    <w:multiLevelType w:val="hybridMultilevel"/>
    <w:tmpl w:val="DEB8D0A4"/>
    <w:lvl w:ilvl="0" w:tplc="AEBE586A">
      <w:start w:val="1"/>
      <w:numFmt w:val="bullet"/>
      <w:lvlText w:val="•"/>
      <w:lvlJc w:val="left"/>
      <w:pPr>
        <w:tabs>
          <w:tab w:val="num" w:pos="720"/>
        </w:tabs>
        <w:ind w:left="720" w:hanging="360"/>
      </w:pPr>
      <w:rPr>
        <w:rFonts w:ascii="Arial" w:hAnsi="Arial" w:hint="default"/>
      </w:rPr>
    </w:lvl>
    <w:lvl w:ilvl="1" w:tplc="544C5396">
      <w:start w:val="1319"/>
      <w:numFmt w:val="bullet"/>
      <w:lvlText w:val="–"/>
      <w:lvlJc w:val="left"/>
      <w:pPr>
        <w:tabs>
          <w:tab w:val="num" w:pos="1440"/>
        </w:tabs>
        <w:ind w:left="1440" w:hanging="360"/>
      </w:pPr>
      <w:rPr>
        <w:rFonts w:ascii="Arial" w:hAnsi="Arial"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A00"/>
    <w:rsid w:val="00001314"/>
    <w:rsid w:val="00001773"/>
    <w:rsid w:val="00036863"/>
    <w:rsid w:val="00077997"/>
    <w:rsid w:val="000B1639"/>
    <w:rsid w:val="00107D97"/>
    <w:rsid w:val="00135D9C"/>
    <w:rsid w:val="00164E8E"/>
    <w:rsid w:val="0018405C"/>
    <w:rsid w:val="001A3D26"/>
    <w:rsid w:val="001C75AD"/>
    <w:rsid w:val="001D60DB"/>
    <w:rsid w:val="001E1E12"/>
    <w:rsid w:val="001E2162"/>
    <w:rsid w:val="001F1EC9"/>
    <w:rsid w:val="0021113A"/>
    <w:rsid w:val="002116B3"/>
    <w:rsid w:val="0022463D"/>
    <w:rsid w:val="00280E80"/>
    <w:rsid w:val="00296A69"/>
    <w:rsid w:val="002A05FE"/>
    <w:rsid w:val="002A7B8F"/>
    <w:rsid w:val="002D0D89"/>
    <w:rsid w:val="002E305E"/>
    <w:rsid w:val="002F47AF"/>
    <w:rsid w:val="00302B8D"/>
    <w:rsid w:val="0030652C"/>
    <w:rsid w:val="0031037F"/>
    <w:rsid w:val="00321D20"/>
    <w:rsid w:val="00332FE0"/>
    <w:rsid w:val="0037019A"/>
    <w:rsid w:val="003743EB"/>
    <w:rsid w:val="0037636F"/>
    <w:rsid w:val="003820AF"/>
    <w:rsid w:val="003C0DB1"/>
    <w:rsid w:val="003C4125"/>
    <w:rsid w:val="003C757C"/>
    <w:rsid w:val="00402714"/>
    <w:rsid w:val="00403554"/>
    <w:rsid w:val="00417A5E"/>
    <w:rsid w:val="004564C4"/>
    <w:rsid w:val="004568DE"/>
    <w:rsid w:val="0045784D"/>
    <w:rsid w:val="004647A0"/>
    <w:rsid w:val="004652B1"/>
    <w:rsid w:val="004C3627"/>
    <w:rsid w:val="004F1499"/>
    <w:rsid w:val="00521041"/>
    <w:rsid w:val="00541EB1"/>
    <w:rsid w:val="00550C0C"/>
    <w:rsid w:val="00575438"/>
    <w:rsid w:val="00594712"/>
    <w:rsid w:val="005976D2"/>
    <w:rsid w:val="005A7A0B"/>
    <w:rsid w:val="005D2125"/>
    <w:rsid w:val="005D6B91"/>
    <w:rsid w:val="005E1B7E"/>
    <w:rsid w:val="005E5531"/>
    <w:rsid w:val="00622037"/>
    <w:rsid w:val="00630AA0"/>
    <w:rsid w:val="006535F3"/>
    <w:rsid w:val="006674A8"/>
    <w:rsid w:val="006714EC"/>
    <w:rsid w:val="00695C55"/>
    <w:rsid w:val="006A5938"/>
    <w:rsid w:val="006B34D2"/>
    <w:rsid w:val="006C42FC"/>
    <w:rsid w:val="006D1D98"/>
    <w:rsid w:val="006D6171"/>
    <w:rsid w:val="006E4754"/>
    <w:rsid w:val="007051D2"/>
    <w:rsid w:val="00715CB6"/>
    <w:rsid w:val="00723234"/>
    <w:rsid w:val="00727BCF"/>
    <w:rsid w:val="00737D8C"/>
    <w:rsid w:val="00746A00"/>
    <w:rsid w:val="00774B6E"/>
    <w:rsid w:val="007A3936"/>
    <w:rsid w:val="007B3560"/>
    <w:rsid w:val="007B4CB6"/>
    <w:rsid w:val="007C6F39"/>
    <w:rsid w:val="007C7201"/>
    <w:rsid w:val="007D3308"/>
    <w:rsid w:val="007F5913"/>
    <w:rsid w:val="0080504E"/>
    <w:rsid w:val="0081246E"/>
    <w:rsid w:val="00820FC8"/>
    <w:rsid w:val="0082514B"/>
    <w:rsid w:val="00845236"/>
    <w:rsid w:val="008511D2"/>
    <w:rsid w:val="00853E87"/>
    <w:rsid w:val="00860841"/>
    <w:rsid w:val="008611DF"/>
    <w:rsid w:val="008623AD"/>
    <w:rsid w:val="0086582F"/>
    <w:rsid w:val="00873F52"/>
    <w:rsid w:val="008C1F64"/>
    <w:rsid w:val="00903EB7"/>
    <w:rsid w:val="00907C30"/>
    <w:rsid w:val="00913896"/>
    <w:rsid w:val="00924D4E"/>
    <w:rsid w:val="00926BC1"/>
    <w:rsid w:val="009512E6"/>
    <w:rsid w:val="00956895"/>
    <w:rsid w:val="00966CC4"/>
    <w:rsid w:val="00967FE5"/>
    <w:rsid w:val="009748BD"/>
    <w:rsid w:val="0098148F"/>
    <w:rsid w:val="009853D3"/>
    <w:rsid w:val="009A3AE3"/>
    <w:rsid w:val="009A41C3"/>
    <w:rsid w:val="009B36C0"/>
    <w:rsid w:val="009C0BC3"/>
    <w:rsid w:val="009C1037"/>
    <w:rsid w:val="009D0150"/>
    <w:rsid w:val="009E586B"/>
    <w:rsid w:val="00A04AC3"/>
    <w:rsid w:val="00A10A40"/>
    <w:rsid w:val="00A31FF4"/>
    <w:rsid w:val="00A371D0"/>
    <w:rsid w:val="00A40CDE"/>
    <w:rsid w:val="00A45997"/>
    <w:rsid w:val="00A63C58"/>
    <w:rsid w:val="00A66140"/>
    <w:rsid w:val="00A73EE4"/>
    <w:rsid w:val="00A936F0"/>
    <w:rsid w:val="00AB4733"/>
    <w:rsid w:val="00AB59AE"/>
    <w:rsid w:val="00AC6BC4"/>
    <w:rsid w:val="00AF15C1"/>
    <w:rsid w:val="00B11F9B"/>
    <w:rsid w:val="00B12CC2"/>
    <w:rsid w:val="00B14D95"/>
    <w:rsid w:val="00B22FEB"/>
    <w:rsid w:val="00B25585"/>
    <w:rsid w:val="00B30483"/>
    <w:rsid w:val="00B31FD3"/>
    <w:rsid w:val="00B4093F"/>
    <w:rsid w:val="00B438B7"/>
    <w:rsid w:val="00B445A4"/>
    <w:rsid w:val="00B56C2D"/>
    <w:rsid w:val="00B97F12"/>
    <w:rsid w:val="00BA49D1"/>
    <w:rsid w:val="00BC3DAD"/>
    <w:rsid w:val="00BC637A"/>
    <w:rsid w:val="00BD62EE"/>
    <w:rsid w:val="00C501F0"/>
    <w:rsid w:val="00C529AE"/>
    <w:rsid w:val="00C529D3"/>
    <w:rsid w:val="00C52AD9"/>
    <w:rsid w:val="00C73618"/>
    <w:rsid w:val="00C770C1"/>
    <w:rsid w:val="00C80270"/>
    <w:rsid w:val="00C83751"/>
    <w:rsid w:val="00CA123D"/>
    <w:rsid w:val="00CE4247"/>
    <w:rsid w:val="00CF67B9"/>
    <w:rsid w:val="00D04F6B"/>
    <w:rsid w:val="00D37D16"/>
    <w:rsid w:val="00D46A1A"/>
    <w:rsid w:val="00D46AB7"/>
    <w:rsid w:val="00D62AED"/>
    <w:rsid w:val="00D66ABD"/>
    <w:rsid w:val="00D81426"/>
    <w:rsid w:val="00D8216C"/>
    <w:rsid w:val="00D96570"/>
    <w:rsid w:val="00DB4266"/>
    <w:rsid w:val="00DE4E84"/>
    <w:rsid w:val="00DE6851"/>
    <w:rsid w:val="00DE7C93"/>
    <w:rsid w:val="00DF5DAE"/>
    <w:rsid w:val="00E31D1B"/>
    <w:rsid w:val="00E34444"/>
    <w:rsid w:val="00E6754C"/>
    <w:rsid w:val="00E73E6B"/>
    <w:rsid w:val="00E909F9"/>
    <w:rsid w:val="00EA00C4"/>
    <w:rsid w:val="00EA0E2E"/>
    <w:rsid w:val="00EB29FD"/>
    <w:rsid w:val="00ED5DEF"/>
    <w:rsid w:val="00EE145F"/>
    <w:rsid w:val="00EE60B1"/>
    <w:rsid w:val="00F01BD6"/>
    <w:rsid w:val="00F24608"/>
    <w:rsid w:val="00F325A8"/>
    <w:rsid w:val="00F34AD9"/>
    <w:rsid w:val="00F605C1"/>
    <w:rsid w:val="00F677FF"/>
    <w:rsid w:val="00F80349"/>
    <w:rsid w:val="00F81378"/>
    <w:rsid w:val="00F86288"/>
    <w:rsid w:val="00F94C58"/>
    <w:rsid w:val="00FA6EAB"/>
    <w:rsid w:val="00FE727A"/>
    <w:rsid w:val="00FF61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95C358"/>
  <w15:docId w15:val="{DD4CF6B4-8E9A-4E35-926A-2C41E8EA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A00"/>
    <w:rPr>
      <w:rFonts w:ascii="Calibri" w:eastAsia="Calibri" w:hAnsi="Calibri" w:cs="Times New Roman"/>
    </w:rPr>
  </w:style>
  <w:style w:type="paragraph" w:styleId="Heading3">
    <w:name w:val="heading 3"/>
    <w:basedOn w:val="Normal"/>
    <w:link w:val="Heading3Char"/>
    <w:uiPriority w:val="9"/>
    <w:qFormat/>
    <w:rsid w:val="002D0D89"/>
    <w:pPr>
      <w:spacing w:before="100" w:beforeAutospacing="1" w:after="100" w:afterAutospacing="1" w:line="240" w:lineRule="auto"/>
      <w:outlineLvl w:val="2"/>
    </w:pPr>
    <w:rPr>
      <w:rFonts w:ascii="Times New Roman" w:eastAsia="Times New Roman" w:hAnsi="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6A00"/>
    <w:pPr>
      <w:tabs>
        <w:tab w:val="center" w:pos="4153"/>
        <w:tab w:val="right" w:pos="8306"/>
      </w:tabs>
    </w:pPr>
  </w:style>
  <w:style w:type="character" w:customStyle="1" w:styleId="FooterChar">
    <w:name w:val="Footer Char"/>
    <w:basedOn w:val="DefaultParagraphFont"/>
    <w:link w:val="Footer"/>
    <w:uiPriority w:val="99"/>
    <w:rsid w:val="00746A00"/>
    <w:rPr>
      <w:rFonts w:ascii="Calibri" w:eastAsia="Calibri" w:hAnsi="Calibri" w:cs="Times New Roman"/>
    </w:rPr>
  </w:style>
  <w:style w:type="character" w:customStyle="1" w:styleId="apple-converted-space">
    <w:name w:val="apple-converted-space"/>
    <w:basedOn w:val="DefaultParagraphFont"/>
    <w:rsid w:val="004568DE"/>
  </w:style>
  <w:style w:type="character" w:styleId="Hyperlink">
    <w:name w:val="Hyperlink"/>
    <w:basedOn w:val="DefaultParagraphFont"/>
    <w:uiPriority w:val="99"/>
    <w:unhideWhenUsed/>
    <w:rsid w:val="004568DE"/>
    <w:rPr>
      <w:color w:val="0000FF"/>
      <w:u w:val="single"/>
    </w:rPr>
  </w:style>
  <w:style w:type="paragraph" w:styleId="Header">
    <w:name w:val="header"/>
    <w:basedOn w:val="Normal"/>
    <w:link w:val="HeaderChar"/>
    <w:uiPriority w:val="99"/>
    <w:unhideWhenUsed/>
    <w:rsid w:val="004568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8DE"/>
    <w:rPr>
      <w:rFonts w:ascii="Calibri" w:eastAsia="Calibri" w:hAnsi="Calibri" w:cs="Times New Roman"/>
    </w:rPr>
  </w:style>
  <w:style w:type="paragraph" w:styleId="ListParagraph">
    <w:name w:val="List Paragraph"/>
    <w:basedOn w:val="Normal"/>
    <w:uiPriority w:val="34"/>
    <w:qFormat/>
    <w:rsid w:val="002D0D89"/>
    <w:pPr>
      <w:ind w:left="720"/>
      <w:contextualSpacing/>
    </w:pPr>
    <w:rPr>
      <w:lang w:val="en-US"/>
    </w:rPr>
  </w:style>
  <w:style w:type="character" w:customStyle="1" w:styleId="Heading3Char">
    <w:name w:val="Heading 3 Char"/>
    <w:basedOn w:val="DefaultParagraphFont"/>
    <w:link w:val="Heading3"/>
    <w:uiPriority w:val="9"/>
    <w:rsid w:val="002D0D89"/>
    <w:rPr>
      <w:rFonts w:ascii="Times New Roman" w:eastAsia="Times New Roman" w:hAnsi="Times New Roman" w:cs="Times New Roman"/>
      <w:b/>
      <w:bCs/>
      <w:sz w:val="27"/>
      <w:szCs w:val="27"/>
      <w:lang w:eastAsia="lv-LV"/>
    </w:rPr>
  </w:style>
  <w:style w:type="paragraph" w:customStyle="1" w:styleId="Default">
    <w:name w:val="Default"/>
    <w:rsid w:val="00C529A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B4093F"/>
    <w:rPr>
      <w:sz w:val="16"/>
      <w:szCs w:val="16"/>
    </w:rPr>
  </w:style>
  <w:style w:type="paragraph" w:styleId="CommentText">
    <w:name w:val="annotation text"/>
    <w:basedOn w:val="Normal"/>
    <w:link w:val="CommentTextChar"/>
    <w:uiPriority w:val="99"/>
    <w:unhideWhenUsed/>
    <w:rsid w:val="00B4093F"/>
    <w:pPr>
      <w:spacing w:line="240" w:lineRule="auto"/>
    </w:pPr>
    <w:rPr>
      <w:sz w:val="20"/>
      <w:szCs w:val="20"/>
    </w:rPr>
  </w:style>
  <w:style w:type="character" w:customStyle="1" w:styleId="CommentTextChar">
    <w:name w:val="Comment Text Char"/>
    <w:basedOn w:val="DefaultParagraphFont"/>
    <w:link w:val="CommentText"/>
    <w:uiPriority w:val="99"/>
    <w:rsid w:val="00B409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4093F"/>
    <w:rPr>
      <w:b/>
      <w:bCs/>
    </w:rPr>
  </w:style>
  <w:style w:type="character" w:customStyle="1" w:styleId="CommentSubjectChar">
    <w:name w:val="Comment Subject Char"/>
    <w:basedOn w:val="CommentTextChar"/>
    <w:link w:val="CommentSubject"/>
    <w:uiPriority w:val="99"/>
    <w:semiHidden/>
    <w:rsid w:val="00B409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4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93F"/>
    <w:rPr>
      <w:rFonts w:ascii="Tahoma" w:eastAsia="Calibri" w:hAnsi="Tahoma" w:cs="Tahoma"/>
      <w:sz w:val="16"/>
      <w:szCs w:val="16"/>
    </w:rPr>
  </w:style>
  <w:style w:type="character" w:styleId="FootnoteReference">
    <w:name w:val="footnote reference"/>
    <w:aliases w:val="Footnote symbol,Footnote Reference Number,Знак сноски-FN,16 Point,Superscript 6 Point,Footnote Reference Superscript,ftref,Times 10 Point,Exposant 3 Point,Footnote reference number,EN Footnote Reference,note TESI,BVI fnr,Знак сноски-"/>
    <w:link w:val="FootnotesymbolCarZchn"/>
    <w:uiPriority w:val="99"/>
    <w:unhideWhenUsed/>
    <w:qFormat/>
    <w:rsid w:val="006B34D2"/>
    <w:rPr>
      <w:vertAlign w:val="superscript"/>
    </w:rPr>
  </w:style>
  <w:style w:type="paragraph" w:styleId="FootnoteText">
    <w:name w:val="footnote text"/>
    <w:aliases w:val="Char1,Char10,Footnote,Fußnote,Fußnotentext Char Char Char,Fußnotentext Char Char Char Char Char Char Char,Fußnotentext Char Char Char Char Char Char Char Char,Fußnotentext Char Char Char Char Char Char Char Char Char Char,f,fn"/>
    <w:basedOn w:val="Normal"/>
    <w:link w:val="FootnoteTextChar"/>
    <w:uiPriority w:val="99"/>
    <w:unhideWhenUsed/>
    <w:qFormat/>
    <w:rsid w:val="009A3AE3"/>
    <w:pPr>
      <w:spacing w:after="0" w:line="240" w:lineRule="auto"/>
    </w:pPr>
    <w:rPr>
      <w:sz w:val="20"/>
      <w:szCs w:val="20"/>
      <w:lang w:val="x-none"/>
    </w:rPr>
  </w:style>
  <w:style w:type="character" w:customStyle="1" w:styleId="FootnoteTextChar">
    <w:name w:val="Footnote Text Char"/>
    <w:aliases w:val="Char1 Char,Char10 Char,Footnote Char,Fußnote Char,Fußnotentext Char Char Char Char,Fußnotentext Char Char Char Char Char Char Char Char1,Fußnotentext Char Char Char Char Char Char Char Char Char,f Char,fn Char"/>
    <w:basedOn w:val="DefaultParagraphFont"/>
    <w:link w:val="FootnoteText"/>
    <w:uiPriority w:val="99"/>
    <w:rsid w:val="009A3AE3"/>
    <w:rPr>
      <w:rFonts w:ascii="Calibri" w:eastAsia="Calibri" w:hAnsi="Calibri" w:cs="Times New Roman"/>
      <w:sz w:val="20"/>
      <w:szCs w:val="20"/>
      <w:lang w:val="x-none"/>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rsid w:val="009A3AE3"/>
    <w:pPr>
      <w:spacing w:after="160" w:line="240" w:lineRule="exact"/>
      <w:jc w:val="both"/>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911216">
      <w:bodyDiv w:val="1"/>
      <w:marLeft w:val="0"/>
      <w:marRight w:val="0"/>
      <w:marTop w:val="0"/>
      <w:marBottom w:val="0"/>
      <w:divBdr>
        <w:top w:val="none" w:sz="0" w:space="0" w:color="auto"/>
        <w:left w:val="none" w:sz="0" w:space="0" w:color="auto"/>
        <w:bottom w:val="none" w:sz="0" w:space="0" w:color="auto"/>
        <w:right w:val="none" w:sz="0" w:space="0" w:color="auto"/>
      </w:divBdr>
    </w:div>
    <w:div w:id="582378076">
      <w:bodyDiv w:val="1"/>
      <w:marLeft w:val="0"/>
      <w:marRight w:val="0"/>
      <w:marTop w:val="0"/>
      <w:marBottom w:val="0"/>
      <w:divBdr>
        <w:top w:val="none" w:sz="0" w:space="0" w:color="auto"/>
        <w:left w:val="none" w:sz="0" w:space="0" w:color="auto"/>
        <w:bottom w:val="none" w:sz="0" w:space="0" w:color="auto"/>
        <w:right w:val="none" w:sz="0" w:space="0" w:color="auto"/>
      </w:divBdr>
      <w:divsChild>
        <w:div w:id="229196585">
          <w:marLeft w:val="720"/>
          <w:marRight w:val="0"/>
          <w:marTop w:val="77"/>
          <w:marBottom w:val="0"/>
          <w:divBdr>
            <w:top w:val="none" w:sz="0" w:space="0" w:color="auto"/>
            <w:left w:val="none" w:sz="0" w:space="0" w:color="auto"/>
            <w:bottom w:val="none" w:sz="0" w:space="0" w:color="auto"/>
            <w:right w:val="none" w:sz="0" w:space="0" w:color="auto"/>
          </w:divBdr>
        </w:div>
      </w:divsChild>
    </w:div>
    <w:div w:id="720711461">
      <w:bodyDiv w:val="1"/>
      <w:marLeft w:val="0"/>
      <w:marRight w:val="0"/>
      <w:marTop w:val="0"/>
      <w:marBottom w:val="0"/>
      <w:divBdr>
        <w:top w:val="none" w:sz="0" w:space="0" w:color="auto"/>
        <w:left w:val="none" w:sz="0" w:space="0" w:color="auto"/>
        <w:bottom w:val="none" w:sz="0" w:space="0" w:color="auto"/>
        <w:right w:val="none" w:sz="0" w:space="0" w:color="auto"/>
      </w:divBdr>
    </w:div>
    <w:div w:id="798114077">
      <w:bodyDiv w:val="1"/>
      <w:marLeft w:val="0"/>
      <w:marRight w:val="0"/>
      <w:marTop w:val="0"/>
      <w:marBottom w:val="0"/>
      <w:divBdr>
        <w:top w:val="none" w:sz="0" w:space="0" w:color="auto"/>
        <w:left w:val="none" w:sz="0" w:space="0" w:color="auto"/>
        <w:bottom w:val="none" w:sz="0" w:space="0" w:color="auto"/>
        <w:right w:val="none" w:sz="0" w:space="0" w:color="auto"/>
      </w:divBdr>
    </w:div>
    <w:div w:id="885988284">
      <w:bodyDiv w:val="1"/>
      <w:marLeft w:val="0"/>
      <w:marRight w:val="0"/>
      <w:marTop w:val="0"/>
      <w:marBottom w:val="0"/>
      <w:divBdr>
        <w:top w:val="none" w:sz="0" w:space="0" w:color="auto"/>
        <w:left w:val="none" w:sz="0" w:space="0" w:color="auto"/>
        <w:bottom w:val="none" w:sz="0" w:space="0" w:color="auto"/>
        <w:right w:val="none" w:sz="0" w:space="0" w:color="auto"/>
      </w:divBdr>
    </w:div>
    <w:div w:id="1257637909">
      <w:bodyDiv w:val="1"/>
      <w:marLeft w:val="0"/>
      <w:marRight w:val="0"/>
      <w:marTop w:val="0"/>
      <w:marBottom w:val="0"/>
      <w:divBdr>
        <w:top w:val="none" w:sz="0" w:space="0" w:color="auto"/>
        <w:left w:val="none" w:sz="0" w:space="0" w:color="auto"/>
        <w:bottom w:val="none" w:sz="0" w:space="0" w:color="auto"/>
        <w:right w:val="none" w:sz="0" w:space="0" w:color="auto"/>
      </w:divBdr>
    </w:div>
    <w:div w:id="1548368594">
      <w:bodyDiv w:val="1"/>
      <w:marLeft w:val="0"/>
      <w:marRight w:val="0"/>
      <w:marTop w:val="0"/>
      <w:marBottom w:val="0"/>
      <w:divBdr>
        <w:top w:val="none" w:sz="0" w:space="0" w:color="auto"/>
        <w:left w:val="none" w:sz="0" w:space="0" w:color="auto"/>
        <w:bottom w:val="none" w:sz="0" w:space="0" w:color="auto"/>
        <w:right w:val="none" w:sz="0" w:space="0" w:color="auto"/>
      </w:divBdr>
    </w:div>
    <w:div w:id="1668241661">
      <w:bodyDiv w:val="1"/>
      <w:marLeft w:val="0"/>
      <w:marRight w:val="0"/>
      <w:marTop w:val="0"/>
      <w:marBottom w:val="0"/>
      <w:divBdr>
        <w:top w:val="none" w:sz="0" w:space="0" w:color="auto"/>
        <w:left w:val="none" w:sz="0" w:space="0" w:color="auto"/>
        <w:bottom w:val="none" w:sz="0" w:space="0" w:color="auto"/>
        <w:right w:val="none" w:sz="0" w:space="0" w:color="auto"/>
      </w:divBdr>
    </w:div>
    <w:div w:id="2006201144">
      <w:bodyDiv w:val="1"/>
      <w:marLeft w:val="0"/>
      <w:marRight w:val="0"/>
      <w:marTop w:val="0"/>
      <w:marBottom w:val="0"/>
      <w:divBdr>
        <w:top w:val="none" w:sz="0" w:space="0" w:color="auto"/>
        <w:left w:val="none" w:sz="0" w:space="0" w:color="auto"/>
        <w:bottom w:val="none" w:sz="0" w:space="0" w:color="auto"/>
        <w:right w:val="none" w:sz="0" w:space="0" w:color="auto"/>
      </w:divBdr>
    </w:div>
    <w:div w:id="20568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306691-par-valdibas-ricibas-planu-deklaracijas-par-artura-krisjana-karina-vadita-ministru-kabineta-iecereto-darbibu-istenosanai" TargetMode="External"/><Relationship Id="rId1" Type="http://schemas.openxmlformats.org/officeDocument/2006/relationships/hyperlink" Target="https://eur-lex.europa.eu/legal-content/LV/TXT/?uri=CELEX:32018R17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AB85A8-50EA-40E0-8A9A-B44CD4A39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326BEB-C6B6-45F6-8D56-143946BA33BF}">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3.xml><?xml version="1.0" encoding="utf-8"?>
<ds:datastoreItem xmlns:ds="http://schemas.openxmlformats.org/officeDocument/2006/customXml" ds:itemID="{C34DB4FB-838E-4CDF-ACF0-EB28421202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2171</Words>
  <Characters>1238</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Links>
    <vt:vector size="12" baseType="variant">
      <vt:variant>
        <vt:i4>2424888</vt:i4>
      </vt:variant>
      <vt:variant>
        <vt:i4>3</vt:i4>
      </vt:variant>
      <vt:variant>
        <vt:i4>0</vt:i4>
      </vt:variant>
      <vt:variant>
        <vt:i4>5</vt:i4>
      </vt:variant>
      <vt:variant>
        <vt:lpwstr>https://likumi.lv/ta/id/306691-par-valdibas-ricibas-planu-deklaracijas-par-artura-krisjana-karina-vadita-ministru-kabineta-iecereto-darbibu-istenosanai</vt:lpwstr>
      </vt:variant>
      <vt:variant>
        <vt:lpwstr/>
      </vt:variant>
      <vt:variant>
        <vt:i4>917571</vt:i4>
      </vt:variant>
      <vt:variant>
        <vt:i4>0</vt:i4>
      </vt:variant>
      <vt:variant>
        <vt:i4>0</vt:i4>
      </vt:variant>
      <vt:variant>
        <vt:i4>5</vt:i4>
      </vt:variant>
      <vt:variant>
        <vt:lpwstr>https://eur-lex.europa.eu/legal-content/LV/TXT/?uri=CELEX:32018R1724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Anspoka</dc:creator>
  <cp:keywords/>
  <cp:lastModifiedBy>Maija Anspoka</cp:lastModifiedBy>
  <cp:revision>80</cp:revision>
  <dcterms:created xsi:type="dcterms:W3CDTF">2021-04-13T05:43:00Z</dcterms:created>
  <dcterms:modified xsi:type="dcterms:W3CDTF">2021-04-21T05:23:00Z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