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B9804" w14:textId="77777777" w:rsidR="00311DE7" w:rsidRPr="00311DE7" w:rsidRDefault="00311DE7" w:rsidP="001D6099"/>
    <w:p w14:paraId="5043D0FB" w14:textId="77777777" w:rsidR="00311DE7" w:rsidRPr="00311DE7" w:rsidRDefault="00311DE7" w:rsidP="001D6099"/>
    <w:p w14:paraId="54B50D04" w14:textId="77777777" w:rsidR="00311DE7" w:rsidRPr="00311DE7" w:rsidRDefault="00311DE7" w:rsidP="001D6099"/>
    <w:p w14:paraId="40C13881" w14:textId="77777777" w:rsidR="00311DE7" w:rsidRPr="00311DE7" w:rsidRDefault="00311DE7" w:rsidP="001D6099"/>
    <w:p w14:paraId="4FA195D6" w14:textId="77777777" w:rsidR="00311DE7" w:rsidRPr="00311DE7" w:rsidRDefault="00311DE7" w:rsidP="001D6099"/>
    <w:p w14:paraId="04FE1EF1" w14:textId="77777777" w:rsidR="00311DE7" w:rsidRPr="00311DE7" w:rsidRDefault="00311DE7" w:rsidP="001D6099"/>
    <w:p w14:paraId="23F5C21E" w14:textId="77777777" w:rsidR="00311DE7" w:rsidRPr="00311DE7" w:rsidRDefault="00311DE7" w:rsidP="001D6099"/>
    <w:p w14:paraId="2624C614" w14:textId="77777777" w:rsidR="00311DE7" w:rsidRPr="00311DE7" w:rsidRDefault="00311DE7" w:rsidP="001D6099"/>
    <w:p w14:paraId="6BCFA430" w14:textId="77777777" w:rsidR="00311DE7" w:rsidRPr="00311DE7" w:rsidRDefault="00311DE7" w:rsidP="001D6099"/>
    <w:p w14:paraId="17DAA4C0" w14:textId="77777777" w:rsidR="00311DE7" w:rsidRPr="00311DE7" w:rsidRDefault="00311DE7" w:rsidP="001D6099"/>
    <w:p w14:paraId="39EF0F06" w14:textId="77777777" w:rsidR="00311DE7" w:rsidRPr="00311DE7" w:rsidRDefault="00311DE7" w:rsidP="001D6099"/>
    <w:p w14:paraId="232038A4" w14:textId="77777777" w:rsidR="00311DE7" w:rsidRPr="00311DE7" w:rsidRDefault="00311DE7" w:rsidP="00864E15">
      <w:pPr>
        <w:jc w:val="center"/>
      </w:pPr>
    </w:p>
    <w:p w14:paraId="2629AECA" w14:textId="0B4FA8EA" w:rsidR="00311DE7" w:rsidRPr="001D6099" w:rsidRDefault="00311DE7" w:rsidP="00864E15">
      <w:pPr>
        <w:pStyle w:val="Heading1"/>
        <w:ind w:firstLine="0"/>
      </w:pPr>
      <w:r w:rsidRPr="001D6099">
        <w:t>Informatīvais</w:t>
      </w:r>
      <w:r w:rsidR="001D6099" w:rsidRPr="001D6099">
        <w:t xml:space="preserve"> </w:t>
      </w:r>
      <w:r w:rsidRPr="001D6099">
        <w:t xml:space="preserve">ziņojums </w:t>
      </w:r>
      <w:r w:rsidRPr="001D6099">
        <w:br/>
        <w:t>“Par Vienotās digitālās vārtejas regulas prasību ieviešanu 2020. gadā”</w:t>
      </w:r>
    </w:p>
    <w:p w14:paraId="2823529A" w14:textId="77777777" w:rsidR="00311DE7" w:rsidRPr="00311DE7" w:rsidRDefault="00311DE7" w:rsidP="001D6099"/>
    <w:p w14:paraId="6E24A1E7" w14:textId="77777777" w:rsidR="00311DE7" w:rsidRPr="00311DE7" w:rsidRDefault="00311DE7" w:rsidP="001D6099"/>
    <w:p w14:paraId="0E641175" w14:textId="77777777" w:rsidR="00311DE7" w:rsidRPr="00311DE7" w:rsidRDefault="00311DE7" w:rsidP="001D6099"/>
    <w:p w14:paraId="2FFE76C5" w14:textId="77777777" w:rsidR="00311DE7" w:rsidRPr="00311DE7" w:rsidRDefault="00311DE7" w:rsidP="001D6099"/>
    <w:p w14:paraId="501F1F0F" w14:textId="77777777" w:rsidR="00311DE7" w:rsidRPr="00311DE7" w:rsidRDefault="00311DE7" w:rsidP="001D6099"/>
    <w:p w14:paraId="54F764D4" w14:textId="77777777" w:rsidR="00311DE7" w:rsidRPr="00311DE7" w:rsidRDefault="00311DE7" w:rsidP="001D6099"/>
    <w:p w14:paraId="31E405D0" w14:textId="77777777" w:rsidR="00311DE7" w:rsidRPr="00311DE7" w:rsidRDefault="00311DE7" w:rsidP="001D6099"/>
    <w:p w14:paraId="13BFCC84" w14:textId="77777777" w:rsidR="00311DE7" w:rsidRPr="00311DE7" w:rsidRDefault="00311DE7" w:rsidP="001D6099"/>
    <w:p w14:paraId="40159029" w14:textId="77777777" w:rsidR="00311DE7" w:rsidRPr="00311DE7" w:rsidRDefault="00311DE7" w:rsidP="001D6099"/>
    <w:p w14:paraId="1648552E" w14:textId="77777777" w:rsidR="00311DE7" w:rsidRPr="00311DE7" w:rsidRDefault="00311DE7" w:rsidP="001D6099"/>
    <w:p w14:paraId="6FF888D8" w14:textId="77777777" w:rsidR="00311DE7" w:rsidRPr="00311DE7" w:rsidRDefault="00311DE7" w:rsidP="001D6099"/>
    <w:p w14:paraId="2CA6BD15" w14:textId="77777777" w:rsidR="00311DE7" w:rsidRPr="00311DE7" w:rsidRDefault="00311DE7" w:rsidP="001D6099"/>
    <w:p w14:paraId="13B096CA" w14:textId="77777777" w:rsidR="00311DE7" w:rsidRPr="00311DE7" w:rsidRDefault="00311DE7" w:rsidP="001D6099"/>
    <w:p w14:paraId="789573C9" w14:textId="77777777" w:rsidR="00311DE7" w:rsidRPr="00311DE7" w:rsidRDefault="00311DE7" w:rsidP="001D6099"/>
    <w:p w14:paraId="1887CCE6" w14:textId="77777777" w:rsidR="00311DE7" w:rsidRPr="00311DE7" w:rsidRDefault="00311DE7" w:rsidP="001D6099"/>
    <w:p w14:paraId="2CCC562B" w14:textId="77777777" w:rsidR="00311DE7" w:rsidRPr="00311DE7" w:rsidRDefault="00311DE7" w:rsidP="001D6099"/>
    <w:p w14:paraId="36127575" w14:textId="77777777" w:rsidR="00311DE7" w:rsidRPr="00311DE7" w:rsidRDefault="00311DE7" w:rsidP="001D6099"/>
    <w:p w14:paraId="7D30C811" w14:textId="77777777" w:rsidR="00311DE7" w:rsidRPr="00311DE7" w:rsidRDefault="00311DE7" w:rsidP="001D6099"/>
    <w:p w14:paraId="537827B7" w14:textId="77777777" w:rsidR="00311DE7" w:rsidRPr="00311DE7" w:rsidRDefault="00311DE7" w:rsidP="001D6099"/>
    <w:p w14:paraId="439874EB" w14:textId="77777777" w:rsidR="00311DE7" w:rsidRPr="00311DE7" w:rsidRDefault="00311DE7" w:rsidP="001D6099"/>
    <w:p w14:paraId="4ACA2241" w14:textId="77777777" w:rsidR="00311DE7" w:rsidRPr="00311DE7" w:rsidRDefault="00311DE7" w:rsidP="001D6099"/>
    <w:p w14:paraId="4790EB02" w14:textId="77777777" w:rsidR="00311DE7" w:rsidRPr="00311DE7" w:rsidRDefault="00311DE7" w:rsidP="001D6099"/>
    <w:p w14:paraId="1D948BF0" w14:textId="77777777" w:rsidR="00311DE7" w:rsidRPr="00311DE7" w:rsidRDefault="00311DE7" w:rsidP="001D6099">
      <w:r w:rsidRPr="00311DE7">
        <w:br w:type="page"/>
      </w:r>
    </w:p>
    <w:p w14:paraId="66C9325A" w14:textId="77777777" w:rsidR="00311DE7" w:rsidRPr="00311DE7" w:rsidRDefault="00311DE7" w:rsidP="001D6099">
      <w:pPr>
        <w:pStyle w:val="Heading1"/>
      </w:pPr>
      <w:bookmarkStart w:id="0" w:name="_Toc69462568"/>
      <w:r w:rsidRPr="00311DE7">
        <w:lastRenderedPageBreak/>
        <w:t>Lietotie saīsinājumi</w:t>
      </w:r>
      <w:bookmarkEnd w:id="0"/>
    </w:p>
    <w:p w14:paraId="4F9DA16D" w14:textId="77777777" w:rsidR="00311DE7" w:rsidRPr="00311DE7" w:rsidRDefault="00311DE7" w:rsidP="001D6099"/>
    <w:tbl>
      <w:tblPr>
        <w:tblStyle w:val="TableGrid"/>
        <w:tblpPr w:leftFromText="180" w:rightFromText="180" w:vertAnchor="text" w:horzAnchor="margin" w:tblpY="24"/>
        <w:tblW w:w="0" w:type="auto"/>
        <w:tblInd w:w="0" w:type="dxa"/>
        <w:tblLook w:val="04A0" w:firstRow="1" w:lastRow="0" w:firstColumn="1" w:lastColumn="0" w:noHBand="0" w:noVBand="1"/>
      </w:tblPr>
      <w:tblGrid>
        <w:gridCol w:w="2141"/>
        <w:gridCol w:w="6155"/>
      </w:tblGrid>
      <w:tr w:rsidR="00311DE7" w:rsidRPr="00311DE7" w14:paraId="75744F4A"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6D46C0AA" w14:textId="77777777" w:rsidR="00311DE7" w:rsidRPr="00864E15" w:rsidRDefault="00311DE7" w:rsidP="00864E15">
            <w:pPr>
              <w:ind w:left="22" w:firstLine="0"/>
            </w:pPr>
            <w:r w:rsidRPr="00864E15">
              <w:t>eID</w:t>
            </w:r>
          </w:p>
        </w:tc>
        <w:tc>
          <w:tcPr>
            <w:tcW w:w="6155" w:type="dxa"/>
            <w:tcBorders>
              <w:top w:val="single" w:sz="4" w:space="0" w:color="auto"/>
              <w:left w:val="single" w:sz="4" w:space="0" w:color="auto"/>
              <w:bottom w:val="single" w:sz="4" w:space="0" w:color="auto"/>
              <w:right w:val="single" w:sz="4" w:space="0" w:color="auto"/>
            </w:tcBorders>
            <w:hideMark/>
          </w:tcPr>
          <w:p w14:paraId="4E5A3371" w14:textId="77777777" w:rsidR="00311DE7" w:rsidRPr="00864E15" w:rsidRDefault="00311DE7" w:rsidP="00864E15">
            <w:pPr>
              <w:ind w:left="22" w:firstLine="0"/>
            </w:pPr>
            <w:r w:rsidRPr="00864E15">
              <w:t>Personas apliecība</w:t>
            </w:r>
          </w:p>
        </w:tc>
      </w:tr>
      <w:tr w:rsidR="00311DE7" w:rsidRPr="00311DE7" w14:paraId="6E6C292C"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0A12B08A" w14:textId="77777777" w:rsidR="00311DE7" w:rsidRPr="00864E15" w:rsidRDefault="00311DE7" w:rsidP="00864E15">
            <w:pPr>
              <w:ind w:left="22" w:firstLine="0"/>
            </w:pPr>
            <w:r w:rsidRPr="00864E15">
              <w:t>eIDAS regula</w:t>
            </w:r>
          </w:p>
        </w:tc>
        <w:tc>
          <w:tcPr>
            <w:tcW w:w="6155" w:type="dxa"/>
            <w:tcBorders>
              <w:top w:val="single" w:sz="4" w:space="0" w:color="auto"/>
              <w:left w:val="single" w:sz="4" w:space="0" w:color="auto"/>
              <w:bottom w:val="single" w:sz="4" w:space="0" w:color="auto"/>
              <w:right w:val="single" w:sz="4" w:space="0" w:color="auto"/>
            </w:tcBorders>
            <w:hideMark/>
          </w:tcPr>
          <w:p w14:paraId="0A0B4BEB" w14:textId="77777777" w:rsidR="00311DE7" w:rsidRPr="00864E15" w:rsidRDefault="00311DE7" w:rsidP="00864E15">
            <w:pPr>
              <w:ind w:left="22" w:firstLine="0"/>
            </w:pPr>
            <w:r w:rsidRPr="00864E15">
              <w:t>Eiropas Parlamenta un Padomes Regula (ES) Nr. 910/2014 (2014. gada 23. jūlijs) par elektronisko identifikāciju un uzticamības pakalpojumiem elektronisko darījumu veikšanai iekšējā tirgū un ar ko atceļ Direktīvu 1999/93/EK</w:t>
            </w:r>
          </w:p>
        </w:tc>
      </w:tr>
      <w:tr w:rsidR="00311DE7" w:rsidRPr="00311DE7" w14:paraId="0B2AA2E3"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46745CAB" w14:textId="77777777" w:rsidR="00311DE7" w:rsidRPr="00864E15" w:rsidRDefault="00311DE7" w:rsidP="00864E15">
            <w:pPr>
              <w:ind w:left="22" w:firstLine="0"/>
            </w:pPr>
            <w:r w:rsidRPr="00864E15">
              <w:t>EM</w:t>
            </w:r>
          </w:p>
        </w:tc>
        <w:tc>
          <w:tcPr>
            <w:tcW w:w="6155" w:type="dxa"/>
            <w:tcBorders>
              <w:top w:val="single" w:sz="4" w:space="0" w:color="auto"/>
              <w:left w:val="single" w:sz="4" w:space="0" w:color="auto"/>
              <w:bottom w:val="single" w:sz="4" w:space="0" w:color="auto"/>
              <w:right w:val="single" w:sz="4" w:space="0" w:color="auto"/>
            </w:tcBorders>
            <w:hideMark/>
          </w:tcPr>
          <w:p w14:paraId="7913E44F" w14:textId="77777777" w:rsidR="00311DE7" w:rsidRPr="00864E15" w:rsidRDefault="00311DE7" w:rsidP="00864E15">
            <w:pPr>
              <w:ind w:left="22" w:firstLine="0"/>
            </w:pPr>
            <w:r w:rsidRPr="00864E15">
              <w:t>Ekonomikas ministrija</w:t>
            </w:r>
          </w:p>
        </w:tc>
      </w:tr>
      <w:tr w:rsidR="00311DE7" w:rsidRPr="00311DE7" w14:paraId="33068491"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7DB79F6D" w14:textId="77777777" w:rsidR="00311DE7" w:rsidRPr="00864E15" w:rsidRDefault="00311DE7" w:rsidP="00864E15">
            <w:pPr>
              <w:ind w:left="22" w:firstLine="0"/>
            </w:pPr>
            <w:r w:rsidRPr="00864E15">
              <w:t>ES</w:t>
            </w:r>
          </w:p>
        </w:tc>
        <w:tc>
          <w:tcPr>
            <w:tcW w:w="6155" w:type="dxa"/>
            <w:tcBorders>
              <w:top w:val="single" w:sz="4" w:space="0" w:color="auto"/>
              <w:left w:val="single" w:sz="4" w:space="0" w:color="auto"/>
              <w:bottom w:val="single" w:sz="4" w:space="0" w:color="auto"/>
              <w:right w:val="single" w:sz="4" w:space="0" w:color="auto"/>
            </w:tcBorders>
            <w:hideMark/>
          </w:tcPr>
          <w:p w14:paraId="086C04F3" w14:textId="77777777" w:rsidR="00311DE7" w:rsidRPr="00864E15" w:rsidRDefault="00311DE7" w:rsidP="00864E15">
            <w:pPr>
              <w:ind w:left="22" w:firstLine="0"/>
            </w:pPr>
            <w:r w:rsidRPr="00864E15">
              <w:t>Eiropas Savienība</w:t>
            </w:r>
          </w:p>
        </w:tc>
      </w:tr>
      <w:tr w:rsidR="00311DE7" w:rsidRPr="00311DE7" w14:paraId="60C8B8AE"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1C18818D" w14:textId="77777777" w:rsidR="00311DE7" w:rsidRPr="00864E15" w:rsidRDefault="00311DE7" w:rsidP="00864E15">
            <w:pPr>
              <w:ind w:left="22" w:firstLine="0"/>
            </w:pPr>
            <w:r w:rsidRPr="00864E15">
              <w:t>IMI</w:t>
            </w:r>
          </w:p>
        </w:tc>
        <w:tc>
          <w:tcPr>
            <w:tcW w:w="6155" w:type="dxa"/>
            <w:tcBorders>
              <w:top w:val="single" w:sz="4" w:space="0" w:color="auto"/>
              <w:left w:val="single" w:sz="4" w:space="0" w:color="auto"/>
              <w:bottom w:val="single" w:sz="4" w:space="0" w:color="auto"/>
              <w:right w:val="single" w:sz="4" w:space="0" w:color="auto"/>
            </w:tcBorders>
            <w:hideMark/>
          </w:tcPr>
          <w:p w14:paraId="732EADA6" w14:textId="77777777" w:rsidR="00311DE7" w:rsidRPr="00864E15" w:rsidRDefault="00311DE7" w:rsidP="00864E15">
            <w:pPr>
              <w:ind w:left="22" w:firstLine="0"/>
            </w:pPr>
            <w:r w:rsidRPr="00864E15">
              <w:t>Iekšējā tirgus informācijas sistēma</w:t>
            </w:r>
          </w:p>
        </w:tc>
      </w:tr>
      <w:tr w:rsidR="00311DE7" w:rsidRPr="00311DE7" w14:paraId="64E4F8E8"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0F61E353" w14:textId="77777777" w:rsidR="00311DE7" w:rsidRPr="00864E15" w:rsidRDefault="00311DE7" w:rsidP="00864E15">
            <w:pPr>
              <w:ind w:left="22" w:firstLine="0"/>
            </w:pPr>
            <w:r w:rsidRPr="00864E15">
              <w:t>IS</w:t>
            </w:r>
          </w:p>
        </w:tc>
        <w:tc>
          <w:tcPr>
            <w:tcW w:w="6155" w:type="dxa"/>
            <w:tcBorders>
              <w:top w:val="single" w:sz="4" w:space="0" w:color="auto"/>
              <w:left w:val="single" w:sz="4" w:space="0" w:color="auto"/>
              <w:bottom w:val="single" w:sz="4" w:space="0" w:color="auto"/>
              <w:right w:val="single" w:sz="4" w:space="0" w:color="auto"/>
            </w:tcBorders>
            <w:hideMark/>
          </w:tcPr>
          <w:p w14:paraId="395AA126" w14:textId="77777777" w:rsidR="00311DE7" w:rsidRPr="00864E15" w:rsidRDefault="00311DE7" w:rsidP="00864E15">
            <w:pPr>
              <w:ind w:left="22" w:firstLine="0"/>
            </w:pPr>
            <w:r w:rsidRPr="00864E15">
              <w:t>Informācijas sistēma</w:t>
            </w:r>
          </w:p>
        </w:tc>
      </w:tr>
      <w:tr w:rsidR="00311DE7" w:rsidRPr="00311DE7" w14:paraId="64CC843D"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3F2DCEC6" w14:textId="77777777" w:rsidR="00311DE7" w:rsidRPr="00864E15" w:rsidRDefault="00311DE7" w:rsidP="00864E15">
            <w:pPr>
              <w:ind w:left="22" w:firstLine="0"/>
            </w:pPr>
            <w:r w:rsidRPr="00864E15">
              <w:t>IKT</w:t>
            </w:r>
          </w:p>
        </w:tc>
        <w:tc>
          <w:tcPr>
            <w:tcW w:w="6155" w:type="dxa"/>
            <w:tcBorders>
              <w:top w:val="single" w:sz="4" w:space="0" w:color="auto"/>
              <w:left w:val="single" w:sz="4" w:space="0" w:color="auto"/>
              <w:bottom w:val="single" w:sz="4" w:space="0" w:color="auto"/>
              <w:right w:val="single" w:sz="4" w:space="0" w:color="auto"/>
            </w:tcBorders>
            <w:hideMark/>
          </w:tcPr>
          <w:p w14:paraId="5B624A62" w14:textId="77777777" w:rsidR="00311DE7" w:rsidRPr="00864E15" w:rsidRDefault="00311DE7" w:rsidP="00864E15">
            <w:pPr>
              <w:ind w:left="22" w:firstLine="0"/>
            </w:pPr>
            <w:r w:rsidRPr="00864E15">
              <w:t>Informācijas un komunikācijas tehnoloģijas</w:t>
            </w:r>
          </w:p>
        </w:tc>
      </w:tr>
      <w:tr w:rsidR="00311DE7" w:rsidRPr="00311DE7" w14:paraId="1FEA4FED"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14FA14EB" w14:textId="77777777" w:rsidR="00311DE7" w:rsidRPr="00864E15" w:rsidRDefault="00311DE7" w:rsidP="00864E15">
            <w:pPr>
              <w:ind w:left="22" w:firstLine="0"/>
            </w:pPr>
            <w:r w:rsidRPr="00864E15">
              <w:t>Komisija</w:t>
            </w:r>
          </w:p>
        </w:tc>
        <w:tc>
          <w:tcPr>
            <w:tcW w:w="6155" w:type="dxa"/>
            <w:tcBorders>
              <w:top w:val="single" w:sz="4" w:space="0" w:color="auto"/>
              <w:left w:val="single" w:sz="4" w:space="0" w:color="auto"/>
              <w:bottom w:val="single" w:sz="4" w:space="0" w:color="auto"/>
              <w:right w:val="single" w:sz="4" w:space="0" w:color="auto"/>
            </w:tcBorders>
            <w:hideMark/>
          </w:tcPr>
          <w:p w14:paraId="59013F68" w14:textId="77777777" w:rsidR="00311DE7" w:rsidRPr="00864E15" w:rsidRDefault="00311DE7" w:rsidP="00864E15">
            <w:pPr>
              <w:ind w:left="22" w:firstLine="0"/>
            </w:pPr>
            <w:r w:rsidRPr="00864E15">
              <w:t>Eiropas Komisija</w:t>
            </w:r>
          </w:p>
        </w:tc>
      </w:tr>
      <w:tr w:rsidR="00311DE7" w:rsidRPr="00311DE7" w14:paraId="01D2946B"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12A45219" w14:textId="77777777" w:rsidR="00311DE7" w:rsidRPr="00864E15" w:rsidRDefault="00311DE7" w:rsidP="00864E15">
            <w:pPr>
              <w:ind w:left="22" w:firstLine="0"/>
            </w:pPr>
            <w:r w:rsidRPr="00864E15">
              <w:t>Iestāde</w:t>
            </w:r>
          </w:p>
        </w:tc>
        <w:tc>
          <w:tcPr>
            <w:tcW w:w="6155" w:type="dxa"/>
            <w:tcBorders>
              <w:top w:val="single" w:sz="4" w:space="0" w:color="auto"/>
              <w:left w:val="single" w:sz="4" w:space="0" w:color="auto"/>
              <w:bottom w:val="single" w:sz="4" w:space="0" w:color="auto"/>
              <w:right w:val="single" w:sz="4" w:space="0" w:color="auto"/>
            </w:tcBorders>
            <w:hideMark/>
          </w:tcPr>
          <w:p w14:paraId="44EE3776" w14:textId="77777777" w:rsidR="00311DE7" w:rsidRPr="00864E15" w:rsidRDefault="00311DE7" w:rsidP="00864E15">
            <w:pPr>
              <w:ind w:left="22" w:firstLine="0"/>
            </w:pPr>
            <w:r w:rsidRPr="00864E15">
              <w:t>Tiešās pārvaldes iestādes, pašvaldības  un tiešo pārvaldes iestāžu un pašvaldību padotības institūcijas</w:t>
            </w:r>
          </w:p>
        </w:tc>
      </w:tr>
      <w:tr w:rsidR="00311DE7" w:rsidRPr="00311DE7" w14:paraId="3FD82A59"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06948B97" w14:textId="77777777" w:rsidR="00311DE7" w:rsidRPr="00864E15" w:rsidRDefault="00311DE7" w:rsidP="00864E15">
            <w:pPr>
              <w:ind w:left="22" w:firstLine="0"/>
            </w:pPr>
            <w:r w:rsidRPr="00864E15">
              <w:t>MK</w:t>
            </w:r>
          </w:p>
        </w:tc>
        <w:tc>
          <w:tcPr>
            <w:tcW w:w="6155" w:type="dxa"/>
            <w:tcBorders>
              <w:top w:val="single" w:sz="4" w:space="0" w:color="auto"/>
              <w:left w:val="single" w:sz="4" w:space="0" w:color="auto"/>
              <w:bottom w:val="single" w:sz="4" w:space="0" w:color="auto"/>
              <w:right w:val="single" w:sz="4" w:space="0" w:color="auto"/>
            </w:tcBorders>
            <w:hideMark/>
          </w:tcPr>
          <w:p w14:paraId="0BBBD49C" w14:textId="77777777" w:rsidR="00311DE7" w:rsidRPr="00864E15" w:rsidRDefault="00311DE7" w:rsidP="00864E15">
            <w:pPr>
              <w:ind w:left="22" w:firstLine="0"/>
            </w:pPr>
            <w:r w:rsidRPr="00864E15">
              <w:t>Ministru kabinets</w:t>
            </w:r>
          </w:p>
        </w:tc>
      </w:tr>
      <w:tr w:rsidR="00311DE7" w:rsidRPr="00311DE7" w14:paraId="689C5792"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62DD6011" w14:textId="77777777" w:rsidR="00311DE7" w:rsidRPr="00864E15" w:rsidRDefault="00311DE7" w:rsidP="00864E15">
            <w:pPr>
              <w:ind w:left="22" w:firstLine="0"/>
            </w:pPr>
            <w:r w:rsidRPr="00864E15">
              <w:t>Nacionālās tīmekļvietnes</w:t>
            </w:r>
          </w:p>
        </w:tc>
        <w:tc>
          <w:tcPr>
            <w:tcW w:w="6155" w:type="dxa"/>
            <w:tcBorders>
              <w:top w:val="single" w:sz="4" w:space="0" w:color="auto"/>
              <w:left w:val="single" w:sz="4" w:space="0" w:color="auto"/>
              <w:bottom w:val="single" w:sz="4" w:space="0" w:color="auto"/>
              <w:right w:val="single" w:sz="4" w:space="0" w:color="auto"/>
            </w:tcBorders>
            <w:hideMark/>
          </w:tcPr>
          <w:p w14:paraId="61BB46EA" w14:textId="77777777" w:rsidR="00311DE7" w:rsidRPr="00864E15" w:rsidRDefault="00311DE7" w:rsidP="00864E15">
            <w:pPr>
              <w:ind w:left="22" w:firstLine="0"/>
            </w:pPr>
            <w:r w:rsidRPr="00864E15">
              <w:t xml:space="preserve">Latvijas valsts iestāžu un pašvaldību tīmekļvietnes vai pakalpojumu sniedzēju izmantotās informācijas sistēmas ar grafisko lietotāju </w:t>
            </w:r>
            <w:proofErr w:type="spellStart"/>
            <w:r w:rsidRPr="00864E15">
              <w:t>saskarni</w:t>
            </w:r>
            <w:proofErr w:type="spellEnd"/>
            <w:r w:rsidRPr="00864E15">
              <w:t>.</w:t>
            </w:r>
          </w:p>
        </w:tc>
      </w:tr>
      <w:tr w:rsidR="00311DE7" w:rsidRPr="00311DE7" w14:paraId="356E2C64"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50D870B4" w14:textId="77777777" w:rsidR="00311DE7" w:rsidRPr="00864E15" w:rsidRDefault="00311DE7" w:rsidP="00864E15">
            <w:pPr>
              <w:ind w:left="22" w:firstLine="0"/>
            </w:pPr>
            <w:r w:rsidRPr="00864E15">
              <w:t>Procedūras</w:t>
            </w:r>
          </w:p>
        </w:tc>
        <w:tc>
          <w:tcPr>
            <w:tcW w:w="6155" w:type="dxa"/>
            <w:tcBorders>
              <w:top w:val="single" w:sz="4" w:space="0" w:color="auto"/>
              <w:left w:val="single" w:sz="4" w:space="0" w:color="auto"/>
              <w:bottom w:val="single" w:sz="4" w:space="0" w:color="auto"/>
              <w:right w:val="single" w:sz="4" w:space="0" w:color="auto"/>
            </w:tcBorders>
            <w:hideMark/>
          </w:tcPr>
          <w:p w14:paraId="1A687C1D" w14:textId="77777777" w:rsidR="00311DE7" w:rsidRPr="00864E15" w:rsidRDefault="00311DE7" w:rsidP="00864E15">
            <w:pPr>
              <w:ind w:left="22" w:firstLine="0"/>
            </w:pPr>
            <w:r w:rsidRPr="00864E15">
              <w:t>Pakalpojumi jeb secīgas darbības, kuras lietotājiem ir jāveic (piemēram, valsts pārvaldes e-pakalpojumu izpilde), lai apmierinātu vajadzības vai no kompetentās iestādes saņemtu lēmumu</w:t>
            </w:r>
          </w:p>
        </w:tc>
      </w:tr>
      <w:tr w:rsidR="00311DE7" w:rsidRPr="00311DE7" w14:paraId="53A442CF"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5EA9D995" w14:textId="77777777" w:rsidR="00311DE7" w:rsidRPr="00864E15" w:rsidRDefault="00311DE7" w:rsidP="00864E15">
            <w:pPr>
              <w:ind w:left="22" w:firstLine="0"/>
            </w:pPr>
            <w:r w:rsidRPr="00864E15">
              <w:t>Palīdzības un problēmu risināšanas pakalpojumi</w:t>
            </w:r>
          </w:p>
        </w:tc>
        <w:tc>
          <w:tcPr>
            <w:tcW w:w="6155" w:type="dxa"/>
            <w:tcBorders>
              <w:top w:val="single" w:sz="4" w:space="0" w:color="auto"/>
              <w:left w:val="single" w:sz="4" w:space="0" w:color="auto"/>
              <w:bottom w:val="single" w:sz="4" w:space="0" w:color="auto"/>
              <w:right w:val="single" w:sz="4" w:space="0" w:color="auto"/>
            </w:tcBorders>
            <w:hideMark/>
          </w:tcPr>
          <w:p w14:paraId="350D207E" w14:textId="718D5D96" w:rsidR="00311DE7" w:rsidRPr="00864E15" w:rsidRDefault="00311DE7" w:rsidP="00864E15">
            <w:pPr>
              <w:ind w:left="22" w:firstLine="0"/>
            </w:pPr>
            <w:r w:rsidRPr="00864E15">
              <w:t>Pakalpojumi, kas pieejami Vārtejas lietotājiem, lai precizētu informāciju un saņemtu palīdzību procedūru kārtošanas procesā</w:t>
            </w:r>
          </w:p>
        </w:tc>
      </w:tr>
      <w:tr w:rsidR="00311DE7" w:rsidRPr="00311DE7" w14:paraId="7AB0FA8C"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5FA3F283" w14:textId="77777777" w:rsidR="00311DE7" w:rsidRPr="00864E15" w:rsidRDefault="00311DE7" w:rsidP="00864E15">
            <w:pPr>
              <w:ind w:left="22" w:firstLine="0"/>
            </w:pPr>
            <w:r w:rsidRPr="00864E15">
              <w:t>PTAC</w:t>
            </w:r>
          </w:p>
        </w:tc>
        <w:tc>
          <w:tcPr>
            <w:tcW w:w="6155" w:type="dxa"/>
            <w:tcBorders>
              <w:top w:val="single" w:sz="4" w:space="0" w:color="auto"/>
              <w:left w:val="single" w:sz="4" w:space="0" w:color="auto"/>
              <w:bottom w:val="single" w:sz="4" w:space="0" w:color="auto"/>
              <w:right w:val="single" w:sz="4" w:space="0" w:color="auto"/>
            </w:tcBorders>
            <w:hideMark/>
          </w:tcPr>
          <w:p w14:paraId="2F9B7A56" w14:textId="77777777" w:rsidR="00311DE7" w:rsidRPr="00864E15" w:rsidRDefault="00311DE7" w:rsidP="00864E15">
            <w:pPr>
              <w:ind w:left="22" w:firstLine="0"/>
            </w:pPr>
            <w:r w:rsidRPr="00864E15">
              <w:t>Patērētāju tiesību aizsardzības centrs</w:t>
            </w:r>
          </w:p>
        </w:tc>
      </w:tr>
      <w:tr w:rsidR="00311DE7" w:rsidRPr="00311DE7" w14:paraId="720C1786"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7288CDBC" w14:textId="77777777" w:rsidR="00311DE7" w:rsidRPr="00864E15" w:rsidRDefault="00311DE7" w:rsidP="00864E15">
            <w:pPr>
              <w:ind w:left="22" w:firstLine="0"/>
            </w:pPr>
            <w:r w:rsidRPr="00864E15">
              <w:t xml:space="preserve">VARAM </w:t>
            </w:r>
          </w:p>
        </w:tc>
        <w:tc>
          <w:tcPr>
            <w:tcW w:w="6155" w:type="dxa"/>
            <w:tcBorders>
              <w:top w:val="single" w:sz="4" w:space="0" w:color="auto"/>
              <w:left w:val="single" w:sz="4" w:space="0" w:color="auto"/>
              <w:bottom w:val="single" w:sz="4" w:space="0" w:color="auto"/>
              <w:right w:val="single" w:sz="4" w:space="0" w:color="auto"/>
            </w:tcBorders>
            <w:hideMark/>
          </w:tcPr>
          <w:p w14:paraId="05498F53" w14:textId="77777777" w:rsidR="00311DE7" w:rsidRPr="00864E15" w:rsidRDefault="00311DE7" w:rsidP="00864E15">
            <w:pPr>
              <w:ind w:left="22" w:firstLine="0"/>
            </w:pPr>
            <w:r w:rsidRPr="00864E15">
              <w:t>Vides aizsardzības un reģionālās attīstības ministrija</w:t>
            </w:r>
          </w:p>
        </w:tc>
      </w:tr>
      <w:tr w:rsidR="00311DE7" w:rsidRPr="00311DE7" w14:paraId="5C63F6EB"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54EF6E9B" w14:textId="77777777" w:rsidR="00311DE7" w:rsidRPr="00864E15" w:rsidRDefault="00311DE7" w:rsidP="00864E15">
            <w:pPr>
              <w:ind w:left="22" w:firstLine="0"/>
            </w:pPr>
            <w:r w:rsidRPr="00864E15">
              <w:t>VRAA</w:t>
            </w:r>
          </w:p>
        </w:tc>
        <w:tc>
          <w:tcPr>
            <w:tcW w:w="6155" w:type="dxa"/>
            <w:tcBorders>
              <w:top w:val="single" w:sz="4" w:space="0" w:color="auto"/>
              <w:left w:val="single" w:sz="4" w:space="0" w:color="auto"/>
              <w:bottom w:val="single" w:sz="4" w:space="0" w:color="auto"/>
              <w:right w:val="single" w:sz="4" w:space="0" w:color="auto"/>
            </w:tcBorders>
            <w:hideMark/>
          </w:tcPr>
          <w:p w14:paraId="00732520" w14:textId="77777777" w:rsidR="00311DE7" w:rsidRPr="00864E15" w:rsidRDefault="00311DE7" w:rsidP="00864E15">
            <w:pPr>
              <w:ind w:left="22" w:firstLine="0"/>
            </w:pPr>
            <w:r w:rsidRPr="00864E15">
              <w:t>Valsts reģionālas attīstības aģentūra</w:t>
            </w:r>
          </w:p>
        </w:tc>
      </w:tr>
      <w:tr w:rsidR="00311DE7" w:rsidRPr="00311DE7" w14:paraId="02FB8AC7" w14:textId="77777777" w:rsidTr="001D6099">
        <w:tc>
          <w:tcPr>
            <w:tcW w:w="2141" w:type="dxa"/>
            <w:tcBorders>
              <w:top w:val="single" w:sz="4" w:space="0" w:color="auto"/>
              <w:left w:val="single" w:sz="4" w:space="0" w:color="auto"/>
              <w:bottom w:val="single" w:sz="4" w:space="0" w:color="auto"/>
              <w:right w:val="single" w:sz="4" w:space="0" w:color="auto"/>
            </w:tcBorders>
            <w:hideMark/>
          </w:tcPr>
          <w:p w14:paraId="02047B5B" w14:textId="77777777" w:rsidR="00311DE7" w:rsidRPr="00864E15" w:rsidRDefault="00311DE7" w:rsidP="00864E15">
            <w:pPr>
              <w:ind w:left="22" w:firstLine="0"/>
            </w:pPr>
            <w:r w:rsidRPr="00864E15">
              <w:t>VISS</w:t>
            </w:r>
          </w:p>
        </w:tc>
        <w:tc>
          <w:tcPr>
            <w:tcW w:w="6155" w:type="dxa"/>
            <w:tcBorders>
              <w:top w:val="single" w:sz="4" w:space="0" w:color="auto"/>
              <w:left w:val="single" w:sz="4" w:space="0" w:color="auto"/>
              <w:bottom w:val="single" w:sz="4" w:space="0" w:color="auto"/>
              <w:right w:val="single" w:sz="4" w:space="0" w:color="auto"/>
            </w:tcBorders>
            <w:hideMark/>
          </w:tcPr>
          <w:p w14:paraId="00FCF2CE" w14:textId="77777777" w:rsidR="00311DE7" w:rsidRPr="00864E15" w:rsidRDefault="00311DE7" w:rsidP="00864E15">
            <w:pPr>
              <w:ind w:left="22" w:firstLine="0"/>
            </w:pPr>
            <w:r w:rsidRPr="00864E15">
              <w:t xml:space="preserve">Valsts informācijas sistēmu </w:t>
            </w:r>
            <w:proofErr w:type="spellStart"/>
            <w:r w:rsidRPr="00864E15">
              <w:t>savietotājs</w:t>
            </w:r>
            <w:proofErr w:type="spellEnd"/>
          </w:p>
        </w:tc>
      </w:tr>
    </w:tbl>
    <w:p w14:paraId="46813EF3" w14:textId="77777777" w:rsidR="00311DE7" w:rsidRPr="00311DE7" w:rsidRDefault="00311DE7" w:rsidP="001D6099">
      <w:r w:rsidRPr="00311DE7">
        <w:br w:type="page"/>
      </w:r>
    </w:p>
    <w:p w14:paraId="6758C82B" w14:textId="77777777" w:rsidR="00311DE7" w:rsidRPr="00311DE7" w:rsidRDefault="00311DE7" w:rsidP="00311DE7">
      <w:pPr>
        <w:pStyle w:val="Default"/>
        <w:jc w:val="center"/>
        <w:rPr>
          <w:b/>
          <w:bCs/>
          <w:color w:val="auto"/>
          <w:sz w:val="28"/>
          <w:szCs w:val="28"/>
        </w:rPr>
      </w:pPr>
      <w:r w:rsidRPr="00311DE7">
        <w:rPr>
          <w:b/>
          <w:bCs/>
          <w:color w:val="auto"/>
          <w:sz w:val="28"/>
          <w:szCs w:val="28"/>
        </w:rPr>
        <w:lastRenderedPageBreak/>
        <w:t>Satura rādītājs</w:t>
      </w:r>
    </w:p>
    <w:p w14:paraId="5403F5EF" w14:textId="77777777" w:rsidR="00311DE7" w:rsidRPr="00311DE7" w:rsidRDefault="00311DE7" w:rsidP="001D6099">
      <w:pPr>
        <w:pStyle w:val="TOC1"/>
      </w:pPr>
    </w:p>
    <w:p w14:paraId="36FEA346" w14:textId="7BF8347C" w:rsidR="00311DE7" w:rsidRPr="00311DE7" w:rsidRDefault="00311DE7" w:rsidP="001D6099">
      <w:pPr>
        <w:pStyle w:val="TOC1"/>
        <w:rPr>
          <w:rFonts w:eastAsiaTheme="minorEastAsia"/>
        </w:rPr>
      </w:pPr>
      <w:r w:rsidRPr="00311DE7">
        <w:rPr>
          <w:noProof w:val="0"/>
          <w:shd w:val="clear" w:color="auto" w:fill="E6E6E6"/>
        </w:rPr>
        <w:fldChar w:fldCharType="begin"/>
      </w:r>
      <w:r w:rsidRPr="00311DE7">
        <w:rPr>
          <w:noProof w:val="0"/>
        </w:rPr>
        <w:instrText xml:space="preserve"> TOC \o "1-3" \h \z \u </w:instrText>
      </w:r>
      <w:r w:rsidRPr="00311DE7">
        <w:rPr>
          <w:noProof w:val="0"/>
          <w:shd w:val="clear" w:color="auto" w:fill="E6E6E6"/>
        </w:rPr>
        <w:fldChar w:fldCharType="separate"/>
      </w:r>
      <w:hyperlink r:id="rId11" w:anchor="_Toc69462568" w:history="1">
        <w:r w:rsidRPr="00311DE7">
          <w:rPr>
            <w:rStyle w:val="Hyperlink"/>
            <w:sz w:val="28"/>
            <w:szCs w:val="28"/>
          </w:rPr>
          <w:t>Lietotie saīsinājumi</w:t>
        </w:r>
        <w:r w:rsidRPr="00311DE7">
          <w:rPr>
            <w:rStyle w:val="Hyperlink"/>
            <w:webHidden/>
            <w:sz w:val="28"/>
            <w:szCs w:val="28"/>
          </w:rPr>
          <w:tab/>
        </w:r>
        <w:r w:rsidRPr="00311DE7">
          <w:rPr>
            <w:rStyle w:val="Hyperlink"/>
            <w:webHidden/>
            <w:sz w:val="28"/>
            <w:szCs w:val="28"/>
          </w:rPr>
          <w:fldChar w:fldCharType="begin"/>
        </w:r>
        <w:r w:rsidRPr="00311DE7">
          <w:rPr>
            <w:rStyle w:val="Hyperlink"/>
            <w:webHidden/>
            <w:sz w:val="28"/>
            <w:szCs w:val="28"/>
          </w:rPr>
          <w:instrText xml:space="preserve"> PAGEREF _Toc69462568 \h </w:instrText>
        </w:r>
        <w:r w:rsidRPr="00311DE7">
          <w:rPr>
            <w:rStyle w:val="Hyperlink"/>
            <w:webHidden/>
            <w:sz w:val="28"/>
            <w:szCs w:val="28"/>
          </w:rPr>
        </w:r>
        <w:r w:rsidRPr="00311DE7">
          <w:rPr>
            <w:rStyle w:val="Hyperlink"/>
            <w:webHidden/>
            <w:sz w:val="28"/>
            <w:szCs w:val="28"/>
          </w:rPr>
          <w:fldChar w:fldCharType="separate"/>
        </w:r>
        <w:r w:rsidR="00864E15">
          <w:rPr>
            <w:rStyle w:val="Hyperlink"/>
            <w:webHidden/>
            <w:sz w:val="28"/>
            <w:szCs w:val="28"/>
          </w:rPr>
          <w:t>2</w:t>
        </w:r>
        <w:r w:rsidRPr="00311DE7">
          <w:rPr>
            <w:rStyle w:val="Hyperlink"/>
            <w:webHidden/>
            <w:sz w:val="28"/>
            <w:szCs w:val="28"/>
          </w:rPr>
          <w:fldChar w:fldCharType="end"/>
        </w:r>
      </w:hyperlink>
    </w:p>
    <w:p w14:paraId="61CA78EA" w14:textId="06E3D323" w:rsidR="00311DE7" w:rsidRPr="00311DE7" w:rsidRDefault="007B26C5" w:rsidP="001D6099">
      <w:pPr>
        <w:pStyle w:val="TOC1"/>
        <w:rPr>
          <w:rFonts w:eastAsiaTheme="minorEastAsia"/>
        </w:rPr>
      </w:pPr>
      <w:hyperlink r:id="rId12" w:anchor="_Toc69462569" w:history="1">
        <w:r w:rsidR="00311DE7" w:rsidRPr="00311DE7">
          <w:rPr>
            <w:rStyle w:val="Hyperlink"/>
            <w:sz w:val="28"/>
            <w:szCs w:val="28"/>
          </w:rPr>
          <w:t>Kopsavilkums</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_Toc69462569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4</w:t>
        </w:r>
        <w:r w:rsidR="00311DE7" w:rsidRPr="00311DE7">
          <w:rPr>
            <w:rStyle w:val="Hyperlink"/>
            <w:webHidden/>
            <w:sz w:val="28"/>
            <w:szCs w:val="28"/>
          </w:rPr>
          <w:fldChar w:fldCharType="end"/>
        </w:r>
      </w:hyperlink>
    </w:p>
    <w:p w14:paraId="2F8D8399" w14:textId="240734A5" w:rsidR="00311DE7" w:rsidRPr="00311DE7" w:rsidRDefault="007B26C5" w:rsidP="001D6099">
      <w:pPr>
        <w:pStyle w:val="TOC1"/>
        <w:rPr>
          <w:rFonts w:eastAsiaTheme="minorEastAsia"/>
        </w:rPr>
      </w:pPr>
      <w:hyperlink r:id="rId13" w:anchor="_Toc69462570" w:history="1">
        <w:r w:rsidR="00311DE7" w:rsidRPr="00311DE7">
          <w:rPr>
            <w:rStyle w:val="Hyperlink"/>
            <w:sz w:val="28"/>
            <w:szCs w:val="28"/>
          </w:rPr>
          <w:t>Secinājumi</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_Toc69462570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5</w:t>
        </w:r>
        <w:r w:rsidR="00311DE7" w:rsidRPr="00311DE7">
          <w:rPr>
            <w:rStyle w:val="Hyperlink"/>
            <w:webHidden/>
            <w:sz w:val="28"/>
            <w:szCs w:val="28"/>
          </w:rPr>
          <w:fldChar w:fldCharType="end"/>
        </w:r>
      </w:hyperlink>
    </w:p>
    <w:p w14:paraId="62FE4F35" w14:textId="71B210B5" w:rsidR="00311DE7" w:rsidRPr="00311DE7" w:rsidRDefault="007B26C5" w:rsidP="001D6099">
      <w:pPr>
        <w:pStyle w:val="TOC1"/>
        <w:rPr>
          <w:rFonts w:eastAsiaTheme="minorEastAsia"/>
        </w:rPr>
      </w:pPr>
      <w:hyperlink r:id="rId14" w:anchor="_Toc69462571" w:history="1">
        <w:r w:rsidR="00311DE7" w:rsidRPr="00311DE7">
          <w:rPr>
            <w:rStyle w:val="Hyperlink"/>
            <w:sz w:val="28"/>
            <w:szCs w:val="28"/>
          </w:rPr>
          <w:t>Ievads</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_Toc69462571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7</w:t>
        </w:r>
        <w:r w:rsidR="00311DE7" w:rsidRPr="00311DE7">
          <w:rPr>
            <w:rStyle w:val="Hyperlink"/>
            <w:webHidden/>
            <w:sz w:val="28"/>
            <w:szCs w:val="28"/>
          </w:rPr>
          <w:fldChar w:fldCharType="end"/>
        </w:r>
      </w:hyperlink>
    </w:p>
    <w:p w14:paraId="5131A129" w14:textId="14C740BE" w:rsidR="00311DE7" w:rsidRPr="00311DE7" w:rsidRDefault="007B26C5" w:rsidP="001D6099">
      <w:pPr>
        <w:pStyle w:val="TOC1"/>
        <w:rPr>
          <w:rFonts w:eastAsiaTheme="minorEastAsia"/>
        </w:rPr>
      </w:pPr>
      <w:hyperlink r:id="rId15" w:anchor="_Toc69462572" w:history="1">
        <w:r w:rsidR="00311DE7" w:rsidRPr="00311DE7">
          <w:rPr>
            <w:rStyle w:val="Hyperlink"/>
            <w:sz w:val="28"/>
            <w:szCs w:val="28"/>
          </w:rPr>
          <w:t>I.  Par rīcības virziena “Informācijas pieejamības un kvalitātes nodrošināšana”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_Toc69462572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10</w:t>
        </w:r>
        <w:r w:rsidR="00311DE7" w:rsidRPr="00311DE7">
          <w:rPr>
            <w:rStyle w:val="Hyperlink"/>
            <w:webHidden/>
            <w:sz w:val="28"/>
            <w:szCs w:val="28"/>
          </w:rPr>
          <w:fldChar w:fldCharType="end"/>
        </w:r>
      </w:hyperlink>
    </w:p>
    <w:p w14:paraId="780073DD" w14:textId="3FB02349" w:rsidR="00311DE7" w:rsidRPr="00311DE7" w:rsidRDefault="007B26C5" w:rsidP="001D6099">
      <w:pPr>
        <w:pStyle w:val="TOC1"/>
        <w:rPr>
          <w:rFonts w:eastAsiaTheme="minorEastAsia"/>
        </w:rPr>
      </w:pPr>
      <w:hyperlink r:id="rId16" w:anchor="_Toc69462573" w:history="1">
        <w:r w:rsidR="00311DE7" w:rsidRPr="00311DE7">
          <w:rPr>
            <w:rStyle w:val="Hyperlink"/>
            <w:sz w:val="28"/>
            <w:szCs w:val="28"/>
          </w:rPr>
          <w:t>II.  Par rīcības virziena “Procedūru pārrobežu pieejamības nodrošināšana”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_Toc69462573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14</w:t>
        </w:r>
        <w:r w:rsidR="00311DE7" w:rsidRPr="00311DE7">
          <w:rPr>
            <w:rStyle w:val="Hyperlink"/>
            <w:webHidden/>
            <w:sz w:val="28"/>
            <w:szCs w:val="28"/>
          </w:rPr>
          <w:fldChar w:fldCharType="end"/>
        </w:r>
      </w:hyperlink>
    </w:p>
    <w:p w14:paraId="4469DA8C" w14:textId="22451EF3" w:rsidR="00311DE7" w:rsidRPr="00311DE7" w:rsidRDefault="007B26C5" w:rsidP="001D6099">
      <w:pPr>
        <w:pStyle w:val="TOC1"/>
        <w:rPr>
          <w:rFonts w:eastAsiaTheme="minorEastAsia"/>
        </w:rPr>
      </w:pPr>
      <w:hyperlink r:id="rId17" w:anchor="_Toc69462574" w:history="1">
        <w:r w:rsidR="00311DE7" w:rsidRPr="00311DE7">
          <w:rPr>
            <w:rStyle w:val="Hyperlink"/>
            <w:sz w:val="28"/>
            <w:szCs w:val="28"/>
          </w:rPr>
          <w:t>III. Par rīcības virziena “Palīdzības un problēmu risināšanas pakalpojumu nodrošināšana”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_Toc69462574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18</w:t>
        </w:r>
        <w:r w:rsidR="00311DE7" w:rsidRPr="00311DE7">
          <w:rPr>
            <w:rStyle w:val="Hyperlink"/>
            <w:webHidden/>
            <w:sz w:val="28"/>
            <w:szCs w:val="28"/>
          </w:rPr>
          <w:fldChar w:fldCharType="end"/>
        </w:r>
      </w:hyperlink>
    </w:p>
    <w:p w14:paraId="2BF2110A" w14:textId="1BA507A7" w:rsidR="00311DE7" w:rsidRPr="00311DE7" w:rsidRDefault="007B26C5" w:rsidP="001D6099">
      <w:pPr>
        <w:pStyle w:val="TOC1"/>
        <w:rPr>
          <w:rFonts w:eastAsiaTheme="minorEastAsia"/>
        </w:rPr>
      </w:pPr>
      <w:hyperlink r:id="rId18" w:anchor="_Toc69462575" w:history="1">
        <w:r w:rsidR="00311DE7" w:rsidRPr="00311DE7">
          <w:rPr>
            <w:rStyle w:val="Hyperlink"/>
            <w:sz w:val="28"/>
            <w:szCs w:val="28"/>
          </w:rPr>
          <w:t>IV. Par rīcības virziena “Lietotāju atsauksmju un lietošanas statistikas iesniegšana un apkopošana”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_Toc69462575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20</w:t>
        </w:r>
        <w:r w:rsidR="00311DE7" w:rsidRPr="00311DE7">
          <w:rPr>
            <w:rStyle w:val="Hyperlink"/>
            <w:webHidden/>
            <w:sz w:val="28"/>
            <w:szCs w:val="28"/>
          </w:rPr>
          <w:fldChar w:fldCharType="end"/>
        </w:r>
      </w:hyperlink>
    </w:p>
    <w:p w14:paraId="008480DB" w14:textId="57FD6D22" w:rsidR="00311DE7" w:rsidRPr="00311DE7" w:rsidRDefault="007B26C5" w:rsidP="001D6099">
      <w:pPr>
        <w:pStyle w:val="TOC1"/>
        <w:rPr>
          <w:rFonts w:eastAsiaTheme="minorEastAsia"/>
        </w:rPr>
      </w:pPr>
      <w:hyperlink r:id="rId19" w:anchor="_Toc69462576" w:history="1">
        <w:r w:rsidR="00311DE7" w:rsidRPr="00311DE7">
          <w:rPr>
            <w:rStyle w:val="Hyperlink"/>
            <w:sz w:val="28"/>
            <w:szCs w:val="28"/>
          </w:rPr>
          <w:t>V. Par rīcības virziena “Vārtejas popularizēšana”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_Toc69462576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21</w:t>
        </w:r>
        <w:r w:rsidR="00311DE7" w:rsidRPr="00311DE7">
          <w:rPr>
            <w:rStyle w:val="Hyperlink"/>
            <w:webHidden/>
            <w:sz w:val="28"/>
            <w:szCs w:val="28"/>
          </w:rPr>
          <w:fldChar w:fldCharType="end"/>
        </w:r>
      </w:hyperlink>
    </w:p>
    <w:p w14:paraId="76500B53" w14:textId="20656108" w:rsidR="00311DE7" w:rsidRPr="00311DE7" w:rsidRDefault="007B26C5" w:rsidP="001D6099">
      <w:pPr>
        <w:pStyle w:val="TOC1"/>
        <w:rPr>
          <w:rFonts w:eastAsiaTheme="minorEastAsia"/>
        </w:rPr>
      </w:pPr>
      <w:hyperlink r:id="rId20" w:anchor="_Toc69462577" w:history="1">
        <w:r w:rsidR="00311DE7" w:rsidRPr="00311DE7">
          <w:rPr>
            <w:rStyle w:val="Hyperlink"/>
            <w:sz w:val="28"/>
            <w:szCs w:val="28"/>
          </w:rPr>
          <w:t>VI. Par rīcības virziena “Regulas ieviešanas procesa koordinācija un kontrole” izpildes gaitu</w:t>
        </w:r>
        <w:r w:rsidR="00311DE7" w:rsidRPr="00311DE7">
          <w:rPr>
            <w:rStyle w:val="Hyperlink"/>
            <w:webHidden/>
            <w:sz w:val="28"/>
            <w:szCs w:val="28"/>
          </w:rPr>
          <w:tab/>
        </w:r>
        <w:r w:rsidR="00311DE7" w:rsidRPr="00311DE7">
          <w:rPr>
            <w:rStyle w:val="Hyperlink"/>
            <w:webHidden/>
            <w:sz w:val="28"/>
            <w:szCs w:val="28"/>
          </w:rPr>
          <w:fldChar w:fldCharType="begin"/>
        </w:r>
        <w:r w:rsidR="00311DE7" w:rsidRPr="00311DE7">
          <w:rPr>
            <w:rStyle w:val="Hyperlink"/>
            <w:webHidden/>
            <w:sz w:val="28"/>
            <w:szCs w:val="28"/>
          </w:rPr>
          <w:instrText xml:space="preserve"> PAGEREF _Toc69462577 \h </w:instrText>
        </w:r>
        <w:r w:rsidR="00311DE7" w:rsidRPr="00311DE7">
          <w:rPr>
            <w:rStyle w:val="Hyperlink"/>
            <w:webHidden/>
            <w:sz w:val="28"/>
            <w:szCs w:val="28"/>
          </w:rPr>
        </w:r>
        <w:r w:rsidR="00311DE7" w:rsidRPr="00311DE7">
          <w:rPr>
            <w:rStyle w:val="Hyperlink"/>
            <w:webHidden/>
            <w:sz w:val="28"/>
            <w:szCs w:val="28"/>
          </w:rPr>
          <w:fldChar w:fldCharType="separate"/>
        </w:r>
        <w:r w:rsidR="00864E15">
          <w:rPr>
            <w:rStyle w:val="Hyperlink"/>
            <w:webHidden/>
            <w:sz w:val="28"/>
            <w:szCs w:val="28"/>
          </w:rPr>
          <w:t>22</w:t>
        </w:r>
        <w:r w:rsidR="00311DE7" w:rsidRPr="00311DE7">
          <w:rPr>
            <w:rStyle w:val="Hyperlink"/>
            <w:webHidden/>
            <w:sz w:val="28"/>
            <w:szCs w:val="28"/>
          </w:rPr>
          <w:fldChar w:fldCharType="end"/>
        </w:r>
      </w:hyperlink>
    </w:p>
    <w:p w14:paraId="77CF7113" w14:textId="77777777" w:rsidR="00311DE7" w:rsidRPr="00311DE7" w:rsidRDefault="00311DE7" w:rsidP="001D6099">
      <w:pPr>
        <w:rPr>
          <w:rFonts w:eastAsia="Calibri"/>
        </w:rPr>
      </w:pPr>
      <w:r w:rsidRPr="00311DE7">
        <w:rPr>
          <w:shd w:val="clear" w:color="auto" w:fill="E6E6E6"/>
        </w:rPr>
        <w:fldChar w:fldCharType="end"/>
      </w:r>
      <w:bookmarkStart w:id="1" w:name="_Toc317254541"/>
    </w:p>
    <w:p w14:paraId="6C31F04B" w14:textId="6A0F290C" w:rsidR="00311DE7" w:rsidRPr="00311DE7" w:rsidRDefault="00311DE7" w:rsidP="001D6099">
      <w:pPr>
        <w:pStyle w:val="Heading1"/>
      </w:pPr>
      <w:r w:rsidRPr="00311DE7">
        <w:br w:type="page"/>
      </w:r>
      <w:bookmarkStart w:id="2" w:name="_Toc256000002"/>
      <w:bookmarkStart w:id="3" w:name="_Toc317254543"/>
      <w:bookmarkStart w:id="4" w:name="_Toc353983132"/>
      <w:bookmarkStart w:id="5" w:name="_Toc514852598"/>
      <w:bookmarkStart w:id="6" w:name="_Toc69462569"/>
      <w:bookmarkEnd w:id="1"/>
      <w:r w:rsidRPr="00311DE7">
        <w:lastRenderedPageBreak/>
        <w:t>Kopsavilkums</w:t>
      </w:r>
      <w:bookmarkEnd w:id="2"/>
      <w:bookmarkEnd w:id="3"/>
      <w:bookmarkEnd w:id="4"/>
      <w:bookmarkEnd w:id="5"/>
      <w:bookmarkEnd w:id="6"/>
    </w:p>
    <w:p w14:paraId="52DC59F7" w14:textId="77777777" w:rsidR="00311DE7" w:rsidRPr="00311DE7" w:rsidRDefault="00311DE7" w:rsidP="001D6099">
      <w:bookmarkStart w:id="7" w:name="_Toc317254544"/>
    </w:p>
    <w:p w14:paraId="6A744826" w14:textId="77777777" w:rsidR="00311DE7" w:rsidRPr="001D6099" w:rsidRDefault="00311DE7" w:rsidP="001D6099">
      <w:r w:rsidRPr="001D6099">
        <w:t>Informatīvā ziņojuma “Par Vienotās digitālās vārtejas regulas prasību ieviešanu 2020. gadā ” (turpmāk – Informatīvais ziņojums) mērķis ir sniegt informāciju par Vienotās digitālās vārtejas regulas (turpmāk – Regula) prasību ieviešanu laika posmā no 2020. gada 1. janvāra līdz 2020. gada 31. decembrim.</w:t>
      </w:r>
    </w:p>
    <w:p w14:paraId="0A00B778" w14:textId="77777777" w:rsidR="00311DE7" w:rsidRPr="001D6099" w:rsidRDefault="00311DE7" w:rsidP="001D6099">
      <w:r w:rsidRPr="001D6099">
        <w:t>Informatīvais ziņojums izstrādāts, lai sniegtu atskaiti par progresu Regulas prasību ieviešanā iepriekšējajā gadā, uzsverot būtiskākos paveiktos uzdevumus Regulas ieviešanā.</w:t>
      </w:r>
      <w:r w:rsidRPr="001D6099">
        <w:rPr>
          <w:rStyle w:val="FootnoteReference"/>
          <w:vertAlign w:val="baseline"/>
        </w:rPr>
        <w:footnoteReference w:id="1"/>
      </w:r>
    </w:p>
    <w:p w14:paraId="588B2C04" w14:textId="6D232BA4" w:rsidR="00311DE7" w:rsidRPr="001D6099" w:rsidRDefault="00311DE7" w:rsidP="001D6099">
      <w:r w:rsidRPr="001D6099">
        <w:t>Informatīvā ziņojuma struktūra veidota, pamatojoties uz Informatīvā ziņojuma "Par Vienotās digitālās vārtejas regulas prasību ieviešanu" Rīcības plānu Regulas ieviešanai</w:t>
      </w:r>
      <w:r w:rsidRPr="001D6099">
        <w:rPr>
          <w:rStyle w:val="FootnoteReference"/>
          <w:vertAlign w:val="baseline"/>
        </w:rPr>
        <w:footnoteReference w:id="2"/>
      </w:r>
      <w:r w:rsidRPr="001D6099">
        <w:t>, kurā noteikts rīcības plāns 2020. – 2023. gadam.</w:t>
      </w:r>
    </w:p>
    <w:p w14:paraId="6E2482D9" w14:textId="77777777" w:rsidR="00311DE7" w:rsidRPr="00311DE7" w:rsidRDefault="00311DE7" w:rsidP="001D6099"/>
    <w:p w14:paraId="09BCA02B" w14:textId="77777777" w:rsidR="00311DE7" w:rsidRPr="00311DE7" w:rsidRDefault="00311DE7" w:rsidP="001D6099">
      <w:pPr>
        <w:rPr>
          <w:rFonts w:eastAsia="Calibri"/>
        </w:rPr>
      </w:pPr>
      <w:r w:rsidRPr="00311DE7">
        <w:t xml:space="preserve">Informatīvā ziņojuma 1. nodaļā “Informācijas pieejamības un kvalitātes nodrošināšana” aprakstīti paveiktie uzdevumi, kas attiecas uz Regulas tvērumā esošās informācijas izveidi, apkopošanu, tulkošanu un nodošanu Vienotajā digitālajā vārtejā (turpmāk – Vārteja). </w:t>
      </w:r>
    </w:p>
    <w:p w14:paraId="2459434D" w14:textId="77777777" w:rsidR="00311DE7" w:rsidRPr="00311DE7" w:rsidRDefault="00311DE7" w:rsidP="001D6099">
      <w:r w:rsidRPr="00311DE7">
        <w:t>VARAM, izmantojot Komisijas vadlīnijas, izstrādāja “Vadlīnijas Vienotās digitālās vārtejas regulas prasību ieviešanai”  iestādēm Regulas 1. pielikuma interpretēšanai un iestāžu tīmekļvietņu izvērtēšanai.</w:t>
      </w:r>
    </w:p>
    <w:p w14:paraId="0F77A4DC" w14:textId="77777777" w:rsidR="00311DE7" w:rsidRPr="00311DE7" w:rsidRDefault="00311DE7" w:rsidP="001D6099">
      <w:r w:rsidRPr="00311DE7">
        <w:t>2020. gadā tika veikta apjomīga valsts pārvaldes pakalpojumu, dzīves situāciju un citas Regulai atbilstošas informācijas kartēšana, lai apzinātu situāciju saistībā ar nacionālo informāciju, kas līdz 12.12.2020. jāpublicē Vārtejā. Informācijas publicēšana notika ar mērķi, lai pārrobežu lietotāji spētu atrast atbildes uz nepieciešamajiem jautājumiem par ikdienas dzīves situācijām, tādām kā studijas, darbs un pensionēšanās.</w:t>
      </w:r>
    </w:p>
    <w:p w14:paraId="7BFC5520" w14:textId="77777777" w:rsidR="00311DE7" w:rsidRPr="00311DE7" w:rsidRDefault="00311DE7" w:rsidP="001D6099">
      <w:r w:rsidRPr="00311DE7">
        <w:t>Saskaņā ar Regulas prasībām Latvija līdz 12.12.2020. tiešsaistē, Komisijas saišu repozitorijā nodrošināja informācijas publicēšana par dzīves situācijām un pakalpojumiem, kā arī palīdzības pakalpojumiem.</w:t>
      </w:r>
    </w:p>
    <w:p w14:paraId="1A5A983A" w14:textId="77777777" w:rsidR="00311DE7" w:rsidRPr="00311DE7" w:rsidRDefault="00311DE7" w:rsidP="001D6099"/>
    <w:p w14:paraId="208E9641" w14:textId="77777777" w:rsidR="00311DE7" w:rsidRPr="00311DE7" w:rsidRDefault="00311DE7" w:rsidP="001D6099">
      <w:r w:rsidRPr="00311DE7">
        <w:t xml:space="preserve">Informatīvā ziņojuma 2. nodaļā “Procedūru pārrobežu pieejamības nodrošināšana” aprakstīti paveiktie uzdevumi, kas attiecas uz Regulas tvērumā esošo procedūru jeb pakalpojumu pieejamību, lai no 2023. gada nodrošinātu to pieejamību pārrobežu lietotājiem. </w:t>
      </w:r>
    </w:p>
    <w:p w14:paraId="19270366" w14:textId="77777777" w:rsidR="00311DE7" w:rsidRPr="00311DE7" w:rsidRDefault="00311DE7" w:rsidP="001D6099">
      <w:r w:rsidRPr="00311DE7">
        <w:t xml:space="preserve">2020. gadā tika veikta valsts pārvaldes pakalpojumu kartēšana, lai identificētu pakalpojumus, kas saskaņā ar Regulas prasībām </w:t>
      </w:r>
      <w:proofErr w:type="spellStart"/>
      <w:r w:rsidRPr="00311DE7">
        <w:t>jādigitalizē</w:t>
      </w:r>
      <w:proofErr w:type="spellEnd"/>
      <w:r w:rsidRPr="00311DE7">
        <w:t xml:space="preserve"> un </w:t>
      </w:r>
      <w:r w:rsidRPr="00311DE7">
        <w:lastRenderedPageBreak/>
        <w:t xml:space="preserve">jāatver pārrobežu lietotājiem (Regulas 2. pielikums) un identificētu pakalpojumus, kuriem jānodrošina pārrobežu pieejamība (Regulas 1. pielikuma procedūras, ja pakalpojums pieejams tiešsaistē). Rezultātā tika identificēts </w:t>
      </w:r>
      <w:proofErr w:type="spellStart"/>
      <w:r w:rsidRPr="00311DE7">
        <w:t>digitalizējamo</w:t>
      </w:r>
      <w:proofErr w:type="spellEnd"/>
      <w:r w:rsidRPr="00311DE7">
        <w:t xml:space="preserve"> pakalpojumu apjoms – apmēram 40 pakalpojumi. </w:t>
      </w:r>
    </w:p>
    <w:p w14:paraId="08BA13FC" w14:textId="77777777" w:rsidR="00311DE7" w:rsidRPr="00311DE7" w:rsidRDefault="00311DE7" w:rsidP="001D6099">
      <w:r w:rsidRPr="00311DE7">
        <w:t xml:space="preserve">Lai ieviestu Regulas prasības, īpaši tajā minēto vienreizes principa nodrošināšanu, ilgtermiņā nepieciešami apjomīgi IKT risinājumu pilnveidojumi iestādēs. Pakalpojumu pārrobežu pieejamība Regulas tvērumā jānodrošina no 2023. gada, taču līdz tam jāveic virkne sagatavošanās darbu, piemēram, </w:t>
      </w:r>
      <w:r w:rsidRPr="00311DE7">
        <w:rPr>
          <w:color w:val="000000" w:themeColor="text1"/>
        </w:rPr>
        <w:t>ieviest eIDAS regulas prasības un nodrošināt pārrobežu lietotāju identifikāciju.</w:t>
      </w:r>
    </w:p>
    <w:p w14:paraId="659D594D" w14:textId="77777777" w:rsidR="00311DE7" w:rsidRPr="00311DE7" w:rsidRDefault="00311DE7" w:rsidP="001D6099">
      <w:pPr>
        <w:rPr>
          <w:rFonts w:eastAsia="Calibri"/>
        </w:rPr>
      </w:pPr>
    </w:p>
    <w:p w14:paraId="6077C5FF" w14:textId="77777777" w:rsidR="00311DE7" w:rsidRPr="00311DE7" w:rsidRDefault="00311DE7" w:rsidP="001D6099">
      <w:r w:rsidRPr="00311DE7">
        <w:t xml:space="preserve">Informatīvā ziņojuma 3.nodaļā “Palīdzības un problēmu risināšanas pakalpojumu nodrošināšana” aprakstīti paveiktie uzdevumi saistībā ar minēto pakalpojumu kartēšanu un publicēšanu Vārtejā un Valsts pārvaldes pakalpojumu portālā Latvija.lv, lai pārrobežu lietotāji spētu saņemt papildu palīdzību un informatīvo atbalstu, ja tiem nav izdevies iegūt atbildes uz interesējošajiem jautājumiem Vārtejā. </w:t>
      </w:r>
    </w:p>
    <w:p w14:paraId="6DF3BE78" w14:textId="77777777" w:rsidR="00311DE7" w:rsidRPr="00311DE7" w:rsidRDefault="00311DE7" w:rsidP="001D6099"/>
    <w:p w14:paraId="3ADF04F2" w14:textId="77777777" w:rsidR="00311DE7" w:rsidRPr="00311DE7" w:rsidRDefault="00311DE7" w:rsidP="001D6099">
      <w:r w:rsidRPr="00311DE7">
        <w:rPr>
          <w:shd w:val="clear" w:color="auto" w:fill="FFFFFF"/>
        </w:rPr>
        <w:t>Informatīvā z</w:t>
      </w:r>
      <w:r w:rsidRPr="00311DE7">
        <w:t>iņojuma 4. nodaļā “Lietotāju atsauksmju iesniegšanas un apkopošanas nodrošināšana un lietošanas statistikas apkopošana” aprakstīti paveiktie uzdevumi saistībā ar koplietošanas risinājuma ieviešanu, lai nodrošinātu statistikas datu ievākšanu un nodošanu Komisijai.</w:t>
      </w:r>
    </w:p>
    <w:p w14:paraId="18CD7B6D" w14:textId="77777777" w:rsidR="00311DE7" w:rsidRPr="00311DE7" w:rsidRDefault="00311DE7" w:rsidP="001D6099"/>
    <w:p w14:paraId="1E04D154" w14:textId="77777777" w:rsidR="00311DE7" w:rsidRPr="00311DE7" w:rsidRDefault="00311DE7" w:rsidP="001D6099">
      <w:r w:rsidRPr="00311DE7">
        <w:rPr>
          <w:shd w:val="clear" w:color="auto" w:fill="FFFFFF"/>
        </w:rPr>
        <w:t>Informatīvā z</w:t>
      </w:r>
      <w:r w:rsidRPr="00311DE7">
        <w:t xml:space="preserve">iņojuma 5. nodaļā “Vārtejas popularizēšana” aprakstīti veiktie pasākumi un darbības Vārtejas popularizēšanai. </w:t>
      </w:r>
    </w:p>
    <w:p w14:paraId="39DF36FE" w14:textId="77777777" w:rsidR="00311DE7" w:rsidRPr="00311DE7" w:rsidRDefault="00311DE7" w:rsidP="001D6099"/>
    <w:p w14:paraId="434D7FF2" w14:textId="77777777" w:rsidR="00311DE7" w:rsidRPr="00311DE7" w:rsidRDefault="00311DE7" w:rsidP="001D6099">
      <w:r w:rsidRPr="00311DE7">
        <w:rPr>
          <w:shd w:val="clear" w:color="auto" w:fill="FFFFFF"/>
        </w:rPr>
        <w:t>Informatīvā z</w:t>
      </w:r>
      <w:r w:rsidRPr="00311DE7">
        <w:t>iņojuma 6. nodaļā “Regulas ieviešanas procesa koordinācija un kontrole” aprakstīta uzdevumu izpilde, lai nodrošinātu Regulas prasību ieviešanas uzraudzību.</w:t>
      </w:r>
    </w:p>
    <w:p w14:paraId="5D706610" w14:textId="77777777" w:rsidR="00311DE7" w:rsidRPr="00311DE7" w:rsidRDefault="00311DE7" w:rsidP="001D6099">
      <w:pPr>
        <w:pStyle w:val="Heading1"/>
      </w:pPr>
      <w:bookmarkStart w:id="8" w:name="_Toc69462570"/>
      <w:r w:rsidRPr="00311DE7">
        <w:t>Secinājumi</w:t>
      </w:r>
      <w:bookmarkEnd w:id="8"/>
    </w:p>
    <w:p w14:paraId="3C086627" w14:textId="77777777" w:rsidR="00311DE7" w:rsidRPr="00311DE7" w:rsidRDefault="00311DE7" w:rsidP="001D6099"/>
    <w:p w14:paraId="2943C70D" w14:textId="77777777" w:rsidR="00311DE7" w:rsidRPr="00311DE7" w:rsidRDefault="00311DE7" w:rsidP="001D6099">
      <w:r w:rsidRPr="00311DE7">
        <w:t xml:space="preserve">Ir izpildītas svarīgākās Regulas prasības visos sešos rīcības virzienos, kuru termiņš bija 2020. gada decembris. Veikta dzīves situāciju un pakalpojumu kartēšana, kā arī palīdzības pakalpojumu kartēšana. Tāpat Vārtejā ir nodotas hipersaites atbilstoši Regulas tvērumam.  </w:t>
      </w:r>
    </w:p>
    <w:p w14:paraId="2838123E" w14:textId="77777777" w:rsidR="00311DE7" w:rsidRPr="00311DE7" w:rsidRDefault="00311DE7" w:rsidP="001D6099"/>
    <w:p w14:paraId="0A20AA2C" w14:textId="77777777" w:rsidR="00311DE7" w:rsidRPr="00311DE7" w:rsidRDefault="00311DE7" w:rsidP="001D6099">
      <w:r w:rsidRPr="00311DE7">
        <w:t>Valsts iestādes ir ieguldījušas darbu un laiku, nodrošinot informācijas pieejamību tiešsaistē par pakalpojumiem, procedūrām, palīdzības un problēmu risināšanas pakalpojumiem, veicot informācijas papildināšanu, tulkošanu un dzīves situāciju aprakstīšanu.</w:t>
      </w:r>
    </w:p>
    <w:p w14:paraId="222CFEB4" w14:textId="77777777" w:rsidR="00311DE7" w:rsidRPr="00311DE7" w:rsidRDefault="00311DE7" w:rsidP="001D6099"/>
    <w:p w14:paraId="3333F304" w14:textId="77777777" w:rsidR="00311DE7" w:rsidRPr="00311DE7" w:rsidRDefault="00311DE7" w:rsidP="001D6099">
      <w:r w:rsidRPr="00311DE7">
        <w:t>Jāturpina iesāktais darbs ar nozaru ministrijām, iestādēm un Komisiju, lai ieviestu Regulas prasības. 2021. gada mērķi ir informācijas kvalitātes nodrošināšana Vārtejā un darbs pie vienreizes principa ieviešanas pārrobežu pakalpojumu sniegšanā.</w:t>
      </w:r>
    </w:p>
    <w:p w14:paraId="6AFEC00F" w14:textId="77777777" w:rsidR="00311DE7" w:rsidRPr="00311DE7" w:rsidRDefault="00311DE7" w:rsidP="001D6099"/>
    <w:p w14:paraId="4A1AF6F6" w14:textId="77777777" w:rsidR="00311DE7" w:rsidRPr="00311DE7" w:rsidRDefault="00311DE7" w:rsidP="001D6099">
      <w:pPr>
        <w:rPr>
          <w:rFonts w:eastAsia="Calibri"/>
        </w:rPr>
      </w:pPr>
      <w:r w:rsidRPr="00311DE7">
        <w:t xml:space="preserve">Nepieciešama Latvijas un citu dalībvalstu sadarbība, lai nodrošinātu Vārtejas attīstību un kvalitāti, tostarp veicot izmaiņas normatīvajā regulējumā. </w:t>
      </w:r>
    </w:p>
    <w:p w14:paraId="7005F082" w14:textId="29C2FE7B" w:rsidR="00311DE7" w:rsidRPr="00311DE7" w:rsidRDefault="00311DE7" w:rsidP="001D6099">
      <w:pPr>
        <w:pStyle w:val="Heading1"/>
      </w:pPr>
      <w:r w:rsidRPr="00311DE7">
        <w:br w:type="page"/>
      </w:r>
      <w:bookmarkStart w:id="9" w:name="_Toc256000003"/>
      <w:bookmarkStart w:id="10" w:name="_Toc353983133"/>
      <w:bookmarkStart w:id="11" w:name="_Toc514852599"/>
      <w:bookmarkStart w:id="12" w:name="_Toc69462571"/>
      <w:bookmarkEnd w:id="7"/>
      <w:r w:rsidRPr="00311DE7">
        <w:lastRenderedPageBreak/>
        <w:t>Ievads</w:t>
      </w:r>
      <w:bookmarkEnd w:id="9"/>
      <w:bookmarkEnd w:id="10"/>
      <w:bookmarkEnd w:id="11"/>
      <w:bookmarkEnd w:id="12"/>
    </w:p>
    <w:p w14:paraId="2EE8ACB4" w14:textId="77777777" w:rsidR="00311DE7" w:rsidRPr="00311DE7" w:rsidRDefault="00311DE7" w:rsidP="001D6099"/>
    <w:p w14:paraId="2F364A70" w14:textId="77777777" w:rsidR="00311DE7" w:rsidRPr="00311DE7" w:rsidRDefault="00311DE7" w:rsidP="001D6099">
      <w:pPr>
        <w:rPr>
          <w:bCs/>
        </w:rPr>
      </w:pPr>
      <w:r w:rsidRPr="00311DE7">
        <w:t>Informatīvais ziņojums izstrādāts, pamatojoties uz MK 2020. gada 19. maija rīkojumu Nr. 34 “Par Vienotās digitālās vārtejas regulas prasību ieviešanu" (Prot. Nr.  22.§) 6. punktu, ar kuru noteikts uzdevums VARAM katru gadu līdz 30. aprīlim (līdz 2024. gadam) iesniegt izskatīšanai MK informatīvo ziņojumu par regulas ieviešanas gaitu.</w:t>
      </w:r>
    </w:p>
    <w:p w14:paraId="50D26462" w14:textId="77777777" w:rsidR="00311DE7" w:rsidRPr="00311DE7" w:rsidRDefault="00311DE7" w:rsidP="001D6099">
      <w:pPr>
        <w:rPr>
          <w:noProof/>
        </w:rPr>
      </w:pPr>
      <w:r w:rsidRPr="00311DE7">
        <w:rPr>
          <w:noProof/>
        </w:rPr>
        <w:t>Informatīvais ziņojums sagatavots atbilstoši Valdības rīcības plāna Deklarācijas par Artura Krišjāņa Kariņa vadītā Ministru kabineta iecerēto darbību īstenošanai uzdevumu Nr. 246.3.</w:t>
      </w:r>
      <w:r w:rsidRPr="00311DE7">
        <w:rPr>
          <w:noProof/>
          <w:vertAlign w:val="superscript"/>
        </w:rPr>
        <w:footnoteReference w:id="3"/>
      </w:r>
      <w:r w:rsidRPr="00311DE7">
        <w:rPr>
          <w:noProof/>
        </w:rPr>
        <w:t xml:space="preserve"> “Nodrošināt publisko pakalpojumu pieejamību digitālajā vidē, uzturot un attīstot portālu www.Latvija.lv, tai skaitā nodrošinot pārrobežu publisko pakalpojumu pieejamību un Regulas par vienoto digitālo vārteju ieviešanu”.</w:t>
      </w:r>
    </w:p>
    <w:p w14:paraId="3261D832" w14:textId="77777777" w:rsidR="00311DE7" w:rsidRPr="00311DE7" w:rsidRDefault="00311DE7" w:rsidP="001D6099">
      <w:r w:rsidRPr="00311DE7">
        <w:t>Informatīvais ziņojums sagatavots atbilstoši Eiropas Parlamenta un Padomes 2018. gada 2. oktobra Regulai (ES) 2018/1724, ar ko izveido vienotu digitālo vārteju, lai sniegtu piekļuvi informācijai, procedūrām un palīdzības un problēmu risināšanas pakalpojumiem, un ar ko groza Regulu (ES) Nr. 1024/2012 (turpmāk – Regula),</w:t>
      </w:r>
      <w:r w:rsidRPr="00311DE7">
        <w:rPr>
          <w:rStyle w:val="FootnoteReference"/>
        </w:rPr>
        <w:footnoteReference w:id="4"/>
      </w:r>
      <w:r w:rsidRPr="00311DE7">
        <w:t xml:space="preserve"> kas paredz tiešsaistes piekļuvi informācijai, procedūrām, palīdzības un problēmu risināšanas pakalpojumiem ES mērogā. </w:t>
      </w:r>
    </w:p>
    <w:p w14:paraId="6EAFD2C6" w14:textId="77777777" w:rsidR="00311DE7" w:rsidRPr="00311DE7" w:rsidRDefault="00311DE7" w:rsidP="001D6099">
      <w:r w:rsidRPr="00311DE7">
        <w:t xml:space="preserve">Informatīvais ziņojums sniedz ieskatu par paveikto Regulas prasību ieviešanā pārskata periodā. Tā mērķis ir iepazīstināt ar Regulas svarīgākajiem ieviešanas virzieniem un pašreizējo situāciju Latvijā, ieviešot rīcības plānu, kurā minētas veicamās darbības VARAM un valsts pārvaldes iestādēm un pašvaldībām.  </w:t>
      </w:r>
    </w:p>
    <w:p w14:paraId="6A35E33F" w14:textId="77777777" w:rsidR="00311DE7" w:rsidRPr="00311DE7" w:rsidRDefault="00311DE7" w:rsidP="001D6099"/>
    <w:p w14:paraId="305BE8B1" w14:textId="77777777" w:rsidR="00311DE7" w:rsidRPr="00311DE7" w:rsidRDefault="00311DE7" w:rsidP="001D6099">
      <w:r w:rsidRPr="00311DE7">
        <w:rPr>
          <w:b/>
        </w:rPr>
        <w:t>Regulas mērķis</w:t>
      </w:r>
      <w:r w:rsidRPr="00311DE7">
        <w:t xml:space="preserve"> ir atbalstīt un veicināt ES valstu pilsoņu un uzņēmumu mobilitāti, atvieglojot tiešsaistes piekļuvi informācijai un administratīvajām procedūrām, kā arī palīdzības un problēmu risināšanas pakalpojumiem, kas ES pilsoņiem un uzņēmumiem ir nepieciešami, lai produktīvi darbotos atrodoties citā ES valstī. Lai nodrošinātu Regulas mērķi, Regula ES dalībvalstīm nosaka šādus pienākumus:</w:t>
      </w:r>
    </w:p>
    <w:p w14:paraId="50FA8AFE" w14:textId="77777777" w:rsidR="00311DE7" w:rsidRPr="00864E15" w:rsidRDefault="00311DE7" w:rsidP="001D6099">
      <w:pPr>
        <w:pStyle w:val="ListParagraph"/>
        <w:numPr>
          <w:ilvl w:val="0"/>
          <w:numId w:val="10"/>
        </w:numPr>
        <w:rPr>
          <w:rFonts w:ascii="Times New Roman" w:hAnsi="Times New Roman" w:cs="Times New Roman"/>
          <w:sz w:val="28"/>
          <w:szCs w:val="28"/>
        </w:rPr>
      </w:pPr>
      <w:r w:rsidRPr="00864E15">
        <w:rPr>
          <w:rFonts w:ascii="Times New Roman" w:hAnsi="Times New Roman" w:cs="Times New Roman"/>
          <w:sz w:val="28"/>
          <w:szCs w:val="28"/>
        </w:rPr>
        <w:t>publicēt nacionālā līmeņa informāciju:</w:t>
      </w:r>
    </w:p>
    <w:p w14:paraId="36B3110F" w14:textId="77777777" w:rsidR="00311DE7" w:rsidRPr="00864E15" w:rsidRDefault="00311DE7" w:rsidP="001D6099">
      <w:pPr>
        <w:pStyle w:val="ListParagraph"/>
        <w:numPr>
          <w:ilvl w:val="0"/>
          <w:numId w:val="10"/>
        </w:numPr>
        <w:rPr>
          <w:rFonts w:ascii="Times New Roman" w:hAnsi="Times New Roman" w:cs="Times New Roman"/>
          <w:sz w:val="28"/>
          <w:szCs w:val="28"/>
        </w:rPr>
      </w:pPr>
      <w:r w:rsidRPr="00864E15">
        <w:rPr>
          <w:rFonts w:ascii="Times New Roman" w:hAnsi="Times New Roman" w:cs="Times New Roman"/>
          <w:sz w:val="28"/>
          <w:szCs w:val="28"/>
        </w:rPr>
        <w:t>par ES pilsoņu tiesībām un pienākumiem ES dalībvalstī;</w:t>
      </w:r>
    </w:p>
    <w:p w14:paraId="0EA23DAD" w14:textId="77777777" w:rsidR="00311DE7" w:rsidRPr="00864E15" w:rsidRDefault="00311DE7" w:rsidP="001D6099">
      <w:pPr>
        <w:pStyle w:val="ListParagraph"/>
        <w:numPr>
          <w:ilvl w:val="0"/>
          <w:numId w:val="10"/>
        </w:numPr>
        <w:rPr>
          <w:rFonts w:ascii="Times New Roman" w:hAnsi="Times New Roman" w:cs="Times New Roman"/>
          <w:sz w:val="28"/>
          <w:szCs w:val="28"/>
        </w:rPr>
      </w:pPr>
      <w:r w:rsidRPr="00864E15">
        <w:rPr>
          <w:rFonts w:ascii="Times New Roman" w:hAnsi="Times New Roman" w:cs="Times New Roman"/>
          <w:sz w:val="28"/>
          <w:szCs w:val="28"/>
        </w:rPr>
        <w:t>par procedūrām un to atsevišķiem pakalpojumiem ES dalībvalstī;</w:t>
      </w:r>
    </w:p>
    <w:p w14:paraId="0124C56E" w14:textId="77777777" w:rsidR="00311DE7" w:rsidRPr="00864E15" w:rsidRDefault="00311DE7" w:rsidP="001D6099">
      <w:pPr>
        <w:pStyle w:val="ListParagraph"/>
        <w:numPr>
          <w:ilvl w:val="0"/>
          <w:numId w:val="10"/>
        </w:numPr>
        <w:rPr>
          <w:rFonts w:ascii="Times New Roman" w:hAnsi="Times New Roman" w:cs="Times New Roman"/>
          <w:sz w:val="28"/>
          <w:szCs w:val="28"/>
        </w:rPr>
      </w:pPr>
      <w:r w:rsidRPr="00864E15">
        <w:rPr>
          <w:rFonts w:ascii="Times New Roman" w:hAnsi="Times New Roman" w:cs="Times New Roman"/>
          <w:sz w:val="28"/>
          <w:szCs w:val="28"/>
        </w:rPr>
        <w:t>par palīdzības un problēmu risināšanas pakalpojumiem.</w:t>
      </w:r>
    </w:p>
    <w:p w14:paraId="7AB6CD8C" w14:textId="77777777" w:rsidR="00311DE7" w:rsidRPr="00864E15" w:rsidRDefault="00311DE7" w:rsidP="001D6099">
      <w:pPr>
        <w:pStyle w:val="ListParagraph"/>
        <w:numPr>
          <w:ilvl w:val="0"/>
          <w:numId w:val="10"/>
        </w:numPr>
        <w:rPr>
          <w:rFonts w:ascii="Times New Roman" w:hAnsi="Times New Roman" w:cs="Times New Roman"/>
          <w:sz w:val="28"/>
          <w:szCs w:val="28"/>
        </w:rPr>
      </w:pPr>
      <w:r w:rsidRPr="00864E15">
        <w:rPr>
          <w:rFonts w:ascii="Times New Roman" w:hAnsi="Times New Roman" w:cs="Times New Roman"/>
          <w:sz w:val="28"/>
          <w:szCs w:val="28"/>
        </w:rPr>
        <w:lastRenderedPageBreak/>
        <w:t>nodrošināt pārrobežu pieejamību pakalpojumiem un procedūrām;</w:t>
      </w:r>
    </w:p>
    <w:p w14:paraId="51F863BA" w14:textId="77777777" w:rsidR="00311DE7" w:rsidRPr="00864E15" w:rsidRDefault="00311DE7" w:rsidP="001D6099">
      <w:r w:rsidRPr="00864E15">
        <w:t>nodrošināt pārrobežu pieejamību palīdzības un problēmu risināšanas pakalpojumiem.</w:t>
      </w:r>
    </w:p>
    <w:p w14:paraId="4116C34B" w14:textId="77777777" w:rsidR="00311DE7" w:rsidRPr="00864E15" w:rsidRDefault="00311DE7" w:rsidP="001D6099"/>
    <w:p w14:paraId="214EDD3A" w14:textId="77777777" w:rsidR="00311DE7" w:rsidRPr="00864E15" w:rsidRDefault="00311DE7" w:rsidP="001D6099">
      <w:r w:rsidRPr="00864E15">
        <w:rPr>
          <w:b/>
        </w:rPr>
        <w:t xml:space="preserve">Informatīvā ziņojuma mērķis </w:t>
      </w:r>
      <w:r w:rsidRPr="00864E15">
        <w:rPr>
          <w:bCs/>
        </w:rPr>
        <w:t>ir</w:t>
      </w:r>
      <w:r w:rsidRPr="00864E15">
        <w:t xml:space="preserve"> informēt MK par </w:t>
      </w:r>
      <w:r w:rsidRPr="00864E15">
        <w:rPr>
          <w:bCs/>
        </w:rPr>
        <w:t xml:space="preserve">Regulas ieviešanu </w:t>
      </w:r>
      <w:r w:rsidRPr="00864E15">
        <w:rPr>
          <w:shd w:val="clear" w:color="auto" w:fill="FFFFFF"/>
        </w:rPr>
        <w:t>laika posmā no 2020. gada 1. janvāra līdz 2020. gada 31. decembrim. Inf</w:t>
      </w:r>
      <w:r w:rsidRPr="00864E15">
        <w:rPr>
          <w:rStyle w:val="spelle"/>
          <w:color w:val="000000" w:themeColor="text1"/>
        </w:rPr>
        <w:t xml:space="preserve">ormatīvajā ziņojumā sniegta informācija par 2020. gadā paveikto, un sniegts ieskats plānotajās aktivitātēs, lai nodrošinātu Regulas prasību ieviešanu nākamajos gados. </w:t>
      </w:r>
    </w:p>
    <w:p w14:paraId="6989D0C3" w14:textId="77777777" w:rsidR="00311DE7" w:rsidRPr="00864E15" w:rsidRDefault="00311DE7" w:rsidP="001D6099">
      <w:pPr>
        <w:rPr>
          <w:shd w:val="clear" w:color="auto" w:fill="FFFFFF"/>
        </w:rPr>
      </w:pPr>
    </w:p>
    <w:p w14:paraId="671AA8BF" w14:textId="77777777" w:rsidR="00311DE7" w:rsidRPr="00864E15" w:rsidRDefault="00311DE7" w:rsidP="001D6099">
      <w:pPr>
        <w:rPr>
          <w:rStyle w:val="spelle"/>
          <w:color w:val="000000" w:themeColor="text1"/>
        </w:rPr>
      </w:pPr>
      <w:r w:rsidRPr="00864E15">
        <w:rPr>
          <w:shd w:val="clear" w:color="auto" w:fill="FFFFFF"/>
        </w:rPr>
        <w:t xml:space="preserve">Kā nozīmīgākais pieturas punkts Regulas prasību ieviešanā ir </w:t>
      </w:r>
      <w:r w:rsidRPr="00864E15">
        <w:rPr>
          <w:rStyle w:val="spelle"/>
          <w:color w:val="000000" w:themeColor="text1"/>
        </w:rPr>
        <w:t xml:space="preserve">Vārtejas portāla “Tava Eiropa” darba uzsākšana no 2020.gada 12.decembra. Portāls kalpo kā Eiropas mēroga vienotais kontaktpunkts, kurā iespējams atrast informāciju par ES dalībvalstu valsts pārvaldes iestāžu sniegtajiem pakalpojumiem, praktisku informāciju kā rīkoties dažādās dzīves situācijās katrā ES dalībvalstī, kā arī informāciju par ES mērogā pieejamajiem palīdzības pakalpojumiem (piem. EURES nodarbinātības tīklam,  pārrobežu veselības aprūpei, profesionālās kvalifikācijas atzīšanas pakalpojumiem u.c. ikdienā nepieciešamiem pakalpojumiem). Portāla adrese ir: </w:t>
      </w:r>
      <w:hyperlink r:id="rId21" w:history="1">
        <w:r w:rsidRPr="00864E15">
          <w:rPr>
            <w:rStyle w:val="Hyperlink"/>
          </w:rPr>
          <w:t>https://europa.eu/youreurope/citizens/index_lv.htm</w:t>
        </w:r>
      </w:hyperlink>
      <w:r w:rsidRPr="00864E15">
        <w:rPr>
          <w:rStyle w:val="spelle"/>
          <w:color w:val="000000" w:themeColor="text1"/>
        </w:rPr>
        <w:t xml:space="preserve"> </w:t>
      </w:r>
    </w:p>
    <w:p w14:paraId="04C89469" w14:textId="77777777" w:rsidR="00311DE7" w:rsidRPr="00864E15" w:rsidRDefault="00311DE7" w:rsidP="001D6099">
      <w:pPr>
        <w:rPr>
          <w:b/>
          <w:bCs/>
        </w:rPr>
      </w:pPr>
      <w:r w:rsidRPr="00864E15">
        <w:t>Vārteja tiešsaistē nodrošina atbalstu iedzīvotājiem un uzņēmējiem, sniedzot vienkāršotu pieeju informācijai par dažādām dzīves situācijām (darba, dzīvošanas un studiju iespējām ES dalībvalstīs) kā arī nākotnē atvieglos pārrobežu pakalpojumu sniegšanu.</w:t>
      </w:r>
    </w:p>
    <w:p w14:paraId="1DF23EA3" w14:textId="77777777" w:rsidR="00311DE7" w:rsidRPr="00864E15" w:rsidRDefault="00311DE7" w:rsidP="001D6099">
      <w:pPr>
        <w:rPr>
          <w:rStyle w:val="spelle"/>
          <w:color w:val="000000" w:themeColor="text1"/>
        </w:rPr>
      </w:pPr>
    </w:p>
    <w:p w14:paraId="7159B96C" w14:textId="77777777" w:rsidR="00311DE7" w:rsidRPr="00864E15" w:rsidRDefault="00311DE7" w:rsidP="001D6099">
      <w:pPr>
        <w:rPr>
          <w:rStyle w:val="spelle"/>
          <w:color w:val="000000" w:themeColor="text1"/>
        </w:rPr>
      </w:pPr>
      <w:r w:rsidRPr="00864E15">
        <w:rPr>
          <w:rStyle w:val="spelle"/>
          <w:color w:val="000000" w:themeColor="text1"/>
        </w:rPr>
        <w:t xml:space="preserve">Regula tiek ieviesta, sadarbojoties iestādēm un nacionālajam Regulas ieviešanas koordinatoram VARAM, kā arī citām iesaistītajām pusēm. </w:t>
      </w:r>
    </w:p>
    <w:p w14:paraId="1A2B45A5" w14:textId="77777777" w:rsidR="00311DE7" w:rsidRPr="00864E15" w:rsidRDefault="00311DE7" w:rsidP="001D6099">
      <w:r w:rsidRPr="00864E15">
        <w:t xml:space="preserve">VARAM nodrošina koordinētu, saskaņotu un uz iestāžu sadarbību balstītu Regulas ieviešanas procesu: </w:t>
      </w:r>
    </w:p>
    <w:p w14:paraId="091B8384" w14:textId="77777777" w:rsidR="00311DE7" w:rsidRPr="00864E15" w:rsidRDefault="00311DE7" w:rsidP="001D6099"/>
    <w:p w14:paraId="7F9117BF"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t>atbild par saziņu ar Komisiju ar Vārteju saistītos jautājumos;</w:t>
      </w:r>
    </w:p>
    <w:p w14:paraId="7C48EE73"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t xml:space="preserve">sadarbībā ar EM veicina pakalpojumu kvalitātes prasību vienveidīgu piemērošanu jautājumos, kas skar uzņēmējdarbības sadaļu valsts pārvaldes pakalpojumu portālā </w:t>
      </w:r>
      <w:hyperlink r:id="rId22" w:history="1">
        <w:r w:rsidRPr="00864E15">
          <w:rPr>
            <w:rStyle w:val="Hyperlink"/>
            <w:rFonts w:ascii="Times New Roman" w:hAnsi="Times New Roman" w:cs="Times New Roman"/>
            <w:sz w:val="28"/>
            <w:szCs w:val="28"/>
          </w:rPr>
          <w:t>www.latvija.lv</w:t>
        </w:r>
      </w:hyperlink>
      <w:r w:rsidRPr="00864E15">
        <w:rPr>
          <w:rFonts w:ascii="Times New Roman" w:hAnsi="Times New Roman" w:cs="Times New Roman"/>
          <w:sz w:val="28"/>
          <w:szCs w:val="28"/>
        </w:rPr>
        <w:t>, kas ir Latvijas vienotais pakalpojumu kontaktpunkts (turpmāk – Latvija.lv);</w:t>
      </w:r>
    </w:p>
    <w:p w14:paraId="14F0998E"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t>koordinē nacionālo tīmekļvietņu un portālu hipersaišu  iesniegšanu Komisijai;</w:t>
      </w:r>
    </w:p>
    <w:p w14:paraId="6D3FA617"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lastRenderedPageBreak/>
        <w:t>koordinē informācijas tulkošanas angļu valodā nodrošināšanu valsts pārvaldes iestāžu tīmekļvietnēs atbilstoši nepieciešamībai un Komisijas nodrošinājumam;</w:t>
      </w:r>
    </w:p>
    <w:p w14:paraId="3DD3A177"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t>uzrauga Komisijas ieteikumu īstenošanu kā arī koordinē nepilnību novēršanu ar pakalpojumu sniedzēju;</w:t>
      </w:r>
    </w:p>
    <w:p w14:paraId="7AE6154A" w14:textId="77777777" w:rsidR="00311DE7" w:rsidRPr="00864E15" w:rsidRDefault="00311DE7" w:rsidP="001D6099">
      <w:pPr>
        <w:pStyle w:val="ListParagraph"/>
        <w:numPr>
          <w:ilvl w:val="0"/>
          <w:numId w:val="3"/>
        </w:numPr>
        <w:rPr>
          <w:rFonts w:ascii="Times New Roman" w:hAnsi="Times New Roman" w:cs="Times New Roman"/>
          <w:sz w:val="28"/>
          <w:szCs w:val="28"/>
        </w:rPr>
      </w:pPr>
      <w:r w:rsidRPr="00864E15">
        <w:rPr>
          <w:rFonts w:ascii="Times New Roman" w:hAnsi="Times New Roman" w:cs="Times New Roman"/>
          <w:sz w:val="28"/>
          <w:szCs w:val="28"/>
        </w:rPr>
        <w:t>sniedz konsultatīvu atbalstu iestādēm attiecībā uz Vārtejas prasību ieviešanu.</w:t>
      </w:r>
    </w:p>
    <w:p w14:paraId="67CBA786" w14:textId="77777777" w:rsidR="00311DE7" w:rsidRPr="00864E15" w:rsidRDefault="00311DE7" w:rsidP="001D6099">
      <w:pPr>
        <w:pStyle w:val="ListParagraph"/>
        <w:rPr>
          <w:rFonts w:ascii="Times New Roman" w:hAnsi="Times New Roman" w:cs="Times New Roman"/>
          <w:sz w:val="28"/>
          <w:szCs w:val="28"/>
        </w:rPr>
      </w:pPr>
    </w:p>
    <w:p w14:paraId="0AE6B266" w14:textId="77777777" w:rsidR="00311DE7" w:rsidRPr="00864E15" w:rsidRDefault="00311DE7" w:rsidP="001D6099">
      <w:r w:rsidRPr="00864E15">
        <w:t>Tiešās pārvaldes iestādes, pašvaldības un to padotībā esošas institūcijas normatīvajos aktos noteiktajā kārtībā atbild par:</w:t>
      </w:r>
    </w:p>
    <w:p w14:paraId="4F56AA0D" w14:textId="77777777" w:rsidR="00311DE7" w:rsidRPr="00864E15" w:rsidRDefault="00311DE7" w:rsidP="001D6099">
      <w:pPr>
        <w:pStyle w:val="ListParagraph"/>
        <w:numPr>
          <w:ilvl w:val="0"/>
          <w:numId w:val="4"/>
        </w:numPr>
        <w:rPr>
          <w:rFonts w:ascii="Times New Roman" w:hAnsi="Times New Roman" w:cs="Times New Roman"/>
          <w:sz w:val="28"/>
          <w:szCs w:val="28"/>
        </w:rPr>
      </w:pPr>
      <w:r w:rsidRPr="00864E15">
        <w:rPr>
          <w:rFonts w:ascii="Times New Roman" w:hAnsi="Times New Roman" w:cs="Times New Roman"/>
          <w:sz w:val="28"/>
          <w:szCs w:val="28"/>
        </w:rPr>
        <w:t xml:space="preserve">savā pārziņā esošo tīmekļvietņu izstrādi, pieejamību, uzturēšanu un drošību, šo tīmekļvietņu atbilstību Komisijas izstrādāto informācijas tehnoloģiju risinājumu prasībām, ja netiek izmantoti alternatīvi risinājumi; </w:t>
      </w:r>
    </w:p>
    <w:p w14:paraId="4AC69B00" w14:textId="77777777" w:rsidR="00311DE7" w:rsidRPr="00864E15" w:rsidRDefault="00311DE7" w:rsidP="001D6099">
      <w:pPr>
        <w:pStyle w:val="ListParagraph"/>
        <w:numPr>
          <w:ilvl w:val="0"/>
          <w:numId w:val="4"/>
        </w:numPr>
        <w:rPr>
          <w:rFonts w:ascii="Times New Roman" w:hAnsi="Times New Roman" w:cs="Times New Roman"/>
          <w:sz w:val="28"/>
          <w:szCs w:val="28"/>
        </w:rPr>
      </w:pPr>
      <w:r w:rsidRPr="00864E15">
        <w:rPr>
          <w:rFonts w:ascii="Times New Roman" w:hAnsi="Times New Roman" w:cs="Times New Roman"/>
          <w:sz w:val="28"/>
          <w:szCs w:val="28"/>
        </w:rPr>
        <w:t>savu pakalpojumu organizēšanu, strukturēšanu un aprakstīšanu gan Latvija.lv  atbilstoši portāla iespējām, gan savās tīmekļvietnēs;</w:t>
      </w:r>
    </w:p>
    <w:p w14:paraId="40352684" w14:textId="77777777" w:rsidR="00311DE7" w:rsidRPr="00864E15" w:rsidRDefault="00311DE7" w:rsidP="001D6099">
      <w:pPr>
        <w:pStyle w:val="ListParagraph"/>
        <w:numPr>
          <w:ilvl w:val="0"/>
          <w:numId w:val="4"/>
        </w:numPr>
        <w:rPr>
          <w:rFonts w:ascii="Times New Roman" w:hAnsi="Times New Roman" w:cs="Times New Roman"/>
          <w:sz w:val="28"/>
          <w:szCs w:val="28"/>
        </w:rPr>
      </w:pPr>
      <w:r w:rsidRPr="00864E15">
        <w:rPr>
          <w:rFonts w:ascii="Times New Roman" w:hAnsi="Times New Roman" w:cs="Times New Roman"/>
          <w:sz w:val="28"/>
          <w:szCs w:val="28"/>
        </w:rPr>
        <w:t>atbilstību Latvijas normatīvajiem aktiem, kas regulē informācijas publicēšanu tīmekļvietnēs, u. c.;</w:t>
      </w:r>
    </w:p>
    <w:p w14:paraId="521375C9" w14:textId="77777777" w:rsidR="00311DE7" w:rsidRPr="00864E15" w:rsidRDefault="00311DE7" w:rsidP="001D6099">
      <w:pPr>
        <w:pStyle w:val="ListParagraph"/>
        <w:numPr>
          <w:ilvl w:val="0"/>
          <w:numId w:val="4"/>
        </w:numPr>
        <w:rPr>
          <w:rFonts w:ascii="Times New Roman" w:hAnsi="Times New Roman" w:cs="Times New Roman"/>
          <w:sz w:val="28"/>
          <w:szCs w:val="28"/>
        </w:rPr>
      </w:pPr>
      <w:r w:rsidRPr="00864E15">
        <w:rPr>
          <w:rFonts w:ascii="Times New Roman" w:hAnsi="Times New Roman" w:cs="Times New Roman"/>
          <w:sz w:val="28"/>
          <w:szCs w:val="28"/>
        </w:rPr>
        <w:t>informācijas dublēšanas novēršanu;</w:t>
      </w:r>
    </w:p>
    <w:p w14:paraId="4F9A8612" w14:textId="77777777" w:rsidR="00311DE7" w:rsidRPr="00864E15" w:rsidRDefault="00311DE7" w:rsidP="001D6099">
      <w:pPr>
        <w:pStyle w:val="ListParagraph"/>
        <w:numPr>
          <w:ilvl w:val="0"/>
          <w:numId w:val="4"/>
        </w:numPr>
        <w:rPr>
          <w:rFonts w:ascii="Times New Roman" w:hAnsi="Times New Roman" w:cs="Times New Roman"/>
          <w:sz w:val="28"/>
          <w:szCs w:val="28"/>
        </w:rPr>
      </w:pPr>
      <w:r w:rsidRPr="00864E15">
        <w:rPr>
          <w:rFonts w:ascii="Times New Roman" w:hAnsi="Times New Roman" w:cs="Times New Roman"/>
          <w:sz w:val="28"/>
          <w:szCs w:val="28"/>
        </w:rPr>
        <w:t xml:space="preserve">palīdzības </w:t>
      </w:r>
      <w:r w:rsidRPr="00864E15">
        <w:rPr>
          <w:rFonts w:ascii="Times New Roman" w:hAnsi="Times New Roman" w:cs="Times New Roman"/>
          <w:color w:val="000000"/>
          <w:sz w:val="28"/>
          <w:szCs w:val="28"/>
        </w:rPr>
        <w:t>un problēmu risināšanas</w:t>
      </w:r>
      <w:r w:rsidRPr="00864E15">
        <w:rPr>
          <w:rFonts w:ascii="Times New Roman" w:hAnsi="Times New Roman" w:cs="Times New Roman"/>
          <w:sz w:val="28"/>
          <w:szCs w:val="28"/>
        </w:rPr>
        <w:t xml:space="preserve"> pakalpojumiem (tīmekļvietnēs ir pieejamas hipersaites uz palīdzības un problēmu risināšanas pakalpojumiem);</w:t>
      </w:r>
    </w:p>
    <w:p w14:paraId="76164983" w14:textId="77777777" w:rsidR="00311DE7" w:rsidRPr="00311DE7" w:rsidRDefault="00311DE7" w:rsidP="001D6099"/>
    <w:p w14:paraId="500F12C9" w14:textId="374302BC" w:rsidR="00311DE7" w:rsidRPr="00311DE7" w:rsidRDefault="00311DE7" w:rsidP="001D6099">
      <w:pPr>
        <w:rPr>
          <w:rFonts w:eastAsia="Calibri"/>
        </w:rPr>
      </w:pPr>
      <w:r w:rsidRPr="00311DE7">
        <w:t>Lai nodrošinātu Regulas ieviešanu, VARAM izveidojis Starpinstitūciju vadības komiteju</w:t>
      </w:r>
      <w:r w:rsidRPr="00311DE7">
        <w:rPr>
          <w:rStyle w:val="FootnoteReference"/>
        </w:rPr>
        <w:footnoteReference w:id="5"/>
      </w:r>
      <w:r w:rsidRPr="00311DE7">
        <w:t xml:space="preserve"> (turpmāk – Komiteja), kas identificētu un apspriestu aktuālos </w:t>
      </w:r>
      <w:proofErr w:type="spellStart"/>
      <w:r w:rsidRPr="00311DE7">
        <w:t>problēmjautājumus</w:t>
      </w:r>
      <w:proofErr w:type="spellEnd"/>
      <w:r w:rsidRPr="00311DE7">
        <w:t xml:space="preserve"> saistībā ar Regulas prasību ieviešanu.</w:t>
      </w:r>
    </w:p>
    <w:p w14:paraId="46627074" w14:textId="77777777" w:rsidR="00311DE7" w:rsidRPr="00311DE7" w:rsidRDefault="00311DE7" w:rsidP="001D6099">
      <w:pPr>
        <w:pStyle w:val="Heading1"/>
      </w:pPr>
      <w:r w:rsidRPr="00311DE7">
        <w:rPr>
          <w:highlight w:val="lightGray"/>
        </w:rPr>
        <w:br w:type="page"/>
      </w:r>
      <w:bookmarkStart w:id="13" w:name="_Toc353983134"/>
      <w:bookmarkStart w:id="14" w:name="_Toc256000004"/>
      <w:bookmarkStart w:id="15" w:name="_Toc514852600"/>
      <w:bookmarkStart w:id="16" w:name="_Toc69462572"/>
      <w:bookmarkStart w:id="17" w:name="_Toc353983135"/>
      <w:bookmarkEnd w:id="13"/>
      <w:r w:rsidRPr="00311DE7">
        <w:lastRenderedPageBreak/>
        <w:t>I.  Par rīcības virziena “Informācijas pieejamības un kvalitātes nodrošināšana” izpildes gaitu</w:t>
      </w:r>
      <w:bookmarkEnd w:id="14"/>
      <w:bookmarkEnd w:id="15"/>
      <w:bookmarkEnd w:id="16"/>
    </w:p>
    <w:p w14:paraId="4980EF93" w14:textId="77777777" w:rsidR="00311DE7" w:rsidRPr="00311DE7" w:rsidRDefault="00311DE7" w:rsidP="001D6099"/>
    <w:p w14:paraId="7273C7A5" w14:textId="77777777" w:rsidR="00311DE7" w:rsidRPr="00311DE7" w:rsidRDefault="00311DE7" w:rsidP="001D6099">
      <w:r w:rsidRPr="00311DE7">
        <w:t>Rīcības virziena mērķis ir nodrošināt informācijas pieejamību tiešsaistē par pakalpojumiem, procedūrām, palīdzības un problēmu risināšanas pakalpojumiem  un tiesībām atbilstoši Regulas 4., 5., 7., 9., 10., 13., 22. un 25. panta prasībām.</w:t>
      </w:r>
    </w:p>
    <w:p w14:paraId="5EBEFEB3" w14:textId="77777777" w:rsidR="00311DE7" w:rsidRPr="00311DE7" w:rsidRDefault="00311DE7" w:rsidP="001D6099">
      <w:pPr>
        <w:rPr>
          <w:rFonts w:eastAsia="Calibri"/>
        </w:rPr>
      </w:pPr>
      <w:r w:rsidRPr="00311DE7">
        <w:t xml:space="preserve">Saskaņā ar Regulas 4. pantā noteikto, 2020. gadā Latvijai bija jānodrošina Regulas tvērumam atbilstošas informācijas publicēšanu nacionālajās tīmekļvietnēs. Kā nākamais izrietošais uzdevums pārskata periodā bija nodrošināt, lai informācija būtu pieejama Eiropas Komisijas (turpmāk – Komisija) uzturētajā Vārtejā </w:t>
      </w:r>
      <w:bookmarkStart w:id="18" w:name="Hipersaites"/>
      <w:r w:rsidRPr="00311DE7">
        <w:t xml:space="preserve">saskaņā ar Regulas 5. panta prasībām. </w:t>
      </w:r>
    </w:p>
    <w:p w14:paraId="603DF94F" w14:textId="77777777" w:rsidR="00311DE7" w:rsidRPr="00311DE7" w:rsidRDefault="00311DE7" w:rsidP="001D6099">
      <w:r w:rsidRPr="00311DE7">
        <w:t>Rezultātā Komisijai tika iesniegtas aktuālas hipersaites uz nacionālo tīmekļvietņu lapām Regulas tvērumā, nodalot privātpersonām un uzņēmējiem saistošu informāciju.</w:t>
      </w:r>
    </w:p>
    <w:bookmarkEnd w:id="18"/>
    <w:p w14:paraId="44923533" w14:textId="77777777" w:rsidR="00311DE7" w:rsidRPr="00311DE7" w:rsidRDefault="00311DE7" w:rsidP="001D6099">
      <w:r w:rsidRPr="00311DE7">
        <w:t>Vārteja izveidota uz portāla “Tava Eiropa” bāzes, nodrošinot ES līmeņa informācijas vienotu saņemšanu Vārtejā atbilstoši Regulas tvērumam. Vārtejas darbību nodrošina Komisija.</w:t>
      </w:r>
    </w:p>
    <w:p w14:paraId="380FB5C7" w14:textId="77777777" w:rsidR="00311DE7" w:rsidRPr="00311DE7" w:rsidRDefault="00311DE7" w:rsidP="001D6099">
      <w:r w:rsidRPr="00311DE7">
        <w:t xml:space="preserve">Vārtejā publicētā informācija ļauj pārrobežu lietotājiem ātri un ērti piekļūt Latvijas informācijai un procedūrām, kā arī palīdzības un problēmu risināšanas pakalpojumiem. </w:t>
      </w:r>
    </w:p>
    <w:p w14:paraId="4DBD5B60" w14:textId="77777777" w:rsidR="00311DE7" w:rsidRPr="00311DE7" w:rsidRDefault="00311DE7" w:rsidP="001D6099">
      <w:r w:rsidRPr="00311DE7">
        <w:t xml:space="preserve">Regulas 1. pielikums “Saraksts. Informācijas jomas, kas ir būtiskas pilsoņiem un uzņēmumiem, kuri izmanto 2. panta 2. punkta a) apakšpunktā minētās tiesības iekšējā tirgū” (turpmāk – 1. pielikums) nosaka jomas, atbilstoši kurām dalībvalstīm un Komisijai savas kompetences ietvaros jānodrošina informācija. Prasītā informācija </w:t>
      </w:r>
      <w:bookmarkStart w:id="19" w:name="Informācij_1_6"/>
      <w:bookmarkStart w:id="20" w:name="Angļu_1_4"/>
      <w:r w:rsidRPr="00311DE7">
        <w:t xml:space="preserve">nacionālajās tīmekļvietnēs jānodrošina pēc iespējas </w:t>
      </w:r>
      <w:proofErr w:type="spellStart"/>
      <w:r w:rsidRPr="00311DE7">
        <w:t>lietotājorientēti</w:t>
      </w:r>
      <w:proofErr w:type="spellEnd"/>
      <w:r w:rsidRPr="00311DE7">
        <w:t xml:space="preserve"> strukturēta, aktuāla un viegli uztverama pārrobežu lietotājiem. </w:t>
      </w:r>
    </w:p>
    <w:p w14:paraId="746741AC" w14:textId="77777777" w:rsidR="00311DE7" w:rsidRPr="00311DE7" w:rsidRDefault="00311DE7" w:rsidP="001D6099">
      <w:r w:rsidRPr="00311DE7">
        <w:t xml:space="preserve">Tāpat Regula paredz, ka Nacionālajās tīmekļvietnēs iekļautais saturs atbilstoši Regulas 9. </w:t>
      </w:r>
      <w:bookmarkEnd w:id="19"/>
      <w:r w:rsidRPr="00311DE7">
        <w:t xml:space="preserve">pantā noteiktajam prasībām jānodrošina arī kādā no ES mērogā plaši zināmām valodām. Latvijā visbiežāk izmantojamā ES valoda pārrobežu aktivitātēs ir angļu valoda. </w:t>
      </w:r>
      <w:bookmarkEnd w:id="20"/>
    </w:p>
    <w:p w14:paraId="384F4E7C" w14:textId="77777777" w:rsidR="00311DE7" w:rsidRPr="00311DE7" w:rsidRDefault="00311DE7" w:rsidP="001D6099">
      <w:r w:rsidRPr="00311DE7">
        <w:t>Regula nosaka arī informācijas kvalitātes prasības, tai skaitā prasību izvairīties no nevajadzīgas informācijas dublēšanas, norādot vienu informācijas avotu, kur pieejama informācija atbilstoši Regulas tvērumam.</w:t>
      </w:r>
      <w:r w:rsidRPr="00311DE7">
        <w:rPr>
          <w:rStyle w:val="FootnoteReference"/>
        </w:rPr>
        <w:footnoteReference w:id="6"/>
      </w:r>
    </w:p>
    <w:p w14:paraId="5582AD35" w14:textId="77777777" w:rsidR="00311DE7" w:rsidRPr="00311DE7" w:rsidRDefault="00311DE7" w:rsidP="001D6099">
      <w:bookmarkStart w:id="21" w:name="Mašīntulk_1_4"/>
      <w:r w:rsidRPr="00311DE7">
        <w:t xml:space="preserve">Sniedzot informāciju Vārtejā, tika realizēts Komisijas ieteikums izmantot </w:t>
      </w:r>
      <w:proofErr w:type="spellStart"/>
      <w:r w:rsidRPr="00311DE7">
        <w:t>mašīntulkošanas</w:t>
      </w:r>
      <w:proofErr w:type="spellEnd"/>
      <w:r w:rsidRPr="00311DE7">
        <w:t xml:space="preserve"> risinājumus. Latvija.lv satura tulkošana svešvalodās tiek nodrošināta, izmantojot </w:t>
      </w:r>
      <w:proofErr w:type="spellStart"/>
      <w:r w:rsidRPr="00311DE7">
        <w:t>mašīntulkošanas</w:t>
      </w:r>
      <w:proofErr w:type="spellEnd"/>
      <w:r w:rsidRPr="00311DE7">
        <w:t xml:space="preserve"> platformu </w:t>
      </w:r>
      <w:hyperlink r:id="rId23" w:history="1">
        <w:r w:rsidRPr="00311DE7">
          <w:rPr>
            <w:rStyle w:val="Hyperlink"/>
          </w:rPr>
          <w:t>www.hugo.lv</w:t>
        </w:r>
      </w:hyperlink>
      <w:r w:rsidRPr="00311DE7">
        <w:t xml:space="preserve">. Izstrādāto tulkošanas </w:t>
      </w:r>
      <w:proofErr w:type="spellStart"/>
      <w:r w:rsidRPr="00311DE7">
        <w:t>saskarni</w:t>
      </w:r>
      <w:proofErr w:type="spellEnd"/>
      <w:r w:rsidRPr="00311DE7">
        <w:t xml:space="preserve"> iespējams integrēt arī valsts pārvaldes platformās un tīmekļvietnēs, veicinot </w:t>
      </w:r>
      <w:proofErr w:type="spellStart"/>
      <w:r w:rsidRPr="00311DE7">
        <w:t>daudzvalodu</w:t>
      </w:r>
      <w:proofErr w:type="spellEnd"/>
      <w:r w:rsidRPr="00311DE7">
        <w:t xml:space="preserve"> pieeju iestāžu rīcībā esošai informācijai un pakalpojumiem. </w:t>
      </w:r>
      <w:bookmarkEnd w:id="21"/>
    </w:p>
    <w:p w14:paraId="113BB302" w14:textId="77777777" w:rsidR="00311DE7" w:rsidRPr="00311DE7" w:rsidRDefault="00311DE7" w:rsidP="001D6099"/>
    <w:p w14:paraId="3A4F04A8" w14:textId="77777777" w:rsidR="00311DE7" w:rsidRPr="009B2DDA" w:rsidRDefault="00311DE7" w:rsidP="00676DE6">
      <w:pPr>
        <w:ind w:firstLine="0"/>
        <w:rPr>
          <w:b/>
          <w:bCs/>
        </w:rPr>
      </w:pPr>
      <w:r w:rsidRPr="009B2DDA">
        <w:rPr>
          <w:b/>
          <w:bCs/>
        </w:rPr>
        <w:t>Kopsavilkums par uzdevumu izpildi</w:t>
      </w:r>
    </w:p>
    <w:p w14:paraId="04726BF7" w14:textId="77777777" w:rsidR="00311DE7" w:rsidRPr="00311DE7" w:rsidRDefault="00311DE7" w:rsidP="001D6099">
      <w:pPr>
        <w:rPr>
          <w:rFonts w:eastAsia="Calibri"/>
        </w:rPr>
      </w:pPr>
    </w:p>
    <w:p w14:paraId="34A4886C" w14:textId="77777777" w:rsidR="00311DE7" w:rsidRPr="009B2DDA" w:rsidRDefault="00311DE7" w:rsidP="009B2DDA">
      <w:r w:rsidRPr="009B2DDA">
        <w:t>VARAM, izmantojot Komisijas vadlīnijas, izstrādāja “Vadlīnijas Vienotās digitālās vārtejas regulas prasību ieviešanai”  iestādēm Regulas 1. pielikuma interpretēšanai un savu tīmekļvietņu izvērtēšanai.</w:t>
      </w:r>
    </w:p>
    <w:p w14:paraId="271258B9" w14:textId="77777777" w:rsidR="00311DE7" w:rsidRPr="009B2DDA" w:rsidRDefault="00311DE7" w:rsidP="009B2DDA">
      <w:r w:rsidRPr="009B2DDA">
        <w:t>2020. gadā tika veikta apjomīga valsts pārvaldes pakalpojumu, dzīves situāciju un citas Regulai atbilstošas informācijas kartēšana, lai apzinātu esošo situāciju saistībā ar nacionālo informāciju, kas līdz 12.12.2020. jāpublicē Vārtejā.</w:t>
      </w:r>
    </w:p>
    <w:p w14:paraId="05E2819C" w14:textId="77777777" w:rsidR="00311DE7" w:rsidRPr="009B2DDA" w:rsidRDefault="00311DE7" w:rsidP="009B2DDA">
      <w:r w:rsidRPr="009B2DDA">
        <w:t>Saskaņā ar Regulas prasībām Latvija līdz 12.12.2020. tiešsaistē nodrošināja informācijas publicēšana par dzīves situācijām un pakalpojumiem, kā arī palīdzības pakalpojumiem.</w:t>
      </w:r>
    </w:p>
    <w:p w14:paraId="5D92ED53" w14:textId="77777777" w:rsidR="00311DE7" w:rsidRPr="009B2DDA" w:rsidRDefault="00311DE7" w:rsidP="009B2DDA">
      <w:r w:rsidRPr="009B2DDA">
        <w:t>Lai to paveiktu, sadarbībā ar atbildīgajām iestādēm tika identificēts, kāda informācija saskaņā ar Regulas 1. pielikuma tvērumu jau ir pieejama Komisijas tīmekļvietnē “</w:t>
      </w:r>
      <w:proofErr w:type="spellStart"/>
      <w:r w:rsidRPr="009B2DDA">
        <w:t>Your</w:t>
      </w:r>
      <w:proofErr w:type="spellEnd"/>
      <w:r w:rsidRPr="009B2DDA">
        <w:t xml:space="preserve"> </w:t>
      </w:r>
      <w:proofErr w:type="spellStart"/>
      <w:r w:rsidRPr="009B2DDA">
        <w:t>Europe</w:t>
      </w:r>
      <w:proofErr w:type="spellEnd"/>
      <w:r w:rsidRPr="009B2DDA">
        <w:t xml:space="preserve">” un Latvijas tīmekļvietnēs. </w:t>
      </w:r>
    </w:p>
    <w:p w14:paraId="7B8FD948" w14:textId="77777777" w:rsidR="00311DE7" w:rsidRPr="009B2DDA" w:rsidRDefault="00311DE7" w:rsidP="009B2DDA">
      <w:r w:rsidRPr="009B2DDA">
        <w:t>VARAM izveidotās vadlīnijas “Vienotās digitālās vārtejas regulas prasību ieviešanai” iestādēm Regulas 1. pielikuma interpretēšanai un savu tīmekļvietņu izvērtēšanai” sniedza ieguldījumu Regulas informācijas kvalitātes nodrošināšanai. Vadlīniju prasības sagatavoja Komisija, VARAM veicot to tulkošanu un saskaņošanu ar atbildīgajām iestādēm.</w:t>
      </w:r>
    </w:p>
    <w:p w14:paraId="588FA700" w14:textId="77777777" w:rsidR="00311DE7" w:rsidRPr="009B2DDA" w:rsidRDefault="00311DE7" w:rsidP="009B2DDA">
      <w:r w:rsidRPr="009B2DDA">
        <w:t xml:space="preserve">2020. gadā Komisija pabeidza veidot Vārtejas tehnisko ietvaru, tajā skaitā meklētāju. Vārtejā nodrošina nacionālo un ES informāciju par pieejamajām procedūrām, palīdzības un problēmu risināšanas pakalpojumiem un tiesībām katrā dalībvalstī. </w:t>
      </w:r>
    </w:p>
    <w:p w14:paraId="1A0690FB" w14:textId="77777777" w:rsidR="00311DE7" w:rsidRPr="00311DE7" w:rsidRDefault="00311DE7" w:rsidP="001D6099"/>
    <w:p w14:paraId="08F4A8D5" w14:textId="77777777" w:rsidR="00311DE7" w:rsidRPr="00311DE7" w:rsidRDefault="00311DE7" w:rsidP="009B2DDA">
      <w:pPr>
        <w:pStyle w:val="Heading1"/>
        <w:ind w:firstLine="0"/>
      </w:pPr>
      <w:r w:rsidRPr="00311DE7">
        <w:t>Detalizēta informācija par rīcības virzienā noteikto uzdevumu izpildi:</w:t>
      </w:r>
    </w:p>
    <w:p w14:paraId="2CFD96F9" w14:textId="77777777" w:rsidR="00311DE7" w:rsidRPr="00311DE7" w:rsidRDefault="00311DE7" w:rsidP="001D6099">
      <w:pPr>
        <w:rPr>
          <w:rFonts w:eastAsia="Calibri"/>
        </w:rPr>
      </w:pPr>
      <w:r w:rsidRPr="00311DE7">
        <w:t>Uzdevumi 1.1.-1.7. saskaņā ar Informatīvo ziņojumu "Par Vienotās digitālās vārtejas regulas prasību ieviešanu"</w:t>
      </w:r>
      <w:r w:rsidRPr="00311DE7">
        <w:rPr>
          <w:rStyle w:val="FootnoteReference"/>
          <w:i/>
          <w:iCs/>
        </w:rPr>
        <w:footnoteReference w:id="7"/>
      </w:r>
      <w:r w:rsidRPr="00311DE7">
        <w:t xml:space="preserve"> </w:t>
      </w:r>
    </w:p>
    <w:p w14:paraId="17958CA6" w14:textId="77777777" w:rsidR="00311DE7" w:rsidRPr="00311DE7" w:rsidRDefault="00311DE7" w:rsidP="001D6099"/>
    <w:p w14:paraId="5F418D00" w14:textId="77777777" w:rsidR="00311DE7" w:rsidRPr="00A55982" w:rsidRDefault="00311DE7" w:rsidP="001D6099">
      <w:pPr>
        <w:rPr>
          <w:b/>
          <w:bCs/>
        </w:rPr>
      </w:pPr>
      <w:r w:rsidRPr="00A55982">
        <w:rPr>
          <w:b/>
          <w:bCs/>
        </w:rPr>
        <w:t>1.1. Izstrādāt vadlīnijas par Regulas 1. un 3. pielikumā iekļautās informācijas saturu.</w:t>
      </w:r>
    </w:p>
    <w:p w14:paraId="70CB2AE3" w14:textId="77777777" w:rsidR="00311DE7" w:rsidRPr="00311DE7" w:rsidRDefault="00311DE7" w:rsidP="001D6099">
      <w:r w:rsidRPr="00311DE7">
        <w:t xml:space="preserve">VARAM, izmantojot Komisijas metodisko materiālu par Regulas 1. pielikumā norādīto jomu tvērumu, izstrādāja “Vadlīnijas Vienotās </w:t>
      </w:r>
      <w:r w:rsidRPr="00311DE7">
        <w:lastRenderedPageBreak/>
        <w:t>digitālās vārtejas regulas prasību ieviešanai”</w:t>
      </w:r>
      <w:r w:rsidRPr="00311DE7">
        <w:rPr>
          <w:rStyle w:val="FootnoteReference"/>
        </w:rPr>
        <w:footnoteReference w:id="8"/>
      </w:r>
      <w:r w:rsidRPr="00311DE7">
        <w:t xml:space="preserve"> iestādēm Regulas 1. pielikuma interpretēšanai un savu tīmekļvietņu izvērtēšanai. Tika iztulkots Komisijas materiāls, kā arī veikta tā saskaņošana ar atbildīgajām iestādēm un Komiteju.  </w:t>
      </w:r>
    </w:p>
    <w:p w14:paraId="3D394A44" w14:textId="77777777" w:rsidR="00311DE7" w:rsidRPr="00311DE7" w:rsidRDefault="00311DE7" w:rsidP="001D6099">
      <w:pPr>
        <w:rPr>
          <w:iCs/>
        </w:rPr>
      </w:pPr>
      <w:r w:rsidRPr="00311DE7">
        <w:t>Komisijai tika sniegta informācija par jau iepriekš ES portālos publicēto un uzturēto informāciju kontekstā ar Regulas 1. pielikumu. Informācija tika izvietota portālā “</w:t>
      </w:r>
      <w:proofErr w:type="spellStart"/>
      <w:r w:rsidRPr="00311DE7">
        <w:rPr>
          <w:i/>
        </w:rPr>
        <w:t>Your</w:t>
      </w:r>
      <w:proofErr w:type="spellEnd"/>
      <w:r w:rsidRPr="00311DE7">
        <w:rPr>
          <w:i/>
        </w:rPr>
        <w:t xml:space="preserve"> </w:t>
      </w:r>
      <w:proofErr w:type="spellStart"/>
      <w:r w:rsidRPr="00311DE7">
        <w:rPr>
          <w:i/>
        </w:rPr>
        <w:t>Europe</w:t>
      </w:r>
      <w:proofErr w:type="spellEnd"/>
      <w:r w:rsidRPr="00311DE7">
        <w:rPr>
          <w:i/>
        </w:rPr>
        <w:t xml:space="preserve">” </w:t>
      </w:r>
      <w:r w:rsidRPr="00311DE7">
        <w:rPr>
          <w:iCs/>
        </w:rPr>
        <w:t>par tādām procedūrām kā</w:t>
      </w:r>
      <w:r w:rsidRPr="00311DE7">
        <w:rPr>
          <w:i/>
        </w:rPr>
        <w:t xml:space="preserve"> </w:t>
      </w:r>
      <w:r w:rsidRPr="00311DE7">
        <w:rPr>
          <w:iCs/>
        </w:rPr>
        <w:t>uzturēšanās formalitātes; ceļošana savienībā; transportlīdzekļa reģistrēšana un iegāde.</w:t>
      </w:r>
    </w:p>
    <w:p w14:paraId="78043CE8" w14:textId="77777777" w:rsidR="00A55982" w:rsidRDefault="00A55982" w:rsidP="001D6099"/>
    <w:p w14:paraId="6EC502C1" w14:textId="77E3C4DD" w:rsidR="00311DE7" w:rsidRPr="00A55982" w:rsidRDefault="00311DE7" w:rsidP="001D6099">
      <w:pPr>
        <w:rPr>
          <w:b/>
          <w:bCs/>
        </w:rPr>
      </w:pPr>
      <w:r w:rsidRPr="00A55982">
        <w:rPr>
          <w:b/>
          <w:bCs/>
        </w:rPr>
        <w:t>1.2. Apzināt situāciju Latvijā saistībā ar pakalpojumu un informācijas atbilstību Regulas prasībām un 1.6. Nodrošināt informācijas izvietošanu nacionālajās tīmekļvietnēs un Latvija.lv (atbilstoši Regulas 1. pielikumam un kvalitātes prasībām) latviešu un angļu valodā.</w:t>
      </w:r>
    </w:p>
    <w:p w14:paraId="1707A891" w14:textId="77777777" w:rsidR="00311DE7" w:rsidRPr="00311DE7" w:rsidRDefault="00311DE7" w:rsidP="001D6099">
      <w:r w:rsidRPr="00311DE7">
        <w:t>2020. gadā tika veikta apjomīga valsts pārvaldes pakalpojumu, dzīves situāciju un citas Regulai atbilstošas informācijas kartēšana, lai apzinātu esošo situāciju saistībā ar nacionālo informāciju, kas līdz 12.12.2020. jāpublicē Vārtejā.</w:t>
      </w:r>
    </w:p>
    <w:p w14:paraId="1BDA7F4C" w14:textId="77777777" w:rsidR="00311DE7" w:rsidRPr="00311DE7" w:rsidRDefault="00311DE7" w:rsidP="001D6099">
      <w:r w:rsidRPr="00311DE7">
        <w:t>Sadarbībā ar iestādēm tika identificēta informācija un pakalpojumi, kas jānodrošina nacionālajās tīmekļvietnēs, lai izpildītu Regulas prasības. Saskaņā ar Regulas 6. un 13.panta prasībām Latvija līdz 12.12.2020. tiešsaistē nodrošināja informācijas publicēšana par dzīves situācijām un pakalpojumiem, kā arī palīdzības pakalpojumiem.</w:t>
      </w:r>
    </w:p>
    <w:p w14:paraId="28523810" w14:textId="77777777" w:rsidR="00311DE7" w:rsidRPr="00311DE7" w:rsidRDefault="00311DE7" w:rsidP="001D6099">
      <w:r w:rsidRPr="00311DE7">
        <w:t>Iestādes tika aicinātas centralizēt informāciju Latvija.lv,  atvieglojot Vārtejas uzturēšanu un informācijas aktualizēšanu nākotnē. Rezultātā tika papildinātas Latvija.lv izvietotās dzīves situācijas. Iestādes apzināja dzīves situācijas vai informāciju, kura bija jārada no jauna Regulas vajadzībām.</w:t>
      </w:r>
    </w:p>
    <w:p w14:paraId="753D9327" w14:textId="77777777" w:rsidR="00311DE7" w:rsidRPr="00311DE7" w:rsidRDefault="00311DE7" w:rsidP="001D6099">
      <w:r w:rsidRPr="00311DE7">
        <w:t>Saskaņā ar MK 2020. gada 19. maija rīkojumu Nr. 34 “Par Vienotās digitālās vārtejas regulas prasību ieviešanu" (Prot. Nr. 22.§) 7. punktu, VARAM 22.07.2020. nosūtīja informatīvu vēstuli pašvaldībām par Regulas būtību un ieviešanas prasībām, informējot, ka pašvaldībām jāveic pakalpojumu, dzīves situāciju un citas Regulai atbilstošas informācijas kartēšana un jānodod tā Vārtejā līdz 12.12.2022.</w:t>
      </w:r>
    </w:p>
    <w:p w14:paraId="6C3F18B4" w14:textId="77777777" w:rsidR="00311DE7" w:rsidRPr="00311DE7" w:rsidRDefault="00311DE7" w:rsidP="001D6099">
      <w:r w:rsidRPr="00311DE7">
        <w:br w:type="page"/>
      </w:r>
    </w:p>
    <w:p w14:paraId="4BA39D70" w14:textId="77777777" w:rsidR="00311DE7" w:rsidRPr="00A55982" w:rsidRDefault="00311DE7" w:rsidP="001D6099">
      <w:pPr>
        <w:rPr>
          <w:rFonts w:eastAsia="Calibri"/>
          <w:b/>
          <w:bCs/>
        </w:rPr>
      </w:pPr>
      <w:r w:rsidRPr="00A55982">
        <w:rPr>
          <w:b/>
          <w:bCs/>
        </w:rPr>
        <w:lastRenderedPageBreak/>
        <w:t xml:space="preserve">1.3 Sastādīt publicēšanas un kvalitātes pārvaldības procedūras, balstoties uz kurām iestādes sagatavos un publicēs informāciju Latvija.lv un savās tīmekļvietnēs un 1.7. Nodrošināt, ka nacionālajās tīmekļvietnēs publicētā informācija atbilst Regulas un nacionālajām kvalitātes prasībām, kas noteiktas ar MK noteikumiem. </w:t>
      </w:r>
    </w:p>
    <w:p w14:paraId="5EDBA8D4" w14:textId="77777777" w:rsidR="00311DE7" w:rsidRPr="00311DE7" w:rsidRDefault="00311DE7" w:rsidP="001D6099">
      <w:r w:rsidRPr="00311DE7">
        <w:t xml:space="preserve">Iestādēm pieejamas “Vadlīnijas Vienotās digitālās vārtejas regulas prasību ieviešanai”, kuras kalpo kā kvalitātes prasību apkopojums, lai sagatavotu un nodotu informāciju Vārtejā. </w:t>
      </w:r>
    </w:p>
    <w:p w14:paraId="2BE8B05F" w14:textId="77777777" w:rsidR="00311DE7" w:rsidRPr="00311DE7" w:rsidRDefault="00311DE7" w:rsidP="001D6099">
      <w:r w:rsidRPr="00311DE7">
        <w:t>Vairākas no Regulā noteiktajām prasībām informācijas kvalitātei noteiktas Ministru kabineta 2017. gada 4. jūlija noteikumos Nr. 399 "Valsts pārvaldes pakalpojumu uzskaites, kvalitātes kontroles un sniegšanas kārtība" un Ministru kabineta  2017. gada 4. jūlija noteikumos Nr. 400 "Valsts pārvaldes pakalpojumu portāla noteikumi". Nākamajā pārskata periodā tiks izvērtētas iespējas šos noteikumus papildināt atbilstoši Regulas prasībām.</w:t>
      </w:r>
    </w:p>
    <w:p w14:paraId="18C300CF" w14:textId="77777777" w:rsidR="00311DE7" w:rsidRPr="00311DE7" w:rsidRDefault="00311DE7" w:rsidP="001D6099">
      <w:r w:rsidRPr="00311DE7">
        <w:t>Tā kā</w:t>
      </w:r>
      <w:r w:rsidRPr="00311DE7">
        <w:rPr>
          <w:b/>
          <w:bCs/>
        </w:rPr>
        <w:t xml:space="preserve"> </w:t>
      </w:r>
      <w:r w:rsidRPr="00311DE7">
        <w:t>2020. gads tika veltīts, lai nodrošinātu informācijas apkopošanu, tulkošanu un iesniegšanu Vārtejā, kas bija jāpaveic līdz 12.12.2020, līdz ar ko uzdevums – izstrādāt informācijas publicēšanas un kvalitātes kontroles kārtību, tika paveikts daļēji.</w:t>
      </w:r>
    </w:p>
    <w:p w14:paraId="0C02C5F1" w14:textId="77777777" w:rsidR="00311DE7" w:rsidRPr="00311DE7" w:rsidRDefault="00311DE7" w:rsidP="001D6099">
      <w:r w:rsidRPr="00311DE7">
        <w:t xml:space="preserve">2021. gadā turpinās darbs pie kvalitātes prasību apkopojuma, lai sagatavotu un nodotu informāciju Vārtejā. </w:t>
      </w:r>
    </w:p>
    <w:p w14:paraId="61705FA1" w14:textId="77777777" w:rsidR="00311DE7" w:rsidRPr="00311DE7" w:rsidRDefault="00311DE7" w:rsidP="001D6099">
      <w:pPr>
        <w:rPr>
          <w:rFonts w:eastAsia="Calibri"/>
          <w:highlight w:val="yellow"/>
        </w:rPr>
      </w:pPr>
      <w:r w:rsidRPr="00311DE7">
        <w:t xml:space="preserve">Nākamajā gadā jāturpina darbs pie kārtības, saskaņā ar kuru iestādes sagatavo un publicē informāciju Latvija.lv, kā arī jāizstrādā kvalitātes pārvaldības procedūras, ar kuru palīdzību tiktu nodrošināta satura kvalitāte, atbilstoši Komisijas noteiktajām prasībām. </w:t>
      </w:r>
    </w:p>
    <w:p w14:paraId="4CDC72DE" w14:textId="77777777" w:rsidR="00311DE7" w:rsidRPr="00311DE7" w:rsidRDefault="00311DE7" w:rsidP="001D6099"/>
    <w:p w14:paraId="402F9740" w14:textId="77777777" w:rsidR="00311DE7" w:rsidRPr="00A55982" w:rsidRDefault="00311DE7" w:rsidP="001D6099">
      <w:pPr>
        <w:rPr>
          <w:b/>
          <w:bCs/>
        </w:rPr>
      </w:pPr>
      <w:r w:rsidRPr="00A55982">
        <w:rPr>
          <w:b/>
          <w:bCs/>
        </w:rPr>
        <w:t>1.4. Nodrošināt iestāžu tīmekļvietņu satura tulkošanas koordinēšanu.</w:t>
      </w:r>
    </w:p>
    <w:p w14:paraId="7CCA3B9A" w14:textId="77777777" w:rsidR="00311DE7" w:rsidRPr="00311DE7" w:rsidRDefault="00311DE7" w:rsidP="001D6099">
      <w:r w:rsidRPr="00311DE7">
        <w:t>Uzdevums sevī ietver tulkošanas pieprasījumu iesniegšanu Komisijai un tulkojumu nodošanu iestādēm, lai Regulas tvērumā esošo informāciju varētu nodrošināt arī angļu valodā. VARAM koordinēja tulkojuma pieprasījumu nodošanu Komisijai un iestāžu piekļuves tiesību izveidi Komisijas tulkošanas pakalpojumam.</w:t>
      </w:r>
    </w:p>
    <w:p w14:paraId="755D7C7A" w14:textId="77777777" w:rsidR="00311DE7" w:rsidRPr="00311DE7" w:rsidRDefault="00311DE7" w:rsidP="001D6099">
      <w:r w:rsidRPr="00311DE7">
        <w:t xml:space="preserve">Jāatzīmē, ka informācijas tulkošanu nodrošināja arī iestādes pašas, kā arī iestādes tika aicinātas lietot Kultūras informācijas sistēmu centra risinājumu </w:t>
      </w:r>
      <w:hyperlink r:id="rId24" w:history="1">
        <w:r w:rsidRPr="00311DE7">
          <w:rPr>
            <w:rStyle w:val="Hyperlink"/>
          </w:rPr>
          <w:t>www.hugo.lv</w:t>
        </w:r>
      </w:hyperlink>
      <w:r w:rsidRPr="00311DE7">
        <w:t xml:space="preserve">. </w:t>
      </w:r>
    </w:p>
    <w:p w14:paraId="1E7D4624" w14:textId="77777777" w:rsidR="00311DE7" w:rsidRPr="00311DE7" w:rsidRDefault="00311DE7" w:rsidP="001D6099">
      <w:r w:rsidRPr="00311DE7">
        <w:t xml:space="preserve">Pastāvīgi veicams uzdevums, kas tiks turpināts arī nākamajos gados, ieviešot Regulu. </w:t>
      </w:r>
    </w:p>
    <w:p w14:paraId="46F88342" w14:textId="77777777" w:rsidR="00311DE7" w:rsidRPr="00311DE7" w:rsidRDefault="00311DE7" w:rsidP="001D6099"/>
    <w:p w14:paraId="46D04CF3" w14:textId="77777777" w:rsidR="00311DE7" w:rsidRPr="00A55982" w:rsidRDefault="00311DE7" w:rsidP="001D6099">
      <w:pPr>
        <w:rPr>
          <w:rFonts w:eastAsia="Calibri"/>
          <w:b/>
          <w:bCs/>
        </w:rPr>
      </w:pPr>
      <w:r w:rsidRPr="00A55982">
        <w:rPr>
          <w:b/>
          <w:bCs/>
        </w:rPr>
        <w:t xml:space="preserve">1.5. Sniegt Komisijas saišu repozitorijā saites uz nacionālajām tīmekļvietnēm atbilstoši Regulas 1. pielikumam. </w:t>
      </w:r>
    </w:p>
    <w:p w14:paraId="4024D52D" w14:textId="77777777" w:rsidR="00311DE7" w:rsidRPr="00311DE7" w:rsidRDefault="00311DE7" w:rsidP="001D6099">
      <w:r w:rsidRPr="00311DE7">
        <w:t xml:space="preserve">Komisijas saišu repozitorijā iesniegti saišu apkopojumi gan par iedzīvotāju, gan uzņēmēju dzīves situācijām un informāciju, atbilstoši </w:t>
      </w:r>
      <w:r w:rsidRPr="00311DE7">
        <w:lastRenderedPageBreak/>
        <w:t xml:space="preserve">Regulas 1. pielikumam, latviešu un angļu valodā. Komisijai iesniegtas apmēram 1000 hipersaišu vienības. </w:t>
      </w:r>
    </w:p>
    <w:p w14:paraId="60130373" w14:textId="77777777" w:rsidR="00311DE7" w:rsidRPr="00311DE7" w:rsidRDefault="00311DE7" w:rsidP="001D6099">
      <w:r w:rsidRPr="00311DE7">
        <w:t>Minētā darbība nodrošina pilnvērtīgu iespēju ES pilsoņiem piekļūt informācijai par pakalpojumiem, administratīvajām procedūrām, kā arī palīdzības un problēmu risināšanas pakalpojumiem Latvijā.</w:t>
      </w:r>
    </w:p>
    <w:p w14:paraId="54784664" w14:textId="77777777" w:rsidR="00311DE7" w:rsidRPr="00311DE7" w:rsidRDefault="00311DE7" w:rsidP="001D6099">
      <w:r w:rsidRPr="00311DE7">
        <w:t>No 2021. gada Komisija uzraudzīs informācijas kvalitāti Vārtejā, novēršot informācijas dublēšanos, lai samazinātu iespēju, ka lietotājam tiek sniegta pretrunīga informācija.</w:t>
      </w:r>
    </w:p>
    <w:p w14:paraId="25314E96" w14:textId="77777777" w:rsidR="00311DE7" w:rsidRPr="00311DE7" w:rsidRDefault="00311DE7" w:rsidP="001D6099">
      <w:r w:rsidRPr="00311DE7">
        <w:t>Jāņem vērā, ka Komisija var Vārteju papildināt ar ES aktuālo informāciju, kas var būt saistīts ar izmaiņām normatīvajā regulējumā, citu regulu un direktīvu prasībām, utt., līdz ar ko VARAM un iestādēm jāseko līdzi prasībām par to, kāda informācija ir sniedzama Vārtejā.</w:t>
      </w:r>
    </w:p>
    <w:p w14:paraId="0C2F332C" w14:textId="77777777" w:rsidR="00311DE7" w:rsidRPr="00311DE7" w:rsidRDefault="00311DE7" w:rsidP="001D6099">
      <w:pPr>
        <w:pStyle w:val="Heading1"/>
      </w:pPr>
      <w:bookmarkStart w:id="22" w:name="_Toc256000005"/>
      <w:bookmarkStart w:id="23" w:name="_Toc483495745"/>
      <w:bookmarkStart w:id="24" w:name="_Toc514852601"/>
      <w:bookmarkStart w:id="25" w:name="_Toc69462573"/>
      <w:r w:rsidRPr="00311DE7">
        <w:t>II.  Par rīcības virziena “Procedūru pārrobežu pieejamības nodrošināšana” izpildes gaitu</w:t>
      </w:r>
      <w:bookmarkEnd w:id="22"/>
      <w:bookmarkEnd w:id="23"/>
      <w:bookmarkEnd w:id="24"/>
      <w:bookmarkEnd w:id="25"/>
    </w:p>
    <w:p w14:paraId="09CAD8AF" w14:textId="77777777" w:rsidR="00311DE7" w:rsidRPr="00311DE7" w:rsidRDefault="00311DE7" w:rsidP="001D6099"/>
    <w:p w14:paraId="45E75FCE" w14:textId="77777777" w:rsidR="00311DE7" w:rsidRPr="00311DE7" w:rsidRDefault="00311DE7" w:rsidP="001D6099">
      <w:r w:rsidRPr="00311DE7">
        <w:t xml:space="preserve">Rīcības virziena mērķis ir nodrošināt Vārtejas lietotājiem Regulas 2. pielikumā “Regulas 6. panta 1. punktā minētās procedūras” (turpmāk – 2. pielikums) noteikto procedūru un tās tvērumā esošo pakalpojumu pieejamību pārrobežu lietotājiem saskaņā ar Regulas 6., 10., 13., 14., 18., 19. un 32. panta prasībām. Piemēram, nodrošināt obligāti </w:t>
      </w:r>
      <w:proofErr w:type="spellStart"/>
      <w:r w:rsidRPr="00311DE7">
        <w:t>digitalizējamo</w:t>
      </w:r>
      <w:proofErr w:type="spellEnd"/>
      <w:r w:rsidRPr="00311DE7">
        <w:t xml:space="preserve"> procedūru pieejamību tiešsaistē pārrobežu lietotājiem, kā arī nodrošināt pārrobežu lietotājiem pieeju tiem pakalpojumiem, kas vietējiem iedzīvotājiem ir pieejami tiešsaistē un kuriem ir pārrobežu raksturs (saistoši pārrobežu lietotajiem).</w:t>
      </w:r>
    </w:p>
    <w:p w14:paraId="58533E72" w14:textId="77777777" w:rsidR="00311DE7" w:rsidRPr="00311DE7" w:rsidRDefault="00311DE7" w:rsidP="001D6099">
      <w:r w:rsidRPr="00311DE7">
        <w:t xml:space="preserve"> </w:t>
      </w:r>
    </w:p>
    <w:p w14:paraId="0C8F88BD" w14:textId="77777777" w:rsidR="00311DE7" w:rsidRPr="00311DE7" w:rsidRDefault="00311DE7" w:rsidP="001D6099">
      <w:r w:rsidRPr="00311DE7">
        <w:t xml:space="preserve">Saskaņā ar Regulas 6. un 13.panta prasībām visām dalībvalstīm līdz 12.12.2023. tiešsaistē jānodrošina noteiktu pakalpojumu elektroniska pieejamība pārrobežu lietotājiem (citu ES valstu pilsoņiem): </w:t>
      </w:r>
    </w:p>
    <w:p w14:paraId="797D6EA8" w14:textId="77777777" w:rsidR="00311DE7" w:rsidRPr="001D6099" w:rsidRDefault="00311DE7" w:rsidP="001D6099">
      <w:pPr>
        <w:pStyle w:val="ListParagraph"/>
        <w:numPr>
          <w:ilvl w:val="0"/>
          <w:numId w:val="16"/>
        </w:numPr>
        <w:rPr>
          <w:rFonts w:ascii="Times New Roman" w:hAnsi="Times New Roman" w:cs="Times New Roman"/>
          <w:sz w:val="28"/>
          <w:szCs w:val="28"/>
        </w:rPr>
      </w:pPr>
      <w:r w:rsidRPr="001D6099">
        <w:rPr>
          <w:rFonts w:ascii="Times New Roman" w:hAnsi="Times New Roman" w:cs="Times New Roman"/>
          <w:sz w:val="28"/>
          <w:szCs w:val="28"/>
        </w:rPr>
        <w:t xml:space="preserve">Procedūras (pakalpojumi), kas norādīti Regulas 2. pielikumā (obligāti </w:t>
      </w:r>
      <w:proofErr w:type="spellStart"/>
      <w:r w:rsidRPr="001D6099">
        <w:rPr>
          <w:rFonts w:ascii="Times New Roman" w:hAnsi="Times New Roman" w:cs="Times New Roman"/>
          <w:sz w:val="28"/>
          <w:szCs w:val="28"/>
        </w:rPr>
        <w:t>digitalizējamās</w:t>
      </w:r>
      <w:proofErr w:type="spellEnd"/>
      <w:r w:rsidRPr="001D6099">
        <w:rPr>
          <w:rFonts w:ascii="Times New Roman" w:hAnsi="Times New Roman" w:cs="Times New Roman"/>
          <w:sz w:val="28"/>
          <w:szCs w:val="28"/>
        </w:rPr>
        <w:t xml:space="preserve"> procedūras. Ja nav elektroniski – ir pienākums tās </w:t>
      </w:r>
      <w:proofErr w:type="spellStart"/>
      <w:r w:rsidRPr="001D6099">
        <w:rPr>
          <w:rFonts w:ascii="Times New Roman" w:hAnsi="Times New Roman" w:cs="Times New Roman"/>
          <w:sz w:val="28"/>
          <w:szCs w:val="28"/>
        </w:rPr>
        <w:t>digitalizēt</w:t>
      </w:r>
      <w:proofErr w:type="spellEnd"/>
      <w:r w:rsidRPr="001D6099">
        <w:rPr>
          <w:rFonts w:ascii="Times New Roman" w:hAnsi="Times New Roman" w:cs="Times New Roman"/>
          <w:sz w:val="28"/>
          <w:szCs w:val="28"/>
        </w:rPr>
        <w:t xml:space="preserve">), </w:t>
      </w:r>
    </w:p>
    <w:p w14:paraId="5C0B257B" w14:textId="77777777" w:rsidR="00311DE7" w:rsidRPr="001D6099" w:rsidRDefault="00311DE7" w:rsidP="001D6099">
      <w:pPr>
        <w:pStyle w:val="ListParagraph"/>
        <w:numPr>
          <w:ilvl w:val="0"/>
          <w:numId w:val="16"/>
        </w:numPr>
        <w:rPr>
          <w:rFonts w:ascii="Times New Roman" w:hAnsi="Times New Roman" w:cs="Times New Roman"/>
          <w:sz w:val="28"/>
          <w:szCs w:val="28"/>
        </w:rPr>
      </w:pPr>
      <w:r w:rsidRPr="001D6099">
        <w:rPr>
          <w:rFonts w:ascii="Times New Roman" w:hAnsi="Times New Roman" w:cs="Times New Roman"/>
          <w:sz w:val="28"/>
          <w:szCs w:val="28"/>
        </w:rPr>
        <w:t xml:space="preserve">Procedūras (pakalpojumi), kas norādīti Regulas 1. pielikumā, kas pašlaik tiešsaistē pieejamas nacionālajiem lietotajiem (ja nav elektroniski – nav pienākums </w:t>
      </w:r>
      <w:proofErr w:type="spellStart"/>
      <w:r w:rsidRPr="001D6099">
        <w:rPr>
          <w:rFonts w:ascii="Times New Roman" w:hAnsi="Times New Roman" w:cs="Times New Roman"/>
          <w:sz w:val="28"/>
          <w:szCs w:val="28"/>
        </w:rPr>
        <w:t>digitalizēt</w:t>
      </w:r>
      <w:proofErr w:type="spellEnd"/>
      <w:r w:rsidRPr="001D6099">
        <w:rPr>
          <w:rFonts w:ascii="Times New Roman" w:hAnsi="Times New Roman" w:cs="Times New Roman"/>
          <w:sz w:val="28"/>
          <w:szCs w:val="28"/>
        </w:rPr>
        <w:t xml:space="preserve">). </w:t>
      </w:r>
    </w:p>
    <w:p w14:paraId="359DCB93" w14:textId="77777777" w:rsidR="00311DE7" w:rsidRPr="00311DE7" w:rsidRDefault="00311DE7" w:rsidP="001D6099"/>
    <w:p w14:paraId="01979BC0" w14:textId="77777777" w:rsidR="00311DE7" w:rsidRPr="00311DE7" w:rsidRDefault="00311DE7" w:rsidP="009C3EEA">
      <w:pPr>
        <w:ind w:firstLine="0"/>
      </w:pPr>
      <w:r w:rsidRPr="00311DE7">
        <w:t>Kopsavilkums par uzdevumu izpildi</w:t>
      </w:r>
    </w:p>
    <w:p w14:paraId="303EC3F5" w14:textId="77777777" w:rsidR="00311DE7" w:rsidRPr="00311DE7" w:rsidRDefault="00311DE7" w:rsidP="001D6099">
      <w:pPr>
        <w:rPr>
          <w:rFonts w:eastAsia="Calibri"/>
          <w:bCs/>
          <w:color w:val="000000" w:themeColor="text1"/>
        </w:rPr>
      </w:pPr>
      <w:r w:rsidRPr="00311DE7">
        <w:t xml:space="preserve">2020. gadā tika veikta valsts pārvaldes pakalpojumu kartēšana, lai identificētu pakalpojumus, kas saskaņā ar Regulas prasībām </w:t>
      </w:r>
      <w:proofErr w:type="spellStart"/>
      <w:r w:rsidRPr="00311DE7">
        <w:t>jādigitalizē</w:t>
      </w:r>
      <w:proofErr w:type="spellEnd"/>
      <w:r w:rsidRPr="00311DE7">
        <w:t xml:space="preserve"> un jāatver pārrobežu lietotājiem (Regulas 2. pielikums) un identificētu pakalpojumus, kuriem jānodrošina pārrobežu pieejamība (Regulas 1. pielikuma procedūras, ja pakalpojums pieejams tiešsaistē). Rezultātā t</w:t>
      </w:r>
      <w:r w:rsidRPr="00311DE7">
        <w:rPr>
          <w:bCs/>
          <w:color w:val="000000" w:themeColor="text1"/>
        </w:rPr>
        <w:t xml:space="preserve">ika identificēts </w:t>
      </w:r>
      <w:proofErr w:type="spellStart"/>
      <w:r w:rsidRPr="00311DE7">
        <w:rPr>
          <w:bCs/>
          <w:color w:val="000000" w:themeColor="text1"/>
        </w:rPr>
        <w:t>digitalizējamo</w:t>
      </w:r>
      <w:proofErr w:type="spellEnd"/>
      <w:r w:rsidRPr="00311DE7">
        <w:rPr>
          <w:bCs/>
          <w:color w:val="000000" w:themeColor="text1"/>
        </w:rPr>
        <w:t xml:space="preserve"> pakalpojumu apjoms.</w:t>
      </w:r>
    </w:p>
    <w:p w14:paraId="72F0521D" w14:textId="77777777" w:rsidR="00311DE7" w:rsidRPr="00311DE7" w:rsidRDefault="00311DE7" w:rsidP="001D6099">
      <w:r w:rsidRPr="00311DE7">
        <w:lastRenderedPageBreak/>
        <w:t xml:space="preserve">Vārtejā no tiem plānots iekļaut apmēram 40  pakalpojumus, kā secināts no kartējuma, kas izriet no 2. pielikuma. Pakalpojumu piemēri – “Dzīves vietas deklarācijas iesniegšana”, “Informācija par sociālās apdrošināšanas iemaksām un apdrošināšanas periodiem, “Reģistrācija Uzņēmumu reģistra vestajos reģistros, Transportlīdzekļu reģistrācija”, “Eiropas veselības apdrošināšanas kartes (EVAK) pieteikšana”. </w:t>
      </w:r>
    </w:p>
    <w:p w14:paraId="088B0C26" w14:textId="77777777" w:rsidR="00311DE7" w:rsidRPr="00311DE7" w:rsidRDefault="00311DE7" w:rsidP="001D6099">
      <w:r w:rsidRPr="00311DE7">
        <w:t>Lai ieviestu Regulas prasības, īpaši tajā minēto vienreizes principa nodrošināšanu pakalpojumu pieprasīšanā, ilgtermiņā nepieciešami apjomīgi IKT risinājumu pilnveidojumi iestādēs. Pakalpojumu pārrobežu pieejamība Regulas tvērumā jānodrošina no 2023. gada.</w:t>
      </w:r>
    </w:p>
    <w:p w14:paraId="595DD55C" w14:textId="77777777" w:rsidR="00311DE7" w:rsidRPr="00311DE7" w:rsidRDefault="00311DE7" w:rsidP="001D6099"/>
    <w:p w14:paraId="4692511A" w14:textId="77777777" w:rsidR="00311DE7" w:rsidRPr="00311DE7" w:rsidRDefault="00311DE7" w:rsidP="009C3EEA">
      <w:pPr>
        <w:pStyle w:val="Heading1"/>
        <w:ind w:firstLine="0"/>
      </w:pPr>
      <w:r w:rsidRPr="00311DE7">
        <w:t>Detalizēta informācija par rīcības virzienā noteikto uzdevumu izpildi:</w:t>
      </w:r>
    </w:p>
    <w:p w14:paraId="763E386B" w14:textId="77777777" w:rsidR="00311DE7" w:rsidRPr="00311DE7" w:rsidRDefault="00311DE7" w:rsidP="001D6099">
      <w:pPr>
        <w:rPr>
          <w:rFonts w:eastAsia="Calibri"/>
        </w:rPr>
      </w:pPr>
      <w:r w:rsidRPr="00311DE7">
        <w:t>Uzdevumi 2.1.-2.14. saskaņā ar Informatīvo ziņojumu "Par Vienotās digitālās vārtejas regulas prasību ieviešanu"</w:t>
      </w:r>
      <w:r w:rsidRPr="00311DE7">
        <w:rPr>
          <w:rStyle w:val="FootnoteReference"/>
          <w:i/>
          <w:iCs/>
        </w:rPr>
        <w:footnoteReference w:id="9"/>
      </w:r>
      <w:r w:rsidRPr="00311DE7">
        <w:t xml:space="preserve"> </w:t>
      </w:r>
    </w:p>
    <w:p w14:paraId="4C07693D" w14:textId="77777777" w:rsidR="00311DE7" w:rsidRPr="00311DE7" w:rsidRDefault="00311DE7" w:rsidP="001D6099"/>
    <w:p w14:paraId="535D397A" w14:textId="77777777" w:rsidR="00311DE7" w:rsidRPr="009C3EEA" w:rsidRDefault="00311DE7" w:rsidP="001D6099">
      <w:pPr>
        <w:rPr>
          <w:b/>
          <w:bCs/>
        </w:rPr>
      </w:pPr>
      <w:r w:rsidRPr="009C3EEA">
        <w:rPr>
          <w:b/>
          <w:bCs/>
        </w:rPr>
        <w:t>2.1. Izstrādāt vadlīnijas, kā novērtēt esošo e-pakalpojumu atbilstību Regulas prasībām.</w:t>
      </w:r>
    </w:p>
    <w:p w14:paraId="3A72E1E0" w14:textId="77777777" w:rsidR="00311DE7" w:rsidRPr="00311DE7" w:rsidRDefault="00311DE7" w:rsidP="001D6099">
      <w:r w:rsidRPr="00311DE7">
        <w:t xml:space="preserve">Lai gan Regula nosaka pakalpojumu kvalitātes prasības, 2020. gadā Komisijas vadlīnijas e-pakalpojumu novērtēšanai par atbilstību Regulas prasībām atradās izstrādes procesā. </w:t>
      </w:r>
      <w:r w:rsidRPr="00311DE7">
        <w:rPr>
          <w:color w:val="000000" w:themeColor="text1"/>
        </w:rPr>
        <w:t>2020. gadā metodiskais materiāls un pārbaudes saraksts, ar kura palīdzību dalībvalstis izvērtētu savu pakalpojumu un procedūru pieejamību pārrobežu lietotājiem, netika publicētas.</w:t>
      </w:r>
      <w:r w:rsidRPr="00311DE7">
        <w:t xml:space="preserve"> Komisija sagatavoja vadlīnijas 2021. gada 1. ceturksnī. Darbs tiks turpināts 2021. gadā, tulkojot materiālu un saskaņojot to ar iestādēm. </w:t>
      </w:r>
    </w:p>
    <w:p w14:paraId="64501F12" w14:textId="77777777" w:rsidR="00311DE7" w:rsidRPr="00311DE7" w:rsidRDefault="00311DE7" w:rsidP="001D6099"/>
    <w:p w14:paraId="70C4E76D" w14:textId="77777777" w:rsidR="00311DE7" w:rsidRPr="009C3EEA" w:rsidRDefault="00311DE7" w:rsidP="001D6099">
      <w:pPr>
        <w:rPr>
          <w:rFonts w:eastAsia="Calibri"/>
          <w:b/>
          <w:bCs/>
        </w:rPr>
      </w:pPr>
      <w:r w:rsidRPr="009C3EEA">
        <w:rPr>
          <w:b/>
          <w:bCs/>
        </w:rPr>
        <w:t>2.2.  Nodrošināt Regulas 2. pielikumā noteikto procedūru pieejamību pārrobežu lietotājiem tiešsaistē līdz 12.12.2023. un 2.3. Nodrošināt tiešsaistē Regulas 1. pielikumā minēto pakalpojumu pieejamību pārrobežu lietotājiem.</w:t>
      </w:r>
    </w:p>
    <w:p w14:paraId="4CEF4465" w14:textId="77777777" w:rsidR="00311DE7" w:rsidRPr="00311DE7" w:rsidRDefault="00311DE7" w:rsidP="001D6099">
      <w:r w:rsidRPr="00311DE7">
        <w:t xml:space="preserve">Uzdevuma būtība ir nodrošināt pakalpojumu pieejamību pārrobežu lietotājiem, tādēļ tas ietver sevī vairākus soļus, kas secīgi jāizpilda. </w:t>
      </w:r>
    </w:p>
    <w:p w14:paraId="121FC404" w14:textId="77777777" w:rsidR="00311DE7" w:rsidRPr="00311DE7" w:rsidRDefault="00311DE7" w:rsidP="001D6099">
      <w:r w:rsidRPr="00311DE7">
        <w:t>2020.gada jūnijā VARAM lūdza iestādes veikt pakalpojumu kartējumu saskaņā ar Regulas 6. un 13.panta prasībām, lai identificētu pakalpojumus, saskaņā ar Regulas 1. un 2. pielikumu.</w:t>
      </w:r>
    </w:p>
    <w:p w14:paraId="67AF8174" w14:textId="77777777" w:rsidR="00311DE7" w:rsidRPr="00311DE7" w:rsidRDefault="00311DE7" w:rsidP="001D6099">
      <w:pPr>
        <w:rPr>
          <w:rFonts w:eastAsia="Calibri"/>
          <w:color w:val="000000" w:themeColor="text1"/>
        </w:rPr>
      </w:pPr>
      <w:r w:rsidRPr="00311DE7">
        <w:t xml:space="preserve">Lai gan nodrošinot pakalpojumu pārrobežu pieejamību, Komisija sadarbībā ar dalībvalstīm līdz 2023. gadam izveido un uztur Vārtejas nodrošināšanai nepieciešamos tehniskos risinājumus – meklētāju, lietotāju atsauksmju vākšanas un analīzes rīku, pieteikumu formu </w:t>
      </w:r>
      <w:proofErr w:type="spellStart"/>
      <w:r w:rsidRPr="00311DE7">
        <w:t>digitalizēšanas</w:t>
      </w:r>
      <w:proofErr w:type="spellEnd"/>
      <w:r w:rsidRPr="00311DE7">
        <w:t xml:space="preserve"> </w:t>
      </w:r>
      <w:r w:rsidRPr="00311DE7">
        <w:lastRenderedPageBreak/>
        <w:t>rīku un vienreizes principa tehnisko rīku</w:t>
      </w:r>
      <w:r w:rsidRPr="00311DE7">
        <w:rPr>
          <w:rStyle w:val="FootnoteReference"/>
        </w:rPr>
        <w:footnoteReference w:id="10"/>
      </w:r>
      <w:r w:rsidRPr="00311DE7">
        <w:t xml:space="preserve">, </w:t>
      </w:r>
      <w:r w:rsidRPr="00311DE7">
        <w:rPr>
          <w:color w:val="000000" w:themeColor="text1"/>
        </w:rPr>
        <w:t xml:space="preserve">Regulas prasību nodrošināšana, īpaši saistībā ar vienreizes principa ieviešanu, prasa apjomīgus iestāžu  IKT sistēmu pilnveidojumus. </w:t>
      </w:r>
    </w:p>
    <w:p w14:paraId="53061B3A" w14:textId="77777777" w:rsidR="00311DE7" w:rsidRPr="00311DE7" w:rsidRDefault="00311DE7" w:rsidP="001D6099">
      <w:r w:rsidRPr="00311DE7">
        <w:rPr>
          <w:color w:val="000000" w:themeColor="text1"/>
        </w:rPr>
        <w:t xml:space="preserve">Tika </w:t>
      </w:r>
      <w:r w:rsidRPr="00311DE7">
        <w:t>noskaidrots, ka vairākas iestādes jau pašlaik aktīvi sniedz pakalpojumus pārrobežu lietotājiem, t.sk. trešo valstu iedzīvotājiem, neskatoties uz to, ka šie pakalpojumi ir ārpus Regulas tvēruma. Nākotnē plānots turpināt darbu ar pakalpojumu sniegšanu trešo valstu iedzīvotājiem, kā tas izriet no Informatīvā ziņojuma "Par Vienotās digitālās vārtejas regulas prasību ieviešanu"  2.9. un 2.11. un 2.12. punkta.</w:t>
      </w:r>
    </w:p>
    <w:p w14:paraId="2C4F62FA" w14:textId="77777777" w:rsidR="00311DE7" w:rsidRPr="00311DE7" w:rsidRDefault="00311DE7" w:rsidP="001D6099">
      <w:r w:rsidRPr="00311DE7">
        <w:t xml:space="preserve">Tāpat VARAM no 20.02.2020. līdz 23.03.2020. </w:t>
      </w:r>
      <w:r w:rsidRPr="00311DE7">
        <w:rPr>
          <w:bCs/>
        </w:rPr>
        <w:t>veica valsts iestāžu un pašvaldību aptauju par vienreizes principa ievērošanu valsts pārvaldes pakalpojumos</w:t>
      </w:r>
      <w:r w:rsidRPr="00311DE7">
        <w:t xml:space="preserve">, lai identificētu galvenos šķēršļus valsts pārvaldes pakalpojumu sniedzējiem vienreizes principa ieviešanai pakalpojumu jomā. Aptaujas mērķis bija identificēt aktuālās problēmas, kuru dēļ valsts pārvaldes un pašvaldību iestādes pakalpojumu sniegšanai prasa papildus informāciju no iedzīvotājiem un izsniedz izziņas vai apliecinājumus, nevis iegūst šo informāciju pastarpināti no citām iestādēm. Pēc iestāžu aptaujas tika identificēti arī nepieciešamie grozījumi Latvijas tiesību aktos.  </w:t>
      </w:r>
    </w:p>
    <w:p w14:paraId="76A23695" w14:textId="77777777" w:rsidR="00311DE7" w:rsidRPr="00311DE7" w:rsidRDefault="00311DE7" w:rsidP="001D6099"/>
    <w:p w14:paraId="4814EDD6" w14:textId="77777777" w:rsidR="00311DE7" w:rsidRPr="009C3EEA" w:rsidRDefault="00311DE7" w:rsidP="001D6099">
      <w:pPr>
        <w:rPr>
          <w:rFonts w:eastAsia="Calibri"/>
          <w:b/>
          <w:bCs/>
        </w:rPr>
      </w:pPr>
      <w:r w:rsidRPr="009C3EEA">
        <w:rPr>
          <w:b/>
          <w:bCs/>
        </w:rPr>
        <w:t>2.4. Izskatīt Komisijas sagatavoto vienreizes risinājuma tehniskās specifikācijas īstenošanas akta projektu, formulēt viedokli un 2.5. Izvērtēt gatavību pārrobežu pakalpojumos ieviest vienreizes risinājumu.</w:t>
      </w:r>
    </w:p>
    <w:p w14:paraId="031CA10C" w14:textId="77777777" w:rsidR="00311DE7" w:rsidRPr="00311DE7" w:rsidRDefault="00311DE7" w:rsidP="001D6099">
      <w:r w:rsidRPr="00311DE7">
        <w:t xml:space="preserve">2020. gadā VARAM izskatīja Komisijas piedāvājumu Vienreizes risinājuma arhitektūrai un sniedza viedokli Komisijai.  </w:t>
      </w:r>
    </w:p>
    <w:p w14:paraId="7C5AFCFB" w14:textId="77777777" w:rsidR="00311DE7" w:rsidRPr="00311DE7" w:rsidRDefault="00311DE7" w:rsidP="001D6099">
      <w:r w:rsidRPr="00311DE7">
        <w:t xml:space="preserve">Vienreizes principa risinājuma ieviešanas aktu Komisija plāno pieņemt līdz 2021. gada 30. jūnijam. </w:t>
      </w:r>
    </w:p>
    <w:p w14:paraId="49A82F28" w14:textId="77777777" w:rsidR="00311DE7" w:rsidRPr="00311DE7" w:rsidRDefault="00311DE7" w:rsidP="001D6099">
      <w:pPr>
        <w:rPr>
          <w:rFonts w:eastAsia="Calibri"/>
        </w:rPr>
      </w:pPr>
      <w:r w:rsidRPr="00311DE7">
        <w:t>Lai izvērtētu gatavību pārrobežu pakalpojumos ieviest vienreizes risinājumu, nākamie soļi, balstoties uz Komisijas sniegto informāciju, ir uzsākt darbu pie centralizētu tehnisko risinājumu ieviešanas iespēju izpētes, kas nākotnē nepieciešami Vārtejas darbības nodrošināšanai un pārrobežu pakalpojumu sniegšanas.</w:t>
      </w:r>
    </w:p>
    <w:p w14:paraId="5425F9C1" w14:textId="77777777" w:rsidR="00311DE7" w:rsidRPr="00311DE7" w:rsidRDefault="00311DE7" w:rsidP="001D6099">
      <w:r w:rsidRPr="00311DE7">
        <w:t xml:space="preserve">Jāturpina vērtēt esošā situācija pakalpojumu sniegšanas jomā, laicīgi paredzot pasākumus, lai nodrošinātu pakalpojumu </w:t>
      </w:r>
      <w:proofErr w:type="spellStart"/>
      <w:r w:rsidRPr="00311DE7">
        <w:t>digitalizēšanu</w:t>
      </w:r>
      <w:proofErr w:type="spellEnd"/>
      <w:r w:rsidRPr="00311DE7">
        <w:t xml:space="preserve"> saskaņā ar Regulas prasībām, t. sk., lai tās tiktu nodrošinātas nediskriminējošā veidā, izmantojot Komisijas vai VRAA piedāvātos risinājumus.</w:t>
      </w:r>
    </w:p>
    <w:p w14:paraId="4FEB545A" w14:textId="77777777" w:rsidR="00311DE7" w:rsidRPr="00311DE7" w:rsidRDefault="00311DE7" w:rsidP="001D6099">
      <w:pPr>
        <w:rPr>
          <w:color w:val="000000"/>
        </w:rPr>
      </w:pPr>
      <w:r w:rsidRPr="00311DE7">
        <w:t>Nepieciešams</w:t>
      </w:r>
      <w:r w:rsidRPr="00311DE7">
        <w:rPr>
          <w:b/>
        </w:rPr>
        <w:t xml:space="preserve"> </w:t>
      </w:r>
      <w:r w:rsidRPr="00311DE7">
        <w:t xml:space="preserve">izvērtēt iespēju ieviest Komisijas ierosināto risinājumu vienreizes principa piemērošanai Regulas 2. pielikumā norādītajām procedūrām. Komisijas piedāvātais risinājums nodrošinās automātisku dokumentu un cita veida apliecinājumu apmaiņu starp valstīm pēc lietotāja atļaujas saņemšanas. Risinājums tiks veidots saskaņā ar </w:t>
      </w:r>
      <w:r w:rsidRPr="00311DE7">
        <w:lastRenderedPageBreak/>
        <w:t>Vispārējās datu aizsardzības regulas Nr. 2016/679</w:t>
      </w:r>
      <w:r w:rsidRPr="00311DE7">
        <w:rPr>
          <w:rStyle w:val="FootnoteReference"/>
        </w:rPr>
        <w:footnoteReference w:id="11"/>
      </w:r>
      <w:r w:rsidRPr="00311DE7">
        <w:t xml:space="preserve"> prasībām. Vēršam uzmanību, ka šī risinājuma izmantošana nebūs obligāta. Regula paredz lietot arī </w:t>
      </w:r>
      <w:r w:rsidRPr="00311DE7">
        <w:rPr>
          <w:color w:val="000000"/>
        </w:rPr>
        <w:t xml:space="preserve">IMI sistēmu vai jebkuru citu nozarē esošu strādājošu sistēmu. </w:t>
      </w:r>
    </w:p>
    <w:p w14:paraId="07563364" w14:textId="77777777" w:rsidR="00311DE7" w:rsidRPr="00311DE7" w:rsidRDefault="00311DE7" w:rsidP="001D6099">
      <w:bookmarkStart w:id="26" w:name="Komiteja_2_9"/>
      <w:r w:rsidRPr="00311DE7">
        <w:t xml:space="preserve">Regulas ieviešanas nodrošināšanai jāattīsta koplietošanas risinājumi  pakalpojumu </w:t>
      </w:r>
      <w:proofErr w:type="spellStart"/>
      <w:r w:rsidRPr="00311DE7">
        <w:t>digitalizēšanas</w:t>
      </w:r>
      <w:proofErr w:type="spellEnd"/>
      <w:r w:rsidRPr="00311DE7">
        <w:t xml:space="preserve"> un pārrobežu pieejamības nodrošināšanas atbalstam, kā arī  jāturpina attīstīt jau pašlaik lietotos koplietošanas risinājumus.</w:t>
      </w:r>
    </w:p>
    <w:p w14:paraId="10FE371B" w14:textId="77777777" w:rsidR="00311DE7" w:rsidRPr="00311DE7" w:rsidRDefault="00311DE7" w:rsidP="001D6099">
      <w:r w:rsidRPr="00311DE7">
        <w:t xml:space="preserve">Regulas prasību ieviešanā, sadarbībā ar iestādēm jānodrošina koordinēta pieeja pakalpojumu vides pilnveidošanā, izvērtējot dažādas risinājumu iespējas pārrobežu lietotāju vēsturisko datu sasaistei, pārrobežu lietotāju identifikācijai u.c. </w:t>
      </w:r>
    </w:p>
    <w:bookmarkEnd w:id="26"/>
    <w:p w14:paraId="7EAF522D" w14:textId="77777777" w:rsidR="00311DE7" w:rsidRPr="00311DE7" w:rsidRDefault="00311DE7" w:rsidP="001D6099"/>
    <w:p w14:paraId="26F07E70" w14:textId="77777777" w:rsidR="00311DE7" w:rsidRPr="00D10ECA" w:rsidRDefault="00311DE7" w:rsidP="001D6099">
      <w:pPr>
        <w:rPr>
          <w:rFonts w:eastAsia="Calibri"/>
          <w:b/>
          <w:bCs/>
        </w:rPr>
      </w:pPr>
      <w:r w:rsidRPr="00D10ECA">
        <w:rPr>
          <w:b/>
          <w:bCs/>
        </w:rPr>
        <w:t>2.8. Nodrošināt paziņoto identifikācijas shēmu integrēšanu vienotajā pieteikšanās modulī un 2.13. Nodrošināt pārrobežu lietotājiem iespēju identificēties Latvijas e-pakalpojumu saņemšanai izmantojot eIDAS identifikācijas risinājumu.</w:t>
      </w:r>
    </w:p>
    <w:p w14:paraId="732F4C5A" w14:textId="77777777" w:rsidR="00311DE7" w:rsidRPr="00311DE7" w:rsidRDefault="00311DE7" w:rsidP="001D6099">
      <w:r w:rsidRPr="00311DE7">
        <w:t xml:space="preserve">VRAA turpina ieviest eIDAS regulas prasības, lai nodrošinātu drošu pārrobežu lietotāju identifikācijas pakalpojumu Vienotās pieteikšanās modulī. Tajā pašā laikā iestādēm jāintegrē eIDAS vārteja savos e-pakalpojumos, informācijas sistēmās, lai nodrošinātu pārrobežu pieejamību. Turpinās eIDAS identifikācijas risinājuma pieslēgšana pakalpojumiem, kas saskaņā ar Regulas prasībām līdz 2023. gada decembrim jāpadara pieejami pārrobežu lietotājiem. </w:t>
      </w:r>
    </w:p>
    <w:p w14:paraId="78910557" w14:textId="77777777" w:rsidR="00311DE7" w:rsidRPr="00311DE7" w:rsidRDefault="00311DE7" w:rsidP="001D6099">
      <w:r w:rsidRPr="00311DE7">
        <w:t>17.08.2020. VARAM organizēja sanāksmi, kuras laikā tika diskutēts par aktuālajiem jautājumiem saistībā ar eIDAS vārtejas praktisku ieviešanu pakalpojumu turētāju pusē (identitātes un vēsturisko ierakstu sasaiste ar eIDAS).</w:t>
      </w:r>
    </w:p>
    <w:p w14:paraId="6E86C321" w14:textId="77777777" w:rsidR="00311DE7" w:rsidRPr="00311DE7" w:rsidRDefault="00311DE7" w:rsidP="001D6099">
      <w:r w:rsidRPr="00311DE7">
        <w:t xml:space="preserve">Šobrīd Latvijas eIDAS vārtejā iespējams veikt autentifikāciju ar 10 dažādu Eiropas valstu elektroniskās identifikācijas līdzekļiem. </w:t>
      </w:r>
    </w:p>
    <w:p w14:paraId="42F8B1D0" w14:textId="77777777" w:rsidR="00311DE7" w:rsidRPr="00311DE7" w:rsidRDefault="00311DE7" w:rsidP="001D6099">
      <w:pPr>
        <w:rPr>
          <w:rFonts w:eastAsia="Calibri"/>
        </w:rPr>
      </w:pPr>
    </w:p>
    <w:p w14:paraId="59CA56E5" w14:textId="77777777" w:rsidR="00311DE7" w:rsidRPr="00D10ECA" w:rsidRDefault="00311DE7" w:rsidP="001D6099">
      <w:pPr>
        <w:rPr>
          <w:b/>
          <w:bCs/>
        </w:rPr>
      </w:pPr>
      <w:r w:rsidRPr="00D10ECA">
        <w:rPr>
          <w:b/>
          <w:bCs/>
        </w:rPr>
        <w:t>Latvijas izaicinājumi Regulas prasību īstenošanā:</w:t>
      </w:r>
    </w:p>
    <w:p w14:paraId="42748355" w14:textId="77777777" w:rsidR="00311DE7" w:rsidRPr="00311DE7" w:rsidRDefault="00311DE7" w:rsidP="001D6099">
      <w:r w:rsidRPr="00311DE7">
        <w:t>Izstrādāt kārtību, kas nosaka aktuālu informācijas uzturēšanu Vārtejā un nodrošina Vārtejas ilgtspējīgu attīstību arī pēc Regulas 2. pielikumā norādīto procedūru digitalizācijas, kā arī kvalitātes kontroles kārtību, lai nodrošinātu procedūru darbību.</w:t>
      </w:r>
    </w:p>
    <w:p w14:paraId="0ADF1C30" w14:textId="77777777" w:rsidR="00311DE7" w:rsidRPr="00311DE7" w:rsidRDefault="00311DE7" w:rsidP="001D6099"/>
    <w:p w14:paraId="332790BF" w14:textId="77777777" w:rsidR="00311DE7" w:rsidRPr="00311DE7" w:rsidRDefault="00311DE7" w:rsidP="001D6099">
      <w:pPr>
        <w:pStyle w:val="Heading1"/>
      </w:pPr>
      <w:bookmarkStart w:id="27" w:name="_Toc256000006"/>
      <w:bookmarkStart w:id="28" w:name="_Toc514852602"/>
      <w:bookmarkStart w:id="29" w:name="_Toc69462574"/>
      <w:r w:rsidRPr="00311DE7">
        <w:t>III. Par rīcības virziena “Palīdzības un problēmu risināšanas pakalpojumu nodrošināšana” izpildes gaitu</w:t>
      </w:r>
      <w:bookmarkEnd w:id="27"/>
      <w:bookmarkEnd w:id="28"/>
      <w:bookmarkEnd w:id="29"/>
    </w:p>
    <w:p w14:paraId="0FE8CD93" w14:textId="77777777" w:rsidR="00311DE7" w:rsidRPr="00311DE7" w:rsidRDefault="00311DE7" w:rsidP="001D6099"/>
    <w:p w14:paraId="7123403D" w14:textId="77777777" w:rsidR="00311DE7" w:rsidRPr="00311DE7" w:rsidRDefault="00311DE7" w:rsidP="001D6099">
      <w:pPr>
        <w:rPr>
          <w:b/>
        </w:rPr>
      </w:pPr>
      <w:r w:rsidRPr="00311DE7">
        <w:lastRenderedPageBreak/>
        <w:t xml:space="preserve">Rīcības virziena mērķis ir nodrošināt kvalitatīvus palīdzības un problēmu risināšanas pakalpojumus Vārtejas lietotājiem saskaņā ar Regulas 7.,8., 9., 16. un 20. pantā noteiktajām prasībām. </w:t>
      </w:r>
    </w:p>
    <w:p w14:paraId="70645B12" w14:textId="77777777" w:rsidR="00311DE7" w:rsidRPr="00311DE7" w:rsidRDefault="00311DE7" w:rsidP="001D6099">
      <w:pPr>
        <w:rPr>
          <w:b/>
        </w:rPr>
      </w:pPr>
      <w:r w:rsidRPr="00311DE7">
        <w:t xml:space="preserve">Regulas 3. pielikums “Regulas 2. panta 2. punkta c) apakšpunktā minēto palīdzības un problēmu risināšanas pakalpojumu saraksts” (turpmāk – 3. pielikums) nosaka tvērumu, kādā palīdzības un problēmu risināšanas pakalpojumi tiks integrēti Vārtejā, t. sk. vienotie kontaktpunkti, produktu informācijas punkti, būvizstrādājumu informācijas punkti u. c. Regulā norādītas kvalitātes prasības, kas jānodrošina pakalpojuma turētājam, tāpat Vārtejā plānots integrēt </w:t>
      </w:r>
      <w:r w:rsidRPr="00311DE7">
        <w:rPr>
          <w:color w:val="000000"/>
        </w:rPr>
        <w:t>jau tagad ES plaši lietotus palīdzības un problēmu risināšanas pakalpojumus. Izmantojot valstu piedāvātos nacionālā mēroga palīdzības un problēmu risināšanas pakalpojumus, lietotāji visā ES varēs saņemt lietotāju atbalstu saskaroties ar problēmām, neskaidrībām procedūru, pakalpojumu izpildes laikā u. c.</w:t>
      </w:r>
      <w:r w:rsidRPr="00311DE7">
        <w:rPr>
          <w:rStyle w:val="FootnoteReference"/>
          <w:color w:val="000000"/>
        </w:rPr>
        <w:footnoteReference w:id="12"/>
      </w:r>
    </w:p>
    <w:p w14:paraId="5506A591" w14:textId="77777777" w:rsidR="00311DE7" w:rsidRPr="00311DE7" w:rsidRDefault="00311DE7" w:rsidP="001D6099">
      <w:r w:rsidRPr="00311DE7">
        <w:t xml:space="preserve">Tā kā vairākums iestāžu izstrādā un pārvalda tīmekļvietnes iestāžu līmenī, tad arī palīdzības un problēmu risināšanas pakalpojumi un sistēmu lietotāju </w:t>
      </w:r>
      <w:proofErr w:type="spellStart"/>
      <w:r w:rsidRPr="00311DE7">
        <w:t>problēmpieteikumi</w:t>
      </w:r>
      <w:proofErr w:type="spellEnd"/>
      <w:r w:rsidRPr="00311DE7">
        <w:t xml:space="preserve"> tiek risināti individuāli katras iestādes līmenī. Ja pakalpojumi tiek saņemti, izmantojot Latvija.lv, palīdzības un problēmu risināšanas pakalpojumus nodrošina portāla pārzinis – VRAA, ja nepieciešams, iesaistot par pakalpojumu atbildīgo iestādi.</w:t>
      </w:r>
    </w:p>
    <w:p w14:paraId="7B0A9865" w14:textId="77777777" w:rsidR="00311DE7" w:rsidRPr="00311DE7" w:rsidRDefault="00311DE7" w:rsidP="001D6099"/>
    <w:p w14:paraId="60854A08" w14:textId="77777777" w:rsidR="00311DE7" w:rsidRPr="00311DE7" w:rsidRDefault="00311DE7" w:rsidP="001D6099">
      <w:r w:rsidRPr="00311DE7">
        <w:t>Pārrobežu informācijas apmaiņa par valsts iestāžu pakalpojumiem notiek vairākās iepriekš izveidotās ES līmeņa informācijas sistēmās:</w:t>
      </w:r>
    </w:p>
    <w:p w14:paraId="7476121C"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t>Vienotais pakalpojumu kontaktpunkts</w:t>
      </w:r>
      <w:r w:rsidRPr="001D6099">
        <w:rPr>
          <w:rStyle w:val="FootnoteReference"/>
          <w:rFonts w:ascii="Times New Roman" w:hAnsi="Times New Roman" w:cs="Times New Roman"/>
          <w:sz w:val="28"/>
          <w:szCs w:val="28"/>
        </w:rPr>
        <w:footnoteReference w:id="13"/>
      </w:r>
      <w:r w:rsidRPr="001D6099">
        <w:rPr>
          <w:rFonts w:ascii="Times New Roman" w:hAnsi="Times New Roman" w:cs="Times New Roman"/>
          <w:sz w:val="28"/>
          <w:szCs w:val="28"/>
        </w:rPr>
        <w:t xml:space="preserve"> (atbildīgās iestādes – VRAA, EM);</w:t>
      </w:r>
    </w:p>
    <w:p w14:paraId="70A1AA04"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t>Vienotais produktu kontaktpunkts</w:t>
      </w:r>
      <w:r w:rsidRPr="001D6099">
        <w:rPr>
          <w:rStyle w:val="FootnoteReference"/>
          <w:rFonts w:ascii="Times New Roman" w:hAnsi="Times New Roman" w:cs="Times New Roman"/>
          <w:sz w:val="28"/>
          <w:szCs w:val="28"/>
        </w:rPr>
        <w:footnoteReference w:id="14"/>
      </w:r>
      <w:r w:rsidRPr="001D6099">
        <w:rPr>
          <w:rFonts w:ascii="Times New Roman" w:hAnsi="Times New Roman" w:cs="Times New Roman"/>
          <w:sz w:val="28"/>
          <w:szCs w:val="28"/>
        </w:rPr>
        <w:t xml:space="preserve"> (atbildīgā iestāde – EM);</w:t>
      </w:r>
    </w:p>
    <w:p w14:paraId="05044063"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t xml:space="preserve">Būvizstrādājumu vienotais produktu kontaktpunkts </w:t>
      </w:r>
      <w:r w:rsidRPr="001D6099">
        <w:rPr>
          <w:rStyle w:val="FootnoteReference"/>
          <w:rFonts w:ascii="Times New Roman" w:hAnsi="Times New Roman" w:cs="Times New Roman"/>
          <w:sz w:val="28"/>
          <w:szCs w:val="28"/>
        </w:rPr>
        <w:footnoteReference w:id="15"/>
      </w:r>
      <w:r w:rsidRPr="001D6099">
        <w:rPr>
          <w:rFonts w:ascii="Times New Roman" w:hAnsi="Times New Roman" w:cs="Times New Roman"/>
          <w:sz w:val="28"/>
          <w:szCs w:val="28"/>
        </w:rPr>
        <w:t xml:space="preserve"> (atbildīgā iestāde – EM);</w:t>
      </w:r>
    </w:p>
    <w:p w14:paraId="0F26BCDB"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t>Pārrobežu veselības aprūpes valsts kontaktpunkts – informācijas centrs</w:t>
      </w:r>
      <w:r w:rsidRPr="001D6099">
        <w:rPr>
          <w:rStyle w:val="FootnoteReference"/>
          <w:rFonts w:ascii="Times New Roman" w:hAnsi="Times New Roman" w:cs="Times New Roman"/>
          <w:sz w:val="28"/>
          <w:szCs w:val="28"/>
        </w:rPr>
        <w:footnoteReference w:id="16"/>
      </w:r>
      <w:r w:rsidRPr="001D6099">
        <w:rPr>
          <w:rFonts w:ascii="Times New Roman" w:hAnsi="Times New Roman" w:cs="Times New Roman"/>
          <w:sz w:val="28"/>
          <w:szCs w:val="28"/>
        </w:rPr>
        <w:t xml:space="preserve"> (atbildīgā iestāde – NVD);</w:t>
      </w:r>
    </w:p>
    <w:p w14:paraId="5C27DB73"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t xml:space="preserve">Eiropas darba mobilitātes portāls </w:t>
      </w:r>
      <w:r w:rsidRPr="001D6099">
        <w:rPr>
          <w:rFonts w:ascii="Times New Roman" w:hAnsi="Times New Roman" w:cs="Times New Roman"/>
          <w:i/>
          <w:sz w:val="28"/>
          <w:szCs w:val="28"/>
        </w:rPr>
        <w:t>EURES</w:t>
      </w:r>
      <w:r w:rsidRPr="001D6099">
        <w:rPr>
          <w:rStyle w:val="FootnoteReference"/>
          <w:rFonts w:ascii="Times New Roman" w:hAnsi="Times New Roman" w:cs="Times New Roman"/>
          <w:i/>
          <w:sz w:val="28"/>
          <w:szCs w:val="28"/>
        </w:rPr>
        <w:footnoteReference w:id="17"/>
      </w:r>
      <w:r w:rsidRPr="001D6099">
        <w:rPr>
          <w:rFonts w:ascii="Times New Roman" w:hAnsi="Times New Roman" w:cs="Times New Roman"/>
          <w:sz w:val="28"/>
          <w:szCs w:val="28"/>
        </w:rPr>
        <w:t xml:space="preserve"> (atbildīgā iestāde – NVA);</w:t>
      </w:r>
    </w:p>
    <w:p w14:paraId="001AA5F8" w14:textId="77777777" w:rsidR="00311DE7" w:rsidRPr="001D6099" w:rsidRDefault="00311DE7" w:rsidP="001D6099">
      <w:pPr>
        <w:pStyle w:val="ListParagraph"/>
        <w:numPr>
          <w:ilvl w:val="0"/>
          <w:numId w:val="7"/>
        </w:numPr>
        <w:rPr>
          <w:rFonts w:ascii="Times New Roman" w:hAnsi="Times New Roman" w:cs="Times New Roman"/>
          <w:sz w:val="28"/>
          <w:szCs w:val="28"/>
        </w:rPr>
      </w:pPr>
      <w:r w:rsidRPr="001D6099">
        <w:rPr>
          <w:rFonts w:ascii="Times New Roman" w:hAnsi="Times New Roman" w:cs="Times New Roman"/>
          <w:sz w:val="28"/>
          <w:szCs w:val="28"/>
        </w:rPr>
        <w:lastRenderedPageBreak/>
        <w:t>Platformas strīdu izšķiršanai tiešsaistē (</w:t>
      </w:r>
      <w:r w:rsidRPr="001D6099">
        <w:rPr>
          <w:rFonts w:ascii="Times New Roman" w:hAnsi="Times New Roman" w:cs="Times New Roman"/>
          <w:i/>
          <w:sz w:val="28"/>
          <w:szCs w:val="28"/>
        </w:rPr>
        <w:t xml:space="preserve">Online </w:t>
      </w:r>
      <w:proofErr w:type="spellStart"/>
      <w:r w:rsidRPr="001D6099">
        <w:rPr>
          <w:rFonts w:ascii="Times New Roman" w:hAnsi="Times New Roman" w:cs="Times New Roman"/>
          <w:i/>
          <w:sz w:val="28"/>
          <w:szCs w:val="28"/>
        </w:rPr>
        <w:t>Dispute</w:t>
      </w:r>
      <w:proofErr w:type="spellEnd"/>
      <w:r w:rsidRPr="001D6099">
        <w:rPr>
          <w:rFonts w:ascii="Times New Roman" w:hAnsi="Times New Roman" w:cs="Times New Roman"/>
          <w:i/>
          <w:sz w:val="28"/>
          <w:szCs w:val="28"/>
        </w:rPr>
        <w:t xml:space="preserve"> </w:t>
      </w:r>
      <w:proofErr w:type="spellStart"/>
      <w:r w:rsidRPr="001D6099">
        <w:rPr>
          <w:rFonts w:ascii="Times New Roman" w:hAnsi="Times New Roman" w:cs="Times New Roman"/>
          <w:i/>
          <w:sz w:val="28"/>
          <w:szCs w:val="28"/>
        </w:rPr>
        <w:t>Resolution</w:t>
      </w:r>
      <w:proofErr w:type="spellEnd"/>
      <w:r w:rsidRPr="001D6099">
        <w:rPr>
          <w:rFonts w:ascii="Times New Roman" w:hAnsi="Times New Roman" w:cs="Times New Roman"/>
          <w:i/>
          <w:sz w:val="28"/>
          <w:szCs w:val="28"/>
        </w:rPr>
        <w:t xml:space="preserve"> </w:t>
      </w:r>
      <w:proofErr w:type="spellStart"/>
      <w:r w:rsidRPr="001D6099">
        <w:rPr>
          <w:rFonts w:ascii="Times New Roman" w:hAnsi="Times New Roman" w:cs="Times New Roman"/>
          <w:i/>
          <w:sz w:val="28"/>
          <w:szCs w:val="28"/>
        </w:rPr>
        <w:t>website</w:t>
      </w:r>
      <w:proofErr w:type="spellEnd"/>
      <w:r w:rsidRPr="001D6099">
        <w:rPr>
          <w:rFonts w:ascii="Times New Roman" w:hAnsi="Times New Roman" w:cs="Times New Roman"/>
          <w:sz w:val="28"/>
          <w:szCs w:val="28"/>
        </w:rPr>
        <w:t>) (turpmāk – SIT) kontaktpunkts (atbildīgā iestāde – PTAC)</w:t>
      </w:r>
      <w:r w:rsidRPr="001D6099">
        <w:rPr>
          <w:rStyle w:val="FootnoteReference"/>
          <w:rFonts w:ascii="Times New Roman" w:hAnsi="Times New Roman" w:cs="Times New Roman"/>
          <w:sz w:val="28"/>
          <w:szCs w:val="28"/>
        </w:rPr>
        <w:footnoteReference w:id="18"/>
      </w:r>
      <w:r w:rsidRPr="001D6099">
        <w:rPr>
          <w:rFonts w:ascii="Times New Roman" w:hAnsi="Times New Roman" w:cs="Times New Roman"/>
          <w:sz w:val="28"/>
          <w:szCs w:val="28"/>
        </w:rPr>
        <w:t>.</w:t>
      </w:r>
    </w:p>
    <w:p w14:paraId="195DD0BF" w14:textId="77777777" w:rsidR="00311DE7" w:rsidRPr="00311DE7" w:rsidRDefault="00311DE7" w:rsidP="001D6099"/>
    <w:p w14:paraId="3F1DE4F6" w14:textId="77777777" w:rsidR="00311DE7" w:rsidRPr="00311DE7" w:rsidRDefault="00311DE7" w:rsidP="001D6099">
      <w:r w:rsidRPr="00311DE7">
        <w:t>Detalizēta informācija par rīcības virzienā noteikto uzdevumu izpildi:</w:t>
      </w:r>
    </w:p>
    <w:p w14:paraId="78E594B3" w14:textId="77777777" w:rsidR="00311DE7" w:rsidRPr="00311DE7" w:rsidRDefault="00311DE7" w:rsidP="001D6099">
      <w:pPr>
        <w:rPr>
          <w:rFonts w:eastAsia="Calibri"/>
        </w:rPr>
      </w:pPr>
      <w:r w:rsidRPr="00311DE7">
        <w:t>Uzdevumi 3.1.-3.3. saskaņā ar Informatīvo ziņojumu "Par Vienotās digitālās vārtejas regulas prasību ieviešanu"</w:t>
      </w:r>
      <w:r w:rsidRPr="00311DE7">
        <w:rPr>
          <w:rStyle w:val="FootnoteReference"/>
          <w:i/>
          <w:iCs/>
        </w:rPr>
        <w:footnoteReference w:id="19"/>
      </w:r>
      <w:r w:rsidRPr="00311DE7">
        <w:t xml:space="preserve"> </w:t>
      </w:r>
    </w:p>
    <w:p w14:paraId="1A86998E" w14:textId="77777777" w:rsidR="00311DE7" w:rsidRPr="00311DE7" w:rsidRDefault="00311DE7" w:rsidP="001D6099"/>
    <w:p w14:paraId="38BDA03F" w14:textId="77777777" w:rsidR="00311DE7" w:rsidRPr="009A1B81" w:rsidRDefault="00311DE7" w:rsidP="001D6099">
      <w:pPr>
        <w:rPr>
          <w:b/>
          <w:bCs/>
        </w:rPr>
      </w:pPr>
      <w:r w:rsidRPr="009A1B81">
        <w:rPr>
          <w:b/>
          <w:bCs/>
        </w:rPr>
        <w:t>3.1. Identificēt, kādi palīdzības un problēmu risināšanas pakalpojumi pieejami nacionāli un  3.2. Nodrošināt informāciju par nacionālajiem palīdzības un problēmu risināšanas pakalpojumiem Latvija.lv un 3.3. Latvija.lv iekļaut informāciju par palīdzības un problēmu risināšanas pakalpojumiem.</w:t>
      </w:r>
    </w:p>
    <w:p w14:paraId="5DB96B8C" w14:textId="77777777" w:rsidR="00311DE7" w:rsidRPr="00311DE7" w:rsidRDefault="00311DE7" w:rsidP="001D6099"/>
    <w:p w14:paraId="2D5FD1D2" w14:textId="77777777" w:rsidR="00311DE7" w:rsidRPr="00311DE7" w:rsidRDefault="00311DE7" w:rsidP="001D6099">
      <w:r w:rsidRPr="00311DE7">
        <w:rPr>
          <w:color w:val="000000"/>
        </w:rPr>
        <w:t xml:space="preserve">Veikts izvērtējums, kuri no palīdzības </w:t>
      </w:r>
      <w:r w:rsidRPr="00311DE7">
        <w:t>un problēmu risināšanas</w:t>
      </w:r>
      <w:r w:rsidRPr="00311DE7">
        <w:rPr>
          <w:color w:val="000000"/>
        </w:rPr>
        <w:t xml:space="preserve"> pakalpojumiem ir iekļaujami Vārtejā, saskaņā ar 3. pielikuma tvērumu. Tika a</w:t>
      </w:r>
      <w:r w:rsidRPr="00311DE7">
        <w:t>pkopota informācija par visiem nacionālajā līmenī pieejamajiem palīdzības un problēmu risināšanas pakalpojumiem un identificētas nacionālās normatīvo aktu prasības, kas jātulko un par kurām jāsniedz informācija pārrobežu lietotājiem;</w:t>
      </w:r>
    </w:p>
    <w:p w14:paraId="500137B6" w14:textId="77777777" w:rsidR="00311DE7" w:rsidRPr="00311DE7" w:rsidRDefault="00311DE7" w:rsidP="001D6099"/>
    <w:p w14:paraId="59C31376" w14:textId="77777777" w:rsidR="00311DE7" w:rsidRPr="00311DE7" w:rsidRDefault="00311DE7" w:rsidP="001D6099">
      <w:r w:rsidRPr="00311DE7">
        <w:t>Lai izpildītu Regulas 7. panta prasības un identificētu Regulas 3. pielikuma ietvaros esošos palīdzības un problēmu risināšanas pakalpojumus, iestādes, pamatojoties uz VARAM izstrādātajām vadlīnijām</w:t>
      </w:r>
      <w:r w:rsidRPr="00311DE7">
        <w:rPr>
          <w:rStyle w:val="FootnoteReference"/>
          <w:color w:val="000000"/>
        </w:rPr>
        <w:footnoteReference w:id="20"/>
      </w:r>
      <w:r w:rsidRPr="00311DE7">
        <w:t>, apkopoja informāciju par saistošajiem palīdzības un problēmu risināšanas pakalpojumiem un atsauces uz šiem palīdzības un problēmu risināšanas pakalpojumiem publicēja Latvija.lv.</w:t>
      </w:r>
    </w:p>
    <w:p w14:paraId="2BCE879C" w14:textId="77777777" w:rsidR="00311DE7" w:rsidRPr="00311DE7" w:rsidRDefault="00311DE7" w:rsidP="001D6099"/>
    <w:p w14:paraId="2D353B2C" w14:textId="77777777" w:rsidR="00311DE7" w:rsidRPr="00311DE7" w:rsidRDefault="00311DE7" w:rsidP="001D6099">
      <w:r w:rsidRPr="00311DE7">
        <w:t>Saites, kas attiecas uz 3. pielikuma tvērumu, tika nodotas vārtejā. Portālā Latvija.lv tika izveidota un publicēta dzīves situācija “Klientu atbalsts ES vienotajā tirgū”, lai nodrošinātu lietotājiem draudzīgāku informāciju pakalpojumu aprakstā, lai tas gan Latvijas, gan pārrobežu lietotājam būtu viegli uztverams un saprotams.</w:t>
      </w:r>
    </w:p>
    <w:p w14:paraId="6E2BD61B" w14:textId="77777777" w:rsidR="00311DE7" w:rsidRPr="00311DE7" w:rsidRDefault="00311DE7" w:rsidP="001D6099"/>
    <w:p w14:paraId="22C1C2D2" w14:textId="77777777" w:rsidR="00311DE7" w:rsidRPr="00311DE7" w:rsidRDefault="00311DE7" w:rsidP="001D6099">
      <w:r w:rsidRPr="00311DE7">
        <w:lastRenderedPageBreak/>
        <w:t xml:space="preserve"> Dzīves situācija pieejama: </w:t>
      </w:r>
      <w:hyperlink r:id="rId25" w:history="1">
        <w:r w:rsidRPr="00311DE7">
          <w:rPr>
            <w:rStyle w:val="Hyperlink"/>
          </w:rPr>
          <w:t>https://latvija.lv/DzivesSituacijas/Parrobezu-pakalpojumi/Klientu_atbalsts_ES</w:t>
        </w:r>
      </w:hyperlink>
      <w:r w:rsidRPr="00311DE7">
        <w:t>.</w:t>
      </w:r>
    </w:p>
    <w:p w14:paraId="7E5BB340" w14:textId="77777777" w:rsidR="00311DE7" w:rsidRPr="00311DE7" w:rsidRDefault="00311DE7" w:rsidP="001D6099"/>
    <w:p w14:paraId="1EF88A99" w14:textId="77777777" w:rsidR="00311DE7" w:rsidRPr="00311DE7" w:rsidRDefault="00311DE7" w:rsidP="001D6099">
      <w:r w:rsidRPr="00311DE7">
        <w:t>Komisija līdz 2020. gada 31. decembrim izstrādāja palīdzības un problēmu risināšanas pakalpojumu meklētāju portālā “</w:t>
      </w:r>
      <w:proofErr w:type="spellStart"/>
      <w:r w:rsidRPr="00311DE7">
        <w:t>Your</w:t>
      </w:r>
      <w:proofErr w:type="spellEnd"/>
      <w:r w:rsidRPr="00311DE7">
        <w:t xml:space="preserve"> </w:t>
      </w:r>
      <w:proofErr w:type="spellStart"/>
      <w:r w:rsidRPr="00311DE7">
        <w:t>Europe</w:t>
      </w:r>
      <w:proofErr w:type="spellEnd"/>
      <w:r w:rsidRPr="00311DE7">
        <w:t xml:space="preserve">”. </w:t>
      </w:r>
    </w:p>
    <w:p w14:paraId="28FCC1EA" w14:textId="77777777" w:rsidR="00311DE7" w:rsidRPr="00311DE7" w:rsidRDefault="00311DE7" w:rsidP="001D6099">
      <w:pPr>
        <w:rPr>
          <w:lang w:eastAsia="en-US"/>
        </w:rPr>
      </w:pPr>
    </w:p>
    <w:p w14:paraId="03A80707" w14:textId="77777777" w:rsidR="00311DE7" w:rsidRPr="00311DE7" w:rsidRDefault="00311DE7" w:rsidP="001D6099">
      <w:pPr>
        <w:pStyle w:val="Heading1"/>
      </w:pPr>
      <w:bookmarkStart w:id="30" w:name="_Toc256000007"/>
      <w:bookmarkStart w:id="31" w:name="_Toc514852603"/>
      <w:bookmarkStart w:id="32" w:name="_Toc69462575"/>
      <w:bookmarkStart w:id="33" w:name="_Ref327221597"/>
      <w:bookmarkEnd w:id="17"/>
      <w:r w:rsidRPr="00311DE7">
        <w:t>IV. Par rīcības virziena “Lietotāju atsauksmju un lietošanas statistikas iesniegšana un apkopošana” izpildes gaitu</w:t>
      </w:r>
      <w:bookmarkEnd w:id="30"/>
      <w:bookmarkEnd w:id="31"/>
      <w:bookmarkEnd w:id="32"/>
    </w:p>
    <w:p w14:paraId="602242ED" w14:textId="77777777" w:rsidR="00311DE7" w:rsidRPr="00311DE7" w:rsidRDefault="00311DE7" w:rsidP="001D6099">
      <w:pPr>
        <w:rPr>
          <w:lang w:eastAsia="en-US"/>
        </w:rPr>
      </w:pPr>
    </w:p>
    <w:p w14:paraId="1D6E5E75" w14:textId="77777777" w:rsidR="00311DE7" w:rsidRPr="00311DE7" w:rsidRDefault="00311DE7" w:rsidP="001D6099">
      <w:r w:rsidRPr="00311DE7">
        <w:t xml:space="preserve">Rīcības virziena mērķis ir nodrošināt Vārtejas lietotājiem lietotāju atsauksmju rīku un ievākt lietotāju statistiku, saskaņā </w:t>
      </w:r>
      <w:r w:rsidRPr="00311DE7">
        <w:rPr>
          <w:bCs/>
          <w:color w:val="000000" w:themeColor="text1"/>
        </w:rPr>
        <w:t>ar Regulas 24. un 25. pantu prasību izpildi.</w:t>
      </w:r>
    </w:p>
    <w:p w14:paraId="2E2A789C" w14:textId="77777777" w:rsidR="00311DE7" w:rsidRPr="00311DE7" w:rsidRDefault="00311DE7" w:rsidP="001D6099">
      <w:r w:rsidRPr="00311DE7">
        <w:t>Regula nosaka par pienākumu apkopot lietotāju sniegtās atsauksmes par informāciju, kas nodota Vārtejā, kā arī vākt statistikas datus par e-pakalpojumu izpildes vērtējumu, informācijas kvalitāti un Vārtejas ietvaros piedāvāto palīdzības pakalpojumu kvalitāti. Iestādēm jānodrošina šīs informācijas nodošana Komisijai.</w:t>
      </w:r>
    </w:p>
    <w:p w14:paraId="2E61C4CD" w14:textId="77777777" w:rsidR="00311DE7" w:rsidRPr="00311DE7" w:rsidRDefault="00311DE7" w:rsidP="001D6099"/>
    <w:p w14:paraId="77C7B4ED" w14:textId="77777777" w:rsidR="00311DE7" w:rsidRPr="00311DE7" w:rsidRDefault="00311DE7" w:rsidP="009A1B81">
      <w:pPr>
        <w:ind w:firstLine="0"/>
      </w:pPr>
      <w:r w:rsidRPr="00311DE7">
        <w:t>Kopsavilkums par uzdevumu izpildi</w:t>
      </w:r>
    </w:p>
    <w:p w14:paraId="4374DABD" w14:textId="77777777" w:rsidR="00311DE7" w:rsidRPr="00311DE7" w:rsidRDefault="00311DE7" w:rsidP="001D6099">
      <w:pPr>
        <w:rPr>
          <w:rFonts w:eastAsia="Calibri"/>
        </w:rPr>
      </w:pPr>
    </w:p>
    <w:p w14:paraId="74F85B33" w14:textId="77777777" w:rsidR="00311DE7" w:rsidRPr="00311DE7" w:rsidRDefault="00311DE7" w:rsidP="001D6099">
      <w:r w:rsidRPr="00311DE7">
        <w:t>Komisija līdz 2020. gada 30. jūnijam pieņēma lietotāju atsauksmju risinājuma īstenošanas aktu</w:t>
      </w:r>
      <w:r w:rsidRPr="00311DE7">
        <w:rPr>
          <w:rStyle w:val="FootnoteReference"/>
          <w:color w:val="000000" w:themeColor="text1"/>
        </w:rPr>
        <w:footnoteReference w:id="21"/>
      </w:r>
      <w:r w:rsidRPr="00311DE7">
        <w:t>.  Tāpat Komisija apkopoja informāciju par nacionālajās tīmekļvietnēs integrētiem lietotāju atsauksmju apkopošanas risinājumiem un izstrādāja lietotāju atsauksmju apkopošanas risinājumu. Tā kā plānotā VRAA risinājuma pakalpojumu atsauksmju novērtēšanai un apkopošanai ieviešana aizkavējās, tika nolemts pielāgot Komisijas izveidoto risinājumu.</w:t>
      </w:r>
    </w:p>
    <w:p w14:paraId="76CFABDC" w14:textId="77777777" w:rsidR="00311DE7" w:rsidRPr="00311DE7" w:rsidRDefault="00311DE7" w:rsidP="001D6099"/>
    <w:p w14:paraId="18010C56" w14:textId="77777777" w:rsidR="00311DE7" w:rsidRPr="00311DE7" w:rsidRDefault="00311DE7" w:rsidP="001D6099">
      <w:r w:rsidRPr="00311DE7">
        <w:t>Detalizēta informācija par rīcības virzienā noteikto uzdevumu izpildi:</w:t>
      </w:r>
    </w:p>
    <w:p w14:paraId="7B430AFE" w14:textId="77777777" w:rsidR="00311DE7" w:rsidRPr="00311DE7" w:rsidRDefault="00311DE7" w:rsidP="001D6099">
      <w:pPr>
        <w:rPr>
          <w:rFonts w:eastAsia="Calibri"/>
        </w:rPr>
      </w:pPr>
      <w:r w:rsidRPr="00311DE7">
        <w:t>Uzdevumi 4.1.-4.2. saskaņā ar Informatīvo ziņojumu "Par Vienotās digitālās vārtejas regulas prasību ieviešanu"</w:t>
      </w:r>
      <w:r w:rsidRPr="00311DE7">
        <w:rPr>
          <w:rStyle w:val="FootnoteReference"/>
          <w:i/>
          <w:iCs/>
        </w:rPr>
        <w:footnoteReference w:id="22"/>
      </w:r>
      <w:r w:rsidRPr="00311DE7">
        <w:t xml:space="preserve"> </w:t>
      </w:r>
    </w:p>
    <w:p w14:paraId="5609A49D" w14:textId="77777777" w:rsidR="00311DE7" w:rsidRPr="00311DE7" w:rsidRDefault="00311DE7" w:rsidP="001D6099"/>
    <w:p w14:paraId="4AFCFC11" w14:textId="77777777" w:rsidR="00311DE7" w:rsidRPr="009A1B81" w:rsidRDefault="00311DE7" w:rsidP="001D6099">
      <w:pPr>
        <w:rPr>
          <w:b/>
          <w:bCs/>
        </w:rPr>
      </w:pPr>
      <w:r w:rsidRPr="009A1B81">
        <w:rPr>
          <w:b/>
          <w:bCs/>
        </w:rPr>
        <w:t>4.1. Izveidot lietotāju atsauksmju apkopošanas risinājumu vai pielāgot Komisijas risinājumu, lai nodrošinātu statistikas datu ievākšanu un nodošanu Komisijai un 4.2. Nodrošināt lietotāju atsauksmju apkopošanu tīmekļvietnēs saskaņā ar Regulas prasībām.</w:t>
      </w:r>
    </w:p>
    <w:p w14:paraId="665EFAA1" w14:textId="77777777" w:rsidR="00311DE7" w:rsidRPr="00311DE7" w:rsidRDefault="00311DE7" w:rsidP="001D6099">
      <w:r w:rsidRPr="00311DE7">
        <w:lastRenderedPageBreak/>
        <w:t xml:space="preserve">Komisijas atsauksmju un statistikas apkopošanas risinājums dalībvalstīm bija pieejams no 2020. gada decembra beigām. Paralēli VARAM izskatīja VRAA izstrādāta koplietošanas  rīka “Novērtēšanas komponente” izmantošanas iespēju, kuru bija plānots ieviest produkcijā 2021. gada jūnijā, nodrošinot e-pakalpojumu un informācijas novērtēšanu atbilstoši spēkā esošajam regulējumam, tajā skaitā Regulas prasībām. Tā kā VRAA “Novērtēšanas komponentes” izstrāde tika atlikta saskaņā ar Latvija.lv turpmākās attīstības plāniem, iestādes tika aicinātas izmantot Komisijas risinājumu kā alternatīvu. 2021. gadā tika uzsākta lietotāju atsauksmju risinājuma ievietošana portālā Latvija.lv, kurā pieejama liela daļa Vārtejā nodotā satura, tāpat iestādes uzsāka lietotāju atsauksmju risinājuma ieviešanu tīmekļa vietnēs. </w:t>
      </w:r>
    </w:p>
    <w:p w14:paraId="27AF1D00" w14:textId="77777777" w:rsidR="00311DE7" w:rsidRPr="00311DE7" w:rsidRDefault="00311DE7" w:rsidP="001D6099"/>
    <w:p w14:paraId="03F83F7A" w14:textId="77777777" w:rsidR="00311DE7" w:rsidRPr="00311DE7" w:rsidRDefault="00311DE7" w:rsidP="001D6099">
      <w:pPr>
        <w:pStyle w:val="Heading1"/>
      </w:pPr>
      <w:bookmarkStart w:id="34" w:name="_Toc256000008"/>
      <w:bookmarkStart w:id="35" w:name="_Toc514852604"/>
      <w:bookmarkStart w:id="36" w:name="_Toc69462576"/>
      <w:r w:rsidRPr="00311DE7">
        <w:t>V. Par rīcības virziena “Vārtejas popularizēšana” izpildes gaitu</w:t>
      </w:r>
      <w:bookmarkEnd w:id="34"/>
      <w:bookmarkEnd w:id="35"/>
      <w:bookmarkEnd w:id="36"/>
    </w:p>
    <w:p w14:paraId="65A7E0D1" w14:textId="77777777" w:rsidR="00311DE7" w:rsidRPr="00311DE7" w:rsidRDefault="00311DE7" w:rsidP="001D6099"/>
    <w:p w14:paraId="7468A649" w14:textId="77777777" w:rsidR="00311DE7" w:rsidRPr="00311DE7" w:rsidRDefault="00311DE7" w:rsidP="001D6099">
      <w:r w:rsidRPr="00311DE7">
        <w:rPr>
          <w:bCs/>
        </w:rPr>
        <w:t>Rīcības virziena mērķis ir veicināt</w:t>
      </w:r>
      <w:r w:rsidRPr="00311DE7">
        <w:t xml:space="preserve"> Vārtejas atpazīstamību nacionālā un ES mērogā, īstenojot sabiedrisko attiecību pasākumus, lai uzrunātu plašāku auditoriju un informētu par Vārtejas piedāvātajām iespējam saskaņā ar Regulas 22. un 23. pantā noteikto.</w:t>
      </w:r>
    </w:p>
    <w:p w14:paraId="6DC04217" w14:textId="1510B467" w:rsidR="00311DE7" w:rsidRDefault="00311DE7" w:rsidP="001D6099">
      <w:r w:rsidRPr="00311DE7">
        <w:t>Portāls “</w:t>
      </w:r>
      <w:proofErr w:type="spellStart"/>
      <w:r w:rsidRPr="00311DE7">
        <w:t>Your</w:t>
      </w:r>
      <w:proofErr w:type="spellEnd"/>
      <w:r w:rsidRPr="00311DE7">
        <w:t xml:space="preserve"> </w:t>
      </w:r>
      <w:proofErr w:type="spellStart"/>
      <w:r w:rsidRPr="00311DE7">
        <w:t>Europe</w:t>
      </w:r>
      <w:proofErr w:type="spellEnd"/>
      <w:r w:rsidRPr="00311DE7">
        <w:t>”</w:t>
      </w:r>
      <w:r w:rsidR="001D6099">
        <w:rPr>
          <w:rStyle w:val="FootnoteReference"/>
        </w:rPr>
        <w:footnoteReference w:id="23"/>
      </w:r>
      <w:r w:rsidR="001D6099">
        <w:t xml:space="preserve"> </w:t>
      </w:r>
      <w:r w:rsidRPr="00311DE7">
        <w:t xml:space="preserve">kalpo kā Eiropas mēroga vienotais kontaktpunkts, kurā iespējams atrast informāciju par ES dalībvalstu valsts pārvaldes iestāžu sniegtajiem pakalpojumiem, praktisku informāciju kā rīkoties dažādās dzīves situācijās katrā ES dalībvalstī, kā arī informāciju par ES mērogā pieejamajiem palīdzības pakalpojumiem (piem. EURES nodarbinātības tīklam,  pārrobežu veselības aprūpei, profesionālās kvalifikācijas atzīšanas pakalpojumiem u.c. ikdienas pakalpojumiem). </w:t>
      </w:r>
    </w:p>
    <w:p w14:paraId="3CE59C06" w14:textId="77777777" w:rsidR="009A1B81" w:rsidRPr="00311DE7" w:rsidRDefault="009A1B81" w:rsidP="001D6099"/>
    <w:p w14:paraId="1ED6F636" w14:textId="77777777" w:rsidR="00311DE7" w:rsidRPr="00311DE7" w:rsidRDefault="00311DE7" w:rsidP="001D6099">
      <w:r w:rsidRPr="00311DE7">
        <w:t>Kopsavilkums par uzdevumu izpildi</w:t>
      </w:r>
    </w:p>
    <w:p w14:paraId="7E69F543" w14:textId="77777777" w:rsidR="00311DE7" w:rsidRPr="00311DE7" w:rsidRDefault="00311DE7" w:rsidP="001D6099">
      <w:pPr>
        <w:rPr>
          <w:rFonts w:eastAsia="Calibri"/>
          <w:lang w:eastAsia="en-US"/>
        </w:rPr>
      </w:pPr>
      <w:r w:rsidRPr="00311DE7">
        <w:t xml:space="preserve">2020.gada 12.decembrī darbu uzsāka Eiropas “Vienotā digitālā vārteja”. Iestādes tika aicinātas </w:t>
      </w:r>
      <w:r w:rsidRPr="00311DE7">
        <w:rPr>
          <w:lang w:eastAsia="en-US"/>
        </w:rPr>
        <w:t>visās tīmekļvietnēs, kas iekļautas Vārtejā, ievietot Vārtejas logotipu ar saiti uz Vārteju. Logotips kalpos kā kvalitātes zīme, kas apliecinās, ka šī ir uzticama pakalpojumu sniedzēja tīmekļvietne.</w:t>
      </w:r>
    </w:p>
    <w:p w14:paraId="41F316A2" w14:textId="77777777" w:rsidR="00311DE7" w:rsidRPr="00311DE7" w:rsidRDefault="00311DE7" w:rsidP="001D6099"/>
    <w:p w14:paraId="25B8121B" w14:textId="77777777" w:rsidR="00311DE7" w:rsidRPr="001D6099" w:rsidRDefault="00311DE7" w:rsidP="001D6099">
      <w:r w:rsidRPr="001D6099">
        <w:t>Plānots, ka līdz 2023. gadam portālā “</w:t>
      </w:r>
      <w:proofErr w:type="spellStart"/>
      <w:r w:rsidRPr="001D6099">
        <w:t>Your</w:t>
      </w:r>
      <w:proofErr w:type="spellEnd"/>
      <w:r w:rsidRPr="001D6099">
        <w:t xml:space="preserve"> </w:t>
      </w:r>
      <w:proofErr w:type="spellStart"/>
      <w:r w:rsidRPr="001D6099">
        <w:t>Europe</w:t>
      </w:r>
      <w:proofErr w:type="spellEnd"/>
      <w:r w:rsidRPr="001D6099">
        <w:t xml:space="preserve">” būs pieejamas šādas iespējas. </w:t>
      </w:r>
    </w:p>
    <w:p w14:paraId="219B53B4" w14:textId="77777777" w:rsidR="00311DE7" w:rsidRPr="001D6099" w:rsidRDefault="00311DE7" w:rsidP="001D6099">
      <w:pPr>
        <w:pStyle w:val="ListParagraph"/>
        <w:numPr>
          <w:ilvl w:val="0"/>
          <w:numId w:val="8"/>
        </w:numPr>
        <w:rPr>
          <w:rFonts w:ascii="Times New Roman" w:hAnsi="Times New Roman" w:cs="Times New Roman"/>
          <w:sz w:val="28"/>
          <w:szCs w:val="28"/>
        </w:rPr>
      </w:pPr>
      <w:r w:rsidRPr="001D6099">
        <w:rPr>
          <w:rFonts w:ascii="Times New Roman" w:hAnsi="Times New Roman" w:cs="Times New Roman"/>
          <w:sz w:val="28"/>
          <w:szCs w:val="28"/>
        </w:rPr>
        <w:t xml:space="preserve">Piekļuve 21 </w:t>
      </w:r>
      <w:proofErr w:type="spellStart"/>
      <w:r w:rsidRPr="001D6099">
        <w:rPr>
          <w:rFonts w:ascii="Times New Roman" w:hAnsi="Times New Roman" w:cs="Times New Roman"/>
          <w:sz w:val="28"/>
          <w:szCs w:val="28"/>
        </w:rPr>
        <w:t>digitalizētai</w:t>
      </w:r>
      <w:proofErr w:type="spellEnd"/>
      <w:r w:rsidRPr="001D6099">
        <w:rPr>
          <w:rFonts w:ascii="Times New Roman" w:hAnsi="Times New Roman" w:cs="Times New Roman"/>
          <w:sz w:val="28"/>
          <w:szCs w:val="28"/>
        </w:rPr>
        <w:t xml:space="preserve"> procedūrai visās ES dalībvalstīs: Pārrobežu lietotājiem svarīgākās procedūras būs pilnībā pieejamas tiešsaistē visās ES dalībvalstīs ar lietošanas instrukcijām.</w:t>
      </w:r>
    </w:p>
    <w:p w14:paraId="5EE6D537" w14:textId="77777777" w:rsidR="00311DE7" w:rsidRPr="001D6099" w:rsidRDefault="00311DE7" w:rsidP="001D6099">
      <w:pPr>
        <w:pStyle w:val="ListParagraph"/>
        <w:numPr>
          <w:ilvl w:val="0"/>
          <w:numId w:val="8"/>
        </w:numPr>
        <w:rPr>
          <w:rFonts w:ascii="Times New Roman" w:hAnsi="Times New Roman" w:cs="Times New Roman"/>
          <w:sz w:val="28"/>
          <w:szCs w:val="28"/>
        </w:rPr>
      </w:pPr>
      <w:r w:rsidRPr="001D6099">
        <w:rPr>
          <w:rFonts w:ascii="Times New Roman" w:hAnsi="Times New Roman" w:cs="Times New Roman"/>
          <w:sz w:val="28"/>
          <w:szCs w:val="28"/>
        </w:rPr>
        <w:lastRenderedPageBreak/>
        <w:t>Digitāli publiskie pakalpojumi bez robežām: Jebkur ES ir iespēja piekļūt jebkuras valsts tiešsaistes procedūrām tāpat kā vietējiem iedzīvotājiem.</w:t>
      </w:r>
    </w:p>
    <w:p w14:paraId="588E7AFE" w14:textId="77777777" w:rsidR="00311DE7" w:rsidRPr="001D6099" w:rsidRDefault="00311DE7" w:rsidP="001D6099">
      <w:pPr>
        <w:pStyle w:val="ListParagraph"/>
        <w:numPr>
          <w:ilvl w:val="0"/>
          <w:numId w:val="8"/>
        </w:numPr>
        <w:rPr>
          <w:rFonts w:ascii="Times New Roman" w:hAnsi="Times New Roman" w:cs="Times New Roman"/>
          <w:sz w:val="28"/>
          <w:szCs w:val="28"/>
        </w:rPr>
      </w:pPr>
      <w:r w:rsidRPr="001D6099">
        <w:rPr>
          <w:rFonts w:ascii="Times New Roman" w:hAnsi="Times New Roman" w:cs="Times New Roman"/>
          <w:sz w:val="28"/>
          <w:szCs w:val="28"/>
        </w:rPr>
        <w:t xml:space="preserve">Vienreizes princips: Dokumenti un dati (piem., transportlīdzekļa reģistrācijas dati) būs jāiesniedz tikai vienu reizi; tie nebūs atkārtoti jāiesniedz, ja tie jau ir kādas ES iestādes rīcībā. </w:t>
      </w:r>
    </w:p>
    <w:p w14:paraId="6D113E35" w14:textId="77777777" w:rsidR="00311DE7" w:rsidRPr="00311DE7" w:rsidRDefault="00311DE7" w:rsidP="001D6099"/>
    <w:p w14:paraId="2C14BDBC" w14:textId="77777777" w:rsidR="00311DE7" w:rsidRPr="00311DE7" w:rsidRDefault="00311DE7" w:rsidP="009A1B81">
      <w:pPr>
        <w:pStyle w:val="Heading1"/>
        <w:ind w:firstLine="0"/>
      </w:pPr>
      <w:r w:rsidRPr="00311DE7">
        <w:t>Detalizēta informācija par rīcības virzienā noteikto uzdevumu izpildi:</w:t>
      </w:r>
    </w:p>
    <w:p w14:paraId="32BF9596" w14:textId="77777777" w:rsidR="00311DE7" w:rsidRPr="00311DE7" w:rsidRDefault="00311DE7" w:rsidP="001D6099">
      <w:pPr>
        <w:rPr>
          <w:rFonts w:eastAsia="Calibri"/>
        </w:rPr>
      </w:pPr>
      <w:r w:rsidRPr="00311DE7">
        <w:t>Uzdevumi 5.1.-5.2. saskaņā ar Informatīvo ziņojumu "Par Vienotās digitālās vārtejas regulas prasību ieviešanu"</w:t>
      </w:r>
      <w:r w:rsidRPr="00311DE7">
        <w:rPr>
          <w:rStyle w:val="FootnoteReference"/>
          <w:i/>
          <w:iCs/>
        </w:rPr>
        <w:footnoteReference w:id="24"/>
      </w:r>
      <w:r w:rsidRPr="00311DE7">
        <w:t xml:space="preserve"> </w:t>
      </w:r>
    </w:p>
    <w:p w14:paraId="7ADA6F7C" w14:textId="77777777" w:rsidR="00311DE7" w:rsidRPr="00311DE7" w:rsidRDefault="00311DE7" w:rsidP="001D6099">
      <w:pPr>
        <w:rPr>
          <w:lang w:eastAsia="en-US"/>
        </w:rPr>
      </w:pPr>
    </w:p>
    <w:p w14:paraId="28F3D9A4" w14:textId="77777777" w:rsidR="00311DE7" w:rsidRPr="009A1B81" w:rsidRDefault="00311DE7" w:rsidP="001D6099">
      <w:pPr>
        <w:rPr>
          <w:b/>
          <w:bCs/>
        </w:rPr>
      </w:pPr>
      <w:r w:rsidRPr="009A1B81">
        <w:rPr>
          <w:b/>
          <w:bCs/>
          <w:lang w:eastAsia="en-US"/>
        </w:rPr>
        <w:t>5.1. Izvietot Vārtejas logo ar hipersaiti uz Vārteju portālu “</w:t>
      </w:r>
      <w:proofErr w:type="spellStart"/>
      <w:r w:rsidRPr="009A1B81">
        <w:rPr>
          <w:b/>
          <w:bCs/>
          <w:lang w:eastAsia="en-US"/>
        </w:rPr>
        <w:t>Your</w:t>
      </w:r>
      <w:proofErr w:type="spellEnd"/>
      <w:r w:rsidRPr="009A1B81">
        <w:rPr>
          <w:b/>
          <w:bCs/>
          <w:lang w:eastAsia="en-US"/>
        </w:rPr>
        <w:t xml:space="preserve"> </w:t>
      </w:r>
      <w:proofErr w:type="spellStart"/>
      <w:r w:rsidRPr="009A1B81">
        <w:rPr>
          <w:b/>
          <w:bCs/>
          <w:lang w:eastAsia="en-US"/>
        </w:rPr>
        <w:t>Europe</w:t>
      </w:r>
      <w:proofErr w:type="spellEnd"/>
      <w:r w:rsidRPr="009A1B81">
        <w:rPr>
          <w:b/>
          <w:bCs/>
          <w:lang w:eastAsia="en-US"/>
        </w:rPr>
        <w:t xml:space="preserve">” visās tīmekļvietnēs, kuru domēni tiks iekļauti Vārtejā un 5.2. </w:t>
      </w:r>
      <w:r w:rsidRPr="009A1B81">
        <w:rPr>
          <w:b/>
          <w:bCs/>
        </w:rPr>
        <w:t>Informēt iestādes par Vārteju.</w:t>
      </w:r>
    </w:p>
    <w:p w14:paraId="17EA7E73" w14:textId="77777777" w:rsidR="00311DE7" w:rsidRPr="00311DE7" w:rsidRDefault="00311DE7" w:rsidP="001D6099">
      <w:pPr>
        <w:rPr>
          <w:lang w:eastAsia="en-US"/>
        </w:rPr>
      </w:pPr>
      <w:r w:rsidRPr="00311DE7">
        <w:t xml:space="preserve">Iestādēm tika nosūtīts aicinājums </w:t>
      </w:r>
      <w:r w:rsidRPr="00311DE7">
        <w:rPr>
          <w:lang w:eastAsia="en-US"/>
        </w:rPr>
        <w:t xml:space="preserve">visās tīmekļvietnēs, kas iekļautas Vārtejā, ievietot Vārtejas logotipu ar saiti uz Vārteju. </w:t>
      </w:r>
      <w:r w:rsidRPr="00311DE7">
        <w:t>Darbība veikta, lai popularizētu Vārteju nacionālā mērogā, nodrošinot Vārtejas logo un hipersaites pieejamību nacionālajās tīmekļvietnēs, kas saitējas uz Vārteju saskaņā ar Regulas 22. panta prasībām veicināt Vārtejas atpazīstamību un informētību par to Latvijā.</w:t>
      </w:r>
      <w:r w:rsidRPr="00311DE7">
        <w:rPr>
          <w:lang w:eastAsia="en-US"/>
        </w:rPr>
        <w:t xml:space="preserve"> </w:t>
      </w:r>
    </w:p>
    <w:p w14:paraId="1A01AD50" w14:textId="77777777" w:rsidR="00311DE7" w:rsidRPr="00311DE7" w:rsidRDefault="00311DE7" w:rsidP="001D6099">
      <w:r w:rsidRPr="00311DE7">
        <w:t xml:space="preserve">Iestādes tika informētas par Vārteju un Regulas ieviešanu kopumā arī sociālo tīklu rīkā </w:t>
      </w:r>
      <w:proofErr w:type="spellStart"/>
      <w:r w:rsidRPr="00311DE7">
        <w:t>Yammer</w:t>
      </w:r>
      <w:proofErr w:type="spellEnd"/>
      <w:r w:rsidRPr="00311DE7">
        <w:t>, kur VARAM izveidoja informācijas apmaiņas un sadarbības grupu kā papildu rīku saziņai ar iestādēm par aktualitātēm Regulas ieviešanā.</w:t>
      </w:r>
    </w:p>
    <w:p w14:paraId="5B54017F" w14:textId="77777777" w:rsidR="00311DE7" w:rsidRPr="00311DE7" w:rsidRDefault="00311DE7" w:rsidP="001D6099">
      <w:pPr>
        <w:rPr>
          <w:rFonts w:eastAsia="Calibri"/>
        </w:rPr>
      </w:pPr>
      <w:r w:rsidRPr="00311DE7">
        <w:rPr>
          <w:color w:val="000000" w:themeColor="text1"/>
        </w:rPr>
        <w:t xml:space="preserve">Komisija ir izstrādājusi Vārtejas popularizēšanas plānu. </w:t>
      </w:r>
      <w:r w:rsidRPr="00311DE7">
        <w:t>Lai popularizētu Vārteju Latvijā, plānots turpināt aktivitātes 2021. gadā. Aktivitātes saistītas ar iedzīvotāju, uzņēmēju, mediju informēšanu par portālu “</w:t>
      </w:r>
      <w:proofErr w:type="spellStart"/>
      <w:r w:rsidRPr="00311DE7">
        <w:t>Your</w:t>
      </w:r>
      <w:proofErr w:type="spellEnd"/>
      <w:r w:rsidRPr="00311DE7">
        <w:t xml:space="preserve"> </w:t>
      </w:r>
      <w:proofErr w:type="spellStart"/>
      <w:r w:rsidRPr="00311DE7">
        <w:t>Europe</w:t>
      </w:r>
      <w:proofErr w:type="spellEnd"/>
      <w:r w:rsidRPr="00311DE7">
        <w:t>” un pilsoņu tiesībām.</w:t>
      </w:r>
    </w:p>
    <w:p w14:paraId="40CA5860" w14:textId="77777777" w:rsidR="00311DE7" w:rsidRPr="00311DE7" w:rsidRDefault="00311DE7" w:rsidP="001D6099">
      <w:pPr>
        <w:pStyle w:val="Heading1"/>
      </w:pPr>
      <w:bookmarkStart w:id="37" w:name="_Toc69462577"/>
      <w:r w:rsidRPr="00311DE7">
        <w:t>VI. Par rīcības virziena “Regulas ieviešanas procesa koordinācija un kontrole” izpildes gaitu</w:t>
      </w:r>
      <w:bookmarkEnd w:id="37"/>
    </w:p>
    <w:p w14:paraId="2DAD42A7" w14:textId="77777777" w:rsidR="00311DE7" w:rsidRPr="00311DE7" w:rsidRDefault="00311DE7" w:rsidP="001D6099">
      <w:pPr>
        <w:rPr>
          <w:lang w:eastAsia="en-US"/>
        </w:rPr>
      </w:pPr>
    </w:p>
    <w:p w14:paraId="6AE2CA18" w14:textId="77777777" w:rsidR="00311DE7" w:rsidRPr="00311DE7" w:rsidRDefault="00311DE7" w:rsidP="001D6099">
      <w:r w:rsidRPr="00311DE7">
        <w:t>Rīcības virziena mērķis ir nacionālā mērogā nodrošināt Regulas prasību ieviešanu, veicinot iestāžu informētību un sadarbību, koordinēt Regulas prasību ieviešanu, kā arī iesaistīt sociālos partnerus Regulas prasību ieviešanas procesā.</w:t>
      </w:r>
    </w:p>
    <w:p w14:paraId="196FFB39" w14:textId="77777777" w:rsidR="00311DE7" w:rsidRPr="00311DE7" w:rsidRDefault="00311DE7" w:rsidP="001D6099"/>
    <w:p w14:paraId="780580F6" w14:textId="77777777" w:rsidR="00311DE7" w:rsidRPr="00311DE7" w:rsidRDefault="00311DE7" w:rsidP="001D6099">
      <w:r w:rsidRPr="00311DE7">
        <w:t>Kopsavilkums par uzdevumu izpildi</w:t>
      </w:r>
    </w:p>
    <w:p w14:paraId="0631539C" w14:textId="77777777" w:rsidR="00311DE7" w:rsidRPr="00311DE7" w:rsidRDefault="00311DE7" w:rsidP="001D6099">
      <w:r w:rsidRPr="00311DE7">
        <w:rPr>
          <w:color w:val="000000"/>
        </w:rPr>
        <w:lastRenderedPageBreak/>
        <w:t>2019.gada 28.oktobrī VARAM izveidoja K</w:t>
      </w:r>
      <w:r w:rsidRPr="00311DE7">
        <w:rPr>
          <w:rStyle w:val="spelle"/>
          <w:color w:val="000000" w:themeColor="text1"/>
        </w:rPr>
        <w:t xml:space="preserve">omiteju. </w:t>
      </w:r>
      <w:r w:rsidRPr="00311DE7">
        <w:t xml:space="preserve">Tās uzdevumi ir koordinēt sagatavošanās darbus, kas jāveic, lai ieviestu Regulu, kā arī  nodrošināt, ka  līdz 2022. gada 12. decembrim valsts un pašvaldību informācija par procedūrām, palīdzības un problēmu risināšanas pakalpojumiem pieejama pašvaldību tīmekļvietnēs un portālā Latvija.lv, kā arī  koordinēt Regulas 2. pielikuma pakalpojumu </w:t>
      </w:r>
      <w:proofErr w:type="spellStart"/>
      <w:r w:rsidRPr="00311DE7">
        <w:t>digitalizāciju</w:t>
      </w:r>
      <w:proofErr w:type="spellEnd"/>
      <w:r w:rsidRPr="00311DE7">
        <w:t>, nodrošinot iespēju tās veikt tiešsaistē pārrobežu lietotājiem.</w:t>
      </w:r>
      <w:bookmarkStart w:id="38" w:name="Uzturēšanas_kart_6_2"/>
      <w:r w:rsidRPr="00311DE7">
        <w:t xml:space="preserve"> </w:t>
      </w:r>
      <w:bookmarkEnd w:id="38"/>
    </w:p>
    <w:p w14:paraId="2D612D10" w14:textId="77777777" w:rsidR="00311DE7" w:rsidRPr="00311DE7" w:rsidRDefault="00311DE7" w:rsidP="001D6099">
      <w:r w:rsidRPr="00311DE7">
        <w:rPr>
          <w:shd w:val="clear" w:color="auto" w:fill="FFFFFF"/>
        </w:rPr>
        <w:t>Kopš K</w:t>
      </w:r>
      <w:r w:rsidRPr="00311DE7">
        <w:rPr>
          <w:rStyle w:val="spelle"/>
          <w:color w:val="000000" w:themeColor="text1"/>
        </w:rPr>
        <w:t>omitejas</w:t>
      </w:r>
      <w:r w:rsidRPr="00311DE7">
        <w:rPr>
          <w:shd w:val="clear" w:color="auto" w:fill="FFFFFF"/>
        </w:rPr>
        <w:t xml:space="preserve"> izveides notikušas vairākas sanāksmes, piemēram, </w:t>
      </w:r>
      <w:r w:rsidRPr="00311DE7">
        <w:t>02.06.2020. un 14.10.2021. Sanāksmju mērķis bija iepazīstināt iestādes ar aktualitātēm Regulas ieviešanā un diskutētu par aktuālajām vajadzībām, piemēram, informācijas un pakalpojumu kartējumu, tulkojumu pieprasīšanu un saišu iesniegšanu.</w:t>
      </w:r>
    </w:p>
    <w:p w14:paraId="040A8ACB" w14:textId="77777777" w:rsidR="00311DE7" w:rsidRPr="00311DE7" w:rsidRDefault="00311DE7" w:rsidP="001D6099"/>
    <w:p w14:paraId="237B4844" w14:textId="77777777" w:rsidR="00311DE7" w:rsidRPr="00311DE7" w:rsidRDefault="00311DE7" w:rsidP="009A1B81">
      <w:pPr>
        <w:pStyle w:val="Heading1"/>
      </w:pPr>
      <w:r w:rsidRPr="00311DE7">
        <w:t>Detalizēta informācija par rīcības virzienā noteikto uzdevumu izpildi:</w:t>
      </w:r>
    </w:p>
    <w:p w14:paraId="4B902D39" w14:textId="77777777" w:rsidR="00311DE7" w:rsidRPr="00311DE7" w:rsidRDefault="00311DE7" w:rsidP="001D6099">
      <w:pPr>
        <w:rPr>
          <w:rFonts w:eastAsia="Calibri"/>
        </w:rPr>
      </w:pPr>
      <w:r w:rsidRPr="00311DE7">
        <w:t>Uzdevumi 6.1.-6.2. saskaņā ar Informatīvo ziņojumu "Par Vienotās digitālās vārtejas regulas prasību ieviešanu"</w:t>
      </w:r>
      <w:r w:rsidRPr="00311DE7">
        <w:rPr>
          <w:rStyle w:val="FootnoteReference"/>
          <w:i/>
          <w:iCs/>
        </w:rPr>
        <w:footnoteReference w:id="25"/>
      </w:r>
    </w:p>
    <w:p w14:paraId="7523B959" w14:textId="77777777" w:rsidR="00311DE7" w:rsidRPr="00311DE7" w:rsidRDefault="00311DE7" w:rsidP="001D6099">
      <w:pPr>
        <w:rPr>
          <w:rStyle w:val="spelle"/>
          <w:color w:val="000000" w:themeColor="text1"/>
        </w:rPr>
      </w:pPr>
    </w:p>
    <w:p w14:paraId="768A7CC5" w14:textId="77777777" w:rsidR="00311DE7" w:rsidRPr="009A1B81" w:rsidRDefault="00311DE7" w:rsidP="001D6099">
      <w:pPr>
        <w:rPr>
          <w:b/>
          <w:bCs/>
        </w:rPr>
      </w:pPr>
      <w:r w:rsidRPr="009A1B81">
        <w:rPr>
          <w:rStyle w:val="spelle"/>
          <w:b/>
          <w:bCs/>
          <w:color w:val="000000" w:themeColor="text1"/>
        </w:rPr>
        <w:t xml:space="preserve">6.1. </w:t>
      </w:r>
      <w:r w:rsidRPr="009A1B81">
        <w:rPr>
          <w:b/>
          <w:bCs/>
        </w:rPr>
        <w:t xml:space="preserve">VARAM, sākot ar 2021. gadu, līdz 2024. gadam vienu reizi gadā līdz 30. aprīlim izstrādāt un iesniegt noteiktā kārtībā informatīvu ziņojumu par progresu Regulas ieviešanā iepriekšējajā gadā. </w:t>
      </w:r>
    </w:p>
    <w:p w14:paraId="39E19212" w14:textId="77777777" w:rsidR="00311DE7" w:rsidRPr="00311DE7" w:rsidRDefault="00311DE7" w:rsidP="001D6099">
      <w:r w:rsidRPr="00311DE7">
        <w:t xml:space="preserve">Reizi gadā tiek apkopoti būtiskākie paveiktie darbi Regulas prasību ieviešanā katrā no rīcības virzieniem un iesniegts Informatīvais ziņojums. </w:t>
      </w:r>
    </w:p>
    <w:p w14:paraId="1DAD83CC" w14:textId="77777777" w:rsidR="00311DE7" w:rsidRPr="00311DE7" w:rsidRDefault="00311DE7" w:rsidP="001D6099">
      <w:pPr>
        <w:rPr>
          <w:rFonts w:eastAsia="Calibri"/>
        </w:rPr>
      </w:pPr>
      <w:r w:rsidRPr="00311DE7">
        <w:t xml:space="preserve">Kā nākamais uzdevums ir izvērtēt Regulas ieviešanas procesu un līdz 2020. gada 30. jūnijam iesniegt  Komisijai starpposma novērtējumu par progresu Regulas ieviešanā. </w:t>
      </w:r>
    </w:p>
    <w:p w14:paraId="24A5F8FC" w14:textId="77777777" w:rsidR="00311DE7" w:rsidRPr="00311DE7" w:rsidRDefault="00311DE7" w:rsidP="001D6099"/>
    <w:p w14:paraId="0E4DA727" w14:textId="77777777" w:rsidR="00311DE7" w:rsidRPr="009A1B81" w:rsidRDefault="00311DE7" w:rsidP="001D6099">
      <w:pPr>
        <w:rPr>
          <w:rFonts w:eastAsia="Calibri"/>
          <w:b/>
          <w:bCs/>
        </w:rPr>
      </w:pPr>
      <w:r w:rsidRPr="009A1B81">
        <w:rPr>
          <w:b/>
          <w:bCs/>
        </w:rPr>
        <w:t>6.2. Izstrādāt kārtību, kas nosaka informācijas nodrošināšanu Vārtejā pēc Regulas ieviešanas.</w:t>
      </w:r>
    </w:p>
    <w:p w14:paraId="54124135" w14:textId="77777777" w:rsidR="00311DE7" w:rsidRPr="00311DE7" w:rsidRDefault="00311DE7" w:rsidP="001D6099">
      <w:r w:rsidRPr="00311DE7">
        <w:t xml:space="preserve">Nav uzsākts. Uzdevuma izpildi plānots sākt pēc 2022. gada decembra, kad ne tikai iestādes, bet arī pašvaldības būs pievienojušās Vārtejai un tiks izzinātas to vajadzības attiecībā uz informāciju un pakalpojumiem, kas jānodod Vārtejā. </w:t>
      </w:r>
    </w:p>
    <w:p w14:paraId="5B5C7761" w14:textId="77777777" w:rsidR="00311DE7" w:rsidRPr="00311DE7" w:rsidRDefault="00311DE7" w:rsidP="001D6099">
      <w:r w:rsidRPr="00311DE7">
        <w:t>Arī pēc 2023. gada, kad Vārtejas ieviešana būs noslēgusies, darbs ar tās uzturēšanu turpināsies, nodrošinot ES iedzīvotājiem piekļuvi aktuālai informācijai un pakalpojumiem.</w:t>
      </w:r>
    </w:p>
    <w:p w14:paraId="5CE5ED6F" w14:textId="77777777" w:rsidR="00311DE7" w:rsidRPr="00311DE7" w:rsidRDefault="00311DE7" w:rsidP="001D6099"/>
    <w:p w14:paraId="7BD29190" w14:textId="77777777" w:rsidR="00311DE7" w:rsidRPr="00311DE7" w:rsidRDefault="00311DE7" w:rsidP="001D6099"/>
    <w:p w14:paraId="58274423" w14:textId="29B22857" w:rsidR="00311DE7" w:rsidRPr="00311DE7" w:rsidRDefault="00311DE7" w:rsidP="009A1B81">
      <w:pPr>
        <w:ind w:firstLine="0"/>
      </w:pPr>
      <w:r w:rsidRPr="00311DE7">
        <w:lastRenderedPageBreak/>
        <w:t>Vides aizsardzības un reģionālās attīstības ministrs</w:t>
      </w:r>
      <w:r w:rsidR="009A1B81">
        <w:tab/>
      </w:r>
      <w:r w:rsidRPr="00311DE7">
        <w:t xml:space="preserve"> </w:t>
      </w:r>
      <w:r w:rsidRPr="00311DE7">
        <w:tab/>
        <w:t xml:space="preserve">A.T </w:t>
      </w:r>
      <w:proofErr w:type="spellStart"/>
      <w:r w:rsidRPr="00311DE7">
        <w:t>Plešs</w:t>
      </w:r>
      <w:proofErr w:type="spellEnd"/>
    </w:p>
    <w:p w14:paraId="756DD23F" w14:textId="77777777" w:rsidR="00311DE7" w:rsidRPr="00311DE7" w:rsidRDefault="00311DE7" w:rsidP="001D6099"/>
    <w:p w14:paraId="1127AB6F" w14:textId="77777777" w:rsidR="00311DE7" w:rsidRPr="00311DE7" w:rsidRDefault="00311DE7" w:rsidP="001D6099"/>
    <w:p w14:paraId="39E86E35" w14:textId="77777777" w:rsidR="00311DE7" w:rsidRPr="00311DE7" w:rsidRDefault="00311DE7" w:rsidP="001D6099"/>
    <w:bookmarkEnd w:id="33"/>
    <w:p w14:paraId="24D8B987" w14:textId="77777777" w:rsidR="00311DE7" w:rsidRPr="00311DE7" w:rsidRDefault="00311DE7" w:rsidP="009A1B81">
      <w:pPr>
        <w:pStyle w:val="ColorfulList-Accent12"/>
        <w:ind w:left="0" w:firstLine="0"/>
      </w:pPr>
      <w:r w:rsidRPr="00311DE7">
        <w:t>Amberga, 66016736</w:t>
      </w:r>
    </w:p>
    <w:p w14:paraId="29523474" w14:textId="77777777" w:rsidR="00311DE7" w:rsidRPr="00311DE7" w:rsidRDefault="007B26C5" w:rsidP="009A1B81">
      <w:pPr>
        <w:pStyle w:val="ColorfulList-Accent12"/>
        <w:ind w:left="0" w:firstLine="0"/>
        <w:rPr>
          <w:rStyle w:val="Hyperlink"/>
        </w:rPr>
      </w:pPr>
      <w:hyperlink r:id="rId26" w:history="1">
        <w:r w:rsidR="00311DE7" w:rsidRPr="00311DE7">
          <w:rPr>
            <w:rStyle w:val="Hyperlink"/>
          </w:rPr>
          <w:t>svetlana.amberga@varam.gov.lv</w:t>
        </w:r>
      </w:hyperlink>
    </w:p>
    <w:sectPr w:rsidR="00311DE7" w:rsidRPr="00311DE7">
      <w:footerReference w:type="default" r:id="rId2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5DE4E" w14:textId="77777777" w:rsidR="007B26C5" w:rsidRDefault="007B26C5" w:rsidP="001D6099">
      <w:r>
        <w:separator/>
      </w:r>
    </w:p>
  </w:endnote>
  <w:endnote w:type="continuationSeparator" w:id="0">
    <w:p w14:paraId="61456BC9" w14:textId="77777777" w:rsidR="007B26C5" w:rsidRDefault="007B26C5" w:rsidP="001D6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9242224"/>
      <w:docPartObj>
        <w:docPartGallery w:val="Page Numbers (Bottom of Page)"/>
        <w:docPartUnique/>
      </w:docPartObj>
    </w:sdtPr>
    <w:sdtEndPr>
      <w:rPr>
        <w:noProof/>
      </w:rPr>
    </w:sdtEndPr>
    <w:sdtContent>
      <w:p w14:paraId="6E89D999" w14:textId="411BBEAF" w:rsidR="00C10667" w:rsidRDefault="00C1066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643AEF5" w14:textId="77777777" w:rsidR="006E6D71" w:rsidRDefault="006E6D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D2394" w14:textId="77777777" w:rsidR="007B26C5" w:rsidRDefault="007B26C5" w:rsidP="001D6099">
      <w:r>
        <w:separator/>
      </w:r>
    </w:p>
  </w:footnote>
  <w:footnote w:type="continuationSeparator" w:id="0">
    <w:p w14:paraId="46C0428D" w14:textId="77777777" w:rsidR="007B26C5" w:rsidRDefault="007B26C5" w:rsidP="001D6099">
      <w:r>
        <w:continuationSeparator/>
      </w:r>
    </w:p>
  </w:footnote>
  <w:footnote w:id="1">
    <w:p w14:paraId="5EF01C97" w14:textId="77777777" w:rsidR="00311DE7" w:rsidRPr="008E0280" w:rsidRDefault="00311DE7" w:rsidP="001D6099">
      <w:pPr>
        <w:pStyle w:val="FootnoteText"/>
        <w:rPr>
          <w:rFonts w:ascii="Times New Roman" w:hAnsi="Times New Roman" w:cs="Times New Roman"/>
        </w:rPr>
      </w:pPr>
      <w:r w:rsidRPr="008E0280">
        <w:rPr>
          <w:rStyle w:val="FootnoteReference"/>
          <w:rFonts w:ascii="Times New Roman" w:hAnsi="Times New Roman" w:cs="Times New Roman"/>
        </w:rPr>
        <w:footnoteRef/>
      </w:r>
      <w:r w:rsidRPr="008E0280">
        <w:rPr>
          <w:rFonts w:ascii="Times New Roman" w:hAnsi="Times New Roman" w:cs="Times New Roman"/>
        </w:rPr>
        <w:t xml:space="preserve"> Vienotās digitālās Vārtejas regulas īstenošanai 2019.–2020. gada darba programma – </w:t>
      </w:r>
      <w:hyperlink r:id="rId1" w:history="1">
        <w:r w:rsidRPr="008E0280">
          <w:rPr>
            <w:rStyle w:val="Hyperlink"/>
            <w:rFonts w:ascii="Times New Roman" w:hAnsi="Times New Roman" w:cs="Times New Roman"/>
          </w:rPr>
          <w:t>https://eur-lex.europa.eu/legal-content/LV/TXT/PDF/?uri=CELEX:52019XC0731(01)&amp;from=EN</w:t>
        </w:r>
      </w:hyperlink>
    </w:p>
  </w:footnote>
  <w:footnote w:id="2">
    <w:p w14:paraId="3C85A306" w14:textId="77777777" w:rsidR="00311DE7" w:rsidRDefault="00311DE7" w:rsidP="001D6099">
      <w:pPr>
        <w:pStyle w:val="FootnoteText"/>
        <w:rPr>
          <w:lang w:val="lv-LV"/>
        </w:rPr>
      </w:pPr>
      <w:r w:rsidRPr="008E0280">
        <w:rPr>
          <w:rStyle w:val="FootnoteReference"/>
          <w:rFonts w:ascii="Times New Roman" w:hAnsi="Times New Roman" w:cs="Times New Roman"/>
        </w:rPr>
        <w:footnoteRef/>
      </w:r>
      <w:r w:rsidRPr="008E0280">
        <w:rPr>
          <w:rFonts w:ascii="Times New Roman" w:hAnsi="Times New Roman" w:cs="Times New Roman"/>
        </w:rPr>
        <w:t xml:space="preserve"> Informatīv</w:t>
      </w:r>
      <w:r w:rsidRPr="008E0280">
        <w:rPr>
          <w:rFonts w:ascii="Times New Roman" w:hAnsi="Times New Roman" w:cs="Times New Roman"/>
          <w:lang w:val="lv-LV"/>
        </w:rPr>
        <w:t>ais</w:t>
      </w:r>
      <w:r w:rsidRPr="008E0280">
        <w:rPr>
          <w:rFonts w:ascii="Times New Roman" w:hAnsi="Times New Roman" w:cs="Times New Roman"/>
        </w:rPr>
        <w:t xml:space="preserve"> ziņojum</w:t>
      </w:r>
      <w:r w:rsidRPr="008E0280">
        <w:rPr>
          <w:rFonts w:ascii="Times New Roman" w:hAnsi="Times New Roman" w:cs="Times New Roman"/>
          <w:lang w:val="lv-LV"/>
        </w:rPr>
        <w:t>s</w:t>
      </w:r>
      <w:r w:rsidRPr="008E0280">
        <w:rPr>
          <w:rFonts w:ascii="Times New Roman" w:hAnsi="Times New Roman" w:cs="Times New Roman"/>
        </w:rPr>
        <w:t xml:space="preserve"> "Par Vienotās digitālās vārtejas regulas prasību ieviešanu" </w:t>
      </w:r>
      <w:r w:rsidRPr="008E0280">
        <w:rPr>
          <w:rFonts w:ascii="Times New Roman" w:hAnsi="Times New Roman" w:cs="Times New Roman"/>
          <w:lang w:val="lv-LV"/>
        </w:rPr>
        <w:t>–</w:t>
      </w:r>
      <w:r w:rsidRPr="008E0280">
        <w:rPr>
          <w:rFonts w:ascii="Times New Roman" w:hAnsi="Times New Roman" w:cs="Times New Roman"/>
        </w:rPr>
        <w:t>http://tap.mk.gov.lv/mk/tap/?pid=40479896</w:t>
      </w:r>
      <w:r>
        <w:rPr>
          <w:lang w:val="lv-LV"/>
        </w:rPr>
        <w:t xml:space="preserve"> </w:t>
      </w:r>
    </w:p>
  </w:footnote>
  <w:footnote w:id="3">
    <w:p w14:paraId="6DCBF2AC" w14:textId="77777777" w:rsidR="00311DE7" w:rsidRPr="00C10667" w:rsidRDefault="00311DE7" w:rsidP="001D6099">
      <w:pPr>
        <w:pStyle w:val="FootnoteText"/>
        <w:rPr>
          <w:rFonts w:ascii="Times New Roman" w:hAnsi="Times New Roman" w:cs="Times New Roman"/>
        </w:rPr>
      </w:pPr>
      <w:r>
        <w:rPr>
          <w:rStyle w:val="FootnoteReference"/>
          <w:rFonts w:ascii="Times New Roman" w:hAnsi="Times New Roman"/>
        </w:rPr>
        <w:footnoteRef/>
      </w:r>
      <w:r>
        <w:rPr>
          <w:rFonts w:ascii="Times New Roman" w:hAnsi="Times New Roman"/>
        </w:rPr>
        <w:t xml:space="preserve"> Valdības rīcības plāns pieejams: </w:t>
      </w:r>
      <w:hyperlink r:id="rId2" w:history="1">
        <w:r w:rsidRPr="00C10667">
          <w:rPr>
            <w:rStyle w:val="Hyperlink"/>
            <w:rFonts w:ascii="Times New Roman" w:hAnsi="Times New Roman" w:cs="Times New Roman"/>
          </w:rPr>
          <w:t>https://likumi.lv/ta/id/306691-par-valdibas-ricibas-planu-deklaracijas-par-artura-krisjana-karina-vadita-ministru-kabineta-iecereto-darbibu-istenosanai</w:t>
        </w:r>
      </w:hyperlink>
      <w:r w:rsidRPr="00C10667">
        <w:rPr>
          <w:rFonts w:ascii="Times New Roman" w:hAnsi="Times New Roman" w:cs="Times New Roman"/>
        </w:rPr>
        <w:t>.</w:t>
      </w:r>
    </w:p>
  </w:footnote>
  <w:footnote w:id="4">
    <w:p w14:paraId="442993FD" w14:textId="77777777" w:rsidR="00311DE7" w:rsidRDefault="00311DE7" w:rsidP="001D6099">
      <w:pPr>
        <w:pStyle w:val="FootnoteText"/>
      </w:pPr>
      <w:r w:rsidRPr="00C10667">
        <w:rPr>
          <w:rStyle w:val="FootnoteReference"/>
          <w:rFonts w:ascii="Times New Roman" w:hAnsi="Times New Roman" w:cs="Times New Roman"/>
        </w:rPr>
        <w:footnoteRef/>
      </w:r>
      <w:r w:rsidRPr="00C10667">
        <w:rPr>
          <w:rFonts w:ascii="Times New Roman" w:hAnsi="Times New Roman" w:cs="Times New Roman"/>
        </w:rPr>
        <w:t xml:space="preserve"> Regula, ar ko izveido vienotu digitālo Vārteju, lai sniegtu piekļuvi informācijai, procedūrām un palīdzības un problēmu risināšanas pakalpojumiem, un ar ko groza Regulu (ES) Nr. 1024/2012 – </w:t>
      </w:r>
      <w:hyperlink r:id="rId3" w:history="1">
        <w:r w:rsidRPr="00C10667">
          <w:rPr>
            <w:rStyle w:val="Hyperlink"/>
            <w:rFonts w:ascii="Times New Roman" w:hAnsi="Times New Roman" w:cs="Times New Roman"/>
          </w:rPr>
          <w:t>https://eur-lex.europa.eu/legal-content/LV/TXT/?uri=CELEX:32018R1724</w:t>
        </w:r>
      </w:hyperlink>
    </w:p>
  </w:footnote>
  <w:footnote w:id="5">
    <w:p w14:paraId="0A1F3325" w14:textId="77777777" w:rsidR="00311DE7" w:rsidRPr="00864E15" w:rsidRDefault="00311DE7" w:rsidP="001D6099">
      <w:pPr>
        <w:pStyle w:val="FootnoteTex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VARAM  2019. gada 28. oktobra rīkojums Nr. 1-2/132 “Par Vienotās digitālās vārtejas starpinstitūciju vadības komitejas izveidi”</w:t>
      </w:r>
    </w:p>
  </w:footnote>
  <w:footnote w:id="6">
    <w:p w14:paraId="69F9CAEF" w14:textId="77777777" w:rsidR="00311DE7" w:rsidRPr="00864E15" w:rsidRDefault="00311DE7" w:rsidP="001D6099">
      <w:pPr>
        <w:pStyle w:val="FootnoteTex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w:t>
      </w:r>
      <w:r w:rsidRPr="00864E15">
        <w:rPr>
          <w:rFonts w:ascii="Times New Roman" w:hAnsi="Times New Roman" w:cs="Times New Roman"/>
          <w:lang w:val="lv-LV"/>
        </w:rPr>
        <w:t>ais</w:t>
      </w:r>
      <w:r w:rsidRPr="00864E15">
        <w:rPr>
          <w:rFonts w:ascii="Times New Roman" w:hAnsi="Times New Roman" w:cs="Times New Roman"/>
        </w:rPr>
        <w:t xml:space="preserve"> ziņojum</w:t>
      </w:r>
      <w:r w:rsidRPr="00864E15">
        <w:rPr>
          <w:rFonts w:ascii="Times New Roman" w:hAnsi="Times New Roman" w:cs="Times New Roman"/>
          <w:lang w:val="lv-LV"/>
        </w:rPr>
        <w:t>s</w:t>
      </w:r>
      <w:r w:rsidRPr="00864E15">
        <w:rPr>
          <w:rFonts w:ascii="Times New Roman" w:hAnsi="Times New Roman" w:cs="Times New Roman"/>
        </w:rPr>
        <w:t xml:space="preserve"> "Par Vienotās digitālās vārtejas regulas prasību ieviešanu" </w:t>
      </w:r>
      <w:r w:rsidRPr="00864E15">
        <w:rPr>
          <w:rFonts w:ascii="Times New Roman" w:hAnsi="Times New Roman" w:cs="Times New Roman"/>
          <w:lang w:val="lv-LV"/>
        </w:rPr>
        <w:t>–</w:t>
      </w:r>
      <w:r w:rsidRPr="00864E15">
        <w:rPr>
          <w:rFonts w:ascii="Times New Roman" w:hAnsi="Times New Roman" w:cs="Times New Roman"/>
        </w:rPr>
        <w:t>http://tap.mk.gov.lv/mk/tap/?pid=40479896</w:t>
      </w:r>
    </w:p>
  </w:footnote>
  <w:footnote w:id="7">
    <w:p w14:paraId="2EEB3161" w14:textId="77777777" w:rsidR="00311DE7" w:rsidRPr="00864E15" w:rsidRDefault="00311DE7" w:rsidP="00864E15">
      <w:pPr>
        <w:pStyle w:val="FootnoteText"/>
        <w:jc w:val="left"/>
        <w:rPr>
          <w:rFonts w:ascii="Times New Roman" w:hAnsi="Times New Roman" w:cs="Times New Roman"/>
          <w:lang w:val="lv-LV"/>
        </w:rPr>
      </w:pPr>
      <w:r>
        <w:rPr>
          <w:rStyle w:val="FootnoteReference"/>
        </w:rPr>
        <w:footnoteRef/>
      </w:r>
      <w:r>
        <w:t xml:space="preserve"> </w:t>
      </w:r>
      <w:r w:rsidRPr="00864E15">
        <w:rPr>
          <w:rFonts w:ascii="Times New Roman" w:hAnsi="Times New Roman" w:cs="Times New Roman"/>
        </w:rPr>
        <w:t>Informatīvais ziņojums "Par Vienotās digitālās vārtejas regulas prasību ieviešanu" –http://tap.mk.gov.lv/mk/tap/?pid=40479896</w:t>
      </w:r>
    </w:p>
  </w:footnote>
  <w:footnote w:id="8">
    <w:p w14:paraId="0FD22810" w14:textId="77777777" w:rsidR="00311DE7" w:rsidRDefault="00311DE7" w:rsidP="00864E15">
      <w:pPr>
        <w:pStyle w:val="FootnoteText"/>
        <w:jc w:val="left"/>
        <w:rPr>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Vadlīnijas pieejamas</w:t>
      </w:r>
      <w:r w:rsidRPr="00864E15">
        <w:rPr>
          <w:rFonts w:ascii="Times New Roman" w:hAnsi="Times New Roman" w:cs="Times New Roman"/>
          <w:lang w:val="lv-LV"/>
        </w:rPr>
        <w:t xml:space="preserve">: </w:t>
      </w:r>
      <w:r w:rsidRPr="00864E15">
        <w:rPr>
          <w:rFonts w:ascii="Times New Roman" w:hAnsi="Times New Roman" w:cs="Times New Roman"/>
        </w:rPr>
        <w:t xml:space="preserve"> https://www.varam.gov.lv/sites/varam/files/content/vadlinijas_sdg_info_23.07.2020.docx</w:t>
      </w:r>
    </w:p>
  </w:footnote>
  <w:footnote w:id="9">
    <w:p w14:paraId="0C57AEC7" w14:textId="77777777" w:rsidR="00311DE7" w:rsidRPr="00864E15" w:rsidRDefault="00311DE7" w:rsidP="001D6099">
      <w:pPr>
        <w:pStyle w:val="FootnoteTex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Informatīvais ziņojums "Par Vienotās digitālās vārtejas regulas prasību ieviešanu" –http://tap.mk.gov.lv/mk/tap/?pid=40479896</w:t>
      </w:r>
    </w:p>
  </w:footnote>
  <w:footnote w:id="10">
    <w:p w14:paraId="1AD8CE47" w14:textId="7F4CDBB2" w:rsidR="00311DE7" w:rsidRDefault="00311DE7" w:rsidP="001D6099">
      <w:pPr>
        <w:pStyle w:val="FootnoteText"/>
      </w:pPr>
    </w:p>
  </w:footnote>
  <w:footnote w:id="11">
    <w:p w14:paraId="0A6E464C" w14:textId="77777777" w:rsidR="00311DE7" w:rsidRDefault="00311DE7" w:rsidP="001D6099">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Vispārējā datu aizsardzības regula - </w:t>
      </w:r>
      <w:hyperlink r:id="rId4" w:history="1">
        <w:r>
          <w:rPr>
            <w:rStyle w:val="Hyperlink"/>
          </w:rPr>
          <w:t>https://eur-lex.europa.eu/legal-content/LV/TXT/PDF/?uri=CELEX:32016R0679&amp;from=LV</w:t>
        </w:r>
      </w:hyperlink>
    </w:p>
  </w:footnote>
  <w:footnote w:id="12">
    <w:p w14:paraId="438B968B" w14:textId="77777777" w:rsidR="00311DE7" w:rsidRPr="009A1B81" w:rsidRDefault="00311DE7" w:rsidP="009A1B81">
      <w:pPr>
        <w:pStyle w:val="FootnoteText"/>
        <w:jc w:val="left"/>
        <w:rPr>
          <w:rFonts w:ascii="Times New Roman" w:hAnsi="Times New Roman" w:cs="Times New Roman"/>
          <w:lang w:val="lv-LV"/>
        </w:rPr>
      </w:pPr>
      <w:r w:rsidRPr="009A1B81">
        <w:rPr>
          <w:rStyle w:val="FootnoteReference"/>
          <w:rFonts w:ascii="Times New Roman" w:hAnsi="Times New Roman" w:cs="Times New Roman"/>
        </w:rPr>
        <w:footnoteRef/>
      </w:r>
      <w:r w:rsidRPr="009A1B81">
        <w:rPr>
          <w:rFonts w:ascii="Times New Roman" w:hAnsi="Times New Roman" w:cs="Times New Roman"/>
        </w:rPr>
        <w:t xml:space="preserve"> Informatīvais ziņojums "Par Vienotās digitālās vārtejas regulas prasību ieviešanu" –http://tap.mk.gov.lv/mk/tap/?pid=40479896</w:t>
      </w:r>
    </w:p>
  </w:footnote>
  <w:footnote w:id="13">
    <w:p w14:paraId="5D1B3088" w14:textId="77777777" w:rsidR="00311DE7" w:rsidRPr="009A1B81" w:rsidRDefault="00311DE7" w:rsidP="009A1B81">
      <w:pPr>
        <w:pStyle w:val="FootnoteText"/>
        <w:jc w:val="left"/>
        <w:rPr>
          <w:rStyle w:val="Hyperlink"/>
          <w:rFonts w:ascii="Times New Roman" w:hAnsi="Times New Roman" w:cs="Times New Roman"/>
        </w:rPr>
      </w:pPr>
      <w:r w:rsidRPr="009A1B81">
        <w:rPr>
          <w:rStyle w:val="FootnoteReference"/>
          <w:rFonts w:ascii="Times New Roman" w:hAnsi="Times New Roman" w:cs="Times New Roman"/>
        </w:rPr>
        <w:footnoteRef/>
      </w:r>
      <w:r w:rsidRPr="009A1B81">
        <w:rPr>
          <w:rFonts w:ascii="Times New Roman" w:hAnsi="Times New Roman" w:cs="Times New Roman"/>
        </w:rPr>
        <w:t xml:space="preserve"> </w:t>
      </w:r>
      <w:r w:rsidRPr="009A1B81">
        <w:rPr>
          <w:rStyle w:val="Hyperlink"/>
          <w:rFonts w:ascii="Times New Roman" w:hAnsi="Times New Roman" w:cs="Times New Roman"/>
        </w:rPr>
        <w:t>Vienotais uzņēmēju pakalpojumu kontaktpunkts - https://ec.europa.eu/growth/single-market/services/services-directive/in-practice/contact_en</w:t>
      </w:r>
    </w:p>
  </w:footnote>
  <w:footnote w:id="14">
    <w:p w14:paraId="7721A9AB" w14:textId="77777777" w:rsidR="00311DE7" w:rsidRPr="009A1B81" w:rsidRDefault="00311DE7" w:rsidP="009A1B81">
      <w:pPr>
        <w:pStyle w:val="FootnoteText"/>
        <w:jc w:val="left"/>
        <w:rPr>
          <w:rFonts w:ascii="Times New Roman" w:hAnsi="Times New Roman" w:cs="Times New Roman"/>
        </w:rPr>
      </w:pPr>
      <w:r w:rsidRPr="009A1B81">
        <w:rPr>
          <w:rStyle w:val="FootnoteReference"/>
          <w:rFonts w:ascii="Times New Roman" w:hAnsi="Times New Roman" w:cs="Times New Roman"/>
        </w:rPr>
        <w:footnoteRef/>
      </w:r>
      <w:r w:rsidRPr="009A1B81">
        <w:rPr>
          <w:rFonts w:ascii="Times New Roman" w:hAnsi="Times New Roman" w:cs="Times New Roman"/>
        </w:rPr>
        <w:t xml:space="preserve">Vienotais pakalpojumu kontaktpunkts - </w:t>
      </w:r>
      <w:hyperlink r:id="rId5" w:history="1">
        <w:r w:rsidRPr="009A1B81">
          <w:rPr>
            <w:rStyle w:val="Hyperlink"/>
            <w:rFonts w:ascii="Times New Roman" w:hAnsi="Times New Roman" w:cs="Times New Roman"/>
          </w:rPr>
          <w:t>http://www.liaa.gov.lv/lv</w:t>
        </w:r>
      </w:hyperlink>
    </w:p>
  </w:footnote>
  <w:footnote w:id="15">
    <w:p w14:paraId="61770446" w14:textId="77777777" w:rsidR="00311DE7" w:rsidRPr="009A1B81" w:rsidRDefault="00311DE7" w:rsidP="009A1B81">
      <w:pPr>
        <w:pStyle w:val="FootnoteText"/>
        <w:jc w:val="left"/>
        <w:rPr>
          <w:rFonts w:ascii="Times New Roman" w:hAnsi="Times New Roman" w:cs="Times New Roman"/>
        </w:rPr>
      </w:pPr>
      <w:r w:rsidRPr="009A1B81">
        <w:rPr>
          <w:rStyle w:val="FootnoteReference"/>
          <w:rFonts w:ascii="Times New Roman" w:hAnsi="Times New Roman" w:cs="Times New Roman"/>
        </w:rPr>
        <w:footnoteRef/>
      </w:r>
      <w:r w:rsidRPr="009A1B81">
        <w:rPr>
          <w:rFonts w:ascii="Times New Roman" w:hAnsi="Times New Roman" w:cs="Times New Roman"/>
        </w:rPr>
        <w:t xml:space="preserve"> Būvizstrādājumu vienotais produktu kontaktpunkts</w:t>
      </w:r>
      <w:r w:rsidRPr="009A1B81">
        <w:rPr>
          <w:rFonts w:ascii="Times New Roman" w:hAnsi="Times New Roman" w:cs="Times New Roman"/>
          <w:lang w:val="lv-LV"/>
        </w:rPr>
        <w:t xml:space="preserve"> </w:t>
      </w:r>
      <w:hyperlink r:id="rId6" w:history="1">
        <w:r w:rsidRPr="009A1B81">
          <w:rPr>
            <w:rStyle w:val="Hyperlink"/>
            <w:rFonts w:ascii="Times New Roman" w:hAnsi="Times New Roman" w:cs="Times New Roman"/>
          </w:rPr>
          <w:t>https://www.em.gov.lv/files/buvnieciba/cpr_data_real_20140701_2.pdf</w:t>
        </w:r>
      </w:hyperlink>
    </w:p>
  </w:footnote>
  <w:footnote w:id="16">
    <w:p w14:paraId="2DEBD4B6" w14:textId="77777777" w:rsidR="00311DE7" w:rsidRPr="009A1B81" w:rsidRDefault="00311DE7" w:rsidP="009A1B81">
      <w:pPr>
        <w:pStyle w:val="FootnoteText"/>
        <w:jc w:val="left"/>
        <w:rPr>
          <w:rFonts w:ascii="Times New Roman" w:hAnsi="Times New Roman" w:cs="Times New Roman"/>
        </w:rPr>
      </w:pPr>
      <w:r w:rsidRPr="009A1B81">
        <w:rPr>
          <w:rStyle w:val="FootnoteReference"/>
          <w:rFonts w:ascii="Times New Roman" w:hAnsi="Times New Roman" w:cs="Times New Roman"/>
        </w:rPr>
        <w:footnoteRef/>
      </w:r>
      <w:r w:rsidRPr="009A1B81">
        <w:rPr>
          <w:rFonts w:ascii="Times New Roman" w:hAnsi="Times New Roman" w:cs="Times New Roman"/>
        </w:rPr>
        <w:t xml:space="preserve"> NVD - </w:t>
      </w:r>
      <w:hyperlink r:id="rId7" w:history="1">
        <w:r w:rsidRPr="009A1B81">
          <w:rPr>
            <w:rStyle w:val="Hyperlink"/>
            <w:rFonts w:ascii="Times New Roman" w:hAnsi="Times New Roman" w:cs="Times New Roman"/>
          </w:rPr>
          <w:t>http://www.vmnvd.gov.lv/</w:t>
        </w:r>
      </w:hyperlink>
    </w:p>
  </w:footnote>
  <w:footnote w:id="17">
    <w:p w14:paraId="4B4C1771" w14:textId="77777777" w:rsidR="00311DE7" w:rsidRPr="00864E15" w:rsidRDefault="00311DE7" w:rsidP="009A1B81">
      <w:pPr>
        <w:pStyle w:val="FootnoteText"/>
        <w:jc w:val="left"/>
        <w:rPr>
          <w:rFonts w:ascii="Times New Roman" w:hAnsi="Times New Roman" w:cs="Times New Roman"/>
        </w:rPr>
      </w:pPr>
      <w:r w:rsidRPr="009A1B81">
        <w:rPr>
          <w:rStyle w:val="FootnoteReference"/>
          <w:rFonts w:ascii="Times New Roman" w:hAnsi="Times New Roman" w:cs="Times New Roman"/>
        </w:rPr>
        <w:footnoteRef/>
      </w:r>
      <w:r w:rsidRPr="009A1B81">
        <w:rPr>
          <w:rFonts w:ascii="Times New Roman" w:hAnsi="Times New Roman" w:cs="Times New Roman"/>
        </w:rPr>
        <w:t xml:space="preserve"> EURES - </w:t>
      </w:r>
      <w:hyperlink r:id="rId8" w:history="1">
        <w:r w:rsidRPr="009A1B81">
          <w:rPr>
            <w:rStyle w:val="Hyperlink"/>
            <w:rFonts w:ascii="Times New Roman" w:hAnsi="Times New Roman" w:cs="Times New Roman"/>
          </w:rPr>
          <w:t>https://ec.europa.eu/eures/public/lv/homepage</w:t>
        </w:r>
      </w:hyperlink>
    </w:p>
  </w:footnote>
  <w:footnote w:id="18">
    <w:p w14:paraId="412C3546" w14:textId="77777777" w:rsidR="00311DE7" w:rsidRPr="00864E15" w:rsidRDefault="00311DE7" w:rsidP="00864E15">
      <w:pPr>
        <w:pStyle w:val="FootnoteText"/>
        <w:jc w:val="left"/>
        <w:rPr>
          <w:rFonts w:ascii="Times New Roman" w:hAnsi="Times New Roman" w:cs="Times New Roman"/>
        </w:rPr>
      </w:pPr>
      <w:r w:rsidRPr="00864E15">
        <w:rPr>
          <w:rStyle w:val="FootnoteReference"/>
          <w:rFonts w:ascii="Times New Roman" w:hAnsi="Times New Roman" w:cs="Times New Roman"/>
        </w:rPr>
        <w:footnoteRef/>
      </w:r>
      <w:r w:rsidRPr="00864E15">
        <w:rPr>
          <w:rFonts w:ascii="Times New Roman" w:hAnsi="Times New Roman" w:cs="Times New Roman"/>
        </w:rPr>
        <w:t xml:space="preserve"> ES platforma strīdu izšķiršanai tiešsaistē - </w:t>
      </w:r>
      <w:hyperlink r:id="rId9" w:history="1">
        <w:r w:rsidRPr="00864E15">
          <w:rPr>
            <w:rStyle w:val="Hyperlink"/>
            <w:rFonts w:ascii="Times New Roman" w:hAnsi="Times New Roman" w:cs="Times New Roman"/>
          </w:rPr>
          <w:t>https://ec.europa.eu/consumers/odr/main/index.cfm?event=main.home2.show&amp;lng=LV</w:t>
        </w:r>
      </w:hyperlink>
    </w:p>
  </w:footnote>
  <w:footnote w:id="19">
    <w:p w14:paraId="5804957F" w14:textId="77777777" w:rsidR="00311DE7" w:rsidRPr="00864E15" w:rsidRDefault="00311DE7" w:rsidP="00864E15">
      <w:pPr>
        <w:pStyle w:val="FootnoteText"/>
        <w:jc w:val="lef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Informatīvais ziņojums "Par Vienotās digitālās vārtejas regulas prasību ieviešanu" –http://tap.mk.gov.lv/mk/tap/?pid=40479896</w:t>
      </w:r>
    </w:p>
  </w:footnote>
  <w:footnote w:id="20">
    <w:p w14:paraId="42E80586" w14:textId="77777777" w:rsidR="00311DE7" w:rsidRDefault="00311DE7" w:rsidP="00864E15">
      <w:pPr>
        <w:pStyle w:val="FootnoteText"/>
        <w:jc w:val="left"/>
        <w:rPr>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Vadlīnijas pieejamas</w:t>
      </w:r>
      <w:r w:rsidRPr="00864E15">
        <w:rPr>
          <w:rFonts w:ascii="Times New Roman" w:hAnsi="Times New Roman" w:cs="Times New Roman"/>
          <w:lang w:val="lv-LV"/>
        </w:rPr>
        <w:t xml:space="preserve">: </w:t>
      </w:r>
      <w:r w:rsidRPr="00864E15">
        <w:rPr>
          <w:rFonts w:ascii="Times New Roman" w:hAnsi="Times New Roman" w:cs="Times New Roman"/>
        </w:rPr>
        <w:t xml:space="preserve"> https://www.varam.gov.lv/sites/varam/files/content/vadlinijas_sdg_info_23.07.2020.docx</w:t>
      </w:r>
    </w:p>
  </w:footnote>
  <w:footnote w:id="21">
    <w:p w14:paraId="5A28BE18" w14:textId="77777777" w:rsidR="00311DE7" w:rsidRPr="00864E15" w:rsidRDefault="00311DE7" w:rsidP="00864E15">
      <w:pPr>
        <w:pStyle w:val="FootnoteText"/>
        <w:jc w:val="lef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Pieejams: https://eur-lex.europa.eu/legal-content/LV/TXT/PDF/?uri=CELEX:32020R1121&amp;from=EN.</w:t>
      </w:r>
    </w:p>
  </w:footnote>
  <w:footnote w:id="22">
    <w:p w14:paraId="68118571" w14:textId="77777777" w:rsidR="00311DE7" w:rsidRDefault="00311DE7" w:rsidP="00864E15">
      <w:pPr>
        <w:pStyle w:val="FootnoteText"/>
        <w:jc w:val="left"/>
        <w:rPr>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Informatīvais ziņojums "Par Vienotās digitālās vārtejas regulas prasību ieviešanu" –http://tap.mk.gov.lv/mk/tap/?pid=40479896</w:t>
      </w:r>
    </w:p>
  </w:footnote>
  <w:footnote w:id="23">
    <w:p w14:paraId="213856AA" w14:textId="75937C33" w:rsidR="001D6099" w:rsidRPr="001D6099" w:rsidRDefault="001D6099">
      <w:pPr>
        <w:pStyle w:val="FootnoteText"/>
        <w:rPr>
          <w:rFonts w:ascii="Times New Roman" w:hAnsi="Times New Roman" w:cs="Times New Roman"/>
          <w:lang w:val="lv-LV"/>
        </w:rPr>
      </w:pPr>
      <w:r w:rsidRPr="001D6099">
        <w:rPr>
          <w:rStyle w:val="FootnoteReference"/>
          <w:rFonts w:ascii="Times New Roman" w:hAnsi="Times New Roman" w:cs="Times New Roman"/>
        </w:rPr>
        <w:footnoteRef/>
      </w:r>
      <w:r w:rsidRPr="001D6099">
        <w:rPr>
          <w:rFonts w:ascii="Times New Roman" w:hAnsi="Times New Roman" w:cs="Times New Roman"/>
        </w:rPr>
        <w:t xml:space="preserve"> Portāla adrese ir https://europa.eu/youreurope/ .</w:t>
      </w:r>
    </w:p>
  </w:footnote>
  <w:footnote w:id="24">
    <w:p w14:paraId="03394162" w14:textId="77777777" w:rsidR="00311DE7" w:rsidRPr="00864E15" w:rsidRDefault="00311DE7" w:rsidP="001D6099">
      <w:pPr>
        <w:pStyle w:val="FootnoteTex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Informatīvais ziņojums "Par Vienotās digitālās vārtejas regulas prasību ieviešanu" –http://tap.mk.gov.lv/mk/tap/?pid=40479896</w:t>
      </w:r>
    </w:p>
  </w:footnote>
  <w:footnote w:id="25">
    <w:p w14:paraId="468DED58" w14:textId="77777777" w:rsidR="00311DE7" w:rsidRPr="00864E15" w:rsidRDefault="00311DE7" w:rsidP="001D6099">
      <w:pPr>
        <w:pStyle w:val="FootnoteText"/>
        <w:rPr>
          <w:rFonts w:ascii="Times New Roman" w:hAnsi="Times New Roman" w:cs="Times New Roman"/>
          <w:lang w:val="lv-LV"/>
        </w:rPr>
      </w:pPr>
      <w:r w:rsidRPr="00864E15">
        <w:rPr>
          <w:rStyle w:val="FootnoteReference"/>
          <w:rFonts w:ascii="Times New Roman" w:hAnsi="Times New Roman" w:cs="Times New Roman"/>
        </w:rPr>
        <w:footnoteRef/>
      </w:r>
      <w:r w:rsidRPr="00864E15">
        <w:rPr>
          <w:rFonts w:ascii="Times New Roman" w:hAnsi="Times New Roman" w:cs="Times New Roman"/>
        </w:rPr>
        <w:t xml:space="preserve"> Informatīvais ziņojums "Par Vienotās digitālās vārtejas regulas prasību ieviešanu" –http://tap.mk.gov.lv/mk/tap/?pid=40479896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B38"/>
    <w:multiLevelType w:val="hybridMultilevel"/>
    <w:tmpl w:val="7F1A9FF4"/>
    <w:lvl w:ilvl="0" w:tplc="A7284D3A">
      <w:start w:val="1"/>
      <w:numFmt w:val="bullet"/>
      <w:lvlText w:val="—"/>
      <w:lvlJc w:val="left"/>
      <w:pPr>
        <w:ind w:left="1800" w:hanging="360"/>
      </w:pPr>
      <w:rPr>
        <w:rFonts w:ascii="Trebuchet MS" w:eastAsia="Calibri" w:hAnsi="Trebuchet MS" w:hint="default"/>
      </w:rPr>
    </w:lvl>
    <w:lvl w:ilvl="1" w:tplc="04260003">
      <w:start w:val="1"/>
      <w:numFmt w:val="bullet"/>
      <w:lvlText w:val="o"/>
      <w:lvlJc w:val="left"/>
      <w:pPr>
        <w:ind w:left="2520" w:hanging="360"/>
      </w:pPr>
      <w:rPr>
        <w:rFonts w:ascii="Courier New" w:hAnsi="Courier New" w:cs="Courier New" w:hint="default"/>
      </w:rPr>
    </w:lvl>
    <w:lvl w:ilvl="2" w:tplc="04260005">
      <w:start w:val="1"/>
      <w:numFmt w:val="bullet"/>
      <w:lvlText w:val=""/>
      <w:lvlJc w:val="left"/>
      <w:pPr>
        <w:ind w:left="3240" w:hanging="360"/>
      </w:pPr>
      <w:rPr>
        <w:rFonts w:ascii="Wingdings" w:hAnsi="Wingdings" w:hint="default"/>
      </w:rPr>
    </w:lvl>
    <w:lvl w:ilvl="3" w:tplc="04260001">
      <w:start w:val="1"/>
      <w:numFmt w:val="bullet"/>
      <w:lvlText w:val=""/>
      <w:lvlJc w:val="left"/>
      <w:pPr>
        <w:ind w:left="3960" w:hanging="360"/>
      </w:pPr>
      <w:rPr>
        <w:rFonts w:ascii="Symbol" w:hAnsi="Symbol" w:hint="default"/>
      </w:rPr>
    </w:lvl>
    <w:lvl w:ilvl="4" w:tplc="04260003">
      <w:start w:val="1"/>
      <w:numFmt w:val="bullet"/>
      <w:lvlText w:val="o"/>
      <w:lvlJc w:val="left"/>
      <w:pPr>
        <w:ind w:left="4680" w:hanging="360"/>
      </w:pPr>
      <w:rPr>
        <w:rFonts w:ascii="Courier New" w:hAnsi="Courier New" w:cs="Courier New" w:hint="default"/>
      </w:rPr>
    </w:lvl>
    <w:lvl w:ilvl="5" w:tplc="04260005">
      <w:start w:val="1"/>
      <w:numFmt w:val="bullet"/>
      <w:lvlText w:val=""/>
      <w:lvlJc w:val="left"/>
      <w:pPr>
        <w:ind w:left="5400" w:hanging="360"/>
      </w:pPr>
      <w:rPr>
        <w:rFonts w:ascii="Wingdings" w:hAnsi="Wingdings" w:hint="default"/>
      </w:rPr>
    </w:lvl>
    <w:lvl w:ilvl="6" w:tplc="04260001">
      <w:start w:val="1"/>
      <w:numFmt w:val="bullet"/>
      <w:lvlText w:val=""/>
      <w:lvlJc w:val="left"/>
      <w:pPr>
        <w:ind w:left="6120" w:hanging="360"/>
      </w:pPr>
      <w:rPr>
        <w:rFonts w:ascii="Symbol" w:hAnsi="Symbol" w:hint="default"/>
      </w:rPr>
    </w:lvl>
    <w:lvl w:ilvl="7" w:tplc="04260003">
      <w:start w:val="1"/>
      <w:numFmt w:val="bullet"/>
      <w:lvlText w:val="o"/>
      <w:lvlJc w:val="left"/>
      <w:pPr>
        <w:ind w:left="6840" w:hanging="360"/>
      </w:pPr>
      <w:rPr>
        <w:rFonts w:ascii="Courier New" w:hAnsi="Courier New" w:cs="Courier New" w:hint="default"/>
      </w:rPr>
    </w:lvl>
    <w:lvl w:ilvl="8" w:tplc="04260005">
      <w:start w:val="1"/>
      <w:numFmt w:val="bullet"/>
      <w:lvlText w:val=""/>
      <w:lvlJc w:val="left"/>
      <w:pPr>
        <w:ind w:left="7560" w:hanging="360"/>
      </w:pPr>
      <w:rPr>
        <w:rFonts w:ascii="Wingdings" w:hAnsi="Wingdings" w:hint="default"/>
      </w:rPr>
    </w:lvl>
  </w:abstractNum>
  <w:abstractNum w:abstractNumId="1" w15:restartNumberingAfterBreak="0">
    <w:nsid w:val="12700A14"/>
    <w:multiLevelType w:val="hybridMultilevel"/>
    <w:tmpl w:val="96A80E80"/>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2" w15:restartNumberingAfterBreak="0">
    <w:nsid w:val="24580337"/>
    <w:multiLevelType w:val="hybridMultilevel"/>
    <w:tmpl w:val="01F2E2C0"/>
    <w:lvl w:ilvl="0" w:tplc="04260001">
      <w:start w:val="1"/>
      <w:numFmt w:val="bullet"/>
      <w:lvlText w:val=""/>
      <w:lvlJc w:val="left"/>
      <w:pPr>
        <w:ind w:left="1276" w:hanging="360"/>
      </w:pPr>
      <w:rPr>
        <w:rFonts w:ascii="Symbol" w:hAnsi="Symbol" w:hint="default"/>
      </w:rPr>
    </w:lvl>
    <w:lvl w:ilvl="1" w:tplc="04260003">
      <w:start w:val="1"/>
      <w:numFmt w:val="bullet"/>
      <w:lvlText w:val="o"/>
      <w:lvlJc w:val="left"/>
      <w:pPr>
        <w:ind w:left="1996" w:hanging="360"/>
      </w:pPr>
      <w:rPr>
        <w:rFonts w:ascii="Courier New" w:hAnsi="Courier New" w:cs="Courier New" w:hint="default"/>
      </w:rPr>
    </w:lvl>
    <w:lvl w:ilvl="2" w:tplc="04260005">
      <w:start w:val="1"/>
      <w:numFmt w:val="bullet"/>
      <w:lvlText w:val=""/>
      <w:lvlJc w:val="left"/>
      <w:pPr>
        <w:ind w:left="2716" w:hanging="360"/>
      </w:pPr>
      <w:rPr>
        <w:rFonts w:ascii="Wingdings" w:hAnsi="Wingdings" w:hint="default"/>
      </w:rPr>
    </w:lvl>
    <w:lvl w:ilvl="3" w:tplc="04260001">
      <w:start w:val="1"/>
      <w:numFmt w:val="bullet"/>
      <w:lvlText w:val=""/>
      <w:lvlJc w:val="left"/>
      <w:pPr>
        <w:ind w:left="3436" w:hanging="360"/>
      </w:pPr>
      <w:rPr>
        <w:rFonts w:ascii="Symbol" w:hAnsi="Symbol" w:hint="default"/>
      </w:rPr>
    </w:lvl>
    <w:lvl w:ilvl="4" w:tplc="04260003">
      <w:start w:val="1"/>
      <w:numFmt w:val="bullet"/>
      <w:lvlText w:val="o"/>
      <w:lvlJc w:val="left"/>
      <w:pPr>
        <w:ind w:left="4156" w:hanging="360"/>
      </w:pPr>
      <w:rPr>
        <w:rFonts w:ascii="Courier New" w:hAnsi="Courier New" w:cs="Courier New" w:hint="default"/>
      </w:rPr>
    </w:lvl>
    <w:lvl w:ilvl="5" w:tplc="04260005">
      <w:start w:val="1"/>
      <w:numFmt w:val="bullet"/>
      <w:lvlText w:val=""/>
      <w:lvlJc w:val="left"/>
      <w:pPr>
        <w:ind w:left="4876" w:hanging="360"/>
      </w:pPr>
      <w:rPr>
        <w:rFonts w:ascii="Wingdings" w:hAnsi="Wingdings" w:hint="default"/>
      </w:rPr>
    </w:lvl>
    <w:lvl w:ilvl="6" w:tplc="04260001">
      <w:start w:val="1"/>
      <w:numFmt w:val="bullet"/>
      <w:lvlText w:val=""/>
      <w:lvlJc w:val="left"/>
      <w:pPr>
        <w:ind w:left="5596" w:hanging="360"/>
      </w:pPr>
      <w:rPr>
        <w:rFonts w:ascii="Symbol" w:hAnsi="Symbol" w:hint="default"/>
      </w:rPr>
    </w:lvl>
    <w:lvl w:ilvl="7" w:tplc="04260003">
      <w:start w:val="1"/>
      <w:numFmt w:val="bullet"/>
      <w:lvlText w:val="o"/>
      <w:lvlJc w:val="left"/>
      <w:pPr>
        <w:ind w:left="6316" w:hanging="360"/>
      </w:pPr>
      <w:rPr>
        <w:rFonts w:ascii="Courier New" w:hAnsi="Courier New" w:cs="Courier New" w:hint="default"/>
      </w:rPr>
    </w:lvl>
    <w:lvl w:ilvl="8" w:tplc="04260005">
      <w:start w:val="1"/>
      <w:numFmt w:val="bullet"/>
      <w:lvlText w:val=""/>
      <w:lvlJc w:val="left"/>
      <w:pPr>
        <w:ind w:left="7036" w:hanging="360"/>
      </w:pPr>
      <w:rPr>
        <w:rFonts w:ascii="Wingdings" w:hAnsi="Wingdings" w:hint="default"/>
      </w:rPr>
    </w:lvl>
  </w:abstractNum>
  <w:abstractNum w:abstractNumId="3" w15:restartNumberingAfterBreak="0">
    <w:nsid w:val="2B483622"/>
    <w:multiLevelType w:val="hybridMultilevel"/>
    <w:tmpl w:val="C7767A28"/>
    <w:lvl w:ilvl="0" w:tplc="FFFFFFFF">
      <w:start w:val="1"/>
      <w:numFmt w:val="bullet"/>
      <w:lvlText w:val=""/>
      <w:lvlJc w:val="left"/>
      <w:pPr>
        <w:ind w:left="1494" w:hanging="360"/>
      </w:pPr>
      <w:rPr>
        <w:rFonts w:ascii="Symbol" w:hAnsi="Symbol" w:hint="default"/>
      </w:rPr>
    </w:lvl>
    <w:lvl w:ilvl="1" w:tplc="04260003">
      <w:start w:val="1"/>
      <w:numFmt w:val="bullet"/>
      <w:lvlText w:val="o"/>
      <w:lvlJc w:val="left"/>
      <w:pPr>
        <w:ind w:left="2214" w:hanging="360"/>
      </w:pPr>
      <w:rPr>
        <w:rFonts w:ascii="Courier New" w:hAnsi="Courier New" w:cs="Courier New" w:hint="default"/>
      </w:rPr>
    </w:lvl>
    <w:lvl w:ilvl="2" w:tplc="04260005">
      <w:start w:val="1"/>
      <w:numFmt w:val="bullet"/>
      <w:lvlText w:val=""/>
      <w:lvlJc w:val="left"/>
      <w:pPr>
        <w:ind w:left="2934" w:hanging="360"/>
      </w:pPr>
      <w:rPr>
        <w:rFonts w:ascii="Wingdings" w:hAnsi="Wingdings" w:hint="default"/>
      </w:rPr>
    </w:lvl>
    <w:lvl w:ilvl="3" w:tplc="04260001">
      <w:start w:val="1"/>
      <w:numFmt w:val="bullet"/>
      <w:lvlText w:val=""/>
      <w:lvlJc w:val="left"/>
      <w:pPr>
        <w:ind w:left="3654" w:hanging="360"/>
      </w:pPr>
      <w:rPr>
        <w:rFonts w:ascii="Symbol" w:hAnsi="Symbol" w:hint="default"/>
      </w:rPr>
    </w:lvl>
    <w:lvl w:ilvl="4" w:tplc="04260003">
      <w:start w:val="1"/>
      <w:numFmt w:val="bullet"/>
      <w:lvlText w:val="o"/>
      <w:lvlJc w:val="left"/>
      <w:pPr>
        <w:ind w:left="4374" w:hanging="360"/>
      </w:pPr>
      <w:rPr>
        <w:rFonts w:ascii="Courier New" w:hAnsi="Courier New" w:cs="Courier New" w:hint="default"/>
      </w:rPr>
    </w:lvl>
    <w:lvl w:ilvl="5" w:tplc="04260005">
      <w:start w:val="1"/>
      <w:numFmt w:val="bullet"/>
      <w:lvlText w:val=""/>
      <w:lvlJc w:val="left"/>
      <w:pPr>
        <w:ind w:left="5094" w:hanging="360"/>
      </w:pPr>
      <w:rPr>
        <w:rFonts w:ascii="Wingdings" w:hAnsi="Wingdings" w:hint="default"/>
      </w:rPr>
    </w:lvl>
    <w:lvl w:ilvl="6" w:tplc="04260001">
      <w:start w:val="1"/>
      <w:numFmt w:val="bullet"/>
      <w:lvlText w:val=""/>
      <w:lvlJc w:val="left"/>
      <w:pPr>
        <w:ind w:left="5814" w:hanging="360"/>
      </w:pPr>
      <w:rPr>
        <w:rFonts w:ascii="Symbol" w:hAnsi="Symbol" w:hint="default"/>
      </w:rPr>
    </w:lvl>
    <w:lvl w:ilvl="7" w:tplc="04260003">
      <w:start w:val="1"/>
      <w:numFmt w:val="bullet"/>
      <w:lvlText w:val="o"/>
      <w:lvlJc w:val="left"/>
      <w:pPr>
        <w:ind w:left="6534" w:hanging="360"/>
      </w:pPr>
      <w:rPr>
        <w:rFonts w:ascii="Courier New" w:hAnsi="Courier New" w:cs="Courier New" w:hint="default"/>
      </w:rPr>
    </w:lvl>
    <w:lvl w:ilvl="8" w:tplc="04260005">
      <w:start w:val="1"/>
      <w:numFmt w:val="bullet"/>
      <w:lvlText w:val=""/>
      <w:lvlJc w:val="left"/>
      <w:pPr>
        <w:ind w:left="7254" w:hanging="360"/>
      </w:pPr>
      <w:rPr>
        <w:rFonts w:ascii="Wingdings" w:hAnsi="Wingdings" w:hint="default"/>
      </w:rPr>
    </w:lvl>
  </w:abstractNum>
  <w:abstractNum w:abstractNumId="4" w15:restartNumberingAfterBreak="0">
    <w:nsid w:val="2BC97953"/>
    <w:multiLevelType w:val="hybridMultilevel"/>
    <w:tmpl w:val="5250481C"/>
    <w:lvl w:ilvl="0" w:tplc="04260001">
      <w:start w:val="1"/>
      <w:numFmt w:val="bullet"/>
      <w:lvlText w:val=""/>
      <w:lvlJc w:val="left"/>
      <w:pPr>
        <w:ind w:left="1276" w:hanging="360"/>
      </w:pPr>
      <w:rPr>
        <w:rFonts w:ascii="Symbol" w:hAnsi="Symbol" w:hint="default"/>
      </w:rPr>
    </w:lvl>
    <w:lvl w:ilvl="1" w:tplc="04260003">
      <w:start w:val="1"/>
      <w:numFmt w:val="bullet"/>
      <w:lvlText w:val="o"/>
      <w:lvlJc w:val="left"/>
      <w:pPr>
        <w:ind w:left="1996" w:hanging="360"/>
      </w:pPr>
      <w:rPr>
        <w:rFonts w:ascii="Courier New" w:hAnsi="Courier New" w:cs="Courier New" w:hint="default"/>
      </w:rPr>
    </w:lvl>
    <w:lvl w:ilvl="2" w:tplc="04260005">
      <w:start w:val="1"/>
      <w:numFmt w:val="bullet"/>
      <w:lvlText w:val=""/>
      <w:lvlJc w:val="left"/>
      <w:pPr>
        <w:ind w:left="2716" w:hanging="360"/>
      </w:pPr>
      <w:rPr>
        <w:rFonts w:ascii="Wingdings" w:hAnsi="Wingdings" w:hint="default"/>
      </w:rPr>
    </w:lvl>
    <w:lvl w:ilvl="3" w:tplc="04260001">
      <w:start w:val="1"/>
      <w:numFmt w:val="bullet"/>
      <w:lvlText w:val=""/>
      <w:lvlJc w:val="left"/>
      <w:pPr>
        <w:ind w:left="3436" w:hanging="360"/>
      </w:pPr>
      <w:rPr>
        <w:rFonts w:ascii="Symbol" w:hAnsi="Symbol" w:hint="default"/>
      </w:rPr>
    </w:lvl>
    <w:lvl w:ilvl="4" w:tplc="04260003">
      <w:start w:val="1"/>
      <w:numFmt w:val="bullet"/>
      <w:lvlText w:val="o"/>
      <w:lvlJc w:val="left"/>
      <w:pPr>
        <w:ind w:left="4156" w:hanging="360"/>
      </w:pPr>
      <w:rPr>
        <w:rFonts w:ascii="Courier New" w:hAnsi="Courier New" w:cs="Courier New" w:hint="default"/>
      </w:rPr>
    </w:lvl>
    <w:lvl w:ilvl="5" w:tplc="04260005">
      <w:start w:val="1"/>
      <w:numFmt w:val="bullet"/>
      <w:lvlText w:val=""/>
      <w:lvlJc w:val="left"/>
      <w:pPr>
        <w:ind w:left="4876" w:hanging="360"/>
      </w:pPr>
      <w:rPr>
        <w:rFonts w:ascii="Wingdings" w:hAnsi="Wingdings" w:hint="default"/>
      </w:rPr>
    </w:lvl>
    <w:lvl w:ilvl="6" w:tplc="04260001">
      <w:start w:val="1"/>
      <w:numFmt w:val="bullet"/>
      <w:lvlText w:val=""/>
      <w:lvlJc w:val="left"/>
      <w:pPr>
        <w:ind w:left="5596" w:hanging="360"/>
      </w:pPr>
      <w:rPr>
        <w:rFonts w:ascii="Symbol" w:hAnsi="Symbol" w:hint="default"/>
      </w:rPr>
    </w:lvl>
    <w:lvl w:ilvl="7" w:tplc="04260003">
      <w:start w:val="1"/>
      <w:numFmt w:val="bullet"/>
      <w:lvlText w:val="o"/>
      <w:lvlJc w:val="left"/>
      <w:pPr>
        <w:ind w:left="6316" w:hanging="360"/>
      </w:pPr>
      <w:rPr>
        <w:rFonts w:ascii="Courier New" w:hAnsi="Courier New" w:cs="Courier New" w:hint="default"/>
      </w:rPr>
    </w:lvl>
    <w:lvl w:ilvl="8" w:tplc="04260005">
      <w:start w:val="1"/>
      <w:numFmt w:val="bullet"/>
      <w:lvlText w:val=""/>
      <w:lvlJc w:val="left"/>
      <w:pPr>
        <w:ind w:left="7036" w:hanging="360"/>
      </w:pPr>
      <w:rPr>
        <w:rFonts w:ascii="Wingdings" w:hAnsi="Wingdings" w:hint="default"/>
      </w:rPr>
    </w:lvl>
  </w:abstractNum>
  <w:abstractNum w:abstractNumId="5" w15:restartNumberingAfterBreak="0">
    <w:nsid w:val="31802D4B"/>
    <w:multiLevelType w:val="hybridMultilevel"/>
    <w:tmpl w:val="8BDA953A"/>
    <w:lvl w:ilvl="0" w:tplc="04260001">
      <w:start w:val="1"/>
      <w:numFmt w:val="bullet"/>
      <w:lvlText w:val=""/>
      <w:lvlJc w:val="left"/>
      <w:pPr>
        <w:ind w:left="1440" w:hanging="360"/>
      </w:pPr>
      <w:rPr>
        <w:rFonts w:ascii="Symbol" w:hAnsi="Symbol" w:hint="default"/>
      </w:rPr>
    </w:lvl>
    <w:lvl w:ilvl="1" w:tplc="04260003">
      <w:start w:val="1"/>
      <w:numFmt w:val="bullet"/>
      <w:lvlText w:val="o"/>
      <w:lvlJc w:val="left"/>
      <w:pPr>
        <w:ind w:left="2160" w:hanging="360"/>
      </w:pPr>
      <w:rPr>
        <w:rFonts w:ascii="Courier New" w:hAnsi="Courier New" w:cs="Courier New" w:hint="default"/>
      </w:rPr>
    </w:lvl>
    <w:lvl w:ilvl="2" w:tplc="04260005">
      <w:start w:val="1"/>
      <w:numFmt w:val="bullet"/>
      <w:lvlText w:val=""/>
      <w:lvlJc w:val="left"/>
      <w:pPr>
        <w:ind w:left="2880" w:hanging="360"/>
      </w:pPr>
      <w:rPr>
        <w:rFonts w:ascii="Wingdings" w:hAnsi="Wingdings" w:hint="default"/>
      </w:rPr>
    </w:lvl>
    <w:lvl w:ilvl="3" w:tplc="04260001">
      <w:start w:val="1"/>
      <w:numFmt w:val="bullet"/>
      <w:lvlText w:val=""/>
      <w:lvlJc w:val="left"/>
      <w:pPr>
        <w:ind w:left="3600" w:hanging="360"/>
      </w:pPr>
      <w:rPr>
        <w:rFonts w:ascii="Symbol" w:hAnsi="Symbol" w:hint="default"/>
      </w:rPr>
    </w:lvl>
    <w:lvl w:ilvl="4" w:tplc="04260003">
      <w:start w:val="1"/>
      <w:numFmt w:val="bullet"/>
      <w:lvlText w:val="o"/>
      <w:lvlJc w:val="left"/>
      <w:pPr>
        <w:ind w:left="4320" w:hanging="360"/>
      </w:pPr>
      <w:rPr>
        <w:rFonts w:ascii="Courier New" w:hAnsi="Courier New" w:cs="Courier New" w:hint="default"/>
      </w:rPr>
    </w:lvl>
    <w:lvl w:ilvl="5" w:tplc="04260005">
      <w:start w:val="1"/>
      <w:numFmt w:val="bullet"/>
      <w:lvlText w:val=""/>
      <w:lvlJc w:val="left"/>
      <w:pPr>
        <w:ind w:left="5040" w:hanging="360"/>
      </w:pPr>
      <w:rPr>
        <w:rFonts w:ascii="Wingdings" w:hAnsi="Wingdings" w:hint="default"/>
      </w:rPr>
    </w:lvl>
    <w:lvl w:ilvl="6" w:tplc="04260001">
      <w:start w:val="1"/>
      <w:numFmt w:val="bullet"/>
      <w:lvlText w:val=""/>
      <w:lvlJc w:val="left"/>
      <w:pPr>
        <w:ind w:left="5760" w:hanging="360"/>
      </w:pPr>
      <w:rPr>
        <w:rFonts w:ascii="Symbol" w:hAnsi="Symbol" w:hint="default"/>
      </w:rPr>
    </w:lvl>
    <w:lvl w:ilvl="7" w:tplc="04260003">
      <w:start w:val="1"/>
      <w:numFmt w:val="bullet"/>
      <w:lvlText w:val="o"/>
      <w:lvlJc w:val="left"/>
      <w:pPr>
        <w:ind w:left="6480" w:hanging="360"/>
      </w:pPr>
      <w:rPr>
        <w:rFonts w:ascii="Courier New" w:hAnsi="Courier New" w:cs="Courier New" w:hint="default"/>
      </w:rPr>
    </w:lvl>
    <w:lvl w:ilvl="8" w:tplc="04260005">
      <w:start w:val="1"/>
      <w:numFmt w:val="bullet"/>
      <w:lvlText w:val=""/>
      <w:lvlJc w:val="left"/>
      <w:pPr>
        <w:ind w:left="7200" w:hanging="360"/>
      </w:pPr>
      <w:rPr>
        <w:rFonts w:ascii="Wingdings" w:hAnsi="Wingdings" w:hint="default"/>
      </w:rPr>
    </w:lvl>
  </w:abstractNum>
  <w:abstractNum w:abstractNumId="6" w15:restartNumberingAfterBreak="0">
    <w:nsid w:val="42753DEA"/>
    <w:multiLevelType w:val="hybridMultilevel"/>
    <w:tmpl w:val="DAC687FE"/>
    <w:lvl w:ilvl="0" w:tplc="04260001">
      <w:start w:val="1"/>
      <w:numFmt w:val="bullet"/>
      <w:lvlText w:val=""/>
      <w:lvlJc w:val="left"/>
      <w:pPr>
        <w:ind w:left="2988" w:hanging="360"/>
      </w:pPr>
      <w:rPr>
        <w:rFonts w:ascii="Symbol" w:hAnsi="Symbol" w:hint="default"/>
      </w:rPr>
    </w:lvl>
    <w:lvl w:ilvl="1" w:tplc="04260003">
      <w:start w:val="1"/>
      <w:numFmt w:val="bullet"/>
      <w:lvlText w:val="o"/>
      <w:lvlJc w:val="left"/>
      <w:pPr>
        <w:ind w:left="3708" w:hanging="360"/>
      </w:pPr>
      <w:rPr>
        <w:rFonts w:ascii="Courier New" w:hAnsi="Courier New" w:cs="Courier New" w:hint="default"/>
      </w:rPr>
    </w:lvl>
    <w:lvl w:ilvl="2" w:tplc="04260005">
      <w:start w:val="1"/>
      <w:numFmt w:val="bullet"/>
      <w:lvlText w:val=""/>
      <w:lvlJc w:val="left"/>
      <w:pPr>
        <w:ind w:left="4428" w:hanging="360"/>
      </w:pPr>
      <w:rPr>
        <w:rFonts w:ascii="Wingdings" w:hAnsi="Wingdings" w:hint="default"/>
      </w:rPr>
    </w:lvl>
    <w:lvl w:ilvl="3" w:tplc="04260001">
      <w:start w:val="1"/>
      <w:numFmt w:val="bullet"/>
      <w:lvlText w:val=""/>
      <w:lvlJc w:val="left"/>
      <w:pPr>
        <w:ind w:left="5148" w:hanging="360"/>
      </w:pPr>
      <w:rPr>
        <w:rFonts w:ascii="Symbol" w:hAnsi="Symbol" w:hint="default"/>
      </w:rPr>
    </w:lvl>
    <w:lvl w:ilvl="4" w:tplc="04260003">
      <w:start w:val="1"/>
      <w:numFmt w:val="bullet"/>
      <w:lvlText w:val="o"/>
      <w:lvlJc w:val="left"/>
      <w:pPr>
        <w:ind w:left="5868" w:hanging="360"/>
      </w:pPr>
      <w:rPr>
        <w:rFonts w:ascii="Courier New" w:hAnsi="Courier New" w:cs="Courier New" w:hint="default"/>
      </w:rPr>
    </w:lvl>
    <w:lvl w:ilvl="5" w:tplc="04260005">
      <w:start w:val="1"/>
      <w:numFmt w:val="bullet"/>
      <w:lvlText w:val=""/>
      <w:lvlJc w:val="left"/>
      <w:pPr>
        <w:ind w:left="6588" w:hanging="360"/>
      </w:pPr>
      <w:rPr>
        <w:rFonts w:ascii="Wingdings" w:hAnsi="Wingdings" w:hint="default"/>
      </w:rPr>
    </w:lvl>
    <w:lvl w:ilvl="6" w:tplc="04260001">
      <w:start w:val="1"/>
      <w:numFmt w:val="bullet"/>
      <w:lvlText w:val=""/>
      <w:lvlJc w:val="left"/>
      <w:pPr>
        <w:ind w:left="7308" w:hanging="360"/>
      </w:pPr>
      <w:rPr>
        <w:rFonts w:ascii="Symbol" w:hAnsi="Symbol" w:hint="default"/>
      </w:rPr>
    </w:lvl>
    <w:lvl w:ilvl="7" w:tplc="04260003">
      <w:start w:val="1"/>
      <w:numFmt w:val="bullet"/>
      <w:lvlText w:val="o"/>
      <w:lvlJc w:val="left"/>
      <w:pPr>
        <w:ind w:left="8028" w:hanging="360"/>
      </w:pPr>
      <w:rPr>
        <w:rFonts w:ascii="Courier New" w:hAnsi="Courier New" w:cs="Courier New" w:hint="default"/>
      </w:rPr>
    </w:lvl>
    <w:lvl w:ilvl="8" w:tplc="04260005">
      <w:start w:val="1"/>
      <w:numFmt w:val="bullet"/>
      <w:lvlText w:val=""/>
      <w:lvlJc w:val="left"/>
      <w:pPr>
        <w:ind w:left="8748" w:hanging="360"/>
      </w:pPr>
      <w:rPr>
        <w:rFonts w:ascii="Wingdings" w:hAnsi="Wingdings" w:hint="default"/>
      </w:rPr>
    </w:lvl>
  </w:abstractNum>
  <w:abstractNum w:abstractNumId="7" w15:restartNumberingAfterBreak="0">
    <w:nsid w:val="4304280D"/>
    <w:multiLevelType w:val="hybridMultilevel"/>
    <w:tmpl w:val="58D8C7A4"/>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8" w15:restartNumberingAfterBreak="0">
    <w:nsid w:val="43585289"/>
    <w:multiLevelType w:val="hybridMultilevel"/>
    <w:tmpl w:val="50F43230"/>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9" w15:restartNumberingAfterBreak="0">
    <w:nsid w:val="55AD0F6E"/>
    <w:multiLevelType w:val="hybridMultilevel"/>
    <w:tmpl w:val="44C499BE"/>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10" w15:restartNumberingAfterBreak="0">
    <w:nsid w:val="5C3C3AC4"/>
    <w:multiLevelType w:val="hybridMultilevel"/>
    <w:tmpl w:val="7F72B25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11" w15:restartNumberingAfterBreak="0">
    <w:nsid w:val="5FA33CEC"/>
    <w:multiLevelType w:val="hybridMultilevel"/>
    <w:tmpl w:val="E2D47532"/>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12" w15:restartNumberingAfterBreak="0">
    <w:nsid w:val="60D80A5E"/>
    <w:multiLevelType w:val="hybridMultilevel"/>
    <w:tmpl w:val="AF38A7A4"/>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13" w15:restartNumberingAfterBreak="0">
    <w:nsid w:val="65703CF6"/>
    <w:multiLevelType w:val="hybridMultilevel"/>
    <w:tmpl w:val="DA02FEB4"/>
    <w:lvl w:ilvl="0" w:tplc="04260001">
      <w:start w:val="1"/>
      <w:numFmt w:val="bullet"/>
      <w:lvlText w:val=""/>
      <w:lvlJc w:val="left"/>
      <w:pPr>
        <w:ind w:left="1400" w:hanging="360"/>
      </w:pPr>
      <w:rPr>
        <w:rFonts w:ascii="Symbol" w:hAnsi="Symbol" w:hint="default"/>
      </w:rPr>
    </w:lvl>
    <w:lvl w:ilvl="1" w:tplc="04260003" w:tentative="1">
      <w:start w:val="1"/>
      <w:numFmt w:val="bullet"/>
      <w:lvlText w:val="o"/>
      <w:lvlJc w:val="left"/>
      <w:pPr>
        <w:ind w:left="2120" w:hanging="360"/>
      </w:pPr>
      <w:rPr>
        <w:rFonts w:ascii="Courier New" w:hAnsi="Courier New" w:cs="Courier New" w:hint="default"/>
      </w:rPr>
    </w:lvl>
    <w:lvl w:ilvl="2" w:tplc="04260005" w:tentative="1">
      <w:start w:val="1"/>
      <w:numFmt w:val="bullet"/>
      <w:lvlText w:val=""/>
      <w:lvlJc w:val="left"/>
      <w:pPr>
        <w:ind w:left="2840" w:hanging="360"/>
      </w:pPr>
      <w:rPr>
        <w:rFonts w:ascii="Wingdings" w:hAnsi="Wingdings" w:hint="default"/>
      </w:rPr>
    </w:lvl>
    <w:lvl w:ilvl="3" w:tplc="04260001" w:tentative="1">
      <w:start w:val="1"/>
      <w:numFmt w:val="bullet"/>
      <w:lvlText w:val=""/>
      <w:lvlJc w:val="left"/>
      <w:pPr>
        <w:ind w:left="3560" w:hanging="360"/>
      </w:pPr>
      <w:rPr>
        <w:rFonts w:ascii="Symbol" w:hAnsi="Symbol" w:hint="default"/>
      </w:rPr>
    </w:lvl>
    <w:lvl w:ilvl="4" w:tplc="04260003" w:tentative="1">
      <w:start w:val="1"/>
      <w:numFmt w:val="bullet"/>
      <w:lvlText w:val="o"/>
      <w:lvlJc w:val="left"/>
      <w:pPr>
        <w:ind w:left="4280" w:hanging="360"/>
      </w:pPr>
      <w:rPr>
        <w:rFonts w:ascii="Courier New" w:hAnsi="Courier New" w:cs="Courier New" w:hint="default"/>
      </w:rPr>
    </w:lvl>
    <w:lvl w:ilvl="5" w:tplc="04260005" w:tentative="1">
      <w:start w:val="1"/>
      <w:numFmt w:val="bullet"/>
      <w:lvlText w:val=""/>
      <w:lvlJc w:val="left"/>
      <w:pPr>
        <w:ind w:left="5000" w:hanging="360"/>
      </w:pPr>
      <w:rPr>
        <w:rFonts w:ascii="Wingdings" w:hAnsi="Wingdings" w:hint="default"/>
      </w:rPr>
    </w:lvl>
    <w:lvl w:ilvl="6" w:tplc="04260001" w:tentative="1">
      <w:start w:val="1"/>
      <w:numFmt w:val="bullet"/>
      <w:lvlText w:val=""/>
      <w:lvlJc w:val="left"/>
      <w:pPr>
        <w:ind w:left="5720" w:hanging="360"/>
      </w:pPr>
      <w:rPr>
        <w:rFonts w:ascii="Symbol" w:hAnsi="Symbol" w:hint="default"/>
      </w:rPr>
    </w:lvl>
    <w:lvl w:ilvl="7" w:tplc="04260003" w:tentative="1">
      <w:start w:val="1"/>
      <w:numFmt w:val="bullet"/>
      <w:lvlText w:val="o"/>
      <w:lvlJc w:val="left"/>
      <w:pPr>
        <w:ind w:left="6440" w:hanging="360"/>
      </w:pPr>
      <w:rPr>
        <w:rFonts w:ascii="Courier New" w:hAnsi="Courier New" w:cs="Courier New" w:hint="default"/>
      </w:rPr>
    </w:lvl>
    <w:lvl w:ilvl="8" w:tplc="04260005" w:tentative="1">
      <w:start w:val="1"/>
      <w:numFmt w:val="bullet"/>
      <w:lvlText w:val=""/>
      <w:lvlJc w:val="left"/>
      <w:pPr>
        <w:ind w:left="7160" w:hanging="360"/>
      </w:pPr>
      <w:rPr>
        <w:rFonts w:ascii="Wingdings" w:hAnsi="Wingdings" w:hint="default"/>
      </w:rPr>
    </w:lvl>
  </w:abstractNum>
  <w:abstractNum w:abstractNumId="14" w15:restartNumberingAfterBreak="0">
    <w:nsid w:val="679044BE"/>
    <w:multiLevelType w:val="hybridMultilevel"/>
    <w:tmpl w:val="FF0AD8DA"/>
    <w:lvl w:ilvl="0" w:tplc="04260001">
      <w:start w:val="1"/>
      <w:numFmt w:val="bullet"/>
      <w:lvlText w:val=""/>
      <w:lvlJc w:val="left"/>
      <w:pPr>
        <w:ind w:left="1040" w:hanging="360"/>
      </w:pPr>
      <w:rPr>
        <w:rFonts w:ascii="Symbol" w:hAnsi="Symbol" w:hint="default"/>
      </w:rPr>
    </w:lvl>
    <w:lvl w:ilvl="1" w:tplc="04260003" w:tentative="1">
      <w:start w:val="1"/>
      <w:numFmt w:val="bullet"/>
      <w:lvlText w:val="o"/>
      <w:lvlJc w:val="left"/>
      <w:pPr>
        <w:ind w:left="1760" w:hanging="360"/>
      </w:pPr>
      <w:rPr>
        <w:rFonts w:ascii="Courier New" w:hAnsi="Courier New" w:cs="Courier New" w:hint="default"/>
      </w:rPr>
    </w:lvl>
    <w:lvl w:ilvl="2" w:tplc="04260005" w:tentative="1">
      <w:start w:val="1"/>
      <w:numFmt w:val="bullet"/>
      <w:lvlText w:val=""/>
      <w:lvlJc w:val="left"/>
      <w:pPr>
        <w:ind w:left="2480" w:hanging="360"/>
      </w:pPr>
      <w:rPr>
        <w:rFonts w:ascii="Wingdings" w:hAnsi="Wingdings" w:hint="default"/>
      </w:rPr>
    </w:lvl>
    <w:lvl w:ilvl="3" w:tplc="04260001" w:tentative="1">
      <w:start w:val="1"/>
      <w:numFmt w:val="bullet"/>
      <w:lvlText w:val=""/>
      <w:lvlJc w:val="left"/>
      <w:pPr>
        <w:ind w:left="3200" w:hanging="360"/>
      </w:pPr>
      <w:rPr>
        <w:rFonts w:ascii="Symbol" w:hAnsi="Symbol" w:hint="default"/>
      </w:rPr>
    </w:lvl>
    <w:lvl w:ilvl="4" w:tplc="04260003" w:tentative="1">
      <w:start w:val="1"/>
      <w:numFmt w:val="bullet"/>
      <w:lvlText w:val="o"/>
      <w:lvlJc w:val="left"/>
      <w:pPr>
        <w:ind w:left="3920" w:hanging="360"/>
      </w:pPr>
      <w:rPr>
        <w:rFonts w:ascii="Courier New" w:hAnsi="Courier New" w:cs="Courier New" w:hint="default"/>
      </w:rPr>
    </w:lvl>
    <w:lvl w:ilvl="5" w:tplc="04260005" w:tentative="1">
      <w:start w:val="1"/>
      <w:numFmt w:val="bullet"/>
      <w:lvlText w:val=""/>
      <w:lvlJc w:val="left"/>
      <w:pPr>
        <w:ind w:left="4640" w:hanging="360"/>
      </w:pPr>
      <w:rPr>
        <w:rFonts w:ascii="Wingdings" w:hAnsi="Wingdings" w:hint="default"/>
      </w:rPr>
    </w:lvl>
    <w:lvl w:ilvl="6" w:tplc="04260001" w:tentative="1">
      <w:start w:val="1"/>
      <w:numFmt w:val="bullet"/>
      <w:lvlText w:val=""/>
      <w:lvlJc w:val="left"/>
      <w:pPr>
        <w:ind w:left="5360" w:hanging="360"/>
      </w:pPr>
      <w:rPr>
        <w:rFonts w:ascii="Symbol" w:hAnsi="Symbol" w:hint="default"/>
      </w:rPr>
    </w:lvl>
    <w:lvl w:ilvl="7" w:tplc="04260003" w:tentative="1">
      <w:start w:val="1"/>
      <w:numFmt w:val="bullet"/>
      <w:lvlText w:val="o"/>
      <w:lvlJc w:val="left"/>
      <w:pPr>
        <w:ind w:left="6080" w:hanging="360"/>
      </w:pPr>
      <w:rPr>
        <w:rFonts w:ascii="Courier New" w:hAnsi="Courier New" w:cs="Courier New" w:hint="default"/>
      </w:rPr>
    </w:lvl>
    <w:lvl w:ilvl="8" w:tplc="04260005" w:tentative="1">
      <w:start w:val="1"/>
      <w:numFmt w:val="bullet"/>
      <w:lvlText w:val=""/>
      <w:lvlJc w:val="left"/>
      <w:pPr>
        <w:ind w:left="6800" w:hanging="360"/>
      </w:pPr>
      <w:rPr>
        <w:rFonts w:ascii="Wingdings" w:hAnsi="Wingdings" w:hint="default"/>
      </w:rPr>
    </w:lvl>
  </w:abstractNum>
  <w:abstractNum w:abstractNumId="15" w15:restartNumberingAfterBreak="0">
    <w:nsid w:val="7D863F29"/>
    <w:multiLevelType w:val="hybridMultilevel"/>
    <w:tmpl w:val="736445F6"/>
    <w:lvl w:ilvl="0" w:tplc="F58EE38C">
      <w:start w:val="1"/>
      <w:numFmt w:val="bullet"/>
      <w:lvlText w:val=""/>
      <w:lvlJc w:val="left"/>
      <w:pPr>
        <w:ind w:left="1440" w:hanging="360"/>
      </w:pPr>
      <w:rPr>
        <w:rFonts w:ascii="Symbol" w:hAnsi="Symbol" w:hint="default"/>
      </w:rPr>
    </w:lvl>
    <w:lvl w:ilvl="1" w:tplc="1CD444A0">
      <w:start w:val="1"/>
      <w:numFmt w:val="bullet"/>
      <w:lvlText w:val="o"/>
      <w:lvlJc w:val="left"/>
      <w:pPr>
        <w:ind w:left="2160" w:hanging="360"/>
      </w:pPr>
      <w:rPr>
        <w:rFonts w:ascii="Courier New" w:hAnsi="Courier New" w:cs="Courier New" w:hint="default"/>
      </w:rPr>
    </w:lvl>
    <w:lvl w:ilvl="2" w:tplc="FA1ED67A">
      <w:start w:val="1"/>
      <w:numFmt w:val="bullet"/>
      <w:lvlText w:val=""/>
      <w:lvlJc w:val="left"/>
      <w:pPr>
        <w:ind w:left="2880" w:hanging="360"/>
      </w:pPr>
      <w:rPr>
        <w:rFonts w:ascii="Wingdings" w:hAnsi="Wingdings" w:hint="default"/>
      </w:rPr>
    </w:lvl>
    <w:lvl w:ilvl="3" w:tplc="99549910">
      <w:start w:val="1"/>
      <w:numFmt w:val="bullet"/>
      <w:lvlText w:val=""/>
      <w:lvlJc w:val="left"/>
      <w:pPr>
        <w:ind w:left="3600" w:hanging="360"/>
      </w:pPr>
      <w:rPr>
        <w:rFonts w:ascii="Symbol" w:hAnsi="Symbol" w:hint="default"/>
      </w:rPr>
    </w:lvl>
    <w:lvl w:ilvl="4" w:tplc="83BA01EA">
      <w:start w:val="1"/>
      <w:numFmt w:val="bullet"/>
      <w:lvlText w:val="o"/>
      <w:lvlJc w:val="left"/>
      <w:pPr>
        <w:ind w:left="4320" w:hanging="360"/>
      </w:pPr>
      <w:rPr>
        <w:rFonts w:ascii="Courier New" w:hAnsi="Courier New" w:cs="Courier New" w:hint="default"/>
      </w:rPr>
    </w:lvl>
    <w:lvl w:ilvl="5" w:tplc="CBFE48F0">
      <w:start w:val="1"/>
      <w:numFmt w:val="bullet"/>
      <w:lvlText w:val=""/>
      <w:lvlJc w:val="left"/>
      <w:pPr>
        <w:ind w:left="5040" w:hanging="360"/>
      </w:pPr>
      <w:rPr>
        <w:rFonts w:ascii="Wingdings" w:hAnsi="Wingdings" w:hint="default"/>
      </w:rPr>
    </w:lvl>
    <w:lvl w:ilvl="6" w:tplc="A2EA5AF2">
      <w:start w:val="1"/>
      <w:numFmt w:val="bullet"/>
      <w:lvlText w:val=""/>
      <w:lvlJc w:val="left"/>
      <w:pPr>
        <w:ind w:left="5760" w:hanging="360"/>
      </w:pPr>
      <w:rPr>
        <w:rFonts w:ascii="Symbol" w:hAnsi="Symbol" w:hint="default"/>
      </w:rPr>
    </w:lvl>
    <w:lvl w:ilvl="7" w:tplc="57EC51E0">
      <w:start w:val="1"/>
      <w:numFmt w:val="bullet"/>
      <w:lvlText w:val="o"/>
      <w:lvlJc w:val="left"/>
      <w:pPr>
        <w:ind w:left="6480" w:hanging="360"/>
      </w:pPr>
      <w:rPr>
        <w:rFonts w:ascii="Courier New" w:hAnsi="Courier New" w:cs="Courier New" w:hint="default"/>
      </w:rPr>
    </w:lvl>
    <w:lvl w:ilvl="8" w:tplc="92E62CA0">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6"/>
  </w:num>
  <w:num w:numId="6">
    <w:abstractNumId w:val="15"/>
  </w:num>
  <w:num w:numId="7">
    <w:abstractNumId w:val="3"/>
  </w:num>
  <w:num w:numId="8">
    <w:abstractNumId w:val="10"/>
  </w:num>
  <w:num w:numId="9">
    <w:abstractNumId w:val="0"/>
  </w:num>
  <w:num w:numId="10">
    <w:abstractNumId w:val="1"/>
  </w:num>
  <w:num w:numId="11">
    <w:abstractNumId w:val="13"/>
  </w:num>
  <w:num w:numId="12">
    <w:abstractNumId w:val="8"/>
  </w:num>
  <w:num w:numId="13">
    <w:abstractNumId w:val="14"/>
  </w:num>
  <w:num w:numId="14">
    <w:abstractNumId w:val="12"/>
  </w:num>
  <w:num w:numId="15">
    <w:abstractNumId w:val="11"/>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1FE"/>
    <w:rsid w:val="001D6099"/>
    <w:rsid w:val="00213A29"/>
    <w:rsid w:val="00244E30"/>
    <w:rsid w:val="00311DE7"/>
    <w:rsid w:val="00641010"/>
    <w:rsid w:val="00676DE6"/>
    <w:rsid w:val="006E6D71"/>
    <w:rsid w:val="007B26C5"/>
    <w:rsid w:val="00864E15"/>
    <w:rsid w:val="008E0280"/>
    <w:rsid w:val="009A1B81"/>
    <w:rsid w:val="009B2DDA"/>
    <w:rsid w:val="009C3EEA"/>
    <w:rsid w:val="009E566C"/>
    <w:rsid w:val="00A55982"/>
    <w:rsid w:val="00AA01FE"/>
    <w:rsid w:val="00C10667"/>
    <w:rsid w:val="00CD44C0"/>
    <w:rsid w:val="00D10EC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4BF77"/>
  <w15:chartTrackingRefBased/>
  <w15:docId w15:val="{B66AB5CC-1F75-42C7-BC1D-0BFC6A0F6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099"/>
    <w:pPr>
      <w:spacing w:after="0" w:line="240" w:lineRule="auto"/>
      <w:ind w:firstLine="680"/>
      <w:jc w:val="both"/>
    </w:pPr>
    <w:rPr>
      <w:rFonts w:ascii="Times New Roman" w:eastAsia="Times New Roman" w:hAnsi="Times New Roman" w:cs="Times New Roman"/>
      <w:sz w:val="28"/>
      <w:szCs w:val="28"/>
      <w:lang w:eastAsia="lv-LV"/>
    </w:rPr>
  </w:style>
  <w:style w:type="paragraph" w:styleId="Heading1">
    <w:name w:val="heading 1"/>
    <w:basedOn w:val="Normal"/>
    <w:next w:val="Normal"/>
    <w:link w:val="Heading1Char"/>
    <w:uiPriority w:val="9"/>
    <w:qFormat/>
    <w:rsid w:val="001D6099"/>
    <w:pPr>
      <w:keepNext/>
      <w:spacing w:before="240" w:after="60"/>
      <w:jc w:val="center"/>
      <w:outlineLvl w:val="0"/>
    </w:pPr>
    <w:rPr>
      <w:b/>
      <w:bCs/>
      <w:kern w:val="32"/>
      <w:szCs w:val="32"/>
      <w:lang w:val="x-non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6099"/>
    <w:rPr>
      <w:rFonts w:ascii="Times New Roman" w:eastAsia="Times New Roman" w:hAnsi="Times New Roman" w:cs="Times New Roman"/>
      <w:b/>
      <w:bCs/>
      <w:kern w:val="32"/>
      <w:sz w:val="28"/>
      <w:szCs w:val="32"/>
      <w:lang w:val="x-none"/>
    </w:rPr>
  </w:style>
  <w:style w:type="character" w:styleId="Hyperlink">
    <w:name w:val="Hyperlink"/>
    <w:uiPriority w:val="99"/>
    <w:unhideWhenUsed/>
    <w:rsid w:val="00311DE7"/>
    <w:rPr>
      <w:color w:val="0000FF"/>
      <w:u w:val="single"/>
    </w:rPr>
  </w:style>
  <w:style w:type="paragraph" w:styleId="HTMLPreformatted">
    <w:name w:val="HTML Preformatted"/>
    <w:basedOn w:val="Normal"/>
    <w:link w:val="HTMLPreformattedChar"/>
    <w:uiPriority w:val="99"/>
    <w:unhideWhenUsed/>
    <w:rsid w:val="00311D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311DE7"/>
    <w:rPr>
      <w:rFonts w:ascii="Courier New" w:eastAsia="Times New Roman" w:hAnsi="Courier New" w:cs="Courier New"/>
      <w:sz w:val="20"/>
      <w:szCs w:val="20"/>
      <w:lang w:eastAsia="lv-LV"/>
    </w:rPr>
  </w:style>
  <w:style w:type="paragraph" w:styleId="TOC1">
    <w:name w:val="toc 1"/>
    <w:basedOn w:val="Normal"/>
    <w:next w:val="Normal"/>
    <w:autoRedefine/>
    <w:uiPriority w:val="39"/>
    <w:unhideWhenUsed/>
    <w:rsid w:val="00311DE7"/>
    <w:pPr>
      <w:tabs>
        <w:tab w:val="right" w:leader="dot" w:pos="12995"/>
      </w:tabs>
      <w:spacing w:line="360" w:lineRule="auto"/>
      <w:ind w:left="567" w:hanging="567"/>
    </w:pPr>
    <w:rPr>
      <w:noProof/>
      <w:sz w:val="24"/>
      <w:szCs w:val="24"/>
    </w:rPr>
  </w:style>
  <w:style w:type="character" w:customStyle="1" w:styleId="FootnoteTextChar">
    <w:name w:val="Footnote Text Char"/>
    <w:aliases w:val="Char1 Char,Char10 Char,Footnote Char,Fußnote Char,Fußnotentext Char Char Char Char,Fußnotentext Char Char Char Char Char Char Char Char1,Fußnotentext Char Char Char Char Char Char Char Char Char,f Char,fn Char"/>
    <w:basedOn w:val="DefaultParagraphFont"/>
    <w:link w:val="FootnoteText"/>
    <w:uiPriority w:val="99"/>
    <w:locked/>
    <w:rsid w:val="00311DE7"/>
    <w:rPr>
      <w:rFonts w:ascii="Calibri" w:hAnsi="Calibri" w:cs="Calibri"/>
      <w:lang w:val="x-none"/>
    </w:rPr>
  </w:style>
  <w:style w:type="paragraph" w:styleId="FootnoteText">
    <w:name w:val="footnote text"/>
    <w:aliases w:val="Char1,Char10,Footnote,Fußnote,Fußnotentext Char Char Char,Fußnotentext Char Char Char Char Char Char Char,Fußnotentext Char Char Char Char Char Char Char Char,Fußnotentext Char Char Char Char Char Char Char Char Char Char,f,fn"/>
    <w:basedOn w:val="Normal"/>
    <w:link w:val="FootnoteTextChar"/>
    <w:uiPriority w:val="99"/>
    <w:unhideWhenUsed/>
    <w:qFormat/>
    <w:rsid w:val="00311DE7"/>
    <w:rPr>
      <w:rFonts w:ascii="Calibri" w:eastAsiaTheme="minorHAnsi" w:hAnsi="Calibri" w:cs="Calibri"/>
      <w:sz w:val="22"/>
      <w:szCs w:val="22"/>
      <w:lang w:val="x-none" w:eastAsia="en-US"/>
    </w:rPr>
  </w:style>
  <w:style w:type="character" w:customStyle="1" w:styleId="FootnoteTextChar1">
    <w:name w:val="Footnote Text Char1"/>
    <w:basedOn w:val="DefaultParagraphFont"/>
    <w:uiPriority w:val="99"/>
    <w:semiHidden/>
    <w:rsid w:val="00311DE7"/>
    <w:rPr>
      <w:rFonts w:ascii="Times New Roman" w:eastAsia="Calibri" w:hAnsi="Times New Roman" w:cs="Times New Roman"/>
      <w:sz w:val="20"/>
      <w:szCs w:val="20"/>
      <w:lang w:eastAsia="lv-LV"/>
    </w:rPr>
  </w:style>
  <w:style w:type="paragraph" w:styleId="CommentText">
    <w:name w:val="annotation text"/>
    <w:basedOn w:val="Normal"/>
    <w:link w:val="CommentTextChar"/>
    <w:uiPriority w:val="99"/>
    <w:unhideWhenUsed/>
    <w:rsid w:val="00311DE7"/>
    <w:rPr>
      <w:sz w:val="24"/>
      <w:szCs w:val="24"/>
      <w:lang w:eastAsia="x-none"/>
    </w:rPr>
  </w:style>
  <w:style w:type="character" w:customStyle="1" w:styleId="CommentTextChar">
    <w:name w:val="Comment Text Char"/>
    <w:basedOn w:val="DefaultParagraphFont"/>
    <w:link w:val="CommentText"/>
    <w:uiPriority w:val="99"/>
    <w:rsid w:val="00311DE7"/>
    <w:rPr>
      <w:rFonts w:ascii="Times New Roman" w:eastAsia="Calibri" w:hAnsi="Times New Roman" w:cs="Times New Roman"/>
      <w:sz w:val="24"/>
      <w:szCs w:val="24"/>
      <w:lang w:eastAsia="x-none"/>
    </w:rPr>
  </w:style>
  <w:style w:type="character" w:customStyle="1" w:styleId="ListParagraphChar">
    <w:name w:val="List Paragraph Char"/>
    <w:aliases w:val="2 Char,Strip Char,H&amp;P List Paragraph Char,Bull Char,Bullet 1 Char,Bullet Points Char,Dot pt Char,F5 List Paragraph Char,IFCL - List Paragraph Char,Indicator Text Char,List Paragraph Char Char Char Char,List Paragraph1 Char"/>
    <w:link w:val="ListParagraph"/>
    <w:qFormat/>
    <w:locked/>
    <w:rsid w:val="00311DE7"/>
  </w:style>
  <w:style w:type="paragraph" w:styleId="ListParagraph">
    <w:name w:val="List Paragraph"/>
    <w:aliases w:val="2,Strip,H&amp;P List Paragraph,Bull,Bullet 1,Bullet Points,Dot pt,F5 List Paragraph,IFCL - List Paragraph,Indicator Text,List Paragraph Char Char Char,List Paragraph1,List Paragraph12,MAIN CONTENT,No Spacing1"/>
    <w:basedOn w:val="Normal"/>
    <w:link w:val="ListParagraphChar"/>
    <w:qFormat/>
    <w:rsid w:val="00311DE7"/>
    <w:pPr>
      <w:ind w:left="720"/>
      <w:contextualSpacing/>
    </w:pPr>
    <w:rPr>
      <w:rFonts w:asciiTheme="minorHAnsi" w:eastAsiaTheme="minorHAnsi" w:hAnsiTheme="minorHAnsi" w:cstheme="minorBidi"/>
      <w:sz w:val="22"/>
      <w:szCs w:val="22"/>
      <w:lang w:eastAsia="en-US"/>
    </w:rPr>
  </w:style>
  <w:style w:type="paragraph" w:customStyle="1" w:styleId="Default">
    <w:name w:val="Default"/>
    <w:uiPriority w:val="99"/>
    <w:rsid w:val="00311DE7"/>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customStyle="1" w:styleId="ColorfulList-Accent12">
    <w:name w:val="Colorful List - Accent 12"/>
    <w:basedOn w:val="Normal"/>
    <w:uiPriority w:val="34"/>
    <w:qFormat/>
    <w:rsid w:val="00311DE7"/>
    <w:pPr>
      <w:tabs>
        <w:tab w:val="num" w:pos="907"/>
      </w:tabs>
      <w:spacing w:after="80"/>
      <w:ind w:left="907" w:hanging="340"/>
    </w:pPr>
  </w:style>
  <w:style w:type="character" w:customStyle="1" w:styleId="Felcis2Char">
    <w:name w:val="Felcis2 Char"/>
    <w:basedOn w:val="DefaultParagraphFont"/>
    <w:link w:val="Felcis2"/>
    <w:locked/>
    <w:rsid w:val="00311DE7"/>
    <w:rPr>
      <w:rFonts w:ascii="Calibri" w:hAnsi="Calibri" w:cs="Calibri"/>
      <w:sz w:val="24"/>
      <w:szCs w:val="24"/>
    </w:rPr>
  </w:style>
  <w:style w:type="paragraph" w:customStyle="1" w:styleId="Felcis2">
    <w:name w:val="Felcis2"/>
    <w:basedOn w:val="Normal"/>
    <w:link w:val="Felcis2Char"/>
    <w:qFormat/>
    <w:rsid w:val="00311DE7"/>
    <w:pPr>
      <w:spacing w:after="160" w:line="256" w:lineRule="auto"/>
      <w:ind w:firstLine="720"/>
    </w:pPr>
    <w:rPr>
      <w:rFonts w:ascii="Calibri" w:eastAsiaTheme="minorHAnsi" w:hAnsi="Calibri" w:cs="Calibri"/>
      <w:sz w:val="24"/>
      <w:szCs w:val="24"/>
      <w:lang w:eastAsia="en-US"/>
    </w:rPr>
  </w:style>
  <w:style w:type="character" w:styleId="FootnoteReference">
    <w:name w:val="footnote reference"/>
    <w:aliases w:val="16 Point,BVI fnr,EN Footnote Reference,Exposant 3 Point,Footnote Reference Number,Footnote Reference Superscript,Footnote reference number,Footnote symbol,Superscript 6 Point,Times 10 Point,ftref,note TESI,Знак сноски-,Знак сноски-FN"/>
    <w:link w:val="FootnotesymbolCarZchn"/>
    <w:uiPriority w:val="99"/>
    <w:unhideWhenUsed/>
    <w:qFormat/>
    <w:rsid w:val="00311DE7"/>
    <w:rPr>
      <w:vertAlign w:val="superscript"/>
    </w:rPr>
  </w:style>
  <w:style w:type="paragraph" w:customStyle="1" w:styleId="FootnotesymbolCarZchn">
    <w:name w:val="Footnote symbol Car Zchn"/>
    <w:aliases w:val="BVI fnr Car Zchn,Char Char Char Char Char Car Zchn,Exposant 3 Point Car Zchn,Footnote Car Zchn,Footnote Reference Superscript Car Zchn,SUPERS Car Zchn,Times 10 Point Car Zchn"/>
    <w:basedOn w:val="Normal"/>
    <w:link w:val="FootnoteReference"/>
    <w:uiPriority w:val="99"/>
    <w:rsid w:val="00311DE7"/>
    <w:pPr>
      <w:spacing w:after="160" w:line="240" w:lineRule="exact"/>
    </w:pPr>
    <w:rPr>
      <w:rFonts w:asciiTheme="minorHAnsi" w:eastAsiaTheme="minorHAnsi" w:hAnsiTheme="minorHAnsi" w:cstheme="minorBidi"/>
      <w:sz w:val="22"/>
      <w:szCs w:val="22"/>
      <w:vertAlign w:val="superscript"/>
      <w:lang w:eastAsia="en-US"/>
    </w:rPr>
  </w:style>
  <w:style w:type="character" w:styleId="CommentReference">
    <w:name w:val="annotation reference"/>
    <w:uiPriority w:val="99"/>
    <w:semiHidden/>
    <w:unhideWhenUsed/>
    <w:rsid w:val="00311DE7"/>
    <w:rPr>
      <w:sz w:val="18"/>
      <w:szCs w:val="18"/>
    </w:rPr>
  </w:style>
  <w:style w:type="character" w:customStyle="1" w:styleId="spelle">
    <w:name w:val="spelle"/>
    <w:basedOn w:val="DefaultParagraphFont"/>
    <w:rsid w:val="00311DE7"/>
  </w:style>
  <w:style w:type="table" w:styleId="TableGrid">
    <w:name w:val="Table Grid"/>
    <w:basedOn w:val="TableNormal"/>
    <w:uiPriority w:val="39"/>
    <w:rsid w:val="00311DE7"/>
    <w:pPr>
      <w:spacing w:after="0" w:line="240" w:lineRule="auto"/>
    </w:pPr>
    <w:rPr>
      <w:rFonts w:ascii="Times New Roman" w:eastAsia="Calibri" w:hAnsi="Times New Roman" w:cs="Times New Roman"/>
      <w:sz w:val="20"/>
      <w:szCs w:val="20"/>
      <w:lang w:eastAsia="lv-LV"/>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6D71"/>
    <w:pPr>
      <w:tabs>
        <w:tab w:val="center" w:pos="4153"/>
        <w:tab w:val="right" w:pos="8306"/>
      </w:tabs>
    </w:pPr>
  </w:style>
  <w:style w:type="character" w:customStyle="1" w:styleId="HeaderChar">
    <w:name w:val="Header Char"/>
    <w:basedOn w:val="DefaultParagraphFont"/>
    <w:link w:val="Header"/>
    <w:uiPriority w:val="99"/>
    <w:rsid w:val="006E6D71"/>
    <w:rPr>
      <w:rFonts w:ascii="Times New Roman" w:eastAsia="Times New Roman" w:hAnsi="Times New Roman" w:cs="Times New Roman"/>
      <w:sz w:val="28"/>
      <w:szCs w:val="28"/>
      <w:lang w:eastAsia="lv-LV"/>
    </w:rPr>
  </w:style>
  <w:style w:type="paragraph" w:styleId="Footer">
    <w:name w:val="footer"/>
    <w:basedOn w:val="Normal"/>
    <w:link w:val="FooterChar"/>
    <w:uiPriority w:val="99"/>
    <w:unhideWhenUsed/>
    <w:rsid w:val="006E6D71"/>
    <w:pPr>
      <w:tabs>
        <w:tab w:val="center" w:pos="4153"/>
        <w:tab w:val="right" w:pos="8306"/>
      </w:tabs>
    </w:pPr>
  </w:style>
  <w:style w:type="character" w:customStyle="1" w:styleId="FooterChar">
    <w:name w:val="Footer Char"/>
    <w:basedOn w:val="DefaultParagraphFont"/>
    <w:link w:val="Footer"/>
    <w:uiPriority w:val="99"/>
    <w:rsid w:val="006E6D71"/>
    <w:rPr>
      <w:rFonts w:ascii="Times New Roman" w:eastAsia="Times New Roman" w:hAnsi="Times New Roman" w:cs="Times New Roman"/>
      <w:sz w:val="28"/>
      <w:szCs w:val="2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096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svetlana.amberga\Desktop\VARAMzino_140421_SDG.docx" TargetMode="External"/><Relationship Id="rId18" Type="http://schemas.openxmlformats.org/officeDocument/2006/relationships/hyperlink" Target="file:///C:\Users\svetlana.amberga\Desktop\VARAMzino_140421_SDG.docx" TargetMode="External"/><Relationship Id="rId26" Type="http://schemas.openxmlformats.org/officeDocument/2006/relationships/hyperlink" Target="mailto:svetlana.amberga@varam.gov.lv" TargetMode="External"/><Relationship Id="rId3" Type="http://schemas.openxmlformats.org/officeDocument/2006/relationships/customXml" Target="../customXml/item3.xml"/><Relationship Id="rId21" Type="http://schemas.openxmlformats.org/officeDocument/2006/relationships/hyperlink" Target="https://europa.eu/youreurope/citizens/index_lv.htm" TargetMode="External"/><Relationship Id="rId7" Type="http://schemas.openxmlformats.org/officeDocument/2006/relationships/settings" Target="settings.xml"/><Relationship Id="rId12" Type="http://schemas.openxmlformats.org/officeDocument/2006/relationships/hyperlink" Target="file:///C:\Users\svetlana.amberga\Desktop\VARAMzino_140421_SDG.docx" TargetMode="External"/><Relationship Id="rId17" Type="http://schemas.openxmlformats.org/officeDocument/2006/relationships/hyperlink" Target="file:///C:\Users\svetlana.amberga\Desktop\VARAMzino_140421_SDG.docx" TargetMode="External"/><Relationship Id="rId25" Type="http://schemas.openxmlformats.org/officeDocument/2006/relationships/hyperlink" Target="https://latvija.lv/DzivesSituacijas/Parrobezu-pakalpojumi/Klientu_atbalsts_ES" TargetMode="External"/><Relationship Id="rId2" Type="http://schemas.openxmlformats.org/officeDocument/2006/relationships/customXml" Target="../customXml/item2.xml"/><Relationship Id="rId16" Type="http://schemas.openxmlformats.org/officeDocument/2006/relationships/hyperlink" Target="file:///C:\Users\svetlana.amberga\Desktop\VARAMzino_140421_SDG.docx" TargetMode="External"/><Relationship Id="rId20" Type="http://schemas.openxmlformats.org/officeDocument/2006/relationships/hyperlink" Target="file:///C:\Users\svetlana.amberga\Desktop\VARAMzino_140421_SDG.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svetlana.amberga\Desktop\VARAMzino_140421_SDG.docx" TargetMode="External"/><Relationship Id="rId24" Type="http://schemas.openxmlformats.org/officeDocument/2006/relationships/hyperlink" Target="http://www.hugo.lv" TargetMode="External"/><Relationship Id="rId5" Type="http://schemas.openxmlformats.org/officeDocument/2006/relationships/numbering" Target="numbering.xml"/><Relationship Id="rId15" Type="http://schemas.openxmlformats.org/officeDocument/2006/relationships/hyperlink" Target="file:///C:\Users\svetlana.amberga\Desktop\VARAMzino_140421_SDG.docx" TargetMode="External"/><Relationship Id="rId23" Type="http://schemas.openxmlformats.org/officeDocument/2006/relationships/hyperlink" Target="http://www.hugo.lv"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file:///C:\Users\svetlana.amberga\Desktop\VARAMzino_140421_SDG.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svetlana.amberga\Desktop\VARAMzino_140421_SDG.docx" TargetMode="External"/><Relationship Id="rId22" Type="http://schemas.openxmlformats.org/officeDocument/2006/relationships/hyperlink" Target="http://www.latvija.lv"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ures/public/lv/homepage" TargetMode="External"/><Relationship Id="rId3" Type="http://schemas.openxmlformats.org/officeDocument/2006/relationships/hyperlink" Target="https://eur-lex.europa.eu/legal-content/LV/TXT/?uri=CELEX:32018R1724" TargetMode="External"/><Relationship Id="rId7" Type="http://schemas.openxmlformats.org/officeDocument/2006/relationships/hyperlink" Target="http://www.vmnvd.gov.lv/" TargetMode="External"/><Relationship Id="rId2" Type="http://schemas.openxmlformats.org/officeDocument/2006/relationships/hyperlink" Target="https://likumi.lv/ta/id/306691-par-valdibas-ricibas-planu-deklaracijas-par-artura-krisjana-karina-vadita-ministru-kabineta-iecereto-darbibu-istenosanai" TargetMode="External"/><Relationship Id="rId1" Type="http://schemas.openxmlformats.org/officeDocument/2006/relationships/hyperlink" Target="https://eur-lex.europa.eu/legal-content/LV/TXT/PDF/?uri=CELEX:52019XC0731(01)&amp;from=EN" TargetMode="External"/><Relationship Id="rId6" Type="http://schemas.openxmlformats.org/officeDocument/2006/relationships/hyperlink" Target="https://www.em.gov.lv/files/buvnieciba/cpr_data_real_20140701_2.pdf" TargetMode="External"/><Relationship Id="rId5" Type="http://schemas.openxmlformats.org/officeDocument/2006/relationships/hyperlink" Target="http://www.liaa.gov.lv/lv" TargetMode="External"/><Relationship Id="rId4" Type="http://schemas.openxmlformats.org/officeDocument/2006/relationships/hyperlink" Target="https://eur-lex.europa.eu/legal-content/LV/TXT/PDF/?uri=CELEX:32016R0679&amp;from=LV" TargetMode="External"/><Relationship Id="rId9" Type="http://schemas.openxmlformats.org/officeDocument/2006/relationships/hyperlink" Target="https://ec.europa.eu/consumers/odr/main/index.cfm?event=main.home2.show&amp;lng=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CC7D0B-5F06-4648-8F33-F0EC9DEE608F}">
  <ds:schemaRefs>
    <ds:schemaRef ds:uri="http://schemas.openxmlformats.org/officeDocument/2006/bibliography"/>
  </ds:schemaRefs>
</ds:datastoreItem>
</file>

<file path=customXml/itemProps2.xml><?xml version="1.0" encoding="utf-8"?>
<ds:datastoreItem xmlns:ds="http://schemas.openxmlformats.org/officeDocument/2006/customXml" ds:itemID="{58EA80E2-88F3-4C35-BDCF-497EA0FCC121}">
  <ds:schemaRefs>
    <ds:schemaRef ds:uri="http://schemas.microsoft.com/office/2006/metadata/properties"/>
    <ds:schemaRef ds:uri="http://schemas.microsoft.com/office/infopath/2007/PartnerControls"/>
    <ds:schemaRef ds:uri="625d95d3-8e48-4580-80b6-232a158d6bc7"/>
    <ds:schemaRef ds:uri="8a33a714-59ff-4f42-bcf7-50dcdab44510"/>
  </ds:schemaRefs>
</ds:datastoreItem>
</file>

<file path=customXml/itemProps3.xml><?xml version="1.0" encoding="utf-8"?>
<ds:datastoreItem xmlns:ds="http://schemas.openxmlformats.org/officeDocument/2006/customXml" ds:itemID="{A8FEC7E9-7AC5-48F4-B5CD-458AB0E1519E}">
  <ds:schemaRefs>
    <ds:schemaRef ds:uri="http://schemas.microsoft.com/sharepoint/v3/contenttype/forms"/>
  </ds:schemaRefs>
</ds:datastoreItem>
</file>

<file path=customXml/itemProps4.xml><?xml version="1.0" encoding="utf-8"?>
<ds:datastoreItem xmlns:ds="http://schemas.openxmlformats.org/officeDocument/2006/customXml" ds:itemID="{2ADCEF30-A7C1-46BA-A261-76EEF096D845}"/>
</file>

<file path=docProps/app.xml><?xml version="1.0" encoding="utf-8"?>
<Properties xmlns="http://schemas.openxmlformats.org/officeDocument/2006/extended-properties" xmlns:vt="http://schemas.openxmlformats.org/officeDocument/2006/docPropsVTypes">
  <Template>Normal</Template>
  <TotalTime>33</TotalTime>
  <Pages>24</Pages>
  <Words>27858</Words>
  <Characters>15880</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Informatīvais ziņojums “Par Vienotās digitālās vārtejas regulas prasību ieviešanu 2020. gadā”</vt:lpstr>
    </vt:vector>
  </TitlesOfParts>
  <Company>Vides aizsardzības un reģionālās attīstības ministrija</Company>
  <LinksUpToDate>false</LinksUpToDate>
  <CharactersWithSpaces>43651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Informatīvais ziņojums “Par Vienotās digitālās vārtejas regulas prasību ieviešanu 2020. gadā”</dc:title>
  <dc:subject>Informatīvais ziņojums</dc:subject>
  <dc:creator>Svetlana Amberga</dc:creator>
  <cp:keywords/>
  <dc:description>66016736, svetlana.amberga@varam.gov.lv</dc:description>
  <cp:lastModifiedBy>Svetlana Amberga</cp:lastModifiedBy>
  <cp:revision>15</cp:revision>
  <dcterms:created xsi:type="dcterms:W3CDTF">2021-04-16T07:52:00Z</dcterms:created>
  <dcterms:modified xsi:type="dcterms:W3CDTF">2021-04-16T11:34:00Z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