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CA5C6" w14:textId="77777777" w:rsidR="00AF6AA3" w:rsidRDefault="00661D50">
      <w:pPr>
        <w:ind w:firstLine="720"/>
        <w:jc w:val="center"/>
        <w:rPr>
          <w:b/>
          <w:bCs/>
        </w:rPr>
      </w:pPr>
      <w:r>
        <w:rPr>
          <w:b/>
          <w:bCs/>
        </w:rPr>
        <w:t xml:space="preserve">Ministru kabineta noteikumu projekta </w:t>
      </w:r>
    </w:p>
    <w:p w14:paraId="1B008382" w14:textId="77777777" w:rsidR="00AF6AA3" w:rsidRPr="002A3085" w:rsidRDefault="008F4D63" w:rsidP="002A3085">
      <w:pPr>
        <w:jc w:val="center"/>
        <w:rPr>
          <w:b/>
        </w:rPr>
      </w:pPr>
      <w:r w:rsidRPr="002A3085">
        <w:rPr>
          <w:b/>
        </w:rPr>
        <w:t xml:space="preserve"> </w:t>
      </w:r>
      <w:r w:rsidR="002A3085">
        <w:rPr>
          <w:b/>
        </w:rPr>
        <w:t>“</w:t>
      </w:r>
      <w:r w:rsidR="002A3085" w:rsidRPr="002A3085">
        <w:rPr>
          <w:b/>
        </w:rPr>
        <w:t>Grozījumi Ministru kabineta 2007. gada 19. jūnija noteikumos Nr. 404 “Kārtība, kādā aprēķina un maksā dabas resursu nodokli, izsniedz dabas resursu lietošanas atļauju un auditē apsaimniekošanas sistēmas”</w:t>
      </w:r>
      <w:r w:rsidR="002A3085">
        <w:rPr>
          <w:b/>
        </w:rPr>
        <w:t>”</w:t>
      </w:r>
    </w:p>
    <w:p w14:paraId="7DC1DF40" w14:textId="77777777" w:rsidR="00AF6AA3" w:rsidRDefault="00661D50">
      <w:pPr>
        <w:ind w:firstLine="720"/>
        <w:jc w:val="center"/>
        <w:rPr>
          <w:b/>
        </w:rPr>
      </w:pPr>
      <w:r>
        <w:rPr>
          <w:b/>
          <w:bCs/>
        </w:rPr>
        <w:t>sākotnējās ietekmes novērtējuma ziņojums (anotācija)</w:t>
      </w:r>
    </w:p>
    <w:p w14:paraId="119E8FF7" w14:textId="77777777" w:rsidR="00AF6AA3" w:rsidRDefault="00AF6AA3">
      <w:pPr>
        <w:jc w:val="center"/>
        <w:rPr>
          <w:b/>
        </w:rPr>
      </w:pPr>
    </w:p>
    <w:tbl>
      <w:tblPr>
        <w:tblStyle w:val="TableGrid"/>
        <w:tblW w:w="9180" w:type="dxa"/>
        <w:tblLook w:val="04A0" w:firstRow="1" w:lastRow="0" w:firstColumn="1" w:lastColumn="0" w:noHBand="0" w:noVBand="1"/>
      </w:tblPr>
      <w:tblGrid>
        <w:gridCol w:w="2093"/>
        <w:gridCol w:w="7087"/>
      </w:tblGrid>
      <w:tr w:rsidR="00AF6AA3" w14:paraId="75706D20" w14:textId="77777777" w:rsidTr="004F1DC0">
        <w:tc>
          <w:tcPr>
            <w:tcW w:w="9180" w:type="dxa"/>
            <w:gridSpan w:val="2"/>
            <w:shd w:val="clear" w:color="auto" w:fill="auto"/>
          </w:tcPr>
          <w:p w14:paraId="0B05B7FF" w14:textId="77777777" w:rsidR="00AF6AA3" w:rsidRDefault="00661D50">
            <w:pPr>
              <w:jc w:val="center"/>
              <w:rPr>
                <w:b/>
                <w:bCs/>
              </w:rPr>
            </w:pPr>
            <w:r>
              <w:rPr>
                <w:b/>
                <w:bCs/>
                <w:iCs/>
              </w:rPr>
              <w:t>Tiesību akta projekta anotācijas kopsavilkums</w:t>
            </w:r>
          </w:p>
        </w:tc>
      </w:tr>
      <w:tr w:rsidR="00AF6AA3" w14:paraId="6BB18DEF" w14:textId="77777777" w:rsidTr="004F1DC0">
        <w:tc>
          <w:tcPr>
            <w:tcW w:w="2093" w:type="dxa"/>
            <w:shd w:val="clear" w:color="auto" w:fill="auto"/>
          </w:tcPr>
          <w:p w14:paraId="75176D5E" w14:textId="77777777" w:rsidR="00AF6AA3" w:rsidRDefault="00661D50">
            <w:pPr>
              <w:jc w:val="center"/>
              <w:rPr>
                <w:bCs/>
              </w:rPr>
            </w:pPr>
            <w:r>
              <w:rPr>
                <w:iCs/>
              </w:rPr>
              <w:t>Mērķis, risinājums un projekta spēkā stāšanās laiks</w:t>
            </w:r>
          </w:p>
        </w:tc>
        <w:tc>
          <w:tcPr>
            <w:tcW w:w="7087" w:type="dxa"/>
            <w:shd w:val="clear" w:color="auto" w:fill="auto"/>
          </w:tcPr>
          <w:p w14:paraId="1ECB9C06" w14:textId="419A3172" w:rsidR="00AF6AA3" w:rsidRDefault="008F4D63" w:rsidP="00365B32">
            <w:pPr>
              <w:jc w:val="both"/>
            </w:pPr>
            <w:r w:rsidRPr="00332537">
              <w:t>Minis</w:t>
            </w:r>
            <w:r w:rsidR="007A1E60">
              <w:t>tru kabineta noteikumu projekta</w:t>
            </w:r>
            <w:r w:rsidR="00365B32" w:rsidRPr="00332537">
              <w:t xml:space="preserve"> </w:t>
            </w:r>
            <w:r w:rsidRPr="00332537">
              <w:t>“</w:t>
            </w:r>
            <w:r w:rsidR="00332537" w:rsidRPr="00332537">
              <w:t>Grozījumi Ministru kabineta 2007. gada 19. jūnija noteikumos Nr. 404 “Kārtība, kādā aprēķina un maksā dabas resursu nodokli, izsniedz dabas resursu lietošanas atļauju un auditē apsaimniekošanas sistēmas”</w:t>
            </w:r>
            <w:r w:rsidRPr="00332537">
              <w:t xml:space="preserve">” (turpmāk – Noteikumu projekts) </w:t>
            </w:r>
            <w:r w:rsidR="007A1E60">
              <w:t>sagatavošanas mērķis ir</w:t>
            </w:r>
            <w:r w:rsidRPr="00332537">
              <w:t xml:space="preserve"> </w:t>
            </w:r>
            <w:r w:rsidR="007A1E60">
              <w:t>precizēt</w:t>
            </w:r>
            <w:r w:rsidR="00332537" w:rsidRPr="00332537">
              <w:t xml:space="preserve"> kārtību, kādā aprēķina</w:t>
            </w:r>
            <w:r w:rsidR="00F52D5F">
              <w:t>, maksā dabas resursu nodokli un sniedz informāciju par</w:t>
            </w:r>
            <w:r w:rsidR="00332537" w:rsidRPr="00332537">
              <w:t xml:space="preserve"> dabas resursu nodok</w:t>
            </w:r>
            <w:r w:rsidR="00F52D5F">
              <w:t>ļa aprēķinu</w:t>
            </w:r>
            <w:r w:rsidR="00332537" w:rsidRPr="00332537">
              <w:t>.</w:t>
            </w:r>
          </w:p>
          <w:p w14:paraId="042D42D0" w14:textId="72239E2D" w:rsidR="007A1E60" w:rsidRPr="00332537" w:rsidRDefault="007A1E60" w:rsidP="00365B32">
            <w:pPr>
              <w:jc w:val="both"/>
            </w:pPr>
            <w:r>
              <w:t>Noteiku</w:t>
            </w:r>
            <w:r w:rsidR="006228D2">
              <w:t xml:space="preserve">mu projekts pilnveidos informācijas sniegšanas kārtību un </w:t>
            </w:r>
            <w:r>
              <w:t>dabas resursu nodokļa aprēķināšanas</w:t>
            </w:r>
            <w:r w:rsidR="00F52D5F">
              <w:t xml:space="preserve"> un maksāšanas</w:t>
            </w:r>
            <w:r>
              <w:t xml:space="preserve"> kārtību</w:t>
            </w:r>
            <w:r w:rsidR="00317E74">
              <w:t xml:space="preserve"> atbilstoši spēkā esošajam normatīvajam regulējumam par dabas resursu nodokli un piesārņojumu</w:t>
            </w:r>
            <w:r>
              <w:t>.</w:t>
            </w:r>
          </w:p>
          <w:p w14:paraId="5768D49E" w14:textId="77777777" w:rsidR="00332537" w:rsidRDefault="00332537" w:rsidP="00365B32">
            <w:pPr>
              <w:jc w:val="both"/>
              <w:rPr>
                <w:rFonts w:cstheme="minorBidi"/>
              </w:rPr>
            </w:pPr>
            <w:r w:rsidRPr="009F0206">
              <w:t>Noteikumu projekts stājas spēkā Oficiālo publikāciju un tiesiskās informācijas likuma 7. panta otrajā daļā noteiktajā kārtībā.</w:t>
            </w:r>
          </w:p>
        </w:tc>
      </w:tr>
    </w:tbl>
    <w:p w14:paraId="159EF02E" w14:textId="77777777" w:rsidR="00AF6AA3" w:rsidRDefault="00AF6AA3">
      <w:pPr>
        <w:pStyle w:val="Title"/>
        <w:spacing w:before="130" w:line="260" w:lineRule="exact"/>
        <w:ind w:firstLine="539"/>
        <w:jc w:val="both"/>
        <w:rPr>
          <w:sz w:val="24"/>
          <w:szCs w:val="24"/>
        </w:rPr>
      </w:pPr>
    </w:p>
    <w:tbl>
      <w:tblPr>
        <w:tblW w:w="5066" w:type="pct"/>
        <w:tblInd w:w="-120" w:type="dxa"/>
        <w:tblBorders>
          <w:top w:val="outset" w:sz="6" w:space="0" w:color="414142"/>
          <w:left w:val="outset" w:sz="6" w:space="0" w:color="414142"/>
          <w:bottom w:val="outset" w:sz="6" w:space="0" w:color="414142"/>
          <w:right w:val="outset" w:sz="6" w:space="0" w:color="414142"/>
          <w:insideH w:val="outset" w:sz="6" w:space="0" w:color="414142"/>
          <w:insideV w:val="outset" w:sz="6" w:space="0" w:color="414142"/>
        </w:tblBorders>
        <w:tblCellMar>
          <w:top w:w="24" w:type="dxa"/>
          <w:left w:w="22" w:type="dxa"/>
          <w:bottom w:w="24" w:type="dxa"/>
          <w:right w:w="24" w:type="dxa"/>
        </w:tblCellMar>
        <w:tblLook w:val="04A0" w:firstRow="1" w:lastRow="0" w:firstColumn="1" w:lastColumn="0" w:noHBand="0" w:noVBand="1"/>
      </w:tblPr>
      <w:tblGrid>
        <w:gridCol w:w="536"/>
        <w:gridCol w:w="2700"/>
        <w:gridCol w:w="5939"/>
      </w:tblGrid>
      <w:tr w:rsidR="00AF6AA3" w14:paraId="3B74A2D5" w14:textId="77777777" w:rsidTr="004F1DC0">
        <w:trPr>
          <w:trHeight w:val="324"/>
        </w:trPr>
        <w:tc>
          <w:tcPr>
            <w:tcW w:w="9237" w:type="dxa"/>
            <w:gridSpan w:val="3"/>
            <w:tcBorders>
              <w:top w:val="outset" w:sz="6" w:space="0" w:color="414142"/>
              <w:left w:val="outset" w:sz="6" w:space="0" w:color="414142"/>
              <w:bottom w:val="outset" w:sz="6" w:space="0" w:color="414142"/>
              <w:right w:val="outset" w:sz="6" w:space="0" w:color="414142"/>
            </w:tcBorders>
            <w:shd w:val="clear" w:color="auto" w:fill="auto"/>
            <w:vAlign w:val="center"/>
          </w:tcPr>
          <w:p w14:paraId="0D70CCFC" w14:textId="77777777" w:rsidR="00AF6AA3" w:rsidRDefault="00661D50">
            <w:pPr>
              <w:spacing w:beforeAutospacing="1" w:afterAutospacing="1" w:line="293" w:lineRule="atLeast"/>
              <w:jc w:val="center"/>
              <w:rPr>
                <w:b/>
                <w:bCs/>
              </w:rPr>
            </w:pPr>
            <w:r>
              <w:rPr>
                <w:b/>
                <w:bCs/>
              </w:rPr>
              <w:t>I. Tiesību akta projekta izstrādes nepieciešamība</w:t>
            </w:r>
          </w:p>
        </w:tc>
      </w:tr>
      <w:tr w:rsidR="00AF6AA3" w14:paraId="7BF94373" w14:textId="77777777" w:rsidTr="004F1DC0">
        <w:trPr>
          <w:trHeight w:val="659"/>
        </w:trPr>
        <w:tc>
          <w:tcPr>
            <w:tcW w:w="540" w:type="dxa"/>
            <w:tcBorders>
              <w:top w:val="outset" w:sz="6" w:space="0" w:color="414142"/>
              <w:left w:val="outset" w:sz="6" w:space="0" w:color="414142"/>
              <w:bottom w:val="outset" w:sz="6" w:space="0" w:color="414142"/>
              <w:right w:val="outset" w:sz="6" w:space="0" w:color="414142"/>
            </w:tcBorders>
            <w:shd w:val="clear" w:color="auto" w:fill="auto"/>
          </w:tcPr>
          <w:p w14:paraId="0497A391" w14:textId="77777777" w:rsidR="00AF6AA3" w:rsidRDefault="00661D50">
            <w:pPr>
              <w:spacing w:beforeAutospacing="1" w:afterAutospacing="1" w:line="293" w:lineRule="atLeast"/>
              <w:jc w:val="center"/>
            </w:pPr>
            <w:r>
              <w:t>1.</w:t>
            </w:r>
          </w:p>
        </w:tc>
        <w:tc>
          <w:tcPr>
            <w:tcW w:w="2711" w:type="dxa"/>
            <w:tcBorders>
              <w:top w:val="outset" w:sz="6" w:space="0" w:color="414142"/>
              <w:left w:val="outset" w:sz="6" w:space="0" w:color="414142"/>
              <w:bottom w:val="outset" w:sz="6" w:space="0" w:color="414142"/>
              <w:right w:val="outset" w:sz="6" w:space="0" w:color="414142"/>
            </w:tcBorders>
            <w:shd w:val="clear" w:color="auto" w:fill="auto"/>
          </w:tcPr>
          <w:p w14:paraId="486AB184" w14:textId="77777777" w:rsidR="00AF6AA3" w:rsidRDefault="00661D50">
            <w:r>
              <w:t>Pamatojums</w:t>
            </w:r>
          </w:p>
        </w:tc>
        <w:tc>
          <w:tcPr>
            <w:tcW w:w="5986" w:type="dxa"/>
            <w:tcBorders>
              <w:top w:val="outset" w:sz="6" w:space="0" w:color="414142"/>
              <w:left w:val="outset" w:sz="6" w:space="0" w:color="414142"/>
              <w:bottom w:val="outset" w:sz="6" w:space="0" w:color="414142"/>
              <w:right w:val="outset" w:sz="6" w:space="0" w:color="414142"/>
            </w:tcBorders>
            <w:shd w:val="clear" w:color="auto" w:fill="auto"/>
          </w:tcPr>
          <w:p w14:paraId="4028E580" w14:textId="7D2508C9" w:rsidR="00313FA2" w:rsidRPr="00313FA2" w:rsidRDefault="00313FA2" w:rsidP="002A3085">
            <w:pPr>
              <w:pStyle w:val="FootnoteText"/>
              <w:jc w:val="both"/>
              <w:rPr>
                <w:sz w:val="24"/>
                <w:szCs w:val="24"/>
              </w:rPr>
            </w:pPr>
            <w:r w:rsidRPr="00313FA2">
              <w:rPr>
                <w:sz w:val="24"/>
                <w:szCs w:val="24"/>
              </w:rPr>
              <w:t>Noteikumu projekts nepieciešams, lai pilnveidotu informācijas sniegšanas kārtību un dabas resursu nodokļa aprēķināšanas un maksāšanas kārtību atbilstoši spēkā esošajam normatīvajam regulējumam par dabas resursu nodokli un piesārņojumu.</w:t>
            </w:r>
          </w:p>
        </w:tc>
      </w:tr>
      <w:tr w:rsidR="00AF6AA3" w14:paraId="3BD07D43" w14:textId="77777777" w:rsidTr="004F1DC0">
        <w:trPr>
          <w:trHeight w:val="372"/>
        </w:trPr>
        <w:tc>
          <w:tcPr>
            <w:tcW w:w="540" w:type="dxa"/>
            <w:tcBorders>
              <w:top w:val="outset" w:sz="6" w:space="0" w:color="414142"/>
              <w:left w:val="outset" w:sz="6" w:space="0" w:color="414142"/>
              <w:bottom w:val="outset" w:sz="6" w:space="0" w:color="414142"/>
              <w:right w:val="outset" w:sz="6" w:space="0" w:color="414142"/>
            </w:tcBorders>
            <w:shd w:val="clear" w:color="auto" w:fill="auto"/>
          </w:tcPr>
          <w:p w14:paraId="249D9ED2" w14:textId="77777777" w:rsidR="00AF6AA3" w:rsidRDefault="00661D50">
            <w:pPr>
              <w:spacing w:beforeAutospacing="1" w:afterAutospacing="1" w:line="293" w:lineRule="atLeast"/>
              <w:jc w:val="center"/>
            </w:pPr>
            <w:r>
              <w:t>2.</w:t>
            </w:r>
          </w:p>
        </w:tc>
        <w:tc>
          <w:tcPr>
            <w:tcW w:w="2711" w:type="dxa"/>
            <w:tcBorders>
              <w:top w:val="outset" w:sz="6" w:space="0" w:color="414142"/>
              <w:left w:val="outset" w:sz="6" w:space="0" w:color="414142"/>
              <w:bottom w:val="outset" w:sz="6" w:space="0" w:color="414142"/>
              <w:right w:val="outset" w:sz="6" w:space="0" w:color="414142"/>
            </w:tcBorders>
            <w:shd w:val="clear" w:color="auto" w:fill="auto"/>
          </w:tcPr>
          <w:p w14:paraId="4DE2A47F" w14:textId="77777777" w:rsidR="00AF6AA3" w:rsidRDefault="00661D50">
            <w:r>
              <w:t>Pašreizējā situācija un problēmas, kuru risināšanai tiesību akta projekts izstrādāts, tiesiskā regulējuma mērķis un būtība</w:t>
            </w:r>
          </w:p>
        </w:tc>
        <w:tc>
          <w:tcPr>
            <w:tcW w:w="5986" w:type="dxa"/>
            <w:tcBorders>
              <w:top w:val="outset" w:sz="6" w:space="0" w:color="414142"/>
              <w:left w:val="outset" w:sz="6" w:space="0" w:color="414142"/>
              <w:bottom w:val="outset" w:sz="6" w:space="0" w:color="414142"/>
              <w:right w:val="outset" w:sz="6" w:space="0" w:color="414142"/>
            </w:tcBorders>
            <w:shd w:val="clear" w:color="auto" w:fill="auto"/>
          </w:tcPr>
          <w:p w14:paraId="0ACD7D8C" w14:textId="77777777" w:rsidR="00234CE1" w:rsidRDefault="00234CE1" w:rsidP="00234CE1">
            <w:pPr>
              <w:spacing w:after="120"/>
              <w:jc w:val="both"/>
              <w:rPr>
                <w:i/>
              </w:rPr>
            </w:pPr>
            <w:r>
              <w:rPr>
                <w:i/>
              </w:rPr>
              <w:t>Pastāvošais tiesiskais regulējums un problēmas</w:t>
            </w:r>
          </w:p>
          <w:p w14:paraId="4EA3333B" w14:textId="591FB050" w:rsidR="00A67835" w:rsidRDefault="001D7DFA" w:rsidP="001D7DFA">
            <w:pPr>
              <w:tabs>
                <w:tab w:val="left" w:pos="7088"/>
              </w:tabs>
              <w:spacing w:before="120"/>
              <w:ind w:right="11"/>
              <w:jc w:val="both"/>
            </w:pPr>
            <w:r>
              <w:t>Saskaņā ar Dabas resursu nodokļa likum</w:t>
            </w:r>
            <w:r w:rsidR="00FF6775">
              <w:t>a 3. panta pirmās daļas 3. punktu</w:t>
            </w:r>
            <w:r>
              <w:t xml:space="preserve"> k</w:t>
            </w:r>
            <w:r w:rsidRPr="00823971">
              <w:t>omersantiem, kuri pirmie Latvijas Republikas teritorijā sabiedriskajā ēdināšanā un mazumtirdzniecībā realizē vienreiz lietojamos galda traukus un piederumus</w:t>
            </w:r>
            <w:r>
              <w:t xml:space="preserve">, kas izgatavoti no </w:t>
            </w:r>
            <w:r w:rsidRPr="00823971">
              <w:t>plastmasas (polimēriem) un to kompozītmateriāliem (laminātiem)</w:t>
            </w:r>
            <w:r>
              <w:t>, ir</w:t>
            </w:r>
            <w:r w:rsidRPr="00823971">
              <w:t xml:space="preserve"> gan jāmaksā </w:t>
            </w:r>
            <w:r w:rsidR="00FF6775">
              <w:t>dabas resursu nodoklis</w:t>
            </w:r>
            <w:r>
              <w:t>, sniedzot atskaiti Valsts ieņēmumu dienestam (turpmā</w:t>
            </w:r>
            <w:r w:rsidR="008B6B32">
              <w:t xml:space="preserve">k – </w:t>
            </w:r>
            <w:r>
              <w:t xml:space="preserve">VID) atbilstoši </w:t>
            </w:r>
            <w:r w:rsidR="00251D5F" w:rsidRPr="00332537">
              <w:t>Ministru kabineta 2007. gada 19. jūnija noteikum</w:t>
            </w:r>
            <w:r w:rsidR="00251D5F">
              <w:t>u</w:t>
            </w:r>
            <w:r w:rsidR="00251D5F" w:rsidRPr="00332537">
              <w:t xml:space="preserve"> Nr. 404 “Kārtība, kādā aprēķina un maksā dabas resursu nodokli, izsniedz dabas resursu lietošanas atļauju un auditē apsaimniekošanas sistēmas”</w:t>
            </w:r>
            <w:r w:rsidR="00251D5F">
              <w:t xml:space="preserve"> (turpmāk – MKN 404)</w:t>
            </w:r>
            <w:r>
              <w:t xml:space="preserve"> 1.</w:t>
            </w:r>
            <w:r w:rsidR="00A34500">
              <w:t> </w:t>
            </w:r>
            <w:r>
              <w:t>pielikumā noteiktajai formai</w:t>
            </w:r>
            <w:r w:rsidRPr="00823971">
              <w:t>, gan pašiem jānodrošina to pārstrādes un reģenerācijas normu izpildi</w:t>
            </w:r>
            <w:r>
              <w:t xml:space="preserve">, sniedzot par to pārskatu </w:t>
            </w:r>
            <w:r w:rsidR="00FF6775">
              <w:t>Valsts vides dienestam (turpmāk – VVD)</w:t>
            </w:r>
            <w:r>
              <w:t xml:space="preserve"> atbilstoši</w:t>
            </w:r>
            <w:r w:rsidRPr="00823971">
              <w:t xml:space="preserve"> Ministru kabineta 2010.</w:t>
            </w:r>
            <w:r>
              <w:t> </w:t>
            </w:r>
            <w:r w:rsidRPr="00823971">
              <w:t>gada 19.</w:t>
            </w:r>
            <w:r>
              <w:t> </w:t>
            </w:r>
            <w:r w:rsidRPr="00823971">
              <w:t>oktobra noteikum</w:t>
            </w:r>
            <w:r>
              <w:t>u</w:t>
            </w:r>
            <w:r w:rsidRPr="00823971">
              <w:t xml:space="preserve"> Nr.</w:t>
            </w:r>
            <w:r>
              <w:t> </w:t>
            </w:r>
            <w:r w:rsidRPr="00823971">
              <w:t xml:space="preserve">983 “Noteikumi par izlietotā iepakojuma reģenerācijas procentuālo apjomu, reģistrēšanas un ziņojumu sniegšanas kārtību un iepakojuma definīcijas kritēriju piemērošanas piemēriem” </w:t>
            </w:r>
            <w:r>
              <w:t xml:space="preserve">2. pielikumā </w:t>
            </w:r>
            <w:r w:rsidRPr="00823971">
              <w:t>noteiktaj</w:t>
            </w:r>
            <w:r>
              <w:t xml:space="preserve">ai formai. </w:t>
            </w:r>
            <w:r w:rsidR="00FF6775">
              <w:t>Vienlaikus</w:t>
            </w:r>
            <w:r>
              <w:t xml:space="preserve"> ražotāju atbildības sistēmas ziņo par radītajiem </w:t>
            </w:r>
            <w:r w:rsidR="0025305A">
              <w:t>dabas resursu nodokļa</w:t>
            </w:r>
            <w:r>
              <w:t xml:space="preserve"> objektiem atbilstoši </w:t>
            </w:r>
            <w:r w:rsidRPr="00BB3883">
              <w:t xml:space="preserve">Ministru kabineta </w:t>
            </w:r>
            <w:r w:rsidR="00FF6775">
              <w:t xml:space="preserve">2017. gada 16. augusta </w:t>
            </w:r>
            <w:r w:rsidRPr="00BB3883">
              <w:t>noteikum</w:t>
            </w:r>
            <w:r>
              <w:t>u</w:t>
            </w:r>
            <w:r w:rsidRPr="00BB3883">
              <w:t xml:space="preserve"> Nr.480 “Noteikumi par atbrīvojuma piemērošanu no dabas resursu </w:t>
            </w:r>
            <w:r w:rsidRPr="00BB3883">
              <w:lastRenderedPageBreak/>
              <w:t>nodokļa samaksas par iepakojumu un vienreiz lietojamiem galda traukiem un piederumiem”</w:t>
            </w:r>
            <w:r w:rsidR="000F7310">
              <w:t xml:space="preserve"> (turpmāk – MKN 480)</w:t>
            </w:r>
            <w:r>
              <w:t xml:space="preserve"> 5.</w:t>
            </w:r>
            <w:r w:rsidR="00FF6775">
              <w:t> </w:t>
            </w:r>
            <w:r>
              <w:t>pielikuma 2.</w:t>
            </w:r>
            <w:r w:rsidR="00FF6775">
              <w:t> </w:t>
            </w:r>
            <w:r>
              <w:t>punktā noteiktajai formai.</w:t>
            </w:r>
            <w:r w:rsidR="00FF6775">
              <w:t xml:space="preserve"> MK</w:t>
            </w:r>
            <w:r w:rsidR="00146F38">
              <w:t>N</w:t>
            </w:r>
            <w:r w:rsidR="0099522E">
              <w:t> </w:t>
            </w:r>
            <w:r w:rsidR="00FF6775">
              <w:t>404 1. pielikumā nodokļa maksātājam nav nodefinēta precīza (detalizēta) dabas resursu nodokļa objekta pozīcija, tādējādi tiek traucēta datu iegūšana, apstrāde un kontrole.</w:t>
            </w:r>
            <w:r>
              <w:t xml:space="preserve"> </w:t>
            </w:r>
            <w:r w:rsidR="00FF6775">
              <w:t>T</w:t>
            </w:r>
            <w:r w:rsidR="00A67835">
              <w:t xml:space="preserve">as apgrūtina </w:t>
            </w:r>
            <w:r w:rsidR="00FF6775">
              <w:t xml:space="preserve">VVD  </w:t>
            </w:r>
            <w:r w:rsidR="00A67835">
              <w:t>arī ziņojuma par iepakojumu sagatavošan</w:t>
            </w:r>
            <w:r w:rsidR="00FF6775">
              <w:t>u</w:t>
            </w:r>
            <w:r w:rsidR="00A67835">
              <w:t xml:space="preserve"> atbilstoši</w:t>
            </w:r>
            <w:r w:rsidR="00146F38">
              <w:t xml:space="preserve"> Eiropas</w:t>
            </w:r>
            <w:r w:rsidR="00FF6775">
              <w:t xml:space="preserve"> Komisijas</w:t>
            </w:r>
            <w:r w:rsidR="00A67835">
              <w:t xml:space="preserve"> </w:t>
            </w:r>
            <w:r w:rsidR="00FF6775">
              <w:t>2005. gada 22. marta</w:t>
            </w:r>
            <w:r w:rsidR="00A67835">
              <w:t xml:space="preserve"> </w:t>
            </w:r>
            <w:r w:rsidR="00FF6775">
              <w:t xml:space="preserve">lēmumam </w:t>
            </w:r>
            <w:r w:rsidR="00A67835">
              <w:t>Nr.</w:t>
            </w:r>
            <w:r>
              <w:t> </w:t>
            </w:r>
            <w:r w:rsidR="00A67835">
              <w:t>2005/270/EC</w:t>
            </w:r>
            <w:r w:rsidR="00E023BA">
              <w:t>,</w:t>
            </w:r>
            <w:r w:rsidR="00A67835">
              <w:t xml:space="preserve"> </w:t>
            </w:r>
            <w:r w:rsidR="00FF6775">
              <w:t>ar ko nosaka datu bāzu sistēmu formātus atbilstoši Eiropas Parlamenta un Padomes Direktīvai 94/62/EK par iepakojumu un izlietoto iepakojumu</w:t>
            </w:r>
            <w:r w:rsidR="00E023BA">
              <w:rPr>
                <w:rStyle w:val="FootnoteReference"/>
              </w:rPr>
              <w:footnoteReference w:id="1"/>
            </w:r>
            <w:r w:rsidR="00A67835">
              <w:t xml:space="preserve">, jo iepakotājiem VID jāziņo radītais izlietotā </w:t>
            </w:r>
            <w:r w:rsidR="00A67835" w:rsidRPr="001D7DFA">
              <w:t>papīra, koksnes</w:t>
            </w:r>
            <w:r w:rsidR="00A67835">
              <w:t xml:space="preserve"> un citu dabisko šķiedru iepakojuma apjoms kopā – vienā pozīcijā. </w:t>
            </w:r>
            <w:r>
              <w:t>Ievērojot minēto, nepieciešama ziņošanas formu vienādošana, kas attiecīgi ļautu izsekot dat</w:t>
            </w:r>
            <w:r w:rsidR="00FF6775">
              <w:t>us</w:t>
            </w:r>
            <w:r>
              <w:t xml:space="preserve"> par radītā vienreiz lietojamo galda trauku un piederumu apjoma izmaiņām.</w:t>
            </w:r>
          </w:p>
          <w:p w14:paraId="415A116F" w14:textId="77777777" w:rsidR="00977AFD" w:rsidRDefault="00977AFD" w:rsidP="00977AFD">
            <w:pPr>
              <w:jc w:val="both"/>
            </w:pPr>
          </w:p>
          <w:p w14:paraId="055C0E92" w14:textId="426A4E16" w:rsidR="00977AFD" w:rsidRDefault="00977AFD" w:rsidP="00977AFD">
            <w:pPr>
              <w:jc w:val="both"/>
            </w:pPr>
            <w:r>
              <w:t xml:space="preserve">Saskaņā ar likuma “Par piesārņojumu” 23. panta otro daļu </w:t>
            </w:r>
            <w:r w:rsidR="00F00EFD">
              <w:t xml:space="preserve">no 2020. gada 1. aprīļa </w:t>
            </w:r>
            <w:r w:rsidR="00146F38">
              <w:t>VVD</w:t>
            </w:r>
            <w:r>
              <w:t xml:space="preserve"> reģistrē C kategorijas piesārņojošo darbību. Tikmēr MKN 404 norādīts</w:t>
            </w:r>
            <w:r w:rsidR="008B6B32">
              <w:t xml:space="preserve"> </w:t>
            </w:r>
            <w:r>
              <w:t>C kategorijas piesārņojošas darbības apliecinājum</w:t>
            </w:r>
            <w:r w:rsidR="008B6B32">
              <w:t>s</w:t>
            </w:r>
            <w:r>
              <w:t xml:space="preserve">. Ievērojot minēto, ir </w:t>
            </w:r>
            <w:r w:rsidRPr="002C7863">
              <w:t>nepieciešami tehniski grozījumi</w:t>
            </w:r>
            <w:r>
              <w:t xml:space="preserve"> MKN 404.</w:t>
            </w:r>
          </w:p>
          <w:p w14:paraId="370BC949" w14:textId="77777777" w:rsidR="008B6B32" w:rsidRDefault="008B6B32" w:rsidP="008B6B32">
            <w:pPr>
              <w:jc w:val="both"/>
              <w:rPr>
                <w:iCs/>
              </w:rPr>
            </w:pPr>
          </w:p>
          <w:p w14:paraId="0398B453" w14:textId="3065B5BE" w:rsidR="008B6B32" w:rsidRDefault="00313FA2" w:rsidP="006A6257">
            <w:pPr>
              <w:jc w:val="both"/>
              <w:rPr>
                <w:iCs/>
              </w:rPr>
            </w:pPr>
            <w:r>
              <w:rPr>
                <w:iCs/>
              </w:rPr>
              <w:t xml:space="preserve">Ievērojot, ka </w:t>
            </w:r>
            <w:r w:rsidR="006A6257">
              <w:rPr>
                <w:iCs/>
              </w:rPr>
              <w:t xml:space="preserve">sadedzināšanas iekārtām, kas atbilst </w:t>
            </w:r>
            <w:r w:rsidRPr="009410EC">
              <w:rPr>
                <w:iCs/>
              </w:rPr>
              <w:t xml:space="preserve">C kategorijas </w:t>
            </w:r>
            <w:r>
              <w:rPr>
                <w:iCs/>
              </w:rPr>
              <w:t>piesārņojošām darbībām</w:t>
            </w:r>
            <w:r w:rsidRPr="009410EC">
              <w:rPr>
                <w:iCs/>
              </w:rPr>
              <w:t xml:space="preserve"> līdz šim izmantotā </w:t>
            </w:r>
            <w:r>
              <w:rPr>
                <w:iCs/>
              </w:rPr>
              <w:t xml:space="preserve">putekļu jeb daļiņu emisiju </w:t>
            </w:r>
            <w:r w:rsidRPr="009410EC">
              <w:rPr>
                <w:iCs/>
              </w:rPr>
              <w:t>aprēķinu pieeja ir novecojusi</w:t>
            </w:r>
            <w:r w:rsidR="004D46F9">
              <w:rPr>
                <w:iCs/>
              </w:rPr>
              <w:t>,</w:t>
            </w:r>
            <w:r w:rsidRPr="009410EC">
              <w:rPr>
                <w:iCs/>
              </w:rPr>
              <w:t xml:space="preserve"> </w:t>
            </w:r>
            <w:r>
              <w:rPr>
                <w:iCs/>
              </w:rPr>
              <w:t xml:space="preserve">un </w:t>
            </w:r>
            <w:r w:rsidRPr="009410EC">
              <w:rPr>
                <w:iCs/>
              </w:rPr>
              <w:t xml:space="preserve">operatori veic </w:t>
            </w:r>
            <w:r w:rsidR="0025305A">
              <w:rPr>
                <w:iCs/>
              </w:rPr>
              <w:t>dabas resursu nodokļa</w:t>
            </w:r>
            <w:r w:rsidRPr="009410EC">
              <w:rPr>
                <w:iCs/>
              </w:rPr>
              <w:t xml:space="preserve"> maksājuma aprēķinus</w:t>
            </w:r>
            <w:r w:rsidR="004D46F9">
              <w:rPr>
                <w:iCs/>
              </w:rPr>
              <w:t xml:space="preserve"> par emisijām, </w:t>
            </w:r>
            <w:r w:rsidRPr="009410EC">
              <w:rPr>
                <w:iCs/>
              </w:rPr>
              <w:t>kas neatspoguļo reālo situāciju mūsdienās</w:t>
            </w:r>
            <w:r>
              <w:rPr>
                <w:iCs/>
              </w:rPr>
              <w:t xml:space="preserve">, 2021. gada 7. janvārī ir pieņemti jauni </w:t>
            </w:r>
            <w:r>
              <w:t>Ministru kabineta noteikumi Nr. 17 “Noteikumi par gaisa piesārņojuma ierobežošanu no sadedzināšanas iekārtām”</w:t>
            </w:r>
            <w:r w:rsidR="004D46F9">
              <w:t xml:space="preserve"> (turpmāk – MKN 17)</w:t>
            </w:r>
            <w:r w:rsidR="002B3E3B">
              <w:rPr>
                <w:iCs/>
              </w:rPr>
              <w:t>.</w:t>
            </w:r>
            <w:r w:rsidR="00146F38">
              <w:rPr>
                <w:iCs/>
              </w:rPr>
              <w:t xml:space="preserve"> </w:t>
            </w:r>
            <w:r w:rsidR="002B3E3B">
              <w:rPr>
                <w:iCs/>
              </w:rPr>
              <w:t>MKN</w:t>
            </w:r>
            <w:r w:rsidR="00CC1C0D">
              <w:rPr>
                <w:iCs/>
              </w:rPr>
              <w:t> </w:t>
            </w:r>
            <w:r w:rsidR="002B3E3B">
              <w:rPr>
                <w:iCs/>
              </w:rPr>
              <w:t xml:space="preserve">17 </w:t>
            </w:r>
            <w:r w:rsidR="004D46F9">
              <w:rPr>
                <w:iCs/>
              </w:rPr>
              <w:t xml:space="preserve">aizvieto </w:t>
            </w:r>
            <w:r w:rsidR="006A6257" w:rsidRPr="006A6257">
              <w:rPr>
                <w:iCs/>
              </w:rPr>
              <w:t>Ministru kabineta 2004.</w:t>
            </w:r>
            <w:r w:rsidR="00CC1C0D">
              <w:rPr>
                <w:iCs/>
              </w:rPr>
              <w:t> </w:t>
            </w:r>
            <w:r w:rsidR="006A6257" w:rsidRPr="006A6257">
              <w:rPr>
                <w:iCs/>
              </w:rPr>
              <w:t>gada 14.</w:t>
            </w:r>
            <w:r w:rsidR="00CC1C0D">
              <w:rPr>
                <w:iCs/>
              </w:rPr>
              <w:t> </w:t>
            </w:r>
            <w:r w:rsidR="006A6257" w:rsidRPr="006A6257">
              <w:rPr>
                <w:iCs/>
              </w:rPr>
              <w:t>decembr</w:t>
            </w:r>
            <w:r w:rsidR="006A6257">
              <w:rPr>
                <w:iCs/>
              </w:rPr>
              <w:t>a</w:t>
            </w:r>
            <w:r w:rsidR="006A6257" w:rsidRPr="006A6257">
              <w:rPr>
                <w:iCs/>
              </w:rPr>
              <w:t xml:space="preserve"> noteikum</w:t>
            </w:r>
            <w:r w:rsidR="006A6257">
              <w:rPr>
                <w:iCs/>
              </w:rPr>
              <w:t>us</w:t>
            </w:r>
            <w:r w:rsidR="006A6257" w:rsidRPr="006A6257">
              <w:rPr>
                <w:iCs/>
              </w:rPr>
              <w:t xml:space="preserve"> Nr.</w:t>
            </w:r>
            <w:r w:rsidR="00CC1C0D">
              <w:rPr>
                <w:iCs/>
              </w:rPr>
              <w:t> </w:t>
            </w:r>
            <w:r w:rsidR="006A6257" w:rsidRPr="006A6257">
              <w:rPr>
                <w:iCs/>
              </w:rPr>
              <w:t>1015</w:t>
            </w:r>
            <w:r w:rsidR="006A6257">
              <w:rPr>
                <w:iCs/>
              </w:rPr>
              <w:t xml:space="preserve"> “</w:t>
            </w:r>
            <w:r w:rsidR="006A6257" w:rsidRPr="006A6257">
              <w:rPr>
                <w:iCs/>
              </w:rPr>
              <w:t>Vides prasības mazo katlumāju apsaimniekošanai</w:t>
            </w:r>
            <w:r w:rsidR="006A6257">
              <w:rPr>
                <w:iCs/>
              </w:rPr>
              <w:t>”</w:t>
            </w:r>
            <w:r w:rsidRPr="009410EC">
              <w:rPr>
                <w:iCs/>
              </w:rPr>
              <w:t xml:space="preserve"> </w:t>
            </w:r>
            <w:r w:rsidR="002B3E3B">
              <w:rPr>
                <w:iCs/>
              </w:rPr>
              <w:t xml:space="preserve">un </w:t>
            </w:r>
            <w:r w:rsidR="008B6B32" w:rsidRPr="009410EC">
              <w:rPr>
                <w:iCs/>
              </w:rPr>
              <w:t xml:space="preserve">precizē </w:t>
            </w:r>
            <w:r w:rsidR="006A6257">
              <w:rPr>
                <w:iCs/>
              </w:rPr>
              <w:t>emisiju aprēķinu metodiku un izma</w:t>
            </w:r>
            <w:r w:rsidR="00CC1C0D">
              <w:rPr>
                <w:iCs/>
              </w:rPr>
              <w:t>n</w:t>
            </w:r>
            <w:r w:rsidR="006A6257">
              <w:rPr>
                <w:iCs/>
              </w:rPr>
              <w:t>totos emisiju faktorus C kategorijas sadedzināšanas iekārtām. Jaunie emisiju faktori ļauj aprēķināt kopējo putekļu jeb daļiņu apjomu un tie nenosaka emisijas faktorus, kas ļautu atsevišķi aprēķināt tikai daļiņu PM</w:t>
            </w:r>
            <w:r w:rsidR="006A6257">
              <w:rPr>
                <w:iCs/>
                <w:vertAlign w:val="subscript"/>
              </w:rPr>
              <w:t>10</w:t>
            </w:r>
            <w:r w:rsidR="006A6257">
              <w:rPr>
                <w:iCs/>
              </w:rPr>
              <w:t xml:space="preserve"> apjomu</w:t>
            </w:r>
            <w:r w:rsidR="008B6B32" w:rsidRPr="009410EC">
              <w:rPr>
                <w:iCs/>
              </w:rPr>
              <w:t>.</w:t>
            </w:r>
            <w:r w:rsidR="008B6B32" w:rsidRPr="009410EC">
              <w:rPr>
                <w:iCs/>
                <w:color w:val="FF0000"/>
              </w:rPr>
              <w:t xml:space="preserve"> </w:t>
            </w:r>
            <w:r w:rsidR="00D3196B">
              <w:t xml:space="preserve">Ievērojot minēto, MKN 404 nepieciešams </w:t>
            </w:r>
            <w:r w:rsidR="006A6257">
              <w:t>precizēt</w:t>
            </w:r>
            <w:r w:rsidR="00D3196B">
              <w:t>, kā</w:t>
            </w:r>
            <w:r w:rsidR="006A6257">
              <w:t>dā veidā C kategorijas sadedzināšanas</w:t>
            </w:r>
            <w:r w:rsidR="0025305A">
              <w:t xml:space="preserve"> iekārtu operatori</w:t>
            </w:r>
            <w:r w:rsidR="006A6257">
              <w:t xml:space="preserve"> varēs turpmāk veikt </w:t>
            </w:r>
            <w:r w:rsidR="002B3E3B">
              <w:t>par daļiņu PM</w:t>
            </w:r>
            <w:r w:rsidR="002B3E3B">
              <w:rPr>
                <w:vertAlign w:val="subscript"/>
              </w:rPr>
              <w:t>10</w:t>
            </w:r>
            <w:r w:rsidR="002B3E3B">
              <w:t xml:space="preserve"> </w:t>
            </w:r>
            <w:r w:rsidR="00CC1C0D">
              <w:t xml:space="preserve">emisiju </w:t>
            </w:r>
            <w:r w:rsidR="002B3E3B">
              <w:t xml:space="preserve">maksājamā </w:t>
            </w:r>
            <w:r w:rsidR="006A6257">
              <w:t>dabas resursu nodokļa aprēķinu.</w:t>
            </w:r>
            <w:r w:rsidR="00D3196B">
              <w:t xml:space="preserve"> </w:t>
            </w:r>
          </w:p>
          <w:p w14:paraId="5C08EBC9" w14:textId="5D4A748E" w:rsidR="00E13A20" w:rsidRDefault="00E13A20" w:rsidP="008B6B32">
            <w:pPr>
              <w:jc w:val="both"/>
              <w:rPr>
                <w:iCs/>
              </w:rPr>
            </w:pPr>
          </w:p>
          <w:p w14:paraId="08561C6F" w14:textId="55BB62A6" w:rsidR="009A36EA" w:rsidRDefault="00976F35">
            <w:pPr>
              <w:tabs>
                <w:tab w:val="left" w:pos="6580"/>
              </w:tabs>
              <w:jc w:val="both"/>
            </w:pPr>
            <w:r>
              <w:rPr>
                <w:iCs/>
              </w:rPr>
              <w:t xml:space="preserve">Latvijas Republikas Saeima 2018. gada 26. aprīlī ir pieņēmusi grozījumus (Likums “Grozījumi </w:t>
            </w:r>
            <w:r w:rsidR="004E3AE1">
              <w:rPr>
                <w:iCs/>
              </w:rPr>
              <w:t>Dabas resursu nodokļa</w:t>
            </w:r>
            <w:r>
              <w:rPr>
                <w:iCs/>
              </w:rPr>
              <w:t xml:space="preserve"> likumā” stājies spēkā 2018. gada 23. maijā)</w:t>
            </w:r>
            <w:r w:rsidR="009739FF">
              <w:rPr>
                <w:rStyle w:val="FootnoteReference"/>
              </w:rPr>
              <w:footnoteReference w:id="2"/>
            </w:r>
            <w:r>
              <w:rPr>
                <w:iCs/>
              </w:rPr>
              <w:t xml:space="preserve"> Dabas resursu nodokļa likumā</w:t>
            </w:r>
            <w:r>
              <w:t xml:space="preserve"> attiecībā uz vārda “</w:t>
            </w:r>
            <w:proofErr w:type="spellStart"/>
            <w:r>
              <w:t>oksonoārdāmā</w:t>
            </w:r>
            <w:proofErr w:type="spellEnd"/>
            <w:r>
              <w:t xml:space="preserve"> plastmasa” izslēgšanu, kas stājies spēkā 2018. gada 1. jūlijā. Ievērojot </w:t>
            </w:r>
            <w:r>
              <w:lastRenderedPageBreak/>
              <w:t xml:space="preserve">minēto, nepieciešams svītrot atsauces uz </w:t>
            </w:r>
            <w:proofErr w:type="spellStart"/>
            <w:r>
              <w:t>oksonoārdāmo</w:t>
            </w:r>
            <w:proofErr w:type="spellEnd"/>
            <w:r>
              <w:t xml:space="preserve"> plastmasu arī MKN 404.</w:t>
            </w:r>
          </w:p>
          <w:p w14:paraId="5FD9367F" w14:textId="2B0C8838" w:rsidR="004E3AE1" w:rsidRDefault="004E3AE1">
            <w:pPr>
              <w:tabs>
                <w:tab w:val="left" w:pos="6580"/>
              </w:tabs>
              <w:jc w:val="both"/>
            </w:pPr>
          </w:p>
          <w:p w14:paraId="5AE8F4DC" w14:textId="398E9CDA" w:rsidR="004E3AE1" w:rsidRDefault="004E3AE1" w:rsidP="004E3AE1">
            <w:pPr>
              <w:tabs>
                <w:tab w:val="left" w:pos="6580"/>
              </w:tabs>
              <w:jc w:val="both"/>
            </w:pPr>
            <w:r>
              <w:rPr>
                <w:iCs/>
              </w:rPr>
              <w:t>Latvijas Republikas Saeima 2020. gada 23. novembrī ir pieņēmusi grozījumus (Likums “Grozījumi Dabas resursu nodokļa likumā” stājies spēkā 20</w:t>
            </w:r>
            <w:r w:rsidR="001A7DC2">
              <w:rPr>
                <w:iCs/>
              </w:rPr>
              <w:t>21</w:t>
            </w:r>
            <w:r>
              <w:rPr>
                <w:iCs/>
              </w:rPr>
              <w:t xml:space="preserve">. gada </w:t>
            </w:r>
            <w:r w:rsidR="001A7DC2">
              <w:rPr>
                <w:iCs/>
              </w:rPr>
              <w:t>1</w:t>
            </w:r>
            <w:r>
              <w:rPr>
                <w:iCs/>
              </w:rPr>
              <w:t>. </w:t>
            </w:r>
            <w:r w:rsidR="001A7DC2">
              <w:rPr>
                <w:iCs/>
              </w:rPr>
              <w:t>janvārī</w:t>
            </w:r>
            <w:r>
              <w:rPr>
                <w:iCs/>
              </w:rPr>
              <w:t>)</w:t>
            </w:r>
            <w:r>
              <w:rPr>
                <w:rStyle w:val="FootnoteReference"/>
              </w:rPr>
              <w:footnoteReference w:id="3"/>
            </w:r>
            <w:r>
              <w:rPr>
                <w:iCs/>
              </w:rPr>
              <w:t xml:space="preserve"> Dabas resursu nodokļa likumā</w:t>
            </w:r>
            <w:r>
              <w:t xml:space="preserve"> attiecībā uz</w:t>
            </w:r>
            <w:r w:rsidR="002F42CF">
              <w:t xml:space="preserve"> dabas resursu nodokļa likmes apmēru C kategorijas piesārņojošo darbību veikšanai</w:t>
            </w:r>
            <w:r>
              <w:t>.</w:t>
            </w:r>
            <w:r w:rsidR="002F42CF">
              <w:t xml:space="preserve"> P</w:t>
            </w:r>
            <w:r w:rsidR="002F42CF">
              <w:rPr>
                <w:bCs/>
              </w:rPr>
              <w:t xml:space="preserve">aredzēts pakāpeniski </w:t>
            </w:r>
            <w:r w:rsidR="002F42CF" w:rsidRPr="006C79D0">
              <w:rPr>
                <w:bCs/>
              </w:rPr>
              <w:t>paaugstināt fiksēto nodokļa maksājumu par C kategorijas piesārņojošo darbī</w:t>
            </w:r>
            <w:r w:rsidR="002F42CF">
              <w:rPr>
                <w:bCs/>
              </w:rPr>
              <w:t xml:space="preserve">bu emisijām, ja </w:t>
            </w:r>
            <w:r w:rsidR="002F42CF">
              <w:t>normatīvajos aktos nav noteiktu nosacījumu un nav arī iespējams aprēķināt piesārņojošo vielu apjomu,</w:t>
            </w:r>
            <w:r w:rsidR="002F42CF">
              <w:rPr>
                <w:bCs/>
              </w:rPr>
              <w:t xml:space="preserve"> – no 71,14 līdz 250 </w:t>
            </w:r>
            <w:proofErr w:type="spellStart"/>
            <w:r w:rsidR="002F42CF" w:rsidRPr="006C79D0">
              <w:rPr>
                <w:bCs/>
                <w:i/>
              </w:rPr>
              <w:t>euro</w:t>
            </w:r>
            <w:proofErr w:type="spellEnd"/>
            <w:r w:rsidR="002F42CF">
              <w:rPr>
                <w:bCs/>
              </w:rPr>
              <w:t xml:space="preserve"> (2021. gadā 178 </w:t>
            </w:r>
            <w:proofErr w:type="spellStart"/>
            <w:r w:rsidR="002F42CF" w:rsidRPr="0070500C">
              <w:rPr>
                <w:bCs/>
                <w:i/>
              </w:rPr>
              <w:t>euro</w:t>
            </w:r>
            <w:proofErr w:type="spellEnd"/>
            <w:r w:rsidR="002F42CF">
              <w:rPr>
                <w:bCs/>
              </w:rPr>
              <w:t>, 2022. gadā 200 </w:t>
            </w:r>
            <w:proofErr w:type="spellStart"/>
            <w:r w:rsidR="002F42CF" w:rsidRPr="0070500C">
              <w:rPr>
                <w:bCs/>
                <w:i/>
              </w:rPr>
              <w:t>euro</w:t>
            </w:r>
            <w:proofErr w:type="spellEnd"/>
            <w:r w:rsidR="002F42CF">
              <w:rPr>
                <w:bCs/>
              </w:rPr>
              <w:t xml:space="preserve"> un 2023. gadā 250 </w:t>
            </w:r>
            <w:proofErr w:type="spellStart"/>
            <w:r w:rsidR="002F42CF" w:rsidRPr="0070500C">
              <w:rPr>
                <w:bCs/>
                <w:i/>
              </w:rPr>
              <w:t>euro</w:t>
            </w:r>
            <w:proofErr w:type="spellEnd"/>
            <w:r w:rsidR="002F42CF">
              <w:rPr>
                <w:bCs/>
              </w:rPr>
              <w:t>)</w:t>
            </w:r>
            <w:r>
              <w:t xml:space="preserve"> Ievērojot minēto, MKN 404</w:t>
            </w:r>
            <w:r w:rsidR="002F42CF">
              <w:t xml:space="preserve"> noteiktais nodokļa maksājums par C kategorijas piesārņojošo darbību veikšanu, ja vides aizsardzības normatīvajos aktos nav noteiktu nosacījumu un nav arī iespējams aprēķināt piesārņojošo vielu apjomu,</w:t>
            </w:r>
            <w:r w:rsidR="00BF7EEF">
              <w:t xml:space="preserve"> – </w:t>
            </w:r>
            <w:r w:rsidR="002F42CF">
              <w:t>71,14</w:t>
            </w:r>
            <w:r w:rsidR="002A08C2">
              <w:t> </w:t>
            </w:r>
            <w:proofErr w:type="spellStart"/>
            <w:r w:rsidR="002F42CF">
              <w:rPr>
                <w:i/>
                <w:iCs/>
              </w:rPr>
              <w:t>euro</w:t>
            </w:r>
            <w:proofErr w:type="spellEnd"/>
            <w:r w:rsidR="002F42CF">
              <w:t xml:space="preserve"> gadā, vairs nav aktuāls</w:t>
            </w:r>
            <w:r>
              <w:t>.</w:t>
            </w:r>
          </w:p>
          <w:p w14:paraId="2469B05A" w14:textId="77777777" w:rsidR="00DD68CC" w:rsidRDefault="00DD68CC" w:rsidP="004E3AE1">
            <w:pPr>
              <w:tabs>
                <w:tab w:val="left" w:pos="6580"/>
              </w:tabs>
              <w:jc w:val="both"/>
            </w:pPr>
          </w:p>
          <w:p w14:paraId="4E2873B4" w14:textId="69D35A31" w:rsidR="00F1741A" w:rsidRDefault="009D4659" w:rsidP="004E3AE1">
            <w:pPr>
              <w:tabs>
                <w:tab w:val="left" w:pos="6580"/>
              </w:tabs>
              <w:jc w:val="both"/>
            </w:pPr>
            <w:r>
              <w:t xml:space="preserve">Vides aizsardzības un reģionālās attīstības ministrija (turpmāk – </w:t>
            </w:r>
            <w:r w:rsidR="00DD68CC">
              <w:t>VARAM</w:t>
            </w:r>
            <w:r>
              <w:t>)</w:t>
            </w:r>
            <w:r w:rsidR="00DD68CC">
              <w:t xml:space="preserve"> izstrādā Plastmasu saturošu izstrādājumu likumprojektu (izsludināts Valsts sekretāru sanāksmē 2020. gada 5. novembrī, VSS-948</w:t>
            </w:r>
            <w:r w:rsidR="002A08C2">
              <w:rPr>
                <w:rStyle w:val="FootnoteReference"/>
              </w:rPr>
              <w:footnoteReference w:id="4"/>
            </w:r>
            <w:r w:rsidR="00DD68CC">
              <w:t>) (turpmāk – Likumprojekts), lai nodrošinātu Eiropas Parlamenta un Padomes 2019. gada 5. jūnija direktīvas (ES) 2019/904 par konkrētu plastmasas izstrādājumu ietekmes uz vidi samazināšanu</w:t>
            </w:r>
            <w:r w:rsidR="00DD68CC">
              <w:rPr>
                <w:rStyle w:val="FootnoteReference"/>
              </w:rPr>
              <w:footnoteReference w:id="5"/>
            </w:r>
            <w:r w:rsidR="00DD68CC">
              <w:t xml:space="preserve"> prasību pārņemšanu Latvijas Republikas normatīvajos aktos. Likumprojekta prasības ir attiecināmas uz konkrētiem plastmasu saturošiem izstrādājumiem, tai skaitā uz vienreiz lietojamiem galda traukiem un piederumiem. MKN 404 48. punktā ir uzskaitīti vienreiz lietojamie galda trauki un piederumi, kuru sarakstu ir nepieciešams aktualizēt</w:t>
            </w:r>
            <w:r w:rsidR="00DC02D0">
              <w:t xml:space="preserve">, </w:t>
            </w:r>
            <w:r w:rsidR="00DC02D0" w:rsidRPr="00247E1F">
              <w:t xml:space="preserve">papildinot ar </w:t>
            </w:r>
            <w:r w:rsidR="006E55D1" w:rsidRPr="00247E1F">
              <w:t>ēdiena trauki</w:t>
            </w:r>
            <w:r w:rsidR="00DD1128" w:rsidRPr="00247E1F">
              <w:t xml:space="preserve">em un </w:t>
            </w:r>
            <w:proofErr w:type="spellStart"/>
            <w:r w:rsidR="00DD1128" w:rsidRPr="00247E1F">
              <w:t>maisamkociņiem</w:t>
            </w:r>
            <w:proofErr w:type="spellEnd"/>
            <w:r w:rsidR="00DD1128" w:rsidRPr="00247E1F">
              <w:t>.</w:t>
            </w:r>
          </w:p>
          <w:p w14:paraId="6C37EF2D" w14:textId="77777777" w:rsidR="002A08C2" w:rsidRPr="00247E1F" w:rsidRDefault="002A08C2" w:rsidP="004E3AE1">
            <w:pPr>
              <w:tabs>
                <w:tab w:val="left" w:pos="6580"/>
              </w:tabs>
              <w:jc w:val="both"/>
            </w:pPr>
          </w:p>
          <w:p w14:paraId="059F36CE" w14:textId="0B0CE2C7" w:rsidR="00DD68CC" w:rsidRDefault="00F95158" w:rsidP="004E3AE1">
            <w:pPr>
              <w:tabs>
                <w:tab w:val="left" w:pos="6580"/>
              </w:tabs>
              <w:jc w:val="both"/>
            </w:pPr>
            <w:r w:rsidRPr="00247E1F">
              <w:t>Papildus MKN</w:t>
            </w:r>
            <w:r w:rsidR="00DD29C7" w:rsidRPr="00247E1F">
              <w:t> </w:t>
            </w:r>
            <w:r w:rsidRPr="00247E1F">
              <w:t xml:space="preserve">404 48. punktu un </w:t>
            </w:r>
            <w:r w:rsidR="0084411A" w:rsidRPr="00247E1F">
              <w:t>57.3.</w:t>
            </w:r>
            <w:r w:rsidR="009A3C0B" w:rsidRPr="00247E1F">
              <w:t xml:space="preserve"> apakšpunktu nepieciešams precizēt </w:t>
            </w:r>
            <w:r w:rsidR="00524549" w:rsidRPr="00247E1F">
              <w:t xml:space="preserve">atbilstoši Iepakojuma likuma 1. panta 13. punktā </w:t>
            </w:r>
            <w:r w:rsidR="00FB759C" w:rsidRPr="00247E1F">
              <w:t>ietvertajam jēdzienam “</w:t>
            </w:r>
            <w:r w:rsidR="003071AA" w:rsidRPr="00247E1F">
              <w:t>kompozīta iepakojums”.</w:t>
            </w:r>
            <w:r w:rsidR="003071AA">
              <w:t xml:space="preserve"> </w:t>
            </w:r>
          </w:p>
          <w:p w14:paraId="34B12132" w14:textId="0A534233" w:rsidR="00F36E68" w:rsidRDefault="00F36E68">
            <w:pPr>
              <w:tabs>
                <w:tab w:val="left" w:pos="6580"/>
              </w:tabs>
              <w:jc w:val="both"/>
            </w:pPr>
          </w:p>
          <w:p w14:paraId="6A8D871E" w14:textId="77777777" w:rsidR="008F4D63" w:rsidRDefault="008F4D63" w:rsidP="008F4D63">
            <w:pPr>
              <w:pStyle w:val="naiskr"/>
              <w:spacing w:before="0" w:after="120"/>
              <w:jc w:val="both"/>
              <w:rPr>
                <w:i/>
              </w:rPr>
            </w:pPr>
            <w:r>
              <w:rPr>
                <w:i/>
              </w:rPr>
              <w:t>Noteikumu projekta mērķis un būtība</w:t>
            </w:r>
          </w:p>
          <w:p w14:paraId="52857DF6" w14:textId="2647086C" w:rsidR="00234CE1" w:rsidRDefault="00234CE1" w:rsidP="00234CE1">
            <w:pPr>
              <w:pStyle w:val="naiskr"/>
              <w:spacing w:before="0" w:after="120"/>
              <w:jc w:val="both"/>
              <w:rPr>
                <w:i/>
              </w:rPr>
            </w:pPr>
            <w:r>
              <w:t xml:space="preserve">Noteikumu projekta mērķis ir </w:t>
            </w:r>
            <w:r w:rsidR="00A67835">
              <w:t>precizēt</w:t>
            </w:r>
            <w:r w:rsidR="00A67835" w:rsidRPr="00332537">
              <w:t xml:space="preserve"> kārtību, kādā aprēķina</w:t>
            </w:r>
            <w:r w:rsidR="00A67835">
              <w:t>, maksā dabas resursu nodokli un sniedz informāciju par</w:t>
            </w:r>
            <w:r w:rsidR="00A67835" w:rsidRPr="00332537">
              <w:t xml:space="preserve"> dabas resursu nodok</w:t>
            </w:r>
            <w:r w:rsidR="00A67835">
              <w:t>ļa aprēķinu</w:t>
            </w:r>
            <w:r w:rsidRPr="00173A5E">
              <w:t>.</w:t>
            </w:r>
          </w:p>
          <w:p w14:paraId="663E2E11" w14:textId="77777777" w:rsidR="00234CE1" w:rsidRDefault="00234CE1" w:rsidP="00234CE1">
            <w:pPr>
              <w:tabs>
                <w:tab w:val="left" w:pos="6580"/>
              </w:tabs>
              <w:spacing w:after="120"/>
              <w:jc w:val="both"/>
            </w:pPr>
            <w:r>
              <w:t>Ar Noteikumu projektu:</w:t>
            </w:r>
          </w:p>
          <w:p w14:paraId="489F2B86" w14:textId="06E3E31C" w:rsidR="009739FF" w:rsidRDefault="009739FF" w:rsidP="009739FF">
            <w:pPr>
              <w:pStyle w:val="BodyText"/>
              <w:numPr>
                <w:ilvl w:val="0"/>
                <w:numId w:val="3"/>
              </w:numPr>
              <w:spacing w:after="0" w:line="240" w:lineRule="auto"/>
              <w:ind w:left="408" w:hanging="357"/>
              <w:jc w:val="both"/>
            </w:pPr>
            <w:r>
              <w:t xml:space="preserve">MKN 404 1. pielikuma II. sadaļa tiek izteikta jaunā redakcijā, precizējot </w:t>
            </w:r>
            <w:r w:rsidRPr="00EA058A">
              <w:t>preču un izstrādājumu iepakojuma uzskaites prasības.</w:t>
            </w:r>
            <w:r>
              <w:t xml:space="preserve"> Lai </w:t>
            </w:r>
            <w:r w:rsidR="00CB029A">
              <w:t>pilnveidotu</w:t>
            </w:r>
            <w:r>
              <w:t xml:space="preserve"> ziņošanas prasības, MKN 404 1. pielikuma II. sadaļā noteiktā ziņošanas </w:t>
            </w:r>
            <w:r w:rsidR="00CB029A">
              <w:lastRenderedPageBreak/>
              <w:t>forma</w:t>
            </w:r>
            <w:r>
              <w:t xml:space="preserve"> tiek vienādota ar </w:t>
            </w:r>
            <w:r w:rsidR="000F7310">
              <w:t>MKN </w:t>
            </w:r>
            <w:r w:rsidRPr="00BB3883">
              <w:t xml:space="preserve">480 </w:t>
            </w:r>
            <w:r>
              <w:t>5. pielikuma 2. punktā noteikt</w:t>
            </w:r>
            <w:r w:rsidR="009D644D">
              <w:t>o</w:t>
            </w:r>
            <w:r>
              <w:t xml:space="preserve"> ziņošanas form</w:t>
            </w:r>
            <w:r w:rsidR="009D644D">
              <w:t>u</w:t>
            </w:r>
            <w:r>
              <w:t>.</w:t>
            </w:r>
          </w:p>
          <w:p w14:paraId="03BD8623" w14:textId="2548ADDB" w:rsidR="005F3C29" w:rsidRDefault="003D170C" w:rsidP="005F3C29">
            <w:pPr>
              <w:pStyle w:val="BodyText"/>
              <w:numPr>
                <w:ilvl w:val="0"/>
                <w:numId w:val="3"/>
              </w:numPr>
              <w:spacing w:after="0" w:line="240" w:lineRule="auto"/>
              <w:ind w:left="408" w:hanging="357"/>
              <w:jc w:val="both"/>
            </w:pPr>
            <w:r>
              <w:t>C kategorijas piesārņojošas darbības apliecinājums t</w:t>
            </w:r>
            <w:r w:rsidR="00A67835">
              <w:t xml:space="preserve">iek </w:t>
            </w:r>
            <w:r>
              <w:t>aizstāts ar C kategorijas piesārņojošas darbības reģistrāciju</w:t>
            </w:r>
            <w:r w:rsidR="009D644D">
              <w:t>,</w:t>
            </w:r>
            <w:r>
              <w:t xml:space="preserve"> ievērojot to, ka saskaņā ar likuma “Par piesārņojumu” 23. panta otro daļu Valsts vides dienests reģistrē C kategorijas piesārņojošo darbību</w:t>
            </w:r>
            <w:r w:rsidR="00146F38">
              <w:t>, nevis izsniedz C kategorijas piesārņojošas darbības apliecinājumu</w:t>
            </w:r>
            <w:r>
              <w:t>.</w:t>
            </w:r>
          </w:p>
          <w:p w14:paraId="081C3CD2" w14:textId="5CC5D29B" w:rsidR="003D170C" w:rsidRDefault="004D46F9" w:rsidP="005F3C29">
            <w:pPr>
              <w:pStyle w:val="BodyText"/>
              <w:numPr>
                <w:ilvl w:val="0"/>
                <w:numId w:val="3"/>
              </w:numPr>
              <w:spacing w:after="0" w:line="240" w:lineRule="auto"/>
              <w:ind w:left="408" w:hanging="357"/>
              <w:jc w:val="both"/>
            </w:pPr>
            <w:r>
              <w:t xml:space="preserve">lai </w:t>
            </w:r>
            <w:r w:rsidR="00961652">
              <w:t>C kategorijas piesārņojošās darbības veicējs</w:t>
            </w:r>
            <w:r>
              <w:t xml:space="preserve"> varētu aprēķināt </w:t>
            </w:r>
            <w:r w:rsidR="00961652">
              <w:t xml:space="preserve">dabas resursu nodokli par </w:t>
            </w:r>
            <w:r w:rsidRPr="00862EF6">
              <w:t>daļiņu PM</w:t>
            </w:r>
            <w:r w:rsidRPr="00862EF6">
              <w:rPr>
                <w:vertAlign w:val="subscript"/>
              </w:rPr>
              <w:t>10</w:t>
            </w:r>
            <w:r w:rsidRPr="00862EF6">
              <w:t xml:space="preserve"> emisij</w:t>
            </w:r>
            <w:r>
              <w:t>as apjomu</w:t>
            </w:r>
            <w:r w:rsidRPr="00862EF6">
              <w:t xml:space="preserve"> gaisā</w:t>
            </w:r>
            <w:r>
              <w:t>,</w:t>
            </w:r>
            <w:r w:rsidR="00961652">
              <w:t xml:space="preserve"> MKN 404</w:t>
            </w:r>
            <w:r>
              <w:t xml:space="preserve"> </w:t>
            </w:r>
            <w:r w:rsidR="003D170C">
              <w:t xml:space="preserve">tiek noteikts, ka C kategorijas piesārņojošām darbībām </w:t>
            </w:r>
            <w:r w:rsidR="003D170C" w:rsidRPr="00862EF6">
              <w:t>daļiņu PM</w:t>
            </w:r>
            <w:r w:rsidR="003D170C" w:rsidRPr="00862EF6">
              <w:rPr>
                <w:vertAlign w:val="subscript"/>
              </w:rPr>
              <w:t>10</w:t>
            </w:r>
            <w:r w:rsidR="003D170C" w:rsidRPr="00862EF6">
              <w:t xml:space="preserve"> emisij</w:t>
            </w:r>
            <w:r w:rsidR="003D170C">
              <w:t>as apjomu</w:t>
            </w:r>
            <w:r w:rsidR="003D170C" w:rsidRPr="00862EF6">
              <w:t xml:space="preserve"> gaisā</w:t>
            </w:r>
            <w:r w:rsidR="003D170C">
              <w:t xml:space="preserve"> </w:t>
            </w:r>
            <w:r w:rsidR="00CB029A">
              <w:t xml:space="preserve">dabas resursu </w:t>
            </w:r>
            <w:r w:rsidR="003D170C">
              <w:t>nodokļa maksātājs</w:t>
            </w:r>
            <w:r w:rsidR="003D170C" w:rsidRPr="00862EF6">
              <w:t xml:space="preserve"> </w:t>
            </w:r>
            <w:r w:rsidR="003D170C">
              <w:t xml:space="preserve">aprēķina, piemērojot </w:t>
            </w:r>
            <w:r w:rsidR="003D170C" w:rsidRPr="00862EF6">
              <w:t xml:space="preserve">normatīvajos aktos par </w:t>
            </w:r>
            <w:r w:rsidR="003D170C" w:rsidRPr="00862EF6">
              <w:rPr>
                <w:rFonts w:eastAsia="Calibri"/>
                <w:szCs w:val="28"/>
              </w:rPr>
              <w:t>gaisa piesārņojuma ierobežošanu no sadedzināšanas iekārtām</w:t>
            </w:r>
            <w:r w:rsidR="003D170C" w:rsidRPr="00862EF6">
              <w:t xml:space="preserve"> </w:t>
            </w:r>
            <w:r w:rsidR="003D170C" w:rsidRPr="00B76E98">
              <w:t>noteikto aprēķinu metodiku kopējo putekļu jeb daļiņu emisiju gaisā aprēķināšanai</w:t>
            </w:r>
            <w:r w:rsidR="003D170C" w:rsidRPr="00862EF6">
              <w:t>.</w:t>
            </w:r>
            <w:r w:rsidR="00CB029A">
              <w:t xml:space="preserve"> </w:t>
            </w:r>
            <w:r w:rsidR="001769D7">
              <w:t>K</w:t>
            </w:r>
            <w:r w:rsidR="001769D7" w:rsidRPr="00B76E98">
              <w:t>opējo putekļu jeb daļiņu emisiju gaisā</w:t>
            </w:r>
            <w:r w:rsidR="001769D7">
              <w:t xml:space="preserve"> aprēķinu metodika noteikta MKN 17.</w:t>
            </w:r>
          </w:p>
          <w:p w14:paraId="59B32E7D" w14:textId="2C2D603F" w:rsidR="00A24FF6" w:rsidRDefault="00EF2E2D" w:rsidP="00A24FF6">
            <w:pPr>
              <w:pStyle w:val="BodyText"/>
              <w:numPr>
                <w:ilvl w:val="0"/>
                <w:numId w:val="3"/>
              </w:numPr>
              <w:spacing w:after="0" w:line="240" w:lineRule="auto"/>
              <w:ind w:left="408" w:hanging="357"/>
              <w:jc w:val="both"/>
            </w:pPr>
            <w:r>
              <w:t>i</w:t>
            </w:r>
            <w:r w:rsidR="00FC333D" w:rsidRPr="00FC333D">
              <w:t>evērojot</w:t>
            </w:r>
            <w:r w:rsidR="00146F38">
              <w:t xml:space="preserve"> </w:t>
            </w:r>
            <w:r w:rsidR="00ED60D0">
              <w:rPr>
                <w:iCs/>
              </w:rPr>
              <w:t>likumu “Grozījumi Dabas resursu nodokļa likumā”, kas stājies spēkā 2018. gada 23. maijā</w:t>
            </w:r>
            <w:r w:rsidR="00ED60D0">
              <w:t xml:space="preserve"> un</w:t>
            </w:r>
            <w:r w:rsidR="00FC333D" w:rsidRPr="00FC333D">
              <w:t xml:space="preserve"> ar kuru tiek </w:t>
            </w:r>
            <w:r w:rsidR="00FC333D" w:rsidRPr="00FC333D">
              <w:rPr>
                <w:shd w:val="clear" w:color="auto" w:fill="FFFFFF"/>
              </w:rPr>
              <w:t xml:space="preserve">grozīts deleģējums </w:t>
            </w:r>
            <w:proofErr w:type="spellStart"/>
            <w:r w:rsidR="00FC333D" w:rsidRPr="00FC333D">
              <w:rPr>
                <w:shd w:val="clear" w:color="auto" w:fill="FFFFFF"/>
              </w:rPr>
              <w:t>oksonoārdāmajai</w:t>
            </w:r>
            <w:proofErr w:type="spellEnd"/>
            <w:r w:rsidR="00FC333D" w:rsidRPr="00FC333D">
              <w:rPr>
                <w:shd w:val="clear" w:color="auto" w:fill="FFFFFF"/>
              </w:rPr>
              <w:t xml:space="preserve"> plastmasai, </w:t>
            </w:r>
            <w:r w:rsidR="00ED60D0">
              <w:rPr>
                <w:shd w:val="clear" w:color="auto" w:fill="FFFFFF"/>
              </w:rPr>
              <w:t xml:space="preserve">MKN 404 </w:t>
            </w:r>
            <w:r w:rsidR="00FC333D" w:rsidRPr="00FC333D">
              <w:rPr>
                <w:shd w:val="clear" w:color="auto" w:fill="FFFFFF"/>
              </w:rPr>
              <w:t xml:space="preserve">tiek svītrota </w:t>
            </w:r>
            <w:proofErr w:type="spellStart"/>
            <w:r w:rsidR="00FC333D" w:rsidRPr="00FC333D">
              <w:t>oksonoārdāmā</w:t>
            </w:r>
            <w:proofErr w:type="spellEnd"/>
            <w:r w:rsidR="00FC333D" w:rsidRPr="00FC333D">
              <w:t xml:space="preserve"> plastmasa.</w:t>
            </w:r>
            <w:r w:rsidR="00004157">
              <w:t xml:space="preserve"> Papildus MKN 404 18. punktā tiek svītroti vārdi “katru gadu”, jo</w:t>
            </w:r>
            <w:r w:rsidR="00FC333D">
              <w:t xml:space="preserve"> nodokļa maksātājam </w:t>
            </w:r>
            <w:r w:rsidR="00004157">
              <w:t>nav</w:t>
            </w:r>
            <w:r w:rsidR="00FC333D">
              <w:t xml:space="preserve"> jāsniedz tukši pārskati</w:t>
            </w:r>
            <w:r w:rsidR="004E3AE1">
              <w:t>, kā arī</w:t>
            </w:r>
            <w:r w:rsidR="00ED60D0">
              <w:t xml:space="preserve"> </w:t>
            </w:r>
            <w:r w:rsidR="004E3AE1">
              <w:t>tiek precizēts, ka dabas resursu n</w:t>
            </w:r>
            <w:r w:rsidR="004E3AE1" w:rsidRPr="004E3AE1">
              <w:t xml:space="preserve">odokļa samaksu veic par iepriekšējā ceturksnī </w:t>
            </w:r>
            <w:r w:rsidR="004E3AE1">
              <w:t>Latvijas Republikā</w:t>
            </w:r>
            <w:r w:rsidR="004E3AE1" w:rsidRPr="004E3AE1">
              <w:t xml:space="preserve"> realizētām vai savas saimnieciskās darbības nodrošināšanai izmantotām uguņošanas ierīcēm</w:t>
            </w:r>
            <w:r w:rsidR="004E3AE1">
              <w:t>.</w:t>
            </w:r>
          </w:p>
          <w:p w14:paraId="5ABA80A3" w14:textId="77777777" w:rsidR="00247E1F" w:rsidRDefault="00DD68CC" w:rsidP="00247E1F">
            <w:pPr>
              <w:pStyle w:val="BodyText"/>
              <w:numPr>
                <w:ilvl w:val="0"/>
                <w:numId w:val="3"/>
              </w:numPr>
              <w:spacing w:after="0" w:line="240" w:lineRule="auto"/>
              <w:ind w:left="408" w:hanging="357"/>
              <w:jc w:val="both"/>
            </w:pPr>
            <w:r w:rsidRPr="00247E1F">
              <w:t>MKN 404 48. </w:t>
            </w:r>
            <w:r w:rsidR="007207FC" w:rsidRPr="00247E1F">
              <w:t>punkt</w:t>
            </w:r>
            <w:r w:rsidR="00076C98" w:rsidRPr="00247E1F">
              <w:t>ā</w:t>
            </w:r>
            <w:r w:rsidR="007207FC" w:rsidRPr="00247E1F">
              <w:t xml:space="preserve"> noteikto vienreiz lietojamo g</w:t>
            </w:r>
            <w:r w:rsidR="00076C98" w:rsidRPr="00247E1F">
              <w:t xml:space="preserve">alda trauku un piederumu veidu saraksts tiek </w:t>
            </w:r>
            <w:r w:rsidR="000F0870" w:rsidRPr="00247E1F">
              <w:t>precizēt</w:t>
            </w:r>
            <w:r w:rsidR="00503EF8" w:rsidRPr="00247E1F">
              <w:t>s</w:t>
            </w:r>
            <w:r w:rsidR="000F0870" w:rsidRPr="00247E1F">
              <w:t xml:space="preserve"> atbilstoši Likumprojekta </w:t>
            </w:r>
            <w:r w:rsidR="00503EF8" w:rsidRPr="00247E1F">
              <w:t>prasībām</w:t>
            </w:r>
            <w:r w:rsidR="000F0870" w:rsidRPr="00247E1F">
              <w:t>.</w:t>
            </w:r>
          </w:p>
          <w:p w14:paraId="7A7A2AFF" w14:textId="6791AD84" w:rsidR="00810C9B" w:rsidRPr="00247E1F" w:rsidRDefault="00633312" w:rsidP="00247E1F">
            <w:pPr>
              <w:pStyle w:val="BodyText"/>
              <w:numPr>
                <w:ilvl w:val="0"/>
                <w:numId w:val="3"/>
              </w:numPr>
              <w:spacing w:after="0" w:line="240" w:lineRule="auto"/>
              <w:ind w:left="408" w:hanging="357"/>
              <w:jc w:val="both"/>
            </w:pPr>
            <w:r w:rsidRPr="00247E1F">
              <w:t>MKN 404 48. punkt</w:t>
            </w:r>
            <w:r w:rsidR="0033034E" w:rsidRPr="00247E1F">
              <w:t>s</w:t>
            </w:r>
            <w:r w:rsidRPr="00247E1F">
              <w:t xml:space="preserve"> un 57.3. apakšpunkt</w:t>
            </w:r>
            <w:r w:rsidR="0033034E" w:rsidRPr="00247E1F">
              <w:t>s p</w:t>
            </w:r>
            <w:r w:rsidRPr="00247E1F">
              <w:t>recizēt</w:t>
            </w:r>
            <w:r w:rsidR="0033034E" w:rsidRPr="00247E1F">
              <w:t>s</w:t>
            </w:r>
            <w:r w:rsidRPr="00247E1F">
              <w:t xml:space="preserve"> atbilstoši Iepakojuma likuma 1. panta 13. punkt</w:t>
            </w:r>
            <w:r w:rsidR="0033034E" w:rsidRPr="00247E1F">
              <w:t>am.</w:t>
            </w:r>
          </w:p>
        </w:tc>
      </w:tr>
      <w:tr w:rsidR="00AF6AA3" w14:paraId="122FBA7B" w14:textId="77777777" w:rsidTr="004F1DC0">
        <w:trPr>
          <w:trHeight w:val="372"/>
        </w:trPr>
        <w:tc>
          <w:tcPr>
            <w:tcW w:w="540" w:type="dxa"/>
            <w:tcBorders>
              <w:top w:val="outset" w:sz="6" w:space="0" w:color="414142"/>
              <w:left w:val="outset" w:sz="6" w:space="0" w:color="414142"/>
              <w:bottom w:val="outset" w:sz="6" w:space="0" w:color="414142"/>
              <w:right w:val="outset" w:sz="6" w:space="0" w:color="414142"/>
            </w:tcBorders>
            <w:shd w:val="clear" w:color="auto" w:fill="auto"/>
          </w:tcPr>
          <w:p w14:paraId="48623A4C" w14:textId="77777777" w:rsidR="00AF6AA3" w:rsidRDefault="00661D50">
            <w:pPr>
              <w:spacing w:beforeAutospacing="1" w:afterAutospacing="1" w:line="293" w:lineRule="atLeast"/>
              <w:jc w:val="center"/>
            </w:pPr>
            <w:r>
              <w:lastRenderedPageBreak/>
              <w:t>3.</w:t>
            </w:r>
          </w:p>
        </w:tc>
        <w:tc>
          <w:tcPr>
            <w:tcW w:w="2711" w:type="dxa"/>
            <w:tcBorders>
              <w:top w:val="outset" w:sz="6" w:space="0" w:color="414142"/>
              <w:left w:val="outset" w:sz="6" w:space="0" w:color="414142"/>
              <w:bottom w:val="outset" w:sz="6" w:space="0" w:color="414142"/>
              <w:right w:val="outset" w:sz="6" w:space="0" w:color="414142"/>
            </w:tcBorders>
            <w:shd w:val="clear" w:color="auto" w:fill="auto"/>
          </w:tcPr>
          <w:p w14:paraId="7B634FF8" w14:textId="77777777" w:rsidR="00AF6AA3" w:rsidRDefault="00661D50">
            <w:r>
              <w:t>Projekta izstrādē iesaistītās institūcijas un publiskas personas kapitālsabiedrības</w:t>
            </w:r>
          </w:p>
        </w:tc>
        <w:tc>
          <w:tcPr>
            <w:tcW w:w="5986" w:type="dxa"/>
            <w:tcBorders>
              <w:top w:val="outset" w:sz="6" w:space="0" w:color="414142"/>
              <w:left w:val="outset" w:sz="6" w:space="0" w:color="414142"/>
              <w:bottom w:val="outset" w:sz="6" w:space="0" w:color="414142"/>
              <w:right w:val="outset" w:sz="6" w:space="0" w:color="414142"/>
            </w:tcBorders>
            <w:shd w:val="clear" w:color="auto" w:fill="auto"/>
          </w:tcPr>
          <w:p w14:paraId="2BFFDF8C" w14:textId="5B4FC715" w:rsidR="00AF6AA3" w:rsidRDefault="000F135A">
            <w:pPr>
              <w:ind w:left="57" w:right="57"/>
              <w:jc w:val="both"/>
            </w:pPr>
            <w:r>
              <w:t>VARAM</w:t>
            </w:r>
            <w:r w:rsidR="00732FCE">
              <w:t>.</w:t>
            </w:r>
            <w:r w:rsidR="00661D50">
              <w:t xml:space="preserve"> </w:t>
            </w:r>
          </w:p>
        </w:tc>
      </w:tr>
      <w:tr w:rsidR="00AF6AA3" w14:paraId="380452ED" w14:textId="77777777" w:rsidTr="004F1DC0">
        <w:tc>
          <w:tcPr>
            <w:tcW w:w="540" w:type="dxa"/>
            <w:tcBorders>
              <w:top w:val="outset" w:sz="6" w:space="0" w:color="414142"/>
              <w:left w:val="outset" w:sz="6" w:space="0" w:color="414142"/>
              <w:bottom w:val="outset" w:sz="6" w:space="0" w:color="414142"/>
              <w:right w:val="outset" w:sz="6" w:space="0" w:color="414142"/>
            </w:tcBorders>
            <w:shd w:val="clear" w:color="auto" w:fill="auto"/>
          </w:tcPr>
          <w:p w14:paraId="4C11B223" w14:textId="77777777" w:rsidR="00AF6AA3" w:rsidRDefault="00661D50">
            <w:pPr>
              <w:spacing w:beforeAutospacing="1" w:afterAutospacing="1" w:line="293" w:lineRule="atLeast"/>
              <w:jc w:val="center"/>
            </w:pPr>
            <w:r>
              <w:t>4.</w:t>
            </w:r>
          </w:p>
        </w:tc>
        <w:tc>
          <w:tcPr>
            <w:tcW w:w="2711" w:type="dxa"/>
            <w:tcBorders>
              <w:top w:val="outset" w:sz="6" w:space="0" w:color="414142"/>
              <w:left w:val="outset" w:sz="6" w:space="0" w:color="414142"/>
              <w:bottom w:val="outset" w:sz="6" w:space="0" w:color="414142"/>
              <w:right w:val="outset" w:sz="6" w:space="0" w:color="414142"/>
            </w:tcBorders>
            <w:shd w:val="clear" w:color="auto" w:fill="auto"/>
          </w:tcPr>
          <w:p w14:paraId="5DEBBE0F" w14:textId="77777777" w:rsidR="00AF6AA3" w:rsidRDefault="00661D50">
            <w:r>
              <w:t>Cita informācija</w:t>
            </w:r>
          </w:p>
        </w:tc>
        <w:tc>
          <w:tcPr>
            <w:tcW w:w="5986" w:type="dxa"/>
            <w:tcBorders>
              <w:top w:val="outset" w:sz="6" w:space="0" w:color="414142"/>
              <w:left w:val="outset" w:sz="6" w:space="0" w:color="414142"/>
              <w:bottom w:val="outset" w:sz="6" w:space="0" w:color="414142"/>
              <w:right w:val="outset" w:sz="6" w:space="0" w:color="414142"/>
            </w:tcBorders>
            <w:shd w:val="clear" w:color="auto" w:fill="auto"/>
          </w:tcPr>
          <w:p w14:paraId="37E71B05" w14:textId="1E954526" w:rsidR="00AF6AA3" w:rsidRDefault="00332537">
            <w:pPr>
              <w:ind w:left="57" w:right="57"/>
              <w:jc w:val="both"/>
            </w:pPr>
            <w:r>
              <w:t>Nav</w:t>
            </w:r>
            <w:r w:rsidR="00732FCE">
              <w:t>.</w:t>
            </w:r>
          </w:p>
        </w:tc>
      </w:tr>
    </w:tbl>
    <w:p w14:paraId="18EE2C36" w14:textId="77777777" w:rsidR="00AF6AA3" w:rsidRDefault="00AF6AA3">
      <w:pPr>
        <w:pStyle w:val="Title"/>
        <w:spacing w:before="130" w:line="260" w:lineRule="exact"/>
        <w:jc w:val="both"/>
        <w:rPr>
          <w:sz w:val="24"/>
          <w:szCs w:val="24"/>
        </w:rPr>
      </w:pPr>
    </w:p>
    <w:tbl>
      <w:tblPr>
        <w:tblStyle w:val="TableGrid"/>
        <w:tblW w:w="9185" w:type="dxa"/>
        <w:tblInd w:w="-5" w:type="dxa"/>
        <w:tblLook w:val="04A0" w:firstRow="1" w:lastRow="0" w:firstColumn="1" w:lastColumn="0" w:noHBand="0" w:noVBand="1"/>
      </w:tblPr>
      <w:tblGrid>
        <w:gridCol w:w="426"/>
        <w:gridCol w:w="2782"/>
        <w:gridCol w:w="5977"/>
      </w:tblGrid>
      <w:tr w:rsidR="00AF6AA3" w14:paraId="460BAC14" w14:textId="77777777" w:rsidTr="004F1DC0">
        <w:tc>
          <w:tcPr>
            <w:tcW w:w="9185" w:type="dxa"/>
            <w:gridSpan w:val="3"/>
            <w:shd w:val="clear" w:color="auto" w:fill="auto"/>
          </w:tcPr>
          <w:p w14:paraId="0422CC7E" w14:textId="77777777" w:rsidR="00AF6AA3" w:rsidRDefault="00661D50">
            <w:pPr>
              <w:pStyle w:val="Title"/>
              <w:spacing w:before="130" w:line="260" w:lineRule="exact"/>
              <w:rPr>
                <w:sz w:val="24"/>
                <w:szCs w:val="24"/>
              </w:rPr>
            </w:pPr>
            <w:r>
              <w:rPr>
                <w:b/>
                <w:bCs/>
                <w:sz w:val="24"/>
                <w:szCs w:val="24"/>
              </w:rPr>
              <w:t>II. Tiesību akta projekta ietekme uz sabiedrību, tautsaimniecības attīstību un administratīvo slogu</w:t>
            </w:r>
          </w:p>
        </w:tc>
      </w:tr>
      <w:tr w:rsidR="00AF6AA3" w14:paraId="02D6B77E" w14:textId="77777777" w:rsidTr="004F1DC0">
        <w:tc>
          <w:tcPr>
            <w:tcW w:w="426" w:type="dxa"/>
            <w:shd w:val="clear" w:color="auto" w:fill="auto"/>
          </w:tcPr>
          <w:p w14:paraId="48D55ED8" w14:textId="77777777" w:rsidR="00AF6AA3" w:rsidRDefault="00661D50">
            <w:pPr>
              <w:pStyle w:val="Title"/>
              <w:spacing w:before="130" w:line="260" w:lineRule="exact"/>
              <w:jc w:val="both"/>
              <w:rPr>
                <w:sz w:val="24"/>
                <w:szCs w:val="24"/>
              </w:rPr>
            </w:pPr>
            <w:r>
              <w:rPr>
                <w:sz w:val="24"/>
                <w:szCs w:val="24"/>
              </w:rPr>
              <w:t>1.</w:t>
            </w:r>
          </w:p>
        </w:tc>
        <w:tc>
          <w:tcPr>
            <w:tcW w:w="2782" w:type="dxa"/>
            <w:shd w:val="clear" w:color="auto" w:fill="auto"/>
          </w:tcPr>
          <w:p w14:paraId="3CA46DAB" w14:textId="77777777" w:rsidR="00AF6AA3" w:rsidRDefault="00661D50">
            <w:pPr>
              <w:pStyle w:val="Title"/>
              <w:spacing w:before="130" w:line="260" w:lineRule="exact"/>
              <w:jc w:val="both"/>
              <w:rPr>
                <w:sz w:val="24"/>
                <w:szCs w:val="24"/>
              </w:rPr>
            </w:pPr>
            <w:r>
              <w:rPr>
                <w:sz w:val="24"/>
                <w:szCs w:val="24"/>
              </w:rPr>
              <w:t xml:space="preserve">Sabiedrības </w:t>
            </w:r>
            <w:proofErr w:type="spellStart"/>
            <w:r>
              <w:rPr>
                <w:sz w:val="24"/>
                <w:szCs w:val="24"/>
              </w:rPr>
              <w:t>mērķgrupas</w:t>
            </w:r>
            <w:proofErr w:type="spellEnd"/>
            <w:r>
              <w:rPr>
                <w:sz w:val="24"/>
                <w:szCs w:val="24"/>
              </w:rPr>
              <w:t>, kuras tiesiskais regulējums ietekmē vai varētu ietekmēt</w:t>
            </w:r>
          </w:p>
        </w:tc>
        <w:tc>
          <w:tcPr>
            <w:tcW w:w="5977" w:type="dxa"/>
            <w:shd w:val="clear" w:color="auto" w:fill="auto"/>
          </w:tcPr>
          <w:p w14:paraId="0B1013DD" w14:textId="3340F5D0" w:rsidR="00450A8E" w:rsidRPr="002A3085" w:rsidRDefault="0025305A" w:rsidP="00234CE1">
            <w:pPr>
              <w:pStyle w:val="Title"/>
              <w:spacing w:before="130" w:line="260" w:lineRule="exact"/>
              <w:jc w:val="both"/>
              <w:rPr>
                <w:sz w:val="24"/>
                <w:szCs w:val="24"/>
              </w:rPr>
            </w:pPr>
            <w:r>
              <w:rPr>
                <w:sz w:val="24"/>
                <w:szCs w:val="24"/>
              </w:rPr>
              <w:t>Dabas resursu nodokļa</w:t>
            </w:r>
            <w:r w:rsidR="00234CE1">
              <w:rPr>
                <w:sz w:val="24"/>
                <w:szCs w:val="24"/>
              </w:rPr>
              <w:t xml:space="preserve"> maksātāji</w:t>
            </w:r>
            <w:r w:rsidR="00DB3742">
              <w:rPr>
                <w:sz w:val="24"/>
                <w:szCs w:val="24"/>
              </w:rPr>
              <w:t>.</w:t>
            </w:r>
            <w:r w:rsidR="00450A8E">
              <w:rPr>
                <w:sz w:val="24"/>
                <w:szCs w:val="24"/>
              </w:rPr>
              <w:t xml:space="preserve"> </w:t>
            </w:r>
          </w:p>
        </w:tc>
      </w:tr>
      <w:tr w:rsidR="00AF6AA3" w14:paraId="7206C9D3" w14:textId="77777777" w:rsidTr="004F1DC0">
        <w:tc>
          <w:tcPr>
            <w:tcW w:w="426" w:type="dxa"/>
            <w:shd w:val="clear" w:color="auto" w:fill="auto"/>
          </w:tcPr>
          <w:p w14:paraId="024A04B7" w14:textId="77777777" w:rsidR="00AF6AA3" w:rsidRDefault="00661D50">
            <w:pPr>
              <w:pStyle w:val="Title"/>
              <w:spacing w:before="130" w:line="260" w:lineRule="exact"/>
              <w:jc w:val="both"/>
              <w:rPr>
                <w:sz w:val="24"/>
                <w:szCs w:val="24"/>
              </w:rPr>
            </w:pPr>
            <w:r>
              <w:rPr>
                <w:sz w:val="24"/>
                <w:szCs w:val="24"/>
              </w:rPr>
              <w:t>2.</w:t>
            </w:r>
          </w:p>
        </w:tc>
        <w:tc>
          <w:tcPr>
            <w:tcW w:w="2782" w:type="dxa"/>
            <w:shd w:val="clear" w:color="auto" w:fill="auto"/>
          </w:tcPr>
          <w:p w14:paraId="6CA38CD7" w14:textId="77777777" w:rsidR="00AF6AA3" w:rsidRDefault="00661D50">
            <w:pPr>
              <w:pStyle w:val="Title"/>
              <w:spacing w:before="130" w:line="260" w:lineRule="exact"/>
              <w:jc w:val="both"/>
              <w:rPr>
                <w:sz w:val="24"/>
                <w:szCs w:val="24"/>
              </w:rPr>
            </w:pPr>
            <w:r>
              <w:rPr>
                <w:sz w:val="24"/>
                <w:szCs w:val="24"/>
              </w:rPr>
              <w:t>Tiesiskā regulējuma ietekme uz tautsaimniecību un administratīvo slogu</w:t>
            </w:r>
          </w:p>
        </w:tc>
        <w:tc>
          <w:tcPr>
            <w:tcW w:w="5977" w:type="dxa"/>
            <w:shd w:val="clear" w:color="auto" w:fill="auto"/>
          </w:tcPr>
          <w:p w14:paraId="595EF2F5" w14:textId="6AB48837" w:rsidR="00332537" w:rsidRDefault="00332537" w:rsidP="00332537">
            <w:pPr>
              <w:jc w:val="both"/>
            </w:pPr>
            <w:r>
              <w:t>Noteikumu projektam kopumā būs pozitīva ietekme</w:t>
            </w:r>
            <w:r w:rsidR="00DB3742">
              <w:t xml:space="preserve"> </w:t>
            </w:r>
            <w:r w:rsidRPr="009B1387">
              <w:t>uzņēmējdarbības vidi</w:t>
            </w:r>
            <w:r w:rsidR="00DB3742">
              <w:t>,</w:t>
            </w:r>
            <w:r w:rsidRPr="009B1387">
              <w:t xml:space="preserve"> </w:t>
            </w:r>
            <w:r w:rsidR="00DB3742">
              <w:t xml:space="preserve">tai skaitā uz </w:t>
            </w:r>
            <w:r w:rsidRPr="009B1387">
              <w:t xml:space="preserve">maziem, vidējiem uzņēmumiem, </w:t>
            </w:r>
            <w:proofErr w:type="spellStart"/>
            <w:r w:rsidRPr="009B1387">
              <w:t>mikrouzņēmumiem</w:t>
            </w:r>
            <w:proofErr w:type="spellEnd"/>
            <w:r w:rsidRPr="009B1387">
              <w:t xml:space="preserve"> un </w:t>
            </w:r>
            <w:proofErr w:type="spellStart"/>
            <w:r w:rsidRPr="009B1387">
              <w:t>jaunuzņēmumiem</w:t>
            </w:r>
            <w:proofErr w:type="spellEnd"/>
            <w:r>
              <w:t xml:space="preserve">, </w:t>
            </w:r>
            <w:r w:rsidR="00ED60D0">
              <w:t xml:space="preserve">vidi, </w:t>
            </w:r>
            <w:r>
              <w:t xml:space="preserve">jo tas nodrošinās </w:t>
            </w:r>
            <w:r w:rsidR="001F1CE0">
              <w:t>skaidrāku dabas resursu nodokļa aprēķinu</w:t>
            </w:r>
            <w:r w:rsidR="00F52D5F">
              <w:t xml:space="preserve"> un maksāšanas kārtību</w:t>
            </w:r>
            <w:r>
              <w:t>.</w:t>
            </w:r>
          </w:p>
          <w:p w14:paraId="2A9B9811" w14:textId="4E80F64A" w:rsidR="00AF6AA3" w:rsidRDefault="00332537" w:rsidP="00332537">
            <w:pPr>
              <w:jc w:val="both"/>
            </w:pPr>
            <w:r>
              <w:lastRenderedPageBreak/>
              <w:t>Noteikumu projektam nav ietekme</w:t>
            </w:r>
            <w:r w:rsidR="00DE1175">
              <w:t>s</w:t>
            </w:r>
            <w:r>
              <w:t xml:space="preserve"> uz</w:t>
            </w:r>
            <w:r w:rsidR="00ED60D0">
              <w:t xml:space="preserve"> veselību, konkurenci,</w:t>
            </w:r>
            <w:r>
              <w:t xml:space="preserve"> nevalstiskajām organizācijām, </w:t>
            </w:r>
            <w:r w:rsidRPr="009B1387">
              <w:t xml:space="preserve">Nacionālā attīstības plāna rādītājiem </w:t>
            </w:r>
            <w:proofErr w:type="spellStart"/>
            <w:r w:rsidRPr="009B1387">
              <w:t>mikrolīmenī</w:t>
            </w:r>
            <w:proofErr w:type="spellEnd"/>
            <w:r w:rsidRPr="009B1387">
              <w:t xml:space="preserve"> vai </w:t>
            </w:r>
            <w:proofErr w:type="spellStart"/>
            <w:r w:rsidRPr="009B1387">
              <w:t>makrolīmenī</w:t>
            </w:r>
            <w:proofErr w:type="spellEnd"/>
            <w:r>
              <w:t>.</w:t>
            </w:r>
          </w:p>
          <w:p w14:paraId="2E258FB4" w14:textId="241A05FA" w:rsidR="00DE1175" w:rsidRDefault="001769D7" w:rsidP="00332537">
            <w:pPr>
              <w:jc w:val="both"/>
            </w:pPr>
            <w:r>
              <w:t>Sabiedrības grupām un institūcijām Noteikumu projekta tiesiskais regulējums nemaina tiesības un pienākumus, kā arī veicamās darbības</w:t>
            </w:r>
            <w:r w:rsidR="00DE1175">
              <w:t>.</w:t>
            </w:r>
          </w:p>
        </w:tc>
      </w:tr>
      <w:tr w:rsidR="00AF6AA3" w14:paraId="7933175B" w14:textId="77777777" w:rsidTr="004F1DC0">
        <w:tc>
          <w:tcPr>
            <w:tcW w:w="426" w:type="dxa"/>
            <w:shd w:val="clear" w:color="auto" w:fill="auto"/>
          </w:tcPr>
          <w:p w14:paraId="097990E7" w14:textId="77777777" w:rsidR="00AF6AA3" w:rsidRDefault="00661D50">
            <w:pPr>
              <w:pStyle w:val="Title"/>
              <w:spacing w:before="130" w:line="260" w:lineRule="exact"/>
              <w:jc w:val="both"/>
              <w:rPr>
                <w:sz w:val="24"/>
                <w:szCs w:val="24"/>
              </w:rPr>
            </w:pPr>
            <w:r>
              <w:rPr>
                <w:sz w:val="24"/>
                <w:szCs w:val="24"/>
              </w:rPr>
              <w:lastRenderedPageBreak/>
              <w:t>3.</w:t>
            </w:r>
          </w:p>
        </w:tc>
        <w:tc>
          <w:tcPr>
            <w:tcW w:w="2782" w:type="dxa"/>
            <w:shd w:val="clear" w:color="auto" w:fill="auto"/>
          </w:tcPr>
          <w:p w14:paraId="17B89B1A" w14:textId="77777777" w:rsidR="00AF6AA3" w:rsidRDefault="00661D50">
            <w:pPr>
              <w:pStyle w:val="Title"/>
              <w:spacing w:before="130" w:line="260" w:lineRule="exact"/>
              <w:jc w:val="both"/>
              <w:rPr>
                <w:sz w:val="24"/>
                <w:szCs w:val="24"/>
              </w:rPr>
            </w:pPr>
            <w:r>
              <w:rPr>
                <w:sz w:val="24"/>
                <w:szCs w:val="24"/>
              </w:rPr>
              <w:t>Administratīvo izmaksu monetārs novērtējums</w:t>
            </w:r>
          </w:p>
        </w:tc>
        <w:tc>
          <w:tcPr>
            <w:tcW w:w="5977" w:type="dxa"/>
            <w:shd w:val="clear" w:color="auto" w:fill="auto"/>
          </w:tcPr>
          <w:p w14:paraId="2022FC3B" w14:textId="4F9DFA78" w:rsidR="00AF6AA3" w:rsidRDefault="00732FCE">
            <w:pPr>
              <w:pStyle w:val="Title"/>
              <w:spacing w:before="130" w:line="260" w:lineRule="exact"/>
              <w:jc w:val="both"/>
              <w:rPr>
                <w:sz w:val="24"/>
                <w:szCs w:val="24"/>
              </w:rPr>
            </w:pPr>
            <w:r>
              <w:t xml:space="preserve"> </w:t>
            </w:r>
            <w:r w:rsidRPr="00732FCE">
              <w:rPr>
                <w:sz w:val="24"/>
                <w:szCs w:val="24"/>
              </w:rPr>
              <w:t>Noteikumu projekts šo jomu neskar.</w:t>
            </w:r>
          </w:p>
        </w:tc>
      </w:tr>
      <w:tr w:rsidR="00AF6AA3" w14:paraId="72A6CE48" w14:textId="77777777" w:rsidTr="004F1DC0">
        <w:tc>
          <w:tcPr>
            <w:tcW w:w="426" w:type="dxa"/>
            <w:shd w:val="clear" w:color="auto" w:fill="auto"/>
          </w:tcPr>
          <w:p w14:paraId="3813F98B" w14:textId="77777777" w:rsidR="00AF6AA3" w:rsidRDefault="00661D50">
            <w:pPr>
              <w:pStyle w:val="Title"/>
              <w:spacing w:before="130" w:line="260" w:lineRule="exact"/>
              <w:jc w:val="both"/>
              <w:rPr>
                <w:sz w:val="24"/>
                <w:szCs w:val="24"/>
              </w:rPr>
            </w:pPr>
            <w:r>
              <w:rPr>
                <w:sz w:val="24"/>
                <w:szCs w:val="24"/>
              </w:rPr>
              <w:t>4.</w:t>
            </w:r>
          </w:p>
        </w:tc>
        <w:tc>
          <w:tcPr>
            <w:tcW w:w="2782" w:type="dxa"/>
            <w:shd w:val="clear" w:color="auto" w:fill="auto"/>
          </w:tcPr>
          <w:p w14:paraId="71590A28" w14:textId="77777777" w:rsidR="00AF6AA3" w:rsidRDefault="00661D50">
            <w:pPr>
              <w:pStyle w:val="Title"/>
              <w:spacing w:before="130" w:line="260" w:lineRule="exact"/>
              <w:jc w:val="both"/>
              <w:rPr>
                <w:sz w:val="24"/>
                <w:szCs w:val="24"/>
              </w:rPr>
            </w:pPr>
            <w:r>
              <w:rPr>
                <w:sz w:val="24"/>
                <w:szCs w:val="24"/>
              </w:rPr>
              <w:t>Atbilstības izmaksu monetārs novērtējums</w:t>
            </w:r>
          </w:p>
        </w:tc>
        <w:tc>
          <w:tcPr>
            <w:tcW w:w="5977" w:type="dxa"/>
            <w:shd w:val="clear" w:color="auto" w:fill="auto"/>
          </w:tcPr>
          <w:p w14:paraId="7FE7975D" w14:textId="7A9EAE53" w:rsidR="00AF6AA3" w:rsidRDefault="00732FCE">
            <w:pPr>
              <w:pStyle w:val="Title"/>
              <w:spacing w:before="130" w:line="260" w:lineRule="exact"/>
              <w:jc w:val="both"/>
            </w:pPr>
            <w:r>
              <w:t xml:space="preserve"> </w:t>
            </w:r>
            <w:r w:rsidRPr="00732FCE">
              <w:rPr>
                <w:sz w:val="24"/>
                <w:szCs w:val="24"/>
              </w:rPr>
              <w:t>Noteikumu projekts šo jomu neskar.</w:t>
            </w:r>
          </w:p>
        </w:tc>
      </w:tr>
      <w:tr w:rsidR="00AF6AA3" w14:paraId="01839095" w14:textId="77777777" w:rsidTr="004F1DC0">
        <w:tc>
          <w:tcPr>
            <w:tcW w:w="426" w:type="dxa"/>
            <w:shd w:val="clear" w:color="auto" w:fill="auto"/>
          </w:tcPr>
          <w:p w14:paraId="044497F8" w14:textId="77777777" w:rsidR="00AF6AA3" w:rsidRDefault="00661D50">
            <w:pPr>
              <w:pStyle w:val="Title"/>
              <w:spacing w:before="130" w:line="260" w:lineRule="exact"/>
              <w:jc w:val="both"/>
              <w:rPr>
                <w:sz w:val="24"/>
                <w:szCs w:val="24"/>
              </w:rPr>
            </w:pPr>
            <w:r>
              <w:rPr>
                <w:sz w:val="24"/>
                <w:szCs w:val="24"/>
              </w:rPr>
              <w:t>5.</w:t>
            </w:r>
          </w:p>
        </w:tc>
        <w:tc>
          <w:tcPr>
            <w:tcW w:w="2782" w:type="dxa"/>
            <w:shd w:val="clear" w:color="auto" w:fill="auto"/>
          </w:tcPr>
          <w:p w14:paraId="5686C9A7" w14:textId="77777777" w:rsidR="00AF6AA3" w:rsidRDefault="00661D50">
            <w:pPr>
              <w:pStyle w:val="Title"/>
              <w:spacing w:before="130" w:line="260" w:lineRule="exact"/>
              <w:jc w:val="both"/>
              <w:rPr>
                <w:sz w:val="24"/>
                <w:szCs w:val="24"/>
              </w:rPr>
            </w:pPr>
            <w:r>
              <w:rPr>
                <w:sz w:val="24"/>
                <w:szCs w:val="24"/>
              </w:rPr>
              <w:t>Cita informācija</w:t>
            </w:r>
          </w:p>
        </w:tc>
        <w:tc>
          <w:tcPr>
            <w:tcW w:w="5977" w:type="dxa"/>
            <w:shd w:val="clear" w:color="auto" w:fill="auto"/>
          </w:tcPr>
          <w:p w14:paraId="0BF2ED3A" w14:textId="505D91D8" w:rsidR="00AF6AA3" w:rsidRDefault="00332537">
            <w:pPr>
              <w:pStyle w:val="Title"/>
              <w:spacing w:before="130" w:line="260" w:lineRule="exact"/>
              <w:jc w:val="both"/>
              <w:rPr>
                <w:sz w:val="24"/>
                <w:szCs w:val="24"/>
              </w:rPr>
            </w:pPr>
            <w:r>
              <w:rPr>
                <w:sz w:val="24"/>
                <w:szCs w:val="24"/>
              </w:rPr>
              <w:t>Nav</w:t>
            </w:r>
            <w:r w:rsidR="00BA58C7">
              <w:rPr>
                <w:sz w:val="24"/>
                <w:szCs w:val="24"/>
              </w:rPr>
              <w:t>.</w:t>
            </w:r>
          </w:p>
        </w:tc>
      </w:tr>
    </w:tbl>
    <w:p w14:paraId="2F4E54AF" w14:textId="77777777" w:rsidR="00AF6AA3" w:rsidRDefault="00AF6AA3">
      <w:pPr>
        <w:pStyle w:val="Title"/>
        <w:spacing w:before="130" w:line="260" w:lineRule="exact"/>
        <w:ind w:firstLine="539"/>
        <w:jc w:val="both"/>
        <w:rPr>
          <w:sz w:val="24"/>
          <w:szCs w:val="24"/>
        </w:rPr>
      </w:pPr>
    </w:p>
    <w:tbl>
      <w:tblPr>
        <w:tblW w:w="5061" w:type="pc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172"/>
      </w:tblGrid>
      <w:tr w:rsidR="00AF6AA3" w14:paraId="67EFAE56" w14:textId="77777777" w:rsidTr="004F1DC0">
        <w:trPr>
          <w:cantSplit/>
        </w:trPr>
        <w:tc>
          <w:tcPr>
            <w:tcW w:w="9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38C06" w14:textId="77777777" w:rsidR="00AF6AA3" w:rsidRDefault="00661D50">
            <w:pPr>
              <w:jc w:val="center"/>
              <w:rPr>
                <w:b/>
                <w:bCs/>
                <w:lang w:eastAsia="en-US"/>
              </w:rPr>
            </w:pPr>
            <w:r>
              <w:rPr>
                <w:b/>
                <w:bCs/>
                <w:lang w:eastAsia="en-US"/>
              </w:rPr>
              <w:t>III. Tiesību akta projekta ietekme uz valsts budžetu un pašvaldību budžetiem</w:t>
            </w:r>
          </w:p>
        </w:tc>
      </w:tr>
      <w:tr w:rsidR="00AF6AA3" w14:paraId="2A225001" w14:textId="77777777" w:rsidTr="004F1DC0">
        <w:trPr>
          <w:cantSplit/>
        </w:trPr>
        <w:tc>
          <w:tcPr>
            <w:tcW w:w="9239" w:type="dxa"/>
            <w:tcBorders>
              <w:top w:val="single" w:sz="4" w:space="0" w:color="000000"/>
              <w:left w:val="single" w:sz="4" w:space="0" w:color="000000"/>
              <w:bottom w:val="single" w:sz="4" w:space="0" w:color="000000"/>
              <w:right w:val="single" w:sz="4" w:space="0" w:color="000000"/>
            </w:tcBorders>
            <w:shd w:val="clear" w:color="auto" w:fill="auto"/>
          </w:tcPr>
          <w:p w14:paraId="71000DE7" w14:textId="77777777" w:rsidR="00AF6AA3" w:rsidRDefault="00CB1675">
            <w:pPr>
              <w:jc w:val="center"/>
              <w:rPr>
                <w:lang w:eastAsia="en-US"/>
              </w:rPr>
            </w:pPr>
            <w:r>
              <w:t>Noteikumu p</w:t>
            </w:r>
            <w:r w:rsidR="00661D50">
              <w:t>rojekts šo jomu neskar.</w:t>
            </w:r>
          </w:p>
        </w:tc>
      </w:tr>
    </w:tbl>
    <w:p w14:paraId="0163FE39" w14:textId="77777777" w:rsidR="00AF6AA3" w:rsidRDefault="00AF6AA3">
      <w:pPr>
        <w:pStyle w:val="Title"/>
        <w:spacing w:before="130" w:line="260" w:lineRule="exact"/>
        <w:jc w:val="both"/>
        <w:rPr>
          <w:sz w:val="24"/>
          <w:szCs w:val="24"/>
        </w:rPr>
      </w:pPr>
    </w:p>
    <w:tbl>
      <w:tblPr>
        <w:tblW w:w="5045" w:type="pc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0" w:type="dxa"/>
          <w:left w:w="30" w:type="dxa"/>
          <w:bottom w:w="30" w:type="dxa"/>
          <w:right w:w="30" w:type="dxa"/>
        </w:tblCellMar>
        <w:tblLook w:val="04A0" w:firstRow="1" w:lastRow="0" w:firstColumn="1" w:lastColumn="0" w:noHBand="0" w:noVBand="1"/>
      </w:tblPr>
      <w:tblGrid>
        <w:gridCol w:w="9143"/>
      </w:tblGrid>
      <w:tr w:rsidR="00AF6AA3" w14:paraId="062463F3" w14:textId="77777777" w:rsidTr="004F1DC0">
        <w:trPr>
          <w:cantSplit/>
        </w:trPr>
        <w:tc>
          <w:tcPr>
            <w:tcW w:w="9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C8B99" w14:textId="77777777" w:rsidR="00AF6AA3" w:rsidRDefault="00661D50">
            <w:pPr>
              <w:jc w:val="center"/>
              <w:rPr>
                <w:b/>
                <w:bCs/>
              </w:rPr>
            </w:pPr>
            <w:r>
              <w:rPr>
                <w:b/>
                <w:bCs/>
              </w:rPr>
              <w:t>IV. Tiesību akta projekta ietekme uz spēkā esošo tiesību normu sistēmu</w:t>
            </w:r>
          </w:p>
        </w:tc>
      </w:tr>
      <w:tr w:rsidR="00AF6AA3" w14:paraId="50FE188C" w14:textId="77777777" w:rsidTr="004F1DC0">
        <w:trPr>
          <w:cantSplit/>
        </w:trPr>
        <w:tc>
          <w:tcPr>
            <w:tcW w:w="9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B0791" w14:textId="77777777" w:rsidR="00AF6AA3" w:rsidRDefault="00CB1675">
            <w:pPr>
              <w:jc w:val="center"/>
              <w:rPr>
                <w:bCs/>
              </w:rPr>
            </w:pPr>
            <w:r>
              <w:rPr>
                <w:bCs/>
              </w:rPr>
              <w:t>Noteikumu p</w:t>
            </w:r>
            <w:r w:rsidR="00661D50">
              <w:rPr>
                <w:bCs/>
              </w:rPr>
              <w:t>rojekts šo jomu neskar.</w:t>
            </w:r>
          </w:p>
        </w:tc>
      </w:tr>
    </w:tbl>
    <w:p w14:paraId="3F0088A7" w14:textId="77777777" w:rsidR="00AF6AA3" w:rsidRDefault="00AF6AA3">
      <w:pPr>
        <w:pStyle w:val="Title"/>
        <w:spacing w:before="130" w:line="260" w:lineRule="exact"/>
        <w:ind w:firstLine="539"/>
        <w:jc w:val="both"/>
        <w:rPr>
          <w:sz w:val="24"/>
          <w:szCs w:val="24"/>
        </w:rPr>
      </w:pPr>
    </w:p>
    <w:tbl>
      <w:tblPr>
        <w:tblW w:w="5061" w:type="pc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0" w:type="dxa"/>
          <w:left w:w="30" w:type="dxa"/>
          <w:bottom w:w="30" w:type="dxa"/>
          <w:right w:w="30" w:type="dxa"/>
        </w:tblCellMar>
        <w:tblLook w:val="04A0" w:firstRow="1" w:lastRow="0" w:firstColumn="1" w:lastColumn="0" w:noHBand="0" w:noVBand="1"/>
      </w:tblPr>
      <w:tblGrid>
        <w:gridCol w:w="9172"/>
      </w:tblGrid>
      <w:tr w:rsidR="00AF6AA3" w14:paraId="6AD5D652" w14:textId="77777777" w:rsidTr="004F1DC0">
        <w:trPr>
          <w:cantSplit/>
        </w:trPr>
        <w:tc>
          <w:tcPr>
            <w:tcW w:w="9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747B0" w14:textId="77777777" w:rsidR="00AF6AA3" w:rsidRDefault="00661D50">
            <w:pPr>
              <w:jc w:val="center"/>
              <w:rPr>
                <w:b/>
                <w:bCs/>
              </w:rPr>
            </w:pPr>
            <w:r>
              <w:rPr>
                <w:b/>
                <w:bCs/>
              </w:rPr>
              <w:t>V. Tiesību akta projekta atbilstība Latvijas Republikas starptautiskajām saistībām</w:t>
            </w:r>
          </w:p>
        </w:tc>
      </w:tr>
      <w:tr w:rsidR="00AF6AA3" w14:paraId="1A55C410" w14:textId="77777777" w:rsidTr="004F1DC0">
        <w:trPr>
          <w:cantSplit/>
        </w:trPr>
        <w:tc>
          <w:tcPr>
            <w:tcW w:w="9243" w:type="dxa"/>
            <w:tcBorders>
              <w:top w:val="single" w:sz="4" w:space="0" w:color="000000"/>
              <w:left w:val="single" w:sz="4" w:space="0" w:color="000000"/>
              <w:bottom w:val="single" w:sz="4" w:space="0" w:color="000000"/>
              <w:right w:val="single" w:sz="4" w:space="0" w:color="000000"/>
            </w:tcBorders>
            <w:shd w:val="clear" w:color="auto" w:fill="auto"/>
          </w:tcPr>
          <w:p w14:paraId="288BE826" w14:textId="77777777" w:rsidR="00AF6AA3" w:rsidRDefault="00CB1675">
            <w:pPr>
              <w:jc w:val="center"/>
            </w:pPr>
            <w:r>
              <w:t>Noteikumu p</w:t>
            </w:r>
            <w:r w:rsidR="00661D50">
              <w:t>rojekts šo jomu neskar.</w:t>
            </w:r>
          </w:p>
        </w:tc>
      </w:tr>
    </w:tbl>
    <w:p w14:paraId="674F4D83" w14:textId="77777777" w:rsidR="00AF6AA3" w:rsidRDefault="00AF6AA3">
      <w:pPr>
        <w:pStyle w:val="Title"/>
        <w:spacing w:before="130" w:line="260" w:lineRule="exact"/>
        <w:jc w:val="both"/>
        <w:rPr>
          <w:sz w:val="24"/>
          <w:szCs w:val="24"/>
        </w:rPr>
      </w:pPr>
    </w:p>
    <w:tbl>
      <w:tblPr>
        <w:tblW w:w="5061" w:type="pc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0" w:type="dxa"/>
          <w:left w:w="30" w:type="dxa"/>
          <w:bottom w:w="30" w:type="dxa"/>
          <w:right w:w="30" w:type="dxa"/>
        </w:tblCellMar>
        <w:tblLook w:val="04A0" w:firstRow="1" w:lastRow="0" w:firstColumn="1" w:lastColumn="0" w:noHBand="0" w:noVBand="1"/>
      </w:tblPr>
      <w:tblGrid>
        <w:gridCol w:w="529"/>
        <w:gridCol w:w="2830"/>
        <w:gridCol w:w="5813"/>
      </w:tblGrid>
      <w:tr w:rsidR="00AF6AA3" w14:paraId="66311BA5" w14:textId="77777777" w:rsidTr="00332537">
        <w:trPr>
          <w:cantSplit/>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5D812A" w14:textId="77777777" w:rsidR="00AF6AA3" w:rsidRDefault="00661D50">
            <w:pPr>
              <w:jc w:val="center"/>
              <w:rPr>
                <w:b/>
                <w:bCs/>
              </w:rPr>
            </w:pPr>
            <w:r>
              <w:rPr>
                <w:b/>
                <w:bCs/>
              </w:rPr>
              <w:t>VI. Sabiedrības līdzdalība un komunikācijas aktivitātes</w:t>
            </w:r>
          </w:p>
        </w:tc>
      </w:tr>
      <w:tr w:rsidR="00332537" w14:paraId="420DF4F0" w14:textId="77777777" w:rsidTr="00332537">
        <w:trPr>
          <w:cantSplit/>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04FE7EA8" w14:textId="77777777" w:rsidR="00332537" w:rsidRDefault="00332537" w:rsidP="00332537">
            <w:pPr>
              <w:jc w:val="center"/>
            </w:pPr>
            <w:r>
              <w:t>1.</w:t>
            </w:r>
          </w:p>
        </w:tc>
        <w:tc>
          <w:tcPr>
            <w:tcW w:w="2847" w:type="dxa"/>
            <w:tcBorders>
              <w:top w:val="single" w:sz="4" w:space="0" w:color="000000"/>
              <w:left w:val="single" w:sz="4" w:space="0" w:color="000000"/>
              <w:bottom w:val="single" w:sz="4" w:space="0" w:color="000000"/>
              <w:right w:val="single" w:sz="4" w:space="0" w:color="000000"/>
            </w:tcBorders>
            <w:shd w:val="clear" w:color="auto" w:fill="auto"/>
          </w:tcPr>
          <w:p w14:paraId="324DB438" w14:textId="77777777" w:rsidR="00332537" w:rsidRDefault="00332537" w:rsidP="00332537">
            <w:r>
              <w:t>Plānotās sabiedrības līdzdalības un komunikācijas aktivitātes saistībā ar projektu</w:t>
            </w:r>
          </w:p>
        </w:tc>
        <w:tc>
          <w:tcPr>
            <w:tcW w:w="5862" w:type="dxa"/>
            <w:tcBorders>
              <w:top w:val="single" w:sz="4" w:space="0" w:color="000000"/>
              <w:left w:val="single" w:sz="4" w:space="0" w:color="000000"/>
              <w:bottom w:val="single" w:sz="4" w:space="0" w:color="000000"/>
              <w:right w:val="single" w:sz="4" w:space="0" w:color="000000"/>
            </w:tcBorders>
            <w:shd w:val="clear" w:color="auto" w:fill="auto"/>
          </w:tcPr>
          <w:p w14:paraId="6A07A33B" w14:textId="77777777" w:rsidR="00332537" w:rsidRDefault="001D21AF" w:rsidP="00332537">
            <w:pPr>
              <w:jc w:val="both"/>
            </w:pPr>
            <w:r w:rsidRPr="00BA7E9C">
              <w:t>Saskaņā ar Ministru kabineta 2009. gada 25. augusta noteikumu Nr. 970 “Sabiedrības līdzdalības kārtība attīstības plānošanas procesā” 7.4.</w:t>
            </w:r>
            <w:r w:rsidRPr="00BA7E9C">
              <w:rPr>
                <w:vertAlign w:val="superscript"/>
              </w:rPr>
              <w:t>1</w:t>
            </w:r>
            <w:r w:rsidRPr="00BA7E9C">
              <w:t> apakšpunktu, sabiedrības pārstāvji ir aicināti līdzdarboties, r</w:t>
            </w:r>
            <w:r>
              <w:t>akstiski sniedzot viedokli par N</w:t>
            </w:r>
            <w:r w:rsidRPr="00BA7E9C">
              <w:t>oteikumu projektu tā izstrādes stadijā.</w:t>
            </w:r>
          </w:p>
        </w:tc>
      </w:tr>
      <w:tr w:rsidR="00332537" w14:paraId="42114748" w14:textId="77777777" w:rsidTr="00332537">
        <w:trPr>
          <w:cantSplit/>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2C7A613F" w14:textId="77777777" w:rsidR="00332537" w:rsidRDefault="00332537" w:rsidP="00332537">
            <w:pPr>
              <w:jc w:val="center"/>
            </w:pPr>
            <w:r>
              <w:t>2.</w:t>
            </w:r>
          </w:p>
        </w:tc>
        <w:tc>
          <w:tcPr>
            <w:tcW w:w="2847" w:type="dxa"/>
            <w:tcBorders>
              <w:top w:val="single" w:sz="4" w:space="0" w:color="000000"/>
              <w:left w:val="single" w:sz="4" w:space="0" w:color="000000"/>
              <w:bottom w:val="single" w:sz="4" w:space="0" w:color="000000"/>
              <w:right w:val="single" w:sz="4" w:space="0" w:color="000000"/>
            </w:tcBorders>
            <w:shd w:val="clear" w:color="auto" w:fill="auto"/>
          </w:tcPr>
          <w:p w14:paraId="6DF1815B" w14:textId="77777777" w:rsidR="00332537" w:rsidRDefault="00332537" w:rsidP="00332537">
            <w:r>
              <w:t>Sabiedrības līdzdalība projekta izstrādē</w:t>
            </w:r>
          </w:p>
        </w:tc>
        <w:tc>
          <w:tcPr>
            <w:tcW w:w="5862" w:type="dxa"/>
            <w:tcBorders>
              <w:top w:val="single" w:sz="4" w:space="0" w:color="000000"/>
              <w:left w:val="single" w:sz="4" w:space="0" w:color="000000"/>
              <w:bottom w:val="single" w:sz="4" w:space="0" w:color="000000"/>
              <w:right w:val="single" w:sz="4" w:space="0" w:color="000000"/>
            </w:tcBorders>
            <w:shd w:val="clear" w:color="auto" w:fill="auto"/>
          </w:tcPr>
          <w:p w14:paraId="64FC673C" w14:textId="7E69668F" w:rsidR="00332537" w:rsidRDefault="00332537" w:rsidP="001D21AF">
            <w:pPr>
              <w:jc w:val="both"/>
            </w:pPr>
            <w:r w:rsidRPr="00BA7E9C">
              <w:t>Noteikumu projekts 20</w:t>
            </w:r>
            <w:r w:rsidR="00450A8E">
              <w:t>21</w:t>
            </w:r>
            <w:r w:rsidRPr="00BA7E9C">
              <w:t>.</w:t>
            </w:r>
            <w:r w:rsidR="00F52D5F">
              <w:t> </w:t>
            </w:r>
            <w:r w:rsidRPr="00ED66FF">
              <w:t xml:space="preserve">gada </w:t>
            </w:r>
            <w:r w:rsidR="00900F45">
              <w:t>26</w:t>
            </w:r>
            <w:r w:rsidRPr="00ED66FF">
              <w:t>. </w:t>
            </w:r>
            <w:r w:rsidR="00900F45">
              <w:t>februārī</w:t>
            </w:r>
            <w:r w:rsidRPr="00ED66FF">
              <w:t xml:space="preserve"> </w:t>
            </w:r>
            <w:r>
              <w:t>publicēts VARAM</w:t>
            </w:r>
            <w:r w:rsidRPr="00BA7E9C">
              <w:t xml:space="preserve"> tīmekļvietnē </w:t>
            </w:r>
            <w:hyperlink r:id="rId8" w:history="1">
              <w:r w:rsidRPr="00BA7E9C">
                <w:rPr>
                  <w:color w:val="0000FF"/>
                  <w:u w:val="single"/>
                </w:rPr>
                <w:t>www.varam.gov.lv</w:t>
              </w:r>
            </w:hyperlink>
            <w:r w:rsidR="00E34C8A" w:rsidRPr="00E34C8A">
              <w:t>, sadaļās</w:t>
            </w:r>
            <w:r w:rsidR="00E34C8A" w:rsidRPr="00E34C8A">
              <w:rPr>
                <w:u w:val="single"/>
              </w:rPr>
              <w:t xml:space="preserve"> </w:t>
            </w:r>
            <w:r w:rsidR="00E34C8A" w:rsidRPr="00686542">
              <w:t>“</w:t>
            </w:r>
            <w:r w:rsidR="00E34C8A" w:rsidRPr="00E34C8A">
              <w:t xml:space="preserve">Normatīvo aktu projekti vides aizsardzības jomā” un </w:t>
            </w:r>
            <w:r w:rsidRPr="00E34C8A">
              <w:t xml:space="preserve"> </w:t>
            </w:r>
            <w:r w:rsidR="00E34C8A" w:rsidRPr="00E34C8A">
              <w:t>“Paziņojumi par līdzdalības iespējām attīstības plānošanas dokumenta vai tiesību akta izstrādes procesā”, kā arī</w:t>
            </w:r>
            <w:r>
              <w:t xml:space="preserve"> Valsts kancelejas tīmekļvietnē</w:t>
            </w:r>
            <w:r w:rsidR="00E34C8A">
              <w:t xml:space="preserve"> </w:t>
            </w:r>
            <w:hyperlink r:id="rId9" w:history="1">
              <w:r w:rsidR="00E34C8A" w:rsidRPr="00120858">
                <w:rPr>
                  <w:rStyle w:val="Hyperlink"/>
                </w:rPr>
                <w:t>www.mk.gov.lv</w:t>
              </w:r>
            </w:hyperlink>
            <w:r w:rsidR="00E34C8A" w:rsidRPr="00E34C8A">
              <w:t>, sadaļā “Ministru kabineta diskusiju dokumenti”</w:t>
            </w:r>
            <w:r w:rsidRPr="00E34C8A">
              <w:t xml:space="preserve">, </w:t>
            </w:r>
            <w:r w:rsidRPr="00BA7E9C">
              <w:t>sniedzot ieinteresētajām personām iespēju izteikt viedokli un iesniegt priekšlikumus.</w:t>
            </w:r>
          </w:p>
        </w:tc>
      </w:tr>
      <w:tr w:rsidR="00332537" w14:paraId="0B0F73A7" w14:textId="77777777" w:rsidTr="00332537">
        <w:trPr>
          <w:cantSplit/>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2BE870DF" w14:textId="77777777" w:rsidR="00332537" w:rsidRDefault="00332537" w:rsidP="00332537">
            <w:pPr>
              <w:jc w:val="center"/>
            </w:pPr>
            <w:r>
              <w:t>3.</w:t>
            </w:r>
          </w:p>
        </w:tc>
        <w:tc>
          <w:tcPr>
            <w:tcW w:w="2847" w:type="dxa"/>
            <w:tcBorders>
              <w:top w:val="single" w:sz="4" w:space="0" w:color="000000"/>
              <w:left w:val="single" w:sz="4" w:space="0" w:color="000000"/>
              <w:bottom w:val="single" w:sz="4" w:space="0" w:color="000000"/>
              <w:right w:val="single" w:sz="4" w:space="0" w:color="000000"/>
            </w:tcBorders>
            <w:shd w:val="clear" w:color="auto" w:fill="auto"/>
          </w:tcPr>
          <w:p w14:paraId="0F3EDB14" w14:textId="77777777" w:rsidR="00332537" w:rsidRDefault="00332537" w:rsidP="00332537">
            <w:r>
              <w:t>Sabiedrības līdzdalības rezultāti</w:t>
            </w:r>
          </w:p>
        </w:tc>
        <w:tc>
          <w:tcPr>
            <w:tcW w:w="5862" w:type="dxa"/>
            <w:tcBorders>
              <w:top w:val="single" w:sz="4" w:space="0" w:color="000000"/>
              <w:left w:val="single" w:sz="4" w:space="0" w:color="000000"/>
              <w:bottom w:val="single" w:sz="4" w:space="0" w:color="000000"/>
              <w:right w:val="single" w:sz="4" w:space="0" w:color="000000"/>
            </w:tcBorders>
            <w:shd w:val="clear" w:color="auto" w:fill="auto"/>
          </w:tcPr>
          <w:p w14:paraId="79674D5A" w14:textId="286FE976" w:rsidR="00332537" w:rsidRDefault="00900F45" w:rsidP="00332537">
            <w:pPr>
              <w:jc w:val="both"/>
            </w:pPr>
            <w:r w:rsidRPr="00AB5CFA">
              <w:rPr>
                <w:iCs/>
              </w:rPr>
              <w:t>Sabiedr</w:t>
            </w:r>
            <w:r>
              <w:rPr>
                <w:iCs/>
              </w:rPr>
              <w:t>ības</w:t>
            </w:r>
            <w:r w:rsidRPr="00AB5CFA">
              <w:rPr>
                <w:iCs/>
              </w:rPr>
              <w:t xml:space="preserve"> līdzdalības ietvaros par </w:t>
            </w:r>
            <w:r>
              <w:rPr>
                <w:iCs/>
              </w:rPr>
              <w:t>N</w:t>
            </w:r>
            <w:r w:rsidRPr="00AB5CFA">
              <w:rPr>
                <w:iCs/>
              </w:rPr>
              <w:t>oteikumu projektu un tā anotāciju netika saņemti sabiedrības viedokļi.</w:t>
            </w:r>
          </w:p>
        </w:tc>
      </w:tr>
      <w:tr w:rsidR="00332537" w14:paraId="5C962CAD" w14:textId="77777777" w:rsidTr="00332537">
        <w:trPr>
          <w:cantSplit/>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6AD48E2E" w14:textId="77777777" w:rsidR="00332537" w:rsidRDefault="00332537" w:rsidP="00332537">
            <w:pPr>
              <w:jc w:val="center"/>
            </w:pPr>
            <w:r>
              <w:t>4.</w:t>
            </w:r>
          </w:p>
        </w:tc>
        <w:tc>
          <w:tcPr>
            <w:tcW w:w="2847" w:type="dxa"/>
            <w:tcBorders>
              <w:top w:val="single" w:sz="4" w:space="0" w:color="000000"/>
              <w:left w:val="single" w:sz="4" w:space="0" w:color="000000"/>
              <w:bottom w:val="single" w:sz="4" w:space="0" w:color="000000"/>
              <w:right w:val="single" w:sz="4" w:space="0" w:color="000000"/>
            </w:tcBorders>
            <w:shd w:val="clear" w:color="auto" w:fill="auto"/>
          </w:tcPr>
          <w:p w14:paraId="775F639C" w14:textId="77777777" w:rsidR="00332537" w:rsidRDefault="00332537" w:rsidP="00332537">
            <w:r>
              <w:t>Cita informācija</w:t>
            </w:r>
          </w:p>
        </w:tc>
        <w:tc>
          <w:tcPr>
            <w:tcW w:w="5862" w:type="dxa"/>
            <w:tcBorders>
              <w:top w:val="single" w:sz="4" w:space="0" w:color="000000"/>
              <w:left w:val="single" w:sz="4" w:space="0" w:color="000000"/>
              <w:bottom w:val="single" w:sz="4" w:space="0" w:color="000000"/>
              <w:right w:val="single" w:sz="4" w:space="0" w:color="000000"/>
            </w:tcBorders>
            <w:shd w:val="clear" w:color="auto" w:fill="auto"/>
          </w:tcPr>
          <w:p w14:paraId="217D3CE7" w14:textId="62A17078" w:rsidR="00332537" w:rsidRDefault="001D21AF" w:rsidP="00332537">
            <w:pPr>
              <w:jc w:val="both"/>
            </w:pPr>
            <w:r>
              <w:t>Nav</w:t>
            </w:r>
            <w:r w:rsidR="00732FCE">
              <w:t>.</w:t>
            </w:r>
          </w:p>
        </w:tc>
      </w:tr>
    </w:tbl>
    <w:p w14:paraId="083CE2FC" w14:textId="77777777" w:rsidR="00AF6AA3" w:rsidRDefault="00AF6AA3">
      <w:pPr>
        <w:pStyle w:val="Title"/>
        <w:spacing w:before="130" w:line="260" w:lineRule="exact"/>
        <w:jc w:val="both"/>
        <w:rPr>
          <w:sz w:val="24"/>
          <w:szCs w:val="24"/>
        </w:rPr>
      </w:pPr>
    </w:p>
    <w:tbl>
      <w:tblPr>
        <w:tblW w:w="5061" w:type="pc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0" w:type="dxa"/>
          <w:left w:w="30" w:type="dxa"/>
          <w:bottom w:w="30" w:type="dxa"/>
          <w:right w:w="30" w:type="dxa"/>
        </w:tblCellMar>
        <w:tblLook w:val="04A0" w:firstRow="1" w:lastRow="0" w:firstColumn="1" w:lastColumn="0" w:noHBand="0" w:noVBand="1"/>
      </w:tblPr>
      <w:tblGrid>
        <w:gridCol w:w="529"/>
        <w:gridCol w:w="2833"/>
        <w:gridCol w:w="5810"/>
      </w:tblGrid>
      <w:tr w:rsidR="00AF6AA3" w14:paraId="03219FF1" w14:textId="77777777" w:rsidTr="004F1DC0">
        <w:trPr>
          <w:cantSplit/>
        </w:trPr>
        <w:tc>
          <w:tcPr>
            <w:tcW w:w="92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DC93DF" w14:textId="77777777" w:rsidR="00AF6AA3" w:rsidRDefault="00661D50">
            <w:pPr>
              <w:jc w:val="center"/>
              <w:rPr>
                <w:b/>
                <w:bCs/>
              </w:rPr>
            </w:pPr>
            <w:r>
              <w:rPr>
                <w:b/>
                <w:bCs/>
              </w:rPr>
              <w:t>VII. Tiesību akta projekta izpildes nodrošināšana un tās ietekme uz institūcijām</w:t>
            </w:r>
          </w:p>
        </w:tc>
      </w:tr>
      <w:tr w:rsidR="00AF6AA3" w14:paraId="78C3064C" w14:textId="77777777" w:rsidTr="004F1DC0">
        <w:trPr>
          <w:cantSplit/>
          <w:trHeight w:val="519"/>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3C01906E" w14:textId="77777777" w:rsidR="00AF6AA3" w:rsidRDefault="00661D50">
            <w:pPr>
              <w:jc w:val="center"/>
            </w:pPr>
            <w:r>
              <w:t>1.</w:t>
            </w:r>
          </w:p>
        </w:tc>
        <w:tc>
          <w:tcPr>
            <w:tcW w:w="2847" w:type="dxa"/>
            <w:tcBorders>
              <w:top w:val="single" w:sz="4" w:space="0" w:color="000000"/>
              <w:left w:val="single" w:sz="4" w:space="0" w:color="000000"/>
              <w:bottom w:val="single" w:sz="4" w:space="0" w:color="000000"/>
              <w:right w:val="single" w:sz="4" w:space="0" w:color="000000"/>
            </w:tcBorders>
            <w:shd w:val="clear" w:color="auto" w:fill="auto"/>
          </w:tcPr>
          <w:p w14:paraId="230EA86D" w14:textId="77777777" w:rsidR="00AF6AA3" w:rsidRDefault="00661D50">
            <w:r>
              <w:t>Projekta izpildē iesaistītās institūcijas</w:t>
            </w:r>
          </w:p>
        </w:tc>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04602DA0" w14:textId="1278C8C5" w:rsidR="00AF6AA3" w:rsidRDefault="000F135A">
            <w:pPr>
              <w:rPr>
                <w:szCs w:val="28"/>
              </w:rPr>
            </w:pPr>
            <w:r>
              <w:rPr>
                <w:szCs w:val="28"/>
              </w:rPr>
              <w:t>VVD</w:t>
            </w:r>
            <w:r w:rsidR="00DB3742">
              <w:rPr>
                <w:szCs w:val="28"/>
              </w:rPr>
              <w:t>, VID.</w:t>
            </w:r>
          </w:p>
        </w:tc>
      </w:tr>
      <w:tr w:rsidR="00AF6AA3" w14:paraId="613C2F3D" w14:textId="77777777" w:rsidTr="004F1DC0">
        <w:trPr>
          <w:cantSplit/>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6CD59422" w14:textId="77777777" w:rsidR="00AF6AA3" w:rsidRDefault="00661D50">
            <w:pPr>
              <w:jc w:val="center"/>
            </w:pPr>
            <w:r>
              <w:lastRenderedPageBreak/>
              <w:t>2.</w:t>
            </w:r>
          </w:p>
        </w:tc>
        <w:tc>
          <w:tcPr>
            <w:tcW w:w="2847" w:type="dxa"/>
            <w:tcBorders>
              <w:top w:val="single" w:sz="4" w:space="0" w:color="000000"/>
              <w:left w:val="single" w:sz="4" w:space="0" w:color="000000"/>
              <w:bottom w:val="single" w:sz="4" w:space="0" w:color="000000"/>
              <w:right w:val="single" w:sz="4" w:space="0" w:color="000000"/>
            </w:tcBorders>
            <w:shd w:val="clear" w:color="auto" w:fill="auto"/>
          </w:tcPr>
          <w:p w14:paraId="58A0C660" w14:textId="77777777" w:rsidR="00AF6AA3" w:rsidRDefault="00661D50">
            <w:pPr>
              <w:jc w:val="both"/>
            </w:pPr>
            <w:r>
              <w:t>Projekta izpildes ietekme uz pārvaldes funkcijām un institucionālo struktūru.</w:t>
            </w:r>
          </w:p>
          <w:p w14:paraId="2AE72B9D" w14:textId="77777777" w:rsidR="00AF6AA3" w:rsidRDefault="00661D50">
            <w:pPr>
              <w:jc w:val="both"/>
            </w:pPr>
            <w:r>
              <w:br/>
              <w:t>Jaunu institūciju izveide, esošu institūciju likvidācija vai reorganizācija, to ietekme uz institūcijas cilvēkresursiem</w:t>
            </w:r>
          </w:p>
        </w:tc>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3EA1D383" w14:textId="272489DC" w:rsidR="00AF6AA3" w:rsidRDefault="00732FCE">
            <w:pPr>
              <w:jc w:val="both"/>
            </w:pPr>
            <w:r>
              <w:t xml:space="preserve"> </w:t>
            </w:r>
            <w:r w:rsidRPr="00732FCE">
              <w:rPr>
                <w:bCs/>
              </w:rPr>
              <w:t>Noteikumu projekts šo jomu neskar.</w:t>
            </w:r>
          </w:p>
        </w:tc>
      </w:tr>
      <w:tr w:rsidR="00AF6AA3" w14:paraId="76768899" w14:textId="77777777" w:rsidTr="004F1DC0">
        <w:trPr>
          <w:cantSplit/>
        </w:trPr>
        <w:tc>
          <w:tcPr>
            <w:tcW w:w="533" w:type="dxa"/>
            <w:tcBorders>
              <w:top w:val="single" w:sz="4" w:space="0" w:color="000000"/>
              <w:left w:val="single" w:sz="4" w:space="0" w:color="000000"/>
              <w:bottom w:val="single" w:sz="4" w:space="0" w:color="000000"/>
              <w:right w:val="single" w:sz="4" w:space="0" w:color="000000"/>
            </w:tcBorders>
            <w:shd w:val="clear" w:color="auto" w:fill="auto"/>
          </w:tcPr>
          <w:p w14:paraId="5CED3184" w14:textId="77777777" w:rsidR="00AF6AA3" w:rsidRDefault="00661D50">
            <w:pPr>
              <w:jc w:val="center"/>
            </w:pPr>
            <w:r>
              <w:t>3.</w:t>
            </w:r>
          </w:p>
        </w:tc>
        <w:tc>
          <w:tcPr>
            <w:tcW w:w="2847" w:type="dxa"/>
            <w:tcBorders>
              <w:top w:val="single" w:sz="4" w:space="0" w:color="000000"/>
              <w:left w:val="single" w:sz="4" w:space="0" w:color="000000"/>
              <w:bottom w:val="single" w:sz="4" w:space="0" w:color="000000"/>
              <w:right w:val="single" w:sz="4" w:space="0" w:color="000000"/>
            </w:tcBorders>
            <w:shd w:val="clear" w:color="auto" w:fill="auto"/>
          </w:tcPr>
          <w:p w14:paraId="1291868C" w14:textId="77777777" w:rsidR="00AF6AA3" w:rsidRDefault="00661D50">
            <w:r>
              <w:t>Cita informācija</w:t>
            </w:r>
          </w:p>
        </w:tc>
        <w:tc>
          <w:tcPr>
            <w:tcW w:w="5863" w:type="dxa"/>
            <w:tcBorders>
              <w:top w:val="single" w:sz="4" w:space="0" w:color="000000"/>
              <w:left w:val="single" w:sz="4" w:space="0" w:color="000000"/>
              <w:bottom w:val="single" w:sz="4" w:space="0" w:color="000000"/>
              <w:right w:val="single" w:sz="4" w:space="0" w:color="000000"/>
            </w:tcBorders>
            <w:shd w:val="clear" w:color="auto" w:fill="auto"/>
          </w:tcPr>
          <w:p w14:paraId="73E36A6B" w14:textId="022BBA94" w:rsidR="00AF6AA3" w:rsidRDefault="00332537">
            <w:r>
              <w:t>Nav</w:t>
            </w:r>
            <w:r w:rsidR="00732FCE">
              <w:t>.</w:t>
            </w:r>
          </w:p>
        </w:tc>
      </w:tr>
    </w:tbl>
    <w:p w14:paraId="3C634DFE" w14:textId="77777777" w:rsidR="00AF6AA3" w:rsidRDefault="00AF6AA3"/>
    <w:p w14:paraId="48B3DF37" w14:textId="77777777" w:rsidR="00AF6AA3" w:rsidRDefault="00AF6AA3"/>
    <w:p w14:paraId="378727EF" w14:textId="77777777" w:rsidR="00AF6AA3" w:rsidRDefault="00661D50">
      <w:pPr>
        <w:tabs>
          <w:tab w:val="left" w:pos="6237"/>
        </w:tabs>
      </w:pPr>
      <w:r>
        <w:t xml:space="preserve">Vides aizsardzības un </w:t>
      </w:r>
    </w:p>
    <w:p w14:paraId="5713C554" w14:textId="77777777" w:rsidR="00AF6AA3" w:rsidRDefault="007A1E60">
      <w:pPr>
        <w:tabs>
          <w:tab w:val="left" w:pos="6237"/>
        </w:tabs>
      </w:pPr>
      <w:r>
        <w:t>reģionālās attīstības ministrs</w:t>
      </w:r>
      <w:r>
        <w:tab/>
        <w:t>A</w:t>
      </w:r>
      <w:r w:rsidR="00661D50">
        <w:t>.</w:t>
      </w:r>
      <w:r>
        <w:t> T. </w:t>
      </w:r>
      <w:proofErr w:type="spellStart"/>
      <w:r>
        <w:t>Plešs</w:t>
      </w:r>
      <w:proofErr w:type="spellEnd"/>
    </w:p>
    <w:p w14:paraId="2C8608A0" w14:textId="77777777" w:rsidR="00AF6AA3" w:rsidRDefault="00AF6AA3">
      <w:pPr>
        <w:tabs>
          <w:tab w:val="left" w:pos="6237"/>
        </w:tabs>
        <w:rPr>
          <w:sz w:val="28"/>
          <w:szCs w:val="28"/>
        </w:rPr>
      </w:pPr>
    </w:p>
    <w:p w14:paraId="2D05A530" w14:textId="77777777" w:rsidR="00AF6AA3" w:rsidRDefault="00AF6AA3">
      <w:pPr>
        <w:tabs>
          <w:tab w:val="left" w:pos="6237"/>
        </w:tabs>
        <w:rPr>
          <w:szCs w:val="28"/>
        </w:rPr>
      </w:pPr>
    </w:p>
    <w:p w14:paraId="4C9EEBB8" w14:textId="77777777" w:rsidR="00AF6AA3" w:rsidRDefault="00661D50">
      <w:pPr>
        <w:tabs>
          <w:tab w:val="left" w:pos="6237"/>
        </w:tabs>
      </w:pPr>
      <w:r>
        <w:rPr>
          <w:sz w:val="18"/>
          <w:szCs w:val="18"/>
        </w:rPr>
        <w:t>Gāga 67026518</w:t>
      </w:r>
    </w:p>
    <w:p w14:paraId="07C5BE0D" w14:textId="77777777" w:rsidR="00AF6AA3" w:rsidRDefault="00661D50">
      <w:r>
        <w:rPr>
          <w:rStyle w:val="Internetasaite"/>
          <w:sz w:val="18"/>
          <w:szCs w:val="18"/>
        </w:rPr>
        <w:t>kristine.gaga</w:t>
      </w:r>
      <w:hyperlink r:id="rId10">
        <w:r>
          <w:rPr>
            <w:rStyle w:val="Internetasaite"/>
            <w:sz w:val="18"/>
            <w:szCs w:val="18"/>
          </w:rPr>
          <w:t>@varam.gov.lv</w:t>
        </w:r>
      </w:hyperlink>
    </w:p>
    <w:sectPr w:rsidR="00AF6AA3">
      <w:headerReference w:type="default" r:id="rId11"/>
      <w:footerReference w:type="default" r:id="rId12"/>
      <w:footerReference w:type="first" r:id="rId13"/>
      <w:pgSz w:w="11906" w:h="16838"/>
      <w:pgMar w:top="851" w:right="1134" w:bottom="1134" w:left="1701" w:header="708"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FEF8F" w14:textId="77777777" w:rsidR="002C34CC" w:rsidRDefault="002C34CC">
      <w:r>
        <w:separator/>
      </w:r>
    </w:p>
  </w:endnote>
  <w:endnote w:type="continuationSeparator" w:id="0">
    <w:p w14:paraId="71179664" w14:textId="77777777" w:rsidR="002C34CC" w:rsidRDefault="002C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21A90" w14:textId="3B193045" w:rsidR="00AF6AA3" w:rsidRDefault="00661D50">
    <w:pPr>
      <w:pStyle w:val="Footer"/>
      <w:rPr>
        <w:sz w:val="20"/>
        <w:szCs w:val="20"/>
      </w:rPr>
    </w:pPr>
    <w:r>
      <w:t xml:space="preserve"> </w:t>
    </w:r>
    <w:r w:rsidR="00BA58C7">
      <w:rPr>
        <w:sz w:val="20"/>
        <w:szCs w:val="20"/>
      </w:rPr>
      <w:t>varama</w:t>
    </w:r>
    <w:r w:rsidR="00D8717B">
      <w:rPr>
        <w:sz w:val="20"/>
        <w:szCs w:val="20"/>
      </w:rPr>
      <w:t>not_</w:t>
    </w:r>
    <w:r w:rsidR="00900F45">
      <w:rPr>
        <w:sz w:val="20"/>
        <w:szCs w:val="20"/>
      </w:rPr>
      <w:t>1503</w:t>
    </w:r>
    <w:r w:rsidR="00D8717B">
      <w:rPr>
        <w:sz w:val="20"/>
        <w:szCs w:val="20"/>
      </w:rPr>
      <w:t>2</w:t>
    </w:r>
    <w:r w:rsidR="004E3AE1">
      <w:rPr>
        <w:sz w:val="20"/>
        <w:szCs w:val="20"/>
      </w:rPr>
      <w:t>1</w:t>
    </w:r>
    <w:r>
      <w:rPr>
        <w:sz w:val="20"/>
        <w:szCs w:val="20"/>
      </w:rPr>
      <w:t>_</w:t>
    </w:r>
    <w:r w:rsidR="00BA58C7">
      <w:rPr>
        <w:sz w:val="20"/>
        <w:szCs w:val="20"/>
      </w:rPr>
      <w:t>mkn</w:t>
    </w:r>
    <w:r w:rsidR="002A3085">
      <w:rPr>
        <w:sz w:val="20"/>
        <w:szCs w:val="20"/>
      </w:rPr>
      <w:t>404</w:t>
    </w:r>
  </w:p>
  <w:p w14:paraId="6381E7F1" w14:textId="77777777" w:rsidR="00AF6AA3" w:rsidRDefault="00AF6AA3">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E5B20" w14:textId="306247C2" w:rsidR="00AF6AA3" w:rsidRDefault="00661D50">
    <w:pPr>
      <w:pStyle w:val="Footer"/>
      <w:rPr>
        <w:sz w:val="20"/>
        <w:szCs w:val="20"/>
      </w:rPr>
    </w:pPr>
    <w:r>
      <w:t xml:space="preserve"> </w:t>
    </w:r>
    <w:r w:rsidR="00BA58C7">
      <w:rPr>
        <w:sz w:val="20"/>
        <w:szCs w:val="20"/>
      </w:rPr>
      <w:t>varama</w:t>
    </w:r>
    <w:r>
      <w:rPr>
        <w:sz w:val="20"/>
        <w:szCs w:val="20"/>
      </w:rPr>
      <w:t>not_</w:t>
    </w:r>
    <w:r w:rsidR="00900F45">
      <w:rPr>
        <w:sz w:val="20"/>
        <w:szCs w:val="20"/>
      </w:rPr>
      <w:t>1503</w:t>
    </w:r>
    <w:r w:rsidR="004E3AE1">
      <w:rPr>
        <w:sz w:val="20"/>
        <w:szCs w:val="20"/>
      </w:rPr>
      <w:t>21</w:t>
    </w:r>
    <w:r w:rsidR="002A3085">
      <w:rPr>
        <w:sz w:val="20"/>
        <w:szCs w:val="20"/>
      </w:rPr>
      <w:t>_</w:t>
    </w:r>
    <w:r w:rsidR="00BA58C7">
      <w:rPr>
        <w:sz w:val="20"/>
        <w:szCs w:val="20"/>
      </w:rPr>
      <w:t>mkn</w:t>
    </w:r>
    <w:r w:rsidR="002A3085">
      <w:rPr>
        <w:sz w:val="20"/>
        <w:szCs w:val="20"/>
      </w:rPr>
      <w:t>404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091CF" w14:textId="77777777" w:rsidR="002C34CC" w:rsidRDefault="002C34CC">
      <w:r>
        <w:separator/>
      </w:r>
    </w:p>
  </w:footnote>
  <w:footnote w:type="continuationSeparator" w:id="0">
    <w:p w14:paraId="562A2E48" w14:textId="77777777" w:rsidR="002C34CC" w:rsidRDefault="002C34CC">
      <w:r>
        <w:continuationSeparator/>
      </w:r>
    </w:p>
  </w:footnote>
  <w:footnote w:id="1">
    <w:p w14:paraId="32EA5AD9" w14:textId="7317023A" w:rsidR="00E023BA" w:rsidRDefault="00E023BA">
      <w:pPr>
        <w:pStyle w:val="FootnoteText"/>
      </w:pPr>
      <w:r>
        <w:rPr>
          <w:rStyle w:val="FootnoteReference"/>
        </w:rPr>
        <w:footnoteRef/>
      </w:r>
      <w:r>
        <w:t xml:space="preserve"> Lēmums pieejams tīmekļvietnē: </w:t>
      </w:r>
      <w:hyperlink r:id="rId1" w:history="1">
        <w:r w:rsidRPr="0011033B">
          <w:rPr>
            <w:rStyle w:val="Hyperlink"/>
          </w:rPr>
          <w:t>https://eur-lex.europa.eu/legal-content/LV/TXT/HTML/?uri=CELEX:32005D0270&amp;from=EN</w:t>
        </w:r>
      </w:hyperlink>
      <w:r>
        <w:t xml:space="preserve"> </w:t>
      </w:r>
    </w:p>
  </w:footnote>
  <w:footnote w:id="2">
    <w:p w14:paraId="7B083F1B" w14:textId="77777777" w:rsidR="009739FF" w:rsidRDefault="009739FF" w:rsidP="009739FF">
      <w:pPr>
        <w:pStyle w:val="FootnoteText"/>
      </w:pPr>
      <w:r>
        <w:rPr>
          <w:rStyle w:val="FootnoteReference"/>
        </w:rPr>
        <w:footnoteRef/>
      </w:r>
      <w:r>
        <w:t xml:space="preserve"> Pieejams tīmekļvietnē: </w:t>
      </w:r>
      <w:hyperlink r:id="rId2" w:history="1">
        <w:r w:rsidRPr="0011033B">
          <w:rPr>
            <w:rStyle w:val="Hyperlink"/>
          </w:rPr>
          <w:t>https://likumi.lv/ta/id/298834-grozijumi-dabas-resursu-nodokla-likuma</w:t>
        </w:r>
      </w:hyperlink>
      <w:r>
        <w:t xml:space="preserve"> </w:t>
      </w:r>
    </w:p>
  </w:footnote>
  <w:footnote w:id="3">
    <w:p w14:paraId="36067FE1" w14:textId="2EBC7CC7" w:rsidR="004E3AE1" w:rsidRDefault="004E3AE1" w:rsidP="004E3AE1">
      <w:pPr>
        <w:pStyle w:val="FootnoteText"/>
      </w:pPr>
      <w:r>
        <w:rPr>
          <w:rStyle w:val="FootnoteReference"/>
        </w:rPr>
        <w:footnoteRef/>
      </w:r>
      <w:r>
        <w:t xml:space="preserve"> Pieejams tīmekļvietnē: </w:t>
      </w:r>
      <w:hyperlink r:id="rId3" w:history="1">
        <w:r w:rsidRPr="0011033B">
          <w:rPr>
            <w:rStyle w:val="Hyperlink"/>
          </w:rPr>
          <w:t>https://likumi.lv/ta/id/319387-grozijumi-dabas-resursu-nodokla-likuma</w:t>
        </w:r>
      </w:hyperlink>
      <w:r>
        <w:t xml:space="preserve"> </w:t>
      </w:r>
    </w:p>
  </w:footnote>
  <w:footnote w:id="4">
    <w:p w14:paraId="6D241710" w14:textId="5DF70DA5" w:rsidR="002A08C2" w:rsidRDefault="002A08C2">
      <w:pPr>
        <w:pStyle w:val="FootnoteText"/>
      </w:pPr>
      <w:r>
        <w:rPr>
          <w:rStyle w:val="FootnoteReference"/>
        </w:rPr>
        <w:footnoteRef/>
      </w:r>
      <w:r>
        <w:t xml:space="preserve"> Pieejams tīmekļvietnē: </w:t>
      </w:r>
      <w:hyperlink r:id="rId4" w:history="1">
        <w:r w:rsidRPr="001963A5">
          <w:rPr>
            <w:rStyle w:val="Hyperlink"/>
          </w:rPr>
          <w:t>http://tap.mk.gov.lv/lv/mk/tap/?pid=40493901</w:t>
        </w:r>
      </w:hyperlink>
      <w:r>
        <w:t xml:space="preserve"> </w:t>
      </w:r>
    </w:p>
  </w:footnote>
  <w:footnote w:id="5">
    <w:p w14:paraId="2E6A3667" w14:textId="77777777" w:rsidR="00DD68CC" w:rsidRDefault="00DD68CC" w:rsidP="00DD68CC">
      <w:pPr>
        <w:pStyle w:val="FootnoteText"/>
      </w:pPr>
      <w:r>
        <w:rPr>
          <w:rStyle w:val="FootnoteReference"/>
        </w:rPr>
        <w:footnoteRef/>
      </w:r>
      <w:r>
        <w:t xml:space="preserve"> Direktīva pieejama tīmekļvietnē: </w:t>
      </w:r>
      <w:hyperlink r:id="rId5" w:history="1">
        <w:r w:rsidRPr="00490B37">
          <w:rPr>
            <w:rStyle w:val="Hyperlink"/>
          </w:rPr>
          <w:t>https://eur-lex.europa.eu/legal-content/lv/TXT/?uri=CELEX%3A32019L0904</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107875"/>
      <w:docPartObj>
        <w:docPartGallery w:val="Page Numbers (Top of Page)"/>
        <w:docPartUnique/>
      </w:docPartObj>
    </w:sdtPr>
    <w:sdtEndPr/>
    <w:sdtContent>
      <w:p w14:paraId="77F0D869" w14:textId="77777777" w:rsidR="00AF6AA3" w:rsidRDefault="00661D50">
        <w:pPr>
          <w:pStyle w:val="Header"/>
          <w:jc w:val="center"/>
        </w:pPr>
        <w:r>
          <w:fldChar w:fldCharType="begin"/>
        </w:r>
        <w:r>
          <w:instrText>PAGE</w:instrText>
        </w:r>
        <w:r>
          <w:fldChar w:fldCharType="separate"/>
        </w:r>
        <w:r w:rsidR="00CC3F52">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105E5"/>
    <w:multiLevelType w:val="hybridMultilevel"/>
    <w:tmpl w:val="58DAF596"/>
    <w:lvl w:ilvl="0" w:tplc="319CA91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11E7DB3"/>
    <w:multiLevelType w:val="hybridMultilevel"/>
    <w:tmpl w:val="58DAF596"/>
    <w:lvl w:ilvl="0" w:tplc="319CA91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2D24D78"/>
    <w:multiLevelType w:val="hybridMultilevel"/>
    <w:tmpl w:val="E228A39E"/>
    <w:lvl w:ilvl="0" w:tplc="93E07204">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7577BB"/>
    <w:multiLevelType w:val="hybridMultilevel"/>
    <w:tmpl w:val="766460E8"/>
    <w:lvl w:ilvl="0" w:tplc="42808840">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71433B0"/>
    <w:multiLevelType w:val="hybridMultilevel"/>
    <w:tmpl w:val="350C5E48"/>
    <w:lvl w:ilvl="0" w:tplc="E738D7A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AA3"/>
    <w:rsid w:val="00004157"/>
    <w:rsid w:val="00067E56"/>
    <w:rsid w:val="00076C98"/>
    <w:rsid w:val="00085EDC"/>
    <w:rsid w:val="000E4111"/>
    <w:rsid w:val="000F0870"/>
    <w:rsid w:val="000F135A"/>
    <w:rsid w:val="000F7310"/>
    <w:rsid w:val="00113A3E"/>
    <w:rsid w:val="00126D0F"/>
    <w:rsid w:val="00146F38"/>
    <w:rsid w:val="0015389D"/>
    <w:rsid w:val="001655DF"/>
    <w:rsid w:val="00165C6E"/>
    <w:rsid w:val="001769D7"/>
    <w:rsid w:val="001820CC"/>
    <w:rsid w:val="001A7DC2"/>
    <w:rsid w:val="001D21AF"/>
    <w:rsid w:val="001D7DFA"/>
    <w:rsid w:val="001F1CE0"/>
    <w:rsid w:val="0022250E"/>
    <w:rsid w:val="00234CE1"/>
    <w:rsid w:val="00247E1F"/>
    <w:rsid w:val="00251D5F"/>
    <w:rsid w:val="0025305A"/>
    <w:rsid w:val="002A08C2"/>
    <w:rsid w:val="002A3085"/>
    <w:rsid w:val="002B3E3B"/>
    <w:rsid w:val="002C34CC"/>
    <w:rsid w:val="002F42CF"/>
    <w:rsid w:val="0030632D"/>
    <w:rsid w:val="003071AA"/>
    <w:rsid w:val="00313FA2"/>
    <w:rsid w:val="00317E74"/>
    <w:rsid w:val="0033034E"/>
    <w:rsid w:val="00332537"/>
    <w:rsid w:val="00365B32"/>
    <w:rsid w:val="00390E59"/>
    <w:rsid w:val="003B19D4"/>
    <w:rsid w:val="003D170C"/>
    <w:rsid w:val="00440B39"/>
    <w:rsid w:val="00450A8E"/>
    <w:rsid w:val="00451272"/>
    <w:rsid w:val="004D2543"/>
    <w:rsid w:val="004D46F9"/>
    <w:rsid w:val="004E3AE1"/>
    <w:rsid w:val="004F1DC0"/>
    <w:rsid w:val="00503EF8"/>
    <w:rsid w:val="00524549"/>
    <w:rsid w:val="005344C1"/>
    <w:rsid w:val="005721A2"/>
    <w:rsid w:val="005A2B9E"/>
    <w:rsid w:val="005C5586"/>
    <w:rsid w:val="005F3C29"/>
    <w:rsid w:val="006228D2"/>
    <w:rsid w:val="00633312"/>
    <w:rsid w:val="00661D50"/>
    <w:rsid w:val="00686542"/>
    <w:rsid w:val="00692DAF"/>
    <w:rsid w:val="006A1179"/>
    <w:rsid w:val="006A6257"/>
    <w:rsid w:val="006E55D1"/>
    <w:rsid w:val="006F5A67"/>
    <w:rsid w:val="007207FC"/>
    <w:rsid w:val="00732FCE"/>
    <w:rsid w:val="007532EC"/>
    <w:rsid w:val="007553AB"/>
    <w:rsid w:val="0078503E"/>
    <w:rsid w:val="00787551"/>
    <w:rsid w:val="007A1E60"/>
    <w:rsid w:val="007A663A"/>
    <w:rsid w:val="007A7617"/>
    <w:rsid w:val="00810C9B"/>
    <w:rsid w:val="0084411A"/>
    <w:rsid w:val="0087645D"/>
    <w:rsid w:val="008B6B32"/>
    <w:rsid w:val="008F4D63"/>
    <w:rsid w:val="00900F45"/>
    <w:rsid w:val="00961652"/>
    <w:rsid w:val="009739FF"/>
    <w:rsid w:val="00976F35"/>
    <w:rsid w:val="00977AFD"/>
    <w:rsid w:val="009950C4"/>
    <w:rsid w:val="0099522E"/>
    <w:rsid w:val="009A36EA"/>
    <w:rsid w:val="009A3C0B"/>
    <w:rsid w:val="009A6005"/>
    <w:rsid w:val="009B3E36"/>
    <w:rsid w:val="009D4659"/>
    <w:rsid w:val="009D644D"/>
    <w:rsid w:val="00A24FF6"/>
    <w:rsid w:val="00A34500"/>
    <w:rsid w:val="00A47496"/>
    <w:rsid w:val="00A67835"/>
    <w:rsid w:val="00AB5536"/>
    <w:rsid w:val="00AE7CF3"/>
    <w:rsid w:val="00AF6AA3"/>
    <w:rsid w:val="00B17617"/>
    <w:rsid w:val="00B366CE"/>
    <w:rsid w:val="00B55603"/>
    <w:rsid w:val="00BA58C7"/>
    <w:rsid w:val="00BF7EEF"/>
    <w:rsid w:val="00C1255B"/>
    <w:rsid w:val="00C32B28"/>
    <w:rsid w:val="00CB029A"/>
    <w:rsid w:val="00CB1675"/>
    <w:rsid w:val="00CC1C0D"/>
    <w:rsid w:val="00CC3F52"/>
    <w:rsid w:val="00CD616C"/>
    <w:rsid w:val="00CE201D"/>
    <w:rsid w:val="00D3196B"/>
    <w:rsid w:val="00D60BDC"/>
    <w:rsid w:val="00D8717B"/>
    <w:rsid w:val="00DB3742"/>
    <w:rsid w:val="00DC02D0"/>
    <w:rsid w:val="00DD1128"/>
    <w:rsid w:val="00DD29C7"/>
    <w:rsid w:val="00DD68CC"/>
    <w:rsid w:val="00DE1175"/>
    <w:rsid w:val="00E023BA"/>
    <w:rsid w:val="00E13A20"/>
    <w:rsid w:val="00E34C8A"/>
    <w:rsid w:val="00E557DF"/>
    <w:rsid w:val="00EA058A"/>
    <w:rsid w:val="00EB6B04"/>
    <w:rsid w:val="00EC3559"/>
    <w:rsid w:val="00ED60D0"/>
    <w:rsid w:val="00ED6CE1"/>
    <w:rsid w:val="00EF2E2D"/>
    <w:rsid w:val="00F00EFD"/>
    <w:rsid w:val="00F03F1B"/>
    <w:rsid w:val="00F1741A"/>
    <w:rsid w:val="00F36E68"/>
    <w:rsid w:val="00F52D5F"/>
    <w:rsid w:val="00F91F81"/>
    <w:rsid w:val="00F95158"/>
    <w:rsid w:val="00FA16B1"/>
    <w:rsid w:val="00FB759C"/>
    <w:rsid w:val="00FC333D"/>
    <w:rsid w:val="00FC7F86"/>
    <w:rsid w:val="00FF6775"/>
  </w:rsids>
  <m:mathPr>
    <m:mathFont m:val="Cambria Math"/>
    <m:brkBin m:val="before"/>
    <m:brkBinSub m:val="--"/>
    <m:smallFrac m:val="0"/>
    <m:dispDef/>
    <m:lMargin m:val="0"/>
    <m:rMargin m:val="0"/>
    <m:defJc m:val="centerGroup"/>
    <m:wrapIndent m:val="1440"/>
    <m:intLim m:val="subSup"/>
    <m:naryLim m:val="undOvr"/>
  </m:mathPr>
  <w:themeFontLang w:val="lv-LV"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2AC1D"/>
  <w15:docId w15:val="{C80E4B69-809E-4469-ADD4-D04A26BA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88"/>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qFormat/>
    <w:rsid w:val="00BD5588"/>
    <w:rPr>
      <w:rFonts w:ascii="Times New Roman" w:eastAsia="Times New Roman" w:hAnsi="Times New Roman" w:cs="Times New Roman"/>
      <w:sz w:val="28"/>
      <w:szCs w:val="20"/>
    </w:rPr>
  </w:style>
  <w:style w:type="character" w:customStyle="1" w:styleId="Internetasaite">
    <w:name w:val="Interneta saite"/>
    <w:basedOn w:val="DefaultParagraphFont"/>
    <w:uiPriority w:val="99"/>
    <w:unhideWhenUsed/>
    <w:rsid w:val="00BD5588"/>
    <w:rPr>
      <w:color w:val="0000FF"/>
      <w:u w:val="single"/>
    </w:rPr>
  </w:style>
  <w:style w:type="character" w:customStyle="1" w:styleId="HeaderChar">
    <w:name w:val="Header Char"/>
    <w:basedOn w:val="DefaultParagraphFont"/>
    <w:link w:val="Header"/>
    <w:uiPriority w:val="99"/>
    <w:qFormat/>
    <w:rsid w:val="004A4FEB"/>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qFormat/>
    <w:rsid w:val="004A4FEB"/>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qFormat/>
    <w:rsid w:val="005443C9"/>
    <w:rPr>
      <w:sz w:val="16"/>
      <w:szCs w:val="16"/>
    </w:rPr>
  </w:style>
  <w:style w:type="character" w:customStyle="1" w:styleId="CommentTextChar">
    <w:name w:val="Comment Text Char"/>
    <w:basedOn w:val="DefaultParagraphFont"/>
    <w:link w:val="CommentText"/>
    <w:uiPriority w:val="99"/>
    <w:semiHidden/>
    <w:qFormat/>
    <w:rsid w:val="005443C9"/>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uiPriority w:val="99"/>
    <w:semiHidden/>
    <w:qFormat/>
    <w:rsid w:val="005443C9"/>
    <w:rPr>
      <w:rFonts w:ascii="Times New Roman" w:eastAsia="Times New Roman" w:hAnsi="Times New Roman" w:cs="Times New Roman"/>
      <w:b/>
      <w:bCs/>
      <w:sz w:val="20"/>
      <w:szCs w:val="20"/>
      <w:lang w:eastAsia="lv-LV"/>
    </w:rPr>
  </w:style>
  <w:style w:type="character" w:customStyle="1" w:styleId="BalloonTextChar">
    <w:name w:val="Balloon Text Char"/>
    <w:basedOn w:val="DefaultParagraphFont"/>
    <w:link w:val="BalloonText"/>
    <w:uiPriority w:val="99"/>
    <w:semiHidden/>
    <w:qFormat/>
    <w:rsid w:val="005443C9"/>
    <w:rPr>
      <w:rFonts w:ascii="Segoe UI" w:eastAsia="Times New Roman" w:hAnsi="Segoe UI" w:cs="Segoe UI"/>
      <w:sz w:val="18"/>
      <w:szCs w:val="18"/>
      <w:lang w:eastAsia="lv-LV"/>
    </w:rPr>
  </w:style>
  <w:style w:type="character" w:customStyle="1" w:styleId="FontStyle15">
    <w:name w:val="Font Style15"/>
    <w:uiPriority w:val="99"/>
    <w:qFormat/>
    <w:rsid w:val="00FA469C"/>
    <w:rPr>
      <w:rFonts w:ascii="Calibri" w:hAnsi="Calibri" w:cs="Calibri"/>
      <w:sz w:val="22"/>
      <w:szCs w:val="22"/>
    </w:rPr>
  </w:style>
  <w:style w:type="character" w:customStyle="1" w:styleId="FontStyle16">
    <w:name w:val="Font Style16"/>
    <w:uiPriority w:val="99"/>
    <w:qFormat/>
    <w:rsid w:val="00FA469C"/>
    <w:rPr>
      <w:rFonts w:ascii="Calibri" w:hAnsi="Calibri" w:cs="Calibri"/>
      <w:i/>
      <w:iCs/>
      <w:sz w:val="22"/>
      <w:szCs w:val="22"/>
    </w:rPr>
  </w:style>
  <w:style w:type="character" w:customStyle="1" w:styleId="ListParagraphChar">
    <w:name w:val="List Paragraph Char"/>
    <w:link w:val="ListParagraph"/>
    <w:uiPriority w:val="34"/>
    <w:qFormat/>
    <w:locked/>
    <w:rsid w:val="00796128"/>
    <w:rPr>
      <w:rFonts w:ascii="Calibri" w:eastAsia="Calibri" w:hAnsi="Calibri" w:cs="Times New Roman"/>
    </w:rPr>
  </w:style>
  <w:style w:type="character" w:customStyle="1" w:styleId="FootnoteTextChar">
    <w:name w:val="Footnote Text Char"/>
    <w:basedOn w:val="DefaultParagraphFont"/>
    <w:link w:val="FootnoteText"/>
    <w:uiPriority w:val="99"/>
    <w:semiHidden/>
    <w:qFormat/>
    <w:rsid w:val="00493D48"/>
    <w:rPr>
      <w:rFonts w:ascii="Times New Roman" w:eastAsia="Times New Roman" w:hAnsi="Times New Roman" w:cs="Times New Roman"/>
      <w:sz w:val="20"/>
      <w:szCs w:val="20"/>
      <w:lang w:eastAsia="lv-LV"/>
    </w:rPr>
  </w:style>
  <w:style w:type="character" w:customStyle="1" w:styleId="Vresenkurs">
    <w:name w:val="Vēres enkurs"/>
    <w:rPr>
      <w:vertAlign w:val="superscript"/>
    </w:rPr>
  </w:style>
  <w:style w:type="character" w:customStyle="1" w:styleId="FootnoteCharacters">
    <w:name w:val="Footnote Characters"/>
    <w:basedOn w:val="DefaultParagraphFont"/>
    <w:uiPriority w:val="99"/>
    <w:semiHidden/>
    <w:unhideWhenUsed/>
    <w:qFormat/>
    <w:rsid w:val="00493D48"/>
    <w:rPr>
      <w:vertAlign w:val="superscript"/>
    </w:rPr>
  </w:style>
  <w:style w:type="character" w:customStyle="1" w:styleId="ListLabel1">
    <w:name w:val="ListLabel 1"/>
    <w:qFormat/>
    <w:rPr>
      <w:color w:val="0000FF"/>
      <w:u w:val="single"/>
    </w:rPr>
  </w:style>
  <w:style w:type="character" w:customStyle="1" w:styleId="ListLabel2">
    <w:name w:val="ListLabel 2"/>
    <w:qFormat/>
    <w:rPr>
      <w:sz w:val="18"/>
      <w:szCs w:val="18"/>
    </w:rPr>
  </w:style>
  <w:style w:type="character" w:customStyle="1" w:styleId="Vresrakstzmes">
    <w:name w:val="Vēres rakstzīmes"/>
    <w:qFormat/>
  </w:style>
  <w:style w:type="character" w:customStyle="1" w:styleId="Beiguvresenkurs">
    <w:name w:val="Beigu vēres enkurs"/>
    <w:rPr>
      <w:vertAlign w:val="superscript"/>
    </w:rPr>
  </w:style>
  <w:style w:type="character" w:customStyle="1" w:styleId="Beiguvresrakstzme">
    <w:name w:val="Beigu vēres rakstzīme"/>
    <w:qFormat/>
  </w:style>
  <w:style w:type="character" w:customStyle="1" w:styleId="ListLabel3">
    <w:name w:val="ListLabel 3"/>
    <w:qFormat/>
    <w:rPr>
      <w:color w:val="0000FF"/>
      <w:u w:val="single"/>
    </w:rPr>
  </w:style>
  <w:style w:type="character" w:customStyle="1" w:styleId="ListLabel4">
    <w:name w:val="ListLabel 4"/>
    <w:qFormat/>
    <w:rPr>
      <w:sz w:val="18"/>
      <w:szCs w:val="18"/>
    </w:rPr>
  </w:style>
  <w:style w:type="paragraph" w:customStyle="1" w:styleId="Virsraksts">
    <w:name w:val="Virsraksts"/>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Rdtjs">
    <w:name w:val="Rādītājs"/>
    <w:basedOn w:val="Normal"/>
    <w:qFormat/>
    <w:pPr>
      <w:suppressLineNumbers/>
    </w:pPr>
    <w:rPr>
      <w:rFonts w:cs="Arial Unicode MS"/>
    </w:rPr>
  </w:style>
  <w:style w:type="paragraph" w:styleId="Title">
    <w:name w:val="Title"/>
    <w:basedOn w:val="Normal"/>
    <w:link w:val="TitleChar"/>
    <w:qFormat/>
    <w:rsid w:val="00BD5588"/>
    <w:pPr>
      <w:jc w:val="center"/>
    </w:pPr>
    <w:rPr>
      <w:sz w:val="28"/>
      <w:szCs w:val="20"/>
      <w:lang w:eastAsia="en-US"/>
    </w:rPr>
  </w:style>
  <w:style w:type="paragraph" w:customStyle="1" w:styleId="naisnod">
    <w:name w:val="naisnod"/>
    <w:basedOn w:val="Normal"/>
    <w:qFormat/>
    <w:rsid w:val="004A4FEB"/>
    <w:pPr>
      <w:spacing w:before="150" w:after="150"/>
      <w:jc w:val="center"/>
    </w:pPr>
    <w:rPr>
      <w:b/>
      <w:bCs/>
    </w:rPr>
  </w:style>
  <w:style w:type="paragraph" w:styleId="Header">
    <w:name w:val="header"/>
    <w:basedOn w:val="Normal"/>
    <w:link w:val="HeaderChar"/>
    <w:uiPriority w:val="99"/>
    <w:unhideWhenUsed/>
    <w:rsid w:val="004A4FEB"/>
    <w:pPr>
      <w:tabs>
        <w:tab w:val="center" w:pos="4153"/>
        <w:tab w:val="right" w:pos="8306"/>
      </w:tabs>
    </w:pPr>
  </w:style>
  <w:style w:type="paragraph" w:styleId="Footer">
    <w:name w:val="footer"/>
    <w:basedOn w:val="Normal"/>
    <w:link w:val="FooterChar"/>
    <w:uiPriority w:val="99"/>
    <w:unhideWhenUsed/>
    <w:rsid w:val="004A4FEB"/>
    <w:pPr>
      <w:tabs>
        <w:tab w:val="center" w:pos="4153"/>
        <w:tab w:val="right" w:pos="8306"/>
      </w:tabs>
    </w:pPr>
  </w:style>
  <w:style w:type="paragraph" w:customStyle="1" w:styleId="tv213">
    <w:name w:val="tv213"/>
    <w:basedOn w:val="Normal"/>
    <w:qFormat/>
    <w:rsid w:val="00AF33BD"/>
    <w:pPr>
      <w:spacing w:beforeAutospacing="1" w:afterAutospacing="1"/>
    </w:pPr>
    <w:rPr>
      <w:rFonts w:eastAsiaTheme="minorHAnsi"/>
    </w:rPr>
  </w:style>
  <w:style w:type="paragraph" w:styleId="CommentText">
    <w:name w:val="annotation text"/>
    <w:basedOn w:val="Normal"/>
    <w:link w:val="CommentTextChar"/>
    <w:uiPriority w:val="99"/>
    <w:semiHidden/>
    <w:unhideWhenUsed/>
    <w:qFormat/>
    <w:rsid w:val="005443C9"/>
    <w:rPr>
      <w:sz w:val="20"/>
      <w:szCs w:val="20"/>
    </w:rPr>
  </w:style>
  <w:style w:type="paragraph" w:styleId="CommentSubject">
    <w:name w:val="annotation subject"/>
    <w:basedOn w:val="CommentText"/>
    <w:link w:val="CommentSubjectChar"/>
    <w:uiPriority w:val="99"/>
    <w:semiHidden/>
    <w:unhideWhenUsed/>
    <w:qFormat/>
    <w:rsid w:val="005443C9"/>
    <w:rPr>
      <w:b/>
      <w:bCs/>
    </w:rPr>
  </w:style>
  <w:style w:type="paragraph" w:styleId="BalloonText">
    <w:name w:val="Balloon Text"/>
    <w:basedOn w:val="Normal"/>
    <w:link w:val="BalloonTextChar"/>
    <w:uiPriority w:val="99"/>
    <w:semiHidden/>
    <w:unhideWhenUsed/>
    <w:qFormat/>
    <w:rsid w:val="005443C9"/>
    <w:rPr>
      <w:rFonts w:ascii="Segoe UI" w:hAnsi="Segoe UI" w:cs="Segoe UI"/>
      <w:sz w:val="18"/>
      <w:szCs w:val="18"/>
    </w:rPr>
  </w:style>
  <w:style w:type="paragraph" w:customStyle="1" w:styleId="Style3">
    <w:name w:val="Style3"/>
    <w:basedOn w:val="Normal"/>
    <w:uiPriority w:val="99"/>
    <w:qFormat/>
    <w:rsid w:val="00FA469C"/>
    <w:pPr>
      <w:widowControl w:val="0"/>
      <w:spacing w:line="292" w:lineRule="exact"/>
      <w:ind w:firstLine="720"/>
      <w:jc w:val="both"/>
    </w:pPr>
    <w:rPr>
      <w:rFonts w:ascii="Calibri" w:hAnsi="Calibri"/>
    </w:rPr>
  </w:style>
  <w:style w:type="paragraph" w:styleId="ListParagraph">
    <w:name w:val="List Paragraph"/>
    <w:basedOn w:val="Normal"/>
    <w:link w:val="ListParagraphChar"/>
    <w:uiPriority w:val="34"/>
    <w:qFormat/>
    <w:rsid w:val="00796128"/>
    <w:pPr>
      <w:spacing w:after="160" w:line="259"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unhideWhenUsed/>
    <w:rsid w:val="00493D48"/>
    <w:rPr>
      <w:sz w:val="20"/>
      <w:szCs w:val="20"/>
    </w:rPr>
  </w:style>
  <w:style w:type="table" w:styleId="TableGrid">
    <w:name w:val="Table Grid"/>
    <w:basedOn w:val="TableNormal"/>
    <w:uiPriority w:val="39"/>
    <w:rsid w:val="00441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kr">
    <w:name w:val="naiskr"/>
    <w:basedOn w:val="Normal"/>
    <w:qFormat/>
    <w:rsid w:val="008F4D63"/>
    <w:pPr>
      <w:spacing w:before="75" w:after="75"/>
    </w:pPr>
  </w:style>
  <w:style w:type="character" w:styleId="Hyperlink">
    <w:name w:val="Hyperlink"/>
    <w:rsid w:val="005721A2"/>
    <w:rPr>
      <w:color w:val="0000FF"/>
      <w:u w:val="single"/>
    </w:rPr>
  </w:style>
  <w:style w:type="character" w:styleId="FootnoteReference">
    <w:name w:val="footnote reference"/>
    <w:uiPriority w:val="99"/>
    <w:rsid w:val="005721A2"/>
    <w:rPr>
      <w:vertAlign w:val="superscript"/>
    </w:rPr>
  </w:style>
  <w:style w:type="character" w:customStyle="1" w:styleId="UnresolvedMention1">
    <w:name w:val="Unresolved Mention1"/>
    <w:basedOn w:val="DefaultParagraphFont"/>
    <w:uiPriority w:val="99"/>
    <w:semiHidden/>
    <w:unhideWhenUsed/>
    <w:rsid w:val="00E023BA"/>
    <w:rPr>
      <w:color w:val="605E5C"/>
      <w:shd w:val="clear" w:color="auto" w:fill="E1DFDD"/>
    </w:rPr>
  </w:style>
  <w:style w:type="character" w:styleId="UnresolvedMention">
    <w:name w:val="Unresolved Mention"/>
    <w:basedOn w:val="DefaultParagraphFont"/>
    <w:uiPriority w:val="99"/>
    <w:semiHidden/>
    <w:unhideWhenUsed/>
    <w:rsid w:val="002A0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558362">
      <w:bodyDiv w:val="1"/>
      <w:marLeft w:val="0"/>
      <w:marRight w:val="0"/>
      <w:marTop w:val="0"/>
      <w:marBottom w:val="0"/>
      <w:divBdr>
        <w:top w:val="none" w:sz="0" w:space="0" w:color="auto"/>
        <w:left w:val="none" w:sz="0" w:space="0" w:color="auto"/>
        <w:bottom w:val="none" w:sz="0" w:space="0" w:color="auto"/>
        <w:right w:val="none" w:sz="0" w:space="0" w:color="auto"/>
      </w:divBdr>
    </w:div>
    <w:div w:id="430901845">
      <w:bodyDiv w:val="1"/>
      <w:marLeft w:val="0"/>
      <w:marRight w:val="0"/>
      <w:marTop w:val="0"/>
      <w:marBottom w:val="0"/>
      <w:divBdr>
        <w:top w:val="none" w:sz="0" w:space="0" w:color="auto"/>
        <w:left w:val="none" w:sz="0" w:space="0" w:color="auto"/>
        <w:bottom w:val="none" w:sz="0" w:space="0" w:color="auto"/>
        <w:right w:val="none" w:sz="0" w:space="0" w:color="auto"/>
      </w:divBdr>
    </w:div>
    <w:div w:id="1346633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ara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lze.donina@varam.gov.lv" TargetMode="External"/><Relationship Id="rId4" Type="http://schemas.openxmlformats.org/officeDocument/2006/relationships/settings" Target="settings.xml"/><Relationship Id="rId9" Type="http://schemas.openxmlformats.org/officeDocument/2006/relationships/hyperlink" Target="http://www.mk.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19387-grozijumi-dabas-resursu-nodokla-likuma" TargetMode="External"/><Relationship Id="rId2" Type="http://schemas.openxmlformats.org/officeDocument/2006/relationships/hyperlink" Target="https://likumi.lv/ta/id/298834-grozijumi-dabas-resursu-nodokla-likuma" TargetMode="External"/><Relationship Id="rId1" Type="http://schemas.openxmlformats.org/officeDocument/2006/relationships/hyperlink" Target="https://eur-lex.europa.eu/legal-content/LV/TXT/HTML/?uri=CELEX:32005D0270&amp;from=EN" TargetMode="External"/><Relationship Id="rId5" Type="http://schemas.openxmlformats.org/officeDocument/2006/relationships/hyperlink" Target="https://eur-lex.europa.eu/legal-content/lv/TXT/?uri=CELEX%3A32019L0904" TargetMode="External"/><Relationship Id="rId4" Type="http://schemas.openxmlformats.org/officeDocument/2006/relationships/hyperlink" Target="http://tap.mk.gov.lv/lv/mk/tap/?pid=40493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855A3-9E57-4DFB-8262-3A6A2FCD5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8037</Words>
  <Characters>4582</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“Grozījumi Ministru kabineta 2007. gada 19. jūnija noteikumos Nr. 404 “Kārtība, kādā aprēķina un maksā dabas resursu nodokli, izsniedz dabas resursu lietošanas atļauju un auditē apsaimniekošanas sistēmas””</vt:lpstr>
    </vt:vector>
  </TitlesOfParts>
  <Company>VARAM</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2007. gada 19. jūnija noteikumos Nr. 404 “Kārtība, kādā aprēķina un maksā dabas resursu nodokli, izsniedz dabas resursu lietošanas atļauju un auditē apsaimniekošanas sistēmas””</dc:title>
  <dc:subject>Noteikumu projekta anotācija</dc:subject>
  <dc:creator>Kristīne Gāga</dc:creator>
  <dc:description>67026518, kristine.gaga@varam.gov.lv</dc:description>
  <cp:lastModifiedBy>Lita Trakina</cp:lastModifiedBy>
  <cp:revision>2</cp:revision>
  <dcterms:created xsi:type="dcterms:W3CDTF">2021-05-08T07:55:00Z</dcterms:created>
  <dcterms:modified xsi:type="dcterms:W3CDTF">2021-05-08T07:55:00Z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VARAM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