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10237" w14:textId="77777777" w:rsidR="000F79A4" w:rsidRDefault="00052CDC" w:rsidP="0013538B">
      <w:pPr>
        <w:spacing w:after="0" w:line="240" w:lineRule="auto"/>
        <w:jc w:val="both"/>
        <w:rPr>
          <w:sz w:val="24"/>
          <w:szCs w:val="24"/>
          <w:lang w:val="lv-LV"/>
        </w:rPr>
      </w:pPr>
      <w:r>
        <w:rPr>
          <w:rFonts w:ascii="Arial" w:hAnsi="Arial" w:cs="Arial"/>
          <w:noProof/>
          <w:color w:val="4D4E53"/>
          <w:sz w:val="18"/>
          <w:szCs w:val="18"/>
          <w:lang w:val="lv-LV" w:eastAsia="lv-LV"/>
        </w:rPr>
        <w:drawing>
          <wp:inline distT="0" distB="0" distL="0" distR="0" wp14:anchorId="1B58335C" wp14:editId="21B708B2">
            <wp:extent cx="5760085" cy="1212850"/>
            <wp:effectExtent l="0" t="0" r="0" b="6350"/>
            <wp:docPr id="1" name="Picture 1" descr="Esfondi.lv">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ondi.lv">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085" cy="1212850"/>
                    </a:xfrm>
                    <a:prstGeom prst="rect">
                      <a:avLst/>
                    </a:prstGeom>
                    <a:noFill/>
                    <a:ln>
                      <a:noFill/>
                    </a:ln>
                  </pic:spPr>
                </pic:pic>
              </a:graphicData>
            </a:graphic>
          </wp:inline>
        </w:drawing>
      </w:r>
    </w:p>
    <w:p w14:paraId="185EB3C7" w14:textId="77777777" w:rsidR="001E6E78" w:rsidRDefault="001E6E78" w:rsidP="00E674BF">
      <w:pPr>
        <w:spacing w:after="0" w:line="240" w:lineRule="auto"/>
        <w:jc w:val="center"/>
        <w:rPr>
          <w:b/>
          <w:caps/>
          <w:sz w:val="24"/>
          <w:szCs w:val="24"/>
          <w:lang w:val="lv-LV"/>
        </w:rPr>
      </w:pPr>
    </w:p>
    <w:p w14:paraId="04238AD3" w14:textId="77777777" w:rsidR="00052CDC" w:rsidRDefault="00052CDC" w:rsidP="00E674BF">
      <w:pPr>
        <w:spacing w:after="0" w:line="240" w:lineRule="auto"/>
        <w:jc w:val="center"/>
        <w:rPr>
          <w:b/>
          <w:caps/>
          <w:sz w:val="24"/>
          <w:szCs w:val="24"/>
          <w:lang w:val="lv-LV"/>
        </w:rPr>
      </w:pPr>
    </w:p>
    <w:p w14:paraId="62917699" w14:textId="77777777" w:rsidR="00E674BF" w:rsidRPr="00E674BF" w:rsidRDefault="003C3B3B" w:rsidP="00E674BF">
      <w:pPr>
        <w:spacing w:after="0" w:line="240" w:lineRule="auto"/>
        <w:jc w:val="center"/>
        <w:rPr>
          <w:b/>
          <w:caps/>
          <w:sz w:val="24"/>
          <w:szCs w:val="24"/>
          <w:lang w:val="lv-LV"/>
        </w:rPr>
      </w:pPr>
      <w:r>
        <w:rPr>
          <w:b/>
          <w:caps/>
          <w:sz w:val="24"/>
          <w:szCs w:val="24"/>
          <w:lang w:val="lv-LV"/>
        </w:rPr>
        <w:t>metodoloģija</w:t>
      </w:r>
      <w:r w:rsidR="00E674BF" w:rsidRPr="00F50EFC">
        <w:rPr>
          <w:b/>
          <w:lang w:val="lv-LV"/>
        </w:rPr>
        <w:t xml:space="preserve"> </w:t>
      </w:r>
      <w:r w:rsidR="00E674BF" w:rsidRPr="00E674BF">
        <w:rPr>
          <w:b/>
          <w:caps/>
          <w:sz w:val="24"/>
          <w:szCs w:val="24"/>
          <w:lang w:val="lv-LV"/>
        </w:rPr>
        <w:t>horizontālā principa „Ilgtspējīga attīstība” īstenošanas uzraudzībaS RĀDĪTĀJ</w:t>
      </w:r>
      <w:r>
        <w:rPr>
          <w:b/>
          <w:caps/>
          <w:sz w:val="24"/>
          <w:szCs w:val="24"/>
          <w:lang w:val="lv-LV"/>
        </w:rPr>
        <w:t xml:space="preserve">a – siltumnīcefekta gāzu emisijas </w:t>
      </w:r>
      <w:r w:rsidR="00F41EEC" w:rsidRPr="00F41EEC">
        <w:rPr>
          <w:b/>
          <w:caps/>
          <w:sz w:val="24"/>
          <w:szCs w:val="24"/>
          <w:lang w:val="lv-LV"/>
        </w:rPr>
        <w:t>–</w:t>
      </w:r>
      <w:r w:rsidR="00F41EEC">
        <w:rPr>
          <w:b/>
          <w:caps/>
          <w:sz w:val="24"/>
          <w:szCs w:val="24"/>
          <w:lang w:val="lv-LV"/>
        </w:rPr>
        <w:t xml:space="preserve"> </w:t>
      </w:r>
      <w:r>
        <w:rPr>
          <w:b/>
          <w:caps/>
          <w:sz w:val="24"/>
          <w:szCs w:val="24"/>
          <w:lang w:val="lv-LV"/>
        </w:rPr>
        <w:t>aprēķinam</w:t>
      </w:r>
      <w:r w:rsidR="00E674BF" w:rsidRPr="00E674BF">
        <w:rPr>
          <w:b/>
          <w:caps/>
          <w:sz w:val="24"/>
          <w:szCs w:val="24"/>
          <w:lang w:val="lv-LV"/>
        </w:rPr>
        <w:t xml:space="preserve"> </w:t>
      </w:r>
    </w:p>
    <w:p w14:paraId="017FC366" w14:textId="77777777" w:rsidR="00E674BF" w:rsidRDefault="00E674BF" w:rsidP="00A82739">
      <w:pPr>
        <w:spacing w:after="0" w:line="240" w:lineRule="auto"/>
        <w:jc w:val="both"/>
        <w:rPr>
          <w:sz w:val="24"/>
          <w:szCs w:val="24"/>
          <w:lang w:val="lv-LV"/>
        </w:rPr>
      </w:pPr>
    </w:p>
    <w:p w14:paraId="1D77BE2E" w14:textId="25EF06FD" w:rsidR="000F79A4" w:rsidRDefault="000F79A4" w:rsidP="00693A77">
      <w:pPr>
        <w:spacing w:after="0" w:line="240" w:lineRule="auto"/>
        <w:jc w:val="both"/>
        <w:rPr>
          <w:sz w:val="24"/>
          <w:szCs w:val="24"/>
          <w:lang w:val="lv-LV"/>
        </w:rPr>
      </w:pPr>
      <w:r>
        <w:rPr>
          <w:sz w:val="24"/>
          <w:szCs w:val="24"/>
          <w:lang w:val="lv-LV"/>
        </w:rPr>
        <w:t>Atbilstoši</w:t>
      </w:r>
      <w:r w:rsidRPr="000F79A4">
        <w:rPr>
          <w:sz w:val="24"/>
          <w:szCs w:val="24"/>
          <w:lang w:val="lv-LV"/>
        </w:rPr>
        <w:t xml:space="preserve"> </w:t>
      </w:r>
      <w:r>
        <w:rPr>
          <w:sz w:val="24"/>
          <w:szCs w:val="24"/>
          <w:lang w:val="lv-LV"/>
        </w:rPr>
        <w:t xml:space="preserve">“Metodikai </w:t>
      </w:r>
      <w:r w:rsidR="008D2A32">
        <w:rPr>
          <w:sz w:val="24"/>
          <w:szCs w:val="24"/>
          <w:lang w:val="lv-LV"/>
        </w:rPr>
        <w:t>2014.–2020. </w:t>
      </w:r>
      <w:r>
        <w:rPr>
          <w:sz w:val="24"/>
          <w:szCs w:val="24"/>
          <w:lang w:val="lv-LV"/>
        </w:rPr>
        <w:t>gada Eiropas Reģionālās attīstības fonda, Eiropas Sociālā fonda un Kohēzijas fonda ieviešanā iesaistītajiem</w:t>
      </w:r>
      <w:r w:rsidRPr="000F79A4">
        <w:rPr>
          <w:sz w:val="24"/>
          <w:szCs w:val="24"/>
          <w:lang w:val="lv-LV"/>
        </w:rPr>
        <w:t xml:space="preserve"> horizontālā principa „Ilgtspējīga attīstība” īstenošanas uzraudzībai</w:t>
      </w:r>
      <w:r>
        <w:rPr>
          <w:sz w:val="24"/>
          <w:szCs w:val="24"/>
          <w:lang w:val="lv-LV"/>
        </w:rPr>
        <w:t>” par vienu no horizontālā principa “Ilgtspējīga attīstība” rādītāj</w:t>
      </w:r>
      <w:r w:rsidR="003C3B3B">
        <w:rPr>
          <w:sz w:val="24"/>
          <w:szCs w:val="24"/>
          <w:lang w:val="lv-LV"/>
        </w:rPr>
        <w:t>u</w:t>
      </w:r>
      <w:r>
        <w:rPr>
          <w:sz w:val="24"/>
          <w:szCs w:val="24"/>
          <w:lang w:val="lv-LV"/>
        </w:rPr>
        <w:t xml:space="preserve"> noteikt</w:t>
      </w:r>
      <w:r w:rsidR="003C3B3B">
        <w:rPr>
          <w:sz w:val="24"/>
          <w:szCs w:val="24"/>
          <w:lang w:val="lv-LV"/>
        </w:rPr>
        <w:t>as siltumnīcefekta gāzu (turpmāk – SEG) emisijas.</w:t>
      </w:r>
    </w:p>
    <w:p w14:paraId="15C79EF1" w14:textId="7653CB02" w:rsidR="001E6E78" w:rsidRDefault="001E6E78" w:rsidP="00A85643">
      <w:pPr>
        <w:spacing w:after="0" w:line="240" w:lineRule="auto"/>
        <w:ind w:firstLine="720"/>
        <w:jc w:val="both"/>
        <w:rPr>
          <w:sz w:val="24"/>
          <w:szCs w:val="24"/>
          <w:lang w:val="lv-LV"/>
        </w:rPr>
      </w:pPr>
    </w:p>
    <w:p w14:paraId="079FFE4C" w14:textId="3E18DB9A" w:rsidR="00AC5DEA" w:rsidRDefault="00AC5DEA" w:rsidP="00693A77">
      <w:pPr>
        <w:spacing w:after="0" w:line="240" w:lineRule="auto"/>
        <w:jc w:val="both"/>
        <w:rPr>
          <w:sz w:val="24"/>
          <w:szCs w:val="24"/>
          <w:lang w:val="lv-LV"/>
        </w:rPr>
      </w:pPr>
      <w:r>
        <w:rPr>
          <w:sz w:val="24"/>
          <w:szCs w:val="24"/>
          <w:lang w:val="lv-LV"/>
        </w:rPr>
        <w:t xml:space="preserve">SEG emisijas un emisiju izmaiņas pēc </w:t>
      </w:r>
      <w:r w:rsidR="00E34745">
        <w:rPr>
          <w:sz w:val="24"/>
          <w:szCs w:val="24"/>
          <w:lang w:val="lv-LV"/>
        </w:rPr>
        <w:t xml:space="preserve">pasākumu </w:t>
      </w:r>
      <w:r>
        <w:rPr>
          <w:sz w:val="24"/>
          <w:szCs w:val="24"/>
          <w:lang w:val="lv-LV"/>
        </w:rPr>
        <w:t>īstenošanas aprēķina atbilstoši:</w:t>
      </w:r>
    </w:p>
    <w:p w14:paraId="5298882D" w14:textId="1DA6BDDE" w:rsidR="00AC5DEA" w:rsidRDefault="00AC5DEA" w:rsidP="00390968">
      <w:pPr>
        <w:pStyle w:val="ListParagraph"/>
        <w:numPr>
          <w:ilvl w:val="0"/>
          <w:numId w:val="24"/>
        </w:numPr>
        <w:spacing w:after="0" w:line="240" w:lineRule="auto"/>
        <w:jc w:val="both"/>
        <w:rPr>
          <w:sz w:val="24"/>
          <w:szCs w:val="24"/>
          <w:lang w:val="lv-LV"/>
        </w:rPr>
      </w:pPr>
      <w:r>
        <w:rPr>
          <w:sz w:val="24"/>
          <w:szCs w:val="24"/>
          <w:lang w:val="lv-LV"/>
        </w:rPr>
        <w:t xml:space="preserve">Ekonomikas ministrijas izstrādātajiem </w:t>
      </w:r>
      <w:r w:rsidR="00AA0907">
        <w:rPr>
          <w:sz w:val="24"/>
          <w:szCs w:val="24"/>
          <w:lang w:val="lv-LV"/>
        </w:rPr>
        <w:t>Ministru kabineta 2021. gada 8. </w:t>
      </w:r>
      <w:r w:rsidRPr="00AC5DEA">
        <w:rPr>
          <w:sz w:val="24"/>
          <w:szCs w:val="24"/>
          <w:lang w:val="lv-LV"/>
        </w:rPr>
        <w:t>aprīļa noteikumi</w:t>
      </w:r>
      <w:r>
        <w:rPr>
          <w:sz w:val="24"/>
          <w:szCs w:val="24"/>
          <w:lang w:val="lv-LV"/>
        </w:rPr>
        <w:t>em</w:t>
      </w:r>
      <w:r w:rsidR="00AA0907">
        <w:rPr>
          <w:sz w:val="24"/>
          <w:szCs w:val="24"/>
          <w:lang w:val="lv-LV"/>
        </w:rPr>
        <w:t xml:space="preserve"> Nr. 222 “</w:t>
      </w:r>
      <w:r w:rsidRPr="00AC5DEA">
        <w:rPr>
          <w:sz w:val="24"/>
          <w:szCs w:val="24"/>
          <w:lang w:val="lv-LV"/>
        </w:rPr>
        <w:t>Ēku energoefektivitātes aprēķina metodes un ēku</w:t>
      </w:r>
      <w:r w:rsidR="00AA0907">
        <w:rPr>
          <w:sz w:val="24"/>
          <w:szCs w:val="24"/>
          <w:lang w:val="lv-LV"/>
        </w:rPr>
        <w:t xml:space="preserve"> energosertifikācijas noteikumi”</w:t>
      </w:r>
      <w:r w:rsidR="00EE5687">
        <w:rPr>
          <w:sz w:val="24"/>
          <w:szCs w:val="24"/>
          <w:lang w:val="lv-LV"/>
        </w:rPr>
        <w:t xml:space="preserve"> (turpmāk – MK noteikumi Nr.222)</w:t>
      </w:r>
      <w:r>
        <w:rPr>
          <w:sz w:val="24"/>
          <w:szCs w:val="24"/>
          <w:lang w:val="lv-LV"/>
        </w:rPr>
        <w:t>;</w:t>
      </w:r>
    </w:p>
    <w:p w14:paraId="0821051A" w14:textId="39073C3A" w:rsidR="00AC5DEA" w:rsidRPr="00390968" w:rsidRDefault="00AC5DEA" w:rsidP="00390968">
      <w:pPr>
        <w:pStyle w:val="ListParagraph"/>
        <w:numPr>
          <w:ilvl w:val="0"/>
          <w:numId w:val="24"/>
        </w:numPr>
        <w:spacing w:after="0" w:line="240" w:lineRule="auto"/>
        <w:jc w:val="both"/>
        <w:rPr>
          <w:sz w:val="24"/>
          <w:szCs w:val="24"/>
          <w:lang w:val="lv-LV"/>
        </w:rPr>
      </w:pPr>
      <w:r>
        <w:rPr>
          <w:sz w:val="24"/>
          <w:szCs w:val="24"/>
          <w:lang w:val="lv-LV"/>
        </w:rPr>
        <w:t xml:space="preserve">Vides aizsardzības un reģionālās attīstības ministrijas izstrādātajiem </w:t>
      </w:r>
      <w:r w:rsidR="00AA0907">
        <w:rPr>
          <w:sz w:val="24"/>
          <w:szCs w:val="24"/>
          <w:lang w:val="lv-LV"/>
        </w:rPr>
        <w:t>Ministru kabineta 2018. gada 23. </w:t>
      </w:r>
      <w:r w:rsidRPr="00AC5DEA">
        <w:rPr>
          <w:sz w:val="24"/>
          <w:szCs w:val="24"/>
          <w:lang w:val="lv-LV"/>
        </w:rPr>
        <w:t>janvāra noteikumi</w:t>
      </w:r>
      <w:r>
        <w:rPr>
          <w:sz w:val="24"/>
          <w:szCs w:val="24"/>
          <w:lang w:val="lv-LV"/>
        </w:rPr>
        <w:t>em</w:t>
      </w:r>
      <w:r w:rsidRPr="00AC5DEA">
        <w:rPr>
          <w:sz w:val="24"/>
          <w:szCs w:val="24"/>
          <w:lang w:val="lv-LV"/>
        </w:rPr>
        <w:t xml:space="preserve"> Nr. 42 “Siltumnīcefekta gāzu emisiju aprēķina metodika”, ja Ministru kabineta noteikumos par specifiskā atbalsta mērķa īstenošanu ir iekļauta atsauce uz šiem noteikumiem.</w:t>
      </w:r>
    </w:p>
    <w:p w14:paraId="124087F8" w14:textId="50ACDFE1" w:rsidR="003A0711" w:rsidRDefault="003A0711" w:rsidP="00A85643">
      <w:pPr>
        <w:spacing w:after="0" w:line="240" w:lineRule="auto"/>
        <w:ind w:firstLine="720"/>
        <w:jc w:val="both"/>
        <w:rPr>
          <w:sz w:val="24"/>
          <w:szCs w:val="24"/>
          <w:lang w:val="lv-LV"/>
        </w:rPr>
      </w:pPr>
    </w:p>
    <w:p w14:paraId="131589B7" w14:textId="6B37A401" w:rsidR="003A0711" w:rsidRDefault="003A0711" w:rsidP="00693A77">
      <w:pPr>
        <w:spacing w:after="0" w:line="240" w:lineRule="auto"/>
        <w:jc w:val="both"/>
        <w:rPr>
          <w:sz w:val="24"/>
          <w:szCs w:val="24"/>
          <w:lang w:val="lv-LV"/>
        </w:rPr>
      </w:pPr>
      <w:r>
        <w:rPr>
          <w:sz w:val="24"/>
          <w:szCs w:val="24"/>
          <w:lang w:val="lv-LV"/>
        </w:rPr>
        <w:t>Šajā metodikā iekļauti papildu piemēri aprēķina gaitas izsekojamībai.</w:t>
      </w:r>
    </w:p>
    <w:p w14:paraId="02A4BCB7" w14:textId="77777777" w:rsidR="003A0711" w:rsidRDefault="003A0711" w:rsidP="00A85643">
      <w:pPr>
        <w:spacing w:after="0" w:line="240" w:lineRule="auto"/>
        <w:ind w:firstLine="720"/>
        <w:jc w:val="both"/>
        <w:rPr>
          <w:sz w:val="24"/>
          <w:szCs w:val="24"/>
          <w:lang w:val="lv-LV"/>
        </w:rPr>
      </w:pPr>
    </w:p>
    <w:p w14:paraId="26293352" w14:textId="0E2E1585" w:rsidR="001E6E78" w:rsidRPr="00AA0907" w:rsidRDefault="00AA0907" w:rsidP="00AA0907">
      <w:pPr>
        <w:spacing w:after="0" w:line="240" w:lineRule="auto"/>
        <w:jc w:val="both"/>
        <w:rPr>
          <w:rFonts w:eastAsia="Times New Roman"/>
          <w:sz w:val="24"/>
          <w:szCs w:val="24"/>
          <w:lang w:val="lv-LV" w:eastAsia="lv-LV"/>
        </w:rPr>
      </w:pPr>
      <w:r w:rsidRPr="00AA0907">
        <w:rPr>
          <w:rFonts w:eastAsia="Times New Roman"/>
          <w:sz w:val="24"/>
          <w:szCs w:val="24"/>
          <w:lang w:val="lv-LV" w:eastAsia="lv-LV"/>
        </w:rPr>
        <w:t>1.</w:t>
      </w:r>
      <w:r>
        <w:rPr>
          <w:lang w:val="lv-LV" w:eastAsia="lv-LV"/>
        </w:rPr>
        <w:t xml:space="preserve"> </w:t>
      </w:r>
      <w:r w:rsidR="001E6E78" w:rsidRPr="00AA0907">
        <w:rPr>
          <w:rFonts w:eastAsia="Times New Roman"/>
          <w:sz w:val="24"/>
          <w:szCs w:val="24"/>
          <w:lang w:val="lv-LV" w:eastAsia="lv-LV"/>
        </w:rPr>
        <w:t xml:space="preserve">Ja ēkā </w:t>
      </w:r>
      <w:r w:rsidR="00634E03" w:rsidRPr="00AA0907">
        <w:rPr>
          <w:rFonts w:eastAsia="Times New Roman"/>
          <w:sz w:val="24"/>
          <w:szCs w:val="24"/>
          <w:lang w:val="lv-LV" w:eastAsia="lv-LV"/>
        </w:rPr>
        <w:t xml:space="preserve">ir </w:t>
      </w:r>
      <w:r w:rsidR="001E6E78" w:rsidRPr="00AA0907">
        <w:rPr>
          <w:rFonts w:eastAsia="Times New Roman"/>
          <w:sz w:val="24"/>
          <w:szCs w:val="24"/>
          <w:lang w:val="lv-LV" w:eastAsia="lv-LV"/>
        </w:rPr>
        <w:t xml:space="preserve">veikti energoefektivitātes pasākumi siltumenerģijas </w:t>
      </w:r>
      <w:r w:rsidR="003844ED" w:rsidRPr="00AA0907">
        <w:rPr>
          <w:rFonts w:eastAsia="Times New Roman"/>
          <w:sz w:val="24"/>
          <w:szCs w:val="24"/>
          <w:lang w:val="lv-LV" w:eastAsia="lv-LV"/>
        </w:rPr>
        <w:t>un elektroenerģijas</w:t>
      </w:r>
      <w:r w:rsidR="004A7E54" w:rsidRPr="00AA0907">
        <w:rPr>
          <w:rFonts w:eastAsia="Times New Roman"/>
          <w:sz w:val="24"/>
          <w:szCs w:val="24"/>
          <w:lang w:val="lv-LV" w:eastAsia="lv-LV"/>
        </w:rPr>
        <w:t xml:space="preserve"> patēriņa </w:t>
      </w:r>
      <w:r w:rsidR="003844ED" w:rsidRPr="00AA0907">
        <w:rPr>
          <w:rFonts w:eastAsia="Times New Roman"/>
          <w:sz w:val="24"/>
          <w:szCs w:val="24"/>
          <w:lang w:val="lv-LV" w:eastAsia="lv-LV"/>
        </w:rPr>
        <w:t xml:space="preserve"> </w:t>
      </w:r>
      <w:r w:rsidR="001E6E78" w:rsidRPr="00AA0907">
        <w:rPr>
          <w:rFonts w:eastAsia="Times New Roman"/>
          <w:sz w:val="24"/>
          <w:szCs w:val="24"/>
          <w:lang w:val="lv-LV" w:eastAsia="lv-LV"/>
        </w:rPr>
        <w:t>samazināšanai</w:t>
      </w:r>
      <w:r w:rsidR="001B30D9" w:rsidRPr="00AA0907">
        <w:rPr>
          <w:rFonts w:eastAsia="Times New Roman"/>
          <w:sz w:val="24"/>
          <w:szCs w:val="24"/>
          <w:lang w:val="lv-LV" w:eastAsia="lv-LV"/>
        </w:rPr>
        <w:t>,</w:t>
      </w:r>
      <w:r w:rsidR="001E6E78" w:rsidRPr="00AA0907">
        <w:rPr>
          <w:rFonts w:eastAsia="Times New Roman"/>
          <w:sz w:val="24"/>
          <w:szCs w:val="24"/>
          <w:lang w:val="lv-LV" w:eastAsia="lv-LV"/>
        </w:rPr>
        <w:t xml:space="preserve"> ēkai siltumenerģiju nodrošina no ce</w:t>
      </w:r>
      <w:bookmarkStart w:id="0" w:name="_GoBack"/>
      <w:bookmarkEnd w:id="0"/>
      <w:r w:rsidR="001E6E78" w:rsidRPr="00AA0907">
        <w:rPr>
          <w:rFonts w:eastAsia="Times New Roman"/>
          <w:sz w:val="24"/>
          <w:szCs w:val="24"/>
          <w:lang w:val="lv-LV" w:eastAsia="lv-LV"/>
        </w:rPr>
        <w:t>ntralizētās siltumapgādes sistēmas</w:t>
      </w:r>
      <w:r w:rsidR="009112E4" w:rsidRPr="00AA0907">
        <w:rPr>
          <w:rFonts w:eastAsia="Times New Roman"/>
          <w:sz w:val="24"/>
          <w:szCs w:val="24"/>
          <w:lang w:val="lv-LV" w:eastAsia="lv-LV"/>
        </w:rPr>
        <w:t xml:space="preserve"> un elektroenerģiju piegādā no tīkla</w:t>
      </w:r>
      <w:r w:rsidR="001E6E78" w:rsidRPr="00AA0907">
        <w:rPr>
          <w:rFonts w:eastAsia="Times New Roman"/>
          <w:sz w:val="24"/>
          <w:szCs w:val="24"/>
          <w:lang w:val="lv-LV" w:eastAsia="lv-LV"/>
        </w:rPr>
        <w:t xml:space="preserve">, tad </w:t>
      </w:r>
      <w:r w:rsidR="00634E03" w:rsidRPr="00AA0907">
        <w:rPr>
          <w:rFonts w:eastAsia="Times New Roman"/>
          <w:sz w:val="24"/>
          <w:szCs w:val="24"/>
          <w:lang w:val="lv-LV" w:eastAsia="lv-LV"/>
        </w:rPr>
        <w:t>SEG</w:t>
      </w:r>
      <w:r w:rsidR="001E6E78" w:rsidRPr="00AA0907">
        <w:rPr>
          <w:rFonts w:eastAsia="Times New Roman"/>
          <w:sz w:val="24"/>
          <w:szCs w:val="24"/>
          <w:lang w:val="lv-LV" w:eastAsia="lv-LV"/>
        </w:rPr>
        <w:t xml:space="preserve"> emisiju samazinājumu aprēķina no siltumenerģijas </w:t>
      </w:r>
      <w:r w:rsidR="006549E7" w:rsidRPr="00AA0907">
        <w:rPr>
          <w:rFonts w:eastAsia="Times New Roman"/>
          <w:sz w:val="24"/>
          <w:szCs w:val="24"/>
          <w:lang w:val="lv-LV" w:eastAsia="lv-LV"/>
        </w:rPr>
        <w:t xml:space="preserve">u elektroenerģijas </w:t>
      </w:r>
      <w:r w:rsidR="001E6E78" w:rsidRPr="00AA0907">
        <w:rPr>
          <w:rFonts w:eastAsia="Times New Roman"/>
          <w:sz w:val="24"/>
          <w:szCs w:val="24"/>
          <w:lang w:val="lv-LV" w:eastAsia="lv-LV"/>
        </w:rPr>
        <w:t xml:space="preserve">patēriņa samazinājuma </w:t>
      </w:r>
      <w:r w:rsidR="00634E03" w:rsidRPr="00AA0907">
        <w:rPr>
          <w:rFonts w:eastAsia="Times New Roman"/>
          <w:sz w:val="24"/>
          <w:szCs w:val="24"/>
          <w:lang w:val="lv-LV" w:eastAsia="lv-LV"/>
        </w:rPr>
        <w:t xml:space="preserve">pabeigtajā </w:t>
      </w:r>
      <w:r w:rsidR="001E6E78" w:rsidRPr="00AA0907">
        <w:rPr>
          <w:rFonts w:eastAsia="Times New Roman"/>
          <w:sz w:val="24"/>
          <w:szCs w:val="24"/>
          <w:lang w:val="lv-LV" w:eastAsia="lv-LV"/>
        </w:rPr>
        <w:t>projekt</w:t>
      </w:r>
      <w:r w:rsidR="00634E03" w:rsidRPr="00AA0907">
        <w:rPr>
          <w:rFonts w:eastAsia="Times New Roman"/>
          <w:sz w:val="24"/>
          <w:szCs w:val="24"/>
          <w:lang w:val="lv-LV" w:eastAsia="lv-LV"/>
        </w:rPr>
        <w:t>ā (ēkā)</w:t>
      </w:r>
      <w:r w:rsidR="001E6E78" w:rsidRPr="00AA0907">
        <w:rPr>
          <w:rFonts w:eastAsia="Times New Roman"/>
          <w:sz w:val="24"/>
          <w:szCs w:val="24"/>
          <w:lang w:val="lv-LV" w:eastAsia="lv-LV"/>
        </w:rPr>
        <w:t xml:space="preserve"> (starpība starp patērēto siltumenerģijas</w:t>
      </w:r>
      <w:r w:rsidR="006549E7" w:rsidRPr="00AA0907">
        <w:rPr>
          <w:rFonts w:eastAsia="Times New Roman"/>
          <w:sz w:val="24"/>
          <w:szCs w:val="24"/>
          <w:lang w:val="lv-LV" w:eastAsia="lv-LV"/>
        </w:rPr>
        <w:t xml:space="preserve"> un elektroenerģijas</w:t>
      </w:r>
      <w:r w:rsidR="001E6E78" w:rsidRPr="00AA0907">
        <w:rPr>
          <w:rFonts w:eastAsia="Times New Roman"/>
          <w:sz w:val="24"/>
          <w:szCs w:val="24"/>
          <w:lang w:val="lv-LV" w:eastAsia="lv-LV"/>
        </w:rPr>
        <w:t xml:space="preserve"> apjomu ēkā pirms projekta īstenošanas un patērēto siltumenerģijas</w:t>
      </w:r>
      <w:r w:rsidR="006549E7" w:rsidRPr="00AA0907">
        <w:rPr>
          <w:rFonts w:eastAsia="Times New Roman"/>
          <w:sz w:val="24"/>
          <w:szCs w:val="24"/>
          <w:lang w:val="lv-LV" w:eastAsia="lv-LV"/>
        </w:rPr>
        <w:t xml:space="preserve"> un elektroenerģijas</w:t>
      </w:r>
      <w:r w:rsidR="001E6E78" w:rsidRPr="00AA0907">
        <w:rPr>
          <w:rFonts w:eastAsia="Times New Roman"/>
          <w:sz w:val="24"/>
          <w:szCs w:val="24"/>
          <w:lang w:val="lv-LV" w:eastAsia="lv-LV"/>
        </w:rPr>
        <w:t xml:space="preserve"> apjomu ēkā pēc projekta īstenošanas):</w:t>
      </w:r>
    </w:p>
    <w:p w14:paraId="15A28F9F" w14:textId="77777777" w:rsidR="001E6E78" w:rsidRPr="001E6E78" w:rsidRDefault="001E6E78" w:rsidP="001E6E78">
      <w:pPr>
        <w:spacing w:after="0" w:line="240" w:lineRule="auto"/>
        <w:jc w:val="center"/>
        <w:rPr>
          <w:rFonts w:eastAsia="Times New Roman"/>
          <w:b/>
          <w:bCs/>
          <w:position w:val="-14"/>
          <w:sz w:val="24"/>
          <w:szCs w:val="24"/>
          <w:lang w:val="lv-LV" w:eastAsia="lv-LV"/>
        </w:rPr>
      </w:pPr>
    </w:p>
    <w:p w14:paraId="186C72C9" w14:textId="778D3465" w:rsidR="001E6E78" w:rsidRPr="001E6E78" w:rsidRDefault="00DA43F0" w:rsidP="001E6E78">
      <w:pPr>
        <w:spacing w:after="0" w:line="240" w:lineRule="auto"/>
        <w:jc w:val="center"/>
        <w:rPr>
          <w:rFonts w:eastAsia="Times New Roman"/>
          <w:b/>
          <w:bCs/>
          <w:position w:val="-14"/>
          <w:sz w:val="24"/>
          <w:szCs w:val="24"/>
          <w:lang w:val="en-US" w:eastAsia="lv-LV"/>
        </w:rPr>
      </w:pPr>
      <w:r>
        <w:rPr>
          <w:rFonts w:eastAsia="Times New Roman"/>
          <w:b/>
          <w:bCs/>
          <w:sz w:val="24"/>
          <w:szCs w:val="24"/>
          <w:lang w:val="en-US" w:eastAsia="lv-LV"/>
        </w:rPr>
        <w:t xml:space="preserve">E = </w:t>
      </w:r>
      <w:r w:rsidR="008C1D15">
        <w:rPr>
          <w:rFonts w:eastAsia="Times New Roman"/>
          <w:b/>
          <w:bCs/>
          <w:sz w:val="24"/>
          <w:szCs w:val="24"/>
          <w:lang w:val="en-US" w:eastAsia="lv-LV"/>
        </w:rPr>
        <w:t>E</w:t>
      </w:r>
      <w:r w:rsidR="003844ED" w:rsidRPr="003844ED">
        <w:rPr>
          <w:rFonts w:eastAsia="Times New Roman"/>
          <w:b/>
          <w:bCs/>
          <w:sz w:val="24"/>
          <w:szCs w:val="24"/>
          <w:vertAlign w:val="subscript"/>
          <w:lang w:val="en-US" w:eastAsia="lv-LV"/>
        </w:rPr>
        <w:t>CO</w:t>
      </w:r>
      <w:r w:rsidR="008C1D15" w:rsidRPr="003844ED">
        <w:rPr>
          <w:rFonts w:eastAsia="Times New Roman"/>
          <w:b/>
          <w:bCs/>
          <w:sz w:val="24"/>
          <w:szCs w:val="24"/>
          <w:vertAlign w:val="subscript"/>
          <w:lang w:val="en-US" w:eastAsia="lv-LV"/>
        </w:rPr>
        <w:t>2.silt</w:t>
      </w:r>
      <w:r w:rsidR="00EE3026" w:rsidRPr="003844ED">
        <w:rPr>
          <w:rFonts w:eastAsia="Times New Roman"/>
          <w:b/>
          <w:bCs/>
          <w:sz w:val="24"/>
          <w:szCs w:val="24"/>
          <w:vertAlign w:val="subscript"/>
          <w:lang w:val="en-US" w:eastAsia="lv-LV"/>
        </w:rPr>
        <w:t>.</w:t>
      </w:r>
      <w:r w:rsidR="008C1D15">
        <w:rPr>
          <w:rFonts w:eastAsia="Times New Roman"/>
          <w:b/>
          <w:bCs/>
          <w:sz w:val="24"/>
          <w:szCs w:val="24"/>
          <w:lang w:val="en-US" w:eastAsia="lv-LV"/>
        </w:rPr>
        <w:t xml:space="preserve"> x Q</w:t>
      </w:r>
      <w:r w:rsidR="001A5A0F" w:rsidRPr="001A5A0F">
        <w:rPr>
          <w:rFonts w:eastAsia="Times New Roman"/>
          <w:b/>
          <w:bCs/>
          <w:sz w:val="24"/>
          <w:szCs w:val="24"/>
          <w:vertAlign w:val="subscript"/>
          <w:lang w:val="en-US" w:eastAsia="lv-LV"/>
        </w:rPr>
        <w:t>sam.</w:t>
      </w:r>
      <w:r w:rsidR="008C1D15" w:rsidRPr="003844ED">
        <w:rPr>
          <w:rFonts w:eastAsia="Times New Roman"/>
          <w:b/>
          <w:bCs/>
          <w:sz w:val="24"/>
          <w:szCs w:val="24"/>
          <w:vertAlign w:val="subscript"/>
          <w:lang w:val="en-US" w:eastAsia="lv-LV"/>
        </w:rPr>
        <w:t>silt</w:t>
      </w:r>
      <w:r w:rsidR="0082401A" w:rsidRPr="003844ED">
        <w:rPr>
          <w:rFonts w:eastAsia="Times New Roman"/>
          <w:b/>
          <w:bCs/>
          <w:sz w:val="24"/>
          <w:szCs w:val="24"/>
          <w:vertAlign w:val="subscript"/>
          <w:lang w:val="en-US" w:eastAsia="lv-LV"/>
        </w:rPr>
        <w:t>.</w:t>
      </w:r>
      <w:r w:rsidR="008C1D15">
        <w:rPr>
          <w:rFonts w:eastAsia="Times New Roman"/>
          <w:b/>
          <w:bCs/>
          <w:sz w:val="24"/>
          <w:szCs w:val="24"/>
          <w:lang w:val="en-US" w:eastAsia="lv-LV"/>
        </w:rPr>
        <w:t xml:space="preserve"> + E</w:t>
      </w:r>
      <w:r w:rsidR="008C1D15" w:rsidRPr="004A7E54">
        <w:rPr>
          <w:rFonts w:eastAsia="Times New Roman"/>
          <w:b/>
          <w:bCs/>
          <w:sz w:val="24"/>
          <w:szCs w:val="24"/>
          <w:vertAlign w:val="subscript"/>
          <w:lang w:val="en-US" w:eastAsia="lv-LV"/>
        </w:rPr>
        <w:t>CO2</w:t>
      </w:r>
      <w:r w:rsidR="00EE3026" w:rsidRPr="003844ED">
        <w:rPr>
          <w:rFonts w:eastAsia="Times New Roman"/>
          <w:b/>
          <w:bCs/>
          <w:sz w:val="24"/>
          <w:szCs w:val="24"/>
          <w:vertAlign w:val="subscript"/>
          <w:lang w:val="en-US" w:eastAsia="lv-LV"/>
        </w:rPr>
        <w:t>.el.</w:t>
      </w:r>
      <w:r w:rsidR="0082401A">
        <w:rPr>
          <w:rFonts w:eastAsia="Times New Roman"/>
          <w:b/>
          <w:bCs/>
          <w:sz w:val="24"/>
          <w:szCs w:val="24"/>
          <w:lang w:val="en-US" w:eastAsia="lv-LV"/>
        </w:rPr>
        <w:t xml:space="preserve"> x Q</w:t>
      </w:r>
      <w:r w:rsidR="001A5A0F" w:rsidRPr="001A5A0F">
        <w:rPr>
          <w:rFonts w:eastAsia="Times New Roman"/>
          <w:b/>
          <w:bCs/>
          <w:sz w:val="24"/>
          <w:szCs w:val="24"/>
          <w:vertAlign w:val="subscript"/>
          <w:lang w:val="en-US" w:eastAsia="lv-LV"/>
        </w:rPr>
        <w:t>sam.</w:t>
      </w:r>
      <w:r w:rsidR="0082401A" w:rsidRPr="0082401A">
        <w:rPr>
          <w:rFonts w:eastAsia="Times New Roman"/>
          <w:b/>
          <w:bCs/>
          <w:sz w:val="24"/>
          <w:szCs w:val="24"/>
          <w:vertAlign w:val="subscript"/>
          <w:lang w:val="en-US" w:eastAsia="lv-LV"/>
        </w:rPr>
        <w:t>el.</w:t>
      </w:r>
    </w:p>
    <w:p w14:paraId="137C44B4" w14:textId="77777777" w:rsidR="001E6E78" w:rsidRPr="001E6E78" w:rsidRDefault="001E6E78" w:rsidP="001E6E78">
      <w:pPr>
        <w:spacing w:after="0" w:line="240" w:lineRule="auto"/>
        <w:jc w:val="center"/>
        <w:rPr>
          <w:rFonts w:eastAsia="Times New Roman"/>
          <w:b/>
          <w:bCs/>
          <w:sz w:val="24"/>
          <w:szCs w:val="24"/>
          <w:lang w:val="en-US" w:eastAsia="lv-LV"/>
        </w:rPr>
      </w:pPr>
    </w:p>
    <w:p w14:paraId="216467A6" w14:textId="356630DB" w:rsidR="001E6E78" w:rsidRPr="001E6E78" w:rsidRDefault="001E6E78" w:rsidP="001E6E78">
      <w:pPr>
        <w:numPr>
          <w:ilvl w:val="0"/>
          <w:numId w:val="19"/>
        </w:numPr>
        <w:spacing w:after="0" w:line="240" w:lineRule="auto"/>
        <w:ind w:left="425" w:hanging="425"/>
        <w:rPr>
          <w:rFonts w:eastAsia="Times New Roman"/>
          <w:sz w:val="24"/>
          <w:szCs w:val="24"/>
          <w:lang w:val="lv-LV" w:eastAsia="lv-LV"/>
        </w:rPr>
      </w:pPr>
      <w:r w:rsidRPr="001E6E78">
        <w:rPr>
          <w:rFonts w:eastAsia="Times New Roman"/>
          <w:sz w:val="24"/>
          <w:szCs w:val="24"/>
          <w:lang w:val="lv-LV" w:eastAsia="lv-LV"/>
        </w:rPr>
        <w:t>E – </w:t>
      </w:r>
      <w:r w:rsidR="0056008B">
        <w:rPr>
          <w:rFonts w:eastAsia="Times New Roman"/>
          <w:sz w:val="24"/>
          <w:szCs w:val="24"/>
          <w:lang w:val="lv-LV" w:eastAsia="lv-LV"/>
        </w:rPr>
        <w:t>SEG</w:t>
      </w:r>
      <w:r w:rsidRPr="001E6E78">
        <w:rPr>
          <w:rFonts w:eastAsia="Times New Roman"/>
          <w:sz w:val="24"/>
          <w:szCs w:val="24"/>
          <w:lang w:val="lv-LV" w:eastAsia="lv-LV"/>
        </w:rPr>
        <w:t xml:space="preserve"> emisij</w:t>
      </w:r>
      <w:r w:rsidR="005B5985">
        <w:rPr>
          <w:rFonts w:eastAsia="Times New Roman"/>
          <w:sz w:val="24"/>
          <w:szCs w:val="24"/>
          <w:lang w:val="lv-LV" w:eastAsia="lv-LV"/>
        </w:rPr>
        <w:t>u</w:t>
      </w:r>
      <w:r w:rsidRPr="001E6E78">
        <w:rPr>
          <w:rFonts w:eastAsia="Times New Roman"/>
          <w:sz w:val="24"/>
          <w:szCs w:val="24"/>
          <w:lang w:val="lv-LV" w:eastAsia="lv-LV"/>
        </w:rPr>
        <w:t xml:space="preserve"> samazinājums gadā (t CO</w:t>
      </w:r>
      <w:r w:rsidRPr="001E6E78">
        <w:rPr>
          <w:rFonts w:eastAsia="Times New Roman"/>
          <w:sz w:val="24"/>
          <w:szCs w:val="24"/>
          <w:vertAlign w:val="subscript"/>
          <w:lang w:val="lv-LV" w:eastAsia="lv-LV"/>
        </w:rPr>
        <w:t>2</w:t>
      </w:r>
      <w:r w:rsidR="00714857">
        <w:rPr>
          <w:rFonts w:eastAsia="Times New Roman"/>
          <w:sz w:val="24"/>
          <w:szCs w:val="24"/>
          <w:vertAlign w:val="subscript"/>
          <w:lang w:val="lv-LV" w:eastAsia="lv-LV"/>
        </w:rPr>
        <w:t xml:space="preserve"> </w:t>
      </w:r>
      <w:r w:rsidR="00714857">
        <w:rPr>
          <w:rFonts w:eastAsia="Times New Roman"/>
          <w:sz w:val="24"/>
          <w:szCs w:val="24"/>
          <w:lang w:val="lv-LV" w:eastAsia="lv-LV"/>
        </w:rPr>
        <w:t>ekv.</w:t>
      </w:r>
      <w:r w:rsidRPr="001E6E78">
        <w:rPr>
          <w:rFonts w:eastAsia="Times New Roman"/>
          <w:sz w:val="24"/>
          <w:szCs w:val="24"/>
          <w:lang w:val="lv-LV" w:eastAsia="lv-LV"/>
        </w:rPr>
        <w:t>/gadā);</w:t>
      </w:r>
    </w:p>
    <w:p w14:paraId="23E91A9E" w14:textId="4A6CB254" w:rsidR="001E6E78" w:rsidRDefault="001E6E78" w:rsidP="001E6E78">
      <w:pPr>
        <w:numPr>
          <w:ilvl w:val="0"/>
          <w:numId w:val="19"/>
        </w:numPr>
        <w:spacing w:after="0" w:line="240" w:lineRule="auto"/>
        <w:ind w:left="425" w:hanging="425"/>
        <w:jc w:val="both"/>
        <w:rPr>
          <w:rFonts w:eastAsia="Times New Roman"/>
          <w:sz w:val="24"/>
          <w:szCs w:val="24"/>
          <w:lang w:val="lv-LV" w:eastAsia="lv-LV"/>
        </w:rPr>
      </w:pPr>
      <w:r w:rsidRPr="001E6E78">
        <w:rPr>
          <w:rFonts w:eastAsia="Times New Roman"/>
          <w:sz w:val="24"/>
          <w:szCs w:val="24"/>
          <w:lang w:val="lv-LV" w:eastAsia="lv-LV"/>
        </w:rPr>
        <w:t>E</w:t>
      </w:r>
      <w:r w:rsidRPr="001E6E78">
        <w:rPr>
          <w:rFonts w:eastAsia="Times New Roman"/>
          <w:sz w:val="24"/>
          <w:szCs w:val="24"/>
          <w:vertAlign w:val="subscript"/>
          <w:lang w:val="lv-LV" w:eastAsia="lv-LV"/>
        </w:rPr>
        <w:t>CO2</w:t>
      </w:r>
      <w:r w:rsidR="00397CC9">
        <w:rPr>
          <w:rFonts w:eastAsia="Times New Roman"/>
          <w:sz w:val="24"/>
          <w:szCs w:val="24"/>
          <w:vertAlign w:val="subscript"/>
          <w:lang w:val="lv-LV" w:eastAsia="lv-LV"/>
        </w:rPr>
        <w:t>.silt.</w:t>
      </w:r>
      <w:r w:rsidRPr="001E6E78">
        <w:rPr>
          <w:rFonts w:eastAsia="Times New Roman"/>
          <w:sz w:val="24"/>
          <w:szCs w:val="24"/>
          <w:lang w:val="lv-LV" w:eastAsia="lv-LV"/>
        </w:rPr>
        <w:t> – emisijas faktors </w:t>
      </w:r>
      <w:r w:rsidR="00A05F50" w:rsidRPr="00A05F50">
        <w:rPr>
          <w:rFonts w:eastAsia="Times New Roman"/>
          <w:sz w:val="24"/>
          <w:szCs w:val="24"/>
          <w:lang w:val="lv-LV" w:eastAsia="lv-LV"/>
        </w:rPr>
        <w:t xml:space="preserve"> </w:t>
      </w:r>
      <w:r w:rsidR="00A05F50">
        <w:rPr>
          <w:rFonts w:eastAsia="Times New Roman"/>
          <w:sz w:val="24"/>
          <w:szCs w:val="24"/>
          <w:lang w:val="lv-LV" w:eastAsia="lv-LV"/>
        </w:rPr>
        <w:t xml:space="preserve">siltumenerģijai no centralizētās siltumapgādes sistēmas </w:t>
      </w:r>
      <w:r w:rsidR="00A05F50">
        <w:rPr>
          <w:rFonts w:eastAsia="Times New Roman"/>
          <w:iCs/>
          <w:sz w:val="24"/>
          <w:szCs w:val="24"/>
          <w:lang w:val="lv-LV" w:eastAsia="lv-LV"/>
        </w:rPr>
        <w:t>(</w:t>
      </w:r>
      <w:r w:rsidR="00A05F50" w:rsidRPr="00752C54">
        <w:rPr>
          <w:rFonts w:eastAsia="Times New Roman"/>
          <w:iCs/>
          <w:sz w:val="24"/>
          <w:szCs w:val="24"/>
          <w:lang w:val="lv-LV" w:eastAsia="lv-LV"/>
        </w:rPr>
        <w:t>tCO</w:t>
      </w:r>
      <w:r w:rsidR="00A05F50" w:rsidRPr="00752C54">
        <w:rPr>
          <w:rFonts w:eastAsia="Times New Roman"/>
          <w:iCs/>
          <w:sz w:val="24"/>
          <w:szCs w:val="24"/>
          <w:vertAlign w:val="subscript"/>
          <w:lang w:val="lv-LV" w:eastAsia="lv-LV"/>
        </w:rPr>
        <w:t>2</w:t>
      </w:r>
      <w:r w:rsidR="00A05F50" w:rsidRPr="00752C54">
        <w:rPr>
          <w:rFonts w:eastAsia="Times New Roman"/>
          <w:iCs/>
          <w:sz w:val="24"/>
          <w:szCs w:val="24"/>
          <w:lang w:val="lv-LV" w:eastAsia="lv-LV"/>
        </w:rPr>
        <w:t>/MWh</w:t>
      </w:r>
      <w:r w:rsidR="00A05F50">
        <w:rPr>
          <w:rFonts w:eastAsia="Times New Roman"/>
          <w:iCs/>
          <w:sz w:val="24"/>
          <w:szCs w:val="24"/>
          <w:lang w:val="lv-LV" w:eastAsia="lv-LV"/>
        </w:rPr>
        <w:t>)</w:t>
      </w:r>
      <w:r w:rsidR="008454B0">
        <w:rPr>
          <w:rFonts w:eastAsia="Times New Roman"/>
          <w:iCs/>
          <w:sz w:val="24"/>
          <w:szCs w:val="24"/>
          <w:lang w:val="lv-LV" w:eastAsia="lv-LV"/>
        </w:rPr>
        <w:t xml:space="preserve"> </w:t>
      </w:r>
      <w:r w:rsidRPr="001E6E78">
        <w:rPr>
          <w:rFonts w:eastAsia="Times New Roman"/>
          <w:sz w:val="24"/>
          <w:szCs w:val="24"/>
          <w:lang w:val="lv-LV" w:eastAsia="lv-LV"/>
        </w:rPr>
        <w:t xml:space="preserve">atbilstoši </w:t>
      </w:r>
      <w:r w:rsidR="006D2D37">
        <w:rPr>
          <w:rFonts w:eastAsia="Times New Roman"/>
          <w:sz w:val="24"/>
          <w:szCs w:val="24"/>
          <w:lang w:val="lv-LV" w:eastAsia="lv-LV"/>
        </w:rPr>
        <w:t>MK noteikumi</w:t>
      </w:r>
      <w:r w:rsidR="00EE5687">
        <w:rPr>
          <w:rFonts w:eastAsia="Times New Roman"/>
          <w:sz w:val="24"/>
          <w:szCs w:val="24"/>
          <w:lang w:val="lv-LV" w:eastAsia="lv-LV"/>
        </w:rPr>
        <w:t>em</w:t>
      </w:r>
      <w:r w:rsidR="006D2D37">
        <w:rPr>
          <w:rFonts w:eastAsia="Times New Roman"/>
          <w:sz w:val="24"/>
          <w:szCs w:val="24"/>
          <w:lang w:val="lv-LV" w:eastAsia="lv-LV"/>
        </w:rPr>
        <w:t xml:space="preserve"> Nr.222</w:t>
      </w:r>
      <w:r w:rsidRPr="001E6E78">
        <w:rPr>
          <w:rFonts w:eastAsia="Times New Roman"/>
          <w:sz w:val="24"/>
          <w:szCs w:val="24"/>
          <w:lang w:val="lv-LV" w:eastAsia="lv-LV"/>
        </w:rPr>
        <w:t>;</w:t>
      </w:r>
    </w:p>
    <w:p w14:paraId="6BE1BCF3" w14:textId="2CC5EEF1" w:rsidR="003C0B72" w:rsidRPr="001E6E78" w:rsidRDefault="00BB25A0" w:rsidP="001E6E78">
      <w:pPr>
        <w:numPr>
          <w:ilvl w:val="0"/>
          <w:numId w:val="19"/>
        </w:numPr>
        <w:spacing w:after="0" w:line="240" w:lineRule="auto"/>
        <w:ind w:left="425" w:hanging="425"/>
        <w:jc w:val="both"/>
        <w:rPr>
          <w:rFonts w:eastAsia="Times New Roman"/>
          <w:sz w:val="24"/>
          <w:szCs w:val="24"/>
          <w:lang w:val="lv-LV" w:eastAsia="lv-LV"/>
        </w:rPr>
      </w:pPr>
      <w:r w:rsidRPr="001E6E78">
        <w:rPr>
          <w:rFonts w:eastAsia="Times New Roman"/>
          <w:sz w:val="24"/>
          <w:szCs w:val="24"/>
          <w:lang w:val="lv-LV" w:eastAsia="lv-LV"/>
        </w:rPr>
        <w:t>E</w:t>
      </w:r>
      <w:r w:rsidRPr="001E6E78">
        <w:rPr>
          <w:rFonts w:eastAsia="Times New Roman"/>
          <w:sz w:val="24"/>
          <w:szCs w:val="24"/>
          <w:vertAlign w:val="subscript"/>
          <w:lang w:val="lv-LV" w:eastAsia="lv-LV"/>
        </w:rPr>
        <w:t>CO2</w:t>
      </w:r>
      <w:r>
        <w:rPr>
          <w:rFonts w:eastAsia="Times New Roman"/>
          <w:sz w:val="24"/>
          <w:szCs w:val="24"/>
          <w:vertAlign w:val="subscript"/>
          <w:lang w:val="lv-LV" w:eastAsia="lv-LV"/>
        </w:rPr>
        <w:t>.el.</w:t>
      </w:r>
      <w:r w:rsidRPr="001E6E78">
        <w:rPr>
          <w:rFonts w:eastAsia="Times New Roman"/>
          <w:sz w:val="24"/>
          <w:szCs w:val="24"/>
          <w:lang w:val="lv-LV" w:eastAsia="lv-LV"/>
        </w:rPr>
        <w:t> – emisijas faktors </w:t>
      </w:r>
      <w:r w:rsidRPr="00A05F50">
        <w:rPr>
          <w:rFonts w:eastAsia="Times New Roman"/>
          <w:sz w:val="24"/>
          <w:szCs w:val="24"/>
          <w:lang w:val="lv-LV" w:eastAsia="lv-LV"/>
        </w:rPr>
        <w:t xml:space="preserve"> </w:t>
      </w:r>
      <w:r>
        <w:rPr>
          <w:rFonts w:eastAsia="Times New Roman"/>
          <w:sz w:val="24"/>
          <w:szCs w:val="24"/>
          <w:lang w:val="lv-LV" w:eastAsia="lv-LV"/>
        </w:rPr>
        <w:t xml:space="preserve">elektroenerģijai no tīkla </w:t>
      </w:r>
      <w:r>
        <w:rPr>
          <w:rFonts w:eastAsia="Times New Roman"/>
          <w:iCs/>
          <w:sz w:val="24"/>
          <w:szCs w:val="24"/>
          <w:lang w:val="lv-LV" w:eastAsia="lv-LV"/>
        </w:rPr>
        <w:t>(</w:t>
      </w:r>
      <w:r w:rsidRPr="00752C54">
        <w:rPr>
          <w:rFonts w:eastAsia="Times New Roman"/>
          <w:iCs/>
          <w:sz w:val="24"/>
          <w:szCs w:val="24"/>
          <w:lang w:val="lv-LV" w:eastAsia="lv-LV"/>
        </w:rPr>
        <w:t>tCO</w:t>
      </w:r>
      <w:r w:rsidRPr="00752C54">
        <w:rPr>
          <w:rFonts w:eastAsia="Times New Roman"/>
          <w:iCs/>
          <w:sz w:val="24"/>
          <w:szCs w:val="24"/>
          <w:vertAlign w:val="subscript"/>
          <w:lang w:val="lv-LV" w:eastAsia="lv-LV"/>
        </w:rPr>
        <w:t>2</w:t>
      </w:r>
      <w:r w:rsidRPr="00752C54">
        <w:rPr>
          <w:rFonts w:eastAsia="Times New Roman"/>
          <w:iCs/>
          <w:sz w:val="24"/>
          <w:szCs w:val="24"/>
          <w:lang w:val="lv-LV" w:eastAsia="lv-LV"/>
        </w:rPr>
        <w:t>/MWh</w:t>
      </w:r>
      <w:r>
        <w:rPr>
          <w:rFonts w:eastAsia="Times New Roman"/>
          <w:iCs/>
          <w:sz w:val="24"/>
          <w:szCs w:val="24"/>
          <w:lang w:val="lv-LV" w:eastAsia="lv-LV"/>
        </w:rPr>
        <w:t xml:space="preserve">) </w:t>
      </w:r>
      <w:r w:rsidRPr="001E6E78">
        <w:rPr>
          <w:rFonts w:eastAsia="Times New Roman"/>
          <w:sz w:val="24"/>
          <w:szCs w:val="24"/>
          <w:lang w:val="lv-LV" w:eastAsia="lv-LV"/>
        </w:rPr>
        <w:t>atbilstoši MK noteikumi</w:t>
      </w:r>
      <w:r w:rsidR="005A0A71">
        <w:rPr>
          <w:rFonts w:eastAsia="Times New Roman"/>
          <w:sz w:val="24"/>
          <w:szCs w:val="24"/>
          <w:lang w:val="lv-LV" w:eastAsia="lv-LV"/>
        </w:rPr>
        <w:t>em</w:t>
      </w:r>
      <w:r w:rsidRPr="001E6E78">
        <w:rPr>
          <w:rFonts w:eastAsia="Times New Roman"/>
          <w:sz w:val="24"/>
          <w:szCs w:val="24"/>
          <w:lang w:val="lv-LV" w:eastAsia="lv-LV"/>
        </w:rPr>
        <w:t xml:space="preserve"> Nr.</w:t>
      </w:r>
      <w:r>
        <w:rPr>
          <w:rFonts w:eastAsia="Times New Roman"/>
          <w:sz w:val="24"/>
          <w:szCs w:val="24"/>
          <w:lang w:val="lv-LV" w:eastAsia="lv-LV"/>
        </w:rPr>
        <w:t>222</w:t>
      </w:r>
      <w:r w:rsidR="005A0A71">
        <w:rPr>
          <w:rFonts w:eastAsia="Times New Roman"/>
          <w:sz w:val="24"/>
          <w:szCs w:val="24"/>
          <w:lang w:val="lv-LV" w:eastAsia="lv-LV"/>
        </w:rPr>
        <w:t>);</w:t>
      </w:r>
    </w:p>
    <w:p w14:paraId="5774B56D" w14:textId="33D98AE1" w:rsidR="003C0B72" w:rsidRDefault="001E6E78" w:rsidP="001E6E78">
      <w:pPr>
        <w:numPr>
          <w:ilvl w:val="0"/>
          <w:numId w:val="19"/>
        </w:numPr>
        <w:spacing w:after="0" w:line="240" w:lineRule="auto"/>
        <w:ind w:left="425" w:hanging="425"/>
        <w:jc w:val="both"/>
        <w:rPr>
          <w:rFonts w:eastAsia="Times New Roman"/>
          <w:sz w:val="24"/>
          <w:szCs w:val="24"/>
          <w:lang w:val="lv-LV" w:eastAsia="lv-LV"/>
        </w:rPr>
      </w:pPr>
      <w:r w:rsidRPr="001E6E78">
        <w:rPr>
          <w:rFonts w:eastAsia="Times New Roman"/>
          <w:sz w:val="24"/>
          <w:szCs w:val="24"/>
          <w:lang w:val="lv-LV" w:eastAsia="lv-LV"/>
        </w:rPr>
        <w:t>Q</w:t>
      </w:r>
      <w:r w:rsidRPr="001E6E78">
        <w:rPr>
          <w:rFonts w:eastAsia="Times New Roman"/>
          <w:sz w:val="24"/>
          <w:szCs w:val="24"/>
          <w:vertAlign w:val="subscript"/>
          <w:lang w:val="lv-LV" w:eastAsia="lv-LV"/>
        </w:rPr>
        <w:t>sam</w:t>
      </w:r>
      <w:r w:rsidR="001A5A0F">
        <w:rPr>
          <w:rFonts w:eastAsia="Times New Roman"/>
          <w:sz w:val="24"/>
          <w:szCs w:val="24"/>
          <w:vertAlign w:val="subscript"/>
          <w:lang w:val="lv-LV" w:eastAsia="lv-LV"/>
        </w:rPr>
        <w:t>.silt</w:t>
      </w:r>
      <w:r w:rsidRPr="001E6E78">
        <w:rPr>
          <w:rFonts w:eastAsia="Times New Roman"/>
          <w:sz w:val="24"/>
          <w:szCs w:val="24"/>
          <w:vertAlign w:val="subscript"/>
          <w:lang w:val="lv-LV" w:eastAsia="lv-LV"/>
        </w:rPr>
        <w:t>.</w:t>
      </w:r>
      <w:r w:rsidRPr="001E6E78">
        <w:rPr>
          <w:rFonts w:eastAsia="Times New Roman"/>
          <w:sz w:val="24"/>
          <w:szCs w:val="24"/>
          <w:lang w:val="lv-LV" w:eastAsia="lv-LV"/>
        </w:rPr>
        <w:t> – siltumenerģijas patēriņa samazinājums (MWh/gadā)</w:t>
      </w:r>
      <w:r w:rsidR="003C0B72">
        <w:rPr>
          <w:rFonts w:eastAsia="Times New Roman"/>
          <w:sz w:val="24"/>
          <w:szCs w:val="24"/>
          <w:lang w:val="lv-LV" w:eastAsia="lv-LV"/>
        </w:rPr>
        <w:t>;</w:t>
      </w:r>
    </w:p>
    <w:p w14:paraId="40AEF049" w14:textId="36E318F7" w:rsidR="001E6E78" w:rsidRPr="001E6E78" w:rsidRDefault="003C0B72" w:rsidP="001E6E78">
      <w:pPr>
        <w:numPr>
          <w:ilvl w:val="0"/>
          <w:numId w:val="19"/>
        </w:numPr>
        <w:spacing w:after="0" w:line="240" w:lineRule="auto"/>
        <w:ind w:left="425" w:hanging="425"/>
        <w:jc w:val="both"/>
        <w:rPr>
          <w:rFonts w:eastAsia="Times New Roman"/>
          <w:sz w:val="24"/>
          <w:szCs w:val="24"/>
          <w:lang w:val="lv-LV" w:eastAsia="lv-LV"/>
        </w:rPr>
      </w:pPr>
      <w:r>
        <w:rPr>
          <w:rFonts w:eastAsia="Times New Roman"/>
          <w:sz w:val="24"/>
          <w:szCs w:val="24"/>
          <w:lang w:val="lv-LV" w:eastAsia="lv-LV"/>
        </w:rPr>
        <w:t>Q</w:t>
      </w:r>
      <w:r w:rsidR="007B50AA" w:rsidRPr="007B50AA">
        <w:rPr>
          <w:rFonts w:eastAsia="Times New Roman"/>
          <w:sz w:val="24"/>
          <w:szCs w:val="24"/>
          <w:vertAlign w:val="subscript"/>
          <w:lang w:val="lv-LV" w:eastAsia="lv-LV"/>
        </w:rPr>
        <w:t>sam.</w:t>
      </w:r>
      <w:r w:rsidRPr="003C0B72">
        <w:rPr>
          <w:rFonts w:eastAsia="Times New Roman"/>
          <w:sz w:val="24"/>
          <w:szCs w:val="24"/>
          <w:vertAlign w:val="subscript"/>
          <w:lang w:val="lv-LV" w:eastAsia="lv-LV"/>
        </w:rPr>
        <w:t>el.</w:t>
      </w:r>
      <w:r>
        <w:rPr>
          <w:rFonts w:eastAsia="Times New Roman"/>
          <w:sz w:val="24"/>
          <w:szCs w:val="24"/>
          <w:lang w:val="lv-LV" w:eastAsia="lv-LV"/>
        </w:rPr>
        <w:t xml:space="preserve"> - </w:t>
      </w:r>
      <w:r w:rsidRPr="003C0B72">
        <w:t xml:space="preserve"> </w:t>
      </w:r>
      <w:r>
        <w:rPr>
          <w:rFonts w:eastAsia="Times New Roman"/>
          <w:sz w:val="24"/>
          <w:szCs w:val="24"/>
          <w:lang w:val="lv-LV" w:eastAsia="lv-LV"/>
        </w:rPr>
        <w:t>elektro</w:t>
      </w:r>
      <w:r w:rsidRPr="003C0B72">
        <w:rPr>
          <w:rFonts w:eastAsia="Times New Roman"/>
          <w:sz w:val="24"/>
          <w:szCs w:val="24"/>
          <w:lang w:val="lv-LV" w:eastAsia="lv-LV"/>
        </w:rPr>
        <w:t>enerģijas patēriņa samazinājums (MWh/gadā)</w:t>
      </w:r>
      <w:r w:rsidR="003121D8">
        <w:rPr>
          <w:rFonts w:eastAsia="Times New Roman"/>
          <w:sz w:val="24"/>
          <w:szCs w:val="24"/>
          <w:lang w:val="lv-LV" w:eastAsia="lv-LV"/>
        </w:rPr>
        <w:t>.</w:t>
      </w:r>
    </w:p>
    <w:p w14:paraId="1244EA4A" w14:textId="77777777" w:rsidR="001E6E78" w:rsidRPr="001E6E78" w:rsidRDefault="001E6E78" w:rsidP="001E6E78">
      <w:pPr>
        <w:spacing w:after="0" w:line="240" w:lineRule="auto"/>
        <w:ind w:firstLine="272"/>
        <w:jc w:val="both"/>
        <w:rPr>
          <w:rFonts w:eastAsia="Times New Roman"/>
          <w:sz w:val="24"/>
          <w:szCs w:val="24"/>
          <w:lang w:val="lv-LV" w:eastAsia="lv-LV"/>
        </w:rPr>
      </w:pPr>
    </w:p>
    <w:p w14:paraId="78DCD8DE" w14:textId="56C762C6" w:rsidR="001E6E78" w:rsidRPr="001E6E78" w:rsidRDefault="00AA0907" w:rsidP="001E6E78">
      <w:pPr>
        <w:spacing w:after="0" w:line="240" w:lineRule="auto"/>
        <w:jc w:val="both"/>
        <w:rPr>
          <w:rFonts w:eastAsia="Times New Roman"/>
          <w:b/>
          <w:bCs/>
          <w:sz w:val="24"/>
          <w:szCs w:val="24"/>
          <w:lang w:val="lv-LV" w:eastAsia="lv-LV"/>
        </w:rPr>
      </w:pPr>
      <w:r>
        <w:rPr>
          <w:rFonts w:eastAsia="Times New Roman"/>
          <w:sz w:val="24"/>
          <w:szCs w:val="24"/>
          <w:lang w:val="lv-LV" w:eastAsia="lv-LV"/>
        </w:rPr>
        <w:t xml:space="preserve">2. </w:t>
      </w:r>
      <w:r w:rsidR="001E6E78" w:rsidRPr="001E6E78">
        <w:rPr>
          <w:rFonts w:eastAsia="Times New Roman"/>
          <w:sz w:val="24"/>
          <w:szCs w:val="24"/>
          <w:lang w:val="lv-LV" w:eastAsia="lv-LV"/>
        </w:rPr>
        <w:t xml:space="preserve">Ja ēkā </w:t>
      </w:r>
      <w:r w:rsidR="001D65C4">
        <w:rPr>
          <w:rFonts w:eastAsia="Times New Roman"/>
          <w:sz w:val="24"/>
          <w:szCs w:val="24"/>
          <w:lang w:val="lv-LV" w:eastAsia="lv-LV"/>
        </w:rPr>
        <w:t>ir</w:t>
      </w:r>
      <w:r w:rsidR="001E6E78" w:rsidRPr="001E6E78">
        <w:rPr>
          <w:rFonts w:eastAsia="Times New Roman"/>
          <w:sz w:val="24"/>
          <w:szCs w:val="24"/>
          <w:lang w:val="lv-LV" w:eastAsia="lv-LV"/>
        </w:rPr>
        <w:t xml:space="preserve"> veikta atjaunojamo energoresursu tehnoloģiju uzstādīšana siltumenerģijas ražošanai, un ēkai siltumenerģiju nodrošina</w:t>
      </w:r>
      <w:r w:rsidR="001E6E78">
        <w:rPr>
          <w:rFonts w:eastAsia="Times New Roman"/>
          <w:sz w:val="24"/>
          <w:szCs w:val="24"/>
          <w:lang w:val="lv-LV" w:eastAsia="lv-LV"/>
        </w:rPr>
        <w:t>,</w:t>
      </w:r>
      <w:r w:rsidR="001E6E78" w:rsidRPr="001E6E78">
        <w:rPr>
          <w:rFonts w:eastAsia="Times New Roman"/>
          <w:sz w:val="24"/>
          <w:szCs w:val="24"/>
          <w:lang w:val="lv-LV" w:eastAsia="lv-LV"/>
        </w:rPr>
        <w:t xml:space="preserve"> vai pirms projekta īstenošanas nodrošināja</w:t>
      </w:r>
      <w:r w:rsidR="0010243B">
        <w:rPr>
          <w:rFonts w:eastAsia="Times New Roman"/>
          <w:sz w:val="24"/>
          <w:szCs w:val="24"/>
          <w:lang w:val="lv-LV" w:eastAsia="lv-LV"/>
        </w:rPr>
        <w:t>,</w:t>
      </w:r>
      <w:r w:rsidR="001E6E78" w:rsidRPr="001E6E78">
        <w:rPr>
          <w:rFonts w:eastAsia="Times New Roman"/>
          <w:sz w:val="24"/>
          <w:szCs w:val="24"/>
          <w:lang w:val="lv-LV" w:eastAsia="lv-LV"/>
        </w:rPr>
        <w:t xml:space="preserve"> no centralizētās siltumapgādes sistēmas, tad </w:t>
      </w:r>
      <w:r w:rsidR="001D65C4">
        <w:rPr>
          <w:rFonts w:eastAsia="Times New Roman"/>
          <w:sz w:val="24"/>
          <w:szCs w:val="24"/>
          <w:lang w:val="lv-LV" w:eastAsia="lv-LV"/>
        </w:rPr>
        <w:t>SEG</w:t>
      </w:r>
      <w:r w:rsidR="001E6E78" w:rsidRPr="001E6E78">
        <w:rPr>
          <w:rFonts w:eastAsia="Times New Roman"/>
          <w:sz w:val="24"/>
          <w:szCs w:val="24"/>
          <w:lang w:val="lv-LV" w:eastAsia="lv-LV"/>
        </w:rPr>
        <w:t xml:space="preserve"> emisiju samazinājumu aprēķina no atjaunojamo energoresursu tehnoloģijās saražotā siltumenerģijas apjoma </w:t>
      </w:r>
      <w:r w:rsidR="001E6E78" w:rsidRPr="00DA275A">
        <w:rPr>
          <w:rFonts w:eastAsia="Times New Roman"/>
          <w:sz w:val="24"/>
          <w:szCs w:val="24"/>
          <w:lang w:val="lv-LV" w:eastAsia="lv-LV"/>
        </w:rPr>
        <w:t>pēc</w:t>
      </w:r>
      <w:r w:rsidR="001E6E78" w:rsidRPr="001E6E78">
        <w:rPr>
          <w:rFonts w:eastAsia="Times New Roman"/>
          <w:sz w:val="24"/>
          <w:szCs w:val="24"/>
          <w:lang w:val="lv-LV" w:eastAsia="lv-LV"/>
        </w:rPr>
        <w:t xml:space="preserve"> projekta īstenošanas:</w:t>
      </w:r>
    </w:p>
    <w:p w14:paraId="4B78C17F" w14:textId="6076A5FE" w:rsidR="001E6E78" w:rsidRDefault="001E6E78" w:rsidP="001E6E78">
      <w:pPr>
        <w:spacing w:after="0" w:line="240" w:lineRule="auto"/>
        <w:jc w:val="center"/>
        <w:rPr>
          <w:rFonts w:eastAsia="Times New Roman"/>
          <w:b/>
          <w:bCs/>
          <w:sz w:val="24"/>
          <w:szCs w:val="24"/>
          <w:lang w:val="en-US" w:eastAsia="lv-LV"/>
        </w:rPr>
      </w:pPr>
    </w:p>
    <w:p w14:paraId="365828AD" w14:textId="01B15B1E" w:rsidR="00D95353" w:rsidRPr="001E6E78" w:rsidRDefault="00D95353" w:rsidP="001E6E78">
      <w:pPr>
        <w:spacing w:after="0" w:line="240" w:lineRule="auto"/>
        <w:jc w:val="center"/>
        <w:rPr>
          <w:rFonts w:eastAsia="Times New Roman"/>
          <w:b/>
          <w:bCs/>
          <w:position w:val="-14"/>
          <w:sz w:val="24"/>
          <w:szCs w:val="24"/>
          <w:lang w:val="en-US" w:eastAsia="lv-LV"/>
        </w:rPr>
      </w:pPr>
      <w:r>
        <w:rPr>
          <w:rFonts w:eastAsia="Times New Roman"/>
          <w:b/>
          <w:bCs/>
          <w:sz w:val="24"/>
          <w:szCs w:val="24"/>
          <w:lang w:val="en-US" w:eastAsia="lv-LV"/>
        </w:rPr>
        <w:lastRenderedPageBreak/>
        <w:t>E = (E</w:t>
      </w:r>
      <w:r w:rsidRPr="00B32DA6">
        <w:rPr>
          <w:rFonts w:eastAsia="Times New Roman"/>
          <w:b/>
          <w:bCs/>
          <w:sz w:val="24"/>
          <w:szCs w:val="24"/>
          <w:vertAlign w:val="subscript"/>
          <w:lang w:val="en-US" w:eastAsia="lv-LV"/>
        </w:rPr>
        <w:t>CO2</w:t>
      </w:r>
      <w:r w:rsidR="00B32DA6">
        <w:rPr>
          <w:rFonts w:eastAsia="Times New Roman"/>
          <w:b/>
          <w:bCs/>
          <w:sz w:val="24"/>
          <w:szCs w:val="24"/>
          <w:vertAlign w:val="subscript"/>
          <w:lang w:val="en-US" w:eastAsia="lv-LV"/>
        </w:rPr>
        <w:t>.</w:t>
      </w:r>
      <w:r w:rsidR="008D0594" w:rsidRPr="00B32DA6">
        <w:rPr>
          <w:rFonts w:eastAsia="Times New Roman"/>
          <w:b/>
          <w:bCs/>
          <w:sz w:val="24"/>
          <w:szCs w:val="24"/>
          <w:vertAlign w:val="subscript"/>
          <w:lang w:val="en-US" w:eastAsia="lv-LV"/>
        </w:rPr>
        <w:t>pirms</w:t>
      </w:r>
      <w:r w:rsidR="008D0594">
        <w:rPr>
          <w:rFonts w:eastAsia="Times New Roman"/>
          <w:b/>
          <w:bCs/>
          <w:sz w:val="24"/>
          <w:szCs w:val="24"/>
          <w:lang w:val="en-US" w:eastAsia="lv-LV"/>
        </w:rPr>
        <w:t xml:space="preserve"> – E</w:t>
      </w:r>
      <w:r w:rsidR="008D0594" w:rsidRPr="00B32DA6">
        <w:rPr>
          <w:rFonts w:eastAsia="Times New Roman"/>
          <w:b/>
          <w:bCs/>
          <w:sz w:val="24"/>
          <w:szCs w:val="24"/>
          <w:vertAlign w:val="subscript"/>
          <w:lang w:val="en-US" w:eastAsia="lv-LV"/>
        </w:rPr>
        <w:t>CO2pēc</w:t>
      </w:r>
      <w:r w:rsidR="008D0594">
        <w:rPr>
          <w:rFonts w:eastAsia="Times New Roman"/>
          <w:b/>
          <w:bCs/>
          <w:sz w:val="24"/>
          <w:szCs w:val="24"/>
          <w:lang w:val="en-US" w:eastAsia="lv-LV"/>
        </w:rPr>
        <w:t>) x Q</w:t>
      </w:r>
      <w:r w:rsidR="00B84203">
        <w:rPr>
          <w:rFonts w:eastAsia="Times New Roman"/>
          <w:b/>
          <w:bCs/>
          <w:sz w:val="24"/>
          <w:szCs w:val="24"/>
          <w:vertAlign w:val="subscript"/>
          <w:lang w:val="en-US" w:eastAsia="lv-LV"/>
        </w:rPr>
        <w:t>AER</w:t>
      </w:r>
      <w:r w:rsidR="00E406F9" w:rsidRPr="0074158D">
        <w:rPr>
          <w:rFonts w:eastAsia="Times New Roman"/>
          <w:b/>
          <w:bCs/>
          <w:sz w:val="24"/>
          <w:szCs w:val="24"/>
          <w:vertAlign w:val="subscript"/>
          <w:lang w:val="en-US" w:eastAsia="lv-LV"/>
        </w:rPr>
        <w:t>.silt</w:t>
      </w:r>
      <w:r w:rsidR="0074158D" w:rsidRPr="0074158D">
        <w:rPr>
          <w:rFonts w:eastAsia="Times New Roman"/>
          <w:b/>
          <w:bCs/>
          <w:sz w:val="24"/>
          <w:szCs w:val="24"/>
          <w:vertAlign w:val="subscript"/>
          <w:lang w:val="en-US" w:eastAsia="lv-LV"/>
        </w:rPr>
        <w:t>.</w:t>
      </w:r>
    </w:p>
    <w:p w14:paraId="72A400EC" w14:textId="77777777" w:rsidR="001E6E78" w:rsidRPr="001E6E78" w:rsidRDefault="001E6E78" w:rsidP="001E6E78">
      <w:pPr>
        <w:spacing w:after="0" w:line="240" w:lineRule="auto"/>
        <w:jc w:val="center"/>
        <w:rPr>
          <w:rFonts w:eastAsia="Times New Roman"/>
          <w:b/>
          <w:bCs/>
          <w:sz w:val="24"/>
          <w:szCs w:val="24"/>
          <w:lang w:val="en-US" w:eastAsia="lv-LV"/>
        </w:rPr>
      </w:pPr>
    </w:p>
    <w:p w14:paraId="18C44B22" w14:textId="54BC53C8" w:rsidR="001E6E78" w:rsidRPr="001E6E78" w:rsidRDefault="001E6E78" w:rsidP="001E6E78">
      <w:pPr>
        <w:numPr>
          <w:ilvl w:val="0"/>
          <w:numId w:val="19"/>
        </w:numPr>
        <w:spacing w:after="0" w:line="240" w:lineRule="auto"/>
        <w:ind w:left="425" w:hanging="425"/>
        <w:rPr>
          <w:rFonts w:eastAsia="Times New Roman"/>
          <w:sz w:val="24"/>
          <w:szCs w:val="24"/>
          <w:lang w:val="lv-LV" w:eastAsia="lv-LV"/>
        </w:rPr>
      </w:pPr>
      <w:r w:rsidRPr="001E6E78">
        <w:rPr>
          <w:rFonts w:eastAsia="Times New Roman"/>
          <w:sz w:val="24"/>
          <w:szCs w:val="24"/>
          <w:lang w:val="lv-LV" w:eastAsia="lv-LV"/>
        </w:rPr>
        <w:t>E – </w:t>
      </w:r>
      <w:r w:rsidR="00166C44">
        <w:rPr>
          <w:rFonts w:eastAsia="Times New Roman"/>
          <w:sz w:val="24"/>
          <w:szCs w:val="24"/>
          <w:lang w:val="lv-LV" w:eastAsia="lv-LV"/>
        </w:rPr>
        <w:t xml:space="preserve">SEG </w:t>
      </w:r>
      <w:r w:rsidRPr="001E6E78">
        <w:rPr>
          <w:rFonts w:eastAsia="Times New Roman"/>
          <w:sz w:val="24"/>
          <w:szCs w:val="24"/>
          <w:lang w:val="lv-LV" w:eastAsia="lv-LV"/>
        </w:rPr>
        <w:t xml:space="preserve"> emisij</w:t>
      </w:r>
      <w:r w:rsidR="00166C44">
        <w:rPr>
          <w:rFonts w:eastAsia="Times New Roman"/>
          <w:sz w:val="24"/>
          <w:szCs w:val="24"/>
          <w:lang w:val="lv-LV" w:eastAsia="lv-LV"/>
        </w:rPr>
        <w:t>u</w:t>
      </w:r>
      <w:r w:rsidRPr="001E6E78">
        <w:rPr>
          <w:rFonts w:eastAsia="Times New Roman"/>
          <w:sz w:val="24"/>
          <w:szCs w:val="24"/>
          <w:lang w:val="lv-LV" w:eastAsia="lv-LV"/>
        </w:rPr>
        <w:t xml:space="preserve"> samazinājums gadā (t CO</w:t>
      </w:r>
      <w:r w:rsidRPr="001E6E78">
        <w:rPr>
          <w:rFonts w:eastAsia="Times New Roman"/>
          <w:sz w:val="24"/>
          <w:szCs w:val="24"/>
          <w:vertAlign w:val="subscript"/>
          <w:lang w:val="lv-LV" w:eastAsia="lv-LV"/>
        </w:rPr>
        <w:t>2</w:t>
      </w:r>
      <w:r w:rsidR="00166C44">
        <w:rPr>
          <w:rFonts w:eastAsia="Times New Roman"/>
          <w:sz w:val="24"/>
          <w:szCs w:val="24"/>
          <w:vertAlign w:val="subscript"/>
          <w:lang w:val="lv-LV" w:eastAsia="lv-LV"/>
        </w:rPr>
        <w:t xml:space="preserve"> </w:t>
      </w:r>
      <w:r w:rsidR="00166C44">
        <w:rPr>
          <w:rFonts w:eastAsia="Times New Roman"/>
          <w:sz w:val="24"/>
          <w:szCs w:val="24"/>
          <w:lang w:val="lv-LV" w:eastAsia="lv-LV"/>
        </w:rPr>
        <w:t>ekv.</w:t>
      </w:r>
      <w:r w:rsidRPr="001E6E78">
        <w:rPr>
          <w:rFonts w:eastAsia="Times New Roman"/>
          <w:sz w:val="24"/>
          <w:szCs w:val="24"/>
          <w:lang w:val="lv-LV" w:eastAsia="lv-LV"/>
        </w:rPr>
        <w:t>/gadā);</w:t>
      </w:r>
    </w:p>
    <w:p w14:paraId="3D831252" w14:textId="56B85CC4" w:rsidR="001E6E78" w:rsidRDefault="001E6E78" w:rsidP="001E6E78">
      <w:pPr>
        <w:numPr>
          <w:ilvl w:val="0"/>
          <w:numId w:val="19"/>
        </w:numPr>
        <w:spacing w:after="0" w:line="240" w:lineRule="auto"/>
        <w:ind w:left="425" w:hanging="425"/>
        <w:jc w:val="both"/>
        <w:rPr>
          <w:rFonts w:eastAsia="Times New Roman"/>
          <w:sz w:val="24"/>
          <w:szCs w:val="24"/>
          <w:lang w:val="lv-LV" w:eastAsia="lv-LV"/>
        </w:rPr>
      </w:pPr>
      <w:r w:rsidRPr="001E6E78">
        <w:rPr>
          <w:rFonts w:eastAsia="Times New Roman"/>
          <w:sz w:val="24"/>
          <w:szCs w:val="24"/>
          <w:lang w:val="lv-LV" w:eastAsia="lv-LV"/>
        </w:rPr>
        <w:t>E</w:t>
      </w:r>
      <w:r w:rsidRPr="001E6E78">
        <w:rPr>
          <w:rFonts w:eastAsia="Times New Roman"/>
          <w:sz w:val="24"/>
          <w:szCs w:val="24"/>
          <w:vertAlign w:val="subscript"/>
          <w:lang w:val="lv-LV" w:eastAsia="lv-LV"/>
        </w:rPr>
        <w:t>CO2</w:t>
      </w:r>
      <w:r w:rsidR="007312F9">
        <w:rPr>
          <w:rFonts w:eastAsia="Times New Roman"/>
          <w:sz w:val="24"/>
          <w:szCs w:val="24"/>
          <w:vertAlign w:val="subscript"/>
          <w:lang w:val="lv-LV" w:eastAsia="lv-LV"/>
        </w:rPr>
        <w:t>.pirms</w:t>
      </w:r>
      <w:r w:rsidRPr="001E6E78">
        <w:rPr>
          <w:rFonts w:eastAsia="Times New Roman"/>
          <w:sz w:val="24"/>
          <w:szCs w:val="24"/>
          <w:lang w:val="lv-LV" w:eastAsia="lv-LV"/>
        </w:rPr>
        <w:t> – emisijas faktors </w:t>
      </w:r>
      <w:r w:rsidR="00260B9E">
        <w:rPr>
          <w:rFonts w:eastAsia="Times New Roman"/>
          <w:sz w:val="24"/>
          <w:szCs w:val="24"/>
          <w:lang w:val="lv-LV" w:eastAsia="lv-LV"/>
        </w:rPr>
        <w:t xml:space="preserve">siltumenerģijai no </w:t>
      </w:r>
      <w:r w:rsidR="00A6068C">
        <w:rPr>
          <w:rFonts w:eastAsia="Times New Roman"/>
          <w:sz w:val="24"/>
          <w:szCs w:val="24"/>
          <w:lang w:val="lv-LV" w:eastAsia="lv-LV"/>
        </w:rPr>
        <w:t>centralizētās</w:t>
      </w:r>
      <w:r w:rsidR="00260B9E">
        <w:rPr>
          <w:rFonts w:eastAsia="Times New Roman"/>
          <w:sz w:val="24"/>
          <w:szCs w:val="24"/>
          <w:lang w:val="lv-LV" w:eastAsia="lv-LV"/>
        </w:rPr>
        <w:t xml:space="preserve"> siltumapgādes sistēmas </w:t>
      </w:r>
      <w:r w:rsidR="00066EE4">
        <w:rPr>
          <w:rFonts w:eastAsia="Times New Roman"/>
          <w:iCs/>
          <w:sz w:val="24"/>
          <w:szCs w:val="24"/>
          <w:lang w:val="lv-LV" w:eastAsia="lv-LV"/>
        </w:rPr>
        <w:t>(</w:t>
      </w:r>
      <w:r w:rsidR="00066EE4" w:rsidRPr="00752C54">
        <w:rPr>
          <w:rFonts w:eastAsia="Times New Roman"/>
          <w:iCs/>
          <w:sz w:val="24"/>
          <w:szCs w:val="24"/>
          <w:lang w:val="lv-LV" w:eastAsia="lv-LV"/>
        </w:rPr>
        <w:t>tCO</w:t>
      </w:r>
      <w:r w:rsidR="00066EE4" w:rsidRPr="00752C54">
        <w:rPr>
          <w:rFonts w:eastAsia="Times New Roman"/>
          <w:iCs/>
          <w:sz w:val="24"/>
          <w:szCs w:val="24"/>
          <w:vertAlign w:val="subscript"/>
          <w:lang w:val="lv-LV" w:eastAsia="lv-LV"/>
        </w:rPr>
        <w:t>2</w:t>
      </w:r>
      <w:r w:rsidR="00066EE4" w:rsidRPr="00752C54">
        <w:rPr>
          <w:rFonts w:eastAsia="Times New Roman"/>
          <w:iCs/>
          <w:sz w:val="24"/>
          <w:szCs w:val="24"/>
          <w:lang w:val="lv-LV" w:eastAsia="lv-LV"/>
        </w:rPr>
        <w:t>/MWh</w:t>
      </w:r>
      <w:r w:rsidR="00066EE4">
        <w:rPr>
          <w:rFonts w:eastAsia="Times New Roman"/>
          <w:iCs/>
          <w:sz w:val="24"/>
          <w:szCs w:val="24"/>
          <w:lang w:val="lv-LV" w:eastAsia="lv-LV"/>
        </w:rPr>
        <w:t xml:space="preserve">) </w:t>
      </w:r>
      <w:r w:rsidRPr="001E6E78">
        <w:rPr>
          <w:rFonts w:eastAsia="Times New Roman"/>
          <w:sz w:val="24"/>
          <w:szCs w:val="24"/>
          <w:lang w:val="lv-LV" w:eastAsia="lv-LV"/>
        </w:rPr>
        <w:t>atbilstoši MK noteikumiem Nr.</w:t>
      </w:r>
      <w:r w:rsidR="003C2E5F">
        <w:rPr>
          <w:rFonts w:eastAsia="Times New Roman"/>
          <w:sz w:val="24"/>
          <w:szCs w:val="24"/>
          <w:lang w:val="lv-LV" w:eastAsia="lv-LV"/>
        </w:rPr>
        <w:t>222</w:t>
      </w:r>
      <w:r w:rsidRPr="001E6E78">
        <w:rPr>
          <w:rFonts w:eastAsia="Times New Roman"/>
          <w:sz w:val="24"/>
          <w:szCs w:val="24"/>
          <w:lang w:val="lv-LV" w:eastAsia="lv-LV"/>
        </w:rPr>
        <w:t>;</w:t>
      </w:r>
    </w:p>
    <w:p w14:paraId="0F22AADA" w14:textId="1FFBD563" w:rsidR="00A835D8" w:rsidRDefault="00A835D8" w:rsidP="00A835D8">
      <w:pPr>
        <w:numPr>
          <w:ilvl w:val="0"/>
          <w:numId w:val="19"/>
        </w:numPr>
        <w:spacing w:after="0" w:line="240" w:lineRule="auto"/>
        <w:ind w:left="425" w:hanging="425"/>
        <w:jc w:val="both"/>
        <w:rPr>
          <w:rFonts w:eastAsia="Times New Roman"/>
          <w:sz w:val="24"/>
          <w:szCs w:val="24"/>
          <w:lang w:val="lv-LV" w:eastAsia="lv-LV"/>
        </w:rPr>
      </w:pPr>
      <w:bookmarkStart w:id="1" w:name="_Hlk74294669"/>
      <w:r w:rsidRPr="001E6E78">
        <w:rPr>
          <w:rFonts w:eastAsia="Times New Roman"/>
          <w:sz w:val="24"/>
          <w:szCs w:val="24"/>
          <w:lang w:val="lv-LV" w:eastAsia="lv-LV"/>
        </w:rPr>
        <w:t>E</w:t>
      </w:r>
      <w:r w:rsidRPr="001E6E78">
        <w:rPr>
          <w:rFonts w:eastAsia="Times New Roman"/>
          <w:sz w:val="24"/>
          <w:szCs w:val="24"/>
          <w:vertAlign w:val="subscript"/>
          <w:lang w:val="lv-LV" w:eastAsia="lv-LV"/>
        </w:rPr>
        <w:t>CO2</w:t>
      </w:r>
      <w:r>
        <w:rPr>
          <w:rFonts w:eastAsia="Times New Roman"/>
          <w:sz w:val="24"/>
          <w:szCs w:val="24"/>
          <w:vertAlign w:val="subscript"/>
          <w:lang w:val="lv-LV" w:eastAsia="lv-LV"/>
        </w:rPr>
        <w:t>.pēc</w:t>
      </w:r>
      <w:r w:rsidRPr="001E6E78">
        <w:rPr>
          <w:rFonts w:eastAsia="Times New Roman"/>
          <w:sz w:val="24"/>
          <w:szCs w:val="24"/>
          <w:lang w:val="lv-LV" w:eastAsia="lv-LV"/>
        </w:rPr>
        <w:t> – emisijas faktors </w:t>
      </w:r>
      <w:r w:rsidR="00511A96">
        <w:rPr>
          <w:rFonts w:eastAsia="Times New Roman"/>
          <w:sz w:val="24"/>
          <w:szCs w:val="24"/>
          <w:lang w:val="lv-LV" w:eastAsia="lv-LV"/>
        </w:rPr>
        <w:t xml:space="preserve">izmantotajam </w:t>
      </w:r>
      <w:r w:rsidR="004A436F">
        <w:rPr>
          <w:rFonts w:eastAsia="Times New Roman"/>
          <w:sz w:val="24"/>
          <w:szCs w:val="24"/>
          <w:lang w:val="lv-LV" w:eastAsia="lv-LV"/>
        </w:rPr>
        <w:t xml:space="preserve">atjaunojamam </w:t>
      </w:r>
      <w:r>
        <w:rPr>
          <w:rFonts w:eastAsia="Times New Roman"/>
          <w:sz w:val="24"/>
          <w:szCs w:val="24"/>
          <w:lang w:val="lv-LV" w:eastAsia="lv-LV"/>
        </w:rPr>
        <w:t>energoresursam pēc</w:t>
      </w:r>
      <w:r w:rsidR="00B873CE">
        <w:rPr>
          <w:rFonts w:eastAsia="Times New Roman"/>
          <w:sz w:val="24"/>
          <w:szCs w:val="24"/>
          <w:lang w:val="lv-LV" w:eastAsia="lv-LV"/>
        </w:rPr>
        <w:t xml:space="preserve"> atjaunojamo energoresursu</w:t>
      </w:r>
      <w:r>
        <w:rPr>
          <w:rFonts w:eastAsia="Times New Roman"/>
          <w:sz w:val="24"/>
          <w:szCs w:val="24"/>
          <w:lang w:val="lv-LV" w:eastAsia="lv-LV"/>
        </w:rPr>
        <w:t xml:space="preserve"> </w:t>
      </w:r>
      <w:r w:rsidRPr="00A835D8">
        <w:rPr>
          <w:rFonts w:eastAsia="Times New Roman"/>
          <w:sz w:val="24"/>
          <w:szCs w:val="24"/>
          <w:lang w:val="lv-LV" w:eastAsia="lv-LV"/>
        </w:rPr>
        <w:t>tehnoloģiju uzstādīšana</w:t>
      </w:r>
      <w:r>
        <w:rPr>
          <w:rFonts w:eastAsia="Times New Roman"/>
          <w:sz w:val="24"/>
          <w:szCs w:val="24"/>
          <w:lang w:val="lv-LV" w:eastAsia="lv-LV"/>
        </w:rPr>
        <w:t>s</w:t>
      </w:r>
      <w:r w:rsidRPr="00A835D8" w:rsidDel="003C2E5F">
        <w:rPr>
          <w:rFonts w:eastAsia="Times New Roman"/>
          <w:sz w:val="24"/>
          <w:szCs w:val="24"/>
          <w:lang w:val="lv-LV" w:eastAsia="lv-LV"/>
        </w:rPr>
        <w:t xml:space="preserve"> </w:t>
      </w:r>
      <w:r w:rsidR="00066EE4">
        <w:rPr>
          <w:rFonts w:eastAsia="Times New Roman"/>
          <w:iCs/>
          <w:sz w:val="24"/>
          <w:szCs w:val="24"/>
          <w:lang w:val="lv-LV" w:eastAsia="lv-LV"/>
        </w:rPr>
        <w:t>(</w:t>
      </w:r>
      <w:r w:rsidR="00066EE4" w:rsidRPr="00752C54">
        <w:rPr>
          <w:rFonts w:eastAsia="Times New Roman"/>
          <w:iCs/>
          <w:sz w:val="24"/>
          <w:szCs w:val="24"/>
          <w:lang w:val="lv-LV" w:eastAsia="lv-LV"/>
        </w:rPr>
        <w:t>tCO</w:t>
      </w:r>
      <w:r w:rsidR="00066EE4" w:rsidRPr="00752C54">
        <w:rPr>
          <w:rFonts w:eastAsia="Times New Roman"/>
          <w:iCs/>
          <w:sz w:val="24"/>
          <w:szCs w:val="24"/>
          <w:vertAlign w:val="subscript"/>
          <w:lang w:val="lv-LV" w:eastAsia="lv-LV"/>
        </w:rPr>
        <w:t>2</w:t>
      </w:r>
      <w:r w:rsidR="00066EE4" w:rsidRPr="00752C54">
        <w:rPr>
          <w:rFonts w:eastAsia="Times New Roman"/>
          <w:iCs/>
          <w:sz w:val="24"/>
          <w:szCs w:val="24"/>
          <w:lang w:val="lv-LV" w:eastAsia="lv-LV"/>
        </w:rPr>
        <w:t>/MWh</w:t>
      </w:r>
      <w:r w:rsidR="00066EE4">
        <w:rPr>
          <w:rFonts w:eastAsia="Times New Roman"/>
          <w:iCs/>
          <w:sz w:val="24"/>
          <w:szCs w:val="24"/>
          <w:lang w:val="lv-LV" w:eastAsia="lv-LV"/>
        </w:rPr>
        <w:t xml:space="preserve">) </w:t>
      </w:r>
      <w:r w:rsidRPr="001E6E78">
        <w:rPr>
          <w:rFonts w:eastAsia="Times New Roman"/>
          <w:sz w:val="24"/>
          <w:szCs w:val="24"/>
          <w:lang w:val="lv-LV" w:eastAsia="lv-LV"/>
        </w:rPr>
        <w:t>atbilstoši MK noteikumiem Nr.</w:t>
      </w:r>
      <w:r>
        <w:rPr>
          <w:rFonts w:eastAsia="Times New Roman"/>
          <w:sz w:val="24"/>
          <w:szCs w:val="24"/>
          <w:lang w:val="lv-LV" w:eastAsia="lv-LV"/>
        </w:rPr>
        <w:t>222</w:t>
      </w:r>
      <w:r w:rsidRPr="001E6E78">
        <w:rPr>
          <w:rFonts w:eastAsia="Times New Roman"/>
          <w:sz w:val="24"/>
          <w:szCs w:val="24"/>
          <w:lang w:val="lv-LV" w:eastAsia="lv-LV"/>
        </w:rPr>
        <w:t>;</w:t>
      </w:r>
    </w:p>
    <w:bookmarkEnd w:id="1"/>
    <w:p w14:paraId="2B307EC4" w14:textId="2CBC33C9" w:rsidR="002E720D" w:rsidRPr="005C28C8" w:rsidRDefault="001E6E78" w:rsidP="005C28C8">
      <w:pPr>
        <w:numPr>
          <w:ilvl w:val="0"/>
          <w:numId w:val="19"/>
        </w:numPr>
        <w:spacing w:after="0" w:line="240" w:lineRule="auto"/>
        <w:ind w:left="425" w:hanging="425"/>
        <w:jc w:val="both"/>
        <w:rPr>
          <w:rFonts w:eastAsia="Times New Roman"/>
          <w:sz w:val="24"/>
          <w:szCs w:val="24"/>
          <w:lang w:val="lv-LV" w:eastAsia="lv-LV"/>
        </w:rPr>
      </w:pPr>
      <w:r w:rsidRPr="001E6E78">
        <w:rPr>
          <w:rFonts w:eastAsia="Times New Roman"/>
          <w:sz w:val="24"/>
          <w:szCs w:val="24"/>
          <w:lang w:val="lv-LV" w:eastAsia="lv-LV"/>
        </w:rPr>
        <w:t>Q</w:t>
      </w:r>
      <w:r w:rsidR="00B84203">
        <w:rPr>
          <w:rFonts w:eastAsia="Times New Roman"/>
          <w:sz w:val="24"/>
          <w:szCs w:val="24"/>
          <w:vertAlign w:val="subscript"/>
          <w:lang w:val="lv-LV" w:eastAsia="lv-LV"/>
        </w:rPr>
        <w:t>AER.silt</w:t>
      </w:r>
      <w:r w:rsidRPr="001E6E78">
        <w:rPr>
          <w:rFonts w:eastAsia="Times New Roman"/>
          <w:sz w:val="24"/>
          <w:szCs w:val="24"/>
          <w:vertAlign w:val="subscript"/>
          <w:lang w:val="lv-LV" w:eastAsia="lv-LV"/>
        </w:rPr>
        <w:t>.</w:t>
      </w:r>
      <w:r w:rsidRPr="001E6E78">
        <w:rPr>
          <w:rFonts w:eastAsia="Times New Roman"/>
          <w:sz w:val="24"/>
          <w:szCs w:val="24"/>
          <w:lang w:val="lv-LV" w:eastAsia="lv-LV"/>
        </w:rPr>
        <w:t>– ar atjaunojamo energoresursu tehnoloģijām saražotais siltumenerģijas apjoms pēc projekta īstenošanas (MWh/gadā).</w:t>
      </w:r>
    </w:p>
    <w:p w14:paraId="2C63EE65" w14:textId="562B1317" w:rsidR="001E6E78" w:rsidRDefault="001E6E78" w:rsidP="001E6E78">
      <w:pPr>
        <w:spacing w:after="0" w:line="240" w:lineRule="auto"/>
        <w:jc w:val="both"/>
        <w:rPr>
          <w:rFonts w:eastAsia="Times New Roman"/>
          <w:sz w:val="24"/>
          <w:szCs w:val="24"/>
          <w:lang w:val="lv-LV" w:eastAsia="lv-LV"/>
        </w:rPr>
      </w:pPr>
    </w:p>
    <w:p w14:paraId="50C34468" w14:textId="31699AF2" w:rsidR="005C28C8" w:rsidRPr="001E6E78" w:rsidRDefault="005C28C8" w:rsidP="005C28C8">
      <w:pPr>
        <w:spacing w:after="0" w:line="240" w:lineRule="auto"/>
        <w:jc w:val="both"/>
        <w:rPr>
          <w:rFonts w:eastAsia="Times New Roman"/>
          <w:b/>
          <w:bCs/>
          <w:sz w:val="24"/>
          <w:szCs w:val="24"/>
          <w:lang w:val="lv-LV" w:eastAsia="lv-LV"/>
        </w:rPr>
      </w:pPr>
      <w:r>
        <w:rPr>
          <w:rFonts w:eastAsia="Times New Roman"/>
          <w:sz w:val="24"/>
          <w:szCs w:val="24"/>
          <w:lang w:val="lv-LV" w:eastAsia="lv-LV"/>
        </w:rPr>
        <w:t>3</w:t>
      </w:r>
      <w:r w:rsidR="00AA0907">
        <w:rPr>
          <w:rFonts w:eastAsia="Times New Roman"/>
          <w:sz w:val="24"/>
          <w:szCs w:val="24"/>
          <w:lang w:val="lv-LV" w:eastAsia="lv-LV"/>
        </w:rPr>
        <w:t xml:space="preserve">. </w:t>
      </w:r>
      <w:r w:rsidRPr="001E6E78">
        <w:rPr>
          <w:rFonts w:eastAsia="Times New Roman"/>
          <w:sz w:val="24"/>
          <w:szCs w:val="24"/>
          <w:lang w:val="lv-LV" w:eastAsia="lv-LV"/>
        </w:rPr>
        <w:t xml:space="preserve">Ja ēkā </w:t>
      </w:r>
      <w:r>
        <w:rPr>
          <w:rFonts w:eastAsia="Times New Roman"/>
          <w:sz w:val="24"/>
          <w:szCs w:val="24"/>
          <w:lang w:val="lv-LV" w:eastAsia="lv-LV"/>
        </w:rPr>
        <w:t>ir</w:t>
      </w:r>
      <w:r w:rsidRPr="001E6E78">
        <w:rPr>
          <w:rFonts w:eastAsia="Times New Roman"/>
          <w:sz w:val="24"/>
          <w:szCs w:val="24"/>
          <w:lang w:val="lv-LV" w:eastAsia="lv-LV"/>
        </w:rPr>
        <w:t xml:space="preserve"> veikta atjaunojamo energoresursu tehnoloģiju uzstādīšana </w:t>
      </w:r>
      <w:r>
        <w:rPr>
          <w:rFonts w:eastAsia="Times New Roman"/>
          <w:sz w:val="24"/>
          <w:szCs w:val="24"/>
          <w:lang w:val="lv-LV" w:eastAsia="lv-LV"/>
        </w:rPr>
        <w:t>elektroenerģijas</w:t>
      </w:r>
      <w:r w:rsidRPr="001E6E78">
        <w:rPr>
          <w:rFonts w:eastAsia="Times New Roman"/>
          <w:sz w:val="24"/>
          <w:szCs w:val="24"/>
          <w:lang w:val="lv-LV" w:eastAsia="lv-LV"/>
        </w:rPr>
        <w:t xml:space="preserve"> </w:t>
      </w:r>
      <w:r w:rsidR="00CC659E">
        <w:rPr>
          <w:rFonts w:eastAsia="Times New Roman"/>
          <w:sz w:val="24"/>
          <w:szCs w:val="24"/>
          <w:lang w:val="lv-LV" w:eastAsia="lv-LV"/>
        </w:rPr>
        <w:t xml:space="preserve">pašpatēriņa </w:t>
      </w:r>
      <w:r w:rsidRPr="001E6E78">
        <w:rPr>
          <w:rFonts w:eastAsia="Times New Roman"/>
          <w:sz w:val="24"/>
          <w:szCs w:val="24"/>
          <w:lang w:val="lv-LV" w:eastAsia="lv-LV"/>
        </w:rPr>
        <w:t xml:space="preserve">ražošanai, tad </w:t>
      </w:r>
      <w:r>
        <w:rPr>
          <w:rFonts w:eastAsia="Times New Roman"/>
          <w:sz w:val="24"/>
          <w:szCs w:val="24"/>
          <w:lang w:val="lv-LV" w:eastAsia="lv-LV"/>
        </w:rPr>
        <w:t>SEG</w:t>
      </w:r>
      <w:r w:rsidRPr="001E6E78">
        <w:rPr>
          <w:rFonts w:eastAsia="Times New Roman"/>
          <w:sz w:val="24"/>
          <w:szCs w:val="24"/>
          <w:lang w:val="lv-LV" w:eastAsia="lv-LV"/>
        </w:rPr>
        <w:t xml:space="preserve"> emisiju samazinājumu aprēķina no atjaunojamo energoresursu tehnoloģijās saražotā </w:t>
      </w:r>
      <w:r w:rsidR="00884726">
        <w:rPr>
          <w:rFonts w:eastAsia="Times New Roman"/>
          <w:sz w:val="24"/>
          <w:szCs w:val="24"/>
          <w:lang w:val="lv-LV" w:eastAsia="lv-LV"/>
        </w:rPr>
        <w:t>elektro</w:t>
      </w:r>
      <w:r w:rsidRPr="001E6E78">
        <w:rPr>
          <w:rFonts w:eastAsia="Times New Roman"/>
          <w:sz w:val="24"/>
          <w:szCs w:val="24"/>
          <w:lang w:val="lv-LV" w:eastAsia="lv-LV"/>
        </w:rPr>
        <w:t xml:space="preserve">enerģijas apjoma </w:t>
      </w:r>
      <w:r w:rsidRPr="00DA275A">
        <w:rPr>
          <w:rFonts w:eastAsia="Times New Roman"/>
          <w:sz w:val="24"/>
          <w:szCs w:val="24"/>
          <w:lang w:val="lv-LV" w:eastAsia="lv-LV"/>
        </w:rPr>
        <w:t>pēc</w:t>
      </w:r>
      <w:r w:rsidRPr="001E6E78">
        <w:rPr>
          <w:rFonts w:eastAsia="Times New Roman"/>
          <w:sz w:val="24"/>
          <w:szCs w:val="24"/>
          <w:lang w:val="lv-LV" w:eastAsia="lv-LV"/>
        </w:rPr>
        <w:t xml:space="preserve"> projekta īstenošanas:</w:t>
      </w:r>
    </w:p>
    <w:p w14:paraId="6E2438D3" w14:textId="77777777" w:rsidR="005C28C8" w:rsidRDefault="005C28C8" w:rsidP="005C28C8">
      <w:pPr>
        <w:spacing w:after="0" w:line="240" w:lineRule="auto"/>
        <w:jc w:val="center"/>
        <w:rPr>
          <w:rFonts w:eastAsia="Times New Roman"/>
          <w:b/>
          <w:bCs/>
          <w:sz w:val="24"/>
          <w:szCs w:val="24"/>
          <w:lang w:val="en-US" w:eastAsia="lv-LV"/>
        </w:rPr>
      </w:pPr>
    </w:p>
    <w:p w14:paraId="7EA4D7D5" w14:textId="7BF97D26" w:rsidR="005C28C8" w:rsidRPr="001E6E78" w:rsidRDefault="005C28C8" w:rsidP="005C28C8">
      <w:pPr>
        <w:spacing w:after="0" w:line="240" w:lineRule="auto"/>
        <w:jc w:val="center"/>
        <w:rPr>
          <w:rFonts w:eastAsia="Times New Roman"/>
          <w:b/>
          <w:bCs/>
          <w:position w:val="-14"/>
          <w:sz w:val="24"/>
          <w:szCs w:val="24"/>
          <w:lang w:val="en-US" w:eastAsia="lv-LV"/>
        </w:rPr>
      </w:pPr>
      <w:r>
        <w:rPr>
          <w:rFonts w:eastAsia="Times New Roman"/>
          <w:b/>
          <w:bCs/>
          <w:sz w:val="24"/>
          <w:szCs w:val="24"/>
          <w:lang w:val="en-US" w:eastAsia="lv-LV"/>
        </w:rPr>
        <w:t>E = E</w:t>
      </w:r>
      <w:r w:rsidRPr="00B32DA6">
        <w:rPr>
          <w:rFonts w:eastAsia="Times New Roman"/>
          <w:b/>
          <w:bCs/>
          <w:sz w:val="24"/>
          <w:szCs w:val="24"/>
          <w:vertAlign w:val="subscript"/>
          <w:lang w:val="en-US" w:eastAsia="lv-LV"/>
        </w:rPr>
        <w:t>CO2</w:t>
      </w:r>
      <w:r w:rsidR="004171AC">
        <w:rPr>
          <w:rFonts w:eastAsia="Times New Roman"/>
          <w:b/>
          <w:bCs/>
          <w:sz w:val="24"/>
          <w:szCs w:val="24"/>
          <w:vertAlign w:val="subscript"/>
          <w:lang w:val="en-US" w:eastAsia="lv-LV"/>
        </w:rPr>
        <w:t>.el</w:t>
      </w:r>
      <w:r>
        <w:rPr>
          <w:rFonts w:eastAsia="Times New Roman"/>
          <w:b/>
          <w:bCs/>
          <w:sz w:val="24"/>
          <w:szCs w:val="24"/>
          <w:lang w:val="en-US" w:eastAsia="lv-LV"/>
        </w:rPr>
        <w:t xml:space="preserve"> x Q</w:t>
      </w:r>
      <w:r w:rsidR="004552BA">
        <w:rPr>
          <w:rFonts w:eastAsia="Times New Roman"/>
          <w:b/>
          <w:bCs/>
          <w:sz w:val="24"/>
          <w:szCs w:val="24"/>
          <w:vertAlign w:val="subscript"/>
          <w:lang w:val="en-US" w:eastAsia="lv-LV"/>
        </w:rPr>
        <w:t>AER</w:t>
      </w:r>
      <w:r w:rsidR="00C60125">
        <w:rPr>
          <w:rFonts w:eastAsia="Times New Roman"/>
          <w:b/>
          <w:bCs/>
          <w:sz w:val="24"/>
          <w:szCs w:val="24"/>
          <w:vertAlign w:val="subscript"/>
          <w:lang w:val="en-US" w:eastAsia="lv-LV"/>
        </w:rPr>
        <w:t>.el.</w:t>
      </w:r>
    </w:p>
    <w:p w14:paraId="14F8F6D9" w14:textId="77777777" w:rsidR="005C28C8" w:rsidRPr="001E6E78" w:rsidRDefault="005C28C8" w:rsidP="005C28C8">
      <w:pPr>
        <w:spacing w:after="0" w:line="240" w:lineRule="auto"/>
        <w:jc w:val="center"/>
        <w:rPr>
          <w:rFonts w:eastAsia="Times New Roman"/>
          <w:b/>
          <w:bCs/>
          <w:sz w:val="24"/>
          <w:szCs w:val="24"/>
          <w:lang w:val="en-US" w:eastAsia="lv-LV"/>
        </w:rPr>
      </w:pPr>
    </w:p>
    <w:p w14:paraId="2E22AF09" w14:textId="77777777" w:rsidR="005C28C8" w:rsidRPr="001E6E78" w:rsidRDefault="005C28C8" w:rsidP="005C28C8">
      <w:pPr>
        <w:numPr>
          <w:ilvl w:val="0"/>
          <w:numId w:val="19"/>
        </w:numPr>
        <w:spacing w:after="0" w:line="240" w:lineRule="auto"/>
        <w:ind w:left="425" w:hanging="425"/>
        <w:rPr>
          <w:rFonts w:eastAsia="Times New Roman"/>
          <w:sz w:val="24"/>
          <w:szCs w:val="24"/>
          <w:lang w:val="lv-LV" w:eastAsia="lv-LV"/>
        </w:rPr>
      </w:pPr>
      <w:r w:rsidRPr="001E6E78">
        <w:rPr>
          <w:rFonts w:eastAsia="Times New Roman"/>
          <w:sz w:val="24"/>
          <w:szCs w:val="24"/>
          <w:lang w:val="lv-LV" w:eastAsia="lv-LV"/>
        </w:rPr>
        <w:t>E – </w:t>
      </w:r>
      <w:r>
        <w:rPr>
          <w:rFonts w:eastAsia="Times New Roman"/>
          <w:sz w:val="24"/>
          <w:szCs w:val="24"/>
          <w:lang w:val="lv-LV" w:eastAsia="lv-LV"/>
        </w:rPr>
        <w:t xml:space="preserve">SEG </w:t>
      </w:r>
      <w:r w:rsidRPr="001E6E78">
        <w:rPr>
          <w:rFonts w:eastAsia="Times New Roman"/>
          <w:sz w:val="24"/>
          <w:szCs w:val="24"/>
          <w:lang w:val="lv-LV" w:eastAsia="lv-LV"/>
        </w:rPr>
        <w:t xml:space="preserve"> emisij</w:t>
      </w:r>
      <w:r>
        <w:rPr>
          <w:rFonts w:eastAsia="Times New Roman"/>
          <w:sz w:val="24"/>
          <w:szCs w:val="24"/>
          <w:lang w:val="lv-LV" w:eastAsia="lv-LV"/>
        </w:rPr>
        <w:t>u</w:t>
      </w:r>
      <w:r w:rsidRPr="001E6E78">
        <w:rPr>
          <w:rFonts w:eastAsia="Times New Roman"/>
          <w:sz w:val="24"/>
          <w:szCs w:val="24"/>
          <w:lang w:val="lv-LV" w:eastAsia="lv-LV"/>
        </w:rPr>
        <w:t xml:space="preserve"> samazinājums gadā (t CO</w:t>
      </w:r>
      <w:r w:rsidRPr="001E6E78">
        <w:rPr>
          <w:rFonts w:eastAsia="Times New Roman"/>
          <w:sz w:val="24"/>
          <w:szCs w:val="24"/>
          <w:vertAlign w:val="subscript"/>
          <w:lang w:val="lv-LV" w:eastAsia="lv-LV"/>
        </w:rPr>
        <w:t>2</w:t>
      </w:r>
      <w:r>
        <w:rPr>
          <w:rFonts w:eastAsia="Times New Roman"/>
          <w:sz w:val="24"/>
          <w:szCs w:val="24"/>
          <w:vertAlign w:val="subscript"/>
          <w:lang w:val="lv-LV" w:eastAsia="lv-LV"/>
        </w:rPr>
        <w:t xml:space="preserve"> </w:t>
      </w:r>
      <w:r>
        <w:rPr>
          <w:rFonts w:eastAsia="Times New Roman"/>
          <w:sz w:val="24"/>
          <w:szCs w:val="24"/>
          <w:lang w:val="lv-LV" w:eastAsia="lv-LV"/>
        </w:rPr>
        <w:t>ekv.</w:t>
      </w:r>
      <w:r w:rsidRPr="001E6E78">
        <w:rPr>
          <w:rFonts w:eastAsia="Times New Roman"/>
          <w:sz w:val="24"/>
          <w:szCs w:val="24"/>
          <w:lang w:val="lv-LV" w:eastAsia="lv-LV"/>
        </w:rPr>
        <w:t>/gadā);</w:t>
      </w:r>
    </w:p>
    <w:p w14:paraId="6EAA63D1" w14:textId="6E9AB7CA" w:rsidR="005C28C8" w:rsidRPr="00011C42" w:rsidRDefault="004171AC" w:rsidP="00011C42">
      <w:pPr>
        <w:numPr>
          <w:ilvl w:val="0"/>
          <w:numId w:val="19"/>
        </w:numPr>
        <w:spacing w:after="0" w:line="240" w:lineRule="auto"/>
        <w:ind w:left="425" w:hanging="425"/>
        <w:jc w:val="both"/>
        <w:rPr>
          <w:rFonts w:eastAsia="Times New Roman"/>
          <w:sz w:val="24"/>
          <w:szCs w:val="24"/>
          <w:lang w:val="lv-LV" w:eastAsia="lv-LV"/>
        </w:rPr>
      </w:pPr>
      <w:r w:rsidRPr="001E6E78">
        <w:rPr>
          <w:rFonts w:eastAsia="Times New Roman"/>
          <w:sz w:val="24"/>
          <w:szCs w:val="24"/>
          <w:lang w:val="lv-LV" w:eastAsia="lv-LV"/>
        </w:rPr>
        <w:t>E</w:t>
      </w:r>
      <w:r w:rsidRPr="001E6E78">
        <w:rPr>
          <w:rFonts w:eastAsia="Times New Roman"/>
          <w:sz w:val="24"/>
          <w:szCs w:val="24"/>
          <w:vertAlign w:val="subscript"/>
          <w:lang w:val="lv-LV" w:eastAsia="lv-LV"/>
        </w:rPr>
        <w:t>CO2</w:t>
      </w:r>
      <w:r>
        <w:rPr>
          <w:rFonts w:eastAsia="Times New Roman"/>
          <w:sz w:val="24"/>
          <w:szCs w:val="24"/>
          <w:vertAlign w:val="subscript"/>
          <w:lang w:val="lv-LV" w:eastAsia="lv-LV"/>
        </w:rPr>
        <w:t>.el.</w:t>
      </w:r>
      <w:r w:rsidRPr="001E6E78">
        <w:rPr>
          <w:rFonts w:eastAsia="Times New Roman"/>
          <w:sz w:val="24"/>
          <w:szCs w:val="24"/>
          <w:lang w:val="lv-LV" w:eastAsia="lv-LV"/>
        </w:rPr>
        <w:t> – emisijas faktors </w:t>
      </w:r>
      <w:r>
        <w:rPr>
          <w:rFonts w:eastAsia="Times New Roman"/>
          <w:sz w:val="24"/>
          <w:szCs w:val="24"/>
          <w:lang w:val="lv-LV" w:eastAsia="lv-LV"/>
        </w:rPr>
        <w:t xml:space="preserve">elektroenerģijai no tīkla </w:t>
      </w:r>
      <w:r>
        <w:rPr>
          <w:rFonts w:eastAsia="Times New Roman"/>
          <w:iCs/>
          <w:sz w:val="24"/>
          <w:szCs w:val="24"/>
          <w:lang w:val="lv-LV" w:eastAsia="lv-LV"/>
        </w:rPr>
        <w:t>(</w:t>
      </w:r>
      <w:r w:rsidRPr="00752C54">
        <w:rPr>
          <w:rFonts w:eastAsia="Times New Roman"/>
          <w:iCs/>
          <w:sz w:val="24"/>
          <w:szCs w:val="24"/>
          <w:lang w:val="lv-LV" w:eastAsia="lv-LV"/>
        </w:rPr>
        <w:t>tCO</w:t>
      </w:r>
      <w:r w:rsidRPr="00752C54">
        <w:rPr>
          <w:rFonts w:eastAsia="Times New Roman"/>
          <w:iCs/>
          <w:sz w:val="24"/>
          <w:szCs w:val="24"/>
          <w:vertAlign w:val="subscript"/>
          <w:lang w:val="lv-LV" w:eastAsia="lv-LV"/>
        </w:rPr>
        <w:t>2</w:t>
      </w:r>
      <w:r w:rsidRPr="00752C54">
        <w:rPr>
          <w:rFonts w:eastAsia="Times New Roman"/>
          <w:iCs/>
          <w:sz w:val="24"/>
          <w:szCs w:val="24"/>
          <w:lang w:val="lv-LV" w:eastAsia="lv-LV"/>
        </w:rPr>
        <w:t>/MWh</w:t>
      </w:r>
      <w:r>
        <w:rPr>
          <w:rFonts w:eastAsia="Times New Roman"/>
          <w:iCs/>
          <w:sz w:val="24"/>
          <w:szCs w:val="24"/>
          <w:lang w:val="lv-LV" w:eastAsia="lv-LV"/>
        </w:rPr>
        <w:t xml:space="preserve">) </w:t>
      </w:r>
      <w:r w:rsidRPr="001E6E78">
        <w:rPr>
          <w:rFonts w:eastAsia="Times New Roman"/>
          <w:sz w:val="24"/>
          <w:szCs w:val="24"/>
          <w:lang w:val="lv-LV" w:eastAsia="lv-LV"/>
        </w:rPr>
        <w:t>atbilstoši MK noteikumi</w:t>
      </w:r>
      <w:r>
        <w:rPr>
          <w:rFonts w:eastAsia="Times New Roman"/>
          <w:sz w:val="24"/>
          <w:szCs w:val="24"/>
          <w:lang w:val="lv-LV" w:eastAsia="lv-LV"/>
        </w:rPr>
        <w:t>em</w:t>
      </w:r>
      <w:r w:rsidRPr="001E6E78">
        <w:rPr>
          <w:rFonts w:eastAsia="Times New Roman"/>
          <w:sz w:val="24"/>
          <w:szCs w:val="24"/>
          <w:lang w:val="lv-LV" w:eastAsia="lv-LV"/>
        </w:rPr>
        <w:t xml:space="preserve"> Nr.</w:t>
      </w:r>
      <w:r>
        <w:rPr>
          <w:rFonts w:eastAsia="Times New Roman"/>
          <w:sz w:val="24"/>
          <w:szCs w:val="24"/>
          <w:lang w:val="lv-LV" w:eastAsia="lv-LV"/>
        </w:rPr>
        <w:t>222)</w:t>
      </w:r>
      <w:r w:rsidR="005C28C8" w:rsidRPr="001E6E78">
        <w:rPr>
          <w:rFonts w:eastAsia="Times New Roman"/>
          <w:sz w:val="24"/>
          <w:szCs w:val="24"/>
          <w:lang w:val="lv-LV" w:eastAsia="lv-LV"/>
        </w:rPr>
        <w:t>;</w:t>
      </w:r>
    </w:p>
    <w:p w14:paraId="4D882A94" w14:textId="31E37069" w:rsidR="005C28C8" w:rsidRDefault="005C28C8" w:rsidP="00A27F36">
      <w:pPr>
        <w:numPr>
          <w:ilvl w:val="0"/>
          <w:numId w:val="19"/>
        </w:numPr>
        <w:spacing w:after="0" w:line="240" w:lineRule="auto"/>
        <w:ind w:left="425" w:hanging="425"/>
        <w:jc w:val="both"/>
        <w:rPr>
          <w:rFonts w:eastAsia="Times New Roman"/>
          <w:sz w:val="24"/>
          <w:szCs w:val="24"/>
          <w:lang w:val="lv-LV" w:eastAsia="lv-LV"/>
        </w:rPr>
      </w:pPr>
      <w:r w:rsidRPr="001E6E78">
        <w:rPr>
          <w:rFonts w:eastAsia="Times New Roman"/>
          <w:sz w:val="24"/>
          <w:szCs w:val="24"/>
          <w:lang w:val="lv-LV" w:eastAsia="lv-LV"/>
        </w:rPr>
        <w:t>Q</w:t>
      </w:r>
      <w:r w:rsidR="004552BA">
        <w:rPr>
          <w:rFonts w:eastAsia="Times New Roman"/>
          <w:sz w:val="24"/>
          <w:szCs w:val="24"/>
          <w:vertAlign w:val="subscript"/>
          <w:lang w:val="lv-LV" w:eastAsia="lv-LV"/>
        </w:rPr>
        <w:t>AER.el.</w:t>
      </w:r>
      <w:r w:rsidRPr="001E6E78">
        <w:rPr>
          <w:rFonts w:eastAsia="Times New Roman"/>
          <w:sz w:val="24"/>
          <w:szCs w:val="24"/>
          <w:vertAlign w:val="subscript"/>
          <w:lang w:val="lv-LV" w:eastAsia="lv-LV"/>
        </w:rPr>
        <w:t>.</w:t>
      </w:r>
      <w:r w:rsidRPr="001E6E78">
        <w:rPr>
          <w:rFonts w:eastAsia="Times New Roman"/>
          <w:sz w:val="24"/>
          <w:szCs w:val="24"/>
          <w:lang w:val="lv-LV" w:eastAsia="lv-LV"/>
        </w:rPr>
        <w:t xml:space="preserve">– ar atjaunojamo energoresursu tehnoloģijām saražotais </w:t>
      </w:r>
      <w:r w:rsidR="00A27F36">
        <w:rPr>
          <w:rFonts w:eastAsia="Times New Roman"/>
          <w:sz w:val="24"/>
          <w:szCs w:val="24"/>
          <w:lang w:val="lv-LV" w:eastAsia="lv-LV"/>
        </w:rPr>
        <w:t>elekt</w:t>
      </w:r>
      <w:r w:rsidR="00011C42">
        <w:rPr>
          <w:rFonts w:eastAsia="Times New Roman"/>
          <w:sz w:val="24"/>
          <w:szCs w:val="24"/>
          <w:lang w:val="lv-LV" w:eastAsia="lv-LV"/>
        </w:rPr>
        <w:t>ro</w:t>
      </w:r>
      <w:r w:rsidRPr="001E6E78">
        <w:rPr>
          <w:rFonts w:eastAsia="Times New Roman"/>
          <w:sz w:val="24"/>
          <w:szCs w:val="24"/>
          <w:lang w:val="lv-LV" w:eastAsia="lv-LV"/>
        </w:rPr>
        <w:t>enerģijas apjoms pēc projekta īstenošanas (MWh/gadā).</w:t>
      </w:r>
    </w:p>
    <w:p w14:paraId="663D17B4" w14:textId="77777777" w:rsidR="005C28C8" w:rsidRPr="001E6E78" w:rsidRDefault="005C28C8" w:rsidP="001E6E78">
      <w:pPr>
        <w:spacing w:after="0" w:line="240" w:lineRule="auto"/>
        <w:jc w:val="both"/>
        <w:rPr>
          <w:rFonts w:eastAsia="Times New Roman"/>
          <w:sz w:val="24"/>
          <w:szCs w:val="24"/>
          <w:lang w:val="lv-LV" w:eastAsia="lv-LV"/>
        </w:rPr>
      </w:pPr>
    </w:p>
    <w:p w14:paraId="10BD6605" w14:textId="25FDAD74" w:rsidR="001E6E78" w:rsidRPr="001E6E78" w:rsidRDefault="00C60125" w:rsidP="001E6E78">
      <w:pPr>
        <w:spacing w:after="0" w:line="240" w:lineRule="auto"/>
        <w:jc w:val="both"/>
        <w:rPr>
          <w:rFonts w:eastAsia="Times New Roman"/>
          <w:sz w:val="24"/>
          <w:szCs w:val="24"/>
          <w:lang w:val="lv-LV" w:eastAsia="lv-LV"/>
        </w:rPr>
      </w:pPr>
      <w:r>
        <w:rPr>
          <w:rFonts w:eastAsia="Times New Roman"/>
          <w:sz w:val="24"/>
          <w:szCs w:val="24"/>
          <w:lang w:val="lv-LV" w:eastAsia="lv-LV"/>
        </w:rPr>
        <w:t>4</w:t>
      </w:r>
      <w:r w:rsidR="00AA0907">
        <w:rPr>
          <w:rFonts w:eastAsia="Times New Roman"/>
          <w:sz w:val="24"/>
          <w:szCs w:val="24"/>
          <w:lang w:val="lv-LV" w:eastAsia="lv-LV"/>
        </w:rPr>
        <w:t xml:space="preserve">. </w:t>
      </w:r>
      <w:r w:rsidR="001E6E78" w:rsidRPr="001E6E78">
        <w:rPr>
          <w:rFonts w:eastAsia="Times New Roman"/>
          <w:sz w:val="24"/>
          <w:szCs w:val="24"/>
          <w:lang w:val="lv-LV" w:eastAsia="lv-LV"/>
        </w:rPr>
        <w:t xml:space="preserve">Ja ēkā </w:t>
      </w:r>
      <w:r w:rsidR="001D65C4">
        <w:rPr>
          <w:rFonts w:eastAsia="Times New Roman"/>
          <w:sz w:val="24"/>
          <w:szCs w:val="24"/>
          <w:lang w:val="lv-LV" w:eastAsia="lv-LV"/>
        </w:rPr>
        <w:t>ir</w:t>
      </w:r>
      <w:r w:rsidR="001D65C4" w:rsidRPr="001E6E78">
        <w:rPr>
          <w:rFonts w:eastAsia="Times New Roman"/>
          <w:sz w:val="24"/>
          <w:szCs w:val="24"/>
          <w:lang w:val="lv-LV" w:eastAsia="lv-LV"/>
        </w:rPr>
        <w:t xml:space="preserve"> </w:t>
      </w:r>
      <w:r w:rsidR="001E6E78" w:rsidRPr="001E6E78">
        <w:rPr>
          <w:rFonts w:eastAsia="Times New Roman"/>
          <w:sz w:val="24"/>
          <w:szCs w:val="24"/>
          <w:lang w:val="lv-LV" w:eastAsia="lv-LV"/>
        </w:rPr>
        <w:t xml:space="preserve">veikti energoefektivitātes pasākumi siltumenerģijas </w:t>
      </w:r>
      <w:r w:rsidR="00A42EE3">
        <w:rPr>
          <w:rFonts w:eastAsia="Times New Roman"/>
          <w:sz w:val="24"/>
          <w:szCs w:val="24"/>
          <w:lang w:val="lv-LV" w:eastAsia="lv-LV"/>
        </w:rPr>
        <w:t xml:space="preserve">un elektroenerģijas </w:t>
      </w:r>
      <w:r w:rsidR="001E6E78" w:rsidRPr="001E6E78">
        <w:rPr>
          <w:rFonts w:eastAsia="Times New Roman"/>
          <w:sz w:val="24"/>
          <w:szCs w:val="24"/>
          <w:lang w:val="lv-LV" w:eastAsia="lv-LV"/>
        </w:rPr>
        <w:t>samazināšanai</w:t>
      </w:r>
      <w:r w:rsidR="00A42EE3">
        <w:rPr>
          <w:rFonts w:eastAsia="Times New Roman"/>
          <w:sz w:val="24"/>
          <w:szCs w:val="24"/>
          <w:lang w:val="lv-LV" w:eastAsia="lv-LV"/>
        </w:rPr>
        <w:t>,</w:t>
      </w:r>
      <w:r w:rsidR="001E6E78" w:rsidRPr="001E6E78">
        <w:rPr>
          <w:rFonts w:eastAsia="Times New Roman"/>
          <w:sz w:val="24"/>
          <w:szCs w:val="24"/>
          <w:lang w:val="lv-LV" w:eastAsia="lv-LV"/>
        </w:rPr>
        <w:t xml:space="preserve"> ēkai siltumenerģiju nodrošina no lokālās siltumapgādes sistēmas vai individuālās siltumapgādes</w:t>
      </w:r>
      <w:r w:rsidR="001D65C4">
        <w:rPr>
          <w:rFonts w:eastAsia="Times New Roman"/>
          <w:sz w:val="24"/>
          <w:szCs w:val="24"/>
          <w:lang w:val="lv-LV" w:eastAsia="lv-LV"/>
        </w:rPr>
        <w:t xml:space="preserve"> sistēmas</w:t>
      </w:r>
      <w:r w:rsidR="00A037A9">
        <w:rPr>
          <w:rFonts w:eastAsia="Times New Roman"/>
          <w:sz w:val="24"/>
          <w:szCs w:val="24"/>
          <w:lang w:val="lv-LV" w:eastAsia="lv-LV"/>
        </w:rPr>
        <w:t xml:space="preserve"> un </w:t>
      </w:r>
      <w:r w:rsidR="00A037A9" w:rsidRPr="00A037A9">
        <w:rPr>
          <w:rFonts w:eastAsia="Times New Roman"/>
          <w:sz w:val="24"/>
          <w:szCs w:val="24"/>
          <w:lang w:val="lv-LV" w:eastAsia="lv-LV"/>
        </w:rPr>
        <w:t>elektroenerģiju piegādā no</w:t>
      </w:r>
      <w:r w:rsidR="00A037A9">
        <w:rPr>
          <w:rFonts w:eastAsia="Times New Roman"/>
          <w:sz w:val="24"/>
          <w:szCs w:val="24"/>
          <w:lang w:val="lv-LV" w:eastAsia="lv-LV"/>
        </w:rPr>
        <w:t xml:space="preserve"> </w:t>
      </w:r>
      <w:r w:rsidR="00A037A9" w:rsidRPr="00A037A9">
        <w:rPr>
          <w:rFonts w:eastAsia="Times New Roman"/>
          <w:sz w:val="24"/>
          <w:szCs w:val="24"/>
          <w:lang w:val="lv-LV" w:eastAsia="lv-LV"/>
        </w:rPr>
        <w:t>tīkla</w:t>
      </w:r>
      <w:r w:rsidR="006410F5">
        <w:rPr>
          <w:rFonts w:eastAsia="Times New Roman"/>
          <w:sz w:val="24"/>
          <w:szCs w:val="24"/>
          <w:lang w:val="lv-LV" w:eastAsia="lv-LV"/>
        </w:rPr>
        <w:t>,</w:t>
      </w:r>
      <w:r w:rsidR="001E6E78" w:rsidRPr="001E6E78">
        <w:rPr>
          <w:rFonts w:eastAsia="Times New Roman"/>
          <w:sz w:val="24"/>
          <w:szCs w:val="24"/>
          <w:lang w:val="lv-LV" w:eastAsia="lv-LV"/>
        </w:rPr>
        <w:t xml:space="preserve"> </w:t>
      </w:r>
      <w:r w:rsidR="001D65C4">
        <w:rPr>
          <w:rFonts w:eastAsia="Times New Roman"/>
          <w:sz w:val="24"/>
          <w:szCs w:val="24"/>
          <w:lang w:val="lv-LV" w:eastAsia="lv-LV"/>
        </w:rPr>
        <w:t>SEG</w:t>
      </w:r>
      <w:r w:rsidR="001E6E78" w:rsidRPr="001E6E78">
        <w:rPr>
          <w:rFonts w:eastAsia="Times New Roman"/>
          <w:sz w:val="24"/>
          <w:szCs w:val="24"/>
          <w:lang w:val="lv-LV" w:eastAsia="lv-LV"/>
        </w:rPr>
        <w:t xml:space="preserve"> emisiju samazinājumu aprēķina no pabeigtajos projektos siltumenerģijas </w:t>
      </w:r>
      <w:r w:rsidR="00107889">
        <w:rPr>
          <w:rFonts w:eastAsia="Times New Roman"/>
          <w:sz w:val="24"/>
          <w:szCs w:val="24"/>
          <w:lang w:val="lv-LV" w:eastAsia="lv-LV"/>
        </w:rPr>
        <w:t xml:space="preserve">un elektroenerģijas </w:t>
      </w:r>
      <w:r w:rsidR="001E6E78" w:rsidRPr="001E6E78">
        <w:rPr>
          <w:rFonts w:eastAsia="Times New Roman"/>
          <w:sz w:val="24"/>
          <w:szCs w:val="24"/>
          <w:lang w:val="lv-LV" w:eastAsia="lv-LV"/>
        </w:rPr>
        <w:t xml:space="preserve">patēriņa samazinājuma (starpība starp patērēto siltumenerģijas </w:t>
      </w:r>
      <w:r w:rsidR="00107889">
        <w:rPr>
          <w:rFonts w:eastAsia="Times New Roman"/>
          <w:sz w:val="24"/>
          <w:szCs w:val="24"/>
          <w:lang w:val="lv-LV" w:eastAsia="lv-LV"/>
        </w:rPr>
        <w:t xml:space="preserve">un elektroenerģijas </w:t>
      </w:r>
      <w:r w:rsidR="001E6E78" w:rsidRPr="001E6E78">
        <w:rPr>
          <w:rFonts w:eastAsia="Times New Roman"/>
          <w:sz w:val="24"/>
          <w:szCs w:val="24"/>
          <w:lang w:val="lv-LV" w:eastAsia="lv-LV"/>
        </w:rPr>
        <w:t xml:space="preserve">apjomu ēkā pirms projekta īstenošanas un patērēto siltumenerģijas </w:t>
      </w:r>
      <w:r w:rsidR="00107889">
        <w:rPr>
          <w:rFonts w:eastAsia="Times New Roman"/>
          <w:sz w:val="24"/>
          <w:szCs w:val="24"/>
          <w:lang w:val="lv-LV" w:eastAsia="lv-LV"/>
        </w:rPr>
        <w:t xml:space="preserve">un elektroenerģijas </w:t>
      </w:r>
      <w:r w:rsidR="001E6E78" w:rsidRPr="001E6E78">
        <w:rPr>
          <w:rFonts w:eastAsia="Times New Roman"/>
          <w:sz w:val="24"/>
          <w:szCs w:val="24"/>
          <w:lang w:val="lv-LV" w:eastAsia="lv-LV"/>
        </w:rPr>
        <w:t>apjomu ēkā pēc projekta īstenošanas)</w:t>
      </w:r>
      <w:r w:rsidR="001D65C4">
        <w:rPr>
          <w:rFonts w:eastAsia="Times New Roman"/>
          <w:sz w:val="24"/>
          <w:szCs w:val="24"/>
          <w:lang w:val="lv-LV" w:eastAsia="lv-LV"/>
        </w:rPr>
        <w:t xml:space="preserve">, piemērojot </w:t>
      </w:r>
      <w:r w:rsidR="001D65C4" w:rsidRPr="001E6E78">
        <w:rPr>
          <w:rFonts w:eastAsia="Times New Roman"/>
          <w:sz w:val="24"/>
          <w:szCs w:val="24"/>
          <w:lang w:val="lv-LV" w:eastAsia="lv-LV"/>
        </w:rPr>
        <w:t>esošās sadedzināšanas iekārtas (katla) lietderības koeficient</w:t>
      </w:r>
      <w:r w:rsidR="001D65C4">
        <w:rPr>
          <w:rFonts w:eastAsia="Times New Roman"/>
          <w:sz w:val="24"/>
          <w:szCs w:val="24"/>
          <w:lang w:val="lv-LV" w:eastAsia="lv-LV"/>
        </w:rPr>
        <w:t>u</w:t>
      </w:r>
      <w:r w:rsidR="001E6E78" w:rsidRPr="001E6E78">
        <w:rPr>
          <w:rFonts w:eastAsia="Times New Roman"/>
          <w:sz w:val="24"/>
          <w:szCs w:val="24"/>
          <w:lang w:val="lv-LV" w:eastAsia="lv-LV"/>
        </w:rPr>
        <w:t>:</w:t>
      </w:r>
    </w:p>
    <w:p w14:paraId="4CFF92AD" w14:textId="77777777" w:rsidR="001E6E78" w:rsidRPr="001E6E78" w:rsidRDefault="001E6E78" w:rsidP="001E6E78">
      <w:pPr>
        <w:spacing w:after="0" w:line="240" w:lineRule="auto"/>
        <w:ind w:left="360"/>
        <w:jc w:val="center"/>
        <w:rPr>
          <w:rFonts w:eastAsia="Times New Roman"/>
          <w:b/>
          <w:bCs/>
          <w:sz w:val="24"/>
          <w:szCs w:val="24"/>
          <w:lang w:val="lv-LV" w:eastAsia="lv-LV"/>
        </w:rPr>
      </w:pPr>
    </w:p>
    <w:p w14:paraId="6FBBF2B8" w14:textId="527C2A74" w:rsidR="00590656" w:rsidRPr="001E6E78" w:rsidRDefault="00F521C1" w:rsidP="00590656">
      <w:pPr>
        <w:spacing w:after="0" w:line="240" w:lineRule="auto"/>
        <w:ind w:left="360"/>
        <w:jc w:val="center"/>
        <w:rPr>
          <w:rFonts w:eastAsia="Times New Roman"/>
          <w:b/>
          <w:bCs/>
          <w:sz w:val="24"/>
          <w:szCs w:val="24"/>
          <w:lang w:val="en-US" w:eastAsia="lv-LV"/>
        </w:rPr>
      </w:pPr>
      <w:r>
        <w:rPr>
          <w:rFonts w:eastAsia="Times New Roman"/>
          <w:b/>
          <w:bCs/>
          <w:sz w:val="24"/>
          <w:szCs w:val="24"/>
          <w:lang w:val="en-US" w:eastAsia="lv-LV"/>
        </w:rPr>
        <w:t>E = E</w:t>
      </w:r>
      <w:r w:rsidRPr="00EC5268">
        <w:rPr>
          <w:rFonts w:eastAsia="Times New Roman"/>
          <w:b/>
          <w:bCs/>
          <w:sz w:val="24"/>
          <w:szCs w:val="24"/>
          <w:vertAlign w:val="subscript"/>
          <w:lang w:val="en-US" w:eastAsia="lv-LV"/>
        </w:rPr>
        <w:t>CO2.silt</w:t>
      </w:r>
      <w:r w:rsidR="00EC5268" w:rsidRPr="00EC5268">
        <w:rPr>
          <w:rFonts w:eastAsia="Times New Roman"/>
          <w:b/>
          <w:bCs/>
          <w:sz w:val="24"/>
          <w:szCs w:val="24"/>
          <w:vertAlign w:val="subscript"/>
          <w:lang w:val="en-US" w:eastAsia="lv-LV"/>
        </w:rPr>
        <w:t>.</w:t>
      </w:r>
      <w:r>
        <w:rPr>
          <w:rFonts w:eastAsia="Times New Roman"/>
          <w:b/>
          <w:bCs/>
          <w:sz w:val="24"/>
          <w:szCs w:val="24"/>
          <w:lang w:val="en-US" w:eastAsia="lv-LV"/>
        </w:rPr>
        <w:t xml:space="preserve"> x </w:t>
      </w:r>
      <w:r w:rsidR="00E76ACD">
        <w:rPr>
          <w:rFonts w:eastAsia="Times New Roman"/>
          <w:b/>
          <w:bCs/>
          <w:sz w:val="24"/>
          <w:szCs w:val="24"/>
          <w:lang w:val="en-US" w:eastAsia="lv-LV"/>
        </w:rPr>
        <w:t>Q</w:t>
      </w:r>
      <w:r w:rsidR="00E76ACD" w:rsidRPr="00EC5268">
        <w:rPr>
          <w:rFonts w:eastAsia="Times New Roman"/>
          <w:b/>
          <w:bCs/>
          <w:sz w:val="24"/>
          <w:szCs w:val="24"/>
          <w:vertAlign w:val="subscript"/>
          <w:lang w:val="en-US" w:eastAsia="lv-LV"/>
        </w:rPr>
        <w:t>sam</w:t>
      </w:r>
      <w:r w:rsidR="00107889" w:rsidRPr="00EC5268">
        <w:rPr>
          <w:rFonts w:eastAsia="Times New Roman"/>
          <w:b/>
          <w:bCs/>
          <w:sz w:val="24"/>
          <w:szCs w:val="24"/>
          <w:vertAlign w:val="subscript"/>
          <w:lang w:val="en-US" w:eastAsia="lv-LV"/>
        </w:rPr>
        <w:t>.silt</w:t>
      </w:r>
      <w:r w:rsidR="00EC5268" w:rsidRPr="00EC5268">
        <w:rPr>
          <w:rFonts w:eastAsia="Times New Roman"/>
          <w:b/>
          <w:bCs/>
          <w:sz w:val="24"/>
          <w:szCs w:val="24"/>
          <w:vertAlign w:val="subscript"/>
          <w:lang w:val="en-US" w:eastAsia="lv-LV"/>
        </w:rPr>
        <w:t>.</w:t>
      </w:r>
      <w:r w:rsidR="00E76ACD">
        <w:rPr>
          <w:rFonts w:eastAsia="Times New Roman"/>
          <w:b/>
          <w:bCs/>
          <w:sz w:val="24"/>
          <w:szCs w:val="24"/>
          <w:lang w:val="en-US" w:eastAsia="lv-LV"/>
        </w:rPr>
        <w:t>/</w:t>
      </w:r>
      <w:r w:rsidR="003F476D" w:rsidRPr="003F476D">
        <w:rPr>
          <w:rFonts w:eastAsia="Times New Roman"/>
          <w:b/>
          <w:bCs/>
          <w:sz w:val="24"/>
          <w:szCs w:val="24"/>
          <w:lang w:val="en-US" w:eastAsia="lv-LV"/>
        </w:rPr>
        <w:t>ɳ</w:t>
      </w:r>
      <w:r w:rsidR="00590656">
        <w:rPr>
          <w:rFonts w:eastAsia="Times New Roman"/>
          <w:b/>
          <w:bCs/>
          <w:sz w:val="24"/>
          <w:szCs w:val="24"/>
          <w:lang w:val="en-US" w:eastAsia="lv-LV"/>
        </w:rPr>
        <w:t xml:space="preserve"> + E</w:t>
      </w:r>
      <w:r w:rsidR="00590656" w:rsidRPr="004A7E54">
        <w:rPr>
          <w:rFonts w:eastAsia="Times New Roman"/>
          <w:b/>
          <w:bCs/>
          <w:sz w:val="24"/>
          <w:szCs w:val="24"/>
          <w:vertAlign w:val="subscript"/>
          <w:lang w:val="en-US" w:eastAsia="lv-LV"/>
        </w:rPr>
        <w:t>CO2</w:t>
      </w:r>
      <w:r w:rsidR="00590656" w:rsidRPr="003844ED">
        <w:rPr>
          <w:rFonts w:eastAsia="Times New Roman"/>
          <w:b/>
          <w:bCs/>
          <w:sz w:val="24"/>
          <w:szCs w:val="24"/>
          <w:vertAlign w:val="subscript"/>
          <w:lang w:val="en-US" w:eastAsia="lv-LV"/>
        </w:rPr>
        <w:t>.el.</w:t>
      </w:r>
      <w:r w:rsidR="00590656">
        <w:rPr>
          <w:rFonts w:eastAsia="Times New Roman"/>
          <w:b/>
          <w:bCs/>
          <w:sz w:val="24"/>
          <w:szCs w:val="24"/>
          <w:lang w:val="en-US" w:eastAsia="lv-LV"/>
        </w:rPr>
        <w:t xml:space="preserve"> x Q</w:t>
      </w:r>
      <w:r w:rsidR="00107889" w:rsidRPr="00107889">
        <w:rPr>
          <w:rFonts w:eastAsia="Times New Roman"/>
          <w:b/>
          <w:bCs/>
          <w:sz w:val="24"/>
          <w:szCs w:val="24"/>
          <w:vertAlign w:val="subscript"/>
          <w:lang w:val="en-US" w:eastAsia="lv-LV"/>
        </w:rPr>
        <w:t>sam.el</w:t>
      </w:r>
      <w:r w:rsidR="00590656" w:rsidRPr="00107889">
        <w:rPr>
          <w:rFonts w:eastAsia="Times New Roman"/>
          <w:b/>
          <w:bCs/>
          <w:sz w:val="24"/>
          <w:szCs w:val="24"/>
          <w:vertAlign w:val="subscript"/>
          <w:lang w:val="en-US" w:eastAsia="lv-LV"/>
        </w:rPr>
        <w:t>.</w:t>
      </w:r>
    </w:p>
    <w:p w14:paraId="4AAA6665" w14:textId="77777777" w:rsidR="001E6E78" w:rsidRPr="001E6E78" w:rsidRDefault="001E6E78" w:rsidP="001E6E78">
      <w:pPr>
        <w:spacing w:after="0" w:line="240" w:lineRule="auto"/>
        <w:ind w:left="360"/>
        <w:jc w:val="center"/>
        <w:rPr>
          <w:rFonts w:eastAsia="Times New Roman"/>
          <w:b/>
          <w:bCs/>
          <w:sz w:val="24"/>
          <w:szCs w:val="24"/>
          <w:lang w:val="en-US" w:eastAsia="lv-LV"/>
        </w:rPr>
      </w:pPr>
    </w:p>
    <w:p w14:paraId="0627091C" w14:textId="1A0A2521" w:rsidR="001E6E78" w:rsidRPr="001E6E78" w:rsidRDefault="001E6E78" w:rsidP="001E6E78">
      <w:pPr>
        <w:numPr>
          <w:ilvl w:val="0"/>
          <w:numId w:val="20"/>
        </w:numPr>
        <w:spacing w:after="0" w:line="240" w:lineRule="auto"/>
        <w:ind w:left="425" w:hanging="425"/>
        <w:jc w:val="both"/>
        <w:rPr>
          <w:rFonts w:eastAsia="Times New Roman"/>
          <w:sz w:val="24"/>
          <w:szCs w:val="24"/>
          <w:lang w:val="lv-LV" w:eastAsia="lv-LV"/>
        </w:rPr>
      </w:pPr>
      <w:r w:rsidRPr="001E6E78">
        <w:rPr>
          <w:rFonts w:eastAsia="Times New Roman"/>
          <w:sz w:val="24"/>
          <w:szCs w:val="24"/>
          <w:lang w:val="lv-LV" w:eastAsia="lv-LV"/>
        </w:rPr>
        <w:t>E – </w:t>
      </w:r>
      <w:r w:rsidR="006150BB">
        <w:rPr>
          <w:rFonts w:eastAsia="Times New Roman"/>
          <w:sz w:val="24"/>
          <w:szCs w:val="24"/>
          <w:lang w:val="lv-LV" w:eastAsia="lv-LV"/>
        </w:rPr>
        <w:t xml:space="preserve">SEG </w:t>
      </w:r>
      <w:r w:rsidRPr="001E6E78">
        <w:rPr>
          <w:rFonts w:eastAsia="Times New Roman"/>
          <w:sz w:val="24"/>
          <w:szCs w:val="24"/>
          <w:lang w:val="lv-LV" w:eastAsia="lv-LV"/>
        </w:rPr>
        <w:t xml:space="preserve"> emisij</w:t>
      </w:r>
      <w:r w:rsidR="006150BB">
        <w:rPr>
          <w:rFonts w:eastAsia="Times New Roman"/>
          <w:sz w:val="24"/>
          <w:szCs w:val="24"/>
          <w:lang w:val="lv-LV" w:eastAsia="lv-LV"/>
        </w:rPr>
        <w:t>u</w:t>
      </w:r>
      <w:r w:rsidRPr="001E6E78">
        <w:rPr>
          <w:rFonts w:eastAsia="Times New Roman"/>
          <w:sz w:val="24"/>
          <w:szCs w:val="24"/>
          <w:lang w:val="lv-LV" w:eastAsia="lv-LV"/>
        </w:rPr>
        <w:t xml:space="preserve"> samazinājums gadā (t CO</w:t>
      </w:r>
      <w:r w:rsidRPr="001E6E78">
        <w:rPr>
          <w:rFonts w:eastAsia="Times New Roman"/>
          <w:sz w:val="24"/>
          <w:szCs w:val="24"/>
          <w:vertAlign w:val="subscript"/>
          <w:lang w:val="lv-LV" w:eastAsia="lv-LV"/>
        </w:rPr>
        <w:t>2</w:t>
      </w:r>
      <w:r w:rsidR="006150BB">
        <w:rPr>
          <w:rFonts w:eastAsia="Times New Roman"/>
          <w:sz w:val="24"/>
          <w:szCs w:val="24"/>
          <w:vertAlign w:val="subscript"/>
          <w:lang w:val="lv-LV" w:eastAsia="lv-LV"/>
        </w:rPr>
        <w:t xml:space="preserve"> </w:t>
      </w:r>
      <w:r w:rsidR="006150BB">
        <w:rPr>
          <w:rFonts w:eastAsia="Times New Roman"/>
          <w:sz w:val="24"/>
          <w:szCs w:val="24"/>
          <w:lang w:val="lv-LV" w:eastAsia="lv-LV"/>
        </w:rPr>
        <w:t>ekv.</w:t>
      </w:r>
      <w:r w:rsidRPr="001E6E78">
        <w:rPr>
          <w:rFonts w:eastAsia="Times New Roman"/>
          <w:sz w:val="24"/>
          <w:szCs w:val="24"/>
          <w:lang w:val="lv-LV" w:eastAsia="lv-LV"/>
        </w:rPr>
        <w:t>/gadā);</w:t>
      </w:r>
    </w:p>
    <w:p w14:paraId="2295378A" w14:textId="45621B18" w:rsidR="001E6E78" w:rsidRPr="001E6E78" w:rsidRDefault="001E6E78" w:rsidP="001E6E78">
      <w:pPr>
        <w:numPr>
          <w:ilvl w:val="0"/>
          <w:numId w:val="20"/>
        </w:numPr>
        <w:spacing w:after="0" w:line="240" w:lineRule="auto"/>
        <w:ind w:left="425" w:hanging="425"/>
        <w:jc w:val="both"/>
        <w:rPr>
          <w:rFonts w:eastAsia="Times New Roman"/>
          <w:sz w:val="24"/>
          <w:szCs w:val="24"/>
          <w:lang w:val="lv-LV" w:eastAsia="lv-LV"/>
        </w:rPr>
      </w:pPr>
      <w:r w:rsidRPr="001E6E78">
        <w:rPr>
          <w:rFonts w:eastAsia="Times New Roman"/>
          <w:sz w:val="24"/>
          <w:szCs w:val="24"/>
          <w:lang w:val="lv-LV" w:eastAsia="lv-LV"/>
        </w:rPr>
        <w:t>E</w:t>
      </w:r>
      <w:r w:rsidRPr="001E6E78">
        <w:rPr>
          <w:rFonts w:eastAsia="Times New Roman"/>
          <w:sz w:val="24"/>
          <w:szCs w:val="24"/>
          <w:vertAlign w:val="subscript"/>
          <w:lang w:val="lv-LV" w:eastAsia="lv-LV"/>
        </w:rPr>
        <w:t>CO2</w:t>
      </w:r>
      <w:r w:rsidR="00302B2D">
        <w:rPr>
          <w:rFonts w:eastAsia="Times New Roman"/>
          <w:sz w:val="24"/>
          <w:szCs w:val="24"/>
          <w:vertAlign w:val="subscript"/>
          <w:lang w:val="lv-LV" w:eastAsia="lv-LV"/>
        </w:rPr>
        <w:t>.silt</w:t>
      </w:r>
      <w:r w:rsidRPr="001E6E78">
        <w:rPr>
          <w:rFonts w:eastAsia="Times New Roman"/>
          <w:sz w:val="24"/>
          <w:szCs w:val="24"/>
          <w:lang w:val="lv-LV" w:eastAsia="lv-LV"/>
        </w:rPr>
        <w:t> – emisijas faktors</w:t>
      </w:r>
      <w:r w:rsidR="00246370">
        <w:rPr>
          <w:rFonts w:eastAsia="Times New Roman"/>
          <w:sz w:val="24"/>
          <w:szCs w:val="24"/>
          <w:lang w:val="lv-LV" w:eastAsia="lv-LV"/>
        </w:rPr>
        <w:t xml:space="preserve"> </w:t>
      </w:r>
      <w:r w:rsidR="004C6D3D">
        <w:rPr>
          <w:rFonts w:eastAsia="Times New Roman"/>
          <w:sz w:val="24"/>
          <w:szCs w:val="24"/>
          <w:lang w:val="lv-LV" w:eastAsia="lv-LV"/>
        </w:rPr>
        <w:t xml:space="preserve"> izmantotajam energoresursam siltumenerģijas nodrošināšanai </w:t>
      </w:r>
      <w:r w:rsidR="00246370">
        <w:rPr>
          <w:rFonts w:eastAsia="Times New Roman"/>
          <w:iCs/>
          <w:sz w:val="24"/>
          <w:szCs w:val="24"/>
          <w:lang w:val="lv-LV" w:eastAsia="lv-LV"/>
        </w:rPr>
        <w:t>(</w:t>
      </w:r>
      <w:r w:rsidRPr="00752C54">
        <w:rPr>
          <w:rFonts w:eastAsia="Times New Roman"/>
          <w:iCs/>
          <w:sz w:val="24"/>
          <w:szCs w:val="24"/>
          <w:lang w:val="lv-LV" w:eastAsia="lv-LV"/>
        </w:rPr>
        <w:t>tCO</w:t>
      </w:r>
      <w:r w:rsidRPr="00752C54">
        <w:rPr>
          <w:rFonts w:eastAsia="Times New Roman"/>
          <w:iCs/>
          <w:sz w:val="24"/>
          <w:szCs w:val="24"/>
          <w:vertAlign w:val="subscript"/>
          <w:lang w:val="lv-LV" w:eastAsia="lv-LV"/>
        </w:rPr>
        <w:t>2</w:t>
      </w:r>
      <w:r w:rsidRPr="00752C54">
        <w:rPr>
          <w:rFonts w:eastAsia="Times New Roman"/>
          <w:iCs/>
          <w:sz w:val="24"/>
          <w:szCs w:val="24"/>
          <w:lang w:val="lv-LV" w:eastAsia="lv-LV"/>
        </w:rPr>
        <w:t>/MWh</w:t>
      </w:r>
      <w:r w:rsidR="00246370">
        <w:rPr>
          <w:rFonts w:eastAsia="Times New Roman"/>
          <w:iCs/>
          <w:sz w:val="24"/>
          <w:szCs w:val="24"/>
          <w:lang w:val="lv-LV" w:eastAsia="lv-LV"/>
        </w:rPr>
        <w:t>)</w:t>
      </w:r>
      <w:r w:rsidRPr="001E6E78">
        <w:rPr>
          <w:rFonts w:eastAsia="Times New Roman"/>
          <w:i/>
          <w:iCs/>
          <w:sz w:val="24"/>
          <w:szCs w:val="24"/>
          <w:lang w:val="lv-LV" w:eastAsia="lv-LV"/>
        </w:rPr>
        <w:t xml:space="preserve">, </w:t>
      </w:r>
      <w:r w:rsidR="00246370">
        <w:rPr>
          <w:rFonts w:eastAsia="Times New Roman"/>
          <w:sz w:val="24"/>
          <w:szCs w:val="24"/>
          <w:lang w:val="lv-LV" w:eastAsia="lv-LV"/>
        </w:rPr>
        <w:t>atbilstoši</w:t>
      </w:r>
      <w:r w:rsidR="00246370" w:rsidRPr="001E6E78">
        <w:rPr>
          <w:rFonts w:eastAsia="Times New Roman"/>
          <w:sz w:val="24"/>
          <w:szCs w:val="24"/>
          <w:lang w:val="lv-LV" w:eastAsia="lv-LV"/>
        </w:rPr>
        <w:t xml:space="preserve"> </w:t>
      </w:r>
      <w:r w:rsidR="00DA275A" w:rsidRPr="00DA275A">
        <w:rPr>
          <w:rFonts w:eastAsia="Times New Roman"/>
          <w:sz w:val="24"/>
          <w:szCs w:val="24"/>
          <w:lang w:val="lv-LV" w:eastAsia="lv-LV"/>
        </w:rPr>
        <w:t xml:space="preserve">MK noteikumiem Nr.222 </w:t>
      </w:r>
      <w:r w:rsidRPr="001E6E78">
        <w:rPr>
          <w:rFonts w:eastAsia="Times New Roman"/>
          <w:sz w:val="24"/>
          <w:szCs w:val="24"/>
          <w:lang w:val="lv-LV" w:eastAsia="lv-LV"/>
        </w:rPr>
        <w:t>;</w:t>
      </w:r>
    </w:p>
    <w:p w14:paraId="51805DBB" w14:textId="1874BB95" w:rsidR="001E6E78" w:rsidRPr="001E6E78" w:rsidRDefault="001E6E78" w:rsidP="001E6E78">
      <w:pPr>
        <w:numPr>
          <w:ilvl w:val="0"/>
          <w:numId w:val="20"/>
        </w:numPr>
        <w:spacing w:after="0" w:line="240" w:lineRule="auto"/>
        <w:ind w:left="425" w:hanging="425"/>
        <w:jc w:val="both"/>
        <w:rPr>
          <w:rFonts w:eastAsia="Times New Roman"/>
          <w:sz w:val="24"/>
          <w:szCs w:val="24"/>
          <w:lang w:val="lv-LV" w:eastAsia="lv-LV"/>
        </w:rPr>
      </w:pPr>
      <w:r w:rsidRPr="001E6E78">
        <w:rPr>
          <w:rFonts w:eastAsia="Times New Roman"/>
          <w:bCs/>
          <w:sz w:val="24"/>
          <w:szCs w:val="24"/>
          <w:lang w:val="lv-LV" w:eastAsia="lv-LV"/>
        </w:rPr>
        <w:t>Q</w:t>
      </w:r>
      <w:r w:rsidRPr="001E6E78">
        <w:rPr>
          <w:rFonts w:eastAsia="Times New Roman"/>
          <w:bCs/>
          <w:sz w:val="24"/>
          <w:szCs w:val="24"/>
          <w:vertAlign w:val="subscript"/>
          <w:lang w:val="lv-LV" w:eastAsia="lv-LV"/>
        </w:rPr>
        <w:t>sam</w:t>
      </w:r>
      <w:r w:rsidR="00302B2D">
        <w:rPr>
          <w:rFonts w:eastAsia="Times New Roman"/>
          <w:bCs/>
          <w:sz w:val="24"/>
          <w:szCs w:val="24"/>
          <w:vertAlign w:val="subscript"/>
          <w:lang w:val="lv-LV" w:eastAsia="lv-LV"/>
        </w:rPr>
        <w:t>.silt</w:t>
      </w:r>
      <w:r w:rsidRPr="001E6E78">
        <w:rPr>
          <w:rFonts w:eastAsia="Times New Roman"/>
          <w:sz w:val="24"/>
          <w:szCs w:val="24"/>
          <w:lang w:val="lv-LV" w:eastAsia="lv-LV"/>
        </w:rPr>
        <w:t> – siltumenerģijas patēriņa samazinājums (MWh/gadā);</w:t>
      </w:r>
    </w:p>
    <w:p w14:paraId="562E3075" w14:textId="77777777" w:rsidR="00302B2D" w:rsidRDefault="001E6E78" w:rsidP="001E6E78">
      <w:pPr>
        <w:numPr>
          <w:ilvl w:val="0"/>
          <w:numId w:val="20"/>
        </w:numPr>
        <w:spacing w:after="0" w:line="240" w:lineRule="auto"/>
        <w:ind w:left="425" w:hanging="425"/>
        <w:jc w:val="both"/>
        <w:rPr>
          <w:rFonts w:eastAsia="Times New Roman"/>
          <w:sz w:val="24"/>
          <w:szCs w:val="24"/>
          <w:lang w:val="lv-LV" w:eastAsia="lv-LV"/>
        </w:rPr>
      </w:pPr>
      <w:bookmarkStart w:id="2" w:name="_Hlk74293909"/>
      <w:r w:rsidRPr="001E6E78">
        <w:rPr>
          <w:rFonts w:eastAsia="MS Mincho" w:hAnsi="MS Mincho"/>
          <w:bCs/>
          <w:sz w:val="24"/>
          <w:szCs w:val="24"/>
          <w:lang w:val="lv-LV" w:eastAsia="lv-LV"/>
        </w:rPr>
        <w:t>ɳ</w:t>
      </w:r>
      <w:bookmarkEnd w:id="2"/>
      <w:r w:rsidRPr="001E6E78">
        <w:rPr>
          <w:rFonts w:eastAsia="Times New Roman"/>
          <w:sz w:val="24"/>
          <w:szCs w:val="24"/>
          <w:lang w:val="lv-LV" w:eastAsia="lv-LV"/>
        </w:rPr>
        <w:t xml:space="preserve"> - esošās sadedzināšanas iekārtas (katla) lietderības koeficients, kas ir 0,9, ja izmanto dabasgāzi vai dīzeļdegvielu, un 0,85, ja izmanto citus kurināmā veidus. </w:t>
      </w:r>
      <w:r w:rsidR="00B7150A">
        <w:rPr>
          <w:rFonts w:eastAsia="Times New Roman"/>
          <w:sz w:val="24"/>
          <w:szCs w:val="24"/>
          <w:lang w:val="lv-LV" w:eastAsia="lv-LV"/>
        </w:rPr>
        <w:t>Finansējuma saņēmējs</w:t>
      </w:r>
      <w:r w:rsidRPr="001E6E78">
        <w:rPr>
          <w:rFonts w:eastAsia="Times New Roman"/>
          <w:sz w:val="24"/>
          <w:szCs w:val="24"/>
          <w:lang w:val="lv-LV" w:eastAsia="lv-LV"/>
        </w:rPr>
        <w:t xml:space="preserve"> var izmantot citu lietderības koeficienta vērtību, ja tas tiek dokumentāri pierādīts</w:t>
      </w:r>
      <w:r w:rsidR="00302B2D">
        <w:rPr>
          <w:rFonts w:eastAsia="Times New Roman"/>
          <w:sz w:val="24"/>
          <w:szCs w:val="24"/>
          <w:lang w:val="lv-LV" w:eastAsia="lv-LV"/>
        </w:rPr>
        <w:t>;</w:t>
      </w:r>
    </w:p>
    <w:p w14:paraId="47ED4259" w14:textId="3F13CA20" w:rsidR="00304E3A" w:rsidRPr="001E6E78" w:rsidRDefault="00304E3A" w:rsidP="00304E3A">
      <w:pPr>
        <w:numPr>
          <w:ilvl w:val="0"/>
          <w:numId w:val="20"/>
        </w:numPr>
        <w:spacing w:after="0" w:line="240" w:lineRule="auto"/>
        <w:ind w:left="425" w:hanging="425"/>
        <w:jc w:val="both"/>
        <w:rPr>
          <w:rFonts w:eastAsia="Times New Roman"/>
          <w:sz w:val="24"/>
          <w:szCs w:val="24"/>
          <w:lang w:val="lv-LV" w:eastAsia="lv-LV"/>
        </w:rPr>
      </w:pPr>
      <w:r w:rsidRPr="001E6E78">
        <w:rPr>
          <w:rFonts w:eastAsia="Times New Roman"/>
          <w:sz w:val="24"/>
          <w:szCs w:val="24"/>
          <w:lang w:val="lv-LV" w:eastAsia="lv-LV"/>
        </w:rPr>
        <w:t>E</w:t>
      </w:r>
      <w:r w:rsidRPr="001E6E78">
        <w:rPr>
          <w:rFonts w:eastAsia="Times New Roman"/>
          <w:sz w:val="24"/>
          <w:szCs w:val="24"/>
          <w:vertAlign w:val="subscript"/>
          <w:lang w:val="lv-LV" w:eastAsia="lv-LV"/>
        </w:rPr>
        <w:t>CO2</w:t>
      </w:r>
      <w:r>
        <w:rPr>
          <w:rFonts w:eastAsia="Times New Roman"/>
          <w:sz w:val="24"/>
          <w:szCs w:val="24"/>
          <w:vertAlign w:val="subscript"/>
          <w:lang w:val="lv-LV" w:eastAsia="lv-LV"/>
        </w:rPr>
        <w:t>.el.</w:t>
      </w:r>
      <w:r w:rsidRPr="001E6E78">
        <w:rPr>
          <w:rFonts w:eastAsia="Times New Roman"/>
          <w:sz w:val="24"/>
          <w:szCs w:val="24"/>
          <w:lang w:val="lv-LV" w:eastAsia="lv-LV"/>
        </w:rPr>
        <w:t> – emisijas faktors </w:t>
      </w:r>
      <w:r w:rsidRPr="00A05F50">
        <w:rPr>
          <w:rFonts w:eastAsia="Times New Roman"/>
          <w:sz w:val="24"/>
          <w:szCs w:val="24"/>
          <w:lang w:val="lv-LV" w:eastAsia="lv-LV"/>
        </w:rPr>
        <w:t xml:space="preserve"> </w:t>
      </w:r>
      <w:r>
        <w:rPr>
          <w:rFonts w:eastAsia="Times New Roman"/>
          <w:sz w:val="24"/>
          <w:szCs w:val="24"/>
          <w:lang w:val="lv-LV" w:eastAsia="lv-LV"/>
        </w:rPr>
        <w:t xml:space="preserve">elektroenerģijai no tīkla </w:t>
      </w:r>
      <w:r>
        <w:rPr>
          <w:rFonts w:eastAsia="Times New Roman"/>
          <w:iCs/>
          <w:sz w:val="24"/>
          <w:szCs w:val="24"/>
          <w:lang w:val="lv-LV" w:eastAsia="lv-LV"/>
        </w:rPr>
        <w:t>(</w:t>
      </w:r>
      <w:r w:rsidRPr="00752C54">
        <w:rPr>
          <w:rFonts w:eastAsia="Times New Roman"/>
          <w:iCs/>
          <w:sz w:val="24"/>
          <w:szCs w:val="24"/>
          <w:lang w:val="lv-LV" w:eastAsia="lv-LV"/>
        </w:rPr>
        <w:t>tCO</w:t>
      </w:r>
      <w:r w:rsidRPr="00752C54">
        <w:rPr>
          <w:rFonts w:eastAsia="Times New Roman"/>
          <w:iCs/>
          <w:sz w:val="24"/>
          <w:szCs w:val="24"/>
          <w:vertAlign w:val="subscript"/>
          <w:lang w:val="lv-LV" w:eastAsia="lv-LV"/>
        </w:rPr>
        <w:t>2</w:t>
      </w:r>
      <w:r w:rsidRPr="00752C54">
        <w:rPr>
          <w:rFonts w:eastAsia="Times New Roman"/>
          <w:iCs/>
          <w:sz w:val="24"/>
          <w:szCs w:val="24"/>
          <w:lang w:val="lv-LV" w:eastAsia="lv-LV"/>
        </w:rPr>
        <w:t>/MWh</w:t>
      </w:r>
      <w:r>
        <w:rPr>
          <w:rFonts w:eastAsia="Times New Roman"/>
          <w:iCs/>
          <w:sz w:val="24"/>
          <w:szCs w:val="24"/>
          <w:lang w:val="lv-LV" w:eastAsia="lv-LV"/>
        </w:rPr>
        <w:t xml:space="preserve">) </w:t>
      </w:r>
      <w:r w:rsidRPr="001E6E78">
        <w:rPr>
          <w:rFonts w:eastAsia="Times New Roman"/>
          <w:sz w:val="24"/>
          <w:szCs w:val="24"/>
          <w:lang w:val="lv-LV" w:eastAsia="lv-LV"/>
        </w:rPr>
        <w:t>atbilstoši MK noteikumi</w:t>
      </w:r>
      <w:r>
        <w:rPr>
          <w:rFonts w:eastAsia="Times New Roman"/>
          <w:sz w:val="24"/>
          <w:szCs w:val="24"/>
          <w:lang w:val="lv-LV" w:eastAsia="lv-LV"/>
        </w:rPr>
        <w:t>em</w:t>
      </w:r>
      <w:r w:rsidRPr="001E6E78">
        <w:rPr>
          <w:rFonts w:eastAsia="Times New Roman"/>
          <w:sz w:val="24"/>
          <w:szCs w:val="24"/>
          <w:lang w:val="lv-LV" w:eastAsia="lv-LV"/>
        </w:rPr>
        <w:t xml:space="preserve"> Nr.</w:t>
      </w:r>
      <w:r>
        <w:rPr>
          <w:rFonts w:eastAsia="Times New Roman"/>
          <w:sz w:val="24"/>
          <w:szCs w:val="24"/>
          <w:lang w:val="lv-LV" w:eastAsia="lv-LV"/>
        </w:rPr>
        <w:t>222;</w:t>
      </w:r>
    </w:p>
    <w:p w14:paraId="4498BC67" w14:textId="2E53E43F" w:rsidR="001E6E78" w:rsidRPr="001E6E78" w:rsidRDefault="00304E3A" w:rsidP="001E6E78">
      <w:pPr>
        <w:numPr>
          <w:ilvl w:val="0"/>
          <w:numId w:val="20"/>
        </w:numPr>
        <w:spacing w:after="0" w:line="240" w:lineRule="auto"/>
        <w:ind w:left="425" w:hanging="425"/>
        <w:jc w:val="both"/>
        <w:rPr>
          <w:rFonts w:eastAsia="Times New Roman"/>
          <w:sz w:val="24"/>
          <w:szCs w:val="24"/>
          <w:lang w:val="lv-LV" w:eastAsia="lv-LV"/>
        </w:rPr>
      </w:pPr>
      <w:r>
        <w:rPr>
          <w:rFonts w:eastAsia="Times New Roman"/>
          <w:sz w:val="24"/>
          <w:szCs w:val="24"/>
          <w:lang w:val="lv-LV" w:eastAsia="lv-LV"/>
        </w:rPr>
        <w:t>Q</w:t>
      </w:r>
      <w:r w:rsidRPr="007B50AA">
        <w:rPr>
          <w:rFonts w:eastAsia="Times New Roman"/>
          <w:sz w:val="24"/>
          <w:szCs w:val="24"/>
          <w:vertAlign w:val="subscript"/>
          <w:lang w:val="lv-LV" w:eastAsia="lv-LV"/>
        </w:rPr>
        <w:t>sam.</w:t>
      </w:r>
      <w:r w:rsidRPr="003C0B72">
        <w:rPr>
          <w:rFonts w:eastAsia="Times New Roman"/>
          <w:sz w:val="24"/>
          <w:szCs w:val="24"/>
          <w:vertAlign w:val="subscript"/>
          <w:lang w:val="lv-LV" w:eastAsia="lv-LV"/>
        </w:rPr>
        <w:t>el.</w:t>
      </w:r>
      <w:r>
        <w:rPr>
          <w:rFonts w:eastAsia="Times New Roman"/>
          <w:sz w:val="24"/>
          <w:szCs w:val="24"/>
          <w:lang w:val="lv-LV" w:eastAsia="lv-LV"/>
        </w:rPr>
        <w:t xml:space="preserve"> - </w:t>
      </w:r>
      <w:r w:rsidRPr="003C0B72">
        <w:t xml:space="preserve"> </w:t>
      </w:r>
      <w:r>
        <w:rPr>
          <w:rFonts w:eastAsia="Times New Roman"/>
          <w:sz w:val="24"/>
          <w:szCs w:val="24"/>
          <w:lang w:val="lv-LV" w:eastAsia="lv-LV"/>
        </w:rPr>
        <w:t>elektro</w:t>
      </w:r>
      <w:r w:rsidRPr="003C0B72">
        <w:rPr>
          <w:rFonts w:eastAsia="Times New Roman"/>
          <w:sz w:val="24"/>
          <w:szCs w:val="24"/>
          <w:lang w:val="lv-LV" w:eastAsia="lv-LV"/>
        </w:rPr>
        <w:t>enerģijas patēriņa samazinājums (MWh/gadā)</w:t>
      </w:r>
      <w:r w:rsidR="001E6E78" w:rsidRPr="001E6E78">
        <w:rPr>
          <w:rFonts w:eastAsia="Times New Roman"/>
          <w:sz w:val="24"/>
          <w:szCs w:val="24"/>
          <w:lang w:val="lv-LV" w:eastAsia="lv-LV"/>
        </w:rPr>
        <w:t>.</w:t>
      </w:r>
    </w:p>
    <w:p w14:paraId="3280A3B8" w14:textId="77777777" w:rsidR="001E6E78" w:rsidRPr="001E6E78" w:rsidRDefault="001E6E78" w:rsidP="001E6E78">
      <w:pPr>
        <w:spacing w:after="0" w:line="240" w:lineRule="auto"/>
        <w:rPr>
          <w:rFonts w:eastAsia="Times New Roman"/>
          <w:sz w:val="24"/>
          <w:szCs w:val="24"/>
          <w:lang w:val="lv-LV" w:eastAsia="lv-LV"/>
        </w:rPr>
      </w:pPr>
    </w:p>
    <w:p w14:paraId="0C159DB1" w14:textId="11282E51" w:rsidR="001E6E78" w:rsidRPr="001E6E78" w:rsidRDefault="00EF5E42" w:rsidP="001E6E78">
      <w:pPr>
        <w:spacing w:after="0" w:line="240" w:lineRule="auto"/>
        <w:jc w:val="both"/>
        <w:rPr>
          <w:rFonts w:eastAsia="Times New Roman"/>
          <w:sz w:val="24"/>
          <w:szCs w:val="24"/>
          <w:lang w:val="lv-LV" w:eastAsia="lv-LV"/>
        </w:rPr>
      </w:pPr>
      <w:r>
        <w:rPr>
          <w:rFonts w:eastAsia="Times New Roman"/>
          <w:sz w:val="24"/>
          <w:szCs w:val="24"/>
          <w:lang w:val="lv-LV" w:eastAsia="lv-LV"/>
        </w:rPr>
        <w:t>5</w:t>
      </w:r>
      <w:r w:rsidR="00AA0907">
        <w:rPr>
          <w:rFonts w:eastAsia="Times New Roman"/>
          <w:sz w:val="24"/>
          <w:szCs w:val="24"/>
          <w:lang w:val="lv-LV" w:eastAsia="lv-LV"/>
        </w:rPr>
        <w:t xml:space="preserve">. </w:t>
      </w:r>
      <w:r w:rsidR="001E6E78" w:rsidRPr="001E6E78">
        <w:rPr>
          <w:rFonts w:eastAsia="Times New Roman"/>
          <w:sz w:val="24"/>
          <w:szCs w:val="24"/>
          <w:lang w:val="lv-LV" w:eastAsia="lv-LV"/>
        </w:rPr>
        <w:t>Ja centralizētās siltumapgādes sistēmas operators veic siltumenerģijas ražošanas tehnoloģiju nomaiņu, pārejot no fosilo energoresursu izmantojošām tehnoloģijām uz atjaunojamo energoresursu izmantojošām tehnoloģijām, vai, ja ēkā tiek veikta siltumenerģijas ražošanas tehnoloģiju nomaiņa, pārejot no fosilo energoresursu izmantojošām tehnoloģijām uz atjaunojamo energoresursu izmantojošām tehnoloģijām, un ēkai pirms projekta īstenošanas siltumenerģiju nodrošina no lokālās siltumapgādes sistēmas vai individuālās siltumapgādes</w:t>
      </w:r>
      <w:r w:rsidR="00246370">
        <w:rPr>
          <w:rFonts w:eastAsia="Times New Roman"/>
          <w:sz w:val="24"/>
          <w:szCs w:val="24"/>
          <w:lang w:val="lv-LV" w:eastAsia="lv-LV"/>
        </w:rPr>
        <w:t xml:space="preserve"> sistēmas</w:t>
      </w:r>
      <w:r w:rsidR="001E6E78" w:rsidRPr="001E6E78">
        <w:rPr>
          <w:rFonts w:eastAsia="Times New Roman"/>
          <w:sz w:val="24"/>
          <w:szCs w:val="24"/>
          <w:lang w:val="lv-LV" w:eastAsia="lv-LV"/>
        </w:rPr>
        <w:t xml:space="preserve">, </w:t>
      </w:r>
      <w:r w:rsidR="00246370">
        <w:rPr>
          <w:rFonts w:eastAsia="Times New Roman"/>
          <w:sz w:val="24"/>
          <w:szCs w:val="24"/>
          <w:lang w:val="lv-LV" w:eastAsia="lv-LV"/>
        </w:rPr>
        <w:t>SEG</w:t>
      </w:r>
      <w:r w:rsidR="001E6E78" w:rsidRPr="001E6E78">
        <w:rPr>
          <w:rFonts w:eastAsia="Times New Roman"/>
          <w:sz w:val="24"/>
          <w:szCs w:val="24"/>
          <w:lang w:val="lv-LV" w:eastAsia="lv-LV"/>
        </w:rPr>
        <w:t xml:space="preserve"> emisiju samazinājumu aprēķina no atjaunojamo energoresursu tehnoloģijās </w:t>
      </w:r>
      <w:r w:rsidR="001E6E78" w:rsidRPr="001E6E78">
        <w:rPr>
          <w:rFonts w:eastAsia="Times New Roman"/>
          <w:sz w:val="24"/>
          <w:szCs w:val="24"/>
          <w:lang w:val="lv-LV" w:eastAsia="lv-LV"/>
        </w:rPr>
        <w:lastRenderedPageBreak/>
        <w:t>saražotā siltumenerģijas apjoma pēc projekta īstenošanas</w:t>
      </w:r>
      <w:r w:rsidR="00246370">
        <w:rPr>
          <w:rFonts w:eastAsia="Times New Roman"/>
          <w:sz w:val="24"/>
          <w:szCs w:val="24"/>
          <w:lang w:val="lv-LV" w:eastAsia="lv-LV"/>
        </w:rPr>
        <w:t xml:space="preserve">, piemērojot </w:t>
      </w:r>
      <w:r w:rsidR="00246370" w:rsidRPr="001E6E78">
        <w:rPr>
          <w:rFonts w:eastAsia="Times New Roman"/>
          <w:sz w:val="24"/>
          <w:szCs w:val="24"/>
          <w:lang w:val="lv-LV" w:eastAsia="lv-LV"/>
        </w:rPr>
        <w:t>esošās sadedzināšanas iekārtas (katla) lietderības koeficient</w:t>
      </w:r>
      <w:r w:rsidR="00246370">
        <w:rPr>
          <w:rFonts w:eastAsia="Times New Roman"/>
          <w:sz w:val="24"/>
          <w:szCs w:val="24"/>
          <w:lang w:val="lv-LV" w:eastAsia="lv-LV"/>
        </w:rPr>
        <w:t>u</w:t>
      </w:r>
      <w:r w:rsidR="001E6E78" w:rsidRPr="001E6E78">
        <w:rPr>
          <w:rFonts w:eastAsia="Times New Roman"/>
          <w:sz w:val="24"/>
          <w:szCs w:val="24"/>
          <w:lang w:val="lv-LV" w:eastAsia="lv-LV"/>
        </w:rPr>
        <w:t>:</w:t>
      </w:r>
    </w:p>
    <w:p w14:paraId="344F4C98" w14:textId="77777777" w:rsidR="001E6E78" w:rsidRPr="001E6E78" w:rsidRDefault="001E6E78" w:rsidP="001E6E78">
      <w:pPr>
        <w:spacing w:after="0" w:line="240" w:lineRule="auto"/>
        <w:ind w:left="360"/>
        <w:jc w:val="center"/>
        <w:rPr>
          <w:rFonts w:eastAsia="Times New Roman"/>
          <w:b/>
          <w:bCs/>
          <w:sz w:val="24"/>
          <w:szCs w:val="24"/>
          <w:lang w:val="lv-LV" w:eastAsia="lv-LV"/>
        </w:rPr>
      </w:pPr>
    </w:p>
    <w:p w14:paraId="613A2D05" w14:textId="53F97138" w:rsidR="001E6E78" w:rsidRDefault="001E6E78" w:rsidP="001E6E78">
      <w:pPr>
        <w:spacing w:after="0" w:line="240" w:lineRule="auto"/>
        <w:ind w:left="360"/>
        <w:jc w:val="center"/>
        <w:rPr>
          <w:rFonts w:eastAsia="Times New Roman"/>
          <w:b/>
          <w:bCs/>
          <w:sz w:val="24"/>
          <w:szCs w:val="24"/>
          <w:lang w:val="en-US" w:eastAsia="lv-LV"/>
        </w:rPr>
      </w:pPr>
    </w:p>
    <w:p w14:paraId="11F3E72C" w14:textId="45BAEB45" w:rsidR="00BD69F2" w:rsidRPr="001E6E78" w:rsidRDefault="00BD69F2" w:rsidP="001E6E78">
      <w:pPr>
        <w:spacing w:after="0" w:line="240" w:lineRule="auto"/>
        <w:ind w:left="360"/>
        <w:jc w:val="center"/>
        <w:rPr>
          <w:rFonts w:eastAsia="Times New Roman"/>
          <w:b/>
          <w:bCs/>
          <w:sz w:val="24"/>
          <w:szCs w:val="24"/>
          <w:lang w:val="en-US" w:eastAsia="lv-LV"/>
        </w:rPr>
      </w:pPr>
      <w:r>
        <w:rPr>
          <w:rFonts w:eastAsia="Times New Roman"/>
          <w:b/>
          <w:bCs/>
          <w:sz w:val="24"/>
          <w:szCs w:val="24"/>
          <w:lang w:val="en-US" w:eastAsia="lv-LV"/>
        </w:rPr>
        <w:t>E = (E</w:t>
      </w:r>
      <w:r w:rsidRPr="0061678E">
        <w:rPr>
          <w:rFonts w:eastAsia="Times New Roman"/>
          <w:b/>
          <w:bCs/>
          <w:sz w:val="24"/>
          <w:szCs w:val="24"/>
          <w:vertAlign w:val="subscript"/>
          <w:lang w:val="en-US" w:eastAsia="lv-LV"/>
        </w:rPr>
        <w:t>CO2.pirms</w:t>
      </w:r>
      <w:r>
        <w:rPr>
          <w:rFonts w:eastAsia="Times New Roman"/>
          <w:b/>
          <w:bCs/>
          <w:sz w:val="24"/>
          <w:szCs w:val="24"/>
          <w:lang w:val="en-US" w:eastAsia="lv-LV"/>
        </w:rPr>
        <w:t xml:space="preserve"> – E</w:t>
      </w:r>
      <w:r w:rsidRPr="0061678E">
        <w:rPr>
          <w:rFonts w:eastAsia="Times New Roman"/>
          <w:b/>
          <w:bCs/>
          <w:sz w:val="24"/>
          <w:szCs w:val="24"/>
          <w:vertAlign w:val="subscript"/>
          <w:lang w:val="en-US" w:eastAsia="lv-LV"/>
        </w:rPr>
        <w:t>CO2.pēc</w:t>
      </w:r>
      <w:r>
        <w:rPr>
          <w:rFonts w:eastAsia="Times New Roman"/>
          <w:b/>
          <w:bCs/>
          <w:sz w:val="24"/>
          <w:szCs w:val="24"/>
          <w:lang w:val="en-US" w:eastAsia="lv-LV"/>
        </w:rPr>
        <w:t xml:space="preserve">) x </w:t>
      </w:r>
      <w:r w:rsidR="00E5726C">
        <w:rPr>
          <w:rFonts w:eastAsia="Times New Roman"/>
          <w:b/>
          <w:bCs/>
          <w:sz w:val="24"/>
          <w:szCs w:val="24"/>
          <w:lang w:val="en-US" w:eastAsia="lv-LV"/>
        </w:rPr>
        <w:t>Q</w:t>
      </w:r>
      <w:r w:rsidR="00E5726C" w:rsidRPr="0061678E">
        <w:rPr>
          <w:rFonts w:eastAsia="Times New Roman"/>
          <w:b/>
          <w:bCs/>
          <w:sz w:val="24"/>
          <w:szCs w:val="24"/>
          <w:vertAlign w:val="subscript"/>
          <w:lang w:val="en-US" w:eastAsia="lv-LV"/>
        </w:rPr>
        <w:t>sar</w:t>
      </w:r>
      <w:r w:rsidR="00E5726C">
        <w:rPr>
          <w:rFonts w:eastAsia="Times New Roman"/>
          <w:b/>
          <w:bCs/>
          <w:sz w:val="24"/>
          <w:szCs w:val="24"/>
          <w:lang w:val="en-US" w:eastAsia="lv-LV"/>
        </w:rPr>
        <w:t>/</w:t>
      </w:r>
      <w:r w:rsidR="00E5726C" w:rsidRPr="00E5726C">
        <w:t xml:space="preserve"> </w:t>
      </w:r>
      <w:r w:rsidR="00E5726C" w:rsidRPr="00E5726C">
        <w:rPr>
          <w:rFonts w:eastAsia="Times New Roman"/>
          <w:b/>
          <w:bCs/>
          <w:sz w:val="24"/>
          <w:szCs w:val="24"/>
          <w:lang w:val="en-US" w:eastAsia="lv-LV"/>
        </w:rPr>
        <w:t>ɳ</w:t>
      </w:r>
    </w:p>
    <w:p w14:paraId="0FDE15CD" w14:textId="77777777" w:rsidR="001E6E78" w:rsidRPr="001E6E78" w:rsidRDefault="001E6E78" w:rsidP="001E6E78">
      <w:pPr>
        <w:spacing w:after="0" w:line="240" w:lineRule="auto"/>
        <w:ind w:left="360"/>
        <w:jc w:val="center"/>
        <w:rPr>
          <w:rFonts w:eastAsia="Times New Roman"/>
          <w:b/>
          <w:bCs/>
          <w:sz w:val="24"/>
          <w:szCs w:val="24"/>
          <w:lang w:val="en-US" w:eastAsia="lv-LV"/>
        </w:rPr>
      </w:pPr>
    </w:p>
    <w:p w14:paraId="55F70C0C" w14:textId="61761C35" w:rsidR="001E6E78" w:rsidRPr="001E6E78" w:rsidRDefault="001E6E78" w:rsidP="001E6E78">
      <w:pPr>
        <w:numPr>
          <w:ilvl w:val="0"/>
          <w:numId w:val="20"/>
        </w:numPr>
        <w:spacing w:after="0" w:line="240" w:lineRule="auto"/>
        <w:ind w:left="425" w:hanging="425"/>
        <w:jc w:val="both"/>
        <w:rPr>
          <w:rFonts w:eastAsia="Times New Roman"/>
          <w:sz w:val="24"/>
          <w:szCs w:val="24"/>
          <w:lang w:val="lv-LV" w:eastAsia="lv-LV"/>
        </w:rPr>
      </w:pPr>
      <w:r w:rsidRPr="001E6E78">
        <w:rPr>
          <w:rFonts w:eastAsia="Times New Roman"/>
          <w:sz w:val="24"/>
          <w:szCs w:val="24"/>
          <w:lang w:val="lv-LV" w:eastAsia="lv-LV"/>
        </w:rPr>
        <w:t>E – </w:t>
      </w:r>
      <w:r w:rsidR="00F63F48">
        <w:rPr>
          <w:rFonts w:eastAsia="Times New Roman"/>
          <w:sz w:val="24"/>
          <w:szCs w:val="24"/>
          <w:lang w:val="lv-LV" w:eastAsia="lv-LV"/>
        </w:rPr>
        <w:t xml:space="preserve">SEG </w:t>
      </w:r>
      <w:r w:rsidRPr="001E6E78">
        <w:rPr>
          <w:rFonts w:eastAsia="Times New Roman"/>
          <w:sz w:val="24"/>
          <w:szCs w:val="24"/>
          <w:lang w:val="lv-LV" w:eastAsia="lv-LV"/>
        </w:rPr>
        <w:t xml:space="preserve"> emisij</w:t>
      </w:r>
      <w:r w:rsidR="00F63F48">
        <w:rPr>
          <w:rFonts w:eastAsia="Times New Roman"/>
          <w:sz w:val="24"/>
          <w:szCs w:val="24"/>
          <w:lang w:val="lv-LV" w:eastAsia="lv-LV"/>
        </w:rPr>
        <w:t>u</w:t>
      </w:r>
      <w:r w:rsidRPr="001E6E78">
        <w:rPr>
          <w:rFonts w:eastAsia="Times New Roman"/>
          <w:sz w:val="24"/>
          <w:szCs w:val="24"/>
          <w:lang w:val="lv-LV" w:eastAsia="lv-LV"/>
        </w:rPr>
        <w:t xml:space="preserve"> samazinājums gadā (t CO</w:t>
      </w:r>
      <w:r w:rsidRPr="001E6E78">
        <w:rPr>
          <w:rFonts w:eastAsia="Times New Roman"/>
          <w:sz w:val="24"/>
          <w:szCs w:val="24"/>
          <w:vertAlign w:val="subscript"/>
          <w:lang w:val="lv-LV" w:eastAsia="lv-LV"/>
        </w:rPr>
        <w:t>2</w:t>
      </w:r>
      <w:r w:rsidR="00F63F48">
        <w:rPr>
          <w:rFonts w:eastAsia="Times New Roman"/>
          <w:sz w:val="24"/>
          <w:szCs w:val="24"/>
          <w:vertAlign w:val="subscript"/>
          <w:lang w:val="lv-LV" w:eastAsia="lv-LV"/>
        </w:rPr>
        <w:t xml:space="preserve"> </w:t>
      </w:r>
      <w:r w:rsidR="00F63F48">
        <w:rPr>
          <w:rFonts w:eastAsia="Times New Roman"/>
          <w:sz w:val="24"/>
          <w:szCs w:val="24"/>
          <w:lang w:val="lv-LV" w:eastAsia="lv-LV"/>
        </w:rPr>
        <w:t>ekv.</w:t>
      </w:r>
      <w:r w:rsidRPr="001E6E78">
        <w:rPr>
          <w:rFonts w:eastAsia="Times New Roman"/>
          <w:sz w:val="24"/>
          <w:szCs w:val="24"/>
          <w:lang w:val="lv-LV" w:eastAsia="lv-LV"/>
        </w:rPr>
        <w:t>/gadā);</w:t>
      </w:r>
    </w:p>
    <w:p w14:paraId="01961981" w14:textId="19AD6D1A" w:rsidR="001E6E78" w:rsidRDefault="001E6E78" w:rsidP="001E6E78">
      <w:pPr>
        <w:numPr>
          <w:ilvl w:val="0"/>
          <w:numId w:val="20"/>
        </w:numPr>
        <w:spacing w:after="0" w:line="240" w:lineRule="auto"/>
        <w:ind w:left="425" w:hanging="425"/>
        <w:jc w:val="both"/>
        <w:rPr>
          <w:rFonts w:eastAsia="Times New Roman"/>
          <w:sz w:val="24"/>
          <w:szCs w:val="24"/>
          <w:lang w:val="lv-LV" w:eastAsia="lv-LV"/>
        </w:rPr>
      </w:pPr>
      <w:r w:rsidRPr="001E6E78">
        <w:rPr>
          <w:rFonts w:eastAsia="Times New Roman"/>
          <w:sz w:val="24"/>
          <w:szCs w:val="24"/>
          <w:lang w:val="lv-LV" w:eastAsia="lv-LV"/>
        </w:rPr>
        <w:t>E</w:t>
      </w:r>
      <w:r w:rsidRPr="001E6E78">
        <w:rPr>
          <w:rFonts w:eastAsia="Times New Roman"/>
          <w:sz w:val="24"/>
          <w:szCs w:val="24"/>
          <w:vertAlign w:val="subscript"/>
          <w:lang w:val="lv-LV" w:eastAsia="lv-LV"/>
        </w:rPr>
        <w:t>CO2</w:t>
      </w:r>
      <w:r w:rsidR="00516349">
        <w:rPr>
          <w:rFonts w:eastAsia="Times New Roman"/>
          <w:sz w:val="24"/>
          <w:szCs w:val="24"/>
          <w:vertAlign w:val="subscript"/>
          <w:lang w:val="lv-LV" w:eastAsia="lv-LV"/>
        </w:rPr>
        <w:t>.pirms</w:t>
      </w:r>
      <w:r w:rsidRPr="001E6E78">
        <w:rPr>
          <w:rFonts w:eastAsia="Times New Roman"/>
          <w:sz w:val="24"/>
          <w:szCs w:val="24"/>
          <w:lang w:val="lv-LV" w:eastAsia="lv-LV"/>
        </w:rPr>
        <w:t xml:space="preserve"> – emisijas faktors </w:t>
      </w:r>
      <w:r w:rsidR="00F63F48">
        <w:rPr>
          <w:rFonts w:eastAsia="Times New Roman"/>
          <w:sz w:val="24"/>
          <w:szCs w:val="24"/>
          <w:lang w:val="lv-LV" w:eastAsia="lv-LV"/>
        </w:rPr>
        <w:t xml:space="preserve">izmantotajam </w:t>
      </w:r>
      <w:r w:rsidR="00FE3426">
        <w:rPr>
          <w:rFonts w:eastAsia="Times New Roman"/>
          <w:sz w:val="24"/>
          <w:szCs w:val="24"/>
          <w:lang w:val="lv-LV" w:eastAsia="lv-LV"/>
        </w:rPr>
        <w:t xml:space="preserve">fosilajam </w:t>
      </w:r>
      <w:r w:rsidR="00516349" w:rsidRPr="00516349">
        <w:rPr>
          <w:rFonts w:eastAsia="Times New Roman"/>
          <w:sz w:val="24"/>
          <w:szCs w:val="24"/>
          <w:lang w:val="lv-LV" w:eastAsia="lv-LV"/>
        </w:rPr>
        <w:t xml:space="preserve">energoresursam pirms atjaunojamo energoresursu tehnoloģiju uzstādīšanas </w:t>
      </w:r>
      <w:r w:rsidR="00246370">
        <w:rPr>
          <w:rFonts w:eastAsia="Times New Roman"/>
          <w:iCs/>
          <w:sz w:val="24"/>
          <w:szCs w:val="24"/>
          <w:lang w:val="lv-LV" w:eastAsia="lv-LV"/>
        </w:rPr>
        <w:t>(</w:t>
      </w:r>
      <w:r w:rsidRPr="00752C54">
        <w:rPr>
          <w:rFonts w:eastAsia="Times New Roman"/>
          <w:iCs/>
          <w:sz w:val="24"/>
          <w:szCs w:val="24"/>
          <w:lang w:val="lv-LV" w:eastAsia="lv-LV"/>
        </w:rPr>
        <w:t>tCO</w:t>
      </w:r>
      <w:r w:rsidRPr="00752C54">
        <w:rPr>
          <w:rFonts w:eastAsia="Times New Roman"/>
          <w:iCs/>
          <w:sz w:val="24"/>
          <w:szCs w:val="24"/>
          <w:vertAlign w:val="subscript"/>
          <w:lang w:val="lv-LV" w:eastAsia="lv-LV"/>
        </w:rPr>
        <w:t>2</w:t>
      </w:r>
      <w:r w:rsidRPr="00752C54">
        <w:rPr>
          <w:rFonts w:eastAsia="Times New Roman"/>
          <w:iCs/>
          <w:sz w:val="24"/>
          <w:szCs w:val="24"/>
          <w:lang w:val="lv-LV" w:eastAsia="lv-LV"/>
        </w:rPr>
        <w:t>/MWh</w:t>
      </w:r>
      <w:r w:rsidR="00246370">
        <w:rPr>
          <w:rFonts w:eastAsia="Times New Roman"/>
          <w:iCs/>
          <w:sz w:val="24"/>
          <w:szCs w:val="24"/>
          <w:lang w:val="lv-LV" w:eastAsia="lv-LV"/>
        </w:rPr>
        <w:t>)</w:t>
      </w:r>
      <w:r w:rsidRPr="001E6E78">
        <w:rPr>
          <w:rFonts w:eastAsia="Times New Roman"/>
          <w:i/>
          <w:iCs/>
          <w:sz w:val="24"/>
          <w:szCs w:val="24"/>
          <w:lang w:val="lv-LV" w:eastAsia="lv-LV"/>
        </w:rPr>
        <w:t xml:space="preserve">, </w:t>
      </w:r>
      <w:r w:rsidR="00246370">
        <w:rPr>
          <w:rFonts w:eastAsia="Times New Roman"/>
          <w:sz w:val="24"/>
          <w:szCs w:val="24"/>
          <w:lang w:val="lv-LV" w:eastAsia="lv-LV"/>
        </w:rPr>
        <w:t>atbilstoši</w:t>
      </w:r>
      <w:r w:rsidR="00246370" w:rsidRPr="001E6E78">
        <w:rPr>
          <w:rFonts w:eastAsia="Times New Roman"/>
          <w:sz w:val="24"/>
          <w:szCs w:val="24"/>
          <w:lang w:val="lv-LV" w:eastAsia="lv-LV"/>
        </w:rPr>
        <w:t xml:space="preserve"> </w:t>
      </w:r>
      <w:r w:rsidR="00487507" w:rsidRPr="00DA275A">
        <w:rPr>
          <w:rFonts w:eastAsia="Times New Roman"/>
          <w:sz w:val="24"/>
          <w:szCs w:val="24"/>
          <w:lang w:val="lv-LV" w:eastAsia="lv-LV"/>
        </w:rPr>
        <w:t xml:space="preserve">MK noteikumiem Nr.222 </w:t>
      </w:r>
      <w:r w:rsidRPr="001E6E78">
        <w:rPr>
          <w:rFonts w:eastAsia="Times New Roman"/>
          <w:sz w:val="24"/>
          <w:szCs w:val="24"/>
          <w:lang w:val="lv-LV" w:eastAsia="lv-LV"/>
        </w:rPr>
        <w:t>;</w:t>
      </w:r>
    </w:p>
    <w:p w14:paraId="56B539D4" w14:textId="07DC3836" w:rsidR="00516349" w:rsidRPr="001E6E78" w:rsidRDefault="00516349" w:rsidP="001E6E78">
      <w:pPr>
        <w:numPr>
          <w:ilvl w:val="0"/>
          <w:numId w:val="20"/>
        </w:numPr>
        <w:spacing w:after="0" w:line="240" w:lineRule="auto"/>
        <w:ind w:left="425" w:hanging="425"/>
        <w:jc w:val="both"/>
        <w:rPr>
          <w:rFonts w:eastAsia="Times New Roman"/>
          <w:sz w:val="24"/>
          <w:szCs w:val="24"/>
          <w:lang w:val="lv-LV" w:eastAsia="lv-LV"/>
        </w:rPr>
      </w:pPr>
      <w:r w:rsidRPr="001E6E78">
        <w:rPr>
          <w:rFonts w:eastAsia="Times New Roman"/>
          <w:sz w:val="24"/>
          <w:szCs w:val="24"/>
          <w:lang w:val="lv-LV" w:eastAsia="lv-LV"/>
        </w:rPr>
        <w:t>E</w:t>
      </w:r>
      <w:r w:rsidRPr="001E6E78">
        <w:rPr>
          <w:rFonts w:eastAsia="Times New Roman"/>
          <w:sz w:val="24"/>
          <w:szCs w:val="24"/>
          <w:vertAlign w:val="subscript"/>
          <w:lang w:val="lv-LV" w:eastAsia="lv-LV"/>
        </w:rPr>
        <w:t>CO2</w:t>
      </w:r>
      <w:r>
        <w:rPr>
          <w:rFonts w:eastAsia="Times New Roman"/>
          <w:sz w:val="24"/>
          <w:szCs w:val="24"/>
          <w:vertAlign w:val="subscript"/>
          <w:lang w:val="lv-LV" w:eastAsia="lv-LV"/>
        </w:rPr>
        <w:t>.pēc</w:t>
      </w:r>
      <w:r w:rsidRPr="001E6E78">
        <w:rPr>
          <w:rFonts w:eastAsia="Times New Roman"/>
          <w:sz w:val="24"/>
          <w:szCs w:val="24"/>
          <w:lang w:val="lv-LV" w:eastAsia="lv-LV"/>
        </w:rPr>
        <w:t> – emisijas faktors </w:t>
      </w:r>
      <w:r w:rsidR="00FE3426">
        <w:rPr>
          <w:rFonts w:eastAsia="Times New Roman"/>
          <w:sz w:val="24"/>
          <w:szCs w:val="24"/>
          <w:lang w:val="lv-LV" w:eastAsia="lv-LV"/>
        </w:rPr>
        <w:t xml:space="preserve">izmantotajam </w:t>
      </w:r>
      <w:r>
        <w:rPr>
          <w:rFonts w:eastAsia="Times New Roman"/>
          <w:sz w:val="24"/>
          <w:szCs w:val="24"/>
          <w:lang w:val="lv-LV" w:eastAsia="lv-LV"/>
        </w:rPr>
        <w:t xml:space="preserve">atjaunojamam energoresursam pēc </w:t>
      </w:r>
      <w:r w:rsidR="00FE3426">
        <w:rPr>
          <w:rFonts w:eastAsia="Times New Roman"/>
          <w:sz w:val="24"/>
          <w:szCs w:val="24"/>
          <w:lang w:val="lv-LV" w:eastAsia="lv-LV"/>
        </w:rPr>
        <w:t xml:space="preserve">atjaunojamo energoresursu </w:t>
      </w:r>
      <w:r w:rsidRPr="00A835D8">
        <w:rPr>
          <w:rFonts w:eastAsia="Times New Roman"/>
          <w:sz w:val="24"/>
          <w:szCs w:val="24"/>
          <w:lang w:val="lv-LV" w:eastAsia="lv-LV"/>
        </w:rPr>
        <w:t>tehnoloģiju uzstādīšana</w:t>
      </w:r>
      <w:r>
        <w:rPr>
          <w:rFonts w:eastAsia="Times New Roman"/>
          <w:sz w:val="24"/>
          <w:szCs w:val="24"/>
          <w:lang w:val="lv-LV" w:eastAsia="lv-LV"/>
        </w:rPr>
        <w:t>s</w:t>
      </w:r>
      <w:r w:rsidRPr="00A835D8" w:rsidDel="003C2E5F">
        <w:rPr>
          <w:rFonts w:eastAsia="Times New Roman"/>
          <w:sz w:val="24"/>
          <w:szCs w:val="24"/>
          <w:lang w:val="lv-LV" w:eastAsia="lv-LV"/>
        </w:rPr>
        <w:t xml:space="preserve"> </w:t>
      </w:r>
      <w:r w:rsidR="00066EE4">
        <w:rPr>
          <w:rFonts w:eastAsia="Times New Roman"/>
          <w:iCs/>
          <w:sz w:val="24"/>
          <w:szCs w:val="24"/>
          <w:lang w:val="lv-LV" w:eastAsia="lv-LV"/>
        </w:rPr>
        <w:t>(</w:t>
      </w:r>
      <w:r w:rsidR="00066EE4" w:rsidRPr="00752C54">
        <w:rPr>
          <w:rFonts w:eastAsia="Times New Roman"/>
          <w:iCs/>
          <w:sz w:val="24"/>
          <w:szCs w:val="24"/>
          <w:lang w:val="lv-LV" w:eastAsia="lv-LV"/>
        </w:rPr>
        <w:t>tCO</w:t>
      </w:r>
      <w:r w:rsidR="00066EE4" w:rsidRPr="00752C54">
        <w:rPr>
          <w:rFonts w:eastAsia="Times New Roman"/>
          <w:iCs/>
          <w:sz w:val="24"/>
          <w:szCs w:val="24"/>
          <w:vertAlign w:val="subscript"/>
          <w:lang w:val="lv-LV" w:eastAsia="lv-LV"/>
        </w:rPr>
        <w:t>2</w:t>
      </w:r>
      <w:r w:rsidR="00066EE4" w:rsidRPr="00752C54">
        <w:rPr>
          <w:rFonts w:eastAsia="Times New Roman"/>
          <w:iCs/>
          <w:sz w:val="24"/>
          <w:szCs w:val="24"/>
          <w:lang w:val="lv-LV" w:eastAsia="lv-LV"/>
        </w:rPr>
        <w:t>/MWh</w:t>
      </w:r>
      <w:r w:rsidR="00066EE4">
        <w:rPr>
          <w:rFonts w:eastAsia="Times New Roman"/>
          <w:iCs/>
          <w:sz w:val="24"/>
          <w:szCs w:val="24"/>
          <w:lang w:val="lv-LV" w:eastAsia="lv-LV"/>
        </w:rPr>
        <w:t xml:space="preserve">) </w:t>
      </w:r>
      <w:r w:rsidRPr="001E6E78">
        <w:rPr>
          <w:rFonts w:eastAsia="Times New Roman"/>
          <w:sz w:val="24"/>
          <w:szCs w:val="24"/>
          <w:lang w:val="lv-LV" w:eastAsia="lv-LV"/>
        </w:rPr>
        <w:t>atbilstoši MK noteikumiem Nr.</w:t>
      </w:r>
      <w:r>
        <w:rPr>
          <w:rFonts w:eastAsia="Times New Roman"/>
          <w:sz w:val="24"/>
          <w:szCs w:val="24"/>
          <w:lang w:val="lv-LV" w:eastAsia="lv-LV"/>
        </w:rPr>
        <w:t>222</w:t>
      </w:r>
      <w:r w:rsidRPr="001E6E78">
        <w:rPr>
          <w:rFonts w:eastAsia="Times New Roman"/>
          <w:sz w:val="24"/>
          <w:szCs w:val="24"/>
          <w:lang w:val="lv-LV" w:eastAsia="lv-LV"/>
        </w:rPr>
        <w:t>;</w:t>
      </w:r>
    </w:p>
    <w:p w14:paraId="765D27FA" w14:textId="77777777" w:rsidR="001E6E78" w:rsidRPr="001E6E78" w:rsidRDefault="001E6E78" w:rsidP="001E6E78">
      <w:pPr>
        <w:numPr>
          <w:ilvl w:val="0"/>
          <w:numId w:val="20"/>
        </w:numPr>
        <w:spacing w:after="0" w:line="240" w:lineRule="auto"/>
        <w:ind w:left="425" w:hanging="425"/>
        <w:jc w:val="both"/>
        <w:rPr>
          <w:rFonts w:eastAsia="Times New Roman"/>
          <w:sz w:val="24"/>
          <w:szCs w:val="24"/>
          <w:lang w:val="lv-LV" w:eastAsia="lv-LV"/>
        </w:rPr>
      </w:pPr>
      <w:r w:rsidRPr="001E6E78">
        <w:rPr>
          <w:rFonts w:eastAsia="Times New Roman"/>
          <w:bCs/>
          <w:sz w:val="24"/>
          <w:szCs w:val="24"/>
          <w:lang w:val="lv-LV" w:eastAsia="lv-LV"/>
        </w:rPr>
        <w:t>Q</w:t>
      </w:r>
      <w:r w:rsidRPr="001E6E78">
        <w:rPr>
          <w:rFonts w:eastAsia="Times New Roman"/>
          <w:bCs/>
          <w:sz w:val="24"/>
          <w:szCs w:val="24"/>
          <w:vertAlign w:val="subscript"/>
          <w:lang w:val="lv-LV" w:eastAsia="lv-LV"/>
        </w:rPr>
        <w:t>sa</w:t>
      </w:r>
      <w:r w:rsidR="00B7150A">
        <w:rPr>
          <w:rFonts w:eastAsia="Times New Roman"/>
          <w:bCs/>
          <w:sz w:val="24"/>
          <w:szCs w:val="24"/>
          <w:vertAlign w:val="subscript"/>
          <w:lang w:val="lv-LV" w:eastAsia="lv-LV"/>
        </w:rPr>
        <w:t>r</w:t>
      </w:r>
      <w:r w:rsidRPr="001E6E78">
        <w:rPr>
          <w:rFonts w:eastAsia="Times New Roman"/>
          <w:sz w:val="24"/>
          <w:szCs w:val="24"/>
          <w:lang w:val="lv-LV" w:eastAsia="lv-LV"/>
        </w:rPr>
        <w:t> – ar atjaunojamo energoresursu tehnoloģijām saražotais siltumenerģijas apjoms pēc projekta īstenošanas (MWh/gadā);</w:t>
      </w:r>
    </w:p>
    <w:p w14:paraId="6ED391E9" w14:textId="77777777" w:rsidR="001E6E78" w:rsidRPr="001E6E78" w:rsidRDefault="001E6E78" w:rsidP="001E6E78">
      <w:pPr>
        <w:numPr>
          <w:ilvl w:val="0"/>
          <w:numId w:val="20"/>
        </w:numPr>
        <w:spacing w:after="0" w:line="240" w:lineRule="auto"/>
        <w:ind w:left="425" w:hanging="425"/>
        <w:jc w:val="both"/>
        <w:rPr>
          <w:rFonts w:eastAsia="Times New Roman"/>
          <w:sz w:val="24"/>
          <w:szCs w:val="24"/>
          <w:lang w:val="lv-LV" w:eastAsia="lv-LV"/>
        </w:rPr>
      </w:pPr>
      <w:r w:rsidRPr="001E6E78">
        <w:rPr>
          <w:rFonts w:eastAsia="MS Mincho" w:hAnsi="MS Mincho"/>
          <w:bCs/>
          <w:sz w:val="24"/>
          <w:szCs w:val="24"/>
          <w:lang w:val="lv-LV" w:eastAsia="lv-LV"/>
        </w:rPr>
        <w:t>ɳ</w:t>
      </w:r>
      <w:r w:rsidRPr="001E6E78">
        <w:rPr>
          <w:rFonts w:eastAsia="Times New Roman"/>
          <w:sz w:val="24"/>
          <w:szCs w:val="24"/>
          <w:lang w:val="lv-LV" w:eastAsia="lv-LV"/>
        </w:rPr>
        <w:t xml:space="preserve"> - esošās sadedzināšanas iekārtas (katla) lietderības koeficients, kas ir 0,9, ja izmanto dabasgāzi vai dīzeļdegvielu, un 0,85, ja izmanto citus kurināmā veidus. </w:t>
      </w:r>
      <w:r w:rsidR="00B7150A">
        <w:rPr>
          <w:rFonts w:eastAsia="Times New Roman"/>
          <w:sz w:val="24"/>
          <w:szCs w:val="24"/>
          <w:lang w:val="lv-LV" w:eastAsia="lv-LV"/>
        </w:rPr>
        <w:t>Finansējuma saņēmējs</w:t>
      </w:r>
      <w:r w:rsidRPr="001E6E78">
        <w:rPr>
          <w:rFonts w:eastAsia="Times New Roman"/>
          <w:sz w:val="24"/>
          <w:szCs w:val="24"/>
          <w:lang w:val="lv-LV" w:eastAsia="lv-LV"/>
        </w:rPr>
        <w:t xml:space="preserve"> var izmantot citu lietderības koeficienta vērtību, ja tas tiek dokumentāri pierādīts.</w:t>
      </w:r>
    </w:p>
    <w:p w14:paraId="45919932" w14:textId="77777777" w:rsidR="001E6E78" w:rsidRPr="001E6E78" w:rsidRDefault="001E6E78" w:rsidP="001E6E78">
      <w:pPr>
        <w:spacing w:after="0" w:line="240" w:lineRule="auto"/>
        <w:rPr>
          <w:rFonts w:eastAsia="Times New Roman"/>
          <w:sz w:val="24"/>
          <w:szCs w:val="24"/>
          <w:lang w:val="lv-LV" w:eastAsia="lv-LV"/>
        </w:rPr>
      </w:pPr>
    </w:p>
    <w:p w14:paraId="1B5B1849" w14:textId="77777777" w:rsidR="001E6E78" w:rsidRDefault="001E6E78" w:rsidP="00A85643">
      <w:pPr>
        <w:spacing w:after="0" w:line="240" w:lineRule="auto"/>
        <w:ind w:firstLine="720"/>
        <w:jc w:val="both"/>
        <w:rPr>
          <w:sz w:val="24"/>
          <w:szCs w:val="24"/>
          <w:lang w:val="lv-LV"/>
        </w:rPr>
      </w:pPr>
    </w:p>
    <w:p w14:paraId="10BF70D4" w14:textId="4BA4EA56" w:rsidR="00537BA6" w:rsidRDefault="0003285D" w:rsidP="00752C54">
      <w:pPr>
        <w:spacing w:after="0" w:line="240" w:lineRule="auto"/>
        <w:jc w:val="both"/>
        <w:rPr>
          <w:sz w:val="24"/>
          <w:szCs w:val="24"/>
          <w:lang w:val="lv-LV"/>
        </w:rPr>
      </w:pPr>
      <w:r>
        <w:rPr>
          <w:sz w:val="24"/>
          <w:szCs w:val="24"/>
          <w:lang w:val="lv-LV"/>
        </w:rPr>
        <w:t>Oglekļa dioksīda (CO</w:t>
      </w:r>
      <w:r w:rsidRPr="00752C54">
        <w:rPr>
          <w:sz w:val="24"/>
          <w:szCs w:val="24"/>
          <w:vertAlign w:val="subscript"/>
          <w:lang w:val="lv-LV"/>
        </w:rPr>
        <w:t>2</w:t>
      </w:r>
      <w:r>
        <w:rPr>
          <w:sz w:val="24"/>
          <w:szCs w:val="24"/>
          <w:lang w:val="lv-LV"/>
        </w:rPr>
        <w:t xml:space="preserve">) emisijas faktors ēkas apkurē izmantotajiem atjaunojamajiem energoresursiem </w:t>
      </w:r>
      <w:r w:rsidR="000721F5">
        <w:rPr>
          <w:sz w:val="24"/>
          <w:szCs w:val="24"/>
          <w:lang w:val="lv-LV"/>
        </w:rPr>
        <w:t xml:space="preserve">apstiprinātajām atlases kārtām līdz 2021.gada </w:t>
      </w:r>
      <w:r w:rsidR="00E34745">
        <w:rPr>
          <w:sz w:val="24"/>
          <w:szCs w:val="24"/>
          <w:lang w:val="lv-LV"/>
        </w:rPr>
        <w:t>3</w:t>
      </w:r>
      <w:r w:rsidR="00A25B54">
        <w:rPr>
          <w:sz w:val="24"/>
          <w:szCs w:val="24"/>
          <w:lang w:val="lv-LV"/>
        </w:rPr>
        <w:t>.</w:t>
      </w:r>
      <w:r w:rsidR="00E008F1">
        <w:rPr>
          <w:sz w:val="24"/>
          <w:szCs w:val="24"/>
          <w:lang w:val="lv-LV"/>
        </w:rPr>
        <w:t xml:space="preserve">jūnijam </w:t>
      </w:r>
      <w:r>
        <w:rPr>
          <w:sz w:val="24"/>
          <w:szCs w:val="24"/>
          <w:lang w:val="lv-LV"/>
        </w:rPr>
        <w:t>ir 0,264 tCO</w:t>
      </w:r>
      <w:r w:rsidRPr="00752C54">
        <w:rPr>
          <w:sz w:val="24"/>
          <w:szCs w:val="24"/>
          <w:vertAlign w:val="subscript"/>
          <w:lang w:val="lv-LV"/>
        </w:rPr>
        <w:t>2</w:t>
      </w:r>
      <w:r>
        <w:rPr>
          <w:sz w:val="24"/>
          <w:szCs w:val="24"/>
          <w:lang w:val="lv-LV"/>
        </w:rPr>
        <w:t>/MWh, ja darbības programmas “Izaugsme un nodarbinātība” specifisko atbalsta mērķu īstenošanas noteikumos ir iekļauts šāds nosacījums.</w:t>
      </w:r>
    </w:p>
    <w:p w14:paraId="776771A4" w14:textId="47275707" w:rsidR="00E0037E" w:rsidRDefault="00E0037E" w:rsidP="00752C54">
      <w:pPr>
        <w:spacing w:after="0" w:line="240" w:lineRule="auto"/>
        <w:jc w:val="both"/>
        <w:rPr>
          <w:sz w:val="24"/>
          <w:szCs w:val="24"/>
          <w:lang w:val="lv-LV"/>
        </w:rPr>
      </w:pPr>
    </w:p>
    <w:sectPr w:rsidR="00E0037E" w:rsidSect="00404BF2">
      <w:pgSz w:w="11906" w:h="16838" w:code="9"/>
      <w:pgMar w:top="1418" w:right="1134"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11A87" w16cex:dateUtc="2021-06-13T21:00:00Z"/>
  <w16cex:commentExtensible w16cex:durableId="24737254" w16cex:dateUtc="2021-06-15T15:39:00Z"/>
  <w16cex:commentExtensible w16cex:durableId="24773532" w16cex:dateUtc="2021-06-18T12:07:00Z"/>
  <w16cex:commentExtensible w16cex:durableId="24711AD3" w16cex:dateUtc="2021-06-13T21:01:00Z"/>
  <w16cex:commentExtensible w16cex:durableId="246DA3D2" w16cex:dateUtc="2021-06-11T05:56:00Z"/>
  <w16cex:commentExtensible w16cex:durableId="24736EE5" w16cex:dateUtc="2021-06-15T15:24:00Z"/>
  <w16cex:commentExtensible w16cex:durableId="24622BCE" w16cex:dateUtc="2021-06-02T1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07DE33" w16cid:durableId="24711A87"/>
  <w16cid:commentId w16cid:paraId="705E0A18" w16cid:durableId="24735951"/>
  <w16cid:commentId w16cid:paraId="76902FF7" w16cid:durableId="24737254"/>
  <w16cid:commentId w16cid:paraId="0F8C857F" w16cid:durableId="24773532"/>
  <w16cid:commentId w16cid:paraId="64D3F843" w16cid:durableId="24711AD3"/>
  <w16cid:commentId w16cid:paraId="300FE523" w16cid:durableId="24735953"/>
  <w16cid:commentId w16cid:paraId="33C8C97A" w16cid:durableId="246DA3D2"/>
  <w16cid:commentId w16cid:paraId="02A9FE1E" w16cid:durableId="24735955"/>
  <w16cid:commentId w16cid:paraId="06553E2E" w16cid:durableId="24736EE5"/>
  <w16cid:commentId w16cid:paraId="6764426D" w16cid:durableId="24622BCE"/>
  <w16cid:commentId w16cid:paraId="63221B2D" w16cid:durableId="247359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FD7C3" w14:textId="77777777" w:rsidR="00EA33BF" w:rsidRDefault="00EA33BF" w:rsidP="000F79A4">
      <w:pPr>
        <w:spacing w:after="0" w:line="240" w:lineRule="auto"/>
      </w:pPr>
      <w:r>
        <w:separator/>
      </w:r>
    </w:p>
  </w:endnote>
  <w:endnote w:type="continuationSeparator" w:id="0">
    <w:p w14:paraId="11C25F1B" w14:textId="77777777" w:rsidR="00EA33BF" w:rsidRDefault="00EA33BF" w:rsidP="000F7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 JULIAN">
    <w:charset w:val="00"/>
    <w:family w:val="auto"/>
    <w:pitch w:val="variable"/>
    <w:sig w:usb0="8000002F" w:usb1="0000000A"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us">
    <w:charset w:val="00"/>
    <w:family w:val="roman"/>
    <w:pitch w:val="variable"/>
    <w:sig w:usb0="00002003" w:usb1="80000000" w:usb2="00000008" w:usb3="00000000" w:csb0="0000004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26EB7" w14:textId="77777777" w:rsidR="00EA33BF" w:rsidRDefault="00EA33BF" w:rsidP="000F79A4">
      <w:pPr>
        <w:spacing w:after="0" w:line="240" w:lineRule="auto"/>
      </w:pPr>
      <w:r>
        <w:separator/>
      </w:r>
    </w:p>
  </w:footnote>
  <w:footnote w:type="continuationSeparator" w:id="0">
    <w:p w14:paraId="16C1D3CE" w14:textId="77777777" w:rsidR="00EA33BF" w:rsidRDefault="00EA33BF" w:rsidP="000F79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29A2"/>
    <w:multiLevelType w:val="hybridMultilevel"/>
    <w:tmpl w:val="C5085AC4"/>
    <w:lvl w:ilvl="0" w:tplc="74E4B05A">
      <w:start w:val="1"/>
      <w:numFmt w:val="bullet"/>
      <w:lvlText w:val="-"/>
      <w:lvlJc w:val="left"/>
      <w:pPr>
        <w:ind w:left="720" w:hanging="360"/>
      </w:pPr>
      <w:rPr>
        <w:rFonts w:ascii="AR JULIAN" w:hAnsi="AR JULI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9E63FA"/>
    <w:multiLevelType w:val="hybridMultilevel"/>
    <w:tmpl w:val="83863558"/>
    <w:lvl w:ilvl="0" w:tplc="E1BEB6FE">
      <w:start w:val="1"/>
      <w:numFmt w:val="bullet"/>
      <w:lvlText w:val="-"/>
      <w:lvlJc w:val="left"/>
      <w:pPr>
        <w:ind w:left="720" w:hanging="360"/>
      </w:pPr>
      <w:rPr>
        <w:rFonts w:ascii="Andalus" w:hAnsi="Andalu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F57061"/>
    <w:multiLevelType w:val="hybridMultilevel"/>
    <w:tmpl w:val="36D2739E"/>
    <w:lvl w:ilvl="0" w:tplc="E1BEB6FE">
      <w:start w:val="1"/>
      <w:numFmt w:val="bullet"/>
      <w:lvlText w:val="-"/>
      <w:lvlJc w:val="left"/>
      <w:pPr>
        <w:ind w:left="720" w:hanging="360"/>
      </w:pPr>
      <w:rPr>
        <w:rFonts w:ascii="Andalus" w:hAnsi="Andalu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B02751"/>
    <w:multiLevelType w:val="hybridMultilevel"/>
    <w:tmpl w:val="1C6CC340"/>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 w15:restartNumberingAfterBreak="0">
    <w:nsid w:val="07CC4419"/>
    <w:multiLevelType w:val="hybridMultilevel"/>
    <w:tmpl w:val="870A1C5A"/>
    <w:lvl w:ilvl="0" w:tplc="E1BEB6FE">
      <w:start w:val="1"/>
      <w:numFmt w:val="bullet"/>
      <w:lvlText w:val="-"/>
      <w:lvlJc w:val="left"/>
      <w:pPr>
        <w:ind w:left="720" w:hanging="360"/>
      </w:pPr>
      <w:rPr>
        <w:rFonts w:ascii="Andalus" w:hAnsi="Andalu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E356A5"/>
    <w:multiLevelType w:val="hybridMultilevel"/>
    <w:tmpl w:val="E5D8437A"/>
    <w:lvl w:ilvl="0" w:tplc="0D34E7A2">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E35660"/>
    <w:multiLevelType w:val="hybridMultilevel"/>
    <w:tmpl w:val="D2D853D8"/>
    <w:lvl w:ilvl="0" w:tplc="E1BEB6FE">
      <w:start w:val="1"/>
      <w:numFmt w:val="bullet"/>
      <w:lvlText w:val="-"/>
      <w:lvlJc w:val="left"/>
      <w:pPr>
        <w:ind w:left="720" w:hanging="360"/>
      </w:pPr>
      <w:rPr>
        <w:rFonts w:ascii="Andalus" w:hAnsi="Andalu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1E3A47"/>
    <w:multiLevelType w:val="hybridMultilevel"/>
    <w:tmpl w:val="0AC21B24"/>
    <w:lvl w:ilvl="0" w:tplc="E1BEB6FE">
      <w:start w:val="1"/>
      <w:numFmt w:val="bullet"/>
      <w:lvlText w:val="-"/>
      <w:lvlJc w:val="left"/>
      <w:pPr>
        <w:ind w:left="720" w:hanging="360"/>
      </w:pPr>
      <w:rPr>
        <w:rFonts w:ascii="Andalus" w:hAnsi="Andalu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69717C"/>
    <w:multiLevelType w:val="hybridMultilevel"/>
    <w:tmpl w:val="57FA68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8A4F57"/>
    <w:multiLevelType w:val="hybridMultilevel"/>
    <w:tmpl w:val="18F034CE"/>
    <w:lvl w:ilvl="0" w:tplc="E1BEB6FE">
      <w:start w:val="1"/>
      <w:numFmt w:val="bullet"/>
      <w:lvlText w:val="-"/>
      <w:lvlJc w:val="left"/>
      <w:pPr>
        <w:ind w:left="720" w:hanging="360"/>
      </w:pPr>
      <w:rPr>
        <w:rFonts w:ascii="Andalus" w:hAnsi="Andalus" w:hint="default"/>
      </w:rPr>
    </w:lvl>
    <w:lvl w:ilvl="1" w:tplc="E1BEB6FE">
      <w:start w:val="1"/>
      <w:numFmt w:val="bullet"/>
      <w:lvlText w:val="-"/>
      <w:lvlJc w:val="left"/>
      <w:pPr>
        <w:ind w:left="1800" w:hanging="720"/>
      </w:pPr>
      <w:rPr>
        <w:rFonts w:ascii="Andalus" w:hAnsi="Andalu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C92C11"/>
    <w:multiLevelType w:val="hybridMultilevel"/>
    <w:tmpl w:val="391686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A82344F"/>
    <w:multiLevelType w:val="hybridMultilevel"/>
    <w:tmpl w:val="E760CA8A"/>
    <w:lvl w:ilvl="0" w:tplc="E1BEB6FE">
      <w:start w:val="1"/>
      <w:numFmt w:val="bullet"/>
      <w:lvlText w:val="-"/>
      <w:lvlJc w:val="left"/>
      <w:pPr>
        <w:ind w:left="720" w:hanging="360"/>
      </w:pPr>
      <w:rPr>
        <w:rFonts w:ascii="Andalus" w:hAnsi="Andalu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B5186F"/>
    <w:multiLevelType w:val="hybridMultilevel"/>
    <w:tmpl w:val="44FCE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8E3631"/>
    <w:multiLevelType w:val="hybridMultilevel"/>
    <w:tmpl w:val="4A2E176C"/>
    <w:lvl w:ilvl="0" w:tplc="E1BEB6FE">
      <w:start w:val="1"/>
      <w:numFmt w:val="bullet"/>
      <w:lvlText w:val="-"/>
      <w:lvlJc w:val="left"/>
      <w:pPr>
        <w:ind w:left="720" w:hanging="360"/>
      </w:pPr>
      <w:rPr>
        <w:rFonts w:ascii="Andalus" w:hAnsi="Andalu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72102D"/>
    <w:multiLevelType w:val="hybridMultilevel"/>
    <w:tmpl w:val="13DE894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C311C3"/>
    <w:multiLevelType w:val="hybridMultilevel"/>
    <w:tmpl w:val="44A00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402948"/>
    <w:multiLevelType w:val="hybridMultilevel"/>
    <w:tmpl w:val="81DC757C"/>
    <w:lvl w:ilvl="0" w:tplc="E1BEB6FE">
      <w:start w:val="1"/>
      <w:numFmt w:val="bullet"/>
      <w:lvlText w:val="-"/>
      <w:lvlJc w:val="left"/>
      <w:pPr>
        <w:ind w:left="720" w:hanging="360"/>
      </w:pPr>
      <w:rPr>
        <w:rFonts w:ascii="Andalus" w:hAnsi="Andalus" w:hint="default"/>
      </w:rPr>
    </w:lvl>
    <w:lvl w:ilvl="1" w:tplc="7A5476E4">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117025"/>
    <w:multiLevelType w:val="hybridMultilevel"/>
    <w:tmpl w:val="018A4534"/>
    <w:lvl w:ilvl="0" w:tplc="E1BEB6FE">
      <w:start w:val="1"/>
      <w:numFmt w:val="bullet"/>
      <w:lvlText w:val="-"/>
      <w:lvlJc w:val="left"/>
      <w:pPr>
        <w:ind w:left="720" w:hanging="360"/>
      </w:pPr>
      <w:rPr>
        <w:rFonts w:ascii="Andalus" w:hAnsi="Andalu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F93298"/>
    <w:multiLevelType w:val="hybridMultilevel"/>
    <w:tmpl w:val="7B0276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6654C14"/>
    <w:multiLevelType w:val="hybridMultilevel"/>
    <w:tmpl w:val="D272D73C"/>
    <w:lvl w:ilvl="0" w:tplc="E1BEB6FE">
      <w:start w:val="1"/>
      <w:numFmt w:val="bullet"/>
      <w:lvlText w:val="-"/>
      <w:lvlJc w:val="left"/>
      <w:pPr>
        <w:ind w:left="754" w:hanging="360"/>
      </w:pPr>
      <w:rPr>
        <w:rFonts w:ascii="Andalus" w:hAnsi="Andalus"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0" w15:restartNumberingAfterBreak="0">
    <w:nsid w:val="78D95D20"/>
    <w:multiLevelType w:val="hybridMultilevel"/>
    <w:tmpl w:val="4B5EA8CE"/>
    <w:lvl w:ilvl="0" w:tplc="A6C2E7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7A4C0B96"/>
    <w:multiLevelType w:val="hybridMultilevel"/>
    <w:tmpl w:val="5D143272"/>
    <w:lvl w:ilvl="0" w:tplc="E1BEB6FE">
      <w:start w:val="1"/>
      <w:numFmt w:val="bullet"/>
      <w:lvlText w:val="-"/>
      <w:lvlJc w:val="left"/>
      <w:pPr>
        <w:ind w:left="720" w:hanging="360"/>
      </w:pPr>
      <w:rPr>
        <w:rFonts w:ascii="Andalus" w:hAnsi="Andalu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412D1C"/>
    <w:multiLevelType w:val="hybridMultilevel"/>
    <w:tmpl w:val="9718F1F4"/>
    <w:lvl w:ilvl="0" w:tplc="0809000D">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 w15:restartNumberingAfterBreak="0">
    <w:nsid w:val="7E5B2D21"/>
    <w:multiLevelType w:val="hybridMultilevel"/>
    <w:tmpl w:val="008654D8"/>
    <w:lvl w:ilvl="0" w:tplc="E1BEB6FE">
      <w:start w:val="1"/>
      <w:numFmt w:val="bullet"/>
      <w:lvlText w:val="-"/>
      <w:lvlJc w:val="left"/>
      <w:pPr>
        <w:ind w:left="720" w:hanging="360"/>
      </w:pPr>
      <w:rPr>
        <w:rFonts w:ascii="Andalus" w:hAnsi="Andalu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6"/>
  </w:num>
  <w:num w:numId="4">
    <w:abstractNumId w:val="23"/>
  </w:num>
  <w:num w:numId="5">
    <w:abstractNumId w:val="13"/>
  </w:num>
  <w:num w:numId="6">
    <w:abstractNumId w:val="22"/>
  </w:num>
  <w:num w:numId="7">
    <w:abstractNumId w:val="15"/>
  </w:num>
  <w:num w:numId="8">
    <w:abstractNumId w:val="2"/>
  </w:num>
  <w:num w:numId="9">
    <w:abstractNumId w:val="19"/>
  </w:num>
  <w:num w:numId="10">
    <w:abstractNumId w:val="1"/>
  </w:num>
  <w:num w:numId="11">
    <w:abstractNumId w:val="17"/>
  </w:num>
  <w:num w:numId="12">
    <w:abstractNumId w:val="7"/>
  </w:num>
  <w:num w:numId="13">
    <w:abstractNumId w:val="11"/>
  </w:num>
  <w:num w:numId="14">
    <w:abstractNumId w:val="4"/>
  </w:num>
  <w:num w:numId="15">
    <w:abstractNumId w:val="6"/>
  </w:num>
  <w:num w:numId="16">
    <w:abstractNumId w:val="9"/>
  </w:num>
  <w:num w:numId="17">
    <w:abstractNumId w:val="21"/>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4"/>
  </w:num>
  <w:num w:numId="23">
    <w:abstractNumId w:val="10"/>
  </w:num>
  <w:num w:numId="24">
    <w:abstractNumId w:val="20"/>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60E"/>
    <w:rsid w:val="000029D6"/>
    <w:rsid w:val="00011C42"/>
    <w:rsid w:val="00031BF6"/>
    <w:rsid w:val="0003285D"/>
    <w:rsid w:val="000405E7"/>
    <w:rsid w:val="00052CDC"/>
    <w:rsid w:val="00064F46"/>
    <w:rsid w:val="000667F9"/>
    <w:rsid w:val="00066EE4"/>
    <w:rsid w:val="00071177"/>
    <w:rsid w:val="000721F5"/>
    <w:rsid w:val="00077B6A"/>
    <w:rsid w:val="0008335A"/>
    <w:rsid w:val="00091BEB"/>
    <w:rsid w:val="000A5EF9"/>
    <w:rsid w:val="000C4050"/>
    <w:rsid w:val="000C6767"/>
    <w:rsid w:val="000C6A2E"/>
    <w:rsid w:val="000E5CFA"/>
    <w:rsid w:val="000F35BC"/>
    <w:rsid w:val="000F79A4"/>
    <w:rsid w:val="0010243B"/>
    <w:rsid w:val="00107889"/>
    <w:rsid w:val="00116106"/>
    <w:rsid w:val="00121819"/>
    <w:rsid w:val="00122AF7"/>
    <w:rsid w:val="0012488D"/>
    <w:rsid w:val="0013538B"/>
    <w:rsid w:val="00142FA0"/>
    <w:rsid w:val="00165CC7"/>
    <w:rsid w:val="00166C44"/>
    <w:rsid w:val="00190888"/>
    <w:rsid w:val="001A275E"/>
    <w:rsid w:val="001A5A0F"/>
    <w:rsid w:val="001B30D9"/>
    <w:rsid w:val="001C6E8C"/>
    <w:rsid w:val="001D4824"/>
    <w:rsid w:val="001D65C4"/>
    <w:rsid w:val="001E6E78"/>
    <w:rsid w:val="001F0A27"/>
    <w:rsid w:val="00222FED"/>
    <w:rsid w:val="00246370"/>
    <w:rsid w:val="00252A1B"/>
    <w:rsid w:val="00260B9E"/>
    <w:rsid w:val="002920F3"/>
    <w:rsid w:val="00292651"/>
    <w:rsid w:val="002B42CA"/>
    <w:rsid w:val="002C7946"/>
    <w:rsid w:val="002E0DDA"/>
    <w:rsid w:val="002E720D"/>
    <w:rsid w:val="002F0DCD"/>
    <w:rsid w:val="002F1AD7"/>
    <w:rsid w:val="00302B2D"/>
    <w:rsid w:val="00304E3A"/>
    <w:rsid w:val="003121D8"/>
    <w:rsid w:val="00315432"/>
    <w:rsid w:val="00321C16"/>
    <w:rsid w:val="0032768F"/>
    <w:rsid w:val="00336CA4"/>
    <w:rsid w:val="00355147"/>
    <w:rsid w:val="00356716"/>
    <w:rsid w:val="00360A35"/>
    <w:rsid w:val="003704ED"/>
    <w:rsid w:val="00372F76"/>
    <w:rsid w:val="00375DF4"/>
    <w:rsid w:val="003844ED"/>
    <w:rsid w:val="00384F23"/>
    <w:rsid w:val="00390968"/>
    <w:rsid w:val="00397CC9"/>
    <w:rsid w:val="00397FC6"/>
    <w:rsid w:val="003A0711"/>
    <w:rsid w:val="003C0B72"/>
    <w:rsid w:val="003C2E5F"/>
    <w:rsid w:val="003C3B3B"/>
    <w:rsid w:val="003F1366"/>
    <w:rsid w:val="003F202D"/>
    <w:rsid w:val="003F476D"/>
    <w:rsid w:val="003F50E1"/>
    <w:rsid w:val="003F65B7"/>
    <w:rsid w:val="00403057"/>
    <w:rsid w:val="00404BF2"/>
    <w:rsid w:val="004134C4"/>
    <w:rsid w:val="004171AC"/>
    <w:rsid w:val="004267EE"/>
    <w:rsid w:val="00431CC3"/>
    <w:rsid w:val="004337FE"/>
    <w:rsid w:val="00441C71"/>
    <w:rsid w:val="00450099"/>
    <w:rsid w:val="004552BA"/>
    <w:rsid w:val="00487507"/>
    <w:rsid w:val="00496834"/>
    <w:rsid w:val="004A1A37"/>
    <w:rsid w:val="004A436F"/>
    <w:rsid w:val="004A6CD5"/>
    <w:rsid w:val="004A7E54"/>
    <w:rsid w:val="004B1389"/>
    <w:rsid w:val="004B52E0"/>
    <w:rsid w:val="004B5352"/>
    <w:rsid w:val="004C6D3D"/>
    <w:rsid w:val="004C7410"/>
    <w:rsid w:val="004F160E"/>
    <w:rsid w:val="004F61E4"/>
    <w:rsid w:val="004F7B1F"/>
    <w:rsid w:val="005014A4"/>
    <w:rsid w:val="00511A96"/>
    <w:rsid w:val="00515545"/>
    <w:rsid w:val="00516349"/>
    <w:rsid w:val="00527704"/>
    <w:rsid w:val="0053139E"/>
    <w:rsid w:val="00537BA6"/>
    <w:rsid w:val="005436F8"/>
    <w:rsid w:val="0056008B"/>
    <w:rsid w:val="00562A1C"/>
    <w:rsid w:val="00564249"/>
    <w:rsid w:val="0056612C"/>
    <w:rsid w:val="005725AB"/>
    <w:rsid w:val="00574DE2"/>
    <w:rsid w:val="00584207"/>
    <w:rsid w:val="00584624"/>
    <w:rsid w:val="00590656"/>
    <w:rsid w:val="005A0A71"/>
    <w:rsid w:val="005A214A"/>
    <w:rsid w:val="005A6FE0"/>
    <w:rsid w:val="005B5985"/>
    <w:rsid w:val="005C28C8"/>
    <w:rsid w:val="005C5F94"/>
    <w:rsid w:val="005D3E11"/>
    <w:rsid w:val="005E6CE8"/>
    <w:rsid w:val="005F3ADE"/>
    <w:rsid w:val="005F46F8"/>
    <w:rsid w:val="00604159"/>
    <w:rsid w:val="00604BD1"/>
    <w:rsid w:val="00605B3F"/>
    <w:rsid w:val="006150BB"/>
    <w:rsid w:val="00615397"/>
    <w:rsid w:val="0061678E"/>
    <w:rsid w:val="00633BCA"/>
    <w:rsid w:val="00634E03"/>
    <w:rsid w:val="006410F5"/>
    <w:rsid w:val="00650F0E"/>
    <w:rsid w:val="006549E7"/>
    <w:rsid w:val="00670B24"/>
    <w:rsid w:val="00682E12"/>
    <w:rsid w:val="0068330F"/>
    <w:rsid w:val="00693A77"/>
    <w:rsid w:val="006B31E1"/>
    <w:rsid w:val="006B3F63"/>
    <w:rsid w:val="006C2500"/>
    <w:rsid w:val="006C78B1"/>
    <w:rsid w:val="006D2D37"/>
    <w:rsid w:val="006D3B28"/>
    <w:rsid w:val="006E6940"/>
    <w:rsid w:val="006F3723"/>
    <w:rsid w:val="006F4BDC"/>
    <w:rsid w:val="00704712"/>
    <w:rsid w:val="00714857"/>
    <w:rsid w:val="00717CD8"/>
    <w:rsid w:val="0072621B"/>
    <w:rsid w:val="007312F9"/>
    <w:rsid w:val="0074027D"/>
    <w:rsid w:val="0074158D"/>
    <w:rsid w:val="00752C54"/>
    <w:rsid w:val="00765342"/>
    <w:rsid w:val="00766A97"/>
    <w:rsid w:val="00771C90"/>
    <w:rsid w:val="007A1C36"/>
    <w:rsid w:val="007A4DDC"/>
    <w:rsid w:val="007A5950"/>
    <w:rsid w:val="007B50AA"/>
    <w:rsid w:val="007C31A5"/>
    <w:rsid w:val="007D5E9D"/>
    <w:rsid w:val="007F0814"/>
    <w:rsid w:val="007F5661"/>
    <w:rsid w:val="007F5D1B"/>
    <w:rsid w:val="0082401A"/>
    <w:rsid w:val="008454B0"/>
    <w:rsid w:val="008546DA"/>
    <w:rsid w:val="008553DB"/>
    <w:rsid w:val="008718A8"/>
    <w:rsid w:val="00884726"/>
    <w:rsid w:val="00885060"/>
    <w:rsid w:val="00891DEB"/>
    <w:rsid w:val="00893755"/>
    <w:rsid w:val="008A0FBF"/>
    <w:rsid w:val="008A1606"/>
    <w:rsid w:val="008A1B66"/>
    <w:rsid w:val="008C1D15"/>
    <w:rsid w:val="008D0594"/>
    <w:rsid w:val="008D2A32"/>
    <w:rsid w:val="008D3320"/>
    <w:rsid w:val="008D56CC"/>
    <w:rsid w:val="008D611B"/>
    <w:rsid w:val="008E3227"/>
    <w:rsid w:val="008E550E"/>
    <w:rsid w:val="008E7448"/>
    <w:rsid w:val="009112E4"/>
    <w:rsid w:val="00943811"/>
    <w:rsid w:val="009457AF"/>
    <w:rsid w:val="009576CE"/>
    <w:rsid w:val="00984609"/>
    <w:rsid w:val="009848D8"/>
    <w:rsid w:val="00987A51"/>
    <w:rsid w:val="00987D1D"/>
    <w:rsid w:val="00995101"/>
    <w:rsid w:val="009A3408"/>
    <w:rsid w:val="009A744D"/>
    <w:rsid w:val="009B4C31"/>
    <w:rsid w:val="009C2C01"/>
    <w:rsid w:val="009C5AA6"/>
    <w:rsid w:val="009D12C9"/>
    <w:rsid w:val="009D3B57"/>
    <w:rsid w:val="009E0A8B"/>
    <w:rsid w:val="009E3B69"/>
    <w:rsid w:val="009F72CF"/>
    <w:rsid w:val="00A037A9"/>
    <w:rsid w:val="00A05274"/>
    <w:rsid w:val="00A05F50"/>
    <w:rsid w:val="00A114A8"/>
    <w:rsid w:val="00A25B54"/>
    <w:rsid w:val="00A27F36"/>
    <w:rsid w:val="00A30A3D"/>
    <w:rsid w:val="00A32789"/>
    <w:rsid w:val="00A42EE3"/>
    <w:rsid w:val="00A6068C"/>
    <w:rsid w:val="00A71D01"/>
    <w:rsid w:val="00A82739"/>
    <w:rsid w:val="00A83595"/>
    <w:rsid w:val="00A835D8"/>
    <w:rsid w:val="00A83B9D"/>
    <w:rsid w:val="00A84491"/>
    <w:rsid w:val="00A85643"/>
    <w:rsid w:val="00AA0907"/>
    <w:rsid w:val="00AC5DEA"/>
    <w:rsid w:val="00AE649F"/>
    <w:rsid w:val="00B02AFC"/>
    <w:rsid w:val="00B05666"/>
    <w:rsid w:val="00B26197"/>
    <w:rsid w:val="00B32DA6"/>
    <w:rsid w:val="00B416E7"/>
    <w:rsid w:val="00B503C4"/>
    <w:rsid w:val="00B52E38"/>
    <w:rsid w:val="00B53C98"/>
    <w:rsid w:val="00B62C64"/>
    <w:rsid w:val="00B70966"/>
    <w:rsid w:val="00B712B0"/>
    <w:rsid w:val="00B7150A"/>
    <w:rsid w:val="00B84203"/>
    <w:rsid w:val="00B873CE"/>
    <w:rsid w:val="00B92377"/>
    <w:rsid w:val="00BB25A0"/>
    <w:rsid w:val="00BC444C"/>
    <w:rsid w:val="00BD528D"/>
    <w:rsid w:val="00BD69F2"/>
    <w:rsid w:val="00BE0033"/>
    <w:rsid w:val="00BE181A"/>
    <w:rsid w:val="00BF1C04"/>
    <w:rsid w:val="00C01502"/>
    <w:rsid w:val="00C54597"/>
    <w:rsid w:val="00C60125"/>
    <w:rsid w:val="00C70D65"/>
    <w:rsid w:val="00C90459"/>
    <w:rsid w:val="00CA248E"/>
    <w:rsid w:val="00CB2100"/>
    <w:rsid w:val="00CC3AA3"/>
    <w:rsid w:val="00CC659E"/>
    <w:rsid w:val="00CD2728"/>
    <w:rsid w:val="00CF4A0A"/>
    <w:rsid w:val="00D06D56"/>
    <w:rsid w:val="00D07C31"/>
    <w:rsid w:val="00D170AF"/>
    <w:rsid w:val="00D2519F"/>
    <w:rsid w:val="00D31DC8"/>
    <w:rsid w:val="00D342AE"/>
    <w:rsid w:val="00D35225"/>
    <w:rsid w:val="00D35682"/>
    <w:rsid w:val="00D739EC"/>
    <w:rsid w:val="00D95353"/>
    <w:rsid w:val="00DA275A"/>
    <w:rsid w:val="00DA43F0"/>
    <w:rsid w:val="00DE6E7F"/>
    <w:rsid w:val="00DF1B9C"/>
    <w:rsid w:val="00DF581E"/>
    <w:rsid w:val="00E0037E"/>
    <w:rsid w:val="00E008F1"/>
    <w:rsid w:val="00E0412F"/>
    <w:rsid w:val="00E04C52"/>
    <w:rsid w:val="00E1218E"/>
    <w:rsid w:val="00E22B29"/>
    <w:rsid w:val="00E25360"/>
    <w:rsid w:val="00E34745"/>
    <w:rsid w:val="00E406F9"/>
    <w:rsid w:val="00E4251C"/>
    <w:rsid w:val="00E42E29"/>
    <w:rsid w:val="00E55427"/>
    <w:rsid w:val="00E5726C"/>
    <w:rsid w:val="00E674BF"/>
    <w:rsid w:val="00E70749"/>
    <w:rsid w:val="00E76ACD"/>
    <w:rsid w:val="00E96ADC"/>
    <w:rsid w:val="00EA1C67"/>
    <w:rsid w:val="00EA33BF"/>
    <w:rsid w:val="00EC424B"/>
    <w:rsid w:val="00EC5268"/>
    <w:rsid w:val="00EE0B5E"/>
    <w:rsid w:val="00EE2F46"/>
    <w:rsid w:val="00EE3026"/>
    <w:rsid w:val="00EE5687"/>
    <w:rsid w:val="00EF5E42"/>
    <w:rsid w:val="00F14DF9"/>
    <w:rsid w:val="00F41EEC"/>
    <w:rsid w:val="00F50EFC"/>
    <w:rsid w:val="00F521C1"/>
    <w:rsid w:val="00F6117B"/>
    <w:rsid w:val="00F637B7"/>
    <w:rsid w:val="00F6397D"/>
    <w:rsid w:val="00F63F48"/>
    <w:rsid w:val="00F6558C"/>
    <w:rsid w:val="00F8161D"/>
    <w:rsid w:val="00F869CC"/>
    <w:rsid w:val="00F9050B"/>
    <w:rsid w:val="00F94BA1"/>
    <w:rsid w:val="00FA2931"/>
    <w:rsid w:val="00FA46CF"/>
    <w:rsid w:val="00FA5C6A"/>
    <w:rsid w:val="00FB4162"/>
    <w:rsid w:val="00FB7471"/>
    <w:rsid w:val="00FC21C3"/>
    <w:rsid w:val="00FD1A60"/>
    <w:rsid w:val="00FD1D32"/>
    <w:rsid w:val="00FD4658"/>
    <w:rsid w:val="00FE3426"/>
    <w:rsid w:val="00FF4F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CBE6263"/>
  <w15:docId w15:val="{6D396D72-E078-4E7F-8C1D-B200B9F94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Accent31">
    <w:name w:val="Light Shading - Accent 31"/>
    <w:basedOn w:val="TableNormal"/>
    <w:next w:val="LightShading-Accent3"/>
    <w:uiPriority w:val="60"/>
    <w:rsid w:val="005725AB"/>
    <w:pPr>
      <w:spacing w:after="0" w:line="240" w:lineRule="auto"/>
      <w:ind w:firstLine="709"/>
      <w:jc w:val="both"/>
    </w:pPr>
    <w:rPr>
      <w:rFonts w:eastAsia="Calibri"/>
      <w:color w:val="76923C"/>
      <w:spacing w:val="-10"/>
      <w:kern w:val="24"/>
      <w:sz w:val="24"/>
      <w:szCs w:val="24"/>
      <w:lang w:val="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3">
    <w:name w:val="Light Shading Accent 3"/>
    <w:basedOn w:val="TableNormal"/>
    <w:uiPriority w:val="60"/>
    <w:semiHidden/>
    <w:unhideWhenUsed/>
    <w:rsid w:val="005725AB"/>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customStyle="1" w:styleId="LightShading-Accent32">
    <w:name w:val="Light Shading - Accent 32"/>
    <w:basedOn w:val="TableNormal"/>
    <w:next w:val="LightShading-Accent3"/>
    <w:uiPriority w:val="60"/>
    <w:rsid w:val="005725AB"/>
    <w:pPr>
      <w:spacing w:after="0" w:line="240" w:lineRule="auto"/>
      <w:ind w:firstLine="709"/>
      <w:jc w:val="both"/>
    </w:pPr>
    <w:rPr>
      <w:rFonts w:eastAsia="Calibri"/>
      <w:color w:val="76923C"/>
      <w:spacing w:val="-10"/>
      <w:kern w:val="24"/>
      <w:sz w:val="24"/>
      <w:szCs w:val="24"/>
      <w:lang w:val="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ableGrid">
    <w:name w:val="Table Grid"/>
    <w:basedOn w:val="TableNormal"/>
    <w:uiPriority w:val="39"/>
    <w:rsid w:val="00572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79A4"/>
    <w:pPr>
      <w:tabs>
        <w:tab w:val="center" w:pos="4153"/>
        <w:tab w:val="right" w:pos="8306"/>
      </w:tabs>
      <w:spacing w:after="0" w:line="240" w:lineRule="auto"/>
    </w:pPr>
  </w:style>
  <w:style w:type="character" w:customStyle="1" w:styleId="HeaderChar">
    <w:name w:val="Header Char"/>
    <w:basedOn w:val="DefaultParagraphFont"/>
    <w:link w:val="Header"/>
    <w:uiPriority w:val="99"/>
    <w:rsid w:val="000F79A4"/>
  </w:style>
  <w:style w:type="paragraph" w:styleId="Footer">
    <w:name w:val="footer"/>
    <w:basedOn w:val="Normal"/>
    <w:link w:val="FooterChar"/>
    <w:uiPriority w:val="99"/>
    <w:unhideWhenUsed/>
    <w:rsid w:val="000F79A4"/>
    <w:pPr>
      <w:tabs>
        <w:tab w:val="center" w:pos="4153"/>
        <w:tab w:val="right" w:pos="8306"/>
      </w:tabs>
      <w:spacing w:after="0" w:line="240" w:lineRule="auto"/>
    </w:pPr>
  </w:style>
  <w:style w:type="character" w:customStyle="1" w:styleId="FooterChar">
    <w:name w:val="Footer Char"/>
    <w:basedOn w:val="DefaultParagraphFont"/>
    <w:link w:val="Footer"/>
    <w:uiPriority w:val="99"/>
    <w:rsid w:val="000F79A4"/>
  </w:style>
  <w:style w:type="paragraph" w:styleId="ListParagraph">
    <w:name w:val="List Paragraph"/>
    <w:basedOn w:val="Normal"/>
    <w:uiPriority w:val="34"/>
    <w:qFormat/>
    <w:rsid w:val="000F79A4"/>
    <w:pPr>
      <w:ind w:left="720"/>
      <w:contextualSpacing/>
    </w:pPr>
  </w:style>
  <w:style w:type="table" w:customStyle="1" w:styleId="LightShading-Accent33">
    <w:name w:val="Light Shading - Accent 33"/>
    <w:basedOn w:val="TableNormal"/>
    <w:next w:val="LightShading-Accent3"/>
    <w:uiPriority w:val="60"/>
    <w:rsid w:val="00372F76"/>
    <w:pPr>
      <w:spacing w:after="0" w:line="240" w:lineRule="auto"/>
      <w:ind w:firstLine="709"/>
      <w:jc w:val="both"/>
    </w:pPr>
    <w:rPr>
      <w:rFonts w:eastAsia="Calibri"/>
      <w:color w:val="76923C"/>
      <w:spacing w:val="-10"/>
      <w:kern w:val="24"/>
      <w:sz w:val="24"/>
      <w:szCs w:val="24"/>
      <w:lang w:val="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Grid1">
    <w:name w:val="Table Grid1"/>
    <w:basedOn w:val="TableNormal"/>
    <w:next w:val="TableGrid"/>
    <w:uiPriority w:val="59"/>
    <w:rsid w:val="000A5EF9"/>
    <w:pPr>
      <w:spacing w:after="0" w:line="240" w:lineRule="auto"/>
    </w:pPr>
    <w:rPr>
      <w:rFonts w:ascii="Cambria" w:eastAsia="MS Mincho" w:hAnsi="Cambr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1C90"/>
    <w:rPr>
      <w:color w:val="0563C1" w:themeColor="hyperlink"/>
      <w:u w:val="single"/>
    </w:rPr>
  </w:style>
  <w:style w:type="table" w:customStyle="1" w:styleId="PlainTable11">
    <w:name w:val="Plain Table 11"/>
    <w:basedOn w:val="TableNormal"/>
    <w:uiPriority w:val="41"/>
    <w:rsid w:val="001E6E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1">
    <w:name w:val="Plain Table 41"/>
    <w:basedOn w:val="TableNormal"/>
    <w:uiPriority w:val="44"/>
    <w:rsid w:val="001E6E7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2-Accent31">
    <w:name w:val="List Table 2 - Accent 31"/>
    <w:basedOn w:val="TableNormal"/>
    <w:uiPriority w:val="47"/>
    <w:rsid w:val="001E6E78"/>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CommentReference">
    <w:name w:val="annotation reference"/>
    <w:basedOn w:val="DefaultParagraphFont"/>
    <w:uiPriority w:val="99"/>
    <w:semiHidden/>
    <w:unhideWhenUsed/>
    <w:rsid w:val="00F50EFC"/>
    <w:rPr>
      <w:sz w:val="16"/>
      <w:szCs w:val="16"/>
    </w:rPr>
  </w:style>
  <w:style w:type="paragraph" w:styleId="CommentText">
    <w:name w:val="annotation text"/>
    <w:basedOn w:val="Normal"/>
    <w:link w:val="CommentTextChar"/>
    <w:uiPriority w:val="99"/>
    <w:unhideWhenUsed/>
    <w:rsid w:val="00F50EFC"/>
    <w:pPr>
      <w:spacing w:line="240" w:lineRule="auto"/>
    </w:pPr>
    <w:rPr>
      <w:sz w:val="20"/>
      <w:szCs w:val="20"/>
    </w:rPr>
  </w:style>
  <w:style w:type="character" w:customStyle="1" w:styleId="CommentTextChar">
    <w:name w:val="Comment Text Char"/>
    <w:basedOn w:val="DefaultParagraphFont"/>
    <w:link w:val="CommentText"/>
    <w:uiPriority w:val="99"/>
    <w:rsid w:val="00F50EFC"/>
    <w:rPr>
      <w:sz w:val="20"/>
      <w:szCs w:val="20"/>
    </w:rPr>
  </w:style>
  <w:style w:type="paragraph" w:styleId="CommentSubject">
    <w:name w:val="annotation subject"/>
    <w:basedOn w:val="CommentText"/>
    <w:next w:val="CommentText"/>
    <w:link w:val="CommentSubjectChar"/>
    <w:uiPriority w:val="99"/>
    <w:semiHidden/>
    <w:unhideWhenUsed/>
    <w:rsid w:val="00F50EFC"/>
    <w:rPr>
      <w:b/>
      <w:bCs/>
    </w:rPr>
  </w:style>
  <w:style w:type="character" w:customStyle="1" w:styleId="CommentSubjectChar">
    <w:name w:val="Comment Subject Char"/>
    <w:basedOn w:val="CommentTextChar"/>
    <w:link w:val="CommentSubject"/>
    <w:uiPriority w:val="99"/>
    <w:semiHidden/>
    <w:rsid w:val="00F50EFC"/>
    <w:rPr>
      <w:b/>
      <w:bCs/>
      <w:sz w:val="20"/>
      <w:szCs w:val="20"/>
    </w:rPr>
  </w:style>
  <w:style w:type="paragraph" w:styleId="BalloonText">
    <w:name w:val="Balloon Text"/>
    <w:basedOn w:val="Normal"/>
    <w:link w:val="BalloonTextChar"/>
    <w:uiPriority w:val="99"/>
    <w:semiHidden/>
    <w:unhideWhenUsed/>
    <w:rsid w:val="00F50E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EFC"/>
    <w:rPr>
      <w:rFonts w:ascii="Segoe UI" w:hAnsi="Segoe UI" w:cs="Segoe UI"/>
      <w:sz w:val="18"/>
      <w:szCs w:val="18"/>
    </w:rPr>
  </w:style>
  <w:style w:type="paragraph" w:styleId="Revision">
    <w:name w:val="Revision"/>
    <w:hidden/>
    <w:uiPriority w:val="99"/>
    <w:semiHidden/>
    <w:rsid w:val="0032768F"/>
    <w:pPr>
      <w:spacing w:after="0" w:line="240" w:lineRule="auto"/>
    </w:pPr>
  </w:style>
  <w:style w:type="character" w:customStyle="1" w:styleId="apple-converted-space">
    <w:name w:val="apple-converted-space"/>
    <w:basedOn w:val="DefaultParagraphFont"/>
    <w:rsid w:val="00537BA6"/>
  </w:style>
  <w:style w:type="character" w:customStyle="1" w:styleId="UnresolvedMention">
    <w:name w:val="Unresolved Mention"/>
    <w:basedOn w:val="DefaultParagraphFont"/>
    <w:uiPriority w:val="99"/>
    <w:semiHidden/>
    <w:unhideWhenUsed/>
    <w:rsid w:val="00B056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98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fondi.lv/"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F62256131EA082498DC868E3AF956C40" ma:contentTypeVersion="13" ma:contentTypeDescription="Izveidot jaunu dokumentu." ma:contentTypeScope="" ma:versionID="78f822e184101c1bc8fe7cdf8c476493">
  <xsd:schema xmlns:xsd="http://www.w3.org/2001/XMLSchema" xmlns:xs="http://www.w3.org/2001/XMLSchema" xmlns:p="http://schemas.microsoft.com/office/2006/metadata/properties" xmlns:ns3="ace8e44c-fa88-44c0-8590-dfda63664a63" xmlns:ns4="122e0e09-afb4-4bf9-abab-ecc4519bc6eb" targetNamespace="http://schemas.microsoft.com/office/2006/metadata/properties" ma:root="true" ma:fieldsID="c8e2907f288fd15ec0174a8864605405" ns3:_="" ns4:_="">
    <xsd:import namespace="ace8e44c-fa88-44c0-8590-dfda63664a63"/>
    <xsd:import namespace="122e0e09-afb4-4bf9-abab-ecc4519bc6e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8e44c-fa88-44c0-8590-dfda63664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2e0e09-afb4-4bf9-abab-ecc4519bc6eb"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92B48-B9C7-4C49-9F5D-9A3F6BBE8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8e44c-fa88-44c0-8590-dfda63664a63"/>
    <ds:schemaRef ds:uri="122e0e09-afb4-4bf9-abab-ecc4519bc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9FC42A-9E7F-44C9-9805-892D5B9F902A}">
  <ds:schemaRefs>
    <ds:schemaRef ds:uri="http://purl.org/dc/elements/1.1/"/>
    <ds:schemaRef ds:uri="122e0e09-afb4-4bf9-abab-ecc4519bc6eb"/>
    <ds:schemaRef ds:uri="ace8e44c-fa88-44c0-8590-dfda63664a63"/>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A082C9A-3762-4D04-A705-50A17E73AE66}">
  <ds:schemaRefs>
    <ds:schemaRef ds:uri="http://schemas.microsoft.com/sharepoint/v3/contenttype/forms"/>
  </ds:schemaRefs>
</ds:datastoreItem>
</file>

<file path=customXml/itemProps4.xml><?xml version="1.0" encoding="utf-8"?>
<ds:datastoreItem xmlns:ds="http://schemas.openxmlformats.org/officeDocument/2006/customXml" ds:itemID="{4C561872-100C-4C16-85CF-637B1E019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4326</Words>
  <Characters>2467</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Sarmīte Kļaviņa</dc:creator>
  <cp:lastModifiedBy>Ilze Opermane</cp:lastModifiedBy>
  <cp:revision>8</cp:revision>
  <dcterms:created xsi:type="dcterms:W3CDTF">2021-06-18T12:20:00Z</dcterms:created>
  <dcterms:modified xsi:type="dcterms:W3CDTF">2021-06-18T13:27:00Z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0x010100F62256131EA082498DC868E3AF956C40</vt:lpwstr>
  </property>
</Properties>
</file>