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EAD8" w14:textId="77777777" w:rsidR="00E2571D" w:rsidRDefault="00E2571D" w:rsidP="00E2571D">
      <w:pPr>
        <w:jc w:val="center"/>
        <w:rPr>
          <w:rFonts w:ascii="Times New Roman" w:hAnsi="Times New Roman"/>
          <w:sz w:val="28"/>
          <w:szCs w:val="28"/>
        </w:rPr>
      </w:pPr>
      <w:r>
        <w:rPr>
          <w:rFonts w:ascii="Times New Roman" w:hAnsi="Times New Roman"/>
          <w:sz w:val="28"/>
          <w:szCs w:val="28"/>
        </w:rPr>
        <w:t>LATVIJAS REPUBLIKAS MINISTRU KABINETS</w:t>
      </w:r>
    </w:p>
    <w:p w14:paraId="7F5A55A7" w14:textId="41C4A35D" w:rsidR="00E2571D" w:rsidRDefault="00E2571D" w:rsidP="00E2571D">
      <w:pPr>
        <w:pStyle w:val="naislab"/>
        <w:spacing w:before="0" w:beforeAutospacing="0" w:after="0" w:afterAutospacing="0"/>
        <w:jc w:val="left"/>
        <w:rPr>
          <w:sz w:val="28"/>
          <w:szCs w:val="28"/>
          <w:lang w:val="lv-LV"/>
        </w:rPr>
      </w:pPr>
      <w:r>
        <w:rPr>
          <w:sz w:val="28"/>
          <w:szCs w:val="28"/>
          <w:lang w:val="lv-LV"/>
        </w:rPr>
        <w:t>2021. gada__________</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Noteikumi Nr._____</w:t>
      </w:r>
    </w:p>
    <w:p w14:paraId="4794EB2B" w14:textId="77777777" w:rsidR="00E2571D" w:rsidRDefault="00E2571D" w:rsidP="00E2571D">
      <w:pPr>
        <w:pStyle w:val="naislab"/>
        <w:spacing w:before="0" w:beforeAutospacing="0" w:after="0" w:afterAutospacing="0"/>
        <w:jc w:val="center"/>
        <w:rPr>
          <w:sz w:val="28"/>
          <w:szCs w:val="28"/>
          <w:lang w:val="lv-LV"/>
        </w:rPr>
      </w:pPr>
      <w:r>
        <w:rPr>
          <w:sz w:val="28"/>
          <w:szCs w:val="28"/>
          <w:lang w:val="lv-LV"/>
        </w:rPr>
        <w:t xml:space="preserve">Rīgā </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(prot. Nr.              )</w:t>
      </w:r>
    </w:p>
    <w:p w14:paraId="370EA212" w14:textId="77777777" w:rsidR="00E2571D" w:rsidRDefault="00E2571D" w:rsidP="00E2571D">
      <w:pPr>
        <w:spacing w:after="0" w:line="240" w:lineRule="auto"/>
        <w:jc w:val="both"/>
        <w:rPr>
          <w:rStyle w:val="Strong"/>
          <w:b w:val="0"/>
        </w:rPr>
      </w:pPr>
    </w:p>
    <w:p w14:paraId="476C5106" w14:textId="77777777" w:rsidR="00E2571D" w:rsidRDefault="00E2571D" w:rsidP="00E2571D">
      <w:pPr>
        <w:spacing w:after="0" w:line="240" w:lineRule="auto"/>
        <w:jc w:val="center"/>
        <w:rPr>
          <w:rFonts w:ascii="Times New Roman" w:hAnsi="Times New Roman"/>
          <w:b/>
        </w:rPr>
      </w:pPr>
      <w:r>
        <w:rPr>
          <w:rFonts w:ascii="Times New Roman" w:hAnsi="Times New Roman"/>
          <w:b/>
          <w:sz w:val="28"/>
          <w:szCs w:val="28"/>
        </w:rPr>
        <w:t>Grozījumi Ministru kabineta 2013. gada 5. februāra noteikumos Nr. 84 “Noteikumi par atsevišķu bīstamu ķīmisku vielu lietošanas ierobežojumiem elektriskajās un elektroniskajās iekārtās”</w:t>
      </w:r>
    </w:p>
    <w:p w14:paraId="216D2DC5" w14:textId="77777777" w:rsidR="00E2571D" w:rsidRDefault="00E2571D" w:rsidP="00E2571D">
      <w:pPr>
        <w:spacing w:after="0" w:line="240" w:lineRule="auto"/>
        <w:jc w:val="right"/>
        <w:rPr>
          <w:rFonts w:ascii="Times New Roman" w:hAnsi="Times New Roman"/>
          <w:sz w:val="28"/>
          <w:szCs w:val="28"/>
        </w:rPr>
      </w:pPr>
    </w:p>
    <w:p w14:paraId="7481A931" w14:textId="77777777" w:rsidR="00E2571D" w:rsidRDefault="00E2571D" w:rsidP="00E2571D">
      <w:pPr>
        <w:spacing w:after="0" w:line="240" w:lineRule="auto"/>
        <w:jc w:val="right"/>
        <w:rPr>
          <w:rFonts w:ascii="Times New Roman" w:hAnsi="Times New Roman"/>
          <w:sz w:val="28"/>
          <w:szCs w:val="28"/>
        </w:rPr>
      </w:pPr>
      <w:r>
        <w:rPr>
          <w:rFonts w:ascii="Times New Roman" w:hAnsi="Times New Roman"/>
          <w:sz w:val="28"/>
          <w:szCs w:val="28"/>
        </w:rPr>
        <w:t xml:space="preserve">Izdoti saskaņā ar Ķīmisko vielu likuma 16. panta otro daļu </w:t>
      </w:r>
    </w:p>
    <w:p w14:paraId="2D44B9B5" w14:textId="77777777" w:rsidR="00E2571D" w:rsidRDefault="00E2571D" w:rsidP="00E2571D">
      <w:pPr>
        <w:spacing w:after="0" w:line="240" w:lineRule="auto"/>
        <w:jc w:val="right"/>
        <w:rPr>
          <w:rFonts w:ascii="Times New Roman" w:hAnsi="Times New Roman"/>
          <w:sz w:val="28"/>
          <w:szCs w:val="28"/>
        </w:rPr>
      </w:pPr>
      <w:r>
        <w:rPr>
          <w:rFonts w:ascii="Times New Roman" w:hAnsi="Times New Roman"/>
          <w:sz w:val="28"/>
          <w:szCs w:val="28"/>
        </w:rPr>
        <w:t>un likuma “Par atbilstības novērtēšanu”</w:t>
      </w:r>
    </w:p>
    <w:p w14:paraId="409526CD" w14:textId="77777777" w:rsidR="00E2571D" w:rsidRDefault="00E2571D" w:rsidP="00E2571D">
      <w:pPr>
        <w:spacing w:after="0" w:line="240" w:lineRule="auto"/>
        <w:jc w:val="right"/>
        <w:rPr>
          <w:rStyle w:val="Strong"/>
          <w:b w:val="0"/>
          <w:bCs w:val="0"/>
        </w:rPr>
      </w:pPr>
      <w:r>
        <w:rPr>
          <w:rFonts w:ascii="Times New Roman" w:hAnsi="Times New Roman"/>
          <w:sz w:val="28"/>
          <w:szCs w:val="28"/>
        </w:rPr>
        <w:t>7. panta pirmo daļu</w:t>
      </w:r>
    </w:p>
    <w:p w14:paraId="34FE5C57" w14:textId="77777777" w:rsidR="00E2571D" w:rsidRDefault="00E2571D" w:rsidP="00E2571D"/>
    <w:p w14:paraId="1D295597" w14:textId="108CE12B" w:rsidR="00E2571D" w:rsidRDefault="00E2571D" w:rsidP="00E2571D">
      <w:pPr>
        <w:spacing w:after="0" w:line="240" w:lineRule="auto"/>
        <w:ind w:firstLine="720"/>
        <w:jc w:val="both"/>
        <w:rPr>
          <w:rFonts w:ascii="Times New Roman" w:hAnsi="Times New Roman"/>
          <w:sz w:val="28"/>
          <w:szCs w:val="28"/>
        </w:rPr>
      </w:pPr>
      <w:r>
        <w:rPr>
          <w:rFonts w:ascii="Times New Roman" w:hAnsi="Times New Roman"/>
          <w:sz w:val="28"/>
          <w:szCs w:val="28"/>
        </w:rPr>
        <w:t>Izdarīt Ministru kabineta 2013. gada 5. februāra noteikumos Nr. 84 “Noteikumi par atsevišķu bīstamu ķīmisku vielu lietošanas ierobežojumiem elektriskajās un elektroniskajās iekārtās” (Latvijas Vēstnesis, 2013, 47.nr.; 2014, 109.nr., 210.nr.; 2016, 14.nr.; 2017, 56.nr., 249.nr.; 2018, 157.nr.; 2019, 7.nr., 139.nr.; 2020, 84B.nr., 173.nr.) šādus grozījumus:</w:t>
      </w:r>
    </w:p>
    <w:p w14:paraId="07A6F6C8" w14:textId="2B560710" w:rsidR="00E2571D" w:rsidRDefault="00E2571D" w:rsidP="00E2571D">
      <w:pPr>
        <w:spacing w:after="0" w:line="240" w:lineRule="auto"/>
        <w:ind w:firstLine="720"/>
        <w:jc w:val="both"/>
        <w:rPr>
          <w:rFonts w:ascii="Times New Roman" w:hAnsi="Times New Roman"/>
          <w:sz w:val="28"/>
          <w:szCs w:val="28"/>
        </w:rPr>
      </w:pPr>
    </w:p>
    <w:p w14:paraId="1E59B154" w14:textId="723B0EF9" w:rsidR="00E2571D" w:rsidRPr="00E2571D" w:rsidRDefault="00E2571D" w:rsidP="00E12EBC">
      <w:pPr>
        <w:pStyle w:val="ListParagraph"/>
        <w:numPr>
          <w:ilvl w:val="0"/>
          <w:numId w:val="1"/>
        </w:numPr>
        <w:spacing w:after="0" w:line="240" w:lineRule="auto"/>
        <w:ind w:left="0" w:firstLine="0"/>
        <w:jc w:val="both"/>
        <w:rPr>
          <w:rFonts w:ascii="Times New Roman" w:hAnsi="Times New Roman"/>
          <w:sz w:val="28"/>
          <w:szCs w:val="28"/>
        </w:rPr>
      </w:pPr>
      <w:r w:rsidRPr="003C6FC4">
        <w:rPr>
          <w:rFonts w:ascii="Times New Roman" w:eastAsia="Times New Roman" w:hAnsi="Times New Roman" w:cs="Times New Roman"/>
          <w:bCs/>
          <w:sz w:val="28"/>
          <w:szCs w:val="28"/>
          <w:lang w:eastAsia="lv-LV"/>
        </w:rPr>
        <w:t>Papildināt Informatīvo atsauci uz Eir</w:t>
      </w:r>
      <w:r>
        <w:rPr>
          <w:rFonts w:ascii="Times New Roman" w:eastAsia="Times New Roman" w:hAnsi="Times New Roman" w:cs="Times New Roman"/>
          <w:bCs/>
          <w:sz w:val="28"/>
          <w:szCs w:val="28"/>
          <w:lang w:eastAsia="lv-LV"/>
        </w:rPr>
        <w:t xml:space="preserve">opas Savienības direktīvām ar 63. </w:t>
      </w:r>
      <w:r w:rsidRPr="003C6FC4">
        <w:rPr>
          <w:rFonts w:ascii="Times New Roman" w:eastAsia="Times New Roman" w:hAnsi="Times New Roman" w:cs="Times New Roman"/>
          <w:bCs/>
          <w:sz w:val="28"/>
          <w:szCs w:val="28"/>
          <w:lang w:eastAsia="lv-LV"/>
        </w:rPr>
        <w:t>punktu šādā redakcijā:</w:t>
      </w:r>
    </w:p>
    <w:p w14:paraId="5EBA51E7" w14:textId="44AE8AAD" w:rsidR="00E2571D" w:rsidRDefault="00E2571D" w:rsidP="00E2571D">
      <w:pPr>
        <w:spacing w:after="0" w:line="240" w:lineRule="auto"/>
        <w:jc w:val="both"/>
        <w:rPr>
          <w:rFonts w:ascii="Times New Roman" w:hAnsi="Times New Roman" w:cs="Times New Roman"/>
          <w:sz w:val="28"/>
          <w:szCs w:val="28"/>
        </w:rPr>
      </w:pPr>
      <w:r w:rsidRPr="00E2571D">
        <w:rPr>
          <w:rFonts w:ascii="Times New Roman" w:hAnsi="Times New Roman" w:cs="Times New Roman"/>
          <w:sz w:val="28"/>
          <w:szCs w:val="28"/>
        </w:rPr>
        <w:t>“63) Komisijas 2021. gada 15. janvāra Deleģētās direktīvas 2021/647/ES, ar ko, pielāgojot zinātnes un tehnikas attīstībai, Eiropas Parlamenta un Padomes Direktīvas 2011/65/ES III pielikumu groza attiecībā uz atbrīvojumu dažu svina un sešvērtīgā hroma savienojumu izmantošanai civilām (profesionālām) vajadzībām paredzētu sprāgstvielu elektriskajos un elektroniskajos iniciatoros</w:t>
      </w:r>
      <w:r>
        <w:rPr>
          <w:rFonts w:ascii="Times New Roman" w:hAnsi="Times New Roman" w:cs="Times New Roman"/>
          <w:sz w:val="28"/>
          <w:szCs w:val="28"/>
        </w:rPr>
        <w:t>.”</w:t>
      </w:r>
    </w:p>
    <w:p w14:paraId="770AE5E9" w14:textId="78231E64" w:rsidR="00E2571D" w:rsidRDefault="00E2571D" w:rsidP="00E2571D">
      <w:pPr>
        <w:spacing w:after="0" w:line="240" w:lineRule="auto"/>
        <w:jc w:val="both"/>
        <w:rPr>
          <w:rFonts w:ascii="Times New Roman" w:hAnsi="Times New Roman" w:cs="Times New Roman"/>
          <w:sz w:val="28"/>
          <w:szCs w:val="28"/>
        </w:rPr>
      </w:pPr>
    </w:p>
    <w:p w14:paraId="7651E12E" w14:textId="4650A466" w:rsidR="00E2571D" w:rsidRDefault="00E2571D" w:rsidP="00E12EBC">
      <w:pPr>
        <w:pStyle w:val="ListParagraph"/>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Papildināt 3.</w:t>
      </w:r>
      <w:r w:rsidR="0056376D">
        <w:rPr>
          <w:rFonts w:ascii="Times New Roman" w:hAnsi="Times New Roman" w:cs="Times New Roman"/>
          <w:sz w:val="28"/>
          <w:szCs w:val="28"/>
        </w:rPr>
        <w:t> </w:t>
      </w:r>
      <w:r>
        <w:rPr>
          <w:rFonts w:ascii="Times New Roman" w:hAnsi="Times New Roman" w:cs="Times New Roman"/>
          <w:sz w:val="28"/>
          <w:szCs w:val="28"/>
        </w:rPr>
        <w:t>pielikumu ar 54.</w:t>
      </w:r>
      <w:r w:rsidR="0056376D">
        <w:rPr>
          <w:rFonts w:ascii="Times New Roman" w:hAnsi="Times New Roman" w:cs="Times New Roman"/>
          <w:sz w:val="28"/>
          <w:szCs w:val="28"/>
        </w:rPr>
        <w:t> </w:t>
      </w:r>
      <w:r>
        <w:rPr>
          <w:rFonts w:ascii="Times New Roman" w:hAnsi="Times New Roman" w:cs="Times New Roman"/>
          <w:sz w:val="28"/>
          <w:szCs w:val="28"/>
        </w:rPr>
        <w:t>punktu šādā redakcijā:</w:t>
      </w:r>
    </w:p>
    <w:tbl>
      <w:tblPr>
        <w:tblStyle w:val="TableGrid"/>
        <w:tblW w:w="0" w:type="auto"/>
        <w:tblLook w:val="04A0" w:firstRow="1" w:lastRow="0" w:firstColumn="1" w:lastColumn="0" w:noHBand="0" w:noVBand="1"/>
      </w:tblPr>
      <w:tblGrid>
        <w:gridCol w:w="704"/>
        <w:gridCol w:w="4826"/>
        <w:gridCol w:w="2766"/>
      </w:tblGrid>
      <w:tr w:rsidR="00E2571D" w:rsidRPr="00E12EBC" w14:paraId="3D74A09F" w14:textId="77777777" w:rsidTr="00E12EBC">
        <w:tc>
          <w:tcPr>
            <w:tcW w:w="704" w:type="dxa"/>
          </w:tcPr>
          <w:p w14:paraId="35346DAB" w14:textId="19D011B0" w:rsidR="00E2571D" w:rsidRPr="00E12EBC" w:rsidRDefault="00E2571D" w:rsidP="00E2571D">
            <w:pPr>
              <w:jc w:val="both"/>
              <w:rPr>
                <w:rFonts w:ascii="Times New Roman" w:hAnsi="Times New Roman" w:cs="Times New Roman"/>
                <w:sz w:val="28"/>
                <w:szCs w:val="28"/>
              </w:rPr>
            </w:pPr>
            <w:r w:rsidRPr="00E12EBC">
              <w:rPr>
                <w:rFonts w:ascii="Times New Roman" w:hAnsi="Times New Roman" w:cs="Times New Roman"/>
                <w:sz w:val="28"/>
                <w:szCs w:val="28"/>
              </w:rPr>
              <w:t>5</w:t>
            </w:r>
            <w:r w:rsidR="00E12EBC">
              <w:rPr>
                <w:rFonts w:ascii="Times New Roman" w:hAnsi="Times New Roman" w:cs="Times New Roman"/>
                <w:sz w:val="28"/>
                <w:szCs w:val="28"/>
              </w:rPr>
              <w:t>4</w:t>
            </w:r>
            <w:r w:rsidRPr="00E12EBC">
              <w:rPr>
                <w:rFonts w:ascii="Times New Roman" w:hAnsi="Times New Roman" w:cs="Times New Roman"/>
                <w:sz w:val="28"/>
                <w:szCs w:val="28"/>
              </w:rPr>
              <w:t>.</w:t>
            </w:r>
          </w:p>
        </w:tc>
        <w:tc>
          <w:tcPr>
            <w:tcW w:w="4826" w:type="dxa"/>
          </w:tcPr>
          <w:p w14:paraId="37601968" w14:textId="7FEE3757" w:rsidR="00E2571D" w:rsidRPr="00E12EBC" w:rsidRDefault="00E2571D" w:rsidP="00E2571D">
            <w:pPr>
              <w:jc w:val="both"/>
              <w:rPr>
                <w:rFonts w:ascii="Times New Roman" w:hAnsi="Times New Roman" w:cs="Times New Roman"/>
                <w:sz w:val="28"/>
                <w:szCs w:val="28"/>
              </w:rPr>
            </w:pPr>
            <w:r w:rsidRPr="00E12EBC">
              <w:rPr>
                <w:rFonts w:ascii="Times New Roman" w:hAnsi="Times New Roman" w:cs="Times New Roman"/>
                <w:sz w:val="28"/>
                <w:szCs w:val="28"/>
              </w:rPr>
              <w:t>Svina diazīds, svina stifnāts, svina dipikramāts, svina mīnijs (svina tetroksīds), svina dioksīds, kas ir civilām (profesionālām) vajadzībām paredzētu sprāgstvielu elektriskajos un elektroniskajos iniciatoros, un bārija hromāts, kas ir civilām (profesionālām) vajadzībām paredzētu sprāgstvielu elektrisko iniciatoru ilglaicīgas pirotehniskās aiztures lādiņos</w:t>
            </w:r>
          </w:p>
        </w:tc>
        <w:tc>
          <w:tcPr>
            <w:tcW w:w="2766" w:type="dxa"/>
          </w:tcPr>
          <w:p w14:paraId="7CBB6DEA" w14:textId="1E0781EE" w:rsidR="00E2571D" w:rsidRPr="00E12EBC" w:rsidRDefault="00E12EBC" w:rsidP="00E2571D">
            <w:pPr>
              <w:jc w:val="both"/>
              <w:rPr>
                <w:rFonts w:ascii="Times New Roman" w:hAnsi="Times New Roman" w:cs="Times New Roman"/>
                <w:sz w:val="28"/>
                <w:szCs w:val="28"/>
              </w:rPr>
            </w:pPr>
            <w:r w:rsidRPr="00E12EBC">
              <w:rPr>
                <w:rFonts w:ascii="Times New Roman" w:hAnsi="Times New Roman" w:cs="Times New Roman"/>
                <w:sz w:val="28"/>
                <w:szCs w:val="28"/>
              </w:rPr>
              <w:t>Līdz 2026. gada 20. aprīlim piemēro iekārtām, kuras atbilst šo noteikumu 2. pielikumā minētajai 11. iekārtu kategorijai</w:t>
            </w:r>
          </w:p>
        </w:tc>
      </w:tr>
    </w:tbl>
    <w:p w14:paraId="14287DC2" w14:textId="77777777" w:rsidR="00E2571D" w:rsidRPr="00E2571D" w:rsidRDefault="00E2571D" w:rsidP="00E2571D">
      <w:pPr>
        <w:spacing w:after="0" w:line="240" w:lineRule="auto"/>
        <w:jc w:val="both"/>
        <w:rPr>
          <w:rFonts w:ascii="Times New Roman" w:hAnsi="Times New Roman" w:cs="Times New Roman"/>
          <w:sz w:val="28"/>
          <w:szCs w:val="28"/>
        </w:rPr>
      </w:pPr>
    </w:p>
    <w:p w14:paraId="1036301C" w14:textId="09BDA617" w:rsidR="00E12EBC" w:rsidRPr="00E12EBC" w:rsidRDefault="00E12EBC" w:rsidP="00563431">
      <w:pPr>
        <w:pStyle w:val="ListParagraph"/>
        <w:numPr>
          <w:ilvl w:val="0"/>
          <w:numId w:val="1"/>
        </w:numPr>
        <w:tabs>
          <w:tab w:val="left" w:pos="5529"/>
        </w:tabs>
        <w:spacing w:after="0" w:line="240" w:lineRule="auto"/>
        <w:ind w:left="709" w:hanging="709"/>
        <w:rPr>
          <w:rFonts w:ascii="Times New Roman" w:hAnsi="Times New Roman" w:cs="Times New Roman"/>
          <w:sz w:val="28"/>
          <w:szCs w:val="28"/>
        </w:rPr>
      </w:pPr>
      <w:r w:rsidRPr="00E12EBC">
        <w:rPr>
          <w:rFonts w:ascii="Times New Roman" w:hAnsi="Times New Roman" w:cs="Times New Roman"/>
          <w:sz w:val="28"/>
          <w:szCs w:val="28"/>
        </w:rPr>
        <w:t>Noteikumu 2.</w:t>
      </w:r>
      <w:r w:rsidR="00563B7F">
        <w:rPr>
          <w:rFonts w:ascii="Times New Roman" w:hAnsi="Times New Roman" w:cs="Times New Roman"/>
          <w:sz w:val="28"/>
          <w:szCs w:val="28"/>
        </w:rPr>
        <w:t> </w:t>
      </w:r>
      <w:r w:rsidRPr="00E12EBC">
        <w:rPr>
          <w:rFonts w:ascii="Times New Roman" w:hAnsi="Times New Roman" w:cs="Times New Roman"/>
          <w:sz w:val="28"/>
          <w:szCs w:val="28"/>
        </w:rPr>
        <w:t>punkts stājas spēkā 2021.</w:t>
      </w:r>
      <w:r w:rsidR="0056376D">
        <w:rPr>
          <w:rFonts w:ascii="Times New Roman" w:hAnsi="Times New Roman" w:cs="Times New Roman"/>
          <w:sz w:val="28"/>
          <w:szCs w:val="28"/>
        </w:rPr>
        <w:t> </w:t>
      </w:r>
      <w:r w:rsidRPr="00E12EBC">
        <w:rPr>
          <w:rFonts w:ascii="Times New Roman" w:hAnsi="Times New Roman" w:cs="Times New Roman"/>
          <w:sz w:val="28"/>
          <w:szCs w:val="28"/>
        </w:rPr>
        <w:t>gada 1.</w:t>
      </w:r>
      <w:r w:rsidR="0056376D">
        <w:rPr>
          <w:rFonts w:ascii="Times New Roman" w:hAnsi="Times New Roman" w:cs="Times New Roman"/>
          <w:sz w:val="28"/>
          <w:szCs w:val="28"/>
        </w:rPr>
        <w:t> </w:t>
      </w:r>
      <w:r w:rsidRPr="00E12EBC">
        <w:rPr>
          <w:rFonts w:ascii="Times New Roman" w:hAnsi="Times New Roman" w:cs="Times New Roman"/>
          <w:sz w:val="28"/>
          <w:szCs w:val="28"/>
        </w:rPr>
        <w:t xml:space="preserve">novembrī. </w:t>
      </w:r>
    </w:p>
    <w:p w14:paraId="01CEEA1D" w14:textId="77777777" w:rsidR="00E12EBC" w:rsidRDefault="00E12EBC" w:rsidP="00E12EBC">
      <w:pPr>
        <w:tabs>
          <w:tab w:val="left" w:pos="5529"/>
        </w:tabs>
        <w:spacing w:after="0" w:line="240" w:lineRule="auto"/>
        <w:rPr>
          <w:rFonts w:ascii="Times New Roman" w:hAnsi="Times New Roman" w:cs="Times New Roman"/>
          <w:sz w:val="28"/>
          <w:szCs w:val="28"/>
        </w:rPr>
      </w:pPr>
    </w:p>
    <w:p w14:paraId="15633689" w14:textId="09E06D54" w:rsidR="00E12EBC" w:rsidRDefault="00E12EBC" w:rsidP="00E12EBC">
      <w:pPr>
        <w:tabs>
          <w:tab w:val="left" w:pos="5529"/>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Ministru prezidents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K. Kariņš</w:t>
      </w:r>
    </w:p>
    <w:p w14:paraId="1A2FE636" w14:textId="77777777" w:rsidR="00E12EBC" w:rsidRDefault="00E12EBC" w:rsidP="00E12EBC">
      <w:pPr>
        <w:spacing w:after="0" w:line="240" w:lineRule="auto"/>
        <w:rPr>
          <w:rFonts w:ascii="Times New Roman" w:hAnsi="Times New Roman" w:cs="Times New Roman"/>
          <w:sz w:val="28"/>
          <w:szCs w:val="28"/>
        </w:rPr>
      </w:pPr>
    </w:p>
    <w:p w14:paraId="3A9F6130" w14:textId="77777777" w:rsidR="00E12EBC" w:rsidRDefault="00E12EBC" w:rsidP="00E12EBC">
      <w:pPr>
        <w:spacing w:after="0" w:line="240" w:lineRule="auto"/>
        <w:rPr>
          <w:rFonts w:ascii="Times New Roman" w:hAnsi="Times New Roman" w:cs="Times New Roman"/>
          <w:sz w:val="28"/>
          <w:szCs w:val="28"/>
        </w:rPr>
      </w:pPr>
    </w:p>
    <w:p w14:paraId="0F60316D" w14:textId="77777777" w:rsidR="00E12EBC" w:rsidRDefault="00E12EBC" w:rsidP="00E12EBC">
      <w:pPr>
        <w:spacing w:after="0" w:line="240" w:lineRule="auto"/>
        <w:rPr>
          <w:rFonts w:ascii="Times New Roman" w:hAnsi="Times New Roman" w:cs="Times New Roman"/>
          <w:sz w:val="28"/>
          <w:szCs w:val="28"/>
        </w:rPr>
      </w:pPr>
      <w:r>
        <w:rPr>
          <w:rFonts w:ascii="Times New Roman" w:hAnsi="Times New Roman" w:cs="Times New Roman"/>
          <w:sz w:val="28"/>
          <w:szCs w:val="28"/>
        </w:rPr>
        <w:t>Vides aizsardzības un</w:t>
      </w:r>
    </w:p>
    <w:p w14:paraId="7854E4E8" w14:textId="42D6B7A8" w:rsidR="00E12EBC" w:rsidRDefault="00E12EBC" w:rsidP="00E12EBC">
      <w:pPr>
        <w:tabs>
          <w:tab w:val="left" w:pos="5529"/>
        </w:tabs>
        <w:spacing w:after="0" w:line="240" w:lineRule="auto"/>
        <w:rPr>
          <w:rFonts w:ascii="Times New Roman" w:hAnsi="Times New Roman" w:cs="Times New Roman"/>
          <w:sz w:val="28"/>
          <w:szCs w:val="28"/>
        </w:rPr>
      </w:pPr>
      <w:r>
        <w:rPr>
          <w:rFonts w:ascii="Times New Roman" w:hAnsi="Times New Roman" w:cs="Times New Roman"/>
          <w:sz w:val="28"/>
          <w:szCs w:val="28"/>
        </w:rPr>
        <w:t>reģionālās attīstības ministrs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w:t>
      </w:r>
      <w:r w:rsidR="0056376D">
        <w:rPr>
          <w:rFonts w:ascii="Times New Roman" w:hAnsi="Times New Roman" w:cs="Times New Roman"/>
          <w:sz w:val="28"/>
          <w:szCs w:val="28"/>
        </w:rPr>
        <w:t> </w:t>
      </w:r>
      <w:r>
        <w:rPr>
          <w:rFonts w:ascii="Times New Roman" w:hAnsi="Times New Roman" w:cs="Times New Roman"/>
          <w:sz w:val="28"/>
          <w:szCs w:val="28"/>
        </w:rPr>
        <w:t>T.</w:t>
      </w:r>
      <w:r w:rsidR="0056376D">
        <w:rPr>
          <w:rFonts w:ascii="Times New Roman" w:hAnsi="Times New Roman" w:cs="Times New Roman"/>
          <w:sz w:val="28"/>
          <w:szCs w:val="28"/>
        </w:rPr>
        <w:t> </w:t>
      </w:r>
      <w:r>
        <w:rPr>
          <w:rFonts w:ascii="Times New Roman" w:hAnsi="Times New Roman" w:cs="Times New Roman"/>
          <w:sz w:val="28"/>
          <w:szCs w:val="28"/>
        </w:rPr>
        <w:t>Plešs</w:t>
      </w:r>
    </w:p>
    <w:p w14:paraId="6BDE8EF7" w14:textId="77777777" w:rsidR="00E12EBC" w:rsidRDefault="00E12EBC" w:rsidP="00E12EBC">
      <w:pPr>
        <w:spacing w:after="0" w:line="240" w:lineRule="auto"/>
        <w:rPr>
          <w:rFonts w:ascii="Times New Roman" w:hAnsi="Times New Roman" w:cs="Times New Roman"/>
          <w:sz w:val="28"/>
          <w:szCs w:val="28"/>
        </w:rPr>
      </w:pPr>
    </w:p>
    <w:p w14:paraId="541F8F24" w14:textId="77777777" w:rsidR="00E12EBC" w:rsidRDefault="00E12EBC" w:rsidP="00E12EBC">
      <w:pPr>
        <w:spacing w:after="0" w:line="240" w:lineRule="auto"/>
        <w:rPr>
          <w:rFonts w:ascii="Times New Roman" w:hAnsi="Times New Roman" w:cs="Times New Roman"/>
          <w:sz w:val="28"/>
          <w:szCs w:val="28"/>
        </w:rPr>
      </w:pPr>
    </w:p>
    <w:p w14:paraId="59C34A31" w14:textId="77777777" w:rsidR="00E12EBC" w:rsidRPr="001F4664" w:rsidRDefault="00E12EBC" w:rsidP="00E12EBC">
      <w:pPr>
        <w:spacing w:after="0" w:line="240" w:lineRule="auto"/>
        <w:rPr>
          <w:rFonts w:ascii="Times New Roman" w:hAnsi="Times New Roman" w:cs="Times New Roman"/>
          <w:sz w:val="20"/>
          <w:szCs w:val="28"/>
        </w:rPr>
      </w:pPr>
      <w:r>
        <w:rPr>
          <w:rFonts w:ascii="Times New Roman" w:hAnsi="Times New Roman" w:cs="Times New Roman"/>
          <w:sz w:val="20"/>
          <w:szCs w:val="28"/>
        </w:rPr>
        <w:t>Doniņa</w:t>
      </w:r>
      <w:r w:rsidRPr="001F4664">
        <w:rPr>
          <w:rFonts w:ascii="Times New Roman" w:hAnsi="Times New Roman" w:cs="Times New Roman"/>
          <w:sz w:val="20"/>
          <w:szCs w:val="28"/>
        </w:rPr>
        <w:t xml:space="preserve"> 67026515</w:t>
      </w:r>
    </w:p>
    <w:p w14:paraId="34022C24" w14:textId="77777777" w:rsidR="00E12EBC" w:rsidRPr="001F4664" w:rsidRDefault="00404FFB" w:rsidP="00E12EBC">
      <w:pPr>
        <w:spacing w:after="0" w:line="240" w:lineRule="auto"/>
        <w:rPr>
          <w:rFonts w:ascii="Times New Roman" w:hAnsi="Times New Roman" w:cs="Times New Roman"/>
          <w:sz w:val="20"/>
          <w:szCs w:val="28"/>
        </w:rPr>
      </w:pPr>
      <w:hyperlink r:id="rId7" w:history="1">
        <w:r w:rsidR="00E12EBC" w:rsidRPr="00E15F68">
          <w:rPr>
            <w:rStyle w:val="Hyperlink"/>
            <w:rFonts w:ascii="Times New Roman" w:hAnsi="Times New Roman" w:cs="Times New Roman"/>
            <w:sz w:val="20"/>
            <w:szCs w:val="28"/>
          </w:rPr>
          <w:t>Ilze.Donina@varam.gov.lv</w:t>
        </w:r>
      </w:hyperlink>
      <w:r w:rsidR="00E12EBC">
        <w:rPr>
          <w:rFonts w:ascii="Times New Roman" w:hAnsi="Times New Roman" w:cs="Times New Roman"/>
          <w:sz w:val="20"/>
          <w:szCs w:val="28"/>
        </w:rPr>
        <w:t xml:space="preserve"> </w:t>
      </w:r>
    </w:p>
    <w:p w14:paraId="63B960B5" w14:textId="526441F6" w:rsidR="00E12EBC" w:rsidRPr="00E12EBC" w:rsidRDefault="00E12EBC" w:rsidP="00E12EBC">
      <w:pPr>
        <w:pStyle w:val="ListParagraph"/>
        <w:ind w:left="1080"/>
        <w:rPr>
          <w:rFonts w:ascii="Times New Roman" w:hAnsi="Times New Roman" w:cs="Times New Roman"/>
          <w:sz w:val="28"/>
          <w:szCs w:val="28"/>
        </w:rPr>
      </w:pPr>
    </w:p>
    <w:p w14:paraId="10620EB0" w14:textId="77777777" w:rsidR="00E12EBC" w:rsidRDefault="00E12EBC" w:rsidP="00E12EBC">
      <w:pPr>
        <w:pStyle w:val="ListParagraph"/>
        <w:ind w:left="1080"/>
      </w:pPr>
    </w:p>
    <w:sectPr w:rsidR="00E12EB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664E" w14:textId="77777777" w:rsidR="00404FFB" w:rsidRDefault="00404FFB" w:rsidP="00563431">
      <w:pPr>
        <w:spacing w:after="0" w:line="240" w:lineRule="auto"/>
      </w:pPr>
      <w:r>
        <w:separator/>
      </w:r>
    </w:p>
  </w:endnote>
  <w:endnote w:type="continuationSeparator" w:id="0">
    <w:p w14:paraId="21F87947" w14:textId="77777777" w:rsidR="00404FFB" w:rsidRDefault="00404FFB" w:rsidP="0056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1AFC" w14:textId="67425FEB" w:rsidR="00563431" w:rsidRPr="00563431" w:rsidRDefault="00563431">
    <w:pPr>
      <w:pStyle w:val="Footer"/>
      <w:rPr>
        <w:rFonts w:ascii="Times New Roman" w:hAnsi="Times New Roman" w:cs="Times New Roman"/>
        <w:sz w:val="24"/>
        <w:szCs w:val="24"/>
      </w:rPr>
    </w:pPr>
    <w:r w:rsidRPr="00563431">
      <w:rPr>
        <w:rFonts w:ascii="Times New Roman" w:hAnsi="Times New Roman" w:cs="Times New Roman"/>
        <w:sz w:val="24"/>
        <w:szCs w:val="24"/>
      </w:rPr>
      <w:t>VARAMNot_150721_groz84_ROHS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721F" w14:textId="77777777" w:rsidR="00404FFB" w:rsidRDefault="00404FFB" w:rsidP="00563431">
      <w:pPr>
        <w:spacing w:after="0" w:line="240" w:lineRule="auto"/>
      </w:pPr>
      <w:r>
        <w:separator/>
      </w:r>
    </w:p>
  </w:footnote>
  <w:footnote w:type="continuationSeparator" w:id="0">
    <w:p w14:paraId="4C3BD23B" w14:textId="77777777" w:rsidR="00404FFB" w:rsidRDefault="00404FFB" w:rsidP="00563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275E8"/>
    <w:multiLevelType w:val="hybridMultilevel"/>
    <w:tmpl w:val="C2223552"/>
    <w:lvl w:ilvl="0" w:tplc="A9326D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1D"/>
    <w:rsid w:val="00404FFB"/>
    <w:rsid w:val="00563431"/>
    <w:rsid w:val="0056376D"/>
    <w:rsid w:val="00563B7F"/>
    <w:rsid w:val="009C6B2F"/>
    <w:rsid w:val="00A24220"/>
    <w:rsid w:val="00CF6F8D"/>
    <w:rsid w:val="00E12EBC"/>
    <w:rsid w:val="00E257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69B5"/>
  <w15:chartTrackingRefBased/>
  <w15:docId w15:val="{1EB838EE-7C32-45AF-A4AC-50C312ED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71D"/>
    <w:rPr>
      <w:b/>
      <w:bCs/>
    </w:rPr>
  </w:style>
  <w:style w:type="paragraph" w:customStyle="1" w:styleId="naislab">
    <w:name w:val="naislab"/>
    <w:basedOn w:val="Normal"/>
    <w:rsid w:val="00E2571D"/>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2571D"/>
    <w:pPr>
      <w:ind w:left="720"/>
      <w:contextualSpacing/>
    </w:pPr>
  </w:style>
  <w:style w:type="table" w:styleId="TableGrid">
    <w:name w:val="Table Grid"/>
    <w:basedOn w:val="TableNormal"/>
    <w:uiPriority w:val="39"/>
    <w:rsid w:val="00E2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2EBC"/>
    <w:rPr>
      <w:color w:val="0000FF"/>
      <w:u w:val="single"/>
    </w:rPr>
  </w:style>
  <w:style w:type="paragraph" w:styleId="Header">
    <w:name w:val="header"/>
    <w:basedOn w:val="Normal"/>
    <w:link w:val="HeaderChar"/>
    <w:uiPriority w:val="99"/>
    <w:unhideWhenUsed/>
    <w:rsid w:val="0056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31"/>
  </w:style>
  <w:style w:type="paragraph" w:styleId="Footer">
    <w:name w:val="footer"/>
    <w:basedOn w:val="Normal"/>
    <w:link w:val="FooterChar"/>
    <w:uiPriority w:val="99"/>
    <w:unhideWhenUsed/>
    <w:rsid w:val="0056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ze.Donina@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1316</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Doniņa</dc:creator>
  <cp:keywords/>
  <dc:description>67026515_x000d_
ilze.donina@varam.gov.lv</dc:description>
  <cp:lastModifiedBy>Lita Trakina</cp:lastModifiedBy>
  <cp:revision>2</cp:revision>
  <dcterms:created xsi:type="dcterms:W3CDTF">2021-07-21T08:23:00Z</dcterms:created>
  <dcterms:modified xsi:type="dcterms:W3CDTF">2021-07-21T08:23:00Z</dcterms:modified>
</cp:coreProperties>
</file>