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105A1" w14:textId="51CBDA96" w:rsidR="00A843CD" w:rsidRPr="00E32B69" w:rsidRDefault="00A843CD" w:rsidP="00A843CD">
      <w:pPr>
        <w:jc w:val="center"/>
        <w:rPr>
          <w:b/>
        </w:rPr>
      </w:pPr>
      <w:r w:rsidRPr="00E32B69">
        <w:rPr>
          <w:b/>
        </w:rPr>
        <w:t>Grozījumi Ministru kabineta 2007.gada 9.oktobra noteikumos Nr.686 „Noteikumi par īpaši aizsargājamās dabas teritorijas dabas aizsardzības plāna saturu un izstrādes kārtību” sākotnējās ietekmes novērtējuma ziņojums (anotācija)</w:t>
      </w:r>
    </w:p>
    <w:p w14:paraId="33794CD3" w14:textId="77777777" w:rsidR="00BD5588" w:rsidRPr="00E32B69" w:rsidRDefault="00BD5588" w:rsidP="00A843CD">
      <w:pPr>
        <w:pStyle w:val="Title"/>
        <w:spacing w:before="130" w:line="260" w:lineRule="exact"/>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2995"/>
        <w:gridCol w:w="5301"/>
      </w:tblGrid>
      <w:tr w:rsidR="00BD5588" w:rsidRPr="00E32B69" w14:paraId="3D8D0D2C" w14:textId="77777777" w:rsidTr="009E0502">
        <w:trPr>
          <w:cantSplit/>
        </w:trPr>
        <w:tc>
          <w:tcPr>
            <w:tcW w:w="9581" w:type="dxa"/>
            <w:gridSpan w:val="2"/>
            <w:shd w:val="clear" w:color="auto" w:fill="FFFFFF"/>
            <w:vAlign w:val="center"/>
            <w:hideMark/>
          </w:tcPr>
          <w:p w14:paraId="4F8507E7" w14:textId="77777777" w:rsidR="00BD5588" w:rsidRPr="00E32B69" w:rsidRDefault="00BD5588" w:rsidP="009E0502">
            <w:pPr>
              <w:jc w:val="center"/>
              <w:rPr>
                <w:b/>
                <w:iCs/>
                <w:lang w:eastAsia="en-US"/>
              </w:rPr>
            </w:pPr>
            <w:r w:rsidRPr="00E32B69">
              <w:rPr>
                <w:b/>
                <w:iCs/>
                <w:lang w:eastAsia="en-US"/>
              </w:rPr>
              <w:t>Tiesību akta projekta anotācijas kopsavilkums</w:t>
            </w:r>
          </w:p>
        </w:tc>
      </w:tr>
      <w:tr w:rsidR="00611CA0" w:rsidRPr="00E32B69" w14:paraId="5C6B6593" w14:textId="77777777" w:rsidTr="009E0502">
        <w:trPr>
          <w:cantSplit/>
        </w:trPr>
        <w:tc>
          <w:tcPr>
            <w:tcW w:w="3430" w:type="dxa"/>
            <w:shd w:val="clear" w:color="auto" w:fill="FFFFFF"/>
            <w:hideMark/>
          </w:tcPr>
          <w:p w14:paraId="673F2C2C" w14:textId="0C9A9236" w:rsidR="00BD5588" w:rsidRPr="00E32B69" w:rsidRDefault="00BD5588" w:rsidP="009E0502">
            <w:pPr>
              <w:rPr>
                <w:iCs/>
                <w:lang w:eastAsia="en-US"/>
              </w:rPr>
            </w:pPr>
            <w:r w:rsidRPr="00E32B69">
              <w:rPr>
                <w:iCs/>
                <w:lang w:eastAsia="en-US"/>
              </w:rPr>
              <w:t>Mērķis, risinājums un projekta spēkā stāšanās laiks</w:t>
            </w:r>
          </w:p>
        </w:tc>
        <w:tc>
          <w:tcPr>
            <w:tcW w:w="6151" w:type="dxa"/>
            <w:shd w:val="clear" w:color="auto" w:fill="FFFFFF"/>
            <w:hideMark/>
          </w:tcPr>
          <w:p w14:paraId="06B8F910" w14:textId="4079247A" w:rsidR="0044227C" w:rsidRPr="00E32B69" w:rsidRDefault="0044227C" w:rsidP="000E7C6C">
            <w:pPr>
              <w:jc w:val="both"/>
              <w:rPr>
                <w:lang w:eastAsia="en-US"/>
              </w:rPr>
            </w:pPr>
            <w:r w:rsidRPr="00E32B69">
              <w:rPr>
                <w:lang w:eastAsia="en-US"/>
              </w:rPr>
              <w:t xml:space="preserve"> </w:t>
            </w:r>
            <w:r w:rsidR="00E04094" w:rsidRPr="00E32B69">
              <w:rPr>
                <w:lang w:eastAsia="en-US"/>
              </w:rPr>
              <w:t xml:space="preserve">Grozījumi Ministru kabineta 2007.gada 9.oktobra noteikumos Nr.686 „Noteikumi par īpaši aizsargājamās dabas teritorijas dabas aizsardzības plāna saturu un izstrādes kārtību” </w:t>
            </w:r>
            <w:r w:rsidR="009B6884" w:rsidRPr="00E32B69">
              <w:rPr>
                <w:lang w:eastAsia="en-US"/>
              </w:rPr>
              <w:t xml:space="preserve">(turpmāk – noteikumu projekts) </w:t>
            </w:r>
            <w:r w:rsidR="00E04094" w:rsidRPr="00E32B69">
              <w:rPr>
                <w:lang w:eastAsia="en-US"/>
              </w:rPr>
              <w:t xml:space="preserve">izstrādāti, lai </w:t>
            </w:r>
            <w:r w:rsidRPr="00E32B69">
              <w:rPr>
                <w:lang w:eastAsia="en-US"/>
              </w:rPr>
              <w:t>veikt</w:t>
            </w:r>
            <w:r w:rsidR="00E04094" w:rsidRPr="00E32B69">
              <w:rPr>
                <w:lang w:eastAsia="en-US"/>
              </w:rPr>
              <w:t>u</w:t>
            </w:r>
            <w:r w:rsidRPr="00E32B69">
              <w:rPr>
                <w:lang w:eastAsia="en-US"/>
              </w:rPr>
              <w:t xml:space="preserve"> tehnisk</w:t>
            </w:r>
            <w:r w:rsidR="00E04094" w:rsidRPr="00E32B69">
              <w:rPr>
                <w:lang w:eastAsia="en-US"/>
              </w:rPr>
              <w:t>us</w:t>
            </w:r>
            <w:r w:rsidRPr="00E32B69">
              <w:rPr>
                <w:lang w:eastAsia="en-US"/>
              </w:rPr>
              <w:t xml:space="preserve"> precizējum</w:t>
            </w:r>
            <w:r w:rsidR="00E04094" w:rsidRPr="00E32B69">
              <w:rPr>
                <w:lang w:eastAsia="en-US"/>
              </w:rPr>
              <w:t>us</w:t>
            </w:r>
            <w:r w:rsidRPr="00E32B69">
              <w:rPr>
                <w:lang w:eastAsia="en-US"/>
              </w:rPr>
              <w:t xml:space="preserve">, </w:t>
            </w:r>
            <w:r w:rsidR="00E04094" w:rsidRPr="00E32B69">
              <w:rPr>
                <w:lang w:eastAsia="en-US"/>
              </w:rPr>
              <w:t xml:space="preserve">un </w:t>
            </w:r>
            <w:r w:rsidRPr="00E32B69">
              <w:rPr>
                <w:lang w:eastAsia="en-US"/>
              </w:rPr>
              <w:t xml:space="preserve">precizējumi pēc būtības, lai uzlabotu </w:t>
            </w:r>
            <w:r w:rsidRPr="00611CA0">
              <w:rPr>
                <w:lang w:eastAsia="en-US"/>
              </w:rPr>
              <w:t>dabas aizsardzības plāna kvalitāti</w:t>
            </w:r>
            <w:r w:rsidR="009B1C5F">
              <w:rPr>
                <w:lang w:eastAsia="en-US"/>
              </w:rPr>
              <w:t xml:space="preserve"> – paredzot noteikt aizsardzības mērķi Eiropas Savienības nozīmes sugām un biotopiem</w:t>
            </w:r>
            <w:r w:rsidRPr="00E32B69">
              <w:rPr>
                <w:lang w:eastAsia="en-US"/>
              </w:rPr>
              <w:t>, kā arī</w:t>
            </w:r>
            <w:r w:rsidR="00611CA0">
              <w:rPr>
                <w:lang w:eastAsia="en-US"/>
              </w:rPr>
              <w:t xml:space="preserve"> </w:t>
            </w:r>
            <w:r w:rsidR="00611CA0" w:rsidRPr="00E32B69">
              <w:rPr>
                <w:lang w:eastAsia="en-US"/>
              </w:rPr>
              <w:t>mazinātu administratīvo slogu</w:t>
            </w:r>
            <w:r w:rsidR="00611CA0">
              <w:rPr>
                <w:lang w:eastAsia="en-US"/>
              </w:rPr>
              <w:t xml:space="preserve"> valsts un pašvaldību amatpersonām, fiziskām un juridiskām personām, tai skaitā dabas aizsardzības plāna izstrādātājiem.</w:t>
            </w:r>
          </w:p>
          <w:p w14:paraId="7D8E6FFE" w14:textId="06D3066C" w:rsidR="00AD1A09" w:rsidRPr="00E32B69" w:rsidRDefault="00AD1A09" w:rsidP="000E7C6C">
            <w:pPr>
              <w:jc w:val="both"/>
              <w:rPr>
                <w:lang w:eastAsia="en-US"/>
              </w:rPr>
            </w:pPr>
            <w:r w:rsidRPr="00E32B69">
              <w:rPr>
                <w:lang w:eastAsia="en-US"/>
              </w:rPr>
              <w:t>Noteikumu projekts stājas spēkā Oficiālo publikāciju un tiesiskās informācijas likuma 7. panta otrajā daļā noteiktajā kārtībā.</w:t>
            </w:r>
          </w:p>
        </w:tc>
      </w:tr>
    </w:tbl>
    <w:p w14:paraId="1F248D73" w14:textId="77777777" w:rsidR="00BD5588" w:rsidRPr="00E32B69" w:rsidRDefault="00BD5588" w:rsidP="00BD5588">
      <w:pPr>
        <w:pStyle w:val="Title"/>
        <w:spacing w:before="130" w:line="260" w:lineRule="exact"/>
        <w:ind w:firstLine="539"/>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16"/>
        <w:gridCol w:w="2454"/>
        <w:gridCol w:w="5326"/>
      </w:tblGrid>
      <w:tr w:rsidR="00BD5588" w:rsidRPr="00E32B69" w14:paraId="0A2AAC8E" w14:textId="77777777" w:rsidTr="009E0502">
        <w:trPr>
          <w:cantSplit/>
        </w:trPr>
        <w:tc>
          <w:tcPr>
            <w:tcW w:w="5000" w:type="pct"/>
            <w:gridSpan w:val="3"/>
            <w:vAlign w:val="center"/>
            <w:hideMark/>
          </w:tcPr>
          <w:p w14:paraId="58532E79" w14:textId="77777777" w:rsidR="00BD5588" w:rsidRPr="00E32B69" w:rsidRDefault="00BD5588" w:rsidP="009E0502">
            <w:pPr>
              <w:jc w:val="center"/>
              <w:rPr>
                <w:b/>
                <w:bCs/>
              </w:rPr>
            </w:pPr>
            <w:r w:rsidRPr="00E32B69">
              <w:rPr>
                <w:b/>
                <w:bCs/>
              </w:rPr>
              <w:t>I. Tiesību akta projekta izstrādes nepieciešamība</w:t>
            </w:r>
          </w:p>
        </w:tc>
      </w:tr>
      <w:tr w:rsidR="00BD5588" w:rsidRPr="00E32B69" w14:paraId="0A3DA66B" w14:textId="77777777" w:rsidTr="009E0502">
        <w:trPr>
          <w:cantSplit/>
        </w:trPr>
        <w:tc>
          <w:tcPr>
            <w:tcW w:w="311" w:type="pct"/>
            <w:hideMark/>
          </w:tcPr>
          <w:p w14:paraId="222A79D6" w14:textId="77777777" w:rsidR="00BD5588" w:rsidRPr="00E32B69" w:rsidRDefault="00BD5588" w:rsidP="009E0502">
            <w:pPr>
              <w:jc w:val="center"/>
            </w:pPr>
            <w:r w:rsidRPr="00E32B69">
              <w:t>1.</w:t>
            </w:r>
          </w:p>
        </w:tc>
        <w:tc>
          <w:tcPr>
            <w:tcW w:w="1479" w:type="pct"/>
            <w:hideMark/>
          </w:tcPr>
          <w:p w14:paraId="5290CDB3" w14:textId="77777777" w:rsidR="00BD5588" w:rsidRPr="00E32B69" w:rsidRDefault="00BD5588" w:rsidP="009E0502">
            <w:r w:rsidRPr="00E32B69">
              <w:t>Pamatojums</w:t>
            </w:r>
          </w:p>
        </w:tc>
        <w:tc>
          <w:tcPr>
            <w:tcW w:w="3210" w:type="pct"/>
            <w:hideMark/>
          </w:tcPr>
          <w:p w14:paraId="18302665" w14:textId="33E99401" w:rsidR="00BD5588" w:rsidRPr="00E32B69" w:rsidRDefault="00083F04" w:rsidP="009E0502">
            <w:r w:rsidRPr="00E32B69">
              <w:t>Likuma „Par īpaši aizsargājamām dabas teritorijām” 18.</w:t>
            </w:r>
            <w:r w:rsidR="00BF14DE" w:rsidRPr="00E32B69">
              <w:t xml:space="preserve"> </w:t>
            </w:r>
            <w:r w:rsidRPr="00E32B69">
              <w:t>panta trešā daļa.</w:t>
            </w:r>
          </w:p>
        </w:tc>
      </w:tr>
      <w:tr w:rsidR="0016391E" w:rsidRPr="00E32B69" w14:paraId="18847AC7" w14:textId="77777777" w:rsidTr="009E0502">
        <w:trPr>
          <w:cantSplit/>
        </w:trPr>
        <w:tc>
          <w:tcPr>
            <w:tcW w:w="311" w:type="pct"/>
          </w:tcPr>
          <w:p w14:paraId="580C02C4" w14:textId="6D545330" w:rsidR="0016391E" w:rsidRPr="00E32B69" w:rsidRDefault="0016391E" w:rsidP="0016391E">
            <w:pPr>
              <w:jc w:val="center"/>
            </w:pPr>
            <w:r w:rsidRPr="00FE1AC9">
              <w:t>2.</w:t>
            </w:r>
          </w:p>
        </w:tc>
        <w:tc>
          <w:tcPr>
            <w:tcW w:w="1479" w:type="pct"/>
          </w:tcPr>
          <w:p w14:paraId="5FD30C37" w14:textId="57085784" w:rsidR="0016391E" w:rsidRPr="00E32B69" w:rsidRDefault="0016391E" w:rsidP="0016391E">
            <w:r w:rsidRPr="00FE1AC9">
              <w:t>Pašreizējā situācija un problēmas, kuru risināšanai tiesību akta projekts izstrādāts, tiesiskā regulējuma mērķis un būtība</w:t>
            </w:r>
          </w:p>
        </w:tc>
        <w:tc>
          <w:tcPr>
            <w:tcW w:w="3210" w:type="pct"/>
          </w:tcPr>
          <w:p w14:paraId="3E889337" w14:textId="05A4BC2B" w:rsidR="0016391E" w:rsidRPr="00E32B69" w:rsidRDefault="0016391E" w:rsidP="0016391E">
            <w:pPr>
              <w:jc w:val="both"/>
            </w:pPr>
            <w:r w:rsidRPr="0016391E">
              <w:t>Atbilstoši Ministru kabineta 2009. gada 6. maija rīkojuma Nr.290 “Par Dabas aizsardzības pārvaldes, Rāznas nacionālā parka administrācijas, Ķemeru nacionālā parka administrācijas, Gaujas nacionālā parka administrācijas, Slīteres nacionālā parka administrācijas, Ziemeļvidzemes biosfēras rezervāta administrācijas un Teiču dabas rezervāta administrācijas reorganizāciju un Dabas aizsardzības pārvaldes izveidi” 1.punktam nolemts saskaņā ar Valsts pārvaldes iekārtas likuma 15. panta trešās daļas 2. punktu reorganizēt vides ministra padotībā esošās tiešās pārvaldes iestādes - Dabas aizsardzības pārvaldi, Rāznas nacionālā parka administrāciju, Ķemeru nacionālā parka administrāciju, Slīteres nacionālā parka administrāciju, Ziemeļvidzemes biosfēras</w:t>
            </w:r>
            <w:r>
              <w:t xml:space="preserve"> </w:t>
            </w:r>
            <w:r w:rsidRPr="0016391E">
              <w:t>rezervāta administrāciju, Teiču dabas rezervāta administrāciju un Gaujas nacionālā parka administrāciju -, tās apvienojot, un ar 2009. gada 1. jūniju izveidojot jaunu tiešās pārvaldes iestādi - Dabas aizsardzības pārvaldi. Ņemot vērā veikto reorganizāciju, visā tekstā tiek svītrotas atsauces uz īpaši aizsargājamās dabas teritorijas administrāciju.</w:t>
            </w:r>
          </w:p>
        </w:tc>
      </w:tr>
      <w:tr w:rsidR="00BD5588" w:rsidRPr="00E32B69" w14:paraId="3370BFBF" w14:textId="77777777" w:rsidTr="0016391E">
        <w:trPr>
          <w:cantSplit/>
        </w:trPr>
        <w:tc>
          <w:tcPr>
            <w:tcW w:w="311" w:type="pct"/>
          </w:tcPr>
          <w:p w14:paraId="7A261369" w14:textId="350F0548" w:rsidR="00BD5588" w:rsidRPr="00E32B69" w:rsidRDefault="00BD5588" w:rsidP="009E0502">
            <w:pPr>
              <w:jc w:val="center"/>
            </w:pPr>
          </w:p>
        </w:tc>
        <w:tc>
          <w:tcPr>
            <w:tcW w:w="1479" w:type="pct"/>
          </w:tcPr>
          <w:p w14:paraId="21C39A5C" w14:textId="76123F30" w:rsidR="00BD5588" w:rsidRPr="00E32B69" w:rsidRDefault="00BD5588" w:rsidP="009E0502"/>
        </w:tc>
        <w:tc>
          <w:tcPr>
            <w:tcW w:w="3210" w:type="pct"/>
            <w:hideMark/>
          </w:tcPr>
          <w:p w14:paraId="1A74AA0F" w14:textId="35E96445" w:rsidR="00B74B94" w:rsidRPr="00E32B69" w:rsidRDefault="008352BB" w:rsidP="00AC587A">
            <w:pPr>
              <w:jc w:val="both"/>
            </w:pPr>
            <w:r w:rsidRPr="00E32B69">
              <w:t xml:space="preserve">Saskaņā </w:t>
            </w:r>
            <w:r w:rsidR="00AC587A" w:rsidRPr="00E32B69">
              <w:t xml:space="preserve">ar </w:t>
            </w:r>
            <w:r w:rsidRPr="00E32B69">
              <w:t xml:space="preserve">Ministru kabineta </w:t>
            </w:r>
            <w:r w:rsidR="00AC587A" w:rsidRPr="00E32B69">
              <w:t>2011.</w:t>
            </w:r>
            <w:r w:rsidR="00BF14DE" w:rsidRPr="00E32B69">
              <w:t xml:space="preserve"> </w:t>
            </w:r>
            <w:r w:rsidR="00AC587A" w:rsidRPr="00E32B69">
              <w:t>gada 29.</w:t>
            </w:r>
            <w:r w:rsidR="00BF14DE" w:rsidRPr="00E32B69">
              <w:t xml:space="preserve"> </w:t>
            </w:r>
            <w:r w:rsidR="00AC587A" w:rsidRPr="00E32B69">
              <w:t>marta noteikum</w:t>
            </w:r>
            <w:r w:rsidRPr="00E32B69">
              <w:t>u</w:t>
            </w:r>
            <w:r w:rsidR="00AC587A" w:rsidRPr="00E32B69">
              <w:t xml:space="preserve"> Nr.</w:t>
            </w:r>
            <w:r w:rsidR="00BF14DE" w:rsidRPr="00E32B69">
              <w:t xml:space="preserve"> </w:t>
            </w:r>
            <w:r w:rsidR="00AC587A" w:rsidRPr="00E32B69">
              <w:t>233 “"Vides aizsardzības un reģionālās attīstības ministrijas nolikums"</w:t>
            </w:r>
            <w:r w:rsidRPr="00E32B69">
              <w:t xml:space="preserve"> 25.1.apakšpunktu par</w:t>
            </w:r>
            <w:r w:rsidR="00AC587A" w:rsidRPr="00E32B69">
              <w:t xml:space="preserve"> spēku zaudēj</w:t>
            </w:r>
            <w:r w:rsidRPr="00E32B69">
              <w:t>ušiem atzīti</w:t>
            </w:r>
            <w:r w:rsidR="00AC587A" w:rsidRPr="00E32B69">
              <w:t xml:space="preserve"> </w:t>
            </w:r>
            <w:r w:rsidRPr="00E32B69">
              <w:t xml:space="preserve">Ministru kabineta </w:t>
            </w:r>
            <w:r w:rsidR="00AC587A" w:rsidRPr="00E32B69">
              <w:t>2003.</w:t>
            </w:r>
            <w:r w:rsidR="00BF14DE" w:rsidRPr="00E32B69">
              <w:t xml:space="preserve"> </w:t>
            </w:r>
            <w:r w:rsidR="00AC587A" w:rsidRPr="00E32B69">
              <w:t>gada 29.</w:t>
            </w:r>
            <w:r w:rsidR="00BF14DE" w:rsidRPr="00E32B69">
              <w:t xml:space="preserve"> </w:t>
            </w:r>
            <w:r w:rsidR="00AC587A" w:rsidRPr="00E32B69">
              <w:t>aprī</w:t>
            </w:r>
            <w:r w:rsidRPr="00E32B69">
              <w:t>ļa</w:t>
            </w:r>
            <w:r w:rsidR="00AC587A" w:rsidRPr="00E32B69">
              <w:t xml:space="preserve"> noteikumi Nr.</w:t>
            </w:r>
            <w:r w:rsidR="00BF14DE" w:rsidRPr="00E32B69">
              <w:t xml:space="preserve"> </w:t>
            </w:r>
            <w:r w:rsidR="00AC587A" w:rsidRPr="00E32B69">
              <w:t>244 “Vides ministrijas nolikums”</w:t>
            </w:r>
            <w:r w:rsidRPr="00E32B69">
              <w:t>.</w:t>
            </w:r>
            <w:r w:rsidR="00AC587A" w:rsidRPr="00E32B69">
              <w:t xml:space="preserve"> </w:t>
            </w:r>
            <w:r w:rsidRPr="00E32B69">
              <w:t>A</w:t>
            </w:r>
            <w:r w:rsidR="00AC587A" w:rsidRPr="00E32B69">
              <w:t xml:space="preserve">ttiecīgi visā tekstā tiek </w:t>
            </w:r>
            <w:r w:rsidRPr="00E32B69">
              <w:t xml:space="preserve">aizstāts jēdziens </w:t>
            </w:r>
            <w:r w:rsidR="00AC587A" w:rsidRPr="00E32B69">
              <w:t xml:space="preserve">“Vides ministrija” ar </w:t>
            </w:r>
            <w:r w:rsidRPr="00E32B69">
              <w:t>jēdzienu</w:t>
            </w:r>
            <w:r w:rsidR="00972799" w:rsidRPr="00E32B69">
              <w:t xml:space="preserve"> </w:t>
            </w:r>
            <w:r w:rsidR="00AC587A" w:rsidRPr="00E32B69">
              <w:t>“Vides aizsardzības un reģionālas attīstības ministrija” attiecīg</w:t>
            </w:r>
            <w:r w:rsidRPr="00E32B69">
              <w:t>ajā</w:t>
            </w:r>
            <w:r w:rsidR="00AC587A" w:rsidRPr="00E32B69">
              <w:t xml:space="preserve"> locījum</w:t>
            </w:r>
            <w:r w:rsidRPr="00E32B69">
              <w:t>ā</w:t>
            </w:r>
            <w:r w:rsidR="00AC587A" w:rsidRPr="00E32B69">
              <w:t>.</w:t>
            </w:r>
          </w:p>
          <w:p w14:paraId="3D58E923" w14:textId="77777777" w:rsidR="0049186B" w:rsidRPr="00E32B69" w:rsidRDefault="0049186B" w:rsidP="00AC587A">
            <w:pPr>
              <w:jc w:val="both"/>
            </w:pPr>
          </w:p>
          <w:p w14:paraId="0A7FBAEA" w14:textId="44269FDF" w:rsidR="00571CDB" w:rsidRPr="00E32B69" w:rsidRDefault="007002F4" w:rsidP="00AC587A">
            <w:pPr>
              <w:jc w:val="both"/>
            </w:pPr>
            <w:r w:rsidRPr="00E32B69">
              <w:t>Ilggadīgā plānu izstrādes pieredze liecina, ka plāna izstrādes uzraudzības grupas pilda konsultatīvu funkciju, nevis uzraudzības</w:t>
            </w:r>
            <w:r>
              <w:t xml:space="preserve"> </w:t>
            </w:r>
            <w:r w:rsidRPr="00E32B69">
              <w:t xml:space="preserve"> funkciju</w:t>
            </w:r>
            <w:r>
              <w:t xml:space="preserve">, tādējādi </w:t>
            </w:r>
            <w:r w:rsidRPr="00E32B69">
              <w:t xml:space="preserve"> </w:t>
            </w:r>
            <w:r>
              <w:t>a</w:t>
            </w:r>
            <w:r w:rsidRPr="00E32B69">
              <w:t xml:space="preserve">r šiem grozījumiem </w:t>
            </w:r>
            <w:r>
              <w:t>vārdi “</w:t>
            </w:r>
            <w:r w:rsidRPr="00E32B69">
              <w:t>uzraudzības grupa</w:t>
            </w:r>
            <w:r>
              <w:t>”</w:t>
            </w:r>
            <w:r w:rsidRPr="00E32B69">
              <w:t xml:space="preserve"> tiek aizstāt</w:t>
            </w:r>
            <w:r>
              <w:t>i</w:t>
            </w:r>
            <w:r w:rsidRPr="00E32B69">
              <w:t xml:space="preserve"> ar </w:t>
            </w:r>
            <w:r>
              <w:t>vārdiem “</w:t>
            </w:r>
            <w:r w:rsidRPr="00E32B69">
              <w:t>konsultatīv</w:t>
            </w:r>
            <w:r>
              <w:t>ā</w:t>
            </w:r>
            <w:r w:rsidRPr="00E32B69">
              <w:t xml:space="preserve"> grup</w:t>
            </w:r>
            <w:r>
              <w:t>a”, kas atbilst faktiskai situācijai.</w:t>
            </w:r>
            <w:r w:rsidRPr="00E32B69">
              <w:t xml:space="preserve"> Plāna izstrādes uzraudzību atbilstoši normatīvo aktu prasībām nodrošina Dabas aizsardzības pārvalde.</w:t>
            </w:r>
            <w:r>
              <w:t xml:space="preserve"> </w:t>
            </w:r>
            <w:r w:rsidR="0049186B" w:rsidRPr="00E32B69">
              <w:t>Konsultatīvās grupas mērķis ir sniegt priekšlikumus un ieteikumus par plānā ietvertajiem pasākumiem.</w:t>
            </w:r>
            <w:r w:rsidR="00571CDB" w:rsidRPr="00E32B69">
              <w:t xml:space="preserve"> </w:t>
            </w:r>
            <w:r w:rsidR="0049186B" w:rsidRPr="00E32B69">
              <w:t>Konsultatīvās grupas</w:t>
            </w:r>
            <w:r w:rsidR="00571CDB" w:rsidRPr="00E32B69">
              <w:t xml:space="preserve"> locekļu pienākums ir piedalīties plāna izstrādātāja organizētajās sanāksmēs, konsultēt un izskatīt dabas aizsardzības, dabas resursu izmantošanas un reģiona ilgtspējīgas attīstības intereses, lai nodrošinātu teritorijas dabas vērtību saglabāšanu, kā arī uzturēt labvēlīgu aizsardzības stāvokli tām īpaši aizsargājamām sugām un īpaši aizsargājamiem un Eiropas Savienības nozīmes biotopiem, kuru aizsardzībai šī teritorija ir izveidota.</w:t>
            </w:r>
            <w:r w:rsidR="0049186B" w:rsidRPr="00E32B69">
              <w:t xml:space="preserve"> Konsultatīv</w:t>
            </w:r>
            <w:r w:rsidR="00972799" w:rsidRPr="00E32B69">
              <w:t>ā</w:t>
            </w:r>
            <w:r w:rsidR="0049186B" w:rsidRPr="00E32B69">
              <w:t xml:space="preserve"> grup</w:t>
            </w:r>
            <w:r w:rsidR="00972799" w:rsidRPr="00E32B69">
              <w:t>a</w:t>
            </w:r>
            <w:r w:rsidR="0049186B" w:rsidRPr="00E32B69">
              <w:t xml:space="preserve"> ir izteiku</w:t>
            </w:r>
            <w:r w:rsidR="00972799" w:rsidRPr="00E32B69">
              <w:t>s</w:t>
            </w:r>
            <w:r w:rsidR="0049186B" w:rsidRPr="00E32B69">
              <w:t>i vēlmi piedalīties līdzšinējās institūcijas, izņemot Latvijas Investīciju un attīstības aģentūru, kura attiecīgi ar šiem grozījumiem tiek svītrota</w:t>
            </w:r>
            <w:r w:rsidR="00C054D3" w:rsidRPr="00E32B69">
              <w:t xml:space="preserve"> – 18.7.</w:t>
            </w:r>
            <w:r w:rsidR="00BF14DE" w:rsidRPr="00E32B69">
              <w:t xml:space="preserve"> </w:t>
            </w:r>
            <w:r w:rsidR="00C054D3" w:rsidRPr="00E32B69">
              <w:t>apakšpunkts</w:t>
            </w:r>
            <w:r w:rsidR="0049186B" w:rsidRPr="00E32B69">
              <w:t>.</w:t>
            </w:r>
            <w:r w:rsidR="00571CDB" w:rsidRPr="00E32B69">
              <w:t xml:space="preserve"> </w:t>
            </w:r>
          </w:p>
          <w:p w14:paraId="5EA1F625" w14:textId="066CC1F0" w:rsidR="0049186B" w:rsidRPr="00E32B69" w:rsidRDefault="0049186B" w:rsidP="00AC587A">
            <w:pPr>
              <w:jc w:val="both"/>
            </w:pPr>
          </w:p>
          <w:p w14:paraId="1558B529" w14:textId="11B239AF" w:rsidR="0049186B" w:rsidRDefault="0049186B" w:rsidP="00AC587A">
            <w:pPr>
              <w:jc w:val="both"/>
            </w:pPr>
            <w:r w:rsidRPr="00E32B69">
              <w:t>Ar šiem grozījumiem tiek ieviesta prakse, ka dabas aizsardzības plāna izstrādātājs Dabas aizsardzības pārvaldei pieprasa izsniegt darba uzdevumu. Dabas aizsardzības pārvalde, saņemot rakstveida pieprasījumu, to izsniedz viena mēneša laikā. Darba uzdevumā tiek norādītas konkrētas plāna izstrādes prasības, kuras ir pielāgotai konkrētajai aizsargājamai teritorijai. Līdzšinējā prakse liecina, kā šāda pieeja ir pozitīva un būtiski uzlabo dabas aizsardzības plāna kvalitāti. Līdz šim Dabas aizsardzības pārvalde izsniedza darba uzdevumu tām īpaši aizsargājamām teritorijām, kuras tiek izstrādātas pēc Dabas aizsardzības pārvaldes pasūtījuma. Saskaņā ar 2009.</w:t>
            </w:r>
            <w:r w:rsidR="00BF14DE" w:rsidRPr="00E32B69">
              <w:t xml:space="preserve"> </w:t>
            </w:r>
            <w:r w:rsidRPr="00E32B69">
              <w:t>gada 2.</w:t>
            </w:r>
            <w:r w:rsidR="00BF14DE" w:rsidRPr="00E32B69">
              <w:t xml:space="preserve"> </w:t>
            </w:r>
            <w:r w:rsidRPr="00E32B69">
              <w:t>jūnija Ministru kabineta noteikumiem Nr.</w:t>
            </w:r>
            <w:r w:rsidR="00BF14DE" w:rsidRPr="00E32B69">
              <w:t xml:space="preserve"> </w:t>
            </w:r>
            <w:r w:rsidRPr="00E32B69">
              <w:t xml:space="preserve">507 “Dabas aizsardzības pārvaldes nolikums” 3.1. apakšpunktu Dabas aizsardzības pārvalde organizē un uzrauga dabas aizsardzības plānu izstrādi un </w:t>
            </w:r>
            <w:r w:rsidRPr="00E32B69">
              <w:lastRenderedPageBreak/>
              <w:t>atjaunošanu aizsargājamām teritorijām, kā arī veicina un koordinē minēto plānu ieviešanu.</w:t>
            </w:r>
          </w:p>
          <w:p w14:paraId="5924AB64" w14:textId="77777777" w:rsidR="0049186B" w:rsidRPr="00E32B69" w:rsidRDefault="0049186B" w:rsidP="00B74B94">
            <w:pPr>
              <w:jc w:val="both"/>
            </w:pPr>
          </w:p>
          <w:p w14:paraId="5762546A" w14:textId="77777777" w:rsidR="00357AEF" w:rsidRDefault="007B1BD6" w:rsidP="00357AEF">
            <w:pPr>
              <w:jc w:val="both"/>
            </w:pPr>
            <w:r w:rsidRPr="00E32B69">
              <w:t xml:space="preserve">Noteikumu projekts </w:t>
            </w:r>
            <w:r w:rsidR="00AC587A" w:rsidRPr="00E32B69">
              <w:t>paredz, ka plānu</w:t>
            </w:r>
            <w:r w:rsidR="006D1E75" w:rsidRPr="00E32B69">
              <w:t xml:space="preserve"> </w:t>
            </w:r>
            <w:r w:rsidR="00AC587A" w:rsidRPr="00E32B69">
              <w:t>varēs izstrādāt divām vai vairākām aizsargājamām teritorijām, ja to aizsardzības mērķi ir līdzīgi vai tās atrodas blakus, ja ir saņemts Dabas aizsardzības pārvaldes saskaņojums. Šāds regulējums ieviests, lai atvieglotu plānu izstrādi līdzīgām teritorijām,</w:t>
            </w:r>
            <w:r w:rsidR="00352B28" w:rsidRPr="00E32B69">
              <w:t xml:space="preserve"> piemēram,</w:t>
            </w:r>
            <w:r w:rsidR="00AC587A" w:rsidRPr="00E32B69">
              <w:t xml:space="preserve"> </w:t>
            </w:r>
            <w:r w:rsidR="00352B28" w:rsidRPr="00E32B69">
              <w:t xml:space="preserve">kuras ir nelielas, atrodas blakus, </w:t>
            </w:r>
            <w:r w:rsidR="00AD1A09" w:rsidRPr="00E32B69">
              <w:t xml:space="preserve">izveidotas </w:t>
            </w:r>
            <w:r w:rsidR="0049186B" w:rsidRPr="00E32B69">
              <w:t>vienas grupas</w:t>
            </w:r>
            <w:r w:rsidR="00AD1A09" w:rsidRPr="00E32B69">
              <w:t xml:space="preserve"> biotopu vai sugu aizsardzībai</w:t>
            </w:r>
            <w:r w:rsidR="00352B28" w:rsidRPr="00E32B69">
              <w:t>, tādējādi atvieglojot administratīvo slogu izstrādājot vienu plānu nevis divus vai vairākus.</w:t>
            </w:r>
          </w:p>
          <w:p w14:paraId="1CEEB6DD" w14:textId="176509C2" w:rsidR="00357AEF" w:rsidRDefault="00357AEF" w:rsidP="00357AEF">
            <w:pPr>
              <w:jc w:val="both"/>
            </w:pPr>
            <w:r w:rsidRPr="00357AEF">
              <w:t xml:space="preserve">Baltijas jūra ir uzskatāma par vienotu ekosistēmu un </w:t>
            </w:r>
            <w:r>
              <w:t>dabas aizsardzības</w:t>
            </w:r>
            <w:r w:rsidRPr="00357AEF">
              <w:t xml:space="preserve"> plānā jāietver īpaši aizsargājamo dabas teritoriju apraksts un novērtējums, jūras izmantošanas esošās situācijas un tendenču </w:t>
            </w:r>
            <w:proofErr w:type="spellStart"/>
            <w:r w:rsidRPr="00357AEF">
              <w:t>izvērtējums</w:t>
            </w:r>
            <w:proofErr w:type="spellEnd"/>
            <w:r w:rsidRPr="00357AEF">
              <w:t xml:space="preserve">, cita starpā arī jūras vides stāvokļa raksturojums un pārskats par jūras dabas un kultūrvēsturiskajiem resursiem, zinātniskā informācija par aizsargājamo teritoriju, pamatojums funkcionālajam zonējumam, ja tāds nepieciešams, kā arī nosaka vienotus apsaimniekošanas pasākumus (eitrofikācijas, </w:t>
            </w:r>
            <w:proofErr w:type="spellStart"/>
            <w:r w:rsidRPr="00357AEF">
              <w:t>invazīvo</w:t>
            </w:r>
            <w:proofErr w:type="spellEnd"/>
            <w:r w:rsidRPr="00357AEF">
              <w:t xml:space="preserve"> sugu un jūru piesārņojošo atkritumu mazināšanai). Lai sasniegtu aizsargājamo jūras teritoriju aizsardzības mērķus, būtu lietderīgi izstrādāt vienu vienotu </w:t>
            </w:r>
            <w:r>
              <w:t>dabas aizsardzības</w:t>
            </w:r>
            <w:r w:rsidRPr="00357AEF">
              <w:t xml:space="preserve"> plānu visām aizsargājamām jūras teritorijām.</w:t>
            </w:r>
          </w:p>
          <w:p w14:paraId="7DEFFE96" w14:textId="1A34087B" w:rsidR="00357AEF" w:rsidRDefault="00357AEF" w:rsidP="00357AEF">
            <w:pPr>
              <w:jc w:val="both"/>
            </w:pPr>
            <w:r>
              <w:t xml:space="preserve">Vienu kopīgu plānu var izstrādāt jebkurai īpaši aizsargāmās dabas teritorijas kategorijai, ja tās ir izveidotas ar vienādu vai līdzīgu aizsardzības mērķi, un kurām būs līdzīgs </w:t>
            </w:r>
            <w:proofErr w:type="spellStart"/>
            <w:r>
              <w:t>izvērtējums</w:t>
            </w:r>
            <w:proofErr w:type="spellEnd"/>
            <w:r>
              <w:t xml:space="preserve"> un nepieciešami līdzīgi apsaimniekošanas pasākumi, tai skaitā mikroliegumiem, kas ir iekļauti </w:t>
            </w:r>
            <w:proofErr w:type="spellStart"/>
            <w:r>
              <w:t>Natura</w:t>
            </w:r>
            <w:proofErr w:type="spellEnd"/>
            <w:r>
              <w:t xml:space="preserve"> 2000 teritoriju tīklā, un ir izveidoti ar vienādu aizsardzības mērķi.</w:t>
            </w:r>
          </w:p>
          <w:p w14:paraId="1374C201" w14:textId="4CC0A677" w:rsidR="00AC587A" w:rsidRPr="00E32B69" w:rsidRDefault="00357AEF" w:rsidP="00357AEF">
            <w:pPr>
              <w:jc w:val="both"/>
            </w:pPr>
            <w:r>
              <w:t>Piemēram vienotu dabas aizsardzības plānu var izstrādāt dabas pieminekļiem, dabas liegumiem, kas atrodas citās īpaši aizsargājamās dabas teritorijās (piemēram, dabas liegums “</w:t>
            </w:r>
            <w:proofErr w:type="spellStart"/>
            <w:r>
              <w:t>Čužu</w:t>
            </w:r>
            <w:proofErr w:type="spellEnd"/>
            <w:r>
              <w:t xml:space="preserve"> purvs”, kas iekļaujas dabas parkā “Abavas senleja”. Dabas parkam “Abavas senleja” ir izstrādāts dabas aizsardzības plāns, kas pēc būtības ietver arī dabas liegumu “</w:t>
            </w:r>
            <w:proofErr w:type="spellStart"/>
            <w:r>
              <w:t>Čužu</w:t>
            </w:r>
            <w:proofErr w:type="spellEnd"/>
            <w:r>
              <w:t xml:space="preserve"> purvs”, bet dabas liegumam “</w:t>
            </w:r>
            <w:proofErr w:type="spellStart"/>
            <w:r>
              <w:t>Čužu</w:t>
            </w:r>
            <w:proofErr w:type="spellEnd"/>
            <w:r>
              <w:t xml:space="preserve"> purvs” nav dabas aizsardzības plāna).</w:t>
            </w:r>
          </w:p>
          <w:p w14:paraId="57086A3C" w14:textId="77777777" w:rsidR="0049186B" w:rsidRPr="00E32B69" w:rsidRDefault="0049186B" w:rsidP="00B74B94">
            <w:pPr>
              <w:jc w:val="both"/>
            </w:pPr>
          </w:p>
          <w:p w14:paraId="69E18E04" w14:textId="5B456EA3" w:rsidR="00C054D3" w:rsidRPr="00E32B69" w:rsidRDefault="007B1BD6" w:rsidP="00EF768E">
            <w:pPr>
              <w:jc w:val="both"/>
            </w:pPr>
            <w:r w:rsidRPr="00E32B69">
              <w:t xml:space="preserve">Ministru kabineta 2007. gada 9. oktobra noteikumu Nr. 686 „Noteikumi par īpaši aizsargājamās dabas teritorijas dabas aizsardzības plāna saturu un izstrādes kārtību” </w:t>
            </w:r>
            <w:r w:rsidR="00EF768E" w:rsidRPr="00E32B69">
              <w:t>9.4.3. apakšpunkt</w:t>
            </w:r>
            <w:r w:rsidR="00C054D3" w:rsidRPr="00E32B69">
              <w:t>s</w:t>
            </w:r>
            <w:r w:rsidR="0049186B" w:rsidRPr="00E32B69">
              <w:t xml:space="preserve"> tiek papildināt</w:t>
            </w:r>
            <w:r w:rsidR="00C054D3" w:rsidRPr="00E32B69">
              <w:t>s</w:t>
            </w:r>
            <w:r w:rsidR="0049186B" w:rsidRPr="00E32B69">
              <w:t xml:space="preserve"> ar </w:t>
            </w:r>
            <w:r w:rsidR="00EF768E" w:rsidRPr="00E32B69">
              <w:t>vārdiem “</w:t>
            </w:r>
            <w:r w:rsidR="00C054D3" w:rsidRPr="00E32B69">
              <w:t xml:space="preserve">aizsardzības mērķi katram Eiropas Savienības nozīmes biotopam;” un 9.4.4. apakšpunkts tiek </w:t>
            </w:r>
            <w:r w:rsidR="00C054D3" w:rsidRPr="00E32B69">
              <w:lastRenderedPageBreak/>
              <w:t>papildināts ar vārdiem</w:t>
            </w:r>
            <w:r w:rsidR="00EF768E" w:rsidRPr="00E32B69">
              <w:t xml:space="preserve"> </w:t>
            </w:r>
            <w:r w:rsidR="00C054D3" w:rsidRPr="00E32B69">
              <w:t>“aizsardzības mērķi katrai Eiropas Savienības nozīmes sugai;”</w:t>
            </w:r>
            <w:r w:rsidR="000F0462">
              <w:t>.</w:t>
            </w:r>
          </w:p>
          <w:p w14:paraId="519EC8E2" w14:textId="27DCB464" w:rsidR="00C054D3" w:rsidRPr="00E32B69" w:rsidRDefault="009B674F" w:rsidP="00C054D3">
            <w:pPr>
              <w:jc w:val="both"/>
            </w:pPr>
            <w:r>
              <w:t>V</w:t>
            </w:r>
            <w:r w:rsidR="00EF768E" w:rsidRPr="00E32B69">
              <w:t>eicot a</w:t>
            </w:r>
            <w:r w:rsidR="007F0A0D" w:rsidRPr="00E32B69">
              <w:t>izsargājamās teritorijas novērtējumu turpmāk būs jāsniedz informācija par sugām un biotopiem,</w:t>
            </w:r>
            <w:r>
              <w:t xml:space="preserve"> kuri minēti</w:t>
            </w:r>
            <w:r w:rsidR="007F0A0D" w:rsidRPr="00E32B69">
              <w:t xml:space="preserve"> dabas aizsardzību regulējošajos normatīvajos aktos un Latvijai saistošajos starptautiskajos līgumos un konvencijās</w:t>
            </w:r>
            <w:r>
              <w:t>.</w:t>
            </w:r>
            <w:r w:rsidR="007F0A0D" w:rsidRPr="00E32B69">
              <w:t xml:space="preserve"> </w:t>
            </w:r>
            <w:r>
              <w:t>Ī</w:t>
            </w:r>
            <w:r w:rsidR="007F0A0D" w:rsidRPr="00E32B69">
              <w:t>paši aizsargājam</w:t>
            </w:r>
            <w:r>
              <w:t>ais</w:t>
            </w:r>
            <w:r w:rsidR="007F0A0D" w:rsidRPr="00E32B69">
              <w:t xml:space="preserve"> biotop</w:t>
            </w:r>
            <w:r>
              <w:t>s</w:t>
            </w:r>
            <w:r w:rsidR="007F0A0D" w:rsidRPr="00E32B69">
              <w:t xml:space="preserve"> (norādot kodu)</w:t>
            </w:r>
            <w:r w:rsidR="00C054D3" w:rsidRPr="00E32B69">
              <w:t xml:space="preserve"> vai suga</w:t>
            </w:r>
            <w:r w:rsidR="007F0A0D" w:rsidRPr="00E32B69">
              <w:t>, to sociālekonomiskā vērtība un ietekmējošie faktori, vienlaikus norādot to aizsardzības līmeni Latvijas mērogā, aizsardzības mērķi katra</w:t>
            </w:r>
            <w:r w:rsidR="00EF768E" w:rsidRPr="00E32B69">
              <w:t>i</w:t>
            </w:r>
            <w:r w:rsidR="007F0A0D" w:rsidRPr="00E32B69">
              <w:t xml:space="preserve"> Eiropas Savienības nozīmes sugai vai biotopam.</w:t>
            </w:r>
            <w:r w:rsidR="00EF768E" w:rsidRPr="00E32B69">
              <w:t xml:space="preserve">  </w:t>
            </w:r>
            <w:r w:rsidR="00C054D3" w:rsidRPr="00E32B69">
              <w:t>Aizsardzības mērķ</w:t>
            </w:r>
            <w:r w:rsidR="00511325" w:rsidRPr="00E32B69">
              <w:t>ī</w:t>
            </w:r>
            <w:r w:rsidR="00C054D3" w:rsidRPr="00E32B69">
              <w:t xml:space="preserve"> apraksta aizsardzības objekta (sugas vai biotopa) stāvokli, kas ir vai nu atjaunojams vai saglabājams. </w:t>
            </w:r>
            <w:r w:rsidR="00511325" w:rsidRPr="00E32B69">
              <w:t>A</w:t>
            </w:r>
            <w:r w:rsidR="00C054D3" w:rsidRPr="00E32B69">
              <w:t>izsardzības mērķus nosaka katra Eiropas Savienības dalībvalsts savai teritorijai</w:t>
            </w:r>
            <w:r w:rsidR="00511325" w:rsidRPr="00E32B69">
              <w:t>.</w:t>
            </w:r>
            <w:r w:rsidR="00C054D3" w:rsidRPr="00E32B69">
              <w:t xml:space="preserve"> </w:t>
            </w:r>
            <w:r w:rsidR="00511325" w:rsidRPr="00E32B69">
              <w:t>Tā</w:t>
            </w:r>
            <w:r w:rsidR="00C054D3" w:rsidRPr="00E32B69">
              <w:t xml:space="preserve"> nosaka dabas aizsardzības objektu (sugu un biotopu) sastopamības rādītājus, kas liecinātu par to spēju sevi uzturēt ilgstošā laika periodā. Ideālā gadījumā tie ir </w:t>
            </w:r>
            <w:proofErr w:type="spellStart"/>
            <w:r w:rsidR="00C054D3" w:rsidRPr="00E32B69">
              <w:t>kvantititatīvi</w:t>
            </w:r>
            <w:proofErr w:type="spellEnd"/>
            <w:r w:rsidR="00C054D3" w:rsidRPr="00E32B69">
              <w:t xml:space="preserve"> rādītāji</w:t>
            </w:r>
            <w:r w:rsidR="00511325" w:rsidRPr="00E32B69">
              <w:t>,</w:t>
            </w:r>
            <w:r w:rsidR="00C054D3" w:rsidRPr="00E32B69">
              <w:t xml:space="preserve"> un tie tiek noteikti katrai sugai un biotopam individuāli (atbilstoši sugu un biotopu sarakstiem</w:t>
            </w:r>
            <w:r w:rsidR="00057C56">
              <w:t>, kas izriet no</w:t>
            </w:r>
            <w:r w:rsidR="00C054D3" w:rsidRPr="00E32B69">
              <w:t xml:space="preserve"> </w:t>
            </w:r>
            <w:r w:rsidR="00057C56" w:rsidRPr="00057C56">
              <w:t>Eiropas Padomes 1992. gada 21. maija direktīva</w:t>
            </w:r>
            <w:r w:rsidR="00057C56">
              <w:t>s</w:t>
            </w:r>
            <w:r w:rsidR="00057C56" w:rsidRPr="00057C56">
              <w:t xml:space="preserve"> 92/43/EEK </w:t>
            </w:r>
            <w:r w:rsidR="00057C56">
              <w:t>“P</w:t>
            </w:r>
            <w:r w:rsidR="00057C56" w:rsidRPr="00057C56">
              <w:t>ar dabisko dzīvotņu, savvaļas faunas un floras aizsardzību</w:t>
            </w:r>
            <w:r w:rsidR="00057C56">
              <w:t xml:space="preserve">” </w:t>
            </w:r>
            <w:r w:rsidR="00C054D3" w:rsidRPr="00E32B69">
              <w:t>I, II, IV un V pielikumiem)</w:t>
            </w:r>
            <w:r w:rsidR="00511325" w:rsidRPr="00E32B69">
              <w:t>.</w:t>
            </w:r>
            <w:r w:rsidR="00C054D3" w:rsidRPr="00E32B69">
              <w:t xml:space="preserve"> </w:t>
            </w:r>
            <w:r w:rsidR="00511325" w:rsidRPr="00E32B69">
              <w:t>V</w:t>
            </w:r>
            <w:r w:rsidR="00C054D3" w:rsidRPr="00E32B69">
              <w:t>ienlaikus to noteikšanā primāri vērā ņemami ekoloģiskie (bioloģiskie) apsvērumi. Aizsardzības mērķi nav statiski,</w:t>
            </w:r>
            <w:r w:rsidR="00511325" w:rsidRPr="00E32B69">
              <w:t xml:space="preserve"> un</w:t>
            </w:r>
            <w:r w:rsidR="00C054D3" w:rsidRPr="00E32B69">
              <w:t xml:space="preserve"> tie var tikt pārskatīti</w:t>
            </w:r>
            <w:r w:rsidR="00511325" w:rsidRPr="00E32B69">
              <w:t>,</w:t>
            </w:r>
            <w:r w:rsidR="00C054D3" w:rsidRPr="00E32B69">
              <w:t xml:space="preserve"> atjaunojot plānu, balstoties uz jaunāko zinātnisko informāciju.</w:t>
            </w:r>
          </w:p>
          <w:p w14:paraId="3AF935D3" w14:textId="77777777" w:rsidR="007F0A0D" w:rsidRPr="00E32B69" w:rsidRDefault="007F0A0D" w:rsidP="007F0A0D">
            <w:pPr>
              <w:jc w:val="both"/>
            </w:pPr>
          </w:p>
          <w:p w14:paraId="17E33D20" w14:textId="213006C6" w:rsidR="00057C56" w:rsidRDefault="00057C56" w:rsidP="00352B28">
            <w:pPr>
              <w:jc w:val="both"/>
            </w:pPr>
            <w:r w:rsidRPr="0060044E">
              <w:t xml:space="preserve">Noteikumi </w:t>
            </w:r>
            <w:r w:rsidR="00034DCA" w:rsidRPr="0060044E">
              <w:t>tiek papildināti ar</w:t>
            </w:r>
            <w:r w:rsidR="00034DCA" w:rsidRPr="00E32B69">
              <w:t xml:space="preserve"> jaunu regulējumu, kas </w:t>
            </w:r>
            <w:r>
              <w:t>paredz, ka</w:t>
            </w:r>
            <w:r w:rsidR="0060044E">
              <w:t xml:space="preserve"> plāna izstrādātājs var</w:t>
            </w:r>
            <w:r>
              <w:t xml:space="preserve"> rīkot</w:t>
            </w:r>
            <w:r w:rsidR="00034DCA" w:rsidRPr="00E32B69">
              <w:t xml:space="preserve"> neklātienes</w:t>
            </w:r>
            <w:r>
              <w:t xml:space="preserve"> formas (attālināto)</w:t>
            </w:r>
            <w:r w:rsidR="00034DCA" w:rsidRPr="00E32B69">
              <w:t xml:space="preserve"> sanāksm</w:t>
            </w:r>
            <w:r>
              <w:t>i</w:t>
            </w:r>
            <w:r w:rsidR="00034DCA" w:rsidRPr="00E32B69">
              <w:t xml:space="preserve">. </w:t>
            </w:r>
            <w:r>
              <w:t xml:space="preserve">Neklātienes formas (attālināto) sanāksmi var rīkot, situācijās, kad nepieciešams nodrošināt  epidemioloģisko drošības pasākumus, kā arī, </w:t>
            </w:r>
            <w:r w:rsidR="0060044E">
              <w:t xml:space="preserve">lai nodrošinot administratīvo resursu lietderīgu izmantošanu, piemēram, </w:t>
            </w:r>
            <w:r>
              <w:t xml:space="preserve">ja </w:t>
            </w:r>
            <w:r w:rsidR="0060044E">
              <w:t>ir mazs plānotās sanāksmes</w:t>
            </w:r>
            <w:r w:rsidR="00307606">
              <w:t xml:space="preserve"> </w:t>
            </w:r>
            <w:r w:rsidR="0060044E">
              <w:t>dalībnieku skaits un kopīgi vienojoties par sanāksmes formu, tiek pieņemts lēmums rīkot neklātienes formas (attālināto) sanāksmi. Tādējādi</w:t>
            </w:r>
            <w:r w:rsidR="00B27DC9">
              <w:t xml:space="preserve"> efektīvi izmantojot pieejamās tehnoloģijas,</w:t>
            </w:r>
            <w:r w:rsidR="0060044E">
              <w:t xml:space="preserve"> ietaup</w:t>
            </w:r>
            <w:r w:rsidR="00B27DC9">
              <w:t>ot laiku un finansiālos resursus.</w:t>
            </w:r>
            <w:r w:rsidR="0060044E">
              <w:t xml:space="preserve"> </w:t>
            </w:r>
            <w:r w:rsidR="0060044E" w:rsidRPr="0060044E">
              <w:t>Neklātienes formas (attālināto) sanāksmi</w:t>
            </w:r>
            <w:r w:rsidR="00175F7E">
              <w:t xml:space="preserve"> (dabas aizsardzības plāna izstrādes uzsākšanas sanāksme un sabiedriskās apspriešanas sanāksme) </w:t>
            </w:r>
            <w:r w:rsidR="0060044E" w:rsidRPr="0060044E">
              <w:t>var organizēt tikai tad, ja</w:t>
            </w:r>
            <w:r w:rsidR="00B27DC9">
              <w:t xml:space="preserve"> </w:t>
            </w:r>
            <w:r w:rsidR="0060044E" w:rsidRPr="0060044E">
              <w:t>ir atbilstošs tehniskais nodrošinājums</w:t>
            </w:r>
            <w:r w:rsidR="0060044E">
              <w:t>, kā arī saņemts saskaņojums no Dabas aizsardzības pārvaldes.</w:t>
            </w:r>
            <w:r w:rsidR="00175F7E">
              <w:t xml:space="preserve"> Savukārt</w:t>
            </w:r>
            <w:r w:rsidR="0060044E" w:rsidRPr="0060044E">
              <w:t xml:space="preserve"> </w:t>
            </w:r>
            <w:r w:rsidR="00175F7E">
              <w:t>konsultatīvās grupas n</w:t>
            </w:r>
            <w:r w:rsidR="00175F7E" w:rsidRPr="00175F7E">
              <w:t>eklātienes formas (attālināto) sanāksmi</w:t>
            </w:r>
            <w:r w:rsidR="00CF7F85">
              <w:t xml:space="preserve"> nepieciešamības gadījumā var rīkot plāna izstrādātājam un konsultatīvās grupas dalībniekiem savstarpēji vienojoties.</w:t>
            </w:r>
          </w:p>
          <w:p w14:paraId="658D12AA" w14:textId="7011E0BE" w:rsidR="00714235" w:rsidRPr="00E32B69" w:rsidRDefault="00714235" w:rsidP="00352B28">
            <w:pPr>
              <w:jc w:val="both"/>
            </w:pPr>
          </w:p>
          <w:p w14:paraId="78E7C2D2" w14:textId="2F9A036D" w:rsidR="00714235" w:rsidRPr="00E32B69" w:rsidRDefault="007B1BD6" w:rsidP="00714235">
            <w:pPr>
              <w:jc w:val="both"/>
            </w:pPr>
            <w:r w:rsidRPr="00E32B69">
              <w:t xml:space="preserve">Noteikumu projekta redakcija noteic, ka no Ministru kabineta 2007. gada 9. oktobra noteikumiem Nr. 686 „Noteikumi par īpaši aizsargājamās dabas teritorijas dabas aizsardzības plāna saturu un izstrādes kārtību”  </w:t>
            </w:r>
            <w:r w:rsidR="00714235" w:rsidRPr="00E32B69">
              <w:t>tiek svītrota prasība – 34.</w:t>
            </w:r>
            <w:r w:rsidR="00BF14DE" w:rsidRPr="00E32B69">
              <w:t xml:space="preserve"> </w:t>
            </w:r>
            <w:r w:rsidR="00714235" w:rsidRPr="00E32B69">
              <w:t>punkta divi pēdējie teikumi, ka uzraudzības grupas pēdējā sanāksmē uzraudzības grupas locekļi un plāna izstrādātājs protokolā ar parakstu apliecina, ka plāns ir izstrādāts atbilstoši šiem noteikumiem. Protokolu pievieno plānam. Prasība tiek svītrota, jo Dabas aizsardzības pārvalde uzrauga plāna izstrādes gaitu, savukārt uzraudzības grupa veic konsultatīvu funkciju</w:t>
            </w:r>
            <w:r w:rsidR="00AB1D41" w:rsidRPr="00E32B69">
              <w:t>.</w:t>
            </w:r>
            <w:r w:rsidR="00714235" w:rsidRPr="00E32B69">
              <w:t xml:space="preserve"> </w:t>
            </w:r>
            <w:r w:rsidR="00AB1D41" w:rsidRPr="00E32B69">
              <w:t>A</w:t>
            </w:r>
            <w:r w:rsidR="00714235" w:rsidRPr="00E32B69">
              <w:t>ttiecīgi šī</w:t>
            </w:r>
            <w:r w:rsidR="00AB1D41" w:rsidRPr="00E32B69">
              <w:t>s</w:t>
            </w:r>
            <w:r w:rsidR="00714235" w:rsidRPr="00E32B69">
              <w:t xml:space="preserve"> prasība</w:t>
            </w:r>
            <w:r w:rsidR="00AB1D41" w:rsidRPr="00E32B69">
              <w:t>s svītrošana</w:t>
            </w:r>
            <w:r w:rsidR="00714235" w:rsidRPr="00E32B69">
              <w:t xml:space="preserve"> atvieglo</w:t>
            </w:r>
            <w:r w:rsidR="00AB1D41" w:rsidRPr="00E32B69">
              <w:t>tu</w:t>
            </w:r>
            <w:r w:rsidR="00714235" w:rsidRPr="00E32B69">
              <w:t xml:space="preserve"> administratīvo slogu</w:t>
            </w:r>
            <w:r w:rsidR="0023336A">
              <w:t xml:space="preserve"> dabas aizsardzības plāna izstrādātājam un uzraudzības grupas locekļiem - valsts, pašvaldības amatpersonām, fiziskām un juridiskām personām. Dabas aizsardzības plāna izstrādātājs</w:t>
            </w:r>
            <w:r w:rsidR="00714235" w:rsidRPr="00E32B69">
              <w:t xml:space="preserve"> </w:t>
            </w:r>
            <w:r w:rsidR="0023336A">
              <w:t>bieži</w:t>
            </w:r>
            <w:r w:rsidR="00714235" w:rsidRPr="00E32B69">
              <w:t xml:space="preserve"> ilgstoši</w:t>
            </w:r>
            <w:r w:rsidR="0023336A">
              <w:t xml:space="preserve"> objektīvu un neobjektīvu iemeslu pēc</w:t>
            </w:r>
            <w:r w:rsidR="00714235" w:rsidRPr="00E32B69">
              <w:t xml:space="preserve"> nevar satikt uzraudzības grupas locekļus</w:t>
            </w:r>
            <w:r w:rsidR="0023336A">
              <w:t>, lai tie</w:t>
            </w:r>
            <w:r w:rsidR="00714235" w:rsidRPr="00E32B69">
              <w:t xml:space="preserve"> </w:t>
            </w:r>
            <w:r w:rsidR="0023336A">
              <w:t xml:space="preserve">parakstītu sagatavoto protokolu, </w:t>
            </w:r>
            <w:r w:rsidR="00714235" w:rsidRPr="00E32B69">
              <w:t>attiecīgi</w:t>
            </w:r>
            <w:r w:rsidR="0023336A">
              <w:t xml:space="preserve"> būtiski</w:t>
            </w:r>
            <w:r w:rsidR="00714235" w:rsidRPr="00E32B69">
              <w:t xml:space="preserve"> </w:t>
            </w:r>
            <w:r w:rsidR="00964D3D" w:rsidRPr="00E32B69">
              <w:t xml:space="preserve">tika </w:t>
            </w:r>
            <w:r w:rsidR="00714235" w:rsidRPr="00E32B69">
              <w:t>kavē</w:t>
            </w:r>
            <w:r w:rsidR="00964D3D" w:rsidRPr="00E32B69">
              <w:t>ts</w:t>
            </w:r>
            <w:r w:rsidR="00714235" w:rsidRPr="00E32B69">
              <w:t xml:space="preserve"> </w:t>
            </w:r>
            <w:r w:rsidR="0023336A">
              <w:t xml:space="preserve">dabas aizsardzības </w:t>
            </w:r>
            <w:r w:rsidR="00714235" w:rsidRPr="00E32B69">
              <w:t>plāna</w:t>
            </w:r>
            <w:r w:rsidR="0023336A">
              <w:t xml:space="preserve"> kopējais izstrādes</w:t>
            </w:r>
            <w:r w:rsidR="00714235" w:rsidRPr="00E32B69">
              <w:t xml:space="preserve"> laik</w:t>
            </w:r>
            <w:r w:rsidR="00964D3D" w:rsidRPr="00E32B69">
              <w:t>s</w:t>
            </w:r>
            <w:r w:rsidR="00714235" w:rsidRPr="00E32B69">
              <w:t>.</w:t>
            </w:r>
          </w:p>
          <w:p w14:paraId="4ECF2795" w14:textId="77777777" w:rsidR="0049186B" w:rsidRPr="00E32B69" w:rsidRDefault="0049186B" w:rsidP="00352B28">
            <w:pPr>
              <w:jc w:val="both"/>
            </w:pPr>
          </w:p>
          <w:p w14:paraId="7D434990" w14:textId="104BDB60" w:rsidR="00282695" w:rsidRPr="00E32B69" w:rsidRDefault="00282695" w:rsidP="00282695">
            <w:pPr>
              <w:jc w:val="both"/>
            </w:pPr>
            <w:r w:rsidRPr="00E32B69">
              <w:t>Ar šiem noteikumiem tiek svītr</w:t>
            </w:r>
            <w:r w:rsidR="006D1E75" w:rsidRPr="00E32B69">
              <w:t>o</w:t>
            </w:r>
            <w:r w:rsidRPr="00E32B69">
              <w:t>ta prasība nodrošināt plāna izdrukas Vides aizsardzības un reģionālās attīstības ministrijai, Valsts vides dienesta reģionālajai vides pārvadei, pašvaldībām, kuru administratīvajā teritorijā atrodas aizsargājamā teritorija, Valsts meža dienesta virsmežniecībām, kuru uzraudzībā atrodas aizsargājamās teritorijas meža zeme, valsts akciju sabiedrības "Latvijas valsts meži" mežsaimniecībām, kuru pārvaldībā atrodas aizsargājamās teritorijas zeme, Lauku atbalsta dienesta reģionālajām lauksaimniecības pārvaldēm, ja aizsargājamā teritorijā atrodas lauksaimniecības platības.</w:t>
            </w:r>
          </w:p>
          <w:p w14:paraId="15CC356E" w14:textId="0DB18A53" w:rsidR="00282695" w:rsidRPr="00E32B69" w:rsidRDefault="00B27DC9" w:rsidP="00B74B94">
            <w:pPr>
              <w:jc w:val="both"/>
            </w:pPr>
            <w:r w:rsidRPr="00B27DC9">
              <w:t xml:space="preserve">Ministru kabineta 2007.gada 9.oktobra noteikumos Nr.686 „Noteikumi par īpaši aizsargājamās dabas teritorijas dabas aizsardzības plāna saturu un izstrādes kārtību” </w:t>
            </w:r>
            <w:r w:rsidR="00282695" w:rsidRPr="00E32B69">
              <w:t>39.</w:t>
            </w:r>
            <w:r w:rsidR="00BF14DE" w:rsidRPr="00E32B69">
              <w:t xml:space="preserve"> </w:t>
            </w:r>
            <w:r w:rsidR="00282695" w:rsidRPr="00E32B69">
              <w:t>punkts</w:t>
            </w:r>
            <w:r w:rsidR="00714235" w:rsidRPr="00E32B69">
              <w:t xml:space="preserve"> </w:t>
            </w:r>
            <w:r w:rsidR="006D1E75" w:rsidRPr="00E32B69">
              <w:t>noteic</w:t>
            </w:r>
            <w:r w:rsidR="00282695" w:rsidRPr="00E32B69">
              <w:t>, ka Dabas aizsardzības pārvalde mēneša laikā pēc plāna apstiprināšanas (izņēmums - pašvaldību apstiprinātie plāni) ievieto plāna elektronisko versiju pārvaldes mājaslapā internetā. Dabas aizsardzības pārvalde nodrošina plāna (izņēmums - pašvaldības apstiprinātais plāns) pieejamību sabiedrībai saskaņā ar normatīvajiem aktiem par informācijas atklātību. Attiecīgi svītrojot 38.punktu tiek novērst</w:t>
            </w:r>
            <w:r w:rsidR="000E7C6C" w:rsidRPr="00E32B69">
              <w:t>s</w:t>
            </w:r>
            <w:r w:rsidR="00282695" w:rsidRPr="00E32B69">
              <w:t xml:space="preserve"> </w:t>
            </w:r>
            <w:r w:rsidR="000E7C6C" w:rsidRPr="00E32B69">
              <w:t xml:space="preserve">administratīvais slogs un samazināti finanšu izdevumi, ko veidoja izmaksas, lai </w:t>
            </w:r>
            <w:r w:rsidR="00282695" w:rsidRPr="00E32B69">
              <w:t>izdrukā</w:t>
            </w:r>
            <w:r w:rsidR="000E7C6C" w:rsidRPr="00E32B69">
              <w:t xml:space="preserve">tu </w:t>
            </w:r>
            <w:r w:rsidR="00714235" w:rsidRPr="00E32B69">
              <w:t xml:space="preserve">un nosūtītu </w:t>
            </w:r>
            <w:r w:rsidR="000E7C6C" w:rsidRPr="00E32B69">
              <w:t>nepieciešamo plānu kopiju skaitu</w:t>
            </w:r>
            <w:r w:rsidR="00282695" w:rsidRPr="00E32B69">
              <w:t xml:space="preserve"> un </w:t>
            </w:r>
            <w:r w:rsidR="000E7C6C" w:rsidRPr="00E32B69">
              <w:t xml:space="preserve">pa pastu vai ar </w:t>
            </w:r>
            <w:r w:rsidR="00714235" w:rsidRPr="00E32B69">
              <w:t>kurjer dienestu</w:t>
            </w:r>
            <w:r w:rsidR="00282695" w:rsidRPr="00E32B69">
              <w:t>.</w:t>
            </w:r>
          </w:p>
          <w:p w14:paraId="68056E99" w14:textId="20C7B328" w:rsidR="00B74B94" w:rsidRPr="00E32B69" w:rsidRDefault="00B74B94" w:rsidP="009E0502"/>
        </w:tc>
      </w:tr>
      <w:tr w:rsidR="00BD5588" w:rsidRPr="00E32B69" w14:paraId="4C8F7C4F" w14:textId="77777777" w:rsidTr="009E0502">
        <w:trPr>
          <w:cantSplit/>
        </w:trPr>
        <w:tc>
          <w:tcPr>
            <w:tcW w:w="311" w:type="pct"/>
            <w:hideMark/>
          </w:tcPr>
          <w:p w14:paraId="0778C5E7" w14:textId="77777777" w:rsidR="00BD5588" w:rsidRPr="00E32B69" w:rsidRDefault="00BD5588" w:rsidP="009E0502">
            <w:pPr>
              <w:jc w:val="center"/>
            </w:pPr>
            <w:r w:rsidRPr="00E32B69">
              <w:lastRenderedPageBreak/>
              <w:t>3.</w:t>
            </w:r>
          </w:p>
        </w:tc>
        <w:tc>
          <w:tcPr>
            <w:tcW w:w="1479" w:type="pct"/>
            <w:hideMark/>
          </w:tcPr>
          <w:p w14:paraId="3F4CD548" w14:textId="77777777" w:rsidR="00BD5588" w:rsidRPr="00E32B69" w:rsidRDefault="00BD5588" w:rsidP="009E0502">
            <w:r w:rsidRPr="00E32B69">
              <w:t>Projekta izstrādē iesaistītās institūcijas un publiskas personas kapitālsabiedrības</w:t>
            </w:r>
          </w:p>
        </w:tc>
        <w:tc>
          <w:tcPr>
            <w:tcW w:w="3210" w:type="pct"/>
            <w:hideMark/>
          </w:tcPr>
          <w:p w14:paraId="019F0500" w14:textId="43A3B3BB" w:rsidR="00BD5588" w:rsidRPr="00E32B69" w:rsidRDefault="00A15432" w:rsidP="009E0502">
            <w:r w:rsidRPr="00E32B69">
              <w:t>Vides aizsardzības un reģionālās attīstības ministrija, Dabas aizsardzības pārvalde.</w:t>
            </w:r>
          </w:p>
        </w:tc>
      </w:tr>
      <w:tr w:rsidR="00BD5588" w:rsidRPr="00E32B69" w14:paraId="31A6225A" w14:textId="77777777" w:rsidTr="009E0502">
        <w:trPr>
          <w:cantSplit/>
        </w:trPr>
        <w:tc>
          <w:tcPr>
            <w:tcW w:w="311" w:type="pct"/>
            <w:hideMark/>
          </w:tcPr>
          <w:p w14:paraId="37A0BC17" w14:textId="77777777" w:rsidR="00BD5588" w:rsidRPr="00E32B69" w:rsidRDefault="00BD5588" w:rsidP="009E0502">
            <w:pPr>
              <w:jc w:val="center"/>
            </w:pPr>
            <w:r w:rsidRPr="00E32B69">
              <w:t>4.</w:t>
            </w:r>
          </w:p>
        </w:tc>
        <w:tc>
          <w:tcPr>
            <w:tcW w:w="1479" w:type="pct"/>
            <w:hideMark/>
          </w:tcPr>
          <w:p w14:paraId="2C5C980C" w14:textId="77777777" w:rsidR="00BD5588" w:rsidRPr="00E32B69" w:rsidRDefault="00BD5588" w:rsidP="009E0502">
            <w:r w:rsidRPr="00E32B69">
              <w:t>Cita informācija</w:t>
            </w:r>
          </w:p>
        </w:tc>
        <w:tc>
          <w:tcPr>
            <w:tcW w:w="3210" w:type="pct"/>
            <w:hideMark/>
          </w:tcPr>
          <w:p w14:paraId="7741C817" w14:textId="30CD8BFB" w:rsidR="00BD5588" w:rsidRPr="00E32B69" w:rsidRDefault="00BD5588" w:rsidP="009E0502">
            <w:r w:rsidRPr="00E32B69">
              <w:t>Nav</w:t>
            </w:r>
            <w:r w:rsidR="00BF14DE" w:rsidRPr="00E32B69">
              <w:t>.</w:t>
            </w:r>
          </w:p>
        </w:tc>
      </w:tr>
    </w:tbl>
    <w:p w14:paraId="512EC6E7" w14:textId="77777777" w:rsidR="003015EA" w:rsidRPr="00E32B69" w:rsidRDefault="003015EA" w:rsidP="003015EA">
      <w:pPr>
        <w:pStyle w:val="Title"/>
        <w:spacing w:before="130" w:line="260" w:lineRule="exact"/>
        <w:ind w:firstLine="539"/>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16"/>
        <w:gridCol w:w="2454"/>
        <w:gridCol w:w="5326"/>
      </w:tblGrid>
      <w:tr w:rsidR="00B27DC9" w:rsidRPr="00B517C3" w14:paraId="27FED01C" w14:textId="77777777" w:rsidTr="008931CC">
        <w:trPr>
          <w:cantSplit/>
        </w:trPr>
        <w:tc>
          <w:tcPr>
            <w:tcW w:w="5000" w:type="pct"/>
            <w:gridSpan w:val="3"/>
            <w:vAlign w:val="center"/>
            <w:hideMark/>
          </w:tcPr>
          <w:p w14:paraId="62D5327D" w14:textId="77777777" w:rsidR="00B27DC9" w:rsidRPr="00B27DC9" w:rsidRDefault="00B27DC9" w:rsidP="008931CC">
            <w:pPr>
              <w:jc w:val="center"/>
              <w:rPr>
                <w:b/>
                <w:bCs/>
              </w:rPr>
            </w:pPr>
            <w:r w:rsidRPr="00B27DC9">
              <w:rPr>
                <w:b/>
                <w:bCs/>
              </w:rPr>
              <w:t>II. Tiesību akta projekta ietekme uz sabiedrību, tautsaimniecības attīstību un administratīvo slogu</w:t>
            </w:r>
          </w:p>
        </w:tc>
      </w:tr>
      <w:tr w:rsidR="00B27DC9" w:rsidRPr="00B517C3" w14:paraId="21A43BB7" w14:textId="77777777" w:rsidTr="004459A9">
        <w:trPr>
          <w:cantSplit/>
        </w:trPr>
        <w:tc>
          <w:tcPr>
            <w:tcW w:w="311" w:type="pct"/>
            <w:hideMark/>
          </w:tcPr>
          <w:p w14:paraId="75828ED2" w14:textId="77777777" w:rsidR="00B27DC9" w:rsidRPr="00B27DC9" w:rsidRDefault="00B27DC9" w:rsidP="008931CC">
            <w:pPr>
              <w:jc w:val="center"/>
            </w:pPr>
            <w:r w:rsidRPr="00B27DC9">
              <w:t>1.</w:t>
            </w:r>
          </w:p>
        </w:tc>
        <w:tc>
          <w:tcPr>
            <w:tcW w:w="1479" w:type="pct"/>
            <w:hideMark/>
          </w:tcPr>
          <w:p w14:paraId="2CAE0786" w14:textId="77777777" w:rsidR="00B27DC9" w:rsidRPr="00B27DC9" w:rsidRDefault="00B27DC9" w:rsidP="008931CC">
            <w:r w:rsidRPr="00B27DC9">
              <w:t xml:space="preserve">Sabiedrības </w:t>
            </w:r>
            <w:proofErr w:type="spellStart"/>
            <w:r w:rsidRPr="00B27DC9">
              <w:t>mērķgrupas</w:t>
            </w:r>
            <w:proofErr w:type="spellEnd"/>
            <w:r w:rsidRPr="00B27DC9">
              <w:t>, kuras tiesiskais regulējums ietekmē vai varētu ietekmēt</w:t>
            </w:r>
          </w:p>
        </w:tc>
        <w:tc>
          <w:tcPr>
            <w:tcW w:w="3210" w:type="pct"/>
          </w:tcPr>
          <w:p w14:paraId="2B6375A0" w14:textId="5A77A7C5" w:rsidR="00B27DC9" w:rsidRPr="00B27DC9" w:rsidRDefault="004459A9" w:rsidP="004459A9">
            <w:pPr>
              <w:jc w:val="both"/>
            </w:pPr>
            <w:r>
              <w:t>Dabas aizsardzības plāna izstrādātāji, konsultatīvās grupas locekļi – fiziskas un juridiskas personas, valsts un pašvaldību iestādes pārstāvji</w:t>
            </w:r>
            <w:r w:rsidR="00263C33">
              <w:t xml:space="preserve">. Īpaši aizsargājamās dabas teritorijas iedzīvotāji, pašvaldība, zemes īpašnieki – fiziskas un juridiskas personas, ja šai teritorijas tiek izstrādāts dabas aizsardzības plāns. </w:t>
            </w:r>
          </w:p>
        </w:tc>
      </w:tr>
      <w:tr w:rsidR="00B27DC9" w:rsidRPr="00B517C3" w14:paraId="3E518A00" w14:textId="77777777" w:rsidTr="008931CC">
        <w:trPr>
          <w:cantSplit/>
        </w:trPr>
        <w:tc>
          <w:tcPr>
            <w:tcW w:w="311" w:type="pct"/>
            <w:hideMark/>
          </w:tcPr>
          <w:p w14:paraId="3493A4FC" w14:textId="77777777" w:rsidR="00B27DC9" w:rsidRPr="00B27DC9" w:rsidRDefault="00B27DC9" w:rsidP="008931CC">
            <w:pPr>
              <w:jc w:val="center"/>
            </w:pPr>
            <w:r w:rsidRPr="00B27DC9">
              <w:t>2.</w:t>
            </w:r>
          </w:p>
        </w:tc>
        <w:tc>
          <w:tcPr>
            <w:tcW w:w="1479" w:type="pct"/>
            <w:hideMark/>
          </w:tcPr>
          <w:p w14:paraId="1F2D38A8" w14:textId="77777777" w:rsidR="00B27DC9" w:rsidRPr="00B27DC9" w:rsidRDefault="00B27DC9" w:rsidP="008931CC">
            <w:r w:rsidRPr="00B27DC9">
              <w:t>Tiesiskā regulējuma ietekme uz tautsaimniecību un administratīvo slogu</w:t>
            </w:r>
          </w:p>
        </w:tc>
        <w:tc>
          <w:tcPr>
            <w:tcW w:w="3210" w:type="pct"/>
            <w:hideMark/>
          </w:tcPr>
          <w:p w14:paraId="24E34818" w14:textId="52D328DA" w:rsidR="00B27DC9" w:rsidRPr="00B27DC9" w:rsidRDefault="004459A9" w:rsidP="004459A9">
            <w:pPr>
              <w:jc w:val="both"/>
            </w:pPr>
            <w:r>
              <w:t>Noteikumu projekt</w:t>
            </w:r>
            <w:r w:rsidR="00BF4853">
              <w:t xml:space="preserve">s </w:t>
            </w:r>
            <w:r>
              <w:t>paredz samazināt administratīvo slogu</w:t>
            </w:r>
            <w:r w:rsidR="00714C37">
              <w:t>, kas attiektos uz valsts un pašvaldības amatpersonām, kā arī fiziskām un juridiskām personām.</w:t>
            </w:r>
            <w:r>
              <w:t xml:space="preserve"> Tiek paredzēta iespēja rīkot neklātienes formas (attālināto) sanāksmi,</w:t>
            </w:r>
            <w:r w:rsidR="00D7465A">
              <w:t xml:space="preserve"> tādējādi lietderīgi izmantojot pieejamos tehnoloģiskos risinājumus</w:t>
            </w:r>
            <w:r w:rsidR="00714C37">
              <w:t>,</w:t>
            </w:r>
            <w:r w:rsidR="00D7465A">
              <w:t xml:space="preserve"> samazinot laika un naudas resursu</w:t>
            </w:r>
            <w:r w:rsidR="00263C33">
              <w:t xml:space="preserve"> patēriņu</w:t>
            </w:r>
            <w:r w:rsidR="00D7465A">
              <w:t>.</w:t>
            </w:r>
            <w:r>
              <w:t xml:space="preserve"> </w:t>
            </w:r>
            <w:r w:rsidR="009B674F">
              <w:t xml:space="preserve">Tāpat tiek paredzēta iespēja izstrādāt vienu dabas aizsardzības plānu divām vai vairākām īpaši aizsargājamām dabas teritorijām, attiecīgi mazāks konsultatīvo grupu skaits, mazāks kopējo sanāksmju skaits, tiek lietderīgi izmantoto finanšu resursi. </w:t>
            </w:r>
            <w:r w:rsidR="00714C37">
              <w:t>Dabas aizsardzības plānas izstrādātājiem tiek</w:t>
            </w:r>
            <w:r w:rsidR="00D7465A">
              <w:t xml:space="preserve"> samazināti administratīvie izdevumi, jo tiek izslēgta tiesību norma, kas paredzēja dabas aizsardzības plānu kopiju</w:t>
            </w:r>
            <w:r w:rsidR="00263C33">
              <w:t xml:space="preserve"> izdruku, ļoti bieži viena dabas aizsardzības plāna izdrukai ir vairāk </w:t>
            </w:r>
            <w:r w:rsidR="00BF4853">
              <w:t>ne</w:t>
            </w:r>
            <w:r w:rsidR="00263C33">
              <w:t>kā 200 lapaspušu</w:t>
            </w:r>
            <w:r w:rsidR="00D7465A">
              <w:t>.</w:t>
            </w:r>
          </w:p>
        </w:tc>
      </w:tr>
      <w:tr w:rsidR="00B27DC9" w:rsidRPr="00B517C3" w14:paraId="1EA919F9" w14:textId="77777777" w:rsidTr="008931CC">
        <w:trPr>
          <w:cantSplit/>
        </w:trPr>
        <w:tc>
          <w:tcPr>
            <w:tcW w:w="311" w:type="pct"/>
            <w:hideMark/>
          </w:tcPr>
          <w:p w14:paraId="5927EE33" w14:textId="77777777" w:rsidR="00B27DC9" w:rsidRPr="00B27DC9" w:rsidRDefault="00B27DC9" w:rsidP="008931CC">
            <w:pPr>
              <w:jc w:val="center"/>
            </w:pPr>
            <w:r w:rsidRPr="00B27DC9">
              <w:t>3.</w:t>
            </w:r>
          </w:p>
        </w:tc>
        <w:tc>
          <w:tcPr>
            <w:tcW w:w="1479" w:type="pct"/>
            <w:hideMark/>
          </w:tcPr>
          <w:p w14:paraId="6BEA1050" w14:textId="77777777" w:rsidR="00B27DC9" w:rsidRPr="00B27DC9" w:rsidRDefault="00B27DC9" w:rsidP="008931CC">
            <w:r w:rsidRPr="00B27DC9">
              <w:t>Administratīvo izmaksu monetārs novērtējums</w:t>
            </w:r>
          </w:p>
        </w:tc>
        <w:tc>
          <w:tcPr>
            <w:tcW w:w="3210" w:type="pct"/>
            <w:hideMark/>
          </w:tcPr>
          <w:p w14:paraId="0D80BB96" w14:textId="128A4568" w:rsidR="00B27DC9" w:rsidRPr="00B27DC9" w:rsidRDefault="001D3BE3" w:rsidP="008931CC">
            <w:r w:rsidRPr="001D3BE3">
              <w:t>Projekts šo jomu neskar</w:t>
            </w:r>
          </w:p>
        </w:tc>
      </w:tr>
      <w:tr w:rsidR="00B27DC9" w:rsidRPr="00B517C3" w14:paraId="04EB1669" w14:textId="77777777" w:rsidTr="008931CC">
        <w:trPr>
          <w:cantSplit/>
        </w:trPr>
        <w:tc>
          <w:tcPr>
            <w:tcW w:w="311" w:type="pct"/>
            <w:hideMark/>
          </w:tcPr>
          <w:p w14:paraId="58562CF0" w14:textId="77777777" w:rsidR="00B27DC9" w:rsidRPr="00B27DC9" w:rsidRDefault="00B27DC9" w:rsidP="008931CC">
            <w:pPr>
              <w:jc w:val="center"/>
            </w:pPr>
            <w:r w:rsidRPr="00B27DC9">
              <w:t>4.</w:t>
            </w:r>
          </w:p>
        </w:tc>
        <w:tc>
          <w:tcPr>
            <w:tcW w:w="1479" w:type="pct"/>
            <w:hideMark/>
          </w:tcPr>
          <w:p w14:paraId="7D06D7F6" w14:textId="77777777" w:rsidR="00B27DC9" w:rsidRPr="00B27DC9" w:rsidRDefault="00B27DC9" w:rsidP="008931CC">
            <w:r w:rsidRPr="00B27DC9">
              <w:t>Atbilstības izmaksu monetārs novērtējums</w:t>
            </w:r>
          </w:p>
        </w:tc>
        <w:tc>
          <w:tcPr>
            <w:tcW w:w="3210" w:type="pct"/>
            <w:hideMark/>
          </w:tcPr>
          <w:p w14:paraId="0A980456" w14:textId="05B3AB20" w:rsidR="00B27DC9" w:rsidRPr="00B27DC9" w:rsidRDefault="001D3BE3" w:rsidP="008931CC">
            <w:r w:rsidRPr="001D3BE3">
              <w:t>Projekts šo jomu neskar</w:t>
            </w:r>
          </w:p>
        </w:tc>
      </w:tr>
      <w:tr w:rsidR="00B27DC9" w:rsidRPr="00B517C3" w14:paraId="328B547B" w14:textId="77777777" w:rsidTr="008931CC">
        <w:trPr>
          <w:cantSplit/>
        </w:trPr>
        <w:tc>
          <w:tcPr>
            <w:tcW w:w="311" w:type="pct"/>
            <w:hideMark/>
          </w:tcPr>
          <w:p w14:paraId="49C77257" w14:textId="77777777" w:rsidR="00B27DC9" w:rsidRPr="00B27DC9" w:rsidRDefault="00B27DC9" w:rsidP="008931CC">
            <w:pPr>
              <w:jc w:val="center"/>
            </w:pPr>
            <w:r w:rsidRPr="00B27DC9">
              <w:t>5.</w:t>
            </w:r>
          </w:p>
        </w:tc>
        <w:tc>
          <w:tcPr>
            <w:tcW w:w="1479" w:type="pct"/>
            <w:hideMark/>
          </w:tcPr>
          <w:p w14:paraId="037A564A" w14:textId="77777777" w:rsidR="00B27DC9" w:rsidRPr="00B27DC9" w:rsidRDefault="00B27DC9" w:rsidP="008931CC">
            <w:r w:rsidRPr="00B27DC9">
              <w:t>Cita informācija</w:t>
            </w:r>
          </w:p>
        </w:tc>
        <w:tc>
          <w:tcPr>
            <w:tcW w:w="3210" w:type="pct"/>
            <w:hideMark/>
          </w:tcPr>
          <w:p w14:paraId="074D10D4" w14:textId="5373301F" w:rsidR="00B27DC9" w:rsidRPr="00B27DC9" w:rsidRDefault="00714C37" w:rsidP="008931CC">
            <w:r>
              <w:t>Nav</w:t>
            </w:r>
          </w:p>
        </w:tc>
      </w:tr>
    </w:tbl>
    <w:p w14:paraId="15BCF401" w14:textId="502587CB" w:rsidR="00AA33E7" w:rsidRPr="00E32B69" w:rsidDel="00AA33E7" w:rsidRDefault="00AA33E7" w:rsidP="003864F3">
      <w:pPr>
        <w:pStyle w:val="Title"/>
        <w:spacing w:before="130" w:line="260" w:lineRule="exact"/>
        <w:jc w:val="left"/>
        <w:rPr>
          <w:b/>
          <w:bCs/>
          <w:sz w:val="24"/>
          <w:szCs w:val="24"/>
        </w:rPr>
      </w:pPr>
    </w:p>
    <w:tbl>
      <w:tblPr>
        <w:tblW w:w="4959" w:type="pct"/>
        <w:jc w:val="center"/>
        <w:tblBorders>
          <w:top w:val="outset" w:sz="6" w:space="0" w:color="414142"/>
          <w:left w:val="outset" w:sz="6" w:space="0" w:color="414142"/>
          <w:bottom w:val="outset" w:sz="6" w:space="0" w:color="414142"/>
          <w:right w:val="outset" w:sz="6" w:space="0" w:color="414142"/>
        </w:tblBorders>
        <w:tblLayout w:type="fixed"/>
        <w:tblCellMar>
          <w:top w:w="24" w:type="dxa"/>
          <w:left w:w="24" w:type="dxa"/>
          <w:bottom w:w="24" w:type="dxa"/>
          <w:right w:w="24" w:type="dxa"/>
        </w:tblCellMar>
        <w:tblLook w:val="04A0" w:firstRow="1" w:lastRow="0" w:firstColumn="1" w:lastColumn="0" w:noHBand="0" w:noVBand="1"/>
      </w:tblPr>
      <w:tblGrid>
        <w:gridCol w:w="8222"/>
      </w:tblGrid>
      <w:tr w:rsidR="00AA33E7" w:rsidRPr="00D94F4E" w14:paraId="7717158C" w14:textId="77777777" w:rsidTr="003864F3">
        <w:trPr>
          <w:trHeight w:val="336"/>
          <w:jc w:val="center"/>
        </w:trPr>
        <w:tc>
          <w:tcPr>
            <w:tcW w:w="8222" w:type="dxa"/>
            <w:tcBorders>
              <w:top w:val="outset" w:sz="6" w:space="0" w:color="414142"/>
              <w:left w:val="outset" w:sz="6" w:space="0" w:color="414142"/>
              <w:bottom w:val="outset" w:sz="6" w:space="0" w:color="414142"/>
              <w:right w:val="outset" w:sz="6" w:space="0" w:color="414142"/>
            </w:tcBorders>
            <w:vAlign w:val="center"/>
            <w:hideMark/>
          </w:tcPr>
          <w:p w14:paraId="0CE98EC7" w14:textId="77777777" w:rsidR="00AA33E7" w:rsidRPr="00D94F4E" w:rsidRDefault="00AA33E7" w:rsidP="00183B84">
            <w:pPr>
              <w:spacing w:line="293" w:lineRule="atLeast"/>
              <w:rPr>
                <w:b/>
                <w:bCs/>
              </w:rPr>
            </w:pPr>
            <w:r w:rsidRPr="00D94F4E">
              <w:rPr>
                <w:b/>
                <w:bCs/>
              </w:rPr>
              <w:br w:type="page"/>
              <w:t>III. Tiesību akta projekta ietekme uz valsts budžetu un pašvaldību budžetiem</w:t>
            </w:r>
          </w:p>
        </w:tc>
      </w:tr>
      <w:tr w:rsidR="00AA33E7" w:rsidRPr="00AB46EC" w14:paraId="36A076B3" w14:textId="77777777" w:rsidTr="003864F3">
        <w:trPr>
          <w:trHeight w:val="336"/>
          <w:jc w:val="center"/>
        </w:trPr>
        <w:tc>
          <w:tcPr>
            <w:tcW w:w="8222" w:type="dxa"/>
            <w:tcBorders>
              <w:top w:val="outset" w:sz="6" w:space="0" w:color="414142"/>
              <w:left w:val="outset" w:sz="6" w:space="0" w:color="414142"/>
              <w:bottom w:val="outset" w:sz="6" w:space="0" w:color="414142"/>
              <w:right w:val="outset" w:sz="6" w:space="0" w:color="414142"/>
            </w:tcBorders>
            <w:vAlign w:val="center"/>
          </w:tcPr>
          <w:p w14:paraId="4BA290F9" w14:textId="77777777" w:rsidR="00AA33E7" w:rsidRPr="00D94F4E" w:rsidRDefault="00AA33E7" w:rsidP="00183B84">
            <w:pPr>
              <w:spacing w:line="293" w:lineRule="atLeast"/>
              <w:jc w:val="center"/>
              <w:rPr>
                <w:b/>
                <w:bCs/>
              </w:rPr>
            </w:pPr>
            <w:r>
              <w:t>P</w:t>
            </w:r>
            <w:r w:rsidRPr="00D94F4E">
              <w:t>rojekts šo jomu neskar.</w:t>
            </w:r>
          </w:p>
        </w:tc>
      </w:tr>
      <w:tr w:rsidR="00AA33E7" w:rsidRPr="00AB46EC" w14:paraId="419ED3CB" w14:textId="77777777" w:rsidTr="003864F3">
        <w:trPr>
          <w:trHeight w:val="336"/>
          <w:jc w:val="center"/>
        </w:trPr>
        <w:tc>
          <w:tcPr>
            <w:tcW w:w="8222" w:type="dxa"/>
            <w:tcBorders>
              <w:top w:val="outset" w:sz="6" w:space="0" w:color="414142"/>
              <w:left w:val="nil"/>
              <w:bottom w:val="outset" w:sz="6" w:space="0" w:color="414142"/>
              <w:right w:val="nil"/>
            </w:tcBorders>
            <w:vAlign w:val="center"/>
          </w:tcPr>
          <w:p w14:paraId="44F68D7D" w14:textId="77777777" w:rsidR="00AA33E7" w:rsidRPr="00AB46EC" w:rsidRDefault="00AA33E7" w:rsidP="00183B84">
            <w:pPr>
              <w:spacing w:line="293" w:lineRule="atLeast"/>
              <w:jc w:val="center"/>
              <w:rPr>
                <w:b/>
                <w:bCs/>
                <w:color w:val="414142"/>
                <w:highlight w:val="yellow"/>
              </w:rPr>
            </w:pPr>
          </w:p>
        </w:tc>
      </w:tr>
      <w:tr w:rsidR="00AA33E7" w:rsidRPr="00D94F4E" w14:paraId="1BE45909" w14:textId="77777777" w:rsidTr="003864F3">
        <w:tblPrEx>
          <w:jc w:val="left"/>
          <w:tblCellMar>
            <w:top w:w="30" w:type="dxa"/>
            <w:left w:w="30" w:type="dxa"/>
            <w:bottom w:w="30" w:type="dxa"/>
            <w:right w:w="30" w:type="dxa"/>
          </w:tblCellMar>
        </w:tblPrEx>
        <w:trPr>
          <w:trHeight w:val="328"/>
        </w:trPr>
        <w:tc>
          <w:tcPr>
            <w:tcW w:w="8222" w:type="dxa"/>
            <w:tcBorders>
              <w:top w:val="outset" w:sz="6" w:space="0" w:color="414142"/>
              <w:left w:val="outset" w:sz="6" w:space="0" w:color="414142"/>
              <w:bottom w:val="outset" w:sz="6" w:space="0" w:color="414142"/>
              <w:right w:val="outset" w:sz="6" w:space="0" w:color="414142"/>
            </w:tcBorders>
            <w:vAlign w:val="center"/>
            <w:hideMark/>
          </w:tcPr>
          <w:p w14:paraId="052FF55B" w14:textId="77777777" w:rsidR="00AA33E7" w:rsidRPr="00D94F4E" w:rsidRDefault="00AA33E7" w:rsidP="00183B84">
            <w:pPr>
              <w:ind w:left="142" w:firstLine="158"/>
              <w:jc w:val="center"/>
              <w:rPr>
                <w:b/>
                <w:bCs/>
              </w:rPr>
            </w:pPr>
            <w:r w:rsidRPr="00D94F4E">
              <w:rPr>
                <w:b/>
                <w:bCs/>
              </w:rPr>
              <w:t>IV. Tiesību akta projekta ietekme uz spēkā esošo tiesību normu sistēmu</w:t>
            </w:r>
          </w:p>
        </w:tc>
      </w:tr>
      <w:tr w:rsidR="00AA33E7" w:rsidRPr="00AB46EC" w14:paraId="6A74B240" w14:textId="77777777" w:rsidTr="003864F3">
        <w:tblPrEx>
          <w:jc w:val="left"/>
          <w:tblCellMar>
            <w:top w:w="30" w:type="dxa"/>
            <w:left w:w="30" w:type="dxa"/>
            <w:bottom w:w="30" w:type="dxa"/>
            <w:right w:w="30" w:type="dxa"/>
          </w:tblCellMar>
        </w:tblPrEx>
        <w:trPr>
          <w:trHeight w:val="280"/>
        </w:trPr>
        <w:tc>
          <w:tcPr>
            <w:tcW w:w="8222" w:type="dxa"/>
            <w:tcBorders>
              <w:top w:val="outset" w:sz="6" w:space="0" w:color="414142"/>
              <w:left w:val="outset" w:sz="6" w:space="0" w:color="414142"/>
              <w:bottom w:val="outset" w:sz="6" w:space="0" w:color="414142"/>
              <w:right w:val="outset" w:sz="6" w:space="0" w:color="414142"/>
            </w:tcBorders>
            <w:vAlign w:val="center"/>
          </w:tcPr>
          <w:p w14:paraId="223871DB" w14:textId="77777777" w:rsidR="00AA33E7" w:rsidRPr="00D94F4E" w:rsidRDefault="00AA33E7" w:rsidP="00183B84">
            <w:pPr>
              <w:ind w:left="142" w:firstLine="158"/>
              <w:jc w:val="center"/>
              <w:rPr>
                <w:b/>
                <w:bCs/>
              </w:rPr>
            </w:pPr>
            <w:r>
              <w:t>P</w:t>
            </w:r>
            <w:r w:rsidRPr="00D94F4E">
              <w:t>rojekts šo jomu neskar.</w:t>
            </w:r>
          </w:p>
        </w:tc>
      </w:tr>
    </w:tbl>
    <w:p w14:paraId="1EBC9775" w14:textId="77777777" w:rsidR="00AA33E7" w:rsidRPr="00E32B69" w:rsidRDefault="00AA33E7" w:rsidP="003015EA">
      <w:pPr>
        <w:pStyle w:val="Title"/>
        <w:spacing w:before="130" w:line="260" w:lineRule="exact"/>
        <w:ind w:firstLine="539"/>
        <w:rPr>
          <w:b/>
          <w:bCs/>
          <w:sz w:val="24"/>
          <w:szCs w:val="24"/>
        </w:rPr>
      </w:pPr>
    </w:p>
    <w:tbl>
      <w:tblPr>
        <w:tblW w:w="4959" w:type="pct"/>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8222"/>
      </w:tblGrid>
      <w:tr w:rsidR="00AA33E7" w:rsidRPr="00D94F4E" w14:paraId="7725547E" w14:textId="77777777" w:rsidTr="00183B84">
        <w:trPr>
          <w:trHeight w:val="328"/>
        </w:trPr>
        <w:tc>
          <w:tcPr>
            <w:tcW w:w="8222" w:type="dxa"/>
            <w:tcBorders>
              <w:top w:val="outset" w:sz="6" w:space="0" w:color="414142"/>
              <w:left w:val="outset" w:sz="6" w:space="0" w:color="414142"/>
              <w:bottom w:val="outset" w:sz="6" w:space="0" w:color="414142"/>
              <w:right w:val="outset" w:sz="6" w:space="0" w:color="414142"/>
            </w:tcBorders>
            <w:vAlign w:val="center"/>
            <w:hideMark/>
          </w:tcPr>
          <w:p w14:paraId="60AA0F99" w14:textId="66887679" w:rsidR="00AA33E7" w:rsidRPr="00D94F4E" w:rsidRDefault="00AA33E7" w:rsidP="00183B84">
            <w:pPr>
              <w:ind w:left="142" w:firstLine="158"/>
              <w:jc w:val="center"/>
              <w:rPr>
                <w:b/>
                <w:bCs/>
              </w:rPr>
            </w:pPr>
            <w:r w:rsidRPr="00D94F4E">
              <w:rPr>
                <w:b/>
                <w:bCs/>
              </w:rPr>
              <w:lastRenderedPageBreak/>
              <w:t xml:space="preserve">V. </w:t>
            </w:r>
            <w:r w:rsidRPr="00AA33E7">
              <w:rPr>
                <w:b/>
                <w:bCs/>
              </w:rPr>
              <w:t>Tiesību akta projekta atbilstība Latvijas Republikas starptautiskajām saistībām</w:t>
            </w:r>
          </w:p>
        </w:tc>
      </w:tr>
      <w:tr w:rsidR="00AA33E7" w:rsidRPr="00D94F4E" w14:paraId="787D19C5" w14:textId="77777777" w:rsidTr="00183B84">
        <w:trPr>
          <w:trHeight w:val="280"/>
        </w:trPr>
        <w:tc>
          <w:tcPr>
            <w:tcW w:w="8222" w:type="dxa"/>
            <w:tcBorders>
              <w:top w:val="outset" w:sz="6" w:space="0" w:color="414142"/>
              <w:left w:val="outset" w:sz="6" w:space="0" w:color="414142"/>
              <w:bottom w:val="outset" w:sz="6" w:space="0" w:color="414142"/>
              <w:right w:val="outset" w:sz="6" w:space="0" w:color="414142"/>
            </w:tcBorders>
            <w:vAlign w:val="center"/>
          </w:tcPr>
          <w:p w14:paraId="6E2765E6" w14:textId="77777777" w:rsidR="00AA33E7" w:rsidRPr="00D94F4E" w:rsidRDefault="00AA33E7" w:rsidP="00183B84">
            <w:pPr>
              <w:ind w:left="142" w:firstLine="158"/>
              <w:jc w:val="center"/>
              <w:rPr>
                <w:b/>
                <w:bCs/>
              </w:rPr>
            </w:pPr>
            <w:r>
              <w:t>P</w:t>
            </w:r>
            <w:r w:rsidRPr="00D94F4E">
              <w:t>rojekts šo jomu neskar.</w:t>
            </w:r>
          </w:p>
        </w:tc>
      </w:tr>
    </w:tbl>
    <w:p w14:paraId="7BEA2568" w14:textId="77777777" w:rsidR="00AA33E7" w:rsidRPr="00E32B69" w:rsidRDefault="00AA33E7" w:rsidP="003864F3">
      <w:pPr>
        <w:pStyle w:val="Title"/>
        <w:spacing w:before="130" w:line="260" w:lineRule="exact"/>
        <w:jc w:val="left"/>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16"/>
        <w:gridCol w:w="2454"/>
        <w:gridCol w:w="5326"/>
      </w:tblGrid>
      <w:tr w:rsidR="00BD5588" w:rsidRPr="00E32B69" w14:paraId="26ED7D85" w14:textId="77777777" w:rsidTr="009E0502">
        <w:trPr>
          <w:cantSplit/>
        </w:trPr>
        <w:tc>
          <w:tcPr>
            <w:tcW w:w="5000" w:type="pct"/>
            <w:gridSpan w:val="3"/>
            <w:vAlign w:val="center"/>
            <w:hideMark/>
          </w:tcPr>
          <w:p w14:paraId="0D3E37C0" w14:textId="77777777" w:rsidR="00BD5588" w:rsidRPr="00E32B69" w:rsidRDefault="00BD5588" w:rsidP="009E0502">
            <w:pPr>
              <w:jc w:val="center"/>
              <w:rPr>
                <w:b/>
                <w:bCs/>
              </w:rPr>
            </w:pPr>
            <w:r w:rsidRPr="00E32B69">
              <w:rPr>
                <w:b/>
                <w:bCs/>
              </w:rPr>
              <w:t>VI. Sabiedrības līdzdalība un komunikācijas aktivitātes</w:t>
            </w:r>
          </w:p>
        </w:tc>
      </w:tr>
      <w:tr w:rsidR="00BD5588" w:rsidRPr="00E32B69" w14:paraId="3C1EB9C0" w14:textId="77777777" w:rsidTr="009E0502">
        <w:trPr>
          <w:cantSplit/>
        </w:trPr>
        <w:tc>
          <w:tcPr>
            <w:tcW w:w="311" w:type="pct"/>
            <w:hideMark/>
          </w:tcPr>
          <w:p w14:paraId="7FF516B4" w14:textId="77777777" w:rsidR="00BD5588" w:rsidRPr="00E32B69" w:rsidRDefault="00BD5588" w:rsidP="009E0502">
            <w:pPr>
              <w:jc w:val="center"/>
            </w:pPr>
            <w:r w:rsidRPr="00E32B69">
              <w:t>1.</w:t>
            </w:r>
          </w:p>
        </w:tc>
        <w:tc>
          <w:tcPr>
            <w:tcW w:w="1479" w:type="pct"/>
            <w:hideMark/>
          </w:tcPr>
          <w:p w14:paraId="7874EADA" w14:textId="77777777" w:rsidR="00BD5588" w:rsidRPr="00E32B69" w:rsidRDefault="00BD5588" w:rsidP="009E0502">
            <w:r w:rsidRPr="00E32B69">
              <w:t>Plānotās sabiedrības līdzdalības un komunikācijas aktivitātes saistībā ar projektu</w:t>
            </w:r>
          </w:p>
        </w:tc>
        <w:tc>
          <w:tcPr>
            <w:tcW w:w="3210" w:type="pct"/>
            <w:hideMark/>
          </w:tcPr>
          <w:p w14:paraId="3862A9F4" w14:textId="638A3640" w:rsidR="00BD5588" w:rsidRPr="00E32B69" w:rsidRDefault="0072535A" w:rsidP="0049186B">
            <w:pPr>
              <w:jc w:val="both"/>
            </w:pPr>
            <w:r w:rsidRPr="00E32B69">
              <w:t>Saskaņā ar Ministru kabineta 2009. gada 25. augusta noteikumu Nr. 970 “Sabiedrības līdzdalības kārtība attīstības plānošanas procesā” 7.4.</w:t>
            </w:r>
            <w:r w:rsidRPr="00E32B69">
              <w:rPr>
                <w:vertAlign w:val="superscript"/>
              </w:rPr>
              <w:t>1</w:t>
            </w:r>
            <w:r w:rsidRPr="00E32B69">
              <w:t xml:space="preserve"> apakšpunktu sabiedrības pārstāvji ir aicināti līdzdarboties, rakstiski sniedzot viedokli par Noteikumu projektu tā izstrādes stadijā. </w:t>
            </w:r>
          </w:p>
        </w:tc>
      </w:tr>
      <w:tr w:rsidR="00BD5588" w:rsidRPr="00E32B69" w14:paraId="4DA24D1C" w14:textId="77777777" w:rsidTr="00E32B69">
        <w:trPr>
          <w:cantSplit/>
        </w:trPr>
        <w:tc>
          <w:tcPr>
            <w:tcW w:w="311" w:type="pct"/>
            <w:hideMark/>
          </w:tcPr>
          <w:p w14:paraId="01C8D8DD" w14:textId="77777777" w:rsidR="00BD5588" w:rsidRPr="00E32B69" w:rsidRDefault="00BD5588" w:rsidP="009E0502">
            <w:pPr>
              <w:jc w:val="center"/>
            </w:pPr>
            <w:r w:rsidRPr="00E32B69">
              <w:t>2.</w:t>
            </w:r>
          </w:p>
        </w:tc>
        <w:tc>
          <w:tcPr>
            <w:tcW w:w="1479" w:type="pct"/>
            <w:hideMark/>
          </w:tcPr>
          <w:p w14:paraId="11344F29" w14:textId="77777777" w:rsidR="00BD5588" w:rsidRPr="00E32B69" w:rsidRDefault="00BD5588" w:rsidP="009E0502">
            <w:r w:rsidRPr="00E32B69">
              <w:t>Sabiedrības līdzdalība projekta izstrādē</w:t>
            </w:r>
          </w:p>
        </w:tc>
        <w:tc>
          <w:tcPr>
            <w:tcW w:w="3210" w:type="pct"/>
          </w:tcPr>
          <w:p w14:paraId="2271286D" w14:textId="27BD9E67" w:rsidR="0072535A" w:rsidRDefault="0072535A" w:rsidP="0072535A">
            <w:pPr>
              <w:jc w:val="both"/>
            </w:pPr>
            <w:r w:rsidRPr="00E32B69">
              <w:t>Sabiedrības pārstāvji tiek informēti par iespēju līdzdarboties, publicējot paziņojumu par līdzdalības procesu V</w:t>
            </w:r>
            <w:r w:rsidR="00714C37">
              <w:t>ides aizsardzības un reģionālas attīstības ministrijas</w:t>
            </w:r>
            <w:r w:rsidRPr="00E32B69">
              <w:t xml:space="preserve"> tīmekļvietnē www.varam.gov.lv, sadaļā “Normatīvo aktu projekti dabas aizsardzības jomā”, D</w:t>
            </w:r>
            <w:r w:rsidR="001D3BE3">
              <w:t>abas aizsardzības pārvaldes</w:t>
            </w:r>
            <w:r w:rsidRPr="00E32B69">
              <w:t xml:space="preserve"> tīmekļvietnē www.daba.gov.lv, sadaļā “Sabiedrības līdzdalība” un Valsts kancelejas tīmekļvietnē www.mk.gov.lv , sadaļā “Sabiedrības līdzdalības politika”.</w:t>
            </w:r>
          </w:p>
          <w:p w14:paraId="1ECD8634" w14:textId="6A28B0D7" w:rsidR="00BD5588" w:rsidRPr="00E32B69" w:rsidRDefault="0072535A" w:rsidP="0072535A">
            <w:pPr>
              <w:jc w:val="both"/>
            </w:pPr>
            <w:r w:rsidRPr="00E32B69">
              <w:t>LIFE Integrētā projekta “</w:t>
            </w:r>
            <w:proofErr w:type="spellStart"/>
            <w:r w:rsidRPr="00E32B69">
              <w:t>Natura</w:t>
            </w:r>
            <w:proofErr w:type="spellEnd"/>
            <w:r w:rsidRPr="00E32B69">
              <w:t xml:space="preserve"> 2000 aizsargājamo teritoriju pārvaldības un apsaimniekošanas optimizācija” semināra ietvaros 2021. gada 29. aprīlī tika informētas ieinteresētās institūcijas, fiziskās un juridiskās personas.</w:t>
            </w:r>
          </w:p>
        </w:tc>
      </w:tr>
      <w:tr w:rsidR="00BD5588" w:rsidRPr="00E32B69" w14:paraId="1CE3FDB2" w14:textId="77777777" w:rsidTr="009E0502">
        <w:trPr>
          <w:cantSplit/>
        </w:trPr>
        <w:tc>
          <w:tcPr>
            <w:tcW w:w="311" w:type="pct"/>
            <w:hideMark/>
          </w:tcPr>
          <w:p w14:paraId="66750B4E" w14:textId="77777777" w:rsidR="00BD5588" w:rsidRPr="00E32B69" w:rsidRDefault="00BD5588" w:rsidP="009E0502">
            <w:pPr>
              <w:jc w:val="center"/>
            </w:pPr>
            <w:r w:rsidRPr="00E32B69">
              <w:t>3.</w:t>
            </w:r>
          </w:p>
        </w:tc>
        <w:tc>
          <w:tcPr>
            <w:tcW w:w="1479" w:type="pct"/>
            <w:hideMark/>
          </w:tcPr>
          <w:p w14:paraId="333F8AE6" w14:textId="77777777" w:rsidR="00BD5588" w:rsidRPr="00E32B69" w:rsidRDefault="00BD5588" w:rsidP="009E0502">
            <w:r w:rsidRPr="00E32B69">
              <w:t>Sabiedrības līdzdalības rezultāti</w:t>
            </w:r>
          </w:p>
        </w:tc>
        <w:tc>
          <w:tcPr>
            <w:tcW w:w="3210" w:type="pct"/>
            <w:hideMark/>
          </w:tcPr>
          <w:p w14:paraId="27C0720C" w14:textId="61065538" w:rsidR="00BD5588" w:rsidRPr="00E32B69" w:rsidRDefault="006E38DC" w:rsidP="00855B81">
            <w:pPr>
              <w:jc w:val="both"/>
              <w:rPr>
                <w:i/>
                <w:iCs/>
              </w:rPr>
            </w:pPr>
            <w:r w:rsidRPr="006E38DC">
              <w:t>Sadaļa tiks papildināta</w:t>
            </w:r>
            <w:r>
              <w:rPr>
                <w:i/>
                <w:iCs/>
              </w:rPr>
              <w:t>.</w:t>
            </w:r>
          </w:p>
        </w:tc>
      </w:tr>
      <w:tr w:rsidR="00BD5588" w:rsidRPr="00E32B69" w14:paraId="7BC000EE" w14:textId="77777777" w:rsidTr="009E0502">
        <w:trPr>
          <w:cantSplit/>
        </w:trPr>
        <w:tc>
          <w:tcPr>
            <w:tcW w:w="311" w:type="pct"/>
            <w:hideMark/>
          </w:tcPr>
          <w:p w14:paraId="71884624" w14:textId="77777777" w:rsidR="00BD5588" w:rsidRPr="00E32B69" w:rsidRDefault="00BD5588" w:rsidP="009E0502">
            <w:pPr>
              <w:jc w:val="center"/>
            </w:pPr>
            <w:r w:rsidRPr="00E32B69">
              <w:t>4.</w:t>
            </w:r>
          </w:p>
        </w:tc>
        <w:tc>
          <w:tcPr>
            <w:tcW w:w="1479" w:type="pct"/>
            <w:hideMark/>
          </w:tcPr>
          <w:p w14:paraId="13F7C0ED" w14:textId="77777777" w:rsidR="00BD5588" w:rsidRPr="00E32B69" w:rsidRDefault="00BD5588" w:rsidP="009E0502">
            <w:r w:rsidRPr="00E32B69">
              <w:t>Cita informācija</w:t>
            </w:r>
          </w:p>
        </w:tc>
        <w:tc>
          <w:tcPr>
            <w:tcW w:w="3210" w:type="pct"/>
            <w:hideMark/>
          </w:tcPr>
          <w:p w14:paraId="22B102AA" w14:textId="58B8AC7C" w:rsidR="00BD5588" w:rsidRPr="00E32B69" w:rsidRDefault="00BD5588" w:rsidP="009E0502">
            <w:r w:rsidRPr="00E32B69">
              <w:t>Nav</w:t>
            </w:r>
          </w:p>
        </w:tc>
      </w:tr>
    </w:tbl>
    <w:p w14:paraId="0FF0AE1D" w14:textId="129EF632" w:rsidR="00BD5588" w:rsidRPr="00E32B69" w:rsidRDefault="00BD5588" w:rsidP="00BD5588">
      <w:pPr>
        <w:pStyle w:val="Title"/>
        <w:spacing w:before="130" w:line="260" w:lineRule="exact"/>
        <w:ind w:firstLine="539"/>
        <w:jc w:val="both"/>
        <w:rPr>
          <w:sz w:val="24"/>
          <w:szCs w:val="24"/>
        </w:rPr>
      </w:pPr>
    </w:p>
    <w:p w14:paraId="775798A1" w14:textId="77777777" w:rsidR="003015EA" w:rsidRPr="00E32B69" w:rsidRDefault="003015EA" w:rsidP="00BD5588">
      <w:pPr>
        <w:pStyle w:val="Title"/>
        <w:spacing w:before="130" w:line="260" w:lineRule="exact"/>
        <w:ind w:firstLine="539"/>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16"/>
        <w:gridCol w:w="2454"/>
        <w:gridCol w:w="5326"/>
      </w:tblGrid>
      <w:tr w:rsidR="00BD5588" w:rsidRPr="00E32B69" w14:paraId="7F49F530" w14:textId="77777777" w:rsidTr="009E0502">
        <w:trPr>
          <w:cantSplit/>
        </w:trPr>
        <w:tc>
          <w:tcPr>
            <w:tcW w:w="5000" w:type="pct"/>
            <w:gridSpan w:val="3"/>
            <w:vAlign w:val="center"/>
            <w:hideMark/>
          </w:tcPr>
          <w:p w14:paraId="1F54478F" w14:textId="77777777" w:rsidR="00BD5588" w:rsidRPr="00E32B69" w:rsidRDefault="00BD5588" w:rsidP="009E0502">
            <w:pPr>
              <w:jc w:val="center"/>
              <w:rPr>
                <w:b/>
                <w:bCs/>
              </w:rPr>
            </w:pPr>
            <w:r w:rsidRPr="00E32B69">
              <w:rPr>
                <w:b/>
                <w:bCs/>
              </w:rPr>
              <w:t>VII. Tiesību akta projekta izpildes nodrošināšana un tās ietekme uz institūcijām</w:t>
            </w:r>
          </w:p>
        </w:tc>
      </w:tr>
      <w:tr w:rsidR="00BD5588" w:rsidRPr="00E32B69" w14:paraId="3BB706C0" w14:textId="77777777" w:rsidTr="009E0502">
        <w:trPr>
          <w:cantSplit/>
        </w:trPr>
        <w:tc>
          <w:tcPr>
            <w:tcW w:w="311" w:type="pct"/>
            <w:hideMark/>
          </w:tcPr>
          <w:p w14:paraId="53503423" w14:textId="77777777" w:rsidR="00BD5588" w:rsidRPr="00E32B69" w:rsidRDefault="00BD5588" w:rsidP="009E0502">
            <w:pPr>
              <w:jc w:val="center"/>
            </w:pPr>
            <w:r w:rsidRPr="00E32B69">
              <w:t>1.</w:t>
            </w:r>
          </w:p>
        </w:tc>
        <w:tc>
          <w:tcPr>
            <w:tcW w:w="1479" w:type="pct"/>
            <w:hideMark/>
          </w:tcPr>
          <w:p w14:paraId="46ED0CBD" w14:textId="77777777" w:rsidR="00BD5588" w:rsidRPr="00E32B69" w:rsidRDefault="00BD5588" w:rsidP="009E0502">
            <w:r w:rsidRPr="00E32B69">
              <w:t>Projekta izpildē iesaistītās institūcijas</w:t>
            </w:r>
          </w:p>
        </w:tc>
        <w:tc>
          <w:tcPr>
            <w:tcW w:w="3210" w:type="pct"/>
            <w:hideMark/>
          </w:tcPr>
          <w:p w14:paraId="0F0E8954" w14:textId="38AADB0F" w:rsidR="00BD5588" w:rsidRPr="00E32B69" w:rsidRDefault="003015EA" w:rsidP="009E0502">
            <w:r w:rsidRPr="00E32B69">
              <w:t>Vides aizsardzības un reģionālās attīstības ministrija, Dabas aizsardzības pārvalde.</w:t>
            </w:r>
          </w:p>
        </w:tc>
      </w:tr>
      <w:tr w:rsidR="00BD5588" w:rsidRPr="00E32B69" w14:paraId="5D761358" w14:textId="77777777" w:rsidTr="009E0502">
        <w:trPr>
          <w:cantSplit/>
        </w:trPr>
        <w:tc>
          <w:tcPr>
            <w:tcW w:w="311" w:type="pct"/>
            <w:hideMark/>
          </w:tcPr>
          <w:p w14:paraId="778AC62B" w14:textId="77777777" w:rsidR="00BD5588" w:rsidRPr="00E32B69" w:rsidRDefault="00BD5588" w:rsidP="009E0502">
            <w:pPr>
              <w:jc w:val="center"/>
            </w:pPr>
            <w:r w:rsidRPr="00E32B69">
              <w:t>2.</w:t>
            </w:r>
          </w:p>
        </w:tc>
        <w:tc>
          <w:tcPr>
            <w:tcW w:w="1479" w:type="pct"/>
            <w:hideMark/>
          </w:tcPr>
          <w:p w14:paraId="21E15855" w14:textId="77777777" w:rsidR="00BD5588" w:rsidRPr="00E32B69" w:rsidRDefault="00BD5588" w:rsidP="009E0502">
            <w:r w:rsidRPr="00E32B69">
              <w:t>Projekta izpildes ietekme uz pārvaldes funkcijām un institucionālo struktūru.</w:t>
            </w:r>
            <w:r w:rsidRPr="00E32B69">
              <w:br/>
              <w:t>Jaunu institūciju izveide, esošu institūciju likvidācija vai reorganizācija, to ietekme uz institūcijas cilvēkresursiem</w:t>
            </w:r>
          </w:p>
        </w:tc>
        <w:tc>
          <w:tcPr>
            <w:tcW w:w="3210" w:type="pct"/>
            <w:hideMark/>
          </w:tcPr>
          <w:p w14:paraId="5AE876C3" w14:textId="2464B192" w:rsidR="00766FBA" w:rsidRPr="00E32B69" w:rsidRDefault="00766FBA" w:rsidP="00766FBA"/>
          <w:p w14:paraId="5D068055" w14:textId="77B74C4B" w:rsidR="00BF14DE" w:rsidRPr="00E32B69" w:rsidRDefault="001D3BE3" w:rsidP="00766FBA">
            <w:r>
              <w:t>P</w:t>
            </w:r>
            <w:r w:rsidR="00BF14DE" w:rsidRPr="00E32B69">
              <w:t>rojekts šo jomu neskar</w:t>
            </w:r>
          </w:p>
        </w:tc>
      </w:tr>
      <w:tr w:rsidR="00BD5588" w:rsidRPr="00E32B69" w14:paraId="399B0750" w14:textId="77777777" w:rsidTr="009E0502">
        <w:trPr>
          <w:cantSplit/>
        </w:trPr>
        <w:tc>
          <w:tcPr>
            <w:tcW w:w="311" w:type="pct"/>
            <w:hideMark/>
          </w:tcPr>
          <w:p w14:paraId="15D10857" w14:textId="77777777" w:rsidR="00BD5588" w:rsidRPr="00E32B69" w:rsidRDefault="00BD5588" w:rsidP="009E0502">
            <w:pPr>
              <w:jc w:val="center"/>
            </w:pPr>
            <w:r w:rsidRPr="00E32B69">
              <w:t>3.</w:t>
            </w:r>
          </w:p>
        </w:tc>
        <w:tc>
          <w:tcPr>
            <w:tcW w:w="1479" w:type="pct"/>
            <w:hideMark/>
          </w:tcPr>
          <w:p w14:paraId="0F399E44" w14:textId="77777777" w:rsidR="00BD5588" w:rsidRPr="00E32B69" w:rsidRDefault="00BD5588" w:rsidP="009E0502">
            <w:r w:rsidRPr="00E32B69">
              <w:t>Cita informācija</w:t>
            </w:r>
          </w:p>
        </w:tc>
        <w:tc>
          <w:tcPr>
            <w:tcW w:w="3210" w:type="pct"/>
            <w:hideMark/>
          </w:tcPr>
          <w:p w14:paraId="30795412" w14:textId="3FBE0449" w:rsidR="00BD5588" w:rsidRPr="00E32B69" w:rsidRDefault="003015EA" w:rsidP="009E0502">
            <w:r w:rsidRPr="00E32B69">
              <w:t>Nav</w:t>
            </w:r>
          </w:p>
        </w:tc>
      </w:tr>
    </w:tbl>
    <w:p w14:paraId="0B745A90" w14:textId="45DDD4BA" w:rsidR="00E44472" w:rsidRPr="00E32B69" w:rsidRDefault="00E44472"/>
    <w:p w14:paraId="6A36BFA8" w14:textId="516372F0" w:rsidR="00766FBA" w:rsidRPr="00E32B69" w:rsidRDefault="00766FBA"/>
    <w:p w14:paraId="37D7F357" w14:textId="77777777" w:rsidR="00766FBA" w:rsidRPr="00E32B69" w:rsidRDefault="00766FBA" w:rsidP="00766FBA">
      <w:pPr>
        <w:tabs>
          <w:tab w:val="left" w:pos="6480"/>
          <w:tab w:val="left" w:pos="6840"/>
        </w:tabs>
      </w:pPr>
    </w:p>
    <w:p w14:paraId="729F2319" w14:textId="77777777" w:rsidR="00766FBA" w:rsidRPr="00E32B69" w:rsidRDefault="00766FBA" w:rsidP="00766FBA">
      <w:pPr>
        <w:tabs>
          <w:tab w:val="left" w:pos="6480"/>
          <w:tab w:val="left" w:pos="6840"/>
        </w:tabs>
      </w:pPr>
      <w:r w:rsidRPr="00E32B69">
        <w:t xml:space="preserve">Vides aizsardzības un reģionālās </w:t>
      </w:r>
    </w:p>
    <w:p w14:paraId="5E1275C2" w14:textId="3E7D1C78" w:rsidR="00766FBA" w:rsidRPr="00E32B69" w:rsidRDefault="00766FBA" w:rsidP="00766FBA">
      <w:pPr>
        <w:tabs>
          <w:tab w:val="right" w:pos="9071"/>
        </w:tabs>
      </w:pPr>
      <w:r w:rsidRPr="00E32B69">
        <w:t>attīstības ministrs</w:t>
      </w:r>
      <w:r w:rsidRPr="00E32B69">
        <w:tab/>
        <w:t>A.</w:t>
      </w:r>
      <w:r w:rsidR="00BF14DE" w:rsidRPr="00E32B69">
        <w:t xml:space="preserve"> </w:t>
      </w:r>
      <w:r w:rsidRPr="00E32B69">
        <w:t>T.</w:t>
      </w:r>
      <w:r w:rsidR="00BF14DE" w:rsidRPr="00E32B69">
        <w:t xml:space="preserve"> </w:t>
      </w:r>
      <w:proofErr w:type="spellStart"/>
      <w:r w:rsidRPr="00E32B69">
        <w:t>Plešs</w:t>
      </w:r>
      <w:proofErr w:type="spellEnd"/>
    </w:p>
    <w:p w14:paraId="053C811A" w14:textId="77777777" w:rsidR="00766FBA" w:rsidRPr="00E32B69" w:rsidRDefault="00766FBA" w:rsidP="00766FBA">
      <w:pPr>
        <w:tabs>
          <w:tab w:val="left" w:pos="6480"/>
        </w:tabs>
      </w:pPr>
    </w:p>
    <w:p w14:paraId="6F3D3208" w14:textId="77777777" w:rsidR="00766FBA" w:rsidRPr="00E32B69" w:rsidRDefault="00766FBA"/>
    <w:sectPr w:rsidR="00766FBA" w:rsidRPr="00E32B6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9F29E6"/>
    <w:multiLevelType w:val="hybridMultilevel"/>
    <w:tmpl w:val="E93AEBEE"/>
    <w:lvl w:ilvl="0" w:tplc="AE688048">
      <w:start w:val="202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588"/>
    <w:rsid w:val="00002FA5"/>
    <w:rsid w:val="00034DCA"/>
    <w:rsid w:val="00057C56"/>
    <w:rsid w:val="00083F04"/>
    <w:rsid w:val="000E01D8"/>
    <w:rsid w:val="000E7C6C"/>
    <w:rsid w:val="000F0462"/>
    <w:rsid w:val="0015532B"/>
    <w:rsid w:val="0016391E"/>
    <w:rsid w:val="00175F7E"/>
    <w:rsid w:val="001D3BE3"/>
    <w:rsid w:val="0023336A"/>
    <w:rsid w:val="00263C33"/>
    <w:rsid w:val="00282695"/>
    <w:rsid w:val="0029594A"/>
    <w:rsid w:val="003015EA"/>
    <w:rsid w:val="00307606"/>
    <w:rsid w:val="00352B28"/>
    <w:rsid w:val="00357AEF"/>
    <w:rsid w:val="003864F3"/>
    <w:rsid w:val="0044227C"/>
    <w:rsid w:val="004459A9"/>
    <w:rsid w:val="0047382A"/>
    <w:rsid w:val="004909CE"/>
    <w:rsid w:val="0049186B"/>
    <w:rsid w:val="005016AF"/>
    <w:rsid w:val="00511325"/>
    <w:rsid w:val="00571CDB"/>
    <w:rsid w:val="00572BDF"/>
    <w:rsid w:val="00581D39"/>
    <w:rsid w:val="005A0A25"/>
    <w:rsid w:val="0060044E"/>
    <w:rsid w:val="00611CA0"/>
    <w:rsid w:val="00691677"/>
    <w:rsid w:val="006D1E75"/>
    <w:rsid w:val="006E38DC"/>
    <w:rsid w:val="007002F4"/>
    <w:rsid w:val="00714235"/>
    <w:rsid w:val="00714C37"/>
    <w:rsid w:val="0072535A"/>
    <w:rsid w:val="00744851"/>
    <w:rsid w:val="00766FBA"/>
    <w:rsid w:val="007800A1"/>
    <w:rsid w:val="007B1BD6"/>
    <w:rsid w:val="007F0A0D"/>
    <w:rsid w:val="0081530E"/>
    <w:rsid w:val="00833EC0"/>
    <w:rsid w:val="008352BB"/>
    <w:rsid w:val="00855B81"/>
    <w:rsid w:val="0086627E"/>
    <w:rsid w:val="008A5B62"/>
    <w:rsid w:val="009331A3"/>
    <w:rsid w:val="009407F9"/>
    <w:rsid w:val="00964D3D"/>
    <w:rsid w:val="00972799"/>
    <w:rsid w:val="009B1C5F"/>
    <w:rsid w:val="009B674F"/>
    <w:rsid w:val="009B6884"/>
    <w:rsid w:val="009E0578"/>
    <w:rsid w:val="00A15432"/>
    <w:rsid w:val="00A316FB"/>
    <w:rsid w:val="00A54B65"/>
    <w:rsid w:val="00A843CD"/>
    <w:rsid w:val="00AA33E7"/>
    <w:rsid w:val="00AB1D41"/>
    <w:rsid w:val="00AC587A"/>
    <w:rsid w:val="00AD1A09"/>
    <w:rsid w:val="00B11B47"/>
    <w:rsid w:val="00B27DC9"/>
    <w:rsid w:val="00B35B8E"/>
    <w:rsid w:val="00B74B94"/>
    <w:rsid w:val="00B94112"/>
    <w:rsid w:val="00BD5588"/>
    <w:rsid w:val="00BF14DE"/>
    <w:rsid w:val="00BF4853"/>
    <w:rsid w:val="00C054D3"/>
    <w:rsid w:val="00C161B3"/>
    <w:rsid w:val="00C64E39"/>
    <w:rsid w:val="00CE0200"/>
    <w:rsid w:val="00CE09AC"/>
    <w:rsid w:val="00CE19EF"/>
    <w:rsid w:val="00CF7F85"/>
    <w:rsid w:val="00D03A51"/>
    <w:rsid w:val="00D3502D"/>
    <w:rsid w:val="00D7465A"/>
    <w:rsid w:val="00D80A7B"/>
    <w:rsid w:val="00DC0386"/>
    <w:rsid w:val="00DF7131"/>
    <w:rsid w:val="00E04094"/>
    <w:rsid w:val="00E32B69"/>
    <w:rsid w:val="00E44472"/>
    <w:rsid w:val="00EB3CA8"/>
    <w:rsid w:val="00EF768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16CF6"/>
  <w15:docId w15:val="{16032ADE-08CE-4046-8338-C81A218F6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588"/>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5588"/>
    <w:pPr>
      <w:jc w:val="center"/>
    </w:pPr>
    <w:rPr>
      <w:sz w:val="28"/>
      <w:szCs w:val="20"/>
      <w:lang w:eastAsia="en-US"/>
    </w:rPr>
  </w:style>
  <w:style w:type="character" w:customStyle="1" w:styleId="TitleChar">
    <w:name w:val="Title Char"/>
    <w:basedOn w:val="DefaultParagraphFont"/>
    <w:link w:val="Title"/>
    <w:rsid w:val="00BD5588"/>
    <w:rPr>
      <w:rFonts w:ascii="Times New Roman" w:eastAsia="Times New Roman" w:hAnsi="Times New Roman" w:cs="Times New Roman"/>
      <w:sz w:val="28"/>
      <w:szCs w:val="20"/>
    </w:rPr>
  </w:style>
  <w:style w:type="character" w:styleId="Hyperlink">
    <w:name w:val="Hyperlink"/>
    <w:basedOn w:val="DefaultParagraphFont"/>
    <w:uiPriority w:val="99"/>
    <w:unhideWhenUsed/>
    <w:rsid w:val="00BD5588"/>
    <w:rPr>
      <w:color w:val="0000FF"/>
      <w:u w:val="single"/>
    </w:rPr>
  </w:style>
  <w:style w:type="character" w:styleId="CommentReference">
    <w:name w:val="annotation reference"/>
    <w:basedOn w:val="DefaultParagraphFont"/>
    <w:uiPriority w:val="99"/>
    <w:semiHidden/>
    <w:unhideWhenUsed/>
    <w:rsid w:val="006D1E75"/>
    <w:rPr>
      <w:sz w:val="16"/>
      <w:szCs w:val="16"/>
    </w:rPr>
  </w:style>
  <w:style w:type="paragraph" w:styleId="CommentText">
    <w:name w:val="annotation text"/>
    <w:basedOn w:val="Normal"/>
    <w:link w:val="CommentTextChar"/>
    <w:uiPriority w:val="99"/>
    <w:unhideWhenUsed/>
    <w:rsid w:val="006D1E75"/>
    <w:rPr>
      <w:sz w:val="20"/>
      <w:szCs w:val="20"/>
    </w:rPr>
  </w:style>
  <w:style w:type="character" w:customStyle="1" w:styleId="CommentTextChar">
    <w:name w:val="Comment Text Char"/>
    <w:basedOn w:val="DefaultParagraphFont"/>
    <w:link w:val="CommentText"/>
    <w:uiPriority w:val="99"/>
    <w:rsid w:val="006D1E75"/>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6D1E75"/>
    <w:rPr>
      <w:b/>
      <w:bCs/>
    </w:rPr>
  </w:style>
  <w:style w:type="character" w:customStyle="1" w:styleId="CommentSubjectChar">
    <w:name w:val="Comment Subject Char"/>
    <w:basedOn w:val="CommentTextChar"/>
    <w:link w:val="CommentSubject"/>
    <w:uiPriority w:val="99"/>
    <w:semiHidden/>
    <w:rsid w:val="006D1E75"/>
    <w:rPr>
      <w:rFonts w:ascii="Times New Roman" w:eastAsia="Times New Roman" w:hAnsi="Times New Roman" w:cs="Times New Roman"/>
      <w:b/>
      <w:bCs/>
      <w:sz w:val="20"/>
      <w:szCs w:val="20"/>
      <w:lang w:eastAsia="lv-LV"/>
    </w:rPr>
  </w:style>
  <w:style w:type="character" w:styleId="UnresolvedMention">
    <w:name w:val="Unresolved Mention"/>
    <w:basedOn w:val="DefaultParagraphFont"/>
    <w:uiPriority w:val="99"/>
    <w:semiHidden/>
    <w:unhideWhenUsed/>
    <w:rsid w:val="009B6884"/>
    <w:rPr>
      <w:color w:val="605E5C"/>
      <w:shd w:val="clear" w:color="auto" w:fill="E1DFDD"/>
    </w:rPr>
  </w:style>
  <w:style w:type="paragraph" w:styleId="ListParagraph">
    <w:name w:val="List Paragraph"/>
    <w:basedOn w:val="Normal"/>
    <w:uiPriority w:val="34"/>
    <w:qFormat/>
    <w:rsid w:val="006E38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959164">
      <w:bodyDiv w:val="1"/>
      <w:marLeft w:val="0"/>
      <w:marRight w:val="0"/>
      <w:marTop w:val="0"/>
      <w:marBottom w:val="0"/>
      <w:divBdr>
        <w:top w:val="none" w:sz="0" w:space="0" w:color="auto"/>
        <w:left w:val="none" w:sz="0" w:space="0" w:color="auto"/>
        <w:bottom w:val="none" w:sz="0" w:space="0" w:color="auto"/>
        <w:right w:val="none" w:sz="0" w:space="0" w:color="auto"/>
      </w:divBdr>
    </w:div>
    <w:div w:id="922954305">
      <w:bodyDiv w:val="1"/>
      <w:marLeft w:val="0"/>
      <w:marRight w:val="0"/>
      <w:marTop w:val="0"/>
      <w:marBottom w:val="0"/>
      <w:divBdr>
        <w:top w:val="none" w:sz="0" w:space="0" w:color="auto"/>
        <w:left w:val="none" w:sz="0" w:space="0" w:color="auto"/>
        <w:bottom w:val="none" w:sz="0" w:space="0" w:color="auto"/>
        <w:right w:val="none" w:sz="0" w:space="0" w:color="auto"/>
      </w:divBdr>
    </w:div>
    <w:div w:id="200697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10150</Words>
  <Characters>5787</Characters>
  <Application>Microsoft Office Word</Application>
  <DocSecurity>0</DocSecurity>
  <Lines>48</Lines>
  <Paragraphs>31</Paragraphs>
  <ScaleCrop>false</ScaleCrop>
  <HeadingPairs>
    <vt:vector size="2" baseType="variant">
      <vt:variant>
        <vt:lpstr>Title</vt:lpstr>
      </vt:variant>
      <vt:variant>
        <vt:i4>1</vt:i4>
      </vt:variant>
    </vt:vector>
  </HeadingPairs>
  <TitlesOfParts>
    <vt:vector size="1" baseType="lpstr">
      <vt:lpstr>Anotācija Grozījumi Ministru kabineta 2007.gada 9.oktobra noteikumos Nr.686 "Noteikumi par īpaši aizsargājamās dabas teriroijas dabas aizsardzības plāna saturu un izstrādes kārtību"</vt:lpstr>
    </vt:vector>
  </TitlesOfParts>
  <Company/>
  <LinksUpToDate>false</LinksUpToDate>
  <CharactersWithSpaces>15906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Anotācija Grozījumi Ministru kabineta 2007.gada 9.oktobra noteikumos Nr.686 "Noteikumi par īpaši aizsargājamās dabas teriroijas dabas aizsardzības plāna saturu un izstrādes kārtību"</dc:title>
  <dc:creator>vija.skutane</dc:creator>
  <dc:description>laura.seile@varam.gov.lv
 67026484</dc:description>
  <cp:lastModifiedBy>Lita Trakina</cp:lastModifiedBy>
  <cp:revision>2</cp:revision>
  <dcterms:created xsi:type="dcterms:W3CDTF">2021-07-22T06:29:00Z</dcterms:created>
  <dcterms:modified xsi:type="dcterms:W3CDTF">2021-07-22T06:29:00Z</dcterms:modified>
</cp:coreProperties>
</file>