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A5C6" w14:textId="77777777" w:rsidR="00AF6AA3" w:rsidRDefault="00661D5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Ministru kabineta noteikumu projekta </w:t>
      </w:r>
    </w:p>
    <w:p w14:paraId="7DC1DF40" w14:textId="1FB1D9AB" w:rsidR="00AF6AA3" w:rsidRPr="00EB12D6" w:rsidRDefault="00991A9D">
      <w:pPr>
        <w:ind w:firstLine="720"/>
        <w:jc w:val="center"/>
        <w:rPr>
          <w:b/>
        </w:rPr>
      </w:pPr>
      <w:r w:rsidRPr="00EB12D6">
        <w:rPr>
          <w:b/>
        </w:rPr>
        <w:t xml:space="preserve">“Grozījumi Ministru kabineta </w:t>
      </w:r>
      <w:r w:rsidR="00EB12D6" w:rsidRPr="00EB12D6">
        <w:rPr>
          <w:b/>
        </w:rPr>
        <w:t>2006. gada 19. decembra noteikumos Nr. 1055 “Noteikumi par valsts nodevu par zemes dzīļu izmantošanas licenci, bieži sastopamo derīgo izrakteņu ieguves atļauju un atradnes pasi”</w:t>
      </w:r>
      <w:r w:rsidRPr="00EB12D6">
        <w:rPr>
          <w:b/>
        </w:rPr>
        <w:t xml:space="preserve">” </w:t>
      </w:r>
      <w:r w:rsidR="00661D50" w:rsidRPr="00EB12D6">
        <w:rPr>
          <w:b/>
          <w:bCs/>
        </w:rPr>
        <w:t>sākotnējās ietekmes novērtējuma ziņojums (anotācija)</w:t>
      </w:r>
    </w:p>
    <w:p w14:paraId="119E8FF7" w14:textId="77777777" w:rsidR="00AF6AA3" w:rsidRDefault="00AF6AA3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772568D1" w14:textId="2D746300" w:rsidR="005309DC" w:rsidRDefault="005309DC" w:rsidP="005309DC">
            <w:pPr>
              <w:jc w:val="both"/>
            </w:pPr>
            <w:r w:rsidRPr="00B43C5D">
              <w:t>Saskaņā ar Ministru kabineta 2009.</w:t>
            </w:r>
            <w:r>
              <w:t> </w:t>
            </w:r>
            <w:r w:rsidRPr="00B43C5D">
              <w:t>gada 15.</w:t>
            </w:r>
            <w:r>
              <w:t> </w:t>
            </w:r>
            <w:r w:rsidRPr="00B43C5D">
              <w:t>decembra instrukcijas Nr.</w:t>
            </w:r>
            <w:r>
              <w:t> </w:t>
            </w:r>
            <w:r w:rsidRPr="00B43C5D">
              <w:t>19 “Tiesību akta projekta sākotnējās ietekmes izvērtēšanas kārtība” 5.</w:t>
            </w:r>
            <w:r w:rsidRPr="007E66B4">
              <w:rPr>
                <w:vertAlign w:val="superscript"/>
              </w:rPr>
              <w:t>1</w:t>
            </w:r>
            <w:r w:rsidR="004D3B09">
              <w:rPr>
                <w:vertAlign w:val="superscript"/>
              </w:rPr>
              <w:t> </w:t>
            </w:r>
            <w:r w:rsidRPr="00B43C5D">
              <w:t>punktu sākotnējās ietekmes novērtējuma ziņojuma (anotācijas) kopsavilkums nav aizpildāms.</w:t>
            </w:r>
            <w:r>
              <w:t xml:space="preserve"> </w:t>
            </w:r>
          </w:p>
          <w:p w14:paraId="5768D49E" w14:textId="52A0B142" w:rsidR="00332537" w:rsidRPr="00407ADD" w:rsidRDefault="00FB5FC6" w:rsidP="00365B32">
            <w:pPr>
              <w:jc w:val="both"/>
              <w:rPr>
                <w:rFonts w:cstheme="minorBidi"/>
                <w:b/>
                <w:bCs/>
              </w:rPr>
            </w:pPr>
            <w:r>
              <w:t>Ministru kabineta n</w:t>
            </w:r>
            <w:r w:rsidR="00332537" w:rsidRPr="00407ADD">
              <w:t xml:space="preserve">oteikumu projekts </w:t>
            </w:r>
            <w:r w:rsidRPr="00FB5FC6">
              <w:t>“Grozījumi Ministru kabineta 2006. gada 19. decembra noteikumos Nr. 1055 “Noteikumi par valsts nodevu par zemes dzīļu izmantošanas licenci, bieži sastopamo derīgo izrakteņu ieguves atļauju un atradnes pasi””</w:t>
            </w:r>
            <w:r>
              <w:t xml:space="preserve"> (turpmāk – Noteikumu projekts)</w:t>
            </w:r>
            <w:r w:rsidRPr="00FB5FC6">
              <w:t xml:space="preserve"> </w:t>
            </w:r>
            <w:r w:rsidR="00332537" w:rsidRPr="00407ADD">
              <w:t xml:space="preserve">stājas spēkā </w:t>
            </w:r>
            <w:r w:rsidR="006B4EF6" w:rsidRPr="00407ADD">
              <w:t>2022. gada 1. janvārī</w:t>
            </w:r>
            <w:r w:rsidR="00332537" w:rsidRPr="00407ADD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701"/>
        <w:gridCol w:w="5938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195E79BA" w14:textId="1ADCBA82" w:rsidR="004D3CA3" w:rsidRPr="004D3CA3" w:rsidRDefault="004D3CA3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4D3CA3">
              <w:rPr>
                <w:sz w:val="24"/>
                <w:szCs w:val="24"/>
              </w:rPr>
              <w:t>Likuma “Par zemes dzīlēm” 10. panta ceturtā daļa un Civilām vajadzībām paredzētu sprāgstvielu aprites likuma 16. panta trešā daļa.</w:t>
            </w:r>
          </w:p>
          <w:p w14:paraId="4028E580" w14:textId="01DB2897" w:rsidR="00313FA2" w:rsidRPr="000D17C0" w:rsidRDefault="00313FA2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0D17C0">
              <w:rPr>
                <w:sz w:val="24"/>
                <w:szCs w:val="24"/>
              </w:rPr>
              <w:t xml:space="preserve">Noteikumu projekts nepieciešams, lai </w:t>
            </w:r>
            <w:r w:rsidR="00E32C7E" w:rsidRPr="000D17C0">
              <w:rPr>
                <w:sz w:val="24"/>
                <w:szCs w:val="24"/>
              </w:rPr>
              <w:t>noteiktu</w:t>
            </w:r>
            <w:r w:rsidR="00955823" w:rsidRPr="000D17C0">
              <w:rPr>
                <w:sz w:val="24"/>
                <w:szCs w:val="24"/>
              </w:rPr>
              <w:t xml:space="preserve"> </w:t>
            </w:r>
            <w:r w:rsidR="0012532F" w:rsidRPr="000D17C0">
              <w:rPr>
                <w:sz w:val="24"/>
                <w:szCs w:val="24"/>
              </w:rPr>
              <w:t>valsts nodevas apmēru</w:t>
            </w:r>
            <w:r w:rsidR="00E11EBB" w:rsidRPr="000D17C0">
              <w:rPr>
                <w:sz w:val="24"/>
                <w:szCs w:val="24"/>
              </w:rPr>
              <w:t xml:space="preserve"> par derīgo izrakteņu ieguves</w:t>
            </w:r>
            <w:r w:rsidR="00D57ED0" w:rsidRPr="000D17C0">
              <w:rPr>
                <w:sz w:val="24"/>
                <w:szCs w:val="24"/>
              </w:rPr>
              <w:t xml:space="preserve"> projekta un spridzināšanas darb</w:t>
            </w:r>
            <w:r w:rsidR="0067117A" w:rsidRPr="000D17C0">
              <w:rPr>
                <w:sz w:val="24"/>
                <w:szCs w:val="24"/>
              </w:rPr>
              <w:t xml:space="preserve">u projekta, </w:t>
            </w:r>
            <w:r w:rsidR="00645A10" w:rsidRPr="000D17C0">
              <w:rPr>
                <w:sz w:val="24"/>
                <w:szCs w:val="24"/>
              </w:rPr>
              <w:t>ja spridzināšanas darbi veicami derīgo izrakteņu ieguves vietās,</w:t>
            </w:r>
            <w:r w:rsidR="00A453AC" w:rsidRPr="000D17C0">
              <w:rPr>
                <w:sz w:val="24"/>
                <w:szCs w:val="24"/>
              </w:rPr>
              <w:t xml:space="preserve"> </w:t>
            </w:r>
            <w:r w:rsidR="00AD440D">
              <w:rPr>
                <w:sz w:val="24"/>
                <w:szCs w:val="24"/>
              </w:rPr>
              <w:t>izskatīšanu</w:t>
            </w:r>
            <w:r w:rsidR="0012532F" w:rsidRPr="000D17C0">
              <w:rPr>
                <w:sz w:val="24"/>
                <w:szCs w:val="24"/>
              </w:rPr>
              <w:t xml:space="preserve"> un </w:t>
            </w:r>
            <w:r w:rsidR="00E77568">
              <w:rPr>
                <w:sz w:val="24"/>
                <w:szCs w:val="24"/>
              </w:rPr>
              <w:t xml:space="preserve">nodevas </w:t>
            </w:r>
            <w:r w:rsidR="0012532F" w:rsidRPr="000D17C0">
              <w:rPr>
                <w:sz w:val="24"/>
                <w:szCs w:val="24"/>
              </w:rPr>
              <w:t>maksāšanas kārtību.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7827977F" w14:textId="2B3A804A" w:rsidR="007B50C4" w:rsidRPr="007B50C4" w:rsidRDefault="00943EBB" w:rsidP="00AE07C5">
            <w:pPr>
              <w:tabs>
                <w:tab w:val="left" w:pos="6580"/>
              </w:tabs>
              <w:jc w:val="both"/>
            </w:pPr>
            <w:r>
              <w:t>No 2022. gada 1. janvāra</w:t>
            </w:r>
            <w:r w:rsidRPr="008045B9">
              <w:t xml:space="preserve"> </w:t>
            </w:r>
            <w:r>
              <w:t>saskaņā ar l</w:t>
            </w:r>
            <w:r w:rsidR="005022A0" w:rsidRPr="008045B9">
              <w:t>ikuma  “Par zemes dzīlēm” 10. panta ceturt</w:t>
            </w:r>
            <w:r>
              <w:t>o</w:t>
            </w:r>
            <w:r w:rsidR="005022A0" w:rsidRPr="008045B9">
              <w:t xml:space="preserve"> daļ</w:t>
            </w:r>
            <w:r>
              <w:t>u jāpiemēro valsts nodeva arī par</w:t>
            </w:r>
            <w:r w:rsidR="00E23E43">
              <w:t xml:space="preserve"> </w:t>
            </w:r>
            <w:r w:rsidR="0036478C" w:rsidRPr="008045B9">
              <w:t>derīgo izrakteņu ieguves projektu</w:t>
            </w:r>
            <w:r>
              <w:t xml:space="preserve">. </w:t>
            </w:r>
            <w:r w:rsidR="00704F19">
              <w:t>Vienlaikus n</w:t>
            </w:r>
            <w:r w:rsidR="003C73E5">
              <w:t xml:space="preserve">o 2022. gada 1. janvāra saskaņā ar </w:t>
            </w:r>
            <w:r w:rsidR="00814353" w:rsidRPr="008045B9">
              <w:t xml:space="preserve">Civilām vajadzībām paredzētu sprāgstvielu aprites likuma </w:t>
            </w:r>
            <w:r w:rsidR="0022163A" w:rsidRPr="008045B9">
              <w:t>16. pant</w:t>
            </w:r>
            <w:r w:rsidR="00814353" w:rsidRPr="008045B9">
              <w:t xml:space="preserve">a </w:t>
            </w:r>
            <w:r w:rsidR="0022163A" w:rsidRPr="008045B9">
              <w:t>tre</w:t>
            </w:r>
            <w:r w:rsidR="00814353" w:rsidRPr="008045B9">
              <w:t>š</w:t>
            </w:r>
            <w:r w:rsidR="003C73E5">
              <w:t>o</w:t>
            </w:r>
            <w:r w:rsidR="00814353" w:rsidRPr="008045B9">
              <w:t xml:space="preserve"> daļ</w:t>
            </w:r>
            <w:r w:rsidR="003C73E5">
              <w:t>u jāpiemēro valsts nodeva</w:t>
            </w:r>
            <w:r w:rsidR="00814353" w:rsidRPr="008045B9">
              <w:t xml:space="preserve"> </w:t>
            </w:r>
            <w:r w:rsidR="0022163A" w:rsidRPr="008045B9">
              <w:t xml:space="preserve">par </w:t>
            </w:r>
            <w:r w:rsidR="0022163A" w:rsidRPr="008045B9">
              <w:rPr>
                <w:color w:val="000000"/>
              </w:rPr>
              <w:t>spridzināšanas darbu projekta saskaņošanu vai nesaskaņošanu, veicot spridzināšanas darbus derīgo izrakteņu ieguves vietās</w:t>
            </w:r>
            <w:r w:rsidR="0022163A" w:rsidRPr="008045B9">
              <w:t>.</w:t>
            </w:r>
            <w:r w:rsidR="0085175D" w:rsidRPr="008045B9">
              <w:t xml:space="preserve"> </w:t>
            </w:r>
            <w:r w:rsidR="003C73E5">
              <w:t>Ievērojot minēto, jānosaka valsts nodevas apmērs.</w:t>
            </w:r>
          </w:p>
          <w:p w14:paraId="6006020E" w14:textId="178CB391" w:rsidR="00CE26BF" w:rsidRPr="007B50C4" w:rsidRDefault="007B50C4" w:rsidP="00734798">
            <w:pPr>
              <w:jc w:val="both"/>
            </w:pPr>
            <w:r w:rsidRPr="00B65BF4">
              <w:t xml:space="preserve">Saskaņā ar </w:t>
            </w:r>
            <w:r w:rsidR="00D30886" w:rsidRPr="00D30886">
              <w:rPr>
                <w:bCs/>
              </w:rPr>
              <w:t>Ministru kabineta 2006. gada 19. decembra noteikumos Nr. 1055 “Noteikumi par valsts nodevu par zemes dzīļu izmantošanas licenci, bieži sastopamo derīgo izrakteņu ieguves atļauju un atradnes pasi” (turpmāk – MKN 1055)</w:t>
            </w:r>
            <w:r w:rsidR="00D30886">
              <w:rPr>
                <w:b/>
              </w:rPr>
              <w:t xml:space="preserve"> </w:t>
            </w:r>
            <w:r w:rsidR="00EB1F52" w:rsidRPr="00066EC2">
              <w:rPr>
                <w:bCs/>
              </w:rPr>
              <w:t>5</w:t>
            </w:r>
            <w:r w:rsidRPr="00066EC2">
              <w:rPr>
                <w:bCs/>
              </w:rPr>
              <w:t>.</w:t>
            </w:r>
            <w:r w:rsidRPr="00B65BF4">
              <w:t xml:space="preserve"> punktu </w:t>
            </w:r>
            <w:r w:rsidR="00D70950">
              <w:t>v</w:t>
            </w:r>
            <w:r w:rsidR="004F0921">
              <w:t>alsts nodevu par zemes dzīļu izmantošanas licenci, ieguves atļauju un atradnes pasi maksā pirms tās saņemšanas</w:t>
            </w:r>
            <w:r w:rsidR="00D70950">
              <w:t xml:space="preserve">. </w:t>
            </w:r>
            <w:r w:rsidR="00466E35">
              <w:rPr>
                <w:shd w:val="clear" w:color="auto" w:fill="FFFFFF"/>
              </w:rPr>
              <w:t>Attiecīgi i</w:t>
            </w:r>
            <w:r w:rsidRPr="00B65BF4">
              <w:t>r noteikts, ka</w:t>
            </w:r>
            <w:r w:rsidR="00400033">
              <w:t xml:space="preserve"> valsts</w:t>
            </w:r>
            <w:r w:rsidRPr="00B65BF4">
              <w:t xml:space="preserve"> nodeva maksājama pirms pakalpojuma dokumenta </w:t>
            </w:r>
            <w:r w:rsidR="00E44656">
              <w:t>sagatavošanas</w:t>
            </w:r>
            <w:r w:rsidRPr="00B65BF4">
              <w:t>, kas ir neviennozīmīgi interpretējams. Šādā redakcijā norma var tikt tulkota gan kā prasība</w:t>
            </w:r>
            <w:r w:rsidR="00400033">
              <w:t xml:space="preserve"> valsts</w:t>
            </w:r>
            <w:r w:rsidRPr="00B65BF4">
              <w:t xml:space="preserve"> nodevas maksājumu veikt pirms tiek uzsākta pakalpojuma sniegšana, gan tad, kad pakalpojuma dokuments ir sagatavots. Tomēr, ja</w:t>
            </w:r>
            <w:r w:rsidR="00AE07C5">
              <w:t xml:space="preserve"> valsts</w:t>
            </w:r>
            <w:r w:rsidRPr="00B65BF4">
              <w:t xml:space="preserve"> nodevas apmaksa netiek veikta vienlaikus ar iesnieguma iesniegšanu vai pirms tam, </w:t>
            </w:r>
            <w:r w:rsidR="00D32E40">
              <w:t xml:space="preserve">Valsts vides dienests (turpmāk – </w:t>
            </w:r>
            <w:r w:rsidRPr="00B65BF4">
              <w:t>VVD</w:t>
            </w:r>
            <w:r w:rsidR="00D32E40">
              <w:t>)</w:t>
            </w:r>
            <w:r w:rsidRPr="00B65BF4">
              <w:t xml:space="preserve"> nevar precīzi uzskaitīt pakalpojumu izpildes termiņu, </w:t>
            </w:r>
            <w:r w:rsidRPr="00B65BF4">
              <w:lastRenderedPageBreak/>
              <w:t xml:space="preserve">jo tā izpildi nevar noslēgt gadījumos, kad pakalpojumu saņēmēji kavējas ar nodevas apmaksu. </w:t>
            </w:r>
            <w:r w:rsidR="00736B98">
              <w:t>Ievērojot minēto, MKN </w:t>
            </w:r>
            <w:r w:rsidR="00FD70A4">
              <w:t xml:space="preserve">1055 </w:t>
            </w:r>
            <w:r w:rsidR="00183DBF">
              <w:t>j</w:t>
            </w:r>
            <w:r w:rsidR="00183DBF" w:rsidRPr="00B65BF4">
              <w:t>āno</w:t>
            </w:r>
            <w:r w:rsidR="00183DBF">
              <w:t>teic</w:t>
            </w:r>
            <w:r w:rsidRPr="00B65BF4">
              <w:t>, ka</w:t>
            </w:r>
            <w:r w:rsidR="00AE07C5">
              <w:t xml:space="preserve"> valsts</w:t>
            </w:r>
            <w:r w:rsidRPr="00B65BF4">
              <w:t xml:space="preserve"> </w:t>
            </w:r>
            <w:r w:rsidR="00736B98">
              <w:t xml:space="preserve">nodevas </w:t>
            </w:r>
            <w:r w:rsidRPr="00B65BF4">
              <w:t>apmaksa veicama pirms iesnieguma</w:t>
            </w:r>
            <w:r w:rsidR="00736B98">
              <w:t xml:space="preserve"> </w:t>
            </w:r>
            <w:r w:rsidR="00FD70A4">
              <w:t xml:space="preserve">zemes dzīļu izmantošanas dokumentācijai </w:t>
            </w:r>
            <w:r w:rsidR="00F95CBC">
              <w:t>saņemšanai</w:t>
            </w:r>
            <w:r w:rsidRPr="00B65BF4">
              <w:t xml:space="preserve"> iesniegšanas</w:t>
            </w:r>
            <w:r w:rsidR="00B65BF4" w:rsidRPr="00B65BF4">
              <w:t>.</w:t>
            </w:r>
          </w:p>
          <w:p w14:paraId="05DF9689" w14:textId="1A5A3FE4" w:rsidR="00654EAC" w:rsidRPr="007B50C4" w:rsidRDefault="00C22714" w:rsidP="00734798">
            <w:pPr>
              <w:pStyle w:val="tv213"/>
              <w:shd w:val="clear" w:color="auto" w:fill="FFFFFF"/>
              <w:spacing w:beforeAutospacing="0" w:afterAutospacing="0"/>
              <w:jc w:val="both"/>
            </w:pPr>
            <w:r w:rsidRPr="007B50C4">
              <w:t>Saskaņā ar MKN </w:t>
            </w:r>
            <w:r w:rsidR="00354F21">
              <w:t>1055</w:t>
            </w:r>
            <w:r w:rsidRPr="007B50C4">
              <w:t xml:space="preserve"> </w:t>
            </w:r>
            <w:r w:rsidR="00EF2195">
              <w:t>5</w:t>
            </w:r>
            <w:r w:rsidR="00D55A47">
              <w:t>. </w:t>
            </w:r>
            <w:r w:rsidR="00090627" w:rsidRPr="007B50C4">
              <w:t>punktu valsts nodevu maksā</w:t>
            </w:r>
            <w:r w:rsidR="00E9198F">
              <w:t xml:space="preserve"> izmantojot bezskaidras naudas norēķinus (ar pārskaitījumu) un iemaksājot naudu kredītiestādē vai citā iestādē, kurai ir tiesības veikt naudas </w:t>
            </w:r>
            <w:proofErr w:type="spellStart"/>
            <w:r w:rsidR="00E9198F">
              <w:t>pārskaitījumus</w:t>
            </w:r>
            <w:proofErr w:type="spellEnd"/>
            <w:r w:rsidR="00E9198F">
              <w:t xml:space="preserve">. </w:t>
            </w:r>
            <w:r w:rsidR="001537FE">
              <w:t>Vides aizsardzības un reģionālās attīstības ministrija</w:t>
            </w:r>
            <w:r w:rsidR="00991CBE">
              <w:t xml:space="preserve"> (turpmāk – </w:t>
            </w:r>
            <w:r w:rsidR="00F5739E" w:rsidRPr="007B50C4">
              <w:t>VARAM</w:t>
            </w:r>
            <w:r w:rsidR="00991CBE">
              <w:t>)</w:t>
            </w:r>
            <w:r w:rsidR="00F5739E" w:rsidRPr="007B50C4">
              <w:t xml:space="preserve"> ir konstatējusi, ka </w:t>
            </w:r>
            <w:r w:rsidR="00612285" w:rsidRPr="007B50C4">
              <w:t xml:space="preserve">nav paredzēta iespēja nodevu apmaksai izmantot tiešsaistes maksājuma pakalpojumu VVD </w:t>
            </w:r>
            <w:r w:rsidR="002E32EE" w:rsidRPr="007B50C4">
              <w:t>e</w:t>
            </w:r>
            <w:r w:rsidR="00612285" w:rsidRPr="007B50C4">
              <w:t>-pakalpojumu portālā.</w:t>
            </w:r>
            <w:r w:rsidR="002E32EE" w:rsidRPr="007B50C4">
              <w:t xml:space="preserve"> </w:t>
            </w:r>
            <w:r w:rsidR="00011CED" w:rsidRPr="007B50C4">
              <w:t>Ievērojot minēto, MKN </w:t>
            </w:r>
            <w:r w:rsidR="003A1940">
              <w:t>1055</w:t>
            </w:r>
            <w:r w:rsidR="00011CED" w:rsidRPr="007B50C4">
              <w:t xml:space="preserve"> j</w:t>
            </w:r>
            <w:r w:rsidR="00612285" w:rsidRPr="007B50C4">
              <w:t xml:space="preserve">ānosaka, ka </w:t>
            </w:r>
            <w:r w:rsidR="00754A71">
              <w:t>nodevas apmaksu</w:t>
            </w:r>
            <w:r w:rsidR="00ED4E95">
              <w:t xml:space="preserve"> var</w:t>
            </w:r>
            <w:r w:rsidR="00754A71">
              <w:t xml:space="preserve"> veikt</w:t>
            </w:r>
            <w:r w:rsidR="00ED4E95">
              <w:t xml:space="preserve">, </w:t>
            </w:r>
            <w:r w:rsidR="00ED4E95" w:rsidRPr="007B50C4">
              <w:t>izmanto</w:t>
            </w:r>
            <w:r w:rsidR="00ED4E95">
              <w:t>jot</w:t>
            </w:r>
            <w:r w:rsidR="00ED4E95" w:rsidRPr="007B50C4">
              <w:t xml:space="preserve"> tiešsaistes maksājuma pakalpojumu VVD e-pakalpojumu portālā</w:t>
            </w:r>
            <w:r w:rsidR="00612285" w:rsidRPr="007B50C4">
              <w:t xml:space="preserve"> elektroniskā formā</w:t>
            </w:r>
            <w:r w:rsidR="00654EAC" w:rsidRPr="007B50C4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77777777" w:rsidR="008F4D63" w:rsidRPr="007B50C4" w:rsidRDefault="008F4D63" w:rsidP="008F4D63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rPr>
                <w:i/>
              </w:rPr>
              <w:t>Noteikumu projekta mērķis un būtība</w:t>
            </w:r>
          </w:p>
          <w:p w14:paraId="52857DF6" w14:textId="4A71D928" w:rsidR="00234CE1" w:rsidRPr="007B50C4" w:rsidRDefault="00C02BA9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0D17C0">
              <w:t xml:space="preserve">Noteikumu projekts nepieciešams, lai noteiktu valsts nodevas apmēru par derīgo izrakteņu ieguves projekta un spridzināšanas darbu projekta, ja spridzināšanas darbi veicami derīgo izrakteņu ieguves vietās, </w:t>
            </w:r>
            <w:r w:rsidR="005E3256">
              <w:t>izskatīšanu</w:t>
            </w:r>
            <w:r w:rsidRPr="000D17C0">
              <w:t xml:space="preserve"> un </w:t>
            </w:r>
            <w:r w:rsidR="000645A8">
              <w:t xml:space="preserve">valsts </w:t>
            </w:r>
            <w:r>
              <w:t xml:space="preserve">nodevas </w:t>
            </w:r>
            <w:r w:rsidRPr="000D17C0">
              <w:t>maksāšanas kārtību</w:t>
            </w:r>
            <w:r w:rsidR="00B65BF4">
              <w:t>.</w:t>
            </w:r>
          </w:p>
          <w:p w14:paraId="663E2E11" w14:textId="77777777" w:rsidR="00234CE1" w:rsidRPr="007B50C4" w:rsidRDefault="00234CE1" w:rsidP="00AE07C5">
            <w:pPr>
              <w:tabs>
                <w:tab w:val="left" w:pos="6580"/>
              </w:tabs>
              <w:jc w:val="both"/>
            </w:pPr>
            <w:r w:rsidRPr="007B50C4">
              <w:t>Ar Noteikumu projektu:</w:t>
            </w:r>
          </w:p>
          <w:p w14:paraId="25FFA4D5" w14:textId="4E450355" w:rsidR="00250BD1" w:rsidRPr="00EC4536" w:rsidRDefault="009739FF" w:rsidP="00EC4536">
            <w:pPr>
              <w:pStyle w:val="BodyText"/>
              <w:spacing w:after="0" w:line="240" w:lineRule="auto"/>
              <w:jc w:val="both"/>
            </w:pPr>
            <w:r w:rsidRPr="006159C6">
              <w:t>MKN </w:t>
            </w:r>
            <w:r w:rsidR="00083264">
              <w:t>1055</w:t>
            </w:r>
            <w:r w:rsidR="00552627">
              <w:t xml:space="preserve"> tiek papildināts ar jaunu 4.</w:t>
            </w:r>
            <w:r w:rsidR="00552627" w:rsidRPr="001F6B32">
              <w:rPr>
                <w:vertAlign w:val="superscript"/>
              </w:rPr>
              <w:t>1</w:t>
            </w:r>
            <w:r w:rsidR="00552627">
              <w:t xml:space="preserve"> un 4.</w:t>
            </w:r>
            <w:r w:rsidR="00552627" w:rsidRPr="001F6B32">
              <w:rPr>
                <w:vertAlign w:val="superscript"/>
              </w:rPr>
              <w:t>2</w:t>
            </w:r>
            <w:r w:rsidR="00552627">
              <w:t> punktu</w:t>
            </w:r>
            <w:r w:rsidR="00EB2D8A">
              <w:t xml:space="preserve">, tiek veikti grozījumi MKN 1055 </w:t>
            </w:r>
            <w:r w:rsidR="00FD09DB">
              <w:t>nosaukumā, 1.,</w:t>
            </w:r>
            <w:r w:rsidR="001F6B32">
              <w:t xml:space="preserve"> 6. un 7. punktā</w:t>
            </w:r>
            <w:r w:rsidR="00552627">
              <w:t>, nosakot nodevas apmēru par</w:t>
            </w:r>
            <w:r w:rsidR="001F6B32">
              <w:t xml:space="preserve"> </w:t>
            </w:r>
            <w:r w:rsidR="001F6B32" w:rsidRPr="000D17C0">
              <w:t xml:space="preserve">derīgo izrakteņu ieguves projekta un spridzināšanas darbu projekta, ja spridzināšanas darbi veicami derīgo izrakteņu ieguves vietās, </w:t>
            </w:r>
            <w:r w:rsidR="00C37C80">
              <w:t>izskatīšanu</w:t>
            </w:r>
            <w:r w:rsidR="0031579F">
              <w:t xml:space="preserve">. Par derīgo izrakteņu ieguves projekta </w:t>
            </w:r>
            <w:r w:rsidR="00C37C80">
              <w:t>izskatīšanu</w:t>
            </w:r>
            <w:r w:rsidR="0031579F">
              <w:t xml:space="preserve"> maksājama nodeva</w:t>
            </w:r>
            <w:r w:rsidR="00BE1D01">
              <w:t xml:space="preserve"> </w:t>
            </w:r>
            <w:r w:rsidR="00C37C80">
              <w:t>213,43</w:t>
            </w:r>
            <w:r w:rsidR="00BE1D01">
              <w:t> </w:t>
            </w:r>
            <w:proofErr w:type="spellStart"/>
            <w:r w:rsidR="00BE1D01" w:rsidRPr="00CE77E0">
              <w:rPr>
                <w:i/>
                <w:iCs/>
              </w:rPr>
              <w:t>euro</w:t>
            </w:r>
            <w:proofErr w:type="spellEnd"/>
            <w:r w:rsidR="001159AC">
              <w:t xml:space="preserve"> </w:t>
            </w:r>
            <w:r w:rsidR="00D97DC8">
              <w:t>apmērā</w:t>
            </w:r>
            <w:r w:rsidR="004D090E">
              <w:t xml:space="preserve">, tikmēr par </w:t>
            </w:r>
            <w:r w:rsidR="004D090E" w:rsidRPr="000D17C0">
              <w:t xml:space="preserve">spridzināšanas darbu projekta, ja spridzināšanas darbi veicami derīgo izrakteņu ieguves vietās, </w:t>
            </w:r>
            <w:r w:rsidR="00C37C80">
              <w:t>izskatīšanu</w:t>
            </w:r>
            <w:r w:rsidR="00890004">
              <w:t xml:space="preserve"> maksājama</w:t>
            </w:r>
            <w:r w:rsidR="00DC74A2">
              <w:t xml:space="preserve"> </w:t>
            </w:r>
            <w:r w:rsidR="00890004">
              <w:t xml:space="preserve">nodeva </w:t>
            </w:r>
            <w:r w:rsidR="00C37C80">
              <w:t>71,15</w:t>
            </w:r>
            <w:r w:rsidR="00890004">
              <w:t> </w:t>
            </w:r>
            <w:proofErr w:type="spellStart"/>
            <w:r w:rsidR="00890004" w:rsidRPr="00CE77E0">
              <w:rPr>
                <w:i/>
                <w:iCs/>
              </w:rPr>
              <w:t>euro</w:t>
            </w:r>
            <w:proofErr w:type="spellEnd"/>
            <w:r w:rsidR="00890004">
              <w:t xml:space="preserve"> apmērā. </w:t>
            </w:r>
            <w:r w:rsidR="00482081" w:rsidRPr="00AF2A71">
              <w:t>Jaunais nodevas apmērs noteikts, pamatojoties uz VVD aprēķiniem par uzraudzības funkciju izpildi.</w:t>
            </w:r>
            <w:r w:rsidR="00482081">
              <w:t xml:space="preserve"> </w:t>
            </w:r>
            <w:r w:rsidR="002241F3">
              <w:t>VVD laikā no 2020. gada decembra līdz 2021. gada augustam veicis hronometrāžu, kuras laikā mērīja patērēto laiku</w:t>
            </w:r>
            <w:r w:rsidR="005B7835">
              <w:t xml:space="preserve"> (stundās)</w:t>
            </w:r>
            <w:r w:rsidR="002241F3">
              <w:t xml:space="preserve"> un </w:t>
            </w:r>
            <w:r w:rsidR="005B7835">
              <w:t xml:space="preserve">aprēķināja </w:t>
            </w:r>
            <w:r w:rsidR="002241F3">
              <w:t xml:space="preserve">izmaksas (ekspertīzes un inspekcijas) </w:t>
            </w:r>
            <w:r w:rsidR="002C62F7">
              <w:t xml:space="preserve">par </w:t>
            </w:r>
            <w:r w:rsidR="002C62F7" w:rsidRPr="000D17C0">
              <w:t xml:space="preserve">derīgo izrakteņu ieguves projekta un spridzināšanas darbu projekta, ja spridzināšanas darbi veicami derīgo izrakteņu ieguves vietās, </w:t>
            </w:r>
            <w:r w:rsidR="002C62F7">
              <w:t>izskatīšanu</w:t>
            </w:r>
            <w:r w:rsidR="002241F3">
              <w:t>.</w:t>
            </w:r>
            <w:r w:rsidR="005D6448">
              <w:t xml:space="preserve"> Tika secināts, ka</w:t>
            </w:r>
            <w:r w:rsidR="00B22058">
              <w:t xml:space="preserve"> par</w:t>
            </w:r>
            <w:r w:rsidR="005D6448">
              <w:t xml:space="preserve"> </w:t>
            </w:r>
            <w:r w:rsidR="00450D24" w:rsidRPr="000D17C0">
              <w:t>derīgo izrakteņu ieguves projekta</w:t>
            </w:r>
            <w:r w:rsidR="00450D24">
              <w:t xml:space="preserve"> izskatīšana</w:t>
            </w:r>
            <w:r w:rsidR="00B22058">
              <w:t xml:space="preserve"> valsts nodevas apmērs</w:t>
            </w:r>
            <w:r w:rsidR="00450D24">
              <w:t xml:space="preserve"> nosakāms līdzvērtīgā apmērā kā par zemes dzīļu izmantošanas licences derīgo izrakteņu ieguvei</w:t>
            </w:r>
            <w:r w:rsidR="002C62F7">
              <w:t xml:space="preserve"> </w:t>
            </w:r>
            <w:r w:rsidR="00B22058">
              <w:t xml:space="preserve">izsniegšanu. </w:t>
            </w:r>
            <w:r w:rsidR="00AD1455">
              <w:t>Vienlaikus</w:t>
            </w:r>
            <w:r w:rsidR="00741D5C">
              <w:t xml:space="preserve"> par</w:t>
            </w:r>
            <w:r w:rsidR="00AD1455">
              <w:t xml:space="preserve"> </w:t>
            </w:r>
            <w:r w:rsidR="00AD1455" w:rsidRPr="000D17C0">
              <w:t>spridzināšanas darbu projekta, ja spridzināšanas darbi veicami derīgo izrakteņu ieguves vietās</w:t>
            </w:r>
            <w:r w:rsidR="00AD1455">
              <w:t xml:space="preserve">, izskatīšanu valsts nodevas apmērs nosakāms </w:t>
            </w:r>
            <w:r w:rsidR="00741D5C">
              <w:t xml:space="preserve">līdzvērtīgā apmērā kā par zemes dzīļu izmantošanas licences ģeoloģiskajai izpētei izsniegšanu. </w:t>
            </w:r>
            <w:r w:rsidR="002C62F7">
              <w:t>Valsts n</w:t>
            </w:r>
            <w:r w:rsidR="00250BD1" w:rsidRPr="006159C6">
              <w:t>odev</w:t>
            </w:r>
            <w:r w:rsidR="0049716D">
              <w:t>as</w:t>
            </w:r>
            <w:r w:rsidR="00250BD1" w:rsidRPr="006159C6">
              <w:t xml:space="preserve"> apmēra palielinājums un ieņēmumi stiprinās </w:t>
            </w:r>
            <w:r w:rsidR="00947530">
              <w:t>zemes dzīļu izmantošanas</w:t>
            </w:r>
            <w:r w:rsidR="00834FA7">
              <w:t xml:space="preserve"> </w:t>
            </w:r>
            <w:r w:rsidR="00250BD1" w:rsidRPr="006159C6">
              <w:t>uzraudzības funkciju izpildi.</w:t>
            </w:r>
          </w:p>
          <w:p w14:paraId="5EE543AD" w14:textId="10A539DE" w:rsidR="006117FF" w:rsidRDefault="00250BD1" w:rsidP="00EC4536">
            <w:pPr>
              <w:pStyle w:val="BodyText"/>
              <w:spacing w:after="0" w:line="240" w:lineRule="auto"/>
              <w:jc w:val="both"/>
            </w:pPr>
            <w:r w:rsidRPr="00EC4536">
              <w:t xml:space="preserve">Lai </w:t>
            </w:r>
            <w:r w:rsidR="00303C73" w:rsidRPr="00EC4536">
              <w:t>precizētu nodevu maksāšanas kārtību, MKN </w:t>
            </w:r>
            <w:r w:rsidR="00F428C4">
              <w:t>1055</w:t>
            </w:r>
            <w:r w:rsidR="00303C73" w:rsidRPr="00EC4536">
              <w:t xml:space="preserve"> </w:t>
            </w:r>
            <w:r w:rsidR="00EB2D8A">
              <w:t>5</w:t>
            </w:r>
            <w:r w:rsidR="00303C73" w:rsidRPr="00EC4536">
              <w:t xml:space="preserve">. punkts </w:t>
            </w:r>
            <w:r w:rsidR="00447B2D">
              <w:t>ti</w:t>
            </w:r>
            <w:r w:rsidR="00BD7418">
              <w:t>ek izteikts jaunā redakcijā, paredzot</w:t>
            </w:r>
            <w:r w:rsidR="006117FF">
              <w:t>, ka</w:t>
            </w:r>
            <w:r w:rsidR="00BD7418">
              <w:t xml:space="preserve"> </w:t>
            </w:r>
            <w:r w:rsidR="006117FF">
              <w:t>v</w:t>
            </w:r>
            <w:r w:rsidR="006117FF" w:rsidRPr="00D7029F">
              <w:t xml:space="preserve">alsts </w:t>
            </w:r>
            <w:r w:rsidR="006117FF" w:rsidRPr="00D7029F">
              <w:lastRenderedPageBreak/>
              <w:t xml:space="preserve">nodevu </w:t>
            </w:r>
            <w:r w:rsidR="004B010C">
              <w:t xml:space="preserve">par </w:t>
            </w:r>
            <w:r w:rsidR="00F07D4A" w:rsidRPr="00F07D4A">
              <w:t xml:space="preserve">derīgo izrakteņu ieguves projekta izskatīšanu, spridzināšanas darbu projekta izskatīšanu, zemes dzīļu izmantošanas licences, bieži sastopamo derīgo izrakteņu ieguves atļaujas un atradnes pases </w:t>
            </w:r>
            <w:r w:rsidR="00035254">
              <w:t>iesnieguma izskatīšanu</w:t>
            </w:r>
            <w:r w:rsidR="00F07D4A" w:rsidRPr="00F07D4A">
              <w:t xml:space="preserve"> </w:t>
            </w:r>
            <w:r w:rsidR="006117FF" w:rsidRPr="00D7029F">
              <w:t>maksā pirms iesnieguma iesniegšanas</w:t>
            </w:r>
            <w:r w:rsidR="006117FF">
              <w:t>. Grozījumi</w:t>
            </w:r>
            <w:r w:rsidR="00774FEE">
              <w:t xml:space="preserve"> risinās</w:t>
            </w:r>
            <w:r w:rsidR="00A14A7B">
              <w:t xml:space="preserve"> problēmu ar valsts nodevas kavētu apmaksu. Šādā gadījumā </w:t>
            </w:r>
            <w:r w:rsidR="00774FEE" w:rsidRPr="00D7029F">
              <w:t xml:space="preserve">VVD darbiniekiem </w:t>
            </w:r>
            <w:r w:rsidR="00A14A7B">
              <w:t>vairs nebūs</w:t>
            </w:r>
            <w:r w:rsidR="00774FEE" w:rsidRPr="00D7029F">
              <w:t xml:space="preserve"> papildu slogs atgādināt iesniedzējam par nodevas apmaksu, kā arī</w:t>
            </w:r>
            <w:r w:rsidR="00A14A7B">
              <w:t xml:space="preserve"> vairs nebūs nepieciešams</w:t>
            </w:r>
            <w:r w:rsidR="00774FEE" w:rsidRPr="00D7029F">
              <w:t xml:space="preserve"> vairākkārt pārbaudīt vai nodevas maksājums ir veikts. </w:t>
            </w:r>
          </w:p>
          <w:p w14:paraId="7A7A2AFF" w14:textId="252A4B63" w:rsidR="003E5E1D" w:rsidRPr="005435C6" w:rsidRDefault="00146267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  <w:r>
              <w:t xml:space="preserve">Papildus </w:t>
            </w:r>
            <w:r w:rsidR="0059663E">
              <w:t>MKN </w:t>
            </w:r>
            <w:r w:rsidR="00890004">
              <w:t>1055</w:t>
            </w:r>
            <w:r w:rsidR="0059663E">
              <w:t xml:space="preserve"> </w:t>
            </w:r>
            <w:r w:rsidR="00890004">
              <w:t>5</w:t>
            </w:r>
            <w:r w:rsidR="00D904FE" w:rsidRPr="00E20701">
              <w:t>.</w:t>
            </w:r>
            <w:r w:rsidR="00FE0509">
              <w:t> punktā tiek paredzēta</w:t>
            </w:r>
            <w:r w:rsidR="005435C6">
              <w:t xml:space="preserve"> iespēja</w:t>
            </w:r>
            <w:r w:rsidR="000F45D9">
              <w:t xml:space="preserve"> </w:t>
            </w:r>
            <w:r w:rsidR="00092A6F">
              <w:t xml:space="preserve">nodevas </w:t>
            </w:r>
            <w:r w:rsidR="005435C6">
              <w:t xml:space="preserve">apmaksai </w:t>
            </w:r>
            <w:r w:rsidR="005435C6" w:rsidRPr="009350BC">
              <w:rPr>
                <w:szCs w:val="28"/>
              </w:rPr>
              <w:t>izmanto</w:t>
            </w:r>
            <w:r w:rsidR="005435C6">
              <w:rPr>
                <w:szCs w:val="28"/>
              </w:rPr>
              <w:t>t</w:t>
            </w:r>
            <w:r w:rsidR="005435C6" w:rsidRPr="009350BC">
              <w:rPr>
                <w:szCs w:val="28"/>
              </w:rPr>
              <w:t xml:space="preserve"> tiešsaistes maksājuma pakalpojumu </w:t>
            </w:r>
            <w:r w:rsidR="005B0260">
              <w:rPr>
                <w:szCs w:val="28"/>
              </w:rPr>
              <w:t>VVD</w:t>
            </w:r>
            <w:r w:rsidR="005435C6" w:rsidRPr="009350BC">
              <w:rPr>
                <w:szCs w:val="28"/>
              </w:rPr>
              <w:t xml:space="preserve"> informācijas sistēmā</w:t>
            </w:r>
            <w:r w:rsidR="005435C6">
              <w:t xml:space="preserve">. </w:t>
            </w:r>
            <w:r w:rsidR="00EC4536" w:rsidRPr="00EC4536">
              <w:t>Grozījumi optimizēs VVD materiālo un cilvēku resursu izmantošanu, akcentējot attālināto elektronisko pakalpojumu izmantošanu</w:t>
            </w:r>
            <w:r w:rsidR="00EA45B1">
              <w:t xml:space="preserve">, ievērojot to, ka </w:t>
            </w:r>
            <w:r w:rsidR="005B0260">
              <w:t>E</w:t>
            </w:r>
            <w:r w:rsidR="006C5B6A">
              <w:t>iropas Reģionālā attīstības fonda</w:t>
            </w:r>
            <w:r w:rsidR="005B0260">
              <w:t xml:space="preserve"> projekta </w:t>
            </w:r>
            <w:r w:rsidR="00EA45B1">
              <w:t>“</w:t>
            </w:r>
            <w:r w:rsidR="00EA45B1" w:rsidRPr="00D7029F">
              <w:t xml:space="preserve">Valsts vides dienesta informācijas sistēmas </w:t>
            </w:r>
            <w:r w:rsidR="00EA45B1">
              <w:t>“</w:t>
            </w:r>
            <w:r w:rsidR="00EA45B1" w:rsidRPr="00D7029F">
              <w:t>TULPE</w:t>
            </w:r>
            <w:r w:rsidR="00EA45B1">
              <w:t>”</w:t>
            </w:r>
            <w:r w:rsidR="00EA45B1" w:rsidRPr="00D7029F">
              <w:t xml:space="preserve"> pilnveide</w:t>
            </w:r>
            <w:r w:rsidR="00EA45B1">
              <w:t>”</w:t>
            </w:r>
            <w:r w:rsidR="00EA45B1" w:rsidRPr="00D7029F">
              <w:t xml:space="preserve"> ietvaros ir nodrošināta nodevu apmaksa</w:t>
            </w:r>
            <w:r w:rsidR="00854D6B">
              <w:t xml:space="preserve"> </w:t>
            </w:r>
            <w:r w:rsidR="00EA45B1" w:rsidRPr="00D7029F">
              <w:t xml:space="preserve">tiešsaistē VVD </w:t>
            </w:r>
            <w:r w:rsidR="00912024">
              <w:t>e</w:t>
            </w:r>
            <w:r w:rsidR="00EA45B1" w:rsidRPr="00D7029F">
              <w:t xml:space="preserve">-pakalpojumu portālā. 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lastRenderedPageBreak/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35708CCD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>, VVD.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Sabiedrības </w:t>
            </w:r>
            <w:proofErr w:type="spellStart"/>
            <w:r>
              <w:rPr>
                <w:sz w:val="24"/>
                <w:szCs w:val="24"/>
              </w:rPr>
              <w:t>mērķgrupas</w:t>
            </w:r>
            <w:proofErr w:type="spellEnd"/>
            <w:r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1B0C3ED8" w:rsidR="00450A8E" w:rsidRPr="002A3085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682BCD">
              <w:rPr>
                <w:sz w:val="24"/>
                <w:szCs w:val="24"/>
              </w:rPr>
              <w:t xml:space="preserve">Personas, kuras </w:t>
            </w:r>
            <w:r w:rsidR="007C4B2D" w:rsidRPr="00682BCD">
              <w:rPr>
                <w:sz w:val="24"/>
                <w:szCs w:val="24"/>
              </w:rPr>
              <w:t>vēl</w:t>
            </w:r>
            <w:r w:rsidR="0066346C" w:rsidRPr="00682BCD">
              <w:rPr>
                <w:sz w:val="24"/>
                <w:szCs w:val="24"/>
              </w:rPr>
              <w:t xml:space="preserve">as </w:t>
            </w:r>
            <w:r w:rsidR="002D1D50" w:rsidRPr="00682BCD">
              <w:rPr>
                <w:sz w:val="24"/>
                <w:szCs w:val="24"/>
              </w:rPr>
              <w:t>saskaņot derīgo izrakteņu ieguves vai spridzināšanas darbu projektu</w:t>
            </w:r>
            <w:r w:rsidR="00A83C75" w:rsidRPr="00682BCD">
              <w:rPr>
                <w:sz w:val="24"/>
                <w:szCs w:val="24"/>
              </w:rPr>
              <w:t>,</w:t>
            </w:r>
            <w:r w:rsidR="00A83C75">
              <w:rPr>
                <w:sz w:val="24"/>
                <w:szCs w:val="24"/>
              </w:rPr>
              <w:t xml:space="preserve"> VVD</w:t>
            </w:r>
            <w:r w:rsidR="009F4C47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E047B64" w14:textId="772E8A9A" w:rsidR="00896CCE" w:rsidRPr="00F13BC3" w:rsidRDefault="00C447BC" w:rsidP="00896CCE">
            <w:pPr>
              <w:jc w:val="both"/>
            </w:pPr>
            <w:r>
              <w:t>Noteikumu projektam</w:t>
            </w:r>
            <w:r w:rsidR="00896CCE" w:rsidRPr="00F13BC3">
              <w:t xml:space="preserve"> kopumā būs pozitīva ietekme uz vidi un cilvēku veselību, jo papildu ieņēmumi stiprinās vides uzraudzības funkciju izpildi. </w:t>
            </w:r>
          </w:p>
          <w:p w14:paraId="3CFE9414" w14:textId="734FD50C" w:rsidR="00896CCE" w:rsidRDefault="00C447BC" w:rsidP="00896CCE">
            <w:pPr>
              <w:jc w:val="both"/>
            </w:pPr>
            <w:r>
              <w:t>Noteikumu projektam</w:t>
            </w:r>
            <w:r w:rsidR="00896CCE" w:rsidRPr="00F13BC3">
              <w:t xml:space="preserve"> nav ietekmes uz</w:t>
            </w:r>
            <w:r w:rsidR="00896CCE">
              <w:t xml:space="preserve"> </w:t>
            </w:r>
            <w:r w:rsidR="00896CCE" w:rsidRPr="00F13BC3">
              <w:t xml:space="preserve">uzņēmējdarbības vidi, tai skaitā uz maziem, vidējiem uzņēmumiem, </w:t>
            </w:r>
            <w:proofErr w:type="spellStart"/>
            <w:r w:rsidR="00896CCE" w:rsidRPr="00F13BC3">
              <w:t>mikrouzņēmumiem</w:t>
            </w:r>
            <w:proofErr w:type="spellEnd"/>
            <w:r w:rsidR="00896CCE" w:rsidRPr="00F13BC3">
              <w:t xml:space="preserve"> un </w:t>
            </w:r>
            <w:proofErr w:type="spellStart"/>
            <w:r w:rsidR="00896CCE" w:rsidRPr="00F13BC3">
              <w:t>jaunuzņēmumiem</w:t>
            </w:r>
            <w:proofErr w:type="spellEnd"/>
            <w:r w:rsidR="00896CCE" w:rsidRPr="00F13BC3">
              <w:t xml:space="preserve">, konkurenci, nevalstiskajām organizācijām, Nacionālā attīstības plāna rādītājiem </w:t>
            </w:r>
            <w:proofErr w:type="spellStart"/>
            <w:r w:rsidR="00896CCE" w:rsidRPr="00F13BC3">
              <w:t>mikrolīmenī</w:t>
            </w:r>
            <w:proofErr w:type="spellEnd"/>
            <w:r w:rsidR="00896CCE" w:rsidRPr="00F13BC3">
              <w:t xml:space="preserve"> vai </w:t>
            </w:r>
            <w:proofErr w:type="spellStart"/>
            <w:r w:rsidR="00896CCE" w:rsidRPr="00F13BC3">
              <w:t>makrolīmenī</w:t>
            </w:r>
            <w:proofErr w:type="spellEnd"/>
            <w:r w:rsidR="00896CCE" w:rsidRPr="00F13BC3">
              <w:t>.</w:t>
            </w:r>
          </w:p>
          <w:p w14:paraId="0D839AB6" w14:textId="77777777" w:rsidR="00896CCE" w:rsidRDefault="00896CCE" w:rsidP="00896CCE">
            <w:pPr>
              <w:jc w:val="both"/>
            </w:pPr>
          </w:p>
          <w:p w14:paraId="0CD2EA9F" w14:textId="39328CAD" w:rsidR="00896CCE" w:rsidRDefault="00896CCE" w:rsidP="00896CCE">
            <w:pPr>
              <w:jc w:val="both"/>
            </w:pPr>
            <w:r>
              <w:t xml:space="preserve">Sabiedrības </w:t>
            </w:r>
            <w:proofErr w:type="spellStart"/>
            <w:r>
              <w:t>mērķgrupām</w:t>
            </w:r>
            <w:proofErr w:type="spellEnd"/>
            <w:r>
              <w:t xml:space="preserve"> un institūcijām </w:t>
            </w:r>
            <w:r w:rsidR="00C447BC">
              <w:t>Noteikumu projekta</w:t>
            </w:r>
            <w:r>
              <w:t xml:space="preserve"> tiesiskais regulējums nemaina tiesības un pienākumus, kā arī veicamās darbības.  </w:t>
            </w:r>
          </w:p>
          <w:p w14:paraId="2E258FB4" w14:textId="5FAF21B0" w:rsidR="00753FB1" w:rsidRPr="007B444D" w:rsidRDefault="00896CCE" w:rsidP="00896CCE">
            <w:pPr>
              <w:jc w:val="both"/>
            </w:pPr>
            <w:r>
              <w:t xml:space="preserve">Paredzams finansiālā sloga pieaugums personām, kuras </w:t>
            </w:r>
            <w:r w:rsidR="00682BCD" w:rsidRPr="00682BCD">
              <w:t>vēlas saskaņot derīgo izrakteņu ieguves vai spridzināšanas darbu projektu</w:t>
            </w:r>
            <w:r>
              <w:t xml:space="preserve">. Finansiālā sloga pieaugums personām, kuras vēlas saskaņot derīgo izrakteņu ieguves vai spridzināšanas darbu projektu, paredzams </w:t>
            </w:r>
            <w:r w:rsidR="003D5700" w:rsidRPr="003D5700">
              <w:rPr>
                <w:color w:val="000000"/>
              </w:rPr>
              <w:t xml:space="preserve">15 723 </w:t>
            </w:r>
            <w:proofErr w:type="spellStart"/>
            <w:r w:rsidRPr="003D5700">
              <w:rPr>
                <w:i/>
                <w:iCs/>
              </w:rPr>
              <w:t>euro</w:t>
            </w:r>
            <w:proofErr w:type="spellEnd"/>
            <w:r w:rsidRPr="003D5700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4F9DFA78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7A9EAE53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83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5"/>
        <w:gridCol w:w="925"/>
        <w:gridCol w:w="984"/>
        <w:gridCol w:w="985"/>
        <w:gridCol w:w="1125"/>
        <w:gridCol w:w="984"/>
        <w:gridCol w:w="1022"/>
        <w:gridCol w:w="1125"/>
      </w:tblGrid>
      <w:tr w:rsidR="00A00D1C" w:rsidRPr="003000B1" w14:paraId="4369AAB5" w14:textId="77777777" w:rsidTr="001813C5">
        <w:tc>
          <w:tcPr>
            <w:tcW w:w="9206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B96ED8">
              <w:rPr>
                <w:b/>
                <w:bCs/>
              </w:rPr>
              <w:t>III. Tiesību akta projekta ietekme uz valsts budžetu un pašvaldību budžetiem</w:t>
            </w:r>
          </w:p>
        </w:tc>
      </w:tr>
      <w:tr w:rsidR="00A00D1C" w:rsidRPr="003000B1" w14:paraId="796E81E1" w14:textId="77777777" w:rsidTr="001813C5">
        <w:tc>
          <w:tcPr>
            <w:tcW w:w="2056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1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proofErr w:type="spellStart"/>
            <w:r w:rsidRPr="003000B1">
              <w:rPr>
                <w:i/>
                <w:iCs/>
              </w:rPr>
              <w:t>euro</w:t>
            </w:r>
            <w:proofErr w:type="spellEnd"/>
            <w:r w:rsidRPr="003000B1">
              <w:t>)</w:t>
            </w:r>
          </w:p>
        </w:tc>
      </w:tr>
      <w:tr w:rsidR="00A00D1C" w:rsidRPr="003000B1" w14:paraId="32967198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3434B14D" w:rsidR="00A00D1C" w:rsidRPr="004E6AEE" w:rsidRDefault="004E6AEE" w:rsidP="007116AD">
            <w:pPr>
              <w:jc w:val="center"/>
              <w:rPr>
                <w:bCs/>
                <w:iCs/>
                <w:color w:val="000000"/>
              </w:rPr>
            </w:pPr>
            <w:r w:rsidRPr="004E6AEE">
              <w:t>86 690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3470A637" w:rsidR="00A00D1C" w:rsidRPr="0026730B" w:rsidRDefault="00D94A19" w:rsidP="007116AD">
            <w:pPr>
              <w:jc w:val="center"/>
            </w:pPr>
            <w:r w:rsidRPr="00D94A19">
              <w:rPr>
                <w:bCs/>
                <w:color w:val="000000"/>
              </w:rPr>
              <w:t>84 868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2F72E6D9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="003D5700">
              <w:t xml:space="preserve"> 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5310F0CD" w:rsidR="00A00D1C" w:rsidRPr="0026730B" w:rsidRDefault="00D94A19" w:rsidP="007116AD">
            <w:pPr>
              <w:jc w:val="center"/>
            </w:pPr>
            <w:r w:rsidRPr="00D94A19">
              <w:rPr>
                <w:bCs/>
                <w:color w:val="000000"/>
              </w:rPr>
              <w:t>82 990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2441228E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18847298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AA4C9F" w14:paraId="2982D78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1C4A57E8" w:rsidR="00A00D1C" w:rsidRPr="002C3FC3" w:rsidRDefault="00656AC7" w:rsidP="007116AD">
            <w:pPr>
              <w:jc w:val="center"/>
            </w:pPr>
            <w:r w:rsidRPr="004E6AEE">
              <w:t>86 690</w:t>
            </w:r>
          </w:p>
        </w:tc>
        <w:tc>
          <w:tcPr>
            <w:tcW w:w="984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11C77840" w:rsidR="00A00D1C" w:rsidRPr="007141F0" w:rsidRDefault="00656AC7" w:rsidP="007116AD">
            <w:pPr>
              <w:jc w:val="center"/>
              <w:rPr>
                <w:color w:val="000000"/>
              </w:rPr>
            </w:pPr>
            <w:r w:rsidRPr="00D94A19">
              <w:rPr>
                <w:bCs/>
                <w:color w:val="000000"/>
              </w:rPr>
              <w:t>84 868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6ACAD75F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420A779D" w:rsidR="00A00D1C" w:rsidRPr="007141F0" w:rsidRDefault="00656AC7" w:rsidP="007116AD">
            <w:pPr>
              <w:jc w:val="center"/>
              <w:rPr>
                <w:color w:val="000000"/>
              </w:rPr>
            </w:pPr>
            <w:r w:rsidRPr="00D94A19">
              <w:rPr>
                <w:bCs/>
                <w:color w:val="000000"/>
              </w:rPr>
              <w:t>82 990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07B4B21B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370330D4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3D5700"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230400" w14:paraId="6E3BA3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3D82D722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289AAEF5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16625033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8D6459" w14:paraId="6900CBCB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183AE783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0AF29B5A" w:rsidR="00A00D1C" w:rsidRPr="00AA4C9F" w:rsidRDefault="006623D1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07C798A3" w:rsidR="00A00D1C" w:rsidRPr="008D6459" w:rsidRDefault="006623D1" w:rsidP="007116AD">
            <w:pPr>
              <w:jc w:val="center"/>
              <w:rPr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8D6459" w14:paraId="28E1DA2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722FF96A" w:rsidR="00A00D1C" w:rsidRPr="008D6459" w:rsidRDefault="006623D1" w:rsidP="007116AD">
            <w:pPr>
              <w:jc w:val="center"/>
              <w:rPr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09BC1744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6CD7960F" w:rsidR="00A00D1C" w:rsidRPr="008D6459" w:rsidRDefault="00982072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8D6459" w14:paraId="77BA1C5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6B954CD1" w:rsidR="00A00D1C" w:rsidRPr="008D6459" w:rsidRDefault="006623D1" w:rsidP="007116AD">
            <w:pPr>
              <w:jc w:val="center"/>
              <w:rPr>
                <w:b/>
                <w:i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4F4C1A90" w:rsidR="00A00D1C" w:rsidRPr="00AA4C9F" w:rsidRDefault="00982072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D5700">
              <w:rPr>
                <w:b/>
                <w:bCs/>
                <w:i/>
              </w:rPr>
              <w:t>15 723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403A9053" w:rsidR="00A00D1C" w:rsidRPr="008D6459" w:rsidRDefault="00982072" w:rsidP="007116AD">
            <w:pPr>
              <w:jc w:val="center"/>
            </w:pPr>
            <w:r w:rsidRPr="003D5700">
              <w:rPr>
                <w:b/>
                <w:bCs/>
                <w:i/>
              </w:rPr>
              <w:t>15 723</w:t>
            </w:r>
          </w:p>
        </w:tc>
      </w:tr>
      <w:tr w:rsidR="00A00D1C" w:rsidRPr="008D6459" w14:paraId="3FAA9D2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6. Detalizēts ieņēmumu un izdevumu aprēķins (ja nepieciešams, detalizētu ieņēmumu un </w:t>
            </w:r>
            <w:r w:rsidRPr="00986385">
              <w:rPr>
                <w:sz w:val="20"/>
                <w:szCs w:val="20"/>
              </w:rPr>
              <w:lastRenderedPageBreak/>
              <w:t>izdevumu aprēķinu var pievienot anotācijas pielikumā)</w:t>
            </w:r>
          </w:p>
        </w:tc>
        <w:tc>
          <w:tcPr>
            <w:tcW w:w="7150" w:type="dxa"/>
            <w:gridSpan w:val="7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lastRenderedPageBreak/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7062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817"/>
              <w:gridCol w:w="1701"/>
              <w:gridCol w:w="1701"/>
              <w:gridCol w:w="1843"/>
            </w:tblGrid>
            <w:tr w:rsidR="00715CA2" w14:paraId="5B0BA987" w14:textId="77777777" w:rsidTr="00AB55C2">
              <w:tc>
                <w:tcPr>
                  <w:tcW w:w="1817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lastRenderedPageBreak/>
                    <w:t>Atļauja</w:t>
                  </w:r>
                </w:p>
              </w:tc>
              <w:tc>
                <w:tcPr>
                  <w:tcW w:w="1701" w:type="dxa"/>
                </w:tcPr>
                <w:p w14:paraId="28262F2E" w14:textId="069D6646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Nodevas apmērs,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</w:tr>
            <w:tr w:rsidR="00C030B6" w14:paraId="7A440E1D" w14:textId="77777777" w:rsidTr="00AB55C2">
              <w:tc>
                <w:tcPr>
                  <w:tcW w:w="1817" w:type="dxa"/>
                </w:tcPr>
                <w:p w14:paraId="69738B7D" w14:textId="7F7AD8DC" w:rsidR="00C030B6" w:rsidRDefault="00AB55C2" w:rsidP="00C030B6">
                  <w:pPr>
                    <w:ind w:right="57"/>
                    <w:jc w:val="both"/>
                  </w:pPr>
                  <w:r>
                    <w:t>Derīgo izrakteņu ieguves projekta saskaņošana</w:t>
                  </w:r>
                </w:p>
              </w:tc>
              <w:tc>
                <w:tcPr>
                  <w:tcW w:w="1701" w:type="dxa"/>
                  <w:vAlign w:val="center"/>
                </w:tcPr>
                <w:p w14:paraId="10BB2663" w14:textId="131E0783" w:rsidR="00C030B6" w:rsidRPr="00594C95" w:rsidRDefault="00982072" w:rsidP="00D65D36">
                  <w:pPr>
                    <w:ind w:right="57"/>
                    <w:jc w:val="center"/>
                  </w:pPr>
                  <w:r w:rsidRPr="00594C95">
                    <w:t>213,43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6BC4D9F" w14:textId="71AA7411" w:rsidR="00C030B6" w:rsidRPr="00EB08E3" w:rsidRDefault="0046129A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46129A">
                    <w:t>7</w:t>
                  </w:r>
                  <w:r w:rsidR="00982072"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672CC950" w:rsidR="00C030B6" w:rsidRPr="00EB08E3" w:rsidRDefault="001407CE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1407CE">
                    <w:rPr>
                      <w:color w:val="000000"/>
                    </w:rPr>
                    <w:t>15 154</w:t>
                  </w:r>
                </w:p>
              </w:tc>
            </w:tr>
            <w:tr w:rsidR="00DC6853" w14:paraId="486025BB" w14:textId="77777777" w:rsidTr="00AB55C2">
              <w:tc>
                <w:tcPr>
                  <w:tcW w:w="1817" w:type="dxa"/>
                </w:tcPr>
                <w:p w14:paraId="6F69EF41" w14:textId="03A0CB58" w:rsidR="00DC6853" w:rsidRDefault="00AB55C2" w:rsidP="00C030B6">
                  <w:pPr>
                    <w:ind w:right="57"/>
                    <w:jc w:val="both"/>
                  </w:pPr>
                  <w:r>
                    <w:t>Spridzināšanas darbu projekta saskaņošana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0C7CF6" w14:textId="6EAC16D6" w:rsidR="00DC6853" w:rsidRPr="00594C95" w:rsidRDefault="00982072" w:rsidP="00D65D36">
                  <w:pPr>
                    <w:ind w:right="57"/>
                    <w:jc w:val="center"/>
                  </w:pPr>
                  <w:r w:rsidRPr="00594C95">
                    <w:t>71,15</w:t>
                  </w:r>
                </w:p>
              </w:tc>
              <w:tc>
                <w:tcPr>
                  <w:tcW w:w="1701" w:type="dxa"/>
                  <w:vAlign w:val="center"/>
                </w:tcPr>
                <w:p w14:paraId="5022B605" w14:textId="4CCB6317" w:rsidR="00DC6853" w:rsidRPr="00EB08E3" w:rsidRDefault="00122157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122157">
                    <w:t>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ADB0B0" w14:textId="5CE6642B" w:rsidR="00DC6853" w:rsidRPr="00EB08E3" w:rsidRDefault="00594C95" w:rsidP="00D65D36">
                  <w:pPr>
                    <w:ind w:right="57"/>
                    <w:jc w:val="center"/>
                    <w:rPr>
                      <w:color w:val="000000"/>
                      <w:highlight w:val="yellow"/>
                    </w:rPr>
                  </w:pPr>
                  <w:r w:rsidRPr="00594C95">
                    <w:rPr>
                      <w:color w:val="000000"/>
                    </w:rPr>
                    <w:t>569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>
              <w:t xml:space="preserve">* Atbilstoši </w:t>
            </w:r>
            <w:r w:rsidR="00D340D0">
              <w:t xml:space="preserve">VVD statistikai </w:t>
            </w:r>
            <w:r w:rsidR="00495813">
              <w:t xml:space="preserve">par izsniegto dokumentu skaitu </w:t>
            </w:r>
            <w:r w:rsidR="00D340D0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lastRenderedPageBreak/>
              <w:t>6.1. detalizēts ieņēmumu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1813C5">
        <w:trPr>
          <w:trHeight w:val="604"/>
        </w:trPr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70247DEE" w:rsidR="00A00D1C" w:rsidRPr="00986385" w:rsidRDefault="00FE0E17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Noteikumu 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</w:tbl>
    <w:p w14:paraId="0163FE39" w14:textId="6E05CD9A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6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6277"/>
      </w:tblGrid>
      <w:tr w:rsidR="00173780" w:rsidRPr="00E52453" w14:paraId="0439FF9A" w14:textId="77777777" w:rsidTr="006E0DC0">
        <w:tc>
          <w:tcPr>
            <w:tcW w:w="935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79927FB3" w14:textId="77777777" w:rsidR="00173780" w:rsidRPr="00E52453" w:rsidRDefault="00173780" w:rsidP="004473BF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t>IV. Tiesību akta projekta ietekme uz spēkā esošo tiesību normu sistēmu</w:t>
            </w:r>
          </w:p>
        </w:tc>
      </w:tr>
      <w:tr w:rsidR="00173780" w:rsidRPr="00E52453" w14:paraId="06914C1A" w14:textId="77777777" w:rsidTr="006E0DC0">
        <w:tc>
          <w:tcPr>
            <w:tcW w:w="3081" w:type="dxa"/>
            <w:shd w:val="clear" w:color="auto" w:fill="auto"/>
            <w:hideMark/>
          </w:tcPr>
          <w:p w14:paraId="400F56F1" w14:textId="77777777" w:rsidR="00173780" w:rsidRPr="00E52453" w:rsidRDefault="00173780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6278" w:type="dxa"/>
            <w:shd w:val="clear" w:color="auto" w:fill="auto"/>
            <w:hideMark/>
          </w:tcPr>
          <w:p w14:paraId="27872488" w14:textId="5371EB14" w:rsidR="00173780" w:rsidRPr="00E52453" w:rsidRDefault="00173780" w:rsidP="004473BF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>
              <w:rPr>
                <w:rFonts w:eastAsia="Calibri"/>
                <w:iCs/>
              </w:rPr>
              <w:t xml:space="preserve">Noteikumu projekts virzāms vienlaicīgi ar </w:t>
            </w:r>
            <w:r w:rsidR="00162AB8">
              <w:rPr>
                <w:rFonts w:eastAsia="Calibri"/>
                <w:iCs/>
              </w:rPr>
              <w:t xml:space="preserve">grozījumiem likumā “Par zemes dzīlēm” un </w:t>
            </w:r>
            <w:r w:rsidR="00162AB8" w:rsidRPr="004D3CA3">
              <w:t>Civilām vajadzībām pared</w:t>
            </w:r>
            <w:r w:rsidR="00162AB8">
              <w:t>zētu sprāgstvielu aprites likum</w:t>
            </w:r>
            <w:r w:rsidR="006E0DC0">
              <w:t xml:space="preserve">ā. </w:t>
            </w:r>
            <w:bookmarkEnd w:id="0"/>
            <w:bookmarkEnd w:id="1"/>
          </w:p>
        </w:tc>
      </w:tr>
      <w:tr w:rsidR="00173780" w:rsidRPr="00E52453" w14:paraId="3754D751" w14:textId="77777777" w:rsidTr="006E0DC0">
        <w:tc>
          <w:tcPr>
            <w:tcW w:w="3081" w:type="dxa"/>
            <w:shd w:val="clear" w:color="auto" w:fill="auto"/>
            <w:hideMark/>
          </w:tcPr>
          <w:p w14:paraId="0F213AFE" w14:textId="77777777" w:rsidR="00173780" w:rsidRPr="00E52453" w:rsidRDefault="00173780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6278" w:type="dxa"/>
            <w:shd w:val="clear" w:color="auto" w:fill="auto"/>
            <w:hideMark/>
          </w:tcPr>
          <w:p w14:paraId="08E0E8EF" w14:textId="77777777" w:rsidR="00173780" w:rsidRPr="00E52453" w:rsidRDefault="00173780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173780" w:rsidRPr="00E52453" w14:paraId="0EBA6EEA" w14:textId="77777777" w:rsidTr="006E0DC0">
        <w:tc>
          <w:tcPr>
            <w:tcW w:w="3081" w:type="dxa"/>
            <w:shd w:val="clear" w:color="auto" w:fill="auto"/>
            <w:hideMark/>
          </w:tcPr>
          <w:p w14:paraId="4CD504A2" w14:textId="77777777" w:rsidR="00173780" w:rsidRPr="00E52453" w:rsidRDefault="00173780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6278" w:type="dxa"/>
            <w:shd w:val="clear" w:color="auto" w:fill="auto"/>
            <w:hideMark/>
          </w:tcPr>
          <w:p w14:paraId="231F9C43" w14:textId="77777777" w:rsidR="00173780" w:rsidRPr="00E52453" w:rsidRDefault="00173780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1D083F72" w14:textId="77777777" w:rsidR="00173780" w:rsidRDefault="00173780" w:rsidP="006E0DC0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77777777" w:rsidR="00AF6AA3" w:rsidRDefault="00CB1675">
            <w:pPr>
              <w:jc w:val="center"/>
            </w:pPr>
            <w:r>
              <w:t>Noteikumu 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77777777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>akstiski sniedzot viedokli par N</w:t>
            </w:r>
            <w:r w:rsidRPr="00BA7E9C">
              <w:t>oteikumu 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518EADC1" w:rsidR="00332537" w:rsidRDefault="00332537" w:rsidP="001D21AF">
            <w:pPr>
              <w:jc w:val="both"/>
            </w:pPr>
            <w:r w:rsidRPr="00BA7E9C">
              <w:t>Noteikumu projekts 20</w:t>
            </w:r>
            <w:r w:rsidR="00450A8E">
              <w:t>21</w:t>
            </w:r>
            <w:r w:rsidRPr="00BA7E9C">
              <w:t>.</w:t>
            </w:r>
            <w:r w:rsidR="00F52D5F">
              <w:t> </w:t>
            </w:r>
            <w:r w:rsidRPr="00ED66FF">
              <w:t xml:space="preserve">gada </w:t>
            </w:r>
            <w:r w:rsidR="006354FD">
              <w:t>2. </w:t>
            </w:r>
            <w:r w:rsidR="00C745ED">
              <w:t>septembrī</w:t>
            </w:r>
            <w:r w:rsidRPr="00ED66FF">
              <w:t xml:space="preserve"> </w:t>
            </w:r>
            <w:r>
              <w:t>publicēts VARAM</w:t>
            </w:r>
            <w:r w:rsidRPr="00BA7E9C">
              <w:t xml:space="preserve"> tīmekļvietnē </w:t>
            </w:r>
            <w:hyperlink r:id="rId8" w:history="1">
              <w:r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Pr="00E34C8A">
              <w:t xml:space="preserve">, </w:t>
            </w:r>
            <w:r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lastRenderedPageBreak/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D383" w14:textId="48F7EF91" w:rsidR="00AF6AA3" w:rsidRDefault="006F1CCB" w:rsidP="0058352B">
            <w:pPr>
              <w:jc w:val="both"/>
            </w:pPr>
            <w:r w:rsidRPr="006F1CCB">
              <w:t>Noteikumu projekts šo jomu neskar.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</w:t>
      </w:r>
      <w:proofErr w:type="spellStart"/>
      <w:r>
        <w:t>Plešs</w:t>
      </w:r>
      <w:proofErr w:type="spellEnd"/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B8086" w14:textId="77777777" w:rsidR="006B1197" w:rsidRDefault="006B1197">
      <w:r>
        <w:separator/>
      </w:r>
    </w:p>
  </w:endnote>
  <w:endnote w:type="continuationSeparator" w:id="0">
    <w:p w14:paraId="3755CBC6" w14:textId="77777777" w:rsidR="006B1197" w:rsidRDefault="006B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1A17C27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7E66B4">
      <w:rPr>
        <w:sz w:val="20"/>
        <w:szCs w:val="20"/>
      </w:rPr>
      <w:t>1108</w:t>
    </w:r>
    <w:r w:rsidR="00D8717B">
      <w:rPr>
        <w:sz w:val="20"/>
        <w:szCs w:val="20"/>
      </w:rPr>
      <w:t>2</w:t>
    </w:r>
    <w:r w:rsidR="004E3AE1">
      <w:rPr>
        <w:sz w:val="20"/>
        <w:szCs w:val="20"/>
      </w:rPr>
      <w:t>1</w:t>
    </w:r>
    <w:r>
      <w:rPr>
        <w:sz w:val="20"/>
        <w:szCs w:val="20"/>
      </w:rPr>
      <w:t>_</w:t>
    </w:r>
    <w:r w:rsidR="00BA58C7">
      <w:rPr>
        <w:sz w:val="20"/>
        <w:szCs w:val="20"/>
      </w:rPr>
      <w:t>mk</w:t>
    </w:r>
    <w:r w:rsidR="00B146E3">
      <w:rPr>
        <w:sz w:val="20"/>
        <w:szCs w:val="20"/>
      </w:rPr>
      <w:t>1055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5F3A2E5F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7E66B4">
      <w:rPr>
        <w:sz w:val="20"/>
        <w:szCs w:val="20"/>
      </w:rPr>
      <w:t>1108</w:t>
    </w:r>
    <w:r w:rsidR="004E3AE1">
      <w:rPr>
        <w:sz w:val="20"/>
        <w:szCs w:val="20"/>
      </w:rPr>
      <w:t>21</w:t>
    </w:r>
    <w:r w:rsidR="002A3085"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B146E3">
      <w:rPr>
        <w:sz w:val="20"/>
        <w:szCs w:val="20"/>
      </w:rPr>
      <w:t>1055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6C07B" w14:textId="77777777" w:rsidR="006B1197" w:rsidRDefault="006B1197">
      <w:r>
        <w:separator/>
      </w:r>
    </w:p>
  </w:footnote>
  <w:footnote w:type="continuationSeparator" w:id="0">
    <w:p w14:paraId="789D9DAA" w14:textId="77777777" w:rsidR="006B1197" w:rsidRDefault="006B1197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86532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06F64"/>
    <w:multiLevelType w:val="hybridMultilevel"/>
    <w:tmpl w:val="35B608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64B6"/>
    <w:rsid w:val="00011CED"/>
    <w:rsid w:val="00015FFD"/>
    <w:rsid w:val="00016FDA"/>
    <w:rsid w:val="00022734"/>
    <w:rsid w:val="00035254"/>
    <w:rsid w:val="00040507"/>
    <w:rsid w:val="00056798"/>
    <w:rsid w:val="000645A8"/>
    <w:rsid w:val="00066EC2"/>
    <w:rsid w:val="00067E56"/>
    <w:rsid w:val="00070EC7"/>
    <w:rsid w:val="0007104D"/>
    <w:rsid w:val="00072DB3"/>
    <w:rsid w:val="00074EF6"/>
    <w:rsid w:val="00075916"/>
    <w:rsid w:val="00076C98"/>
    <w:rsid w:val="00076EF6"/>
    <w:rsid w:val="00083264"/>
    <w:rsid w:val="00085EDC"/>
    <w:rsid w:val="000901BC"/>
    <w:rsid w:val="00090627"/>
    <w:rsid w:val="00092A6F"/>
    <w:rsid w:val="000C66E7"/>
    <w:rsid w:val="000D17C0"/>
    <w:rsid w:val="000E4111"/>
    <w:rsid w:val="000E599F"/>
    <w:rsid w:val="000F05B5"/>
    <w:rsid w:val="000F0870"/>
    <w:rsid w:val="000F135A"/>
    <w:rsid w:val="000F45D9"/>
    <w:rsid w:val="000F57E8"/>
    <w:rsid w:val="000F7310"/>
    <w:rsid w:val="001024BA"/>
    <w:rsid w:val="00113A3E"/>
    <w:rsid w:val="001159AC"/>
    <w:rsid w:val="00122157"/>
    <w:rsid w:val="0012532F"/>
    <w:rsid w:val="00126982"/>
    <w:rsid w:val="00126D0F"/>
    <w:rsid w:val="001407CE"/>
    <w:rsid w:val="001410C1"/>
    <w:rsid w:val="00146267"/>
    <w:rsid w:val="00146F38"/>
    <w:rsid w:val="00153542"/>
    <w:rsid w:val="001537FE"/>
    <w:rsid w:val="0015389D"/>
    <w:rsid w:val="00154438"/>
    <w:rsid w:val="00162AB8"/>
    <w:rsid w:val="001655DF"/>
    <w:rsid w:val="00165C6E"/>
    <w:rsid w:val="001665F2"/>
    <w:rsid w:val="00173780"/>
    <w:rsid w:val="001769D7"/>
    <w:rsid w:val="00176F44"/>
    <w:rsid w:val="001813C5"/>
    <w:rsid w:val="001820CC"/>
    <w:rsid w:val="00183DBF"/>
    <w:rsid w:val="0018755B"/>
    <w:rsid w:val="00187591"/>
    <w:rsid w:val="001902DE"/>
    <w:rsid w:val="001939AA"/>
    <w:rsid w:val="001A7DC2"/>
    <w:rsid w:val="001B179A"/>
    <w:rsid w:val="001B6461"/>
    <w:rsid w:val="001C55F5"/>
    <w:rsid w:val="001D21AF"/>
    <w:rsid w:val="001D53B3"/>
    <w:rsid w:val="001D5684"/>
    <w:rsid w:val="001D7DFA"/>
    <w:rsid w:val="001E5BC0"/>
    <w:rsid w:val="001F1CE0"/>
    <w:rsid w:val="001F5FC4"/>
    <w:rsid w:val="001F6B32"/>
    <w:rsid w:val="00205D23"/>
    <w:rsid w:val="00214260"/>
    <w:rsid w:val="0022163A"/>
    <w:rsid w:val="0022250E"/>
    <w:rsid w:val="002241F3"/>
    <w:rsid w:val="0022715C"/>
    <w:rsid w:val="0022764D"/>
    <w:rsid w:val="00234CE1"/>
    <w:rsid w:val="002350C6"/>
    <w:rsid w:val="00235809"/>
    <w:rsid w:val="00245DA7"/>
    <w:rsid w:val="00247E1F"/>
    <w:rsid w:val="00250BD1"/>
    <w:rsid w:val="00251D5F"/>
    <w:rsid w:val="0025305A"/>
    <w:rsid w:val="002551DC"/>
    <w:rsid w:val="00255CA8"/>
    <w:rsid w:val="00262117"/>
    <w:rsid w:val="00270334"/>
    <w:rsid w:val="002749BA"/>
    <w:rsid w:val="00285A63"/>
    <w:rsid w:val="002A08C2"/>
    <w:rsid w:val="002A3085"/>
    <w:rsid w:val="002B3E3B"/>
    <w:rsid w:val="002B4681"/>
    <w:rsid w:val="002C5B76"/>
    <w:rsid w:val="002C62F7"/>
    <w:rsid w:val="002D1D50"/>
    <w:rsid w:val="002E302C"/>
    <w:rsid w:val="002E32EE"/>
    <w:rsid w:val="002F2007"/>
    <w:rsid w:val="002F2CC7"/>
    <w:rsid w:val="002F42CF"/>
    <w:rsid w:val="00303C73"/>
    <w:rsid w:val="0030632D"/>
    <w:rsid w:val="003071AA"/>
    <w:rsid w:val="00313FA2"/>
    <w:rsid w:val="0031579F"/>
    <w:rsid w:val="00317E74"/>
    <w:rsid w:val="00317F86"/>
    <w:rsid w:val="00321A19"/>
    <w:rsid w:val="003241A6"/>
    <w:rsid w:val="0033034E"/>
    <w:rsid w:val="00332537"/>
    <w:rsid w:val="00337ADC"/>
    <w:rsid w:val="00346EF4"/>
    <w:rsid w:val="00354F21"/>
    <w:rsid w:val="003625D1"/>
    <w:rsid w:val="0036478C"/>
    <w:rsid w:val="00365B32"/>
    <w:rsid w:val="00370791"/>
    <w:rsid w:val="0038567B"/>
    <w:rsid w:val="00390BA1"/>
    <w:rsid w:val="00390E59"/>
    <w:rsid w:val="00393A2E"/>
    <w:rsid w:val="00393B23"/>
    <w:rsid w:val="003A1940"/>
    <w:rsid w:val="003A6D8D"/>
    <w:rsid w:val="003B19D4"/>
    <w:rsid w:val="003C1069"/>
    <w:rsid w:val="003C39DF"/>
    <w:rsid w:val="003C73E5"/>
    <w:rsid w:val="003D0493"/>
    <w:rsid w:val="003D0F18"/>
    <w:rsid w:val="003D170C"/>
    <w:rsid w:val="003D51F8"/>
    <w:rsid w:val="003D5700"/>
    <w:rsid w:val="003E3E63"/>
    <w:rsid w:val="003E5E1D"/>
    <w:rsid w:val="00400033"/>
    <w:rsid w:val="00402AEB"/>
    <w:rsid w:val="00404BC3"/>
    <w:rsid w:val="00407ADD"/>
    <w:rsid w:val="00414594"/>
    <w:rsid w:val="00415B5E"/>
    <w:rsid w:val="00434772"/>
    <w:rsid w:val="00440B39"/>
    <w:rsid w:val="004411B2"/>
    <w:rsid w:val="00443C32"/>
    <w:rsid w:val="0044730E"/>
    <w:rsid w:val="00447B2D"/>
    <w:rsid w:val="00450A8E"/>
    <w:rsid w:val="00450D24"/>
    <w:rsid w:val="00451272"/>
    <w:rsid w:val="0046101C"/>
    <w:rsid w:val="0046129A"/>
    <w:rsid w:val="00466E35"/>
    <w:rsid w:val="00475A9F"/>
    <w:rsid w:val="00475E3F"/>
    <w:rsid w:val="00482081"/>
    <w:rsid w:val="004837A9"/>
    <w:rsid w:val="004955CF"/>
    <w:rsid w:val="00495813"/>
    <w:rsid w:val="0049716D"/>
    <w:rsid w:val="004A2FD2"/>
    <w:rsid w:val="004A540C"/>
    <w:rsid w:val="004A7396"/>
    <w:rsid w:val="004B010C"/>
    <w:rsid w:val="004B2D4C"/>
    <w:rsid w:val="004B3AE5"/>
    <w:rsid w:val="004C3EE2"/>
    <w:rsid w:val="004D090E"/>
    <w:rsid w:val="004D2543"/>
    <w:rsid w:val="004D3B09"/>
    <w:rsid w:val="004D3CA3"/>
    <w:rsid w:val="004D46F9"/>
    <w:rsid w:val="004E3AE1"/>
    <w:rsid w:val="004E6193"/>
    <w:rsid w:val="004E6AEE"/>
    <w:rsid w:val="004F0921"/>
    <w:rsid w:val="004F1D68"/>
    <w:rsid w:val="004F1DC0"/>
    <w:rsid w:val="004F3654"/>
    <w:rsid w:val="004F5F5A"/>
    <w:rsid w:val="0050025E"/>
    <w:rsid w:val="005022A0"/>
    <w:rsid w:val="00503EF8"/>
    <w:rsid w:val="00506BFD"/>
    <w:rsid w:val="00521008"/>
    <w:rsid w:val="00524549"/>
    <w:rsid w:val="005309DC"/>
    <w:rsid w:val="005344C1"/>
    <w:rsid w:val="005435C6"/>
    <w:rsid w:val="0054648A"/>
    <w:rsid w:val="00552627"/>
    <w:rsid w:val="00555C89"/>
    <w:rsid w:val="005571ED"/>
    <w:rsid w:val="005600DC"/>
    <w:rsid w:val="005721A2"/>
    <w:rsid w:val="00572E50"/>
    <w:rsid w:val="0058352B"/>
    <w:rsid w:val="00584E76"/>
    <w:rsid w:val="005942EF"/>
    <w:rsid w:val="0059478E"/>
    <w:rsid w:val="00594C95"/>
    <w:rsid w:val="0059663E"/>
    <w:rsid w:val="005A2B9E"/>
    <w:rsid w:val="005A6F49"/>
    <w:rsid w:val="005B0260"/>
    <w:rsid w:val="005B30A8"/>
    <w:rsid w:val="005B7835"/>
    <w:rsid w:val="005C5586"/>
    <w:rsid w:val="005D08CD"/>
    <w:rsid w:val="005D6448"/>
    <w:rsid w:val="005D6BFB"/>
    <w:rsid w:val="005E1538"/>
    <w:rsid w:val="005E3256"/>
    <w:rsid w:val="005F0866"/>
    <w:rsid w:val="005F322A"/>
    <w:rsid w:val="005F3C29"/>
    <w:rsid w:val="005F5EBC"/>
    <w:rsid w:val="0060737D"/>
    <w:rsid w:val="00607EF0"/>
    <w:rsid w:val="006117FF"/>
    <w:rsid w:val="00612285"/>
    <w:rsid w:val="006159C6"/>
    <w:rsid w:val="006228D2"/>
    <w:rsid w:val="00633312"/>
    <w:rsid w:val="00633BE9"/>
    <w:rsid w:val="006354FD"/>
    <w:rsid w:val="00645A10"/>
    <w:rsid w:val="00654EAC"/>
    <w:rsid w:val="00656AC7"/>
    <w:rsid w:val="00661D50"/>
    <w:rsid w:val="00661D57"/>
    <w:rsid w:val="006623D1"/>
    <w:rsid w:val="0066346C"/>
    <w:rsid w:val="0067117A"/>
    <w:rsid w:val="00671D1C"/>
    <w:rsid w:val="00672872"/>
    <w:rsid w:val="0068288C"/>
    <w:rsid w:val="00682BCD"/>
    <w:rsid w:val="006862CA"/>
    <w:rsid w:val="00686542"/>
    <w:rsid w:val="006917F6"/>
    <w:rsid w:val="00692DAF"/>
    <w:rsid w:val="00694E40"/>
    <w:rsid w:val="00696A12"/>
    <w:rsid w:val="006A1179"/>
    <w:rsid w:val="006A6257"/>
    <w:rsid w:val="006B1197"/>
    <w:rsid w:val="006B4EF6"/>
    <w:rsid w:val="006B54EB"/>
    <w:rsid w:val="006B6653"/>
    <w:rsid w:val="006C5B6A"/>
    <w:rsid w:val="006E0DC0"/>
    <w:rsid w:val="006E102C"/>
    <w:rsid w:val="006E2C33"/>
    <w:rsid w:val="006E55D1"/>
    <w:rsid w:val="006F1CCB"/>
    <w:rsid w:val="006F5A67"/>
    <w:rsid w:val="00704F19"/>
    <w:rsid w:val="0070796D"/>
    <w:rsid w:val="00715CA2"/>
    <w:rsid w:val="007207FC"/>
    <w:rsid w:val="00725AC4"/>
    <w:rsid w:val="00732FCE"/>
    <w:rsid w:val="00734798"/>
    <w:rsid w:val="00736B98"/>
    <w:rsid w:val="00741D5C"/>
    <w:rsid w:val="00743078"/>
    <w:rsid w:val="00750FC7"/>
    <w:rsid w:val="00753A97"/>
    <w:rsid w:val="00753FB1"/>
    <w:rsid w:val="00754A71"/>
    <w:rsid w:val="007553AB"/>
    <w:rsid w:val="00761B1A"/>
    <w:rsid w:val="00762A4F"/>
    <w:rsid w:val="00767F03"/>
    <w:rsid w:val="00772BCD"/>
    <w:rsid w:val="00774FEE"/>
    <w:rsid w:val="0078503E"/>
    <w:rsid w:val="00786532"/>
    <w:rsid w:val="00787551"/>
    <w:rsid w:val="007A1E60"/>
    <w:rsid w:val="007A663A"/>
    <w:rsid w:val="007A7617"/>
    <w:rsid w:val="007B444D"/>
    <w:rsid w:val="007B50C4"/>
    <w:rsid w:val="007C1951"/>
    <w:rsid w:val="007C4B2D"/>
    <w:rsid w:val="007E0CB5"/>
    <w:rsid w:val="007E66B4"/>
    <w:rsid w:val="007E712B"/>
    <w:rsid w:val="007F1CE6"/>
    <w:rsid w:val="00800874"/>
    <w:rsid w:val="008017CA"/>
    <w:rsid w:val="008045B9"/>
    <w:rsid w:val="00810C9B"/>
    <w:rsid w:val="00814353"/>
    <w:rsid w:val="008221D3"/>
    <w:rsid w:val="00834FA7"/>
    <w:rsid w:val="0084411A"/>
    <w:rsid w:val="0085175D"/>
    <w:rsid w:val="00854D6B"/>
    <w:rsid w:val="008603EC"/>
    <w:rsid w:val="0087645D"/>
    <w:rsid w:val="008845BB"/>
    <w:rsid w:val="00890004"/>
    <w:rsid w:val="00890189"/>
    <w:rsid w:val="00896B7E"/>
    <w:rsid w:val="00896CCE"/>
    <w:rsid w:val="008A6B56"/>
    <w:rsid w:val="008B5685"/>
    <w:rsid w:val="008B6B32"/>
    <w:rsid w:val="008C2C9D"/>
    <w:rsid w:val="008D2B33"/>
    <w:rsid w:val="008F06E4"/>
    <w:rsid w:val="008F102C"/>
    <w:rsid w:val="008F4D63"/>
    <w:rsid w:val="00900F45"/>
    <w:rsid w:val="00902BC8"/>
    <w:rsid w:val="00912024"/>
    <w:rsid w:val="009163F6"/>
    <w:rsid w:val="009172AE"/>
    <w:rsid w:val="009204F5"/>
    <w:rsid w:val="009274E9"/>
    <w:rsid w:val="0093351E"/>
    <w:rsid w:val="00934B0A"/>
    <w:rsid w:val="00941D27"/>
    <w:rsid w:val="00943EBB"/>
    <w:rsid w:val="00947530"/>
    <w:rsid w:val="00955823"/>
    <w:rsid w:val="00961652"/>
    <w:rsid w:val="0097082F"/>
    <w:rsid w:val="009727BA"/>
    <w:rsid w:val="009739FF"/>
    <w:rsid w:val="009764DC"/>
    <w:rsid w:val="00976F35"/>
    <w:rsid w:val="00977AFD"/>
    <w:rsid w:val="00982072"/>
    <w:rsid w:val="009853DE"/>
    <w:rsid w:val="00991A9D"/>
    <w:rsid w:val="00991CBE"/>
    <w:rsid w:val="009950C4"/>
    <w:rsid w:val="0099522E"/>
    <w:rsid w:val="009A17AA"/>
    <w:rsid w:val="009A36EA"/>
    <w:rsid w:val="009A3C0B"/>
    <w:rsid w:val="009A6005"/>
    <w:rsid w:val="009B3E36"/>
    <w:rsid w:val="009D4659"/>
    <w:rsid w:val="009D644D"/>
    <w:rsid w:val="009F4C47"/>
    <w:rsid w:val="00A00D1C"/>
    <w:rsid w:val="00A02861"/>
    <w:rsid w:val="00A12262"/>
    <w:rsid w:val="00A12DE9"/>
    <w:rsid w:val="00A14A7B"/>
    <w:rsid w:val="00A21BC5"/>
    <w:rsid w:val="00A24FF6"/>
    <w:rsid w:val="00A33FF1"/>
    <w:rsid w:val="00A34500"/>
    <w:rsid w:val="00A4169E"/>
    <w:rsid w:val="00A453AC"/>
    <w:rsid w:val="00A47496"/>
    <w:rsid w:val="00A552A7"/>
    <w:rsid w:val="00A6485D"/>
    <w:rsid w:val="00A67835"/>
    <w:rsid w:val="00A83C75"/>
    <w:rsid w:val="00A85DD7"/>
    <w:rsid w:val="00A97B0F"/>
    <w:rsid w:val="00AA59ED"/>
    <w:rsid w:val="00AB5536"/>
    <w:rsid w:val="00AB55C2"/>
    <w:rsid w:val="00AC0A60"/>
    <w:rsid w:val="00AD1455"/>
    <w:rsid w:val="00AD19FD"/>
    <w:rsid w:val="00AD440D"/>
    <w:rsid w:val="00AE07C5"/>
    <w:rsid w:val="00AE7CF3"/>
    <w:rsid w:val="00AF2A71"/>
    <w:rsid w:val="00AF5AED"/>
    <w:rsid w:val="00AF6AA3"/>
    <w:rsid w:val="00AF7A43"/>
    <w:rsid w:val="00B00C83"/>
    <w:rsid w:val="00B10651"/>
    <w:rsid w:val="00B12466"/>
    <w:rsid w:val="00B146E3"/>
    <w:rsid w:val="00B15250"/>
    <w:rsid w:val="00B17617"/>
    <w:rsid w:val="00B21CCF"/>
    <w:rsid w:val="00B22058"/>
    <w:rsid w:val="00B227CD"/>
    <w:rsid w:val="00B30B57"/>
    <w:rsid w:val="00B366CE"/>
    <w:rsid w:val="00B37C0E"/>
    <w:rsid w:val="00B552AA"/>
    <w:rsid w:val="00B55383"/>
    <w:rsid w:val="00B55603"/>
    <w:rsid w:val="00B607E6"/>
    <w:rsid w:val="00B62F5B"/>
    <w:rsid w:val="00B65BF4"/>
    <w:rsid w:val="00B66D3D"/>
    <w:rsid w:val="00B72EC6"/>
    <w:rsid w:val="00B76B7F"/>
    <w:rsid w:val="00B86DD4"/>
    <w:rsid w:val="00B96ED8"/>
    <w:rsid w:val="00B97388"/>
    <w:rsid w:val="00B97BB3"/>
    <w:rsid w:val="00BA58C7"/>
    <w:rsid w:val="00BC006B"/>
    <w:rsid w:val="00BC3419"/>
    <w:rsid w:val="00BD7418"/>
    <w:rsid w:val="00BE1D01"/>
    <w:rsid w:val="00BF4E97"/>
    <w:rsid w:val="00BF7EEF"/>
    <w:rsid w:val="00C02BA9"/>
    <w:rsid w:val="00C030B6"/>
    <w:rsid w:val="00C07828"/>
    <w:rsid w:val="00C1255B"/>
    <w:rsid w:val="00C16914"/>
    <w:rsid w:val="00C20132"/>
    <w:rsid w:val="00C22714"/>
    <w:rsid w:val="00C2647B"/>
    <w:rsid w:val="00C31660"/>
    <w:rsid w:val="00C32B28"/>
    <w:rsid w:val="00C3343A"/>
    <w:rsid w:val="00C37C80"/>
    <w:rsid w:val="00C41D02"/>
    <w:rsid w:val="00C447BC"/>
    <w:rsid w:val="00C47F47"/>
    <w:rsid w:val="00C71BDC"/>
    <w:rsid w:val="00C7230B"/>
    <w:rsid w:val="00C745ED"/>
    <w:rsid w:val="00CA199D"/>
    <w:rsid w:val="00CB029A"/>
    <w:rsid w:val="00CB1675"/>
    <w:rsid w:val="00CB320B"/>
    <w:rsid w:val="00CB4C34"/>
    <w:rsid w:val="00CC1C0D"/>
    <w:rsid w:val="00CC3F52"/>
    <w:rsid w:val="00CC4083"/>
    <w:rsid w:val="00CD1C2E"/>
    <w:rsid w:val="00CD616C"/>
    <w:rsid w:val="00CD6B5C"/>
    <w:rsid w:val="00CD7F1D"/>
    <w:rsid w:val="00CE1EAE"/>
    <w:rsid w:val="00CE201D"/>
    <w:rsid w:val="00CE26BF"/>
    <w:rsid w:val="00CE77E0"/>
    <w:rsid w:val="00CF186A"/>
    <w:rsid w:val="00CF28D4"/>
    <w:rsid w:val="00CF2FEB"/>
    <w:rsid w:val="00CF597A"/>
    <w:rsid w:val="00D01377"/>
    <w:rsid w:val="00D30886"/>
    <w:rsid w:val="00D3196B"/>
    <w:rsid w:val="00D32E40"/>
    <w:rsid w:val="00D340D0"/>
    <w:rsid w:val="00D36AB2"/>
    <w:rsid w:val="00D40D33"/>
    <w:rsid w:val="00D47A53"/>
    <w:rsid w:val="00D530F9"/>
    <w:rsid w:val="00D54293"/>
    <w:rsid w:val="00D5436B"/>
    <w:rsid w:val="00D55A47"/>
    <w:rsid w:val="00D57ED0"/>
    <w:rsid w:val="00D60BDC"/>
    <w:rsid w:val="00D65D36"/>
    <w:rsid w:val="00D70950"/>
    <w:rsid w:val="00D804F1"/>
    <w:rsid w:val="00D81289"/>
    <w:rsid w:val="00D81A56"/>
    <w:rsid w:val="00D8717B"/>
    <w:rsid w:val="00D8795F"/>
    <w:rsid w:val="00D90443"/>
    <w:rsid w:val="00D904FE"/>
    <w:rsid w:val="00D90CD9"/>
    <w:rsid w:val="00D94A19"/>
    <w:rsid w:val="00D97DC8"/>
    <w:rsid w:val="00DA422A"/>
    <w:rsid w:val="00DB3742"/>
    <w:rsid w:val="00DB5AF3"/>
    <w:rsid w:val="00DC02D0"/>
    <w:rsid w:val="00DC3E4D"/>
    <w:rsid w:val="00DC6853"/>
    <w:rsid w:val="00DC74A2"/>
    <w:rsid w:val="00DD1128"/>
    <w:rsid w:val="00DD29C7"/>
    <w:rsid w:val="00DD68CC"/>
    <w:rsid w:val="00DE1175"/>
    <w:rsid w:val="00DE1A50"/>
    <w:rsid w:val="00DE6BDD"/>
    <w:rsid w:val="00E023BA"/>
    <w:rsid w:val="00E0333F"/>
    <w:rsid w:val="00E11EBB"/>
    <w:rsid w:val="00E13A20"/>
    <w:rsid w:val="00E1425D"/>
    <w:rsid w:val="00E144AD"/>
    <w:rsid w:val="00E20701"/>
    <w:rsid w:val="00E20A38"/>
    <w:rsid w:val="00E22DDB"/>
    <w:rsid w:val="00E23E43"/>
    <w:rsid w:val="00E26659"/>
    <w:rsid w:val="00E31E96"/>
    <w:rsid w:val="00E32C7E"/>
    <w:rsid w:val="00E34C8A"/>
    <w:rsid w:val="00E43282"/>
    <w:rsid w:val="00E44267"/>
    <w:rsid w:val="00E44656"/>
    <w:rsid w:val="00E557DF"/>
    <w:rsid w:val="00E640D6"/>
    <w:rsid w:val="00E72F17"/>
    <w:rsid w:val="00E75533"/>
    <w:rsid w:val="00E77568"/>
    <w:rsid w:val="00E84E12"/>
    <w:rsid w:val="00E854B2"/>
    <w:rsid w:val="00E9198F"/>
    <w:rsid w:val="00EA058A"/>
    <w:rsid w:val="00EA45B1"/>
    <w:rsid w:val="00EB08E3"/>
    <w:rsid w:val="00EB12D6"/>
    <w:rsid w:val="00EB1F52"/>
    <w:rsid w:val="00EB2D8A"/>
    <w:rsid w:val="00EB6B04"/>
    <w:rsid w:val="00EC200B"/>
    <w:rsid w:val="00EC3559"/>
    <w:rsid w:val="00EC4536"/>
    <w:rsid w:val="00EC5BF5"/>
    <w:rsid w:val="00ED3DFC"/>
    <w:rsid w:val="00ED4C5F"/>
    <w:rsid w:val="00ED4E95"/>
    <w:rsid w:val="00ED60D0"/>
    <w:rsid w:val="00ED6CE1"/>
    <w:rsid w:val="00EF2195"/>
    <w:rsid w:val="00EF2E2D"/>
    <w:rsid w:val="00F00EFD"/>
    <w:rsid w:val="00F03F1B"/>
    <w:rsid w:val="00F07D4A"/>
    <w:rsid w:val="00F13BC3"/>
    <w:rsid w:val="00F1741A"/>
    <w:rsid w:val="00F273BF"/>
    <w:rsid w:val="00F36E68"/>
    <w:rsid w:val="00F428C4"/>
    <w:rsid w:val="00F52D5F"/>
    <w:rsid w:val="00F5739E"/>
    <w:rsid w:val="00F576E7"/>
    <w:rsid w:val="00F64A6A"/>
    <w:rsid w:val="00F64A92"/>
    <w:rsid w:val="00F6664C"/>
    <w:rsid w:val="00F74929"/>
    <w:rsid w:val="00F85DC5"/>
    <w:rsid w:val="00F91CA3"/>
    <w:rsid w:val="00F91F81"/>
    <w:rsid w:val="00F95158"/>
    <w:rsid w:val="00F95CBC"/>
    <w:rsid w:val="00FA16B1"/>
    <w:rsid w:val="00FA1A6D"/>
    <w:rsid w:val="00FA3F7E"/>
    <w:rsid w:val="00FA4EE8"/>
    <w:rsid w:val="00FB03B5"/>
    <w:rsid w:val="00FB4438"/>
    <w:rsid w:val="00FB5FC6"/>
    <w:rsid w:val="00FB759C"/>
    <w:rsid w:val="00FC333D"/>
    <w:rsid w:val="00FC3AD6"/>
    <w:rsid w:val="00FC7F86"/>
    <w:rsid w:val="00FD09DB"/>
    <w:rsid w:val="00FD70A4"/>
    <w:rsid w:val="00FE0509"/>
    <w:rsid w:val="00FE0E17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93564-B539-466E-87A1-6367E369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7870</Words>
  <Characters>4486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“Grozījumi Ministru kabineta 2006. gada 19. decembra noteikumos Nr. 1055 “Noteikumi par valsts nodevu par zemes dzīļu izmantošanas licenci, bieži sastopamo derīgo izrakteņu ieguves atļauju un atradnes pasi””</vt:lpstr>
    </vt:vector>
  </TitlesOfParts>
  <Company>VARAM</Company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“Grozījumi Ministru kabineta 2006. gada 19. decembra noteikumos Nr. 1055 “Noteikumi par valsts nodevu par zemes dzīļu izmantošanas licenci, bieži sastopamo derīgo izrakteņu ieguves atļauju un atradnes pasi””</dc:title>
  <dc:subject>Noteikumu projekta anotācija</dc:subject>
  <dc:creator>Kristīne Gāga</dc:creator>
  <dc:description>67026518, kristine.gaga@varam.gov.lv</dc:description>
  <cp:lastModifiedBy>Kristīne Gāga</cp:lastModifiedBy>
  <cp:revision>23</cp:revision>
  <dcterms:created xsi:type="dcterms:W3CDTF">2021-08-12T06:42:00Z</dcterms:created>
  <dcterms:modified xsi:type="dcterms:W3CDTF">2021-09-02T09:19:00Z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