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53F1" w14:textId="77777777" w:rsidR="001E2A8D" w:rsidRDefault="00971237">
      <w:pPr>
        <w:spacing w:line="256" w:lineRule="auto"/>
        <w:jc w:val="right"/>
        <w:rPr>
          <w:rFonts w:ascii="Arial" w:eastAsia="Arial" w:hAnsi="Arial" w:cs="Arial"/>
          <w:b/>
          <w:color w:val="222222"/>
        </w:rPr>
      </w:pPr>
      <w:r>
        <w:rPr>
          <w:rFonts w:ascii="Arial" w:eastAsia="Arial" w:hAnsi="Arial" w:cs="Arial"/>
          <w:b/>
          <w:color w:val="222222"/>
        </w:rPr>
        <w:t>Vides aizsardzības un reģionālās attīstības ministram</w:t>
      </w:r>
    </w:p>
    <w:p w14:paraId="143C2536" w14:textId="77777777" w:rsidR="001E2A8D" w:rsidRDefault="00971237">
      <w:pPr>
        <w:spacing w:line="256" w:lineRule="auto"/>
        <w:jc w:val="right"/>
        <w:rPr>
          <w:rFonts w:ascii="Arial" w:eastAsia="Arial" w:hAnsi="Arial" w:cs="Arial"/>
          <w:b/>
          <w:color w:val="222222"/>
        </w:rPr>
      </w:pPr>
      <w:r>
        <w:rPr>
          <w:rFonts w:ascii="Arial" w:eastAsia="Arial" w:hAnsi="Arial" w:cs="Arial"/>
          <w:b/>
          <w:color w:val="222222"/>
        </w:rPr>
        <w:t>Artūram Tomam Plešam</w:t>
      </w:r>
    </w:p>
    <w:p w14:paraId="626C483B" w14:textId="77777777" w:rsidR="001E2A8D" w:rsidRDefault="00803A34">
      <w:pPr>
        <w:jc w:val="right"/>
        <w:rPr>
          <w:rFonts w:ascii="Arial" w:eastAsia="Arial" w:hAnsi="Arial" w:cs="Arial"/>
          <w:color w:val="222222"/>
        </w:rPr>
      </w:pPr>
      <w:hyperlink r:id="rId6">
        <w:r w:rsidR="00971237">
          <w:rPr>
            <w:rFonts w:ascii="Arial" w:eastAsia="Arial" w:hAnsi="Arial" w:cs="Arial"/>
            <w:color w:val="222222"/>
            <w:u w:val="single"/>
          </w:rPr>
          <w:t>arturs.toms.pless@varam.gov.lv</w:t>
        </w:r>
      </w:hyperlink>
    </w:p>
    <w:p w14:paraId="6F1BE170" w14:textId="77777777" w:rsidR="001E2A8D" w:rsidRDefault="001E2A8D">
      <w:pPr>
        <w:jc w:val="right"/>
        <w:rPr>
          <w:rFonts w:ascii="Arial" w:eastAsia="Arial" w:hAnsi="Arial" w:cs="Arial"/>
          <w:color w:val="222222"/>
        </w:rPr>
      </w:pPr>
    </w:p>
    <w:p w14:paraId="1BA47602" w14:textId="398EB285" w:rsidR="001E2A8D" w:rsidRDefault="00971237">
      <w:pPr>
        <w:spacing w:after="160" w:line="312" w:lineRule="auto"/>
        <w:ind w:firstLine="720"/>
        <w:jc w:val="both"/>
        <w:rPr>
          <w:rFonts w:ascii="Arial" w:eastAsia="Arial" w:hAnsi="Arial" w:cs="Arial"/>
          <w:color w:val="222222"/>
        </w:rPr>
      </w:pPr>
      <w:r>
        <w:rPr>
          <w:rFonts w:ascii="Arial" w:eastAsia="Arial" w:hAnsi="Arial" w:cs="Arial"/>
          <w:color w:val="222222"/>
        </w:rPr>
        <w:t xml:space="preserve">Vēja enerģijas nozares pārstāvji un vides organizācijas izsaka pateicību Vides aizsardzības un reģionālās attīstības ministrijai (VARAM) par politisku atbalstu vēja enerģijas ražošanai Latvijā. Izmaiņas normatīvajā regulējumā, kas sakārtotu un paātrinātu atļauju saņemšanas procesus, noteikti ir nepieciešamas, jo vēja enerģijas parku attīstība Latvijā ļautu nošaut divus zaķus ar vienu šāvienu – risināt enerģētiskās neatkarības jautājumu, gan veicināt </w:t>
      </w:r>
      <w:proofErr w:type="spellStart"/>
      <w:r>
        <w:rPr>
          <w:rFonts w:ascii="Arial" w:eastAsia="Arial" w:hAnsi="Arial" w:cs="Arial"/>
          <w:color w:val="222222"/>
        </w:rPr>
        <w:t>klimatneitralitātes</w:t>
      </w:r>
      <w:proofErr w:type="spellEnd"/>
      <w:r>
        <w:rPr>
          <w:rFonts w:ascii="Arial" w:eastAsia="Arial" w:hAnsi="Arial" w:cs="Arial"/>
          <w:color w:val="222222"/>
        </w:rPr>
        <w:t xml:space="preserve"> sasniegšanu.  Taču bažas raisa VARAM plāns uz vēja enerģijas nozares attīstību  skatīties īstermiņā un atgriezties pie iepriekšējās kārtības, tiklīdz sasniegta noteikta elektrības ražošanas jauda. Piekrītam, ka izmaiņas nepieciešams veikt operatīvi, tomēr steigā nedrīkst pazaudēt kvalitāti un ilgtermiņa skatījumu.</w:t>
      </w:r>
    </w:p>
    <w:p w14:paraId="0F4FE8FF" w14:textId="6D413B16" w:rsidR="001E2A8D" w:rsidRDefault="00971237">
      <w:pPr>
        <w:spacing w:after="160" w:line="312" w:lineRule="auto"/>
        <w:ind w:firstLine="720"/>
        <w:jc w:val="both"/>
        <w:rPr>
          <w:rFonts w:ascii="Arial" w:eastAsia="Arial" w:hAnsi="Arial" w:cs="Arial"/>
          <w:color w:val="222222"/>
        </w:rPr>
      </w:pPr>
      <w:r>
        <w:rPr>
          <w:rFonts w:ascii="Arial" w:eastAsia="Arial" w:hAnsi="Arial" w:cs="Arial"/>
          <w:color w:val="222222"/>
        </w:rPr>
        <w:t xml:space="preserve">Gan vēja enerģijas nozares pārstāvji, gan vides organizācijas uzskata, ka pašreizējā VARAM iecere atcelt ietekmes uz vidi novērtējuma (IVN) procesu nav apdomāta un var radīt negatīvas sekas gan uz vidi, gan vēja enerģijas nozari. IVN procedūra ir aizsardzības vairogs gan videi, gan cilvēkiem. IVN procesā tiek detalizēti pētīta VES ietekme uz vidi, kuru nav iespējams kvalitatīvi novērtēt </w:t>
      </w:r>
      <w:r w:rsidR="005F1237">
        <w:rPr>
          <w:rFonts w:ascii="Arial" w:eastAsia="Arial" w:hAnsi="Arial" w:cs="Arial"/>
          <w:color w:val="222222"/>
        </w:rPr>
        <w:t>atceļot šo</w:t>
      </w:r>
      <w:r>
        <w:rPr>
          <w:rFonts w:ascii="Arial" w:eastAsia="Arial" w:hAnsi="Arial" w:cs="Arial"/>
          <w:color w:val="222222"/>
        </w:rPr>
        <w:t xml:space="preserve"> procesu. Vērā jāņem visus dabas procesus, to cikliskumu, kas ietver dzīvnieku, putnu migrācijas, biotopu tuvumu u.c. aspektus. IVN sniedz iespēju uzklausīt un izvērtēt vietējo kopienu viedokļus.</w:t>
      </w:r>
    </w:p>
    <w:p w14:paraId="07AA2FF1" w14:textId="7A0F0708" w:rsidR="001E2A8D" w:rsidRDefault="00971237">
      <w:pPr>
        <w:spacing w:after="160" w:line="312" w:lineRule="auto"/>
        <w:ind w:firstLine="720"/>
        <w:jc w:val="both"/>
        <w:rPr>
          <w:rFonts w:ascii="Arial" w:eastAsia="Arial" w:hAnsi="Arial" w:cs="Arial"/>
          <w:color w:val="222222"/>
        </w:rPr>
      </w:pPr>
      <w:r>
        <w:rPr>
          <w:rFonts w:ascii="Arial" w:eastAsia="Arial" w:hAnsi="Arial" w:cs="Arial"/>
          <w:color w:val="222222"/>
        </w:rPr>
        <w:t xml:space="preserve">IVN kalpo arī par vēja elektrostaciju parku (VES) attīstītāju un investoru drošības garantu, ka vēlāk netiks apstrīdēts vēja parka tiesiskums. </w:t>
      </w:r>
      <w:r w:rsidR="0051222D">
        <w:rPr>
          <w:rFonts w:ascii="Arial" w:eastAsia="Arial" w:hAnsi="Arial" w:cs="Arial"/>
          <w:color w:val="222222"/>
        </w:rPr>
        <w:t>F</w:t>
      </w:r>
      <w:r>
        <w:rPr>
          <w:rFonts w:ascii="Arial" w:eastAsia="Arial" w:hAnsi="Arial" w:cs="Arial"/>
          <w:color w:val="222222"/>
        </w:rPr>
        <w:t xml:space="preserve">inanšu institūcijas neiegulda resursus potenciāli riskantos projektos, saskatot vides, labas pārvaldības un tiesvedības riskus. IVN process ir jāsaglabā arī no negodīgu attīstītāju “atsijāšanas” un pārvades tīkla </w:t>
      </w:r>
      <w:r w:rsidR="0051222D">
        <w:rPr>
          <w:rFonts w:ascii="Arial" w:eastAsia="Arial" w:hAnsi="Arial" w:cs="Arial"/>
          <w:color w:val="222222"/>
        </w:rPr>
        <w:t>kapacitātes</w:t>
      </w:r>
      <w:r>
        <w:rPr>
          <w:rFonts w:ascii="Arial" w:eastAsia="Arial" w:hAnsi="Arial" w:cs="Arial"/>
          <w:color w:val="222222"/>
        </w:rPr>
        <w:t xml:space="preserve"> skatupunkta, pretējā gadījumā var rasties jauns izaicinājums</w:t>
      </w:r>
      <w:r w:rsidR="0051222D">
        <w:rPr>
          <w:rFonts w:ascii="Arial" w:eastAsia="Arial" w:hAnsi="Arial" w:cs="Arial"/>
          <w:color w:val="222222"/>
        </w:rPr>
        <w:t xml:space="preserve"> </w:t>
      </w:r>
      <w:r>
        <w:rPr>
          <w:rFonts w:ascii="Arial" w:eastAsia="Arial" w:hAnsi="Arial" w:cs="Arial"/>
          <w:color w:val="222222"/>
        </w:rPr>
        <w:t>–</w:t>
      </w:r>
      <w:r w:rsidR="0051222D">
        <w:rPr>
          <w:rFonts w:ascii="Arial" w:eastAsia="Arial" w:hAnsi="Arial" w:cs="Arial"/>
          <w:color w:val="222222"/>
        </w:rPr>
        <w:t xml:space="preserve"> </w:t>
      </w:r>
      <w:r>
        <w:rPr>
          <w:rFonts w:ascii="Arial" w:eastAsia="Arial" w:hAnsi="Arial" w:cs="Arial"/>
          <w:color w:val="222222"/>
        </w:rPr>
        <w:t>projektu attīstītāj</w:t>
      </w:r>
      <w:r w:rsidR="0051222D">
        <w:rPr>
          <w:rFonts w:ascii="Arial" w:eastAsia="Arial" w:hAnsi="Arial" w:cs="Arial"/>
          <w:color w:val="222222"/>
        </w:rPr>
        <w:t>i</w:t>
      </w:r>
      <w:r>
        <w:rPr>
          <w:rFonts w:ascii="Arial" w:eastAsia="Arial" w:hAnsi="Arial" w:cs="Arial"/>
          <w:color w:val="222222"/>
        </w:rPr>
        <w:t xml:space="preserve">, </w:t>
      </w:r>
      <w:r w:rsidR="0051222D">
        <w:rPr>
          <w:rFonts w:ascii="Arial" w:eastAsia="Arial" w:hAnsi="Arial" w:cs="Arial"/>
          <w:color w:val="222222"/>
        </w:rPr>
        <w:t>bez</w:t>
      </w:r>
      <w:r>
        <w:rPr>
          <w:rFonts w:ascii="Arial" w:eastAsia="Arial" w:hAnsi="Arial" w:cs="Arial"/>
          <w:color w:val="222222"/>
        </w:rPr>
        <w:t xml:space="preserve"> </w:t>
      </w:r>
      <w:r w:rsidR="0051222D">
        <w:rPr>
          <w:rFonts w:ascii="Arial" w:eastAsia="Arial" w:hAnsi="Arial" w:cs="Arial"/>
          <w:color w:val="222222"/>
        </w:rPr>
        <w:t xml:space="preserve">finanšu un vadības </w:t>
      </w:r>
      <w:r>
        <w:rPr>
          <w:rFonts w:ascii="Arial" w:eastAsia="Arial" w:hAnsi="Arial" w:cs="Arial"/>
          <w:color w:val="222222"/>
        </w:rPr>
        <w:t>kapacitātes VES projektu realizēšanā</w:t>
      </w:r>
      <w:r w:rsidR="0051222D">
        <w:rPr>
          <w:rFonts w:ascii="Arial" w:eastAsia="Arial" w:hAnsi="Arial" w:cs="Arial"/>
          <w:color w:val="222222"/>
        </w:rPr>
        <w:t xml:space="preserve"> (spekulanti)</w:t>
      </w:r>
      <w:r>
        <w:rPr>
          <w:rFonts w:ascii="Arial" w:eastAsia="Arial" w:hAnsi="Arial" w:cs="Arial"/>
          <w:color w:val="222222"/>
        </w:rPr>
        <w:t xml:space="preserve">,  viegli varēs saņemt </w:t>
      </w:r>
      <w:r w:rsidR="0051222D">
        <w:rPr>
          <w:rFonts w:ascii="Arial" w:eastAsia="Arial" w:hAnsi="Arial" w:cs="Arial"/>
          <w:color w:val="222222"/>
        </w:rPr>
        <w:t xml:space="preserve">saskaņojumus un </w:t>
      </w:r>
      <w:r>
        <w:rPr>
          <w:rFonts w:ascii="Arial" w:eastAsia="Arial" w:hAnsi="Arial" w:cs="Arial"/>
          <w:color w:val="222222"/>
        </w:rPr>
        <w:t>jaunu jaudu ieviešanas atļaujas</w:t>
      </w:r>
      <w:r w:rsidR="0051222D">
        <w:rPr>
          <w:rFonts w:ascii="Arial" w:eastAsia="Arial" w:hAnsi="Arial" w:cs="Arial"/>
          <w:color w:val="222222"/>
        </w:rPr>
        <w:t xml:space="preserve">, </w:t>
      </w:r>
      <w:r>
        <w:rPr>
          <w:rFonts w:ascii="Arial" w:eastAsia="Arial" w:hAnsi="Arial" w:cs="Arial"/>
          <w:color w:val="222222"/>
        </w:rPr>
        <w:t>rezervē</w:t>
      </w:r>
      <w:r w:rsidR="0051222D">
        <w:rPr>
          <w:rFonts w:ascii="Arial" w:eastAsia="Arial" w:hAnsi="Arial" w:cs="Arial"/>
          <w:color w:val="222222"/>
        </w:rPr>
        <w:t>jo</w:t>
      </w:r>
      <w:r>
        <w:rPr>
          <w:rFonts w:ascii="Arial" w:eastAsia="Arial" w:hAnsi="Arial" w:cs="Arial"/>
          <w:color w:val="222222"/>
        </w:rPr>
        <w:t>t pārvades sistēmas jaudas</w:t>
      </w:r>
      <w:r w:rsidR="0051222D">
        <w:rPr>
          <w:rFonts w:ascii="Arial" w:eastAsia="Arial" w:hAnsi="Arial" w:cs="Arial"/>
          <w:color w:val="222222"/>
        </w:rPr>
        <w:t xml:space="preserve"> un</w:t>
      </w:r>
      <w:r>
        <w:rPr>
          <w:rFonts w:ascii="Arial" w:eastAsia="Arial" w:hAnsi="Arial" w:cs="Arial"/>
          <w:color w:val="222222"/>
        </w:rPr>
        <w:t xml:space="preserve"> liedzot tās izmantot kvalificētiem nozares uzņēmumiem</w:t>
      </w:r>
      <w:r w:rsidR="0051222D">
        <w:rPr>
          <w:rFonts w:ascii="Arial" w:eastAsia="Arial" w:hAnsi="Arial" w:cs="Arial"/>
          <w:color w:val="222222"/>
        </w:rPr>
        <w:t xml:space="preserve">, jo veidojas šo jaudu deficīts. Attiecīgi netiks sasniegti ne enerģētikas, ne klimata mērķi, bet tiks nodrošināta iespēja spekulatīvai atļauju tirdzniecībai. </w:t>
      </w:r>
      <w:r>
        <w:rPr>
          <w:rFonts w:ascii="Arial" w:eastAsia="Arial" w:hAnsi="Arial" w:cs="Arial"/>
          <w:color w:val="222222"/>
        </w:rPr>
        <w:t>Līdz ar to papildus IVN procedūrai nepieciešams paredzēt būtiskus drošības naudas apmērus par katru pārvades jaudas rezervēto MW, tādējādi kvalificējot tikai tos uzņēmējus, kuri spēs izbūvēt nepieciešamo VES jaudu.</w:t>
      </w:r>
    </w:p>
    <w:p w14:paraId="26FDF7F6" w14:textId="77777777" w:rsidR="001E2A8D" w:rsidRDefault="00971237">
      <w:pPr>
        <w:spacing w:after="160" w:line="312" w:lineRule="auto"/>
        <w:ind w:firstLine="720"/>
        <w:jc w:val="both"/>
        <w:rPr>
          <w:rFonts w:ascii="Arial" w:eastAsia="Arial" w:hAnsi="Arial" w:cs="Arial"/>
          <w:color w:val="222222"/>
        </w:rPr>
      </w:pPr>
      <w:r>
        <w:rPr>
          <w:rFonts w:ascii="Arial" w:eastAsia="Arial" w:hAnsi="Arial" w:cs="Arial"/>
          <w:color w:val="222222"/>
        </w:rPr>
        <w:lastRenderedPageBreak/>
        <w:t xml:space="preserve">Papildus aicinām ņemt vērā to, ka VES ir IVN direktīvas 2. pielikuma objekts, un neveikt pilnu IVN var tikai tad, ja tiek ievērotas direktīvas prasības, kas šobrīd Latvijā tiek nodrošinātas, veicot sākotnējā </w:t>
      </w:r>
      <w:proofErr w:type="spellStart"/>
      <w:r>
        <w:rPr>
          <w:rFonts w:ascii="Arial" w:eastAsia="Arial" w:hAnsi="Arial" w:cs="Arial"/>
          <w:color w:val="222222"/>
        </w:rPr>
        <w:t>izvērtējuma</w:t>
      </w:r>
      <w:proofErr w:type="spellEnd"/>
      <w:r>
        <w:rPr>
          <w:rFonts w:ascii="Arial" w:eastAsia="Arial" w:hAnsi="Arial" w:cs="Arial"/>
          <w:color w:val="222222"/>
        </w:rPr>
        <w:t xml:space="preserve"> procedūru. Nevienā no EK ārkārtas dokumentiem, tostarp š.g. 8. marta EK paziņojumā presei "</w:t>
      </w:r>
      <w:proofErr w:type="spellStart"/>
      <w:r>
        <w:rPr>
          <w:rFonts w:ascii="Arial" w:eastAsia="Arial" w:hAnsi="Arial" w:cs="Arial"/>
          <w:color w:val="222222"/>
        </w:rPr>
        <w:t>REPowerEU</w:t>
      </w:r>
      <w:proofErr w:type="spellEnd"/>
      <w:r>
        <w:rPr>
          <w:rFonts w:ascii="Arial" w:eastAsia="Arial" w:hAnsi="Arial" w:cs="Arial"/>
          <w:color w:val="222222"/>
        </w:rPr>
        <w:t>: vienota Eiropas rīcība cenas ziņā pieejamākai, drošākai un ilgtspējīgākai enerģijai", nav atrodamas norādes par iespēju atteikties no IVN procedūras, līdz ar to, izvairoties no iespējamām sankcijām, ko šāds solis varētu veicināt, aicinām saglabāt IVN procedūru.</w:t>
      </w:r>
    </w:p>
    <w:p w14:paraId="781E4FD0" w14:textId="77777777" w:rsidR="001E2A8D" w:rsidRDefault="00971237">
      <w:pPr>
        <w:spacing w:after="160" w:line="263" w:lineRule="auto"/>
        <w:ind w:firstLine="720"/>
        <w:jc w:val="both"/>
        <w:rPr>
          <w:rFonts w:ascii="Arial" w:eastAsia="Arial" w:hAnsi="Arial" w:cs="Arial"/>
          <w:color w:val="222222"/>
        </w:rPr>
      </w:pPr>
      <w:r>
        <w:rPr>
          <w:rFonts w:ascii="Arial" w:eastAsia="Arial" w:hAnsi="Arial" w:cs="Arial"/>
          <w:color w:val="222222"/>
        </w:rPr>
        <w:t xml:space="preserve"> </w:t>
      </w:r>
    </w:p>
    <w:tbl>
      <w:tblPr>
        <w:tblStyle w:val="a"/>
        <w:tblW w:w="6787" w:type="dxa"/>
        <w:tblBorders>
          <w:top w:val="nil"/>
          <w:left w:val="nil"/>
          <w:bottom w:val="nil"/>
          <w:right w:val="nil"/>
          <w:insideH w:val="nil"/>
          <w:insideV w:val="nil"/>
        </w:tblBorders>
        <w:tblLayout w:type="fixed"/>
        <w:tblLook w:val="0600" w:firstRow="0" w:lastRow="0" w:firstColumn="0" w:lastColumn="0" w:noHBand="1" w:noVBand="1"/>
      </w:tblPr>
      <w:tblGrid>
        <w:gridCol w:w="2422"/>
        <w:gridCol w:w="2364"/>
        <w:gridCol w:w="2001"/>
      </w:tblGrid>
      <w:tr w:rsidR="001E2A8D" w14:paraId="5627227D" w14:textId="77777777">
        <w:trPr>
          <w:trHeight w:val="480"/>
        </w:trPr>
        <w:tc>
          <w:tcPr>
            <w:tcW w:w="2422" w:type="dxa"/>
            <w:tcBorders>
              <w:top w:val="nil"/>
              <w:left w:val="nil"/>
              <w:bottom w:val="nil"/>
              <w:right w:val="nil"/>
            </w:tcBorders>
            <w:tcMar>
              <w:top w:w="100" w:type="dxa"/>
              <w:left w:w="100" w:type="dxa"/>
              <w:bottom w:w="100" w:type="dxa"/>
              <w:right w:w="100" w:type="dxa"/>
            </w:tcMar>
          </w:tcPr>
          <w:p w14:paraId="3DE8C849" w14:textId="77777777" w:rsidR="001E2A8D" w:rsidRDefault="001E2A8D">
            <w:pPr>
              <w:spacing w:line="288" w:lineRule="auto"/>
              <w:jc w:val="both"/>
              <w:rPr>
                <w:color w:val="222222"/>
                <w:sz w:val="20"/>
                <w:szCs w:val="20"/>
              </w:rPr>
            </w:pPr>
          </w:p>
        </w:tc>
        <w:tc>
          <w:tcPr>
            <w:tcW w:w="2364" w:type="dxa"/>
            <w:tcBorders>
              <w:top w:val="nil"/>
              <w:left w:val="nil"/>
              <w:bottom w:val="nil"/>
              <w:right w:val="nil"/>
            </w:tcBorders>
            <w:tcMar>
              <w:top w:w="100" w:type="dxa"/>
              <w:left w:w="100" w:type="dxa"/>
              <w:bottom w:w="100" w:type="dxa"/>
              <w:right w:w="100" w:type="dxa"/>
            </w:tcMar>
          </w:tcPr>
          <w:p w14:paraId="26587DC0" w14:textId="77777777" w:rsidR="001E2A8D" w:rsidRDefault="001E2A8D">
            <w:pPr>
              <w:spacing w:line="288" w:lineRule="auto"/>
              <w:jc w:val="both"/>
              <w:rPr>
                <w:color w:val="222222"/>
                <w:sz w:val="20"/>
                <w:szCs w:val="20"/>
              </w:rPr>
            </w:pPr>
          </w:p>
        </w:tc>
        <w:tc>
          <w:tcPr>
            <w:tcW w:w="2001" w:type="dxa"/>
            <w:tcBorders>
              <w:top w:val="nil"/>
              <w:left w:val="nil"/>
              <w:bottom w:val="nil"/>
              <w:right w:val="nil"/>
            </w:tcBorders>
            <w:tcMar>
              <w:top w:w="100" w:type="dxa"/>
              <w:left w:w="100" w:type="dxa"/>
              <w:bottom w:w="100" w:type="dxa"/>
              <w:right w:w="100" w:type="dxa"/>
            </w:tcMar>
          </w:tcPr>
          <w:p w14:paraId="2BDCF170" w14:textId="77777777" w:rsidR="001E2A8D" w:rsidRDefault="001E2A8D">
            <w:pPr>
              <w:spacing w:line="288" w:lineRule="auto"/>
              <w:jc w:val="both"/>
              <w:rPr>
                <w:color w:val="222222"/>
                <w:sz w:val="20"/>
                <w:szCs w:val="20"/>
              </w:rPr>
            </w:pPr>
          </w:p>
        </w:tc>
      </w:tr>
      <w:tr w:rsidR="001E2A8D" w14:paraId="1B92F242" w14:textId="77777777">
        <w:trPr>
          <w:trHeight w:val="1400"/>
        </w:trPr>
        <w:tc>
          <w:tcPr>
            <w:tcW w:w="2422" w:type="dxa"/>
            <w:tcBorders>
              <w:top w:val="nil"/>
              <w:left w:val="nil"/>
              <w:bottom w:val="nil"/>
              <w:right w:val="nil"/>
            </w:tcBorders>
            <w:tcMar>
              <w:top w:w="100" w:type="dxa"/>
              <w:left w:w="100" w:type="dxa"/>
              <w:bottom w:w="100" w:type="dxa"/>
              <w:right w:w="100" w:type="dxa"/>
            </w:tcMar>
          </w:tcPr>
          <w:p w14:paraId="3662F638" w14:textId="77777777" w:rsidR="001E2A8D" w:rsidRDefault="00971237">
            <w:pPr>
              <w:spacing w:line="288" w:lineRule="auto"/>
              <w:jc w:val="both"/>
              <w:rPr>
                <w:rFonts w:ascii="Arial" w:eastAsia="Arial" w:hAnsi="Arial" w:cs="Arial"/>
                <w:color w:val="222222"/>
                <w:sz w:val="20"/>
                <w:szCs w:val="20"/>
              </w:rPr>
            </w:pPr>
            <w:r>
              <w:rPr>
                <w:rFonts w:ascii="Arial" w:eastAsia="Arial" w:hAnsi="Arial" w:cs="Arial"/>
                <w:color w:val="222222"/>
                <w:sz w:val="20"/>
                <w:szCs w:val="20"/>
              </w:rPr>
              <w:t xml:space="preserve">Toms </w:t>
            </w:r>
            <w:proofErr w:type="spellStart"/>
            <w:r>
              <w:rPr>
                <w:rFonts w:ascii="Arial" w:eastAsia="Arial" w:hAnsi="Arial" w:cs="Arial"/>
                <w:color w:val="222222"/>
                <w:sz w:val="20"/>
                <w:szCs w:val="20"/>
              </w:rPr>
              <w:t>Nāburgs</w:t>
            </w:r>
            <w:proofErr w:type="spellEnd"/>
          </w:p>
          <w:p w14:paraId="0D8C8FE6" w14:textId="77777777" w:rsidR="001E2A8D" w:rsidRDefault="00971237">
            <w:pPr>
              <w:spacing w:line="288" w:lineRule="auto"/>
              <w:rPr>
                <w:rFonts w:ascii="Arial" w:eastAsia="Arial" w:hAnsi="Arial" w:cs="Arial"/>
                <w:color w:val="222222"/>
                <w:sz w:val="20"/>
                <w:szCs w:val="20"/>
              </w:rPr>
            </w:pPr>
            <w:r>
              <w:rPr>
                <w:rFonts w:ascii="Arial" w:eastAsia="Arial" w:hAnsi="Arial" w:cs="Arial"/>
                <w:color w:val="222222"/>
                <w:sz w:val="20"/>
                <w:szCs w:val="20"/>
              </w:rPr>
              <w:t xml:space="preserve">Vēja enerģijas asociācijas valdes loceklis        </w:t>
            </w:r>
          </w:p>
          <w:p w14:paraId="64791DF4" w14:textId="77777777" w:rsidR="001E2A8D" w:rsidRDefault="00971237">
            <w:pPr>
              <w:spacing w:line="288" w:lineRule="auto"/>
              <w:jc w:val="both"/>
              <w:rPr>
                <w:rFonts w:ascii="Arial" w:eastAsia="Arial" w:hAnsi="Arial" w:cs="Arial"/>
                <w:color w:val="222222"/>
                <w:sz w:val="20"/>
                <w:szCs w:val="20"/>
              </w:rPr>
            </w:pPr>
            <w:r>
              <w:rPr>
                <w:rFonts w:ascii="Arial" w:eastAsia="Arial" w:hAnsi="Arial" w:cs="Arial"/>
                <w:color w:val="222222"/>
                <w:sz w:val="20"/>
                <w:szCs w:val="20"/>
              </w:rPr>
              <w:t xml:space="preserve"> </w:t>
            </w:r>
          </w:p>
        </w:tc>
        <w:tc>
          <w:tcPr>
            <w:tcW w:w="2364" w:type="dxa"/>
            <w:tcBorders>
              <w:top w:val="nil"/>
              <w:left w:val="nil"/>
              <w:bottom w:val="nil"/>
              <w:right w:val="nil"/>
            </w:tcBorders>
            <w:tcMar>
              <w:top w:w="100" w:type="dxa"/>
              <w:left w:w="100" w:type="dxa"/>
              <w:bottom w:w="100" w:type="dxa"/>
              <w:right w:w="100" w:type="dxa"/>
            </w:tcMar>
          </w:tcPr>
          <w:p w14:paraId="157F0AB6" w14:textId="77777777" w:rsidR="001E2A8D" w:rsidRDefault="00971237">
            <w:pPr>
              <w:spacing w:line="288" w:lineRule="auto"/>
              <w:ind w:right="180"/>
              <w:rPr>
                <w:rFonts w:ascii="Arial" w:eastAsia="Arial" w:hAnsi="Arial" w:cs="Arial"/>
                <w:color w:val="222222"/>
                <w:sz w:val="20"/>
                <w:szCs w:val="20"/>
              </w:rPr>
            </w:pPr>
            <w:r>
              <w:rPr>
                <w:rFonts w:ascii="Arial" w:eastAsia="Arial" w:hAnsi="Arial" w:cs="Arial"/>
                <w:color w:val="222222"/>
                <w:sz w:val="20"/>
                <w:szCs w:val="20"/>
              </w:rPr>
              <w:t>Juris Jātnieks</w:t>
            </w:r>
          </w:p>
          <w:p w14:paraId="45CA9F44" w14:textId="77777777" w:rsidR="001E2A8D" w:rsidRDefault="00971237">
            <w:pPr>
              <w:spacing w:line="288" w:lineRule="auto"/>
              <w:ind w:right="-100"/>
              <w:rPr>
                <w:rFonts w:ascii="Arial" w:eastAsia="Arial" w:hAnsi="Arial" w:cs="Arial"/>
                <w:color w:val="222222"/>
                <w:sz w:val="20"/>
                <w:szCs w:val="20"/>
              </w:rPr>
            </w:pPr>
            <w:r>
              <w:rPr>
                <w:rFonts w:ascii="Arial" w:eastAsia="Arial" w:hAnsi="Arial" w:cs="Arial"/>
                <w:color w:val="222222"/>
                <w:sz w:val="20"/>
                <w:szCs w:val="20"/>
              </w:rPr>
              <w:t>Vides konsultatīvās padomes</w:t>
            </w:r>
          </w:p>
          <w:p w14:paraId="094CC18F" w14:textId="77777777" w:rsidR="001E2A8D" w:rsidRDefault="00971237">
            <w:pPr>
              <w:spacing w:line="288" w:lineRule="auto"/>
              <w:rPr>
                <w:rFonts w:ascii="Arial" w:eastAsia="Arial" w:hAnsi="Arial" w:cs="Arial"/>
                <w:color w:val="222222"/>
                <w:sz w:val="20"/>
                <w:szCs w:val="20"/>
              </w:rPr>
            </w:pPr>
            <w:r>
              <w:rPr>
                <w:rFonts w:ascii="Arial" w:eastAsia="Arial" w:hAnsi="Arial" w:cs="Arial"/>
                <w:color w:val="222222"/>
                <w:sz w:val="20"/>
                <w:szCs w:val="20"/>
              </w:rPr>
              <w:t>priekšsēdētājs</w:t>
            </w:r>
          </w:p>
          <w:p w14:paraId="60AA33DC" w14:textId="77777777" w:rsidR="001E2A8D" w:rsidRDefault="00971237">
            <w:pPr>
              <w:spacing w:line="288" w:lineRule="auto"/>
              <w:jc w:val="both"/>
              <w:rPr>
                <w:rFonts w:ascii="Arial" w:eastAsia="Arial" w:hAnsi="Arial" w:cs="Arial"/>
                <w:color w:val="222222"/>
                <w:sz w:val="20"/>
                <w:szCs w:val="20"/>
              </w:rPr>
            </w:pPr>
            <w:r>
              <w:rPr>
                <w:rFonts w:ascii="Arial" w:eastAsia="Arial" w:hAnsi="Arial" w:cs="Arial"/>
                <w:color w:val="222222"/>
                <w:sz w:val="20"/>
                <w:szCs w:val="20"/>
              </w:rPr>
              <w:t xml:space="preserve"> </w:t>
            </w:r>
          </w:p>
        </w:tc>
        <w:tc>
          <w:tcPr>
            <w:tcW w:w="2001" w:type="dxa"/>
            <w:tcBorders>
              <w:top w:val="nil"/>
              <w:left w:val="nil"/>
              <w:bottom w:val="nil"/>
              <w:right w:val="nil"/>
            </w:tcBorders>
            <w:tcMar>
              <w:top w:w="100" w:type="dxa"/>
              <w:left w:w="100" w:type="dxa"/>
              <w:bottom w:w="100" w:type="dxa"/>
              <w:right w:w="100" w:type="dxa"/>
            </w:tcMar>
          </w:tcPr>
          <w:p w14:paraId="7C945F80" w14:textId="77777777" w:rsidR="001E2A8D" w:rsidRDefault="00971237">
            <w:pPr>
              <w:spacing w:line="288" w:lineRule="auto"/>
              <w:jc w:val="both"/>
              <w:rPr>
                <w:rFonts w:ascii="Arial" w:eastAsia="Arial" w:hAnsi="Arial" w:cs="Arial"/>
                <w:color w:val="222222"/>
                <w:sz w:val="20"/>
                <w:szCs w:val="20"/>
              </w:rPr>
            </w:pPr>
            <w:r>
              <w:rPr>
                <w:rFonts w:ascii="Arial" w:eastAsia="Arial" w:hAnsi="Arial" w:cs="Arial"/>
                <w:color w:val="222222"/>
                <w:sz w:val="20"/>
                <w:szCs w:val="20"/>
              </w:rPr>
              <w:t xml:space="preserve">Kaspars </w:t>
            </w:r>
            <w:proofErr w:type="spellStart"/>
            <w:r>
              <w:rPr>
                <w:rFonts w:ascii="Arial" w:eastAsia="Arial" w:hAnsi="Arial" w:cs="Arial"/>
                <w:color w:val="222222"/>
                <w:sz w:val="20"/>
                <w:szCs w:val="20"/>
              </w:rPr>
              <w:t>Cikmačs</w:t>
            </w:r>
            <w:proofErr w:type="spellEnd"/>
          </w:p>
          <w:p w14:paraId="6320B6DF" w14:textId="77777777" w:rsidR="001E2A8D" w:rsidRDefault="00971237">
            <w:pPr>
              <w:spacing w:line="288" w:lineRule="auto"/>
              <w:jc w:val="both"/>
              <w:rPr>
                <w:rFonts w:ascii="Arial" w:eastAsia="Arial" w:hAnsi="Arial" w:cs="Arial"/>
                <w:color w:val="222222"/>
                <w:sz w:val="20"/>
                <w:szCs w:val="20"/>
              </w:rPr>
            </w:pPr>
            <w:r>
              <w:rPr>
                <w:rFonts w:ascii="Arial" w:eastAsia="Arial" w:hAnsi="Arial" w:cs="Arial"/>
                <w:color w:val="222222"/>
                <w:sz w:val="20"/>
                <w:szCs w:val="20"/>
              </w:rPr>
              <w:t>AS “Latvenergo”</w:t>
            </w:r>
          </w:p>
          <w:p w14:paraId="79146F23" w14:textId="77777777" w:rsidR="001E2A8D" w:rsidRDefault="00971237">
            <w:pPr>
              <w:spacing w:line="288" w:lineRule="auto"/>
              <w:jc w:val="both"/>
              <w:rPr>
                <w:rFonts w:ascii="Arial" w:eastAsia="Arial" w:hAnsi="Arial" w:cs="Arial"/>
                <w:color w:val="222222"/>
                <w:sz w:val="20"/>
                <w:szCs w:val="20"/>
              </w:rPr>
            </w:pPr>
            <w:r>
              <w:rPr>
                <w:rFonts w:ascii="Arial" w:eastAsia="Arial" w:hAnsi="Arial" w:cs="Arial"/>
                <w:color w:val="222222"/>
                <w:sz w:val="20"/>
                <w:szCs w:val="20"/>
              </w:rPr>
              <w:t>valdes loceklis</w:t>
            </w:r>
          </w:p>
          <w:p w14:paraId="1FF881A9" w14:textId="77777777" w:rsidR="001E2A8D" w:rsidRDefault="00971237">
            <w:pPr>
              <w:spacing w:line="288" w:lineRule="auto"/>
              <w:jc w:val="both"/>
              <w:rPr>
                <w:rFonts w:ascii="Arial" w:eastAsia="Arial" w:hAnsi="Arial" w:cs="Arial"/>
                <w:color w:val="222222"/>
                <w:sz w:val="20"/>
                <w:szCs w:val="20"/>
              </w:rPr>
            </w:pPr>
            <w:r>
              <w:rPr>
                <w:rFonts w:ascii="Arial" w:eastAsia="Arial" w:hAnsi="Arial" w:cs="Arial"/>
                <w:color w:val="222222"/>
                <w:sz w:val="20"/>
                <w:szCs w:val="20"/>
              </w:rPr>
              <w:t xml:space="preserve"> </w:t>
            </w:r>
          </w:p>
        </w:tc>
      </w:tr>
    </w:tbl>
    <w:p w14:paraId="6F649ADA" w14:textId="77777777" w:rsidR="001E2A8D" w:rsidRDefault="001E2A8D">
      <w:pPr>
        <w:spacing w:line="288" w:lineRule="auto"/>
        <w:rPr>
          <w:rFonts w:ascii="Arial" w:eastAsia="Arial" w:hAnsi="Arial" w:cs="Arial"/>
          <w:color w:val="222222"/>
          <w:sz w:val="20"/>
          <w:szCs w:val="20"/>
        </w:rPr>
      </w:pPr>
    </w:p>
    <w:p w14:paraId="019584FA" w14:textId="77777777" w:rsidR="001E2A8D" w:rsidRDefault="001E2A8D">
      <w:pPr>
        <w:rPr>
          <w:rFonts w:ascii="Arial" w:eastAsia="Arial" w:hAnsi="Arial" w:cs="Arial"/>
          <w:color w:val="222222"/>
          <w:sz w:val="20"/>
          <w:szCs w:val="20"/>
        </w:rPr>
      </w:pPr>
    </w:p>
    <w:sectPr w:rsidR="001E2A8D">
      <w:headerReference w:type="default" r:id="rId7"/>
      <w:footerReference w:type="default" r:id="rId8"/>
      <w:headerReference w:type="first" r:id="rId9"/>
      <w:footerReference w:type="first" r:id="rId10"/>
      <w:pgSz w:w="12240" w:h="15840"/>
      <w:pgMar w:top="1474" w:right="1701" w:bottom="539" w:left="1474" w:header="7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A9CA" w14:textId="77777777" w:rsidR="00803A34" w:rsidRDefault="00803A34">
      <w:r>
        <w:separator/>
      </w:r>
    </w:p>
  </w:endnote>
  <w:endnote w:type="continuationSeparator" w:id="0">
    <w:p w14:paraId="7262C087" w14:textId="77777777" w:rsidR="00803A34" w:rsidRDefault="0080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E1FC" w14:textId="77777777" w:rsidR="001E2A8D" w:rsidRDefault="0097123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8C035A">
      <w:rPr>
        <w:noProof/>
        <w:color w:val="000000"/>
      </w:rPr>
      <w:t>2</w:t>
    </w:r>
    <w:r>
      <w:rPr>
        <w:color w:val="000000"/>
      </w:rPr>
      <w:fldChar w:fldCharType="end"/>
    </w:r>
  </w:p>
  <w:p w14:paraId="3C456267" w14:textId="77777777" w:rsidR="001E2A8D" w:rsidRDefault="001E2A8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4AA5" w14:textId="77777777" w:rsidR="001E2A8D" w:rsidRDefault="0097123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8C035A">
      <w:rPr>
        <w:noProof/>
        <w:color w:val="000000"/>
      </w:rPr>
      <w:t>1</w:t>
    </w:r>
    <w:r>
      <w:rPr>
        <w:color w:val="000000"/>
      </w:rPr>
      <w:fldChar w:fldCharType="end"/>
    </w:r>
  </w:p>
  <w:p w14:paraId="0B4C5544" w14:textId="77777777" w:rsidR="001E2A8D" w:rsidRDefault="001E2A8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6A3E" w14:textId="77777777" w:rsidR="00803A34" w:rsidRDefault="00803A34">
      <w:r>
        <w:separator/>
      </w:r>
    </w:p>
  </w:footnote>
  <w:footnote w:type="continuationSeparator" w:id="0">
    <w:p w14:paraId="507E889E" w14:textId="77777777" w:rsidR="00803A34" w:rsidRDefault="0080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D13D" w14:textId="77777777" w:rsidR="001E2A8D" w:rsidRDefault="001E2A8D">
    <w:pPr>
      <w:tabs>
        <w:tab w:val="center" w:pos="4153"/>
        <w:tab w:val="right" w:pos="8306"/>
      </w:tabs>
      <w:spacing w:befor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9DA5" w14:textId="77777777" w:rsidR="001E2A8D" w:rsidRDefault="00971237">
    <w:pPr>
      <w:tabs>
        <w:tab w:val="right" w:pos="9065"/>
      </w:tabs>
      <w:spacing w:before="142"/>
      <w:rPr>
        <w:rFonts w:ascii="Times New Roman" w:eastAsia="Times New Roman" w:hAnsi="Times New Roman" w:cs="Times New Roman"/>
        <w:b/>
        <w:sz w:val="24"/>
        <w:szCs w:val="24"/>
      </w:rPr>
    </w:pPr>
    <w:r>
      <w:rPr>
        <w:noProof/>
      </w:rPr>
      <w:drawing>
        <wp:inline distT="0" distB="0" distL="0" distR="0" wp14:anchorId="2727D082" wp14:editId="3D76D0FC">
          <wp:extent cx="1839206" cy="949899"/>
          <wp:effectExtent l="0" t="0" r="0" b="0"/>
          <wp:docPr id="1" name="image1.jpg" descr="C:\Users\Kristaps PC\Desktop\CAPITALS\BIEDRĪBA\logo1_3.jpg"/>
          <wp:cNvGraphicFramePr/>
          <a:graphic xmlns:a="http://schemas.openxmlformats.org/drawingml/2006/main">
            <a:graphicData uri="http://schemas.openxmlformats.org/drawingml/2006/picture">
              <pic:pic xmlns:pic="http://schemas.openxmlformats.org/drawingml/2006/picture">
                <pic:nvPicPr>
                  <pic:cNvPr id="0" name="image1.jpg" descr="C:\Users\Kristaps PC\Desktop\CAPITALS\BIEDRĪBA\logo1_3.jpg"/>
                  <pic:cNvPicPr preferRelativeResize="0"/>
                </pic:nvPicPr>
                <pic:blipFill>
                  <a:blip r:embed="rId1"/>
                  <a:srcRect/>
                  <a:stretch>
                    <a:fillRect/>
                  </a:stretch>
                </pic:blipFill>
                <pic:spPr>
                  <a:xfrm>
                    <a:off x="0" y="0"/>
                    <a:ext cx="1839206" cy="949899"/>
                  </a:xfrm>
                  <a:prstGeom prst="rect">
                    <a:avLst/>
                  </a:prstGeom>
                  <a:ln/>
                </pic:spPr>
              </pic:pic>
            </a:graphicData>
          </a:graphic>
        </wp:inline>
      </w:drawing>
    </w:r>
    <w:r>
      <w:rPr>
        <w:rFonts w:ascii="Times New Roman" w:eastAsia="Times New Roman" w:hAnsi="Times New Roman" w:cs="Times New Roman"/>
        <w:b/>
        <w:sz w:val="24"/>
        <w:szCs w:val="24"/>
      </w:rPr>
      <w:t xml:space="preserve"> </w:t>
    </w:r>
  </w:p>
  <w:p w14:paraId="1330B104" w14:textId="77777777" w:rsidR="001E2A8D" w:rsidRDefault="00971237">
    <w:pPr>
      <w:pBdr>
        <w:bottom w:val="single" w:sz="4" w:space="1" w:color="000000"/>
      </w:pBdr>
      <w:tabs>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Reģistrācijas nr.</w:t>
    </w:r>
    <w:r>
      <w:t xml:space="preserve"> </w:t>
    </w:r>
    <w:r>
      <w:rPr>
        <w:rFonts w:ascii="Times New Roman" w:eastAsia="Times New Roman" w:hAnsi="Times New Roman" w:cs="Times New Roman"/>
        <w:sz w:val="24"/>
        <w:szCs w:val="24"/>
      </w:rPr>
      <w:t>40008036843, juridiskā adrese: Kaļķu iela 7, Rīga, LV-1050, Latvija</w:t>
    </w:r>
  </w:p>
  <w:p w14:paraId="4E039369" w14:textId="77777777" w:rsidR="001E2A8D" w:rsidRDefault="00971237">
    <w:pPr>
      <w:pBdr>
        <w:bottom w:val="single" w:sz="4" w:space="1" w:color="000000"/>
      </w:pBdr>
      <w:tabs>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mājas lapa: </w:t>
    </w:r>
    <w:hyperlink r:id="rId2">
      <w:r>
        <w:rPr>
          <w:rFonts w:ascii="Times New Roman" w:eastAsia="Times New Roman" w:hAnsi="Times New Roman" w:cs="Times New Roman"/>
          <w:color w:val="1155CC"/>
          <w:sz w:val="24"/>
          <w:szCs w:val="24"/>
          <w:u w:val="single"/>
        </w:rPr>
        <w:t>www.wea.lv</w:t>
      </w:r>
    </w:hyperlink>
    <w:r>
      <w:rPr>
        <w:rFonts w:ascii="Times New Roman" w:eastAsia="Times New Roman" w:hAnsi="Times New Roman" w:cs="Times New Roman"/>
        <w:sz w:val="24"/>
        <w:szCs w:val="24"/>
      </w:rPr>
      <w:t xml:space="preserve"> e-pasts: </w:t>
    </w:r>
    <w:hyperlink r:id="rId3">
      <w:r>
        <w:rPr>
          <w:rFonts w:ascii="Times New Roman" w:eastAsia="Times New Roman" w:hAnsi="Times New Roman" w:cs="Times New Roman"/>
          <w:color w:val="0563C1"/>
          <w:sz w:val="24"/>
          <w:szCs w:val="24"/>
          <w:u w:val="single"/>
        </w:rPr>
        <w:t>info@wea.lv</w:t>
      </w:r>
    </w:hyperlink>
    <w:r>
      <w:rPr>
        <w:rFonts w:ascii="Times New Roman" w:eastAsia="Times New Roman" w:hAnsi="Times New Roman" w:cs="Times New Roman"/>
        <w:sz w:val="24"/>
        <w:szCs w:val="24"/>
      </w:rPr>
      <w:t xml:space="preserve">, tālr.: 28652770 </w:t>
    </w:r>
  </w:p>
  <w:p w14:paraId="7A3AFC62" w14:textId="77777777" w:rsidR="001E2A8D" w:rsidRDefault="00971237">
    <w:pPr>
      <w:pBdr>
        <w:bottom w:val="single" w:sz="4" w:space="1" w:color="000000"/>
      </w:pBdr>
      <w:tabs>
        <w:tab w:val="center" w:pos="4153"/>
        <w:tab w:val="right" w:pos="8306"/>
      </w:tabs>
      <w:jc w:val="center"/>
    </w:pPr>
    <w:r>
      <w:rPr>
        <w:rFonts w:ascii="Times New Roman" w:eastAsia="Times New Roman" w:hAnsi="Times New Roman" w:cs="Times New Roman"/>
        <w:sz w:val="24"/>
        <w:szCs w:val="24"/>
      </w:rPr>
      <w:t xml:space="preserve">               </w:t>
    </w:r>
  </w:p>
  <w:p w14:paraId="43F12241" w14:textId="77777777" w:rsidR="001E2A8D" w:rsidRDefault="001E2A8D">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8D"/>
    <w:rsid w:val="001E2A8D"/>
    <w:rsid w:val="004917D6"/>
    <w:rsid w:val="0051222D"/>
    <w:rsid w:val="005F1237"/>
    <w:rsid w:val="00803A34"/>
    <w:rsid w:val="008C035A"/>
    <w:rsid w:val="0097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1987"/>
  <w15:docId w15:val="{63CB264B-ACE1-404C-B23B-2143BCD9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urs.toms.pless@varam.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info@wea.lv" TargetMode="External"/><Relationship Id="rId2" Type="http://schemas.openxmlformats.org/officeDocument/2006/relationships/hyperlink" Target="http://www.wea.lv"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2154</Words>
  <Characters>1229</Characters>
  <Application>Microsoft Office Word</Application>
  <DocSecurity>0</DocSecurity>
  <Lines>10</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dc:creator>
  <cp:lastModifiedBy>Lita Trakina</cp:lastModifiedBy>
  <cp:revision>2</cp:revision>
  <dcterms:created xsi:type="dcterms:W3CDTF">2022-04-14T11:58:00Z</dcterms:created>
  <dcterms:modified xsi:type="dcterms:W3CDTF">2022-04-14T11:58:00Z</dcterms:modified>
</cp:coreProperties>
</file>