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DB14" w14:textId="302726B6" w:rsidR="005279F1" w:rsidRPr="0051135C" w:rsidRDefault="00872B6C" w:rsidP="001D51C5">
      <w:pPr>
        <w:shd w:val="clear" w:color="auto" w:fill="FFFFFF"/>
        <w:spacing w:before="100" w:beforeAutospacing="1" w:after="100" w:afterAutospacing="1" w:line="240" w:lineRule="auto"/>
        <w:jc w:val="center"/>
        <w:outlineLvl w:val="2"/>
        <w:rPr>
          <w:rFonts w:ascii="Times New Roman" w:eastAsia="Times New Roman" w:hAnsi="Times New Roman" w:cs="Times New Roman"/>
          <w:color w:val="FF0000"/>
          <w:sz w:val="27"/>
          <w:szCs w:val="27"/>
          <w:lang w:eastAsia="lv-LV"/>
        </w:rPr>
      </w:pPr>
      <w:r w:rsidRPr="0051135C">
        <w:rPr>
          <w:rFonts w:ascii="Times New Roman" w:eastAsia="Times New Roman" w:hAnsi="Times New Roman" w:cs="Times New Roman"/>
          <w:sz w:val="27"/>
          <w:szCs w:val="27"/>
          <w:lang w:eastAsia="lv-LV"/>
        </w:rPr>
        <w:t>Investīcija 2.1.1.1.i. “</w:t>
      </w:r>
      <w:r w:rsidR="00C026CD" w:rsidRPr="0051135C">
        <w:rPr>
          <w:rFonts w:ascii="Times New Roman" w:eastAsia="Times New Roman" w:hAnsi="Times New Roman" w:cs="Times New Roman"/>
          <w:b/>
          <w:bCs/>
          <w:sz w:val="27"/>
          <w:szCs w:val="27"/>
          <w:lang w:eastAsia="lv-LV"/>
        </w:rPr>
        <w:t>Pārvaldes modernizācija un pakalpojumu digitālā transformācija, tai skaitā uzņēmējdarbības vide</w:t>
      </w:r>
      <w:r w:rsidRPr="0051135C">
        <w:rPr>
          <w:rFonts w:ascii="Times New Roman" w:eastAsia="Times New Roman" w:hAnsi="Times New Roman" w:cs="Times New Roman"/>
          <w:sz w:val="27"/>
          <w:szCs w:val="27"/>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6153"/>
      </w:tblGrid>
      <w:tr w:rsidR="009600DA" w:rsidRPr="0051135C" w14:paraId="404BD643" w14:textId="77777777" w:rsidTr="3721BB75">
        <w:tc>
          <w:tcPr>
            <w:tcW w:w="0" w:type="auto"/>
            <w:vAlign w:val="center"/>
            <w:hideMark/>
          </w:tcPr>
          <w:p w14:paraId="277A4A83" w14:textId="15BDF99C" w:rsidR="005279F1" w:rsidRPr="0051135C" w:rsidRDefault="001D51C5"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Plānotais AF* finansējums</w:t>
            </w:r>
            <w:r w:rsidR="009600DA" w:rsidRPr="0051135C">
              <w:rPr>
                <w:rFonts w:ascii="Times New Roman" w:eastAsia="Times New Roman" w:hAnsi="Times New Roman" w:cs="Times New Roman"/>
                <w:sz w:val="24"/>
                <w:szCs w:val="24"/>
                <w:lang w:eastAsia="lv-LV"/>
              </w:rPr>
              <w:t>:</w:t>
            </w:r>
          </w:p>
        </w:tc>
        <w:tc>
          <w:tcPr>
            <w:tcW w:w="0" w:type="auto"/>
            <w:vAlign w:val="center"/>
            <w:hideMark/>
          </w:tcPr>
          <w:p w14:paraId="19893891" w14:textId="33B97475" w:rsidR="009600DA" w:rsidRPr="0051135C" w:rsidRDefault="00ED0A50" w:rsidP="005279F1">
            <w:pPr>
              <w:spacing w:after="0" w:line="240" w:lineRule="auto"/>
              <w:rPr>
                <w:rFonts w:ascii="Times New Roman" w:eastAsia="Times New Roman" w:hAnsi="Times New Roman" w:cs="Times New Roman"/>
                <w:color w:val="FF0000"/>
                <w:sz w:val="24"/>
                <w:szCs w:val="24"/>
                <w:lang w:eastAsia="lv-LV"/>
              </w:rPr>
            </w:pPr>
            <w:r w:rsidRPr="00ED0A50">
              <w:rPr>
                <w:rFonts w:ascii="Times New Roman" w:eastAsia="Times New Roman" w:hAnsi="Times New Roman" w:cs="Times New Roman"/>
                <w:sz w:val="24"/>
                <w:szCs w:val="24"/>
                <w:lang w:eastAsia="lv-LV"/>
              </w:rPr>
              <w:t xml:space="preserve">24 437 280 </w:t>
            </w:r>
            <w:proofErr w:type="spellStart"/>
            <w:r w:rsidRPr="00ED0A50">
              <w:rPr>
                <w:rFonts w:ascii="Times New Roman" w:eastAsia="Times New Roman" w:hAnsi="Times New Roman" w:cs="Times New Roman"/>
                <w:i/>
                <w:iCs/>
                <w:sz w:val="24"/>
                <w:szCs w:val="24"/>
                <w:lang w:eastAsia="lv-LV"/>
              </w:rPr>
              <w:t>euro</w:t>
            </w:r>
            <w:proofErr w:type="spellEnd"/>
            <w:r w:rsidRPr="00ED0A50" w:rsidDel="00ED0A50">
              <w:rPr>
                <w:rFonts w:ascii="Times New Roman" w:eastAsia="Times New Roman" w:hAnsi="Times New Roman" w:cs="Times New Roman"/>
                <w:sz w:val="24"/>
                <w:szCs w:val="24"/>
                <w:lang w:eastAsia="lv-LV"/>
              </w:rPr>
              <w:t xml:space="preserve"> </w:t>
            </w:r>
          </w:p>
        </w:tc>
      </w:tr>
      <w:tr w:rsidR="009600DA" w:rsidRPr="0051135C" w14:paraId="35B2EDF5" w14:textId="77777777" w:rsidTr="3721BB75">
        <w:tc>
          <w:tcPr>
            <w:tcW w:w="0" w:type="auto"/>
            <w:vAlign w:val="center"/>
            <w:hideMark/>
          </w:tcPr>
          <w:p w14:paraId="38679C09" w14:textId="77777777" w:rsidR="005279F1" w:rsidRPr="0051135C" w:rsidRDefault="005279F1"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Finansējuma saņēmēji:</w:t>
            </w:r>
          </w:p>
        </w:tc>
        <w:tc>
          <w:tcPr>
            <w:tcW w:w="0" w:type="auto"/>
            <w:vAlign w:val="center"/>
            <w:hideMark/>
          </w:tcPr>
          <w:p w14:paraId="4A700713" w14:textId="5E1BD8FE" w:rsidR="00583092" w:rsidRPr="0051135C" w:rsidRDefault="00776CA4" w:rsidP="00D22760">
            <w:pPr>
              <w:pStyle w:val="ListParagraph"/>
              <w:numPr>
                <w:ilvl w:val="0"/>
                <w:numId w:val="17"/>
              </w:numPr>
              <w:spacing w:after="0" w:line="240" w:lineRule="auto"/>
              <w:ind w:left="343" w:hanging="284"/>
              <w:jc w:val="both"/>
              <w:rPr>
                <w:rFonts w:ascii="Times New Roman" w:eastAsia="Times New Roman" w:hAnsi="Times New Roman" w:cs="Times New Roman"/>
                <w:sz w:val="24"/>
                <w:szCs w:val="24"/>
                <w:lang w:eastAsia="lv-LV"/>
              </w:rPr>
            </w:pPr>
            <w:r w:rsidRPr="00776CA4">
              <w:rPr>
                <w:rFonts w:ascii="Times New Roman" w:eastAsia="Times New Roman" w:hAnsi="Times New Roman" w:cs="Times New Roman"/>
                <w:sz w:val="24"/>
                <w:szCs w:val="24"/>
                <w:lang w:eastAsia="lv-LV"/>
              </w:rPr>
              <w:t>tiešās pārvaldes iestādes</w:t>
            </w:r>
            <w:r w:rsidR="00CC011C" w:rsidRPr="0051135C">
              <w:rPr>
                <w:rFonts w:ascii="Times New Roman" w:eastAsia="Times New Roman" w:hAnsi="Times New Roman" w:cs="Times New Roman"/>
                <w:sz w:val="24"/>
                <w:szCs w:val="24"/>
                <w:lang w:eastAsia="lv-LV"/>
              </w:rPr>
              <w:t>;</w:t>
            </w:r>
          </w:p>
          <w:p w14:paraId="6418A00B" w14:textId="2269E8AE" w:rsidR="00776CA4" w:rsidRDefault="00B36E60" w:rsidP="00D22760">
            <w:pPr>
              <w:pStyle w:val="ListParagraph"/>
              <w:numPr>
                <w:ilvl w:val="0"/>
                <w:numId w:val="17"/>
              </w:numPr>
              <w:spacing w:after="0" w:line="240" w:lineRule="auto"/>
              <w:ind w:left="343" w:hanging="284"/>
              <w:jc w:val="both"/>
              <w:rPr>
                <w:rFonts w:ascii="Times New Roman" w:eastAsia="Times New Roman" w:hAnsi="Times New Roman" w:cs="Times New Roman"/>
                <w:sz w:val="24"/>
                <w:szCs w:val="24"/>
                <w:lang w:eastAsia="lv-LV"/>
              </w:rPr>
            </w:pPr>
            <w:r w:rsidRPr="00B36E60">
              <w:rPr>
                <w:rFonts w:ascii="Times New Roman" w:eastAsia="Times New Roman" w:hAnsi="Times New Roman" w:cs="Times New Roman"/>
                <w:sz w:val="24"/>
                <w:szCs w:val="24"/>
                <w:lang w:eastAsia="lv-LV"/>
              </w:rPr>
              <w:t>Centrālā vēlēšanu komisij</w:t>
            </w:r>
            <w:r w:rsidR="00A66860">
              <w:rPr>
                <w:rFonts w:ascii="Times New Roman" w:eastAsia="Times New Roman" w:hAnsi="Times New Roman" w:cs="Times New Roman"/>
                <w:sz w:val="24"/>
                <w:szCs w:val="24"/>
                <w:lang w:eastAsia="lv-LV"/>
              </w:rPr>
              <w:t>a</w:t>
            </w:r>
            <w:r w:rsidR="00210033">
              <w:rPr>
                <w:rFonts w:ascii="Times New Roman" w:eastAsia="Times New Roman" w:hAnsi="Times New Roman" w:cs="Times New Roman"/>
                <w:sz w:val="24"/>
                <w:szCs w:val="24"/>
                <w:lang w:eastAsia="lv-LV"/>
              </w:rPr>
              <w:t>;</w:t>
            </w:r>
          </w:p>
          <w:p w14:paraId="79D9DAFC" w14:textId="34396D11" w:rsidR="009600DA" w:rsidRPr="00A66860" w:rsidRDefault="00210033" w:rsidP="00A66860">
            <w:pPr>
              <w:pStyle w:val="ListParagraph"/>
              <w:numPr>
                <w:ilvl w:val="0"/>
                <w:numId w:val="17"/>
              </w:numPr>
              <w:spacing w:after="0" w:line="240" w:lineRule="auto"/>
              <w:ind w:left="343" w:hanging="284"/>
              <w:jc w:val="both"/>
              <w:rPr>
                <w:rFonts w:ascii="Times New Roman" w:eastAsia="Times New Roman" w:hAnsi="Times New Roman" w:cs="Times New Roman"/>
                <w:sz w:val="24"/>
                <w:szCs w:val="24"/>
                <w:lang w:eastAsia="lv-LV"/>
              </w:rPr>
            </w:pPr>
            <w:r w:rsidRPr="00210033">
              <w:rPr>
                <w:rFonts w:ascii="Times New Roman" w:eastAsia="Times New Roman" w:hAnsi="Times New Roman" w:cs="Times New Roman"/>
                <w:sz w:val="24"/>
                <w:szCs w:val="24"/>
                <w:lang w:eastAsia="lv-LV"/>
              </w:rPr>
              <w:t>Rīgas brīvostas pārvalde</w:t>
            </w:r>
            <w:r w:rsidR="00A050AC" w:rsidRPr="00A66860">
              <w:rPr>
                <w:rFonts w:ascii="Times New Roman" w:eastAsia="Times New Roman" w:hAnsi="Times New Roman" w:cs="Times New Roman"/>
                <w:sz w:val="24"/>
                <w:szCs w:val="24"/>
                <w:lang w:eastAsia="lv-LV"/>
              </w:rPr>
              <w:t>.</w:t>
            </w:r>
          </w:p>
        </w:tc>
      </w:tr>
      <w:tr w:rsidR="009600DA" w:rsidRPr="0051135C" w14:paraId="1B776683" w14:textId="77777777" w:rsidTr="3721BB75">
        <w:tc>
          <w:tcPr>
            <w:tcW w:w="0" w:type="auto"/>
            <w:vAlign w:val="center"/>
            <w:hideMark/>
          </w:tcPr>
          <w:p w14:paraId="2C5FA5F3" w14:textId="77777777" w:rsidR="005279F1" w:rsidRPr="0051135C" w:rsidRDefault="005279F1"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Atbalstāmās darbības:</w:t>
            </w:r>
          </w:p>
        </w:tc>
        <w:tc>
          <w:tcPr>
            <w:tcW w:w="0" w:type="auto"/>
            <w:vAlign w:val="center"/>
            <w:hideMark/>
          </w:tcPr>
          <w:p w14:paraId="3A6173E1" w14:textId="61569856" w:rsidR="00EF7FF2" w:rsidRPr="00C67F73" w:rsidRDefault="00EF7FF2" w:rsidP="00EF7FF2">
            <w:pPr>
              <w:spacing w:after="0" w:line="240" w:lineRule="auto"/>
              <w:jc w:val="both"/>
              <w:rPr>
                <w:rFonts w:ascii="Times New Roman" w:eastAsia="Times New Roman" w:hAnsi="Times New Roman" w:cs="Times New Roman"/>
                <w:sz w:val="24"/>
                <w:szCs w:val="24"/>
                <w:lang w:eastAsia="lv-LV"/>
              </w:rPr>
            </w:pPr>
            <w:r w:rsidRPr="00C67F73">
              <w:rPr>
                <w:rFonts w:ascii="Times New Roman" w:hAnsi="Times New Roman" w:cs="Times New Roman"/>
                <w:sz w:val="24"/>
                <w:szCs w:val="24"/>
                <w:bdr w:val="none" w:sz="0" w:space="0" w:color="auto" w:frame="1"/>
                <w:shd w:val="clear" w:color="auto" w:fill="FFFFFF"/>
              </w:rPr>
              <w:t>Investīcija</w:t>
            </w:r>
            <w:r w:rsidR="00A01919" w:rsidRPr="00C67F73">
              <w:rPr>
                <w:rFonts w:ascii="Times New Roman" w:hAnsi="Times New Roman" w:cs="Times New Roman"/>
                <w:sz w:val="24"/>
                <w:szCs w:val="24"/>
                <w:bdr w:val="none" w:sz="0" w:space="0" w:color="auto" w:frame="1"/>
                <w:shd w:val="clear" w:color="auto" w:fill="FFFFFF"/>
              </w:rPr>
              <w:t>s</w:t>
            </w:r>
            <w:r w:rsidRPr="00C67F73">
              <w:rPr>
                <w:rFonts w:ascii="Times New Roman" w:hAnsi="Times New Roman" w:cs="Times New Roman"/>
                <w:sz w:val="24"/>
                <w:szCs w:val="24"/>
                <w:bdr w:val="none" w:sz="0" w:space="0" w:color="auto" w:frame="1"/>
                <w:shd w:val="clear" w:color="auto" w:fill="FFFFFF"/>
              </w:rPr>
              <w:t xml:space="preserve"> 2.1.1.1.i. </w:t>
            </w:r>
            <w:r w:rsidR="00A01919" w:rsidRPr="00C67F73">
              <w:rPr>
                <w:rFonts w:ascii="Times New Roman" w:hAnsi="Times New Roman" w:cs="Times New Roman"/>
                <w:sz w:val="24"/>
                <w:szCs w:val="24"/>
                <w:bdr w:val="none" w:sz="0" w:space="0" w:color="auto" w:frame="1"/>
                <w:shd w:val="clear" w:color="auto" w:fill="FFFFFF"/>
              </w:rPr>
              <w:t xml:space="preserve">mērķu sasniegšana </w:t>
            </w:r>
            <w:r w:rsidR="00FE2E0A" w:rsidRPr="00C67F73">
              <w:rPr>
                <w:rFonts w:ascii="Times New Roman" w:hAnsi="Times New Roman" w:cs="Times New Roman"/>
                <w:sz w:val="24"/>
                <w:szCs w:val="24"/>
                <w:bdr w:val="none" w:sz="0" w:space="0" w:color="auto" w:frame="1"/>
                <w:shd w:val="clear" w:color="auto" w:fill="FFFFFF"/>
              </w:rPr>
              <w:t>tiks nodrošināta īstenojot projektus atbilstoši šādiem investīciju nolūkiem</w:t>
            </w:r>
            <w:r w:rsidRPr="00C67F73">
              <w:rPr>
                <w:rFonts w:ascii="Times New Roman" w:hAnsi="Times New Roman" w:cs="Times New Roman"/>
                <w:sz w:val="24"/>
                <w:szCs w:val="24"/>
                <w:bdr w:val="none" w:sz="0" w:space="0" w:color="auto" w:frame="1"/>
                <w:shd w:val="clear" w:color="auto" w:fill="FFFFFF"/>
              </w:rPr>
              <w:t xml:space="preserve">: </w:t>
            </w:r>
          </w:p>
          <w:p w14:paraId="47A741F3"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Pārrobežu sadarbību nodokļu jomā veicinošo digitālo pakalpojumu attīstība;</w:t>
            </w:r>
          </w:p>
          <w:p w14:paraId="7699DE7E"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Uzņēmuma reģistra datu apstrādes un pakalpojumu modernizācija;</w:t>
            </w:r>
          </w:p>
          <w:p w14:paraId="07F9721A"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Vienotas civilās aizsardzības un ugunsdrošības pārvaldības platformas ieviešana;</w:t>
            </w:r>
          </w:p>
          <w:p w14:paraId="079AF956"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Publiskā iepirkuma procesu un pakalpojumu digitālā transformācija;</w:t>
            </w:r>
          </w:p>
          <w:p w14:paraId="5F5BF9F5"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Ostu pārvaldības digitālā transformācija pilnveidojot transporta un loģistikas datu apstrādi un analīzi;</w:t>
            </w:r>
          </w:p>
          <w:p w14:paraId="6691222A"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 xml:space="preserve">Veterināro zāļu reģistrācijas </w:t>
            </w:r>
            <w:proofErr w:type="spellStart"/>
            <w:r w:rsidRPr="00C67F73">
              <w:rPr>
                <w:rFonts w:ascii="Times New Roman" w:eastAsia="Times New Roman" w:hAnsi="Times New Roman" w:cs="Times New Roman"/>
                <w:sz w:val="24"/>
                <w:szCs w:val="24"/>
                <w:lang w:eastAsia="lv-LV"/>
              </w:rPr>
              <w:t>digitalizācija</w:t>
            </w:r>
            <w:proofErr w:type="spellEnd"/>
            <w:r w:rsidRPr="00C67F73">
              <w:rPr>
                <w:rFonts w:ascii="Times New Roman" w:eastAsia="Times New Roman" w:hAnsi="Times New Roman" w:cs="Times New Roman"/>
                <w:sz w:val="24"/>
                <w:szCs w:val="24"/>
                <w:lang w:eastAsia="lv-LV"/>
              </w:rPr>
              <w:t>;</w:t>
            </w:r>
          </w:p>
          <w:p w14:paraId="68D89041"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Sabiedriskās kārtības un drošības monitoringa digitālo risinājumu ieviešana, t.sk. drošības monitoringam viedo pilsētu risinājumu ietvaros;</w:t>
            </w:r>
          </w:p>
          <w:p w14:paraId="5722F623"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Kultūras nozares institūciju darbības procesu digitālā transformācija, t.sk. digitālie risinājumi nozares institūcijām;</w:t>
            </w:r>
          </w:p>
          <w:p w14:paraId="0A7BA5F7" w14:textId="77777777"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eastAsia="Times New Roman" w:hAnsi="Times New Roman" w:cs="Times New Roman"/>
                <w:sz w:val="24"/>
                <w:szCs w:val="24"/>
                <w:lang w:eastAsia="lv-LV"/>
              </w:rPr>
              <w:t xml:space="preserve">Vēlēšanu procesu </w:t>
            </w:r>
            <w:proofErr w:type="spellStart"/>
            <w:r w:rsidRPr="00C67F73">
              <w:rPr>
                <w:rFonts w:ascii="Times New Roman" w:eastAsia="Times New Roman" w:hAnsi="Times New Roman" w:cs="Times New Roman"/>
                <w:sz w:val="24"/>
                <w:szCs w:val="24"/>
                <w:lang w:eastAsia="lv-LV"/>
              </w:rPr>
              <w:t>digitalizācija</w:t>
            </w:r>
            <w:proofErr w:type="spellEnd"/>
            <w:r w:rsidRPr="00C67F73">
              <w:rPr>
                <w:rFonts w:ascii="Times New Roman" w:eastAsia="Times New Roman" w:hAnsi="Times New Roman" w:cs="Times New Roman"/>
                <w:sz w:val="24"/>
                <w:szCs w:val="24"/>
                <w:lang w:eastAsia="lv-LV"/>
              </w:rPr>
              <w:t> un automatizācija;</w:t>
            </w:r>
          </w:p>
          <w:p w14:paraId="6A1E866F" w14:textId="0C82A188" w:rsidR="00EF7FF2" w:rsidRPr="00C67F73" w:rsidRDefault="00EF7FF2" w:rsidP="00EF7FF2">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C67F73">
              <w:rPr>
                <w:rFonts w:ascii="Times New Roman" w:hAnsi="Times New Roman" w:cs="Times New Roman"/>
                <w:sz w:val="24"/>
                <w:szCs w:val="24"/>
              </w:rPr>
              <w:t>Informatīvās telpas monitoringa un aizsardzības spēju paaugstināšana.</w:t>
            </w:r>
          </w:p>
          <w:p w14:paraId="645E62BC" w14:textId="22B9A52A" w:rsidR="00F560EC" w:rsidRPr="00C67F73" w:rsidRDefault="00F560EC" w:rsidP="00EF7FF2">
            <w:pPr>
              <w:pStyle w:val="tv213"/>
              <w:spacing w:before="120" w:beforeAutospacing="0" w:after="0" w:afterAutospacing="0" w:line="293" w:lineRule="atLeast"/>
              <w:jc w:val="both"/>
            </w:pPr>
            <w:r w:rsidRPr="00C67F73">
              <w:rPr>
                <w:bdr w:val="none" w:sz="0" w:space="0" w:color="auto" w:frame="1"/>
                <w:shd w:val="clear" w:color="auto" w:fill="FFFFFF"/>
              </w:rPr>
              <w:t>Investīcija</w:t>
            </w:r>
            <w:r w:rsidR="00C67F73">
              <w:rPr>
                <w:bdr w:val="none" w:sz="0" w:space="0" w:color="auto" w:frame="1"/>
                <w:shd w:val="clear" w:color="auto" w:fill="FFFFFF"/>
              </w:rPr>
              <w:t>s</w:t>
            </w:r>
            <w:r w:rsidRPr="00C67F73">
              <w:rPr>
                <w:bdr w:val="none" w:sz="0" w:space="0" w:color="auto" w:frame="1"/>
                <w:shd w:val="clear" w:color="auto" w:fill="FFFFFF"/>
              </w:rPr>
              <w:t xml:space="preserve"> 2.1.1.1.i. p</w:t>
            </w:r>
            <w:r w:rsidRPr="00C67F73">
              <w:t>rojekta ietvaros var tikt veiktas šādas atbalstāmās darbības:</w:t>
            </w:r>
          </w:p>
          <w:p w14:paraId="39A1443E" w14:textId="77777777" w:rsidR="00F560EC" w:rsidRPr="00C67F73" w:rsidRDefault="00E64852" w:rsidP="00F560EC">
            <w:pPr>
              <w:pStyle w:val="tv213"/>
              <w:numPr>
                <w:ilvl w:val="0"/>
                <w:numId w:val="19"/>
              </w:numPr>
              <w:spacing w:before="120" w:beforeAutospacing="0" w:after="0" w:afterAutospacing="0" w:line="293" w:lineRule="atLeast"/>
              <w:jc w:val="both"/>
            </w:pPr>
            <w:r w:rsidRPr="00C67F73">
              <w:t xml:space="preserve">valsts pārvaldes (t.sk. zinātnisko institūciju, augstākās izglītības iestāžu) procesu un pakalpojumu modernizācija, tos </w:t>
            </w:r>
            <w:proofErr w:type="spellStart"/>
            <w:r w:rsidRPr="00C67F73">
              <w:t>digitalizējot</w:t>
            </w:r>
            <w:proofErr w:type="spellEnd"/>
            <w:r w:rsidRPr="00C67F73">
              <w:t>, t.sk.:</w:t>
            </w:r>
          </w:p>
          <w:p w14:paraId="6A53D1A2" w14:textId="77777777" w:rsidR="00F560EC" w:rsidRPr="00C67F73" w:rsidRDefault="00E64852" w:rsidP="00F560EC">
            <w:pPr>
              <w:pStyle w:val="tv213"/>
              <w:numPr>
                <w:ilvl w:val="1"/>
                <w:numId w:val="19"/>
              </w:numPr>
              <w:spacing w:before="120" w:beforeAutospacing="0" w:after="0" w:afterAutospacing="0" w:line="293" w:lineRule="atLeast"/>
              <w:jc w:val="both"/>
            </w:pPr>
            <w:r w:rsidRPr="00C67F73">
              <w:t xml:space="preserve">modernizācijas pasākumi (t.sk. modernizācijai nepieciešamo tehnoloģisko risinājumu attīstība un ieviešana) valsts pārvaldes funkcijām, procesiem un pakalpojumiem, kas vēl nav </w:t>
            </w:r>
            <w:proofErr w:type="spellStart"/>
            <w:r w:rsidRPr="00C67F73">
              <w:t>digitalizēti</w:t>
            </w:r>
            <w:proofErr w:type="spellEnd"/>
            <w:r w:rsidRPr="00C67F73">
              <w:t xml:space="preserve"> vai tiek attīstīti no jauna, vai pilnveidoti;</w:t>
            </w:r>
          </w:p>
          <w:p w14:paraId="0330C00E" w14:textId="77777777" w:rsidR="00F560EC" w:rsidRPr="00C67F73" w:rsidRDefault="00E64852" w:rsidP="00F560EC">
            <w:pPr>
              <w:pStyle w:val="tv213"/>
              <w:numPr>
                <w:ilvl w:val="1"/>
                <w:numId w:val="19"/>
              </w:numPr>
              <w:spacing w:before="120" w:beforeAutospacing="0" w:after="0" w:afterAutospacing="0" w:line="293" w:lineRule="atLeast"/>
              <w:jc w:val="both"/>
            </w:pPr>
            <w:r w:rsidRPr="00C67F73">
              <w:t>modernizācijas pasākumi, kas ir saistīti ar valsts pārvaldes datu apstrādes procesiem un rada priekšnoteikumus datu pārvaldības reformas īstenošanai, t.sk. modernizācijai nepieciešamo informācijas sistēmu izstrāde un attīstība;</w:t>
            </w:r>
          </w:p>
          <w:p w14:paraId="58A4009D" w14:textId="77777777" w:rsidR="00F560EC" w:rsidRPr="00C67F73" w:rsidRDefault="00E64852" w:rsidP="00F560EC">
            <w:pPr>
              <w:pStyle w:val="tv213"/>
              <w:numPr>
                <w:ilvl w:val="0"/>
                <w:numId w:val="19"/>
              </w:numPr>
              <w:spacing w:before="120" w:beforeAutospacing="0" w:after="0" w:afterAutospacing="0" w:line="293" w:lineRule="atLeast"/>
              <w:jc w:val="both"/>
            </w:pPr>
            <w:r w:rsidRPr="00C67F73">
              <w:t>projektu vadība un administrēšana;</w:t>
            </w:r>
          </w:p>
          <w:p w14:paraId="281E476B" w14:textId="77777777" w:rsidR="00F560EC" w:rsidRPr="00C67F73" w:rsidRDefault="00E64852" w:rsidP="00F560EC">
            <w:pPr>
              <w:pStyle w:val="tv213"/>
              <w:numPr>
                <w:ilvl w:val="0"/>
                <w:numId w:val="19"/>
              </w:numPr>
              <w:spacing w:before="120" w:beforeAutospacing="0" w:after="0" w:afterAutospacing="0" w:line="293" w:lineRule="atLeast"/>
              <w:jc w:val="both"/>
            </w:pPr>
            <w:r w:rsidRPr="00C67F73">
              <w:lastRenderedPageBreak/>
              <w:t>programmu īstenošanas koordinēšana un IKT arhitektūras pārvaldība projektu un programmu līmenī, lai veicinātu reformu un investīciju virziena mērķu efektīvu sasniegšanu projektu un programmu mijiedarbībā;</w:t>
            </w:r>
          </w:p>
          <w:p w14:paraId="00F7BA39" w14:textId="77777777" w:rsidR="00F560EC" w:rsidRPr="00C67F73" w:rsidRDefault="00E64852" w:rsidP="00F560EC">
            <w:pPr>
              <w:pStyle w:val="tv213"/>
              <w:numPr>
                <w:ilvl w:val="0"/>
                <w:numId w:val="19"/>
              </w:numPr>
              <w:spacing w:before="120" w:beforeAutospacing="0" w:after="0" w:afterAutospacing="0" w:line="293" w:lineRule="atLeast"/>
              <w:jc w:val="both"/>
            </w:pPr>
            <w:r w:rsidRPr="00C67F73">
              <w:t>vizuālās identitātes un publicitātes pasākumi atbilstoši regulas Nr. 2021/241 34. panta 2. punktā noteiktajām prasībām un Eiropas Komisijas un Latvijas Republikas Atveseļošanas un noturības mehānisma finansēšanas nolīguma 10. pantam;</w:t>
            </w:r>
          </w:p>
          <w:p w14:paraId="34F7A4BB" w14:textId="42ED5CA3" w:rsidR="00DA7295" w:rsidRPr="0048325E" w:rsidRDefault="00E64852" w:rsidP="0048325E">
            <w:pPr>
              <w:pStyle w:val="tv213"/>
              <w:numPr>
                <w:ilvl w:val="0"/>
                <w:numId w:val="19"/>
              </w:numPr>
              <w:spacing w:before="120" w:beforeAutospacing="0" w:after="0" w:afterAutospacing="0" w:line="293" w:lineRule="atLeast"/>
              <w:jc w:val="both"/>
            </w:pPr>
            <w:r w:rsidRPr="00C67F73">
              <w:t xml:space="preserve">projekta rezultātu audita vai revīzijas veikšana, ko veic finansējuma saņēmējs, neatkarīgs revidents vai iekšējais auditors, lai pārliecinātos par projekta ietvaros veikto izmaksu pamatotību, atskaites punktu un mērķu sasniegšanu un atbilstību investīcijas īstenošanas nosacījumiem, tai skaitā, ka nav konstatējamas pazīmes par pieļautu interešu konflikta, </w:t>
            </w:r>
            <w:proofErr w:type="spellStart"/>
            <w:r w:rsidRPr="00C67F73">
              <w:t>dubultfinansējumu</w:t>
            </w:r>
            <w:proofErr w:type="spellEnd"/>
            <w:r w:rsidRPr="00C67F73">
              <w:t>, korupcijas un krāpšanas situāciju projektā, kā arī sasniegto rezultātu atbilstību projektā plānotajam.</w:t>
            </w:r>
          </w:p>
        </w:tc>
      </w:tr>
      <w:tr w:rsidR="009600DA" w:rsidRPr="0051135C" w14:paraId="3D135B51" w14:textId="77777777" w:rsidTr="3721BB75">
        <w:trPr>
          <w:trHeight w:val="1077"/>
        </w:trPr>
        <w:tc>
          <w:tcPr>
            <w:tcW w:w="0" w:type="auto"/>
            <w:vAlign w:val="center"/>
            <w:hideMark/>
          </w:tcPr>
          <w:p w14:paraId="4EA47B7E" w14:textId="6B617B24" w:rsidR="005279F1" w:rsidRPr="0051135C" w:rsidRDefault="009600DA" w:rsidP="004F44DB">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lastRenderedPageBreak/>
              <w:t>Sasniedzamie atskaites punkti un mērķi:</w:t>
            </w:r>
          </w:p>
        </w:tc>
        <w:tc>
          <w:tcPr>
            <w:tcW w:w="0" w:type="auto"/>
            <w:vAlign w:val="center"/>
            <w:hideMark/>
          </w:tcPr>
          <w:p w14:paraId="7C541D59" w14:textId="445E3BCB" w:rsidR="00A357B4" w:rsidRDefault="00A357B4" w:rsidP="003914A9">
            <w:pPr>
              <w:pStyle w:val="tv213"/>
              <w:spacing w:before="0" w:beforeAutospacing="0" w:after="0" w:afterAutospacing="0"/>
              <w:jc w:val="both"/>
            </w:pPr>
            <w:bookmarkStart w:id="0" w:name="_Ref104373872"/>
            <w:r>
              <w:t>I</w:t>
            </w:r>
            <w:r w:rsidRPr="00A073CA">
              <w:t>nvestīcijas 2.1.</w:t>
            </w:r>
            <w:r w:rsidR="003914A9">
              <w:t>1</w:t>
            </w:r>
            <w:r w:rsidRPr="00A073CA">
              <w:t>.1.i. mērķis ir</w:t>
            </w:r>
            <w:bookmarkEnd w:id="0"/>
            <w:r w:rsidR="003914A9">
              <w:t xml:space="preserve"> pārveidot publiskās pārvaldes pakalpojumus un to sniegšanas procesus, lai efektīvi īstenotu ekonomikas digitālo transformāciju, ko veic, izmantojot inovatīvas tehnoloģijas un pieejas, tostarp mākslīgā intelekta un </w:t>
            </w:r>
            <w:proofErr w:type="spellStart"/>
            <w:r w:rsidR="003914A9">
              <w:t>mašīnmācīšanās</w:t>
            </w:r>
            <w:proofErr w:type="spellEnd"/>
            <w:r w:rsidR="003914A9">
              <w:t xml:space="preserve"> risinājumus, kā arī ieviešot uz datiem balstītu prognozēšanas un lēmumu pieņemšanas pieeju pakalpojumu un procesu pārvaldībai un nodrošinot vienreizējas iesniegšanas principa pilnīgu īstenošanu.</w:t>
            </w:r>
          </w:p>
          <w:p w14:paraId="6C8816FF" w14:textId="01823C68" w:rsidR="00A01C46" w:rsidRPr="00A073CA" w:rsidRDefault="00A01C46" w:rsidP="00A01C46">
            <w:pPr>
              <w:pStyle w:val="tv213"/>
              <w:spacing w:before="120" w:beforeAutospacing="0" w:after="0" w:afterAutospacing="0" w:line="293" w:lineRule="atLeast"/>
              <w:jc w:val="both"/>
            </w:pPr>
            <w:r>
              <w:t>I</w:t>
            </w:r>
            <w:r w:rsidRPr="00A073CA">
              <w:t>nvestīciju 2.1.1.1.i. īsteno līdz 2026. gada 31. augustam  un tās ietvaros sasniedzamie mērķi ir:</w:t>
            </w:r>
          </w:p>
          <w:p w14:paraId="3BE71DC3" w14:textId="77777777" w:rsidR="00A01C46" w:rsidRPr="007E2BF0" w:rsidRDefault="00A01C46" w:rsidP="007E2BF0">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7E2BF0">
              <w:rPr>
                <w:rFonts w:ascii="Times New Roman" w:eastAsia="Times New Roman" w:hAnsi="Times New Roman" w:cs="Times New Roman"/>
                <w:sz w:val="24"/>
                <w:szCs w:val="24"/>
                <w:lang w:eastAsia="lv-LV"/>
              </w:rPr>
              <w:t>līdz 2023. gada 30. septembrim – izstrādāto un saskaņoto IKT risinājumu izstrādes darbību apraksti – 11;</w:t>
            </w:r>
          </w:p>
          <w:p w14:paraId="6BD748DE" w14:textId="5AD3D507" w:rsidR="009600DA" w:rsidRPr="007E2BF0" w:rsidRDefault="00A01C46" w:rsidP="007E2BF0">
            <w:pPr>
              <w:pStyle w:val="ListParagraph"/>
              <w:numPr>
                <w:ilvl w:val="0"/>
                <w:numId w:val="16"/>
              </w:numPr>
              <w:spacing w:after="0" w:line="240" w:lineRule="auto"/>
              <w:ind w:left="345" w:hanging="284"/>
              <w:jc w:val="both"/>
              <w:rPr>
                <w:rFonts w:ascii="Times New Roman" w:eastAsia="Times New Roman" w:hAnsi="Times New Roman" w:cs="Times New Roman"/>
                <w:sz w:val="24"/>
                <w:szCs w:val="24"/>
                <w:lang w:eastAsia="lv-LV"/>
              </w:rPr>
            </w:pPr>
            <w:r w:rsidRPr="007E2BF0">
              <w:rPr>
                <w:rFonts w:ascii="Times New Roman" w:eastAsia="Times New Roman" w:hAnsi="Times New Roman" w:cs="Times New Roman"/>
                <w:sz w:val="24"/>
                <w:szCs w:val="24"/>
                <w:lang w:eastAsia="lv-LV"/>
              </w:rPr>
              <w:t>līdz 2026. gada 31. augustam – IKT risinājumu nodrošināšana modernizētām publiskās pārvaldes funkcijām (t. sk. sistēmām) - 11.</w:t>
            </w:r>
          </w:p>
        </w:tc>
      </w:tr>
      <w:tr w:rsidR="009600DA" w:rsidRPr="0051135C" w14:paraId="7A9C7E52" w14:textId="77777777" w:rsidTr="3721BB75">
        <w:tc>
          <w:tcPr>
            <w:tcW w:w="0" w:type="auto"/>
            <w:vAlign w:val="center"/>
            <w:hideMark/>
          </w:tcPr>
          <w:p w14:paraId="2AA31735" w14:textId="09999F09" w:rsidR="005279F1" w:rsidRPr="0051135C" w:rsidRDefault="001040F1" w:rsidP="005279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Ierobežotā p</w:t>
            </w:r>
            <w:r w:rsidR="005279F1" w:rsidRPr="0051135C">
              <w:rPr>
                <w:rFonts w:ascii="Times New Roman" w:eastAsia="Times New Roman" w:hAnsi="Times New Roman" w:cs="Times New Roman"/>
                <w:sz w:val="24"/>
                <w:szCs w:val="24"/>
                <w:lang w:eastAsia="lv-LV"/>
              </w:rPr>
              <w:t>rojektu atlase:</w:t>
            </w:r>
          </w:p>
        </w:tc>
        <w:tc>
          <w:tcPr>
            <w:tcW w:w="0" w:type="auto"/>
            <w:vAlign w:val="center"/>
          </w:tcPr>
          <w:p w14:paraId="5EF86736" w14:textId="626CDF66" w:rsidR="00F37DCF" w:rsidRPr="0051135C" w:rsidRDefault="00123F45" w:rsidP="009600DA">
            <w:pPr>
              <w:spacing w:before="100" w:beforeAutospacing="1" w:after="100" w:afterAutospacing="1"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Līdz 2022. gada 31. decembrim</w:t>
            </w:r>
          </w:p>
        </w:tc>
      </w:tr>
      <w:tr w:rsidR="009600DA" w:rsidRPr="0051135C" w14:paraId="607D73FE" w14:textId="77777777" w:rsidTr="3721BB75">
        <w:tc>
          <w:tcPr>
            <w:tcW w:w="0" w:type="auto"/>
            <w:vAlign w:val="center"/>
            <w:hideMark/>
          </w:tcPr>
          <w:p w14:paraId="60A70BB8" w14:textId="77777777" w:rsidR="005279F1" w:rsidRPr="0051135C" w:rsidRDefault="005279F1"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Saistītie normatīvie akti:</w:t>
            </w:r>
          </w:p>
        </w:tc>
        <w:tc>
          <w:tcPr>
            <w:tcW w:w="0" w:type="auto"/>
            <w:vAlign w:val="center"/>
          </w:tcPr>
          <w:p w14:paraId="28266D07" w14:textId="1096A260" w:rsidR="00460A4C" w:rsidRPr="00460A4C" w:rsidRDefault="008D34D3" w:rsidP="00460A4C">
            <w:pPr>
              <w:spacing w:after="120" w:line="240" w:lineRule="auto"/>
              <w:jc w:val="both"/>
              <w:rPr>
                <w:rFonts w:ascii="Times New Roman" w:eastAsia="Times New Roman" w:hAnsi="Times New Roman" w:cs="Times New Roman"/>
                <w:sz w:val="24"/>
                <w:szCs w:val="24"/>
                <w:lang w:eastAsia="lv-LV"/>
              </w:rPr>
            </w:pPr>
            <w:r w:rsidRPr="00460A4C">
              <w:rPr>
                <w:rFonts w:ascii="Times New Roman" w:hAnsi="Times New Roman" w:cs="Times New Roman"/>
                <w:color w:val="212529"/>
                <w:sz w:val="24"/>
                <w:szCs w:val="24"/>
                <w:shd w:val="clear" w:color="auto" w:fill="FFFFFF"/>
              </w:rPr>
              <w:t xml:space="preserve">2022. gada </w:t>
            </w:r>
            <w:r w:rsidR="005F48A2" w:rsidRPr="00460A4C">
              <w:rPr>
                <w:rFonts w:ascii="Times New Roman" w:hAnsi="Times New Roman" w:cs="Times New Roman"/>
                <w:color w:val="212529"/>
                <w:sz w:val="24"/>
                <w:szCs w:val="24"/>
                <w:shd w:val="clear" w:color="auto" w:fill="FFFFFF"/>
              </w:rPr>
              <w:t>30</w:t>
            </w:r>
            <w:r w:rsidRPr="00460A4C">
              <w:rPr>
                <w:rFonts w:ascii="Times New Roman" w:hAnsi="Times New Roman" w:cs="Times New Roman"/>
                <w:color w:val="212529"/>
                <w:sz w:val="24"/>
                <w:szCs w:val="24"/>
                <w:shd w:val="clear" w:color="auto" w:fill="FFFFFF"/>
              </w:rPr>
              <w:t xml:space="preserve">. jūnijā </w:t>
            </w:r>
            <w:r w:rsidR="00931FFD" w:rsidRPr="00460A4C">
              <w:rPr>
                <w:rFonts w:ascii="Times New Roman" w:hAnsi="Times New Roman" w:cs="Times New Roman"/>
                <w:color w:val="212529"/>
                <w:sz w:val="24"/>
                <w:szCs w:val="24"/>
                <w:shd w:val="clear" w:color="auto" w:fill="FFFFFF"/>
              </w:rPr>
              <w:t>iesnie</w:t>
            </w:r>
            <w:r w:rsidR="0014575D" w:rsidRPr="00460A4C">
              <w:rPr>
                <w:rFonts w:ascii="Times New Roman" w:hAnsi="Times New Roman" w:cs="Times New Roman"/>
                <w:color w:val="212529"/>
                <w:sz w:val="24"/>
                <w:szCs w:val="24"/>
                <w:shd w:val="clear" w:color="auto" w:fill="FFFFFF"/>
              </w:rPr>
              <w:t xml:space="preserve">gts </w:t>
            </w:r>
            <w:r w:rsidRPr="00460A4C">
              <w:rPr>
                <w:rFonts w:ascii="Times New Roman" w:hAnsi="Times New Roman" w:cs="Times New Roman"/>
                <w:color w:val="212529"/>
                <w:sz w:val="24"/>
                <w:szCs w:val="24"/>
                <w:shd w:val="clear" w:color="auto" w:fill="FFFFFF"/>
              </w:rPr>
              <w:t>MK noteikumu projekt</w:t>
            </w:r>
            <w:r w:rsidR="0014575D" w:rsidRPr="00460A4C">
              <w:rPr>
                <w:rFonts w:ascii="Times New Roman" w:hAnsi="Times New Roman" w:cs="Times New Roman"/>
                <w:color w:val="212529"/>
                <w:sz w:val="24"/>
                <w:szCs w:val="24"/>
                <w:shd w:val="clear" w:color="auto" w:fill="FFFFFF"/>
              </w:rPr>
              <w:t>s “</w:t>
            </w:r>
            <w:r w:rsidR="0014575D" w:rsidRPr="00460A4C">
              <w:rPr>
                <w:rFonts w:ascii="Times New Roman" w:eastAsia="Times New Roman" w:hAnsi="Times New Roman" w:cs="Times New Roman"/>
                <w:sz w:val="24"/>
                <w:szCs w:val="24"/>
                <w:lang w:eastAsia="lv-LV"/>
              </w:rPr>
              <w:t>Eiropas Savienības Atveseļošanas un noturības mehānisma plāna 2. komponentes “Digitālā transformācija” 2.1. reformu un investīciju virziena “Valsts pārvaldes, t.sk. pašvaldību digitālā transformācija” īstenošanas noteikumi</w:t>
            </w:r>
            <w:r w:rsidR="0014575D" w:rsidRPr="00460A4C">
              <w:rPr>
                <w:rFonts w:ascii="Times New Roman" w:hAnsi="Times New Roman" w:cs="Times New Roman"/>
                <w:color w:val="212529"/>
                <w:sz w:val="24"/>
                <w:szCs w:val="24"/>
                <w:shd w:val="clear" w:color="auto" w:fill="FFFFFF"/>
              </w:rPr>
              <w:t>”</w:t>
            </w:r>
            <w:r w:rsidRPr="00460A4C">
              <w:rPr>
                <w:rFonts w:ascii="Times New Roman" w:hAnsi="Times New Roman" w:cs="Times New Roman"/>
                <w:color w:val="212529"/>
                <w:sz w:val="24"/>
                <w:szCs w:val="24"/>
                <w:shd w:val="clear" w:color="auto" w:fill="FFFFFF"/>
              </w:rPr>
              <w:t xml:space="preserve"> </w:t>
            </w:r>
            <w:r w:rsidR="0014575D" w:rsidRPr="00460A4C">
              <w:rPr>
                <w:rFonts w:ascii="Times New Roman" w:hAnsi="Times New Roman" w:cs="Times New Roman"/>
                <w:color w:val="212529"/>
                <w:sz w:val="24"/>
                <w:szCs w:val="24"/>
                <w:shd w:val="clear" w:color="auto" w:fill="FFFFFF"/>
              </w:rPr>
              <w:t>izskatīšanai Ministru kabineta sēdē</w:t>
            </w:r>
            <w:r w:rsidR="008B76C7" w:rsidRPr="00460A4C">
              <w:rPr>
                <w:rFonts w:ascii="Times New Roman" w:hAnsi="Times New Roman" w:cs="Times New Roman"/>
                <w:color w:val="212529"/>
                <w:sz w:val="24"/>
                <w:szCs w:val="24"/>
                <w:shd w:val="clear" w:color="auto" w:fill="FFFFFF"/>
              </w:rPr>
              <w:t xml:space="preserve">. </w:t>
            </w:r>
          </w:p>
          <w:p w14:paraId="336FBB9E" w14:textId="474B2064" w:rsidR="008D34D3" w:rsidRPr="0051135C" w:rsidRDefault="008B76C7" w:rsidP="00460A4C">
            <w:pPr>
              <w:spacing w:after="120" w:line="240" w:lineRule="auto"/>
              <w:jc w:val="both"/>
              <w:rPr>
                <w:rFonts w:ascii="Times New Roman" w:eastAsia="Times New Roman" w:hAnsi="Times New Roman" w:cs="Times New Roman"/>
                <w:color w:val="FF0000"/>
                <w:sz w:val="24"/>
                <w:szCs w:val="24"/>
                <w:lang w:eastAsia="lv-LV"/>
              </w:rPr>
            </w:pPr>
            <w:r w:rsidRPr="00460A4C">
              <w:rPr>
                <w:rFonts w:ascii="Times New Roman" w:hAnsi="Times New Roman" w:cs="Times New Roman"/>
                <w:color w:val="212529"/>
                <w:sz w:val="24"/>
                <w:szCs w:val="24"/>
                <w:shd w:val="clear" w:color="auto" w:fill="FFFFFF"/>
              </w:rPr>
              <w:t>S</w:t>
            </w:r>
            <w:r w:rsidR="00B77A76" w:rsidRPr="00460A4C">
              <w:rPr>
                <w:rFonts w:ascii="Times New Roman" w:hAnsi="Times New Roman" w:cs="Times New Roman"/>
                <w:color w:val="212529"/>
                <w:sz w:val="24"/>
                <w:szCs w:val="24"/>
                <w:shd w:val="clear" w:color="auto" w:fill="FFFFFF"/>
              </w:rPr>
              <w:t>katīt MK noteikumu projektu</w:t>
            </w:r>
            <w:r w:rsidR="008D34D3" w:rsidRPr="00460A4C">
              <w:rPr>
                <w:rFonts w:ascii="Times New Roman" w:hAnsi="Times New Roman" w:cs="Times New Roman"/>
                <w:color w:val="212529"/>
                <w:sz w:val="24"/>
                <w:szCs w:val="24"/>
                <w:shd w:val="clear" w:color="auto" w:fill="FFFFFF"/>
              </w:rPr>
              <w:t> </w:t>
            </w:r>
            <w:hyperlink r:id="rId8" w:history="1">
              <w:r w:rsidR="008D34D3" w:rsidRPr="00460A4C">
                <w:rPr>
                  <w:rStyle w:val="Hyperlink"/>
                  <w:rFonts w:ascii="Times New Roman" w:hAnsi="Times New Roman" w:cs="Times New Roman"/>
                  <w:sz w:val="24"/>
                  <w:szCs w:val="24"/>
                  <w:shd w:val="clear" w:color="auto" w:fill="FFFFFF"/>
                </w:rPr>
                <w:t>Vienotajā Latvijas tiesību aktu projektu izstrādes un saskaņošanas portālā</w:t>
              </w:r>
            </w:hyperlink>
            <w:r w:rsidR="008D34D3" w:rsidRPr="00460A4C">
              <w:rPr>
                <w:rFonts w:ascii="Times New Roman" w:hAnsi="Times New Roman" w:cs="Times New Roman"/>
                <w:color w:val="212529"/>
                <w:sz w:val="24"/>
                <w:szCs w:val="24"/>
                <w:shd w:val="clear" w:color="auto" w:fill="FFFFFF"/>
              </w:rPr>
              <w:t>.</w:t>
            </w:r>
          </w:p>
        </w:tc>
      </w:tr>
      <w:tr w:rsidR="009600DA" w:rsidRPr="0051135C" w14:paraId="68C6C924" w14:textId="77777777" w:rsidTr="3721BB75">
        <w:tc>
          <w:tcPr>
            <w:tcW w:w="0" w:type="auto"/>
            <w:vAlign w:val="center"/>
            <w:hideMark/>
          </w:tcPr>
          <w:p w14:paraId="47D7AEB7" w14:textId="341D8DF2" w:rsidR="005279F1" w:rsidRPr="0051135C" w:rsidRDefault="005279F1"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t>Cita informācija</w:t>
            </w:r>
            <w:r w:rsidR="009600DA" w:rsidRPr="0051135C">
              <w:rPr>
                <w:rFonts w:ascii="Times New Roman" w:eastAsia="Times New Roman" w:hAnsi="Times New Roman" w:cs="Times New Roman"/>
                <w:sz w:val="24"/>
                <w:szCs w:val="24"/>
                <w:lang w:eastAsia="lv-LV"/>
              </w:rPr>
              <w:t>:</w:t>
            </w:r>
          </w:p>
        </w:tc>
        <w:tc>
          <w:tcPr>
            <w:tcW w:w="0" w:type="auto"/>
            <w:vAlign w:val="center"/>
          </w:tcPr>
          <w:p w14:paraId="38567B59" w14:textId="5CE37226" w:rsidR="00F37DCF" w:rsidRPr="0051135C" w:rsidRDefault="006527F7" w:rsidP="00705587">
            <w:pPr>
              <w:spacing w:after="0" w:line="240" w:lineRule="auto"/>
              <w:jc w:val="both"/>
              <w:rPr>
                <w:rFonts w:ascii="Times New Roman" w:eastAsia="Times New Roman" w:hAnsi="Times New Roman" w:cs="Times New Roman"/>
                <w:color w:val="FF0000"/>
                <w:sz w:val="24"/>
                <w:szCs w:val="24"/>
                <w:lang w:eastAsia="lv-LV"/>
              </w:rPr>
            </w:pPr>
            <w:r w:rsidRPr="006527F7">
              <w:rPr>
                <w:rFonts w:ascii="Times New Roman" w:eastAsia="Times New Roman" w:hAnsi="Times New Roman" w:cs="Times New Roman"/>
                <w:sz w:val="24"/>
                <w:szCs w:val="24"/>
                <w:lang w:eastAsia="lv-LV"/>
              </w:rPr>
              <w:t>Nozares ministrijām un Valsts kancelejai līdz 2022.</w:t>
            </w:r>
            <w:r w:rsidR="00705587">
              <w:rPr>
                <w:rFonts w:ascii="Times New Roman" w:eastAsia="Times New Roman" w:hAnsi="Times New Roman" w:cs="Times New Roman"/>
                <w:sz w:val="24"/>
                <w:szCs w:val="24"/>
                <w:lang w:eastAsia="lv-LV"/>
              </w:rPr>
              <w:t> </w:t>
            </w:r>
            <w:r w:rsidRPr="006527F7">
              <w:rPr>
                <w:rFonts w:ascii="Times New Roman" w:eastAsia="Times New Roman" w:hAnsi="Times New Roman" w:cs="Times New Roman"/>
                <w:sz w:val="24"/>
                <w:szCs w:val="24"/>
                <w:lang w:eastAsia="lv-LV"/>
              </w:rPr>
              <w:t>gada 31.</w:t>
            </w:r>
            <w:r w:rsidR="00705587">
              <w:rPr>
                <w:rFonts w:ascii="Times New Roman" w:eastAsia="Times New Roman" w:hAnsi="Times New Roman" w:cs="Times New Roman"/>
                <w:sz w:val="24"/>
                <w:szCs w:val="24"/>
                <w:lang w:eastAsia="lv-LV"/>
              </w:rPr>
              <w:t> </w:t>
            </w:r>
            <w:r w:rsidRPr="006527F7">
              <w:rPr>
                <w:rFonts w:ascii="Times New Roman" w:eastAsia="Times New Roman" w:hAnsi="Times New Roman" w:cs="Times New Roman"/>
                <w:sz w:val="24"/>
                <w:szCs w:val="24"/>
                <w:lang w:eastAsia="lv-LV"/>
              </w:rPr>
              <w:t xml:space="preserve">decembrim iesniegt apstiprināšanai Ministru kabinetā </w:t>
            </w:r>
            <w:r w:rsidRPr="006527F7">
              <w:rPr>
                <w:rFonts w:ascii="Times New Roman" w:eastAsia="Times New Roman" w:hAnsi="Times New Roman" w:cs="Times New Roman"/>
                <w:sz w:val="24"/>
                <w:szCs w:val="24"/>
                <w:lang w:eastAsia="lv-LV"/>
              </w:rPr>
              <w:lastRenderedPageBreak/>
              <w:t>finansējuma saņēmēju sagatavotos rīkojumu projektus par projektu īstenošanu</w:t>
            </w:r>
            <w:r>
              <w:t>.</w:t>
            </w:r>
          </w:p>
        </w:tc>
      </w:tr>
      <w:tr w:rsidR="009600DA" w:rsidRPr="0051135C" w14:paraId="2D43DF23" w14:textId="77777777" w:rsidTr="3721BB75">
        <w:tc>
          <w:tcPr>
            <w:tcW w:w="0" w:type="auto"/>
            <w:vAlign w:val="center"/>
            <w:hideMark/>
          </w:tcPr>
          <w:p w14:paraId="2D1F52AE" w14:textId="77777777" w:rsidR="005279F1" w:rsidRPr="0051135C" w:rsidRDefault="005279F1" w:rsidP="005279F1">
            <w:pPr>
              <w:spacing w:after="0" w:line="240" w:lineRule="auto"/>
              <w:rPr>
                <w:rFonts w:ascii="Times New Roman" w:eastAsia="Times New Roman" w:hAnsi="Times New Roman" w:cs="Times New Roman"/>
                <w:sz w:val="24"/>
                <w:szCs w:val="24"/>
                <w:lang w:eastAsia="lv-LV"/>
              </w:rPr>
            </w:pPr>
            <w:r w:rsidRPr="0051135C">
              <w:rPr>
                <w:rFonts w:ascii="Times New Roman" w:eastAsia="Times New Roman" w:hAnsi="Times New Roman" w:cs="Times New Roman"/>
                <w:sz w:val="24"/>
                <w:szCs w:val="24"/>
                <w:lang w:eastAsia="lv-LV"/>
              </w:rPr>
              <w:lastRenderedPageBreak/>
              <w:t>Kontaktinformācija:</w:t>
            </w:r>
          </w:p>
        </w:tc>
        <w:tc>
          <w:tcPr>
            <w:tcW w:w="0" w:type="auto"/>
            <w:vAlign w:val="center"/>
            <w:hideMark/>
          </w:tcPr>
          <w:p w14:paraId="25B3A691" w14:textId="3418A6BA" w:rsidR="005279F1" w:rsidRPr="00335948" w:rsidRDefault="00AA5101" w:rsidP="005279F1">
            <w:pPr>
              <w:spacing w:after="0" w:line="240" w:lineRule="auto"/>
              <w:rPr>
                <w:rFonts w:ascii="Times New Roman" w:eastAsia="Times New Roman" w:hAnsi="Times New Roman" w:cs="Times New Roman"/>
                <w:sz w:val="24"/>
                <w:szCs w:val="24"/>
                <w:lang w:eastAsia="lv-LV"/>
              </w:rPr>
            </w:pPr>
            <w:r w:rsidRPr="00335948">
              <w:rPr>
                <w:rFonts w:ascii="Times New Roman" w:eastAsia="Times New Roman" w:hAnsi="Times New Roman" w:cs="Times New Roman"/>
                <w:sz w:val="24"/>
                <w:szCs w:val="24"/>
                <w:lang w:eastAsia="lv-LV"/>
              </w:rPr>
              <w:t>Monta Ločmele</w:t>
            </w:r>
            <w:r w:rsidR="005279F1" w:rsidRPr="00335948">
              <w:rPr>
                <w:rFonts w:ascii="Times New Roman" w:eastAsia="Times New Roman" w:hAnsi="Times New Roman" w:cs="Times New Roman"/>
                <w:sz w:val="24"/>
                <w:szCs w:val="24"/>
                <w:lang w:eastAsia="lv-LV"/>
              </w:rPr>
              <w:t xml:space="preserve">, tel.: </w:t>
            </w:r>
            <w:r w:rsidR="00335948" w:rsidRPr="00335948">
              <w:rPr>
                <w:rFonts w:ascii="Times New Roman" w:eastAsia="Times New Roman" w:hAnsi="Times New Roman" w:cs="Times New Roman"/>
                <w:sz w:val="24"/>
                <w:szCs w:val="24"/>
                <w:lang w:eastAsia="lv-LV"/>
              </w:rPr>
              <w:t>66016722</w:t>
            </w:r>
            <w:r w:rsidR="005279F1" w:rsidRPr="00335948">
              <w:rPr>
                <w:rFonts w:ascii="Times New Roman" w:eastAsia="Times New Roman" w:hAnsi="Times New Roman" w:cs="Times New Roman"/>
                <w:sz w:val="24"/>
                <w:szCs w:val="24"/>
                <w:lang w:eastAsia="lv-LV"/>
              </w:rPr>
              <w:t>, e</w:t>
            </w:r>
            <w:r w:rsidR="00335948" w:rsidRPr="00335948">
              <w:rPr>
                <w:rFonts w:ascii="Times New Roman" w:eastAsia="Times New Roman" w:hAnsi="Times New Roman" w:cs="Times New Roman"/>
                <w:sz w:val="24"/>
                <w:szCs w:val="24"/>
                <w:lang w:eastAsia="lv-LV"/>
              </w:rPr>
              <w:noBreakHyphen/>
            </w:r>
            <w:r w:rsidR="005279F1" w:rsidRPr="00335948">
              <w:rPr>
                <w:rFonts w:ascii="Times New Roman" w:eastAsia="Times New Roman" w:hAnsi="Times New Roman" w:cs="Times New Roman"/>
                <w:sz w:val="24"/>
                <w:szCs w:val="24"/>
                <w:lang w:eastAsia="lv-LV"/>
              </w:rPr>
              <w:t>pasts: </w:t>
            </w:r>
            <w:hyperlink r:id="rId9" w:history="1">
              <w:r w:rsidR="00335948" w:rsidRPr="00335948">
                <w:rPr>
                  <w:rStyle w:val="Hyperlink"/>
                  <w:rFonts w:ascii="Times New Roman" w:hAnsi="Times New Roman" w:cs="Times New Roman"/>
                  <w:sz w:val="24"/>
                  <w:szCs w:val="24"/>
                </w:rPr>
                <w:t>monta.locmele@varam.gov.lv</w:t>
              </w:r>
            </w:hyperlink>
          </w:p>
          <w:p w14:paraId="7809DBD8" w14:textId="323AC2B7" w:rsidR="005279F1" w:rsidRPr="0051135C" w:rsidRDefault="005279F1" w:rsidP="005279F1">
            <w:pPr>
              <w:spacing w:after="0" w:line="240" w:lineRule="auto"/>
              <w:rPr>
                <w:rFonts w:ascii="Times New Roman" w:eastAsia="Times New Roman" w:hAnsi="Times New Roman" w:cs="Times New Roman"/>
                <w:color w:val="FF0000"/>
                <w:sz w:val="24"/>
                <w:szCs w:val="24"/>
                <w:lang w:eastAsia="lv-LV"/>
              </w:rPr>
            </w:pPr>
          </w:p>
        </w:tc>
      </w:tr>
    </w:tbl>
    <w:p w14:paraId="6A5EABB6" w14:textId="573A5D68" w:rsidR="00C12895" w:rsidRPr="0051135C" w:rsidRDefault="00C12895" w:rsidP="005279F1">
      <w:pPr>
        <w:rPr>
          <w:rFonts w:ascii="Times New Roman" w:hAnsi="Times New Roman" w:cs="Times New Roman"/>
        </w:rPr>
      </w:pPr>
    </w:p>
    <w:p w14:paraId="751E35EC" w14:textId="0B7D6657" w:rsidR="001D51C5" w:rsidRPr="00082643" w:rsidRDefault="009600DA" w:rsidP="005279F1">
      <w:pPr>
        <w:rPr>
          <w:rFonts w:ascii="Times New Roman" w:hAnsi="Times New Roman" w:cs="Times New Roman"/>
          <w:color w:val="212529"/>
          <w:sz w:val="20"/>
          <w:szCs w:val="20"/>
          <w:shd w:val="clear" w:color="auto" w:fill="FFFFFF"/>
        </w:rPr>
      </w:pPr>
      <w:r w:rsidRPr="00082643">
        <w:rPr>
          <w:rFonts w:ascii="Times New Roman" w:hAnsi="Times New Roman" w:cs="Times New Roman"/>
          <w:color w:val="212529"/>
          <w:sz w:val="20"/>
          <w:szCs w:val="20"/>
          <w:shd w:val="clear" w:color="auto" w:fill="FFFFFF"/>
        </w:rPr>
        <w:t>* Eiropas Savienības Atveseļošanas fonds</w:t>
      </w:r>
    </w:p>
    <w:sectPr w:rsidR="001D51C5" w:rsidRPr="000826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914"/>
    <w:multiLevelType w:val="multilevel"/>
    <w:tmpl w:val="F8F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F2EED"/>
    <w:multiLevelType w:val="multilevel"/>
    <w:tmpl w:val="0A74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350D5"/>
    <w:multiLevelType w:val="hybridMultilevel"/>
    <w:tmpl w:val="A42A82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2C7899"/>
    <w:multiLevelType w:val="multilevel"/>
    <w:tmpl w:val="97B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1501F"/>
    <w:multiLevelType w:val="multilevel"/>
    <w:tmpl w:val="E15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A32F9"/>
    <w:multiLevelType w:val="multilevel"/>
    <w:tmpl w:val="50A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E0499"/>
    <w:multiLevelType w:val="multilevel"/>
    <w:tmpl w:val="3C0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0D8"/>
    <w:multiLevelType w:val="multilevel"/>
    <w:tmpl w:val="A9C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D2DA1"/>
    <w:multiLevelType w:val="hybridMultilevel"/>
    <w:tmpl w:val="538A5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115137"/>
    <w:multiLevelType w:val="multilevel"/>
    <w:tmpl w:val="F41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00D81"/>
    <w:multiLevelType w:val="hybridMultilevel"/>
    <w:tmpl w:val="7CB472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E80BFE"/>
    <w:multiLevelType w:val="multilevel"/>
    <w:tmpl w:val="948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87A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705908"/>
    <w:multiLevelType w:val="multilevel"/>
    <w:tmpl w:val="971E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12A09"/>
    <w:multiLevelType w:val="multilevel"/>
    <w:tmpl w:val="C4EC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6F106F"/>
    <w:multiLevelType w:val="hybridMultilevel"/>
    <w:tmpl w:val="5EA8BEF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DFD7BF9"/>
    <w:multiLevelType w:val="multilevel"/>
    <w:tmpl w:val="C9A8DA50"/>
    <w:lvl w:ilvl="0">
      <w:start w:val="1"/>
      <w:numFmt w:val="decimal"/>
      <w:lvlText w:val="%1."/>
      <w:lvlJc w:val="left"/>
      <w:pPr>
        <w:ind w:left="360" w:hanging="360"/>
      </w:pPr>
    </w:lvl>
    <w:lvl w:ilvl="1">
      <w:start w:val="1"/>
      <w:numFmt w:val="decimal"/>
      <w:lvlText w:val="%1.%2."/>
      <w:lvlJc w:val="left"/>
      <w:pPr>
        <w:ind w:left="792" w:hanging="432"/>
      </w:pPr>
      <w:rPr>
        <w:i w:val="0"/>
        <w:iCs w:val="0"/>
        <w:strike w:val="0"/>
      </w:rPr>
    </w:lvl>
    <w:lvl w:ilvl="2">
      <w:start w:val="1"/>
      <w:numFmt w:val="decimal"/>
      <w:lvlText w:val="%1.%2.%3."/>
      <w:lvlJc w:val="left"/>
      <w:pPr>
        <w:ind w:left="1922" w:hanging="504"/>
      </w:pPr>
      <w:rPr>
        <w:strike w:val="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B2EA9"/>
    <w:multiLevelType w:val="multilevel"/>
    <w:tmpl w:val="6D0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E76F4"/>
    <w:multiLevelType w:val="multilevel"/>
    <w:tmpl w:val="9232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2142B"/>
    <w:multiLevelType w:val="multilevel"/>
    <w:tmpl w:val="B56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072883">
    <w:abstractNumId w:val="17"/>
  </w:num>
  <w:num w:numId="2" w16cid:durableId="556624398">
    <w:abstractNumId w:val="7"/>
  </w:num>
  <w:num w:numId="3" w16cid:durableId="1806197259">
    <w:abstractNumId w:val="4"/>
  </w:num>
  <w:num w:numId="4" w16cid:durableId="1875583140">
    <w:abstractNumId w:val="0"/>
  </w:num>
  <w:num w:numId="5" w16cid:durableId="1447501192">
    <w:abstractNumId w:val="6"/>
  </w:num>
  <w:num w:numId="6" w16cid:durableId="996953012">
    <w:abstractNumId w:val="3"/>
  </w:num>
  <w:num w:numId="7" w16cid:durableId="1184392577">
    <w:abstractNumId w:val="9"/>
  </w:num>
  <w:num w:numId="8" w16cid:durableId="1601178478">
    <w:abstractNumId w:val="5"/>
  </w:num>
  <w:num w:numId="9" w16cid:durableId="1217863298">
    <w:abstractNumId w:val="11"/>
  </w:num>
  <w:num w:numId="10" w16cid:durableId="2128503805">
    <w:abstractNumId w:val="14"/>
  </w:num>
  <w:num w:numId="11" w16cid:durableId="1688025071">
    <w:abstractNumId w:val="18"/>
  </w:num>
  <w:num w:numId="12" w16cid:durableId="772936390">
    <w:abstractNumId w:val="1"/>
  </w:num>
  <w:num w:numId="13" w16cid:durableId="578715376">
    <w:abstractNumId w:val="19"/>
  </w:num>
  <w:num w:numId="14" w16cid:durableId="828326536">
    <w:abstractNumId w:val="13"/>
  </w:num>
  <w:num w:numId="15" w16cid:durableId="1799252763">
    <w:abstractNumId w:val="8"/>
  </w:num>
  <w:num w:numId="16" w16cid:durableId="849101747">
    <w:abstractNumId w:val="15"/>
  </w:num>
  <w:num w:numId="17" w16cid:durableId="855656358">
    <w:abstractNumId w:val="2"/>
  </w:num>
  <w:num w:numId="18" w16cid:durableId="1627659671">
    <w:abstractNumId w:val="16"/>
  </w:num>
  <w:num w:numId="19" w16cid:durableId="1357536610">
    <w:abstractNumId w:val="12"/>
  </w:num>
  <w:num w:numId="20" w16cid:durableId="1186363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F1"/>
    <w:rsid w:val="00007576"/>
    <w:rsid w:val="00082643"/>
    <w:rsid w:val="00085EEB"/>
    <w:rsid w:val="001040F1"/>
    <w:rsid w:val="00123F45"/>
    <w:rsid w:val="0014575D"/>
    <w:rsid w:val="001677C8"/>
    <w:rsid w:val="001B60BB"/>
    <w:rsid w:val="001B7614"/>
    <w:rsid w:val="001D51C5"/>
    <w:rsid w:val="00210033"/>
    <w:rsid w:val="00233B50"/>
    <w:rsid w:val="002F426D"/>
    <w:rsid w:val="00314FD3"/>
    <w:rsid w:val="00335948"/>
    <w:rsid w:val="00341390"/>
    <w:rsid w:val="003914A9"/>
    <w:rsid w:val="003F0BA4"/>
    <w:rsid w:val="00460A4C"/>
    <w:rsid w:val="00464691"/>
    <w:rsid w:val="0047112F"/>
    <w:rsid w:val="00480BCF"/>
    <w:rsid w:val="0048325E"/>
    <w:rsid w:val="004F44DB"/>
    <w:rsid w:val="0051135C"/>
    <w:rsid w:val="005279F1"/>
    <w:rsid w:val="00565C68"/>
    <w:rsid w:val="00583092"/>
    <w:rsid w:val="005B6640"/>
    <w:rsid w:val="005F48A2"/>
    <w:rsid w:val="006476F2"/>
    <w:rsid w:val="006527F7"/>
    <w:rsid w:val="00705587"/>
    <w:rsid w:val="007321A4"/>
    <w:rsid w:val="00767545"/>
    <w:rsid w:val="00776CA4"/>
    <w:rsid w:val="007C4FB3"/>
    <w:rsid w:val="007E2BF0"/>
    <w:rsid w:val="00816B9B"/>
    <w:rsid w:val="00864A99"/>
    <w:rsid w:val="00864E4E"/>
    <w:rsid w:val="00872B6C"/>
    <w:rsid w:val="00886907"/>
    <w:rsid w:val="008A39B7"/>
    <w:rsid w:val="008B76C7"/>
    <w:rsid w:val="008D34D3"/>
    <w:rsid w:val="008F2505"/>
    <w:rsid w:val="00931FFD"/>
    <w:rsid w:val="00957D16"/>
    <w:rsid w:val="009600DA"/>
    <w:rsid w:val="009B66A9"/>
    <w:rsid w:val="00A01919"/>
    <w:rsid w:val="00A01C46"/>
    <w:rsid w:val="00A050AC"/>
    <w:rsid w:val="00A357B4"/>
    <w:rsid w:val="00A62B76"/>
    <w:rsid w:val="00A66860"/>
    <w:rsid w:val="00AA5101"/>
    <w:rsid w:val="00B36E60"/>
    <w:rsid w:val="00B6030C"/>
    <w:rsid w:val="00B77A76"/>
    <w:rsid w:val="00B97D76"/>
    <w:rsid w:val="00C026CD"/>
    <w:rsid w:val="00C12895"/>
    <w:rsid w:val="00C67F73"/>
    <w:rsid w:val="00CC011C"/>
    <w:rsid w:val="00D13D74"/>
    <w:rsid w:val="00D22760"/>
    <w:rsid w:val="00D3013C"/>
    <w:rsid w:val="00DA7295"/>
    <w:rsid w:val="00E1103C"/>
    <w:rsid w:val="00E30CB5"/>
    <w:rsid w:val="00E64852"/>
    <w:rsid w:val="00E755A1"/>
    <w:rsid w:val="00EB2C1F"/>
    <w:rsid w:val="00ED0A50"/>
    <w:rsid w:val="00ED6FEC"/>
    <w:rsid w:val="00EF7FF2"/>
    <w:rsid w:val="00F32631"/>
    <w:rsid w:val="00F37DCF"/>
    <w:rsid w:val="00F560EC"/>
    <w:rsid w:val="00F91272"/>
    <w:rsid w:val="00FA69F7"/>
    <w:rsid w:val="00FE2E0A"/>
    <w:rsid w:val="2CBD94DB"/>
    <w:rsid w:val="3721B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D6CE"/>
  <w15:chartTrackingRefBased/>
  <w15:docId w15:val="{13E7369D-B44E-476F-BEB9-24E795C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0DA"/>
    <w:pPr>
      <w:ind w:left="720"/>
      <w:contextualSpacing/>
    </w:pPr>
  </w:style>
  <w:style w:type="character" w:styleId="Hyperlink">
    <w:name w:val="Hyperlink"/>
    <w:basedOn w:val="DefaultParagraphFont"/>
    <w:uiPriority w:val="99"/>
    <w:unhideWhenUsed/>
    <w:rsid w:val="009600DA"/>
    <w:rPr>
      <w:color w:val="0563C1" w:themeColor="hyperlink"/>
      <w:u w:val="single"/>
    </w:rPr>
  </w:style>
  <w:style w:type="character" w:styleId="UnresolvedMention">
    <w:name w:val="Unresolved Mention"/>
    <w:basedOn w:val="DefaultParagraphFont"/>
    <w:uiPriority w:val="99"/>
    <w:semiHidden/>
    <w:unhideWhenUsed/>
    <w:rsid w:val="009600DA"/>
    <w:rPr>
      <w:color w:val="605E5C"/>
      <w:shd w:val="clear" w:color="auto" w:fill="E1DFDD"/>
    </w:rPr>
  </w:style>
  <w:style w:type="paragraph" w:styleId="Revision">
    <w:name w:val="Revision"/>
    <w:hidden/>
    <w:uiPriority w:val="99"/>
    <w:semiHidden/>
    <w:rsid w:val="00864E4E"/>
    <w:pPr>
      <w:spacing w:after="0" w:line="240" w:lineRule="auto"/>
    </w:pPr>
  </w:style>
  <w:style w:type="paragraph" w:customStyle="1" w:styleId="tv213">
    <w:name w:val="tv213"/>
    <w:basedOn w:val="Normal"/>
    <w:rsid w:val="00A01C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B77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3404">
      <w:bodyDiv w:val="1"/>
      <w:marLeft w:val="0"/>
      <w:marRight w:val="0"/>
      <w:marTop w:val="0"/>
      <w:marBottom w:val="0"/>
      <w:divBdr>
        <w:top w:val="none" w:sz="0" w:space="0" w:color="auto"/>
        <w:left w:val="none" w:sz="0" w:space="0" w:color="auto"/>
        <w:bottom w:val="none" w:sz="0" w:space="0" w:color="auto"/>
        <w:right w:val="none" w:sz="0" w:space="0" w:color="auto"/>
      </w:divBdr>
      <w:divsChild>
        <w:div w:id="1596790012">
          <w:marLeft w:val="0"/>
          <w:marRight w:val="0"/>
          <w:marTop w:val="300"/>
          <w:marBottom w:val="0"/>
          <w:divBdr>
            <w:top w:val="none" w:sz="0" w:space="0" w:color="auto"/>
            <w:left w:val="none" w:sz="0" w:space="0" w:color="auto"/>
            <w:bottom w:val="none" w:sz="0" w:space="0" w:color="auto"/>
            <w:right w:val="none" w:sz="0" w:space="0" w:color="auto"/>
          </w:divBdr>
          <w:divsChild>
            <w:div w:id="2326692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9295542">
      <w:bodyDiv w:val="1"/>
      <w:marLeft w:val="0"/>
      <w:marRight w:val="0"/>
      <w:marTop w:val="0"/>
      <w:marBottom w:val="0"/>
      <w:divBdr>
        <w:top w:val="none" w:sz="0" w:space="0" w:color="auto"/>
        <w:left w:val="none" w:sz="0" w:space="0" w:color="auto"/>
        <w:bottom w:val="none" w:sz="0" w:space="0" w:color="auto"/>
        <w:right w:val="none" w:sz="0" w:space="0" w:color="auto"/>
      </w:divBdr>
      <w:divsChild>
        <w:div w:id="1474449878">
          <w:marLeft w:val="0"/>
          <w:marRight w:val="0"/>
          <w:marTop w:val="300"/>
          <w:marBottom w:val="0"/>
          <w:divBdr>
            <w:top w:val="none" w:sz="0" w:space="0" w:color="auto"/>
            <w:left w:val="none" w:sz="0" w:space="0" w:color="auto"/>
            <w:bottom w:val="none" w:sz="0" w:space="0" w:color="auto"/>
            <w:right w:val="none" w:sz="0" w:space="0" w:color="auto"/>
          </w:divBdr>
          <w:divsChild>
            <w:div w:id="10800593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4206996">
      <w:bodyDiv w:val="1"/>
      <w:marLeft w:val="0"/>
      <w:marRight w:val="0"/>
      <w:marTop w:val="0"/>
      <w:marBottom w:val="0"/>
      <w:divBdr>
        <w:top w:val="none" w:sz="0" w:space="0" w:color="auto"/>
        <w:left w:val="none" w:sz="0" w:space="0" w:color="auto"/>
        <w:bottom w:val="none" w:sz="0" w:space="0" w:color="auto"/>
        <w:right w:val="none" w:sz="0" w:space="0" w:color="auto"/>
      </w:divBdr>
      <w:divsChild>
        <w:div w:id="2119182073">
          <w:marLeft w:val="0"/>
          <w:marRight w:val="0"/>
          <w:marTop w:val="300"/>
          <w:marBottom w:val="0"/>
          <w:divBdr>
            <w:top w:val="none" w:sz="0" w:space="0" w:color="auto"/>
            <w:left w:val="none" w:sz="0" w:space="0" w:color="auto"/>
            <w:bottom w:val="none" w:sz="0" w:space="0" w:color="auto"/>
            <w:right w:val="none" w:sz="0" w:space="0" w:color="auto"/>
          </w:divBdr>
          <w:divsChild>
            <w:div w:id="4068484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31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portals.mk.gov.lv/legal_acts/2e44527f-3875-4688-be74-c2e1e82c2e9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nta.locmel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6C5C7-7767-42DF-B1EB-70590A4A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8A1B6-C617-4BF7-A3CD-4376F785DD27}">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F51D7EDB-838D-484F-AE69-353469958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2991</Words>
  <Characters>1705</Characters>
  <Application>Microsoft Office Word</Application>
  <DocSecurity>0</DocSecurity>
  <Lines>14</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Čerpakovska</dc:creator>
  <cp:keywords/>
  <dc:description/>
  <cp:lastModifiedBy>Lita Trakina</cp:lastModifiedBy>
  <cp:revision>2</cp:revision>
  <dcterms:created xsi:type="dcterms:W3CDTF">2022-07-06T10:19:00Z</dcterms:created>
  <dcterms:modified xsi:type="dcterms:W3CDTF">2022-07-06T10:19:00Z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