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5D2E9C82" w14:textId="77777777" w:rsidR="003F5191" w:rsidRPr="00576FB0" w:rsidRDefault="003F5191" w:rsidP="003F5191">
      <w:pPr>
        <w:jc w:val="center"/>
        <w:rPr>
          <w:rFonts w:ascii="Times New Roman" w:hAnsi="Times New Roman" w:cs="Times New Roman"/>
          <w:b/>
          <w:sz w:val="40"/>
          <w:szCs w:val="40"/>
        </w:rPr>
      </w:pPr>
      <w:r w:rsidRPr="00576FB0">
        <w:rPr>
          <w:rFonts w:ascii="Times New Roman" w:hAnsi="Times New Roman" w:cs="Times New Roman"/>
          <w:b/>
          <w:sz w:val="40"/>
          <w:szCs w:val="40"/>
        </w:rPr>
        <w:t>Eiropas Savienības Atveseļošanas un noturības mehānisma plāna 2. komponentes “Digitālā transformācija” 2.1. reformu un investīciju virziena “Valsts pārvaldes, t.sk. pašvaldību digitālā transformācija”</w:t>
      </w:r>
      <w:r>
        <w:rPr>
          <w:rFonts w:ascii="Times New Roman" w:hAnsi="Times New Roman" w:cs="Times New Roman"/>
          <w:b/>
          <w:sz w:val="40"/>
          <w:szCs w:val="40"/>
        </w:rPr>
        <w:t xml:space="preserve"> </w:t>
      </w:r>
    </w:p>
    <w:p w14:paraId="6A92A98E" w14:textId="732EDD10" w:rsidR="0024051E" w:rsidRDefault="0024051E" w:rsidP="0024051E">
      <w:pPr>
        <w:jc w:val="center"/>
        <w:rPr>
          <w:rFonts w:ascii="Times New Roman" w:hAnsi="Times New Roman" w:cs="Times New Roman"/>
          <w:b/>
          <w:sz w:val="40"/>
          <w:szCs w:val="40"/>
        </w:rPr>
      </w:pPr>
      <w:r w:rsidRPr="002D38E4">
        <w:rPr>
          <w:rFonts w:ascii="Times New Roman" w:hAnsi="Times New Roman" w:cs="Times New Roman"/>
          <w:b/>
          <w:sz w:val="40"/>
          <w:szCs w:val="40"/>
        </w:rPr>
        <w:t>Izmaksu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448DE0F4" w14:textId="11FBCA8F" w:rsidR="0024051E" w:rsidRDefault="0024051E"/>
    <w:p w14:paraId="0396823B" w14:textId="400EC057" w:rsidR="0024051E" w:rsidRDefault="0024051E"/>
    <w:p w14:paraId="10F59835" w14:textId="38DCF17C" w:rsidR="0024051E" w:rsidRDefault="0024051E"/>
    <w:p w14:paraId="0C5FDDE6" w14:textId="54D071A2" w:rsidR="0024051E" w:rsidRDefault="0024051E"/>
    <w:p w14:paraId="5BA42CB7" w14:textId="445452A7" w:rsidR="0024051E" w:rsidRDefault="0024051E"/>
    <w:p w14:paraId="570FBD86" w14:textId="16192CC8"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F36F51">
        <w:rPr>
          <w:rFonts w:ascii="Times New Roman" w:hAnsi="Times New Roman" w:cs="Times New Roman"/>
          <w:b/>
          <w:sz w:val="28"/>
          <w:szCs w:val="28"/>
        </w:rPr>
        <w:t>0</w:t>
      </w:r>
      <w:r>
        <w:rPr>
          <w:rFonts w:ascii="Times New Roman" w:hAnsi="Times New Roman" w:cs="Times New Roman"/>
          <w:b/>
          <w:sz w:val="28"/>
          <w:szCs w:val="28"/>
        </w:rPr>
        <w:t>7</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F36F51">
        <w:rPr>
          <w:rFonts w:ascii="Times New Roman" w:hAnsi="Times New Roman" w:cs="Times New Roman"/>
          <w:b/>
          <w:sz w:val="28"/>
          <w:szCs w:val="28"/>
        </w:rPr>
        <w:t>2</w:t>
      </w:r>
      <w:r w:rsidR="0024051E">
        <w:rPr>
          <w:rFonts w:ascii="Times New Roman" w:hAnsi="Times New Roman" w:cs="Times New Roman"/>
          <w:b/>
          <w:sz w:val="28"/>
          <w:szCs w:val="28"/>
        </w:rPr>
        <w:t>)</w:t>
      </w:r>
      <w:r>
        <w:rPr>
          <w:rFonts w:ascii="Times New Roman" w:hAnsi="Times New Roman" w:cs="Times New Roman"/>
          <w:b/>
          <w:sz w:val="28"/>
          <w:szCs w:val="28"/>
        </w:rPr>
        <w:tab/>
      </w:r>
    </w:p>
    <w:p w14:paraId="597BCD8B" w14:textId="77777777" w:rsidR="00BA6FB9" w:rsidRDefault="00BA6FB9" w:rsidP="0024051E">
      <w:pPr>
        <w:jc w:val="center"/>
        <w:rPr>
          <w:rFonts w:ascii="Times New Roman" w:hAnsi="Times New Roman" w:cs="Times New Roman"/>
          <w:b/>
          <w:sz w:val="28"/>
          <w:szCs w:val="28"/>
        </w:rPr>
      </w:pP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27C7E20C" w14:textId="76B31B52" w:rsidR="00FA1E47" w:rsidRDefault="00187FF4">
          <w:pPr>
            <w:pStyle w:val="TOC1"/>
            <w:tabs>
              <w:tab w:val="left" w:pos="440"/>
              <w:tab w:val="right" w:leader="dot" w:pos="9627"/>
            </w:tabs>
            <w:rPr>
              <w:rFonts w:eastAsiaTheme="minorEastAsia"/>
              <w:noProof/>
              <w:lang w:eastAsia="lv-LV"/>
            </w:rPr>
          </w:pPr>
          <w:r>
            <w:fldChar w:fldCharType="begin"/>
          </w:r>
          <w:r>
            <w:instrText xml:space="preserve"> TOC \o "1-3" \h \z \u </w:instrText>
          </w:r>
          <w:r>
            <w:fldChar w:fldCharType="separate"/>
          </w:r>
          <w:hyperlink w:anchor="_Toc109042765" w:history="1">
            <w:r w:rsidR="00FA1E47" w:rsidRPr="00E85AB8">
              <w:rPr>
                <w:rStyle w:val="Hyperlink"/>
                <w:rFonts w:ascii="Times New Roman" w:hAnsi="Times New Roman" w:cs="Times New Roman"/>
                <w:b/>
                <w:bCs/>
                <w:noProof/>
              </w:rPr>
              <w:t>1.</w:t>
            </w:r>
            <w:r w:rsidR="00FA1E47">
              <w:rPr>
                <w:rFonts w:eastAsiaTheme="minorEastAsia"/>
                <w:noProof/>
                <w:lang w:eastAsia="lv-LV"/>
              </w:rPr>
              <w:tab/>
            </w:r>
            <w:r w:rsidR="00FA1E47" w:rsidRPr="00E85AB8">
              <w:rPr>
                <w:rStyle w:val="Hyperlink"/>
                <w:rFonts w:ascii="Times New Roman" w:hAnsi="Times New Roman" w:cs="Times New Roman"/>
                <w:b/>
                <w:bCs/>
                <w:noProof/>
              </w:rPr>
              <w:t>Vispārīgā informācija</w:t>
            </w:r>
            <w:r w:rsidR="00FA1E47">
              <w:rPr>
                <w:noProof/>
                <w:webHidden/>
              </w:rPr>
              <w:tab/>
            </w:r>
            <w:r w:rsidR="00FA1E47">
              <w:rPr>
                <w:noProof/>
                <w:webHidden/>
              </w:rPr>
              <w:fldChar w:fldCharType="begin"/>
            </w:r>
            <w:r w:rsidR="00FA1E47">
              <w:rPr>
                <w:noProof/>
                <w:webHidden/>
              </w:rPr>
              <w:instrText xml:space="preserve"> PAGEREF _Toc109042765 \h </w:instrText>
            </w:r>
            <w:r w:rsidR="00FA1E47">
              <w:rPr>
                <w:noProof/>
                <w:webHidden/>
              </w:rPr>
            </w:r>
            <w:r w:rsidR="00FA1E47">
              <w:rPr>
                <w:noProof/>
                <w:webHidden/>
              </w:rPr>
              <w:fldChar w:fldCharType="separate"/>
            </w:r>
            <w:r w:rsidR="00FA1E47">
              <w:rPr>
                <w:noProof/>
                <w:webHidden/>
              </w:rPr>
              <w:t>3</w:t>
            </w:r>
            <w:r w:rsidR="00FA1E47">
              <w:rPr>
                <w:noProof/>
                <w:webHidden/>
              </w:rPr>
              <w:fldChar w:fldCharType="end"/>
            </w:r>
          </w:hyperlink>
        </w:p>
        <w:p w14:paraId="3A37B4CF" w14:textId="481E74D8" w:rsidR="00FA1E47" w:rsidRDefault="00000000">
          <w:pPr>
            <w:pStyle w:val="TOC1"/>
            <w:tabs>
              <w:tab w:val="left" w:pos="660"/>
              <w:tab w:val="right" w:leader="dot" w:pos="9627"/>
            </w:tabs>
            <w:rPr>
              <w:rFonts w:eastAsiaTheme="minorEastAsia"/>
              <w:noProof/>
              <w:lang w:eastAsia="lv-LV"/>
            </w:rPr>
          </w:pPr>
          <w:hyperlink w:anchor="_Toc109042766" w:history="1">
            <w:r w:rsidR="00FA1E47" w:rsidRPr="00E85AB8">
              <w:rPr>
                <w:rStyle w:val="Hyperlink"/>
                <w:rFonts w:ascii="Times New Roman" w:hAnsi="Times New Roman" w:cs="Times New Roman"/>
                <w:b/>
                <w:bCs/>
                <w:noProof/>
              </w:rPr>
              <w:t>1.1.</w:t>
            </w:r>
            <w:r w:rsidR="00FA1E47">
              <w:rPr>
                <w:rFonts w:eastAsiaTheme="minorEastAsia"/>
                <w:noProof/>
                <w:lang w:eastAsia="lv-LV"/>
              </w:rPr>
              <w:tab/>
            </w:r>
            <w:r w:rsidR="00FA1E47" w:rsidRPr="00E85AB8">
              <w:rPr>
                <w:rStyle w:val="Hyperlink"/>
                <w:rFonts w:ascii="Times New Roman" w:hAnsi="Times New Roman" w:cs="Times New Roman"/>
                <w:b/>
                <w:bCs/>
                <w:noProof/>
              </w:rPr>
              <w:t>Normatīvo aktu bāze izmaksu un ieguvumu analīzes izstrādei</w:t>
            </w:r>
            <w:r w:rsidR="00FA1E47">
              <w:rPr>
                <w:noProof/>
                <w:webHidden/>
              </w:rPr>
              <w:tab/>
            </w:r>
            <w:r w:rsidR="00FA1E47">
              <w:rPr>
                <w:noProof/>
                <w:webHidden/>
              </w:rPr>
              <w:fldChar w:fldCharType="begin"/>
            </w:r>
            <w:r w:rsidR="00FA1E47">
              <w:rPr>
                <w:noProof/>
                <w:webHidden/>
              </w:rPr>
              <w:instrText xml:space="preserve"> PAGEREF _Toc109042766 \h </w:instrText>
            </w:r>
            <w:r w:rsidR="00FA1E47">
              <w:rPr>
                <w:noProof/>
                <w:webHidden/>
              </w:rPr>
            </w:r>
            <w:r w:rsidR="00FA1E47">
              <w:rPr>
                <w:noProof/>
                <w:webHidden/>
              </w:rPr>
              <w:fldChar w:fldCharType="separate"/>
            </w:r>
            <w:r w:rsidR="00FA1E47">
              <w:rPr>
                <w:noProof/>
                <w:webHidden/>
              </w:rPr>
              <w:t>3</w:t>
            </w:r>
            <w:r w:rsidR="00FA1E47">
              <w:rPr>
                <w:noProof/>
                <w:webHidden/>
              </w:rPr>
              <w:fldChar w:fldCharType="end"/>
            </w:r>
          </w:hyperlink>
        </w:p>
        <w:p w14:paraId="062049DC" w14:textId="07D790DD" w:rsidR="00FA1E47" w:rsidRDefault="00000000">
          <w:pPr>
            <w:pStyle w:val="TOC1"/>
            <w:tabs>
              <w:tab w:val="left" w:pos="660"/>
              <w:tab w:val="right" w:leader="dot" w:pos="9627"/>
            </w:tabs>
            <w:rPr>
              <w:rFonts w:eastAsiaTheme="minorEastAsia"/>
              <w:noProof/>
              <w:lang w:eastAsia="lv-LV"/>
            </w:rPr>
          </w:pPr>
          <w:hyperlink w:anchor="_Toc109042767" w:history="1">
            <w:r w:rsidR="00FA1E47" w:rsidRPr="00E85AB8">
              <w:rPr>
                <w:rStyle w:val="Hyperlink"/>
                <w:rFonts w:ascii="Times New Roman" w:hAnsi="Times New Roman" w:cs="Times New Roman"/>
                <w:b/>
                <w:bCs/>
                <w:noProof/>
              </w:rPr>
              <w:t>1.2.</w:t>
            </w:r>
            <w:r w:rsidR="00FA1E47">
              <w:rPr>
                <w:rFonts w:eastAsiaTheme="minorEastAsia"/>
                <w:noProof/>
                <w:lang w:eastAsia="lv-LV"/>
              </w:rPr>
              <w:tab/>
            </w:r>
            <w:r w:rsidR="00FA1E47" w:rsidRPr="00E85AB8">
              <w:rPr>
                <w:rStyle w:val="Hyperlink"/>
                <w:rFonts w:ascii="Times New Roman" w:hAnsi="Times New Roman" w:cs="Times New Roman"/>
                <w:b/>
                <w:bCs/>
                <w:noProof/>
              </w:rPr>
              <w:t>Izmaksu un ieguvumu analīzes būtība, mērķi un pamatprincipi</w:t>
            </w:r>
            <w:r w:rsidR="00FA1E47">
              <w:rPr>
                <w:noProof/>
                <w:webHidden/>
              </w:rPr>
              <w:tab/>
            </w:r>
            <w:r w:rsidR="00FA1E47">
              <w:rPr>
                <w:noProof/>
                <w:webHidden/>
              </w:rPr>
              <w:fldChar w:fldCharType="begin"/>
            </w:r>
            <w:r w:rsidR="00FA1E47">
              <w:rPr>
                <w:noProof/>
                <w:webHidden/>
              </w:rPr>
              <w:instrText xml:space="preserve"> PAGEREF _Toc109042767 \h </w:instrText>
            </w:r>
            <w:r w:rsidR="00FA1E47">
              <w:rPr>
                <w:noProof/>
                <w:webHidden/>
              </w:rPr>
            </w:r>
            <w:r w:rsidR="00FA1E47">
              <w:rPr>
                <w:noProof/>
                <w:webHidden/>
              </w:rPr>
              <w:fldChar w:fldCharType="separate"/>
            </w:r>
            <w:r w:rsidR="00FA1E47">
              <w:rPr>
                <w:noProof/>
                <w:webHidden/>
              </w:rPr>
              <w:t>3</w:t>
            </w:r>
            <w:r w:rsidR="00FA1E47">
              <w:rPr>
                <w:noProof/>
                <w:webHidden/>
              </w:rPr>
              <w:fldChar w:fldCharType="end"/>
            </w:r>
          </w:hyperlink>
        </w:p>
        <w:p w14:paraId="1FBE3C8A" w14:textId="2D3B8AC5" w:rsidR="00FA1E47" w:rsidRDefault="00000000">
          <w:pPr>
            <w:pStyle w:val="TOC1"/>
            <w:tabs>
              <w:tab w:val="left" w:pos="440"/>
              <w:tab w:val="right" w:leader="dot" w:pos="9627"/>
            </w:tabs>
            <w:rPr>
              <w:rFonts w:eastAsiaTheme="minorEastAsia"/>
              <w:noProof/>
              <w:lang w:eastAsia="lv-LV"/>
            </w:rPr>
          </w:pPr>
          <w:hyperlink w:anchor="_Toc109042768" w:history="1">
            <w:r w:rsidR="00FA1E47" w:rsidRPr="00E85AB8">
              <w:rPr>
                <w:rStyle w:val="Hyperlink"/>
                <w:rFonts w:ascii="Times New Roman" w:hAnsi="Times New Roman" w:cs="Times New Roman"/>
                <w:b/>
                <w:bCs/>
                <w:noProof/>
              </w:rPr>
              <w:t>2.</w:t>
            </w:r>
            <w:r w:rsidR="00FA1E47">
              <w:rPr>
                <w:rFonts w:eastAsiaTheme="minorEastAsia"/>
                <w:noProof/>
                <w:lang w:eastAsia="lv-LV"/>
              </w:rPr>
              <w:tab/>
            </w:r>
            <w:r w:rsidR="00FA1E47" w:rsidRPr="00E85AB8">
              <w:rPr>
                <w:rStyle w:val="Hyperlink"/>
                <w:rFonts w:ascii="Times New Roman" w:hAnsi="Times New Roman" w:cs="Times New Roman"/>
                <w:b/>
                <w:bCs/>
                <w:noProof/>
              </w:rPr>
              <w:t>Izmaksu un ieguvumu analīzes izstrāde un saturs</w:t>
            </w:r>
            <w:r w:rsidR="00FA1E47">
              <w:rPr>
                <w:noProof/>
                <w:webHidden/>
              </w:rPr>
              <w:tab/>
            </w:r>
            <w:r w:rsidR="00FA1E47">
              <w:rPr>
                <w:noProof/>
                <w:webHidden/>
              </w:rPr>
              <w:fldChar w:fldCharType="begin"/>
            </w:r>
            <w:r w:rsidR="00FA1E47">
              <w:rPr>
                <w:noProof/>
                <w:webHidden/>
              </w:rPr>
              <w:instrText xml:space="preserve"> PAGEREF _Toc109042768 \h </w:instrText>
            </w:r>
            <w:r w:rsidR="00FA1E47">
              <w:rPr>
                <w:noProof/>
                <w:webHidden/>
              </w:rPr>
            </w:r>
            <w:r w:rsidR="00FA1E47">
              <w:rPr>
                <w:noProof/>
                <w:webHidden/>
              </w:rPr>
              <w:fldChar w:fldCharType="separate"/>
            </w:r>
            <w:r w:rsidR="00FA1E47">
              <w:rPr>
                <w:noProof/>
                <w:webHidden/>
              </w:rPr>
              <w:t>4</w:t>
            </w:r>
            <w:r w:rsidR="00FA1E47">
              <w:rPr>
                <w:noProof/>
                <w:webHidden/>
              </w:rPr>
              <w:fldChar w:fldCharType="end"/>
            </w:r>
          </w:hyperlink>
        </w:p>
        <w:p w14:paraId="602535C6" w14:textId="648979DC" w:rsidR="00FA1E47" w:rsidRDefault="00000000">
          <w:pPr>
            <w:pStyle w:val="TOC1"/>
            <w:tabs>
              <w:tab w:val="left" w:pos="660"/>
              <w:tab w:val="right" w:leader="dot" w:pos="9627"/>
            </w:tabs>
            <w:rPr>
              <w:rFonts w:eastAsiaTheme="minorEastAsia"/>
              <w:noProof/>
              <w:lang w:eastAsia="lv-LV"/>
            </w:rPr>
          </w:pPr>
          <w:hyperlink w:anchor="_Toc109042769" w:history="1">
            <w:r w:rsidR="00FA1E47" w:rsidRPr="00E85AB8">
              <w:rPr>
                <w:rStyle w:val="Hyperlink"/>
                <w:rFonts w:ascii="Times New Roman" w:hAnsi="Times New Roman" w:cs="Times New Roman"/>
                <w:b/>
                <w:bCs/>
                <w:noProof/>
              </w:rPr>
              <w:t>2.1.</w:t>
            </w:r>
            <w:r w:rsidR="00FA1E47">
              <w:rPr>
                <w:rFonts w:eastAsiaTheme="minorEastAsia"/>
                <w:noProof/>
                <w:lang w:eastAsia="lv-LV"/>
              </w:rPr>
              <w:tab/>
            </w:r>
            <w:r w:rsidR="00FA1E47" w:rsidRPr="00E85AB8">
              <w:rPr>
                <w:rStyle w:val="Hyperlink"/>
                <w:rFonts w:ascii="Times New Roman" w:hAnsi="Times New Roman" w:cs="Times New Roman"/>
                <w:b/>
                <w:bCs/>
                <w:noProof/>
              </w:rPr>
              <w:t>Vispārīgā informācija</w:t>
            </w:r>
            <w:r w:rsidR="00FA1E47">
              <w:rPr>
                <w:noProof/>
                <w:webHidden/>
              </w:rPr>
              <w:tab/>
            </w:r>
            <w:r w:rsidR="00FA1E47">
              <w:rPr>
                <w:noProof/>
                <w:webHidden/>
              </w:rPr>
              <w:fldChar w:fldCharType="begin"/>
            </w:r>
            <w:r w:rsidR="00FA1E47">
              <w:rPr>
                <w:noProof/>
                <w:webHidden/>
              </w:rPr>
              <w:instrText xml:space="preserve"> PAGEREF _Toc109042769 \h </w:instrText>
            </w:r>
            <w:r w:rsidR="00FA1E47">
              <w:rPr>
                <w:noProof/>
                <w:webHidden/>
              </w:rPr>
            </w:r>
            <w:r w:rsidR="00FA1E47">
              <w:rPr>
                <w:noProof/>
                <w:webHidden/>
              </w:rPr>
              <w:fldChar w:fldCharType="separate"/>
            </w:r>
            <w:r w:rsidR="00FA1E47">
              <w:rPr>
                <w:noProof/>
                <w:webHidden/>
              </w:rPr>
              <w:t>4</w:t>
            </w:r>
            <w:r w:rsidR="00FA1E47">
              <w:rPr>
                <w:noProof/>
                <w:webHidden/>
              </w:rPr>
              <w:fldChar w:fldCharType="end"/>
            </w:r>
          </w:hyperlink>
        </w:p>
        <w:p w14:paraId="0E8CDD40" w14:textId="4081FD51" w:rsidR="00FA1E47" w:rsidRDefault="00000000">
          <w:pPr>
            <w:pStyle w:val="TOC1"/>
            <w:tabs>
              <w:tab w:val="left" w:pos="660"/>
              <w:tab w:val="right" w:leader="dot" w:pos="9627"/>
            </w:tabs>
            <w:rPr>
              <w:rFonts w:eastAsiaTheme="minorEastAsia"/>
              <w:noProof/>
              <w:lang w:eastAsia="lv-LV"/>
            </w:rPr>
          </w:pPr>
          <w:hyperlink w:anchor="_Toc109042770" w:history="1">
            <w:r w:rsidR="00FA1E47" w:rsidRPr="00E85AB8">
              <w:rPr>
                <w:rStyle w:val="Hyperlink"/>
                <w:rFonts w:ascii="Times New Roman" w:hAnsi="Times New Roman" w:cs="Times New Roman"/>
                <w:b/>
                <w:bCs/>
                <w:noProof/>
              </w:rPr>
              <w:t>2.2.</w:t>
            </w:r>
            <w:r w:rsidR="00FA1E47">
              <w:rPr>
                <w:rFonts w:eastAsiaTheme="minorEastAsia"/>
                <w:noProof/>
                <w:lang w:eastAsia="lv-LV"/>
              </w:rPr>
              <w:tab/>
            </w:r>
            <w:r w:rsidR="00FA1E47" w:rsidRPr="00E85AB8">
              <w:rPr>
                <w:rStyle w:val="Hyperlink"/>
                <w:rFonts w:ascii="Times New Roman" w:hAnsi="Times New Roman" w:cs="Times New Roman"/>
                <w:b/>
                <w:bCs/>
                <w:noProof/>
              </w:rPr>
              <w:t>Izmaksu un ieguvumu analīzes aprēķinu izklājlapās norādāmā informācija</w:t>
            </w:r>
            <w:r w:rsidR="00FA1E47">
              <w:rPr>
                <w:noProof/>
                <w:webHidden/>
              </w:rPr>
              <w:tab/>
            </w:r>
            <w:r w:rsidR="00FA1E47">
              <w:rPr>
                <w:noProof/>
                <w:webHidden/>
              </w:rPr>
              <w:fldChar w:fldCharType="begin"/>
            </w:r>
            <w:r w:rsidR="00FA1E47">
              <w:rPr>
                <w:noProof/>
                <w:webHidden/>
              </w:rPr>
              <w:instrText xml:space="preserve"> PAGEREF _Toc109042770 \h </w:instrText>
            </w:r>
            <w:r w:rsidR="00FA1E47">
              <w:rPr>
                <w:noProof/>
                <w:webHidden/>
              </w:rPr>
            </w:r>
            <w:r w:rsidR="00FA1E47">
              <w:rPr>
                <w:noProof/>
                <w:webHidden/>
              </w:rPr>
              <w:fldChar w:fldCharType="separate"/>
            </w:r>
            <w:r w:rsidR="00FA1E47">
              <w:rPr>
                <w:noProof/>
                <w:webHidden/>
              </w:rPr>
              <w:t>5</w:t>
            </w:r>
            <w:r w:rsidR="00FA1E47">
              <w:rPr>
                <w:noProof/>
                <w:webHidden/>
              </w:rPr>
              <w:fldChar w:fldCharType="end"/>
            </w:r>
          </w:hyperlink>
        </w:p>
        <w:p w14:paraId="4D109E71" w14:textId="41F9B083" w:rsidR="00FA1E47" w:rsidRDefault="00000000">
          <w:pPr>
            <w:pStyle w:val="TOC1"/>
            <w:tabs>
              <w:tab w:val="left" w:pos="880"/>
              <w:tab w:val="right" w:leader="dot" w:pos="9627"/>
            </w:tabs>
            <w:rPr>
              <w:rFonts w:eastAsiaTheme="minorEastAsia"/>
              <w:noProof/>
              <w:lang w:eastAsia="lv-LV"/>
            </w:rPr>
          </w:pPr>
          <w:hyperlink w:anchor="_Toc109042771" w:history="1">
            <w:r w:rsidR="00FA1E47" w:rsidRPr="00E85AB8">
              <w:rPr>
                <w:rStyle w:val="Hyperlink"/>
                <w:rFonts w:ascii="Times New Roman" w:hAnsi="Times New Roman" w:cs="Times New Roman"/>
                <w:b/>
                <w:bCs/>
                <w:noProof/>
              </w:rPr>
              <w:t>2.2.1.</w:t>
            </w:r>
            <w:r w:rsidR="00FA1E47">
              <w:rPr>
                <w:rFonts w:eastAsiaTheme="minorEastAsia"/>
                <w:noProof/>
                <w:lang w:eastAsia="lv-LV"/>
              </w:rPr>
              <w:tab/>
            </w:r>
            <w:r w:rsidR="00FA1E47" w:rsidRPr="00E85AB8">
              <w:rPr>
                <w:rStyle w:val="Hyperlink"/>
                <w:rFonts w:ascii="Times New Roman" w:hAnsi="Times New Roman" w:cs="Times New Roman"/>
                <w:b/>
                <w:bCs/>
                <w:noProof/>
              </w:rPr>
              <w:t>Dati par projektu</w:t>
            </w:r>
            <w:r w:rsidR="00FA1E47">
              <w:rPr>
                <w:noProof/>
                <w:webHidden/>
              </w:rPr>
              <w:tab/>
            </w:r>
            <w:r w:rsidR="00FA1E47">
              <w:rPr>
                <w:noProof/>
                <w:webHidden/>
              </w:rPr>
              <w:fldChar w:fldCharType="begin"/>
            </w:r>
            <w:r w:rsidR="00FA1E47">
              <w:rPr>
                <w:noProof/>
                <w:webHidden/>
              </w:rPr>
              <w:instrText xml:space="preserve"> PAGEREF _Toc109042771 \h </w:instrText>
            </w:r>
            <w:r w:rsidR="00FA1E47">
              <w:rPr>
                <w:noProof/>
                <w:webHidden/>
              </w:rPr>
            </w:r>
            <w:r w:rsidR="00FA1E47">
              <w:rPr>
                <w:noProof/>
                <w:webHidden/>
              </w:rPr>
              <w:fldChar w:fldCharType="separate"/>
            </w:r>
            <w:r w:rsidR="00FA1E47">
              <w:rPr>
                <w:noProof/>
                <w:webHidden/>
              </w:rPr>
              <w:t>5</w:t>
            </w:r>
            <w:r w:rsidR="00FA1E47">
              <w:rPr>
                <w:noProof/>
                <w:webHidden/>
              </w:rPr>
              <w:fldChar w:fldCharType="end"/>
            </w:r>
          </w:hyperlink>
        </w:p>
        <w:p w14:paraId="119B25C0" w14:textId="11F35EAC" w:rsidR="00FA1E47" w:rsidRDefault="00000000">
          <w:pPr>
            <w:pStyle w:val="TOC1"/>
            <w:tabs>
              <w:tab w:val="left" w:pos="880"/>
              <w:tab w:val="right" w:leader="dot" w:pos="9627"/>
            </w:tabs>
            <w:rPr>
              <w:rFonts w:eastAsiaTheme="minorEastAsia"/>
              <w:noProof/>
              <w:lang w:eastAsia="lv-LV"/>
            </w:rPr>
          </w:pPr>
          <w:hyperlink w:anchor="_Toc109042772" w:history="1">
            <w:r w:rsidR="00FA1E47" w:rsidRPr="00E85AB8">
              <w:rPr>
                <w:rStyle w:val="Hyperlink"/>
                <w:rFonts w:ascii="Times New Roman" w:hAnsi="Times New Roman" w:cs="Times New Roman"/>
                <w:b/>
                <w:bCs/>
                <w:noProof/>
              </w:rPr>
              <w:t>2.2.2.</w:t>
            </w:r>
            <w:r w:rsidR="00FA1E47">
              <w:rPr>
                <w:rFonts w:eastAsiaTheme="minorEastAsia"/>
                <w:noProof/>
                <w:lang w:eastAsia="lv-LV"/>
              </w:rPr>
              <w:tab/>
            </w:r>
            <w:r w:rsidR="00FA1E47" w:rsidRPr="00E85AB8">
              <w:rPr>
                <w:rStyle w:val="Hyperlink"/>
                <w:rFonts w:ascii="Times New Roman" w:hAnsi="Times New Roman" w:cs="Times New Roman"/>
                <w:b/>
                <w:bCs/>
                <w:noProof/>
              </w:rPr>
              <w:t>Projekta investīciju izmaksas</w:t>
            </w:r>
            <w:r w:rsidR="00FA1E47">
              <w:rPr>
                <w:noProof/>
                <w:webHidden/>
              </w:rPr>
              <w:tab/>
            </w:r>
            <w:r w:rsidR="00FA1E47">
              <w:rPr>
                <w:noProof/>
                <w:webHidden/>
              </w:rPr>
              <w:fldChar w:fldCharType="begin"/>
            </w:r>
            <w:r w:rsidR="00FA1E47">
              <w:rPr>
                <w:noProof/>
                <w:webHidden/>
              </w:rPr>
              <w:instrText xml:space="preserve"> PAGEREF _Toc109042772 \h </w:instrText>
            </w:r>
            <w:r w:rsidR="00FA1E47">
              <w:rPr>
                <w:noProof/>
                <w:webHidden/>
              </w:rPr>
            </w:r>
            <w:r w:rsidR="00FA1E47">
              <w:rPr>
                <w:noProof/>
                <w:webHidden/>
              </w:rPr>
              <w:fldChar w:fldCharType="separate"/>
            </w:r>
            <w:r w:rsidR="00FA1E47">
              <w:rPr>
                <w:noProof/>
                <w:webHidden/>
              </w:rPr>
              <w:t>7</w:t>
            </w:r>
            <w:r w:rsidR="00FA1E47">
              <w:rPr>
                <w:noProof/>
                <w:webHidden/>
              </w:rPr>
              <w:fldChar w:fldCharType="end"/>
            </w:r>
          </w:hyperlink>
        </w:p>
        <w:p w14:paraId="08040248" w14:textId="4D8AA4F2" w:rsidR="00FA1E47" w:rsidRDefault="00000000">
          <w:pPr>
            <w:pStyle w:val="TOC1"/>
            <w:tabs>
              <w:tab w:val="left" w:pos="880"/>
              <w:tab w:val="right" w:leader="dot" w:pos="9627"/>
            </w:tabs>
            <w:rPr>
              <w:rFonts w:eastAsiaTheme="minorEastAsia"/>
              <w:noProof/>
              <w:lang w:eastAsia="lv-LV"/>
            </w:rPr>
          </w:pPr>
          <w:hyperlink w:anchor="_Toc109042773" w:history="1">
            <w:r w:rsidR="00FA1E47" w:rsidRPr="00E85AB8">
              <w:rPr>
                <w:rStyle w:val="Hyperlink"/>
                <w:rFonts w:ascii="Times New Roman" w:hAnsi="Times New Roman" w:cs="Times New Roman"/>
                <w:b/>
                <w:bCs/>
                <w:noProof/>
              </w:rPr>
              <w:t>2.2.3.</w:t>
            </w:r>
            <w:r w:rsidR="00FA1E47">
              <w:rPr>
                <w:rFonts w:eastAsiaTheme="minorEastAsia"/>
                <w:noProof/>
                <w:lang w:eastAsia="lv-LV"/>
              </w:rPr>
              <w:tab/>
            </w:r>
            <w:r w:rsidR="00FA1E47" w:rsidRPr="00E85AB8">
              <w:rPr>
                <w:rStyle w:val="Hyperlink"/>
                <w:rFonts w:ascii="Times New Roman" w:hAnsi="Times New Roman" w:cs="Times New Roman"/>
                <w:b/>
                <w:bCs/>
                <w:noProof/>
              </w:rPr>
              <w:t>Investīciju naudas plūsma bez projekta</w:t>
            </w:r>
            <w:r w:rsidR="00FA1E47">
              <w:rPr>
                <w:noProof/>
                <w:webHidden/>
              </w:rPr>
              <w:tab/>
            </w:r>
            <w:r w:rsidR="00FA1E47">
              <w:rPr>
                <w:noProof/>
                <w:webHidden/>
              </w:rPr>
              <w:fldChar w:fldCharType="begin"/>
            </w:r>
            <w:r w:rsidR="00FA1E47">
              <w:rPr>
                <w:noProof/>
                <w:webHidden/>
              </w:rPr>
              <w:instrText xml:space="preserve"> PAGEREF _Toc109042773 \h </w:instrText>
            </w:r>
            <w:r w:rsidR="00FA1E47">
              <w:rPr>
                <w:noProof/>
                <w:webHidden/>
              </w:rPr>
            </w:r>
            <w:r w:rsidR="00FA1E47">
              <w:rPr>
                <w:noProof/>
                <w:webHidden/>
              </w:rPr>
              <w:fldChar w:fldCharType="separate"/>
            </w:r>
            <w:r w:rsidR="00FA1E47">
              <w:rPr>
                <w:noProof/>
                <w:webHidden/>
              </w:rPr>
              <w:t>7</w:t>
            </w:r>
            <w:r w:rsidR="00FA1E47">
              <w:rPr>
                <w:noProof/>
                <w:webHidden/>
              </w:rPr>
              <w:fldChar w:fldCharType="end"/>
            </w:r>
          </w:hyperlink>
        </w:p>
        <w:p w14:paraId="1CD83B3B" w14:textId="3239753D" w:rsidR="00FA1E47" w:rsidRDefault="00000000">
          <w:pPr>
            <w:pStyle w:val="TOC1"/>
            <w:tabs>
              <w:tab w:val="left" w:pos="880"/>
              <w:tab w:val="right" w:leader="dot" w:pos="9627"/>
            </w:tabs>
            <w:rPr>
              <w:rFonts w:eastAsiaTheme="minorEastAsia"/>
              <w:noProof/>
              <w:lang w:eastAsia="lv-LV"/>
            </w:rPr>
          </w:pPr>
          <w:hyperlink w:anchor="_Toc109042774" w:history="1">
            <w:r w:rsidR="00FA1E47" w:rsidRPr="00E85AB8">
              <w:rPr>
                <w:rStyle w:val="Hyperlink"/>
                <w:rFonts w:ascii="Times New Roman" w:hAnsi="Times New Roman" w:cs="Times New Roman"/>
                <w:b/>
                <w:bCs/>
                <w:noProof/>
              </w:rPr>
              <w:t>2.2.4.</w:t>
            </w:r>
            <w:r w:rsidR="00FA1E47">
              <w:rPr>
                <w:rFonts w:eastAsiaTheme="minorEastAsia"/>
                <w:noProof/>
                <w:lang w:eastAsia="lv-LV"/>
              </w:rPr>
              <w:tab/>
            </w:r>
            <w:r w:rsidR="00FA1E47" w:rsidRPr="00E85AB8">
              <w:rPr>
                <w:rStyle w:val="Hyperlink"/>
                <w:rFonts w:ascii="Times New Roman" w:hAnsi="Times New Roman" w:cs="Times New Roman"/>
                <w:b/>
                <w:bCs/>
                <w:noProof/>
              </w:rPr>
              <w:t>Investīciju naudas plūsma ar projektu</w:t>
            </w:r>
            <w:r w:rsidR="00FA1E47">
              <w:rPr>
                <w:noProof/>
                <w:webHidden/>
              </w:rPr>
              <w:tab/>
            </w:r>
            <w:r w:rsidR="00FA1E47">
              <w:rPr>
                <w:noProof/>
                <w:webHidden/>
              </w:rPr>
              <w:fldChar w:fldCharType="begin"/>
            </w:r>
            <w:r w:rsidR="00FA1E47">
              <w:rPr>
                <w:noProof/>
                <w:webHidden/>
              </w:rPr>
              <w:instrText xml:space="preserve"> PAGEREF _Toc109042774 \h </w:instrText>
            </w:r>
            <w:r w:rsidR="00FA1E47">
              <w:rPr>
                <w:noProof/>
                <w:webHidden/>
              </w:rPr>
            </w:r>
            <w:r w:rsidR="00FA1E47">
              <w:rPr>
                <w:noProof/>
                <w:webHidden/>
              </w:rPr>
              <w:fldChar w:fldCharType="separate"/>
            </w:r>
            <w:r w:rsidR="00FA1E47">
              <w:rPr>
                <w:noProof/>
                <w:webHidden/>
              </w:rPr>
              <w:t>8</w:t>
            </w:r>
            <w:r w:rsidR="00FA1E47">
              <w:rPr>
                <w:noProof/>
                <w:webHidden/>
              </w:rPr>
              <w:fldChar w:fldCharType="end"/>
            </w:r>
          </w:hyperlink>
        </w:p>
        <w:p w14:paraId="2E650D51" w14:textId="37491908" w:rsidR="00FA1E47" w:rsidRDefault="00000000">
          <w:pPr>
            <w:pStyle w:val="TOC1"/>
            <w:tabs>
              <w:tab w:val="left" w:pos="880"/>
              <w:tab w:val="right" w:leader="dot" w:pos="9627"/>
            </w:tabs>
            <w:rPr>
              <w:rFonts w:eastAsiaTheme="minorEastAsia"/>
              <w:noProof/>
              <w:lang w:eastAsia="lv-LV"/>
            </w:rPr>
          </w:pPr>
          <w:hyperlink w:anchor="_Toc109042775" w:history="1">
            <w:r w:rsidR="00FA1E47" w:rsidRPr="00E85AB8">
              <w:rPr>
                <w:rStyle w:val="Hyperlink"/>
                <w:rFonts w:ascii="Times New Roman" w:hAnsi="Times New Roman" w:cs="Times New Roman"/>
                <w:b/>
                <w:bCs/>
                <w:noProof/>
              </w:rPr>
              <w:t>2.2.5.</w:t>
            </w:r>
            <w:r w:rsidR="00FA1E47">
              <w:rPr>
                <w:rFonts w:eastAsiaTheme="minorEastAsia"/>
                <w:noProof/>
                <w:lang w:eastAsia="lv-LV"/>
              </w:rPr>
              <w:tab/>
            </w:r>
            <w:r w:rsidR="00FA1E47" w:rsidRPr="00E85AB8">
              <w:rPr>
                <w:rStyle w:val="Hyperlink"/>
                <w:rFonts w:ascii="Times New Roman" w:hAnsi="Times New Roman" w:cs="Times New Roman"/>
                <w:b/>
                <w:bCs/>
                <w:noProof/>
              </w:rPr>
              <w:t>Finansiālā ilgtspēja</w:t>
            </w:r>
            <w:r w:rsidR="00FA1E47">
              <w:rPr>
                <w:noProof/>
                <w:webHidden/>
              </w:rPr>
              <w:tab/>
            </w:r>
            <w:r w:rsidR="00FA1E47">
              <w:rPr>
                <w:noProof/>
                <w:webHidden/>
              </w:rPr>
              <w:fldChar w:fldCharType="begin"/>
            </w:r>
            <w:r w:rsidR="00FA1E47">
              <w:rPr>
                <w:noProof/>
                <w:webHidden/>
              </w:rPr>
              <w:instrText xml:space="preserve"> PAGEREF _Toc109042775 \h </w:instrText>
            </w:r>
            <w:r w:rsidR="00FA1E47">
              <w:rPr>
                <w:noProof/>
                <w:webHidden/>
              </w:rPr>
            </w:r>
            <w:r w:rsidR="00FA1E47">
              <w:rPr>
                <w:noProof/>
                <w:webHidden/>
              </w:rPr>
              <w:fldChar w:fldCharType="separate"/>
            </w:r>
            <w:r w:rsidR="00FA1E47">
              <w:rPr>
                <w:noProof/>
                <w:webHidden/>
              </w:rPr>
              <w:t>9</w:t>
            </w:r>
            <w:r w:rsidR="00FA1E47">
              <w:rPr>
                <w:noProof/>
                <w:webHidden/>
              </w:rPr>
              <w:fldChar w:fldCharType="end"/>
            </w:r>
          </w:hyperlink>
        </w:p>
        <w:p w14:paraId="75BCAFD1" w14:textId="794183C6" w:rsidR="00FA1E47" w:rsidRDefault="00000000">
          <w:pPr>
            <w:pStyle w:val="TOC1"/>
            <w:tabs>
              <w:tab w:val="left" w:pos="880"/>
              <w:tab w:val="right" w:leader="dot" w:pos="9627"/>
            </w:tabs>
            <w:rPr>
              <w:rFonts w:eastAsiaTheme="minorEastAsia"/>
              <w:noProof/>
              <w:lang w:eastAsia="lv-LV"/>
            </w:rPr>
          </w:pPr>
          <w:hyperlink w:anchor="_Toc109042776" w:history="1">
            <w:r w:rsidR="00FA1E47" w:rsidRPr="00E85AB8">
              <w:rPr>
                <w:rStyle w:val="Hyperlink"/>
                <w:rFonts w:ascii="Times New Roman" w:hAnsi="Times New Roman" w:cs="Times New Roman"/>
                <w:b/>
                <w:bCs/>
                <w:noProof/>
              </w:rPr>
              <w:t>2.2.6.</w:t>
            </w:r>
            <w:r w:rsidR="00FA1E47">
              <w:rPr>
                <w:rFonts w:eastAsiaTheme="minorEastAsia"/>
                <w:noProof/>
                <w:lang w:eastAsia="lv-LV"/>
              </w:rPr>
              <w:tab/>
            </w:r>
            <w:r w:rsidR="00FA1E47" w:rsidRPr="00E85AB8">
              <w:rPr>
                <w:rStyle w:val="Hyperlink"/>
                <w:rFonts w:ascii="Times New Roman" w:hAnsi="Times New Roman" w:cs="Times New Roman"/>
                <w:b/>
                <w:bCs/>
                <w:noProof/>
              </w:rPr>
              <w:t>Sociālekonomiskā analīze</w:t>
            </w:r>
            <w:r w:rsidR="00FA1E47">
              <w:rPr>
                <w:noProof/>
                <w:webHidden/>
              </w:rPr>
              <w:tab/>
            </w:r>
            <w:r w:rsidR="00FA1E47">
              <w:rPr>
                <w:noProof/>
                <w:webHidden/>
              </w:rPr>
              <w:fldChar w:fldCharType="begin"/>
            </w:r>
            <w:r w:rsidR="00FA1E47">
              <w:rPr>
                <w:noProof/>
                <w:webHidden/>
              </w:rPr>
              <w:instrText xml:space="preserve"> PAGEREF _Toc109042776 \h </w:instrText>
            </w:r>
            <w:r w:rsidR="00FA1E47">
              <w:rPr>
                <w:noProof/>
                <w:webHidden/>
              </w:rPr>
            </w:r>
            <w:r w:rsidR="00FA1E47">
              <w:rPr>
                <w:noProof/>
                <w:webHidden/>
              </w:rPr>
              <w:fldChar w:fldCharType="separate"/>
            </w:r>
            <w:r w:rsidR="00FA1E47">
              <w:rPr>
                <w:noProof/>
                <w:webHidden/>
              </w:rPr>
              <w:t>10</w:t>
            </w:r>
            <w:r w:rsidR="00FA1E47">
              <w:rPr>
                <w:noProof/>
                <w:webHidden/>
              </w:rPr>
              <w:fldChar w:fldCharType="end"/>
            </w:r>
          </w:hyperlink>
        </w:p>
        <w:p w14:paraId="62B1EB7F" w14:textId="6FB4AC01" w:rsidR="00FA1E47" w:rsidRDefault="00000000">
          <w:pPr>
            <w:pStyle w:val="TOC1"/>
            <w:tabs>
              <w:tab w:val="left" w:pos="880"/>
              <w:tab w:val="right" w:leader="dot" w:pos="9627"/>
            </w:tabs>
            <w:rPr>
              <w:rFonts w:eastAsiaTheme="minorEastAsia"/>
              <w:noProof/>
              <w:lang w:eastAsia="lv-LV"/>
            </w:rPr>
          </w:pPr>
          <w:hyperlink w:anchor="_Toc109042777" w:history="1">
            <w:r w:rsidR="00FA1E47" w:rsidRPr="00E85AB8">
              <w:rPr>
                <w:rStyle w:val="Hyperlink"/>
                <w:rFonts w:ascii="Times New Roman" w:hAnsi="Times New Roman" w:cs="Times New Roman"/>
                <w:b/>
                <w:bCs/>
                <w:noProof/>
              </w:rPr>
              <w:t>2.2.7.</w:t>
            </w:r>
            <w:r w:rsidR="00FA1E47">
              <w:rPr>
                <w:rFonts w:eastAsiaTheme="minorEastAsia"/>
                <w:noProof/>
                <w:lang w:eastAsia="lv-LV"/>
              </w:rPr>
              <w:tab/>
            </w:r>
            <w:r w:rsidR="00FA1E47" w:rsidRPr="00E85AB8">
              <w:rPr>
                <w:rStyle w:val="Hyperlink"/>
                <w:rFonts w:ascii="Times New Roman" w:hAnsi="Times New Roman" w:cs="Times New Roman"/>
                <w:b/>
                <w:bCs/>
                <w:noProof/>
              </w:rPr>
              <w:t>Finanšu analīze</w:t>
            </w:r>
            <w:r w:rsidR="00FA1E47">
              <w:rPr>
                <w:noProof/>
                <w:webHidden/>
              </w:rPr>
              <w:tab/>
            </w:r>
            <w:r w:rsidR="00FA1E47">
              <w:rPr>
                <w:noProof/>
                <w:webHidden/>
              </w:rPr>
              <w:fldChar w:fldCharType="begin"/>
            </w:r>
            <w:r w:rsidR="00FA1E47">
              <w:rPr>
                <w:noProof/>
                <w:webHidden/>
              </w:rPr>
              <w:instrText xml:space="preserve"> PAGEREF _Toc109042777 \h </w:instrText>
            </w:r>
            <w:r w:rsidR="00FA1E47">
              <w:rPr>
                <w:noProof/>
                <w:webHidden/>
              </w:rPr>
            </w:r>
            <w:r w:rsidR="00FA1E47">
              <w:rPr>
                <w:noProof/>
                <w:webHidden/>
              </w:rPr>
              <w:fldChar w:fldCharType="separate"/>
            </w:r>
            <w:r w:rsidR="00FA1E47">
              <w:rPr>
                <w:noProof/>
                <w:webHidden/>
              </w:rPr>
              <w:t>12</w:t>
            </w:r>
            <w:r w:rsidR="00FA1E47">
              <w:rPr>
                <w:noProof/>
                <w:webHidden/>
              </w:rPr>
              <w:fldChar w:fldCharType="end"/>
            </w:r>
          </w:hyperlink>
        </w:p>
        <w:p w14:paraId="5EA449AA" w14:textId="4542A86B" w:rsidR="00FA1E47" w:rsidRDefault="00000000">
          <w:pPr>
            <w:pStyle w:val="TOC1"/>
            <w:tabs>
              <w:tab w:val="left" w:pos="880"/>
              <w:tab w:val="right" w:leader="dot" w:pos="9627"/>
            </w:tabs>
            <w:rPr>
              <w:rFonts w:eastAsiaTheme="minorEastAsia"/>
              <w:noProof/>
              <w:lang w:eastAsia="lv-LV"/>
            </w:rPr>
          </w:pPr>
          <w:hyperlink w:anchor="_Toc109042778" w:history="1">
            <w:r w:rsidR="00FA1E47" w:rsidRPr="00E85AB8">
              <w:rPr>
                <w:rStyle w:val="Hyperlink"/>
                <w:rFonts w:ascii="Times New Roman" w:hAnsi="Times New Roman" w:cs="Times New Roman"/>
                <w:b/>
                <w:bCs/>
                <w:noProof/>
              </w:rPr>
              <w:t>2.2.8.</w:t>
            </w:r>
            <w:r w:rsidR="00FA1E47">
              <w:rPr>
                <w:rFonts w:eastAsiaTheme="minorEastAsia"/>
                <w:noProof/>
                <w:lang w:eastAsia="lv-LV"/>
              </w:rPr>
              <w:tab/>
            </w:r>
            <w:r w:rsidR="00FA1E47" w:rsidRPr="00E85AB8">
              <w:rPr>
                <w:rStyle w:val="Hyperlink"/>
                <w:rFonts w:ascii="Times New Roman" w:hAnsi="Times New Roman" w:cs="Times New Roman"/>
                <w:b/>
                <w:bCs/>
                <w:noProof/>
              </w:rPr>
              <w:t>Sociālekonomiskās analīzes jutīguma analīze</w:t>
            </w:r>
            <w:r w:rsidR="00FA1E47">
              <w:rPr>
                <w:noProof/>
                <w:webHidden/>
              </w:rPr>
              <w:tab/>
            </w:r>
            <w:r w:rsidR="00FA1E47">
              <w:rPr>
                <w:noProof/>
                <w:webHidden/>
              </w:rPr>
              <w:fldChar w:fldCharType="begin"/>
            </w:r>
            <w:r w:rsidR="00FA1E47">
              <w:rPr>
                <w:noProof/>
                <w:webHidden/>
              </w:rPr>
              <w:instrText xml:space="preserve"> PAGEREF _Toc109042778 \h </w:instrText>
            </w:r>
            <w:r w:rsidR="00FA1E47">
              <w:rPr>
                <w:noProof/>
                <w:webHidden/>
              </w:rPr>
            </w:r>
            <w:r w:rsidR="00FA1E47">
              <w:rPr>
                <w:noProof/>
                <w:webHidden/>
              </w:rPr>
              <w:fldChar w:fldCharType="separate"/>
            </w:r>
            <w:r w:rsidR="00FA1E47">
              <w:rPr>
                <w:noProof/>
                <w:webHidden/>
              </w:rPr>
              <w:t>13</w:t>
            </w:r>
            <w:r w:rsidR="00FA1E47">
              <w:rPr>
                <w:noProof/>
                <w:webHidden/>
              </w:rPr>
              <w:fldChar w:fldCharType="end"/>
            </w:r>
          </w:hyperlink>
        </w:p>
        <w:p w14:paraId="5FAAF97D" w14:textId="4E64649A" w:rsidR="00FA1E47" w:rsidRDefault="00000000">
          <w:pPr>
            <w:pStyle w:val="TOC1"/>
            <w:tabs>
              <w:tab w:val="left" w:pos="880"/>
              <w:tab w:val="right" w:leader="dot" w:pos="9627"/>
            </w:tabs>
            <w:rPr>
              <w:rFonts w:eastAsiaTheme="minorEastAsia"/>
              <w:noProof/>
              <w:lang w:eastAsia="lv-LV"/>
            </w:rPr>
          </w:pPr>
          <w:hyperlink w:anchor="_Toc109042779" w:history="1">
            <w:r w:rsidR="00FA1E47" w:rsidRPr="00E85AB8">
              <w:rPr>
                <w:rStyle w:val="Hyperlink"/>
                <w:rFonts w:ascii="Times New Roman" w:hAnsi="Times New Roman" w:cs="Times New Roman"/>
                <w:b/>
                <w:bCs/>
                <w:noProof/>
              </w:rPr>
              <w:t>2.2.9.</w:t>
            </w:r>
            <w:r w:rsidR="00FA1E47">
              <w:rPr>
                <w:rFonts w:eastAsiaTheme="minorEastAsia"/>
                <w:noProof/>
                <w:lang w:eastAsia="lv-LV"/>
              </w:rPr>
              <w:tab/>
            </w:r>
            <w:r w:rsidR="00FA1E47" w:rsidRPr="00E85AB8">
              <w:rPr>
                <w:rStyle w:val="Hyperlink"/>
                <w:rFonts w:ascii="Times New Roman" w:hAnsi="Times New Roman" w:cs="Times New Roman"/>
                <w:b/>
                <w:bCs/>
                <w:noProof/>
              </w:rPr>
              <w:t>Projekta iesnieguma veidlapas 2.pielikums “Finansēšanas plāns”</w:t>
            </w:r>
            <w:r w:rsidR="00FA1E47">
              <w:rPr>
                <w:noProof/>
                <w:webHidden/>
              </w:rPr>
              <w:tab/>
            </w:r>
            <w:r w:rsidR="00FA1E47">
              <w:rPr>
                <w:noProof/>
                <w:webHidden/>
              </w:rPr>
              <w:fldChar w:fldCharType="begin"/>
            </w:r>
            <w:r w:rsidR="00FA1E47">
              <w:rPr>
                <w:noProof/>
                <w:webHidden/>
              </w:rPr>
              <w:instrText xml:space="preserve"> PAGEREF _Toc109042779 \h </w:instrText>
            </w:r>
            <w:r w:rsidR="00FA1E47">
              <w:rPr>
                <w:noProof/>
                <w:webHidden/>
              </w:rPr>
            </w:r>
            <w:r w:rsidR="00FA1E47">
              <w:rPr>
                <w:noProof/>
                <w:webHidden/>
              </w:rPr>
              <w:fldChar w:fldCharType="separate"/>
            </w:r>
            <w:r w:rsidR="00FA1E47">
              <w:rPr>
                <w:noProof/>
                <w:webHidden/>
              </w:rPr>
              <w:t>13</w:t>
            </w:r>
            <w:r w:rsidR="00FA1E47">
              <w:rPr>
                <w:noProof/>
                <w:webHidden/>
              </w:rPr>
              <w:fldChar w:fldCharType="end"/>
            </w:r>
          </w:hyperlink>
        </w:p>
        <w:p w14:paraId="3D321E7B" w14:textId="2F5C1BB0" w:rsidR="00FA1E47" w:rsidRDefault="00000000">
          <w:pPr>
            <w:pStyle w:val="TOC1"/>
            <w:tabs>
              <w:tab w:val="left" w:pos="880"/>
              <w:tab w:val="right" w:leader="dot" w:pos="9627"/>
            </w:tabs>
            <w:rPr>
              <w:rFonts w:eastAsiaTheme="minorEastAsia"/>
              <w:noProof/>
              <w:lang w:eastAsia="lv-LV"/>
            </w:rPr>
          </w:pPr>
          <w:hyperlink w:anchor="_Toc109042780" w:history="1">
            <w:r w:rsidR="00FA1E47" w:rsidRPr="00E85AB8">
              <w:rPr>
                <w:rStyle w:val="Hyperlink"/>
                <w:rFonts w:ascii="Times New Roman" w:hAnsi="Times New Roman" w:cs="Times New Roman"/>
                <w:b/>
                <w:bCs/>
                <w:noProof/>
              </w:rPr>
              <w:t>2.2.10.</w:t>
            </w:r>
            <w:r w:rsidR="00FA1E47">
              <w:rPr>
                <w:rFonts w:eastAsiaTheme="minorEastAsia"/>
                <w:noProof/>
                <w:lang w:eastAsia="lv-LV"/>
              </w:rPr>
              <w:tab/>
            </w:r>
            <w:r w:rsidR="00FA1E47" w:rsidRPr="00E85AB8">
              <w:rPr>
                <w:rStyle w:val="Hyperlink"/>
                <w:rFonts w:ascii="Times New Roman" w:hAnsi="Times New Roman" w:cs="Times New Roman"/>
                <w:b/>
                <w:bCs/>
                <w:noProof/>
              </w:rPr>
              <w:t>Projekta iesnieguma veidlapas 3.pielikums “Projekta budžeta kopsavilkums”</w:t>
            </w:r>
            <w:r w:rsidR="00FA1E47">
              <w:rPr>
                <w:noProof/>
                <w:webHidden/>
              </w:rPr>
              <w:tab/>
            </w:r>
            <w:r w:rsidR="00FA1E47">
              <w:rPr>
                <w:noProof/>
                <w:webHidden/>
              </w:rPr>
              <w:fldChar w:fldCharType="begin"/>
            </w:r>
            <w:r w:rsidR="00FA1E47">
              <w:rPr>
                <w:noProof/>
                <w:webHidden/>
              </w:rPr>
              <w:instrText xml:space="preserve"> PAGEREF _Toc109042780 \h </w:instrText>
            </w:r>
            <w:r w:rsidR="00FA1E47">
              <w:rPr>
                <w:noProof/>
                <w:webHidden/>
              </w:rPr>
            </w:r>
            <w:r w:rsidR="00FA1E47">
              <w:rPr>
                <w:noProof/>
                <w:webHidden/>
              </w:rPr>
              <w:fldChar w:fldCharType="separate"/>
            </w:r>
            <w:r w:rsidR="00FA1E47">
              <w:rPr>
                <w:noProof/>
                <w:webHidden/>
              </w:rPr>
              <w:t>14</w:t>
            </w:r>
            <w:r w:rsidR="00FA1E47">
              <w:rPr>
                <w:noProof/>
                <w:webHidden/>
              </w:rPr>
              <w:fldChar w:fldCharType="end"/>
            </w:r>
          </w:hyperlink>
        </w:p>
        <w:p w14:paraId="46C82801" w14:textId="1127494F" w:rsidR="00FA1E47" w:rsidRDefault="00000000">
          <w:pPr>
            <w:pStyle w:val="TOC1"/>
            <w:tabs>
              <w:tab w:val="left" w:pos="880"/>
              <w:tab w:val="right" w:leader="dot" w:pos="9627"/>
            </w:tabs>
            <w:rPr>
              <w:rFonts w:eastAsiaTheme="minorEastAsia"/>
              <w:noProof/>
              <w:lang w:eastAsia="lv-LV"/>
            </w:rPr>
          </w:pPr>
          <w:hyperlink w:anchor="_Toc109042781" w:history="1">
            <w:r w:rsidR="00FA1E47" w:rsidRPr="00E85AB8">
              <w:rPr>
                <w:rStyle w:val="Hyperlink"/>
                <w:rFonts w:ascii="Times New Roman" w:hAnsi="Times New Roman" w:cs="Times New Roman"/>
                <w:b/>
                <w:bCs/>
                <w:noProof/>
              </w:rPr>
              <w:t>2.2.11.</w:t>
            </w:r>
            <w:r w:rsidR="00FA1E47">
              <w:rPr>
                <w:rFonts w:eastAsiaTheme="minorEastAsia"/>
                <w:noProof/>
                <w:lang w:eastAsia="lv-LV"/>
              </w:rPr>
              <w:tab/>
            </w:r>
            <w:r w:rsidR="00FA1E47" w:rsidRPr="00E85AB8">
              <w:rPr>
                <w:rStyle w:val="Hyperlink"/>
                <w:rFonts w:ascii="Times New Roman" w:hAnsi="Times New Roman" w:cs="Times New Roman"/>
                <w:b/>
                <w:bCs/>
                <w:noProof/>
              </w:rPr>
              <w:t>Projekta iesnieguma veidlapas 4.pielikums “Projekta izmaksu efektivitātes novērtējums”</w:t>
            </w:r>
            <w:r w:rsidR="00FA1E47">
              <w:rPr>
                <w:noProof/>
                <w:webHidden/>
              </w:rPr>
              <w:tab/>
            </w:r>
            <w:r w:rsidR="00FA1E47">
              <w:rPr>
                <w:noProof/>
                <w:webHidden/>
              </w:rPr>
              <w:fldChar w:fldCharType="begin"/>
            </w:r>
            <w:r w:rsidR="00FA1E47">
              <w:rPr>
                <w:noProof/>
                <w:webHidden/>
              </w:rPr>
              <w:instrText xml:space="preserve"> PAGEREF _Toc109042781 \h </w:instrText>
            </w:r>
            <w:r w:rsidR="00FA1E47">
              <w:rPr>
                <w:noProof/>
                <w:webHidden/>
              </w:rPr>
            </w:r>
            <w:r w:rsidR="00FA1E47">
              <w:rPr>
                <w:noProof/>
                <w:webHidden/>
              </w:rPr>
              <w:fldChar w:fldCharType="separate"/>
            </w:r>
            <w:r w:rsidR="00FA1E47">
              <w:rPr>
                <w:noProof/>
                <w:webHidden/>
              </w:rPr>
              <w:t>14</w:t>
            </w:r>
            <w:r w:rsidR="00FA1E47">
              <w:rPr>
                <w:noProof/>
                <w:webHidden/>
              </w:rPr>
              <w:fldChar w:fldCharType="end"/>
            </w:r>
          </w:hyperlink>
        </w:p>
        <w:p w14:paraId="07B3879B" w14:textId="16D0ACDC" w:rsidR="00FA1E47" w:rsidRDefault="00000000">
          <w:pPr>
            <w:pStyle w:val="TOC1"/>
            <w:tabs>
              <w:tab w:val="left" w:pos="880"/>
              <w:tab w:val="right" w:leader="dot" w:pos="9627"/>
            </w:tabs>
            <w:rPr>
              <w:rFonts w:eastAsiaTheme="minorEastAsia"/>
              <w:noProof/>
              <w:lang w:eastAsia="lv-LV"/>
            </w:rPr>
          </w:pPr>
          <w:hyperlink w:anchor="_Toc109042782" w:history="1">
            <w:r w:rsidR="00FA1E47" w:rsidRPr="00E85AB8">
              <w:rPr>
                <w:rStyle w:val="Hyperlink"/>
                <w:rFonts w:ascii="Times New Roman" w:hAnsi="Times New Roman" w:cs="Times New Roman"/>
                <w:b/>
                <w:bCs/>
                <w:noProof/>
              </w:rPr>
              <w:t>2.2.12.</w:t>
            </w:r>
            <w:r w:rsidR="00FA1E47">
              <w:rPr>
                <w:rFonts w:eastAsiaTheme="minorEastAsia"/>
                <w:noProof/>
                <w:lang w:eastAsia="lv-LV"/>
              </w:rPr>
              <w:tab/>
            </w:r>
            <w:r w:rsidR="00FA1E47" w:rsidRPr="00E85AB8">
              <w:rPr>
                <w:rStyle w:val="Hyperlink"/>
                <w:rFonts w:ascii="Times New Roman" w:hAnsi="Times New Roman" w:cs="Times New Roman"/>
                <w:b/>
                <w:bCs/>
                <w:noProof/>
              </w:rPr>
              <w:t>Aprēķinu lapa</w:t>
            </w:r>
            <w:r w:rsidR="00FA1E47">
              <w:rPr>
                <w:noProof/>
                <w:webHidden/>
              </w:rPr>
              <w:tab/>
            </w:r>
            <w:r w:rsidR="00FA1E47">
              <w:rPr>
                <w:noProof/>
                <w:webHidden/>
              </w:rPr>
              <w:fldChar w:fldCharType="begin"/>
            </w:r>
            <w:r w:rsidR="00FA1E47">
              <w:rPr>
                <w:noProof/>
                <w:webHidden/>
              </w:rPr>
              <w:instrText xml:space="preserve"> PAGEREF _Toc109042782 \h </w:instrText>
            </w:r>
            <w:r w:rsidR="00FA1E47">
              <w:rPr>
                <w:noProof/>
                <w:webHidden/>
              </w:rPr>
            </w:r>
            <w:r w:rsidR="00FA1E47">
              <w:rPr>
                <w:noProof/>
                <w:webHidden/>
              </w:rPr>
              <w:fldChar w:fldCharType="separate"/>
            </w:r>
            <w:r w:rsidR="00FA1E47">
              <w:rPr>
                <w:noProof/>
                <w:webHidden/>
              </w:rPr>
              <w:t>15</w:t>
            </w:r>
            <w:r w:rsidR="00FA1E47">
              <w:rPr>
                <w:noProof/>
                <w:webHidden/>
              </w:rPr>
              <w:fldChar w:fldCharType="end"/>
            </w:r>
          </w:hyperlink>
        </w:p>
        <w:p w14:paraId="0D66059A" w14:textId="5D7E0255" w:rsidR="00FA1E47" w:rsidRDefault="00000000">
          <w:pPr>
            <w:pStyle w:val="TOC1"/>
            <w:tabs>
              <w:tab w:val="left" w:pos="880"/>
              <w:tab w:val="right" w:leader="dot" w:pos="9627"/>
            </w:tabs>
            <w:rPr>
              <w:rFonts w:eastAsiaTheme="minorEastAsia"/>
              <w:noProof/>
              <w:lang w:eastAsia="lv-LV"/>
            </w:rPr>
          </w:pPr>
          <w:hyperlink w:anchor="_Toc109042783" w:history="1">
            <w:r w:rsidR="00FA1E47" w:rsidRPr="00E85AB8">
              <w:rPr>
                <w:rStyle w:val="Hyperlink"/>
                <w:rFonts w:ascii="Times New Roman" w:hAnsi="Times New Roman" w:cs="Times New Roman"/>
                <w:b/>
                <w:bCs/>
                <w:noProof/>
              </w:rPr>
              <w:t>2.2.13.</w:t>
            </w:r>
            <w:r w:rsidR="00FA1E47">
              <w:rPr>
                <w:rFonts w:eastAsiaTheme="minorEastAsia"/>
                <w:noProof/>
                <w:lang w:eastAsia="lv-LV"/>
              </w:rPr>
              <w:tab/>
            </w:r>
            <w:r w:rsidR="00FA1E47" w:rsidRPr="00E85AB8">
              <w:rPr>
                <w:rStyle w:val="Hyperlink"/>
                <w:rFonts w:ascii="Times New Roman" w:hAnsi="Times New Roman" w:cs="Times New Roman"/>
                <w:b/>
                <w:bCs/>
                <w:noProof/>
              </w:rPr>
              <w:t>Kontroles lapa</w:t>
            </w:r>
            <w:r w:rsidR="00FA1E47">
              <w:rPr>
                <w:noProof/>
                <w:webHidden/>
              </w:rPr>
              <w:tab/>
            </w:r>
            <w:r w:rsidR="00FA1E47">
              <w:rPr>
                <w:noProof/>
                <w:webHidden/>
              </w:rPr>
              <w:fldChar w:fldCharType="begin"/>
            </w:r>
            <w:r w:rsidR="00FA1E47">
              <w:rPr>
                <w:noProof/>
                <w:webHidden/>
              </w:rPr>
              <w:instrText xml:space="preserve"> PAGEREF _Toc109042783 \h </w:instrText>
            </w:r>
            <w:r w:rsidR="00FA1E47">
              <w:rPr>
                <w:noProof/>
                <w:webHidden/>
              </w:rPr>
            </w:r>
            <w:r w:rsidR="00FA1E47">
              <w:rPr>
                <w:noProof/>
                <w:webHidden/>
              </w:rPr>
              <w:fldChar w:fldCharType="separate"/>
            </w:r>
            <w:r w:rsidR="00FA1E47">
              <w:rPr>
                <w:noProof/>
                <w:webHidden/>
              </w:rPr>
              <w:t>15</w:t>
            </w:r>
            <w:r w:rsidR="00FA1E47">
              <w:rPr>
                <w:noProof/>
                <w:webHidden/>
              </w:rPr>
              <w:fldChar w:fldCharType="end"/>
            </w:r>
          </w:hyperlink>
        </w:p>
        <w:p w14:paraId="1DF19294" w14:textId="1D947ABB" w:rsidR="00FA1E47" w:rsidRDefault="00000000">
          <w:pPr>
            <w:pStyle w:val="TOC1"/>
            <w:tabs>
              <w:tab w:val="left" w:pos="880"/>
              <w:tab w:val="right" w:leader="dot" w:pos="9627"/>
            </w:tabs>
            <w:rPr>
              <w:rFonts w:eastAsiaTheme="minorEastAsia"/>
              <w:noProof/>
              <w:lang w:eastAsia="lv-LV"/>
            </w:rPr>
          </w:pPr>
          <w:hyperlink w:anchor="_Toc109042784" w:history="1">
            <w:r w:rsidR="00FA1E47" w:rsidRPr="00E85AB8">
              <w:rPr>
                <w:rStyle w:val="Hyperlink"/>
                <w:rFonts w:ascii="Times New Roman" w:hAnsi="Times New Roman" w:cs="Times New Roman"/>
                <w:b/>
                <w:bCs/>
                <w:noProof/>
              </w:rPr>
              <w:t>2.2.14.</w:t>
            </w:r>
            <w:r w:rsidR="00FA1E47">
              <w:rPr>
                <w:rFonts w:eastAsiaTheme="minorEastAsia"/>
                <w:noProof/>
                <w:lang w:eastAsia="lv-LV"/>
              </w:rPr>
              <w:tab/>
            </w:r>
            <w:r w:rsidR="00FA1E47" w:rsidRPr="00E85AB8">
              <w:rPr>
                <w:rStyle w:val="Hyperlink"/>
                <w:rFonts w:ascii="Times New Roman" w:hAnsi="Times New Roman" w:cs="Times New Roman"/>
                <w:b/>
                <w:bCs/>
                <w:noProof/>
              </w:rPr>
              <w:t>Pieņēmumi</w:t>
            </w:r>
            <w:r w:rsidR="00FA1E47">
              <w:rPr>
                <w:noProof/>
                <w:webHidden/>
              </w:rPr>
              <w:tab/>
            </w:r>
            <w:r w:rsidR="00FA1E47">
              <w:rPr>
                <w:noProof/>
                <w:webHidden/>
              </w:rPr>
              <w:fldChar w:fldCharType="begin"/>
            </w:r>
            <w:r w:rsidR="00FA1E47">
              <w:rPr>
                <w:noProof/>
                <w:webHidden/>
              </w:rPr>
              <w:instrText xml:space="preserve"> PAGEREF _Toc109042784 \h </w:instrText>
            </w:r>
            <w:r w:rsidR="00FA1E47">
              <w:rPr>
                <w:noProof/>
                <w:webHidden/>
              </w:rPr>
            </w:r>
            <w:r w:rsidR="00FA1E47">
              <w:rPr>
                <w:noProof/>
                <w:webHidden/>
              </w:rPr>
              <w:fldChar w:fldCharType="separate"/>
            </w:r>
            <w:r w:rsidR="00FA1E47">
              <w:rPr>
                <w:noProof/>
                <w:webHidden/>
              </w:rPr>
              <w:t>15</w:t>
            </w:r>
            <w:r w:rsidR="00FA1E47">
              <w:rPr>
                <w:noProof/>
                <w:webHidden/>
              </w:rPr>
              <w:fldChar w:fldCharType="end"/>
            </w:r>
          </w:hyperlink>
        </w:p>
        <w:p w14:paraId="0993A44F" w14:textId="0B1BEF08"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09042765"/>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09042766"/>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7D0B931E" w14:textId="20CAFF98" w:rsidR="009706A3" w:rsidRDefault="009706A3" w:rsidP="006908EA">
      <w:pPr>
        <w:pStyle w:val="ListParagraph"/>
        <w:numPr>
          <w:ilvl w:val="0"/>
          <w:numId w:val="3"/>
        </w:numPr>
        <w:spacing w:line="240" w:lineRule="auto"/>
        <w:jc w:val="both"/>
        <w:rPr>
          <w:rFonts w:ascii="Times New Roman" w:hAnsi="Times New Roman" w:cs="Times New Roman"/>
          <w:sz w:val="24"/>
          <w:szCs w:val="24"/>
        </w:rPr>
      </w:pPr>
      <w:r w:rsidRPr="009706A3">
        <w:rPr>
          <w:rFonts w:ascii="Times New Roman" w:hAnsi="Times New Roman" w:cs="Times New Roman"/>
          <w:sz w:val="24"/>
          <w:szCs w:val="24"/>
        </w:rPr>
        <w:t>Eiropas Savienības Atveseļošanas un noturības mehānisma plāna 2. komponentes “Digitālā transformācija” 2.1</w:t>
      </w:r>
      <w:r w:rsidRPr="00883789">
        <w:rPr>
          <w:rFonts w:ascii="Times New Roman" w:hAnsi="Times New Roman" w:cs="Times New Roman"/>
          <w:sz w:val="24"/>
          <w:szCs w:val="24"/>
        </w:rPr>
        <w:t xml:space="preserve">. reformu un investīciju virziena “Valsts pārvaldes, t.sk. pašvaldību digitālā transformācija” īstenošanas </w:t>
      </w:r>
      <w:r w:rsidR="00883789" w:rsidRPr="00883789">
        <w:rPr>
          <w:rFonts w:ascii="Times New Roman" w:hAnsi="Times New Roman" w:cs="Times New Roman"/>
          <w:sz w:val="24"/>
          <w:szCs w:val="24"/>
        </w:rPr>
        <w:t>Ministru kabineta noteikumi Nr.435,</w:t>
      </w:r>
      <w:r w:rsidRPr="00883789">
        <w:rPr>
          <w:rFonts w:ascii="Times New Roman" w:hAnsi="Times New Roman" w:cs="Times New Roman"/>
          <w:sz w:val="24"/>
          <w:szCs w:val="24"/>
        </w:rPr>
        <w:t xml:space="preserve"> izstrādāt</w:t>
      </w:r>
      <w:r w:rsidR="00883789" w:rsidRPr="00883789">
        <w:rPr>
          <w:rFonts w:ascii="Times New Roman" w:hAnsi="Times New Roman" w:cs="Times New Roman"/>
          <w:sz w:val="24"/>
          <w:szCs w:val="24"/>
        </w:rPr>
        <w:t xml:space="preserve">i </w:t>
      </w:r>
      <w:r w:rsidRPr="00883789">
        <w:rPr>
          <w:rFonts w:ascii="Times New Roman" w:hAnsi="Times New Roman" w:cs="Times New Roman"/>
          <w:sz w:val="24"/>
          <w:szCs w:val="24"/>
        </w:rPr>
        <w:t>pamatojoties uz Likuma par budžetu un finanšu vadību 19.3 panta pirmo un otro daļu un Eiropas Parlamenta un Padomes</w:t>
      </w:r>
      <w:r w:rsidRPr="009706A3">
        <w:rPr>
          <w:rFonts w:ascii="Times New Roman" w:hAnsi="Times New Roman" w:cs="Times New Roman"/>
          <w:sz w:val="24"/>
          <w:szCs w:val="24"/>
        </w:rPr>
        <w:t xml:space="preserve"> regulu (ES) 2021/241 (2021. gada 12. februāris), ar ko izveido Atveseļošanas un noturības mehānismu</w:t>
      </w:r>
      <w:r>
        <w:rPr>
          <w:rFonts w:ascii="Times New Roman" w:hAnsi="Times New Roman" w:cs="Times New Roman"/>
          <w:sz w:val="24"/>
          <w:szCs w:val="24"/>
        </w:rPr>
        <w:t>;</w:t>
      </w:r>
    </w:p>
    <w:p w14:paraId="1FD92FAC" w14:textId="186886E4" w:rsidR="006908EA" w:rsidRPr="002D38E4"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Ministru kabineta 2014.gada 16.decembra noteikumiem Nr.784 “Kārtība, kā</w:t>
      </w:r>
      <w:r>
        <w:rPr>
          <w:rFonts w:ascii="Times New Roman" w:hAnsi="Times New Roman" w:cs="Times New Roman"/>
          <w:sz w:val="24"/>
          <w:szCs w:val="24"/>
        </w:rPr>
        <w:t>dā</w:t>
      </w:r>
      <w:r w:rsidRPr="002D38E4">
        <w:rPr>
          <w:rFonts w:ascii="Times New Roman" w:hAnsi="Times New Roman" w:cs="Times New Roman"/>
          <w:sz w:val="24"/>
          <w:szCs w:val="24"/>
        </w:rPr>
        <w:t xml:space="preserve"> Eiropas Savienības struktūrfondu un Kohēzijas fonda vadībā iesaistītās institūcijas nodrošina plānošanas dokumentu sagatavošanu un šo fondu ieviešanu 2014.-2020.gada plānošanas periodā”;</w:t>
      </w:r>
    </w:p>
    <w:p w14:paraId="6A0699D8" w14:textId="77777777"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(pieejamas tīmekļa vietnē: </w:t>
      </w:r>
      <w:hyperlink r:id="rId6" w:history="1">
        <w:r w:rsidRPr="00A630CE">
          <w:rPr>
            <w:rStyle w:val="Hyperlink"/>
            <w:rFonts w:ascii="Times New Roman" w:hAnsi="Times New Roman" w:cs="Times New Roman"/>
            <w:sz w:val="24"/>
            <w:szCs w:val="24"/>
          </w:rPr>
          <w:t>http://ec.europa.eu/regional_policy/sources/docgener/studies/pdf/cba_guide.pdf</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1A48F4CC" w14:textId="77777777"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Parlamenta un Padomes Regula (ES) Nr. 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Jūrlietu un zivsaimniecības fondu un atceļ Padomes Regulu (EK) Nr. 1083/2006;</w:t>
      </w:r>
    </w:p>
    <w:p w14:paraId="2FF43A75" w14:textId="5B7230F1" w:rsidR="006908EA" w:rsidRPr="00B1492D"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Komisijas 2014.gada 3.marta Deleģētā regula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Reģionālo attīstības fondu, Eiropas Sociālo fondu, Kohēzijas fondu un </w:t>
      </w:r>
      <w:r w:rsidRPr="00B1492D">
        <w:rPr>
          <w:rFonts w:ascii="Times New Roman" w:hAnsi="Times New Roman" w:cs="Times New Roman"/>
          <w:sz w:val="24"/>
          <w:szCs w:val="24"/>
        </w:rPr>
        <w:t>Eiropas Jūrlietu un zivsaimniecības fondu</w:t>
      </w:r>
      <w:r w:rsidR="00CF64F4" w:rsidRPr="00B1492D">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09042767"/>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09042768"/>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09042769"/>
      <w:r w:rsidRPr="00447B69">
        <w:rPr>
          <w:rFonts w:ascii="Times New Roman" w:hAnsi="Times New Roman" w:cs="Times New Roman"/>
          <w:b/>
          <w:bCs/>
          <w:color w:val="auto"/>
          <w:sz w:val="28"/>
          <w:szCs w:val="28"/>
        </w:rPr>
        <w:t>Vispārīgā informācija</w:t>
      </w:r>
      <w:bookmarkEnd w:id="7"/>
      <w:bookmarkEnd w:id="8"/>
    </w:p>
    <w:p w14:paraId="5EA7E929" w14:textId="68EE44C9"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Šī 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 xml:space="preserve">ieguvumu analīze ir sagatavota konkrēti </w:t>
      </w:r>
      <w:r w:rsidR="00D72A98" w:rsidRPr="00D72A98">
        <w:rPr>
          <w:rFonts w:ascii="Times New Roman" w:hAnsi="Times New Roman" w:cs="Times New Roman"/>
          <w:sz w:val="24"/>
          <w:szCs w:val="24"/>
        </w:rPr>
        <w:t xml:space="preserve">Eiropas Savienības Atveseļošanas un noturības mehānisma plāna 2. komponentes “Digitālā transformācija” 2.1. reformu un investīciju virziena “Valsts pārvaldes, t.sk. pašvaldību digitālā </w:t>
      </w:r>
      <w:r w:rsidR="00D72A98" w:rsidRPr="00BD03CD">
        <w:rPr>
          <w:rFonts w:ascii="Times New Roman" w:hAnsi="Times New Roman" w:cs="Times New Roman"/>
          <w:sz w:val="24"/>
          <w:szCs w:val="24"/>
        </w:rPr>
        <w:t xml:space="preserve">transformācija” </w:t>
      </w:r>
      <w:r w:rsidRPr="00BD03CD">
        <w:rPr>
          <w:rFonts w:ascii="Times New Roman" w:hAnsi="Times New Roman" w:cs="Times New Roman"/>
          <w:sz w:val="24"/>
          <w:szCs w:val="24"/>
        </w:rPr>
        <w:t>projektu iesniegumu atlasei, ņemot vērā tā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analīzi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3C6F66F5"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73A61">
        <w:rPr>
          <w:rFonts w:ascii="Times New Roman" w:hAnsi="Times New Roman" w:cs="Times New Roman"/>
          <w:sz w:val="24"/>
          <w:szCs w:val="24"/>
        </w:rPr>
        <w:t>17</w:t>
      </w:r>
      <w:r w:rsidRPr="00760A33">
        <w:rPr>
          <w:rFonts w:ascii="Times New Roman" w:hAnsi="Times New Roman" w:cs="Times New Roman"/>
          <w:sz w:val="24"/>
          <w:szCs w:val="24"/>
        </w:rPr>
        <w:t xml:space="preserve"> MS Excel izklājlapām, no kurām:</w:t>
      </w:r>
    </w:p>
    <w:p w14:paraId="27889164" w14:textId="4437597B"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57D6DEDB" w:rsidR="00CF06D8" w:rsidRPr="00CF06D8" w:rsidRDefault="00173A61" w:rsidP="00DA6ED6">
      <w:pPr>
        <w:pStyle w:val="ListParagraph"/>
        <w:numPr>
          <w:ilvl w:val="0"/>
          <w:numId w:val="6"/>
        </w:numPr>
        <w:jc w:val="both"/>
        <w:rPr>
          <w:rFonts w:ascii="Times New Roman" w:hAnsi="Times New Roman" w:cs="Times New Roman"/>
          <w:sz w:val="24"/>
          <w:szCs w:val="24"/>
        </w:rPr>
      </w:pPr>
      <w:bookmarkStart w:id="9" w:name="_Hlk95467422"/>
      <w:r>
        <w:rPr>
          <w:rFonts w:ascii="Times New Roman" w:hAnsi="Times New Roman" w:cs="Times New Roman"/>
          <w:sz w:val="24"/>
          <w:szCs w:val="24"/>
        </w:rPr>
        <w:t>trī</w:t>
      </w:r>
      <w:r w:rsidR="00CE6ABC">
        <w:rPr>
          <w:rFonts w:ascii="Times New Roman" w:hAnsi="Times New Roman" w:cs="Times New Roman"/>
          <w:sz w:val="24"/>
          <w:szCs w:val="24"/>
        </w:rPr>
        <w:t>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9"/>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628CC12B" w14:textId="5C21F881" w:rsidR="00CF06D8" w:rsidRPr="00CF06D8" w:rsidRDefault="00CF06D8" w:rsidP="00CF06D8">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r w:rsidR="00173A61">
        <w:rPr>
          <w:rFonts w:ascii="Times New Roman" w:hAnsi="Times New Roman" w:cs="Times New Roman"/>
          <w:sz w:val="24"/>
          <w:szCs w:val="24"/>
        </w:rPr>
        <w:t>;</w:t>
      </w:r>
    </w:p>
    <w:p w14:paraId="4CDB8515" w14:textId="4E9B6BC7" w:rsidR="00CF06D8" w:rsidRPr="00CF06D8" w:rsidRDefault="00CF06D8" w:rsidP="00CF06D8">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w:t>
      </w:r>
    </w:p>
    <w:p w14:paraId="050A2D88" w14:textId="7949CD07" w:rsidR="00CF06D8" w:rsidRPr="00CE6ABC" w:rsidRDefault="00CF06D8" w:rsidP="00CE6ABC">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1.2.2.A. Partneris-2</w:t>
      </w:r>
      <w:r w:rsidR="00CE6ABC">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0"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0"/>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74EB3067"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 2.pielikuma “Finansēšanas plāns”, 3.pielikuma “Projekta budžeta kopsavilkums” un 4.pielikuma “Projekta izmaksu efektivitātes novērtēšana” aizpildīšanai</w:t>
      </w:r>
      <w:r w:rsidRPr="00C47CF8">
        <w:rPr>
          <w:rFonts w:ascii="Times New Roman" w:hAnsi="Times New Roman" w:cs="Times New Roman"/>
          <w:sz w:val="24"/>
          <w:szCs w:val="24"/>
        </w:rPr>
        <w:t>:</w:t>
      </w:r>
    </w:p>
    <w:p w14:paraId="55972E0E" w14:textId="50E8E650"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PIV 2.pielikums</w:t>
      </w:r>
      <w:r>
        <w:rPr>
          <w:rFonts w:ascii="Times New Roman" w:hAnsi="Times New Roman" w:cs="Times New Roman"/>
          <w:sz w:val="24"/>
          <w:szCs w:val="24"/>
          <w:lang w:val="nb-NO"/>
        </w:rPr>
        <w:t>;</w:t>
      </w:r>
    </w:p>
    <w:p w14:paraId="11D85ED6" w14:textId="18227253"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PIV 3.pielikums;</w:t>
      </w:r>
    </w:p>
    <w:p w14:paraId="4C358826" w14:textId="0444801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PIV 4.pielikums.</w:t>
      </w:r>
    </w:p>
    <w:p w14:paraId="623B0FD5" w14:textId="1F533E48" w:rsidR="001B500B" w:rsidRPr="001B500B" w:rsidRDefault="001B500B" w:rsidP="001B500B">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00354092" w:rsidRP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00354092" w:rsidRP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1CE81C04"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w:t>
      </w:r>
      <w:proofErr w:type="spellStart"/>
      <w:r w:rsidR="009736D3" w:rsidRPr="009736D3">
        <w:rPr>
          <w:rFonts w:ascii="Times New Roman" w:hAnsi="Times New Roman" w:cs="Times New Roman"/>
          <w:sz w:val="24"/>
          <w:szCs w:val="24"/>
        </w:rPr>
        <w:t>fiskāko</w:t>
      </w:r>
      <w:proofErr w:type="spellEnd"/>
      <w:r w:rsidR="009736D3" w:rsidRPr="009736D3">
        <w:rPr>
          <w:rFonts w:ascii="Times New Roman" w:hAnsi="Times New Roman" w:cs="Times New Roman"/>
          <w:sz w:val="24"/>
          <w:szCs w:val="24"/>
        </w:rPr>
        <w:t xml:space="preserve">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1" w:name="_Toc109042770"/>
      <w:r w:rsidRPr="00596D47">
        <w:rPr>
          <w:rFonts w:ascii="Times New Roman" w:hAnsi="Times New Roman" w:cs="Times New Roman"/>
          <w:b/>
          <w:bCs/>
          <w:color w:val="auto"/>
          <w:sz w:val="28"/>
          <w:szCs w:val="28"/>
        </w:rPr>
        <w:t>Izmaksu un ieguvumu analīzes aprēķinu izklājlapās norādāmā informācija</w:t>
      </w:r>
      <w:bookmarkEnd w:id="11"/>
    </w:p>
    <w:p w14:paraId="42C18F65" w14:textId="7C9E2600"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2" w:name="_Toc109042771"/>
      <w:r w:rsidRPr="00596D47">
        <w:rPr>
          <w:rFonts w:ascii="Times New Roman" w:hAnsi="Times New Roman" w:cs="Times New Roman"/>
          <w:b/>
          <w:bCs/>
          <w:color w:val="auto"/>
          <w:sz w:val="28"/>
          <w:szCs w:val="28"/>
        </w:rPr>
        <w:t>Dati par projektu</w:t>
      </w:r>
      <w:bookmarkEnd w:id="12"/>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796A3A3B"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34C72E3" w14:textId="2D657895"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173A61">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iesniedzēja valsts budžeta dotācijas īpatsvars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6E06407" w14:textId="451D6046"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Izvēlas projekta iesniedzējam atbilstošu valsts budžeta dotācijas īpatsvaru</w:t>
            </w:r>
            <w:r w:rsidR="00A245D5">
              <w:rPr>
                <w:rFonts w:ascii="Times New Roman" w:eastAsia="Times New Roman" w:hAnsi="Times New Roman" w:cs="Times New Roman"/>
                <w:sz w:val="24"/>
                <w:szCs w:val="24"/>
                <w:lang w:eastAsia="lv-LV"/>
              </w:rPr>
              <w:t xml:space="preserve"> uz projekta iesniegšanas dienu</w:t>
            </w:r>
            <w:r>
              <w:rPr>
                <w:rFonts w:ascii="Times New Roman" w:eastAsia="Times New Roman" w:hAnsi="Times New Roman" w:cs="Times New Roman"/>
                <w:sz w:val="24"/>
                <w:szCs w:val="24"/>
                <w:lang w:eastAsia="lv-LV"/>
              </w:rPr>
              <w:t xml:space="preserve"> (attiecināms, ja projekta iesniedzējs ir pašvaldība vai tās iestāde)</w:t>
            </w:r>
            <w:r w:rsidR="00A245D5">
              <w:rPr>
                <w:rFonts w:ascii="Times New Roman" w:eastAsia="Times New Roman" w:hAnsi="Times New Roman" w:cs="Times New Roman"/>
                <w:sz w:val="24"/>
                <w:szCs w:val="24"/>
                <w:lang w:eastAsia="lv-LV"/>
              </w:rPr>
              <w:t>.</w:t>
            </w:r>
            <w:r w:rsidR="009E7D1D" w:rsidRPr="00B45BE2">
              <w:rPr>
                <w:rFonts w:ascii="Times New Roman" w:eastAsia="Times New Roman" w:hAnsi="Times New Roman" w:cs="Times New Roman"/>
                <w:sz w:val="24"/>
                <w:szCs w:val="24"/>
                <w:lang w:eastAsia="lv-LV"/>
              </w:rPr>
              <w:t xml:space="preserve">  </w:t>
            </w:r>
            <w:r w:rsidR="00A245D5">
              <w:rPr>
                <w:rFonts w:ascii="Times New Roman" w:eastAsia="Times New Roman" w:hAnsi="Times New Roman" w:cs="Times New Roman"/>
                <w:sz w:val="24"/>
                <w:szCs w:val="24"/>
                <w:lang w:eastAsia="lv-LV"/>
              </w:rPr>
              <w:t>I</w:t>
            </w:r>
            <w:r w:rsidR="00A245D5" w:rsidRPr="00A245D5">
              <w:rPr>
                <w:rFonts w:ascii="Times New Roman" w:eastAsia="Times New Roman" w:hAnsi="Times New Roman" w:cs="Times New Roman"/>
                <w:sz w:val="24"/>
                <w:szCs w:val="24"/>
                <w:lang w:eastAsia="lv-LV"/>
              </w:rPr>
              <w:t>zmantojiet blakus norādīto saiti uz VARAM mājas lapu datu izvēlei</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246B26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9131C">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746803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9131C">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19DFF1E7"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w:t>
            </w:r>
            <w:r w:rsidR="00B1492D">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9508F66"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09131C">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3F4FE6F0"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w:t>
            </w:r>
            <w:r w:rsidR="00B1492D">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272DBE94"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9131C">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07D9392F" w:rsidR="00ED00CC" w:rsidRDefault="00ED00CC" w:rsidP="00ED00CC">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7570554" w14:textId="77777777" w:rsidR="00ED00CC" w:rsidRDefault="00ED00CC" w:rsidP="00ED00CC">
            <w:pPr>
              <w:spacing w:after="0" w:line="240" w:lineRule="auto"/>
            </w:pPr>
          </w:p>
          <w:p w14:paraId="5274ACCD" w14:textId="0F2D4905"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nozari nosaka atbilstoši Komisijas Deleģētās regulas (ES) Nr. 480/2014 ( 2014. gada 3. marts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p w14:paraId="61160A6A"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I pielikumam "15. panta 2. punktā minētie pārskata periodi".</w:t>
            </w:r>
          </w:p>
          <w:p w14:paraId="259A6B76"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30195760"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739B89E"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lastRenderedPageBreak/>
              <w:t>Projekta dzīves cikls tiek noteikts automātiski atbilstoši norādītajai nozarei.</w:t>
            </w:r>
          </w:p>
          <w:p w14:paraId="5C6C6ED2"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29D70076" w14:textId="46E45DEF" w:rsidR="009E7D1D" w:rsidRPr="00B45BE2" w:rsidRDefault="00ED00CC" w:rsidP="00ED00CC">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"Citas nozares" ietver tās nozares, kas nav minētas Komisijas Deleģētās regulas (ES) Nr. 480/2014 I pielikumā "15. panta 2. punktā minētie pārskata periodi"</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64D16021"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09131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C27D59D" w:rsidR="009E7D1D" w:rsidRPr="00B45BE2" w:rsidRDefault="006B48B3"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6B48B3">
              <w:rPr>
                <w:rFonts w:ascii="Times New Roman" w:eastAsia="Times New Roman" w:hAnsi="Times New Roman" w:cs="Times New Roman"/>
                <w:sz w:val="24"/>
                <w:szCs w:val="24"/>
                <w:lang w:eastAsia="lv-LV"/>
              </w:rPr>
              <w:t xml:space="preserve">Komisijas Deleģētās regulas (ES) Nr. 480/2014 I pielikumā </w:t>
            </w:r>
            <w:r>
              <w:rPr>
                <w:rFonts w:ascii="Times New Roman" w:eastAsia="Times New Roman" w:hAnsi="Times New Roman" w:cs="Times New Roman"/>
                <w:sz w:val="24"/>
                <w:szCs w:val="24"/>
                <w:lang w:eastAsia="lv-LV"/>
              </w:rPr>
              <w:t>noteiktajam</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73D8555A"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09131C">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 xml:space="preserve">oteiktais </w:t>
            </w:r>
            <w:proofErr w:type="spellStart"/>
            <w:r w:rsidR="006B48B3">
              <w:rPr>
                <w:rFonts w:ascii="Times New Roman" w:eastAsia="Times New Roman" w:hAnsi="Times New Roman" w:cs="Times New Roman"/>
                <w:color w:val="000000"/>
                <w:sz w:val="24"/>
                <w:szCs w:val="24"/>
                <w:lang w:eastAsia="lv-LV"/>
              </w:rPr>
              <w:t>max</w:t>
            </w:r>
            <w:proofErr w:type="spellEnd"/>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2946205"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 xml:space="preserve">noteikto </w:t>
            </w:r>
            <w:proofErr w:type="spellStart"/>
            <w:r w:rsidR="004F6137">
              <w:rPr>
                <w:rFonts w:ascii="Times New Roman" w:eastAsia="Times New Roman" w:hAnsi="Times New Roman" w:cs="Times New Roman"/>
                <w:sz w:val="24"/>
                <w:szCs w:val="24"/>
                <w:lang w:eastAsia="lv-LV"/>
              </w:rPr>
              <w:t>max</w:t>
            </w:r>
            <w:proofErr w:type="spellEnd"/>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7"/>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3" w:name="_Toc109042772"/>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3"/>
    </w:p>
    <w:p w14:paraId="24E774E9" w14:textId="22F34160"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3F7DE7" w:rsidRPr="003F7DE7">
        <w:rPr>
          <w:rFonts w:ascii="Times New Roman" w:hAnsi="Times New Roman" w:cs="Times New Roman"/>
          <w:sz w:val="24"/>
          <w:szCs w:val="24"/>
        </w:rPr>
        <w:t xml:space="preserve">1.1.A.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 xml:space="preserve">(pašvaldība vai tās iestāde, pašvaldības kapitālsabiedrība, </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5E7CD633" w14:textId="01ECE82C"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3F7DE7" w:rsidRPr="007D46B9">
        <w:rPr>
          <w:rFonts w:ascii="Times New Roman" w:hAnsi="Times New Roman" w:cs="Times New Roman"/>
          <w:sz w:val="24"/>
          <w:szCs w:val="24"/>
        </w:rPr>
        <w:t>1.2.1.A. Partneris-1</w:t>
      </w:r>
      <w:r w:rsidRPr="007D46B9">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1.sadarbības partnera, kas </w:t>
      </w:r>
      <w:r w:rsidRPr="007D46B9">
        <w:rPr>
          <w:rFonts w:ascii="Times New Roman" w:hAnsi="Times New Roman" w:cs="Times New Roman"/>
          <w:sz w:val="24"/>
          <w:szCs w:val="24"/>
        </w:rPr>
        <w:t>nav privāt</w:t>
      </w:r>
      <w:r>
        <w:rPr>
          <w:rFonts w:ascii="Times New Roman" w:hAnsi="Times New Roman" w:cs="Times New Roman"/>
          <w:sz w:val="24"/>
          <w:szCs w:val="24"/>
        </w:rPr>
        <w:t>ais</w:t>
      </w:r>
      <w:r w:rsidRPr="007D46B9">
        <w:rPr>
          <w:rFonts w:ascii="Times New Roman" w:hAnsi="Times New Roman" w:cs="Times New Roman"/>
          <w:sz w:val="24"/>
          <w:szCs w:val="24"/>
        </w:rPr>
        <w:t xml:space="preserve"> komersant</w:t>
      </w:r>
      <w:r>
        <w:rPr>
          <w:rFonts w:ascii="Times New Roman" w:hAnsi="Times New Roman" w:cs="Times New Roman"/>
          <w:sz w:val="24"/>
          <w:szCs w:val="24"/>
        </w:rPr>
        <w:t>s</w:t>
      </w:r>
      <w:r w:rsidRPr="007D46B9">
        <w:rPr>
          <w:rFonts w:ascii="Times New Roman" w:hAnsi="Times New Roman" w:cs="Times New Roman"/>
          <w:sz w:val="24"/>
          <w:szCs w:val="24"/>
        </w:rPr>
        <w:t xml:space="preserve"> (pašvaldība vai tās iestāde, </w:t>
      </w:r>
      <w:r w:rsidR="000A36E7">
        <w:rPr>
          <w:rFonts w:ascii="Times New Roman" w:hAnsi="Times New Roman" w:cs="Times New Roman"/>
          <w:sz w:val="24"/>
          <w:szCs w:val="24"/>
        </w:rPr>
        <w:t xml:space="preserve">tiešās pārvaldes iestāde, </w:t>
      </w:r>
      <w:r w:rsidRPr="007D46B9">
        <w:rPr>
          <w:rFonts w:ascii="Times New Roman" w:hAnsi="Times New Roman" w:cs="Times New Roman"/>
          <w:sz w:val="24"/>
          <w:szCs w:val="24"/>
        </w:rPr>
        <w:t>pašvaldības kapitālsabiedrība, tai skaitā sabiedrisko pakalpojumu sniedzēj</w:t>
      </w:r>
      <w:r>
        <w:rPr>
          <w:rFonts w:ascii="Times New Roman" w:hAnsi="Times New Roman" w:cs="Times New Roman"/>
          <w:sz w:val="24"/>
          <w:szCs w:val="24"/>
        </w:rPr>
        <w:t>s)</w:t>
      </w:r>
      <w:r w:rsidRPr="007D46B9">
        <w:rPr>
          <w:rFonts w:ascii="Times New Roman" w:hAnsi="Times New Roman" w:cs="Times New Roman"/>
          <w:sz w:val="24"/>
          <w:szCs w:val="24"/>
        </w:rPr>
        <w:t xml:space="preserve"> projektā plānotajām investīciju izmaksām.</w:t>
      </w:r>
    </w:p>
    <w:p w14:paraId="76324E45" w14:textId="144DC356" w:rsidR="003F7DE7" w:rsidRPr="000A36E7" w:rsidRDefault="000A36E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3F7DE7" w:rsidRPr="000A36E7">
        <w:rPr>
          <w:rFonts w:ascii="Times New Roman" w:hAnsi="Times New Roman" w:cs="Times New Roman"/>
          <w:sz w:val="24"/>
          <w:szCs w:val="24"/>
        </w:rPr>
        <w:t xml:space="preserve">1.2.2.A. Partneris-2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2</w:t>
      </w:r>
      <w:r w:rsidRPr="000A36E7">
        <w:rPr>
          <w:rFonts w:ascii="Times New Roman" w:hAnsi="Times New Roman" w:cs="Times New Roman"/>
          <w:sz w:val="24"/>
          <w:szCs w:val="24"/>
        </w:rPr>
        <w:t>.sadarbības partnera, kas nav privātais komersants (pašvaldība vai tās iestāde, tiešās pārvaldes iestāde, pašvaldības kapitālsabiedrība, tai skaitā sabiedrisko pakalpojumu sniedzējs) projektā plānotajām investīciju izmaksām.</w:t>
      </w:r>
    </w:p>
    <w:p w14:paraId="0F2A0E75" w14:textId="4951D806"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Projekta iesniedzējam un sadarbības partneriem ir paredzētas atsevišķas izmaksu plūsmas, lai  aprēķinātu individuālos finansēšanas plānus sadalījumā pa valsts atbalsta veidiem un precīzi noteiktu finansējuma avotu sadalījumu.</w:t>
      </w:r>
    </w:p>
    <w:p w14:paraId="63D94B59" w14:textId="467CD65E"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Pr="000A36E7">
        <w:t xml:space="preserve"> </w:t>
      </w:r>
      <w:r w:rsidRPr="000A36E7">
        <w:rPr>
          <w:rFonts w:ascii="Times New Roman" w:hAnsi="Times New Roman" w:cs="Times New Roman"/>
          <w:sz w:val="24"/>
          <w:szCs w:val="24"/>
        </w:rPr>
        <w:t>1.2.1.A. Partneris-1</w:t>
      </w:r>
      <w:r w:rsidR="004D19C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0A36E7">
        <w:rPr>
          <w:rFonts w:ascii="Times New Roman" w:hAnsi="Times New Roman" w:cs="Times New Roman"/>
          <w:sz w:val="24"/>
          <w:szCs w:val="24"/>
        </w:rPr>
        <w:t>1.2.2.A.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valsts atbalsts</w:t>
      </w:r>
      <w:r w:rsidR="004D19CA">
        <w:rPr>
          <w:rFonts w:ascii="Times New Roman" w:hAnsi="Times New Roman" w:cs="Times New Roman"/>
          <w:sz w:val="24"/>
          <w:szCs w:val="24"/>
        </w:rPr>
        <w:t>.</w:t>
      </w:r>
    </w:p>
    <w:p w14:paraId="7F08A485" w14:textId="6C6B36F9" w:rsidR="002D31BE" w:rsidRDefault="009601A3" w:rsidP="002D31BE">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ir definētas atbilstoši MK noteikumu </w:t>
      </w:r>
      <w:r>
        <w:rPr>
          <w:rFonts w:ascii="Times New Roman" w:hAnsi="Times New Roman" w:cs="Times New Roman"/>
          <w:sz w:val="24"/>
          <w:szCs w:val="24"/>
        </w:rPr>
        <w:t>Nr.784</w:t>
      </w:r>
      <w:r w:rsidRPr="009601A3">
        <w:rPr>
          <w:rFonts w:ascii="Times New Roman" w:hAnsi="Times New Roman" w:cs="Times New Roman"/>
          <w:sz w:val="24"/>
          <w:szCs w:val="24"/>
        </w:rPr>
        <w:t xml:space="preserve"> “Kārtība, kādā Eiropas Savienības struktūrfondu un Kohēzijas fonda vadībā iesaistītās institūcijas nodrošina plānošanas dokumentu sagatavošanu un šo fondu ieviešanu 2014.–2020.gada plānošanas periodā” </w:t>
      </w:r>
      <w:r>
        <w:rPr>
          <w:rFonts w:ascii="Times New Roman" w:hAnsi="Times New Roman" w:cs="Times New Roman"/>
          <w:sz w:val="24"/>
          <w:szCs w:val="24"/>
        </w:rPr>
        <w:t xml:space="preserve">3.pielikumā </w:t>
      </w:r>
      <w:r w:rsidRPr="009601A3">
        <w:rPr>
          <w:rFonts w:ascii="Times New Roman" w:hAnsi="Times New Roman" w:cs="Times New Roman"/>
          <w:sz w:val="24"/>
          <w:szCs w:val="24"/>
        </w:rPr>
        <w:t>noteiktajām izmaksām</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attiecināmajās izmaksas un projekta neattiecināmajās izmaksās</w:t>
      </w:r>
      <w:r w:rsidR="00476670">
        <w:rPr>
          <w:rFonts w:ascii="Times New Roman" w:hAnsi="Times New Roman" w:cs="Times New Roman"/>
          <w:sz w:val="24"/>
          <w:szCs w:val="24"/>
        </w:rPr>
        <w:t xml:space="preserve"> sadalījumā pa gadiem, kuros tās tiks īstenotas.</w:t>
      </w:r>
    </w:p>
    <w:p w14:paraId="6828E3A5" w14:textId="5A2798BD" w:rsidR="00476670" w:rsidRDefault="00476670" w:rsidP="002D31BE">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“neattiecināmās izmaksas” 1.-15. izmaksu pozīcijā ir ietverts PVN, tad tā katra gada kopsummu norāda 37.rindā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363070D9" w14:textId="094F457D"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3.pielikumam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4" w:name="_Toc109042773"/>
      <w:r w:rsidRPr="00596D47">
        <w:rPr>
          <w:rFonts w:ascii="Times New Roman" w:hAnsi="Times New Roman" w:cs="Times New Roman"/>
          <w:b/>
          <w:bCs/>
          <w:color w:val="auto"/>
          <w:sz w:val="28"/>
          <w:szCs w:val="28"/>
        </w:rPr>
        <w:t>Investīciju naudas plūsma bez projekta</w:t>
      </w:r>
      <w:bookmarkEnd w:id="14"/>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5FBD9D3B"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D46466">
        <w:rPr>
          <w:rFonts w:ascii="Times New Roman" w:hAnsi="Times New Roman" w:cs="Times New Roman"/>
          <w:sz w:val="24"/>
          <w:szCs w:val="24"/>
        </w:rPr>
        <w:t>2</w:t>
      </w:r>
      <w:r w:rsidR="008C3B1D" w:rsidRPr="008C3B1D">
        <w:rPr>
          <w:rFonts w:ascii="Times New Roman" w:hAnsi="Times New Roman" w:cs="Times New Roman"/>
          <w:sz w:val="24"/>
          <w:szCs w:val="24"/>
        </w:rPr>
        <w:t xml:space="preserve">.gada </w:t>
      </w:r>
      <w:r w:rsidR="008C3B1D" w:rsidRPr="008C3B1D">
        <w:rPr>
          <w:rFonts w:ascii="Times New Roman" w:hAnsi="Times New Roman" w:cs="Times New Roman"/>
          <w:sz w:val="24"/>
          <w:szCs w:val="24"/>
        </w:rPr>
        <w:lastRenderedPageBreak/>
        <w:t>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513BD71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2022.gada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5" w:name="_Toc109042774"/>
      <w:r w:rsidRPr="00596D47">
        <w:rPr>
          <w:rFonts w:ascii="Times New Roman" w:hAnsi="Times New Roman" w:cs="Times New Roman"/>
          <w:b/>
          <w:bCs/>
          <w:color w:val="auto"/>
          <w:sz w:val="28"/>
          <w:szCs w:val="28"/>
        </w:rPr>
        <w:t>Investīciju naudas plūsma ar projektu</w:t>
      </w:r>
      <w:bookmarkEnd w:id="15"/>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6"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6"/>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A44DA32"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69EE354B"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 xml:space="preserve">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41E8D866" w:rsidR="00B4356F" w:rsidRPr="00B4356F" w:rsidRDefault="00B4356F" w:rsidP="00E6581F">
      <w:pPr>
        <w:jc w:val="both"/>
        <w:rPr>
          <w:rFonts w:ascii="Times New Roman" w:hAnsi="Times New Roman" w:cs="Times New Roman"/>
          <w:sz w:val="24"/>
          <w:szCs w:val="24"/>
        </w:rPr>
      </w:pPr>
      <w:r w:rsidRPr="00B4356F">
        <w:rPr>
          <w:rFonts w:ascii="Times New Roman" w:hAnsi="Times New Roman" w:cs="Times New Roman"/>
          <w:sz w:val="24"/>
          <w:szCs w:val="24"/>
        </w:rPr>
        <w:lastRenderedPageBreak/>
        <w:t>Saskaņā ar Komisijas Deleģētās regulas (ES) Nr. 480/2014 18. pantu investīciju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7" w:name="_Toc109042775"/>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7"/>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8"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8"/>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407E9F5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“1.</w:t>
      </w:r>
      <w:r w:rsidR="008417F8">
        <w:rPr>
          <w:rFonts w:ascii="Times New Roman" w:hAnsi="Times New Roman" w:cs="Times New Roman"/>
          <w:sz w:val="24"/>
          <w:szCs w:val="24"/>
        </w:rPr>
        <w:t>7</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Valsts budžeta dotācija pašvaldībām</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9. DL PIV 2.pielikums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F292AF9"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Pr>
          <w:rFonts w:ascii="Times New Roman" w:hAnsi="Times New Roman" w:cs="Times New Roman"/>
          <w:sz w:val="24"/>
          <w:szCs w:val="24"/>
        </w:rPr>
        <w:t>8</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19"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19"/>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0"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0"/>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1" w:name="_Toc109042776"/>
      <w:r w:rsidRPr="00596D47">
        <w:rPr>
          <w:rFonts w:ascii="Times New Roman" w:hAnsi="Times New Roman" w:cs="Times New Roman"/>
          <w:b/>
          <w:bCs/>
          <w:color w:val="auto"/>
          <w:sz w:val="28"/>
          <w:szCs w:val="28"/>
        </w:rPr>
        <w:t>Sociālekonomiskā analīze</w:t>
      </w:r>
      <w:bookmarkEnd w:id="21"/>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15B1FD1E"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detalizēti 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1D13868"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lastRenderedPageBreak/>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Tajos pārskata perioda gados kuros sociālekonomiskie ieguvumi neveidojas ir jānorāda 0.</w:t>
      </w:r>
    </w:p>
    <w:p w14:paraId="2E36B406" w14:textId="1AACDFC0"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Tajos pārskata perioda gados kuros sociālekonomiskie ieguvumi neveidojas ir jānorāda 0.</w:t>
      </w:r>
    </w:p>
    <w:p w14:paraId="4209DDFD" w14:textId="032855F0"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Tajos pārskata perioda gados kuros sociālekonomiskie zaudējumi neveidojas ir jānorāda 0.</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9504F0">
        <w:rPr>
          <w:rFonts w:ascii="Times New Roman" w:hAnsi="Times New Roman" w:cs="Times New Roman"/>
          <w:sz w:val="24"/>
          <w:szCs w:val="24"/>
        </w:rPr>
        <w:t>Šos datus n</w:t>
      </w:r>
      <w:r w:rsidR="006F293A" w:rsidRPr="009504F0">
        <w:rPr>
          <w:rFonts w:ascii="Times New Roman" w:hAnsi="Times New Roman" w:cs="Times New Roman"/>
          <w:sz w:val="24"/>
          <w:szCs w:val="24"/>
        </w:rPr>
        <w:t>orāda projekta darbības izmaksu periodā</w:t>
      </w:r>
      <w:r w:rsidR="00A46785" w:rsidRPr="009504F0">
        <w:rPr>
          <w:rFonts w:ascii="Times New Roman" w:hAnsi="Times New Roman" w:cs="Times New Roman"/>
          <w:sz w:val="24"/>
          <w:szCs w:val="24"/>
        </w:rPr>
        <w:t>;</w:t>
      </w:r>
    </w:p>
    <w:p w14:paraId="75FD0556" w14:textId="093D3132" w:rsidR="00A46785"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9504F0">
        <w:rPr>
          <w:rFonts w:ascii="Times New Roman" w:hAnsi="Times New Roman" w:cs="Times New Roman"/>
          <w:sz w:val="24"/>
          <w:szCs w:val="24"/>
        </w:rPr>
        <w:t>Šos datus n</w:t>
      </w:r>
      <w:r w:rsidR="006C7056" w:rsidRPr="009504F0">
        <w:rPr>
          <w:rFonts w:ascii="Times New Roman" w:hAnsi="Times New Roman" w:cs="Times New Roman"/>
          <w:sz w:val="24"/>
          <w:szCs w:val="24"/>
        </w:rPr>
        <w:t xml:space="preserve">orāda </w:t>
      </w:r>
      <w:r w:rsidR="006F293A" w:rsidRPr="009504F0">
        <w:rPr>
          <w:rFonts w:ascii="Times New Roman" w:hAnsi="Times New Roman" w:cs="Times New Roman"/>
          <w:sz w:val="24"/>
          <w:szCs w:val="24"/>
        </w:rPr>
        <w:t xml:space="preserve">projekta investīciju ieviešanas periodā </w:t>
      </w:r>
      <w:r w:rsidR="006C7056" w:rsidRPr="009504F0">
        <w:rPr>
          <w:rFonts w:ascii="Times New Roman" w:hAnsi="Times New Roman" w:cs="Times New Roman"/>
          <w:sz w:val="24"/>
          <w:szCs w:val="24"/>
        </w:rPr>
        <w:t>kā pozitīvas vērtības (piemēram, 500,00)</w:t>
      </w:r>
      <w:r w:rsidRPr="009504F0">
        <w:rPr>
          <w:rFonts w:ascii="Times New Roman" w:hAnsi="Times New Roman" w:cs="Times New Roman"/>
          <w:sz w:val="24"/>
          <w:szCs w:val="24"/>
        </w:rPr>
        <w:t>;</w:t>
      </w:r>
    </w:p>
    <w:p w14:paraId="0B94FA3A" w14:textId="47D103A2" w:rsidR="007F01F7" w:rsidRPr="007F01F7" w:rsidRDefault="007F01F7" w:rsidP="007F01F7">
      <w:pPr>
        <w:pStyle w:val="ListParagraph"/>
        <w:numPr>
          <w:ilvl w:val="0"/>
          <w:numId w:val="35"/>
        </w:numPr>
        <w:jc w:val="both"/>
        <w:rPr>
          <w:rFonts w:ascii="Times New Roman" w:hAnsi="Times New Roman" w:cs="Times New Roman"/>
          <w:sz w:val="24"/>
          <w:szCs w:val="24"/>
        </w:rPr>
      </w:pPr>
      <w:r w:rsidRPr="007F01F7">
        <w:rPr>
          <w:rFonts w:ascii="Times New Roman" w:hAnsi="Times New Roman" w:cs="Times New Roman"/>
          <w:sz w:val="24"/>
          <w:szCs w:val="24"/>
        </w:rPr>
        <w:t>pozīcijā “5.3. Citas fiskālās korekcijas” projekta iesniedzējam jānorāda projekta investīcijās iekļauto pievienotās vērtības nodokļa (PVN) daļu. Norāda projekta investīciju ieviešanas periodā kā pozitīvas vērtības (piemēram, 2000,00).</w:t>
      </w:r>
    </w:p>
    <w:p w14:paraId="2074A929" w14:textId="5A1F0719" w:rsidR="00863302"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73602C4F" w14:textId="51D7702B" w:rsidR="00BA587E" w:rsidRPr="009504F0" w:rsidRDefault="00BA587E" w:rsidP="009504F0">
      <w:pPr>
        <w:jc w:val="both"/>
        <w:rPr>
          <w:rFonts w:ascii="Times New Roman" w:hAnsi="Times New Roman" w:cs="Times New Roman"/>
          <w:sz w:val="24"/>
          <w:szCs w:val="24"/>
        </w:rPr>
      </w:pPr>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projekta iesniedzējs norāda plānoto</w:t>
      </w:r>
      <w:r>
        <w:rPr>
          <w:rFonts w:ascii="Times New Roman" w:hAnsi="Times New Roman" w:cs="Times New Roman"/>
          <w:sz w:val="24"/>
          <w:szCs w:val="24"/>
        </w:rPr>
        <w:t xml:space="preserve"> </w:t>
      </w:r>
      <w:r w:rsidR="001C6E78">
        <w:rPr>
          <w:rFonts w:ascii="Times New Roman" w:hAnsi="Times New Roman" w:cs="Times New Roman"/>
          <w:sz w:val="24"/>
          <w:szCs w:val="24"/>
        </w:rPr>
        <w:t>valsts p</w:t>
      </w:r>
      <w:r w:rsidRPr="00BA587E">
        <w:rPr>
          <w:rFonts w:ascii="Times New Roman" w:hAnsi="Times New Roman" w:cs="Times New Roman"/>
          <w:sz w:val="24"/>
          <w:szCs w:val="24"/>
        </w:rPr>
        <w:t>ārvaldes darbinieku amata vietu samazinājumu vai palielinājumu</w:t>
      </w:r>
      <w:r w:rsidR="001C6E78">
        <w:rPr>
          <w:rFonts w:ascii="Times New Roman" w:hAnsi="Times New Roman" w:cs="Times New Roman"/>
          <w:sz w:val="24"/>
          <w:szCs w:val="24"/>
        </w:rPr>
        <w:t xml:space="preserve">, norādot </w:t>
      </w:r>
      <w:r w:rsidR="001C6E78" w:rsidRPr="001C6E78">
        <w:rPr>
          <w:rFonts w:ascii="Times New Roman" w:hAnsi="Times New Roman" w:cs="Times New Roman"/>
          <w:sz w:val="24"/>
          <w:szCs w:val="24"/>
        </w:rPr>
        <w:t>valsts pārvaldes darbinieku amata vietu</w:t>
      </w:r>
      <w:r w:rsidR="001C6E78">
        <w:rPr>
          <w:rFonts w:ascii="Times New Roman" w:hAnsi="Times New Roman" w:cs="Times New Roman"/>
          <w:sz w:val="24"/>
          <w:szCs w:val="24"/>
        </w:rPr>
        <w:t xml:space="preserve"> samazinājumu kā negatīvu vērtību (piemēram, -4), bet palielinājumu kā pozitīvu vērtību (piemēram, 4).</w:t>
      </w:r>
    </w:p>
    <w:p w14:paraId="18F53311" w14:textId="1BBD5A4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Lai sabiedrībai projekts būtu izdevīgs</w:t>
      </w:r>
      <w:r w:rsidR="00591D84" w:rsidRPr="009504F0">
        <w:rPr>
          <w:rFonts w:ascii="Times New Roman" w:hAnsi="Times New Roman" w:cs="Times New Roman"/>
          <w:sz w:val="24"/>
          <w:szCs w:val="24"/>
        </w:rPr>
        <w:t xml:space="preserve"> un projekts būtu atbalstāms</w:t>
      </w:r>
      <w:r w:rsidRPr="009504F0">
        <w:rPr>
          <w:rFonts w:ascii="Times New Roman" w:hAnsi="Times New Roman" w:cs="Times New Roman"/>
          <w:sz w:val="24"/>
          <w:szCs w:val="24"/>
        </w:rPr>
        <w:t xml:space="preserve">, tam jābūt šādiem </w:t>
      </w:r>
      <w:r w:rsidR="0026260B" w:rsidRPr="009504F0">
        <w:rPr>
          <w:rFonts w:ascii="Times New Roman" w:hAnsi="Times New Roman" w:cs="Times New Roman"/>
          <w:sz w:val="24"/>
          <w:szCs w:val="24"/>
        </w:rPr>
        <w:t>sociālekonomiskiem rādītājiem:</w:t>
      </w:r>
    </w:p>
    <w:p w14:paraId="01AD6034" w14:textId="015355E3" w:rsidR="0026260B" w:rsidRPr="009504F0" w:rsidRDefault="0026260B"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ENPV &gt; 0, jeb sociālekonomiskiem un finanšu ieguvumiem ir jābūt lielākiem par sociālekonomiskajiem zaudējumiem un izmaksām;</w:t>
      </w:r>
    </w:p>
    <w:p w14:paraId="73504C75" w14:textId="09979D36" w:rsidR="0026260B" w:rsidRPr="009504F0" w:rsidRDefault="0026260B" w:rsidP="009504F0">
      <w:pPr>
        <w:jc w:val="both"/>
        <w:rPr>
          <w:rFonts w:ascii="Times New Roman" w:hAnsi="Times New Roman" w:cs="Times New Roman"/>
          <w:sz w:val="24"/>
          <w:szCs w:val="24"/>
        </w:rPr>
      </w:pPr>
      <w:r w:rsidRPr="009504F0">
        <w:rPr>
          <w:rFonts w:ascii="Times New Roman" w:hAnsi="Times New Roman" w:cs="Times New Roman"/>
          <w:sz w:val="24"/>
          <w:szCs w:val="24"/>
        </w:rPr>
        <w:t>ERR &gt;  reālo sociālo diskonta likmi;</w:t>
      </w:r>
    </w:p>
    <w:p w14:paraId="6A920CBB" w14:textId="5BF5C951" w:rsidR="0026260B" w:rsidRPr="009504F0" w:rsidRDefault="0026260B" w:rsidP="009504F0">
      <w:pPr>
        <w:jc w:val="both"/>
        <w:rPr>
          <w:rFonts w:ascii="Times New Roman" w:hAnsi="Times New Roman" w:cs="Times New Roman"/>
          <w:sz w:val="24"/>
          <w:szCs w:val="24"/>
        </w:rPr>
      </w:pPr>
      <w:r w:rsidRPr="009504F0">
        <w:rPr>
          <w:rFonts w:ascii="Times New Roman" w:hAnsi="Times New Roman" w:cs="Times New Roman"/>
          <w:sz w:val="24"/>
          <w:szCs w:val="24"/>
        </w:rPr>
        <w:t>B/C &gt; 1, projekta laikā radītie sociālekonomiskie un finanšu ieguvumi pārsniedz izmaksas un zaudējumus.</w:t>
      </w:r>
    </w:p>
    <w:p w14:paraId="151AA554" w14:textId="0082CA16" w:rsidR="00863302" w:rsidRPr="009504F0" w:rsidRDefault="00082C91" w:rsidP="009504F0">
      <w:pPr>
        <w:jc w:val="both"/>
        <w:rPr>
          <w:rFonts w:ascii="Times New Roman" w:hAnsi="Times New Roman" w:cs="Times New Roman"/>
          <w:sz w:val="24"/>
          <w:szCs w:val="24"/>
        </w:rPr>
      </w:pPr>
      <w:bookmarkStart w:id="22"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3" w:name="_Hlk96415656"/>
      <w:r w:rsidR="009557A6" w:rsidRPr="009504F0">
        <w:rPr>
          <w:rFonts w:ascii="Times New Roman" w:hAnsi="Times New Roman" w:cs="Times New Roman"/>
          <w:sz w:val="24"/>
          <w:szCs w:val="24"/>
        </w:rPr>
        <w:t xml:space="preserve">makroekonomiskajiem pieņēmumiem un prognozēm </w:t>
      </w:r>
      <w:bookmarkEnd w:id="23"/>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8"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2"/>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4" w:name="_Toc109042777"/>
      <w:r w:rsidRPr="00596D47">
        <w:rPr>
          <w:rFonts w:ascii="Times New Roman" w:hAnsi="Times New Roman" w:cs="Times New Roman"/>
          <w:b/>
          <w:bCs/>
          <w:color w:val="auto"/>
          <w:sz w:val="28"/>
          <w:szCs w:val="28"/>
        </w:rPr>
        <w:t>Finanšu analīze</w:t>
      </w:r>
      <w:bookmarkEnd w:id="24"/>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5"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5"/>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561DFA" w:rsidRDefault="000E23A3" w:rsidP="00561DFA">
      <w:pPr>
        <w:jc w:val="both"/>
        <w:rPr>
          <w:rFonts w:ascii="Times New Roman" w:hAnsi="Times New Roman" w:cs="Times New Roman"/>
          <w:sz w:val="24"/>
          <w:szCs w:val="24"/>
        </w:rPr>
      </w:pPr>
      <w:r w:rsidRPr="00561DFA">
        <w:rPr>
          <w:rFonts w:ascii="Times New Roman" w:hAnsi="Times New Roman" w:cs="Times New Roman"/>
          <w:sz w:val="24"/>
          <w:szCs w:val="24"/>
        </w:rPr>
        <w:t>Lai projekts būtu atbalstāms tam jābūt šādiem finanšu analīzes rādītājiem:</w:t>
      </w:r>
    </w:p>
    <w:p w14:paraId="13DD4405" w14:textId="1ED42B18" w:rsidR="000E23A3" w:rsidRPr="00561DFA" w:rsidRDefault="000E23A3" w:rsidP="00561DFA">
      <w:pPr>
        <w:jc w:val="both"/>
        <w:rPr>
          <w:rFonts w:ascii="Times New Roman" w:hAnsi="Times New Roman" w:cs="Times New Roman"/>
          <w:sz w:val="24"/>
          <w:szCs w:val="24"/>
        </w:rPr>
      </w:pPr>
      <w:proofErr w:type="spellStart"/>
      <w:r w:rsidRPr="00561DFA">
        <w:rPr>
          <w:rFonts w:ascii="Times New Roman" w:hAnsi="Times New Roman" w:cs="Times New Roman"/>
          <w:sz w:val="24"/>
          <w:szCs w:val="24"/>
        </w:rPr>
        <w:t>FNPVc</w:t>
      </w:r>
      <w:proofErr w:type="spellEnd"/>
      <w:r w:rsidRPr="00561DFA">
        <w:rPr>
          <w:rFonts w:ascii="Times New Roman" w:hAnsi="Times New Roman" w:cs="Times New Roman"/>
          <w:sz w:val="24"/>
          <w:szCs w:val="24"/>
        </w:rPr>
        <w:t xml:space="preserve"> &lt; 0, jeb projektā plānotie ieņēmumi nenosedz projekta darbības un investīciju izmaksas;</w:t>
      </w:r>
    </w:p>
    <w:p w14:paraId="2A8729B1" w14:textId="2AAEAFDA" w:rsidR="000E23A3" w:rsidRPr="00561DFA" w:rsidRDefault="000E23A3" w:rsidP="00561DFA">
      <w:pPr>
        <w:jc w:val="both"/>
        <w:rPr>
          <w:rFonts w:ascii="Times New Roman" w:hAnsi="Times New Roman" w:cs="Times New Roman"/>
          <w:sz w:val="24"/>
          <w:szCs w:val="24"/>
        </w:rPr>
      </w:pPr>
      <w:proofErr w:type="spellStart"/>
      <w:r w:rsidRPr="00561DFA">
        <w:rPr>
          <w:rFonts w:ascii="Times New Roman" w:hAnsi="Times New Roman" w:cs="Times New Roman"/>
          <w:sz w:val="24"/>
          <w:szCs w:val="24"/>
        </w:rPr>
        <w:t>FRRc</w:t>
      </w:r>
      <w:proofErr w:type="spellEnd"/>
      <w:r w:rsidRPr="00561DFA">
        <w:rPr>
          <w:rFonts w:ascii="Times New Roman" w:hAnsi="Times New Roman" w:cs="Times New Roman"/>
          <w:sz w:val="24"/>
          <w:szCs w:val="24"/>
        </w:rPr>
        <w:t xml:space="preserve"> &lt;  reālo finansiālo diskonta likmi;</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9"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09042778"/>
      <w:r w:rsidRPr="00596D47">
        <w:rPr>
          <w:rFonts w:ascii="Times New Roman" w:hAnsi="Times New Roman" w:cs="Times New Roman"/>
          <w:b/>
          <w:bCs/>
          <w:color w:val="auto"/>
          <w:sz w:val="28"/>
          <w:szCs w:val="28"/>
        </w:rPr>
        <w:lastRenderedPageBreak/>
        <w:t>Sociālekonomiskās analīzes jutīguma analīze</w:t>
      </w:r>
      <w:bookmarkEnd w:id="26"/>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10538FDF" w:rsidR="00432136" w:rsidRPr="00690789" w:rsidRDefault="00432136" w:rsidP="00596D47">
      <w:pPr>
        <w:pStyle w:val="Heading1"/>
        <w:numPr>
          <w:ilvl w:val="2"/>
          <w:numId w:val="32"/>
        </w:numPr>
        <w:rPr>
          <w:rFonts w:ascii="Times New Roman" w:hAnsi="Times New Roman" w:cs="Times New Roman"/>
          <w:b/>
          <w:bCs/>
          <w:color w:val="auto"/>
          <w:sz w:val="28"/>
          <w:szCs w:val="28"/>
        </w:rPr>
      </w:pPr>
      <w:bookmarkStart w:id="27" w:name="_Toc109042779"/>
      <w:r w:rsidRPr="00690789">
        <w:rPr>
          <w:rFonts w:ascii="Times New Roman" w:hAnsi="Times New Roman" w:cs="Times New Roman"/>
          <w:b/>
          <w:bCs/>
          <w:color w:val="auto"/>
          <w:sz w:val="28"/>
          <w:szCs w:val="28"/>
        </w:rPr>
        <w:t>Projekta iesnieguma veidlapas 2.pielikums “Finansēšanas plāns”</w:t>
      </w:r>
      <w:bookmarkEnd w:id="27"/>
    </w:p>
    <w:p w14:paraId="70C32497" w14:textId="2EA50F31" w:rsidR="00C73ABA" w:rsidRDefault="00D84C82" w:rsidP="00D84C82">
      <w:pPr>
        <w:jc w:val="both"/>
        <w:rPr>
          <w:rFonts w:ascii="Times New Roman" w:hAnsi="Times New Roman" w:cs="Times New Roman"/>
          <w:sz w:val="24"/>
          <w:szCs w:val="24"/>
        </w:rPr>
      </w:pPr>
      <w:bookmarkStart w:id="28" w:name="_Hlk96430696"/>
      <w:r w:rsidRPr="00690789">
        <w:rPr>
          <w:rFonts w:ascii="Times New Roman" w:hAnsi="Times New Roman" w:cs="Times New Roman"/>
          <w:sz w:val="24"/>
          <w:szCs w:val="24"/>
        </w:rPr>
        <w:t xml:space="preserve">Izklājlapā “9. DL PIV 2.pielikums” tiek aprēķināts gan projekta </w:t>
      </w:r>
      <w:r w:rsidR="00925AFC" w:rsidRPr="00690789">
        <w:rPr>
          <w:rFonts w:ascii="Times New Roman" w:hAnsi="Times New Roman" w:cs="Times New Roman"/>
          <w:sz w:val="24"/>
          <w:szCs w:val="24"/>
        </w:rPr>
        <w:t xml:space="preserve">kopējais </w:t>
      </w:r>
      <w:r w:rsidRPr="00690789">
        <w:rPr>
          <w:rFonts w:ascii="Times New Roman" w:hAnsi="Times New Roman" w:cs="Times New Roman"/>
          <w:sz w:val="24"/>
          <w:szCs w:val="24"/>
        </w:rPr>
        <w:t xml:space="preserve">finansēšanas plāns kas atbilst projekta iesnieguma 2.pielikumā noteiktajam pielikumam “Finansēšanas plāns”, gan arī individuālie </w:t>
      </w:r>
      <w:r w:rsidR="00925AFC" w:rsidRPr="00690789">
        <w:rPr>
          <w:rFonts w:ascii="Times New Roman" w:hAnsi="Times New Roman" w:cs="Times New Roman"/>
          <w:sz w:val="24"/>
          <w:szCs w:val="24"/>
        </w:rPr>
        <w:t>finansēšanas plāni sadalījumā pa sadarbības partneriem un projektā plānotajiem valsts atbalsta veidiem.</w:t>
      </w:r>
    </w:p>
    <w:bookmarkEnd w:id="28"/>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w:t>
      </w:r>
      <w:r>
        <w:rPr>
          <w:rFonts w:ascii="Times New Roman" w:hAnsi="Times New Roman" w:cs="Times New Roman"/>
          <w:sz w:val="24"/>
          <w:szCs w:val="24"/>
        </w:rPr>
        <w:lastRenderedPageBreak/>
        <w:t xml:space="preserve">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A6D5AC9"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snieguma rezerves </w:t>
      </w:r>
      <w:proofErr w:type="spellStart"/>
      <w:r w:rsidRPr="00925AFC">
        <w:rPr>
          <w:rFonts w:ascii="Times New Roman" w:hAnsi="Times New Roman" w:cs="Times New Roman"/>
          <w:sz w:val="24"/>
          <w:szCs w:val="24"/>
        </w:rPr>
        <w:t>priekšfinansējums</w:t>
      </w:r>
      <w:proofErr w:type="spellEnd"/>
      <w:r w:rsidRPr="00925AFC">
        <w:rPr>
          <w:rFonts w:ascii="Times New Roman" w:hAnsi="Times New Roman" w:cs="Times New Roman"/>
          <w:sz w:val="24"/>
          <w:szCs w:val="24"/>
        </w:rPr>
        <w:t xml:space="preserve">,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0D448B3E" w14:textId="70D85E5D"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14:paraId="37A90880" w14:textId="12636618"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PIV 2.pielikums” aprēķinātais projekta kopējais finansēšanas plāns  atbilst projekta iesnieguma 2.pielikumā norādītajam pielikumam “Finansēšanas plāns”.</w:t>
      </w:r>
    </w:p>
    <w:p w14:paraId="75669982" w14:textId="77777777" w:rsidR="00EF7BE3" w:rsidRPr="00D84C82" w:rsidRDefault="00EF7BE3" w:rsidP="00925AFC">
      <w:pPr>
        <w:jc w:val="both"/>
        <w:rPr>
          <w:rFonts w:ascii="Times New Roman" w:hAnsi="Times New Roman" w:cs="Times New Roman"/>
          <w:sz w:val="24"/>
          <w:szCs w:val="24"/>
        </w:rPr>
      </w:pPr>
    </w:p>
    <w:p w14:paraId="3B62DAEE" w14:textId="5BBECB9F" w:rsidR="00432136" w:rsidRPr="00690789" w:rsidRDefault="00432136" w:rsidP="00596D47">
      <w:pPr>
        <w:pStyle w:val="Heading1"/>
        <w:numPr>
          <w:ilvl w:val="2"/>
          <w:numId w:val="32"/>
        </w:numPr>
        <w:rPr>
          <w:rFonts w:ascii="Times New Roman" w:hAnsi="Times New Roman" w:cs="Times New Roman"/>
          <w:b/>
          <w:bCs/>
          <w:color w:val="auto"/>
          <w:sz w:val="28"/>
          <w:szCs w:val="28"/>
        </w:rPr>
      </w:pPr>
      <w:bookmarkStart w:id="29" w:name="_Toc109042780"/>
      <w:r w:rsidRPr="00690789">
        <w:rPr>
          <w:rFonts w:ascii="Times New Roman" w:hAnsi="Times New Roman" w:cs="Times New Roman"/>
          <w:b/>
          <w:bCs/>
          <w:color w:val="auto"/>
          <w:sz w:val="28"/>
          <w:szCs w:val="28"/>
        </w:rPr>
        <w:t>Projekta iesnieguma veidlapas 3.pielikums “Projekta budžeta kopsavilkums”</w:t>
      </w:r>
      <w:bookmarkEnd w:id="29"/>
    </w:p>
    <w:p w14:paraId="41966CD3" w14:textId="0F592F8E" w:rsidR="00DB1761" w:rsidRPr="00DB1761" w:rsidRDefault="00DB1761" w:rsidP="00DB1761">
      <w:pPr>
        <w:jc w:val="both"/>
        <w:rPr>
          <w:rFonts w:ascii="Times New Roman" w:hAnsi="Times New Roman" w:cs="Times New Roman"/>
          <w:sz w:val="24"/>
          <w:szCs w:val="24"/>
        </w:rPr>
      </w:pPr>
      <w:r w:rsidRPr="00690789">
        <w:rPr>
          <w:rFonts w:ascii="Times New Roman" w:hAnsi="Times New Roman" w:cs="Times New Roman"/>
          <w:sz w:val="24"/>
          <w:szCs w:val="24"/>
        </w:rPr>
        <w:t>Izklājlapā “10. DL PIV 3.pielikums” tiek aprēķināts projekta kopējais budžeta kopsavilkums kas atbilst projekta iesnieguma 3. pielikumam</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7D5C783B"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PIV 3.pielikums”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Pr="00870FE0">
        <w:rPr>
          <w:rFonts w:ascii="Times New Roman" w:hAnsi="Times New Roman" w:cs="Times New Roman"/>
          <w:b/>
          <w:bCs/>
          <w:sz w:val="24"/>
          <w:szCs w:val="24"/>
        </w:rPr>
        <w:t>3. pielikumam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3B2C5FFE" w:rsidR="0060686B" w:rsidRPr="00690789" w:rsidRDefault="0060686B" w:rsidP="00596D47">
      <w:pPr>
        <w:pStyle w:val="Heading1"/>
        <w:numPr>
          <w:ilvl w:val="2"/>
          <w:numId w:val="32"/>
        </w:numPr>
        <w:rPr>
          <w:rFonts w:ascii="Times New Roman" w:hAnsi="Times New Roman" w:cs="Times New Roman"/>
          <w:b/>
          <w:bCs/>
          <w:color w:val="auto"/>
          <w:sz w:val="28"/>
          <w:szCs w:val="28"/>
        </w:rPr>
      </w:pPr>
      <w:bookmarkStart w:id="30" w:name="_Toc109042781"/>
      <w:r w:rsidRPr="00690789">
        <w:rPr>
          <w:rFonts w:ascii="Times New Roman" w:hAnsi="Times New Roman" w:cs="Times New Roman"/>
          <w:b/>
          <w:bCs/>
          <w:color w:val="auto"/>
          <w:sz w:val="28"/>
          <w:szCs w:val="28"/>
        </w:rPr>
        <w:t>Projekta iesnieguma veidlapas 4.pielikums “Projekta izmaksu efektivitātes novērtējums”</w:t>
      </w:r>
      <w:bookmarkEnd w:id="30"/>
    </w:p>
    <w:p w14:paraId="306B75A8" w14:textId="16338AB0" w:rsidR="001D7536" w:rsidRDefault="001D7536" w:rsidP="001D7536">
      <w:pPr>
        <w:jc w:val="both"/>
        <w:rPr>
          <w:rFonts w:ascii="Times New Roman" w:hAnsi="Times New Roman" w:cs="Times New Roman"/>
          <w:sz w:val="24"/>
          <w:szCs w:val="24"/>
        </w:rPr>
      </w:pPr>
      <w:bookmarkStart w:id="31" w:name="_Hlk96432576"/>
      <w:r w:rsidRPr="00690789">
        <w:rPr>
          <w:rFonts w:ascii="Times New Roman" w:hAnsi="Times New Roman" w:cs="Times New Roman"/>
          <w:sz w:val="24"/>
          <w:szCs w:val="24"/>
        </w:rPr>
        <w:t>Izklājlapā “11. DL PIV</w:t>
      </w:r>
      <w:r w:rsidRPr="001D7536">
        <w:rPr>
          <w:rFonts w:ascii="Times New Roman" w:hAnsi="Times New Roman" w:cs="Times New Roman"/>
          <w:sz w:val="24"/>
          <w:szCs w:val="24"/>
        </w:rPr>
        <w:t xml:space="preserve"> </w:t>
      </w:r>
      <w:r>
        <w:rPr>
          <w:rFonts w:ascii="Times New Roman" w:hAnsi="Times New Roman" w:cs="Times New Roman"/>
          <w:sz w:val="24"/>
          <w:szCs w:val="24"/>
        </w:rPr>
        <w:t>4</w:t>
      </w:r>
      <w:r w:rsidRPr="001D7536">
        <w:rPr>
          <w:rFonts w:ascii="Times New Roman" w:hAnsi="Times New Roman" w:cs="Times New Roman"/>
          <w:sz w:val="24"/>
          <w:szCs w:val="24"/>
        </w:rPr>
        <w:t>.pielikums” tiek aprēķināt</w:t>
      </w:r>
      <w:r>
        <w:rPr>
          <w:rFonts w:ascii="Times New Roman" w:hAnsi="Times New Roman" w:cs="Times New Roman"/>
          <w:sz w:val="24"/>
          <w:szCs w:val="24"/>
        </w:rPr>
        <w:t xml:space="preserve">i projekta finanšu un ekonomiskās analīzes dati, kurus jāizmanto </w:t>
      </w:r>
      <w:bookmarkEnd w:id="31"/>
      <w:r w:rsidRPr="001D7536">
        <w:rPr>
          <w:rFonts w:ascii="Times New Roman" w:hAnsi="Times New Roman" w:cs="Times New Roman"/>
          <w:sz w:val="24"/>
          <w:szCs w:val="24"/>
        </w:rPr>
        <w:t xml:space="preserve">projekta iesnieguma </w:t>
      </w:r>
      <w:r>
        <w:rPr>
          <w:rFonts w:ascii="Times New Roman" w:hAnsi="Times New Roman" w:cs="Times New Roman"/>
          <w:sz w:val="24"/>
          <w:szCs w:val="24"/>
        </w:rPr>
        <w:t>4</w:t>
      </w:r>
      <w:r w:rsidRPr="001D7536">
        <w:rPr>
          <w:rFonts w:ascii="Times New Roman" w:hAnsi="Times New Roman" w:cs="Times New Roman"/>
          <w:sz w:val="24"/>
          <w:szCs w:val="24"/>
        </w:rPr>
        <w:t xml:space="preserve">. pielikuma “Projekta </w:t>
      </w:r>
      <w:r>
        <w:rPr>
          <w:rFonts w:ascii="Times New Roman" w:hAnsi="Times New Roman" w:cs="Times New Roman"/>
          <w:sz w:val="24"/>
          <w:szCs w:val="24"/>
        </w:rPr>
        <w:t>izmaksu efektivitātes novērtēšana</w:t>
      </w:r>
      <w:r w:rsidRPr="001D7536">
        <w:rPr>
          <w:rFonts w:ascii="Times New Roman" w:hAnsi="Times New Roman" w:cs="Times New Roman"/>
          <w:sz w:val="24"/>
          <w:szCs w:val="24"/>
        </w:rPr>
        <w:t>”</w:t>
      </w:r>
      <w:r>
        <w:rPr>
          <w:rFonts w:ascii="Times New Roman" w:hAnsi="Times New Roman" w:cs="Times New Roman"/>
          <w:sz w:val="24"/>
          <w:szCs w:val="24"/>
        </w:rPr>
        <w:t xml:space="preserve"> aizpildīšanai</w:t>
      </w:r>
      <w:r w:rsidRPr="001D7536">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525C33D7" w14:textId="7A9352F0" w:rsidR="001D7536" w:rsidRDefault="0095198C" w:rsidP="001D7536">
      <w:pPr>
        <w:jc w:val="both"/>
        <w:rPr>
          <w:rFonts w:ascii="Times New Roman" w:hAnsi="Times New Roman" w:cs="Times New Roman"/>
          <w:sz w:val="24"/>
        </w:rPr>
      </w:pPr>
      <w:r>
        <w:rPr>
          <w:rFonts w:ascii="Times New Roman" w:hAnsi="Times New Roman" w:cs="Times New Roman"/>
          <w:sz w:val="24"/>
        </w:rPr>
        <w:t>Papildus aizpildāmos laukus šajā izklājlapā var neaizpildīt, ja projekta iesniegumam tiek pievienots pilnībā aizpildīts</w:t>
      </w:r>
      <w:r w:rsidRPr="0095198C">
        <w:t xml:space="preserve"> </w:t>
      </w:r>
      <w:r w:rsidRPr="0095198C">
        <w:rPr>
          <w:rFonts w:ascii="Times New Roman" w:hAnsi="Times New Roman" w:cs="Times New Roman"/>
          <w:sz w:val="24"/>
        </w:rPr>
        <w:t>projekta iesnieguma 4. pielikum</w:t>
      </w:r>
      <w:r>
        <w:rPr>
          <w:rFonts w:ascii="Times New Roman" w:hAnsi="Times New Roman" w:cs="Times New Roman"/>
          <w:sz w:val="24"/>
        </w:rPr>
        <w:t>s</w:t>
      </w:r>
      <w:r w:rsidRPr="0095198C">
        <w:rPr>
          <w:rFonts w:ascii="Times New Roman" w:hAnsi="Times New Roman" w:cs="Times New Roman"/>
          <w:sz w:val="24"/>
        </w:rPr>
        <w:t xml:space="preserve"> “Projekta izmaksu efektivitātes novērtēšana”</w:t>
      </w:r>
      <w:r>
        <w:rPr>
          <w:rFonts w:ascii="Times New Roman" w:hAnsi="Times New Roman" w:cs="Times New Roman"/>
          <w:sz w:val="24"/>
        </w:rPr>
        <w:t>.</w:t>
      </w:r>
    </w:p>
    <w:p w14:paraId="00E1B927" w14:textId="77777777" w:rsidR="00E8243F" w:rsidRPr="001D7536" w:rsidRDefault="00E8243F" w:rsidP="001D7536">
      <w:pPr>
        <w:jc w:val="both"/>
        <w:rPr>
          <w:rFonts w:ascii="Times New Roman" w:hAnsi="Times New Roman" w:cs="Times New Roman"/>
          <w:sz w:val="24"/>
          <w:szCs w:val="24"/>
        </w:rPr>
      </w:pPr>
    </w:p>
    <w:p w14:paraId="0C8B4528" w14:textId="56AF745E" w:rsidR="0095198C" w:rsidRPr="00596D47" w:rsidRDefault="0095198C" w:rsidP="00596D47">
      <w:pPr>
        <w:pStyle w:val="Heading1"/>
        <w:numPr>
          <w:ilvl w:val="2"/>
          <w:numId w:val="32"/>
        </w:numPr>
        <w:rPr>
          <w:rFonts w:ascii="Times New Roman" w:hAnsi="Times New Roman" w:cs="Times New Roman"/>
          <w:b/>
          <w:bCs/>
          <w:color w:val="auto"/>
          <w:sz w:val="28"/>
          <w:szCs w:val="28"/>
        </w:rPr>
      </w:pPr>
      <w:bookmarkStart w:id="32" w:name="_Toc109042782"/>
      <w:r w:rsidRPr="00596D47">
        <w:rPr>
          <w:rFonts w:ascii="Times New Roman" w:hAnsi="Times New Roman" w:cs="Times New Roman"/>
          <w:b/>
          <w:bCs/>
          <w:color w:val="auto"/>
          <w:sz w:val="28"/>
          <w:szCs w:val="28"/>
        </w:rPr>
        <w:t>Aprēķinu lapa</w:t>
      </w:r>
      <w:bookmarkEnd w:id="32"/>
    </w:p>
    <w:p w14:paraId="2410133D" w14:textId="6E88B94C" w:rsidR="0095198C" w:rsidRPr="000045F9" w:rsidRDefault="0095198C" w:rsidP="000045F9">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00956326" w:rsidRPr="000045F9">
        <w:rPr>
          <w:rFonts w:ascii="Times New Roman" w:hAnsi="Times New Roman" w:cs="Times New Roman"/>
          <w:sz w:val="24"/>
        </w:rPr>
        <w:t xml:space="preserve"> kontroles vajadzībām</w:t>
      </w:r>
      <w:r w:rsidR="00E8243F" w:rsidRPr="000045F9">
        <w:rPr>
          <w:rFonts w:ascii="Times New Roman" w:hAnsi="Times New Roman" w:cs="Times New Roman"/>
          <w:sz w:val="24"/>
        </w:rPr>
        <w:t xml:space="preserve"> izklājlapā “13. Kontroles lapa”</w:t>
      </w:r>
      <w:r w:rsidRPr="000045F9">
        <w:rPr>
          <w:rFonts w:ascii="Times New Roman" w:hAnsi="Times New Roman" w:cs="Times New Roman"/>
          <w:sz w:val="24"/>
        </w:rPr>
        <w:t>.</w:t>
      </w:r>
    </w:p>
    <w:p w14:paraId="0E39984B" w14:textId="77777777" w:rsidR="00E8243F" w:rsidRPr="00596D47" w:rsidRDefault="00E8243F" w:rsidP="00596D47">
      <w:pPr>
        <w:pStyle w:val="Heading1"/>
        <w:rPr>
          <w:rFonts w:ascii="Times New Roman" w:hAnsi="Times New Roman" w:cs="Times New Roman"/>
          <w:b/>
          <w:bCs/>
          <w:color w:val="auto"/>
          <w:sz w:val="28"/>
          <w:szCs w:val="28"/>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3" w:name="_Toc109042783"/>
      <w:r w:rsidRPr="00596D47">
        <w:rPr>
          <w:rFonts w:ascii="Times New Roman" w:hAnsi="Times New Roman" w:cs="Times New Roman"/>
          <w:b/>
          <w:bCs/>
          <w:color w:val="auto"/>
          <w:sz w:val="28"/>
          <w:szCs w:val="28"/>
        </w:rPr>
        <w:t>Kontroles lapa</w:t>
      </w:r>
      <w:bookmarkEnd w:id="33"/>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4" w:name="_Hlk96433301"/>
      <w:r w:rsidRPr="00314781">
        <w:rPr>
          <w:rFonts w:ascii="Times New Roman" w:hAnsi="Times New Roman" w:cs="Times New Roman"/>
          <w:sz w:val="24"/>
        </w:rPr>
        <w:t xml:space="preserve">“13. Kontroles lapa” </w:t>
      </w:r>
      <w:bookmarkEnd w:id="34"/>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5" w:name="_Toc109042784"/>
      <w:r w:rsidRPr="00596D47">
        <w:rPr>
          <w:rFonts w:ascii="Times New Roman" w:hAnsi="Times New Roman" w:cs="Times New Roman"/>
          <w:b/>
          <w:bCs/>
          <w:color w:val="auto"/>
          <w:sz w:val="28"/>
          <w:szCs w:val="28"/>
        </w:rPr>
        <w:t>Pieņēmumi</w:t>
      </w:r>
      <w:bookmarkEnd w:id="35"/>
    </w:p>
    <w:p w14:paraId="17DCDF0A" w14:textId="46CFDC16"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D130D6">
        <w:rPr>
          <w:rFonts w:ascii="Times New Roman" w:hAnsi="Times New Roman" w:cs="Times New Roman"/>
          <w:sz w:val="24"/>
          <w:szCs w:val="24"/>
        </w:rPr>
        <w:t xml:space="preserve"> Šajā izklājlapā nav slēgto šūnu, līdz ar to, to var papildināt ar visiem nepieciešamiem aprēķiniem.</w:t>
      </w:r>
    </w:p>
    <w:p w14:paraId="5D3EA75A" w14:textId="77777777" w:rsidR="006A65B2" w:rsidRPr="00E60F3C" w:rsidRDefault="006A65B2" w:rsidP="00E60F3C">
      <w:pPr>
        <w:jc w:val="both"/>
        <w:rPr>
          <w:rFonts w:ascii="Times New Roman" w:hAnsi="Times New Roman" w:cs="Times New Roman"/>
          <w:sz w:val="24"/>
          <w:szCs w:val="24"/>
        </w:rPr>
      </w:pPr>
    </w:p>
    <w:p w14:paraId="5DE45C3C" w14:textId="77777777" w:rsidR="0060686B" w:rsidRDefault="0060686B" w:rsidP="0060686B">
      <w:pPr>
        <w:ind w:left="360"/>
        <w:outlineLvl w:val="1"/>
        <w:rPr>
          <w:rFonts w:ascii="Times New Roman" w:hAnsi="Times New Roman" w:cs="Times New Roman"/>
          <w:b/>
          <w:sz w:val="28"/>
          <w:szCs w:val="28"/>
        </w:rPr>
      </w:pPr>
    </w:p>
    <w:p w14:paraId="7C473FCF" w14:textId="77777777" w:rsidR="0060686B" w:rsidRDefault="0060686B" w:rsidP="00432136">
      <w:pPr>
        <w:ind w:left="360"/>
        <w:outlineLvl w:val="1"/>
        <w:rPr>
          <w:rFonts w:ascii="Times New Roman" w:hAnsi="Times New Roman" w:cs="Times New Roman"/>
          <w:b/>
          <w:sz w:val="28"/>
          <w:szCs w:val="28"/>
        </w:rPr>
      </w:pPr>
    </w:p>
    <w:p w14:paraId="3F0BF6C6" w14:textId="4906E15F" w:rsidR="0024051E" w:rsidRDefault="0024051E"/>
    <w:p w14:paraId="2584877B" w14:textId="684E3E3E" w:rsidR="0024051E" w:rsidRDefault="0024051E"/>
    <w:p w14:paraId="1CB6B215" w14:textId="27DA9623" w:rsidR="0024051E" w:rsidRDefault="0024051E"/>
    <w:sectPr w:rsidR="0024051E" w:rsidSect="0024051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8"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7"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2"/>
  </w:num>
  <w:num w:numId="3" w16cid:durableId="591204900">
    <w:abstractNumId w:val="25"/>
  </w:num>
  <w:num w:numId="4" w16cid:durableId="707146550">
    <w:abstractNumId w:val="5"/>
  </w:num>
  <w:num w:numId="5" w16cid:durableId="755633820">
    <w:abstractNumId w:val="31"/>
  </w:num>
  <w:num w:numId="6" w16cid:durableId="2023360103">
    <w:abstractNumId w:val="29"/>
  </w:num>
  <w:num w:numId="7" w16cid:durableId="914702335">
    <w:abstractNumId w:val="11"/>
  </w:num>
  <w:num w:numId="8" w16cid:durableId="1963681624">
    <w:abstractNumId w:val="7"/>
  </w:num>
  <w:num w:numId="9" w16cid:durableId="877935930">
    <w:abstractNumId w:val="30"/>
  </w:num>
  <w:num w:numId="10" w16cid:durableId="909194905">
    <w:abstractNumId w:val="17"/>
  </w:num>
  <w:num w:numId="11" w16cid:durableId="1393381677">
    <w:abstractNumId w:val="6"/>
  </w:num>
  <w:num w:numId="12" w16cid:durableId="732898767">
    <w:abstractNumId w:val="13"/>
  </w:num>
  <w:num w:numId="13" w16cid:durableId="975640806">
    <w:abstractNumId w:val="26"/>
  </w:num>
  <w:num w:numId="14" w16cid:durableId="1175219341">
    <w:abstractNumId w:val="0"/>
  </w:num>
  <w:num w:numId="15" w16cid:durableId="362680649">
    <w:abstractNumId w:val="3"/>
  </w:num>
  <w:num w:numId="16" w16cid:durableId="482114575">
    <w:abstractNumId w:val="24"/>
  </w:num>
  <w:num w:numId="17" w16cid:durableId="1233662820">
    <w:abstractNumId w:val="15"/>
  </w:num>
  <w:num w:numId="18" w16cid:durableId="241643840">
    <w:abstractNumId w:val="32"/>
  </w:num>
  <w:num w:numId="19" w16cid:durableId="506335436">
    <w:abstractNumId w:val="1"/>
  </w:num>
  <w:num w:numId="20" w16cid:durableId="451361071">
    <w:abstractNumId w:val="4"/>
  </w:num>
  <w:num w:numId="21" w16cid:durableId="1512908835">
    <w:abstractNumId w:val="20"/>
  </w:num>
  <w:num w:numId="22" w16cid:durableId="1176265156">
    <w:abstractNumId w:val="2"/>
  </w:num>
  <w:num w:numId="23" w16cid:durableId="2139374051">
    <w:abstractNumId w:val="19"/>
  </w:num>
  <w:num w:numId="24" w16cid:durableId="1287077257">
    <w:abstractNumId w:val="12"/>
  </w:num>
  <w:num w:numId="25" w16cid:durableId="249124429">
    <w:abstractNumId w:val="23"/>
  </w:num>
  <w:num w:numId="26" w16cid:durableId="1486318711">
    <w:abstractNumId w:val="27"/>
  </w:num>
  <w:num w:numId="27" w16cid:durableId="956182188">
    <w:abstractNumId w:val="8"/>
  </w:num>
  <w:num w:numId="28" w16cid:durableId="1279340824">
    <w:abstractNumId w:val="28"/>
  </w:num>
  <w:num w:numId="29" w16cid:durableId="279342845">
    <w:abstractNumId w:val="9"/>
  </w:num>
  <w:num w:numId="30" w16cid:durableId="1096167445">
    <w:abstractNumId w:val="16"/>
  </w:num>
  <w:num w:numId="31" w16cid:durableId="1795126406">
    <w:abstractNumId w:val="18"/>
  </w:num>
  <w:num w:numId="32" w16cid:durableId="986977415">
    <w:abstractNumId w:val="14"/>
  </w:num>
  <w:num w:numId="33" w16cid:durableId="1961449759">
    <w:abstractNumId w:val="14"/>
  </w:num>
  <w:num w:numId="34" w16cid:durableId="441807719">
    <w:abstractNumId w:val="14"/>
  </w:num>
  <w:num w:numId="35" w16cid:durableId="1938096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114D"/>
    <w:rsid w:val="00037A55"/>
    <w:rsid w:val="000656C3"/>
    <w:rsid w:val="00082C91"/>
    <w:rsid w:val="0009039F"/>
    <w:rsid w:val="0009131C"/>
    <w:rsid w:val="000A36E7"/>
    <w:rsid w:val="000B17A2"/>
    <w:rsid w:val="000C4C22"/>
    <w:rsid w:val="000C7F0B"/>
    <w:rsid w:val="000D7414"/>
    <w:rsid w:val="000E23A3"/>
    <w:rsid w:val="000E5C0C"/>
    <w:rsid w:val="000F0356"/>
    <w:rsid w:val="000F5D15"/>
    <w:rsid w:val="00106EAC"/>
    <w:rsid w:val="00115EE6"/>
    <w:rsid w:val="00130607"/>
    <w:rsid w:val="00173A61"/>
    <w:rsid w:val="00180DE9"/>
    <w:rsid w:val="00181293"/>
    <w:rsid w:val="001812D6"/>
    <w:rsid w:val="00187FF4"/>
    <w:rsid w:val="001B500B"/>
    <w:rsid w:val="001C6E78"/>
    <w:rsid w:val="001D2493"/>
    <w:rsid w:val="001D7536"/>
    <w:rsid w:val="001E0E3D"/>
    <w:rsid w:val="001E5E78"/>
    <w:rsid w:val="001F0EF3"/>
    <w:rsid w:val="002068C2"/>
    <w:rsid w:val="00221B5B"/>
    <w:rsid w:val="0022408E"/>
    <w:rsid w:val="0024051E"/>
    <w:rsid w:val="00241D65"/>
    <w:rsid w:val="0026260B"/>
    <w:rsid w:val="00266FC1"/>
    <w:rsid w:val="00276FAB"/>
    <w:rsid w:val="002A69FE"/>
    <w:rsid w:val="002A78FE"/>
    <w:rsid w:val="002B625D"/>
    <w:rsid w:val="002C2E53"/>
    <w:rsid w:val="002D31BE"/>
    <w:rsid w:val="00306D78"/>
    <w:rsid w:val="00311966"/>
    <w:rsid w:val="00314781"/>
    <w:rsid w:val="00330C1A"/>
    <w:rsid w:val="00334B31"/>
    <w:rsid w:val="00354092"/>
    <w:rsid w:val="00361FAC"/>
    <w:rsid w:val="003647A3"/>
    <w:rsid w:val="00376C0F"/>
    <w:rsid w:val="00384276"/>
    <w:rsid w:val="003A1E5C"/>
    <w:rsid w:val="003A7F53"/>
    <w:rsid w:val="003D1F6A"/>
    <w:rsid w:val="003F5191"/>
    <w:rsid w:val="003F7DE7"/>
    <w:rsid w:val="00411470"/>
    <w:rsid w:val="00413C2E"/>
    <w:rsid w:val="004201D0"/>
    <w:rsid w:val="00422CDD"/>
    <w:rsid w:val="00432136"/>
    <w:rsid w:val="00436503"/>
    <w:rsid w:val="00447B69"/>
    <w:rsid w:val="00476670"/>
    <w:rsid w:val="004914B1"/>
    <w:rsid w:val="004B3472"/>
    <w:rsid w:val="004D19CA"/>
    <w:rsid w:val="004F6137"/>
    <w:rsid w:val="00514729"/>
    <w:rsid w:val="00534449"/>
    <w:rsid w:val="00561DFA"/>
    <w:rsid w:val="0057041A"/>
    <w:rsid w:val="00570B6A"/>
    <w:rsid w:val="00576FB0"/>
    <w:rsid w:val="00581AFC"/>
    <w:rsid w:val="005914CD"/>
    <w:rsid w:val="00591D84"/>
    <w:rsid w:val="00596D47"/>
    <w:rsid w:val="005A041E"/>
    <w:rsid w:val="005C45CA"/>
    <w:rsid w:val="005C7D27"/>
    <w:rsid w:val="005F04B3"/>
    <w:rsid w:val="005F274F"/>
    <w:rsid w:val="0060686B"/>
    <w:rsid w:val="006128A5"/>
    <w:rsid w:val="00633F94"/>
    <w:rsid w:val="0064187F"/>
    <w:rsid w:val="0064192E"/>
    <w:rsid w:val="0064361B"/>
    <w:rsid w:val="00647C6F"/>
    <w:rsid w:val="006620F6"/>
    <w:rsid w:val="006761DB"/>
    <w:rsid w:val="006768F1"/>
    <w:rsid w:val="00686F1A"/>
    <w:rsid w:val="0068792F"/>
    <w:rsid w:val="00690789"/>
    <w:rsid w:val="006908EA"/>
    <w:rsid w:val="006A65B2"/>
    <w:rsid w:val="006B48B3"/>
    <w:rsid w:val="006C35F5"/>
    <w:rsid w:val="006C7056"/>
    <w:rsid w:val="006D147B"/>
    <w:rsid w:val="006F293A"/>
    <w:rsid w:val="00712A03"/>
    <w:rsid w:val="00724068"/>
    <w:rsid w:val="00735C02"/>
    <w:rsid w:val="007528B4"/>
    <w:rsid w:val="00760A33"/>
    <w:rsid w:val="00764C79"/>
    <w:rsid w:val="007705DB"/>
    <w:rsid w:val="0077521B"/>
    <w:rsid w:val="00796626"/>
    <w:rsid w:val="007A3C44"/>
    <w:rsid w:val="007C06C8"/>
    <w:rsid w:val="007D46B9"/>
    <w:rsid w:val="007D5496"/>
    <w:rsid w:val="007D7C96"/>
    <w:rsid w:val="007F01F7"/>
    <w:rsid w:val="007F3A4F"/>
    <w:rsid w:val="0080155B"/>
    <w:rsid w:val="00804143"/>
    <w:rsid w:val="008055C0"/>
    <w:rsid w:val="0082504C"/>
    <w:rsid w:val="008264B4"/>
    <w:rsid w:val="00830E5A"/>
    <w:rsid w:val="00832348"/>
    <w:rsid w:val="008417F8"/>
    <w:rsid w:val="00842B38"/>
    <w:rsid w:val="008432CD"/>
    <w:rsid w:val="0084491B"/>
    <w:rsid w:val="008456DE"/>
    <w:rsid w:val="00862976"/>
    <w:rsid w:val="00863302"/>
    <w:rsid w:val="00864B0D"/>
    <w:rsid w:val="00870FE0"/>
    <w:rsid w:val="00874604"/>
    <w:rsid w:val="00883789"/>
    <w:rsid w:val="00887AAA"/>
    <w:rsid w:val="008A26AB"/>
    <w:rsid w:val="008A70E3"/>
    <w:rsid w:val="008B1802"/>
    <w:rsid w:val="008B5DB3"/>
    <w:rsid w:val="008C3B1D"/>
    <w:rsid w:val="008C4545"/>
    <w:rsid w:val="008C5819"/>
    <w:rsid w:val="008E0762"/>
    <w:rsid w:val="00904558"/>
    <w:rsid w:val="00925AFC"/>
    <w:rsid w:val="0094491C"/>
    <w:rsid w:val="009504F0"/>
    <w:rsid w:val="0095198C"/>
    <w:rsid w:val="009557A6"/>
    <w:rsid w:val="00956326"/>
    <w:rsid w:val="00957348"/>
    <w:rsid w:val="009601A3"/>
    <w:rsid w:val="00961561"/>
    <w:rsid w:val="009650BA"/>
    <w:rsid w:val="009706A3"/>
    <w:rsid w:val="009736D3"/>
    <w:rsid w:val="009A5683"/>
    <w:rsid w:val="009B297A"/>
    <w:rsid w:val="009C5E1F"/>
    <w:rsid w:val="009D58AC"/>
    <w:rsid w:val="009E7D1D"/>
    <w:rsid w:val="00A13555"/>
    <w:rsid w:val="00A13F49"/>
    <w:rsid w:val="00A245D5"/>
    <w:rsid w:val="00A35D5B"/>
    <w:rsid w:val="00A40AE1"/>
    <w:rsid w:val="00A44EF6"/>
    <w:rsid w:val="00A46785"/>
    <w:rsid w:val="00A53272"/>
    <w:rsid w:val="00A558CD"/>
    <w:rsid w:val="00A60D67"/>
    <w:rsid w:val="00A6384B"/>
    <w:rsid w:val="00A70758"/>
    <w:rsid w:val="00A75B00"/>
    <w:rsid w:val="00A86266"/>
    <w:rsid w:val="00AA6DCC"/>
    <w:rsid w:val="00AB2D4F"/>
    <w:rsid w:val="00AC42BB"/>
    <w:rsid w:val="00AF3989"/>
    <w:rsid w:val="00B1492D"/>
    <w:rsid w:val="00B27FAB"/>
    <w:rsid w:val="00B326E7"/>
    <w:rsid w:val="00B4252C"/>
    <w:rsid w:val="00B4356F"/>
    <w:rsid w:val="00B6764A"/>
    <w:rsid w:val="00B71C94"/>
    <w:rsid w:val="00B9486A"/>
    <w:rsid w:val="00B95F5A"/>
    <w:rsid w:val="00BA587E"/>
    <w:rsid w:val="00BA6FB9"/>
    <w:rsid w:val="00BB2E45"/>
    <w:rsid w:val="00BC7971"/>
    <w:rsid w:val="00BD03CD"/>
    <w:rsid w:val="00C1129F"/>
    <w:rsid w:val="00C16C58"/>
    <w:rsid w:val="00C44095"/>
    <w:rsid w:val="00C47CF8"/>
    <w:rsid w:val="00C63582"/>
    <w:rsid w:val="00C73ABA"/>
    <w:rsid w:val="00C742A4"/>
    <w:rsid w:val="00CB25AA"/>
    <w:rsid w:val="00CC0C49"/>
    <w:rsid w:val="00CE6ABC"/>
    <w:rsid w:val="00CF06D8"/>
    <w:rsid w:val="00CF64F4"/>
    <w:rsid w:val="00D04C6F"/>
    <w:rsid w:val="00D130D6"/>
    <w:rsid w:val="00D15786"/>
    <w:rsid w:val="00D16823"/>
    <w:rsid w:val="00D33F30"/>
    <w:rsid w:val="00D34C87"/>
    <w:rsid w:val="00D46466"/>
    <w:rsid w:val="00D52E96"/>
    <w:rsid w:val="00D56A76"/>
    <w:rsid w:val="00D72A98"/>
    <w:rsid w:val="00D84C82"/>
    <w:rsid w:val="00DA3FAA"/>
    <w:rsid w:val="00DA6ED6"/>
    <w:rsid w:val="00DB1761"/>
    <w:rsid w:val="00DD2BF0"/>
    <w:rsid w:val="00DD2CAB"/>
    <w:rsid w:val="00DE4327"/>
    <w:rsid w:val="00E16E23"/>
    <w:rsid w:val="00E36D0F"/>
    <w:rsid w:val="00E42545"/>
    <w:rsid w:val="00E60F3C"/>
    <w:rsid w:val="00E6581F"/>
    <w:rsid w:val="00E80235"/>
    <w:rsid w:val="00E8243F"/>
    <w:rsid w:val="00E8306E"/>
    <w:rsid w:val="00EB1C4F"/>
    <w:rsid w:val="00EC01EE"/>
    <w:rsid w:val="00EC5B49"/>
    <w:rsid w:val="00ED00CC"/>
    <w:rsid w:val="00EF7BE3"/>
    <w:rsid w:val="00F13199"/>
    <w:rsid w:val="00F14849"/>
    <w:rsid w:val="00F351B6"/>
    <w:rsid w:val="00F36F51"/>
    <w:rsid w:val="00F404C1"/>
    <w:rsid w:val="00F42274"/>
    <w:rsid w:val="00F80A79"/>
    <w:rsid w:val="00F85701"/>
    <w:rsid w:val="00FA1E47"/>
    <w:rsid w:val="00FD32CC"/>
    <w:rsid w:val="00FD4015"/>
    <w:rsid w:val="00FE555F"/>
    <w:rsid w:val="00FF6A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character" w:styleId="CommentReference">
    <w:name w:val="annotation reference"/>
    <w:basedOn w:val="DefaultParagraphFont"/>
    <w:uiPriority w:val="99"/>
    <w:semiHidden/>
    <w:unhideWhenUsed/>
    <w:rsid w:val="0001114D"/>
    <w:rPr>
      <w:sz w:val="16"/>
      <w:szCs w:val="16"/>
    </w:rPr>
  </w:style>
  <w:style w:type="paragraph" w:styleId="CommentText">
    <w:name w:val="annotation text"/>
    <w:basedOn w:val="Normal"/>
    <w:link w:val="CommentTextChar"/>
    <w:uiPriority w:val="99"/>
    <w:semiHidden/>
    <w:unhideWhenUsed/>
    <w:rsid w:val="0001114D"/>
    <w:pPr>
      <w:spacing w:line="240" w:lineRule="auto"/>
    </w:pPr>
    <w:rPr>
      <w:sz w:val="20"/>
      <w:szCs w:val="20"/>
    </w:rPr>
  </w:style>
  <w:style w:type="character" w:customStyle="1" w:styleId="CommentTextChar">
    <w:name w:val="Comment Text Char"/>
    <w:basedOn w:val="DefaultParagraphFont"/>
    <w:link w:val="CommentText"/>
    <w:uiPriority w:val="99"/>
    <w:semiHidden/>
    <w:rsid w:val="0001114D"/>
    <w:rPr>
      <w:sz w:val="20"/>
      <w:szCs w:val="20"/>
    </w:rPr>
  </w:style>
  <w:style w:type="paragraph" w:styleId="CommentSubject">
    <w:name w:val="annotation subject"/>
    <w:basedOn w:val="CommentText"/>
    <w:next w:val="CommentText"/>
    <w:link w:val="CommentSubjectChar"/>
    <w:uiPriority w:val="99"/>
    <w:semiHidden/>
    <w:unhideWhenUsed/>
    <w:rsid w:val="0001114D"/>
    <w:rPr>
      <w:b/>
      <w:bCs/>
    </w:rPr>
  </w:style>
  <w:style w:type="character" w:customStyle="1" w:styleId="CommentSubjectChar">
    <w:name w:val="Comment Subject Char"/>
    <w:basedOn w:val="CommentTextChar"/>
    <w:link w:val="CommentSubject"/>
    <w:uiPriority w:val="99"/>
    <w:semiHidden/>
    <w:rsid w:val="0001114D"/>
    <w:rPr>
      <w:b/>
      <w:bCs/>
      <w:sz w:val="20"/>
      <w:szCs w:val="20"/>
    </w:rPr>
  </w:style>
  <w:style w:type="paragraph" w:styleId="Revision">
    <w:name w:val="Revision"/>
    <w:hidden/>
    <w:uiPriority w:val="99"/>
    <w:semiHidden/>
    <w:rsid w:val="00775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makroekonomiskie-pienemumi-un-prognoze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regional_policy/sources/docgener/studies/pdf/cba_guid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m.gov.lv/lv/makroekonomiskie-pienemumi-un-progno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23843</Words>
  <Characters>13592</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Lita Trakina</cp:lastModifiedBy>
  <cp:revision>2</cp:revision>
  <cp:lastPrinted>2022-07-18T05:44:00Z</cp:lastPrinted>
  <dcterms:created xsi:type="dcterms:W3CDTF">2022-07-19T06:33:00Z</dcterms:created>
  <dcterms:modified xsi:type="dcterms:W3CDTF">2022-07-19T06:33:00Z</dcterms:modified>
</cp:coreProperties>
</file>