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C160" w14:textId="77777777" w:rsidR="00EA65D6" w:rsidRPr="00822129" w:rsidRDefault="00EA65D6" w:rsidP="00046AB0">
      <w:pPr>
        <w:autoSpaceDE w:val="0"/>
        <w:autoSpaceDN w:val="0"/>
        <w:adjustRightInd w:val="0"/>
        <w:jc w:val="center"/>
        <w:rPr>
          <w:color w:val="000000"/>
        </w:rPr>
      </w:pPr>
      <w:r w:rsidRPr="00822129">
        <w:rPr>
          <w:b/>
          <w:bCs/>
          <w:color w:val="000000"/>
        </w:rPr>
        <w:t>INFORMATĪVAIS ZIŅOJUMS</w:t>
      </w:r>
    </w:p>
    <w:p w14:paraId="6EF04D20" w14:textId="77777777" w:rsidR="000D1196" w:rsidRPr="00822129" w:rsidRDefault="000D1196" w:rsidP="000D1196">
      <w:pPr>
        <w:suppressAutoHyphens/>
        <w:autoSpaceDE w:val="0"/>
        <w:jc w:val="both"/>
        <w:rPr>
          <w:b/>
          <w:bCs/>
          <w:color w:val="000000"/>
        </w:rPr>
      </w:pPr>
    </w:p>
    <w:p w14:paraId="13CBA8E2" w14:textId="0B427D17" w:rsidR="000D1196" w:rsidRPr="00822129" w:rsidRDefault="000D1196" w:rsidP="00994A09">
      <w:pPr>
        <w:shd w:val="clear" w:color="auto" w:fill="FFFFFF"/>
        <w:jc w:val="center"/>
        <w:rPr>
          <w:b/>
          <w:bCs/>
        </w:rPr>
      </w:pPr>
      <w:r w:rsidRPr="00822129">
        <w:rPr>
          <w:b/>
          <w:bCs/>
          <w:color w:val="000000"/>
        </w:rPr>
        <w:t xml:space="preserve">par </w:t>
      </w:r>
      <w:r w:rsidRPr="00822129">
        <w:rPr>
          <w:b/>
          <w:bCs/>
        </w:rPr>
        <w:t>vides apsvērumu, vides pārskatā izteikto atzinumu un sabiedriskās apspriešanas rezultātu integrāciju plānošanas dokumentā “</w:t>
      </w:r>
      <w:r w:rsidR="00994A09" w:rsidRPr="00822129">
        <w:rPr>
          <w:b/>
          <w:bCs/>
        </w:rPr>
        <w:t>Vides politikas pamatnostādnes</w:t>
      </w:r>
      <w:r w:rsidR="00822129" w:rsidRPr="00822129">
        <w:rPr>
          <w:b/>
          <w:bCs/>
        </w:rPr>
        <w:t xml:space="preserve"> </w:t>
      </w:r>
      <w:r w:rsidR="00994A09" w:rsidRPr="00822129">
        <w:rPr>
          <w:b/>
          <w:bCs/>
        </w:rPr>
        <w:t>2021.-2027. gadam</w:t>
      </w:r>
      <w:r w:rsidRPr="00822129">
        <w:rPr>
          <w:b/>
          <w:bCs/>
        </w:rPr>
        <w:t>”</w:t>
      </w:r>
    </w:p>
    <w:p w14:paraId="071A9B14" w14:textId="77777777" w:rsidR="000D1196" w:rsidRPr="00822129" w:rsidRDefault="000D1196" w:rsidP="000D1196">
      <w:pPr>
        <w:suppressAutoHyphens/>
        <w:ind w:firstLine="567"/>
        <w:jc w:val="both"/>
        <w:rPr>
          <w:lang w:eastAsia="zh-CN"/>
        </w:rPr>
      </w:pPr>
    </w:p>
    <w:p w14:paraId="22BC11DA" w14:textId="32BC5D6C" w:rsidR="000D1196" w:rsidRPr="00822129" w:rsidRDefault="000D1196" w:rsidP="7ECBE60F">
      <w:pPr>
        <w:shd w:val="clear" w:color="auto" w:fill="FFFFFF" w:themeFill="background1"/>
        <w:ind w:firstLine="567"/>
        <w:jc w:val="both"/>
        <w:rPr>
          <w:color w:val="000000"/>
          <w:lang w:eastAsia="zh-CN"/>
        </w:rPr>
      </w:pPr>
      <w:r w:rsidRPr="00822129">
        <w:rPr>
          <w:color w:val="000000"/>
          <w:bdr w:val="none" w:sz="0" w:space="0" w:color="auto" w:frame="1"/>
        </w:rPr>
        <w:t>Plānošanas dokuments “</w:t>
      </w:r>
      <w:r w:rsidR="00994A09" w:rsidRPr="00822129">
        <w:rPr>
          <w:color w:val="000000"/>
          <w:bdr w:val="none" w:sz="0" w:space="0" w:color="auto" w:frame="1"/>
        </w:rPr>
        <w:t>Par Vides politikas pamatnostādnēm 2021.-2027. gadam</w:t>
      </w:r>
      <w:r w:rsidRPr="00822129">
        <w:rPr>
          <w:lang w:eastAsia="zh-CN"/>
        </w:rPr>
        <w:t>”</w:t>
      </w:r>
      <w:r w:rsidR="00217D1A" w:rsidRPr="00822129">
        <w:rPr>
          <w:rStyle w:val="FootnoteReference"/>
          <w:lang w:eastAsia="zh-CN"/>
        </w:rPr>
        <w:footnoteReference w:id="2"/>
      </w:r>
      <w:r w:rsidRPr="00822129">
        <w:rPr>
          <w:lang w:eastAsia="zh-CN"/>
        </w:rPr>
        <w:t xml:space="preserve"> (turpmāk – </w:t>
      </w:r>
      <w:r w:rsidR="00DC25F5" w:rsidRPr="00822129">
        <w:rPr>
          <w:lang w:eastAsia="zh-CN"/>
        </w:rPr>
        <w:t>p</w:t>
      </w:r>
      <w:r w:rsidR="00994A09" w:rsidRPr="00822129">
        <w:rPr>
          <w:lang w:eastAsia="zh-CN"/>
        </w:rPr>
        <w:t>amatnostādnes</w:t>
      </w:r>
      <w:r w:rsidRPr="00822129">
        <w:rPr>
          <w:lang w:eastAsia="zh-CN"/>
        </w:rPr>
        <w:t>) izstrādāts</w:t>
      </w:r>
      <w:r w:rsidR="00D915B9" w:rsidRPr="00822129">
        <w:t xml:space="preserve"> saskaņā ar</w:t>
      </w:r>
      <w:r w:rsidR="00994A09" w:rsidRPr="00822129">
        <w:rPr>
          <w:lang w:eastAsia="en-GB" w:bidi="lo-LA"/>
        </w:rPr>
        <w:t xml:space="preserve"> Vides aizsardzības likuma 4. panta otro daļu. T</w:t>
      </w:r>
      <w:r w:rsidR="68EE8E2F" w:rsidRPr="00822129">
        <w:rPr>
          <w:lang w:eastAsia="en-GB" w:bidi="lo-LA"/>
        </w:rPr>
        <w:t>ā</w:t>
      </w:r>
      <w:r w:rsidR="00994A09" w:rsidRPr="00822129">
        <w:rPr>
          <w:lang w:eastAsia="en-GB" w:bidi="lo-LA"/>
        </w:rPr>
        <w:t xml:space="preserve">s </w:t>
      </w:r>
      <w:r w:rsidR="718A0C55" w:rsidRPr="00822129">
        <w:rPr>
          <w:lang w:eastAsia="en-GB" w:bidi="lo-LA"/>
        </w:rPr>
        <w:t xml:space="preserve">secīgi </w:t>
      </w:r>
      <w:r w:rsidR="1877B149" w:rsidRPr="00822129">
        <w:rPr>
          <w:lang w:eastAsia="en-GB" w:bidi="lo-LA"/>
        </w:rPr>
        <w:t xml:space="preserve">papildina </w:t>
      </w:r>
      <w:r w:rsidR="00994A09" w:rsidRPr="00822129">
        <w:rPr>
          <w:lang w:eastAsia="en-GB" w:bidi="lo-LA"/>
        </w:rPr>
        <w:t>Vides politikas pamatnostādn</w:t>
      </w:r>
      <w:r w:rsidR="29C85B23" w:rsidRPr="00822129">
        <w:rPr>
          <w:lang w:eastAsia="en-GB" w:bidi="lo-LA"/>
        </w:rPr>
        <w:t>es</w:t>
      </w:r>
      <w:r w:rsidR="00994A09" w:rsidRPr="00822129">
        <w:rPr>
          <w:lang w:eastAsia="en-GB" w:bidi="lo-LA"/>
        </w:rPr>
        <w:t xml:space="preserve"> 2014.-2020. gadam. Pamatnostādnes ir vides aizsardzības nozares vidēja termiņa politikas plānošanas dokuments.</w:t>
      </w:r>
      <w:r w:rsidR="00D915B9" w:rsidRPr="00822129">
        <w:t xml:space="preserve"> </w:t>
      </w:r>
      <w:r w:rsidR="00994A09" w:rsidRPr="00822129">
        <w:t>P</w:t>
      </w:r>
      <w:r w:rsidR="00994A09" w:rsidRPr="00822129">
        <w:rPr>
          <w:lang w:eastAsia="zh-CN"/>
        </w:rPr>
        <w:t xml:space="preserve">amatnostādņu </w:t>
      </w:r>
      <w:r w:rsidR="00D915B9" w:rsidRPr="00822129">
        <w:t xml:space="preserve">īstenošanas termiņš ir </w:t>
      </w:r>
      <w:r w:rsidR="00994A09" w:rsidRPr="00822129">
        <w:t>septiņi</w:t>
      </w:r>
      <w:r w:rsidR="00D915B9" w:rsidRPr="00822129">
        <w:t xml:space="preserve"> gadi.</w:t>
      </w:r>
      <w:r w:rsidR="00217D1A" w:rsidRPr="00822129">
        <w:t xml:space="preserve"> P</w:t>
      </w:r>
      <w:r w:rsidR="00994A09" w:rsidRPr="00822129">
        <w:rPr>
          <w:lang w:eastAsia="zh-CN"/>
        </w:rPr>
        <w:t>amatnostādnes</w:t>
      </w:r>
      <w:r w:rsidR="00217D1A" w:rsidRPr="00822129">
        <w:t xml:space="preserve"> pieņemt</w:t>
      </w:r>
      <w:r w:rsidR="00994A09" w:rsidRPr="00822129">
        <w:t>a</w:t>
      </w:r>
      <w:r w:rsidR="00217D1A" w:rsidRPr="00822129">
        <w:t>s 202</w:t>
      </w:r>
      <w:r w:rsidR="00994A09" w:rsidRPr="00822129">
        <w:t>2</w:t>
      </w:r>
      <w:r w:rsidR="00217D1A" w:rsidRPr="00822129">
        <w:t xml:space="preserve">.gada </w:t>
      </w:r>
      <w:r w:rsidR="00994A09" w:rsidRPr="00822129">
        <w:t>30</w:t>
      </w:r>
      <w:r w:rsidR="00217D1A" w:rsidRPr="00822129">
        <w:t>.</w:t>
      </w:r>
      <w:r w:rsidR="00994A09" w:rsidRPr="00822129">
        <w:t xml:space="preserve"> augusta Ministru </w:t>
      </w:r>
      <w:r w:rsidR="00217D1A" w:rsidRPr="00822129">
        <w:t>kabineta sēdē.</w:t>
      </w:r>
    </w:p>
    <w:p w14:paraId="2405ABE4" w14:textId="7D9327FC" w:rsidR="00D915B9" w:rsidRPr="00822129" w:rsidRDefault="000D1196" w:rsidP="00D915B9">
      <w:pPr>
        <w:suppressAutoHyphens/>
        <w:autoSpaceDE w:val="0"/>
        <w:ind w:firstLine="567"/>
        <w:jc w:val="both"/>
        <w:rPr>
          <w:color w:val="000000"/>
          <w:lang w:eastAsia="zh-CN"/>
        </w:rPr>
      </w:pPr>
      <w:r w:rsidRPr="00822129">
        <w:rPr>
          <w:color w:val="000000"/>
          <w:lang w:eastAsia="zh-CN"/>
        </w:rPr>
        <w:t>Šis informatīvais ziņojums sagatavots, pamatojoties uz Vides pārraudz</w:t>
      </w:r>
      <w:r w:rsidR="00D915B9" w:rsidRPr="00822129">
        <w:rPr>
          <w:color w:val="000000"/>
          <w:lang w:eastAsia="zh-CN"/>
        </w:rPr>
        <w:t>ības valsts biroja 202</w:t>
      </w:r>
      <w:r w:rsidR="00994A09" w:rsidRPr="00822129">
        <w:rPr>
          <w:color w:val="000000"/>
          <w:lang w:eastAsia="zh-CN"/>
        </w:rPr>
        <w:t>1</w:t>
      </w:r>
      <w:r w:rsidR="00D915B9" w:rsidRPr="00822129">
        <w:rPr>
          <w:color w:val="000000"/>
          <w:lang w:eastAsia="zh-CN"/>
        </w:rPr>
        <w:t xml:space="preserve">. gada </w:t>
      </w:r>
      <w:r w:rsidR="00994A09" w:rsidRPr="00822129">
        <w:rPr>
          <w:color w:val="000000"/>
          <w:lang w:eastAsia="zh-CN"/>
        </w:rPr>
        <w:t>22</w:t>
      </w:r>
      <w:r w:rsidR="00D915B9" w:rsidRPr="00822129">
        <w:rPr>
          <w:color w:val="000000"/>
          <w:lang w:eastAsia="zh-CN"/>
        </w:rPr>
        <w:t>. decembra</w:t>
      </w:r>
      <w:r w:rsidRPr="00822129">
        <w:rPr>
          <w:color w:val="000000"/>
          <w:lang w:eastAsia="zh-CN"/>
        </w:rPr>
        <w:t xml:space="preserve"> atzinumā </w:t>
      </w:r>
      <w:r w:rsidR="00D915B9" w:rsidRPr="00822129">
        <w:rPr>
          <w:color w:val="000000"/>
          <w:bdr w:val="none" w:sz="0" w:space="0" w:color="auto" w:frame="1"/>
        </w:rPr>
        <w:t>Nr. 4-03/</w:t>
      </w:r>
      <w:r w:rsidR="00994A09" w:rsidRPr="00822129">
        <w:rPr>
          <w:color w:val="000000"/>
          <w:bdr w:val="none" w:sz="0" w:space="0" w:color="auto" w:frame="1"/>
        </w:rPr>
        <w:t>12</w:t>
      </w:r>
      <w:r w:rsidR="00D915B9" w:rsidRPr="00822129">
        <w:rPr>
          <w:color w:val="000000"/>
          <w:bdr w:val="none" w:sz="0" w:space="0" w:color="auto" w:frame="1"/>
        </w:rPr>
        <w:t xml:space="preserve"> “Par </w:t>
      </w:r>
      <w:r w:rsidR="00994A09" w:rsidRPr="00822129">
        <w:rPr>
          <w:color w:val="000000"/>
          <w:bdr w:val="none" w:sz="0" w:space="0" w:color="auto" w:frame="1"/>
        </w:rPr>
        <w:t>Vides politikas pamatnostādņu</w:t>
      </w:r>
      <w:r w:rsidR="00D915B9" w:rsidRPr="00822129">
        <w:rPr>
          <w:color w:val="000000"/>
          <w:bdr w:val="none" w:sz="0" w:space="0" w:color="auto" w:frame="1"/>
        </w:rPr>
        <w:t xml:space="preserve"> </w:t>
      </w:r>
      <w:r w:rsidR="00515FDF" w:rsidRPr="00822129">
        <w:rPr>
          <w:color w:val="000000"/>
          <w:bdr w:val="none" w:sz="0" w:space="0" w:color="auto" w:frame="1"/>
        </w:rPr>
        <w:t xml:space="preserve">2021.-2027. gadam </w:t>
      </w:r>
      <w:r w:rsidR="00D915B9" w:rsidRPr="00822129">
        <w:rPr>
          <w:color w:val="000000"/>
          <w:bdr w:val="none" w:sz="0" w:space="0" w:color="auto" w:frame="1"/>
        </w:rPr>
        <w:t>Vides pārskatu”</w:t>
      </w:r>
      <w:r w:rsidR="00D915B9" w:rsidRPr="00822129">
        <w:rPr>
          <w:color w:val="000000"/>
          <w:lang w:eastAsia="zh-CN"/>
        </w:rPr>
        <w:t xml:space="preserve"> </w:t>
      </w:r>
      <w:r w:rsidRPr="00822129">
        <w:rPr>
          <w:color w:val="000000"/>
          <w:lang w:eastAsia="zh-CN"/>
        </w:rPr>
        <w:t xml:space="preserve">iekļautajām rekomendācijām, un saskaņā ar Ministru kabineta 2004. gada 23. marta noteikumu Nr.157 </w:t>
      </w:r>
      <w:r w:rsidR="00C33974" w:rsidRPr="00822129">
        <w:rPr>
          <w:color w:val="000000"/>
          <w:lang w:eastAsia="zh-CN"/>
        </w:rPr>
        <w:t>“</w:t>
      </w:r>
      <w:r w:rsidRPr="00822129">
        <w:rPr>
          <w:color w:val="000000"/>
          <w:lang w:eastAsia="zh-CN"/>
        </w:rPr>
        <w:t>Kārtība, kādā veicams ietekmes uz vidi stratēģiskais novērtējums” (turpmāk</w:t>
      </w:r>
      <w:r w:rsidR="00BF6CE1" w:rsidRPr="00822129">
        <w:rPr>
          <w:color w:val="000000"/>
          <w:lang w:eastAsia="zh-CN"/>
        </w:rPr>
        <w:t xml:space="preserve"> </w:t>
      </w:r>
      <w:r w:rsidR="00BF6CE1" w:rsidRPr="00822129">
        <w:rPr>
          <w:lang w:eastAsia="zh-CN"/>
        </w:rPr>
        <w:t xml:space="preserve">– Noteikumi Nr. </w:t>
      </w:r>
      <w:r w:rsidRPr="00822129">
        <w:rPr>
          <w:color w:val="000000"/>
          <w:lang w:eastAsia="zh-CN"/>
        </w:rPr>
        <w:t>157.) 27.</w:t>
      </w:r>
      <w:r w:rsidR="001A6F41" w:rsidRPr="00822129">
        <w:rPr>
          <w:color w:val="000000"/>
          <w:lang w:eastAsia="zh-CN"/>
        </w:rPr>
        <w:t> </w:t>
      </w:r>
      <w:r w:rsidRPr="00822129">
        <w:rPr>
          <w:color w:val="000000"/>
          <w:lang w:eastAsia="zh-CN"/>
        </w:rPr>
        <w:t>punktu.</w:t>
      </w:r>
    </w:p>
    <w:p w14:paraId="08A01F8D" w14:textId="77777777" w:rsidR="000D1196" w:rsidRPr="00822129" w:rsidRDefault="000D1196" w:rsidP="000D1196">
      <w:pPr>
        <w:suppressAutoHyphens/>
        <w:autoSpaceDE w:val="0"/>
        <w:jc w:val="both"/>
        <w:rPr>
          <w:b/>
          <w:bCs/>
          <w:color w:val="000000"/>
          <w:lang w:eastAsia="zh-CN"/>
        </w:rPr>
      </w:pPr>
    </w:p>
    <w:p w14:paraId="01E70FE9" w14:textId="77777777" w:rsidR="000D1196" w:rsidRPr="00822129" w:rsidRDefault="000D1196" w:rsidP="000D1196">
      <w:pPr>
        <w:suppressAutoHyphens/>
        <w:autoSpaceDE w:val="0"/>
        <w:jc w:val="both"/>
        <w:rPr>
          <w:lang w:eastAsia="zh-CN"/>
        </w:rPr>
      </w:pPr>
      <w:r w:rsidRPr="00822129">
        <w:rPr>
          <w:b/>
          <w:bCs/>
          <w:color w:val="000000"/>
          <w:lang w:eastAsia="zh-CN"/>
        </w:rPr>
        <w:t xml:space="preserve">Vides apsvērumu integrēšana </w:t>
      </w:r>
      <w:r w:rsidR="00D915B9" w:rsidRPr="00822129">
        <w:rPr>
          <w:b/>
          <w:bCs/>
          <w:color w:val="000000"/>
          <w:lang w:eastAsia="zh-CN"/>
        </w:rPr>
        <w:t>plānā</w:t>
      </w:r>
    </w:p>
    <w:p w14:paraId="185A0D27" w14:textId="77777777" w:rsidR="00515FDF" w:rsidRPr="00822129" w:rsidRDefault="00515FDF" w:rsidP="009F79D3">
      <w:pPr>
        <w:suppressAutoHyphens/>
        <w:autoSpaceDE w:val="0"/>
        <w:ind w:firstLine="567"/>
        <w:jc w:val="both"/>
        <w:rPr>
          <w:color w:val="000000"/>
          <w:lang w:eastAsia="zh-CN"/>
        </w:rPr>
      </w:pPr>
    </w:p>
    <w:p w14:paraId="51B74ACA" w14:textId="77777777" w:rsidR="000D1196" w:rsidRPr="00822129" w:rsidRDefault="00D915B9" w:rsidP="009F79D3">
      <w:pPr>
        <w:suppressAutoHyphens/>
        <w:autoSpaceDE w:val="0"/>
        <w:ind w:firstLine="567"/>
        <w:jc w:val="both"/>
        <w:rPr>
          <w:lang w:eastAsia="zh-CN"/>
        </w:rPr>
      </w:pPr>
      <w:r w:rsidRPr="00822129">
        <w:rPr>
          <w:color w:val="000000"/>
          <w:lang w:eastAsia="zh-CN"/>
        </w:rPr>
        <w:t>P</w:t>
      </w:r>
      <w:r w:rsidR="00515FDF" w:rsidRPr="00822129">
        <w:rPr>
          <w:color w:val="000000"/>
          <w:lang w:eastAsia="zh-CN"/>
        </w:rPr>
        <w:t xml:space="preserve">amatnostādņu </w:t>
      </w:r>
      <w:r w:rsidR="000D1196" w:rsidRPr="00822129">
        <w:rPr>
          <w:color w:val="000000"/>
          <w:lang w:eastAsia="zh-CN"/>
        </w:rPr>
        <w:t>sagatavošanas laikā</w:t>
      </w:r>
      <w:r w:rsidR="00CC4E56" w:rsidRPr="00822129">
        <w:rPr>
          <w:color w:val="000000"/>
          <w:lang w:eastAsia="zh-CN"/>
        </w:rPr>
        <w:t xml:space="preserve"> tam</w:t>
      </w:r>
      <w:r w:rsidR="000D1196" w:rsidRPr="00822129">
        <w:rPr>
          <w:color w:val="000000"/>
          <w:lang w:eastAsia="zh-CN"/>
        </w:rPr>
        <w:t xml:space="preserve"> tika veikts stratēģiskais ietekmes uz vidi novērtējums (turpmāk – SIVN), lai izvērtētu sagaidāmo ietekmi uz vidi saistībā ar </w:t>
      </w:r>
      <w:r w:rsidR="00CC4E56" w:rsidRPr="00822129">
        <w:rPr>
          <w:color w:val="000000"/>
          <w:lang w:eastAsia="zh-CN"/>
        </w:rPr>
        <w:t>plāna</w:t>
      </w:r>
      <w:r w:rsidR="000D1196" w:rsidRPr="00822129">
        <w:rPr>
          <w:color w:val="000000"/>
          <w:lang w:eastAsia="zh-CN"/>
        </w:rPr>
        <w:t xml:space="preserve"> īstenošanu. SIVN novērtējuma rezultāti tiek atspoguļoti vides pārskatā, kurā novērtēts esošais vides stāvoklis Latvijā, ar plānošanas dokumenta īstenošanu saistītas vides problēmas un būtiskās ietekmes uz vidi, lai piedāvātu risinājumus būtisko ietekmju novēršanai un samazināšanai, alternatīvu izvēles pamatojums un </w:t>
      </w:r>
      <w:proofErr w:type="spellStart"/>
      <w:r w:rsidR="000D1196" w:rsidRPr="00822129">
        <w:rPr>
          <w:color w:val="000000"/>
          <w:lang w:eastAsia="zh-CN"/>
        </w:rPr>
        <w:t>izvērtējums</w:t>
      </w:r>
      <w:proofErr w:type="spellEnd"/>
      <w:r w:rsidR="000D1196" w:rsidRPr="00822129">
        <w:rPr>
          <w:color w:val="000000"/>
          <w:lang w:eastAsia="zh-CN"/>
        </w:rPr>
        <w:t>.</w:t>
      </w:r>
    </w:p>
    <w:p w14:paraId="7FBD0C02" w14:textId="77777777" w:rsidR="00916AC6" w:rsidRPr="00822129" w:rsidRDefault="00515FDF" w:rsidP="00515FDF">
      <w:pPr>
        <w:suppressAutoHyphens/>
        <w:spacing w:after="120"/>
        <w:ind w:firstLine="567"/>
        <w:jc w:val="both"/>
        <w:rPr>
          <w:lang w:eastAsia="zh-CN"/>
        </w:rPr>
      </w:pPr>
      <w:r w:rsidRPr="00822129">
        <w:rPr>
          <w:color w:val="000000"/>
          <w:lang w:eastAsia="zh-CN"/>
        </w:rPr>
        <w:t xml:space="preserve">Pamatnostādņu </w:t>
      </w:r>
      <w:r w:rsidR="00E25313" w:rsidRPr="00822129">
        <w:rPr>
          <w:color w:val="000000"/>
          <w:lang w:eastAsia="zh-CN"/>
        </w:rPr>
        <w:t>SIVN</w:t>
      </w:r>
      <w:r w:rsidR="000D1196" w:rsidRPr="00822129">
        <w:rPr>
          <w:lang w:eastAsia="zh-CN"/>
        </w:rPr>
        <w:t xml:space="preserve"> parāda, ka:</w:t>
      </w:r>
    </w:p>
    <w:p w14:paraId="1282A6C2" w14:textId="77777777" w:rsidR="00515FDF" w:rsidRPr="00822129" w:rsidRDefault="00515FDF" w:rsidP="00515FDF">
      <w:pPr>
        <w:numPr>
          <w:ilvl w:val="1"/>
          <w:numId w:val="18"/>
        </w:numPr>
        <w:shd w:val="clear" w:color="auto" w:fill="FFFFFF"/>
        <w:spacing w:before="120" w:after="120"/>
        <w:ind w:left="426" w:hanging="426"/>
        <w:jc w:val="both"/>
        <w:rPr>
          <w:lang w:eastAsia="x-none"/>
        </w:rPr>
      </w:pPr>
      <w:r w:rsidRPr="00822129">
        <w:rPr>
          <w:lang w:eastAsia="en-GB" w:bidi="lo-LA"/>
        </w:rPr>
        <w:t>Pamatnostādnes ir vides aizsardzības nozares vidēja termiņa politikas plānošanas dokuments, kas izstrādāts atbilstoši Latvijas Ilgtspējīgas attīstības stratēģijā līdz 2030. gadam</w:t>
      </w:r>
      <w:r w:rsidRPr="00822129">
        <w:rPr>
          <w:vertAlign w:val="superscript"/>
          <w:lang w:eastAsia="en-GB" w:bidi="lo-LA"/>
        </w:rPr>
        <w:footnoteReference w:id="3"/>
      </w:r>
      <w:r w:rsidRPr="00822129">
        <w:rPr>
          <w:lang w:eastAsia="en-GB" w:bidi="lo-LA"/>
        </w:rPr>
        <w:t xml:space="preserve"> (turpmāk – Latvija 2030) un Nacionālajā attīstības plānā 2021.–2027. gadam</w:t>
      </w:r>
      <w:r w:rsidRPr="00822129">
        <w:rPr>
          <w:vertAlign w:val="superscript"/>
          <w:lang w:eastAsia="en-GB" w:bidi="lo-LA"/>
        </w:rPr>
        <w:footnoteReference w:id="4"/>
      </w:r>
      <w:r w:rsidRPr="00822129">
        <w:rPr>
          <w:lang w:eastAsia="en-GB" w:bidi="lo-LA"/>
        </w:rPr>
        <w:t xml:space="preserve"> (turpmāk – NAP 2027) noteiktajām prioritātēm un Eiropas zaļā kursa</w:t>
      </w:r>
      <w:r w:rsidRPr="00822129">
        <w:rPr>
          <w:vertAlign w:val="superscript"/>
          <w:lang w:eastAsia="en-GB" w:bidi="lo-LA"/>
        </w:rPr>
        <w:footnoteReference w:id="5"/>
      </w:r>
      <w:r w:rsidRPr="00822129">
        <w:rPr>
          <w:lang w:eastAsia="en-GB" w:bidi="lo-LA"/>
        </w:rPr>
        <w:t xml:space="preserve"> stratēģiskiem mērķiem. </w:t>
      </w:r>
    </w:p>
    <w:p w14:paraId="39442809" w14:textId="77777777" w:rsidR="00515FDF" w:rsidRPr="00822129" w:rsidRDefault="00515FDF" w:rsidP="00515FDF">
      <w:pPr>
        <w:numPr>
          <w:ilvl w:val="1"/>
          <w:numId w:val="18"/>
        </w:numPr>
        <w:shd w:val="clear" w:color="auto" w:fill="FFFFFF"/>
        <w:spacing w:before="120" w:after="120"/>
        <w:ind w:left="426" w:hanging="426"/>
        <w:jc w:val="both"/>
        <w:rPr>
          <w:lang w:eastAsia="x-none"/>
        </w:rPr>
      </w:pPr>
      <w:r w:rsidRPr="00822129">
        <w:rPr>
          <w:lang w:eastAsia="x-none"/>
        </w:rPr>
        <w:t>Plānošanas dokuments atbilst tiem plānošanas dokumentiem, kuriem nepieciešams veikt Stratēģisko novērtējuma procedūru saskaņā ar ES direktīvu 2001/42/EK</w:t>
      </w:r>
      <w:r w:rsidRPr="00822129">
        <w:rPr>
          <w:vertAlign w:val="superscript"/>
          <w:lang w:eastAsia="x-none"/>
        </w:rPr>
        <w:footnoteReference w:id="6"/>
      </w:r>
      <w:r w:rsidRPr="00822129">
        <w:rPr>
          <w:lang w:eastAsia="x-none"/>
        </w:rPr>
        <w:t xml:space="preserve">. Stratēģiskā novērtējuma mērķis ir integrēt vides aspektus Pamatnostādņu plānošanā un lēmumu pieņemšanā, lai veicinātu ilgtspējīgu attīstību. </w:t>
      </w:r>
    </w:p>
    <w:p w14:paraId="06C0A6A8" w14:textId="77777777" w:rsidR="00515FDF" w:rsidRPr="00822129" w:rsidRDefault="00515FDF" w:rsidP="72E54947">
      <w:pPr>
        <w:numPr>
          <w:ilvl w:val="1"/>
          <w:numId w:val="18"/>
        </w:numPr>
        <w:shd w:val="clear" w:color="auto" w:fill="FFFFFF" w:themeFill="background1"/>
        <w:spacing w:before="120" w:after="120"/>
        <w:ind w:left="426" w:hanging="426"/>
        <w:jc w:val="both"/>
        <w:rPr>
          <w:lang w:eastAsia="en-GB" w:bidi="lo-LA"/>
        </w:rPr>
      </w:pPr>
      <w:bookmarkStart w:id="0" w:name="_Hlk89872201"/>
      <w:r w:rsidRPr="00822129">
        <w:rPr>
          <w:lang w:eastAsia="en-GB" w:bidi="lo-LA"/>
        </w:rPr>
        <w:t xml:space="preserve">Pamatnostādnes sastāv no trim sadaļām. </w:t>
      </w:r>
      <w:bookmarkEnd w:id="0"/>
      <w:r w:rsidRPr="00822129">
        <w:rPr>
          <w:lang w:eastAsia="en-GB" w:bidi="lo-LA"/>
        </w:rPr>
        <w:t xml:space="preserve">Plānošanas dokumenta I. sadaļā tiek iezīmēts vispārīgais politikas konteksts, izdalot četrus galvenos mērķus: 1) Virzīties uz </w:t>
      </w:r>
      <w:proofErr w:type="spellStart"/>
      <w:r w:rsidRPr="00822129">
        <w:rPr>
          <w:lang w:eastAsia="en-GB" w:bidi="lo-LA"/>
        </w:rPr>
        <w:t>klimatneitralitāti</w:t>
      </w:r>
      <w:proofErr w:type="spellEnd"/>
      <w:r w:rsidRPr="00822129">
        <w:rPr>
          <w:lang w:eastAsia="en-GB" w:bidi="lo-LA"/>
        </w:rPr>
        <w:t xml:space="preserve"> un </w:t>
      </w:r>
      <w:proofErr w:type="spellStart"/>
      <w:r w:rsidRPr="00822129">
        <w:rPr>
          <w:lang w:eastAsia="en-GB" w:bidi="lo-LA"/>
        </w:rPr>
        <w:t>klimatnoturīgumu</w:t>
      </w:r>
      <w:proofErr w:type="spellEnd"/>
      <w:r w:rsidRPr="00822129">
        <w:rPr>
          <w:lang w:eastAsia="en-GB" w:bidi="lo-LA"/>
        </w:rPr>
        <w:t xml:space="preserve">; 2) Veicināt ilgtspējīgu resursu </w:t>
      </w:r>
      <w:r w:rsidRPr="00822129">
        <w:rPr>
          <w:lang w:eastAsia="en-GB" w:bidi="lo-LA"/>
        </w:rPr>
        <w:lastRenderedPageBreak/>
        <w:t>izmantošanu un pāreju uz aprites ekonomiku; 3) Saglabāt un atjaunot ekosistēmas un bioloģisko daudzveidību un 4) Samazināt piesārņojumu.</w:t>
      </w:r>
      <w:r w:rsidRPr="00822129">
        <w:t xml:space="preserve"> </w:t>
      </w:r>
      <w:r w:rsidRPr="00822129">
        <w:rPr>
          <w:lang w:eastAsia="en-GB" w:bidi="lo-LA"/>
        </w:rPr>
        <w:t>Pamatnostādņu galvenie mērķi izriet no NAP 2027 stratēģiskiem mērķiem un vides aizsardzības prioritātēm periodam līdz 2030. gadam, bet klimata jomā līdz pat 2025. gadam. Šo mērķu sasniegšana Pamatnostādnēs plānota deviņās vides politikas jomās:</w:t>
      </w:r>
    </w:p>
    <w:p w14:paraId="27C63627"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Vides pārvaldības pamatsistēma (horizontālie jautājumi).</w:t>
      </w:r>
    </w:p>
    <w:p w14:paraId="7A1835B4"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Valsts vides monitorings.</w:t>
      </w:r>
    </w:p>
    <w:p w14:paraId="0DD13BCC"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Klimata pārmaiņas.</w:t>
      </w:r>
    </w:p>
    <w:p w14:paraId="2EEFA8E6"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Resursu efektīva izmantošana un aprites ekonomika.</w:t>
      </w:r>
    </w:p>
    <w:p w14:paraId="3B2F4457"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Gaisa kvalitāte un vides troksnis.</w:t>
      </w:r>
    </w:p>
    <w:p w14:paraId="1F5D8DB5"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Bioloģiskā daudzveidība.</w:t>
      </w:r>
    </w:p>
    <w:p w14:paraId="631212E5"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Ūdens pārvaldība un apsaimniekošana.</w:t>
      </w:r>
    </w:p>
    <w:p w14:paraId="476BD998"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 xml:space="preserve">Ražošana un ķīmisko vielu pārvaldība. </w:t>
      </w:r>
    </w:p>
    <w:p w14:paraId="0F878678" w14:textId="77777777" w:rsidR="00515FDF" w:rsidRPr="00822129" w:rsidRDefault="00515FDF" w:rsidP="00A94DEB">
      <w:pPr>
        <w:widowControl w:val="0"/>
        <w:numPr>
          <w:ilvl w:val="0"/>
          <w:numId w:val="22"/>
        </w:numPr>
        <w:shd w:val="clear" w:color="auto" w:fill="FFFFFF"/>
        <w:rPr>
          <w:lang w:eastAsia="en-GB" w:bidi="lo-LA"/>
        </w:rPr>
      </w:pPr>
      <w:r w:rsidRPr="00822129">
        <w:rPr>
          <w:lang w:eastAsia="en-GB" w:bidi="lo-LA"/>
        </w:rPr>
        <w:t>Radiācijas drošība.</w:t>
      </w:r>
    </w:p>
    <w:p w14:paraId="5D3E72CC" w14:textId="3CFF2849" w:rsidR="00515FDF" w:rsidRPr="00822129" w:rsidRDefault="00515FDF" w:rsidP="429EAF09">
      <w:pPr>
        <w:numPr>
          <w:ilvl w:val="1"/>
          <w:numId w:val="18"/>
        </w:numPr>
        <w:shd w:val="clear" w:color="auto" w:fill="FFFFFF" w:themeFill="background1"/>
        <w:spacing w:before="120" w:after="120"/>
        <w:ind w:left="426" w:hanging="426"/>
        <w:jc w:val="both"/>
        <w:rPr>
          <w:lang w:eastAsia="en-GB" w:bidi="lo-LA"/>
        </w:rPr>
      </w:pPr>
      <w:r w:rsidRPr="00822129">
        <w:rPr>
          <w:lang w:eastAsia="en-GB" w:bidi="lo-LA"/>
        </w:rPr>
        <w:t xml:space="preserve">Pamatnostādņu II. sadaļa sastāv no deviņām nodaļām, kas atbilst prioritārajām vides jomām, kuras izvēlētas, pamatojoties uz Eiropas vides aģentūras ziņojuma </w:t>
      </w:r>
      <w:r w:rsidRPr="00822129">
        <w:rPr>
          <w:i/>
          <w:iCs/>
          <w:lang w:eastAsia="en-GB" w:bidi="lo-LA"/>
        </w:rPr>
        <w:t>“Vide Eiropā: Stāvoklis un perspektīvas 2020”</w:t>
      </w:r>
      <w:r w:rsidRPr="00822129">
        <w:rPr>
          <w:vertAlign w:val="superscript"/>
          <w:lang w:eastAsia="en-GB" w:bidi="lo-LA"/>
        </w:rPr>
        <w:footnoteReference w:id="7"/>
      </w:r>
      <w:r w:rsidRPr="00822129">
        <w:rPr>
          <w:lang w:eastAsia="en-GB" w:bidi="lo-LA"/>
        </w:rPr>
        <w:t xml:space="preserve"> vispārējo pieeju un tematisko iedalījumu. Pamatnostādnēs raksturots paveicamais vides pārvaldības sistēmas jeb horizontālo tēmu attīstībā, kas ietver arī vides monitoringu. Tematiskajās nodaļās raksturots vides stāvoklis Latvijā attiecīgajā jomā, analīzei piemērojot cēloņu–seku modeli, un novērtētas galvenās vides tendences. Katrā nodaļā dots starptautiskās un nacionālās politikas konteksts, no kura izriet Pamatnostādņu </w:t>
      </w:r>
      <w:proofErr w:type="spellStart"/>
      <w:r w:rsidRPr="00822129">
        <w:rPr>
          <w:lang w:eastAsia="en-GB" w:bidi="lo-LA"/>
        </w:rPr>
        <w:t>apakšmērķi</w:t>
      </w:r>
      <w:proofErr w:type="spellEnd"/>
      <w:r w:rsidRPr="00822129">
        <w:rPr>
          <w:lang w:eastAsia="en-GB" w:bidi="lo-LA"/>
        </w:rPr>
        <w:t xml:space="preserve">, kuru sasniegšanai noteikti politikas rezultāti un progresa uzraudzības rezultatīvie rādītāji. </w:t>
      </w:r>
    </w:p>
    <w:p w14:paraId="3FC6E7B5" w14:textId="77777777" w:rsidR="00515FDF" w:rsidRPr="00822129" w:rsidRDefault="00515FDF" w:rsidP="00515FDF">
      <w:pPr>
        <w:numPr>
          <w:ilvl w:val="1"/>
          <w:numId w:val="18"/>
        </w:numPr>
        <w:shd w:val="clear" w:color="auto" w:fill="FFFFFF"/>
        <w:spacing w:before="120" w:after="120"/>
        <w:ind w:left="426" w:hanging="426"/>
        <w:jc w:val="both"/>
        <w:rPr>
          <w:bCs/>
          <w:lang w:eastAsia="x-none"/>
        </w:rPr>
      </w:pPr>
      <w:r w:rsidRPr="00822129">
        <w:rPr>
          <w:lang w:eastAsia="en-GB" w:bidi="lo-LA"/>
        </w:rPr>
        <w:t>Pamatnostādņu III. sadaļā ietverta informācija par 49 rīcības virzieniem un to ietvaros izvirzītajiem uzdevumiem, noteikti ieviešanas termiņi un atbildīgās un līdzatbildīgās institūcijas, kā arī iezīmēti i</w:t>
      </w:r>
      <w:r w:rsidRPr="00822129">
        <w:rPr>
          <w:lang w:eastAsia="x-none"/>
        </w:rPr>
        <w:t>ndikatīvie finansējuma avoti un norādīta uzdevumu saistība ar II. sadaļā definētajiem politikas rezultātiem un rezultatīvajiem rādītājiem. Pamatnostādnēs noteiktie rīcības virzieni</w:t>
      </w:r>
      <w:r w:rsidR="00B71142" w:rsidRPr="00822129">
        <w:rPr>
          <w:lang w:eastAsia="x-none"/>
        </w:rPr>
        <w:t xml:space="preserve"> (turpmāk – RV)</w:t>
      </w:r>
      <w:r w:rsidRPr="00822129">
        <w:rPr>
          <w:lang w:eastAsia="x-none"/>
        </w:rPr>
        <w:t>:</w:t>
      </w:r>
    </w:p>
    <w:p w14:paraId="4CB3DE4C" w14:textId="77777777" w:rsidR="00515FDF" w:rsidRPr="00822129" w:rsidRDefault="00515FDF" w:rsidP="00A94DEB">
      <w:pPr>
        <w:numPr>
          <w:ilvl w:val="2"/>
          <w:numId w:val="23"/>
        </w:numPr>
        <w:shd w:val="clear" w:color="auto" w:fill="FFFFFF"/>
        <w:spacing w:before="40" w:after="40"/>
        <w:jc w:val="both"/>
        <w:rPr>
          <w:bCs/>
          <w:lang w:eastAsia="x-none"/>
        </w:rPr>
      </w:pPr>
      <w:bookmarkStart w:id="1" w:name="_Hlk90286861"/>
      <w:r w:rsidRPr="00822129">
        <w:rPr>
          <w:bCs/>
          <w:lang w:eastAsia="x-none"/>
        </w:rPr>
        <w:t xml:space="preserve">RV.1. </w:t>
      </w:r>
      <w:bookmarkEnd w:id="1"/>
      <w:r w:rsidRPr="00822129">
        <w:rPr>
          <w:bCs/>
          <w:lang w:eastAsia="x-none"/>
        </w:rPr>
        <w:t>Nodrošināt sistemātisku, regulāru un mērķtiecīgu vides stāvokļa, sugu un biotopu, kā arī piesārņojuma emisiju novērojumu, mērījumu un analīžu veikšanu;</w:t>
      </w:r>
    </w:p>
    <w:p w14:paraId="2B63F7C1"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 xml:space="preserve">RV.2. Samazināt </w:t>
      </w:r>
      <w:r w:rsidRPr="00822129">
        <w:rPr>
          <w:lang w:eastAsia="x-none"/>
        </w:rPr>
        <w:t xml:space="preserve">siltumnīcefekta gāzes (turpmāk – SEG) </w:t>
      </w:r>
      <w:r w:rsidRPr="00822129">
        <w:rPr>
          <w:bCs/>
          <w:lang w:eastAsia="x-none"/>
        </w:rPr>
        <w:t>emisijas visos tautsaimniecības sektoros;</w:t>
      </w:r>
    </w:p>
    <w:p w14:paraId="35248167"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 Palielināt CO</w:t>
      </w:r>
      <w:r w:rsidRPr="00822129">
        <w:rPr>
          <w:bCs/>
          <w:vertAlign w:val="subscript"/>
          <w:lang w:eastAsia="x-none"/>
        </w:rPr>
        <w:t>2</w:t>
      </w:r>
      <w:r w:rsidRPr="00822129">
        <w:rPr>
          <w:bCs/>
          <w:lang w:eastAsia="x-none"/>
        </w:rPr>
        <w:t xml:space="preserve"> piesaisti;</w:t>
      </w:r>
    </w:p>
    <w:p w14:paraId="54852189"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 Mazināt Latvijas cilvēku, tautsaimniecības, infrastruktūras, apbūves un dabas ievainojamību pret klimata pārmaiņu ietekmēm;</w:t>
      </w:r>
    </w:p>
    <w:p w14:paraId="12646BCD"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RV.5. Derīgo izrakteņu izmantošana aprites ekonomikas kontekstā un materiālu racionāla izmantošana;</w:t>
      </w:r>
    </w:p>
    <w:p w14:paraId="31884195"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RV.6. Degradēto derīgo izrakteņu ieguves vietu rekultivācija;</w:t>
      </w:r>
    </w:p>
    <w:p w14:paraId="5348CE1D"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RV.7. Nodrošināt lēmumu pieņēmējus ar aktuālu ģeoloģisko informāciju;</w:t>
      </w:r>
    </w:p>
    <w:p w14:paraId="2B181856"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RV.8. Efektīva zemes dzīļu izmantošanas procesa nodrošināšana;</w:t>
      </w:r>
    </w:p>
    <w:p w14:paraId="566A6100"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RV.9. Samazināt gaisu piesārņojošo vielu emisijas enerģijas ražošanas sektorā;</w:t>
      </w:r>
    </w:p>
    <w:p w14:paraId="4A181AF6"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lastRenderedPageBreak/>
        <w:t>RV.10. Pilnveidot gaisa aizsardzības un trokšņa pārvaldības sistēmu;</w:t>
      </w:r>
    </w:p>
    <w:p w14:paraId="19CF20AB"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RV.11. Sabiedrības informēšana un izglītošana gaisa aizsardzības jomā;</w:t>
      </w:r>
    </w:p>
    <w:p w14:paraId="3A24F6AB"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RV.12. Samazināt gaisu piesārņojošo vielu emisijas transporta sektorā;</w:t>
      </w:r>
    </w:p>
    <w:p w14:paraId="3717E0F4"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RV.13. Samazināt piesārņojošo vielu emisijas lauksaimniecības sektorā;</w:t>
      </w:r>
    </w:p>
    <w:p w14:paraId="2A1DBA86" w14:textId="77777777" w:rsidR="00515FDF" w:rsidRPr="00822129" w:rsidRDefault="00515FDF" w:rsidP="00A94DEB">
      <w:pPr>
        <w:numPr>
          <w:ilvl w:val="2"/>
          <w:numId w:val="23"/>
        </w:numPr>
        <w:shd w:val="clear" w:color="auto" w:fill="FFFFFF"/>
        <w:spacing w:before="40" w:after="40"/>
        <w:jc w:val="both"/>
        <w:rPr>
          <w:bCs/>
          <w:lang w:eastAsia="x-none"/>
        </w:rPr>
      </w:pPr>
      <w:bookmarkStart w:id="2" w:name="_Hlk90287045"/>
      <w:r w:rsidRPr="00822129">
        <w:rPr>
          <w:bCs/>
          <w:lang w:eastAsia="x-none"/>
        </w:rPr>
        <w:t xml:space="preserve">RV.14. </w:t>
      </w:r>
      <w:bookmarkEnd w:id="2"/>
      <w:r w:rsidRPr="00822129">
        <w:rPr>
          <w:bCs/>
          <w:lang w:eastAsia="x-none"/>
        </w:rPr>
        <w:t>Saglabāt sugu daudzveidību un nodrošināt biotopu labvēlīgas aizsardzības mērķu sasniegšanu;</w:t>
      </w:r>
    </w:p>
    <w:p w14:paraId="51895DE7" w14:textId="77777777" w:rsidR="00515FDF" w:rsidRPr="00822129" w:rsidRDefault="00515FDF" w:rsidP="429EAF09">
      <w:pPr>
        <w:numPr>
          <w:ilvl w:val="2"/>
          <w:numId w:val="23"/>
        </w:numPr>
        <w:shd w:val="clear" w:color="auto" w:fill="FFFFFF" w:themeFill="background1"/>
        <w:spacing w:before="40" w:after="40"/>
        <w:jc w:val="both"/>
        <w:rPr>
          <w:lang w:eastAsia="x-none"/>
        </w:rPr>
      </w:pPr>
      <w:r w:rsidRPr="00822129">
        <w:t xml:space="preserve">RV.15. Pilnveidot ES nozīmes aizsargājamo dabas teritoriju </w:t>
      </w:r>
      <w:proofErr w:type="spellStart"/>
      <w:r w:rsidRPr="00822129">
        <w:rPr>
          <w:i/>
          <w:iCs/>
        </w:rPr>
        <w:t>Natura</w:t>
      </w:r>
      <w:proofErr w:type="spellEnd"/>
      <w:r w:rsidRPr="00822129">
        <w:rPr>
          <w:i/>
          <w:iCs/>
        </w:rPr>
        <w:t xml:space="preserve"> 2000</w:t>
      </w:r>
      <w:r w:rsidRPr="00822129">
        <w:t xml:space="preserve"> tīklu, balstoties uz sugu un biotopu izplatības kartēšanā iegūtajiem datiem un ņemot vērā jaunāko zinātnisko pētījumu un monitoringa datus;</w:t>
      </w:r>
    </w:p>
    <w:p w14:paraId="1DE43BBD"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RV.16. Aizsargājamo sugu dzīvotņu un biotopu atjaunošana un apsaimniekošana;</w:t>
      </w:r>
    </w:p>
    <w:p w14:paraId="57D48CD0"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RV.17. Bioloģiskās daudzveidības saglabāšanas pasākumu integrēšana tautsaimniecības nozarēs;</w:t>
      </w:r>
    </w:p>
    <w:p w14:paraId="102AE886" w14:textId="77777777" w:rsidR="00515FDF" w:rsidRPr="00822129" w:rsidRDefault="00515FDF" w:rsidP="429EAF09">
      <w:pPr>
        <w:numPr>
          <w:ilvl w:val="2"/>
          <w:numId w:val="23"/>
        </w:numPr>
        <w:shd w:val="clear" w:color="auto" w:fill="FFFFFF" w:themeFill="background1"/>
        <w:spacing w:before="40" w:after="40"/>
        <w:jc w:val="both"/>
        <w:rPr>
          <w:lang w:eastAsia="x-none"/>
        </w:rPr>
      </w:pPr>
      <w:r w:rsidRPr="00822129">
        <w:t xml:space="preserve">RV.18. </w:t>
      </w:r>
      <w:proofErr w:type="spellStart"/>
      <w:r w:rsidRPr="00822129">
        <w:t>Invazīvu</w:t>
      </w:r>
      <w:proofErr w:type="spellEnd"/>
      <w:r w:rsidRPr="00822129">
        <w:t xml:space="preserve"> svešzemju sugu ietekmes mazināšana;</w:t>
      </w:r>
    </w:p>
    <w:p w14:paraId="592711CD"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RV.19. Degradēto ekosistēmu apzināšana un atjaunošana;</w:t>
      </w:r>
    </w:p>
    <w:p w14:paraId="4AE2DD5C"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RV.20. Dabas kapitāla un ekosistēmu pārvaldības pieejas ieviešana;</w:t>
      </w:r>
    </w:p>
    <w:p w14:paraId="7C52DDDF"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RV.21. Bioloģiskās daudzveidības finansējuma nodrošināšana;</w:t>
      </w:r>
    </w:p>
    <w:p w14:paraId="1216B0D8"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RV.22. Pielāgošanās klimata pārmaiņām un plūdu riska pārvaldība;</w:t>
      </w:r>
    </w:p>
    <w:p w14:paraId="0B8B19A0"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RV.23. Datos un zināšanās balstīta jūras telpiskā plānošana un jūras krasta erozijas pārvaldības uzlabošana;</w:t>
      </w:r>
    </w:p>
    <w:p w14:paraId="7262C9B7"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RV.24. Ūdens resursu ieguves risku novērtēšana, resursu izmantošanas lietderības un lietus ūdeņu izmantošana mājsaimniecībās;</w:t>
      </w:r>
    </w:p>
    <w:p w14:paraId="52E17355"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RV.25. Notekūdeņu dūņu ilgtspējīgas apsaimniekošanas sistēmas izveidošana;</w:t>
      </w:r>
    </w:p>
    <w:p w14:paraId="2E12557A"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RV.26. Pazemes ūdeņu resursu pārvaldības uzlabošana;</w:t>
      </w:r>
    </w:p>
    <w:p w14:paraId="1065FBBF"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RV.27. Hidrotehnisko būvju un citu šķēršļu negatīvās ietekmes uz upju ekosistēmām mazināšana;</w:t>
      </w:r>
    </w:p>
    <w:p w14:paraId="33777A5F"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RV.28. Virszemes ūdeņu ekoloģiskās kvalitātes saglabāšana un uzlabošana;</w:t>
      </w:r>
    </w:p>
    <w:p w14:paraId="099E59E5" w14:textId="77777777" w:rsidR="00515FDF" w:rsidRPr="00822129" w:rsidRDefault="00515FDF" w:rsidP="00A94DEB">
      <w:pPr>
        <w:numPr>
          <w:ilvl w:val="2"/>
          <w:numId w:val="23"/>
        </w:numPr>
        <w:shd w:val="clear" w:color="auto" w:fill="FFFFFF"/>
        <w:spacing w:before="40" w:after="40"/>
        <w:jc w:val="both"/>
        <w:rPr>
          <w:bCs/>
          <w:lang w:eastAsia="x-none"/>
        </w:rPr>
      </w:pPr>
      <w:bookmarkStart w:id="3" w:name="_Hlk90549783"/>
      <w:r w:rsidRPr="00822129">
        <w:rPr>
          <w:bCs/>
          <w:lang w:eastAsia="x-none"/>
        </w:rPr>
        <w:t>RV.29. Ilgtspējīgas lauksaimniecības, mežsaimniecības un zivsaimniecības un ostu politikas īstenošana, lai samazinātu ūdens vidē novadīto piesārņojumu</w:t>
      </w:r>
      <w:bookmarkEnd w:id="3"/>
      <w:r w:rsidRPr="00822129">
        <w:rPr>
          <w:bCs/>
          <w:lang w:eastAsia="x-none"/>
        </w:rPr>
        <w:t>;</w:t>
      </w:r>
    </w:p>
    <w:p w14:paraId="1AEB4F54"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RV.30. Zemūdens trokšņa piesārņojuma jūrā apzināšana un mazināšana;</w:t>
      </w:r>
    </w:p>
    <w:p w14:paraId="504F18A4"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RV.31. Jūras ekosistēmas atveseļošana, ilgtspējīgi izmantojot jūras resursus un īstenojot jūras stratēģiju;</w:t>
      </w:r>
    </w:p>
    <w:p w14:paraId="05711E3A"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RV.32. Aizsargājamo jūras teritoriju un to tīkla attīstība, tai skaitā Latvijas ekskluzīvajā ekonomiskajā zonā;</w:t>
      </w:r>
    </w:p>
    <w:p w14:paraId="5FA157F5"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RV.33. Veicināt notekūdeņu apsaimniekošanas ilgtspēju, kvalitāti un efektivitāti;</w:t>
      </w:r>
    </w:p>
    <w:p w14:paraId="4BB83762" w14:textId="77777777" w:rsidR="00515FDF" w:rsidRPr="00822129" w:rsidRDefault="00515FDF" w:rsidP="429EAF09">
      <w:pPr>
        <w:numPr>
          <w:ilvl w:val="2"/>
          <w:numId w:val="23"/>
        </w:numPr>
        <w:shd w:val="clear" w:color="auto" w:fill="FFFFFF" w:themeFill="background1"/>
        <w:spacing w:before="40" w:after="40"/>
        <w:jc w:val="both"/>
        <w:rPr>
          <w:lang w:eastAsia="x-none"/>
        </w:rPr>
      </w:pPr>
      <w:r w:rsidRPr="00822129">
        <w:t xml:space="preserve">RV.34. </w:t>
      </w:r>
      <w:proofErr w:type="spellStart"/>
      <w:r w:rsidRPr="00822129">
        <w:t>Biogēnu</w:t>
      </w:r>
      <w:proofErr w:type="spellEnd"/>
      <w:r w:rsidRPr="00822129">
        <w:t xml:space="preserve"> slodzes samazināšana jūrā atbilstoši HELCOM mērķiem;</w:t>
      </w:r>
    </w:p>
    <w:p w14:paraId="75317B39"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RV.35. Kuģu balasta ūdens un nosēdumu (kaitīgo ūdens organismu un patogēno mikroorganismu) un bioloģiskā apauguma apdraudējuma jūras ekosistēmai novēršana;</w:t>
      </w:r>
    </w:p>
    <w:p w14:paraId="065124A2"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RV.36. Nodrošināt  atkritumu pieņemšanu no kuģiem ostās;</w:t>
      </w:r>
    </w:p>
    <w:p w14:paraId="71F7161E"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RV.37. Atbilstošu reaģēšanas spēju nodrošināšana uz piesārņojumu jūrā atbilstoši HELCOM prasībām;</w:t>
      </w:r>
    </w:p>
    <w:p w14:paraId="2F1870BD"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RV.38. Piesārņojumu likvidēšana vēsturiski piesārņotās vietās (HELCOM noteikto vides karsto punktu Latvijā svītrošanu no saraksta);</w:t>
      </w:r>
    </w:p>
    <w:p w14:paraId="57A9D59B"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RV.39. Jūras atkritumu samazināšana;</w:t>
      </w:r>
    </w:p>
    <w:p w14:paraId="29747812"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lastRenderedPageBreak/>
        <w:t>RV.40. Jūru piesārņojošo atkritumu problēmas mazināšana, izmantojot labākās pieejamās prakses;</w:t>
      </w:r>
    </w:p>
    <w:p w14:paraId="742F1F6E" w14:textId="77777777" w:rsidR="00515FDF" w:rsidRPr="00822129" w:rsidRDefault="00515FDF" w:rsidP="429EAF09">
      <w:pPr>
        <w:numPr>
          <w:ilvl w:val="2"/>
          <w:numId w:val="23"/>
        </w:numPr>
        <w:shd w:val="clear" w:color="auto" w:fill="FFFFFF" w:themeFill="background1"/>
        <w:spacing w:before="40" w:after="40"/>
        <w:jc w:val="both"/>
        <w:rPr>
          <w:lang w:eastAsia="x-none"/>
        </w:rPr>
      </w:pPr>
      <w:r w:rsidRPr="00822129">
        <w:t xml:space="preserve">RV.41. Atkritumu apsaimniekošana un virzība uz nulles piesārņojumu un </w:t>
      </w:r>
      <w:proofErr w:type="spellStart"/>
      <w:r w:rsidRPr="00822129">
        <w:t>apritīgumu</w:t>
      </w:r>
      <w:proofErr w:type="spellEnd"/>
      <w:r w:rsidRPr="00822129">
        <w:t xml:space="preserve"> ražošanas procesos;</w:t>
      </w:r>
    </w:p>
    <w:p w14:paraId="4ED5B772"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RV.42. Pilnveidot piesārņojošo darbību pārraudzības un kontroles sistēmu;</w:t>
      </w:r>
    </w:p>
    <w:p w14:paraId="77EB6D3F"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RV.43. Ierobežot  bīstamo ķīmisko vielu apriti;</w:t>
      </w:r>
    </w:p>
    <w:p w14:paraId="1DCB0C1D"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RV.44. Droša Salaspils kodolreaktora uzturēšana un likvidēšana;</w:t>
      </w:r>
    </w:p>
    <w:p w14:paraId="119C82B0"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RV.45. Glabātavas "Radons" apsaimniekošana un attīstīšana;</w:t>
      </w:r>
    </w:p>
    <w:p w14:paraId="3C4E5EB9"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RV.46. Radiācijas avāriju pārvaldības stiprināšana;</w:t>
      </w:r>
    </w:p>
    <w:p w14:paraId="2594AF4F"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RV.47. Darbību ar jonizējošā starojuma avotiem uzraudzības sistēmas pilnveidošana;</w:t>
      </w:r>
    </w:p>
    <w:p w14:paraId="541623D8" w14:textId="77777777" w:rsidR="00515FDF" w:rsidRPr="00822129" w:rsidRDefault="00515FDF" w:rsidP="00A94DEB">
      <w:pPr>
        <w:numPr>
          <w:ilvl w:val="2"/>
          <w:numId w:val="23"/>
        </w:numPr>
        <w:shd w:val="clear" w:color="auto" w:fill="FFFFFF"/>
        <w:spacing w:before="40" w:after="40"/>
        <w:jc w:val="both"/>
        <w:rPr>
          <w:bCs/>
          <w:lang w:eastAsia="x-none"/>
        </w:rPr>
      </w:pPr>
      <w:r w:rsidRPr="00822129">
        <w:rPr>
          <w:bCs/>
          <w:lang w:eastAsia="x-none"/>
        </w:rPr>
        <w:t>RV.48. Sabiedrības izpratnes par radiācijas drošību veicināšana un savstarpējās komunikācijas uzlabošana;</w:t>
      </w:r>
    </w:p>
    <w:p w14:paraId="7069ED82" w14:textId="77777777" w:rsidR="00515FDF" w:rsidRPr="00822129" w:rsidRDefault="00515FDF" w:rsidP="429EAF09">
      <w:pPr>
        <w:numPr>
          <w:ilvl w:val="2"/>
          <w:numId w:val="23"/>
        </w:numPr>
        <w:shd w:val="clear" w:color="auto" w:fill="FFFFFF" w:themeFill="background1"/>
        <w:spacing w:before="40" w:after="40"/>
        <w:jc w:val="both"/>
        <w:rPr>
          <w:lang w:eastAsia="x-none"/>
        </w:rPr>
      </w:pPr>
      <w:r w:rsidRPr="00822129">
        <w:t xml:space="preserve">RV.49. </w:t>
      </w:r>
      <w:proofErr w:type="spellStart"/>
      <w:r w:rsidRPr="00822129">
        <w:t>Rīcībpolitikas</w:t>
      </w:r>
      <w:proofErr w:type="spellEnd"/>
      <w:r w:rsidRPr="00822129">
        <w:t xml:space="preserve"> dokumentu īstenošana.</w:t>
      </w:r>
    </w:p>
    <w:p w14:paraId="2AC97E7A" w14:textId="1672C565" w:rsidR="00515FDF" w:rsidRPr="00822129" w:rsidRDefault="00515FDF" w:rsidP="00515FDF">
      <w:pPr>
        <w:numPr>
          <w:ilvl w:val="1"/>
          <w:numId w:val="18"/>
        </w:numPr>
        <w:shd w:val="clear" w:color="auto" w:fill="FFFFFF"/>
        <w:spacing w:before="120" w:after="120"/>
        <w:ind w:left="426" w:hanging="426"/>
        <w:jc w:val="both"/>
        <w:rPr>
          <w:bCs/>
          <w:lang w:eastAsia="x-none"/>
        </w:rPr>
      </w:pPr>
      <w:r w:rsidRPr="00822129">
        <w:rPr>
          <w:bCs/>
          <w:lang w:eastAsia="x-none"/>
        </w:rPr>
        <w:t>Plānošanas dokuments ietver 4.</w:t>
      </w:r>
      <w:r w:rsidR="00055358">
        <w:rPr>
          <w:bCs/>
          <w:lang w:eastAsia="x-none"/>
        </w:rPr>
        <w:t> </w:t>
      </w:r>
      <w:r w:rsidRPr="00822129">
        <w:rPr>
          <w:bCs/>
          <w:lang w:eastAsia="x-none"/>
        </w:rPr>
        <w:t>pielikumus: 1.</w:t>
      </w:r>
      <w:r w:rsidR="00055358">
        <w:rPr>
          <w:bCs/>
          <w:lang w:eastAsia="x-none"/>
        </w:rPr>
        <w:t> </w:t>
      </w:r>
      <w:r w:rsidRPr="00822129">
        <w:rPr>
          <w:bCs/>
          <w:lang w:eastAsia="x-none"/>
        </w:rPr>
        <w:t xml:space="preserve">pielikums </w:t>
      </w:r>
      <w:r w:rsidRPr="00822129">
        <w:rPr>
          <w:bCs/>
          <w:i/>
          <w:iCs/>
          <w:lang w:eastAsia="x-none"/>
        </w:rPr>
        <w:t>Vides monitoringa programma 2021.–2026. gadam</w:t>
      </w:r>
      <w:r w:rsidRPr="00822129">
        <w:rPr>
          <w:bCs/>
          <w:lang w:eastAsia="x-none"/>
        </w:rPr>
        <w:t xml:space="preserve">, ko veido Gaisa un klimata pārmaiņu monitoringa programma, Ūdeņu monitoringa programma, Zemes monitoringa programma un Bioloģiskās daudzveidības monitoringa programma, </w:t>
      </w:r>
      <w:bookmarkStart w:id="4" w:name="_Hlk90286474"/>
      <w:r w:rsidRPr="00822129">
        <w:rPr>
          <w:bCs/>
          <w:lang w:eastAsia="x-none"/>
        </w:rPr>
        <w:t xml:space="preserve">2. pielikums </w:t>
      </w:r>
      <w:bookmarkEnd w:id="4"/>
      <w:r w:rsidRPr="00822129">
        <w:rPr>
          <w:bCs/>
          <w:i/>
          <w:iCs/>
          <w:lang w:eastAsia="x-none"/>
        </w:rPr>
        <w:t>Latvijas nacionālais īstenošanas plāns par noturīgiem organiskajiem piesārņotājiem</w:t>
      </w:r>
      <w:r w:rsidRPr="00822129">
        <w:rPr>
          <w:bCs/>
          <w:lang w:eastAsia="x-none"/>
        </w:rPr>
        <w:t xml:space="preserve">, 3. pielikums </w:t>
      </w:r>
      <w:r w:rsidRPr="00822129">
        <w:rPr>
          <w:bCs/>
          <w:i/>
          <w:iCs/>
          <w:lang w:eastAsia="x-none"/>
        </w:rPr>
        <w:t>Radiācijas drošības programma</w:t>
      </w:r>
      <w:r w:rsidRPr="00822129">
        <w:rPr>
          <w:lang w:eastAsia="x-none"/>
        </w:rPr>
        <w:t xml:space="preserve"> un 4</w:t>
      </w:r>
      <w:r w:rsidRPr="00822129">
        <w:rPr>
          <w:bCs/>
          <w:lang w:eastAsia="x-none"/>
        </w:rPr>
        <w:t xml:space="preserve">. pielikums </w:t>
      </w:r>
      <w:r w:rsidRPr="00822129">
        <w:rPr>
          <w:bCs/>
          <w:i/>
          <w:iCs/>
          <w:lang w:eastAsia="x-none"/>
        </w:rPr>
        <w:t>Izziņa par Vides politikas pamatnostādņu 2021.–2027.gadam projekta sabiedriskās apspriešanas rezultātiem</w:t>
      </w:r>
      <w:r w:rsidRPr="00822129">
        <w:rPr>
          <w:bCs/>
          <w:lang w:eastAsia="x-none"/>
        </w:rPr>
        <w:t>.</w:t>
      </w:r>
    </w:p>
    <w:p w14:paraId="0F05D7AE" w14:textId="77777777" w:rsidR="000D1196" w:rsidRPr="00822129" w:rsidRDefault="000D1196" w:rsidP="000D1196">
      <w:pPr>
        <w:suppressAutoHyphens/>
        <w:autoSpaceDE w:val="0"/>
        <w:jc w:val="both"/>
        <w:rPr>
          <w:color w:val="000000"/>
          <w:lang w:eastAsia="zh-CN"/>
        </w:rPr>
      </w:pPr>
    </w:p>
    <w:p w14:paraId="6E2FDB04" w14:textId="77777777" w:rsidR="000D1196" w:rsidRPr="00822129" w:rsidRDefault="000D1196" w:rsidP="000D1196">
      <w:pPr>
        <w:suppressAutoHyphens/>
        <w:autoSpaceDE w:val="0"/>
        <w:jc w:val="both"/>
        <w:rPr>
          <w:lang w:eastAsia="zh-CN"/>
        </w:rPr>
      </w:pPr>
      <w:r w:rsidRPr="00822129">
        <w:rPr>
          <w:b/>
          <w:bCs/>
          <w:color w:val="000000"/>
          <w:lang w:eastAsia="zh-CN"/>
        </w:rPr>
        <w:t xml:space="preserve">Izteiktie atzinumi un publiskās apspriešanas rezultāti </w:t>
      </w:r>
    </w:p>
    <w:p w14:paraId="3CF21A1F" w14:textId="77777777" w:rsidR="007B183B" w:rsidRPr="00822129" w:rsidRDefault="000D1196" w:rsidP="007B183B">
      <w:pPr>
        <w:suppressAutoHyphens/>
        <w:autoSpaceDE w:val="0"/>
        <w:spacing w:after="120"/>
        <w:ind w:firstLine="567"/>
        <w:jc w:val="both"/>
        <w:rPr>
          <w:color w:val="000000"/>
          <w:lang w:eastAsia="zh-CN"/>
        </w:rPr>
      </w:pPr>
      <w:r w:rsidRPr="00822129">
        <w:rPr>
          <w:color w:val="000000"/>
          <w:lang w:eastAsia="zh-CN"/>
        </w:rPr>
        <w:t xml:space="preserve">Atbilstoši </w:t>
      </w:r>
      <w:r w:rsidR="00BF6CE1" w:rsidRPr="00822129">
        <w:rPr>
          <w:lang w:eastAsia="zh-CN"/>
        </w:rPr>
        <w:t xml:space="preserve">Noteikumi Nr. </w:t>
      </w:r>
      <w:r w:rsidR="00BF6CE1" w:rsidRPr="00822129">
        <w:rPr>
          <w:color w:val="000000"/>
          <w:lang w:eastAsia="zh-CN"/>
        </w:rPr>
        <w:t xml:space="preserve">157 </w:t>
      </w:r>
      <w:r w:rsidRPr="00822129">
        <w:rPr>
          <w:color w:val="000000"/>
          <w:lang w:eastAsia="zh-CN"/>
        </w:rPr>
        <w:t xml:space="preserve">noteiktajām prasībām paziņojums par sabiedrisko apspriešanu </w:t>
      </w:r>
      <w:r w:rsidR="006B2EDB" w:rsidRPr="00822129">
        <w:rPr>
          <w:color w:val="000000"/>
          <w:lang w:eastAsia="zh-CN"/>
        </w:rPr>
        <w:t>plānam un tā</w:t>
      </w:r>
      <w:r w:rsidRPr="00822129">
        <w:rPr>
          <w:color w:val="000000"/>
          <w:lang w:eastAsia="zh-CN"/>
        </w:rPr>
        <w:t xml:space="preserve"> Vides pārskatam tika publicēts</w:t>
      </w:r>
      <w:r w:rsidR="006B2EDB" w:rsidRPr="00822129">
        <w:rPr>
          <w:color w:val="000000"/>
          <w:lang w:eastAsia="zh-CN"/>
        </w:rPr>
        <w:t xml:space="preserve"> </w:t>
      </w:r>
      <w:r w:rsidR="006B2EDB" w:rsidRPr="00822129">
        <w:t>oficiālajā izdevumā “Latvijas Vēstnesis”  202</w:t>
      </w:r>
      <w:r w:rsidR="00541CD2" w:rsidRPr="00822129">
        <w:t>1</w:t>
      </w:r>
      <w:r w:rsidR="006B2EDB" w:rsidRPr="00822129">
        <w:t>.</w:t>
      </w:r>
      <w:r w:rsidR="00541CD2" w:rsidRPr="00822129">
        <w:t xml:space="preserve"> </w:t>
      </w:r>
      <w:r w:rsidR="006B2EDB" w:rsidRPr="00822129">
        <w:t xml:space="preserve">gada </w:t>
      </w:r>
      <w:r w:rsidR="00541CD2" w:rsidRPr="00822129">
        <w:t>20</w:t>
      </w:r>
      <w:r w:rsidR="006B2EDB" w:rsidRPr="00822129">
        <w:t>.</w:t>
      </w:r>
      <w:r w:rsidR="00541CD2" w:rsidRPr="00822129">
        <w:t xml:space="preserve"> septembrī </w:t>
      </w:r>
      <w:r w:rsidR="00BE2D38" w:rsidRPr="00822129">
        <w:t>Videokonference tiešsaistē tika organizēta 202</w:t>
      </w:r>
      <w:r w:rsidR="00541CD2" w:rsidRPr="00822129">
        <w:t>1</w:t>
      </w:r>
      <w:r w:rsidR="00BE2D38" w:rsidRPr="00822129">
        <w:t>.</w:t>
      </w:r>
      <w:r w:rsidR="00541CD2" w:rsidRPr="00822129">
        <w:t> </w:t>
      </w:r>
      <w:r w:rsidR="00BE2D38" w:rsidRPr="00822129">
        <w:t xml:space="preserve">gada </w:t>
      </w:r>
      <w:r w:rsidR="00541CD2" w:rsidRPr="00822129">
        <w:t>30</w:t>
      </w:r>
      <w:r w:rsidR="00BE2D38" w:rsidRPr="00822129">
        <w:t>.</w:t>
      </w:r>
      <w:r w:rsidR="00517F44" w:rsidRPr="00822129">
        <w:t> </w:t>
      </w:r>
      <w:r w:rsidR="00541CD2" w:rsidRPr="00822129">
        <w:t>septembrī</w:t>
      </w:r>
      <w:r w:rsidR="00BE2D38" w:rsidRPr="00822129">
        <w:t xml:space="preserve">. </w:t>
      </w:r>
      <w:r w:rsidR="006B2EDB" w:rsidRPr="00822129">
        <w:t xml:space="preserve">Saskaņā ar </w:t>
      </w:r>
      <w:r w:rsidR="006B2EDB" w:rsidRPr="00822129">
        <w:rPr>
          <w:i/>
          <w:iCs/>
        </w:rPr>
        <w:t xml:space="preserve">Covid-19 infekcijas izplatības pārvaldības likuma </w:t>
      </w:r>
      <w:r w:rsidR="006B2EDB" w:rsidRPr="00822129">
        <w:t xml:space="preserve">20. pantu </w:t>
      </w:r>
      <w:proofErr w:type="spellStart"/>
      <w:r w:rsidR="00517F44" w:rsidRPr="00822129">
        <w:t>pamatnostānēs</w:t>
      </w:r>
      <w:proofErr w:type="spellEnd"/>
      <w:r w:rsidR="00517F44" w:rsidRPr="00822129">
        <w:t xml:space="preserve"> </w:t>
      </w:r>
      <w:r w:rsidR="006B2EDB" w:rsidRPr="00822129">
        <w:t>Plāna un vides pārskata projektu sabiedriskās apspriešanas notika neklātienes formā (attālināti)</w:t>
      </w:r>
      <w:r w:rsidR="007B183B" w:rsidRPr="00822129">
        <w:t xml:space="preserve"> </w:t>
      </w:r>
      <w:r w:rsidR="00BE2D38" w:rsidRPr="00822129">
        <w:t xml:space="preserve">un videokonferences </w:t>
      </w:r>
      <w:proofErr w:type="spellStart"/>
      <w:r w:rsidR="00BE2D38" w:rsidRPr="00822129">
        <w:t>videoprezentācija</w:t>
      </w:r>
      <w:proofErr w:type="spellEnd"/>
      <w:r w:rsidR="00BE2D38" w:rsidRPr="00822129">
        <w:rPr>
          <w:rStyle w:val="FootnoteReference"/>
        </w:rPr>
        <w:footnoteReference w:id="8"/>
      </w:r>
      <w:r w:rsidR="00BE2D38" w:rsidRPr="00822129">
        <w:t xml:space="preserve"> bija pieejama no</w:t>
      </w:r>
      <w:r w:rsidR="006B2EDB" w:rsidRPr="00822129">
        <w:t xml:space="preserve"> </w:t>
      </w:r>
      <w:r w:rsidR="00D937AE" w:rsidRPr="00822129">
        <w:t>01</w:t>
      </w:r>
      <w:r w:rsidR="006B2EDB" w:rsidRPr="00822129">
        <w:t>.10.202</w:t>
      </w:r>
      <w:r w:rsidR="00D937AE" w:rsidRPr="00822129">
        <w:t>1</w:t>
      </w:r>
      <w:r w:rsidR="006B2EDB" w:rsidRPr="00822129">
        <w:t xml:space="preserve">. Vides pārskata projektam tika saņemti vairāki priekšlikumi, kuri tika ņemti </w:t>
      </w:r>
      <w:r w:rsidR="006B2EDB" w:rsidRPr="00822129">
        <w:rPr>
          <w:color w:val="000000"/>
          <w:lang w:eastAsia="zh-CN"/>
        </w:rPr>
        <w:t>p</w:t>
      </w:r>
      <w:r w:rsidR="00534FCB" w:rsidRPr="00822129">
        <w:rPr>
          <w:color w:val="000000"/>
          <w:lang w:eastAsia="zh-CN"/>
        </w:rPr>
        <w:t xml:space="preserve">amatnostādnēs </w:t>
      </w:r>
      <w:r w:rsidR="006B2EDB" w:rsidRPr="00822129">
        <w:rPr>
          <w:color w:val="000000"/>
          <w:lang w:eastAsia="zh-CN"/>
        </w:rPr>
        <w:t>un tā</w:t>
      </w:r>
      <w:r w:rsidRPr="00822129">
        <w:rPr>
          <w:color w:val="000000"/>
          <w:lang w:eastAsia="zh-CN"/>
        </w:rPr>
        <w:t xml:space="preserve"> Vides pārskata gala redakcijā. </w:t>
      </w:r>
    </w:p>
    <w:p w14:paraId="2EE0DFDE" w14:textId="1171DAF9" w:rsidR="000D1196" w:rsidRPr="00822129" w:rsidRDefault="000D1196" w:rsidP="000D1196">
      <w:pPr>
        <w:suppressAutoHyphens/>
        <w:autoSpaceDE w:val="0"/>
        <w:ind w:firstLine="567"/>
        <w:jc w:val="both"/>
        <w:rPr>
          <w:lang w:eastAsia="zh-CN"/>
        </w:rPr>
      </w:pPr>
      <w:r w:rsidRPr="00822129">
        <w:rPr>
          <w:color w:val="000000"/>
          <w:lang w:eastAsia="zh-CN"/>
        </w:rPr>
        <w:t>Sagatavotais Vides pārskats</w:t>
      </w:r>
      <w:r w:rsidR="00534FCB" w:rsidRPr="00822129">
        <w:rPr>
          <w:color w:val="000000"/>
          <w:lang w:eastAsia="zh-CN"/>
        </w:rPr>
        <w:t xml:space="preserve"> </w:t>
      </w:r>
      <w:r w:rsidR="006B2EDB" w:rsidRPr="00822129">
        <w:rPr>
          <w:color w:val="000000"/>
          <w:shd w:val="clear" w:color="auto" w:fill="FFFFFF"/>
        </w:rPr>
        <w:t>202</w:t>
      </w:r>
      <w:r w:rsidR="00534FCB" w:rsidRPr="00822129">
        <w:rPr>
          <w:color w:val="000000"/>
          <w:shd w:val="clear" w:color="auto" w:fill="FFFFFF"/>
        </w:rPr>
        <w:t>1</w:t>
      </w:r>
      <w:r w:rsidR="006B2EDB" w:rsidRPr="00822129">
        <w:rPr>
          <w:color w:val="000000"/>
          <w:shd w:val="clear" w:color="auto" w:fill="FFFFFF"/>
        </w:rPr>
        <w:t xml:space="preserve">.gada </w:t>
      </w:r>
      <w:r w:rsidR="00534FCB" w:rsidRPr="00822129">
        <w:rPr>
          <w:color w:val="000000"/>
          <w:shd w:val="clear" w:color="auto" w:fill="FFFFFF"/>
        </w:rPr>
        <w:t>2</w:t>
      </w:r>
      <w:r w:rsidR="006B2EDB" w:rsidRPr="00822129">
        <w:rPr>
          <w:color w:val="000000"/>
          <w:shd w:val="clear" w:color="auto" w:fill="FFFFFF"/>
        </w:rPr>
        <w:t>3.novembrī iesniegts Vides pārraudzības valsts birojā atzinuma saņemšanai. 202</w:t>
      </w:r>
      <w:r w:rsidR="00534FCB" w:rsidRPr="00822129">
        <w:rPr>
          <w:color w:val="000000"/>
          <w:shd w:val="clear" w:color="auto" w:fill="FFFFFF"/>
        </w:rPr>
        <w:t>1</w:t>
      </w:r>
      <w:r w:rsidR="006B2EDB" w:rsidRPr="00822129">
        <w:rPr>
          <w:color w:val="000000"/>
          <w:shd w:val="clear" w:color="auto" w:fill="FFFFFF"/>
        </w:rPr>
        <w:t xml:space="preserve">.gada </w:t>
      </w:r>
      <w:r w:rsidR="00534FCB" w:rsidRPr="00822129">
        <w:rPr>
          <w:color w:val="000000"/>
          <w:shd w:val="clear" w:color="auto" w:fill="FFFFFF"/>
        </w:rPr>
        <w:t>22</w:t>
      </w:r>
      <w:r w:rsidR="006B2EDB" w:rsidRPr="00822129">
        <w:rPr>
          <w:color w:val="000000"/>
          <w:shd w:val="clear" w:color="auto" w:fill="FFFFFF"/>
        </w:rPr>
        <w:t>.decembrī saņemts Vides pārraudzības valsts biroja atzinums Nr. 4-03/</w:t>
      </w:r>
      <w:r w:rsidR="00534FCB" w:rsidRPr="00822129">
        <w:rPr>
          <w:color w:val="000000"/>
          <w:shd w:val="clear" w:color="auto" w:fill="FFFFFF"/>
        </w:rPr>
        <w:t>1</w:t>
      </w:r>
      <w:r w:rsidR="006B2EDB" w:rsidRPr="00822129">
        <w:rPr>
          <w:color w:val="000000"/>
          <w:shd w:val="clear" w:color="auto" w:fill="FFFFFF"/>
        </w:rPr>
        <w:t xml:space="preserve">2 </w:t>
      </w:r>
      <w:r w:rsidR="00534FCB" w:rsidRPr="00822129">
        <w:rPr>
          <w:color w:val="000000"/>
          <w:bdr w:val="none" w:sz="0" w:space="0" w:color="auto" w:frame="1"/>
        </w:rPr>
        <w:t>“Par Vides politikas pamatnostādņu 2021.-2027. gadam Vides pārskatu”</w:t>
      </w:r>
      <w:r w:rsidR="006B2EDB" w:rsidRPr="00822129">
        <w:rPr>
          <w:color w:val="000000"/>
          <w:shd w:val="clear" w:color="auto" w:fill="FFFFFF"/>
        </w:rPr>
        <w:t xml:space="preserve">, kas ir ņemts vērā un </w:t>
      </w:r>
      <w:r w:rsidR="00B02670" w:rsidRPr="00822129">
        <w:rPr>
          <w:color w:val="000000"/>
          <w:shd w:val="clear" w:color="auto" w:fill="FFFFFF"/>
        </w:rPr>
        <w:t>V</w:t>
      </w:r>
      <w:r w:rsidR="006B2EDB" w:rsidRPr="00822129">
        <w:rPr>
          <w:color w:val="000000"/>
          <w:shd w:val="clear" w:color="auto" w:fill="FFFFFF"/>
        </w:rPr>
        <w:t>ides pārskats attiecīgi precizēts.</w:t>
      </w:r>
      <w:r w:rsidRPr="00822129">
        <w:rPr>
          <w:color w:val="000000"/>
          <w:lang w:eastAsia="zh-CN"/>
        </w:rPr>
        <w:t xml:space="preserve"> Vides pārraudzības valsts biroja rekomendācijas un komentāri par to ņemšanu vērā ir apkopoti</w:t>
      </w:r>
      <w:r w:rsidR="00AD13AF" w:rsidRPr="00822129">
        <w:rPr>
          <w:color w:val="000000"/>
          <w:lang w:eastAsia="zh-CN"/>
        </w:rPr>
        <w:t xml:space="preserve"> šī informatīvā ziņojuma</w:t>
      </w:r>
      <w:r w:rsidRPr="00822129">
        <w:rPr>
          <w:color w:val="000000"/>
          <w:lang w:eastAsia="zh-CN"/>
        </w:rPr>
        <w:t xml:space="preserve"> 1. tabulā.</w:t>
      </w:r>
      <w:r w:rsidR="00D52F6E" w:rsidRPr="00822129">
        <w:rPr>
          <w:color w:val="000000"/>
          <w:lang w:eastAsia="zh-CN"/>
        </w:rPr>
        <w:t xml:space="preserve"> Atzinumā norādīts, ka Pamatnostādņu Vides pārskats kopumā atbilst normatīvo aktu prasībām, tajā ietverti secinājumi par vides problēmām un nepieciešamajiem risinājumiem to novēršanai, tie ir izstrādāti tādā detalizācijā, kādu pieļauj plānošanas dokumenta detalizācija un veiktā izpēte. Pilnveidojot Vides pārskatu un plānošanas dokumentu, ņemams vērā atzinuma 2.3.</w:t>
      </w:r>
      <w:r w:rsidR="005B406A" w:rsidRPr="00822129">
        <w:rPr>
          <w:color w:val="000000"/>
          <w:lang w:eastAsia="zh-CN"/>
        </w:rPr>
        <w:t> </w:t>
      </w:r>
      <w:r w:rsidR="00D52F6E" w:rsidRPr="00822129">
        <w:rPr>
          <w:color w:val="000000"/>
          <w:lang w:eastAsia="zh-CN"/>
        </w:rPr>
        <w:t>punktā ar apakšpunktiem un Vides pārskatā norādītais.</w:t>
      </w:r>
    </w:p>
    <w:p w14:paraId="03F921DE" w14:textId="77777777" w:rsidR="000D1196" w:rsidRPr="00822129" w:rsidRDefault="000D1196" w:rsidP="000D1196">
      <w:pPr>
        <w:suppressAutoHyphens/>
        <w:autoSpaceDE w:val="0"/>
        <w:jc w:val="both"/>
        <w:rPr>
          <w:color w:val="000000"/>
          <w:lang w:eastAsia="zh-CN"/>
        </w:rPr>
      </w:pPr>
    </w:p>
    <w:p w14:paraId="0794E970" w14:textId="77777777" w:rsidR="000D1196" w:rsidRPr="00822129" w:rsidRDefault="000D1196" w:rsidP="000D1196">
      <w:pPr>
        <w:suppressAutoHyphens/>
        <w:autoSpaceDE w:val="0"/>
        <w:ind w:left="720"/>
        <w:jc w:val="right"/>
        <w:rPr>
          <w:lang w:eastAsia="zh-CN"/>
        </w:rPr>
      </w:pPr>
      <w:r w:rsidRPr="00822129">
        <w:rPr>
          <w:color w:val="000000"/>
          <w:lang w:eastAsia="zh-CN"/>
        </w:rPr>
        <w:t>1. tabula</w:t>
      </w:r>
    </w:p>
    <w:p w14:paraId="76CC3278" w14:textId="77777777" w:rsidR="000D1196" w:rsidRPr="00822129" w:rsidRDefault="000D1196" w:rsidP="000D1196">
      <w:pPr>
        <w:suppressAutoHyphens/>
        <w:autoSpaceDE w:val="0"/>
        <w:jc w:val="center"/>
        <w:rPr>
          <w:lang w:eastAsia="zh-CN"/>
        </w:rPr>
      </w:pPr>
      <w:r w:rsidRPr="00822129">
        <w:rPr>
          <w:b/>
          <w:bCs/>
          <w:color w:val="000000"/>
          <w:lang w:eastAsia="zh-CN"/>
        </w:rPr>
        <w:lastRenderedPageBreak/>
        <w:t>Vides pārraudzības valsts biroja rekomendāciju analīze</w:t>
      </w:r>
    </w:p>
    <w:p w14:paraId="12B91C0F" w14:textId="77777777" w:rsidR="000D1196" w:rsidRPr="00822129" w:rsidRDefault="000D1196" w:rsidP="000D1196">
      <w:pPr>
        <w:suppressAutoHyphens/>
        <w:autoSpaceDE w:val="0"/>
        <w:rPr>
          <w:b/>
          <w:bCs/>
          <w:color w:val="000000"/>
          <w:lang w:eastAsia="zh-CN"/>
        </w:rPr>
      </w:pPr>
    </w:p>
    <w:tbl>
      <w:tblPr>
        <w:tblW w:w="8542" w:type="dxa"/>
        <w:tblInd w:w="-10" w:type="dxa"/>
        <w:tblLayout w:type="fixed"/>
        <w:tblLook w:val="0000" w:firstRow="0" w:lastRow="0" w:firstColumn="0" w:lastColumn="0" w:noHBand="0" w:noVBand="0"/>
      </w:tblPr>
      <w:tblGrid>
        <w:gridCol w:w="4967"/>
        <w:gridCol w:w="3575"/>
      </w:tblGrid>
      <w:tr w:rsidR="000D1196" w:rsidRPr="00822129" w14:paraId="51FC081D" w14:textId="77777777" w:rsidTr="002C4358">
        <w:trPr>
          <w:trHeight w:val="145"/>
          <w:tblHeader/>
        </w:trPr>
        <w:tc>
          <w:tcPr>
            <w:tcW w:w="4967" w:type="dxa"/>
            <w:tcBorders>
              <w:top w:val="single" w:sz="4" w:space="0" w:color="000000" w:themeColor="text1"/>
              <w:left w:val="single" w:sz="4" w:space="0" w:color="000000" w:themeColor="text1"/>
              <w:bottom w:val="single" w:sz="4" w:space="0" w:color="000000" w:themeColor="text1"/>
            </w:tcBorders>
            <w:shd w:val="clear" w:color="auto" w:fill="auto"/>
          </w:tcPr>
          <w:p w14:paraId="627625AB" w14:textId="77777777" w:rsidR="000D1196" w:rsidRPr="00822129" w:rsidRDefault="000D1196" w:rsidP="000D1196">
            <w:pPr>
              <w:suppressAutoHyphens/>
              <w:spacing w:before="120" w:after="120"/>
              <w:jc w:val="center"/>
              <w:rPr>
                <w:lang w:eastAsia="zh-CN"/>
              </w:rPr>
            </w:pPr>
            <w:r w:rsidRPr="00822129">
              <w:rPr>
                <w:b/>
                <w:lang w:eastAsia="zh-CN"/>
              </w:rPr>
              <w:t>Rekomendācijas</w:t>
            </w:r>
          </w:p>
        </w:tc>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FF021" w14:textId="77777777" w:rsidR="000D1196" w:rsidRPr="00822129" w:rsidRDefault="000D1196" w:rsidP="000D1196">
            <w:pPr>
              <w:suppressAutoHyphens/>
              <w:spacing w:before="120" w:after="120"/>
              <w:jc w:val="center"/>
              <w:rPr>
                <w:lang w:eastAsia="zh-CN"/>
              </w:rPr>
            </w:pPr>
            <w:r w:rsidRPr="00822129">
              <w:rPr>
                <w:b/>
                <w:lang w:eastAsia="zh-CN"/>
              </w:rPr>
              <w:t>Komentāri</w:t>
            </w:r>
          </w:p>
        </w:tc>
      </w:tr>
      <w:tr w:rsidR="000D1196" w:rsidRPr="00822129" w14:paraId="4A62C8ED" w14:textId="77777777" w:rsidTr="002C4358">
        <w:trPr>
          <w:trHeight w:val="145"/>
        </w:trPr>
        <w:tc>
          <w:tcPr>
            <w:tcW w:w="4967" w:type="dxa"/>
            <w:tcBorders>
              <w:top w:val="single" w:sz="4" w:space="0" w:color="000000" w:themeColor="text1"/>
              <w:left w:val="single" w:sz="4" w:space="0" w:color="000000" w:themeColor="text1"/>
              <w:bottom w:val="single" w:sz="4" w:space="0" w:color="000000" w:themeColor="text1"/>
            </w:tcBorders>
            <w:shd w:val="clear" w:color="auto" w:fill="auto"/>
          </w:tcPr>
          <w:p w14:paraId="74E92B4A" w14:textId="114269C8" w:rsidR="00B02670" w:rsidRPr="00822129" w:rsidRDefault="00B02670" w:rsidP="72E54947">
            <w:pPr>
              <w:numPr>
                <w:ilvl w:val="1"/>
                <w:numId w:val="21"/>
              </w:numPr>
              <w:shd w:val="clear" w:color="auto" w:fill="FFFFFF" w:themeFill="background1"/>
              <w:autoSpaceDE w:val="0"/>
              <w:autoSpaceDN w:val="0"/>
              <w:adjustRightInd w:val="0"/>
              <w:spacing w:before="120" w:after="120"/>
              <w:jc w:val="both"/>
              <w:rPr>
                <w:lang w:eastAsia="x-none"/>
              </w:rPr>
            </w:pPr>
            <w:r w:rsidRPr="00822129">
              <w:t xml:space="preserve">Saistībā ar Vides stāvokļa novērtējumu un no tā izrietošiem vides problēmu jautājumiem, tostarp minētajām problēmām Latvijā, </w:t>
            </w:r>
            <w:r w:rsidR="00860E36" w:rsidRPr="00822129">
              <w:rPr>
                <w:color w:val="000000" w:themeColor="text1"/>
                <w:lang w:eastAsia="zh-CN"/>
              </w:rPr>
              <w:t xml:space="preserve">Vides pārraudzības valsts biroja (turpmāk – </w:t>
            </w:r>
            <w:r w:rsidRPr="00822129">
              <w:t>Birojs</w:t>
            </w:r>
            <w:r w:rsidR="00860E36" w:rsidRPr="00822129">
              <w:t>)</w:t>
            </w:r>
            <w:r w:rsidRPr="00822129">
              <w:t xml:space="preserve"> konstatē:</w:t>
            </w:r>
          </w:p>
          <w:p w14:paraId="302EA4EE" w14:textId="57EA2FA3" w:rsidR="000D1196" w:rsidRPr="00822129" w:rsidRDefault="00B02670" w:rsidP="39838109">
            <w:pPr>
              <w:numPr>
                <w:ilvl w:val="2"/>
                <w:numId w:val="21"/>
              </w:numPr>
              <w:shd w:val="clear" w:color="auto" w:fill="FFFFFF" w:themeFill="background1"/>
              <w:autoSpaceDE w:val="0"/>
              <w:autoSpaceDN w:val="0"/>
              <w:adjustRightInd w:val="0"/>
              <w:spacing w:before="120" w:after="120"/>
              <w:jc w:val="both"/>
              <w:rPr>
                <w:lang w:eastAsia="x-none"/>
              </w:rPr>
            </w:pPr>
            <w:r w:rsidRPr="00822129">
              <w:t xml:space="preserve">Vides pārskatā kā būtiskākā problēma kontekstā ar plānošanas dokumenta īstenošanu tiek saistīta ar klimata pārmaiņām, atzīmējot, ka viens no problemātiskākajiem sektoriem pašlaik ir ZIZIMM sektors, kur Latvija pašlaik nesasniedz tai noteiktos </w:t>
            </w:r>
            <w:bookmarkStart w:id="5" w:name="_Hlk90373577"/>
            <w:r w:rsidRPr="00822129">
              <w:t>ZIZIMM</w:t>
            </w:r>
            <w:bookmarkEnd w:id="5"/>
            <w:r w:rsidRPr="00822129">
              <w:t xml:space="preserve"> mērķus. Kā norādīts Pamatnostādnēs kontekstā ar Latvijas mērķi 2050. gadā sasniegt </w:t>
            </w:r>
            <w:proofErr w:type="spellStart"/>
            <w:r w:rsidRPr="00822129">
              <w:t>klimatneitralitāti</w:t>
            </w:r>
            <w:proofErr w:type="spellEnd"/>
            <w:r w:rsidRPr="00822129">
              <w:t xml:space="preserve">, riskus mērķa sasniegšanā var radīt pēdējos gados novērotās ZIZIMM sektora SEG piesaistes/emisiju tendences, kur no 2010. gada novērojams emisiju pieaugums, tādejādi nepieciešams veikt papildu pasākumus </w:t>
            </w:r>
            <w:bookmarkStart w:id="6" w:name="_Hlk90543145"/>
            <w:r w:rsidRPr="00822129">
              <w:t xml:space="preserve">SEG emisiju </w:t>
            </w:r>
            <w:bookmarkEnd w:id="6"/>
            <w:r w:rsidRPr="00822129">
              <w:t>samazināšanai un CO</w:t>
            </w:r>
            <w:r w:rsidRPr="00822129">
              <w:rPr>
                <w:vertAlign w:val="subscript"/>
              </w:rPr>
              <w:t>2</w:t>
            </w:r>
            <w:r w:rsidRPr="00822129">
              <w:t xml:space="preserve"> piesaistes palielināšanai. Tomēr Biroja ieskatā ir jāņem vērā izvēlētie risinājumi, ar kādiem tiek plānoti papildu pasākumi, jo tie ilgtermiņā var atstāt gan pozitīvu, gan negatīvu ietekmi. Viens no faktoriem, kas Latvijā var ietekmēt SEG emisijas, ir kūdras ieguves apjoma palielināšanās. No Pamatnostādnēm var secināt, ka politikas rezultāta PR. 4.2. </w:t>
            </w:r>
            <w:r w:rsidRPr="00822129">
              <w:rPr>
                <w:i/>
                <w:iCs/>
              </w:rPr>
              <w:t>“Ilgtspējīga resursu ieguve un patēriņš”</w:t>
            </w:r>
            <w:r w:rsidRPr="00822129">
              <w:t xml:space="preserve"> rezultatīvie rādītāji </w:t>
            </w:r>
            <w:r w:rsidRPr="00822129">
              <w:rPr>
                <w:i/>
                <w:iCs/>
              </w:rPr>
              <w:t>“Nemetālu minerālu ieguve”</w:t>
            </w:r>
            <w:r w:rsidRPr="00822129">
              <w:t xml:space="preserve"> un </w:t>
            </w:r>
            <w:r w:rsidRPr="00822129">
              <w:rPr>
                <w:i/>
                <w:iCs/>
              </w:rPr>
              <w:t>“Kūdras ieguve”</w:t>
            </w:r>
            <w:r w:rsidRPr="00822129">
              <w:t xml:space="preserve"> laika periodā līdz 2024. gadam plānoti augstāki kā bāzes gadā noteiktie (no 1182 tūkst. t 2019. gadā  līdz 1200 tūkst. t 2024. gadā), tostarp plānošanas dokumentā </w:t>
            </w:r>
            <w:r w:rsidRPr="00822129">
              <w:rPr>
                <w:i/>
                <w:iCs/>
              </w:rPr>
              <w:t>“Kūdras ilgtspējīgas izmantošanas pamatnostādnes 2020. - 2030. gadam”</w:t>
            </w:r>
            <w:r w:rsidRPr="00822129">
              <w:t xml:space="preserve"> tiek pieļauts, ka minētie indikatorā iekļautie apjomi var mainīties 10% robežās, tādējādi tas neizslēdz iespēju palielināt kūdras ieguves apjomus arī turpmākajos gados, līdz ar to Birojs secina, ka, palielinoties vai arī </w:t>
            </w:r>
            <w:r w:rsidRPr="00822129">
              <w:lastRenderedPageBreak/>
              <w:t xml:space="preserve">nesamazinot kūdras ieguves apjomus (Pamatnostādnes neparedz pasākumus kūdras ieguves apjoma ietekmēšanai), kopumā Latvijai var tikt traucēta mērķa </w:t>
            </w:r>
            <w:proofErr w:type="spellStart"/>
            <w:r w:rsidRPr="00822129">
              <w:t>klimatneitralitātei</w:t>
            </w:r>
            <w:proofErr w:type="spellEnd"/>
            <w:r w:rsidRPr="00822129">
              <w:t xml:space="preserve"> 2050.</w:t>
            </w:r>
            <w:r w:rsidR="002A20FF" w:rsidRPr="00822129">
              <w:t> </w:t>
            </w:r>
            <w:r w:rsidRPr="00822129">
              <w:t xml:space="preserve">gadā sasniegšana. Tāpat Birojs pievienojas Vides pārskatā paustajam viedoklim, ka būtisku ietekmi uz vidi, tostarp bioloģisko daudzveidību, var atstāt purvu izvēle kūdras ieguvei, kas lielā mērā ir atkarīga no zemes īpašnieka iecerēm un var tikt plānota bioloģiskai daudzveidībai nozīmīgās teritorijās, kur šobrīd nav noteikti atbilstoši aizsardzības nosacījumi. </w:t>
            </w:r>
          </w:p>
        </w:tc>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3BD33" w14:textId="1832270B" w:rsidR="008F48AA" w:rsidRPr="00822129" w:rsidRDefault="008F48AA" w:rsidP="000D1196">
            <w:pPr>
              <w:suppressAutoHyphens/>
              <w:jc w:val="both"/>
              <w:rPr>
                <w:lang w:eastAsia="zh-CN"/>
              </w:rPr>
            </w:pPr>
            <w:r w:rsidRPr="00822129">
              <w:rPr>
                <w:lang w:eastAsia="zh-CN"/>
              </w:rPr>
              <w:lastRenderedPageBreak/>
              <w:t>Attiecīgās rekomendācijas netika iestrādātas plānošanas dokumentā</w:t>
            </w:r>
            <w:r w:rsidR="001B0A2B" w:rsidRPr="00822129">
              <w:rPr>
                <w:lang w:eastAsia="zh-CN"/>
              </w:rPr>
              <w:t xml:space="preserve">, jo: </w:t>
            </w:r>
            <w:r w:rsidRPr="00822129">
              <w:rPr>
                <w:lang w:eastAsia="zh-CN"/>
              </w:rPr>
              <w:t xml:space="preserve">1) Virzība uz </w:t>
            </w:r>
            <w:r w:rsidR="00B7333C" w:rsidRPr="00822129">
              <w:t xml:space="preserve">zemes izmantošanas, zemes izmantošanas maiņas un mežsaimniecības (turpmāk – ZIZIMM) </w:t>
            </w:r>
            <w:r w:rsidRPr="00822129">
              <w:rPr>
                <w:lang w:eastAsia="zh-CN"/>
              </w:rPr>
              <w:t xml:space="preserve">mērķu sasniegšanu un attiecīgie papildu plānotie pasākumi tiek noteikti citos dokumentos – </w:t>
            </w:r>
            <w:r w:rsidR="006E0D3C" w:rsidRPr="00822129">
              <w:rPr>
                <w:lang w:eastAsia="zh-CN"/>
              </w:rPr>
              <w:t>l</w:t>
            </w:r>
            <w:r w:rsidRPr="00822129">
              <w:rPr>
                <w:lang w:eastAsia="zh-CN"/>
              </w:rPr>
              <w:t>ai nodrošinātu 2030.</w:t>
            </w:r>
            <w:r w:rsidR="008408C3" w:rsidRPr="00822129">
              <w:rPr>
                <w:lang w:eastAsia="zh-CN"/>
              </w:rPr>
              <w:t> </w:t>
            </w:r>
            <w:r w:rsidRPr="00822129">
              <w:rPr>
                <w:lang w:eastAsia="zh-CN"/>
              </w:rPr>
              <w:t xml:space="preserve">gada ZIZIMM sektorā noteikto mērķu izpildi, kā arī nodrošinātu pāreju uz </w:t>
            </w:r>
            <w:proofErr w:type="spellStart"/>
            <w:r w:rsidRPr="00822129">
              <w:rPr>
                <w:lang w:eastAsia="zh-CN"/>
              </w:rPr>
              <w:t>klimatneitralitāti</w:t>
            </w:r>
            <w:proofErr w:type="spellEnd"/>
            <w:r w:rsidRPr="00822129">
              <w:rPr>
                <w:lang w:eastAsia="zh-CN"/>
              </w:rPr>
              <w:t xml:space="preserve"> 2050.</w:t>
            </w:r>
            <w:r w:rsidR="008408C3" w:rsidRPr="00822129">
              <w:rPr>
                <w:lang w:eastAsia="zh-CN"/>
              </w:rPr>
              <w:t> </w:t>
            </w:r>
            <w:r w:rsidRPr="00822129">
              <w:rPr>
                <w:lang w:eastAsia="zh-CN"/>
              </w:rPr>
              <w:t>gadā, VARAM kopā ar Z</w:t>
            </w:r>
            <w:r w:rsidR="006E0D3C" w:rsidRPr="00822129">
              <w:rPr>
                <w:lang w:eastAsia="zh-CN"/>
              </w:rPr>
              <w:t>emkopības ministriju</w:t>
            </w:r>
            <w:r w:rsidRPr="00822129">
              <w:rPr>
                <w:lang w:eastAsia="zh-CN"/>
              </w:rPr>
              <w:t xml:space="preserve"> līdz 2023. gada 1. maijam ir jāizstrādā un jāiesniedz izskatīšanai Ministru kabinetā informatīvo ziņojumu par ZIZIMM sektora virzību uz </w:t>
            </w:r>
            <w:proofErr w:type="spellStart"/>
            <w:r w:rsidRPr="00822129">
              <w:rPr>
                <w:lang w:eastAsia="zh-CN"/>
              </w:rPr>
              <w:t>klimatneitralitāti</w:t>
            </w:r>
            <w:proofErr w:type="spellEnd"/>
            <w:r w:rsidRPr="00822129">
              <w:rPr>
                <w:lang w:eastAsia="zh-CN"/>
              </w:rPr>
              <w:t xml:space="preserve"> (27.04.2021. MK sēdes protokols Nr.36. §28), kā arī 2023. gadā EK ir jāiesniedz </w:t>
            </w:r>
            <w:r w:rsidR="001B49CF" w:rsidRPr="00822129">
              <w:rPr>
                <w:lang w:eastAsia="zh-CN"/>
              </w:rPr>
              <w:t>“</w:t>
            </w:r>
            <w:r w:rsidR="00E91F07" w:rsidRPr="00822129">
              <w:rPr>
                <w:lang w:eastAsia="zh-CN"/>
              </w:rPr>
              <w:t>Nacionālais enerģētikas un klimata plān</w:t>
            </w:r>
            <w:r w:rsidR="007D5540" w:rsidRPr="00822129">
              <w:rPr>
                <w:lang w:eastAsia="zh-CN"/>
              </w:rPr>
              <w:t>a 2021.-2030.gadam</w:t>
            </w:r>
            <w:r w:rsidR="001B49CF" w:rsidRPr="00822129">
              <w:rPr>
                <w:lang w:eastAsia="zh-CN"/>
              </w:rPr>
              <w:t>”</w:t>
            </w:r>
            <w:r w:rsidRPr="00822129">
              <w:rPr>
                <w:lang w:eastAsia="zh-CN"/>
              </w:rPr>
              <w:t xml:space="preserve"> </w:t>
            </w:r>
            <w:r w:rsidR="001B49CF" w:rsidRPr="00822129">
              <w:rPr>
                <w:lang w:eastAsia="zh-CN"/>
              </w:rPr>
              <w:t xml:space="preserve">(turpmāk - NEKP) </w:t>
            </w:r>
            <w:r w:rsidR="5D5713BA" w:rsidRPr="00822129">
              <w:rPr>
                <w:lang w:eastAsia="zh-CN"/>
              </w:rPr>
              <w:t>atjauninājums</w:t>
            </w:r>
            <w:r w:rsidRPr="00822129">
              <w:rPr>
                <w:lang w:eastAsia="zh-CN"/>
              </w:rPr>
              <w:t>, kuru ietvaros ir plānots norādīt konkrētus papildus pasākumus mērķu izpildei.</w:t>
            </w:r>
            <w:r w:rsidR="006E0D3C" w:rsidRPr="00822129">
              <w:rPr>
                <w:lang w:eastAsia="zh-CN"/>
              </w:rPr>
              <w:t xml:space="preserve"> </w:t>
            </w:r>
          </w:p>
          <w:p w14:paraId="0879F96F" w14:textId="305DA021" w:rsidR="006E0D3C" w:rsidRPr="00822129" w:rsidRDefault="006E0D3C" w:rsidP="000D1196">
            <w:pPr>
              <w:suppressAutoHyphens/>
              <w:jc w:val="both"/>
              <w:rPr>
                <w:lang w:eastAsia="zh-CN"/>
              </w:rPr>
            </w:pPr>
            <w:r w:rsidRPr="00822129">
              <w:rPr>
                <w:lang w:eastAsia="zh-CN"/>
              </w:rPr>
              <w:t>2) Lielākā daļa VPP2027 mērķi ir saskaņoti ar “Kūdras ilgtspējīgas izmantošanas pamatnostādnēm 2020.-2030.</w:t>
            </w:r>
            <w:r w:rsidR="001B49CF" w:rsidRPr="00822129">
              <w:rPr>
                <w:lang w:eastAsia="zh-CN"/>
              </w:rPr>
              <w:t> </w:t>
            </w:r>
            <w:r w:rsidR="002A20FF" w:rsidRPr="00822129">
              <w:rPr>
                <w:lang w:eastAsia="zh-CN"/>
              </w:rPr>
              <w:t>gadiem</w:t>
            </w:r>
            <w:r w:rsidRPr="00822129">
              <w:rPr>
                <w:lang w:eastAsia="zh-CN"/>
              </w:rPr>
              <w:t xml:space="preserve">”, kas ir konceptuāla vienošanās starp nozari un valdību par turpmāko attīstību un apjomiem. VPP2027 nav paredzēts ietvert papildus pasākumus ieguves apjomu samazināšanai. </w:t>
            </w:r>
            <w:r w:rsidR="00630E8E" w:rsidRPr="00822129">
              <w:rPr>
                <w:lang w:eastAsia="zh-CN"/>
              </w:rPr>
              <w:t>“</w:t>
            </w:r>
            <w:r w:rsidRPr="00822129">
              <w:rPr>
                <w:lang w:eastAsia="zh-CN"/>
              </w:rPr>
              <w:t>Kūdras ilgtspējīgas izmantošanas pamatnostādnes 2020. - 2030. gadam</w:t>
            </w:r>
            <w:r w:rsidR="00630E8E" w:rsidRPr="00822129">
              <w:rPr>
                <w:lang w:eastAsia="zh-CN"/>
              </w:rPr>
              <w:t>”</w:t>
            </w:r>
            <w:r w:rsidRPr="00822129">
              <w:rPr>
                <w:lang w:eastAsia="zh-CN"/>
              </w:rPr>
              <w:t xml:space="preserve"> pārskatīšanas iespējas tiks vērtētas Informatīvā ziņojuma par ZIZIMM sektora virzību uz </w:t>
            </w:r>
            <w:proofErr w:type="spellStart"/>
            <w:r w:rsidRPr="00822129">
              <w:rPr>
                <w:lang w:eastAsia="zh-CN"/>
              </w:rPr>
              <w:t>klimatneitralitāti</w:t>
            </w:r>
            <w:proofErr w:type="spellEnd"/>
            <w:r w:rsidRPr="00822129">
              <w:rPr>
                <w:lang w:eastAsia="zh-CN"/>
              </w:rPr>
              <w:t xml:space="preserve"> ietvaros, kurš jāiesniedz Ministru kabinetā līdz 2023.</w:t>
            </w:r>
            <w:r w:rsidR="001B49CF" w:rsidRPr="00822129">
              <w:rPr>
                <w:lang w:eastAsia="zh-CN"/>
              </w:rPr>
              <w:t> </w:t>
            </w:r>
            <w:r w:rsidRPr="00822129">
              <w:rPr>
                <w:lang w:eastAsia="zh-CN"/>
              </w:rPr>
              <w:t xml:space="preserve">gada 1. maijam, kā arī </w:t>
            </w:r>
            <w:r w:rsidRPr="00822129">
              <w:rPr>
                <w:lang w:eastAsia="zh-CN"/>
              </w:rPr>
              <w:lastRenderedPageBreak/>
              <w:t>pārskatītā N</w:t>
            </w:r>
            <w:r w:rsidR="001B49CF" w:rsidRPr="00822129">
              <w:rPr>
                <w:lang w:eastAsia="zh-CN"/>
              </w:rPr>
              <w:t>EKP</w:t>
            </w:r>
            <w:r w:rsidRPr="00822129">
              <w:rPr>
                <w:lang w:eastAsia="zh-CN"/>
              </w:rPr>
              <w:t xml:space="preserve"> ietvaros, kas EK jāsniedz līdz 2023. gada 30. jūnijam</w:t>
            </w:r>
            <w:r w:rsidR="00B41178" w:rsidRPr="00822129">
              <w:rPr>
                <w:lang w:eastAsia="zh-CN"/>
              </w:rPr>
              <w:t>.</w:t>
            </w:r>
          </w:p>
        </w:tc>
      </w:tr>
      <w:tr w:rsidR="000D1196" w:rsidRPr="00822129" w14:paraId="690E8488" w14:textId="77777777" w:rsidTr="002C4358">
        <w:trPr>
          <w:trHeight w:val="145"/>
        </w:trPr>
        <w:tc>
          <w:tcPr>
            <w:tcW w:w="4967" w:type="dxa"/>
            <w:tcBorders>
              <w:top w:val="single" w:sz="4" w:space="0" w:color="000000" w:themeColor="text1"/>
              <w:left w:val="single" w:sz="4" w:space="0" w:color="000000" w:themeColor="text1"/>
              <w:bottom w:val="single" w:sz="4" w:space="0" w:color="000000" w:themeColor="text1"/>
            </w:tcBorders>
            <w:shd w:val="clear" w:color="auto" w:fill="auto"/>
          </w:tcPr>
          <w:p w14:paraId="4AC30F61" w14:textId="77777777" w:rsidR="000D1196" w:rsidRPr="00822129" w:rsidRDefault="00D62190" w:rsidP="00D62190">
            <w:pPr>
              <w:numPr>
                <w:ilvl w:val="2"/>
                <w:numId w:val="21"/>
              </w:numPr>
              <w:shd w:val="clear" w:color="auto" w:fill="FFFFFF"/>
              <w:autoSpaceDE w:val="0"/>
              <w:autoSpaceDN w:val="0"/>
              <w:adjustRightInd w:val="0"/>
              <w:spacing w:before="120" w:after="120"/>
              <w:jc w:val="both"/>
              <w:rPr>
                <w:lang w:eastAsia="zh-CN"/>
              </w:rPr>
            </w:pPr>
            <w:r w:rsidRPr="00822129">
              <w:rPr>
                <w:lang w:eastAsia="x-none"/>
              </w:rPr>
              <w:lastRenderedPageBreak/>
              <w:t xml:space="preserve">Ņemot vērā iepriekš minēto attiecībā uz </w:t>
            </w:r>
            <w:r w:rsidRPr="00822129">
              <w:rPr>
                <w:i/>
                <w:iCs/>
                <w:lang w:eastAsia="x-none"/>
              </w:rPr>
              <w:t>“Nemetālu minerālu ieguvi”</w:t>
            </w:r>
            <w:r w:rsidRPr="00822129">
              <w:rPr>
                <w:lang w:eastAsia="x-none"/>
              </w:rPr>
              <w:t xml:space="preserve"> un to plānotajiem apjoma pieaugumiem, Birojs vērš uzmanību tam, ka valstī līdz šim nenotiek vienota Zemes dzīļu apsaimniekošanas politikas īstenošana un nav veikts komplekss augsnes stāvokļa </w:t>
            </w:r>
            <w:proofErr w:type="spellStart"/>
            <w:r w:rsidRPr="00822129">
              <w:rPr>
                <w:lang w:eastAsia="x-none"/>
              </w:rPr>
              <w:t>izvērtējums</w:t>
            </w:r>
            <w:proofErr w:type="spellEnd"/>
            <w:r w:rsidRPr="00822129">
              <w:rPr>
                <w:lang w:eastAsia="x-none"/>
              </w:rPr>
              <w:t xml:space="preserve"> un noteiktas prioritārās augšņu degradācijas problēmas, tostarp saistībā ar derīgo izrakteņu ieguvju vietu apsaimniekošanu un </w:t>
            </w:r>
            <w:proofErr w:type="spellStart"/>
            <w:r w:rsidRPr="00822129">
              <w:rPr>
                <w:lang w:eastAsia="x-none"/>
              </w:rPr>
              <w:t>rekultivēšanu</w:t>
            </w:r>
            <w:proofErr w:type="spellEnd"/>
            <w:r w:rsidRPr="00822129">
              <w:rPr>
                <w:lang w:eastAsia="x-none"/>
              </w:rPr>
              <w:t xml:space="preserve">. Šāds problēmu raksturojums attiecībā uz degradētajām teritorijām saistībā ar derīgo izrakteņu ieguvi nav sniegts arī Vides pārskatā. Vienlaikus Biroja ieskatā pozitīvi ir vērtējami Pamatnostādnēs iekļautie rīcības virziena RV.6. </w:t>
            </w:r>
            <w:r w:rsidRPr="00822129">
              <w:rPr>
                <w:i/>
                <w:iCs/>
                <w:lang w:eastAsia="x-none"/>
              </w:rPr>
              <w:t>Degradēto derīgo izrakteņu ieguves vietu rekultivācijā</w:t>
            </w:r>
            <w:r w:rsidRPr="00822129">
              <w:rPr>
                <w:lang w:eastAsia="x-none"/>
              </w:rPr>
              <w:t xml:space="preserve"> paredzētie uzdevumi, kas saistīti ar degradēto derīgo izrakteņu ieguves vietu identificēšanas un rekultivācijas kritēriju izstrādi, vienlaikus paredzot finanšu un organizatoriskos instrumentus, kas sekmē savlaicīgu ieguves vietu rekultivāciju un nerada jaunas degradētas ieguves vietas. </w:t>
            </w:r>
          </w:p>
        </w:tc>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1C991" w14:textId="39BC9B26" w:rsidR="000D1196" w:rsidRPr="00822129" w:rsidRDefault="008C1C71" w:rsidP="009F73EA">
            <w:pPr>
              <w:suppressAutoHyphens/>
              <w:rPr>
                <w:lang w:eastAsia="zh-CN"/>
              </w:rPr>
            </w:pPr>
            <w:r w:rsidRPr="00822129">
              <w:rPr>
                <w:lang w:eastAsia="zh-CN"/>
              </w:rPr>
              <w:t>T</w:t>
            </w:r>
            <w:r w:rsidR="00BB1C2A" w:rsidRPr="00822129">
              <w:rPr>
                <w:lang w:eastAsia="zh-CN"/>
              </w:rPr>
              <w:t xml:space="preserve">ika </w:t>
            </w:r>
            <w:r w:rsidR="00B41178" w:rsidRPr="00822129">
              <w:rPr>
                <w:lang w:eastAsia="zh-CN"/>
              </w:rPr>
              <w:t>i</w:t>
            </w:r>
            <w:r w:rsidR="7C59757A" w:rsidRPr="00822129">
              <w:rPr>
                <w:lang w:eastAsia="zh-CN"/>
              </w:rPr>
              <w:t>zvērtēts un iespēju robežās ņemts vērā</w:t>
            </w:r>
            <w:r w:rsidR="005F6841" w:rsidRPr="00822129">
              <w:rPr>
                <w:lang w:eastAsia="zh-CN"/>
              </w:rPr>
              <w:t>,</w:t>
            </w:r>
            <w:r w:rsidR="7C59757A" w:rsidRPr="00822129">
              <w:rPr>
                <w:lang w:eastAsia="zh-CN"/>
              </w:rPr>
              <w:t xml:space="preserve"> precizējot Vides pārskatu un </w:t>
            </w:r>
            <w:r w:rsidR="00383B47" w:rsidRPr="00822129">
              <w:rPr>
                <w:lang w:eastAsia="zh-CN"/>
              </w:rPr>
              <w:t>p</w:t>
            </w:r>
            <w:r w:rsidR="009F73EA" w:rsidRPr="00822129">
              <w:rPr>
                <w:lang w:eastAsia="zh-CN"/>
              </w:rPr>
              <w:t>amatnostādnes</w:t>
            </w:r>
            <w:r w:rsidR="7C59757A" w:rsidRPr="00822129">
              <w:rPr>
                <w:lang w:eastAsia="zh-CN"/>
              </w:rPr>
              <w:t>.</w:t>
            </w:r>
          </w:p>
        </w:tc>
      </w:tr>
      <w:tr w:rsidR="000D1196" w:rsidRPr="00822129" w14:paraId="67B9A27A" w14:textId="77777777" w:rsidTr="002C4358">
        <w:trPr>
          <w:trHeight w:val="145"/>
        </w:trPr>
        <w:tc>
          <w:tcPr>
            <w:tcW w:w="4967" w:type="dxa"/>
            <w:tcBorders>
              <w:top w:val="single" w:sz="4" w:space="0" w:color="000000" w:themeColor="text1"/>
              <w:left w:val="single" w:sz="4" w:space="0" w:color="000000" w:themeColor="text1"/>
              <w:bottom w:val="single" w:sz="4" w:space="0" w:color="000000" w:themeColor="text1"/>
            </w:tcBorders>
            <w:shd w:val="clear" w:color="auto" w:fill="auto"/>
          </w:tcPr>
          <w:p w14:paraId="6CFF52D5" w14:textId="77777777" w:rsidR="000D1196" w:rsidRPr="00822129" w:rsidRDefault="00D62190" w:rsidP="00D62190">
            <w:pPr>
              <w:numPr>
                <w:ilvl w:val="2"/>
                <w:numId w:val="21"/>
              </w:numPr>
              <w:shd w:val="clear" w:color="auto" w:fill="FFFFFF"/>
              <w:autoSpaceDE w:val="0"/>
              <w:autoSpaceDN w:val="0"/>
              <w:adjustRightInd w:val="0"/>
              <w:spacing w:before="120" w:after="120"/>
              <w:jc w:val="both"/>
              <w:rPr>
                <w:lang w:eastAsia="zh-CN"/>
              </w:rPr>
            </w:pPr>
            <w:r w:rsidRPr="00822129">
              <w:rPr>
                <w:lang w:eastAsia="x-none"/>
              </w:rPr>
              <w:t xml:space="preserve">Atbilstoši Gaisa piesārņojuma samazināšanas rīcības plāna 2020.–2030. gadam veiktajam </w:t>
            </w:r>
            <w:proofErr w:type="spellStart"/>
            <w:r w:rsidRPr="00822129">
              <w:rPr>
                <w:lang w:eastAsia="x-none"/>
              </w:rPr>
              <w:t>izvērtējumam</w:t>
            </w:r>
            <w:proofErr w:type="spellEnd"/>
            <w:r w:rsidRPr="00822129">
              <w:rPr>
                <w:lang w:eastAsia="x-none"/>
              </w:rPr>
              <w:t xml:space="preserve"> secināts, ka bāzes scenārijā NO</w:t>
            </w:r>
            <w:r w:rsidRPr="00822129">
              <w:rPr>
                <w:vertAlign w:val="subscript"/>
                <w:lang w:eastAsia="x-none"/>
              </w:rPr>
              <w:t>X</w:t>
            </w:r>
            <w:r w:rsidRPr="00822129">
              <w:rPr>
                <w:lang w:eastAsia="x-none"/>
              </w:rPr>
              <w:t>, NH</w:t>
            </w:r>
            <w:r w:rsidRPr="00822129">
              <w:rPr>
                <w:vertAlign w:val="subscript"/>
                <w:lang w:eastAsia="x-none"/>
              </w:rPr>
              <w:t>3</w:t>
            </w:r>
            <w:r w:rsidRPr="00822129">
              <w:rPr>
                <w:lang w:eastAsia="x-none"/>
              </w:rPr>
              <w:t xml:space="preserve"> un PM</w:t>
            </w:r>
            <w:r w:rsidRPr="00822129">
              <w:rPr>
                <w:vertAlign w:val="subscript"/>
                <w:lang w:eastAsia="x-none"/>
              </w:rPr>
              <w:t>2,5</w:t>
            </w:r>
            <w:r w:rsidRPr="00822129">
              <w:rPr>
                <w:lang w:eastAsia="x-none"/>
              </w:rPr>
              <w:t xml:space="preserve"> gadījumā var netikt izpildīti 2030. gadam noteiktie emisiju mērķi un ir </w:t>
            </w:r>
            <w:r w:rsidRPr="00822129">
              <w:rPr>
                <w:lang w:eastAsia="x-none"/>
              </w:rPr>
              <w:lastRenderedPageBreak/>
              <w:t xml:space="preserve">nepieciešams paredzēt papildu pasākumus. Plānošanas dokumenta ietvaros ir izstrādāta Vides monitoringa programma, kā arī Pamatnostādnēs ir iekļauti vides veselības jautājumi, kas saistīti </w:t>
            </w:r>
            <w:r w:rsidRPr="00822129">
              <w:rPr>
                <w:lang w:eastAsia="en-GB" w:bidi="lo-LA"/>
              </w:rPr>
              <w:t>ar visaptverošas informācijas par gaisa kvalitāti, ūdeņu stāvokli Latvijas teritorijā, seismiskiem procesiem un augsnes radioaktivitātes līmeni</w:t>
            </w:r>
            <w:r w:rsidRPr="00822129">
              <w:rPr>
                <w:vertAlign w:val="superscript"/>
                <w:lang w:eastAsia="en-GB" w:bidi="lo-LA"/>
              </w:rPr>
              <w:footnoteReference w:id="9"/>
            </w:r>
            <w:r w:rsidRPr="00822129">
              <w:rPr>
                <w:lang w:eastAsia="en-GB" w:bidi="lo-LA"/>
              </w:rPr>
              <w:t xml:space="preserve"> un sabiedrības informēšanu, kā arī par izpildi atbilstoši ES prasībām bioloģiskās daudzveidības monitoringa īstenošanā.</w:t>
            </w:r>
            <w:r w:rsidRPr="00822129">
              <w:rPr>
                <w:lang w:eastAsia="x-none"/>
              </w:rPr>
              <w:t xml:space="preserve"> Vides monitoringa programmas viens no mērķiem ir</w:t>
            </w:r>
            <w:r w:rsidRPr="00822129">
              <w:rPr>
                <w:lang w:eastAsia="en-GB" w:bidi="lo-LA"/>
              </w:rPr>
              <w:t xml:space="preserve"> novērtēt  vides stāvokli,  tendences un perspektīvu, izstrādāt vides politikas pasākumus un novērtēt līdzšinējo pasākumu lietderību un efektivitāti. Tomēr, ņ</w:t>
            </w:r>
            <w:r w:rsidRPr="00822129">
              <w:rPr>
                <w:lang w:eastAsia="x-none"/>
              </w:rPr>
              <w:t xml:space="preserve">emot vērā prognožu nenoteiktību un iespēju, ka kāds no plānotajiem pasākumiem netiks realizēts pilnībā vai daļēji, Birojs pievienojas Izstrādātājas viedoklim, ka saglabājas risks nesasniegt 2030. gadam noteiktos emisiju mērķus. </w:t>
            </w:r>
          </w:p>
        </w:tc>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9B822" w14:textId="5A9A138D" w:rsidR="006060B9" w:rsidRPr="00822129" w:rsidRDefault="00466A15" w:rsidP="002C4358">
            <w:pPr>
              <w:pStyle w:val="pf0"/>
              <w:jc w:val="both"/>
              <w:rPr>
                <w:lang w:eastAsia="zh-CN"/>
              </w:rPr>
            </w:pPr>
            <w:r w:rsidRPr="00822129">
              <w:rPr>
                <w:lang w:eastAsia="zh-CN"/>
              </w:rPr>
              <w:lastRenderedPageBreak/>
              <w:t>P</w:t>
            </w:r>
            <w:r w:rsidR="00BF41E3" w:rsidRPr="00822129">
              <w:rPr>
                <w:lang w:eastAsia="zh-CN"/>
              </w:rPr>
              <w:t>ieņemts zināšanai un tiks ņemts vērā, īstenojot plānošanas dokumentu</w:t>
            </w:r>
            <w:r w:rsidR="001B0A2B" w:rsidRPr="00822129">
              <w:rPr>
                <w:lang w:eastAsia="zh-CN"/>
              </w:rPr>
              <w:t>, jo</w:t>
            </w:r>
            <w:r w:rsidR="00C2587B" w:rsidRPr="00822129">
              <w:rPr>
                <w:lang w:eastAsia="zh-CN"/>
              </w:rPr>
              <w:t xml:space="preserve"> </w:t>
            </w:r>
            <w:r w:rsidR="00C579DF" w:rsidRPr="00822129">
              <w:rPr>
                <w:lang w:eastAsia="zh-CN"/>
              </w:rPr>
              <w:t>pamatdokuments</w:t>
            </w:r>
            <w:r w:rsidR="00F41ACB" w:rsidRPr="00822129">
              <w:rPr>
                <w:lang w:eastAsia="zh-CN"/>
              </w:rPr>
              <w:t xml:space="preserve">, kurā ir ietverti veicamie pasākumi </w:t>
            </w:r>
            <w:r w:rsidR="00F8350C" w:rsidRPr="00822129">
              <w:rPr>
                <w:lang w:eastAsia="zh-CN"/>
              </w:rPr>
              <w:t xml:space="preserve">noteikto mērķu sasniegšanai </w:t>
            </w:r>
            <w:r w:rsidR="00E63EEF" w:rsidRPr="00822129">
              <w:rPr>
                <w:lang w:eastAsia="zh-CN"/>
              </w:rPr>
              <w:t>ir</w:t>
            </w:r>
            <w:r w:rsidR="00C579DF" w:rsidRPr="00822129">
              <w:rPr>
                <w:lang w:eastAsia="zh-CN"/>
              </w:rPr>
              <w:t xml:space="preserve"> </w:t>
            </w:r>
            <w:r w:rsidR="001B0A2B" w:rsidRPr="00822129">
              <w:rPr>
                <w:lang w:eastAsia="zh-CN"/>
              </w:rPr>
              <w:t xml:space="preserve">"Gaisa piesārņojuma </w:t>
            </w:r>
            <w:proofErr w:type="spellStart"/>
            <w:r w:rsidR="001B0A2B" w:rsidRPr="00822129">
              <w:rPr>
                <w:lang w:eastAsia="zh-CN"/>
              </w:rPr>
              <w:t>sama</w:t>
            </w:r>
            <w:proofErr w:type="spellEnd"/>
            <w:r w:rsidR="009F73EA" w:rsidRPr="00822129">
              <w:rPr>
                <w:lang w:eastAsia="zh-CN"/>
              </w:rPr>
              <w:t>-</w:t>
            </w:r>
            <w:r w:rsidR="001B0A2B" w:rsidRPr="00822129">
              <w:rPr>
                <w:lang w:eastAsia="zh-CN"/>
              </w:rPr>
              <w:t>zināšanas rīcības plān</w:t>
            </w:r>
            <w:r w:rsidR="75A765B2" w:rsidRPr="00822129">
              <w:rPr>
                <w:lang w:eastAsia="zh-CN"/>
              </w:rPr>
              <w:t>s</w:t>
            </w:r>
            <w:r w:rsidR="001B0A2B" w:rsidRPr="00822129">
              <w:rPr>
                <w:lang w:eastAsia="zh-CN"/>
              </w:rPr>
              <w:t xml:space="preserve"> 2020.-</w:t>
            </w:r>
            <w:r w:rsidR="001B0A2B" w:rsidRPr="00822129">
              <w:rPr>
                <w:lang w:eastAsia="zh-CN"/>
              </w:rPr>
              <w:lastRenderedPageBreak/>
              <w:t>2030.</w:t>
            </w:r>
            <w:r w:rsidR="002C4358" w:rsidRPr="00822129">
              <w:rPr>
                <w:lang w:eastAsia="zh-CN"/>
              </w:rPr>
              <w:t xml:space="preserve"> </w:t>
            </w:r>
            <w:r w:rsidR="006D16BE" w:rsidRPr="00822129">
              <w:rPr>
                <w:lang w:eastAsia="zh-CN"/>
              </w:rPr>
              <w:t>gadam</w:t>
            </w:r>
            <w:r w:rsidR="001B0A2B" w:rsidRPr="00822129">
              <w:rPr>
                <w:lang w:eastAsia="zh-CN"/>
              </w:rPr>
              <w:t xml:space="preserve">". </w:t>
            </w:r>
            <w:r w:rsidR="00F8350C" w:rsidRPr="00822129">
              <w:rPr>
                <w:lang w:eastAsia="zh-CN"/>
              </w:rPr>
              <w:t xml:space="preserve">Tā kā šī brīža </w:t>
            </w:r>
            <w:r w:rsidR="001B0A2B" w:rsidRPr="00822129">
              <w:rPr>
                <w:lang w:eastAsia="zh-CN"/>
              </w:rPr>
              <w:t>prognozes uzrād</w:t>
            </w:r>
            <w:r w:rsidR="00F8350C" w:rsidRPr="00822129">
              <w:rPr>
                <w:lang w:eastAsia="zh-CN"/>
              </w:rPr>
              <w:t>a</w:t>
            </w:r>
            <w:r w:rsidR="001B0A2B" w:rsidRPr="00822129">
              <w:rPr>
                <w:lang w:eastAsia="zh-CN"/>
              </w:rPr>
              <w:t xml:space="preserve">, ka pastāv risks pārsniegt noteiktos mērķus, </w:t>
            </w:r>
            <w:r w:rsidR="00F8350C" w:rsidRPr="00822129">
              <w:rPr>
                <w:lang w:eastAsia="zh-CN"/>
              </w:rPr>
              <w:t>tad primāri jāpārskata "Gaisa piesārņojuma samazināšanas rīcības plān</w:t>
            </w:r>
            <w:r w:rsidR="3C3BADF0" w:rsidRPr="00822129">
              <w:rPr>
                <w:lang w:eastAsia="zh-CN"/>
              </w:rPr>
              <w:t>s</w:t>
            </w:r>
            <w:r w:rsidR="00F8350C" w:rsidRPr="00822129">
              <w:rPr>
                <w:lang w:eastAsia="zh-CN"/>
              </w:rPr>
              <w:t xml:space="preserve"> 2020.-2030. gadam" un tajā</w:t>
            </w:r>
            <w:r w:rsidR="0069075F" w:rsidRPr="00822129">
              <w:rPr>
                <w:lang w:eastAsia="zh-CN"/>
              </w:rPr>
              <w:t xml:space="preserve"> </w:t>
            </w:r>
            <w:r w:rsidR="001B0A2B" w:rsidRPr="00822129">
              <w:rPr>
                <w:lang w:eastAsia="zh-CN"/>
              </w:rPr>
              <w:t xml:space="preserve"> jāiekļauj papildu pasākumi</w:t>
            </w:r>
            <w:r w:rsidR="008E5130" w:rsidRPr="00822129">
              <w:rPr>
                <w:lang w:eastAsia="zh-CN"/>
              </w:rPr>
              <w:t>.</w:t>
            </w:r>
          </w:p>
        </w:tc>
      </w:tr>
      <w:tr w:rsidR="006060B9" w:rsidRPr="00822129" w14:paraId="21296B18" w14:textId="77777777" w:rsidTr="002C4358">
        <w:trPr>
          <w:trHeight w:val="145"/>
        </w:trPr>
        <w:tc>
          <w:tcPr>
            <w:tcW w:w="4967" w:type="dxa"/>
            <w:tcBorders>
              <w:top w:val="single" w:sz="4" w:space="0" w:color="000000" w:themeColor="text1"/>
              <w:left w:val="single" w:sz="4" w:space="0" w:color="000000" w:themeColor="text1"/>
              <w:bottom w:val="single" w:sz="4" w:space="0" w:color="000000" w:themeColor="text1"/>
            </w:tcBorders>
            <w:shd w:val="clear" w:color="auto" w:fill="auto"/>
          </w:tcPr>
          <w:p w14:paraId="579B1004" w14:textId="77777777" w:rsidR="006060B9" w:rsidRPr="00822129" w:rsidRDefault="00D62190" w:rsidP="72E54947">
            <w:pPr>
              <w:numPr>
                <w:ilvl w:val="2"/>
                <w:numId w:val="21"/>
              </w:numPr>
              <w:shd w:val="clear" w:color="auto" w:fill="FFFFFF" w:themeFill="background1"/>
              <w:autoSpaceDE w:val="0"/>
              <w:autoSpaceDN w:val="0"/>
              <w:adjustRightInd w:val="0"/>
              <w:spacing w:before="120" w:after="120"/>
              <w:jc w:val="both"/>
              <w:rPr>
                <w:lang w:eastAsia="x-none"/>
              </w:rPr>
            </w:pPr>
            <w:r w:rsidRPr="00822129">
              <w:lastRenderedPageBreak/>
              <w:t xml:space="preserve">Vides pārskatā sniegta informācija par galvenajiem slodžu avotiem, kas saistīti ar iekšzemes ūdeņiem un to ietekmi no rūpniecības un komunālās saimniecības. Birojs vērš uzmanību tam, ka šāda ietekme ir konstatēta arī Baltijas jūrā, kur piesārņojumu rada arī </w:t>
            </w:r>
            <w:bookmarkStart w:id="7" w:name="_Hlk90303968"/>
            <w:r w:rsidRPr="00822129">
              <w:t>nepietiekoši attīrītu un arī neattīrītu notekūdeņu novadīšana virszemes ūdenstecēs,</w:t>
            </w:r>
            <w:bookmarkEnd w:id="7"/>
            <w:r w:rsidRPr="00822129">
              <w:t xml:space="preserve"> kas nonāk Baltijas jūrā. Par to liecina arī Daugavas, Gaujas, Lielupes un Ventas upju baseinu apgabala apsaimniekošanas plānos 2016.–2021. gadam novērtētā informācija. Lai arī kā pozitīvs faktors Vides pārskatā ir minēts virszemes ūdeņos novadīto ražošanas notekūdeņu apjoma samazināšanās, kā arī pēdējā desmitgadē veiktie ieguldījumi ūdenssaimniecības attīstībā, tajā skaitā investīcijas notekūdeņu attīrīšanā, tomēr Biroja </w:t>
            </w:r>
            <w:r w:rsidRPr="00822129">
              <w:lastRenderedPageBreak/>
              <w:t xml:space="preserve">ieskatā problēmu rada </w:t>
            </w:r>
            <w:proofErr w:type="spellStart"/>
            <w:r w:rsidRPr="00822129">
              <w:t>jaunveidojamo</w:t>
            </w:r>
            <w:proofErr w:type="spellEnd"/>
            <w:r w:rsidRPr="00822129">
              <w:t xml:space="preserve"> apbūves teritoriju izveidošana teritorijās, kurās nav iespējams nodrošināt centralizēto notekūdeņu savākšanu, kā rezultātā notiek nepietiekoši attīrītu un arī neattīrītu notekūdeņu novadīšana virszemes ūdenstecēs un Baltijas jūrā. Tāpat iepriekšējā plānošanas periodā veiktā lauksaimniecībā izmantojamās zemes transformācija par apbūves teritoriju ir palielinājusi plūdu riskus. Sakarā ar ilgstoši nekopto vai arī apbūvei nepiemēroto platību apbūvi, plūdu draudi novērojami tādās vietās, kurās tie agrāk neradīja problēmas, jo īslaicīga applūšana atbilda agrākajam zemes lietošanas veidam. Biroja līdzšinējā pieredze plānošanas dokumentu </w:t>
            </w:r>
            <w:proofErr w:type="spellStart"/>
            <w:r w:rsidRPr="00822129">
              <w:t>izvērtējumā</w:t>
            </w:r>
            <w:proofErr w:type="spellEnd"/>
            <w:r w:rsidRPr="00822129">
              <w:t xml:space="preserve"> ļauj secināt, ka vairumā gadījumu ir nepietiekami apzināti un integrēti teritoriālās plānošanas procesā vides aspekti un vides riski. Biroja ieskatā būtu lietderīgi izvērtēt iepriekš minētos vides aspektus, vienlaikus, apzinoties plānošanas dokumenta aptvertās teritorijas un vides aspektu mērogu, Birojs rekomendē, kur iespējams, apsvērt Vides pārskata papildināšanu. </w:t>
            </w:r>
          </w:p>
        </w:tc>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2404B" w14:textId="36398FDF" w:rsidR="0084423F" w:rsidRPr="00822129" w:rsidRDefault="0084423F" w:rsidP="000D1196">
            <w:pPr>
              <w:suppressAutoHyphens/>
              <w:jc w:val="both"/>
              <w:rPr>
                <w:lang w:eastAsia="zh-CN"/>
              </w:rPr>
            </w:pPr>
            <w:r w:rsidRPr="00822129">
              <w:rPr>
                <w:lang w:eastAsia="zh-CN"/>
              </w:rPr>
              <w:lastRenderedPageBreak/>
              <w:t>Attiecīgās rekomendācijas netika iestrādātas Vides pārskatā</w:t>
            </w:r>
            <w:r w:rsidR="006D16BE" w:rsidRPr="00822129">
              <w:rPr>
                <w:lang w:eastAsia="zh-CN"/>
              </w:rPr>
              <w:t xml:space="preserve">, jo </w:t>
            </w:r>
            <w:r w:rsidRPr="00822129">
              <w:rPr>
                <w:lang w:eastAsia="zh-CN"/>
              </w:rPr>
              <w:t>jauno apbūves teritoriju ietekme un riski tiek regulēti ar V</w:t>
            </w:r>
            <w:r w:rsidR="006D16BE" w:rsidRPr="00822129">
              <w:rPr>
                <w:lang w:eastAsia="zh-CN"/>
              </w:rPr>
              <w:t xml:space="preserve">alsts vides dienesta </w:t>
            </w:r>
            <w:r w:rsidRPr="00822129">
              <w:rPr>
                <w:lang w:eastAsia="zh-CN"/>
              </w:rPr>
              <w:t>tehniskajiem noteikumiem un pašvaldību teritorijas apbūves un izmantošanas noteikumiem. Piekrītam, ka ir nepieciešams uzlabot vides risku integrēšanu teritorijas plānošanas procesā, taču tas prioritāri būtu darāms izmantojot faktu, ka pēc administratīvi teritoriālās reformas izveidotajām pašvaldībām līdz 2025.</w:t>
            </w:r>
            <w:r w:rsidR="002C4358" w:rsidRPr="00822129">
              <w:rPr>
                <w:lang w:eastAsia="zh-CN"/>
              </w:rPr>
              <w:t> </w:t>
            </w:r>
            <w:r w:rsidR="00C95371" w:rsidRPr="00822129">
              <w:rPr>
                <w:lang w:eastAsia="zh-CN"/>
              </w:rPr>
              <w:t>gada 31. decembrim</w:t>
            </w:r>
            <w:r w:rsidRPr="00822129">
              <w:rPr>
                <w:lang w:eastAsia="zh-CN"/>
              </w:rPr>
              <w:t xml:space="preserve"> ir jāizstrādā jauni teritorijas plānojumi, kuros tas būtu integrējams.</w:t>
            </w:r>
          </w:p>
        </w:tc>
      </w:tr>
    </w:tbl>
    <w:p w14:paraId="4CFE3649" w14:textId="77777777" w:rsidR="000D1196" w:rsidRPr="00822129" w:rsidRDefault="000D1196" w:rsidP="000D1196">
      <w:pPr>
        <w:suppressAutoHyphens/>
        <w:autoSpaceDE w:val="0"/>
        <w:rPr>
          <w:b/>
          <w:bCs/>
          <w:color w:val="000000"/>
          <w:lang w:eastAsia="zh-CN"/>
        </w:rPr>
      </w:pPr>
    </w:p>
    <w:p w14:paraId="4F755BB2" w14:textId="77777777" w:rsidR="000D1196" w:rsidRPr="00822129" w:rsidRDefault="006300CF" w:rsidP="000D1196">
      <w:pPr>
        <w:suppressAutoHyphens/>
        <w:autoSpaceDE w:val="0"/>
        <w:rPr>
          <w:lang w:eastAsia="zh-CN"/>
        </w:rPr>
      </w:pPr>
      <w:r w:rsidRPr="00822129">
        <w:rPr>
          <w:b/>
          <w:bCs/>
          <w:color w:val="000000"/>
          <w:lang w:eastAsia="zh-CN"/>
        </w:rPr>
        <w:t xml:space="preserve">Plāna </w:t>
      </w:r>
      <w:r w:rsidR="000D1196" w:rsidRPr="00822129">
        <w:rPr>
          <w:b/>
          <w:bCs/>
          <w:color w:val="000000"/>
          <w:lang w:eastAsia="zh-CN"/>
        </w:rPr>
        <w:t>monitorings</w:t>
      </w:r>
    </w:p>
    <w:p w14:paraId="644B98F3" w14:textId="77777777" w:rsidR="00BF6CE1" w:rsidRPr="00822129" w:rsidRDefault="00BF6CE1" w:rsidP="000D1196">
      <w:pPr>
        <w:suppressAutoHyphens/>
        <w:autoSpaceDE w:val="0"/>
        <w:ind w:firstLine="567"/>
        <w:jc w:val="both"/>
        <w:rPr>
          <w:lang w:eastAsia="zh-CN"/>
        </w:rPr>
      </w:pPr>
    </w:p>
    <w:p w14:paraId="43378196" w14:textId="77777777" w:rsidR="000D1196" w:rsidRPr="00822129" w:rsidRDefault="007349A3" w:rsidP="000D1196">
      <w:pPr>
        <w:suppressAutoHyphens/>
        <w:autoSpaceDE w:val="0"/>
        <w:ind w:firstLine="567"/>
        <w:jc w:val="both"/>
        <w:rPr>
          <w:lang w:eastAsia="zh-CN"/>
        </w:rPr>
      </w:pPr>
      <w:r w:rsidRPr="00822129">
        <w:rPr>
          <w:lang w:eastAsia="zh-CN"/>
        </w:rPr>
        <w:t xml:space="preserve">Saskaņā ar </w:t>
      </w:r>
      <w:r w:rsidR="00BF6CE1" w:rsidRPr="00822129">
        <w:rPr>
          <w:lang w:eastAsia="zh-CN"/>
        </w:rPr>
        <w:t xml:space="preserve">Noteikumu Nr. </w:t>
      </w:r>
      <w:r w:rsidR="00BF6CE1" w:rsidRPr="00822129">
        <w:rPr>
          <w:color w:val="000000"/>
          <w:lang w:eastAsia="zh-CN"/>
        </w:rPr>
        <w:t xml:space="preserve">157 </w:t>
      </w:r>
      <w:r w:rsidR="000D1196" w:rsidRPr="00822129">
        <w:rPr>
          <w:lang w:eastAsia="zh-CN"/>
        </w:rPr>
        <w:t>prasībām, lai konstatētu plānošanas dokumenta īstenošanas tiešu vai netiešu ietekmi uz vidi, vides pārskatā iepriekš neparedzētu ietekmi uz vidi, kā arī, ja nepieciešams, izdarītu grozījumus plānošanas dokumentā, izstrādātājs veic plānošanas dokumenta īstenošanas monitoringu.</w:t>
      </w:r>
      <w:r w:rsidR="001B656C" w:rsidRPr="00822129">
        <w:t xml:space="preserve">  Vides pārraudzības valsts birojs rekomendē, lai novērtētu p</w:t>
      </w:r>
      <w:r w:rsidR="00BF6CE1" w:rsidRPr="00822129">
        <w:t xml:space="preserve">amatnostādņu </w:t>
      </w:r>
      <w:r w:rsidR="001B656C" w:rsidRPr="00822129">
        <w:t>īstenošanas radīto tiešo vai netiešo ietekmi uz vidi, Vides aizsardzības un reģionālās attīstības ministrijai vismaz vienu reizi plānošanas periodā (202</w:t>
      </w:r>
      <w:r w:rsidR="00BF6CE1" w:rsidRPr="00822129">
        <w:t>7</w:t>
      </w:r>
      <w:r w:rsidR="001B656C" w:rsidRPr="00822129">
        <w:t>. gadā) izstrādāt monitoringa ziņojumu.</w:t>
      </w:r>
    </w:p>
    <w:sectPr w:rsidR="000D1196" w:rsidRPr="00822129" w:rsidSect="008C326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6336" w14:textId="77777777" w:rsidR="00E944C2" w:rsidRDefault="00E944C2">
      <w:r>
        <w:separator/>
      </w:r>
    </w:p>
  </w:endnote>
  <w:endnote w:type="continuationSeparator" w:id="0">
    <w:p w14:paraId="3E888612" w14:textId="77777777" w:rsidR="00E944C2" w:rsidRDefault="00E944C2">
      <w:r>
        <w:continuationSeparator/>
      </w:r>
    </w:p>
  </w:endnote>
  <w:endnote w:type="continuationNotice" w:id="1">
    <w:p w14:paraId="1EDEB36F" w14:textId="77777777" w:rsidR="00D25965" w:rsidRDefault="00D25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038B" w14:textId="77777777" w:rsidR="00AB5D5D" w:rsidRDefault="00AB5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81EB" w14:textId="77777777" w:rsidR="008C3268" w:rsidRDefault="008C3268">
    <w:pPr>
      <w:pStyle w:val="Footer"/>
      <w:jc w:val="center"/>
    </w:pPr>
    <w:r>
      <w:fldChar w:fldCharType="begin"/>
    </w:r>
    <w:r>
      <w:instrText xml:space="preserve"> PAGE   \* MERGEFORMAT </w:instrText>
    </w:r>
    <w:r>
      <w:fldChar w:fldCharType="separate"/>
    </w:r>
    <w:r w:rsidR="00FB480B">
      <w:rPr>
        <w:noProof/>
      </w:rPr>
      <w:t>12</w:t>
    </w:r>
    <w:r>
      <w:rPr>
        <w:noProof/>
      </w:rPr>
      <w:fldChar w:fldCharType="end"/>
    </w:r>
  </w:p>
  <w:p w14:paraId="40220E21" w14:textId="77777777" w:rsidR="008C3268" w:rsidRDefault="008C3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C5D9" w14:textId="77777777" w:rsidR="00AB5D5D" w:rsidRDefault="00AB5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B8C5" w14:textId="77777777" w:rsidR="00E944C2" w:rsidRDefault="00E944C2">
      <w:r>
        <w:separator/>
      </w:r>
    </w:p>
  </w:footnote>
  <w:footnote w:type="continuationSeparator" w:id="0">
    <w:p w14:paraId="5312FBCD" w14:textId="77777777" w:rsidR="00E944C2" w:rsidRDefault="00E944C2">
      <w:r>
        <w:continuationSeparator/>
      </w:r>
    </w:p>
  </w:footnote>
  <w:footnote w:type="continuationNotice" w:id="1">
    <w:p w14:paraId="740E3FE4" w14:textId="77777777" w:rsidR="00D25965" w:rsidRDefault="00D25965"/>
  </w:footnote>
  <w:footnote w:id="2">
    <w:p w14:paraId="217ECE3B" w14:textId="77777777" w:rsidR="00217D1A" w:rsidRDefault="00217D1A" w:rsidP="00515FDF">
      <w:pPr>
        <w:pStyle w:val="FootnoteText"/>
        <w:jc w:val="both"/>
      </w:pPr>
      <w:r>
        <w:rPr>
          <w:rStyle w:val="FootnoteReference"/>
        </w:rPr>
        <w:footnoteRef/>
      </w:r>
      <w:r>
        <w:t xml:space="preserve"> Pieejam</w:t>
      </w:r>
      <w:r w:rsidR="00994A09">
        <w:t>a</w:t>
      </w:r>
      <w:r>
        <w:t>s:</w:t>
      </w:r>
      <w:r w:rsidR="00994A09">
        <w:t xml:space="preserve"> </w:t>
      </w:r>
      <w:hyperlink r:id="rId1" w:history="1">
        <w:r w:rsidR="00994A09" w:rsidRPr="00270048">
          <w:rPr>
            <w:rStyle w:val="Hyperlink"/>
          </w:rPr>
          <w:t>https://tapportals.mk.gov.lv/legal_acts/abb539cb-0989-43aa-8311-fe329b19ab24</w:t>
        </w:r>
      </w:hyperlink>
    </w:p>
  </w:footnote>
  <w:footnote w:id="3">
    <w:p w14:paraId="18BA6D93" w14:textId="18E6D618" w:rsidR="00515FDF" w:rsidRPr="005432C6" w:rsidRDefault="00515FDF" w:rsidP="00515FDF">
      <w:pPr>
        <w:pStyle w:val="FootnoteText"/>
        <w:jc w:val="both"/>
      </w:pPr>
      <w:r w:rsidRPr="005432C6">
        <w:rPr>
          <w:rStyle w:val="FootnoteReference"/>
        </w:rPr>
        <w:footnoteRef/>
      </w:r>
      <w:r w:rsidRPr="005432C6">
        <w:t xml:space="preserve"> </w:t>
      </w:r>
      <w:r w:rsidRPr="005432C6">
        <w:t xml:space="preserve">Latvija2030: </w:t>
      </w:r>
      <w:hyperlink r:id="rId2" w:history="1">
        <w:r w:rsidRPr="005432C6">
          <w:rPr>
            <w:rStyle w:val="Hyperlink"/>
          </w:rPr>
          <w:t>https://www.pkc.gov.lv/sites/default/files/inline-files/Latvija_2030_7.pdf</w:t>
        </w:r>
      </w:hyperlink>
    </w:p>
  </w:footnote>
  <w:footnote w:id="4">
    <w:p w14:paraId="430A6676" w14:textId="7525269C" w:rsidR="00515FDF" w:rsidRPr="005432C6" w:rsidRDefault="00515FDF" w:rsidP="00515FDF">
      <w:pPr>
        <w:pStyle w:val="FootnoteText"/>
        <w:jc w:val="both"/>
      </w:pPr>
      <w:r w:rsidRPr="005432C6">
        <w:rPr>
          <w:rStyle w:val="FootnoteReference"/>
        </w:rPr>
        <w:footnoteRef/>
      </w:r>
      <w:r w:rsidRPr="005432C6">
        <w:t xml:space="preserve"> </w:t>
      </w:r>
      <w:r w:rsidRPr="005432C6">
        <w:t xml:space="preserve">NAP2027: </w:t>
      </w:r>
      <w:hyperlink r:id="rId3" w:history="1">
        <w:r w:rsidRPr="005432C6">
          <w:rPr>
            <w:rStyle w:val="Hyperlink"/>
          </w:rPr>
          <w:t>https://likumi.lv/ta/id/315879-par-latvijas-nacionalo-attistibas-planu-20212027-gadam-nap2027</w:t>
        </w:r>
      </w:hyperlink>
    </w:p>
  </w:footnote>
  <w:footnote w:id="5">
    <w:p w14:paraId="01099057" w14:textId="1C49EDB3" w:rsidR="00515FDF" w:rsidRPr="005432C6" w:rsidRDefault="00515FDF" w:rsidP="00515FDF">
      <w:pPr>
        <w:pStyle w:val="FootnoteText"/>
        <w:jc w:val="both"/>
      </w:pPr>
      <w:r w:rsidRPr="005432C6">
        <w:rPr>
          <w:rStyle w:val="FootnoteReference"/>
        </w:rPr>
        <w:footnoteRef/>
      </w:r>
      <w:r w:rsidRPr="005432C6">
        <w:t xml:space="preserve"> </w:t>
      </w:r>
      <w:r w:rsidRPr="005432C6">
        <w:t xml:space="preserve">2019.gada 11.decembra Komisijas paziņojums Eiropas Parlamentam, Eiropadomei, Eiropas Ekonomikas un sociālo lietu komitejai un Reģionu komitejai “Eiropas zaļai kurss”, COM(2029)640 </w:t>
      </w:r>
      <w:proofErr w:type="spellStart"/>
      <w:r w:rsidRPr="005432C6">
        <w:t>final</w:t>
      </w:r>
      <w:proofErr w:type="spellEnd"/>
      <w:r w:rsidRPr="005432C6">
        <w:t xml:space="preserve"> (</w:t>
      </w:r>
      <w:hyperlink r:id="rId4" w:history="1">
        <w:r w:rsidRPr="005432C6">
          <w:rPr>
            <w:rStyle w:val="Hyperlink"/>
          </w:rPr>
          <w:t>https://eur-lex.europa.eu/legal-content/IT/TXT/?uri=CELEX:52019DC0640</w:t>
        </w:r>
      </w:hyperlink>
      <w:r w:rsidRPr="005432C6">
        <w:t>)</w:t>
      </w:r>
      <w:r w:rsidR="00822129">
        <w:t>.</w:t>
      </w:r>
    </w:p>
  </w:footnote>
  <w:footnote w:id="6">
    <w:p w14:paraId="66F31A6B" w14:textId="77777777" w:rsidR="00515FDF" w:rsidRPr="005432C6" w:rsidRDefault="00515FDF" w:rsidP="00515FDF">
      <w:pPr>
        <w:pStyle w:val="FootnoteText"/>
        <w:jc w:val="both"/>
      </w:pPr>
      <w:r w:rsidRPr="005432C6">
        <w:rPr>
          <w:rStyle w:val="FootnoteReference"/>
        </w:rPr>
        <w:footnoteRef/>
      </w:r>
      <w:r w:rsidRPr="005432C6">
        <w:t xml:space="preserve"> </w:t>
      </w:r>
      <w:r w:rsidRPr="005432C6">
        <w:rPr>
          <w:shd w:val="clear" w:color="auto" w:fill="FFFFFF"/>
        </w:rPr>
        <w:t> </w:t>
      </w:r>
      <w:r w:rsidRPr="005432C6">
        <w:rPr>
          <w:shd w:val="clear" w:color="auto" w:fill="FFFFFF"/>
        </w:rPr>
        <w:t>Eiropas Parlamenta un Eiropas Savienības Padomes Direktīva 2001/42/EK par noteiktu plānu un programmu ietekmes uz vidi novērtējumu</w:t>
      </w:r>
      <w:r>
        <w:rPr>
          <w:shd w:val="clear" w:color="auto" w:fill="FFFFFF"/>
        </w:rPr>
        <w:t>.</w:t>
      </w:r>
    </w:p>
  </w:footnote>
  <w:footnote w:id="7">
    <w:p w14:paraId="17495949" w14:textId="6FA976B5" w:rsidR="00515FDF" w:rsidRPr="005432C6" w:rsidRDefault="00515FDF" w:rsidP="00515FDF">
      <w:pPr>
        <w:pStyle w:val="FootnoteText"/>
      </w:pPr>
      <w:r w:rsidRPr="005432C6">
        <w:rPr>
          <w:rStyle w:val="FootnoteReference"/>
        </w:rPr>
        <w:footnoteRef/>
      </w:r>
      <w:r w:rsidRPr="005432C6">
        <w:t xml:space="preserve"> </w:t>
      </w:r>
      <w:r w:rsidRPr="005432C6">
        <w:t>Eiropas Vides aģentūras (2020) “Vide Eiropā: Stāvoklis un perspektīvas 2020”: (</w:t>
      </w:r>
      <w:hyperlink r:id="rId5" w:history="1">
        <w:r w:rsidRPr="005432C6">
          <w:rPr>
            <w:rStyle w:val="Hyperlink"/>
          </w:rPr>
          <w:t>https://www.eea.europa.eu/lv/publications/vide-eiropa-stavoklis-un</w:t>
        </w:r>
      </w:hyperlink>
      <w:r w:rsidRPr="005432C6">
        <w:rPr>
          <w:rStyle w:val="Hyperlink"/>
        </w:rPr>
        <w:t>)</w:t>
      </w:r>
      <w:r w:rsidRPr="005432C6">
        <w:t>.</w:t>
      </w:r>
    </w:p>
  </w:footnote>
  <w:footnote w:id="8">
    <w:p w14:paraId="73F2FF5D" w14:textId="533BE23C" w:rsidR="00BE2D38" w:rsidRDefault="00BE2D38">
      <w:pPr>
        <w:pStyle w:val="FootnoteText"/>
      </w:pPr>
      <w:r>
        <w:rPr>
          <w:rStyle w:val="FootnoteReference"/>
        </w:rPr>
        <w:footnoteRef/>
      </w:r>
      <w:r w:rsidR="00822129">
        <w:t xml:space="preserve"> </w:t>
      </w:r>
      <w:r>
        <w:t>Pieejam</w:t>
      </w:r>
      <w:r w:rsidR="006D0374">
        <w:t>a</w:t>
      </w:r>
      <w:r>
        <w:t>:</w:t>
      </w:r>
      <w:r w:rsidR="00D937AE">
        <w:t xml:space="preserve"> </w:t>
      </w:r>
      <w:hyperlink r:id="rId6" w:history="1">
        <w:r w:rsidR="006D0374">
          <w:rPr>
            <w:rStyle w:val="Hyperlink"/>
          </w:rPr>
          <w:t>https://www.varam.gov.lv/lv/jaunums/pazinojums-par-lidzdalibas-iespejam-piedalities-vides-politikas-pamatnostadnu-2021-2027gadam-vides-parskata-sabiedriskas-apspriesanas-sanaksme</w:t>
        </w:r>
      </w:hyperlink>
    </w:p>
  </w:footnote>
  <w:footnote w:id="9">
    <w:p w14:paraId="4C3B7551" w14:textId="77777777" w:rsidR="00D62190" w:rsidRPr="003E5C07" w:rsidRDefault="00D62190" w:rsidP="00D62190">
      <w:pPr>
        <w:jc w:val="both"/>
        <w:rPr>
          <w:sz w:val="20"/>
          <w:szCs w:val="20"/>
          <w:lang w:eastAsia="en-GB" w:bidi="lo-LA"/>
        </w:rPr>
      </w:pPr>
      <w:r w:rsidRPr="003E5C07">
        <w:rPr>
          <w:rStyle w:val="FootnoteReference"/>
          <w:sz w:val="20"/>
          <w:szCs w:val="20"/>
        </w:rPr>
        <w:footnoteRef/>
      </w:r>
      <w:r w:rsidRPr="003E5C07">
        <w:rPr>
          <w:sz w:val="20"/>
          <w:szCs w:val="20"/>
        </w:rPr>
        <w:t xml:space="preserve"> </w:t>
      </w:r>
      <w:r w:rsidRPr="003E5C07">
        <w:rPr>
          <w:sz w:val="20"/>
          <w:szCs w:val="20"/>
          <w:lang w:eastAsia="en-GB" w:bidi="lo-LA"/>
        </w:rPr>
        <w:t>Civilās aizsardzības un katastrofas pārvaldīšanas likumā zemestrīces noteiktas kā viens no dabas katastrofas veidiem.</w:t>
      </w:r>
    </w:p>
    <w:p w14:paraId="201078DF" w14:textId="77777777" w:rsidR="00D62190" w:rsidRDefault="00D62190" w:rsidP="00D621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1924" w14:textId="77777777" w:rsidR="00AB5D5D" w:rsidRDefault="00AB5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FB1C" w14:textId="77777777" w:rsidR="00AB5D5D" w:rsidRDefault="00AB5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A8B3" w14:textId="77777777" w:rsidR="00AB5D5D" w:rsidRDefault="00AB5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6D998"/>
    <w:multiLevelType w:val="hybridMultilevel"/>
    <w:tmpl w:val="843E72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DBF86852"/>
    <w:name w:val="WW8Num1"/>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cs="Times New Roman"/>
        <w:sz w:val="28"/>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CAA7BB9"/>
    <w:multiLevelType w:val="hybridMultilevel"/>
    <w:tmpl w:val="56488BE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5FA5D44"/>
    <w:multiLevelType w:val="hybridMultilevel"/>
    <w:tmpl w:val="AA4A8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0631EF"/>
    <w:multiLevelType w:val="hybridMultilevel"/>
    <w:tmpl w:val="9A8A341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FCD3B5C"/>
    <w:multiLevelType w:val="hybridMultilevel"/>
    <w:tmpl w:val="E4681A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945FBA"/>
    <w:multiLevelType w:val="hybridMultilevel"/>
    <w:tmpl w:val="565A43FC"/>
    <w:lvl w:ilvl="0" w:tplc="0426000F">
      <w:start w:val="1"/>
      <w:numFmt w:val="decimal"/>
      <w:lvlText w:val="%1."/>
      <w:lvlJc w:val="left"/>
      <w:pPr>
        <w:ind w:left="776" w:hanging="360"/>
      </w:pPr>
    </w:lvl>
    <w:lvl w:ilvl="1" w:tplc="04260019" w:tentative="1">
      <w:start w:val="1"/>
      <w:numFmt w:val="lowerLetter"/>
      <w:lvlText w:val="%2."/>
      <w:lvlJc w:val="left"/>
      <w:pPr>
        <w:ind w:left="1496" w:hanging="360"/>
      </w:pPr>
    </w:lvl>
    <w:lvl w:ilvl="2" w:tplc="0426001B" w:tentative="1">
      <w:start w:val="1"/>
      <w:numFmt w:val="lowerRoman"/>
      <w:lvlText w:val="%3."/>
      <w:lvlJc w:val="right"/>
      <w:pPr>
        <w:ind w:left="2216" w:hanging="180"/>
      </w:pPr>
    </w:lvl>
    <w:lvl w:ilvl="3" w:tplc="0426000F" w:tentative="1">
      <w:start w:val="1"/>
      <w:numFmt w:val="decimal"/>
      <w:lvlText w:val="%4."/>
      <w:lvlJc w:val="left"/>
      <w:pPr>
        <w:ind w:left="2936" w:hanging="360"/>
      </w:pPr>
    </w:lvl>
    <w:lvl w:ilvl="4" w:tplc="04260019" w:tentative="1">
      <w:start w:val="1"/>
      <w:numFmt w:val="lowerLetter"/>
      <w:lvlText w:val="%5."/>
      <w:lvlJc w:val="left"/>
      <w:pPr>
        <w:ind w:left="3656" w:hanging="360"/>
      </w:pPr>
    </w:lvl>
    <w:lvl w:ilvl="5" w:tplc="0426001B" w:tentative="1">
      <w:start w:val="1"/>
      <w:numFmt w:val="lowerRoman"/>
      <w:lvlText w:val="%6."/>
      <w:lvlJc w:val="right"/>
      <w:pPr>
        <w:ind w:left="4376" w:hanging="180"/>
      </w:pPr>
    </w:lvl>
    <w:lvl w:ilvl="6" w:tplc="0426000F" w:tentative="1">
      <w:start w:val="1"/>
      <w:numFmt w:val="decimal"/>
      <w:lvlText w:val="%7."/>
      <w:lvlJc w:val="left"/>
      <w:pPr>
        <w:ind w:left="5096" w:hanging="360"/>
      </w:pPr>
    </w:lvl>
    <w:lvl w:ilvl="7" w:tplc="04260019" w:tentative="1">
      <w:start w:val="1"/>
      <w:numFmt w:val="lowerLetter"/>
      <w:lvlText w:val="%8."/>
      <w:lvlJc w:val="left"/>
      <w:pPr>
        <w:ind w:left="5816" w:hanging="360"/>
      </w:pPr>
    </w:lvl>
    <w:lvl w:ilvl="8" w:tplc="0426001B" w:tentative="1">
      <w:start w:val="1"/>
      <w:numFmt w:val="lowerRoman"/>
      <w:lvlText w:val="%9."/>
      <w:lvlJc w:val="right"/>
      <w:pPr>
        <w:ind w:left="6536" w:hanging="180"/>
      </w:pPr>
    </w:lvl>
  </w:abstractNum>
  <w:abstractNum w:abstractNumId="8" w15:restartNumberingAfterBreak="0">
    <w:nsid w:val="36A051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3ACA248A"/>
    <w:multiLevelType w:val="hybridMultilevel"/>
    <w:tmpl w:val="104234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0316B5"/>
    <w:multiLevelType w:val="hybridMultilevel"/>
    <w:tmpl w:val="D8D06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DF4F9A"/>
    <w:multiLevelType w:val="multilevel"/>
    <w:tmpl w:val="B4269530"/>
    <w:lvl w:ilvl="0">
      <w:start w:val="1"/>
      <w:numFmt w:val="decimal"/>
      <w:lvlText w:val="%1."/>
      <w:lvlJc w:val="left"/>
      <w:pPr>
        <w:ind w:left="720" w:hanging="360"/>
      </w:pPr>
      <w:rPr>
        <w:rFonts w:hint="default"/>
      </w:rPr>
    </w:lvl>
    <w:lvl w:ilvl="1">
      <w:start w:val="1"/>
      <w:numFmt w:val="decimal"/>
      <w:lvlText w:val="%2."/>
      <w:lvlJc w:val="left"/>
      <w:pPr>
        <w:ind w:left="2911" w:hanging="360"/>
      </w:pPr>
    </w:lvl>
    <w:lvl w:ilvl="2">
      <w:start w:val="1"/>
      <w:numFmt w:val="decimal"/>
      <w:lvlText w:val="%3)"/>
      <w:lvlJc w:val="left"/>
      <w:pPr>
        <w:ind w:left="720" w:hanging="360"/>
      </w:p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0E4017"/>
    <w:multiLevelType w:val="hybridMultilevel"/>
    <w:tmpl w:val="E13652CA"/>
    <w:lvl w:ilvl="0" w:tplc="9536E06A">
      <w:start w:val="1"/>
      <w:numFmt w:val="decimal"/>
      <w:lvlText w:val="%1."/>
      <w:lvlJc w:val="left"/>
      <w:pPr>
        <w:ind w:left="1287" w:hanging="360"/>
      </w:pPr>
    </w:lvl>
    <w:lvl w:ilvl="1" w:tplc="0426000F">
      <w:start w:val="1"/>
      <w:numFmt w:val="decimal"/>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39A7F93"/>
    <w:multiLevelType w:val="hybridMultilevel"/>
    <w:tmpl w:val="DA28E9E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4C433CC"/>
    <w:multiLevelType w:val="multilevel"/>
    <w:tmpl w:val="A63262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436E02"/>
    <w:multiLevelType w:val="hybridMultilevel"/>
    <w:tmpl w:val="D44AC3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1">
    <w:nsid w:val="58347A51"/>
    <w:multiLevelType w:val="hybridMultilevel"/>
    <w:tmpl w:val="9BAA6638"/>
    <w:lvl w:ilvl="0" w:tplc="4F60A040">
      <w:start w:val="1"/>
      <w:numFmt w:val="decimal"/>
      <w:lvlText w:val="%1."/>
      <w:lvlJc w:val="left"/>
      <w:pPr>
        <w:tabs>
          <w:tab w:val="num" w:pos="1080"/>
        </w:tabs>
        <w:ind w:left="1080" w:hanging="360"/>
      </w:pPr>
    </w:lvl>
    <w:lvl w:ilvl="1" w:tplc="26784416" w:tentative="1">
      <w:start w:val="1"/>
      <w:numFmt w:val="lowerLetter"/>
      <w:lvlText w:val="%2."/>
      <w:lvlJc w:val="left"/>
      <w:pPr>
        <w:tabs>
          <w:tab w:val="num" w:pos="1800"/>
        </w:tabs>
        <w:ind w:left="1800" w:hanging="360"/>
      </w:pPr>
    </w:lvl>
    <w:lvl w:ilvl="2" w:tplc="4ED802F8" w:tentative="1">
      <w:start w:val="1"/>
      <w:numFmt w:val="lowerRoman"/>
      <w:lvlText w:val="%3."/>
      <w:lvlJc w:val="right"/>
      <w:pPr>
        <w:tabs>
          <w:tab w:val="num" w:pos="2520"/>
        </w:tabs>
        <w:ind w:left="2520" w:hanging="180"/>
      </w:pPr>
    </w:lvl>
    <w:lvl w:ilvl="3" w:tplc="5C3AB0B0" w:tentative="1">
      <w:start w:val="1"/>
      <w:numFmt w:val="decimal"/>
      <w:lvlText w:val="%4."/>
      <w:lvlJc w:val="left"/>
      <w:pPr>
        <w:tabs>
          <w:tab w:val="num" w:pos="3240"/>
        </w:tabs>
        <w:ind w:left="3240" w:hanging="360"/>
      </w:pPr>
    </w:lvl>
    <w:lvl w:ilvl="4" w:tplc="CAD4AF4E" w:tentative="1">
      <w:start w:val="1"/>
      <w:numFmt w:val="lowerLetter"/>
      <w:lvlText w:val="%5."/>
      <w:lvlJc w:val="left"/>
      <w:pPr>
        <w:tabs>
          <w:tab w:val="num" w:pos="3960"/>
        </w:tabs>
        <w:ind w:left="3960" w:hanging="360"/>
      </w:pPr>
    </w:lvl>
    <w:lvl w:ilvl="5" w:tplc="C16247A4" w:tentative="1">
      <w:start w:val="1"/>
      <w:numFmt w:val="lowerRoman"/>
      <w:lvlText w:val="%6."/>
      <w:lvlJc w:val="right"/>
      <w:pPr>
        <w:tabs>
          <w:tab w:val="num" w:pos="4680"/>
        </w:tabs>
        <w:ind w:left="4680" w:hanging="180"/>
      </w:pPr>
    </w:lvl>
    <w:lvl w:ilvl="6" w:tplc="D7821D04" w:tentative="1">
      <w:start w:val="1"/>
      <w:numFmt w:val="decimal"/>
      <w:lvlText w:val="%7."/>
      <w:lvlJc w:val="left"/>
      <w:pPr>
        <w:tabs>
          <w:tab w:val="num" w:pos="5400"/>
        </w:tabs>
        <w:ind w:left="5400" w:hanging="360"/>
      </w:pPr>
    </w:lvl>
    <w:lvl w:ilvl="7" w:tplc="9C5AA28A" w:tentative="1">
      <w:start w:val="1"/>
      <w:numFmt w:val="lowerLetter"/>
      <w:lvlText w:val="%8."/>
      <w:lvlJc w:val="left"/>
      <w:pPr>
        <w:tabs>
          <w:tab w:val="num" w:pos="6120"/>
        </w:tabs>
        <w:ind w:left="6120" w:hanging="360"/>
      </w:pPr>
    </w:lvl>
    <w:lvl w:ilvl="8" w:tplc="0366C262" w:tentative="1">
      <w:start w:val="1"/>
      <w:numFmt w:val="lowerRoman"/>
      <w:lvlText w:val="%9."/>
      <w:lvlJc w:val="right"/>
      <w:pPr>
        <w:tabs>
          <w:tab w:val="num" w:pos="6840"/>
        </w:tabs>
        <w:ind w:left="6840" w:hanging="180"/>
      </w:pPr>
    </w:lvl>
  </w:abstractNum>
  <w:abstractNum w:abstractNumId="17" w15:restartNumberingAfterBreak="0">
    <w:nsid w:val="64A5F40D"/>
    <w:multiLevelType w:val="hybridMultilevel"/>
    <w:tmpl w:val="F2ED2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9AE183E"/>
    <w:multiLevelType w:val="hybridMultilevel"/>
    <w:tmpl w:val="8996C214"/>
    <w:name w:val="WW8Num1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E016C83"/>
    <w:multiLevelType w:val="multilevel"/>
    <w:tmpl w:val="11984C3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71CB3800"/>
    <w:multiLevelType w:val="multilevel"/>
    <w:tmpl w:val="1CA687DE"/>
    <w:lvl w:ilvl="0">
      <w:start w:val="1"/>
      <w:numFmt w:val="decimal"/>
      <w:lvlText w:val="%1."/>
      <w:lvlJc w:val="left"/>
      <w:pPr>
        <w:ind w:left="720" w:hanging="360"/>
      </w:pPr>
      <w:rPr>
        <w:rFonts w:hint="default"/>
      </w:rPr>
    </w:lvl>
    <w:lvl w:ilvl="1">
      <w:start w:val="1"/>
      <w:numFmt w:val="decimal"/>
      <w:lvlText w:val="%2."/>
      <w:lvlJc w:val="left"/>
      <w:pPr>
        <w:ind w:left="2911" w:hanging="360"/>
      </w:pPr>
    </w:lvl>
    <w:lvl w:ilvl="2">
      <w:start w:val="1"/>
      <w:numFmt w:val="decimal"/>
      <w:isLgl/>
      <w:lvlText w:val="%1.%2.%3."/>
      <w:lvlJc w:val="left"/>
      <w:pPr>
        <w:ind w:left="1080" w:hanging="720"/>
      </w:pPr>
      <w:rPr>
        <w:rFonts w:hint="default"/>
        <w:i w:val="0"/>
        <w:u w:val="none"/>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86327C"/>
    <w:multiLevelType w:val="hybridMultilevel"/>
    <w:tmpl w:val="103886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E465D1"/>
    <w:multiLevelType w:val="hybridMultilevel"/>
    <w:tmpl w:val="A6DA63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96066614">
    <w:abstractNumId w:val="17"/>
  </w:num>
  <w:num w:numId="2" w16cid:durableId="549001451">
    <w:abstractNumId w:val="0"/>
  </w:num>
  <w:num w:numId="3" w16cid:durableId="459344794">
    <w:abstractNumId w:val="15"/>
  </w:num>
  <w:num w:numId="4" w16cid:durableId="1317539346">
    <w:abstractNumId w:val="4"/>
  </w:num>
  <w:num w:numId="5" w16cid:durableId="88860">
    <w:abstractNumId w:val="10"/>
  </w:num>
  <w:num w:numId="6" w16cid:durableId="5837705">
    <w:abstractNumId w:val="1"/>
  </w:num>
  <w:num w:numId="7" w16cid:durableId="326135382">
    <w:abstractNumId w:val="2"/>
  </w:num>
  <w:num w:numId="8" w16cid:durableId="393695902">
    <w:abstractNumId w:val="6"/>
  </w:num>
  <w:num w:numId="9" w16cid:durableId="1324701414">
    <w:abstractNumId w:val="21"/>
  </w:num>
  <w:num w:numId="10" w16cid:durableId="2132749205">
    <w:abstractNumId w:val="5"/>
  </w:num>
  <w:num w:numId="11" w16cid:durableId="1096439831">
    <w:abstractNumId w:val="12"/>
  </w:num>
  <w:num w:numId="12" w16cid:durableId="884832790">
    <w:abstractNumId w:val="22"/>
  </w:num>
  <w:num w:numId="13" w16cid:durableId="1865052055">
    <w:abstractNumId w:val="9"/>
  </w:num>
  <w:num w:numId="14" w16cid:durableId="1380009284">
    <w:abstractNumId w:val="3"/>
  </w:num>
  <w:num w:numId="15" w16cid:durableId="323171439">
    <w:abstractNumId w:val="13"/>
  </w:num>
  <w:num w:numId="16" w16cid:durableId="976685665">
    <w:abstractNumId w:val="7"/>
  </w:num>
  <w:num w:numId="17" w16cid:durableId="1644657464">
    <w:abstractNumId w:val="18"/>
  </w:num>
  <w:num w:numId="18" w16cid:durableId="1809585912">
    <w:abstractNumId w:val="20"/>
  </w:num>
  <w:num w:numId="19" w16cid:durableId="1794208026">
    <w:abstractNumId w:val="8"/>
  </w:num>
  <w:num w:numId="20" w16cid:durableId="1333606099">
    <w:abstractNumId w:val="16"/>
  </w:num>
  <w:num w:numId="21" w16cid:durableId="36515571">
    <w:abstractNumId w:val="14"/>
  </w:num>
  <w:num w:numId="22" w16cid:durableId="1800495344">
    <w:abstractNumId w:val="19"/>
  </w:num>
  <w:num w:numId="23" w16cid:durableId="535002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5A"/>
    <w:rsid w:val="0000212F"/>
    <w:rsid w:val="00006EF4"/>
    <w:rsid w:val="00036200"/>
    <w:rsid w:val="00046AB0"/>
    <w:rsid w:val="00055358"/>
    <w:rsid w:val="00064D37"/>
    <w:rsid w:val="000676E6"/>
    <w:rsid w:val="00083868"/>
    <w:rsid w:val="000C431D"/>
    <w:rsid w:val="000C5E43"/>
    <w:rsid w:val="000D1196"/>
    <w:rsid w:val="000E47B2"/>
    <w:rsid w:val="00101D5E"/>
    <w:rsid w:val="00112204"/>
    <w:rsid w:val="00124171"/>
    <w:rsid w:val="00127261"/>
    <w:rsid w:val="0012733B"/>
    <w:rsid w:val="00127490"/>
    <w:rsid w:val="001305E7"/>
    <w:rsid w:val="0016686A"/>
    <w:rsid w:val="00166CE8"/>
    <w:rsid w:val="00175E47"/>
    <w:rsid w:val="00192DBF"/>
    <w:rsid w:val="001A54F5"/>
    <w:rsid w:val="001A6F41"/>
    <w:rsid w:val="001B0A2B"/>
    <w:rsid w:val="001B49CF"/>
    <w:rsid w:val="001B656C"/>
    <w:rsid w:val="001D1EFD"/>
    <w:rsid w:val="00217D1A"/>
    <w:rsid w:val="0022044A"/>
    <w:rsid w:val="00223EB5"/>
    <w:rsid w:val="00231201"/>
    <w:rsid w:val="00231C9C"/>
    <w:rsid w:val="002727C2"/>
    <w:rsid w:val="00283A43"/>
    <w:rsid w:val="0028494C"/>
    <w:rsid w:val="002A20FF"/>
    <w:rsid w:val="002A623F"/>
    <w:rsid w:val="002A78DA"/>
    <w:rsid w:val="002C0FA4"/>
    <w:rsid w:val="002C4358"/>
    <w:rsid w:val="002DA165"/>
    <w:rsid w:val="002F04E5"/>
    <w:rsid w:val="00321A50"/>
    <w:rsid w:val="00326383"/>
    <w:rsid w:val="00360F2D"/>
    <w:rsid w:val="00371F13"/>
    <w:rsid w:val="00376CD8"/>
    <w:rsid w:val="00383B47"/>
    <w:rsid w:val="00390992"/>
    <w:rsid w:val="00397806"/>
    <w:rsid w:val="003A0402"/>
    <w:rsid w:val="003A4DC2"/>
    <w:rsid w:val="003A6483"/>
    <w:rsid w:val="003B1B0F"/>
    <w:rsid w:val="003B5BF8"/>
    <w:rsid w:val="003C256E"/>
    <w:rsid w:val="003C7BC3"/>
    <w:rsid w:val="003D36ED"/>
    <w:rsid w:val="003D7B26"/>
    <w:rsid w:val="003E0663"/>
    <w:rsid w:val="003E2D26"/>
    <w:rsid w:val="003E3447"/>
    <w:rsid w:val="003E47E2"/>
    <w:rsid w:val="00426038"/>
    <w:rsid w:val="00447A7C"/>
    <w:rsid w:val="00462996"/>
    <w:rsid w:val="00466A15"/>
    <w:rsid w:val="004A1B7E"/>
    <w:rsid w:val="004C122C"/>
    <w:rsid w:val="004C4D22"/>
    <w:rsid w:val="004D11D1"/>
    <w:rsid w:val="004D2C49"/>
    <w:rsid w:val="004F766A"/>
    <w:rsid w:val="0050380B"/>
    <w:rsid w:val="00511102"/>
    <w:rsid w:val="00515FDF"/>
    <w:rsid w:val="00517F44"/>
    <w:rsid w:val="00533B1C"/>
    <w:rsid w:val="00534FCB"/>
    <w:rsid w:val="005368D3"/>
    <w:rsid w:val="00541CD2"/>
    <w:rsid w:val="0054425A"/>
    <w:rsid w:val="005523A5"/>
    <w:rsid w:val="00571CE7"/>
    <w:rsid w:val="00585472"/>
    <w:rsid w:val="00594EC9"/>
    <w:rsid w:val="005A0BE0"/>
    <w:rsid w:val="005B406A"/>
    <w:rsid w:val="005D57F3"/>
    <w:rsid w:val="005F3C0A"/>
    <w:rsid w:val="005F6841"/>
    <w:rsid w:val="00601739"/>
    <w:rsid w:val="006060B9"/>
    <w:rsid w:val="00612AB1"/>
    <w:rsid w:val="00614226"/>
    <w:rsid w:val="00616DEC"/>
    <w:rsid w:val="0062220E"/>
    <w:rsid w:val="00626F41"/>
    <w:rsid w:val="006300CF"/>
    <w:rsid w:val="00630E8E"/>
    <w:rsid w:val="0063214A"/>
    <w:rsid w:val="00654ED5"/>
    <w:rsid w:val="006612FA"/>
    <w:rsid w:val="00663D03"/>
    <w:rsid w:val="00681732"/>
    <w:rsid w:val="0069075F"/>
    <w:rsid w:val="00691CEA"/>
    <w:rsid w:val="00691D04"/>
    <w:rsid w:val="00696D71"/>
    <w:rsid w:val="00697A1A"/>
    <w:rsid w:val="006A3BF7"/>
    <w:rsid w:val="006A4DB7"/>
    <w:rsid w:val="006A6AD3"/>
    <w:rsid w:val="006B20A8"/>
    <w:rsid w:val="006B2EDB"/>
    <w:rsid w:val="006B379D"/>
    <w:rsid w:val="006B7612"/>
    <w:rsid w:val="006D0374"/>
    <w:rsid w:val="006D16BE"/>
    <w:rsid w:val="006D4B81"/>
    <w:rsid w:val="006E0D3C"/>
    <w:rsid w:val="006E2C61"/>
    <w:rsid w:val="007012CD"/>
    <w:rsid w:val="007066ED"/>
    <w:rsid w:val="00716847"/>
    <w:rsid w:val="007349A3"/>
    <w:rsid w:val="00736403"/>
    <w:rsid w:val="00753D88"/>
    <w:rsid w:val="00753DC1"/>
    <w:rsid w:val="00761362"/>
    <w:rsid w:val="0079076E"/>
    <w:rsid w:val="007A596B"/>
    <w:rsid w:val="007A6A17"/>
    <w:rsid w:val="007B183B"/>
    <w:rsid w:val="007B5607"/>
    <w:rsid w:val="007C4226"/>
    <w:rsid w:val="007D26EA"/>
    <w:rsid w:val="007D5540"/>
    <w:rsid w:val="007F02CB"/>
    <w:rsid w:val="00822129"/>
    <w:rsid w:val="008267E0"/>
    <w:rsid w:val="008303F0"/>
    <w:rsid w:val="008408C3"/>
    <w:rsid w:val="0084423F"/>
    <w:rsid w:val="00860E36"/>
    <w:rsid w:val="008677C3"/>
    <w:rsid w:val="00885686"/>
    <w:rsid w:val="008C1C71"/>
    <w:rsid w:val="008C3268"/>
    <w:rsid w:val="008C3390"/>
    <w:rsid w:val="008C3F1C"/>
    <w:rsid w:val="008E5130"/>
    <w:rsid w:val="008F48AA"/>
    <w:rsid w:val="0090214A"/>
    <w:rsid w:val="00907EF7"/>
    <w:rsid w:val="00916AC6"/>
    <w:rsid w:val="009212DF"/>
    <w:rsid w:val="00954CCB"/>
    <w:rsid w:val="00972119"/>
    <w:rsid w:val="00994A09"/>
    <w:rsid w:val="009B2967"/>
    <w:rsid w:val="009C3B14"/>
    <w:rsid w:val="009C44AD"/>
    <w:rsid w:val="009C51F1"/>
    <w:rsid w:val="009D2DAA"/>
    <w:rsid w:val="009D3A0C"/>
    <w:rsid w:val="009E2A8C"/>
    <w:rsid w:val="009F50C1"/>
    <w:rsid w:val="009F6A48"/>
    <w:rsid w:val="009F73EA"/>
    <w:rsid w:val="009F79D3"/>
    <w:rsid w:val="00A1399B"/>
    <w:rsid w:val="00A265E1"/>
    <w:rsid w:val="00A3264F"/>
    <w:rsid w:val="00A6555A"/>
    <w:rsid w:val="00A66E4E"/>
    <w:rsid w:val="00A94DEB"/>
    <w:rsid w:val="00AB5D5D"/>
    <w:rsid w:val="00AD13AF"/>
    <w:rsid w:val="00AD6534"/>
    <w:rsid w:val="00AD6A48"/>
    <w:rsid w:val="00AE3657"/>
    <w:rsid w:val="00AE3E2A"/>
    <w:rsid w:val="00B02670"/>
    <w:rsid w:val="00B07AAC"/>
    <w:rsid w:val="00B23DAC"/>
    <w:rsid w:val="00B30BA2"/>
    <w:rsid w:val="00B41178"/>
    <w:rsid w:val="00B5007C"/>
    <w:rsid w:val="00B70510"/>
    <w:rsid w:val="00B71142"/>
    <w:rsid w:val="00B7333C"/>
    <w:rsid w:val="00B95AF9"/>
    <w:rsid w:val="00BB1C2A"/>
    <w:rsid w:val="00BB33AC"/>
    <w:rsid w:val="00BB4C86"/>
    <w:rsid w:val="00BC2A47"/>
    <w:rsid w:val="00BE2D38"/>
    <w:rsid w:val="00BF01DA"/>
    <w:rsid w:val="00BF41E3"/>
    <w:rsid w:val="00BF6CE1"/>
    <w:rsid w:val="00C01ECE"/>
    <w:rsid w:val="00C11A16"/>
    <w:rsid w:val="00C20E19"/>
    <w:rsid w:val="00C2587B"/>
    <w:rsid w:val="00C26F00"/>
    <w:rsid w:val="00C33974"/>
    <w:rsid w:val="00C55F38"/>
    <w:rsid w:val="00C579DF"/>
    <w:rsid w:val="00C57F30"/>
    <w:rsid w:val="00C71851"/>
    <w:rsid w:val="00C73863"/>
    <w:rsid w:val="00C807F8"/>
    <w:rsid w:val="00C95371"/>
    <w:rsid w:val="00C97556"/>
    <w:rsid w:val="00C97F1E"/>
    <w:rsid w:val="00CA7D4A"/>
    <w:rsid w:val="00CB446E"/>
    <w:rsid w:val="00CB4971"/>
    <w:rsid w:val="00CC305B"/>
    <w:rsid w:val="00CC4E56"/>
    <w:rsid w:val="00CC666A"/>
    <w:rsid w:val="00CF02DA"/>
    <w:rsid w:val="00D01586"/>
    <w:rsid w:val="00D02ADC"/>
    <w:rsid w:val="00D0737C"/>
    <w:rsid w:val="00D13C2C"/>
    <w:rsid w:val="00D149BE"/>
    <w:rsid w:val="00D1614D"/>
    <w:rsid w:val="00D25965"/>
    <w:rsid w:val="00D318B4"/>
    <w:rsid w:val="00D31D93"/>
    <w:rsid w:val="00D52F6E"/>
    <w:rsid w:val="00D56720"/>
    <w:rsid w:val="00D62190"/>
    <w:rsid w:val="00D7391E"/>
    <w:rsid w:val="00D75F6D"/>
    <w:rsid w:val="00D915B9"/>
    <w:rsid w:val="00D937AE"/>
    <w:rsid w:val="00DB113E"/>
    <w:rsid w:val="00DB4100"/>
    <w:rsid w:val="00DB45EE"/>
    <w:rsid w:val="00DC25F5"/>
    <w:rsid w:val="00DD2C84"/>
    <w:rsid w:val="00DE767B"/>
    <w:rsid w:val="00E25313"/>
    <w:rsid w:val="00E32C3A"/>
    <w:rsid w:val="00E33016"/>
    <w:rsid w:val="00E33A75"/>
    <w:rsid w:val="00E3531C"/>
    <w:rsid w:val="00E4357C"/>
    <w:rsid w:val="00E57B36"/>
    <w:rsid w:val="00E63EEF"/>
    <w:rsid w:val="00E725FC"/>
    <w:rsid w:val="00E75B5C"/>
    <w:rsid w:val="00E9130F"/>
    <w:rsid w:val="00E91F07"/>
    <w:rsid w:val="00E944C2"/>
    <w:rsid w:val="00EA65D6"/>
    <w:rsid w:val="00EC0C0B"/>
    <w:rsid w:val="00ED3971"/>
    <w:rsid w:val="00EE2781"/>
    <w:rsid w:val="00F41ACB"/>
    <w:rsid w:val="00F431D1"/>
    <w:rsid w:val="00F51DEC"/>
    <w:rsid w:val="00F5683B"/>
    <w:rsid w:val="00F63692"/>
    <w:rsid w:val="00F672FB"/>
    <w:rsid w:val="00F67E11"/>
    <w:rsid w:val="00F70E2C"/>
    <w:rsid w:val="00F7187F"/>
    <w:rsid w:val="00F8350C"/>
    <w:rsid w:val="00F87D57"/>
    <w:rsid w:val="00F92D4C"/>
    <w:rsid w:val="00FB480B"/>
    <w:rsid w:val="00FC3D17"/>
    <w:rsid w:val="00FD234A"/>
    <w:rsid w:val="00FD2A7C"/>
    <w:rsid w:val="00FF2767"/>
    <w:rsid w:val="00FF62AE"/>
    <w:rsid w:val="0B28C078"/>
    <w:rsid w:val="0B83CF53"/>
    <w:rsid w:val="12ECA723"/>
    <w:rsid w:val="16375F4F"/>
    <w:rsid w:val="1877B149"/>
    <w:rsid w:val="1C5F4CFF"/>
    <w:rsid w:val="1CA6B238"/>
    <w:rsid w:val="25DA5FB8"/>
    <w:rsid w:val="261595C9"/>
    <w:rsid w:val="29C85B23"/>
    <w:rsid w:val="33BA21E4"/>
    <w:rsid w:val="34AB2250"/>
    <w:rsid w:val="363949B6"/>
    <w:rsid w:val="3646F2B1"/>
    <w:rsid w:val="39838109"/>
    <w:rsid w:val="3B634C3A"/>
    <w:rsid w:val="3C3BADF0"/>
    <w:rsid w:val="3E8EC911"/>
    <w:rsid w:val="40290DEB"/>
    <w:rsid w:val="429EAF09"/>
    <w:rsid w:val="52BE09BB"/>
    <w:rsid w:val="540E8A39"/>
    <w:rsid w:val="541A2590"/>
    <w:rsid w:val="570C37EB"/>
    <w:rsid w:val="57512EDA"/>
    <w:rsid w:val="5D5713BA"/>
    <w:rsid w:val="5EB56241"/>
    <w:rsid w:val="658DB43F"/>
    <w:rsid w:val="6614062C"/>
    <w:rsid w:val="68EE8E2F"/>
    <w:rsid w:val="6FA175B6"/>
    <w:rsid w:val="718A0C55"/>
    <w:rsid w:val="72157EA5"/>
    <w:rsid w:val="72E54947"/>
    <w:rsid w:val="74B63AFA"/>
    <w:rsid w:val="75A765B2"/>
    <w:rsid w:val="783B2064"/>
    <w:rsid w:val="79F874EC"/>
    <w:rsid w:val="7C59757A"/>
    <w:rsid w:val="7ECBE60F"/>
    <w:rsid w:val="7F0F8C1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A4455"/>
  <w15:chartTrackingRefBased/>
  <w15:docId w15:val="{1A322371-B9FF-459E-8986-E20180D3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5D6"/>
    <w:pPr>
      <w:autoSpaceDE w:val="0"/>
      <w:autoSpaceDN w:val="0"/>
      <w:adjustRightInd w:val="0"/>
    </w:pPr>
    <w:rPr>
      <w:rFonts w:ascii="Calibri" w:hAnsi="Calibri" w:cs="Calibri"/>
      <w:color w:val="000000"/>
      <w:sz w:val="24"/>
      <w:szCs w:val="24"/>
      <w:lang w:val="lv-LV" w:eastAsia="lv-LV"/>
    </w:rPr>
  </w:style>
  <w:style w:type="paragraph" w:styleId="BalloonText">
    <w:name w:val="Balloon Text"/>
    <w:basedOn w:val="Normal"/>
    <w:link w:val="BalloonTextChar"/>
    <w:uiPriority w:val="99"/>
    <w:semiHidden/>
    <w:unhideWhenUsed/>
    <w:rsid w:val="00601739"/>
    <w:rPr>
      <w:rFonts w:ascii="Tahoma" w:hAnsi="Tahoma" w:cs="Tahoma"/>
      <w:sz w:val="16"/>
      <w:szCs w:val="16"/>
    </w:rPr>
  </w:style>
  <w:style w:type="character" w:customStyle="1" w:styleId="BalloonTextChar">
    <w:name w:val="Balloon Text Char"/>
    <w:link w:val="BalloonText"/>
    <w:uiPriority w:val="99"/>
    <w:semiHidden/>
    <w:rsid w:val="00601739"/>
    <w:rPr>
      <w:rFonts w:ascii="Tahoma" w:hAnsi="Tahoma" w:cs="Tahoma"/>
      <w:sz w:val="16"/>
      <w:szCs w:val="16"/>
    </w:rPr>
  </w:style>
  <w:style w:type="character" w:styleId="CommentReference">
    <w:name w:val="annotation reference"/>
    <w:uiPriority w:val="99"/>
    <w:semiHidden/>
    <w:unhideWhenUsed/>
    <w:rsid w:val="00601739"/>
    <w:rPr>
      <w:sz w:val="16"/>
      <w:szCs w:val="16"/>
    </w:rPr>
  </w:style>
  <w:style w:type="paragraph" w:styleId="CommentText">
    <w:name w:val="annotation text"/>
    <w:basedOn w:val="Normal"/>
    <w:link w:val="CommentTextChar"/>
    <w:uiPriority w:val="99"/>
    <w:unhideWhenUsed/>
    <w:rsid w:val="00601739"/>
    <w:rPr>
      <w:sz w:val="20"/>
      <w:szCs w:val="20"/>
    </w:rPr>
  </w:style>
  <w:style w:type="character" w:customStyle="1" w:styleId="CommentTextChar">
    <w:name w:val="Comment Text Char"/>
    <w:basedOn w:val="DefaultParagraphFont"/>
    <w:link w:val="CommentText"/>
    <w:uiPriority w:val="99"/>
    <w:rsid w:val="00601739"/>
  </w:style>
  <w:style w:type="paragraph" w:styleId="CommentSubject">
    <w:name w:val="annotation subject"/>
    <w:basedOn w:val="CommentText"/>
    <w:next w:val="CommentText"/>
    <w:link w:val="CommentSubjectChar"/>
    <w:uiPriority w:val="99"/>
    <w:semiHidden/>
    <w:unhideWhenUsed/>
    <w:rsid w:val="00601739"/>
    <w:rPr>
      <w:b/>
      <w:bCs/>
    </w:rPr>
  </w:style>
  <w:style w:type="character" w:customStyle="1" w:styleId="CommentSubjectChar">
    <w:name w:val="Comment Subject Char"/>
    <w:link w:val="CommentSubject"/>
    <w:uiPriority w:val="99"/>
    <w:semiHidden/>
    <w:rsid w:val="00601739"/>
    <w:rPr>
      <w:b/>
      <w:bCs/>
    </w:rPr>
  </w:style>
  <w:style w:type="paragraph" w:styleId="Revision">
    <w:name w:val="Revision"/>
    <w:hidden/>
    <w:uiPriority w:val="99"/>
    <w:semiHidden/>
    <w:rsid w:val="003A6483"/>
    <w:rPr>
      <w:sz w:val="24"/>
      <w:szCs w:val="24"/>
      <w:lang w:val="lv-LV" w:eastAsia="lv-LV"/>
    </w:rPr>
  </w:style>
  <w:style w:type="paragraph" w:styleId="FootnoteText">
    <w:name w:val="footnote text"/>
    <w:aliases w:val="Footnote,Fu,FuЯn,FuЯnote,FuЯnotentext Char,FuЯnotentext Char Char,FuЯnotentext Char Char Char Char,FuЯnotentext Char Char Char Char Char Char,FuЯnotentext Char1 Char Char Char,FuЯnotentext Char1 Char Char Char Char,FuЯnotentext Char1 Char1"/>
    <w:basedOn w:val="Normal"/>
    <w:link w:val="FootnoteTextChar"/>
    <w:uiPriority w:val="99"/>
    <w:unhideWhenUsed/>
    <w:qFormat/>
    <w:rsid w:val="009C44AD"/>
    <w:rPr>
      <w:sz w:val="20"/>
      <w:szCs w:val="20"/>
    </w:rPr>
  </w:style>
  <w:style w:type="character" w:customStyle="1" w:styleId="FootnoteTextChar">
    <w:name w:val="Footnote Text Char"/>
    <w:aliases w:val="Footnote Char,Fu Char,FuЯn Char,FuЯnote Char,FuЯnotentext Char Char1,FuЯnotentext Char Char Char,FuЯnotentext Char Char Char Char Char,FuЯnotentext Char Char Char Char Char Char Char,FuЯnotentext Char1 Char Char Char Char1"/>
    <w:basedOn w:val="DefaultParagraphFont"/>
    <w:link w:val="FootnoteText"/>
    <w:uiPriority w:val="99"/>
    <w:qFormat/>
    <w:rsid w:val="009C44AD"/>
  </w:style>
  <w:style w:type="character" w:styleId="FootnoteReference">
    <w:name w:val="footnote reference"/>
    <w:aliases w:val="(Footnote Reference),16 Point,BVI fnr,Footnote Reference Number,Footnote Reference Superscript,Footnote Refernece,Footnote reference number,Footnote symbol,SUPERS,Stinking Styles22,Superscript 6 Point,fr,note TESI"/>
    <w:link w:val="CharCharCharChar"/>
    <w:uiPriority w:val="99"/>
    <w:unhideWhenUsed/>
    <w:qFormat/>
    <w:rsid w:val="009C44AD"/>
    <w:rPr>
      <w:vertAlign w:val="superscript"/>
    </w:rPr>
  </w:style>
  <w:style w:type="character" w:styleId="Hyperlink">
    <w:name w:val="Hyperlink"/>
    <w:uiPriority w:val="99"/>
    <w:unhideWhenUsed/>
    <w:rsid w:val="009C44AD"/>
    <w:rPr>
      <w:color w:val="0000FF"/>
      <w:u w:val="single"/>
    </w:rPr>
  </w:style>
  <w:style w:type="paragraph" w:styleId="Header">
    <w:name w:val="header"/>
    <w:basedOn w:val="Normal"/>
    <w:link w:val="HeaderChar"/>
    <w:uiPriority w:val="99"/>
    <w:unhideWhenUsed/>
    <w:rsid w:val="008C3268"/>
    <w:pPr>
      <w:tabs>
        <w:tab w:val="center" w:pos="4153"/>
        <w:tab w:val="right" w:pos="8306"/>
      </w:tabs>
    </w:pPr>
  </w:style>
  <w:style w:type="character" w:customStyle="1" w:styleId="HeaderChar">
    <w:name w:val="Header Char"/>
    <w:link w:val="Header"/>
    <w:uiPriority w:val="99"/>
    <w:rsid w:val="008C3268"/>
    <w:rPr>
      <w:sz w:val="24"/>
      <w:szCs w:val="24"/>
    </w:rPr>
  </w:style>
  <w:style w:type="paragraph" w:styleId="Footer">
    <w:name w:val="footer"/>
    <w:basedOn w:val="Normal"/>
    <w:link w:val="FooterChar"/>
    <w:uiPriority w:val="99"/>
    <w:unhideWhenUsed/>
    <w:rsid w:val="008C3268"/>
    <w:pPr>
      <w:tabs>
        <w:tab w:val="center" w:pos="4153"/>
        <w:tab w:val="right" w:pos="8306"/>
      </w:tabs>
    </w:pPr>
  </w:style>
  <w:style w:type="character" w:customStyle="1" w:styleId="FooterChar">
    <w:name w:val="Footer Char"/>
    <w:link w:val="Footer"/>
    <w:uiPriority w:val="99"/>
    <w:rsid w:val="008C3268"/>
    <w:rPr>
      <w:sz w:val="24"/>
      <w:szCs w:val="24"/>
    </w:rPr>
  </w:style>
  <w:style w:type="character" w:customStyle="1" w:styleId="Vresrakstzmes">
    <w:name w:val="Vēres rakstzīmes"/>
    <w:rsid w:val="000D1196"/>
    <w:rPr>
      <w:vertAlign w:val="superscript"/>
    </w:rPr>
  </w:style>
  <w:style w:type="paragraph" w:styleId="NormalWeb">
    <w:name w:val="Normal (Web)"/>
    <w:basedOn w:val="Normal"/>
    <w:uiPriority w:val="99"/>
    <w:unhideWhenUsed/>
    <w:rsid w:val="00D915B9"/>
    <w:pPr>
      <w:spacing w:before="100" w:beforeAutospacing="1" w:after="100" w:afterAutospacing="1"/>
    </w:pPr>
  </w:style>
  <w:style w:type="paragraph" w:customStyle="1" w:styleId="tv213">
    <w:name w:val="tv213"/>
    <w:basedOn w:val="Normal"/>
    <w:rsid w:val="007B183B"/>
    <w:pPr>
      <w:spacing w:before="100" w:beforeAutospacing="1" w:after="100" w:afterAutospacing="1"/>
    </w:pPr>
  </w:style>
  <w:style w:type="character" w:styleId="FollowedHyperlink">
    <w:name w:val="FollowedHyperlink"/>
    <w:uiPriority w:val="99"/>
    <w:semiHidden/>
    <w:unhideWhenUsed/>
    <w:rsid w:val="00BE2D38"/>
    <w:rPr>
      <w:color w:val="800080"/>
      <w:u w:val="single"/>
    </w:rPr>
  </w:style>
  <w:style w:type="paragraph" w:styleId="EndnoteText">
    <w:name w:val="endnote text"/>
    <w:basedOn w:val="Normal"/>
    <w:link w:val="EndnoteTextChar"/>
    <w:uiPriority w:val="99"/>
    <w:semiHidden/>
    <w:unhideWhenUsed/>
    <w:rsid w:val="00217D1A"/>
    <w:rPr>
      <w:sz w:val="20"/>
      <w:szCs w:val="20"/>
    </w:rPr>
  </w:style>
  <w:style w:type="character" w:customStyle="1" w:styleId="EndnoteTextChar">
    <w:name w:val="Endnote Text Char"/>
    <w:basedOn w:val="DefaultParagraphFont"/>
    <w:link w:val="EndnoteText"/>
    <w:uiPriority w:val="99"/>
    <w:semiHidden/>
    <w:rsid w:val="00217D1A"/>
  </w:style>
  <w:style w:type="character" w:styleId="EndnoteReference">
    <w:name w:val="endnote reference"/>
    <w:uiPriority w:val="99"/>
    <w:semiHidden/>
    <w:unhideWhenUsed/>
    <w:rsid w:val="00217D1A"/>
    <w:rPr>
      <w:vertAlign w:val="superscript"/>
    </w:rPr>
  </w:style>
  <w:style w:type="character" w:styleId="UnresolvedMention">
    <w:name w:val="Unresolved Mention"/>
    <w:uiPriority w:val="99"/>
    <w:semiHidden/>
    <w:unhideWhenUsed/>
    <w:rsid w:val="00994A09"/>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515FDF"/>
    <w:pPr>
      <w:spacing w:after="160" w:line="240" w:lineRule="exact"/>
      <w:jc w:val="both"/>
    </w:pPr>
    <w:rPr>
      <w:sz w:val="20"/>
      <w:szCs w:val="20"/>
      <w:vertAlign w:val="superscript"/>
    </w:rPr>
  </w:style>
  <w:style w:type="paragraph" w:customStyle="1" w:styleId="pf0">
    <w:name w:val="pf0"/>
    <w:basedOn w:val="Normal"/>
    <w:rsid w:val="001B0A2B"/>
    <w:pPr>
      <w:spacing w:before="100" w:beforeAutospacing="1" w:after="100" w:afterAutospacing="1"/>
    </w:pPr>
  </w:style>
  <w:style w:type="character" w:customStyle="1" w:styleId="cf01">
    <w:name w:val="cf01"/>
    <w:basedOn w:val="DefaultParagraphFont"/>
    <w:rsid w:val="001B0A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157">
      <w:bodyDiv w:val="1"/>
      <w:marLeft w:val="0"/>
      <w:marRight w:val="0"/>
      <w:marTop w:val="0"/>
      <w:marBottom w:val="0"/>
      <w:divBdr>
        <w:top w:val="none" w:sz="0" w:space="0" w:color="auto"/>
        <w:left w:val="none" w:sz="0" w:space="0" w:color="auto"/>
        <w:bottom w:val="none" w:sz="0" w:space="0" w:color="auto"/>
        <w:right w:val="none" w:sz="0" w:space="0" w:color="auto"/>
      </w:divBdr>
    </w:div>
    <w:div w:id="241767596">
      <w:bodyDiv w:val="1"/>
      <w:marLeft w:val="0"/>
      <w:marRight w:val="0"/>
      <w:marTop w:val="0"/>
      <w:marBottom w:val="0"/>
      <w:divBdr>
        <w:top w:val="none" w:sz="0" w:space="0" w:color="auto"/>
        <w:left w:val="none" w:sz="0" w:space="0" w:color="auto"/>
        <w:bottom w:val="none" w:sz="0" w:space="0" w:color="auto"/>
        <w:right w:val="none" w:sz="0" w:space="0" w:color="auto"/>
      </w:divBdr>
    </w:div>
    <w:div w:id="662470444">
      <w:bodyDiv w:val="1"/>
      <w:marLeft w:val="0"/>
      <w:marRight w:val="0"/>
      <w:marTop w:val="0"/>
      <w:marBottom w:val="0"/>
      <w:divBdr>
        <w:top w:val="none" w:sz="0" w:space="0" w:color="auto"/>
        <w:left w:val="none" w:sz="0" w:space="0" w:color="auto"/>
        <w:bottom w:val="none" w:sz="0" w:space="0" w:color="auto"/>
        <w:right w:val="none" w:sz="0" w:space="0" w:color="auto"/>
      </w:divBdr>
    </w:div>
    <w:div w:id="875970188">
      <w:bodyDiv w:val="1"/>
      <w:marLeft w:val="0"/>
      <w:marRight w:val="0"/>
      <w:marTop w:val="0"/>
      <w:marBottom w:val="0"/>
      <w:divBdr>
        <w:top w:val="none" w:sz="0" w:space="0" w:color="auto"/>
        <w:left w:val="none" w:sz="0" w:space="0" w:color="auto"/>
        <w:bottom w:val="none" w:sz="0" w:space="0" w:color="auto"/>
        <w:right w:val="none" w:sz="0" w:space="0" w:color="auto"/>
      </w:divBdr>
    </w:div>
    <w:div w:id="1688600611">
      <w:bodyDiv w:val="1"/>
      <w:marLeft w:val="0"/>
      <w:marRight w:val="0"/>
      <w:marTop w:val="0"/>
      <w:marBottom w:val="0"/>
      <w:divBdr>
        <w:top w:val="none" w:sz="0" w:space="0" w:color="auto"/>
        <w:left w:val="none" w:sz="0" w:space="0" w:color="auto"/>
        <w:bottom w:val="none" w:sz="0" w:space="0" w:color="auto"/>
        <w:right w:val="none" w:sz="0" w:space="0" w:color="auto"/>
      </w:divBdr>
    </w:div>
    <w:div w:id="20878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5879-par-latvijas-nacionalo-attistibas-planu-20212027-gadam-nap2027" TargetMode="External"/><Relationship Id="rId2" Type="http://schemas.openxmlformats.org/officeDocument/2006/relationships/hyperlink" Target="https://www.pkc.gov.lv/sites/default/files/inline-files/Latvija_2030_7.pdf" TargetMode="External"/><Relationship Id="rId1" Type="http://schemas.openxmlformats.org/officeDocument/2006/relationships/hyperlink" Target="https://tapportals.mk.gov.lv/legal_acts/abb539cb-0989-43aa-8311-fe329b19ab24" TargetMode="External"/><Relationship Id="rId6" Type="http://schemas.openxmlformats.org/officeDocument/2006/relationships/hyperlink" Target="https://www.varam.gov.lv/lv/jaunums/pazinojums-par-lidzdalibas-iespejam-piedalities-vides-politikas-pamatnostadnu-2021-2027gadam-vides-parskata-sabiedriskas-apspriesanas-sanaksme" TargetMode="External"/><Relationship Id="rId5" Type="http://schemas.openxmlformats.org/officeDocument/2006/relationships/hyperlink" Target="https://www.eea.europa.eu/lv/publications/vide-eiropa-stavoklis-un" TargetMode="External"/><Relationship Id="rId4" Type="http://schemas.openxmlformats.org/officeDocument/2006/relationships/hyperlink" Target="https://eur-lex.europa.eu/legal-content/IT/TXT/?uri=CELEX:52019DC0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E6067-87E1-4BED-AB08-D6C5556F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2479</Words>
  <Characters>17486</Characters>
  <Application>Microsoft Office Word</Application>
  <DocSecurity>0</DocSecurity>
  <Lines>145</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VALDIS</dc:creator>
  <cp:keywords/>
  <cp:lastModifiedBy>Kristīne Kazerovska</cp:lastModifiedBy>
  <cp:revision>18</cp:revision>
  <dcterms:created xsi:type="dcterms:W3CDTF">2022-09-08T07:00:00Z</dcterms:created>
  <dcterms:modified xsi:type="dcterms:W3CDTF">2022-09-13T06:35:00Z</dcterms:modified>
</cp:coreProperties>
</file>