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24E3C7" w14:textId="77777777" w:rsidR="00BB1FE9" w:rsidRDefault="00002DEF">
      <w:pPr>
        <w:spacing w:before="180"/>
      </w:pPr>
      <w:r>
        <w:rPr>
          <w:b/>
          <w:sz w:val="32"/>
        </w:rPr>
        <w:t>1. Tiesību akta projekta izstrādes nepieciešamība</w:t>
      </w:r>
    </w:p>
    <w:p w14:paraId="344325FB" w14:textId="77777777" w:rsidR="00BB1FE9" w:rsidRDefault="00002DEF">
      <w:pPr>
        <w:spacing w:before="90" w:after="90"/>
      </w:pPr>
      <w:r>
        <w:rPr>
          <w:b/>
        </w:rPr>
        <w:t>Anotācijas (</w:t>
      </w:r>
      <w:proofErr w:type="spellStart"/>
      <w:r>
        <w:rPr>
          <w:b/>
        </w:rPr>
        <w:t>ex-ante</w:t>
      </w:r>
      <w:proofErr w:type="spellEnd"/>
      <w:r>
        <w:rPr>
          <w:b/>
        </w:rPr>
        <w:t>) nosaukums</w:t>
      </w:r>
    </w:p>
    <w:p w14:paraId="0F14DC1D" w14:textId="2592DC8C" w:rsidR="00BB1FE9" w:rsidRDefault="00002DEF">
      <w:r>
        <w:t>Tiesību akta projekta "</w:t>
      </w:r>
      <w:r w:rsidR="009E677A" w:rsidRPr="009E677A">
        <w:t>Datu izplatīšanas un pārvaldības platformas noteikumi</w:t>
      </w:r>
      <w:r>
        <w:t>" sākotnējās ietekmes (</w:t>
      </w:r>
      <w:proofErr w:type="spellStart"/>
      <w:r>
        <w:t>ex-ante</w:t>
      </w:r>
      <w:proofErr w:type="spellEnd"/>
      <w:r>
        <w:t>) novērtējuma ziņojums (anotācija)</w:t>
      </w:r>
    </w:p>
    <w:p w14:paraId="2E4CF46A" w14:textId="77777777" w:rsidR="00BB1FE9" w:rsidRDefault="00002DEF">
      <w:pPr>
        <w:spacing w:before="270" w:after="180"/>
      </w:pPr>
      <w:r>
        <w:rPr>
          <w:b/>
          <w:sz w:val="30"/>
        </w:rPr>
        <w:t>1.1. Pamatojums</w:t>
      </w:r>
    </w:p>
    <w:p w14:paraId="594962F8" w14:textId="77777777" w:rsidR="00BB1FE9" w:rsidRDefault="00002DEF">
      <w:pPr>
        <w:spacing w:before="90" w:after="90"/>
      </w:pPr>
      <w:r>
        <w:rPr>
          <w:b/>
        </w:rPr>
        <w:t>Izstrādes pamatojums</w:t>
      </w:r>
    </w:p>
    <w:p w14:paraId="67A539D2" w14:textId="77777777" w:rsidR="00BF22F8" w:rsidRDefault="004644AE">
      <w:pPr>
        <w:spacing w:before="90" w:after="90"/>
      </w:pPr>
      <w:r w:rsidRPr="004644AE">
        <w:t>Tiesību akts / Ministru Prezidenta rezolūcija</w:t>
      </w:r>
    </w:p>
    <w:p w14:paraId="4F9A61ED" w14:textId="2E0DEF61" w:rsidR="00BB1FE9" w:rsidRDefault="00002DEF">
      <w:pPr>
        <w:spacing w:before="90" w:after="90"/>
      </w:pPr>
      <w:r>
        <w:rPr>
          <w:b/>
        </w:rPr>
        <w:t>Apraksts</w:t>
      </w:r>
    </w:p>
    <w:p w14:paraId="70AB9C6F" w14:textId="51455496" w:rsidR="00BB1FE9" w:rsidRDefault="00002DEF">
      <w:r>
        <w:t>Ministru kabineta noteikumu projekts "</w:t>
      </w:r>
      <w:r w:rsidR="0065687C" w:rsidRPr="0065687C">
        <w:t>Datu izplatīšanas un pārvaldības platformas noteikumi</w:t>
      </w:r>
      <w:r>
        <w:t xml:space="preserve">" (turpmāk – Noteikumu projekts) izstrādāts saskaņā ar </w:t>
      </w:r>
      <w:r w:rsidR="005241E3">
        <w:t>Valsts informācijas sistēmu</w:t>
      </w:r>
      <w:r>
        <w:t xml:space="preserve"> likuma (turpmāk – Likums) </w:t>
      </w:r>
      <w:r w:rsidR="00755781" w:rsidRPr="00755781">
        <w:t xml:space="preserve">18.panta </w:t>
      </w:r>
      <w:r w:rsidR="00522BB3">
        <w:t>piekt</w:t>
      </w:r>
      <w:r w:rsidR="00674DA3">
        <w:t>ās</w:t>
      </w:r>
      <w:r w:rsidR="00755781" w:rsidRPr="00755781">
        <w:t xml:space="preserve"> daļ</w:t>
      </w:r>
      <w:r w:rsidR="00674DA3">
        <w:t>as 1. un 2.punktu (</w:t>
      </w:r>
      <w:r w:rsidR="004E6B67" w:rsidRPr="004E6B67">
        <w:t>stāsies spēkā 2022.gada 1.decembr</w:t>
      </w:r>
      <w:r w:rsidR="004E6B67">
        <w:t>ī)</w:t>
      </w:r>
      <w:r>
        <w:t xml:space="preserve">, lai noteiktu tiesisko regulējumu </w:t>
      </w:r>
      <w:r w:rsidR="00C26F4B" w:rsidRPr="00C26F4B">
        <w:t>Datu izplatīšanas un pārvaldības platforma</w:t>
      </w:r>
      <w:r w:rsidR="00B7550E">
        <w:t>i</w:t>
      </w:r>
      <w:r>
        <w:t xml:space="preserve"> (turpmāk – </w:t>
      </w:r>
      <w:r w:rsidR="00C26F4B">
        <w:t>DAGR</w:t>
      </w:r>
      <w:r>
        <w:t xml:space="preserve">) </w:t>
      </w:r>
      <w:r w:rsidR="00CA78C7">
        <w:t xml:space="preserve">nosakot tās </w:t>
      </w:r>
      <w:r w:rsidR="00DA4475" w:rsidRPr="00DA4475">
        <w:t>pārzini, viņa pienākumus un atbildību,</w:t>
      </w:r>
      <w:r w:rsidR="00DA4475">
        <w:t xml:space="preserve"> </w:t>
      </w:r>
      <w:r w:rsidR="00DA4475" w:rsidRPr="00DA4475">
        <w:t>funkcijas un uzdevumus, kuru izpildei nepieciešama DAGR izmantošana</w:t>
      </w:r>
      <w:r w:rsidR="00DA4475">
        <w:t xml:space="preserve">, kā arī </w:t>
      </w:r>
      <w:r w:rsidR="004902C4">
        <w:t xml:space="preserve">DAGR </w:t>
      </w:r>
      <w:r w:rsidR="004902C4" w:rsidRPr="004902C4">
        <w:t>darbības, finansēšanas un izmantošanas kārtību</w:t>
      </w:r>
      <w:r w:rsidR="004902C4">
        <w:t>.</w:t>
      </w:r>
    </w:p>
    <w:p w14:paraId="029D3847" w14:textId="77777777" w:rsidR="00BB1FE9" w:rsidRDefault="00002DEF">
      <w:r>
        <w:t> </w:t>
      </w:r>
    </w:p>
    <w:p w14:paraId="6484A946" w14:textId="77777777" w:rsidR="00BB1FE9" w:rsidRDefault="00002DEF">
      <w:pPr>
        <w:spacing w:before="270" w:after="180"/>
      </w:pPr>
      <w:r>
        <w:rPr>
          <w:b/>
          <w:sz w:val="30"/>
        </w:rPr>
        <w:t>1.2. Mērķis</w:t>
      </w:r>
    </w:p>
    <w:p w14:paraId="505EC616" w14:textId="77777777" w:rsidR="00BB1FE9" w:rsidRDefault="00002DEF">
      <w:pPr>
        <w:spacing w:before="90" w:after="90"/>
      </w:pPr>
      <w:r>
        <w:rPr>
          <w:b/>
        </w:rPr>
        <w:t>Mērķa apraksts</w:t>
      </w:r>
    </w:p>
    <w:p w14:paraId="26AF0CC4" w14:textId="22849D29" w:rsidR="005A075E" w:rsidRDefault="00226633" w:rsidP="005A075E">
      <w:r>
        <w:t>Noteikum</w:t>
      </w:r>
      <w:r w:rsidR="000A48EA">
        <w:t>u projekts nosaka kārtību, kādā tiek izmantot</w:t>
      </w:r>
      <w:r w:rsidR="00DB6F18">
        <w:t>a</w:t>
      </w:r>
      <w:r w:rsidR="000A48EA">
        <w:t xml:space="preserve"> DAGR</w:t>
      </w:r>
      <w:r w:rsidR="001079FF">
        <w:t>. DAGR</w:t>
      </w:r>
      <w:r w:rsidR="00B5050D">
        <w:t xml:space="preserve"> tiek veidota</w:t>
      </w:r>
      <w:r w:rsidR="00BA6626">
        <w:t xml:space="preserve"> kā</w:t>
      </w:r>
      <w:r w:rsidR="005A075E">
        <w:t xml:space="preserve"> nacionāla datu koplietošanas platforma</w:t>
      </w:r>
      <w:r w:rsidR="0095154F">
        <w:t>, kura</w:t>
      </w:r>
      <w:r w:rsidR="005A075E">
        <w:t>:</w:t>
      </w:r>
    </w:p>
    <w:p w14:paraId="2489774C" w14:textId="5C796F3D" w:rsidR="005A075E" w:rsidRDefault="0095154F" w:rsidP="008B57C7">
      <w:pPr>
        <w:pStyle w:val="ListParagraph"/>
        <w:numPr>
          <w:ilvl w:val="0"/>
          <w:numId w:val="7"/>
        </w:numPr>
      </w:pPr>
      <w:r>
        <w:t>spēs</w:t>
      </w:r>
      <w:r w:rsidR="005A075E">
        <w:t xml:space="preserve"> apkopot potenciāli visu valsts iestāžu datus vienotā platformā;</w:t>
      </w:r>
    </w:p>
    <w:p w14:paraId="7FE67AEA" w14:textId="00D8DB40" w:rsidR="005A075E" w:rsidRDefault="005A075E" w:rsidP="008B57C7">
      <w:pPr>
        <w:pStyle w:val="ListParagraph"/>
        <w:numPr>
          <w:ilvl w:val="0"/>
          <w:numId w:val="7"/>
        </w:numPr>
      </w:pPr>
      <w:r>
        <w:t>uzlabos intensīvi izmantoto datu pieprasījumu veiktspēju;</w:t>
      </w:r>
    </w:p>
    <w:p w14:paraId="48065C51" w14:textId="4F0E5EE0" w:rsidR="005A075E" w:rsidRDefault="00FA7171" w:rsidP="008B57C7">
      <w:pPr>
        <w:pStyle w:val="ListParagraph"/>
        <w:numPr>
          <w:ilvl w:val="0"/>
          <w:numId w:val="7"/>
        </w:numPr>
      </w:pPr>
      <w:r>
        <w:t>nodrošinā</w:t>
      </w:r>
      <w:r w:rsidR="00791E96">
        <w:t>s</w:t>
      </w:r>
      <w:r>
        <w:t xml:space="preserve"> </w:t>
      </w:r>
      <w:r w:rsidR="005A075E">
        <w:t>datu pieejamīb</w:t>
      </w:r>
      <w:r w:rsidR="00791E96">
        <w:t>u</w:t>
      </w:r>
      <w:r w:rsidR="005A075E">
        <w:t xml:space="preserve"> ar garantētiem piekļuves laikiem;</w:t>
      </w:r>
    </w:p>
    <w:p w14:paraId="37106C43" w14:textId="6BCAE31E" w:rsidR="005A075E" w:rsidRDefault="00791E96" w:rsidP="008B57C7">
      <w:pPr>
        <w:pStyle w:val="ListParagraph"/>
        <w:numPr>
          <w:ilvl w:val="0"/>
          <w:numId w:val="7"/>
        </w:numPr>
      </w:pPr>
      <w:r>
        <w:t xml:space="preserve">nodrošinās, ka </w:t>
      </w:r>
      <w:r w:rsidR="005A075E">
        <w:t xml:space="preserve">datu </w:t>
      </w:r>
      <w:r w:rsidR="006310BC">
        <w:t xml:space="preserve">saņēmēji </w:t>
      </w:r>
      <w:r w:rsidR="005A075E">
        <w:t>izgūs reāla laika datus no avotu sistēmām.</w:t>
      </w:r>
    </w:p>
    <w:p w14:paraId="4CDFC311" w14:textId="0C162235" w:rsidR="009A6E23" w:rsidRDefault="005A075E" w:rsidP="005A075E">
      <w:r>
        <w:t>Rezultātā katrai iestādei perspektīvā būs iespējams būtiski samazināt savu datu izplatīšanas risinājumu kapacitāti vai pat pilnībā atteikties no savu datu izplatīšanas risinājumu izstrādes un uzturēšanas.</w:t>
      </w:r>
    </w:p>
    <w:p w14:paraId="232AF807" w14:textId="77777777" w:rsidR="00BB1FE9" w:rsidRDefault="00002DEF">
      <w:pPr>
        <w:spacing w:before="90" w:after="90"/>
      </w:pPr>
      <w:r>
        <w:rPr>
          <w:b/>
        </w:rPr>
        <w:t>Spēkā stāšanās termiņš</w:t>
      </w:r>
    </w:p>
    <w:p w14:paraId="4279D7F2" w14:textId="67BF2D73" w:rsidR="00BB1FE9" w:rsidRDefault="0088656C">
      <w:r>
        <w:t xml:space="preserve">2022.gada </w:t>
      </w:r>
      <w:r w:rsidR="007870FE">
        <w:t>1.decembris.</w:t>
      </w:r>
      <w:r w:rsidR="00512BDD">
        <w:t xml:space="preserve"> </w:t>
      </w:r>
      <w:r w:rsidR="0085357A">
        <w:t xml:space="preserve">Noteikumu projekta </w:t>
      </w:r>
      <w:r w:rsidR="00010C07" w:rsidRPr="00010C07">
        <w:t>15.1., 15.6.</w:t>
      </w:r>
      <w:r w:rsidR="00BA1052">
        <w:t>,</w:t>
      </w:r>
      <w:r w:rsidR="00010C07" w:rsidRPr="00010C07">
        <w:t xml:space="preserve"> 15.7. apakšpunkti</w:t>
      </w:r>
      <w:r w:rsidR="00BA1052">
        <w:t xml:space="preserve"> un </w:t>
      </w:r>
      <w:r w:rsidR="00837124">
        <w:t xml:space="preserve">3. un </w:t>
      </w:r>
      <w:r w:rsidR="00D36A73">
        <w:t xml:space="preserve">19.punkts stājas spēkā </w:t>
      </w:r>
      <w:r w:rsidR="00657E34">
        <w:t>2023.gada 31.decembrī.</w:t>
      </w:r>
    </w:p>
    <w:p w14:paraId="575E299E" w14:textId="77777777" w:rsidR="00BB1FE9" w:rsidRDefault="00002DEF">
      <w:pPr>
        <w:spacing w:before="270" w:after="180"/>
      </w:pPr>
      <w:r>
        <w:rPr>
          <w:b/>
          <w:sz w:val="30"/>
        </w:rPr>
        <w:t>1.3. Pašreizējā situācija, problēmas un risinājumi</w:t>
      </w:r>
    </w:p>
    <w:p w14:paraId="526F6FE8" w14:textId="77777777" w:rsidR="00BB1FE9" w:rsidRDefault="00002DEF">
      <w:pPr>
        <w:spacing w:before="90" w:after="90"/>
      </w:pPr>
      <w:r>
        <w:rPr>
          <w:b/>
        </w:rPr>
        <w:t>Pašreizējā situācija</w:t>
      </w:r>
    </w:p>
    <w:p w14:paraId="355D6B20" w14:textId="34E5BEFF" w:rsidR="00861B21" w:rsidRDefault="0005615C" w:rsidP="0005615C">
      <w:pPr>
        <w:rPr>
          <w:szCs w:val="28"/>
        </w:rPr>
      </w:pPr>
      <w:r w:rsidRPr="0005615C">
        <w:rPr>
          <w:szCs w:val="28"/>
        </w:rPr>
        <w:t>Digitālās transformācijas pamatnostādnes</w:t>
      </w:r>
      <w:r>
        <w:rPr>
          <w:szCs w:val="28"/>
        </w:rPr>
        <w:t xml:space="preserve"> </w:t>
      </w:r>
      <w:r w:rsidRPr="0005615C">
        <w:rPr>
          <w:szCs w:val="28"/>
        </w:rPr>
        <w:t>2021.-2027.gadam</w:t>
      </w:r>
      <w:r w:rsidR="00AE03DB">
        <w:rPr>
          <w:szCs w:val="28"/>
        </w:rPr>
        <w:t xml:space="preserve"> (turpmāk – Digitālās transformācijas pamatnostādnes)</w:t>
      </w:r>
      <w:r>
        <w:rPr>
          <w:szCs w:val="28"/>
        </w:rPr>
        <w:t xml:space="preserve"> </w:t>
      </w:r>
      <w:r w:rsidR="00C9268C">
        <w:rPr>
          <w:szCs w:val="28"/>
        </w:rPr>
        <w:t xml:space="preserve">ietver būtisku sadaļu attiecībā uz </w:t>
      </w:r>
      <w:r w:rsidR="00BA0C97">
        <w:rPr>
          <w:szCs w:val="28"/>
        </w:rPr>
        <w:t>datu pārvaldību</w:t>
      </w:r>
      <w:r w:rsidR="0012288A">
        <w:rPr>
          <w:szCs w:val="28"/>
        </w:rPr>
        <w:t xml:space="preserve"> tajā skaitā </w:t>
      </w:r>
      <w:r w:rsidR="003964E3">
        <w:rPr>
          <w:szCs w:val="28"/>
        </w:rPr>
        <w:t xml:space="preserve">vienotas </w:t>
      </w:r>
      <w:r w:rsidR="004354F8">
        <w:rPr>
          <w:szCs w:val="28"/>
        </w:rPr>
        <w:t xml:space="preserve">datu pārvaldības </w:t>
      </w:r>
      <w:r w:rsidR="003964E3">
        <w:rPr>
          <w:szCs w:val="28"/>
        </w:rPr>
        <w:t xml:space="preserve">platformas </w:t>
      </w:r>
      <w:r w:rsidR="004354F8">
        <w:rPr>
          <w:szCs w:val="28"/>
        </w:rPr>
        <w:t>izveidošanu</w:t>
      </w:r>
      <w:r w:rsidR="000C14AF">
        <w:rPr>
          <w:szCs w:val="28"/>
        </w:rPr>
        <w:t>. Ir secināts, ka l</w:t>
      </w:r>
      <w:r w:rsidR="000C14AF" w:rsidRPr="000C14AF">
        <w:rPr>
          <w:szCs w:val="28"/>
        </w:rPr>
        <w:t xml:space="preserve">īdz šim Latvijā </w:t>
      </w:r>
      <w:r w:rsidR="000C14AF" w:rsidRPr="000C14AF">
        <w:rPr>
          <w:szCs w:val="28"/>
        </w:rPr>
        <w:lastRenderedPageBreak/>
        <w:t>datu pārvaldība publiskajā sektorā ir bijis katras organizācijas iekšējs process, kurš nav savstarpēji harmonizēts, kā arī datu pārvaldība nav aktualizēta politikas plānošanas dokumentos.</w:t>
      </w:r>
      <w:r w:rsidR="000C14AF">
        <w:rPr>
          <w:szCs w:val="28"/>
        </w:rPr>
        <w:t xml:space="preserve"> </w:t>
      </w:r>
      <w:r w:rsidR="00731C2F" w:rsidRPr="00731C2F">
        <w:rPr>
          <w:szCs w:val="28"/>
        </w:rPr>
        <w:t xml:space="preserve">Ieviešot vienotus valsts pārvaldes datu dzīvescikla pārvaldības principus, tiktu sekmēts gan ikvienas organizācijas iekšējais datu pārvaldības process, gan datu apmaiņa kā valsts sektorā, tā arī starp valsts un privāto sektoru, tādējādi sekmējot starpinstitūciju sadarbību un datu </w:t>
      </w:r>
      <w:proofErr w:type="spellStart"/>
      <w:r w:rsidR="00731C2F" w:rsidRPr="00731C2F">
        <w:rPr>
          <w:szCs w:val="28"/>
        </w:rPr>
        <w:t>atkalizmantošanu</w:t>
      </w:r>
      <w:proofErr w:type="spellEnd"/>
      <w:r w:rsidR="00731C2F" w:rsidRPr="00731C2F">
        <w:rPr>
          <w:szCs w:val="28"/>
        </w:rPr>
        <w:t>.</w:t>
      </w:r>
    </w:p>
    <w:p w14:paraId="020BAEAC" w14:textId="24200302" w:rsidR="00074E1C" w:rsidRPr="00372D49" w:rsidRDefault="00074E1C">
      <w:pPr>
        <w:rPr>
          <w:szCs w:val="28"/>
        </w:rPr>
      </w:pPr>
      <w:r w:rsidRPr="00372D49">
        <w:rPr>
          <w:szCs w:val="28"/>
        </w:rPr>
        <w:t xml:space="preserve">Neskatoties </w:t>
      </w:r>
      <w:r w:rsidR="00A679C4" w:rsidRPr="00372D49">
        <w:rPr>
          <w:szCs w:val="28"/>
        </w:rPr>
        <w:t>uz</w:t>
      </w:r>
      <w:r w:rsidRPr="00372D49">
        <w:rPr>
          <w:szCs w:val="28"/>
        </w:rPr>
        <w:t xml:space="preserve"> to, ka jau šobrīd </w:t>
      </w:r>
      <w:r w:rsidR="0018116B" w:rsidRPr="00372D49">
        <w:rPr>
          <w:szCs w:val="28"/>
        </w:rPr>
        <w:t xml:space="preserve">centralizētai datu </w:t>
      </w:r>
      <w:r w:rsidR="0006764B">
        <w:rPr>
          <w:szCs w:val="28"/>
        </w:rPr>
        <w:t>aprites nodrošināšanai</w:t>
      </w:r>
      <w:r w:rsidR="0018116B" w:rsidRPr="00372D49">
        <w:rPr>
          <w:szCs w:val="28"/>
        </w:rPr>
        <w:t xml:space="preserve"> tiek izmanto</w:t>
      </w:r>
      <w:r w:rsidR="008D578D">
        <w:rPr>
          <w:szCs w:val="28"/>
        </w:rPr>
        <w:t>t</w:t>
      </w:r>
      <w:r w:rsidR="0018116B" w:rsidRPr="00372D49">
        <w:rPr>
          <w:szCs w:val="28"/>
        </w:rPr>
        <w:t xml:space="preserve">s </w:t>
      </w:r>
      <w:r w:rsidR="0025423E" w:rsidRPr="00372D49">
        <w:rPr>
          <w:szCs w:val="28"/>
        </w:rPr>
        <w:t>Valsts reģionālās attīstības aģentūras</w:t>
      </w:r>
      <w:r w:rsidR="00027B46">
        <w:rPr>
          <w:szCs w:val="28"/>
        </w:rPr>
        <w:t xml:space="preserve"> </w:t>
      </w:r>
      <w:r w:rsidR="00027B46">
        <w:t>(turpmāk – VRAA),</w:t>
      </w:r>
      <w:r w:rsidR="0025423E" w:rsidRPr="00372D49">
        <w:rPr>
          <w:szCs w:val="28"/>
        </w:rPr>
        <w:t xml:space="preserve"> pārziņā esošais Valsts informācijas sistēmu </w:t>
      </w:r>
      <w:proofErr w:type="spellStart"/>
      <w:r w:rsidR="0025423E" w:rsidRPr="00372D49">
        <w:rPr>
          <w:szCs w:val="28"/>
        </w:rPr>
        <w:t>savietotājs</w:t>
      </w:r>
      <w:proofErr w:type="spellEnd"/>
      <w:r w:rsidR="00E56DCF">
        <w:rPr>
          <w:szCs w:val="28"/>
        </w:rPr>
        <w:t xml:space="preserve"> (turpmāk – VISS)</w:t>
      </w:r>
      <w:r w:rsidR="00C40DFE" w:rsidRPr="00372D49">
        <w:rPr>
          <w:szCs w:val="28"/>
        </w:rPr>
        <w:t xml:space="preserve">, </w:t>
      </w:r>
      <w:r w:rsidR="00635587" w:rsidRPr="00372D49">
        <w:rPr>
          <w:szCs w:val="28"/>
        </w:rPr>
        <w:t xml:space="preserve">ir identificēta problēma </w:t>
      </w:r>
      <w:r w:rsidR="00C826F9" w:rsidRPr="00372D49">
        <w:rPr>
          <w:szCs w:val="28"/>
        </w:rPr>
        <w:t xml:space="preserve">datu </w:t>
      </w:r>
      <w:r w:rsidR="00007540" w:rsidRPr="00372D49">
        <w:rPr>
          <w:szCs w:val="28"/>
        </w:rPr>
        <w:t xml:space="preserve">devēju pārziņā esošajās informācijas sistēmās </w:t>
      </w:r>
      <w:r w:rsidR="003B5715" w:rsidRPr="00372D49">
        <w:rPr>
          <w:szCs w:val="28"/>
        </w:rPr>
        <w:t>ar intensīvi izmantoto datu pieprasījumu veiktspēju</w:t>
      </w:r>
      <w:r w:rsidR="00BA2A3C" w:rsidRPr="00372D49">
        <w:rPr>
          <w:szCs w:val="28"/>
        </w:rPr>
        <w:t>.</w:t>
      </w:r>
      <w:r w:rsidR="00944AE3">
        <w:rPr>
          <w:szCs w:val="28"/>
        </w:rPr>
        <w:t xml:space="preserve"> </w:t>
      </w:r>
      <w:r w:rsidR="00C56740">
        <w:rPr>
          <w:szCs w:val="28"/>
        </w:rPr>
        <w:t>Arī Valsts kontrole</w:t>
      </w:r>
      <w:r w:rsidR="005A5310">
        <w:rPr>
          <w:szCs w:val="28"/>
        </w:rPr>
        <w:t xml:space="preserve"> </w:t>
      </w:r>
      <w:r w:rsidR="00913BCD">
        <w:rPr>
          <w:szCs w:val="28"/>
        </w:rPr>
        <w:t xml:space="preserve">savā </w:t>
      </w:r>
      <w:r w:rsidR="00913BCD" w:rsidRPr="00913BCD">
        <w:rPr>
          <w:szCs w:val="28"/>
        </w:rPr>
        <w:t>lietderības revīzijā</w:t>
      </w:r>
      <w:r w:rsidR="00C82E8D">
        <w:rPr>
          <w:szCs w:val="28"/>
        </w:rPr>
        <w:t xml:space="preserve"> Nr.</w:t>
      </w:r>
      <w:r w:rsidR="006A1324" w:rsidRPr="006A1324">
        <w:t xml:space="preserve"> </w:t>
      </w:r>
      <w:r w:rsidR="006A1324" w:rsidRPr="006A1324">
        <w:rPr>
          <w:szCs w:val="28"/>
        </w:rPr>
        <w:t>2.4.1-12/2016</w:t>
      </w:r>
      <w:r w:rsidR="00913BCD" w:rsidRPr="00913BCD">
        <w:rPr>
          <w:szCs w:val="28"/>
        </w:rPr>
        <w:t xml:space="preserve"> „Vai valsts pārvalde efektīvi rīkojas ar uzkrāto informāciju?”</w:t>
      </w:r>
      <w:r w:rsidR="006A1324">
        <w:rPr>
          <w:szCs w:val="28"/>
        </w:rPr>
        <w:t xml:space="preserve"> ir identificējusi nepiecieš</w:t>
      </w:r>
      <w:r w:rsidR="009462E2">
        <w:rPr>
          <w:szCs w:val="28"/>
        </w:rPr>
        <w:t>amību uzlabot valsts pārvaldes rīcībā esošās informācijas centraliz</w:t>
      </w:r>
      <w:r w:rsidR="00936BAD">
        <w:rPr>
          <w:szCs w:val="28"/>
        </w:rPr>
        <w:t>ē</w:t>
      </w:r>
      <w:r w:rsidR="009462E2">
        <w:rPr>
          <w:szCs w:val="28"/>
        </w:rPr>
        <w:t>tu pārvaldību.</w:t>
      </w:r>
      <w:r w:rsidR="00913BCD" w:rsidRPr="00913BCD">
        <w:rPr>
          <w:szCs w:val="28"/>
        </w:rPr>
        <w:t xml:space="preserve"> </w:t>
      </w:r>
      <w:r w:rsidR="00944AE3">
        <w:rPr>
          <w:szCs w:val="28"/>
        </w:rPr>
        <w:t xml:space="preserve">Papildus </w:t>
      </w:r>
      <w:r w:rsidR="00FE1C3D">
        <w:rPr>
          <w:szCs w:val="28"/>
        </w:rPr>
        <w:t xml:space="preserve">no Saeimas Ilgtspējīgās </w:t>
      </w:r>
      <w:r w:rsidR="00530C60">
        <w:rPr>
          <w:szCs w:val="28"/>
        </w:rPr>
        <w:t>attīstības komisijas 2021.gada 9.februāra vēstules Nr.</w:t>
      </w:r>
      <w:r w:rsidR="00C138DA">
        <w:rPr>
          <w:szCs w:val="28"/>
        </w:rPr>
        <w:t xml:space="preserve">622.9/17-3-13/21 “Par datu pārvaldības </w:t>
      </w:r>
      <w:r w:rsidR="00126789">
        <w:rPr>
          <w:szCs w:val="28"/>
        </w:rPr>
        <w:t>un pieejamības politiku</w:t>
      </w:r>
      <w:r w:rsidR="00C138DA">
        <w:rPr>
          <w:szCs w:val="28"/>
        </w:rPr>
        <w:t>”</w:t>
      </w:r>
      <w:r w:rsidR="00A51A53">
        <w:rPr>
          <w:szCs w:val="28"/>
        </w:rPr>
        <w:t xml:space="preserve"> (turpmāk – Saeimas komisijas vēstule)</w:t>
      </w:r>
      <w:r w:rsidR="00126789">
        <w:rPr>
          <w:szCs w:val="28"/>
        </w:rPr>
        <w:t xml:space="preserve"> izriet uzdevums </w:t>
      </w:r>
      <w:r w:rsidR="003C460B">
        <w:rPr>
          <w:szCs w:val="28"/>
        </w:rPr>
        <w:t>Vides aizsardzības un reģionālās attīstības ministrijai</w:t>
      </w:r>
      <w:r w:rsidR="00033589">
        <w:rPr>
          <w:szCs w:val="28"/>
        </w:rPr>
        <w:t xml:space="preserve"> (turpmāk – VARAM)</w:t>
      </w:r>
      <w:r w:rsidR="003C460B">
        <w:rPr>
          <w:szCs w:val="28"/>
        </w:rPr>
        <w:t xml:space="preserve"> </w:t>
      </w:r>
      <w:r w:rsidR="00E94508">
        <w:rPr>
          <w:szCs w:val="28"/>
        </w:rPr>
        <w:t>nodrošināt vienotu</w:t>
      </w:r>
      <w:r w:rsidR="00257241">
        <w:rPr>
          <w:szCs w:val="28"/>
        </w:rPr>
        <w:t>, centralizētu</w:t>
      </w:r>
      <w:r w:rsidR="00E94508">
        <w:rPr>
          <w:szCs w:val="28"/>
        </w:rPr>
        <w:t xml:space="preserve"> </w:t>
      </w:r>
      <w:r w:rsidR="00187B6B">
        <w:rPr>
          <w:szCs w:val="28"/>
        </w:rPr>
        <w:t xml:space="preserve">datu izplatīšanas un pārvaldības </w:t>
      </w:r>
      <w:r w:rsidR="0098082A">
        <w:rPr>
          <w:szCs w:val="28"/>
        </w:rPr>
        <w:t xml:space="preserve">platformas risinājumu, kurā līdz </w:t>
      </w:r>
      <w:r w:rsidR="00814184">
        <w:rPr>
          <w:szCs w:val="28"/>
        </w:rPr>
        <w:t xml:space="preserve">2024.gadam būtu pieejami </w:t>
      </w:r>
      <w:r w:rsidR="00596F7A">
        <w:rPr>
          <w:szCs w:val="28"/>
        </w:rPr>
        <w:t>dati vismaz no 50% vals</w:t>
      </w:r>
      <w:r w:rsidR="00500A49">
        <w:rPr>
          <w:szCs w:val="28"/>
        </w:rPr>
        <w:t>ts informācijas sistēmām</w:t>
      </w:r>
      <w:r w:rsidR="00B36106">
        <w:rPr>
          <w:szCs w:val="28"/>
        </w:rPr>
        <w:t xml:space="preserve"> (turpmāk – Saeimas komisijas uzdevums)</w:t>
      </w:r>
      <w:r w:rsidR="00936BAD">
        <w:rPr>
          <w:szCs w:val="28"/>
        </w:rPr>
        <w:t>.</w:t>
      </w:r>
    </w:p>
    <w:p w14:paraId="1CEDC937" w14:textId="6177F3ED" w:rsidR="00BB1FE9" w:rsidRPr="00372D49" w:rsidRDefault="002E7B94">
      <w:pPr>
        <w:rPr>
          <w:szCs w:val="28"/>
        </w:rPr>
      </w:pPr>
      <w:r>
        <w:rPr>
          <w:szCs w:val="28"/>
        </w:rPr>
        <w:t>Lai risinātu iepriekš minētās problēmas, s</w:t>
      </w:r>
      <w:r w:rsidR="00956EB1" w:rsidRPr="00372D49">
        <w:rPr>
          <w:szCs w:val="28"/>
        </w:rPr>
        <w:t>askaņā ar Ministru kabineta 2020. gada 15. jūlija rīkojumu Nr. 374</w:t>
      </w:r>
      <w:r w:rsidR="004D420E">
        <w:rPr>
          <w:szCs w:val="28"/>
        </w:rPr>
        <w:t xml:space="preserve"> </w:t>
      </w:r>
      <w:r w:rsidR="004D420E" w:rsidRPr="004D420E">
        <w:rPr>
          <w:szCs w:val="28"/>
        </w:rPr>
        <w:t xml:space="preserve">“Par darbības programmas "Izaugsme un nodarbinātība" 2.2.1. specifiskā atbalsta mērķa "Nodrošināt publisko datu </w:t>
      </w:r>
      <w:proofErr w:type="spellStart"/>
      <w:r w:rsidR="004D420E" w:rsidRPr="004D420E">
        <w:rPr>
          <w:szCs w:val="28"/>
        </w:rPr>
        <w:t>atkalizmantošanas</w:t>
      </w:r>
      <w:proofErr w:type="spellEnd"/>
      <w:r w:rsidR="004D420E" w:rsidRPr="004D420E">
        <w:rPr>
          <w:szCs w:val="28"/>
        </w:rPr>
        <w:t xml:space="preserve"> pieaugumu un efektīvu publiskās pārvaldes un privātā sektora mijiedarbību" 2.2.1.1. pasākuma "Centralizētu publiskās pārvaldes IKT platformu izveide, publiskās pārvaldes procesu optimizēšana un attīstība" un 2.2.1.2. pasākuma "Kultūras mantojuma </w:t>
      </w:r>
      <w:proofErr w:type="spellStart"/>
      <w:r w:rsidR="004D420E" w:rsidRPr="004D420E">
        <w:rPr>
          <w:szCs w:val="28"/>
        </w:rPr>
        <w:t>digitalizācija</w:t>
      </w:r>
      <w:proofErr w:type="spellEnd"/>
      <w:r w:rsidR="004D420E" w:rsidRPr="004D420E">
        <w:rPr>
          <w:szCs w:val="28"/>
        </w:rPr>
        <w:t>" projektu iesniegumu atlases 1. un 2. kārtas projektu sarakstu Eiropas Savienības fondu 2014.–2020. gada plānošanas periodam”</w:t>
      </w:r>
      <w:r w:rsidR="00F0077B">
        <w:rPr>
          <w:szCs w:val="28"/>
        </w:rPr>
        <w:t xml:space="preserve"> (turpmāk – DAGR projekta rīkojums) </w:t>
      </w:r>
      <w:r w:rsidR="00956EB1" w:rsidRPr="00372D49">
        <w:rPr>
          <w:szCs w:val="28"/>
        </w:rPr>
        <w:t xml:space="preserve"> ir apstiprināts darbības programmas “Izaugsme un nodarbinātība” 2.2.1. specifiskā atbalsta mērķa “Nodrošināt publisko datu </w:t>
      </w:r>
      <w:proofErr w:type="spellStart"/>
      <w:r w:rsidR="00956EB1" w:rsidRPr="00372D49">
        <w:rPr>
          <w:szCs w:val="28"/>
        </w:rPr>
        <w:t>atkalizmantošanas</w:t>
      </w:r>
      <w:proofErr w:type="spellEnd"/>
      <w:r w:rsidR="00956EB1" w:rsidRPr="00372D49">
        <w:rPr>
          <w:szCs w:val="28"/>
        </w:rPr>
        <w:t xml:space="preserve"> pieaugumu un efektīvu publiskās pārvaldes un privātā sektora mijiedarbību” 2.2.1.1. pasākuma “Centralizētu publiskās pārvaldes IKT platformu izveide, publiskās pārvaldes procesu optimizēšana un attīstība” projektu iesniegumu atlases 1. un 2. kārtas projektu saraksts Eiropas Savienības fondu 2014.-2020. gada plānošanas periodam, tai skaitā projekts “Datu izplatīšanas un pārvaldības platforma (DAGR)” (turpmāk – DAGR projekts). Savukārt, saskaņā ar Ministru kabineta 2021.gada 11.janvāra rīkojumu Nr.9 “Par informācijas sabiedrības attīstības pamatnostādņu ieviešanu publiskās pārvaldes informācijas sistēmu jomā (</w:t>
      </w:r>
      <w:proofErr w:type="spellStart"/>
      <w:r w:rsidR="00956EB1" w:rsidRPr="00372D49">
        <w:rPr>
          <w:szCs w:val="28"/>
        </w:rPr>
        <w:t>mērķarhitektūras</w:t>
      </w:r>
      <w:proofErr w:type="spellEnd"/>
      <w:r w:rsidR="00956EB1" w:rsidRPr="00372D49">
        <w:rPr>
          <w:szCs w:val="28"/>
        </w:rPr>
        <w:t xml:space="preserve"> 56.0. versija)” ir apstiprināts </w:t>
      </w:r>
      <w:r w:rsidR="0026739D" w:rsidRPr="00372D49">
        <w:rPr>
          <w:szCs w:val="28"/>
        </w:rPr>
        <w:t>DAGR projekta</w:t>
      </w:r>
      <w:r w:rsidR="00956EB1" w:rsidRPr="00372D49">
        <w:rPr>
          <w:szCs w:val="28"/>
        </w:rPr>
        <w:t xml:space="preserve"> apraksts un izmaksas. DAGR būs viena no valsts platformām, kuras mērķis būs informācijas apmaiņas un </w:t>
      </w:r>
      <w:proofErr w:type="spellStart"/>
      <w:r w:rsidR="00956EB1" w:rsidRPr="00372D49">
        <w:rPr>
          <w:szCs w:val="28"/>
        </w:rPr>
        <w:t>sadarbspējas</w:t>
      </w:r>
      <w:proofErr w:type="spellEnd"/>
      <w:r w:rsidR="00956EB1" w:rsidRPr="00372D49">
        <w:rPr>
          <w:szCs w:val="28"/>
        </w:rPr>
        <w:t xml:space="preserve"> uzlabošana valsts pārvaldē, kā arī datu pieejamības nodrošināšana ar garantētiem piekļuves laikiem.</w:t>
      </w:r>
      <w:r w:rsidR="009C59BB">
        <w:rPr>
          <w:szCs w:val="28"/>
        </w:rPr>
        <w:t xml:space="preserve"> DAGR </w:t>
      </w:r>
      <w:r w:rsidR="00CB5779">
        <w:rPr>
          <w:szCs w:val="28"/>
        </w:rPr>
        <w:t>kļūs par būtisku instrumentu Digitālās transformācijas pamatnostādn</w:t>
      </w:r>
      <w:r w:rsidR="00EB6C86">
        <w:rPr>
          <w:szCs w:val="28"/>
        </w:rPr>
        <w:t>ēs noteiktā datu pārvaldības modeļa ieviešanai</w:t>
      </w:r>
      <w:r w:rsidR="0057754B">
        <w:rPr>
          <w:szCs w:val="28"/>
        </w:rPr>
        <w:t xml:space="preserve"> un uzturēšanai</w:t>
      </w:r>
      <w:r w:rsidR="00EB6C86">
        <w:rPr>
          <w:szCs w:val="28"/>
        </w:rPr>
        <w:t>.</w:t>
      </w:r>
      <w:r w:rsidR="00CB5779">
        <w:rPr>
          <w:szCs w:val="28"/>
        </w:rPr>
        <w:t xml:space="preserve"> </w:t>
      </w:r>
      <w:r w:rsidR="00956EB1" w:rsidRPr="00372D49">
        <w:rPr>
          <w:szCs w:val="28"/>
        </w:rPr>
        <w:t xml:space="preserve"> Valsts pārvaldei tiks nodrošinātas iespējas apkopot potenciāli visu valsts iestāžu datus vienotā datu izplatīšanas platformā, kuru datu </w:t>
      </w:r>
      <w:r w:rsidR="006310BC">
        <w:rPr>
          <w:szCs w:val="28"/>
        </w:rPr>
        <w:t>saņēmēji</w:t>
      </w:r>
      <w:r w:rsidR="006310BC" w:rsidRPr="00372D49">
        <w:rPr>
          <w:szCs w:val="28"/>
        </w:rPr>
        <w:t xml:space="preserve"> </w:t>
      </w:r>
      <w:r w:rsidR="00956EB1" w:rsidRPr="00372D49">
        <w:rPr>
          <w:szCs w:val="28"/>
        </w:rPr>
        <w:t xml:space="preserve">varēs </w:t>
      </w:r>
      <w:r w:rsidR="00956EB1" w:rsidRPr="00372D49">
        <w:rPr>
          <w:szCs w:val="28"/>
        </w:rPr>
        <w:lastRenderedPageBreak/>
        <w:t>izmantot, lai izgūtu reāla laika datus no avotu informācijas sistēmām.</w:t>
      </w:r>
      <w:r w:rsidR="00F52708">
        <w:rPr>
          <w:szCs w:val="28"/>
        </w:rPr>
        <w:t xml:space="preserve"> Lai </w:t>
      </w:r>
      <w:r w:rsidR="0016186B">
        <w:rPr>
          <w:szCs w:val="28"/>
        </w:rPr>
        <w:t xml:space="preserve">nodrošinātu </w:t>
      </w:r>
      <w:r w:rsidR="00F52708">
        <w:rPr>
          <w:szCs w:val="28"/>
        </w:rPr>
        <w:t xml:space="preserve">DAGR </w:t>
      </w:r>
      <w:r w:rsidR="000D6CA9">
        <w:rPr>
          <w:szCs w:val="28"/>
        </w:rPr>
        <w:t>tiesisko regulējumu</w:t>
      </w:r>
      <w:r w:rsidR="005B4350">
        <w:rPr>
          <w:szCs w:val="28"/>
        </w:rPr>
        <w:t xml:space="preserve">, tika izstrādāti grozījumi </w:t>
      </w:r>
      <w:r w:rsidR="009671F3">
        <w:rPr>
          <w:szCs w:val="28"/>
        </w:rPr>
        <w:t xml:space="preserve">Likumā, kā arī ir nepieciešams </w:t>
      </w:r>
      <w:r w:rsidR="00BF4C85">
        <w:rPr>
          <w:szCs w:val="28"/>
        </w:rPr>
        <w:t>izstrādāt Noteikumu</w:t>
      </w:r>
      <w:r w:rsidR="00B61A73">
        <w:rPr>
          <w:szCs w:val="28"/>
        </w:rPr>
        <w:t xml:space="preserve"> projektu</w:t>
      </w:r>
      <w:r w:rsidR="00BF4C85">
        <w:rPr>
          <w:szCs w:val="28"/>
        </w:rPr>
        <w:t>, kuri noteiks DAGR izmantošanas kārtību.</w:t>
      </w:r>
    </w:p>
    <w:p w14:paraId="694D0C42" w14:textId="77777777" w:rsidR="00BB1FE9" w:rsidRDefault="00002DEF">
      <w:pPr>
        <w:spacing w:before="90" w:after="90"/>
      </w:pPr>
      <w:r>
        <w:rPr>
          <w:b/>
        </w:rPr>
        <w:t>Problēmas un risinājumi</w:t>
      </w:r>
    </w:p>
    <w:p w14:paraId="4BDC328B" w14:textId="77777777" w:rsidR="00BB1FE9" w:rsidRDefault="00002DEF">
      <w:pPr>
        <w:spacing w:before="90" w:after="90"/>
      </w:pPr>
      <w:r>
        <w:rPr>
          <w:b/>
        </w:rPr>
        <w:t>Problēmas apraksts</w:t>
      </w:r>
    </w:p>
    <w:p w14:paraId="580F3060" w14:textId="1EEEA1E9" w:rsidR="004B15EF" w:rsidRDefault="004B15EF">
      <w:r>
        <w:t xml:space="preserve">Uz doto brīdi ir identificētas vairākas </w:t>
      </w:r>
      <w:r w:rsidR="002B4592">
        <w:t xml:space="preserve">būtiskas </w:t>
      </w:r>
      <w:r>
        <w:t xml:space="preserve">problēmas </w:t>
      </w:r>
      <w:r w:rsidR="00D34E8E">
        <w:t>datu aprites nodrošināšanā valsts pārvaldē:</w:t>
      </w:r>
    </w:p>
    <w:p w14:paraId="6660317F" w14:textId="77777777" w:rsidR="00696FDE" w:rsidRDefault="00696FDE" w:rsidP="00696FDE">
      <w:pPr>
        <w:pStyle w:val="ListParagraph"/>
        <w:numPr>
          <w:ilvl w:val="0"/>
          <w:numId w:val="1"/>
        </w:numPr>
      </w:pPr>
      <w:r>
        <w:t>N</w:t>
      </w:r>
      <w:r w:rsidRPr="004D7BB5">
        <w:t>epieciešam</w:t>
      </w:r>
      <w:r>
        <w:t>s</w:t>
      </w:r>
      <w:r w:rsidRPr="004D7BB5">
        <w:t xml:space="preserve"> uzlabot valsts pārvaldes rīcībā esošās informācijas centralizētu</w:t>
      </w:r>
      <w:r>
        <w:t xml:space="preserve"> apriti un</w:t>
      </w:r>
      <w:r w:rsidRPr="004D7BB5">
        <w:t xml:space="preserve"> pārvaldību.</w:t>
      </w:r>
    </w:p>
    <w:p w14:paraId="5A0BC9EF" w14:textId="56F1C669" w:rsidR="00616F3E" w:rsidRDefault="005F5D43" w:rsidP="00D34E8E">
      <w:pPr>
        <w:pStyle w:val="ListParagraph"/>
        <w:numPr>
          <w:ilvl w:val="0"/>
          <w:numId w:val="1"/>
        </w:numPr>
      </w:pPr>
      <w:r>
        <w:t>Daudzām d</w:t>
      </w:r>
      <w:r w:rsidR="00616F3E">
        <w:t>atu devēju pārziņā esoš</w:t>
      </w:r>
      <w:r>
        <w:t>ajām</w:t>
      </w:r>
      <w:r w:rsidR="00616F3E">
        <w:t xml:space="preserve"> </w:t>
      </w:r>
      <w:r>
        <w:t>informācijas sistēmām</w:t>
      </w:r>
      <w:r w:rsidR="00482903">
        <w:t>, ņemot vērā</w:t>
      </w:r>
      <w:r w:rsidR="001C5A3A">
        <w:t xml:space="preserve">, ka to datu </w:t>
      </w:r>
      <w:proofErr w:type="spellStart"/>
      <w:r w:rsidR="001C5A3A">
        <w:t>izguves</w:t>
      </w:r>
      <w:proofErr w:type="spellEnd"/>
      <w:r w:rsidR="001C5A3A">
        <w:t xml:space="preserve"> arhitektūra ir veidoto</w:t>
      </w:r>
      <w:r w:rsidR="001A26B6">
        <w:t xml:space="preserve"> </w:t>
      </w:r>
      <w:r w:rsidR="00A6298E">
        <w:t>diezgan sen, ir problēmas</w:t>
      </w:r>
      <w:r w:rsidR="001C5A3A">
        <w:t xml:space="preserve"> </w:t>
      </w:r>
      <w:r w:rsidR="00C86E3B" w:rsidRPr="00C86E3B">
        <w:t>ar intensīvi izmantoto datu pieprasījumu veiktspēju.</w:t>
      </w:r>
    </w:p>
    <w:p w14:paraId="1D792FD2" w14:textId="321A9286" w:rsidR="00CF392C" w:rsidRDefault="001D70E1" w:rsidP="00D34E8E">
      <w:pPr>
        <w:pStyle w:val="ListParagraph"/>
        <w:numPr>
          <w:ilvl w:val="0"/>
          <w:numId w:val="1"/>
        </w:numPr>
      </w:pPr>
      <w:r>
        <w:t xml:space="preserve">Nepieciešams pakalpojums, kurš nepieciešamības gadījumā varētu nodrošināt atbilstošo valsts pārvaldes pārziņā esošo datu </w:t>
      </w:r>
      <w:proofErr w:type="spellStart"/>
      <w:r>
        <w:t>pseidonimizēšanu</w:t>
      </w:r>
      <w:proofErr w:type="spellEnd"/>
      <w:r>
        <w:t xml:space="preserve"> </w:t>
      </w:r>
      <w:r w:rsidR="00AC0BD6">
        <w:t xml:space="preserve">un </w:t>
      </w:r>
      <w:proofErr w:type="spellStart"/>
      <w:r w:rsidR="00AC0BD6">
        <w:t>anonimizēšanu</w:t>
      </w:r>
      <w:proofErr w:type="spellEnd"/>
      <w:r w:rsidR="00AC0BD6">
        <w:t>.</w:t>
      </w:r>
    </w:p>
    <w:p w14:paraId="15DF0A43" w14:textId="0F27BA34" w:rsidR="00FE2D14" w:rsidRDefault="000431FF">
      <w:r>
        <w:t xml:space="preserve">DAGR projektā </w:t>
      </w:r>
      <w:r w:rsidR="00545D1A">
        <w:t>šobrīd tiek izstrādāta</w:t>
      </w:r>
      <w:r w:rsidR="00726850">
        <w:t xml:space="preserve"> DAGR</w:t>
      </w:r>
      <w:r w:rsidR="00A235FB">
        <w:t>,</w:t>
      </w:r>
      <w:r>
        <w:t xml:space="preserve"> kur</w:t>
      </w:r>
      <w:r w:rsidR="00726850">
        <w:t>a</w:t>
      </w:r>
      <w:r>
        <w:t xml:space="preserve"> </w:t>
      </w:r>
      <w:r w:rsidR="00A24162">
        <w:t xml:space="preserve">kļūs par </w:t>
      </w:r>
      <w:r w:rsidR="00256818" w:rsidRPr="00256818">
        <w:t>būtiskāk</w:t>
      </w:r>
      <w:r w:rsidR="00A24162">
        <w:t>o</w:t>
      </w:r>
      <w:r w:rsidR="00256818" w:rsidRPr="00256818">
        <w:t xml:space="preserve"> koplietošanas risinājum</w:t>
      </w:r>
      <w:r w:rsidR="00A24162">
        <w:t>u</w:t>
      </w:r>
      <w:r w:rsidR="00256818" w:rsidRPr="00256818">
        <w:t xml:space="preserve"> datu pārvaldības īstenošanai valsts pārvaldē</w:t>
      </w:r>
      <w:r w:rsidR="004A0C74">
        <w:t xml:space="preserve">. Lai nodrošinātu DAGR </w:t>
      </w:r>
      <w:r w:rsidR="005F305B">
        <w:t>izmantošanas tiesisko regulējumu, kā arī</w:t>
      </w:r>
      <w:r w:rsidR="00386C22">
        <w:t>,</w:t>
      </w:r>
      <w:r w:rsidR="005F305B">
        <w:t xml:space="preserve"> lai izpildītu Likuma </w:t>
      </w:r>
      <w:r w:rsidR="005F305B" w:rsidRPr="00755781">
        <w:t xml:space="preserve">18.panta </w:t>
      </w:r>
      <w:r w:rsidR="005F305B">
        <w:t>piekt</w:t>
      </w:r>
      <w:r w:rsidR="001C6A1D">
        <w:t>ās</w:t>
      </w:r>
      <w:r w:rsidR="005F305B" w:rsidRPr="00755781">
        <w:t xml:space="preserve"> daļ</w:t>
      </w:r>
      <w:r w:rsidR="001C6A1D">
        <w:t>as 1. un 2.punktā</w:t>
      </w:r>
      <w:r w:rsidR="005F305B">
        <w:t xml:space="preserve"> noteikto prasību</w:t>
      </w:r>
      <w:r w:rsidR="00386C22">
        <w:t xml:space="preserve"> attiecībā uz </w:t>
      </w:r>
      <w:r w:rsidR="008362F8">
        <w:t>valsts platformām,</w:t>
      </w:r>
      <w:r w:rsidR="00A235FB">
        <w:t xml:space="preserve"> nepieciešams izstrādāt </w:t>
      </w:r>
      <w:r w:rsidR="00741027">
        <w:t>Noteikumu proj</w:t>
      </w:r>
      <w:r w:rsidR="008362F8">
        <w:t>e</w:t>
      </w:r>
      <w:r w:rsidR="00741027">
        <w:t>ktu.</w:t>
      </w:r>
    </w:p>
    <w:p w14:paraId="6266EC1F" w14:textId="77777777" w:rsidR="00AA27D5" w:rsidRDefault="00AA27D5"/>
    <w:p w14:paraId="63679EE3" w14:textId="77777777" w:rsidR="00BB1FE9" w:rsidRDefault="00002DEF">
      <w:pPr>
        <w:spacing w:before="90" w:after="90"/>
      </w:pPr>
      <w:r>
        <w:rPr>
          <w:b/>
        </w:rPr>
        <w:t>Risinājuma apraksts</w:t>
      </w:r>
    </w:p>
    <w:p w14:paraId="19476799" w14:textId="77777777" w:rsidR="00BB1FE9" w:rsidRDefault="00002DEF">
      <w:r>
        <w:t>Noteikumu projekts nosaka:</w:t>
      </w:r>
    </w:p>
    <w:p w14:paraId="635E1918" w14:textId="39D0AE5E" w:rsidR="00BB1FE9" w:rsidRDefault="001A5AAF" w:rsidP="008B57C7">
      <w:pPr>
        <w:pStyle w:val="ListParagraph"/>
        <w:numPr>
          <w:ilvl w:val="0"/>
          <w:numId w:val="6"/>
        </w:numPr>
      </w:pPr>
      <w:r>
        <w:t xml:space="preserve">DAGR </w:t>
      </w:r>
      <w:r w:rsidR="0014752F" w:rsidRPr="0014752F">
        <w:t>pārzini, viņa pienākumus un atbildību, kā arī funkcijas un uzdevumus, kuru izpildei nepieciešama DAGR izmantošana;</w:t>
      </w:r>
    </w:p>
    <w:p w14:paraId="2BF5969F" w14:textId="012FD9D6" w:rsidR="00BB1FE9" w:rsidRDefault="00DC7EC8" w:rsidP="008B57C7">
      <w:pPr>
        <w:pStyle w:val="ListParagraph"/>
        <w:numPr>
          <w:ilvl w:val="0"/>
          <w:numId w:val="6"/>
        </w:numPr>
      </w:pPr>
      <w:r>
        <w:t xml:space="preserve">DAGR </w:t>
      </w:r>
      <w:r w:rsidRPr="00DC7EC8">
        <w:t>darbības, finansēšanas un izmantošanas kārtību</w:t>
      </w:r>
      <w:r w:rsidR="00002DEF">
        <w:t>. </w:t>
      </w:r>
    </w:p>
    <w:p w14:paraId="29126711" w14:textId="021F1803" w:rsidR="000E3CF2" w:rsidRDefault="000E3CF2" w:rsidP="000E3CF2">
      <w:r>
        <w:t xml:space="preserve">DAGR būs viena no valsts platformām, kuras mērķis būs informācijas </w:t>
      </w:r>
      <w:r w:rsidR="004325F0">
        <w:t>aprites</w:t>
      </w:r>
      <w:r>
        <w:t xml:space="preserve"> un </w:t>
      </w:r>
      <w:proofErr w:type="spellStart"/>
      <w:r>
        <w:t>sadarbspējas</w:t>
      </w:r>
      <w:proofErr w:type="spellEnd"/>
      <w:r>
        <w:t xml:space="preserve"> uzlabošana valsts pārvaldē, kā arī datu pieejamības nodrošināšana ar garantētiem piekļuves laikiem.</w:t>
      </w:r>
      <w:r w:rsidR="0027126F">
        <w:t xml:space="preserve"> </w:t>
      </w:r>
      <w:r>
        <w:t xml:space="preserve"> Valsts pārvaldei tiks nodrošinātas iespējas apkopot potenciāli visu valsts iestāžu datus vienotā datu izplatīšanas platformā, kuru datu </w:t>
      </w:r>
      <w:r w:rsidR="006310BC">
        <w:t xml:space="preserve">saņēmēji </w:t>
      </w:r>
      <w:r>
        <w:t xml:space="preserve">varēs izmantot, lai izgūtu reāla laika datus no avotu informācijas sistēmām. DAGR pārzinis būs </w:t>
      </w:r>
      <w:r w:rsidR="00C04E93">
        <w:t>VRAA,</w:t>
      </w:r>
      <w:r>
        <w:t xml:space="preserve"> kura </w:t>
      </w:r>
      <w:r w:rsidR="002313F1">
        <w:t xml:space="preserve">tajā skaitā </w:t>
      </w:r>
      <w:r>
        <w:t>nodrošin</w:t>
      </w:r>
      <w:r w:rsidR="002313F1">
        <w:t>ās</w:t>
      </w:r>
      <w:r>
        <w:t xml:space="preserve"> arī:</w:t>
      </w:r>
    </w:p>
    <w:p w14:paraId="4208C567" w14:textId="6B294865" w:rsidR="000E3CF2" w:rsidRDefault="000E3CF2" w:rsidP="00223505">
      <w:pPr>
        <w:pStyle w:val="ListParagraph"/>
        <w:numPr>
          <w:ilvl w:val="1"/>
          <w:numId w:val="9"/>
        </w:numPr>
      </w:pPr>
      <w:r>
        <w:t>DAGR datu arhitektūras vadlīniju veidošanu;</w:t>
      </w:r>
    </w:p>
    <w:p w14:paraId="6589CC2B" w14:textId="797D2C60" w:rsidR="000E3CF2" w:rsidRDefault="000E3CF2" w:rsidP="00223505">
      <w:pPr>
        <w:pStyle w:val="ListParagraph"/>
        <w:numPr>
          <w:ilvl w:val="1"/>
          <w:numId w:val="9"/>
        </w:numPr>
      </w:pPr>
      <w:r>
        <w:t>DAGR datu arhitektūras uzturēšanu, papildināšanu un izmaiņu veikšanu;</w:t>
      </w:r>
    </w:p>
    <w:p w14:paraId="726A7FF5" w14:textId="5761C53C" w:rsidR="000E3CF2" w:rsidRDefault="000E3CF2" w:rsidP="00223505">
      <w:pPr>
        <w:pStyle w:val="ListParagraph"/>
        <w:numPr>
          <w:ilvl w:val="1"/>
          <w:numId w:val="9"/>
        </w:numPr>
      </w:pPr>
      <w:r>
        <w:t xml:space="preserve">Datu avotu kartēšanu, datu kustības un </w:t>
      </w:r>
      <w:proofErr w:type="spellStart"/>
      <w:r>
        <w:t>saskarņu</w:t>
      </w:r>
      <w:proofErr w:type="spellEnd"/>
      <w:r>
        <w:t xml:space="preserve"> pārraudzīšanu ar mērķi nodrošināt datu kvalitāti;</w:t>
      </w:r>
    </w:p>
    <w:p w14:paraId="7ABBE13F" w14:textId="3AF5FE50" w:rsidR="000E3CF2" w:rsidRDefault="000E3CF2" w:rsidP="00223505">
      <w:pPr>
        <w:pStyle w:val="ListParagraph"/>
        <w:numPr>
          <w:ilvl w:val="1"/>
          <w:numId w:val="9"/>
        </w:numPr>
      </w:pPr>
      <w:r>
        <w:t>Problēmu risināšanu, kas saistītas ar datiem un datu avotu integrācijām ar DAGR;</w:t>
      </w:r>
    </w:p>
    <w:p w14:paraId="14BD28D9" w14:textId="46567AA8" w:rsidR="000E3CF2" w:rsidRDefault="000E3CF2" w:rsidP="00223505">
      <w:pPr>
        <w:pStyle w:val="ListParagraph"/>
        <w:numPr>
          <w:ilvl w:val="1"/>
          <w:numId w:val="9"/>
        </w:numPr>
      </w:pPr>
      <w:r>
        <w:t>DAGR administrēšanu un programmatūras uzturēšanu;</w:t>
      </w:r>
    </w:p>
    <w:p w14:paraId="37D4C328" w14:textId="0A76BB60" w:rsidR="000E3CF2" w:rsidRDefault="000E3CF2" w:rsidP="00223505">
      <w:pPr>
        <w:pStyle w:val="ListParagraph"/>
        <w:numPr>
          <w:ilvl w:val="1"/>
          <w:numId w:val="9"/>
        </w:numPr>
      </w:pPr>
      <w:r>
        <w:t>DAGR darbības monitoringu un problēmu risināšanu;</w:t>
      </w:r>
    </w:p>
    <w:p w14:paraId="784FA374" w14:textId="173E9EDC" w:rsidR="000E3CF2" w:rsidRDefault="000E3CF2" w:rsidP="00223505">
      <w:pPr>
        <w:pStyle w:val="ListParagraph"/>
        <w:numPr>
          <w:ilvl w:val="1"/>
          <w:numId w:val="9"/>
        </w:numPr>
      </w:pPr>
      <w:r>
        <w:t>Informācijas aizsardzības nodrošināšanu;</w:t>
      </w:r>
    </w:p>
    <w:p w14:paraId="5071DA53" w14:textId="014E6CB2" w:rsidR="00BB1FE9" w:rsidRDefault="000E3CF2" w:rsidP="00223505">
      <w:pPr>
        <w:pStyle w:val="ListParagraph"/>
        <w:numPr>
          <w:ilvl w:val="1"/>
          <w:numId w:val="9"/>
        </w:numPr>
      </w:pPr>
      <w:r>
        <w:lastRenderedPageBreak/>
        <w:t>Atbalsta sniegšanu DAGR lietotājiem.</w:t>
      </w:r>
    </w:p>
    <w:p w14:paraId="47E10B7E" w14:textId="2959F710" w:rsidR="000A2453" w:rsidRDefault="000A2453">
      <w:r>
        <w:t xml:space="preserve">Lai viennozīmīgi </w:t>
      </w:r>
      <w:r w:rsidR="004D4DAB">
        <w:t xml:space="preserve">varētu noteikt atbildības sadalījumu attiecībā uz DAGR lietotājiem, Noteikumu projektā tiek </w:t>
      </w:r>
      <w:r w:rsidR="00CD6F0E">
        <w:t xml:space="preserve">noteikti divi termini </w:t>
      </w:r>
      <w:r w:rsidR="00CC339E">
        <w:t>–</w:t>
      </w:r>
      <w:r w:rsidR="00CD6F0E">
        <w:t xml:space="preserve"> </w:t>
      </w:r>
      <w:r w:rsidR="00CC339E">
        <w:t xml:space="preserve">datu devējs un </w:t>
      </w:r>
      <w:r w:rsidR="00F9419A">
        <w:t xml:space="preserve">datu saņēmējs. </w:t>
      </w:r>
      <w:r w:rsidR="00962667">
        <w:t xml:space="preserve">Datu devēji ir </w:t>
      </w:r>
      <w:r w:rsidR="00962667" w:rsidRPr="00962667">
        <w:t xml:space="preserve">institūcijas </w:t>
      </w:r>
      <w:r w:rsidR="00F57FAA">
        <w:t>vai</w:t>
      </w:r>
      <w:r w:rsidR="00962667" w:rsidRPr="00962667">
        <w:t xml:space="preserve"> privāto tiesību juridiskās personas</w:t>
      </w:r>
      <w:r w:rsidR="00DC2838">
        <w:t>, kuras izvietos savus datus DAGR</w:t>
      </w:r>
      <w:r w:rsidR="00C028AA">
        <w:t>, vai arī izmantojot DAGR funkciona</w:t>
      </w:r>
      <w:r w:rsidR="00767343">
        <w:t>litāti nodrošinās savu datu izplatīšanu no savā pārziņā esošajām informācijas sistēmām.</w:t>
      </w:r>
      <w:r w:rsidR="00223261">
        <w:t xml:space="preserve"> Savukārt </w:t>
      </w:r>
      <w:r w:rsidR="00E13ECC">
        <w:t xml:space="preserve">datu saņēmējs </w:t>
      </w:r>
      <w:r w:rsidR="00F57FAA">
        <w:t xml:space="preserve">ir </w:t>
      </w:r>
      <w:r w:rsidR="00F57FAA" w:rsidRPr="00F57FAA">
        <w:t xml:space="preserve">institūcija </w:t>
      </w:r>
      <w:r w:rsidR="00F57FAA">
        <w:t>vai</w:t>
      </w:r>
      <w:r w:rsidR="00F57FAA" w:rsidRPr="00F57FAA">
        <w:t xml:space="preserve"> privāto tiesību juridiskā persona, kas saņem datus izmantojot DAGR</w:t>
      </w:r>
      <w:r w:rsidR="008F3270">
        <w:t>.</w:t>
      </w:r>
    </w:p>
    <w:p w14:paraId="3AD17EEA" w14:textId="3F75753D" w:rsidR="00BB1FE9" w:rsidRDefault="00177BBD">
      <w:r>
        <w:t xml:space="preserve">Noteikumu projektā tiek nodalīta atbildība </w:t>
      </w:r>
      <w:r w:rsidR="000A2453">
        <w:t>attiecībā uz personas datiem</w:t>
      </w:r>
      <w:r w:rsidR="005F46AA">
        <w:t xml:space="preserve"> nosakot, ka VRAA atbild tikai par tiem personas datiem</w:t>
      </w:r>
      <w:r w:rsidR="009D1461">
        <w:t>,</w:t>
      </w:r>
      <w:r w:rsidR="005F46AA">
        <w:t xml:space="preserve"> </w:t>
      </w:r>
      <w:r w:rsidR="009D1461" w:rsidRPr="009D1461">
        <w:t>kas nepieciešami, lai nodrošinātu piekļuvi DAGR darbības organizēšanai</w:t>
      </w:r>
      <w:r w:rsidR="009D1461">
        <w:t xml:space="preserve">, </w:t>
      </w:r>
      <w:r w:rsidR="00925DBC">
        <w:t xml:space="preserve">savukārt </w:t>
      </w:r>
      <w:r w:rsidR="002E5D98">
        <w:t>par personas d</w:t>
      </w:r>
      <w:r w:rsidR="00E23138">
        <w:t>atiem</w:t>
      </w:r>
      <w:r w:rsidR="0016709B">
        <w:t>, kuri ir iegūti no citām informācijas sistēmām</w:t>
      </w:r>
      <w:r w:rsidR="00B772F2">
        <w:t>,</w:t>
      </w:r>
      <w:r w:rsidR="0016709B">
        <w:t xml:space="preserve"> atbild </w:t>
      </w:r>
      <w:r w:rsidR="00713E6C">
        <w:t>datu devēj</w:t>
      </w:r>
      <w:r w:rsidR="000D1171">
        <w:t>s</w:t>
      </w:r>
      <w:r w:rsidR="00713E6C">
        <w:t>, kur</w:t>
      </w:r>
      <w:r w:rsidR="000D1171">
        <w:t>š</w:t>
      </w:r>
      <w:r w:rsidR="00713E6C">
        <w:t xml:space="preserve"> ir atbil</w:t>
      </w:r>
      <w:r w:rsidR="00AA049F">
        <w:t>dīgi par</w:t>
      </w:r>
      <w:r w:rsidR="00B772F2" w:rsidRPr="00B772F2">
        <w:t xml:space="preserve"> personas datu apstrādi attiecīgajā informācijas sistēmā</w:t>
      </w:r>
      <w:r w:rsidR="00713E6C">
        <w:t>.</w:t>
      </w:r>
    </w:p>
    <w:p w14:paraId="181F7749" w14:textId="7794A027" w:rsidR="00630907" w:rsidRDefault="00630907">
      <w:r w:rsidRPr="00630907">
        <w:t>Datu devējs ir atbildīgs par tā pārziņā esošās informācijas sistēmā esošo datu</w:t>
      </w:r>
      <w:r w:rsidR="004F6F2A">
        <w:t>, kuri izvietoti DAGR,</w:t>
      </w:r>
      <w:r w:rsidRPr="00630907">
        <w:t xml:space="preserve"> aktualitāti un atbilstību normatīvajos aktos noteiktajām prasībām.</w:t>
      </w:r>
    </w:p>
    <w:p w14:paraId="7D42A563" w14:textId="2590877F" w:rsidR="00650E35" w:rsidRDefault="00650E35">
      <w:r w:rsidRPr="00650E35">
        <w:t>Par savienotāja konfigurēšanu ir atbildīgs attiecīgais datu devējs vai datu saņēmējs.</w:t>
      </w:r>
    </w:p>
    <w:p w14:paraId="13A42BD1" w14:textId="5A9A1141" w:rsidR="00071D80" w:rsidRDefault="00F76AC3" w:rsidP="00071D80">
      <w:r>
        <w:t xml:space="preserve">Nodrošinot valsts pārvaldes </w:t>
      </w:r>
      <w:r w:rsidR="009F655F" w:rsidRPr="009F655F">
        <w:t>informācijas un komunikācijas tehnoloģiju</w:t>
      </w:r>
      <w:r w:rsidR="009F655F">
        <w:t xml:space="preserve"> (turpmāk – IKT)</w:t>
      </w:r>
      <w:r w:rsidR="00266177">
        <w:t xml:space="preserve"> infrastruktūras</w:t>
      </w:r>
      <w:r w:rsidR="007F5DDF">
        <w:t xml:space="preserve"> konsolidācijas politikas īstenošanu, </w:t>
      </w:r>
      <w:r w:rsidR="008F5949">
        <w:t>un</w:t>
      </w:r>
      <w:r w:rsidR="00B448AB">
        <w:t>,</w:t>
      </w:r>
      <w:r w:rsidR="000228CA">
        <w:t xml:space="preserve"> </w:t>
      </w:r>
      <w:r w:rsidR="00ED6A40">
        <w:t>l</w:t>
      </w:r>
      <w:r w:rsidR="000228CA" w:rsidRPr="000228CA">
        <w:t xml:space="preserve">ai nodrošinātu īpaši augstu pieejamības līmeni, DAGR darbības nodrošināšanai tiks izmantoti vairāku IKT infrastruktūras koplietošanas pakalpojumu sniedzēju pakalpojumi valsts </w:t>
      </w:r>
      <w:proofErr w:type="spellStart"/>
      <w:r w:rsidR="000228CA" w:rsidRPr="000228CA">
        <w:t>federētā</w:t>
      </w:r>
      <w:proofErr w:type="spellEnd"/>
      <w:r w:rsidR="000228CA" w:rsidRPr="000228CA">
        <w:t xml:space="preserve"> mākoņa ietvaros.  Sākotnēji risinājuma izstrādes un eksperimentālās ekspluatācijas laikā slodzes sadalījuma (</w:t>
      </w:r>
      <w:proofErr w:type="spellStart"/>
      <w:r w:rsidR="000228CA" w:rsidRPr="000228CA">
        <w:t>load</w:t>
      </w:r>
      <w:proofErr w:type="spellEnd"/>
      <w:r w:rsidR="000228CA" w:rsidRPr="000228CA">
        <w:t xml:space="preserve"> </w:t>
      </w:r>
      <w:proofErr w:type="spellStart"/>
      <w:r w:rsidR="000228CA" w:rsidRPr="000228CA">
        <w:t>balancing</w:t>
      </w:r>
      <w:proofErr w:type="spellEnd"/>
      <w:r w:rsidR="000228CA" w:rsidRPr="000228CA">
        <w:t xml:space="preserve">) un darbības atjaunošanas risinājumi tiks izvietoti Latvijas Nacionālās bibliotēkas datu centros, bet līdz 2023. gada beigām </w:t>
      </w:r>
      <w:r w:rsidR="00777E1F">
        <w:t xml:space="preserve">DAGR </w:t>
      </w:r>
      <w:r w:rsidR="000228CA" w:rsidRPr="000228CA">
        <w:t xml:space="preserve">risinājumu tiek plānots izvērst arī </w:t>
      </w:r>
      <w:r w:rsidR="00B3180C" w:rsidRPr="00B3180C">
        <w:t>Valsts akciju sabiedrīb</w:t>
      </w:r>
      <w:r w:rsidR="00067FF2">
        <w:t>ā</w:t>
      </w:r>
      <w:r w:rsidR="00B3180C" w:rsidRPr="00B3180C">
        <w:t xml:space="preserve"> “Latvijas Valsts radio un televīzijas centrs</w:t>
      </w:r>
      <w:r w:rsidR="00067FF2">
        <w:t>”</w:t>
      </w:r>
      <w:r w:rsidR="00A95A2A">
        <w:t xml:space="preserve"> (turpmāk – LVRTC)</w:t>
      </w:r>
      <w:r w:rsidR="000228CA" w:rsidRPr="000228CA">
        <w:t xml:space="preserve"> infrastruktūrā.</w:t>
      </w:r>
      <w:r w:rsidR="00285A5D">
        <w:t xml:space="preserve"> </w:t>
      </w:r>
      <w:r w:rsidR="00285A5D" w:rsidRPr="00285A5D">
        <w:t xml:space="preserve">DAGR darbināšanai tiks izmantoti valsts pārvaldes </w:t>
      </w:r>
      <w:proofErr w:type="spellStart"/>
      <w:r w:rsidR="00285A5D" w:rsidRPr="00285A5D">
        <w:t>federētā</w:t>
      </w:r>
      <w:proofErr w:type="spellEnd"/>
      <w:r w:rsidR="00285A5D" w:rsidRPr="00285A5D">
        <w:t xml:space="preserve"> mākoņa pakalpojumi, kas tiks izstrādāti saskaņā ar plānu, ko</w:t>
      </w:r>
      <w:r w:rsidR="00F24640">
        <w:t>,</w:t>
      </w:r>
      <w:r w:rsidR="00285A5D" w:rsidRPr="00285A5D">
        <w:t xml:space="preserve"> izpildot</w:t>
      </w:r>
      <w:r w:rsidR="006A0887">
        <w:t xml:space="preserve"> informatīvā ziņojuma „Par valsts informācijas un komunikācijas tehnoloģiju resursu un kompetenču konsolidāciju” </w:t>
      </w:r>
      <w:proofErr w:type="spellStart"/>
      <w:r w:rsidR="006A0887">
        <w:t>protokollēmuma</w:t>
      </w:r>
      <w:proofErr w:type="spellEnd"/>
      <w:r w:rsidR="006A0887">
        <w:t xml:space="preserve"> </w:t>
      </w:r>
      <w:r w:rsidR="00ED2F0E">
        <w:t>5.punktā doto</w:t>
      </w:r>
      <w:r w:rsidR="00285A5D" w:rsidRPr="00285A5D">
        <w:t xml:space="preserve"> uzdevumu izstrādāt un iesniegt M</w:t>
      </w:r>
      <w:r w:rsidR="00793A05">
        <w:t>inistru kabinetā</w:t>
      </w:r>
      <w:r w:rsidR="00285A5D" w:rsidRPr="00285A5D">
        <w:t xml:space="preserve"> priekšlikumu par valsts datu apstrādes mākoņa attīstības plānu</w:t>
      </w:r>
      <w:r w:rsidR="00F24640">
        <w:t>,</w:t>
      </w:r>
      <w:r w:rsidR="00285A5D" w:rsidRPr="00285A5D">
        <w:t xml:space="preserve"> šobrīd izstrādā VARAM sadarbībā ar VRAA, </w:t>
      </w:r>
      <w:r w:rsidR="00A95A2A">
        <w:t>Zemkopības ministrij</w:t>
      </w:r>
      <w:r w:rsidR="001873C2">
        <w:t>u, LVRTC</w:t>
      </w:r>
      <w:r w:rsidR="00646074">
        <w:t xml:space="preserve">, </w:t>
      </w:r>
      <w:r w:rsidR="00A95A2A">
        <w:t>Latvijas Nacionāl</w:t>
      </w:r>
      <w:r w:rsidR="00646074">
        <w:t>o</w:t>
      </w:r>
      <w:r w:rsidR="00A95A2A">
        <w:t xml:space="preserve"> bibliotēk</w:t>
      </w:r>
      <w:r w:rsidR="00646074">
        <w:t xml:space="preserve">u un </w:t>
      </w:r>
      <w:proofErr w:type="spellStart"/>
      <w:r w:rsidR="00A95A2A">
        <w:t>Iekšlietu</w:t>
      </w:r>
      <w:proofErr w:type="spellEnd"/>
      <w:r w:rsidR="00A95A2A">
        <w:t xml:space="preserve"> ministrijas Informācijas centr</w:t>
      </w:r>
      <w:r w:rsidR="00646074">
        <w:t>u</w:t>
      </w:r>
      <w:r w:rsidR="00285A5D" w:rsidRPr="00285A5D">
        <w:t xml:space="preserve">. Izmantojamie pakalpojumi nodrošinās datu apstrādi un uzkrāšanu vairākos ģeogrāfiski attālinātos datu centros valsts pārvaldes </w:t>
      </w:r>
      <w:proofErr w:type="spellStart"/>
      <w:r w:rsidR="00285A5D" w:rsidRPr="00285A5D">
        <w:t>federētā</w:t>
      </w:r>
      <w:proofErr w:type="spellEnd"/>
      <w:r w:rsidR="00285A5D" w:rsidRPr="00285A5D">
        <w:t xml:space="preserve"> mākoņa ietvaros, kā arī datu pārraides, </w:t>
      </w:r>
      <w:proofErr w:type="spellStart"/>
      <w:r w:rsidR="00285A5D" w:rsidRPr="00285A5D">
        <w:t>kiberdrošības</w:t>
      </w:r>
      <w:proofErr w:type="spellEnd"/>
      <w:r w:rsidR="00285A5D" w:rsidRPr="00285A5D">
        <w:t xml:space="preserve"> un datu rezervēšanas risinājumus.</w:t>
      </w:r>
      <w:r w:rsidR="00583CAC">
        <w:t xml:space="preserve"> </w:t>
      </w:r>
      <w:r w:rsidR="00E75369">
        <w:t xml:space="preserve">Šobrīd </w:t>
      </w:r>
      <w:r w:rsidR="001C30D2" w:rsidRPr="001C30D2">
        <w:t xml:space="preserve">Latvijas Nacionālās bibliotēkas </w:t>
      </w:r>
      <w:r w:rsidR="00BA4B3A">
        <w:t xml:space="preserve">sniegtie </w:t>
      </w:r>
      <w:r w:rsidR="00BA4B3A" w:rsidRPr="000228CA">
        <w:t>IKT infrastruktūras koplietošanas pakalpojum</w:t>
      </w:r>
      <w:r w:rsidR="0072453C">
        <w:t>i, ko izmant</w:t>
      </w:r>
      <w:r w:rsidR="00D24578">
        <w:t>os</w:t>
      </w:r>
      <w:r w:rsidR="0072453C">
        <w:t xml:space="preserve"> DAGR</w:t>
      </w:r>
      <w:r w:rsidR="00061849">
        <w:t>,</w:t>
      </w:r>
      <w:r w:rsidR="0072453C">
        <w:t xml:space="preserve"> nodrošin</w:t>
      </w:r>
      <w:r w:rsidR="00D24578">
        <w:t>ās</w:t>
      </w:r>
      <w:r w:rsidR="0072453C">
        <w:t xml:space="preserve"> tikai DAGR projekta ietvarā </w:t>
      </w:r>
      <w:r w:rsidR="00D24578">
        <w:t>iekļauto datu aprit</w:t>
      </w:r>
      <w:r w:rsidR="007B4FB8">
        <w:t>i.</w:t>
      </w:r>
      <w:r w:rsidR="007F0B26">
        <w:t xml:space="preserve"> VARAM uzdevums ir īstenot </w:t>
      </w:r>
      <w:proofErr w:type="spellStart"/>
      <w:r w:rsidR="00B66314">
        <w:t>digitalizēto</w:t>
      </w:r>
      <w:proofErr w:type="spellEnd"/>
      <w:r w:rsidR="00B66314">
        <w:t xml:space="preserve"> datu pārvaldības politiku kopumā, kuras īstenošanas </w:t>
      </w:r>
      <w:r w:rsidR="002745F0">
        <w:t xml:space="preserve">būtiskākais instruments ir DAGR. </w:t>
      </w:r>
      <w:r w:rsidR="009E134B">
        <w:t xml:space="preserve">Lai </w:t>
      </w:r>
      <w:r w:rsidR="000757EE">
        <w:t xml:space="preserve">arī </w:t>
      </w:r>
      <w:r w:rsidR="009E134B">
        <w:t xml:space="preserve">pēc </w:t>
      </w:r>
      <w:r w:rsidR="00127583">
        <w:t>DAGR projekta īstenošanas varētu paplašināt</w:t>
      </w:r>
      <w:r w:rsidR="00865519">
        <w:t xml:space="preserve"> centralizēti </w:t>
      </w:r>
      <w:r w:rsidR="00E33ED3">
        <w:t>pārvaldām</w:t>
      </w:r>
      <w:r w:rsidR="000757EE">
        <w:t>o</w:t>
      </w:r>
      <w:r w:rsidR="00E33ED3">
        <w:t xml:space="preserve"> </w:t>
      </w:r>
      <w:r w:rsidR="00527363">
        <w:t>valsts pārvaldes rīcībā esošo datu</w:t>
      </w:r>
      <w:r w:rsidR="000757EE">
        <w:t xml:space="preserve"> apjomu</w:t>
      </w:r>
      <w:r w:rsidR="00FA07EC">
        <w:t xml:space="preserve">, tajā skaitā izpildot </w:t>
      </w:r>
      <w:r w:rsidR="00DB3446">
        <w:t>Saeimas komisijas doto uzdevumu VARAM</w:t>
      </w:r>
      <w:r w:rsidR="00CD6205">
        <w:t xml:space="preserve"> </w:t>
      </w:r>
      <w:r w:rsidR="00CD6205" w:rsidRPr="00CD6205">
        <w:t>nodrošināt vienotu, centralizētu datu izplatīšanas un pārvaldības platformas risinājumu, kurā līdz 2024.gadam būtu pieejami dati vismaz no 50% valsts informācijas sistēmām</w:t>
      </w:r>
      <w:r w:rsidR="006403A8">
        <w:t xml:space="preserve">, </w:t>
      </w:r>
      <w:r w:rsidR="009C6B36">
        <w:t xml:space="preserve">no 2024.gada </w:t>
      </w:r>
      <w:r w:rsidR="006403A8">
        <w:t xml:space="preserve">būs nepieciešams papildus finansējums </w:t>
      </w:r>
      <w:r w:rsidR="00D85F4B">
        <w:t xml:space="preserve">DAGR papildus </w:t>
      </w:r>
      <w:r w:rsidR="00D85F4B" w:rsidRPr="00AE2D78">
        <w:t>IKT infrastruktūras pakalpojumu saņemšanai</w:t>
      </w:r>
      <w:r w:rsidR="00D85F4B">
        <w:t xml:space="preserve"> izmantojot </w:t>
      </w:r>
      <w:r w:rsidR="00C401F0" w:rsidRPr="000228CA">
        <w:t xml:space="preserve">valsts </w:t>
      </w:r>
      <w:proofErr w:type="spellStart"/>
      <w:r w:rsidR="00C401F0" w:rsidRPr="000228CA">
        <w:t>federētā</w:t>
      </w:r>
      <w:proofErr w:type="spellEnd"/>
      <w:r w:rsidR="00C401F0" w:rsidRPr="000228CA">
        <w:t xml:space="preserve"> mākoņa ietvaros</w:t>
      </w:r>
      <w:r w:rsidR="00071D80">
        <w:t xml:space="preserve"> sniegtos </w:t>
      </w:r>
      <w:r w:rsidR="00071D80">
        <w:lastRenderedPageBreak/>
        <w:t xml:space="preserve">pakalpojumus. Līdz ar to noteikumu projekta </w:t>
      </w:r>
      <w:proofErr w:type="spellStart"/>
      <w:r w:rsidR="00071D80">
        <w:t>protokollēmumā</w:t>
      </w:r>
      <w:proofErr w:type="spellEnd"/>
      <w:r w:rsidR="00071D80">
        <w:t xml:space="preserve"> tiek dots uzdevums VARAM </w:t>
      </w:r>
      <w:r w:rsidR="00071D80" w:rsidRPr="00AE2D78">
        <w:t xml:space="preserve">līdz 2024. gada 1.janvārim </w:t>
      </w:r>
      <w:r w:rsidR="00A851B8">
        <w:t>pieprasīt</w:t>
      </w:r>
      <w:r w:rsidR="00071D80" w:rsidRPr="00AE2D78">
        <w:t xml:space="preserve"> finansējumu DAGR IKT infrastruktūras pakalpojumu saņemšanai, lai nodrošinātu DAGR darbību pēc </w:t>
      </w:r>
      <w:r w:rsidR="00071D80">
        <w:t>DAGR projekta</w:t>
      </w:r>
      <w:r w:rsidR="00071D80" w:rsidRPr="00AE2D78">
        <w:t xml:space="preserve"> īstenošanas</w:t>
      </w:r>
      <w:r w:rsidR="00071D80">
        <w:t xml:space="preserve">, kā arī </w:t>
      </w:r>
      <w:r w:rsidR="000677F9" w:rsidRPr="000677F9">
        <w:t xml:space="preserve">līdz 2024. gada 1. janvārim izstrādāt un iesniegt Ministru kabinetā noteikumus par valsts </w:t>
      </w:r>
      <w:proofErr w:type="spellStart"/>
      <w:r w:rsidR="000677F9" w:rsidRPr="000677F9">
        <w:t>federētā</w:t>
      </w:r>
      <w:proofErr w:type="spellEnd"/>
      <w:r w:rsidR="000677F9" w:rsidRPr="000677F9">
        <w:t xml:space="preserve"> mākoņa pakalpojumu izmantošanas kārtību</w:t>
      </w:r>
      <w:r w:rsidR="000677F9">
        <w:t>.</w:t>
      </w:r>
    </w:p>
    <w:p w14:paraId="7024621F" w14:textId="018220D6" w:rsidR="00091B0B" w:rsidRDefault="00DF2F1F">
      <w:r>
        <w:t xml:space="preserve">Noteikumu projekts </w:t>
      </w:r>
      <w:r w:rsidR="00C263E3">
        <w:t xml:space="preserve">nosaka, ka DAGR </w:t>
      </w:r>
      <w:r w:rsidR="00EE4AE4">
        <w:t>sevī ietvers vismaz šādas funkcionalitātes:</w:t>
      </w:r>
    </w:p>
    <w:p w14:paraId="2AED2D76" w14:textId="77777777" w:rsidR="00196D6A" w:rsidRDefault="00196D6A" w:rsidP="00196D6A">
      <w:pPr>
        <w:pStyle w:val="ListParagraph"/>
        <w:numPr>
          <w:ilvl w:val="0"/>
          <w:numId w:val="10"/>
        </w:numPr>
      </w:pPr>
      <w:r>
        <w:t>Pašapkalpošanās portāls;</w:t>
      </w:r>
    </w:p>
    <w:p w14:paraId="67F5C1EF" w14:textId="77777777" w:rsidR="00196D6A" w:rsidRDefault="00196D6A" w:rsidP="00196D6A">
      <w:pPr>
        <w:pStyle w:val="ListParagraph"/>
        <w:numPr>
          <w:ilvl w:val="0"/>
          <w:numId w:val="10"/>
        </w:numPr>
      </w:pPr>
      <w:r>
        <w:t>Datu devēja savienotājs;</w:t>
      </w:r>
    </w:p>
    <w:p w14:paraId="5A1DE542" w14:textId="77777777" w:rsidR="00196D6A" w:rsidRDefault="00196D6A" w:rsidP="00196D6A">
      <w:pPr>
        <w:pStyle w:val="ListParagraph"/>
        <w:numPr>
          <w:ilvl w:val="0"/>
          <w:numId w:val="10"/>
        </w:numPr>
      </w:pPr>
      <w:r>
        <w:t>Datu saņēmēja savienotājs;</w:t>
      </w:r>
    </w:p>
    <w:p w14:paraId="47F10359" w14:textId="77777777" w:rsidR="00196D6A" w:rsidRDefault="00196D6A" w:rsidP="00196D6A">
      <w:pPr>
        <w:pStyle w:val="ListParagraph"/>
        <w:numPr>
          <w:ilvl w:val="0"/>
          <w:numId w:val="10"/>
        </w:numPr>
      </w:pPr>
      <w:r>
        <w:t>Datu krātuve;</w:t>
      </w:r>
    </w:p>
    <w:p w14:paraId="041A362B" w14:textId="41531570" w:rsidR="00196D6A" w:rsidRDefault="00196D6A" w:rsidP="00196D6A">
      <w:pPr>
        <w:pStyle w:val="ListParagraph"/>
        <w:numPr>
          <w:ilvl w:val="0"/>
          <w:numId w:val="10"/>
        </w:numPr>
      </w:pPr>
      <w:r>
        <w:t>Vienotu datu aprites auditācijas pieraksti auditēšanu;</w:t>
      </w:r>
    </w:p>
    <w:p w14:paraId="2B6A4327" w14:textId="25E7A3F0" w:rsidR="00A60DA8" w:rsidRDefault="00A60DA8" w:rsidP="00D3731A">
      <w:pPr>
        <w:pStyle w:val="ListParagraph"/>
        <w:numPr>
          <w:ilvl w:val="0"/>
          <w:numId w:val="10"/>
        </w:numPr>
      </w:pPr>
      <w:r w:rsidRPr="00A60DA8">
        <w:t>Integrācija ar tiesību pārvaldības moduli;</w:t>
      </w:r>
    </w:p>
    <w:p w14:paraId="7C9CB203" w14:textId="77777777" w:rsidR="00196D6A" w:rsidRDefault="00196D6A" w:rsidP="00196D6A">
      <w:pPr>
        <w:pStyle w:val="ListParagraph"/>
        <w:numPr>
          <w:ilvl w:val="0"/>
          <w:numId w:val="10"/>
        </w:numPr>
      </w:pPr>
      <w:r>
        <w:t xml:space="preserve">DAGR iekļauto datu </w:t>
      </w:r>
      <w:proofErr w:type="spellStart"/>
      <w:r>
        <w:t>pseidonimizēšana</w:t>
      </w:r>
      <w:proofErr w:type="spellEnd"/>
      <w:r>
        <w:t xml:space="preserve"> un </w:t>
      </w:r>
      <w:proofErr w:type="spellStart"/>
      <w:r>
        <w:t>anonimizēšana</w:t>
      </w:r>
      <w:proofErr w:type="spellEnd"/>
      <w:r>
        <w:t>.</w:t>
      </w:r>
    </w:p>
    <w:p w14:paraId="4BC40504" w14:textId="64A885CF" w:rsidR="004842CA" w:rsidRDefault="00D42C02" w:rsidP="004842CA">
      <w:r w:rsidRPr="002C25C0">
        <w:rPr>
          <w:b/>
          <w:bCs/>
        </w:rPr>
        <w:t>DAGR pašapkalpošanās portāls</w:t>
      </w:r>
      <w:r w:rsidR="000328A6">
        <w:t xml:space="preserve"> </w:t>
      </w:r>
      <w:r w:rsidR="001F19C8" w:rsidRPr="001F19C8">
        <w:t>nodrošin</w:t>
      </w:r>
      <w:r w:rsidR="001F19C8">
        <w:t>ās</w:t>
      </w:r>
      <w:r w:rsidR="001F19C8" w:rsidRPr="001F19C8">
        <w:t xml:space="preserve"> lietotāja </w:t>
      </w:r>
      <w:proofErr w:type="spellStart"/>
      <w:r w:rsidR="001F19C8" w:rsidRPr="001F19C8">
        <w:t>saskarni</w:t>
      </w:r>
      <w:proofErr w:type="spellEnd"/>
      <w:r w:rsidR="00D51783">
        <w:t xml:space="preserve"> (darba vietu)</w:t>
      </w:r>
      <w:r w:rsidR="001F19C8" w:rsidRPr="001F19C8">
        <w:t xml:space="preserve"> DAGR izmantotājiem – datu devējiem, datu </w:t>
      </w:r>
      <w:r w:rsidR="001F19C8">
        <w:t>saņēmējiem</w:t>
      </w:r>
      <w:r w:rsidR="001F19C8" w:rsidRPr="001F19C8">
        <w:t xml:space="preserve"> un DAGR uzturētājiem</w:t>
      </w:r>
      <w:r w:rsidR="00A662B0">
        <w:t xml:space="preserve"> (</w:t>
      </w:r>
      <w:r w:rsidR="001D22B4" w:rsidRPr="001D22B4">
        <w:t>DAGR administratoram un DAGR datu arhitektam</w:t>
      </w:r>
      <w:r w:rsidR="001D22B4">
        <w:t>)</w:t>
      </w:r>
      <w:r w:rsidR="001F19C8" w:rsidRPr="001F19C8">
        <w:t>.</w:t>
      </w:r>
      <w:r w:rsidR="004842CA">
        <w:t xml:space="preserve"> DAGR pašapkalpošanās portālā lietotājiem pēc pieslēgšanās portālam, atbilstoši piešķirtajām tiesībām, </w:t>
      </w:r>
      <w:r w:rsidR="00BB0CEF">
        <w:t>tiks</w:t>
      </w:r>
      <w:r w:rsidR="004842CA">
        <w:t xml:space="preserve"> </w:t>
      </w:r>
      <w:r w:rsidR="00BB0CEF">
        <w:t>nodrošinātas</w:t>
      </w:r>
      <w:r w:rsidR="004842CA">
        <w:t xml:space="preserve"> </w:t>
      </w:r>
      <w:r w:rsidR="00896E05">
        <w:t xml:space="preserve">vismaz </w:t>
      </w:r>
      <w:r w:rsidR="004842CA">
        <w:t>sekojošas iespējas:</w:t>
      </w:r>
    </w:p>
    <w:p w14:paraId="3A014185" w14:textId="00B02962" w:rsidR="004842CA" w:rsidRDefault="004842CA" w:rsidP="00BB0CEF">
      <w:pPr>
        <w:pStyle w:val="ListParagraph"/>
        <w:numPr>
          <w:ilvl w:val="1"/>
          <w:numId w:val="12"/>
        </w:numPr>
      </w:pPr>
      <w:r>
        <w:t>Lejupielādēt datu devēja savienotāja programmatūru, veicot atbilstošo nepieciešamo tehnisko parametru ievadi vai izvēli;</w:t>
      </w:r>
    </w:p>
    <w:p w14:paraId="5D3B67B4" w14:textId="17811BD8" w:rsidR="004842CA" w:rsidRDefault="004842CA" w:rsidP="00BB0CEF">
      <w:pPr>
        <w:pStyle w:val="ListParagraph"/>
        <w:numPr>
          <w:ilvl w:val="1"/>
          <w:numId w:val="12"/>
        </w:numPr>
      </w:pPr>
      <w:r>
        <w:t xml:space="preserve">Lejupielādēt datu </w:t>
      </w:r>
      <w:r w:rsidR="00F2026E">
        <w:t>saņēmēja</w:t>
      </w:r>
      <w:r>
        <w:t xml:space="preserve"> savienotāja programmatūru, veicot atbilstošo nepieciešamo tehnisko parametru ievadi vai izvēli;</w:t>
      </w:r>
    </w:p>
    <w:p w14:paraId="4B063CCE" w14:textId="3AE61F37" w:rsidR="004842CA" w:rsidRDefault="004842CA" w:rsidP="00BB0CEF">
      <w:pPr>
        <w:pStyle w:val="ListParagraph"/>
        <w:numPr>
          <w:ilvl w:val="1"/>
          <w:numId w:val="12"/>
        </w:numPr>
      </w:pPr>
      <w:r>
        <w:t xml:space="preserve">Izveidot datu devēja savienotāju DAGR risinājuma izvietošanai paredzētājā </w:t>
      </w:r>
      <w:proofErr w:type="spellStart"/>
      <w:r>
        <w:t>mākoņskaitļotāju</w:t>
      </w:r>
      <w:proofErr w:type="spellEnd"/>
      <w:r>
        <w:t xml:space="preserve"> pakalpojumu sniedzēju nodrošinātajā infrastruktūrā;</w:t>
      </w:r>
    </w:p>
    <w:p w14:paraId="49579190" w14:textId="2580976C" w:rsidR="004842CA" w:rsidRDefault="004842CA" w:rsidP="00BB0CEF">
      <w:pPr>
        <w:pStyle w:val="ListParagraph"/>
        <w:numPr>
          <w:ilvl w:val="1"/>
          <w:numId w:val="12"/>
        </w:numPr>
      </w:pPr>
      <w:r>
        <w:t xml:space="preserve">Izveidot datu </w:t>
      </w:r>
      <w:r w:rsidR="00F2026E">
        <w:t>saņēmēja</w:t>
      </w:r>
      <w:r>
        <w:t xml:space="preserve"> savienotāju DAGR risinājuma izvietošanai paredzētājā </w:t>
      </w:r>
      <w:proofErr w:type="spellStart"/>
      <w:r>
        <w:t>mākoņskaitļotāju</w:t>
      </w:r>
      <w:proofErr w:type="spellEnd"/>
      <w:r>
        <w:t xml:space="preserve"> pakalpojumu sniedzēju nodrošinātajā infrastruktūrā;</w:t>
      </w:r>
    </w:p>
    <w:p w14:paraId="3F781C47" w14:textId="26BC498A" w:rsidR="004842CA" w:rsidRDefault="004842CA" w:rsidP="00BB0CEF">
      <w:pPr>
        <w:pStyle w:val="ListParagraph"/>
        <w:numPr>
          <w:ilvl w:val="1"/>
          <w:numId w:val="12"/>
        </w:numPr>
      </w:pPr>
      <w:r>
        <w:t xml:space="preserve">Reģistrēt lejupielādēto vai izveidoto datu devēja savienotāju DAGR; </w:t>
      </w:r>
    </w:p>
    <w:p w14:paraId="7832643E" w14:textId="34C27EBD" w:rsidR="00EE4AE4" w:rsidRDefault="004842CA" w:rsidP="00BB0CEF">
      <w:pPr>
        <w:pStyle w:val="ListParagraph"/>
        <w:numPr>
          <w:ilvl w:val="1"/>
          <w:numId w:val="12"/>
        </w:numPr>
      </w:pPr>
      <w:r>
        <w:t xml:space="preserve">Reģistrēt lejupielādēto vai izveidoto datu </w:t>
      </w:r>
      <w:r w:rsidR="00830B1B">
        <w:t>saņēmēja</w:t>
      </w:r>
      <w:r>
        <w:t xml:space="preserve"> savienotāju DAGR</w:t>
      </w:r>
      <w:r w:rsidR="002B6B28">
        <w:t>;</w:t>
      </w:r>
    </w:p>
    <w:p w14:paraId="2484E28B" w14:textId="2C442D10" w:rsidR="002B6B28" w:rsidRDefault="00B9525E" w:rsidP="00BB0CEF">
      <w:pPr>
        <w:pStyle w:val="ListParagraph"/>
        <w:numPr>
          <w:ilvl w:val="1"/>
          <w:numId w:val="12"/>
        </w:numPr>
      </w:pPr>
      <w:r>
        <w:t>P</w:t>
      </w:r>
      <w:r w:rsidRPr="00B9525E">
        <w:t xml:space="preserve">ārskatīt </w:t>
      </w:r>
      <w:r>
        <w:t xml:space="preserve">DAGR </w:t>
      </w:r>
      <w:r w:rsidRPr="00B9525E">
        <w:t>datu modeļa izmaiņu sarakstu un katras izmaiņas statusu</w:t>
      </w:r>
      <w:r>
        <w:t>;</w:t>
      </w:r>
    </w:p>
    <w:p w14:paraId="4E8186E5" w14:textId="28348159" w:rsidR="00B9525E" w:rsidRDefault="009E714E" w:rsidP="00BB0CEF">
      <w:pPr>
        <w:pStyle w:val="ListParagraph"/>
        <w:numPr>
          <w:ilvl w:val="1"/>
          <w:numId w:val="12"/>
        </w:numPr>
      </w:pPr>
      <w:r>
        <w:t>V</w:t>
      </w:r>
      <w:r w:rsidR="00A8222B" w:rsidRPr="00A8222B">
        <w:t>izuāli pārlūkot un modificēt DAGR vienoto datu modeli DAGR datu priekšlikumu, testa un produkcijas funkcionālajās vidēs.</w:t>
      </w:r>
    </w:p>
    <w:p w14:paraId="11FEABE8" w14:textId="0ED91D86" w:rsidR="00BB1FE9" w:rsidRDefault="00B814CA">
      <w:r w:rsidRPr="00055785">
        <w:rPr>
          <w:b/>
          <w:bCs/>
        </w:rPr>
        <w:t>Datu devēja savienotājs</w:t>
      </w:r>
      <w:r w:rsidRPr="00B814CA">
        <w:t xml:space="preserve"> nodrošin</w:t>
      </w:r>
      <w:r w:rsidR="000A5B2D">
        <w:t>ās</w:t>
      </w:r>
      <w:r w:rsidR="003944F0">
        <w:t xml:space="preserve"> datu izgūšanu no</w:t>
      </w:r>
      <w:r w:rsidR="00FD41F3" w:rsidRPr="00FD41F3">
        <w:t xml:space="preserve"> datu devēja pārziņā esošajām informācijas sistēmām</w:t>
      </w:r>
      <w:r w:rsidR="00FD41F3">
        <w:t xml:space="preserve"> </w:t>
      </w:r>
      <w:r w:rsidR="002E2E13">
        <w:t>kā arī</w:t>
      </w:r>
      <w:r w:rsidR="00707410">
        <w:t xml:space="preserve"> </w:t>
      </w:r>
      <w:proofErr w:type="spellStart"/>
      <w:r w:rsidR="00707410">
        <w:t>pieslēguma</w:t>
      </w:r>
      <w:proofErr w:type="spellEnd"/>
      <w:r w:rsidR="00707410">
        <w:t xml:space="preserve"> </w:t>
      </w:r>
      <w:r w:rsidR="00055785">
        <w:t>konfigurēšanu un pārvaldību</w:t>
      </w:r>
      <w:r w:rsidR="00E75D52">
        <w:t>,</w:t>
      </w:r>
      <w:r w:rsidR="00D105A7">
        <w:t xml:space="preserve"> </w:t>
      </w:r>
      <w:r w:rsidR="00E75D52">
        <w:t>nodrošinot</w:t>
      </w:r>
      <w:r w:rsidR="00D105A7" w:rsidRPr="00D105A7">
        <w:t xml:space="preserve"> piedefinēt</w:t>
      </w:r>
      <w:r w:rsidR="00E75D52">
        <w:t>u</w:t>
      </w:r>
      <w:r w:rsidR="00D105A7" w:rsidRPr="00D105A7">
        <w:t xml:space="preserve"> </w:t>
      </w:r>
      <w:proofErr w:type="spellStart"/>
      <w:r w:rsidR="00D105A7" w:rsidRPr="00D105A7">
        <w:t>pieslēgum</w:t>
      </w:r>
      <w:r w:rsidR="00E75D52">
        <w:t>u</w:t>
      </w:r>
      <w:proofErr w:type="spellEnd"/>
      <w:r w:rsidR="00D105A7" w:rsidRPr="00D105A7">
        <w:t xml:space="preserve"> ar DAGR un datu devēj</w:t>
      </w:r>
      <w:r w:rsidR="00E75D52">
        <w:t>a</w:t>
      </w:r>
      <w:r w:rsidR="00D105A7" w:rsidRPr="00D105A7">
        <w:t xml:space="preserve"> </w:t>
      </w:r>
      <w:r w:rsidR="00E75D52">
        <w:t xml:space="preserve">informācijas </w:t>
      </w:r>
      <w:r w:rsidR="00D105A7" w:rsidRPr="00D105A7">
        <w:t xml:space="preserve">sistēmu, kā arī </w:t>
      </w:r>
      <w:r w:rsidR="00DC71BD">
        <w:t>veicot</w:t>
      </w:r>
      <w:r w:rsidR="00D105A7" w:rsidRPr="00D105A7">
        <w:t xml:space="preserve"> inkrementālu izmainīto datu kopu izguv</w:t>
      </w:r>
      <w:r w:rsidR="00DC71BD">
        <w:t>i</w:t>
      </w:r>
      <w:r w:rsidR="00D105A7" w:rsidRPr="00D105A7">
        <w:t xml:space="preserve"> par tiem datu objektiem un atribūtiem, kas ir iekļauti DAGR datu modelī.</w:t>
      </w:r>
    </w:p>
    <w:p w14:paraId="1F9AF044" w14:textId="5BD19411" w:rsidR="002E2E13" w:rsidRDefault="000F5938">
      <w:r w:rsidRPr="00E3646F">
        <w:rPr>
          <w:b/>
          <w:bCs/>
        </w:rPr>
        <w:t>Datu saņēmēja savienotājs</w:t>
      </w:r>
      <w:r w:rsidRPr="000F5938">
        <w:t xml:space="preserve"> nodrošin</w:t>
      </w:r>
      <w:r w:rsidR="003878D8">
        <w:t>ās</w:t>
      </w:r>
      <w:r w:rsidR="00B367CF">
        <w:t xml:space="preserve"> d</w:t>
      </w:r>
      <w:r w:rsidR="00B367CF" w:rsidRPr="00B367CF">
        <w:t>atu saņēmēja datu piekļuves pārvaldību</w:t>
      </w:r>
      <w:r w:rsidR="00D75582">
        <w:t xml:space="preserve"> un apriti</w:t>
      </w:r>
      <w:r w:rsidR="00B367CF">
        <w:t>.</w:t>
      </w:r>
    </w:p>
    <w:p w14:paraId="6A0D68B9" w14:textId="730F0E37" w:rsidR="00B367CF" w:rsidRDefault="00E3646F">
      <w:r w:rsidRPr="00E3646F">
        <w:rPr>
          <w:b/>
          <w:bCs/>
        </w:rPr>
        <w:t>Datu krātuve</w:t>
      </w:r>
      <w:r>
        <w:t xml:space="preserve"> nodrošin</w:t>
      </w:r>
      <w:r w:rsidR="003878D8">
        <w:t>ās</w:t>
      </w:r>
      <w:r w:rsidR="001123AD">
        <w:t xml:space="preserve"> </w:t>
      </w:r>
      <w:r w:rsidR="008265E5">
        <w:t>d</w:t>
      </w:r>
      <w:r w:rsidR="008265E5" w:rsidRPr="008265E5">
        <w:t xml:space="preserve">atu devēja pārziņā esošo informācijas sistēmu datu uzkrāšanu </w:t>
      </w:r>
      <w:r w:rsidR="001123AD" w:rsidRPr="001123AD">
        <w:t>un atbilstoši to veidiem datu izguv</w:t>
      </w:r>
      <w:r w:rsidR="005351BD">
        <w:t>i</w:t>
      </w:r>
      <w:r w:rsidR="001123AD" w:rsidRPr="001123AD">
        <w:t>, izmantojot datu savienotājus, atbilstoši izveidotajam vienotajam</w:t>
      </w:r>
      <w:r w:rsidR="00F215EF">
        <w:t xml:space="preserve"> DAGR</w:t>
      </w:r>
      <w:r w:rsidR="001123AD" w:rsidRPr="001123AD">
        <w:t xml:space="preserve"> datu modelim un datu </w:t>
      </w:r>
      <w:r w:rsidR="005351BD">
        <w:t>saņēmēj</w:t>
      </w:r>
      <w:r w:rsidR="00F215EF">
        <w:t>iem</w:t>
      </w:r>
      <w:r w:rsidR="001123AD" w:rsidRPr="001123AD">
        <w:t xml:space="preserve"> izsniegtajām atļaujām.</w:t>
      </w:r>
    </w:p>
    <w:p w14:paraId="0EA63C02" w14:textId="0F9D6E76" w:rsidR="009D2274" w:rsidRDefault="00234865" w:rsidP="00505CC0">
      <w:r w:rsidRPr="00170BCD">
        <w:rPr>
          <w:b/>
          <w:bCs/>
        </w:rPr>
        <w:lastRenderedPageBreak/>
        <w:t>Vienota datu aprites auditācijas pierakstu auditēšana</w:t>
      </w:r>
      <w:r>
        <w:t xml:space="preserve"> nodrošin</w:t>
      </w:r>
      <w:r w:rsidR="00EA55D2">
        <w:t>ās</w:t>
      </w:r>
      <w:r w:rsidR="00505CC0">
        <w:t xml:space="preserve"> datu </w:t>
      </w:r>
      <w:r w:rsidR="007A747C">
        <w:t>saņemšanas</w:t>
      </w:r>
      <w:r w:rsidR="00505CC0">
        <w:t xml:space="preserve"> uzskait</w:t>
      </w:r>
      <w:r w:rsidR="00815176">
        <w:t>i</w:t>
      </w:r>
      <w:r w:rsidR="00EA55D2">
        <w:t>.</w:t>
      </w:r>
      <w:r w:rsidR="00505CC0">
        <w:t xml:space="preserve"> Katra</w:t>
      </w:r>
      <w:r w:rsidR="00EA55D2">
        <w:t>s</w:t>
      </w:r>
      <w:r w:rsidR="00505CC0">
        <w:t xml:space="preserve"> datu </w:t>
      </w:r>
      <w:r w:rsidR="007A747C">
        <w:t>saņemšanas</w:t>
      </w:r>
      <w:r w:rsidR="00505CC0">
        <w:t xml:space="preserve"> pieprasījum</w:t>
      </w:r>
      <w:r w:rsidR="00967DE3">
        <w:t>s</w:t>
      </w:r>
      <w:r w:rsidR="00505CC0">
        <w:t xml:space="preserve"> </w:t>
      </w:r>
      <w:r w:rsidR="00EA55D2">
        <w:t>tiks</w:t>
      </w:r>
      <w:r w:rsidR="00505CC0">
        <w:t xml:space="preserve"> auditēt</w:t>
      </w:r>
      <w:r w:rsidR="00EA55D2">
        <w:t>s</w:t>
      </w:r>
      <w:r w:rsidR="00505CC0">
        <w:t>.</w:t>
      </w:r>
      <w:r w:rsidR="00967DE3">
        <w:t xml:space="preserve"> </w:t>
      </w:r>
      <w:r w:rsidR="00505CC0">
        <w:t xml:space="preserve">Datu </w:t>
      </w:r>
      <w:r w:rsidR="00672577">
        <w:t>aprites</w:t>
      </w:r>
      <w:r w:rsidR="00505CC0">
        <w:t xml:space="preserve"> auditācijas pierakstos </w:t>
      </w:r>
      <w:r w:rsidR="00CC60DD">
        <w:t>tiks reģistrēta</w:t>
      </w:r>
      <w:r w:rsidR="00505CC0">
        <w:t xml:space="preserve"> datu </w:t>
      </w:r>
      <w:r w:rsidR="00CC60DD">
        <w:t>saņēmēja</w:t>
      </w:r>
      <w:r w:rsidR="00505CC0">
        <w:t xml:space="preserve"> informācija, datu </w:t>
      </w:r>
      <w:r w:rsidR="007A747C">
        <w:t>saņemšanas</w:t>
      </w:r>
      <w:r w:rsidR="00505CC0">
        <w:t xml:space="preserve"> mērķis, saistītais datu devējs, metadati par </w:t>
      </w:r>
      <w:r w:rsidR="007A747C">
        <w:t>saņemtajiem</w:t>
      </w:r>
      <w:r w:rsidR="00505CC0">
        <w:t xml:space="preserve"> datiem.</w:t>
      </w:r>
    </w:p>
    <w:p w14:paraId="25A3708C" w14:textId="2615A2C6" w:rsidR="00EB0E4F" w:rsidRDefault="0003522C" w:rsidP="00505CC0">
      <w:r w:rsidRPr="0003522C">
        <w:rPr>
          <w:b/>
          <w:bCs/>
        </w:rPr>
        <w:t>Integrācija ar tiesību pārvaldības moduli</w:t>
      </w:r>
      <w:r w:rsidR="00915BA1">
        <w:rPr>
          <w:b/>
          <w:bCs/>
        </w:rPr>
        <w:t xml:space="preserve"> </w:t>
      </w:r>
      <w:r w:rsidR="00915BA1" w:rsidRPr="00915BA1">
        <w:t>(turpmāk – TPM)</w:t>
      </w:r>
      <w:r>
        <w:t xml:space="preserve"> nodrošinās </w:t>
      </w:r>
      <w:r w:rsidR="00012EA0">
        <w:t>datu saņemšanu attiecībā</w:t>
      </w:r>
      <w:r w:rsidR="00760B1B">
        <w:t xml:space="preserve"> uz datu piekļuves</w:t>
      </w:r>
      <w:r w:rsidR="00012EA0">
        <w:t xml:space="preserve"> </w:t>
      </w:r>
      <w:r w:rsidR="00760B1B">
        <w:t xml:space="preserve">tiesību pārvaldību izmantojot </w:t>
      </w:r>
      <w:r w:rsidR="00981112">
        <w:t xml:space="preserve">VISS </w:t>
      </w:r>
      <w:r w:rsidR="00760B1B">
        <w:t>koplietošanas komponenti TPM.</w:t>
      </w:r>
    </w:p>
    <w:p w14:paraId="7884699F" w14:textId="7B6F32D6" w:rsidR="00A82B3B" w:rsidRDefault="007E7333" w:rsidP="00505CC0">
      <w:r w:rsidRPr="007E7333">
        <w:rPr>
          <w:b/>
          <w:bCs/>
        </w:rPr>
        <w:t xml:space="preserve">DAGR iekļauto datu </w:t>
      </w:r>
      <w:proofErr w:type="spellStart"/>
      <w:r w:rsidRPr="007E7333">
        <w:rPr>
          <w:b/>
          <w:bCs/>
        </w:rPr>
        <w:t>pseidonimizēšana</w:t>
      </w:r>
      <w:proofErr w:type="spellEnd"/>
      <w:r w:rsidRPr="007E7333">
        <w:rPr>
          <w:b/>
          <w:bCs/>
        </w:rPr>
        <w:t xml:space="preserve"> un </w:t>
      </w:r>
      <w:proofErr w:type="spellStart"/>
      <w:r w:rsidRPr="007E7333">
        <w:rPr>
          <w:b/>
          <w:bCs/>
        </w:rPr>
        <w:t>anonimizēšana</w:t>
      </w:r>
      <w:proofErr w:type="spellEnd"/>
      <w:r>
        <w:t xml:space="preserve"> būs pakalpojums, </w:t>
      </w:r>
      <w:r w:rsidR="009A2935">
        <w:t>kurš nodrošinās</w:t>
      </w:r>
      <w:r w:rsidR="009A2935" w:rsidRPr="00C417A2">
        <w:t xml:space="preserve"> iespēj</w:t>
      </w:r>
      <w:r w:rsidR="009A2935">
        <w:t>u</w:t>
      </w:r>
      <w:r w:rsidR="009A2935" w:rsidRPr="00C417A2">
        <w:t xml:space="preserve"> DAGR vienotā datu modeļa ietvaros veikt datu kopu atribūtu </w:t>
      </w:r>
      <w:proofErr w:type="spellStart"/>
      <w:r w:rsidR="009A2935" w:rsidRPr="00C417A2">
        <w:t>anonimizēšanu</w:t>
      </w:r>
      <w:proofErr w:type="spellEnd"/>
      <w:r w:rsidR="009A2935" w:rsidRPr="00C417A2">
        <w:t xml:space="preserve"> un </w:t>
      </w:r>
      <w:proofErr w:type="spellStart"/>
      <w:r w:rsidR="009A2935" w:rsidRPr="00C417A2">
        <w:t>pseidonimizēšanu</w:t>
      </w:r>
      <w:proofErr w:type="spellEnd"/>
      <w:r w:rsidR="009A2935" w:rsidRPr="00C417A2">
        <w:t>, realizējot personas datu aizsardzības politiku īstenošanu saskaņā ar datu izmantošanas mērķiem.</w:t>
      </w:r>
      <w:r w:rsidR="00E8685A">
        <w:t xml:space="preserve"> Minēto pakalpojumu </w:t>
      </w:r>
      <w:r w:rsidR="00A81F70" w:rsidRPr="00A81F70">
        <w:t>var</w:t>
      </w:r>
      <w:r w:rsidR="006259DB">
        <w:t>ēs</w:t>
      </w:r>
      <w:r w:rsidR="00A81F70" w:rsidRPr="00A81F70">
        <w:t xml:space="preserve"> </w:t>
      </w:r>
      <w:r w:rsidR="006259DB">
        <w:t>saņemt</w:t>
      </w:r>
      <w:r w:rsidR="00A81F70" w:rsidRPr="00A81F70">
        <w:t xml:space="preserve"> atbilstošais datu devējs.</w:t>
      </w:r>
      <w:r w:rsidR="00EE4A2C">
        <w:t xml:space="preserve"> Detalizēta kārtība </w:t>
      </w:r>
      <w:r w:rsidR="000C0DA2">
        <w:t xml:space="preserve">minētā pakalpojuma saņemšanai tiks noteikta </w:t>
      </w:r>
      <w:r w:rsidR="00BC5E5D">
        <w:t>DAGR lietošanas noteikumos.</w:t>
      </w:r>
    </w:p>
    <w:p w14:paraId="2629EE86" w14:textId="796B9A62" w:rsidR="00FD15CA" w:rsidRDefault="00632491" w:rsidP="00505CC0">
      <w:r>
        <w:t xml:space="preserve">Lai </w:t>
      </w:r>
      <w:r w:rsidR="005131A1">
        <w:t xml:space="preserve">mazinātu administratīvo slogu un </w:t>
      </w:r>
      <w:r>
        <w:t>vienkāršotu DAGR izmantošanas uzsākšanas procedūru</w:t>
      </w:r>
      <w:r w:rsidR="005131A1">
        <w:t xml:space="preserve">, tā tiek noteikta līdzīgi kā </w:t>
      </w:r>
      <w:r w:rsidR="00C678E0">
        <w:t xml:space="preserve">Ministru kabineta </w:t>
      </w:r>
      <w:r w:rsidR="00F851A7">
        <w:t>2016.gada 14.jūnija noteikumos Nr.374 “</w:t>
      </w:r>
      <w:r w:rsidR="00F851A7" w:rsidRPr="00F851A7">
        <w:t xml:space="preserve">Valsts informācijas sistēmu </w:t>
      </w:r>
      <w:proofErr w:type="spellStart"/>
      <w:r w:rsidR="00F851A7" w:rsidRPr="00F851A7">
        <w:t>savietotāja</w:t>
      </w:r>
      <w:proofErr w:type="spellEnd"/>
      <w:r w:rsidR="00F851A7" w:rsidRPr="00F851A7">
        <w:t xml:space="preserve"> noteikumi</w:t>
      </w:r>
      <w:r w:rsidR="00F851A7">
        <w:t>”</w:t>
      </w:r>
      <w:r w:rsidR="00CF4690">
        <w:t xml:space="preserve">. VRAA izstrādā </w:t>
      </w:r>
      <w:r w:rsidR="0006170F">
        <w:t xml:space="preserve">un publicē </w:t>
      </w:r>
      <w:r w:rsidR="00B26253">
        <w:t xml:space="preserve">tās tīmekļvietnē </w:t>
      </w:r>
      <w:r w:rsidR="00A77305">
        <w:t xml:space="preserve">DAGR lietošanas </w:t>
      </w:r>
      <w:r w:rsidR="00930ECF">
        <w:t>noteikumus, kuros ir det</w:t>
      </w:r>
      <w:r w:rsidR="003A2CC3">
        <w:t>a</w:t>
      </w:r>
      <w:r w:rsidR="00930ECF">
        <w:t>l</w:t>
      </w:r>
      <w:r w:rsidR="003A2CC3">
        <w:t>izēt</w:t>
      </w:r>
      <w:r w:rsidR="00930ECF">
        <w:t xml:space="preserve">āk </w:t>
      </w:r>
      <w:r w:rsidR="000C6D13">
        <w:t xml:space="preserve">izklāstīti </w:t>
      </w:r>
      <w:r w:rsidR="00FA1D61">
        <w:t>DAGR funkcionalitāšu lietošanas nosacījumi</w:t>
      </w:r>
      <w:r w:rsidR="00897447">
        <w:t>,</w:t>
      </w:r>
      <w:r w:rsidR="0076784E">
        <w:t xml:space="preserve"> </w:t>
      </w:r>
      <w:r w:rsidR="00897447">
        <w:t xml:space="preserve"> DAGR </w:t>
      </w:r>
      <w:r w:rsidR="004A3B79">
        <w:t>vienotais datu modelis</w:t>
      </w:r>
      <w:r w:rsidR="009E4D70">
        <w:t xml:space="preserve"> (</w:t>
      </w:r>
      <w:proofErr w:type="spellStart"/>
      <w:r w:rsidR="009E4D70">
        <w:t>predefinēta</w:t>
      </w:r>
      <w:proofErr w:type="spellEnd"/>
      <w:r w:rsidR="009E4D70">
        <w:t xml:space="preserve"> </w:t>
      </w:r>
      <w:r w:rsidR="00C317C3">
        <w:t>datu struktūra</w:t>
      </w:r>
      <w:r w:rsidR="00B05C8D">
        <w:t xml:space="preserve"> un formāts</w:t>
      </w:r>
      <w:r w:rsidR="00912C9E">
        <w:t xml:space="preserve">, kurā tiek nodrošināta </w:t>
      </w:r>
      <w:r w:rsidR="00D3646B" w:rsidRPr="00D3646B">
        <w:t>datu kopu un atribūtu pievienošanu</w:t>
      </w:r>
      <w:r w:rsidR="00D3646B">
        <w:t>, laboš</w:t>
      </w:r>
      <w:r w:rsidR="008D26CA">
        <w:t>a</w:t>
      </w:r>
      <w:r w:rsidR="00D3646B">
        <w:t>na vai dzēšana</w:t>
      </w:r>
      <w:r w:rsidR="008D26CA">
        <w:t>, kā arī nepieciešamības gadījumā</w:t>
      </w:r>
      <w:r w:rsidR="00DB14C9">
        <w:t xml:space="preserve"> datu </w:t>
      </w:r>
      <w:proofErr w:type="spellStart"/>
      <w:r w:rsidR="00DB14C9">
        <w:t>anonimizēšana</w:t>
      </w:r>
      <w:proofErr w:type="spellEnd"/>
      <w:r w:rsidR="00DB14C9">
        <w:t xml:space="preserve"> un </w:t>
      </w:r>
      <w:proofErr w:type="spellStart"/>
      <w:r w:rsidR="00DB14C9">
        <w:t>pseidonimizēšana</w:t>
      </w:r>
      <w:proofErr w:type="spellEnd"/>
      <w:r w:rsidR="00DB14C9">
        <w:t>)</w:t>
      </w:r>
      <w:r w:rsidR="004627F5">
        <w:t>,</w:t>
      </w:r>
      <w:r w:rsidR="004A3B79">
        <w:t xml:space="preserve"> </w:t>
      </w:r>
      <w:r w:rsidR="00860DEB">
        <w:t xml:space="preserve">pieejamības prasības un </w:t>
      </w:r>
      <w:r w:rsidR="00A01E79">
        <w:t xml:space="preserve">organizatoriska </w:t>
      </w:r>
      <w:r w:rsidR="002C42E1">
        <w:t>rakstura procedūras.</w:t>
      </w:r>
      <w:r w:rsidR="00930ECF">
        <w:t xml:space="preserve"> </w:t>
      </w:r>
      <w:r w:rsidR="00F91835" w:rsidRPr="00F91835">
        <w:t xml:space="preserve">Datu devējs vai datu saņēmējs, kas ir pieņēmis lēmumu nodrošināt informācijas apriti, izmantojot DAGR, iesniedz </w:t>
      </w:r>
      <w:r w:rsidR="007629EB">
        <w:t>VRAA</w:t>
      </w:r>
      <w:r w:rsidR="007629EB" w:rsidRPr="00F91835">
        <w:t xml:space="preserve"> </w:t>
      </w:r>
      <w:r w:rsidR="00F91835" w:rsidRPr="00F91835">
        <w:t>attiecīgu pieteikumu</w:t>
      </w:r>
      <w:r w:rsidR="00512D9B">
        <w:t xml:space="preserve"> </w:t>
      </w:r>
      <w:r w:rsidR="00512D9B" w:rsidRPr="00F204ED">
        <w:t xml:space="preserve">izmantojot </w:t>
      </w:r>
      <w:r w:rsidR="00E73487" w:rsidRPr="00E73487">
        <w:t>VARAM pārziņā esoš</w:t>
      </w:r>
      <w:r w:rsidR="00F204ED">
        <w:t>o</w:t>
      </w:r>
      <w:r w:rsidR="00E73487" w:rsidRPr="00E73487">
        <w:t xml:space="preserve"> Valsts informācijas resursu, sistēmu un </w:t>
      </w:r>
      <w:proofErr w:type="spellStart"/>
      <w:r w:rsidR="00E73487" w:rsidRPr="00E73487">
        <w:t>sadarbspējas</w:t>
      </w:r>
      <w:proofErr w:type="spellEnd"/>
      <w:r w:rsidR="00E73487" w:rsidRPr="00E73487">
        <w:t xml:space="preserve"> informācijas sistēm</w:t>
      </w:r>
      <w:r w:rsidR="00F204ED">
        <w:t>u</w:t>
      </w:r>
      <w:r w:rsidR="00E73487" w:rsidRPr="00E73487">
        <w:t xml:space="preserve"> (turpmāk – VIRSIS)</w:t>
      </w:r>
      <w:r w:rsidR="00F91835" w:rsidRPr="00F91835">
        <w:t>.</w:t>
      </w:r>
      <w:r w:rsidR="003A66FC">
        <w:t xml:space="preserve"> Ņemot vērā, ka </w:t>
      </w:r>
      <w:r w:rsidR="002C6226">
        <w:t xml:space="preserve">atbilstošā VIRSIS funkcionalitāte tiks izstrādāta līdz </w:t>
      </w:r>
      <w:r w:rsidR="008C7FD0">
        <w:t>2023.gada 31.decembrim</w:t>
      </w:r>
      <w:r w:rsidR="00A76D86">
        <w:t xml:space="preserve">, </w:t>
      </w:r>
      <w:r w:rsidR="00751F2D">
        <w:t>noteikumu projektā tiek noteikts atbilstošs pārejas periods, nosakot</w:t>
      </w:r>
      <w:r w:rsidR="00FB51FE">
        <w:t>, ka līdz minētās VIRSIS funkcionalitātes izstrādes</w:t>
      </w:r>
      <w:r w:rsidR="008E0618">
        <w:t>, pieteikums tiek iesniegts VRAA noteiktajā kārtībā.</w:t>
      </w:r>
      <w:r w:rsidR="00F34B95">
        <w:t xml:space="preserve"> </w:t>
      </w:r>
      <w:r w:rsidR="00B24BFC" w:rsidRPr="00B24BFC">
        <w:t>Iesniedzot pieteikumu, datu devējs vai datu saņēmējs piekrīt lietošanas noteikumiem un apņemas ievērot tos, nodrošinot informācijas apriti ar DAGR palīdzību</w:t>
      </w:r>
      <w:r w:rsidR="00B24BFC">
        <w:t>, līdz ar to nekādas papildus starpresoru vienošanās nav jāslēdz.</w:t>
      </w:r>
      <w:r w:rsidR="001906F6">
        <w:t xml:space="preserve"> DAGR pieejamību līdz 2024.gadam ir plānots nodrošināt </w:t>
      </w:r>
      <w:r w:rsidR="001906F6" w:rsidRPr="001906F6">
        <w:t>vismaz 99,9 procentu apjomā (gadā) no DAGR noteiktā darbības laika.</w:t>
      </w:r>
      <w:r w:rsidR="00D43DE8">
        <w:t xml:space="preserve"> </w:t>
      </w:r>
      <w:r w:rsidR="00157213">
        <w:t>Š</w:t>
      </w:r>
      <w:r w:rsidR="00067B30">
        <w:t>o</w:t>
      </w:r>
      <w:r w:rsidR="00157213">
        <w:t xml:space="preserve">brīd </w:t>
      </w:r>
      <w:r w:rsidR="00FF0436">
        <w:t xml:space="preserve">valsts pārvaldes IKT risinājumu gradāciju un prasības tiem ir plānots noteikt grozot </w:t>
      </w:r>
      <w:r w:rsidR="008F1259">
        <w:t xml:space="preserve">Ministru kabineta </w:t>
      </w:r>
      <w:r w:rsidR="000C5059" w:rsidRPr="000C5059">
        <w:t>2015. gada 28. jūlij</w:t>
      </w:r>
      <w:r w:rsidR="000C5059">
        <w:t>a noteikumus Nr.442 “</w:t>
      </w:r>
      <w:r w:rsidR="000C5059" w:rsidRPr="000C5059">
        <w:t>Kārtība, kādā tiek nodrošināta informācijas un komunikācijas tehnoloģiju sistēmu atbilstība minimālajām drošības prasībām</w:t>
      </w:r>
      <w:r w:rsidR="000C5059">
        <w:t>”</w:t>
      </w:r>
      <w:r w:rsidR="00173744">
        <w:t xml:space="preserve"> savukārt</w:t>
      </w:r>
      <w:r w:rsidR="000C5059" w:rsidRPr="000C5059">
        <w:t xml:space="preserve"> </w:t>
      </w:r>
      <w:r w:rsidR="00067B30">
        <w:t xml:space="preserve">prasības </w:t>
      </w:r>
      <w:r w:rsidR="00173744">
        <w:t>datu centriem, k</w:t>
      </w:r>
      <w:r w:rsidR="008B5D14">
        <w:t xml:space="preserve">uri </w:t>
      </w:r>
      <w:r w:rsidR="006D190C">
        <w:t xml:space="preserve">nodrošinās IKT infrastruktūras </w:t>
      </w:r>
      <w:r w:rsidR="008B5D14" w:rsidRPr="008B5D14">
        <w:t>pakalpojum</w:t>
      </w:r>
      <w:r w:rsidR="006D190C">
        <w:t>us</w:t>
      </w:r>
      <w:r w:rsidR="00BF411C">
        <w:t xml:space="preserve"> valsts pārvaldes IKT risinājumiem</w:t>
      </w:r>
      <w:r w:rsidR="008B5D14" w:rsidRPr="008B5D14">
        <w:t xml:space="preserve"> valsts </w:t>
      </w:r>
      <w:proofErr w:type="spellStart"/>
      <w:r w:rsidR="008B5D14" w:rsidRPr="008B5D14">
        <w:t>federētā</w:t>
      </w:r>
      <w:proofErr w:type="spellEnd"/>
      <w:r w:rsidR="008B5D14" w:rsidRPr="008B5D14">
        <w:t xml:space="preserve"> mākoņa ietvaros</w:t>
      </w:r>
      <w:r w:rsidR="006D190C">
        <w:t xml:space="preserve">, </w:t>
      </w:r>
      <w:r w:rsidR="00841D65">
        <w:t xml:space="preserve">VARAM </w:t>
      </w:r>
      <w:r w:rsidR="006D190C">
        <w:t>ir plāno</w:t>
      </w:r>
      <w:r w:rsidR="00841D65">
        <w:t>jusi</w:t>
      </w:r>
      <w:r w:rsidR="006D190C">
        <w:t xml:space="preserve"> noteikt grozot </w:t>
      </w:r>
      <w:r w:rsidR="00F20936">
        <w:t xml:space="preserve">Ministru kabineta </w:t>
      </w:r>
      <w:r w:rsidR="00F20936" w:rsidRPr="00F20936">
        <w:t>2012.gada 19.jūnij</w:t>
      </w:r>
      <w:r w:rsidR="00F20936">
        <w:t>a not</w:t>
      </w:r>
      <w:r w:rsidR="00133DB2">
        <w:t>eikumus Nr.421 “</w:t>
      </w:r>
      <w:r w:rsidR="00133DB2" w:rsidRPr="00133DB2">
        <w:t xml:space="preserve">Valsts informācijas sistēmu </w:t>
      </w:r>
      <w:proofErr w:type="spellStart"/>
      <w:r w:rsidR="00133DB2" w:rsidRPr="00133DB2">
        <w:t>savietotāju</w:t>
      </w:r>
      <w:proofErr w:type="spellEnd"/>
      <w:r w:rsidR="00133DB2" w:rsidRPr="00133DB2">
        <w:t xml:space="preserve"> un integrēto valsts informācijas sistēmu aizsardzības prasības</w:t>
      </w:r>
      <w:r w:rsidR="00133DB2">
        <w:t xml:space="preserve">” (deleģējums </w:t>
      </w:r>
      <w:r w:rsidR="00245EF7">
        <w:t>likumā “</w:t>
      </w:r>
      <w:r w:rsidR="009D165D" w:rsidRPr="009D165D">
        <w:t>Grozījumi Valsts informācijas sistēmu likumā</w:t>
      </w:r>
      <w:r w:rsidR="00245EF7">
        <w:t>”</w:t>
      </w:r>
      <w:r w:rsidR="00CB6636">
        <w:t>, kurš stājās spēkā 2022.gada 1.jūnijā).</w:t>
      </w:r>
    </w:p>
    <w:p w14:paraId="064FBF19" w14:textId="00F27A6F" w:rsidR="005366F3" w:rsidRDefault="00525B15" w:rsidP="00505CC0">
      <w:r>
        <w:t xml:space="preserve">DAGR ir ļoti </w:t>
      </w:r>
      <w:r w:rsidR="00D75947">
        <w:t xml:space="preserve">būtisks un </w:t>
      </w:r>
      <w:r w:rsidR="00951CAA">
        <w:t>kritisks</w:t>
      </w:r>
      <w:r>
        <w:t xml:space="preserve"> </w:t>
      </w:r>
      <w:r w:rsidR="00951CAA">
        <w:t>valsts pārvaldes datu izplatīšanas elements,</w:t>
      </w:r>
      <w:r w:rsidR="003A5E9A">
        <w:t xml:space="preserve"> līdz ar to</w:t>
      </w:r>
      <w:r w:rsidR="00951CAA">
        <w:t xml:space="preserve"> </w:t>
      </w:r>
      <w:r w:rsidR="00801154">
        <w:t xml:space="preserve">paaugstinātas drošības apsvērumu dēļ, </w:t>
      </w:r>
      <w:r w:rsidR="00951CAA">
        <w:t>p</w:t>
      </w:r>
      <w:r w:rsidR="00041625" w:rsidRPr="00041625">
        <w:t>iekļuve DAGR ti</w:t>
      </w:r>
      <w:r w:rsidR="00041625">
        <w:t>ks</w:t>
      </w:r>
      <w:r w:rsidR="00041625" w:rsidRPr="00041625">
        <w:t xml:space="preserve"> nodrošināta tikai </w:t>
      </w:r>
      <w:r w:rsidR="00041625" w:rsidRPr="00041625">
        <w:lastRenderedPageBreak/>
        <w:t xml:space="preserve">identificētiem lietotājiem un tikai ar kvalificētiem identifikācijas līdzekļiem izmantojot </w:t>
      </w:r>
      <w:r w:rsidR="00041625">
        <w:t>VRAA</w:t>
      </w:r>
      <w:r w:rsidR="00041625" w:rsidRPr="00041625">
        <w:t xml:space="preserve"> pārziņā esošo vienoto pieteikšanās moduli (VPM)</w:t>
      </w:r>
      <w:r w:rsidR="004F1D4B">
        <w:t xml:space="preserve">, kā arī </w:t>
      </w:r>
      <w:r w:rsidR="003856E1" w:rsidRPr="003856E1">
        <w:t xml:space="preserve">ar </w:t>
      </w:r>
      <w:proofErr w:type="spellStart"/>
      <w:r w:rsidR="003856E1" w:rsidRPr="003856E1">
        <w:t>programmsaskarni</w:t>
      </w:r>
      <w:proofErr w:type="spellEnd"/>
      <w:r w:rsidR="003856E1" w:rsidRPr="003856E1">
        <w:t xml:space="preserve">, izmantojot </w:t>
      </w:r>
      <w:r w:rsidR="003856E1">
        <w:t>VRAA</w:t>
      </w:r>
      <w:r w:rsidR="003856E1" w:rsidRPr="003856E1">
        <w:t xml:space="preserve"> noteiktos starpsistēmu autorizācijas līdzekļus</w:t>
      </w:r>
      <w:r w:rsidR="00041625">
        <w:t>.</w:t>
      </w:r>
    </w:p>
    <w:p w14:paraId="31CE5EDC" w14:textId="548972FE" w:rsidR="00EB0523" w:rsidRDefault="003A5E9A" w:rsidP="00505CC0">
      <w:r>
        <w:t xml:space="preserve">Ņemot vērā, ka </w:t>
      </w:r>
      <w:r w:rsidR="007E4FE9">
        <w:t>par</w:t>
      </w:r>
      <w:r w:rsidR="00024E8A">
        <w:t xml:space="preserve"> datiem DAGR</w:t>
      </w:r>
      <w:r w:rsidR="007E4FE9">
        <w:t xml:space="preserve"> </w:t>
      </w:r>
      <w:r w:rsidR="00024E8A" w:rsidRPr="00024E8A">
        <w:t xml:space="preserve">kuri ir iegūti no citām informācijas sistēmām, atbild datu devējs, kurš ir atbildīgi par </w:t>
      </w:r>
      <w:r w:rsidR="00024E8A">
        <w:t>konkrēto</w:t>
      </w:r>
      <w:r w:rsidR="00024E8A" w:rsidRPr="00024E8A">
        <w:t xml:space="preserve"> informācijas sistēmā</w:t>
      </w:r>
      <w:r w:rsidR="00660F91">
        <w:t xml:space="preserve">, gadījumos, ja </w:t>
      </w:r>
      <w:r w:rsidR="00C24949" w:rsidRPr="00C24949">
        <w:t>datu saņēmējs konstatē</w:t>
      </w:r>
      <w:r w:rsidR="00233253">
        <w:t>s</w:t>
      </w:r>
      <w:r w:rsidR="00C24949" w:rsidRPr="00C24949">
        <w:t xml:space="preserve"> problēmas ar DAGR iekļauto datu kvalitāti, tas par identificēto problēmu informē</w:t>
      </w:r>
      <w:r w:rsidR="00233253">
        <w:t>s</w:t>
      </w:r>
      <w:r w:rsidR="00C24949" w:rsidRPr="00C24949">
        <w:t xml:space="preserve"> atbilstošo datu devēju</w:t>
      </w:r>
      <w:r w:rsidR="006F0634">
        <w:t xml:space="preserve">. </w:t>
      </w:r>
      <w:r w:rsidR="008E7E8C">
        <w:t xml:space="preserve">Kārtība, kā tas notiek, </w:t>
      </w:r>
      <w:r w:rsidR="00311668">
        <w:t>tiks</w:t>
      </w:r>
      <w:r w:rsidR="008E7E8C">
        <w:t xml:space="preserve"> noteikta vienošanās</w:t>
      </w:r>
      <w:r w:rsidR="00233253">
        <w:t xml:space="preserve"> (elektroniska vienošanās)</w:t>
      </w:r>
      <w:r w:rsidR="008E7E8C">
        <w:t xml:space="preserve">, kuru </w:t>
      </w:r>
      <w:r w:rsidR="00311668">
        <w:t>datu devējs noslēgs ar datu sa</w:t>
      </w:r>
      <w:r w:rsidR="0072654D">
        <w:t>ņēmēju</w:t>
      </w:r>
      <w:r w:rsidR="008A4452">
        <w:t xml:space="preserve"> </w:t>
      </w:r>
      <w:r w:rsidR="00B45058">
        <w:t>VIRSIS</w:t>
      </w:r>
      <w:r w:rsidR="00A634E9">
        <w:t xml:space="preserve"> saistībā ar datu aprites nodroš</w:t>
      </w:r>
      <w:r w:rsidR="008444B4">
        <w:t>i</w:t>
      </w:r>
      <w:r w:rsidR="00A634E9">
        <w:t>nāšanu izmantojot DAGR.</w:t>
      </w:r>
      <w:r w:rsidR="00B03710">
        <w:t xml:space="preserve"> </w:t>
      </w:r>
      <w:r w:rsidR="00301384">
        <w:t>Datu aprites apjoms</w:t>
      </w:r>
      <w:r w:rsidR="00684F99">
        <w:t xml:space="preserve"> izmantojot DAGR</w:t>
      </w:r>
      <w:r w:rsidR="00301384">
        <w:t xml:space="preserve"> starp datu devēju un datu saņēm</w:t>
      </w:r>
      <w:r w:rsidR="00684F99">
        <w:t>ē</w:t>
      </w:r>
      <w:r w:rsidR="00301384">
        <w:t>ju arī tiks</w:t>
      </w:r>
      <w:r w:rsidR="00684F99">
        <w:t xml:space="preserve"> noteikts VIRSIS noslēgtajā vienošanās.</w:t>
      </w:r>
    </w:p>
    <w:p w14:paraId="3B673D9B" w14:textId="380D6A98" w:rsidR="008444B4" w:rsidRDefault="00B35E62" w:rsidP="00505CC0">
      <w:r w:rsidRPr="00B35E62">
        <w:t xml:space="preserve">Ja datu devējs vai datu </w:t>
      </w:r>
      <w:r w:rsidR="006310BC">
        <w:t xml:space="preserve">saņēmējs </w:t>
      </w:r>
      <w:r w:rsidRPr="00B35E62">
        <w:t>konstatē</w:t>
      </w:r>
      <w:r>
        <w:t>s</w:t>
      </w:r>
      <w:r w:rsidRPr="00B35E62">
        <w:t xml:space="preserve"> problēmas DAGR darbībā, tas par identificēto problēmu informē</w:t>
      </w:r>
      <w:r w:rsidR="00F94035">
        <w:t>s</w:t>
      </w:r>
      <w:r w:rsidRPr="00B35E62">
        <w:t xml:space="preserve"> </w:t>
      </w:r>
      <w:r w:rsidR="00F94035">
        <w:t>VRAA</w:t>
      </w:r>
      <w:r w:rsidRPr="00B35E62">
        <w:t xml:space="preserve"> atbilstoši </w:t>
      </w:r>
      <w:r w:rsidR="00F94035">
        <w:t xml:space="preserve">DAGR </w:t>
      </w:r>
      <w:r w:rsidRPr="00B35E62">
        <w:t>lietošanas noteikumiem.</w:t>
      </w:r>
    </w:p>
    <w:p w14:paraId="178BE7F4" w14:textId="3359857B" w:rsidR="00F23C9A" w:rsidRDefault="00F23C9A" w:rsidP="00F23C9A">
      <w:r>
        <w:t xml:space="preserve">DAGR </w:t>
      </w:r>
      <w:r w:rsidR="004F3607">
        <w:t>pirm</w:t>
      </w:r>
      <w:r w:rsidR="0001467B">
        <w:t>ajā</w:t>
      </w:r>
      <w:r w:rsidR="004F3607">
        <w:t xml:space="preserve"> DAGR projekta īstenošanas posmā</w:t>
      </w:r>
      <w:r w:rsidR="00A274B6">
        <w:t xml:space="preserve"> tiks</w:t>
      </w:r>
      <w:r>
        <w:t xml:space="preserve"> iekļauti dati vismaz no šādām informācijas sistēmām:</w:t>
      </w:r>
    </w:p>
    <w:p w14:paraId="6D4E2765" w14:textId="3F22A1A8" w:rsidR="00F23C9A" w:rsidRDefault="00F23C9A" w:rsidP="00BB13E1">
      <w:pPr>
        <w:pStyle w:val="ListParagraph"/>
        <w:numPr>
          <w:ilvl w:val="0"/>
          <w:numId w:val="13"/>
        </w:numPr>
      </w:pPr>
      <w:r>
        <w:t>Izglītības un zinātnes ministrijas pārziņā esošās Valsts izglītības informācijas sistēmas;</w:t>
      </w:r>
    </w:p>
    <w:p w14:paraId="6A4A50E3" w14:textId="09B58823" w:rsidR="00F23C9A" w:rsidRDefault="00F23C9A" w:rsidP="00BB13E1">
      <w:pPr>
        <w:pStyle w:val="ListParagraph"/>
        <w:numPr>
          <w:ilvl w:val="0"/>
          <w:numId w:val="13"/>
        </w:numPr>
      </w:pPr>
      <w:r>
        <w:t>Pilsonības un migrācijas lietu pārvaldes pārziņā esošā Fizisko personu reģistra;</w:t>
      </w:r>
    </w:p>
    <w:p w14:paraId="400E16C4" w14:textId="1A60363E" w:rsidR="00F23C9A" w:rsidRDefault="00F23C9A" w:rsidP="00BB13E1">
      <w:pPr>
        <w:pStyle w:val="ListParagraph"/>
        <w:numPr>
          <w:ilvl w:val="0"/>
          <w:numId w:val="13"/>
        </w:numPr>
      </w:pPr>
      <w:r>
        <w:t>Uzņēmumu reģistra (turpmāk – UR) pārziņā esošā Biedrību reģistra;</w:t>
      </w:r>
    </w:p>
    <w:p w14:paraId="778C322B" w14:textId="58D1614F" w:rsidR="00F23C9A" w:rsidRDefault="00F23C9A" w:rsidP="00BB13E1">
      <w:pPr>
        <w:pStyle w:val="ListParagraph"/>
        <w:numPr>
          <w:ilvl w:val="0"/>
          <w:numId w:val="13"/>
        </w:numPr>
      </w:pPr>
      <w:r>
        <w:t>UR pārziņā esošā Komercreģistra;</w:t>
      </w:r>
    </w:p>
    <w:p w14:paraId="586D9B13" w14:textId="05BAB573" w:rsidR="00F23C9A" w:rsidRDefault="00F23C9A" w:rsidP="00BB13E1">
      <w:pPr>
        <w:pStyle w:val="ListParagraph"/>
        <w:numPr>
          <w:ilvl w:val="0"/>
          <w:numId w:val="13"/>
        </w:numPr>
      </w:pPr>
      <w:r>
        <w:t>UR pārziņā esošā Publisko personu un iestāžu saraksta;</w:t>
      </w:r>
    </w:p>
    <w:p w14:paraId="7FE300B0" w14:textId="27D63153" w:rsidR="00F23C9A" w:rsidRDefault="00F23C9A" w:rsidP="00BB13E1">
      <w:pPr>
        <w:pStyle w:val="ListParagraph"/>
        <w:numPr>
          <w:ilvl w:val="0"/>
          <w:numId w:val="13"/>
        </w:numPr>
      </w:pPr>
      <w:r>
        <w:t>Valsts sociālās apdrošināšanas aģentūras pārziņā esošās Sociālās apdrošināšanas informācijas sistēmas;</w:t>
      </w:r>
    </w:p>
    <w:p w14:paraId="429E6982" w14:textId="359A69E1" w:rsidR="00F23C9A" w:rsidRDefault="00F23C9A" w:rsidP="00BB13E1">
      <w:pPr>
        <w:pStyle w:val="ListParagraph"/>
        <w:numPr>
          <w:ilvl w:val="0"/>
          <w:numId w:val="13"/>
        </w:numPr>
      </w:pPr>
      <w:r>
        <w:t>Valsts zemes dienesta pārziņā esošā Valsts adrešu reģistra;</w:t>
      </w:r>
    </w:p>
    <w:p w14:paraId="58665179" w14:textId="79485C01" w:rsidR="00F23C9A" w:rsidRDefault="00F23C9A" w:rsidP="00BB13E1">
      <w:pPr>
        <w:pStyle w:val="ListParagraph"/>
        <w:numPr>
          <w:ilvl w:val="0"/>
          <w:numId w:val="13"/>
        </w:numPr>
      </w:pPr>
      <w:r>
        <w:t>Veselības un darbspēju ekspertīzes ārstu valsts komisijas pārziņā esošā Invaliditātes reģistra;</w:t>
      </w:r>
    </w:p>
    <w:p w14:paraId="685065A6" w14:textId="05B5F57B" w:rsidR="00F23C9A" w:rsidRDefault="00F23C9A" w:rsidP="00BB13E1">
      <w:pPr>
        <w:pStyle w:val="ListParagraph"/>
        <w:numPr>
          <w:ilvl w:val="0"/>
          <w:numId w:val="13"/>
        </w:numPr>
      </w:pPr>
      <w:r>
        <w:t>Pašvaldību sociālās palīdzības un sociālo pakalpojumu administrēšanas sistēmas (SOPA);</w:t>
      </w:r>
    </w:p>
    <w:p w14:paraId="4C5A35E5" w14:textId="598065D5" w:rsidR="007B5436" w:rsidRDefault="00F23C9A" w:rsidP="00BB13E1">
      <w:pPr>
        <w:pStyle w:val="ListParagraph"/>
        <w:numPr>
          <w:ilvl w:val="0"/>
          <w:numId w:val="13"/>
        </w:numPr>
      </w:pPr>
      <w:r>
        <w:t>Sabiedrības integrācijas fonda pārziņā esošā Goda ģimenes apliecību reģistra.</w:t>
      </w:r>
    </w:p>
    <w:p w14:paraId="10C13F5A" w14:textId="24400A45" w:rsidR="00055785" w:rsidRDefault="00C20614">
      <w:r>
        <w:t>Lai nodrošinātu</w:t>
      </w:r>
      <w:r w:rsidR="00094791">
        <w:t xml:space="preserve"> centralizētu un efektīvu datu pārvaldību</w:t>
      </w:r>
      <w:r w:rsidR="00171A81">
        <w:t xml:space="preserve">, </w:t>
      </w:r>
      <w:r w:rsidR="00EA1FBA" w:rsidRPr="00EA1FBA">
        <w:t xml:space="preserve">DAGR iesniegtajiem datiem </w:t>
      </w:r>
      <w:r w:rsidR="00EA1FBA">
        <w:t xml:space="preserve">būs </w:t>
      </w:r>
      <w:r w:rsidR="00EA1FBA" w:rsidRPr="00EA1FBA">
        <w:t>jāatbilst noteiktajam DAGR vienotajam datu modelim</w:t>
      </w:r>
      <w:r w:rsidR="00157ACA">
        <w:t>.</w:t>
      </w:r>
    </w:p>
    <w:p w14:paraId="47D6AD4B" w14:textId="1DE6874C" w:rsidR="00157ACA" w:rsidRDefault="00B6472A">
      <w:r>
        <w:t>Tiek noteikts, ka datu</w:t>
      </w:r>
      <w:r w:rsidR="00F44AD6">
        <w:t>,</w:t>
      </w:r>
      <w:r>
        <w:t xml:space="preserve"> </w:t>
      </w:r>
      <w:r w:rsidR="00F44AD6">
        <w:rPr>
          <w:rFonts w:eastAsia="Calibri"/>
          <w:szCs w:val="28"/>
        </w:rPr>
        <w:t>tajā skaitā</w:t>
      </w:r>
      <w:r w:rsidR="00F44AD6" w:rsidRPr="00DA1586">
        <w:rPr>
          <w:rFonts w:eastAsia="Calibri"/>
          <w:szCs w:val="28"/>
        </w:rPr>
        <w:t xml:space="preserve"> personas datu</w:t>
      </w:r>
      <w:r w:rsidR="008A38AB">
        <w:rPr>
          <w:rFonts w:eastAsia="Calibri"/>
          <w:szCs w:val="28"/>
        </w:rPr>
        <w:t>,</w:t>
      </w:r>
      <w:r w:rsidR="00F44AD6">
        <w:t xml:space="preserve"> </w:t>
      </w:r>
      <w:r>
        <w:t>aprite DAGR tiek nodrošināta</w:t>
      </w:r>
      <w:r w:rsidR="008B660C">
        <w:t xml:space="preserve">, </w:t>
      </w:r>
      <w:r w:rsidR="008B660C" w:rsidRPr="008B660C">
        <w:t>lai īstenotu datu devēja</w:t>
      </w:r>
      <w:r w:rsidR="00B36CCC">
        <w:t xml:space="preserve">m </w:t>
      </w:r>
      <w:r w:rsidR="00BD56A3" w:rsidRPr="00BD56A3">
        <w:t>normatīvajos aktos noteikt</w:t>
      </w:r>
      <w:r w:rsidR="00BD56A3">
        <w:t>ās</w:t>
      </w:r>
      <w:r w:rsidR="00BD56A3" w:rsidRPr="00BD56A3">
        <w:t xml:space="preserve"> funkcij</w:t>
      </w:r>
      <w:r w:rsidR="00BD56A3">
        <w:t>as</w:t>
      </w:r>
      <w:r w:rsidR="00BD56A3" w:rsidRPr="00BD56A3">
        <w:t>, uzdevum</w:t>
      </w:r>
      <w:r w:rsidR="00BD56A3">
        <w:t>us</w:t>
      </w:r>
      <w:r w:rsidR="00BD56A3" w:rsidRPr="00BD56A3">
        <w:t xml:space="preserve"> un tiesīb</w:t>
      </w:r>
      <w:r w:rsidR="003A10FE">
        <w:t>as</w:t>
      </w:r>
      <w:r w:rsidR="00BD56A3" w:rsidRPr="00BD56A3">
        <w:t>.</w:t>
      </w:r>
      <w:r w:rsidR="00C550AD">
        <w:t xml:space="preserve"> </w:t>
      </w:r>
      <w:r w:rsidR="00241F5E">
        <w:t>Līdz</w:t>
      </w:r>
      <w:r w:rsidR="00335072">
        <w:t xml:space="preserve"> ar to tiek noteikts personas datu apstrādes mērķis. </w:t>
      </w:r>
      <w:r w:rsidR="009A37FB" w:rsidRPr="009A37FB">
        <w:t>Datu devējs datus, tajā skaitā personas datus, DAGR uzglabā termiņā, kas noteikts saskaņā ar normatīvajos aktos noteiktajām prasībām.</w:t>
      </w:r>
      <w:r w:rsidR="00EE523C">
        <w:t xml:space="preserve"> Līdz ar to atbildība </w:t>
      </w:r>
      <w:r w:rsidR="009D31C6">
        <w:t>par datiem DAGR ir atbilstošajam datu devējam.</w:t>
      </w:r>
    </w:p>
    <w:p w14:paraId="2FE11ECA" w14:textId="46F39DAA" w:rsidR="00164882" w:rsidRDefault="00164882">
      <w:r>
        <w:t>P</w:t>
      </w:r>
      <w:r w:rsidRPr="00164882">
        <w:t>ersonu dati, kuri tiek izmantoti, lai nodrošinātu piekļuvi DAGR darbības organizēšanai, tiek apstrādāti ar mērķi nodrošināt identifikāciju un autorizāciju.</w:t>
      </w:r>
      <w:r w:rsidR="00444FD0">
        <w:t xml:space="preserve"> </w:t>
      </w:r>
      <w:r w:rsidR="00444FD0" w:rsidRPr="00444FD0">
        <w:t>Personas dati, kuri tiek apstrādāti ar mērķi nodrošināt identifikāciju un autorizāciju DAGR, tiek uzglabāti līdz brīdim, kad par izmaiņām attiecīgo personas datu izmantošanā nav saņemt datu saņēmēja vai datu devēja rakstisks paziņojums.</w:t>
      </w:r>
      <w:r w:rsidR="00D9171F">
        <w:t xml:space="preserve"> Par šo personas datu apstrādi atbild VRAA.</w:t>
      </w:r>
    </w:p>
    <w:p w14:paraId="6DC424F6" w14:textId="4E9CCA85" w:rsidR="000B3062" w:rsidRDefault="00FB5379">
      <w:r w:rsidRPr="00152628">
        <w:lastRenderedPageBreak/>
        <w:t xml:space="preserve">Noteikumu projekta </w:t>
      </w:r>
      <w:r w:rsidR="00C45C1D">
        <w:t>31</w:t>
      </w:r>
      <w:r w:rsidRPr="00152628">
        <w:t>.</w:t>
      </w:r>
      <w:r w:rsidR="00C45C1D">
        <w:t xml:space="preserve"> un 32.</w:t>
      </w:r>
      <w:r w:rsidRPr="00152628">
        <w:t xml:space="preserve"> punktā noteikts auditācijas pierakstu glabāšanas ilgums.</w:t>
      </w:r>
      <w:r w:rsidR="00C45C1D">
        <w:t xml:space="preserve"> </w:t>
      </w:r>
      <w:r w:rsidR="000B3062" w:rsidRPr="000B3062">
        <w:t xml:space="preserve">DAGR izmaiņu un piekļuves auditācijas pierakstus glabā </w:t>
      </w:r>
      <w:r w:rsidR="005E7012">
        <w:t>18</w:t>
      </w:r>
      <w:r w:rsidR="000B3062" w:rsidRPr="000B3062">
        <w:t xml:space="preserve"> mēnešus no ieraksta izdarīšanas brīža.</w:t>
      </w:r>
      <w:r w:rsidR="00152628">
        <w:t xml:space="preserve"> </w:t>
      </w:r>
      <w:r w:rsidR="0070430A" w:rsidRPr="0070430A">
        <w:t xml:space="preserve">DAGR datu aprites auditācijas pierakstus glabā </w:t>
      </w:r>
      <w:r w:rsidR="005E7012">
        <w:t>18</w:t>
      </w:r>
      <w:r w:rsidR="0070430A" w:rsidRPr="0070430A">
        <w:t xml:space="preserve"> mēnešus no ieraksta izdarīšanas brīža</w:t>
      </w:r>
      <w:r w:rsidR="00491773">
        <w:t>.</w:t>
      </w:r>
      <w:r w:rsidR="00152628">
        <w:t xml:space="preserve"> </w:t>
      </w:r>
      <w:r w:rsidR="00152628" w:rsidRPr="00152628">
        <w:t xml:space="preserve">Saskaņā ar Fizisko personu datu apstrādes likuma 37. panta pirmo daļu, auditācijas pieraksti ir analīzei pieejami reģistrēti dati par noteiktiem notikumiem informācijas sistēmā. Atbilstoši Ministru kabineta 2015. gada 28. jūlija noteikumu Nr.442 "Kārtība, kādā tiek nodrošināta informācijas un komunikācijas tehnoloģiju sistēmu atbilstība minimālajām drošības prasībām" 15.10. apakšpunktam, auditācijas pierakstos ietver informāciju par pieslēgšanos vai atslēgšanos no sistēmas, datu atlasi, kā arī konta izveidi, grozīšanu vai dzēšanu, fiksējot notikuma laiku, kas sakrīt ar faktiskā notikuma koordinēto pasaules laiku (UTC), interneta protokola adresi, no kuras veikta darbība, aprakstu, kā arī informāciju par darbības iniciatoru – identifikatoru, </w:t>
      </w:r>
      <w:proofErr w:type="spellStart"/>
      <w:r w:rsidR="00152628" w:rsidRPr="00152628">
        <w:t>pieslēguma</w:t>
      </w:r>
      <w:proofErr w:type="spellEnd"/>
      <w:r w:rsidR="00152628" w:rsidRPr="00152628">
        <w:t xml:space="preserve"> metadatus. Minēto noteikumu 24.8. apakšpunktā noteiktais paredz, ka auditācijas pierakstu uzraudzība un analīze nodrošina iespēju konstatēt incidentus, tādējādi sekmējot sistēmu drošību. Auditācijas pierakstu glabāšanas rezultātā tiek apstrādāti personas dati. Noteikumu projektā tiek noteikts auditācijas pierakstu glabāšanas ilgums </w:t>
      </w:r>
      <w:r w:rsidR="000A2D51">
        <w:t>18</w:t>
      </w:r>
      <w:r w:rsidR="00152628" w:rsidRPr="00152628">
        <w:t xml:space="preserve"> mēneši no auditācijas pieraksta veidošanās brīža. Ņemot vērā, ka </w:t>
      </w:r>
      <w:r w:rsidR="000A2D51">
        <w:t xml:space="preserve">DAGR </w:t>
      </w:r>
      <w:r w:rsidR="00152628" w:rsidRPr="00152628">
        <w:t>ir uzskatāma par paaugstinātas drošības sistēmu, tad saskaņā ar Ministru kabineta 2015. gada 28. jūlija noteikumu Nr.442 "Kārtība, kādā tiek nodrošināta informācijas un komunikācijas tehnoloģiju sistēmu atbilstība minimālajām drošības prasībām" 24.6.  apakšpunktu, izstrādājot sistēmas drošības politiku paaugstinātas drošības sistēmām ir jāparedz auditācijas pierakstu uzglabāšana vismaz 18 mēnešus pēc ieraksta izdarīšanas.</w:t>
      </w:r>
    </w:p>
    <w:p w14:paraId="70E3763E" w14:textId="65E5F53D" w:rsidR="009D31C6" w:rsidRDefault="004E647D">
      <w:r>
        <w:t>Noteikum</w:t>
      </w:r>
      <w:r w:rsidR="00022AE4">
        <w:t xml:space="preserve">iem tiek noteikts </w:t>
      </w:r>
      <w:r w:rsidR="0092037B">
        <w:t>spēkā stā</w:t>
      </w:r>
      <w:r w:rsidR="003C30E3">
        <w:t>š</w:t>
      </w:r>
      <w:r w:rsidR="0092037B">
        <w:t xml:space="preserve">anās </w:t>
      </w:r>
      <w:r w:rsidR="003C30E3">
        <w:t xml:space="preserve">termiņš </w:t>
      </w:r>
      <w:r w:rsidR="00C76B9F" w:rsidRPr="00C76B9F">
        <w:t>2022.gada 1.decembr</w:t>
      </w:r>
      <w:r w:rsidR="00C76B9F">
        <w:t>is.</w:t>
      </w:r>
    </w:p>
    <w:p w14:paraId="41FE163A" w14:textId="5572F061" w:rsidR="00C76B9F" w:rsidRDefault="00C76B9F">
      <w:r>
        <w:t>Papildus tiek noteikts pārejas periods:</w:t>
      </w:r>
    </w:p>
    <w:p w14:paraId="3ED948EF" w14:textId="77777777" w:rsidR="002A1E85" w:rsidRPr="002A1E85" w:rsidRDefault="002A1E85" w:rsidP="002A1E85">
      <w:pPr>
        <w:pStyle w:val="ListParagraph"/>
        <w:numPr>
          <w:ilvl w:val="0"/>
          <w:numId w:val="16"/>
        </w:numPr>
      </w:pPr>
      <w:r w:rsidRPr="002A1E85">
        <w:t>Noteikumu 3.punkts stājas spēkā 2023.gada 31.decembrī. Līdz tam laikam DAGR pārzinis ir VARAM.</w:t>
      </w:r>
    </w:p>
    <w:p w14:paraId="26780727" w14:textId="77777777" w:rsidR="00EF064A" w:rsidRPr="00EF064A" w:rsidRDefault="00EF064A" w:rsidP="00EF064A">
      <w:pPr>
        <w:pStyle w:val="ListParagraph"/>
        <w:numPr>
          <w:ilvl w:val="0"/>
          <w:numId w:val="16"/>
        </w:numPr>
      </w:pPr>
      <w:r w:rsidRPr="00EF064A">
        <w:t>Noteikumu 15.1., 15.6. un 15.7.apakšpunkti stājas spēkā 2023.gada 31.decembrī.</w:t>
      </w:r>
    </w:p>
    <w:p w14:paraId="357C9480" w14:textId="1CB93DFF" w:rsidR="00C76B9F" w:rsidRDefault="008442FE" w:rsidP="008442FE">
      <w:pPr>
        <w:pStyle w:val="ListParagraph"/>
        <w:numPr>
          <w:ilvl w:val="0"/>
          <w:numId w:val="16"/>
        </w:numPr>
      </w:pPr>
      <w:r w:rsidRPr="008442FE">
        <w:t xml:space="preserve">Noteikumu 19.punkts stājas spēkā 2023.gada 31.decembrī. Līdz tam laikam pieteikuma iesniegšanas veidu nosaka </w:t>
      </w:r>
      <w:r w:rsidR="00AC21A1">
        <w:t>VRAA</w:t>
      </w:r>
      <w:r w:rsidRPr="008442FE">
        <w:t>.</w:t>
      </w:r>
    </w:p>
    <w:p w14:paraId="72158F09" w14:textId="77777777" w:rsidR="00BB1FE9" w:rsidRDefault="00002DEF">
      <w:pPr>
        <w:spacing w:before="90" w:after="90"/>
      </w:pPr>
      <w:r>
        <w:rPr>
          <w:b/>
        </w:rPr>
        <w:t>Vai ir izvērtēti alternatīvie risinājumi?</w:t>
      </w:r>
    </w:p>
    <w:p w14:paraId="401D4F78" w14:textId="77777777" w:rsidR="00BB1FE9" w:rsidRDefault="00002DEF">
      <w:r>
        <w:t>Nē</w:t>
      </w:r>
    </w:p>
    <w:p w14:paraId="3F7E8A88" w14:textId="77777777" w:rsidR="00BB1FE9" w:rsidRDefault="00002DEF">
      <w:pPr>
        <w:spacing w:before="90" w:after="90"/>
      </w:pPr>
      <w:r>
        <w:rPr>
          <w:b/>
        </w:rPr>
        <w:t>Vai ir izvērtēts prasību un izmaksu samērīgums pret ieguvumiem?</w:t>
      </w:r>
    </w:p>
    <w:p w14:paraId="7495585F" w14:textId="77777777" w:rsidR="00BB1FE9" w:rsidRDefault="00002DEF">
      <w:r>
        <w:t>Nē</w:t>
      </w:r>
    </w:p>
    <w:p w14:paraId="206C33F8" w14:textId="77777777" w:rsidR="00BB1FE9" w:rsidRDefault="00002DEF">
      <w:pPr>
        <w:spacing w:before="270" w:after="180"/>
      </w:pPr>
      <w:r>
        <w:rPr>
          <w:b/>
          <w:sz w:val="30"/>
        </w:rPr>
        <w:t xml:space="preserve">1.4. </w:t>
      </w:r>
      <w:proofErr w:type="spellStart"/>
      <w:r>
        <w:rPr>
          <w:b/>
          <w:sz w:val="30"/>
        </w:rPr>
        <w:t>Izvērtējumi</w:t>
      </w:r>
      <w:proofErr w:type="spellEnd"/>
      <w:r>
        <w:rPr>
          <w:b/>
          <w:sz w:val="30"/>
        </w:rPr>
        <w:t>/pētījumi, kas pamato TA nepieciešamību</w:t>
      </w:r>
    </w:p>
    <w:p w14:paraId="72126385" w14:textId="77777777" w:rsidR="00BB1FE9" w:rsidRDefault="00002DEF">
      <w:pPr>
        <w:spacing w:before="270" w:after="180"/>
      </w:pPr>
      <w:r>
        <w:rPr>
          <w:b/>
          <w:sz w:val="30"/>
        </w:rPr>
        <w:t>1.5. Pēcpārbaudes (</w:t>
      </w:r>
      <w:proofErr w:type="spellStart"/>
      <w:r>
        <w:rPr>
          <w:b/>
          <w:sz w:val="30"/>
        </w:rPr>
        <w:t>ex</w:t>
      </w:r>
      <w:proofErr w:type="spellEnd"/>
      <w:r>
        <w:rPr>
          <w:b/>
          <w:sz w:val="30"/>
        </w:rPr>
        <w:t xml:space="preserve">-post) </w:t>
      </w:r>
      <w:proofErr w:type="spellStart"/>
      <w:r>
        <w:rPr>
          <w:b/>
          <w:sz w:val="30"/>
        </w:rPr>
        <w:t>izvērtējums</w:t>
      </w:r>
      <w:proofErr w:type="spellEnd"/>
    </w:p>
    <w:p w14:paraId="4680C885" w14:textId="77777777" w:rsidR="00BB1FE9" w:rsidRDefault="00002DEF">
      <w:pPr>
        <w:spacing w:before="90" w:after="90"/>
      </w:pPr>
      <w:r>
        <w:rPr>
          <w:b/>
        </w:rPr>
        <w:t>Vai tiks veikts?</w:t>
      </w:r>
    </w:p>
    <w:p w14:paraId="55998309" w14:textId="77777777" w:rsidR="00BB1FE9" w:rsidRDefault="00002DEF">
      <w:r>
        <w:t>Nē</w:t>
      </w:r>
    </w:p>
    <w:p w14:paraId="7D44DF9C" w14:textId="77777777" w:rsidR="00BB1FE9" w:rsidRDefault="00002DEF">
      <w:pPr>
        <w:spacing w:before="270" w:after="180"/>
      </w:pPr>
      <w:r>
        <w:rPr>
          <w:b/>
          <w:sz w:val="30"/>
        </w:rPr>
        <w:lastRenderedPageBreak/>
        <w:t>1.6. Cita informācija</w:t>
      </w:r>
    </w:p>
    <w:p w14:paraId="564360BA" w14:textId="77777777" w:rsidR="00BB1FE9" w:rsidRDefault="00002DEF">
      <w:r>
        <w:t>-</w:t>
      </w:r>
    </w:p>
    <w:p w14:paraId="71E29F8D" w14:textId="77777777" w:rsidR="00BB1FE9" w:rsidRDefault="00002DEF">
      <w:pPr>
        <w:spacing w:before="180"/>
      </w:pPr>
      <w:r>
        <w:rPr>
          <w:b/>
          <w:sz w:val="32"/>
        </w:rPr>
        <w:t>2. Tiesību akta projekta ietekmējamās sabiedrības grupas, ietekme uz tautsaimniecības attīstību un administratīvo slogu</w:t>
      </w:r>
    </w:p>
    <w:p w14:paraId="1E0FD837" w14:textId="77777777" w:rsidR="00BB1FE9" w:rsidRDefault="00002DEF">
      <w:pPr>
        <w:spacing w:before="90" w:after="90"/>
      </w:pPr>
      <w:r>
        <w:rPr>
          <w:b/>
        </w:rPr>
        <w:t>Vai projekts skar šo jomu?</w:t>
      </w:r>
    </w:p>
    <w:p w14:paraId="60E67059" w14:textId="77777777" w:rsidR="00BB1FE9" w:rsidRDefault="00002DEF">
      <w:r>
        <w:t>Jā</w:t>
      </w:r>
    </w:p>
    <w:p w14:paraId="0370F348" w14:textId="77777777" w:rsidR="00BB1FE9" w:rsidRDefault="00002DEF">
      <w:pPr>
        <w:spacing w:before="270" w:after="180"/>
      </w:pPr>
      <w:r>
        <w:rPr>
          <w:b/>
          <w:sz w:val="30"/>
        </w:rPr>
        <w:t>2.1. Sabiedrības grupas, kuras tiesiskais regulējums ietekmē, vai varētu ietekmēt</w:t>
      </w:r>
    </w:p>
    <w:p w14:paraId="1F31C8AE" w14:textId="77777777" w:rsidR="00BB1FE9" w:rsidRDefault="00002DEF">
      <w:pPr>
        <w:spacing w:before="90" w:after="90"/>
      </w:pPr>
      <w:r>
        <w:rPr>
          <w:b/>
        </w:rPr>
        <w:t>Fiziskās personas</w:t>
      </w:r>
    </w:p>
    <w:p w14:paraId="53EC858A" w14:textId="77777777" w:rsidR="00BB1FE9" w:rsidRDefault="00002DEF">
      <w:r>
        <w:t>Nē</w:t>
      </w:r>
    </w:p>
    <w:p w14:paraId="33CBE02B" w14:textId="77777777" w:rsidR="00BB1FE9" w:rsidRDefault="00002DEF">
      <w:pPr>
        <w:spacing w:before="90" w:after="90"/>
      </w:pPr>
      <w:r>
        <w:rPr>
          <w:b/>
        </w:rPr>
        <w:t>Juridiskās personas</w:t>
      </w:r>
    </w:p>
    <w:p w14:paraId="2F638DB7" w14:textId="1490860A" w:rsidR="00BB1FE9" w:rsidRDefault="00A7300C">
      <w:r>
        <w:t>Nē</w:t>
      </w:r>
    </w:p>
    <w:p w14:paraId="5DFD6468" w14:textId="77777777" w:rsidR="00BB1FE9" w:rsidRDefault="00002DEF">
      <w:pPr>
        <w:spacing w:before="270" w:after="180"/>
      </w:pPr>
      <w:r>
        <w:rPr>
          <w:b/>
          <w:sz w:val="30"/>
        </w:rPr>
        <w:t>2.2. Tiesiskā regulējuma ietekme uz tautsaimniecību</w:t>
      </w:r>
    </w:p>
    <w:p w14:paraId="5D01C68B" w14:textId="77777777" w:rsidR="00BB1FE9" w:rsidRDefault="00002DEF">
      <w:pPr>
        <w:spacing w:before="90" w:after="90"/>
      </w:pPr>
      <w:r>
        <w:rPr>
          <w:b/>
        </w:rPr>
        <w:t>Vai projekts skar šo jomu?</w:t>
      </w:r>
    </w:p>
    <w:p w14:paraId="282A9764" w14:textId="43781AC6" w:rsidR="00BB1FE9" w:rsidRDefault="00F02DC3">
      <w:r>
        <w:t>Nē</w:t>
      </w:r>
    </w:p>
    <w:p w14:paraId="294700AD" w14:textId="77777777" w:rsidR="00BB1FE9" w:rsidRDefault="00002DEF">
      <w:pPr>
        <w:spacing w:before="270" w:after="180"/>
      </w:pPr>
      <w:r>
        <w:rPr>
          <w:b/>
          <w:sz w:val="30"/>
        </w:rPr>
        <w:t>2.3. Administratīvo izmaksu monetārs novērtējums</w:t>
      </w:r>
    </w:p>
    <w:p w14:paraId="23F1C0D8" w14:textId="77777777" w:rsidR="00BB1FE9" w:rsidRDefault="00002DEF">
      <w:pPr>
        <w:spacing w:before="90" w:after="90"/>
      </w:pPr>
      <w:r>
        <w:rPr>
          <w:b/>
        </w:rPr>
        <w:t>Vai projekts skar šo jomu?</w:t>
      </w:r>
    </w:p>
    <w:p w14:paraId="0C7FE9B3" w14:textId="77777777" w:rsidR="00BB1FE9" w:rsidRDefault="00002DEF">
      <w:r>
        <w:t>Nē</w:t>
      </w:r>
    </w:p>
    <w:p w14:paraId="22353997" w14:textId="77777777" w:rsidR="00BB1FE9" w:rsidRDefault="00002DEF">
      <w:pPr>
        <w:spacing w:before="270" w:after="180"/>
      </w:pPr>
      <w:r>
        <w:rPr>
          <w:b/>
          <w:sz w:val="30"/>
        </w:rPr>
        <w:t>2.4. Atbilstības izmaksu monetārs novērtējums</w:t>
      </w:r>
    </w:p>
    <w:p w14:paraId="6EEF2D38" w14:textId="77777777" w:rsidR="00BB1FE9" w:rsidRDefault="00002DEF">
      <w:pPr>
        <w:spacing w:before="90" w:after="90"/>
      </w:pPr>
      <w:r>
        <w:rPr>
          <w:b/>
        </w:rPr>
        <w:t>Vai projekts skar šo jomu?</w:t>
      </w:r>
    </w:p>
    <w:p w14:paraId="68A6B59A" w14:textId="77777777" w:rsidR="00BB1FE9" w:rsidRDefault="00002DEF">
      <w:r>
        <w:t>Nē</w:t>
      </w:r>
    </w:p>
    <w:p w14:paraId="5E91C350" w14:textId="77777777" w:rsidR="00BB1FE9" w:rsidRDefault="00002DEF">
      <w:pPr>
        <w:spacing w:before="180"/>
      </w:pPr>
      <w:r>
        <w:rPr>
          <w:b/>
          <w:sz w:val="32"/>
        </w:rPr>
        <w:t>3. Tiesību akta projekta ietekme uz valsts budžetu un pašvaldību budžetiem</w:t>
      </w:r>
    </w:p>
    <w:p w14:paraId="18FEC342" w14:textId="77777777" w:rsidR="00BB1FE9" w:rsidRDefault="00002DEF">
      <w:pPr>
        <w:spacing w:before="90" w:after="90"/>
      </w:pPr>
      <w:r>
        <w:rPr>
          <w:b/>
        </w:rPr>
        <w:t>Vai projekts skar šo jomu?</w:t>
      </w:r>
    </w:p>
    <w:p w14:paraId="009583BC" w14:textId="5885361B" w:rsidR="00BB1FE9" w:rsidRDefault="00854546">
      <w:r>
        <w:t>Jā</w:t>
      </w:r>
    </w:p>
    <w:p w14:paraId="09798287" w14:textId="15912AEB" w:rsidR="004F33B0" w:rsidRDefault="004F33B0"/>
    <w:tbl>
      <w:tblPr>
        <w:tblStyle w:val="a"/>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1206"/>
        <w:gridCol w:w="1206"/>
        <w:gridCol w:w="1205"/>
        <w:gridCol w:w="1205"/>
        <w:gridCol w:w="1205"/>
        <w:gridCol w:w="1205"/>
        <w:gridCol w:w="1205"/>
        <w:gridCol w:w="1205"/>
      </w:tblGrid>
      <w:tr w:rsidR="004F33B0" w14:paraId="38F4EB08" w14:textId="77777777" w:rsidTr="000B240B">
        <w:tc>
          <w:tcPr>
            <w:tcW w:w="1205" w:type="dxa"/>
            <w:vMerge w:val="restart"/>
            <w:shd w:val="clear" w:color="auto" w:fill="FFFFFF"/>
            <w:noWrap/>
            <w:tcMar>
              <w:top w:w="75" w:type="dxa"/>
              <w:left w:w="75" w:type="dxa"/>
              <w:bottom w:w="75" w:type="dxa"/>
              <w:right w:w="75" w:type="dxa"/>
            </w:tcMar>
            <w:vAlign w:val="bottom"/>
          </w:tcPr>
          <w:p w14:paraId="0CBFCACE" w14:textId="77777777" w:rsidR="004F33B0" w:rsidRDefault="004F33B0" w:rsidP="000B240B">
            <w:pPr>
              <w:jc w:val="left"/>
            </w:pPr>
            <w:r>
              <w:rPr>
                <w:b/>
                <w:sz w:val="24"/>
              </w:rPr>
              <w:t>Rādītājs</w:t>
            </w:r>
          </w:p>
        </w:tc>
        <w:tc>
          <w:tcPr>
            <w:tcW w:w="2410" w:type="dxa"/>
            <w:gridSpan w:val="2"/>
            <w:vMerge w:val="restart"/>
            <w:shd w:val="clear" w:color="auto" w:fill="FFFFFF"/>
            <w:noWrap/>
            <w:tcMar>
              <w:top w:w="75" w:type="dxa"/>
              <w:left w:w="75" w:type="dxa"/>
              <w:bottom w:w="75" w:type="dxa"/>
              <w:right w:w="75" w:type="dxa"/>
            </w:tcMar>
            <w:vAlign w:val="center"/>
          </w:tcPr>
          <w:p w14:paraId="34D3F4C3" w14:textId="77777777" w:rsidR="004F33B0" w:rsidRDefault="004F33B0" w:rsidP="000B240B">
            <w:pPr>
              <w:jc w:val="center"/>
            </w:pPr>
            <w:r>
              <w:rPr>
                <w:b/>
                <w:sz w:val="24"/>
              </w:rPr>
              <w:t>2022</w:t>
            </w:r>
          </w:p>
        </w:tc>
        <w:tc>
          <w:tcPr>
            <w:tcW w:w="6025" w:type="dxa"/>
            <w:gridSpan w:val="5"/>
            <w:shd w:val="clear" w:color="auto" w:fill="FFFFFF"/>
            <w:noWrap/>
            <w:tcMar>
              <w:top w:w="75" w:type="dxa"/>
              <w:left w:w="75" w:type="dxa"/>
              <w:bottom w:w="75" w:type="dxa"/>
              <w:right w:w="75" w:type="dxa"/>
            </w:tcMar>
            <w:vAlign w:val="center"/>
          </w:tcPr>
          <w:p w14:paraId="4261B1F5" w14:textId="77777777" w:rsidR="004F33B0" w:rsidRDefault="004F33B0" w:rsidP="000B240B">
            <w:pPr>
              <w:jc w:val="center"/>
            </w:pPr>
            <w:r>
              <w:rPr>
                <w:b/>
                <w:sz w:val="24"/>
              </w:rPr>
              <w:t>Turpmākie trīs gadi (</w:t>
            </w:r>
            <w:proofErr w:type="spellStart"/>
            <w:r>
              <w:rPr>
                <w:b/>
                <w:i/>
                <w:sz w:val="24"/>
              </w:rPr>
              <w:t>euro</w:t>
            </w:r>
            <w:proofErr w:type="spellEnd"/>
            <w:r>
              <w:rPr>
                <w:b/>
                <w:sz w:val="24"/>
              </w:rPr>
              <w:t>)</w:t>
            </w:r>
          </w:p>
        </w:tc>
      </w:tr>
      <w:tr w:rsidR="004F33B0" w14:paraId="2F7B2D65" w14:textId="77777777" w:rsidTr="000B240B">
        <w:tc>
          <w:tcPr>
            <w:tcW w:w="1205" w:type="dxa"/>
            <w:vMerge/>
            <w:shd w:val="clear" w:color="auto" w:fill="FFFFFF"/>
            <w:noWrap/>
            <w:tcMar>
              <w:top w:w="75" w:type="dxa"/>
              <w:left w:w="75" w:type="dxa"/>
              <w:bottom w:w="75" w:type="dxa"/>
              <w:right w:w="75" w:type="dxa"/>
            </w:tcMar>
            <w:vAlign w:val="center"/>
          </w:tcPr>
          <w:p w14:paraId="26E96262" w14:textId="77777777" w:rsidR="004F33B0" w:rsidRDefault="004F33B0" w:rsidP="000B240B"/>
        </w:tc>
        <w:tc>
          <w:tcPr>
            <w:tcW w:w="2410" w:type="dxa"/>
            <w:gridSpan w:val="2"/>
            <w:vMerge/>
            <w:shd w:val="clear" w:color="auto" w:fill="FFFFFF"/>
            <w:noWrap/>
            <w:tcMar>
              <w:top w:w="75" w:type="dxa"/>
              <w:left w:w="75" w:type="dxa"/>
              <w:bottom w:w="75" w:type="dxa"/>
              <w:right w:w="75" w:type="dxa"/>
            </w:tcMar>
            <w:vAlign w:val="center"/>
          </w:tcPr>
          <w:p w14:paraId="62700039" w14:textId="77777777" w:rsidR="004F33B0" w:rsidRDefault="004F33B0" w:rsidP="000B240B"/>
        </w:tc>
        <w:tc>
          <w:tcPr>
            <w:tcW w:w="2410" w:type="dxa"/>
            <w:gridSpan w:val="2"/>
            <w:shd w:val="clear" w:color="auto" w:fill="FFFFFF"/>
            <w:noWrap/>
            <w:tcMar>
              <w:top w:w="75" w:type="dxa"/>
              <w:left w:w="75" w:type="dxa"/>
              <w:bottom w:w="75" w:type="dxa"/>
              <w:right w:w="75" w:type="dxa"/>
            </w:tcMar>
            <w:vAlign w:val="center"/>
          </w:tcPr>
          <w:p w14:paraId="7DC57481" w14:textId="77777777" w:rsidR="004F33B0" w:rsidRDefault="004F33B0" w:rsidP="000B240B">
            <w:pPr>
              <w:jc w:val="center"/>
            </w:pPr>
            <w:r>
              <w:rPr>
                <w:b/>
                <w:sz w:val="24"/>
              </w:rPr>
              <w:t>2023</w:t>
            </w:r>
          </w:p>
        </w:tc>
        <w:tc>
          <w:tcPr>
            <w:tcW w:w="2410" w:type="dxa"/>
            <w:gridSpan w:val="2"/>
            <w:shd w:val="clear" w:color="auto" w:fill="FFFFFF"/>
            <w:noWrap/>
            <w:tcMar>
              <w:top w:w="75" w:type="dxa"/>
              <w:left w:w="75" w:type="dxa"/>
              <w:bottom w:w="75" w:type="dxa"/>
              <w:right w:w="75" w:type="dxa"/>
            </w:tcMar>
            <w:vAlign w:val="center"/>
          </w:tcPr>
          <w:p w14:paraId="1B1364FD" w14:textId="77777777" w:rsidR="004F33B0" w:rsidRDefault="004F33B0" w:rsidP="000B240B">
            <w:pPr>
              <w:jc w:val="center"/>
            </w:pPr>
            <w:r>
              <w:rPr>
                <w:b/>
                <w:sz w:val="24"/>
              </w:rPr>
              <w:t>2024</w:t>
            </w:r>
          </w:p>
        </w:tc>
        <w:tc>
          <w:tcPr>
            <w:tcW w:w="1205" w:type="dxa"/>
            <w:shd w:val="clear" w:color="auto" w:fill="FFFFFF"/>
            <w:noWrap/>
            <w:tcMar>
              <w:top w:w="75" w:type="dxa"/>
              <w:left w:w="75" w:type="dxa"/>
              <w:bottom w:w="75" w:type="dxa"/>
              <w:right w:w="75" w:type="dxa"/>
            </w:tcMar>
            <w:vAlign w:val="center"/>
          </w:tcPr>
          <w:p w14:paraId="5215F595" w14:textId="77777777" w:rsidR="004F33B0" w:rsidRDefault="004F33B0" w:rsidP="000B240B">
            <w:pPr>
              <w:jc w:val="center"/>
            </w:pPr>
            <w:r>
              <w:rPr>
                <w:b/>
                <w:sz w:val="24"/>
              </w:rPr>
              <w:t>2025</w:t>
            </w:r>
          </w:p>
        </w:tc>
      </w:tr>
      <w:tr w:rsidR="004F33B0" w14:paraId="06C7BDCA" w14:textId="77777777" w:rsidTr="000B240B">
        <w:tc>
          <w:tcPr>
            <w:tcW w:w="1205" w:type="dxa"/>
            <w:vMerge/>
            <w:shd w:val="clear" w:color="auto" w:fill="FFFFFF"/>
            <w:noWrap/>
            <w:tcMar>
              <w:top w:w="75" w:type="dxa"/>
              <w:left w:w="75" w:type="dxa"/>
              <w:bottom w:w="75" w:type="dxa"/>
              <w:right w:w="75" w:type="dxa"/>
            </w:tcMar>
            <w:vAlign w:val="center"/>
          </w:tcPr>
          <w:p w14:paraId="2389547C" w14:textId="77777777" w:rsidR="004F33B0" w:rsidRDefault="004F33B0" w:rsidP="000B240B"/>
        </w:tc>
        <w:tc>
          <w:tcPr>
            <w:tcW w:w="1205" w:type="dxa"/>
            <w:shd w:val="clear" w:color="auto" w:fill="FFFFFF"/>
            <w:noWrap/>
            <w:tcMar>
              <w:top w:w="75" w:type="dxa"/>
              <w:left w:w="75" w:type="dxa"/>
              <w:bottom w:w="75" w:type="dxa"/>
              <w:right w:w="75" w:type="dxa"/>
            </w:tcMar>
            <w:vAlign w:val="center"/>
          </w:tcPr>
          <w:p w14:paraId="667AD5E3" w14:textId="77777777" w:rsidR="004F33B0" w:rsidRDefault="004F33B0" w:rsidP="000B240B">
            <w:pPr>
              <w:jc w:val="left"/>
            </w:pPr>
            <w:r>
              <w:rPr>
                <w:b/>
                <w:sz w:val="24"/>
              </w:rPr>
              <w:t xml:space="preserve">saskaņā ar valsts budžetu </w:t>
            </w:r>
            <w:r>
              <w:rPr>
                <w:b/>
                <w:sz w:val="24"/>
              </w:rPr>
              <w:lastRenderedPageBreak/>
              <w:t>kārtējam gadam</w:t>
            </w:r>
          </w:p>
        </w:tc>
        <w:tc>
          <w:tcPr>
            <w:tcW w:w="1205" w:type="dxa"/>
            <w:shd w:val="clear" w:color="auto" w:fill="FFFFFF"/>
            <w:noWrap/>
            <w:tcMar>
              <w:top w:w="75" w:type="dxa"/>
              <w:left w:w="75" w:type="dxa"/>
              <w:bottom w:w="75" w:type="dxa"/>
              <w:right w:w="75" w:type="dxa"/>
            </w:tcMar>
            <w:vAlign w:val="center"/>
          </w:tcPr>
          <w:p w14:paraId="116C5230" w14:textId="77777777" w:rsidR="004F33B0" w:rsidRDefault="004F33B0" w:rsidP="000B240B">
            <w:pPr>
              <w:jc w:val="left"/>
            </w:pPr>
            <w:r>
              <w:rPr>
                <w:b/>
                <w:sz w:val="24"/>
              </w:rPr>
              <w:lastRenderedPageBreak/>
              <w:t xml:space="preserve">izmaiņas kārtējā gadā, salīdzinot </w:t>
            </w:r>
            <w:r>
              <w:rPr>
                <w:b/>
                <w:sz w:val="24"/>
              </w:rPr>
              <w:lastRenderedPageBreak/>
              <w:t>ar valsts budžetu kārtējam gadam</w:t>
            </w:r>
          </w:p>
        </w:tc>
        <w:tc>
          <w:tcPr>
            <w:tcW w:w="1205" w:type="dxa"/>
            <w:shd w:val="clear" w:color="auto" w:fill="FFFFFF"/>
            <w:noWrap/>
            <w:tcMar>
              <w:top w:w="75" w:type="dxa"/>
              <w:left w:w="75" w:type="dxa"/>
              <w:bottom w:w="75" w:type="dxa"/>
              <w:right w:w="75" w:type="dxa"/>
            </w:tcMar>
            <w:vAlign w:val="center"/>
          </w:tcPr>
          <w:p w14:paraId="0399C46C" w14:textId="77777777" w:rsidR="004F33B0" w:rsidRDefault="004F33B0" w:rsidP="000B240B">
            <w:pPr>
              <w:jc w:val="left"/>
            </w:pPr>
            <w:r>
              <w:rPr>
                <w:b/>
                <w:sz w:val="24"/>
              </w:rPr>
              <w:lastRenderedPageBreak/>
              <w:t xml:space="preserve">saskaņā ar vidēja termiņa </w:t>
            </w:r>
            <w:r>
              <w:rPr>
                <w:b/>
                <w:sz w:val="24"/>
              </w:rPr>
              <w:lastRenderedPageBreak/>
              <w:t>budžeta ietvaru</w:t>
            </w:r>
          </w:p>
        </w:tc>
        <w:tc>
          <w:tcPr>
            <w:tcW w:w="1205" w:type="dxa"/>
            <w:shd w:val="clear" w:color="auto" w:fill="FFFFFF"/>
            <w:noWrap/>
            <w:tcMar>
              <w:top w:w="75" w:type="dxa"/>
              <w:left w:w="75" w:type="dxa"/>
              <w:bottom w:w="75" w:type="dxa"/>
              <w:right w:w="75" w:type="dxa"/>
            </w:tcMar>
            <w:vAlign w:val="center"/>
          </w:tcPr>
          <w:p w14:paraId="3D111390" w14:textId="77777777" w:rsidR="004F33B0" w:rsidRDefault="004F33B0" w:rsidP="000B240B">
            <w:pPr>
              <w:jc w:val="left"/>
            </w:pPr>
            <w:r>
              <w:rPr>
                <w:b/>
                <w:sz w:val="24"/>
              </w:rPr>
              <w:lastRenderedPageBreak/>
              <w:t xml:space="preserve">izmaiņas, salīdzinot ar vidēja termiņa </w:t>
            </w:r>
            <w:r>
              <w:rPr>
                <w:b/>
                <w:sz w:val="24"/>
              </w:rPr>
              <w:lastRenderedPageBreak/>
              <w:t>budžeta ietvaru</w:t>
            </w:r>
          </w:p>
        </w:tc>
        <w:tc>
          <w:tcPr>
            <w:tcW w:w="1205" w:type="dxa"/>
            <w:shd w:val="clear" w:color="auto" w:fill="FFFFFF"/>
            <w:noWrap/>
            <w:tcMar>
              <w:top w:w="75" w:type="dxa"/>
              <w:left w:w="75" w:type="dxa"/>
              <w:bottom w:w="75" w:type="dxa"/>
              <w:right w:w="75" w:type="dxa"/>
            </w:tcMar>
            <w:vAlign w:val="center"/>
          </w:tcPr>
          <w:p w14:paraId="53285B38" w14:textId="77777777" w:rsidR="004F33B0" w:rsidRDefault="004F33B0" w:rsidP="000B240B">
            <w:pPr>
              <w:jc w:val="left"/>
            </w:pPr>
            <w:r>
              <w:rPr>
                <w:b/>
                <w:sz w:val="24"/>
              </w:rPr>
              <w:lastRenderedPageBreak/>
              <w:t xml:space="preserve">saskaņā ar vidēja termiņa </w:t>
            </w:r>
            <w:r>
              <w:rPr>
                <w:b/>
                <w:sz w:val="24"/>
              </w:rPr>
              <w:lastRenderedPageBreak/>
              <w:t>budžeta ietvaru</w:t>
            </w:r>
          </w:p>
        </w:tc>
        <w:tc>
          <w:tcPr>
            <w:tcW w:w="1205" w:type="dxa"/>
            <w:shd w:val="clear" w:color="auto" w:fill="FFFFFF"/>
            <w:noWrap/>
            <w:tcMar>
              <w:top w:w="75" w:type="dxa"/>
              <w:left w:w="75" w:type="dxa"/>
              <w:bottom w:w="75" w:type="dxa"/>
              <w:right w:w="75" w:type="dxa"/>
            </w:tcMar>
            <w:vAlign w:val="center"/>
          </w:tcPr>
          <w:p w14:paraId="4E40605D" w14:textId="77777777" w:rsidR="004F33B0" w:rsidRDefault="004F33B0" w:rsidP="000B240B">
            <w:pPr>
              <w:jc w:val="left"/>
            </w:pPr>
            <w:r>
              <w:rPr>
                <w:b/>
                <w:sz w:val="24"/>
              </w:rPr>
              <w:lastRenderedPageBreak/>
              <w:t xml:space="preserve">izmaiņas, salīdzinot ar vidēja termiņa </w:t>
            </w:r>
            <w:r>
              <w:rPr>
                <w:b/>
                <w:sz w:val="24"/>
              </w:rPr>
              <w:lastRenderedPageBreak/>
              <w:t>budžeta ietvaru</w:t>
            </w:r>
          </w:p>
        </w:tc>
        <w:tc>
          <w:tcPr>
            <w:tcW w:w="1205" w:type="dxa"/>
            <w:shd w:val="clear" w:color="auto" w:fill="FFFFFF"/>
            <w:noWrap/>
            <w:tcMar>
              <w:top w:w="75" w:type="dxa"/>
              <w:left w:w="75" w:type="dxa"/>
              <w:bottom w:w="75" w:type="dxa"/>
              <w:right w:w="75" w:type="dxa"/>
            </w:tcMar>
            <w:vAlign w:val="center"/>
          </w:tcPr>
          <w:p w14:paraId="16BDB4A4" w14:textId="77777777" w:rsidR="004F33B0" w:rsidRDefault="004F33B0" w:rsidP="000B240B">
            <w:pPr>
              <w:jc w:val="left"/>
            </w:pPr>
            <w:r>
              <w:rPr>
                <w:b/>
                <w:sz w:val="24"/>
              </w:rPr>
              <w:lastRenderedPageBreak/>
              <w:t xml:space="preserve">izmaiņas, salīdzinot ar vidēja termiņa </w:t>
            </w:r>
            <w:r>
              <w:rPr>
                <w:b/>
                <w:sz w:val="24"/>
              </w:rPr>
              <w:lastRenderedPageBreak/>
              <w:t>budžeta ietvaru</w:t>
            </w:r>
          </w:p>
        </w:tc>
      </w:tr>
      <w:tr w:rsidR="004F33B0" w14:paraId="51ECD95D" w14:textId="77777777" w:rsidTr="000B240B">
        <w:tc>
          <w:tcPr>
            <w:tcW w:w="1205" w:type="dxa"/>
            <w:shd w:val="clear" w:color="auto" w:fill="FFFFFF"/>
            <w:noWrap/>
            <w:tcMar>
              <w:top w:w="75" w:type="dxa"/>
              <w:left w:w="75" w:type="dxa"/>
              <w:bottom w:w="75" w:type="dxa"/>
              <w:right w:w="75" w:type="dxa"/>
            </w:tcMar>
            <w:vAlign w:val="center"/>
          </w:tcPr>
          <w:p w14:paraId="37C8A96D" w14:textId="77777777" w:rsidR="004F33B0" w:rsidRDefault="004F33B0" w:rsidP="000B240B">
            <w:r>
              <w:rPr>
                <w:b/>
                <w:sz w:val="24"/>
              </w:rPr>
              <w:lastRenderedPageBreak/>
              <w:t>1</w:t>
            </w:r>
          </w:p>
        </w:tc>
        <w:tc>
          <w:tcPr>
            <w:tcW w:w="1205" w:type="dxa"/>
            <w:shd w:val="clear" w:color="auto" w:fill="FFFFFF"/>
            <w:noWrap/>
            <w:tcMar>
              <w:top w:w="75" w:type="dxa"/>
              <w:left w:w="75" w:type="dxa"/>
              <w:bottom w:w="75" w:type="dxa"/>
              <w:right w:w="75" w:type="dxa"/>
            </w:tcMar>
            <w:vAlign w:val="center"/>
          </w:tcPr>
          <w:p w14:paraId="28189989" w14:textId="77777777" w:rsidR="004F33B0" w:rsidRDefault="004F33B0" w:rsidP="000B240B">
            <w:pPr>
              <w:jc w:val="right"/>
            </w:pPr>
            <w:r>
              <w:rPr>
                <w:b/>
                <w:sz w:val="24"/>
              </w:rPr>
              <w:t>2</w:t>
            </w:r>
          </w:p>
        </w:tc>
        <w:tc>
          <w:tcPr>
            <w:tcW w:w="1205" w:type="dxa"/>
            <w:shd w:val="clear" w:color="auto" w:fill="FFFFFF"/>
            <w:noWrap/>
            <w:tcMar>
              <w:top w:w="75" w:type="dxa"/>
              <w:left w:w="75" w:type="dxa"/>
              <w:bottom w:w="75" w:type="dxa"/>
              <w:right w:w="75" w:type="dxa"/>
            </w:tcMar>
            <w:vAlign w:val="center"/>
          </w:tcPr>
          <w:p w14:paraId="52C6D590" w14:textId="77777777" w:rsidR="004F33B0" w:rsidRDefault="004F33B0" w:rsidP="000B240B">
            <w:pPr>
              <w:jc w:val="right"/>
            </w:pPr>
            <w:r>
              <w:rPr>
                <w:b/>
                <w:sz w:val="24"/>
              </w:rPr>
              <w:t>3</w:t>
            </w:r>
          </w:p>
        </w:tc>
        <w:tc>
          <w:tcPr>
            <w:tcW w:w="1205" w:type="dxa"/>
            <w:shd w:val="clear" w:color="auto" w:fill="FFFFFF"/>
            <w:noWrap/>
            <w:tcMar>
              <w:top w:w="75" w:type="dxa"/>
              <w:left w:w="75" w:type="dxa"/>
              <w:bottom w:w="75" w:type="dxa"/>
              <w:right w:w="75" w:type="dxa"/>
            </w:tcMar>
            <w:vAlign w:val="center"/>
          </w:tcPr>
          <w:p w14:paraId="30FBE961" w14:textId="77777777" w:rsidR="004F33B0" w:rsidRDefault="004F33B0" w:rsidP="000B240B">
            <w:pPr>
              <w:jc w:val="right"/>
            </w:pPr>
            <w:r>
              <w:rPr>
                <w:b/>
                <w:sz w:val="24"/>
              </w:rPr>
              <w:t>4</w:t>
            </w:r>
          </w:p>
        </w:tc>
        <w:tc>
          <w:tcPr>
            <w:tcW w:w="1205" w:type="dxa"/>
            <w:shd w:val="clear" w:color="auto" w:fill="FFFFFF"/>
            <w:noWrap/>
            <w:tcMar>
              <w:top w:w="75" w:type="dxa"/>
              <w:left w:w="75" w:type="dxa"/>
              <w:bottom w:w="75" w:type="dxa"/>
              <w:right w:w="75" w:type="dxa"/>
            </w:tcMar>
            <w:vAlign w:val="center"/>
          </w:tcPr>
          <w:p w14:paraId="4B34EF93" w14:textId="77777777" w:rsidR="004F33B0" w:rsidRDefault="004F33B0" w:rsidP="000B240B">
            <w:pPr>
              <w:jc w:val="right"/>
            </w:pPr>
            <w:r>
              <w:rPr>
                <w:b/>
                <w:sz w:val="24"/>
              </w:rPr>
              <w:t>5</w:t>
            </w:r>
          </w:p>
        </w:tc>
        <w:tc>
          <w:tcPr>
            <w:tcW w:w="1205" w:type="dxa"/>
            <w:shd w:val="clear" w:color="auto" w:fill="FFFFFF"/>
            <w:noWrap/>
            <w:tcMar>
              <w:top w:w="75" w:type="dxa"/>
              <w:left w:w="75" w:type="dxa"/>
              <w:bottom w:w="75" w:type="dxa"/>
              <w:right w:w="75" w:type="dxa"/>
            </w:tcMar>
            <w:vAlign w:val="center"/>
          </w:tcPr>
          <w:p w14:paraId="48D7C33A" w14:textId="77777777" w:rsidR="004F33B0" w:rsidRDefault="004F33B0" w:rsidP="000B240B">
            <w:pPr>
              <w:jc w:val="right"/>
            </w:pPr>
            <w:r>
              <w:rPr>
                <w:b/>
                <w:sz w:val="24"/>
              </w:rPr>
              <w:t>6</w:t>
            </w:r>
          </w:p>
        </w:tc>
        <w:tc>
          <w:tcPr>
            <w:tcW w:w="1205" w:type="dxa"/>
            <w:shd w:val="clear" w:color="auto" w:fill="FFFFFF"/>
            <w:noWrap/>
            <w:tcMar>
              <w:top w:w="75" w:type="dxa"/>
              <w:left w:w="75" w:type="dxa"/>
              <w:bottom w:w="75" w:type="dxa"/>
              <w:right w:w="75" w:type="dxa"/>
            </w:tcMar>
            <w:vAlign w:val="center"/>
          </w:tcPr>
          <w:p w14:paraId="18696655" w14:textId="77777777" w:rsidR="004F33B0" w:rsidRDefault="004F33B0" w:rsidP="000B240B">
            <w:pPr>
              <w:jc w:val="right"/>
            </w:pPr>
            <w:r>
              <w:rPr>
                <w:b/>
                <w:sz w:val="24"/>
              </w:rPr>
              <w:t>7</w:t>
            </w:r>
          </w:p>
        </w:tc>
        <w:tc>
          <w:tcPr>
            <w:tcW w:w="1205" w:type="dxa"/>
            <w:shd w:val="clear" w:color="auto" w:fill="FFFFFF"/>
            <w:noWrap/>
            <w:tcMar>
              <w:top w:w="75" w:type="dxa"/>
              <w:left w:w="75" w:type="dxa"/>
              <w:bottom w:w="75" w:type="dxa"/>
              <w:right w:w="75" w:type="dxa"/>
            </w:tcMar>
            <w:vAlign w:val="center"/>
          </w:tcPr>
          <w:p w14:paraId="1E8791B0" w14:textId="77777777" w:rsidR="004F33B0" w:rsidRDefault="004F33B0" w:rsidP="000B240B">
            <w:pPr>
              <w:jc w:val="right"/>
            </w:pPr>
            <w:r>
              <w:rPr>
                <w:b/>
                <w:sz w:val="24"/>
              </w:rPr>
              <w:t>8</w:t>
            </w:r>
          </w:p>
        </w:tc>
      </w:tr>
      <w:tr w:rsidR="004F33B0" w14:paraId="707B06AD" w14:textId="77777777" w:rsidTr="000B240B">
        <w:tc>
          <w:tcPr>
            <w:tcW w:w="1205" w:type="dxa"/>
            <w:shd w:val="clear" w:color="auto" w:fill="FFFFFF"/>
            <w:noWrap/>
            <w:tcMar>
              <w:top w:w="75" w:type="dxa"/>
              <w:left w:w="75" w:type="dxa"/>
              <w:bottom w:w="75" w:type="dxa"/>
              <w:right w:w="75" w:type="dxa"/>
            </w:tcMar>
            <w:vAlign w:val="center"/>
          </w:tcPr>
          <w:p w14:paraId="065BA91E" w14:textId="77777777" w:rsidR="004F33B0" w:rsidRDefault="004F33B0" w:rsidP="000B240B">
            <w:pPr>
              <w:rPr>
                <w:sz w:val="24"/>
              </w:rPr>
            </w:pPr>
            <w:r>
              <w:rPr>
                <w:sz w:val="24"/>
              </w:rPr>
              <w:t>1. Budžeta ieņēmumi</w:t>
            </w:r>
          </w:p>
        </w:tc>
        <w:tc>
          <w:tcPr>
            <w:tcW w:w="1205" w:type="dxa"/>
            <w:shd w:val="clear" w:color="auto" w:fill="FFFFFF"/>
            <w:noWrap/>
            <w:tcMar>
              <w:top w:w="75" w:type="dxa"/>
              <w:left w:w="75" w:type="dxa"/>
              <w:bottom w:w="75" w:type="dxa"/>
              <w:right w:w="75" w:type="dxa"/>
            </w:tcMar>
            <w:vAlign w:val="center"/>
          </w:tcPr>
          <w:p w14:paraId="05739FB2"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3FC22131"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1580311E"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71E8F6FB"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1157E609"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74209BA4"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21FFE182" w14:textId="77777777" w:rsidR="004F33B0" w:rsidRDefault="004F33B0" w:rsidP="000B240B">
            <w:pPr>
              <w:jc w:val="right"/>
            </w:pPr>
            <w:r>
              <w:rPr>
                <w:sz w:val="24"/>
              </w:rPr>
              <w:t>0</w:t>
            </w:r>
          </w:p>
        </w:tc>
      </w:tr>
      <w:tr w:rsidR="004F33B0" w14:paraId="187BA8DC" w14:textId="77777777" w:rsidTr="000B240B">
        <w:tc>
          <w:tcPr>
            <w:tcW w:w="1205" w:type="dxa"/>
            <w:shd w:val="clear" w:color="auto" w:fill="FFFFFF"/>
            <w:noWrap/>
            <w:tcMar>
              <w:top w:w="75" w:type="dxa"/>
              <w:left w:w="75" w:type="dxa"/>
              <w:bottom w:w="75" w:type="dxa"/>
              <w:right w:w="75" w:type="dxa"/>
            </w:tcMar>
            <w:vAlign w:val="center"/>
          </w:tcPr>
          <w:p w14:paraId="3ABBFB81" w14:textId="77777777" w:rsidR="004F33B0" w:rsidRDefault="004F33B0" w:rsidP="000B240B">
            <w:pPr>
              <w:rPr>
                <w:sz w:val="24"/>
              </w:rPr>
            </w:pPr>
            <w:r>
              <w:rPr>
                <w:sz w:val="24"/>
              </w:rPr>
              <w:t>1.1. valsts pamatbudžets, tai skaitā ieņēmumi no maksas pakalpojumiem un citi pašu ieņēmumi</w:t>
            </w:r>
          </w:p>
        </w:tc>
        <w:tc>
          <w:tcPr>
            <w:tcW w:w="1205" w:type="dxa"/>
            <w:shd w:val="clear" w:color="auto" w:fill="FFFFFF"/>
            <w:noWrap/>
            <w:tcMar>
              <w:top w:w="75" w:type="dxa"/>
              <w:left w:w="75" w:type="dxa"/>
              <w:bottom w:w="75" w:type="dxa"/>
              <w:right w:w="75" w:type="dxa"/>
            </w:tcMar>
            <w:vAlign w:val="center"/>
          </w:tcPr>
          <w:p w14:paraId="58AC69FD"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696AFEDA"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48BFD945"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02FF1160"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0E4A332B"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4F99C14E"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58999F28" w14:textId="77777777" w:rsidR="004F33B0" w:rsidRDefault="004F33B0" w:rsidP="000B240B">
            <w:pPr>
              <w:jc w:val="right"/>
            </w:pPr>
            <w:r>
              <w:rPr>
                <w:sz w:val="24"/>
              </w:rPr>
              <w:t>0</w:t>
            </w:r>
          </w:p>
        </w:tc>
      </w:tr>
      <w:tr w:rsidR="004F33B0" w14:paraId="06E3A967" w14:textId="77777777" w:rsidTr="000B240B">
        <w:tc>
          <w:tcPr>
            <w:tcW w:w="1205" w:type="dxa"/>
            <w:shd w:val="clear" w:color="auto" w:fill="FFFFFF"/>
            <w:noWrap/>
            <w:tcMar>
              <w:top w:w="75" w:type="dxa"/>
              <w:left w:w="75" w:type="dxa"/>
              <w:bottom w:w="75" w:type="dxa"/>
              <w:right w:w="75" w:type="dxa"/>
            </w:tcMar>
            <w:vAlign w:val="center"/>
          </w:tcPr>
          <w:p w14:paraId="5B09C5E7" w14:textId="77777777" w:rsidR="004F33B0" w:rsidRDefault="004F33B0" w:rsidP="000B240B">
            <w:pPr>
              <w:rPr>
                <w:sz w:val="24"/>
              </w:rPr>
            </w:pPr>
            <w:r>
              <w:rPr>
                <w:sz w:val="24"/>
              </w:rPr>
              <w:t>1.2. valsts speciālais budžets</w:t>
            </w:r>
          </w:p>
        </w:tc>
        <w:tc>
          <w:tcPr>
            <w:tcW w:w="1205" w:type="dxa"/>
            <w:shd w:val="clear" w:color="auto" w:fill="FFFFFF"/>
            <w:noWrap/>
            <w:tcMar>
              <w:top w:w="75" w:type="dxa"/>
              <w:left w:w="75" w:type="dxa"/>
              <w:bottom w:w="75" w:type="dxa"/>
              <w:right w:w="75" w:type="dxa"/>
            </w:tcMar>
            <w:vAlign w:val="center"/>
          </w:tcPr>
          <w:p w14:paraId="20FA21C9"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36EEE0F4"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0538CEAE"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6F5D9B1C"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75148053"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2E8BD36F"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453B16BA" w14:textId="77777777" w:rsidR="004F33B0" w:rsidRDefault="004F33B0" w:rsidP="000B240B">
            <w:pPr>
              <w:jc w:val="right"/>
            </w:pPr>
            <w:r>
              <w:rPr>
                <w:sz w:val="24"/>
              </w:rPr>
              <w:t>0</w:t>
            </w:r>
          </w:p>
        </w:tc>
      </w:tr>
      <w:tr w:rsidR="004F33B0" w14:paraId="47FF2751" w14:textId="77777777" w:rsidTr="000B240B">
        <w:tc>
          <w:tcPr>
            <w:tcW w:w="1205" w:type="dxa"/>
            <w:shd w:val="clear" w:color="auto" w:fill="FFFFFF"/>
            <w:noWrap/>
            <w:tcMar>
              <w:top w:w="75" w:type="dxa"/>
              <w:left w:w="75" w:type="dxa"/>
              <w:bottom w:w="75" w:type="dxa"/>
              <w:right w:w="75" w:type="dxa"/>
            </w:tcMar>
            <w:vAlign w:val="center"/>
          </w:tcPr>
          <w:p w14:paraId="66E68100" w14:textId="77777777" w:rsidR="004F33B0" w:rsidRDefault="004F33B0" w:rsidP="000B240B">
            <w:pPr>
              <w:rPr>
                <w:sz w:val="24"/>
              </w:rPr>
            </w:pPr>
            <w:r>
              <w:rPr>
                <w:sz w:val="24"/>
              </w:rPr>
              <w:t>1.3. pašvaldību budžets</w:t>
            </w:r>
          </w:p>
        </w:tc>
        <w:tc>
          <w:tcPr>
            <w:tcW w:w="1205" w:type="dxa"/>
            <w:shd w:val="clear" w:color="auto" w:fill="FFFFFF"/>
            <w:noWrap/>
            <w:tcMar>
              <w:top w:w="75" w:type="dxa"/>
              <w:left w:w="75" w:type="dxa"/>
              <w:bottom w:w="75" w:type="dxa"/>
              <w:right w:w="75" w:type="dxa"/>
            </w:tcMar>
            <w:vAlign w:val="center"/>
          </w:tcPr>
          <w:p w14:paraId="33EFB9C3"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0EB642BD"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012AF86C"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6888FDB5"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6A79E49D"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61445ADC"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165EA57B" w14:textId="77777777" w:rsidR="004F33B0" w:rsidRDefault="004F33B0" w:rsidP="000B240B">
            <w:pPr>
              <w:jc w:val="right"/>
            </w:pPr>
            <w:r>
              <w:rPr>
                <w:sz w:val="24"/>
              </w:rPr>
              <w:t>0</w:t>
            </w:r>
          </w:p>
        </w:tc>
      </w:tr>
      <w:tr w:rsidR="004F33B0" w14:paraId="4983E395" w14:textId="77777777" w:rsidTr="000B240B">
        <w:tc>
          <w:tcPr>
            <w:tcW w:w="1205" w:type="dxa"/>
            <w:shd w:val="clear" w:color="auto" w:fill="FFFFFF"/>
            <w:noWrap/>
            <w:tcMar>
              <w:top w:w="75" w:type="dxa"/>
              <w:left w:w="75" w:type="dxa"/>
              <w:bottom w:w="75" w:type="dxa"/>
              <w:right w:w="75" w:type="dxa"/>
            </w:tcMar>
            <w:vAlign w:val="center"/>
          </w:tcPr>
          <w:p w14:paraId="22941AC8" w14:textId="77777777" w:rsidR="004F33B0" w:rsidRDefault="004F33B0" w:rsidP="000B240B">
            <w:pPr>
              <w:rPr>
                <w:sz w:val="24"/>
              </w:rPr>
            </w:pPr>
            <w:r>
              <w:rPr>
                <w:sz w:val="24"/>
              </w:rPr>
              <w:t>2. Budžeta izdevumi</w:t>
            </w:r>
          </w:p>
        </w:tc>
        <w:tc>
          <w:tcPr>
            <w:tcW w:w="1205" w:type="dxa"/>
            <w:shd w:val="clear" w:color="auto" w:fill="FFFFFF"/>
            <w:noWrap/>
            <w:tcMar>
              <w:top w:w="75" w:type="dxa"/>
              <w:left w:w="75" w:type="dxa"/>
              <w:bottom w:w="75" w:type="dxa"/>
              <w:right w:w="75" w:type="dxa"/>
            </w:tcMar>
            <w:vAlign w:val="center"/>
          </w:tcPr>
          <w:p w14:paraId="26D421A8"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331BE9F2"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50EAC06E"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58E51BCB" w14:textId="240B9EA6" w:rsidR="004F33B0" w:rsidRDefault="005F203E"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686820CC"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7DBF1B15" w14:textId="7847C638" w:rsidR="00243357" w:rsidRDefault="00B32911" w:rsidP="000B240B">
            <w:pPr>
              <w:jc w:val="right"/>
            </w:pPr>
            <w:r>
              <w:rPr>
                <w:sz w:val="24"/>
              </w:rPr>
              <w:t>8</w:t>
            </w:r>
            <w:r w:rsidR="005F18C4">
              <w:rPr>
                <w:sz w:val="24"/>
              </w:rPr>
              <w:t>21 956</w:t>
            </w:r>
          </w:p>
        </w:tc>
        <w:tc>
          <w:tcPr>
            <w:tcW w:w="1205" w:type="dxa"/>
            <w:shd w:val="clear" w:color="auto" w:fill="FFFFFF"/>
            <w:noWrap/>
            <w:tcMar>
              <w:top w:w="75" w:type="dxa"/>
              <w:left w:w="75" w:type="dxa"/>
              <w:bottom w:w="75" w:type="dxa"/>
              <w:right w:w="75" w:type="dxa"/>
            </w:tcMar>
            <w:vAlign w:val="center"/>
          </w:tcPr>
          <w:p w14:paraId="277EE0D4" w14:textId="5DA3B768" w:rsidR="00243357" w:rsidRDefault="00B40B61" w:rsidP="000B240B">
            <w:pPr>
              <w:jc w:val="right"/>
            </w:pPr>
            <w:r>
              <w:rPr>
                <w:sz w:val="24"/>
              </w:rPr>
              <w:t>771 058</w:t>
            </w:r>
          </w:p>
        </w:tc>
      </w:tr>
      <w:tr w:rsidR="004F33B0" w14:paraId="51062790" w14:textId="77777777" w:rsidTr="000B240B">
        <w:tc>
          <w:tcPr>
            <w:tcW w:w="1205" w:type="dxa"/>
            <w:shd w:val="clear" w:color="auto" w:fill="FFFFFF"/>
            <w:noWrap/>
            <w:tcMar>
              <w:top w:w="75" w:type="dxa"/>
              <w:left w:w="75" w:type="dxa"/>
              <w:bottom w:w="75" w:type="dxa"/>
              <w:right w:w="75" w:type="dxa"/>
            </w:tcMar>
            <w:vAlign w:val="center"/>
          </w:tcPr>
          <w:p w14:paraId="63BE984E" w14:textId="77777777" w:rsidR="004F33B0" w:rsidRDefault="004F33B0" w:rsidP="000B240B">
            <w:pPr>
              <w:rPr>
                <w:sz w:val="24"/>
              </w:rPr>
            </w:pPr>
            <w:r>
              <w:rPr>
                <w:sz w:val="24"/>
              </w:rPr>
              <w:t>2.1. valsts pamatbudžets</w:t>
            </w:r>
          </w:p>
        </w:tc>
        <w:tc>
          <w:tcPr>
            <w:tcW w:w="1205" w:type="dxa"/>
            <w:shd w:val="clear" w:color="auto" w:fill="FFFFFF"/>
            <w:noWrap/>
            <w:tcMar>
              <w:top w:w="75" w:type="dxa"/>
              <w:left w:w="75" w:type="dxa"/>
              <w:bottom w:w="75" w:type="dxa"/>
              <w:right w:w="75" w:type="dxa"/>
            </w:tcMar>
            <w:vAlign w:val="center"/>
          </w:tcPr>
          <w:p w14:paraId="21E5C5A0"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06DB4413"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24CF422E"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3E2A97CF" w14:textId="53E8BFF5" w:rsidR="004F33B0" w:rsidRDefault="005F203E"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030EA36A"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639FCA5C" w14:textId="1213133D" w:rsidR="004F33B0" w:rsidRDefault="002E4B12" w:rsidP="000B240B">
            <w:pPr>
              <w:jc w:val="right"/>
            </w:pPr>
            <w:r>
              <w:rPr>
                <w:sz w:val="24"/>
              </w:rPr>
              <w:t>821 956</w:t>
            </w:r>
          </w:p>
        </w:tc>
        <w:tc>
          <w:tcPr>
            <w:tcW w:w="1205" w:type="dxa"/>
            <w:shd w:val="clear" w:color="auto" w:fill="FFFFFF"/>
            <w:noWrap/>
            <w:tcMar>
              <w:top w:w="75" w:type="dxa"/>
              <w:left w:w="75" w:type="dxa"/>
              <w:bottom w:w="75" w:type="dxa"/>
              <w:right w:w="75" w:type="dxa"/>
            </w:tcMar>
            <w:vAlign w:val="center"/>
          </w:tcPr>
          <w:p w14:paraId="042315C0" w14:textId="71D77CCD" w:rsidR="004F33B0" w:rsidRDefault="002E4B12" w:rsidP="000B240B">
            <w:pPr>
              <w:jc w:val="right"/>
            </w:pPr>
            <w:r>
              <w:rPr>
                <w:sz w:val="24"/>
              </w:rPr>
              <w:t>771 058</w:t>
            </w:r>
          </w:p>
        </w:tc>
      </w:tr>
      <w:tr w:rsidR="004F33B0" w14:paraId="7D955FA4" w14:textId="77777777" w:rsidTr="000B240B">
        <w:tc>
          <w:tcPr>
            <w:tcW w:w="1205" w:type="dxa"/>
            <w:shd w:val="clear" w:color="auto" w:fill="FFFFFF"/>
            <w:noWrap/>
            <w:tcMar>
              <w:top w:w="75" w:type="dxa"/>
              <w:left w:w="75" w:type="dxa"/>
              <w:bottom w:w="75" w:type="dxa"/>
              <w:right w:w="75" w:type="dxa"/>
            </w:tcMar>
            <w:vAlign w:val="center"/>
          </w:tcPr>
          <w:p w14:paraId="74289DB8" w14:textId="77777777" w:rsidR="004F33B0" w:rsidRDefault="004F33B0" w:rsidP="000B240B">
            <w:pPr>
              <w:rPr>
                <w:sz w:val="24"/>
              </w:rPr>
            </w:pPr>
            <w:r>
              <w:rPr>
                <w:sz w:val="24"/>
              </w:rPr>
              <w:t>2.2. valsts speciālais budžets</w:t>
            </w:r>
          </w:p>
        </w:tc>
        <w:tc>
          <w:tcPr>
            <w:tcW w:w="1205" w:type="dxa"/>
            <w:shd w:val="clear" w:color="auto" w:fill="FFFFFF"/>
            <w:noWrap/>
            <w:tcMar>
              <w:top w:w="75" w:type="dxa"/>
              <w:left w:w="75" w:type="dxa"/>
              <w:bottom w:w="75" w:type="dxa"/>
              <w:right w:w="75" w:type="dxa"/>
            </w:tcMar>
            <w:vAlign w:val="center"/>
          </w:tcPr>
          <w:p w14:paraId="553796F3"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50A6D2E6"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2AF5AD9A"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2E11C3F0"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7A96A39A"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000F4DD9"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662A3DE5" w14:textId="77777777" w:rsidR="004F33B0" w:rsidRDefault="004F33B0" w:rsidP="000B240B">
            <w:pPr>
              <w:jc w:val="right"/>
            </w:pPr>
            <w:r>
              <w:rPr>
                <w:sz w:val="24"/>
              </w:rPr>
              <w:t>0</w:t>
            </w:r>
          </w:p>
        </w:tc>
      </w:tr>
      <w:tr w:rsidR="004F33B0" w14:paraId="6E15CDC4" w14:textId="77777777" w:rsidTr="000B240B">
        <w:tc>
          <w:tcPr>
            <w:tcW w:w="1205" w:type="dxa"/>
            <w:shd w:val="clear" w:color="auto" w:fill="FFFFFF"/>
            <w:noWrap/>
            <w:tcMar>
              <w:top w:w="75" w:type="dxa"/>
              <w:left w:w="75" w:type="dxa"/>
              <w:bottom w:w="75" w:type="dxa"/>
              <w:right w:w="75" w:type="dxa"/>
            </w:tcMar>
            <w:vAlign w:val="center"/>
          </w:tcPr>
          <w:p w14:paraId="6683222B" w14:textId="77777777" w:rsidR="004F33B0" w:rsidRDefault="004F33B0" w:rsidP="000B240B">
            <w:pPr>
              <w:rPr>
                <w:sz w:val="24"/>
              </w:rPr>
            </w:pPr>
            <w:r>
              <w:rPr>
                <w:sz w:val="24"/>
              </w:rPr>
              <w:t>2.3. pašvaldību budžets</w:t>
            </w:r>
          </w:p>
        </w:tc>
        <w:tc>
          <w:tcPr>
            <w:tcW w:w="1205" w:type="dxa"/>
            <w:shd w:val="clear" w:color="auto" w:fill="FFFFFF"/>
            <w:noWrap/>
            <w:tcMar>
              <w:top w:w="75" w:type="dxa"/>
              <w:left w:w="75" w:type="dxa"/>
              <w:bottom w:w="75" w:type="dxa"/>
              <w:right w:w="75" w:type="dxa"/>
            </w:tcMar>
            <w:vAlign w:val="center"/>
          </w:tcPr>
          <w:p w14:paraId="4FC2B4BF"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7B9CD727"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4AF6F638"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7F509057"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50BE5D2E"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3209860D"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3268807B" w14:textId="77777777" w:rsidR="004F33B0" w:rsidRDefault="004F33B0" w:rsidP="000B240B">
            <w:pPr>
              <w:jc w:val="right"/>
            </w:pPr>
            <w:r>
              <w:rPr>
                <w:sz w:val="24"/>
              </w:rPr>
              <w:t>0</w:t>
            </w:r>
          </w:p>
        </w:tc>
      </w:tr>
      <w:tr w:rsidR="004F33B0" w14:paraId="0E19DEF6" w14:textId="77777777" w:rsidTr="000B240B">
        <w:tc>
          <w:tcPr>
            <w:tcW w:w="1205" w:type="dxa"/>
            <w:shd w:val="clear" w:color="auto" w:fill="FFFFFF"/>
            <w:noWrap/>
            <w:tcMar>
              <w:top w:w="75" w:type="dxa"/>
              <w:left w:w="75" w:type="dxa"/>
              <w:bottom w:w="75" w:type="dxa"/>
              <w:right w:w="75" w:type="dxa"/>
            </w:tcMar>
            <w:vAlign w:val="center"/>
          </w:tcPr>
          <w:p w14:paraId="5583C54C" w14:textId="77777777" w:rsidR="004F33B0" w:rsidRDefault="004F33B0" w:rsidP="000B240B">
            <w:pPr>
              <w:rPr>
                <w:sz w:val="24"/>
              </w:rPr>
            </w:pPr>
            <w:r>
              <w:rPr>
                <w:sz w:val="24"/>
              </w:rPr>
              <w:t>3. Finansiālā ietekme</w:t>
            </w:r>
          </w:p>
        </w:tc>
        <w:tc>
          <w:tcPr>
            <w:tcW w:w="1205" w:type="dxa"/>
            <w:shd w:val="clear" w:color="auto" w:fill="FFFFFF"/>
            <w:noWrap/>
            <w:tcMar>
              <w:top w:w="75" w:type="dxa"/>
              <w:left w:w="75" w:type="dxa"/>
              <w:bottom w:w="75" w:type="dxa"/>
              <w:right w:w="75" w:type="dxa"/>
            </w:tcMar>
            <w:vAlign w:val="center"/>
          </w:tcPr>
          <w:p w14:paraId="3B34E06F"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7692C468"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7785D1EC"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63D34C95" w14:textId="7C04D598" w:rsidR="004F33B0" w:rsidRDefault="00486297"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3C2DE817"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482D8CC7" w14:textId="5F6BD475" w:rsidR="004F33B0" w:rsidRDefault="00486297" w:rsidP="000B240B">
            <w:pPr>
              <w:jc w:val="right"/>
            </w:pPr>
            <w:r>
              <w:rPr>
                <w:sz w:val="24"/>
              </w:rPr>
              <w:t>-821 956</w:t>
            </w:r>
          </w:p>
        </w:tc>
        <w:tc>
          <w:tcPr>
            <w:tcW w:w="1205" w:type="dxa"/>
            <w:shd w:val="clear" w:color="auto" w:fill="FFFFFF"/>
            <w:noWrap/>
            <w:tcMar>
              <w:top w:w="75" w:type="dxa"/>
              <w:left w:w="75" w:type="dxa"/>
              <w:bottom w:w="75" w:type="dxa"/>
              <w:right w:w="75" w:type="dxa"/>
            </w:tcMar>
            <w:vAlign w:val="center"/>
          </w:tcPr>
          <w:p w14:paraId="167E80A4" w14:textId="46C2885C" w:rsidR="004F33B0" w:rsidRDefault="00486297" w:rsidP="000B240B">
            <w:pPr>
              <w:jc w:val="right"/>
            </w:pPr>
            <w:r>
              <w:rPr>
                <w:sz w:val="24"/>
              </w:rPr>
              <w:t>-771 058</w:t>
            </w:r>
          </w:p>
        </w:tc>
      </w:tr>
      <w:tr w:rsidR="004F33B0" w14:paraId="072EF260" w14:textId="77777777" w:rsidTr="000B240B">
        <w:tc>
          <w:tcPr>
            <w:tcW w:w="1205" w:type="dxa"/>
            <w:shd w:val="clear" w:color="auto" w:fill="FFFFFF"/>
            <w:noWrap/>
            <w:tcMar>
              <w:top w:w="75" w:type="dxa"/>
              <w:left w:w="75" w:type="dxa"/>
              <w:bottom w:w="75" w:type="dxa"/>
              <w:right w:w="75" w:type="dxa"/>
            </w:tcMar>
            <w:vAlign w:val="center"/>
          </w:tcPr>
          <w:p w14:paraId="118B2C82" w14:textId="77777777" w:rsidR="004F33B0" w:rsidRDefault="004F33B0" w:rsidP="000B240B">
            <w:pPr>
              <w:rPr>
                <w:sz w:val="24"/>
              </w:rPr>
            </w:pPr>
            <w:r>
              <w:rPr>
                <w:sz w:val="24"/>
              </w:rPr>
              <w:t>3.1. valsts pamatbudžets</w:t>
            </w:r>
          </w:p>
        </w:tc>
        <w:tc>
          <w:tcPr>
            <w:tcW w:w="1205" w:type="dxa"/>
            <w:shd w:val="clear" w:color="auto" w:fill="FFFFFF"/>
            <w:noWrap/>
            <w:tcMar>
              <w:top w:w="75" w:type="dxa"/>
              <w:left w:w="75" w:type="dxa"/>
              <w:bottom w:w="75" w:type="dxa"/>
              <w:right w:w="75" w:type="dxa"/>
            </w:tcMar>
            <w:vAlign w:val="center"/>
          </w:tcPr>
          <w:p w14:paraId="23371FFD"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14D2FF8F"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7DA2D1D5"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6A58E41E" w14:textId="2472F4CF" w:rsidR="004F33B0" w:rsidRDefault="00486297"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6F3449F5"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44062DE5" w14:textId="1B73B7B3" w:rsidR="004F33B0" w:rsidRDefault="00486297" w:rsidP="000B240B">
            <w:pPr>
              <w:jc w:val="right"/>
            </w:pPr>
            <w:r>
              <w:rPr>
                <w:sz w:val="24"/>
              </w:rPr>
              <w:t>-821 956</w:t>
            </w:r>
          </w:p>
        </w:tc>
        <w:tc>
          <w:tcPr>
            <w:tcW w:w="1205" w:type="dxa"/>
            <w:shd w:val="clear" w:color="auto" w:fill="FFFFFF"/>
            <w:noWrap/>
            <w:tcMar>
              <w:top w:w="75" w:type="dxa"/>
              <w:left w:w="75" w:type="dxa"/>
              <w:bottom w:w="75" w:type="dxa"/>
              <w:right w:w="75" w:type="dxa"/>
            </w:tcMar>
            <w:vAlign w:val="center"/>
          </w:tcPr>
          <w:p w14:paraId="3C1B87A1" w14:textId="415B1CC7" w:rsidR="004F33B0" w:rsidRDefault="00486297" w:rsidP="000B240B">
            <w:pPr>
              <w:jc w:val="right"/>
            </w:pPr>
            <w:r>
              <w:rPr>
                <w:sz w:val="24"/>
              </w:rPr>
              <w:t>-771 058</w:t>
            </w:r>
          </w:p>
        </w:tc>
      </w:tr>
      <w:tr w:rsidR="004F33B0" w14:paraId="18A0BA6A" w14:textId="77777777" w:rsidTr="000B240B">
        <w:tc>
          <w:tcPr>
            <w:tcW w:w="1205" w:type="dxa"/>
            <w:shd w:val="clear" w:color="auto" w:fill="FFFFFF"/>
            <w:noWrap/>
            <w:tcMar>
              <w:top w:w="75" w:type="dxa"/>
              <w:left w:w="75" w:type="dxa"/>
              <w:bottom w:w="75" w:type="dxa"/>
              <w:right w:w="75" w:type="dxa"/>
            </w:tcMar>
            <w:vAlign w:val="center"/>
          </w:tcPr>
          <w:p w14:paraId="2F14F9E9" w14:textId="77777777" w:rsidR="004F33B0" w:rsidRDefault="004F33B0" w:rsidP="000B240B">
            <w:pPr>
              <w:rPr>
                <w:sz w:val="24"/>
              </w:rPr>
            </w:pPr>
            <w:r>
              <w:rPr>
                <w:sz w:val="24"/>
              </w:rPr>
              <w:t>3.2. speciālais budžets</w:t>
            </w:r>
          </w:p>
        </w:tc>
        <w:tc>
          <w:tcPr>
            <w:tcW w:w="1205" w:type="dxa"/>
            <w:shd w:val="clear" w:color="auto" w:fill="FFFFFF"/>
            <w:noWrap/>
            <w:tcMar>
              <w:top w:w="75" w:type="dxa"/>
              <w:left w:w="75" w:type="dxa"/>
              <w:bottom w:w="75" w:type="dxa"/>
              <w:right w:w="75" w:type="dxa"/>
            </w:tcMar>
            <w:vAlign w:val="center"/>
          </w:tcPr>
          <w:p w14:paraId="52C4197D"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4812B2F1"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10679BEC"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71D57470"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24E0E65F"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62F2A3C0"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1180E368" w14:textId="77777777" w:rsidR="004F33B0" w:rsidRDefault="004F33B0" w:rsidP="000B240B">
            <w:pPr>
              <w:jc w:val="right"/>
            </w:pPr>
            <w:r>
              <w:rPr>
                <w:sz w:val="24"/>
              </w:rPr>
              <w:t>0</w:t>
            </w:r>
          </w:p>
        </w:tc>
      </w:tr>
      <w:tr w:rsidR="004F33B0" w14:paraId="778E7500" w14:textId="77777777" w:rsidTr="000B240B">
        <w:tc>
          <w:tcPr>
            <w:tcW w:w="1205" w:type="dxa"/>
            <w:shd w:val="clear" w:color="auto" w:fill="FFFFFF"/>
            <w:noWrap/>
            <w:tcMar>
              <w:top w:w="75" w:type="dxa"/>
              <w:left w:w="75" w:type="dxa"/>
              <w:bottom w:w="75" w:type="dxa"/>
              <w:right w:w="75" w:type="dxa"/>
            </w:tcMar>
            <w:vAlign w:val="center"/>
          </w:tcPr>
          <w:p w14:paraId="691C3FBC" w14:textId="77777777" w:rsidR="004F33B0" w:rsidRDefault="004F33B0" w:rsidP="000B240B">
            <w:pPr>
              <w:rPr>
                <w:sz w:val="24"/>
              </w:rPr>
            </w:pPr>
            <w:r>
              <w:rPr>
                <w:sz w:val="24"/>
              </w:rPr>
              <w:lastRenderedPageBreak/>
              <w:t>3.3. pašvaldību budžets</w:t>
            </w:r>
          </w:p>
        </w:tc>
        <w:tc>
          <w:tcPr>
            <w:tcW w:w="1205" w:type="dxa"/>
            <w:shd w:val="clear" w:color="auto" w:fill="FFFFFF"/>
            <w:noWrap/>
            <w:tcMar>
              <w:top w:w="75" w:type="dxa"/>
              <w:left w:w="75" w:type="dxa"/>
              <w:bottom w:w="75" w:type="dxa"/>
              <w:right w:w="75" w:type="dxa"/>
            </w:tcMar>
            <w:vAlign w:val="center"/>
          </w:tcPr>
          <w:p w14:paraId="7BC5F738"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74AA1D12"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3D2A33F3"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1717C739"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0642964D"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438CAB1D"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068D58A5" w14:textId="77777777" w:rsidR="004F33B0" w:rsidRDefault="004F33B0" w:rsidP="000B240B">
            <w:pPr>
              <w:jc w:val="right"/>
            </w:pPr>
            <w:r>
              <w:rPr>
                <w:sz w:val="24"/>
              </w:rPr>
              <w:t>0</w:t>
            </w:r>
          </w:p>
        </w:tc>
      </w:tr>
      <w:tr w:rsidR="004F33B0" w14:paraId="126BDEBB" w14:textId="77777777" w:rsidTr="000B240B">
        <w:tc>
          <w:tcPr>
            <w:tcW w:w="1205" w:type="dxa"/>
            <w:shd w:val="clear" w:color="auto" w:fill="FFFFFF"/>
            <w:noWrap/>
            <w:tcMar>
              <w:top w:w="75" w:type="dxa"/>
              <w:left w:w="75" w:type="dxa"/>
              <w:bottom w:w="75" w:type="dxa"/>
              <w:right w:w="75" w:type="dxa"/>
            </w:tcMar>
            <w:vAlign w:val="center"/>
          </w:tcPr>
          <w:p w14:paraId="2F2B70A5" w14:textId="77777777" w:rsidR="004F33B0" w:rsidRDefault="004F33B0" w:rsidP="000B240B">
            <w:pPr>
              <w:rPr>
                <w:sz w:val="24"/>
              </w:rPr>
            </w:pPr>
            <w:r>
              <w:rPr>
                <w:sz w:val="24"/>
              </w:rPr>
              <w:t>4. Finanšu līdzekļi papildu izdevumu finansēšanai (kompensējošu izdevumu palielinājumu norāda ar "-" zīmi)</w:t>
            </w:r>
          </w:p>
        </w:tc>
        <w:tc>
          <w:tcPr>
            <w:tcW w:w="1205" w:type="dxa"/>
            <w:shd w:val="clear" w:color="auto" w:fill="FFFFFF"/>
            <w:noWrap/>
            <w:tcMar>
              <w:top w:w="75" w:type="dxa"/>
              <w:left w:w="75" w:type="dxa"/>
              <w:bottom w:w="75" w:type="dxa"/>
              <w:right w:w="75" w:type="dxa"/>
            </w:tcMar>
            <w:vAlign w:val="center"/>
          </w:tcPr>
          <w:p w14:paraId="308D364B"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3468B89C"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307EF896"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12136A03"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0DD6AE90"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7FF389FF"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3D020AFA" w14:textId="77777777" w:rsidR="004F33B0" w:rsidRDefault="004F33B0" w:rsidP="000B240B">
            <w:pPr>
              <w:jc w:val="right"/>
            </w:pPr>
            <w:r>
              <w:rPr>
                <w:sz w:val="24"/>
              </w:rPr>
              <w:t>0</w:t>
            </w:r>
          </w:p>
        </w:tc>
      </w:tr>
      <w:tr w:rsidR="004F33B0" w14:paraId="0F88B2BD" w14:textId="77777777" w:rsidTr="000B240B">
        <w:tc>
          <w:tcPr>
            <w:tcW w:w="1205" w:type="dxa"/>
            <w:shd w:val="clear" w:color="auto" w:fill="FFFFFF"/>
            <w:noWrap/>
            <w:tcMar>
              <w:top w:w="75" w:type="dxa"/>
              <w:left w:w="75" w:type="dxa"/>
              <w:bottom w:w="75" w:type="dxa"/>
              <w:right w:w="75" w:type="dxa"/>
            </w:tcMar>
            <w:vAlign w:val="center"/>
          </w:tcPr>
          <w:p w14:paraId="4F4C7177" w14:textId="77777777" w:rsidR="004F33B0" w:rsidRDefault="004F33B0" w:rsidP="000B240B">
            <w:pPr>
              <w:rPr>
                <w:sz w:val="24"/>
              </w:rPr>
            </w:pPr>
            <w:r>
              <w:rPr>
                <w:sz w:val="24"/>
              </w:rPr>
              <w:t>5. Precizēta finansiālā ietekme</w:t>
            </w:r>
          </w:p>
        </w:tc>
        <w:tc>
          <w:tcPr>
            <w:tcW w:w="1205" w:type="dxa"/>
            <w:shd w:val="clear" w:color="auto" w:fill="FFFFFF"/>
            <w:noWrap/>
            <w:tcMar>
              <w:top w:w="75" w:type="dxa"/>
              <w:left w:w="75" w:type="dxa"/>
              <w:bottom w:w="75" w:type="dxa"/>
              <w:right w:w="75" w:type="dxa"/>
            </w:tcMar>
            <w:vAlign w:val="center"/>
          </w:tcPr>
          <w:p w14:paraId="42A9D1A6" w14:textId="77777777" w:rsidR="004F33B0" w:rsidRDefault="004F33B0" w:rsidP="000B240B"/>
        </w:tc>
        <w:tc>
          <w:tcPr>
            <w:tcW w:w="1205" w:type="dxa"/>
            <w:shd w:val="clear" w:color="auto" w:fill="FFFFFF"/>
            <w:noWrap/>
            <w:tcMar>
              <w:top w:w="75" w:type="dxa"/>
              <w:left w:w="75" w:type="dxa"/>
              <w:bottom w:w="75" w:type="dxa"/>
              <w:right w:w="75" w:type="dxa"/>
            </w:tcMar>
            <w:vAlign w:val="center"/>
          </w:tcPr>
          <w:p w14:paraId="07DCAAF8"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3797A185" w14:textId="77777777" w:rsidR="004F33B0" w:rsidRDefault="004F33B0" w:rsidP="000B240B"/>
        </w:tc>
        <w:tc>
          <w:tcPr>
            <w:tcW w:w="1205" w:type="dxa"/>
            <w:shd w:val="clear" w:color="auto" w:fill="FFFFFF"/>
            <w:noWrap/>
            <w:tcMar>
              <w:top w:w="75" w:type="dxa"/>
              <w:left w:w="75" w:type="dxa"/>
              <w:bottom w:w="75" w:type="dxa"/>
              <w:right w:w="75" w:type="dxa"/>
            </w:tcMar>
            <w:vAlign w:val="center"/>
          </w:tcPr>
          <w:p w14:paraId="4F1C3259" w14:textId="6E4C0E2B" w:rsidR="004F33B0" w:rsidRDefault="00486297"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07C461AB" w14:textId="77777777" w:rsidR="004F33B0" w:rsidRDefault="004F33B0" w:rsidP="000B240B"/>
        </w:tc>
        <w:tc>
          <w:tcPr>
            <w:tcW w:w="1205" w:type="dxa"/>
            <w:shd w:val="clear" w:color="auto" w:fill="FFFFFF"/>
            <w:noWrap/>
            <w:tcMar>
              <w:top w:w="75" w:type="dxa"/>
              <w:left w:w="75" w:type="dxa"/>
              <w:bottom w:w="75" w:type="dxa"/>
              <w:right w:w="75" w:type="dxa"/>
            </w:tcMar>
            <w:vAlign w:val="center"/>
          </w:tcPr>
          <w:p w14:paraId="13E38EBA" w14:textId="37F6B387" w:rsidR="004F33B0" w:rsidRDefault="00486297" w:rsidP="000B240B">
            <w:pPr>
              <w:jc w:val="right"/>
            </w:pPr>
            <w:r>
              <w:rPr>
                <w:sz w:val="24"/>
              </w:rPr>
              <w:t>-821 956</w:t>
            </w:r>
          </w:p>
        </w:tc>
        <w:tc>
          <w:tcPr>
            <w:tcW w:w="1205" w:type="dxa"/>
            <w:shd w:val="clear" w:color="auto" w:fill="FFFFFF"/>
            <w:noWrap/>
            <w:tcMar>
              <w:top w:w="75" w:type="dxa"/>
              <w:left w:w="75" w:type="dxa"/>
              <w:bottom w:w="75" w:type="dxa"/>
              <w:right w:w="75" w:type="dxa"/>
            </w:tcMar>
            <w:vAlign w:val="center"/>
          </w:tcPr>
          <w:p w14:paraId="1BE7327D" w14:textId="7FB69B60" w:rsidR="004F33B0" w:rsidRDefault="00486297" w:rsidP="000B240B">
            <w:pPr>
              <w:jc w:val="right"/>
            </w:pPr>
            <w:r>
              <w:rPr>
                <w:sz w:val="24"/>
              </w:rPr>
              <w:t>-771 058</w:t>
            </w:r>
          </w:p>
        </w:tc>
      </w:tr>
      <w:tr w:rsidR="004F33B0" w14:paraId="47D66DCF" w14:textId="77777777" w:rsidTr="000B240B">
        <w:tc>
          <w:tcPr>
            <w:tcW w:w="1205" w:type="dxa"/>
            <w:shd w:val="clear" w:color="auto" w:fill="FFFFFF"/>
            <w:noWrap/>
            <w:tcMar>
              <w:top w:w="75" w:type="dxa"/>
              <w:left w:w="75" w:type="dxa"/>
              <w:bottom w:w="75" w:type="dxa"/>
              <w:right w:w="75" w:type="dxa"/>
            </w:tcMar>
            <w:vAlign w:val="center"/>
          </w:tcPr>
          <w:p w14:paraId="0A3DC186" w14:textId="77777777" w:rsidR="004F33B0" w:rsidRDefault="004F33B0" w:rsidP="000B240B">
            <w:pPr>
              <w:rPr>
                <w:sz w:val="24"/>
              </w:rPr>
            </w:pPr>
            <w:r>
              <w:rPr>
                <w:sz w:val="24"/>
              </w:rPr>
              <w:t>5.1. valsts pamatbudžets</w:t>
            </w:r>
          </w:p>
        </w:tc>
        <w:tc>
          <w:tcPr>
            <w:tcW w:w="1205" w:type="dxa"/>
            <w:shd w:val="clear" w:color="auto" w:fill="FFFFFF"/>
            <w:noWrap/>
            <w:tcMar>
              <w:top w:w="75" w:type="dxa"/>
              <w:left w:w="75" w:type="dxa"/>
              <w:bottom w:w="75" w:type="dxa"/>
              <w:right w:w="75" w:type="dxa"/>
            </w:tcMar>
            <w:vAlign w:val="center"/>
          </w:tcPr>
          <w:p w14:paraId="7E35E261" w14:textId="77777777" w:rsidR="004F33B0" w:rsidRDefault="004F33B0" w:rsidP="000B240B"/>
        </w:tc>
        <w:tc>
          <w:tcPr>
            <w:tcW w:w="1205" w:type="dxa"/>
            <w:shd w:val="clear" w:color="auto" w:fill="FFFFFF"/>
            <w:noWrap/>
            <w:tcMar>
              <w:top w:w="75" w:type="dxa"/>
              <w:left w:w="75" w:type="dxa"/>
              <w:bottom w:w="75" w:type="dxa"/>
              <w:right w:w="75" w:type="dxa"/>
            </w:tcMar>
            <w:vAlign w:val="center"/>
          </w:tcPr>
          <w:p w14:paraId="743AA5FC"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08FEB367" w14:textId="77777777" w:rsidR="004F33B0" w:rsidRDefault="004F33B0" w:rsidP="000B240B"/>
        </w:tc>
        <w:tc>
          <w:tcPr>
            <w:tcW w:w="1205" w:type="dxa"/>
            <w:shd w:val="clear" w:color="auto" w:fill="FFFFFF"/>
            <w:noWrap/>
            <w:tcMar>
              <w:top w:w="75" w:type="dxa"/>
              <w:left w:w="75" w:type="dxa"/>
              <w:bottom w:w="75" w:type="dxa"/>
              <w:right w:w="75" w:type="dxa"/>
            </w:tcMar>
            <w:vAlign w:val="center"/>
          </w:tcPr>
          <w:p w14:paraId="2E353DD3"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4B91A576" w14:textId="77777777" w:rsidR="004F33B0" w:rsidRDefault="004F33B0" w:rsidP="000B240B"/>
        </w:tc>
        <w:tc>
          <w:tcPr>
            <w:tcW w:w="1205" w:type="dxa"/>
            <w:shd w:val="clear" w:color="auto" w:fill="FFFFFF"/>
            <w:noWrap/>
            <w:tcMar>
              <w:top w:w="75" w:type="dxa"/>
              <w:left w:w="75" w:type="dxa"/>
              <w:bottom w:w="75" w:type="dxa"/>
              <w:right w:w="75" w:type="dxa"/>
            </w:tcMar>
            <w:vAlign w:val="center"/>
          </w:tcPr>
          <w:p w14:paraId="2D858998"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76FC4B01" w14:textId="77777777" w:rsidR="004F33B0" w:rsidRDefault="004F33B0" w:rsidP="000B240B">
            <w:pPr>
              <w:jc w:val="right"/>
            </w:pPr>
            <w:r>
              <w:rPr>
                <w:sz w:val="24"/>
              </w:rPr>
              <w:t>0</w:t>
            </w:r>
          </w:p>
        </w:tc>
      </w:tr>
      <w:tr w:rsidR="004F33B0" w14:paraId="653216C5" w14:textId="77777777" w:rsidTr="000B240B">
        <w:tc>
          <w:tcPr>
            <w:tcW w:w="1205" w:type="dxa"/>
            <w:shd w:val="clear" w:color="auto" w:fill="FFFFFF"/>
            <w:noWrap/>
            <w:tcMar>
              <w:top w:w="75" w:type="dxa"/>
              <w:left w:w="75" w:type="dxa"/>
              <w:bottom w:w="75" w:type="dxa"/>
              <w:right w:w="75" w:type="dxa"/>
            </w:tcMar>
            <w:vAlign w:val="center"/>
          </w:tcPr>
          <w:p w14:paraId="083F6F33" w14:textId="77777777" w:rsidR="004F33B0" w:rsidRDefault="004F33B0" w:rsidP="000B240B">
            <w:pPr>
              <w:rPr>
                <w:sz w:val="24"/>
              </w:rPr>
            </w:pPr>
            <w:r>
              <w:rPr>
                <w:sz w:val="24"/>
              </w:rPr>
              <w:t>5.2. speciālais budžets</w:t>
            </w:r>
          </w:p>
        </w:tc>
        <w:tc>
          <w:tcPr>
            <w:tcW w:w="1205" w:type="dxa"/>
            <w:shd w:val="clear" w:color="auto" w:fill="FFFFFF"/>
            <w:noWrap/>
            <w:tcMar>
              <w:top w:w="75" w:type="dxa"/>
              <w:left w:w="75" w:type="dxa"/>
              <w:bottom w:w="75" w:type="dxa"/>
              <w:right w:w="75" w:type="dxa"/>
            </w:tcMar>
            <w:vAlign w:val="center"/>
          </w:tcPr>
          <w:p w14:paraId="0499B892" w14:textId="77777777" w:rsidR="004F33B0" w:rsidRDefault="004F33B0" w:rsidP="000B240B"/>
        </w:tc>
        <w:tc>
          <w:tcPr>
            <w:tcW w:w="1205" w:type="dxa"/>
            <w:shd w:val="clear" w:color="auto" w:fill="FFFFFF"/>
            <w:noWrap/>
            <w:tcMar>
              <w:top w:w="75" w:type="dxa"/>
              <w:left w:w="75" w:type="dxa"/>
              <w:bottom w:w="75" w:type="dxa"/>
              <w:right w:w="75" w:type="dxa"/>
            </w:tcMar>
            <w:vAlign w:val="center"/>
          </w:tcPr>
          <w:p w14:paraId="184A5FA1"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78436BDE" w14:textId="77777777" w:rsidR="004F33B0" w:rsidRDefault="004F33B0" w:rsidP="000B240B"/>
        </w:tc>
        <w:tc>
          <w:tcPr>
            <w:tcW w:w="1205" w:type="dxa"/>
            <w:shd w:val="clear" w:color="auto" w:fill="FFFFFF"/>
            <w:noWrap/>
            <w:tcMar>
              <w:top w:w="75" w:type="dxa"/>
              <w:left w:w="75" w:type="dxa"/>
              <w:bottom w:w="75" w:type="dxa"/>
              <w:right w:w="75" w:type="dxa"/>
            </w:tcMar>
            <w:vAlign w:val="center"/>
          </w:tcPr>
          <w:p w14:paraId="4D8E0F52"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5DEE9760" w14:textId="77777777" w:rsidR="004F33B0" w:rsidRDefault="004F33B0" w:rsidP="000B240B"/>
        </w:tc>
        <w:tc>
          <w:tcPr>
            <w:tcW w:w="1205" w:type="dxa"/>
            <w:shd w:val="clear" w:color="auto" w:fill="FFFFFF"/>
            <w:noWrap/>
            <w:tcMar>
              <w:top w:w="75" w:type="dxa"/>
              <w:left w:w="75" w:type="dxa"/>
              <w:bottom w:w="75" w:type="dxa"/>
              <w:right w:w="75" w:type="dxa"/>
            </w:tcMar>
            <w:vAlign w:val="center"/>
          </w:tcPr>
          <w:p w14:paraId="25322EDE"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113CD132" w14:textId="77777777" w:rsidR="004F33B0" w:rsidRDefault="004F33B0" w:rsidP="000B240B">
            <w:pPr>
              <w:jc w:val="right"/>
            </w:pPr>
            <w:r>
              <w:rPr>
                <w:sz w:val="24"/>
              </w:rPr>
              <w:t>0</w:t>
            </w:r>
          </w:p>
        </w:tc>
      </w:tr>
      <w:tr w:rsidR="004F33B0" w14:paraId="74ADCCFC" w14:textId="77777777" w:rsidTr="000B240B">
        <w:tc>
          <w:tcPr>
            <w:tcW w:w="1205" w:type="dxa"/>
            <w:shd w:val="clear" w:color="auto" w:fill="FFFFFF"/>
            <w:noWrap/>
            <w:tcMar>
              <w:top w:w="75" w:type="dxa"/>
              <w:left w:w="75" w:type="dxa"/>
              <w:bottom w:w="75" w:type="dxa"/>
              <w:right w:w="75" w:type="dxa"/>
            </w:tcMar>
            <w:vAlign w:val="center"/>
          </w:tcPr>
          <w:p w14:paraId="4DA078D4" w14:textId="77777777" w:rsidR="004F33B0" w:rsidRDefault="004F33B0" w:rsidP="000B240B">
            <w:pPr>
              <w:rPr>
                <w:sz w:val="24"/>
              </w:rPr>
            </w:pPr>
            <w:r>
              <w:rPr>
                <w:sz w:val="24"/>
              </w:rPr>
              <w:t>5.3. pašvaldību budžets</w:t>
            </w:r>
          </w:p>
        </w:tc>
        <w:tc>
          <w:tcPr>
            <w:tcW w:w="1205" w:type="dxa"/>
            <w:shd w:val="clear" w:color="auto" w:fill="FFFFFF"/>
            <w:noWrap/>
            <w:tcMar>
              <w:top w:w="75" w:type="dxa"/>
              <w:left w:w="75" w:type="dxa"/>
              <w:bottom w:w="75" w:type="dxa"/>
              <w:right w:w="75" w:type="dxa"/>
            </w:tcMar>
            <w:vAlign w:val="center"/>
          </w:tcPr>
          <w:p w14:paraId="2048411F" w14:textId="77777777" w:rsidR="004F33B0" w:rsidRDefault="004F33B0" w:rsidP="000B240B"/>
        </w:tc>
        <w:tc>
          <w:tcPr>
            <w:tcW w:w="1205" w:type="dxa"/>
            <w:shd w:val="clear" w:color="auto" w:fill="FFFFFF"/>
            <w:noWrap/>
            <w:tcMar>
              <w:top w:w="75" w:type="dxa"/>
              <w:left w:w="75" w:type="dxa"/>
              <w:bottom w:w="75" w:type="dxa"/>
              <w:right w:w="75" w:type="dxa"/>
            </w:tcMar>
            <w:vAlign w:val="center"/>
          </w:tcPr>
          <w:p w14:paraId="0EF70F84"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371AF8D8" w14:textId="77777777" w:rsidR="004F33B0" w:rsidRDefault="004F33B0" w:rsidP="000B240B"/>
        </w:tc>
        <w:tc>
          <w:tcPr>
            <w:tcW w:w="1205" w:type="dxa"/>
            <w:shd w:val="clear" w:color="auto" w:fill="FFFFFF"/>
            <w:noWrap/>
            <w:tcMar>
              <w:top w:w="75" w:type="dxa"/>
              <w:left w:w="75" w:type="dxa"/>
              <w:bottom w:w="75" w:type="dxa"/>
              <w:right w:w="75" w:type="dxa"/>
            </w:tcMar>
            <w:vAlign w:val="center"/>
          </w:tcPr>
          <w:p w14:paraId="20C951A9"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664E760B" w14:textId="77777777" w:rsidR="004F33B0" w:rsidRDefault="004F33B0" w:rsidP="000B240B"/>
        </w:tc>
        <w:tc>
          <w:tcPr>
            <w:tcW w:w="1205" w:type="dxa"/>
            <w:shd w:val="clear" w:color="auto" w:fill="FFFFFF"/>
            <w:noWrap/>
            <w:tcMar>
              <w:top w:w="75" w:type="dxa"/>
              <w:left w:w="75" w:type="dxa"/>
              <w:bottom w:w="75" w:type="dxa"/>
              <w:right w:w="75" w:type="dxa"/>
            </w:tcMar>
            <w:vAlign w:val="center"/>
          </w:tcPr>
          <w:p w14:paraId="6B135FEE" w14:textId="77777777" w:rsidR="004F33B0" w:rsidRDefault="004F33B0" w:rsidP="000B240B">
            <w:pPr>
              <w:jc w:val="right"/>
            </w:pPr>
            <w:r>
              <w:rPr>
                <w:sz w:val="24"/>
              </w:rPr>
              <w:t>0</w:t>
            </w:r>
          </w:p>
        </w:tc>
        <w:tc>
          <w:tcPr>
            <w:tcW w:w="1205" w:type="dxa"/>
            <w:shd w:val="clear" w:color="auto" w:fill="FFFFFF"/>
            <w:noWrap/>
            <w:tcMar>
              <w:top w:w="75" w:type="dxa"/>
              <w:left w:w="75" w:type="dxa"/>
              <w:bottom w:w="75" w:type="dxa"/>
              <w:right w:w="75" w:type="dxa"/>
            </w:tcMar>
            <w:vAlign w:val="center"/>
          </w:tcPr>
          <w:p w14:paraId="615428CB" w14:textId="77777777" w:rsidR="004F33B0" w:rsidRDefault="004F33B0" w:rsidP="000B240B">
            <w:pPr>
              <w:jc w:val="right"/>
            </w:pPr>
            <w:r>
              <w:rPr>
                <w:sz w:val="24"/>
              </w:rPr>
              <w:t>0</w:t>
            </w:r>
          </w:p>
        </w:tc>
      </w:tr>
      <w:tr w:rsidR="004F33B0" w14:paraId="4674ADA6" w14:textId="77777777" w:rsidTr="000B240B">
        <w:tc>
          <w:tcPr>
            <w:tcW w:w="1205" w:type="dxa"/>
            <w:shd w:val="clear" w:color="auto" w:fill="FFFFFF"/>
            <w:noWrap/>
            <w:tcMar>
              <w:top w:w="75" w:type="dxa"/>
              <w:left w:w="75" w:type="dxa"/>
              <w:bottom w:w="75" w:type="dxa"/>
              <w:right w:w="75" w:type="dxa"/>
            </w:tcMar>
            <w:vAlign w:val="center"/>
          </w:tcPr>
          <w:p w14:paraId="4A9DC633" w14:textId="77777777" w:rsidR="004F33B0" w:rsidRDefault="004F33B0" w:rsidP="000B240B">
            <w:pPr>
              <w:rPr>
                <w:sz w:val="24"/>
              </w:rPr>
            </w:pPr>
            <w:r>
              <w:rPr>
                <w:sz w:val="24"/>
              </w:rPr>
              <w:t xml:space="preserve">6. Detalizēts ieņēmumu un izdevumu aprēķins (ja nepieciešams, detalizētu ieņēmumu un izdevumu aprēķinu var pievienot anotācijas </w:t>
            </w:r>
            <w:r>
              <w:rPr>
                <w:sz w:val="24"/>
              </w:rPr>
              <w:lastRenderedPageBreak/>
              <w:t>(</w:t>
            </w:r>
            <w:proofErr w:type="spellStart"/>
            <w:r>
              <w:rPr>
                <w:sz w:val="24"/>
              </w:rPr>
              <w:t>ex-ante</w:t>
            </w:r>
            <w:proofErr w:type="spellEnd"/>
            <w:r>
              <w:rPr>
                <w:sz w:val="24"/>
              </w:rPr>
              <w:t>) pielikumā)</w:t>
            </w:r>
          </w:p>
        </w:tc>
        <w:tc>
          <w:tcPr>
            <w:tcW w:w="8435" w:type="dxa"/>
            <w:gridSpan w:val="7"/>
            <w:shd w:val="clear" w:color="auto" w:fill="FFFFFF"/>
            <w:noWrap/>
            <w:tcMar>
              <w:top w:w="75" w:type="dxa"/>
              <w:left w:w="75" w:type="dxa"/>
              <w:bottom w:w="75" w:type="dxa"/>
              <w:right w:w="75" w:type="dxa"/>
            </w:tcMar>
            <w:vAlign w:val="center"/>
          </w:tcPr>
          <w:p w14:paraId="311A082E" w14:textId="26329466" w:rsidR="005A57BF" w:rsidRDefault="005A57BF" w:rsidP="005A57BF">
            <w:pPr>
              <w:rPr>
                <w:sz w:val="24"/>
                <w:szCs w:val="24"/>
              </w:rPr>
            </w:pPr>
            <w:r>
              <w:rPr>
                <w:sz w:val="24"/>
                <w:szCs w:val="24"/>
              </w:rPr>
              <w:lastRenderedPageBreak/>
              <w:t>DAGR p</w:t>
            </w:r>
            <w:r w:rsidR="00FD62FB" w:rsidRPr="00FD62FB">
              <w:rPr>
                <w:sz w:val="24"/>
                <w:szCs w:val="24"/>
              </w:rPr>
              <w:t>rojekta ietvaros VARAM</w:t>
            </w:r>
            <w:r w:rsidR="008D3235">
              <w:rPr>
                <w:sz w:val="24"/>
                <w:szCs w:val="24"/>
              </w:rPr>
              <w:t xml:space="preserve"> izstrādā</w:t>
            </w:r>
            <w:r w:rsidR="00FD62FB" w:rsidRPr="00FD62FB">
              <w:rPr>
                <w:sz w:val="24"/>
                <w:szCs w:val="24"/>
              </w:rPr>
              <w:t xml:space="preserve"> </w:t>
            </w:r>
            <w:r w:rsidR="0029713B" w:rsidRPr="0029713B">
              <w:rPr>
                <w:sz w:val="24"/>
                <w:szCs w:val="24"/>
              </w:rPr>
              <w:t>DAGR</w:t>
            </w:r>
            <w:r w:rsidR="008D3235">
              <w:rPr>
                <w:sz w:val="24"/>
                <w:szCs w:val="24"/>
              </w:rPr>
              <w:t>, kuru</w:t>
            </w:r>
            <w:r w:rsidR="0029713B" w:rsidRPr="0029713B">
              <w:rPr>
                <w:sz w:val="24"/>
                <w:szCs w:val="24"/>
              </w:rPr>
              <w:t xml:space="preserve"> plānots uzturēt un attīstīt kā vienu no būtiskākajiem koplietošanas risinājumiem datu pārvaldības īstenošanai valsts pārvaldē. </w:t>
            </w:r>
            <w:r w:rsidR="00C17167">
              <w:rPr>
                <w:sz w:val="24"/>
                <w:szCs w:val="24"/>
              </w:rPr>
              <w:t xml:space="preserve">Līdz ar to </w:t>
            </w:r>
            <w:r w:rsidR="00FD62FB" w:rsidRPr="00FD62FB">
              <w:rPr>
                <w:sz w:val="24"/>
                <w:szCs w:val="24"/>
              </w:rPr>
              <w:t>sākot ar 2024.gadu nepieciešams uzturēšanas finansējums</w:t>
            </w:r>
            <w:r w:rsidR="007A6377">
              <w:rPr>
                <w:sz w:val="24"/>
                <w:szCs w:val="24"/>
              </w:rPr>
              <w:t xml:space="preserve"> DAGR risinājumam.</w:t>
            </w:r>
          </w:p>
          <w:p w14:paraId="7D73D2CF" w14:textId="560BE8BD" w:rsidR="00A5550A" w:rsidRDefault="00E064AB" w:rsidP="005A57BF">
            <w:pPr>
              <w:rPr>
                <w:sz w:val="24"/>
                <w:szCs w:val="24"/>
              </w:rPr>
            </w:pPr>
            <w:r w:rsidRPr="00E064AB">
              <w:rPr>
                <w:sz w:val="24"/>
                <w:szCs w:val="24"/>
              </w:rPr>
              <w:t xml:space="preserve">Lai varētu nodrošināt </w:t>
            </w:r>
            <w:r>
              <w:rPr>
                <w:sz w:val="24"/>
                <w:szCs w:val="24"/>
              </w:rPr>
              <w:t>DAGR</w:t>
            </w:r>
            <w:r w:rsidRPr="00E064AB">
              <w:rPr>
                <w:sz w:val="24"/>
                <w:szCs w:val="24"/>
              </w:rPr>
              <w:t xml:space="preserve"> fizisko, loģisko aizsardzību, </w:t>
            </w:r>
            <w:r w:rsidR="0013504B">
              <w:rPr>
                <w:sz w:val="24"/>
                <w:szCs w:val="24"/>
              </w:rPr>
              <w:t>DAGR</w:t>
            </w:r>
            <w:r w:rsidRPr="00E064AB">
              <w:rPr>
                <w:sz w:val="24"/>
                <w:szCs w:val="24"/>
              </w:rPr>
              <w:t xml:space="preserve"> darbības monitoringu, veiktspēju, pieejamību (vismaz 9</w:t>
            </w:r>
            <w:r w:rsidR="0013504B">
              <w:rPr>
                <w:sz w:val="24"/>
                <w:szCs w:val="24"/>
              </w:rPr>
              <w:t>9</w:t>
            </w:r>
            <w:r w:rsidRPr="00E064AB">
              <w:rPr>
                <w:sz w:val="24"/>
                <w:szCs w:val="24"/>
              </w:rPr>
              <w:t xml:space="preserve">%) un integritāti definētajos rādītājos, tajā skaitā savlaicīgi veikt atklāto kļūdu (t.sk. drošības ievainojamību) novēršanu </w:t>
            </w:r>
            <w:r w:rsidR="0013504B">
              <w:rPr>
                <w:sz w:val="24"/>
                <w:szCs w:val="24"/>
              </w:rPr>
              <w:t>DAGR</w:t>
            </w:r>
            <w:r w:rsidRPr="00E064AB">
              <w:rPr>
                <w:sz w:val="24"/>
                <w:szCs w:val="24"/>
              </w:rPr>
              <w:t xml:space="preserve">, kas var izraisīt darbības, datu integritātes, drošības problēmas vai datu noplūdi, veikt izmaiņas un pilnveidojumus, kas saistīti ar lietojamības uzlabošanu, lai nodrošinātu lietotājiem ērtu risinājuma izmantošanu, vai gadījumos, kad tiek veikti grozījumi normatīvajos aktos, projekta ietvarā izstrādāto risinājumu specializētās programmatūras uzturēšanas izdevumi 2024.-2026.gadā (pēc </w:t>
            </w:r>
            <w:r w:rsidR="000947E0">
              <w:rPr>
                <w:sz w:val="24"/>
                <w:szCs w:val="24"/>
              </w:rPr>
              <w:t xml:space="preserve">DAGR </w:t>
            </w:r>
            <w:r w:rsidRPr="00E064AB">
              <w:rPr>
                <w:sz w:val="24"/>
                <w:szCs w:val="24"/>
              </w:rPr>
              <w:t>projekta pabeigšanas) no valsts budžeta līdzekļiem tiek plānoti šādā apmērā:</w:t>
            </w:r>
          </w:p>
          <w:p w14:paraId="410580E4" w14:textId="4C54CAED" w:rsidR="005D5AE1" w:rsidRDefault="00476F97" w:rsidP="005A57BF">
            <w:pPr>
              <w:rPr>
                <w:sz w:val="24"/>
                <w:szCs w:val="24"/>
              </w:rPr>
            </w:pPr>
            <w:r w:rsidRPr="00476F97">
              <w:rPr>
                <w:sz w:val="24"/>
                <w:szCs w:val="24"/>
              </w:rPr>
              <w:t xml:space="preserve">2024.gadā – 295 000 </w:t>
            </w:r>
            <w:proofErr w:type="spellStart"/>
            <w:r w:rsidRPr="00476F97">
              <w:rPr>
                <w:sz w:val="24"/>
                <w:szCs w:val="24"/>
              </w:rPr>
              <w:t>euro</w:t>
            </w:r>
            <w:proofErr w:type="spellEnd"/>
            <w:r w:rsidRPr="00476F97">
              <w:rPr>
                <w:sz w:val="24"/>
                <w:szCs w:val="24"/>
              </w:rPr>
              <w:t xml:space="preserve">, 2025.gadā – 275 000 </w:t>
            </w:r>
            <w:proofErr w:type="spellStart"/>
            <w:r w:rsidRPr="00476F97">
              <w:rPr>
                <w:sz w:val="24"/>
                <w:szCs w:val="24"/>
              </w:rPr>
              <w:t>euro</w:t>
            </w:r>
            <w:proofErr w:type="spellEnd"/>
            <w:r w:rsidRPr="00476F97">
              <w:rPr>
                <w:sz w:val="24"/>
                <w:szCs w:val="24"/>
              </w:rPr>
              <w:t xml:space="preserve">, 2026.gadā – 295 000 </w:t>
            </w:r>
            <w:proofErr w:type="spellStart"/>
            <w:r w:rsidRPr="00476F97">
              <w:rPr>
                <w:sz w:val="24"/>
                <w:szCs w:val="24"/>
              </w:rPr>
              <w:t>euro</w:t>
            </w:r>
            <w:proofErr w:type="spellEnd"/>
            <w:r w:rsidRPr="00476F97">
              <w:rPr>
                <w:sz w:val="24"/>
                <w:szCs w:val="24"/>
              </w:rPr>
              <w:t xml:space="preserve">, un turpmāk 275 000 </w:t>
            </w:r>
            <w:proofErr w:type="spellStart"/>
            <w:r w:rsidRPr="00476F97">
              <w:rPr>
                <w:sz w:val="24"/>
                <w:szCs w:val="24"/>
              </w:rPr>
              <w:t>euro</w:t>
            </w:r>
            <w:proofErr w:type="spellEnd"/>
            <w:r w:rsidRPr="00476F97">
              <w:rPr>
                <w:sz w:val="24"/>
                <w:szCs w:val="24"/>
              </w:rPr>
              <w:t xml:space="preserve"> (ik gadu). Finansējums pa gadiem atšķiras, jo katru otro gadu plānoti 20 000 </w:t>
            </w:r>
            <w:proofErr w:type="spellStart"/>
            <w:r w:rsidRPr="00476F97">
              <w:rPr>
                <w:sz w:val="24"/>
                <w:szCs w:val="24"/>
              </w:rPr>
              <w:t>euro</w:t>
            </w:r>
            <w:proofErr w:type="spellEnd"/>
            <w:r w:rsidRPr="00476F97">
              <w:rPr>
                <w:sz w:val="24"/>
                <w:szCs w:val="24"/>
              </w:rPr>
              <w:t xml:space="preserve"> drošības auditam. Uzturēšanai nepieciešamo cilvēkdienu skaits kļūdu novēršanai (</w:t>
            </w:r>
            <w:proofErr w:type="spellStart"/>
            <w:r w:rsidRPr="00476F97">
              <w:rPr>
                <w:sz w:val="24"/>
                <w:szCs w:val="24"/>
              </w:rPr>
              <w:t>pēcgarantijas</w:t>
            </w:r>
            <w:proofErr w:type="spellEnd"/>
            <w:r w:rsidRPr="00476F97">
              <w:rPr>
                <w:sz w:val="24"/>
                <w:szCs w:val="24"/>
              </w:rPr>
              <w:t xml:space="preserve"> uzturēšanas pakalpojumi), kā arī </w:t>
            </w:r>
            <w:r w:rsidR="00B341CA">
              <w:rPr>
                <w:sz w:val="24"/>
                <w:szCs w:val="24"/>
              </w:rPr>
              <w:t>DAGR</w:t>
            </w:r>
            <w:r w:rsidRPr="00476F97">
              <w:rPr>
                <w:sz w:val="24"/>
                <w:szCs w:val="24"/>
              </w:rPr>
              <w:t xml:space="preserve"> pielāgošanas pakalpojumiem sasniegs līdz 648 stundām gadā.</w:t>
            </w:r>
          </w:p>
          <w:p w14:paraId="6BF9C9AD" w14:textId="6E224A39" w:rsidR="00D11AB0" w:rsidRDefault="00D11AB0" w:rsidP="005A57BF">
            <w:pPr>
              <w:rPr>
                <w:sz w:val="24"/>
                <w:szCs w:val="24"/>
              </w:rPr>
            </w:pPr>
            <w:r w:rsidRPr="00D11AB0">
              <w:rPr>
                <w:sz w:val="24"/>
                <w:szCs w:val="24"/>
              </w:rPr>
              <w:lastRenderedPageBreak/>
              <w:t xml:space="preserve">Uzturēšanai nepieciešamo cilvēkdienu skaits un cilvēkdienas izmaksas noteiktas, pamatojoties uz VARAM resora ekspertu viedokli un līdzšinējo pieredzi līdzīgos iepirkumos. Iepirkumos par līdzīgiem programmēšanas darbiem pretendentu iesniegtajos piedāvājumos vienas cilvēkdienas cena ir aptuveni 545 </w:t>
            </w:r>
            <w:proofErr w:type="spellStart"/>
            <w:r w:rsidRPr="00D11AB0">
              <w:rPr>
                <w:sz w:val="24"/>
                <w:szCs w:val="24"/>
              </w:rPr>
              <w:t>euro</w:t>
            </w:r>
            <w:proofErr w:type="spellEnd"/>
            <w:r w:rsidRPr="00D11AB0">
              <w:rPr>
                <w:sz w:val="24"/>
                <w:szCs w:val="24"/>
              </w:rPr>
              <w:t xml:space="preserve">/dienā ar PVN. Ņemot vērā to, ka daudzi ERAF projekti IKT jomā tiks īstenoti vienlaicīgi, var prognozēt, ka drīzumā būs novērojama ievērojama IT industrijas noslodze un atbilstošu IT cilvēkresursu trūkums, kas var izraisīt vēl straujāku cilvēkdienas izmaksu kāpumu, līdz ar to aprēķinos tiek pieņemta cilvēkdienas cena 580 </w:t>
            </w:r>
            <w:proofErr w:type="spellStart"/>
            <w:r w:rsidRPr="00D11AB0">
              <w:rPr>
                <w:sz w:val="24"/>
                <w:szCs w:val="24"/>
              </w:rPr>
              <w:t>euro</w:t>
            </w:r>
            <w:proofErr w:type="spellEnd"/>
            <w:r w:rsidRPr="00D11AB0">
              <w:rPr>
                <w:sz w:val="24"/>
                <w:szCs w:val="24"/>
              </w:rPr>
              <w:t>/dienā ar PVN.</w:t>
            </w:r>
          </w:p>
          <w:p w14:paraId="651A81D7" w14:textId="77777777" w:rsidR="004E3A9C" w:rsidRPr="004E3A9C" w:rsidRDefault="004E3A9C" w:rsidP="004E3A9C">
            <w:pPr>
              <w:rPr>
                <w:sz w:val="24"/>
                <w:szCs w:val="24"/>
              </w:rPr>
            </w:pPr>
            <w:r w:rsidRPr="004E3A9C">
              <w:rPr>
                <w:sz w:val="24"/>
                <w:szCs w:val="24"/>
              </w:rPr>
              <w:t>Uzturēšanai nepieciešamo cilvēkdienu skaits un cilvēkdienas izmaksas attiecas gan uz 2000 EKK, gan 5000 EKK aprēķiniem.</w:t>
            </w:r>
          </w:p>
          <w:p w14:paraId="44F4087F" w14:textId="77777777" w:rsidR="004E3A9C" w:rsidRPr="004E3A9C" w:rsidRDefault="004E3A9C" w:rsidP="004E3A9C">
            <w:pPr>
              <w:rPr>
                <w:sz w:val="24"/>
                <w:szCs w:val="24"/>
              </w:rPr>
            </w:pPr>
            <w:r w:rsidRPr="004E3A9C">
              <w:rPr>
                <w:sz w:val="24"/>
                <w:szCs w:val="24"/>
              </w:rPr>
              <w:t>Uzturēšanas izmaksas aprēķinātas, pieņemot, ka precēm un pakalpojumiem tiek atvēlēti 25-30% no kopējām uzturēšanas izmaksām, un pamatkapitālam atbilstoši 70%-75%. Uzturēšanai nepieciešamo cilvēkdienu skaits, cilvēkdienas izmaksas un sadalījums detalizētās pozīcijās noteikts, pamatojoties uz VARAM resora līdzšinējo pieredzi IKT risinājumu uzturēšanā, kā arī uz faktu, ka sistēmas attīstības darbu (pamatkapitāla izdevumi) cilvēkstundu likmes ir augstākas nekā likmes risinājuma kļūdu novēršanai (preču un pakalpojumu izdevumi).</w:t>
            </w:r>
          </w:p>
          <w:p w14:paraId="60F6BF7C" w14:textId="77777777" w:rsidR="004E3A9C" w:rsidRPr="004E3A9C" w:rsidRDefault="004E3A9C" w:rsidP="004E3A9C">
            <w:pPr>
              <w:rPr>
                <w:sz w:val="24"/>
                <w:szCs w:val="24"/>
              </w:rPr>
            </w:pPr>
            <w:r w:rsidRPr="004E3A9C">
              <w:rPr>
                <w:sz w:val="24"/>
                <w:szCs w:val="24"/>
              </w:rPr>
              <w:t xml:space="preserve">Pamatkapitāla izmaksās ņemti vērā tādi izdevumi kā risinājuma tehnoloģiskā attīstība risinājuma funkcionālo spēju un drošības saglabāšanai, risinājuma pielāgojumi lietotāju produktīvākam darbam ar sistēmu (lietojamības vajadzībām),  kā arī nelieliem (līdz darbietilpībai ar dažām cilvēkdienām) uzlabojumiem sistēmas atbilstības izmaiņām normatīvajā regulējumā nodrošināšanai. </w:t>
            </w:r>
          </w:p>
          <w:p w14:paraId="751CDF98" w14:textId="77777777" w:rsidR="004E3A9C" w:rsidRPr="004E3A9C" w:rsidRDefault="004E3A9C" w:rsidP="004E3A9C">
            <w:pPr>
              <w:rPr>
                <w:sz w:val="24"/>
                <w:szCs w:val="24"/>
              </w:rPr>
            </w:pPr>
            <w:r w:rsidRPr="004E3A9C">
              <w:rPr>
                <w:sz w:val="24"/>
                <w:szCs w:val="24"/>
              </w:rPr>
              <w:t>Savukārt preču un pakalpojumu izmaksas ietver izdevumus sistēmas kļūdu novēršanai, sistēmas konfigurēšanai, administrēšanai un konsultācijām par sistēmas tehniskajiem jautājumiem, un ir iekļautas izmaksu kodā 2000 EKK.</w:t>
            </w:r>
          </w:p>
          <w:p w14:paraId="34865E73" w14:textId="44B8408B" w:rsidR="004E3A9C" w:rsidRDefault="004E3A9C" w:rsidP="004E3A9C">
            <w:pPr>
              <w:rPr>
                <w:sz w:val="24"/>
                <w:szCs w:val="24"/>
              </w:rPr>
            </w:pPr>
            <w:r w:rsidRPr="004E3A9C">
              <w:rPr>
                <w:sz w:val="24"/>
                <w:szCs w:val="24"/>
              </w:rPr>
              <w:t>Plānojot sistēmu uzturēšanas izdevumus, VARAM uzskata par lietderīgu ievērot sistēmu uzturēšanas principus, kas ir norādīti informatīvā ziņojuma „Par Eiropas Savienības politiku instrumentu un pārējo ārvalstu finanšu palīdzības līdzekļu ietvaros izveidoto informācijas un komunikācijas tehnoloģiju sistēmu uzturēšanai nepieciešamo valsts budžeta finansējumu 2017.-2019.gadam” (izskatīts MK  2016.gada 18.augusta ārkārtas sēdē (prot. Nr.41, 2.§), kā arī precizēts atbilstoši šajā MK sēdē nolemtajam) 1.pielikumā „Sistēmu uzturēšanas principi”</w:t>
            </w:r>
            <w:r w:rsidR="00BA56E8">
              <w:rPr>
                <w:sz w:val="24"/>
                <w:szCs w:val="24"/>
              </w:rPr>
              <w:t>.</w:t>
            </w:r>
          </w:p>
          <w:p w14:paraId="1899F788" w14:textId="6928A6BE" w:rsidR="00DA2440" w:rsidRPr="00FD62FB" w:rsidRDefault="00DA2440" w:rsidP="005A57BF">
            <w:pPr>
              <w:rPr>
                <w:sz w:val="24"/>
                <w:szCs w:val="24"/>
              </w:rPr>
            </w:pPr>
            <w:r>
              <w:rPr>
                <w:sz w:val="24"/>
                <w:szCs w:val="24"/>
              </w:rPr>
              <w:t xml:space="preserve">Iepriekš minētie </w:t>
            </w:r>
            <w:r w:rsidR="004D4463">
              <w:rPr>
                <w:sz w:val="24"/>
                <w:szCs w:val="24"/>
              </w:rPr>
              <w:t xml:space="preserve">DAGR specializētās programmatūras uzturēšanas izdevumi ir apstiprināti </w:t>
            </w:r>
            <w:r w:rsidR="005D4225">
              <w:rPr>
                <w:sz w:val="24"/>
                <w:szCs w:val="24"/>
              </w:rPr>
              <w:t xml:space="preserve">ar </w:t>
            </w:r>
            <w:r w:rsidR="005D4225" w:rsidRPr="005D4225">
              <w:rPr>
                <w:sz w:val="24"/>
                <w:szCs w:val="24"/>
              </w:rPr>
              <w:t>DAGR projekta rīkojum</w:t>
            </w:r>
            <w:r w:rsidR="005D4225">
              <w:rPr>
                <w:sz w:val="24"/>
                <w:szCs w:val="24"/>
              </w:rPr>
              <w:t>u.</w:t>
            </w:r>
          </w:p>
          <w:p w14:paraId="1CE90245" w14:textId="7981C8D2" w:rsidR="00F65CC2" w:rsidRDefault="00027767" w:rsidP="000B240B">
            <w:pPr>
              <w:rPr>
                <w:sz w:val="24"/>
                <w:szCs w:val="24"/>
              </w:rPr>
            </w:pPr>
            <w:r>
              <w:rPr>
                <w:sz w:val="24"/>
                <w:szCs w:val="24"/>
              </w:rPr>
              <w:t>Papildus būs nepiecieš</w:t>
            </w:r>
            <w:r w:rsidR="000B3B1B">
              <w:rPr>
                <w:sz w:val="24"/>
                <w:szCs w:val="24"/>
              </w:rPr>
              <w:t xml:space="preserve">ams finansējums VRAA 7 amata vietām, lai </w:t>
            </w:r>
            <w:r w:rsidR="00934F9F" w:rsidRPr="00934F9F">
              <w:rPr>
                <w:sz w:val="24"/>
                <w:szCs w:val="24"/>
              </w:rPr>
              <w:t>nodrošināt</w:t>
            </w:r>
            <w:r w:rsidR="00584C34">
              <w:rPr>
                <w:sz w:val="24"/>
                <w:szCs w:val="24"/>
              </w:rPr>
              <w:t>u ne tikai DAGR specializētās programmatūras uzturēšanu, bet</w:t>
            </w:r>
            <w:r w:rsidR="00934F9F" w:rsidRPr="00934F9F">
              <w:rPr>
                <w:sz w:val="24"/>
                <w:szCs w:val="24"/>
              </w:rPr>
              <w:t xml:space="preserve"> arī</w:t>
            </w:r>
            <w:r w:rsidR="00584C34">
              <w:rPr>
                <w:sz w:val="24"/>
                <w:szCs w:val="24"/>
              </w:rPr>
              <w:t xml:space="preserve"> nodrošinātu</w:t>
            </w:r>
            <w:r w:rsidR="00934F9F" w:rsidRPr="00934F9F">
              <w:rPr>
                <w:sz w:val="24"/>
                <w:szCs w:val="24"/>
              </w:rPr>
              <w:t xml:space="preserve"> DAGR iekļauto datu pārvaldības īstenošanu</w:t>
            </w:r>
            <w:r w:rsidR="00584C34">
              <w:rPr>
                <w:sz w:val="24"/>
                <w:szCs w:val="24"/>
              </w:rPr>
              <w:t>.</w:t>
            </w:r>
            <w:r w:rsidR="00B824F8">
              <w:rPr>
                <w:sz w:val="24"/>
                <w:szCs w:val="24"/>
              </w:rPr>
              <w:t xml:space="preserve"> </w:t>
            </w:r>
            <w:r w:rsidR="0001714C">
              <w:rPr>
                <w:sz w:val="24"/>
                <w:szCs w:val="24"/>
              </w:rPr>
              <w:t xml:space="preserve">Finansējums minētajām amata vietām no </w:t>
            </w:r>
            <w:r w:rsidR="00B824F8" w:rsidRPr="00B824F8">
              <w:rPr>
                <w:sz w:val="24"/>
                <w:szCs w:val="24"/>
              </w:rPr>
              <w:t>valsts budžeta līdzekļiem tiek plānoti šādā apmērā:</w:t>
            </w:r>
          </w:p>
          <w:p w14:paraId="1F076F82" w14:textId="77777777" w:rsidR="005A57BF" w:rsidRDefault="0001714C" w:rsidP="000B240B">
            <w:pPr>
              <w:rPr>
                <w:sz w:val="24"/>
                <w:szCs w:val="24"/>
              </w:rPr>
            </w:pPr>
            <w:r w:rsidRPr="00476F97">
              <w:rPr>
                <w:sz w:val="24"/>
                <w:szCs w:val="24"/>
              </w:rPr>
              <w:t xml:space="preserve">2024.gadā – </w:t>
            </w:r>
            <w:r w:rsidR="003A62FD" w:rsidRPr="003A62FD">
              <w:rPr>
                <w:sz w:val="24"/>
                <w:szCs w:val="24"/>
              </w:rPr>
              <w:t>526</w:t>
            </w:r>
            <w:r w:rsidR="003A62FD">
              <w:rPr>
                <w:sz w:val="24"/>
                <w:szCs w:val="24"/>
              </w:rPr>
              <w:t> </w:t>
            </w:r>
            <w:r w:rsidR="003A62FD" w:rsidRPr="003A62FD">
              <w:rPr>
                <w:sz w:val="24"/>
                <w:szCs w:val="24"/>
              </w:rPr>
              <w:t>956</w:t>
            </w:r>
            <w:r w:rsidR="003A62FD">
              <w:rPr>
                <w:sz w:val="24"/>
                <w:szCs w:val="24"/>
              </w:rPr>
              <w:t xml:space="preserve"> </w:t>
            </w:r>
            <w:proofErr w:type="spellStart"/>
            <w:r w:rsidRPr="00476F97">
              <w:rPr>
                <w:sz w:val="24"/>
                <w:szCs w:val="24"/>
              </w:rPr>
              <w:t>euro</w:t>
            </w:r>
            <w:proofErr w:type="spellEnd"/>
            <w:r w:rsidRPr="00476F97">
              <w:rPr>
                <w:sz w:val="24"/>
                <w:szCs w:val="24"/>
              </w:rPr>
              <w:t xml:space="preserve">, 2025.gadā – </w:t>
            </w:r>
            <w:r w:rsidR="00CD1775" w:rsidRPr="00CD1775">
              <w:rPr>
                <w:sz w:val="24"/>
                <w:szCs w:val="24"/>
              </w:rPr>
              <w:t>496</w:t>
            </w:r>
            <w:r w:rsidR="00CD1775">
              <w:rPr>
                <w:sz w:val="24"/>
                <w:szCs w:val="24"/>
              </w:rPr>
              <w:t> </w:t>
            </w:r>
            <w:r w:rsidR="00CD1775" w:rsidRPr="00CD1775">
              <w:rPr>
                <w:sz w:val="24"/>
                <w:szCs w:val="24"/>
              </w:rPr>
              <w:t>058</w:t>
            </w:r>
            <w:r w:rsidR="00CD1775">
              <w:rPr>
                <w:sz w:val="24"/>
                <w:szCs w:val="24"/>
              </w:rPr>
              <w:t xml:space="preserve"> </w:t>
            </w:r>
            <w:proofErr w:type="spellStart"/>
            <w:r w:rsidRPr="00476F97">
              <w:rPr>
                <w:sz w:val="24"/>
                <w:szCs w:val="24"/>
              </w:rPr>
              <w:t>euro</w:t>
            </w:r>
            <w:proofErr w:type="spellEnd"/>
            <w:r w:rsidRPr="00476F97">
              <w:rPr>
                <w:sz w:val="24"/>
                <w:szCs w:val="24"/>
              </w:rPr>
              <w:t xml:space="preserve">, 2026.gadā – </w:t>
            </w:r>
            <w:r w:rsidR="00CD1775" w:rsidRPr="00CD1775">
              <w:rPr>
                <w:sz w:val="24"/>
                <w:szCs w:val="24"/>
              </w:rPr>
              <w:t>496</w:t>
            </w:r>
            <w:r w:rsidR="00CD1775">
              <w:rPr>
                <w:sz w:val="24"/>
                <w:szCs w:val="24"/>
              </w:rPr>
              <w:t> </w:t>
            </w:r>
            <w:r w:rsidR="00CD1775" w:rsidRPr="00CD1775">
              <w:rPr>
                <w:sz w:val="24"/>
                <w:szCs w:val="24"/>
              </w:rPr>
              <w:t>058</w:t>
            </w:r>
            <w:r w:rsidR="00CD1775">
              <w:rPr>
                <w:sz w:val="24"/>
                <w:szCs w:val="24"/>
              </w:rPr>
              <w:t xml:space="preserve"> </w:t>
            </w:r>
            <w:proofErr w:type="spellStart"/>
            <w:r w:rsidRPr="00476F97">
              <w:rPr>
                <w:sz w:val="24"/>
                <w:szCs w:val="24"/>
              </w:rPr>
              <w:t>euro</w:t>
            </w:r>
            <w:proofErr w:type="spellEnd"/>
            <w:r w:rsidRPr="00476F97">
              <w:rPr>
                <w:sz w:val="24"/>
                <w:szCs w:val="24"/>
              </w:rPr>
              <w:t xml:space="preserve">, un turpmāk </w:t>
            </w:r>
            <w:r w:rsidR="00CD1775" w:rsidRPr="00CD1775">
              <w:rPr>
                <w:sz w:val="24"/>
                <w:szCs w:val="24"/>
              </w:rPr>
              <w:t>496</w:t>
            </w:r>
            <w:r w:rsidR="00CD1775">
              <w:rPr>
                <w:sz w:val="24"/>
                <w:szCs w:val="24"/>
              </w:rPr>
              <w:t> </w:t>
            </w:r>
            <w:r w:rsidR="00CD1775" w:rsidRPr="00CD1775">
              <w:rPr>
                <w:sz w:val="24"/>
                <w:szCs w:val="24"/>
              </w:rPr>
              <w:t>058</w:t>
            </w:r>
            <w:r w:rsidR="00CD1775">
              <w:rPr>
                <w:sz w:val="24"/>
                <w:szCs w:val="24"/>
              </w:rPr>
              <w:t xml:space="preserve"> </w:t>
            </w:r>
            <w:proofErr w:type="spellStart"/>
            <w:r w:rsidRPr="00476F97">
              <w:rPr>
                <w:sz w:val="24"/>
                <w:szCs w:val="24"/>
              </w:rPr>
              <w:t>euro</w:t>
            </w:r>
            <w:proofErr w:type="spellEnd"/>
            <w:r w:rsidRPr="00476F97">
              <w:rPr>
                <w:sz w:val="24"/>
                <w:szCs w:val="24"/>
              </w:rPr>
              <w:t xml:space="preserve"> (ik gadu).</w:t>
            </w:r>
          </w:p>
          <w:p w14:paraId="21C966AD" w14:textId="432E3652" w:rsidR="00A21899" w:rsidRPr="00113870" w:rsidRDefault="00A21899" w:rsidP="000B240B">
            <w:pPr>
              <w:rPr>
                <w:i/>
                <w:iCs/>
                <w:sz w:val="24"/>
                <w:szCs w:val="24"/>
              </w:rPr>
            </w:pPr>
          </w:p>
        </w:tc>
      </w:tr>
      <w:tr w:rsidR="004F33B0" w14:paraId="535FA965" w14:textId="77777777" w:rsidTr="000B240B">
        <w:tc>
          <w:tcPr>
            <w:tcW w:w="1205" w:type="dxa"/>
            <w:shd w:val="clear" w:color="auto" w:fill="FFFFFF"/>
            <w:noWrap/>
            <w:tcMar>
              <w:top w:w="75" w:type="dxa"/>
              <w:left w:w="75" w:type="dxa"/>
              <w:bottom w:w="75" w:type="dxa"/>
              <w:right w:w="75" w:type="dxa"/>
            </w:tcMar>
            <w:vAlign w:val="center"/>
          </w:tcPr>
          <w:p w14:paraId="053698FE" w14:textId="77777777" w:rsidR="004F33B0" w:rsidRDefault="004F33B0" w:rsidP="000B240B">
            <w:pPr>
              <w:rPr>
                <w:sz w:val="24"/>
              </w:rPr>
            </w:pPr>
            <w:r>
              <w:rPr>
                <w:sz w:val="24"/>
              </w:rPr>
              <w:lastRenderedPageBreak/>
              <w:t>6.1. detalizēts ieņēmumu aprēķins</w:t>
            </w:r>
          </w:p>
        </w:tc>
        <w:tc>
          <w:tcPr>
            <w:tcW w:w="8435" w:type="dxa"/>
            <w:gridSpan w:val="7"/>
            <w:shd w:val="clear" w:color="auto" w:fill="FFFFFF"/>
            <w:noWrap/>
            <w:tcMar>
              <w:top w:w="75" w:type="dxa"/>
              <w:left w:w="75" w:type="dxa"/>
              <w:bottom w:w="75" w:type="dxa"/>
              <w:right w:w="75" w:type="dxa"/>
            </w:tcMar>
            <w:vAlign w:val="center"/>
          </w:tcPr>
          <w:p w14:paraId="1A97FA07" w14:textId="77777777" w:rsidR="004F33B0" w:rsidRDefault="004F33B0" w:rsidP="000B240B">
            <w:r>
              <w:rPr>
                <w:sz w:val="24"/>
              </w:rPr>
              <w:t>-</w:t>
            </w:r>
          </w:p>
        </w:tc>
      </w:tr>
      <w:tr w:rsidR="004F33B0" w14:paraId="3C3FBCF6" w14:textId="77777777" w:rsidTr="000B240B">
        <w:tc>
          <w:tcPr>
            <w:tcW w:w="1205" w:type="dxa"/>
            <w:shd w:val="clear" w:color="auto" w:fill="FFFFFF"/>
            <w:noWrap/>
            <w:tcMar>
              <w:top w:w="75" w:type="dxa"/>
              <w:left w:w="75" w:type="dxa"/>
              <w:bottom w:w="75" w:type="dxa"/>
              <w:right w:w="75" w:type="dxa"/>
            </w:tcMar>
            <w:vAlign w:val="center"/>
          </w:tcPr>
          <w:p w14:paraId="17F27324" w14:textId="77777777" w:rsidR="004F33B0" w:rsidRDefault="004F33B0" w:rsidP="000B240B">
            <w:pPr>
              <w:rPr>
                <w:sz w:val="24"/>
              </w:rPr>
            </w:pPr>
            <w:r>
              <w:rPr>
                <w:sz w:val="24"/>
              </w:rPr>
              <w:t>6.2. detalizēts izdevumu aprēķins</w:t>
            </w:r>
          </w:p>
        </w:tc>
        <w:tc>
          <w:tcPr>
            <w:tcW w:w="8435" w:type="dxa"/>
            <w:gridSpan w:val="7"/>
            <w:shd w:val="clear" w:color="auto" w:fill="FFFFFF"/>
            <w:noWrap/>
            <w:tcMar>
              <w:top w:w="75" w:type="dxa"/>
              <w:left w:w="75" w:type="dxa"/>
              <w:bottom w:w="75" w:type="dxa"/>
              <w:right w:w="75" w:type="dxa"/>
            </w:tcMar>
            <w:vAlign w:val="center"/>
          </w:tcPr>
          <w:p w14:paraId="117C930C" w14:textId="2026920F" w:rsidR="004F33B0" w:rsidRDefault="008D3347" w:rsidP="000B240B">
            <w:pPr>
              <w:rPr>
                <w:sz w:val="24"/>
              </w:rPr>
            </w:pPr>
            <w:r>
              <w:rPr>
                <w:sz w:val="24"/>
              </w:rPr>
              <w:t>Attiecībā uz DAGR specializētās programmatūras uzturēšanu:</w:t>
            </w:r>
          </w:p>
          <w:p w14:paraId="02BE1415" w14:textId="77777777" w:rsidR="00984F13" w:rsidRDefault="00984F13" w:rsidP="000B240B">
            <w:pPr>
              <w:rPr>
                <w:sz w:val="24"/>
              </w:rPr>
            </w:pPr>
          </w:p>
          <w:tbl>
            <w:tblPr>
              <w:tblStyle w:val="TableGrid"/>
              <w:tblW w:w="7201" w:type="dxa"/>
              <w:tblInd w:w="0" w:type="dxa"/>
              <w:tblLayout w:type="fixed"/>
              <w:tblLook w:val="04A0" w:firstRow="1" w:lastRow="0" w:firstColumn="1" w:lastColumn="0" w:noHBand="0" w:noVBand="1"/>
            </w:tblPr>
            <w:tblGrid>
              <w:gridCol w:w="3178"/>
              <w:gridCol w:w="815"/>
              <w:gridCol w:w="1069"/>
              <w:gridCol w:w="1069"/>
              <w:gridCol w:w="1070"/>
            </w:tblGrid>
            <w:tr w:rsidR="00984F13" w14:paraId="533CE503" w14:textId="77777777" w:rsidTr="000B240B">
              <w:trPr>
                <w:tblHeader/>
              </w:trPr>
              <w:tc>
                <w:tcPr>
                  <w:tcW w:w="3178" w:type="dxa"/>
                </w:tcPr>
                <w:p w14:paraId="2B3BB7AE" w14:textId="2CE10F5F" w:rsidR="00984F13" w:rsidRPr="00340921" w:rsidRDefault="00984F13" w:rsidP="00984F13">
                  <w:pPr>
                    <w:keepNext/>
                    <w:jc w:val="center"/>
                    <w:rPr>
                      <w:rFonts w:ascii="Times New Roman" w:hAnsi="Times New Roman"/>
                      <w:b/>
                      <w:bCs/>
                      <w:sz w:val="24"/>
                      <w:szCs w:val="24"/>
                    </w:rPr>
                  </w:pPr>
                  <w:r w:rsidRPr="6B554ED8">
                    <w:rPr>
                      <w:rFonts w:ascii="Times New Roman" w:hAnsi="Times New Roman"/>
                      <w:sz w:val="24"/>
                      <w:szCs w:val="24"/>
                    </w:rPr>
                    <w:br w:type="page"/>
                  </w:r>
                  <w:r>
                    <w:rPr>
                      <w:rFonts w:ascii="Times New Roman" w:hAnsi="Times New Roman"/>
                      <w:b/>
                      <w:bCs/>
                      <w:sz w:val="24"/>
                      <w:szCs w:val="24"/>
                    </w:rPr>
                    <w:t>Izdevumu pozīcijas</w:t>
                  </w:r>
                </w:p>
              </w:tc>
              <w:tc>
                <w:tcPr>
                  <w:tcW w:w="815" w:type="dxa"/>
                </w:tcPr>
                <w:p w14:paraId="2D0255EB" w14:textId="51176948" w:rsidR="00984F13" w:rsidRPr="007F0F8C" w:rsidRDefault="00984F13" w:rsidP="00984F13">
                  <w:pPr>
                    <w:jc w:val="center"/>
                    <w:rPr>
                      <w:rFonts w:ascii="Times New Roman" w:hAnsi="Times New Roman"/>
                      <w:b/>
                      <w:bCs/>
                    </w:rPr>
                  </w:pPr>
                  <w:r w:rsidRPr="6B554ED8">
                    <w:rPr>
                      <w:rFonts w:ascii="Times New Roman" w:hAnsi="Times New Roman"/>
                      <w:b/>
                      <w:bCs/>
                    </w:rPr>
                    <w:t>EKK</w:t>
                  </w:r>
                </w:p>
              </w:tc>
              <w:tc>
                <w:tcPr>
                  <w:tcW w:w="1069" w:type="dxa"/>
                </w:tcPr>
                <w:p w14:paraId="4DA6EBB1" w14:textId="77777777" w:rsidR="00984F13" w:rsidRPr="00340921" w:rsidRDefault="00984F13" w:rsidP="00984F13">
                  <w:pPr>
                    <w:jc w:val="center"/>
                    <w:rPr>
                      <w:rFonts w:ascii="Times New Roman" w:hAnsi="Times New Roman"/>
                      <w:b/>
                      <w:bCs/>
                      <w:sz w:val="24"/>
                      <w:szCs w:val="24"/>
                    </w:rPr>
                  </w:pPr>
                  <w:r>
                    <w:rPr>
                      <w:rFonts w:ascii="Times New Roman" w:hAnsi="Times New Roman"/>
                      <w:b/>
                      <w:bCs/>
                      <w:sz w:val="24"/>
                      <w:szCs w:val="24"/>
                    </w:rPr>
                    <w:t>2024</w:t>
                  </w:r>
                  <w:r w:rsidRPr="6B554ED8">
                    <w:rPr>
                      <w:rFonts w:ascii="Times New Roman" w:hAnsi="Times New Roman"/>
                      <w:b/>
                      <w:bCs/>
                      <w:sz w:val="24"/>
                      <w:szCs w:val="24"/>
                    </w:rPr>
                    <w:t>.</w:t>
                  </w:r>
                </w:p>
              </w:tc>
              <w:tc>
                <w:tcPr>
                  <w:tcW w:w="1069" w:type="dxa"/>
                </w:tcPr>
                <w:p w14:paraId="17ACBE8B" w14:textId="77777777" w:rsidR="00984F13" w:rsidRPr="00340921" w:rsidRDefault="00984F13" w:rsidP="00984F13">
                  <w:pPr>
                    <w:jc w:val="center"/>
                    <w:rPr>
                      <w:rFonts w:ascii="Times New Roman" w:hAnsi="Times New Roman"/>
                      <w:b/>
                      <w:bCs/>
                      <w:sz w:val="24"/>
                      <w:szCs w:val="24"/>
                    </w:rPr>
                  </w:pPr>
                  <w:r>
                    <w:rPr>
                      <w:rFonts w:ascii="Times New Roman" w:hAnsi="Times New Roman"/>
                      <w:b/>
                      <w:bCs/>
                      <w:sz w:val="24"/>
                      <w:szCs w:val="24"/>
                    </w:rPr>
                    <w:t>2025</w:t>
                  </w:r>
                  <w:r w:rsidRPr="6B554ED8">
                    <w:rPr>
                      <w:rFonts w:ascii="Times New Roman" w:hAnsi="Times New Roman"/>
                      <w:b/>
                      <w:bCs/>
                      <w:sz w:val="24"/>
                      <w:szCs w:val="24"/>
                    </w:rPr>
                    <w:t>.</w:t>
                  </w:r>
                </w:p>
              </w:tc>
              <w:tc>
                <w:tcPr>
                  <w:tcW w:w="1070" w:type="dxa"/>
                </w:tcPr>
                <w:p w14:paraId="59169AC9" w14:textId="77777777" w:rsidR="00984F13" w:rsidRPr="00340921" w:rsidRDefault="00984F13" w:rsidP="00984F13">
                  <w:pPr>
                    <w:jc w:val="center"/>
                    <w:rPr>
                      <w:rFonts w:ascii="Times New Roman" w:hAnsi="Times New Roman"/>
                      <w:b/>
                      <w:bCs/>
                      <w:sz w:val="24"/>
                      <w:szCs w:val="24"/>
                    </w:rPr>
                  </w:pPr>
                  <w:r>
                    <w:rPr>
                      <w:rFonts w:ascii="Times New Roman" w:hAnsi="Times New Roman"/>
                      <w:b/>
                      <w:bCs/>
                      <w:sz w:val="24"/>
                      <w:szCs w:val="24"/>
                    </w:rPr>
                    <w:t>2026</w:t>
                  </w:r>
                  <w:r w:rsidRPr="6B554ED8">
                    <w:rPr>
                      <w:rFonts w:ascii="Times New Roman" w:hAnsi="Times New Roman"/>
                      <w:b/>
                      <w:bCs/>
                      <w:sz w:val="24"/>
                      <w:szCs w:val="24"/>
                    </w:rPr>
                    <w:t>.</w:t>
                  </w:r>
                </w:p>
              </w:tc>
            </w:tr>
            <w:tr w:rsidR="00984F13" w14:paraId="1F950BA1" w14:textId="77777777" w:rsidTr="000B240B">
              <w:tc>
                <w:tcPr>
                  <w:tcW w:w="3178" w:type="dxa"/>
                </w:tcPr>
                <w:p w14:paraId="622A95AE" w14:textId="77777777" w:rsidR="00984F13" w:rsidRPr="00340921" w:rsidRDefault="00984F13" w:rsidP="00984F13">
                  <w:pPr>
                    <w:keepNext/>
                    <w:rPr>
                      <w:rFonts w:ascii="Times New Roman" w:hAnsi="Times New Roman"/>
                      <w:sz w:val="24"/>
                      <w:szCs w:val="24"/>
                    </w:rPr>
                  </w:pPr>
                  <w:r w:rsidRPr="6B554ED8">
                    <w:rPr>
                      <w:rFonts w:ascii="Times New Roman" w:hAnsi="Times New Roman"/>
                      <w:sz w:val="24"/>
                      <w:szCs w:val="24"/>
                    </w:rPr>
                    <w:t>Standartizētā programmatūra</w:t>
                  </w:r>
                </w:p>
              </w:tc>
              <w:tc>
                <w:tcPr>
                  <w:tcW w:w="815" w:type="dxa"/>
                </w:tcPr>
                <w:p w14:paraId="16BD1C24" w14:textId="77777777" w:rsidR="00984F13" w:rsidRPr="007F0F8C" w:rsidRDefault="00984F13" w:rsidP="00984F13">
                  <w:pPr>
                    <w:jc w:val="center"/>
                    <w:rPr>
                      <w:rFonts w:ascii="Times New Roman" w:hAnsi="Times New Roman"/>
                      <w:color w:val="000000"/>
                    </w:rPr>
                  </w:pPr>
                </w:p>
              </w:tc>
              <w:tc>
                <w:tcPr>
                  <w:tcW w:w="1069" w:type="dxa"/>
                </w:tcPr>
                <w:p w14:paraId="6FED4214" w14:textId="77777777" w:rsidR="00984F13" w:rsidRPr="00340921" w:rsidRDefault="00984F13" w:rsidP="00984F13">
                  <w:pPr>
                    <w:jc w:val="right"/>
                    <w:rPr>
                      <w:rFonts w:ascii="Times New Roman" w:hAnsi="Times New Roman"/>
                      <w:color w:val="000000"/>
                      <w:sz w:val="24"/>
                      <w:szCs w:val="24"/>
                    </w:rPr>
                  </w:pPr>
                  <w:r w:rsidRPr="6B554ED8">
                    <w:rPr>
                      <w:rFonts w:ascii="Times New Roman" w:hAnsi="Times New Roman"/>
                      <w:color w:val="000000" w:themeColor="text1"/>
                      <w:sz w:val="24"/>
                      <w:szCs w:val="24"/>
                    </w:rPr>
                    <w:t>0</w:t>
                  </w:r>
                </w:p>
              </w:tc>
              <w:tc>
                <w:tcPr>
                  <w:tcW w:w="1069" w:type="dxa"/>
                </w:tcPr>
                <w:p w14:paraId="7C0CF186" w14:textId="77777777" w:rsidR="00984F13" w:rsidRPr="00340921" w:rsidRDefault="00984F13" w:rsidP="00984F13">
                  <w:pPr>
                    <w:jc w:val="right"/>
                    <w:rPr>
                      <w:rFonts w:ascii="Times New Roman" w:hAnsi="Times New Roman"/>
                      <w:color w:val="000000"/>
                      <w:sz w:val="24"/>
                      <w:szCs w:val="24"/>
                    </w:rPr>
                  </w:pPr>
                  <w:r w:rsidRPr="6B554ED8">
                    <w:rPr>
                      <w:rFonts w:ascii="Times New Roman" w:hAnsi="Times New Roman"/>
                      <w:color w:val="000000" w:themeColor="text1"/>
                      <w:sz w:val="24"/>
                      <w:szCs w:val="24"/>
                    </w:rPr>
                    <w:t>0</w:t>
                  </w:r>
                </w:p>
              </w:tc>
              <w:tc>
                <w:tcPr>
                  <w:tcW w:w="1070" w:type="dxa"/>
                </w:tcPr>
                <w:p w14:paraId="179A900D" w14:textId="77777777" w:rsidR="00984F13" w:rsidRPr="00340921" w:rsidRDefault="00984F13" w:rsidP="00984F13">
                  <w:pPr>
                    <w:jc w:val="right"/>
                    <w:rPr>
                      <w:rFonts w:ascii="Times New Roman" w:hAnsi="Times New Roman"/>
                      <w:color w:val="000000"/>
                      <w:sz w:val="24"/>
                      <w:szCs w:val="24"/>
                    </w:rPr>
                  </w:pPr>
                  <w:r w:rsidRPr="6B554ED8">
                    <w:rPr>
                      <w:rFonts w:ascii="Times New Roman" w:hAnsi="Times New Roman"/>
                      <w:color w:val="000000" w:themeColor="text1"/>
                      <w:sz w:val="24"/>
                      <w:szCs w:val="24"/>
                    </w:rPr>
                    <w:t>0</w:t>
                  </w:r>
                </w:p>
              </w:tc>
            </w:tr>
            <w:tr w:rsidR="00984F13" w14:paraId="33A3032F" w14:textId="77777777" w:rsidTr="000B240B">
              <w:tc>
                <w:tcPr>
                  <w:tcW w:w="3178" w:type="dxa"/>
                </w:tcPr>
                <w:p w14:paraId="33EBEF37" w14:textId="77777777" w:rsidR="00984F13" w:rsidRPr="00340921" w:rsidRDefault="00984F13" w:rsidP="00984F13">
                  <w:pPr>
                    <w:rPr>
                      <w:rFonts w:ascii="Times New Roman" w:hAnsi="Times New Roman"/>
                      <w:sz w:val="24"/>
                      <w:szCs w:val="24"/>
                    </w:rPr>
                  </w:pPr>
                  <w:r w:rsidRPr="6B554ED8">
                    <w:rPr>
                      <w:rFonts w:ascii="Times New Roman" w:hAnsi="Times New Roman"/>
                      <w:sz w:val="24"/>
                      <w:szCs w:val="24"/>
                    </w:rPr>
                    <w:lastRenderedPageBreak/>
                    <w:t>Specializētā programmatūra:</w:t>
                  </w:r>
                </w:p>
              </w:tc>
              <w:tc>
                <w:tcPr>
                  <w:tcW w:w="815" w:type="dxa"/>
                </w:tcPr>
                <w:p w14:paraId="7D44CEA5" w14:textId="77777777" w:rsidR="00984F13" w:rsidRPr="007F0F8C" w:rsidRDefault="00984F13" w:rsidP="00984F13">
                  <w:pPr>
                    <w:jc w:val="center"/>
                    <w:rPr>
                      <w:rFonts w:ascii="Times New Roman" w:hAnsi="Times New Roman"/>
                    </w:rPr>
                  </w:pPr>
                </w:p>
              </w:tc>
              <w:tc>
                <w:tcPr>
                  <w:tcW w:w="1069" w:type="dxa"/>
                </w:tcPr>
                <w:p w14:paraId="53B87C96" w14:textId="77777777" w:rsidR="00984F13" w:rsidRPr="00340921" w:rsidRDefault="00984F13" w:rsidP="00984F13">
                  <w:pPr>
                    <w:jc w:val="right"/>
                    <w:rPr>
                      <w:rFonts w:ascii="Times New Roman" w:hAnsi="Times New Roman"/>
                      <w:color w:val="000000"/>
                      <w:sz w:val="24"/>
                      <w:szCs w:val="24"/>
                    </w:rPr>
                  </w:pPr>
                  <w:r>
                    <w:rPr>
                      <w:rFonts w:ascii="Times New Roman" w:hAnsi="Times New Roman"/>
                      <w:sz w:val="24"/>
                      <w:szCs w:val="24"/>
                    </w:rPr>
                    <w:t>275 000</w:t>
                  </w:r>
                </w:p>
              </w:tc>
              <w:tc>
                <w:tcPr>
                  <w:tcW w:w="1069" w:type="dxa"/>
                </w:tcPr>
                <w:p w14:paraId="67906F04" w14:textId="77777777" w:rsidR="00984F13" w:rsidRPr="00340921" w:rsidRDefault="00984F13" w:rsidP="00984F13">
                  <w:pPr>
                    <w:jc w:val="right"/>
                    <w:rPr>
                      <w:rFonts w:ascii="Times New Roman" w:hAnsi="Times New Roman"/>
                      <w:color w:val="000000"/>
                      <w:sz w:val="24"/>
                      <w:szCs w:val="24"/>
                    </w:rPr>
                  </w:pPr>
                  <w:r>
                    <w:rPr>
                      <w:rFonts w:ascii="Times New Roman" w:hAnsi="Times New Roman"/>
                      <w:sz w:val="24"/>
                      <w:szCs w:val="24"/>
                    </w:rPr>
                    <w:t>275 000</w:t>
                  </w:r>
                </w:p>
              </w:tc>
              <w:tc>
                <w:tcPr>
                  <w:tcW w:w="1070" w:type="dxa"/>
                </w:tcPr>
                <w:p w14:paraId="2AFFD534" w14:textId="77777777" w:rsidR="00984F13" w:rsidRPr="00340921" w:rsidRDefault="00984F13" w:rsidP="00984F13">
                  <w:pPr>
                    <w:jc w:val="right"/>
                    <w:rPr>
                      <w:rFonts w:ascii="Times New Roman" w:hAnsi="Times New Roman"/>
                      <w:color w:val="000000"/>
                      <w:sz w:val="24"/>
                      <w:szCs w:val="24"/>
                    </w:rPr>
                  </w:pPr>
                  <w:r>
                    <w:rPr>
                      <w:rFonts w:ascii="Times New Roman" w:hAnsi="Times New Roman"/>
                      <w:sz w:val="24"/>
                      <w:szCs w:val="24"/>
                    </w:rPr>
                    <w:t>275 000</w:t>
                  </w:r>
                </w:p>
              </w:tc>
            </w:tr>
            <w:tr w:rsidR="00984F13" w:rsidRPr="007F0F8C" w14:paraId="50CC0241" w14:textId="77777777" w:rsidTr="000B240B">
              <w:tc>
                <w:tcPr>
                  <w:tcW w:w="3178" w:type="dxa"/>
                </w:tcPr>
                <w:p w14:paraId="0FBDED01" w14:textId="77777777" w:rsidR="00984F13" w:rsidRPr="007F0F8C" w:rsidRDefault="00984F13" w:rsidP="00984F13">
                  <w:pPr>
                    <w:jc w:val="right"/>
                    <w:rPr>
                      <w:rFonts w:ascii="Times New Roman" w:hAnsi="Times New Roman"/>
                      <w:i/>
                      <w:iCs/>
                    </w:rPr>
                  </w:pPr>
                  <w:r w:rsidRPr="6B554ED8">
                    <w:rPr>
                      <w:rFonts w:ascii="Times New Roman" w:hAnsi="Times New Roman"/>
                      <w:i/>
                      <w:iCs/>
                    </w:rPr>
                    <w:t>Preces un pakalpojumi</w:t>
                  </w:r>
                </w:p>
              </w:tc>
              <w:tc>
                <w:tcPr>
                  <w:tcW w:w="815" w:type="dxa"/>
                </w:tcPr>
                <w:p w14:paraId="043A0B6B" w14:textId="77777777" w:rsidR="00984F13" w:rsidRPr="007F0F8C" w:rsidRDefault="00984F13" w:rsidP="00984F13">
                  <w:pPr>
                    <w:jc w:val="center"/>
                    <w:rPr>
                      <w:rFonts w:ascii="Times New Roman" w:hAnsi="Times New Roman"/>
                      <w:i/>
                      <w:iCs/>
                    </w:rPr>
                  </w:pPr>
                  <w:r w:rsidRPr="6B554ED8">
                    <w:rPr>
                      <w:rFonts w:ascii="Times New Roman" w:hAnsi="Times New Roman"/>
                      <w:i/>
                      <w:iCs/>
                    </w:rPr>
                    <w:t>2000</w:t>
                  </w:r>
                </w:p>
              </w:tc>
              <w:tc>
                <w:tcPr>
                  <w:tcW w:w="1069" w:type="dxa"/>
                </w:tcPr>
                <w:p w14:paraId="41D4C95C" w14:textId="77777777" w:rsidR="00984F13" w:rsidRPr="00B769B0" w:rsidRDefault="00984F13" w:rsidP="00984F13">
                  <w:pPr>
                    <w:jc w:val="right"/>
                    <w:rPr>
                      <w:rFonts w:ascii="Times New Roman" w:hAnsi="Times New Roman"/>
                      <w:i/>
                      <w:iCs/>
                    </w:rPr>
                  </w:pPr>
                  <w:r w:rsidRPr="00B769B0">
                    <w:rPr>
                      <w:rFonts w:ascii="Times New Roman" w:hAnsi="Times New Roman"/>
                      <w:i/>
                      <w:iCs/>
                    </w:rPr>
                    <w:t>82 500</w:t>
                  </w:r>
                </w:p>
              </w:tc>
              <w:tc>
                <w:tcPr>
                  <w:tcW w:w="1069" w:type="dxa"/>
                </w:tcPr>
                <w:p w14:paraId="1B3D9ED3" w14:textId="77777777" w:rsidR="00984F13" w:rsidRPr="00B769B0" w:rsidRDefault="00984F13" w:rsidP="00984F13">
                  <w:pPr>
                    <w:jc w:val="right"/>
                    <w:rPr>
                      <w:rFonts w:ascii="Times New Roman" w:hAnsi="Times New Roman"/>
                      <w:i/>
                      <w:iCs/>
                    </w:rPr>
                  </w:pPr>
                  <w:r w:rsidRPr="00B769B0">
                    <w:rPr>
                      <w:rFonts w:ascii="Times New Roman" w:hAnsi="Times New Roman"/>
                      <w:i/>
                      <w:iCs/>
                    </w:rPr>
                    <w:t>82 500</w:t>
                  </w:r>
                </w:p>
              </w:tc>
              <w:tc>
                <w:tcPr>
                  <w:tcW w:w="1070" w:type="dxa"/>
                </w:tcPr>
                <w:p w14:paraId="2602B44F" w14:textId="77777777" w:rsidR="00984F13" w:rsidRPr="00B769B0" w:rsidRDefault="00984F13" w:rsidP="00984F13">
                  <w:pPr>
                    <w:jc w:val="right"/>
                    <w:rPr>
                      <w:rFonts w:ascii="Times New Roman" w:hAnsi="Times New Roman"/>
                      <w:i/>
                      <w:iCs/>
                    </w:rPr>
                  </w:pPr>
                  <w:r w:rsidRPr="00B769B0">
                    <w:rPr>
                      <w:rFonts w:ascii="Times New Roman" w:hAnsi="Times New Roman"/>
                      <w:i/>
                      <w:iCs/>
                    </w:rPr>
                    <w:t>82 500</w:t>
                  </w:r>
                </w:p>
              </w:tc>
            </w:tr>
            <w:tr w:rsidR="00984F13" w:rsidRPr="007F0F8C" w14:paraId="345C0409" w14:textId="77777777" w:rsidTr="000B240B">
              <w:tc>
                <w:tcPr>
                  <w:tcW w:w="3178" w:type="dxa"/>
                </w:tcPr>
                <w:p w14:paraId="3D7F635C" w14:textId="77777777" w:rsidR="00984F13" w:rsidRPr="007F0F8C" w:rsidRDefault="00984F13" w:rsidP="00984F13">
                  <w:pPr>
                    <w:jc w:val="right"/>
                    <w:rPr>
                      <w:rFonts w:ascii="Times New Roman" w:hAnsi="Times New Roman"/>
                      <w:i/>
                      <w:iCs/>
                    </w:rPr>
                  </w:pPr>
                  <w:r w:rsidRPr="6B554ED8">
                    <w:rPr>
                      <w:rFonts w:ascii="Times New Roman" w:hAnsi="Times New Roman"/>
                      <w:i/>
                      <w:iCs/>
                    </w:rPr>
                    <w:t>Pamatkapitāla veidošana</w:t>
                  </w:r>
                </w:p>
              </w:tc>
              <w:tc>
                <w:tcPr>
                  <w:tcW w:w="815" w:type="dxa"/>
                </w:tcPr>
                <w:p w14:paraId="5B13A1E7" w14:textId="77777777" w:rsidR="00984F13" w:rsidRPr="007F0F8C" w:rsidRDefault="00984F13" w:rsidP="00984F13">
                  <w:pPr>
                    <w:jc w:val="center"/>
                    <w:rPr>
                      <w:rFonts w:ascii="Times New Roman" w:hAnsi="Times New Roman"/>
                      <w:i/>
                      <w:iCs/>
                    </w:rPr>
                  </w:pPr>
                  <w:r w:rsidRPr="6B554ED8">
                    <w:rPr>
                      <w:rFonts w:ascii="Times New Roman" w:hAnsi="Times New Roman"/>
                      <w:i/>
                      <w:iCs/>
                    </w:rPr>
                    <w:t>5000</w:t>
                  </w:r>
                </w:p>
              </w:tc>
              <w:tc>
                <w:tcPr>
                  <w:tcW w:w="1069" w:type="dxa"/>
                </w:tcPr>
                <w:p w14:paraId="1B3700D3" w14:textId="77777777" w:rsidR="00984F13" w:rsidRPr="00B769B0" w:rsidRDefault="00984F13" w:rsidP="00984F13">
                  <w:pPr>
                    <w:jc w:val="right"/>
                    <w:rPr>
                      <w:rFonts w:ascii="Times New Roman" w:hAnsi="Times New Roman"/>
                      <w:i/>
                      <w:iCs/>
                    </w:rPr>
                  </w:pPr>
                  <w:r w:rsidRPr="00B769B0">
                    <w:rPr>
                      <w:rFonts w:ascii="Times New Roman" w:hAnsi="Times New Roman"/>
                      <w:i/>
                      <w:iCs/>
                    </w:rPr>
                    <w:t>192 500</w:t>
                  </w:r>
                </w:p>
              </w:tc>
              <w:tc>
                <w:tcPr>
                  <w:tcW w:w="1069" w:type="dxa"/>
                </w:tcPr>
                <w:p w14:paraId="28275354" w14:textId="77777777" w:rsidR="00984F13" w:rsidRPr="00B769B0" w:rsidRDefault="00984F13" w:rsidP="00984F13">
                  <w:pPr>
                    <w:jc w:val="right"/>
                    <w:rPr>
                      <w:rFonts w:ascii="Times New Roman" w:hAnsi="Times New Roman"/>
                      <w:i/>
                      <w:iCs/>
                    </w:rPr>
                  </w:pPr>
                  <w:r w:rsidRPr="00B769B0">
                    <w:rPr>
                      <w:rFonts w:ascii="Times New Roman" w:hAnsi="Times New Roman"/>
                      <w:i/>
                      <w:iCs/>
                    </w:rPr>
                    <w:t>192 500</w:t>
                  </w:r>
                </w:p>
              </w:tc>
              <w:tc>
                <w:tcPr>
                  <w:tcW w:w="1070" w:type="dxa"/>
                </w:tcPr>
                <w:p w14:paraId="07B48B98" w14:textId="77777777" w:rsidR="00984F13" w:rsidRPr="00B769B0" w:rsidRDefault="00984F13" w:rsidP="00984F13">
                  <w:pPr>
                    <w:jc w:val="right"/>
                    <w:rPr>
                      <w:rFonts w:ascii="Times New Roman" w:hAnsi="Times New Roman"/>
                      <w:i/>
                      <w:iCs/>
                    </w:rPr>
                  </w:pPr>
                  <w:r w:rsidRPr="00B769B0">
                    <w:rPr>
                      <w:rFonts w:ascii="Times New Roman" w:hAnsi="Times New Roman"/>
                      <w:i/>
                      <w:iCs/>
                    </w:rPr>
                    <w:t>192 500</w:t>
                  </w:r>
                </w:p>
              </w:tc>
            </w:tr>
            <w:tr w:rsidR="00984F13" w14:paraId="6E589FF1" w14:textId="77777777" w:rsidTr="000B240B">
              <w:tc>
                <w:tcPr>
                  <w:tcW w:w="3178" w:type="dxa"/>
                </w:tcPr>
                <w:p w14:paraId="4913A17D" w14:textId="77777777" w:rsidR="00984F13" w:rsidRPr="00340921" w:rsidRDefault="00984F13" w:rsidP="00984F13">
                  <w:pPr>
                    <w:rPr>
                      <w:rFonts w:ascii="Times New Roman" w:hAnsi="Times New Roman"/>
                      <w:sz w:val="24"/>
                      <w:szCs w:val="24"/>
                    </w:rPr>
                  </w:pPr>
                  <w:r w:rsidRPr="6B554ED8">
                    <w:rPr>
                      <w:rFonts w:ascii="Times New Roman" w:hAnsi="Times New Roman"/>
                      <w:sz w:val="24"/>
                      <w:szCs w:val="24"/>
                    </w:rPr>
                    <w:t>Centrālā infrastruktūra</w:t>
                  </w:r>
                </w:p>
              </w:tc>
              <w:tc>
                <w:tcPr>
                  <w:tcW w:w="815" w:type="dxa"/>
                </w:tcPr>
                <w:p w14:paraId="1127188C" w14:textId="77777777" w:rsidR="00984F13" w:rsidRPr="007F0F8C" w:rsidRDefault="00984F13" w:rsidP="00984F13">
                  <w:pPr>
                    <w:jc w:val="center"/>
                    <w:rPr>
                      <w:rFonts w:ascii="Times New Roman" w:hAnsi="Times New Roman"/>
                      <w:color w:val="000000"/>
                    </w:rPr>
                  </w:pPr>
                </w:p>
              </w:tc>
              <w:tc>
                <w:tcPr>
                  <w:tcW w:w="1069" w:type="dxa"/>
                </w:tcPr>
                <w:p w14:paraId="23E5680F" w14:textId="77777777" w:rsidR="00984F13" w:rsidRPr="00340921" w:rsidRDefault="00984F13" w:rsidP="00984F13">
                  <w:pPr>
                    <w:jc w:val="right"/>
                    <w:rPr>
                      <w:rFonts w:ascii="Times New Roman" w:hAnsi="Times New Roman"/>
                      <w:color w:val="000000"/>
                      <w:sz w:val="24"/>
                      <w:szCs w:val="24"/>
                    </w:rPr>
                  </w:pPr>
                  <w:r w:rsidRPr="6B554ED8">
                    <w:rPr>
                      <w:rFonts w:ascii="Times New Roman" w:hAnsi="Times New Roman"/>
                      <w:color w:val="000000" w:themeColor="text1"/>
                      <w:sz w:val="24"/>
                      <w:szCs w:val="24"/>
                    </w:rPr>
                    <w:t>0</w:t>
                  </w:r>
                </w:p>
              </w:tc>
              <w:tc>
                <w:tcPr>
                  <w:tcW w:w="1069" w:type="dxa"/>
                </w:tcPr>
                <w:p w14:paraId="32D5DFF1" w14:textId="77777777" w:rsidR="00984F13" w:rsidRPr="00340921" w:rsidRDefault="00984F13" w:rsidP="00984F13">
                  <w:pPr>
                    <w:jc w:val="right"/>
                    <w:rPr>
                      <w:rFonts w:ascii="Times New Roman" w:hAnsi="Times New Roman"/>
                      <w:color w:val="000000"/>
                      <w:sz w:val="24"/>
                      <w:szCs w:val="24"/>
                    </w:rPr>
                  </w:pPr>
                  <w:r w:rsidRPr="6B554ED8">
                    <w:rPr>
                      <w:rFonts w:ascii="Times New Roman" w:hAnsi="Times New Roman"/>
                      <w:color w:val="000000" w:themeColor="text1"/>
                      <w:sz w:val="24"/>
                      <w:szCs w:val="24"/>
                    </w:rPr>
                    <w:t>0</w:t>
                  </w:r>
                </w:p>
              </w:tc>
              <w:tc>
                <w:tcPr>
                  <w:tcW w:w="1070" w:type="dxa"/>
                </w:tcPr>
                <w:p w14:paraId="51FCE7E2" w14:textId="77777777" w:rsidR="00984F13" w:rsidRPr="00340921" w:rsidRDefault="00984F13" w:rsidP="00984F13">
                  <w:pPr>
                    <w:jc w:val="right"/>
                    <w:rPr>
                      <w:rFonts w:ascii="Times New Roman" w:hAnsi="Times New Roman"/>
                      <w:color w:val="000000"/>
                      <w:sz w:val="24"/>
                      <w:szCs w:val="24"/>
                    </w:rPr>
                  </w:pPr>
                  <w:r w:rsidRPr="6B554ED8">
                    <w:rPr>
                      <w:rFonts w:ascii="Times New Roman" w:hAnsi="Times New Roman"/>
                      <w:color w:val="000000" w:themeColor="text1"/>
                      <w:sz w:val="24"/>
                      <w:szCs w:val="24"/>
                    </w:rPr>
                    <w:t>0</w:t>
                  </w:r>
                </w:p>
              </w:tc>
            </w:tr>
            <w:tr w:rsidR="00984F13" w14:paraId="58A43E1F" w14:textId="77777777" w:rsidTr="000B240B">
              <w:tc>
                <w:tcPr>
                  <w:tcW w:w="3178" w:type="dxa"/>
                </w:tcPr>
                <w:p w14:paraId="58FCCE65" w14:textId="77777777" w:rsidR="00984F13" w:rsidRPr="00340921" w:rsidRDefault="00984F13" w:rsidP="00984F13">
                  <w:pPr>
                    <w:rPr>
                      <w:rFonts w:ascii="Times New Roman" w:hAnsi="Times New Roman"/>
                      <w:sz w:val="24"/>
                      <w:szCs w:val="24"/>
                    </w:rPr>
                  </w:pPr>
                  <w:proofErr w:type="spellStart"/>
                  <w:r w:rsidRPr="6B554ED8">
                    <w:rPr>
                      <w:rFonts w:ascii="Times New Roman" w:hAnsi="Times New Roman"/>
                      <w:sz w:val="24"/>
                      <w:szCs w:val="24"/>
                    </w:rPr>
                    <w:t>Perifērā</w:t>
                  </w:r>
                  <w:proofErr w:type="spellEnd"/>
                  <w:r w:rsidRPr="6B554ED8">
                    <w:rPr>
                      <w:rFonts w:ascii="Times New Roman" w:hAnsi="Times New Roman"/>
                      <w:sz w:val="24"/>
                      <w:szCs w:val="24"/>
                    </w:rPr>
                    <w:t xml:space="preserve"> infrastruktūra</w:t>
                  </w:r>
                </w:p>
              </w:tc>
              <w:tc>
                <w:tcPr>
                  <w:tcW w:w="815" w:type="dxa"/>
                </w:tcPr>
                <w:p w14:paraId="7586DD9E" w14:textId="77777777" w:rsidR="00984F13" w:rsidRPr="007F0F8C" w:rsidRDefault="00984F13" w:rsidP="00984F13">
                  <w:pPr>
                    <w:jc w:val="center"/>
                    <w:rPr>
                      <w:rFonts w:ascii="Times New Roman" w:hAnsi="Times New Roman"/>
                      <w:color w:val="000000"/>
                    </w:rPr>
                  </w:pPr>
                </w:p>
              </w:tc>
              <w:tc>
                <w:tcPr>
                  <w:tcW w:w="1069" w:type="dxa"/>
                </w:tcPr>
                <w:p w14:paraId="51F0E9F0" w14:textId="77777777" w:rsidR="00984F13" w:rsidRPr="00340921" w:rsidRDefault="00984F13" w:rsidP="00984F13">
                  <w:pPr>
                    <w:jc w:val="right"/>
                    <w:rPr>
                      <w:rFonts w:ascii="Times New Roman" w:hAnsi="Times New Roman"/>
                      <w:color w:val="000000"/>
                      <w:sz w:val="24"/>
                      <w:szCs w:val="24"/>
                    </w:rPr>
                  </w:pPr>
                  <w:r w:rsidRPr="6B554ED8">
                    <w:rPr>
                      <w:rFonts w:ascii="Times New Roman" w:hAnsi="Times New Roman"/>
                      <w:color w:val="000000" w:themeColor="text1"/>
                      <w:sz w:val="24"/>
                      <w:szCs w:val="24"/>
                    </w:rPr>
                    <w:t>0</w:t>
                  </w:r>
                </w:p>
              </w:tc>
              <w:tc>
                <w:tcPr>
                  <w:tcW w:w="1069" w:type="dxa"/>
                </w:tcPr>
                <w:p w14:paraId="224B79A0" w14:textId="77777777" w:rsidR="00984F13" w:rsidRPr="00340921" w:rsidRDefault="00984F13" w:rsidP="00984F13">
                  <w:pPr>
                    <w:jc w:val="right"/>
                    <w:rPr>
                      <w:rFonts w:ascii="Times New Roman" w:hAnsi="Times New Roman"/>
                      <w:color w:val="000000"/>
                      <w:sz w:val="24"/>
                      <w:szCs w:val="24"/>
                    </w:rPr>
                  </w:pPr>
                  <w:r w:rsidRPr="6B554ED8">
                    <w:rPr>
                      <w:rFonts w:ascii="Times New Roman" w:hAnsi="Times New Roman"/>
                      <w:color w:val="000000" w:themeColor="text1"/>
                      <w:sz w:val="24"/>
                      <w:szCs w:val="24"/>
                    </w:rPr>
                    <w:t>0</w:t>
                  </w:r>
                </w:p>
              </w:tc>
              <w:tc>
                <w:tcPr>
                  <w:tcW w:w="1070" w:type="dxa"/>
                </w:tcPr>
                <w:p w14:paraId="4485B602" w14:textId="77777777" w:rsidR="00984F13" w:rsidRPr="00340921" w:rsidRDefault="00984F13" w:rsidP="00984F13">
                  <w:pPr>
                    <w:jc w:val="right"/>
                    <w:rPr>
                      <w:rFonts w:ascii="Times New Roman" w:hAnsi="Times New Roman"/>
                      <w:color w:val="000000"/>
                      <w:sz w:val="24"/>
                      <w:szCs w:val="24"/>
                    </w:rPr>
                  </w:pPr>
                  <w:r w:rsidRPr="6B554ED8">
                    <w:rPr>
                      <w:rFonts w:ascii="Times New Roman" w:hAnsi="Times New Roman"/>
                      <w:color w:val="000000" w:themeColor="text1"/>
                      <w:sz w:val="24"/>
                      <w:szCs w:val="24"/>
                    </w:rPr>
                    <w:t>0</w:t>
                  </w:r>
                </w:p>
              </w:tc>
            </w:tr>
            <w:tr w:rsidR="00984F13" w14:paraId="1DEFFD20" w14:textId="77777777" w:rsidTr="000B240B">
              <w:tc>
                <w:tcPr>
                  <w:tcW w:w="3178" w:type="dxa"/>
                </w:tcPr>
                <w:p w14:paraId="2FF00B79" w14:textId="77777777" w:rsidR="00984F13" w:rsidRPr="00340921" w:rsidRDefault="00984F13" w:rsidP="00984F13">
                  <w:pPr>
                    <w:rPr>
                      <w:rFonts w:ascii="Times New Roman" w:hAnsi="Times New Roman"/>
                      <w:sz w:val="24"/>
                      <w:szCs w:val="24"/>
                    </w:rPr>
                  </w:pPr>
                  <w:r w:rsidRPr="00B769B0">
                    <w:rPr>
                      <w:rFonts w:ascii="Times New Roman" w:hAnsi="Times New Roman"/>
                      <w:sz w:val="24"/>
                      <w:szCs w:val="24"/>
                    </w:rPr>
                    <w:t>Sistēmas auditi</w:t>
                  </w:r>
                </w:p>
              </w:tc>
              <w:tc>
                <w:tcPr>
                  <w:tcW w:w="815" w:type="dxa"/>
                </w:tcPr>
                <w:p w14:paraId="26F4DD20" w14:textId="77777777" w:rsidR="00984F13" w:rsidRPr="007F0F8C" w:rsidRDefault="00984F13" w:rsidP="00984F13">
                  <w:pPr>
                    <w:jc w:val="center"/>
                    <w:rPr>
                      <w:rFonts w:ascii="Times New Roman" w:hAnsi="Times New Roman"/>
                    </w:rPr>
                  </w:pPr>
                  <w:r w:rsidRPr="6B554ED8">
                    <w:rPr>
                      <w:rFonts w:ascii="Times New Roman" w:hAnsi="Times New Roman"/>
                      <w:color w:val="000000" w:themeColor="text1"/>
                    </w:rPr>
                    <w:t>2000</w:t>
                  </w:r>
                </w:p>
              </w:tc>
              <w:tc>
                <w:tcPr>
                  <w:tcW w:w="1069" w:type="dxa"/>
                </w:tcPr>
                <w:p w14:paraId="1AD3E8FF" w14:textId="77777777" w:rsidR="00984F13" w:rsidRPr="00340921" w:rsidRDefault="00984F13" w:rsidP="00984F13">
                  <w:pPr>
                    <w:jc w:val="right"/>
                    <w:rPr>
                      <w:rFonts w:ascii="Times New Roman" w:hAnsi="Times New Roman"/>
                      <w:color w:val="000000"/>
                      <w:sz w:val="24"/>
                      <w:szCs w:val="24"/>
                    </w:rPr>
                  </w:pPr>
                  <w:r>
                    <w:rPr>
                      <w:rFonts w:ascii="Times New Roman" w:hAnsi="Times New Roman"/>
                      <w:sz w:val="24"/>
                      <w:szCs w:val="24"/>
                    </w:rPr>
                    <w:t>20 00</w:t>
                  </w:r>
                  <w:r w:rsidRPr="6B554ED8">
                    <w:rPr>
                      <w:rFonts w:ascii="Times New Roman" w:hAnsi="Times New Roman"/>
                      <w:sz w:val="24"/>
                      <w:szCs w:val="24"/>
                    </w:rPr>
                    <w:t>0</w:t>
                  </w:r>
                </w:p>
              </w:tc>
              <w:tc>
                <w:tcPr>
                  <w:tcW w:w="1069" w:type="dxa"/>
                </w:tcPr>
                <w:p w14:paraId="4E9E4658" w14:textId="77777777" w:rsidR="00984F13" w:rsidRPr="00340921" w:rsidRDefault="00984F13" w:rsidP="00984F13">
                  <w:pPr>
                    <w:jc w:val="right"/>
                    <w:rPr>
                      <w:rFonts w:ascii="Times New Roman" w:hAnsi="Times New Roman"/>
                      <w:color w:val="000000"/>
                      <w:sz w:val="24"/>
                      <w:szCs w:val="24"/>
                    </w:rPr>
                  </w:pPr>
                  <w:r w:rsidRPr="6B554ED8">
                    <w:rPr>
                      <w:rFonts w:ascii="Times New Roman" w:hAnsi="Times New Roman"/>
                      <w:color w:val="000000" w:themeColor="text1"/>
                      <w:sz w:val="24"/>
                      <w:szCs w:val="24"/>
                    </w:rPr>
                    <w:t>0</w:t>
                  </w:r>
                </w:p>
              </w:tc>
              <w:tc>
                <w:tcPr>
                  <w:tcW w:w="1070" w:type="dxa"/>
                </w:tcPr>
                <w:p w14:paraId="28FD714A" w14:textId="77777777" w:rsidR="00984F13" w:rsidRPr="00340921" w:rsidRDefault="00984F13" w:rsidP="00984F13">
                  <w:pPr>
                    <w:jc w:val="right"/>
                    <w:rPr>
                      <w:rFonts w:ascii="Times New Roman" w:hAnsi="Times New Roman"/>
                      <w:color w:val="000000"/>
                      <w:sz w:val="24"/>
                      <w:szCs w:val="24"/>
                    </w:rPr>
                  </w:pPr>
                  <w:r>
                    <w:rPr>
                      <w:rFonts w:ascii="Times New Roman" w:hAnsi="Times New Roman"/>
                      <w:color w:val="000000"/>
                      <w:sz w:val="24"/>
                      <w:szCs w:val="24"/>
                    </w:rPr>
                    <w:t>20 000</w:t>
                  </w:r>
                </w:p>
              </w:tc>
            </w:tr>
            <w:tr w:rsidR="00984F13" w14:paraId="36E811A8" w14:textId="77777777" w:rsidTr="000B240B">
              <w:tc>
                <w:tcPr>
                  <w:tcW w:w="3178" w:type="dxa"/>
                </w:tcPr>
                <w:p w14:paraId="7CA89053" w14:textId="77777777" w:rsidR="00984F13" w:rsidRPr="00340921" w:rsidRDefault="00984F13" w:rsidP="00984F13">
                  <w:pPr>
                    <w:rPr>
                      <w:rFonts w:ascii="Times New Roman" w:hAnsi="Times New Roman"/>
                      <w:sz w:val="24"/>
                      <w:szCs w:val="24"/>
                    </w:rPr>
                  </w:pPr>
                  <w:r w:rsidRPr="6B554ED8">
                    <w:rPr>
                      <w:rFonts w:ascii="Times New Roman" w:hAnsi="Times New Roman"/>
                      <w:sz w:val="24"/>
                      <w:szCs w:val="24"/>
                    </w:rPr>
                    <w:t>Citi izdevumi</w:t>
                  </w:r>
                </w:p>
              </w:tc>
              <w:tc>
                <w:tcPr>
                  <w:tcW w:w="815" w:type="dxa"/>
                </w:tcPr>
                <w:p w14:paraId="69B5B75C" w14:textId="77777777" w:rsidR="00984F13" w:rsidRPr="007F0F8C" w:rsidRDefault="00984F13" w:rsidP="00984F13">
                  <w:pPr>
                    <w:jc w:val="center"/>
                    <w:rPr>
                      <w:rFonts w:ascii="Times New Roman" w:hAnsi="Times New Roman"/>
                      <w:color w:val="000000"/>
                    </w:rPr>
                  </w:pPr>
                </w:p>
              </w:tc>
              <w:tc>
                <w:tcPr>
                  <w:tcW w:w="1069" w:type="dxa"/>
                </w:tcPr>
                <w:p w14:paraId="7B484452" w14:textId="77777777" w:rsidR="00984F13" w:rsidRPr="00340921" w:rsidRDefault="00984F13" w:rsidP="00984F13">
                  <w:pPr>
                    <w:jc w:val="right"/>
                    <w:rPr>
                      <w:rFonts w:ascii="Times New Roman" w:hAnsi="Times New Roman"/>
                      <w:color w:val="000000"/>
                      <w:sz w:val="24"/>
                      <w:szCs w:val="24"/>
                    </w:rPr>
                  </w:pPr>
                  <w:r w:rsidRPr="6B554ED8">
                    <w:rPr>
                      <w:rFonts w:ascii="Times New Roman" w:hAnsi="Times New Roman"/>
                      <w:color w:val="000000" w:themeColor="text1"/>
                      <w:sz w:val="24"/>
                      <w:szCs w:val="24"/>
                    </w:rPr>
                    <w:t>0</w:t>
                  </w:r>
                </w:p>
              </w:tc>
              <w:tc>
                <w:tcPr>
                  <w:tcW w:w="1069" w:type="dxa"/>
                </w:tcPr>
                <w:p w14:paraId="1E720051" w14:textId="77777777" w:rsidR="00984F13" w:rsidRPr="00340921" w:rsidRDefault="00984F13" w:rsidP="00984F13">
                  <w:pPr>
                    <w:jc w:val="right"/>
                    <w:rPr>
                      <w:rFonts w:ascii="Times New Roman" w:hAnsi="Times New Roman"/>
                      <w:color w:val="000000"/>
                      <w:sz w:val="24"/>
                      <w:szCs w:val="24"/>
                    </w:rPr>
                  </w:pPr>
                  <w:r w:rsidRPr="6B554ED8">
                    <w:rPr>
                      <w:rFonts w:ascii="Times New Roman" w:hAnsi="Times New Roman"/>
                      <w:color w:val="000000" w:themeColor="text1"/>
                      <w:sz w:val="24"/>
                      <w:szCs w:val="24"/>
                    </w:rPr>
                    <w:t>0</w:t>
                  </w:r>
                </w:p>
              </w:tc>
              <w:tc>
                <w:tcPr>
                  <w:tcW w:w="1070" w:type="dxa"/>
                </w:tcPr>
                <w:p w14:paraId="1682E717" w14:textId="77777777" w:rsidR="00984F13" w:rsidRPr="00340921" w:rsidRDefault="00984F13" w:rsidP="00984F13">
                  <w:pPr>
                    <w:jc w:val="right"/>
                    <w:rPr>
                      <w:rFonts w:ascii="Times New Roman" w:hAnsi="Times New Roman"/>
                      <w:color w:val="000000"/>
                      <w:sz w:val="24"/>
                      <w:szCs w:val="24"/>
                    </w:rPr>
                  </w:pPr>
                  <w:r w:rsidRPr="6B554ED8">
                    <w:rPr>
                      <w:rFonts w:ascii="Times New Roman" w:hAnsi="Times New Roman"/>
                      <w:color w:val="000000" w:themeColor="text1"/>
                      <w:sz w:val="24"/>
                      <w:szCs w:val="24"/>
                    </w:rPr>
                    <w:t>0</w:t>
                  </w:r>
                </w:p>
              </w:tc>
            </w:tr>
            <w:tr w:rsidR="00984F13" w14:paraId="5AB6FEBE" w14:textId="77777777" w:rsidTr="000B240B">
              <w:tc>
                <w:tcPr>
                  <w:tcW w:w="3178" w:type="dxa"/>
                </w:tcPr>
                <w:p w14:paraId="7FFA2BA0" w14:textId="77777777" w:rsidR="00984F13" w:rsidRPr="00340921" w:rsidRDefault="00984F13" w:rsidP="00984F13">
                  <w:pPr>
                    <w:jc w:val="right"/>
                    <w:rPr>
                      <w:rFonts w:ascii="Times New Roman" w:hAnsi="Times New Roman"/>
                      <w:b/>
                      <w:bCs/>
                      <w:sz w:val="24"/>
                      <w:szCs w:val="24"/>
                    </w:rPr>
                  </w:pPr>
                  <w:r w:rsidRPr="6B554ED8">
                    <w:rPr>
                      <w:rFonts w:ascii="Times New Roman" w:hAnsi="Times New Roman"/>
                      <w:b/>
                      <w:bCs/>
                      <w:sz w:val="24"/>
                      <w:szCs w:val="24"/>
                    </w:rPr>
                    <w:t>Kopā:</w:t>
                  </w:r>
                </w:p>
              </w:tc>
              <w:tc>
                <w:tcPr>
                  <w:tcW w:w="815" w:type="dxa"/>
                </w:tcPr>
                <w:p w14:paraId="3B6891E9" w14:textId="77777777" w:rsidR="00984F13" w:rsidRPr="007F0F8C" w:rsidRDefault="00984F13" w:rsidP="00984F13">
                  <w:pPr>
                    <w:jc w:val="right"/>
                    <w:rPr>
                      <w:rFonts w:ascii="Times New Roman" w:hAnsi="Times New Roman"/>
                      <w:b/>
                      <w:bCs/>
                      <w:color w:val="000000"/>
                    </w:rPr>
                  </w:pPr>
                </w:p>
              </w:tc>
              <w:tc>
                <w:tcPr>
                  <w:tcW w:w="1069" w:type="dxa"/>
                </w:tcPr>
                <w:p w14:paraId="35B269FE" w14:textId="77777777" w:rsidR="00984F13" w:rsidRPr="006A374A" w:rsidRDefault="00984F13" w:rsidP="00984F13">
                  <w:pPr>
                    <w:jc w:val="right"/>
                    <w:rPr>
                      <w:rFonts w:ascii="Times New Roman" w:hAnsi="Times New Roman"/>
                      <w:b/>
                      <w:bCs/>
                      <w:sz w:val="24"/>
                      <w:szCs w:val="24"/>
                    </w:rPr>
                  </w:pPr>
                  <w:r>
                    <w:rPr>
                      <w:rFonts w:ascii="Times New Roman" w:hAnsi="Times New Roman"/>
                      <w:b/>
                      <w:bCs/>
                      <w:color w:val="000000" w:themeColor="text1"/>
                      <w:sz w:val="24"/>
                      <w:szCs w:val="24"/>
                    </w:rPr>
                    <w:t>295 000</w:t>
                  </w:r>
                </w:p>
              </w:tc>
              <w:tc>
                <w:tcPr>
                  <w:tcW w:w="1069" w:type="dxa"/>
                </w:tcPr>
                <w:p w14:paraId="189900A7" w14:textId="77777777" w:rsidR="00984F13" w:rsidRPr="006A374A" w:rsidRDefault="00984F13" w:rsidP="00984F13">
                  <w:pPr>
                    <w:jc w:val="right"/>
                    <w:rPr>
                      <w:rFonts w:ascii="Times New Roman" w:hAnsi="Times New Roman"/>
                      <w:b/>
                      <w:bCs/>
                      <w:sz w:val="24"/>
                      <w:szCs w:val="24"/>
                    </w:rPr>
                  </w:pPr>
                  <w:r>
                    <w:rPr>
                      <w:rFonts w:ascii="Times New Roman" w:hAnsi="Times New Roman"/>
                      <w:b/>
                      <w:bCs/>
                      <w:color w:val="000000" w:themeColor="text1"/>
                      <w:sz w:val="24"/>
                      <w:szCs w:val="24"/>
                    </w:rPr>
                    <w:t>275 000</w:t>
                  </w:r>
                </w:p>
              </w:tc>
              <w:tc>
                <w:tcPr>
                  <w:tcW w:w="1070" w:type="dxa"/>
                </w:tcPr>
                <w:p w14:paraId="40BAD62B" w14:textId="77777777" w:rsidR="00984F13" w:rsidRPr="006A374A" w:rsidRDefault="00984F13" w:rsidP="00984F13">
                  <w:pPr>
                    <w:jc w:val="right"/>
                    <w:rPr>
                      <w:rFonts w:ascii="Times New Roman" w:hAnsi="Times New Roman"/>
                      <w:b/>
                      <w:bCs/>
                      <w:sz w:val="24"/>
                      <w:szCs w:val="24"/>
                    </w:rPr>
                  </w:pPr>
                  <w:r>
                    <w:rPr>
                      <w:rFonts w:ascii="Times New Roman" w:hAnsi="Times New Roman"/>
                      <w:b/>
                      <w:bCs/>
                      <w:color w:val="000000" w:themeColor="text1"/>
                      <w:sz w:val="24"/>
                      <w:szCs w:val="24"/>
                    </w:rPr>
                    <w:t>295 000</w:t>
                  </w:r>
                </w:p>
              </w:tc>
            </w:tr>
          </w:tbl>
          <w:p w14:paraId="78186B3B" w14:textId="77777777" w:rsidR="008D3347" w:rsidRDefault="008D3347" w:rsidP="000B240B"/>
          <w:p w14:paraId="5471BC42" w14:textId="572DB7D0" w:rsidR="00984F13" w:rsidRDefault="00706D5B" w:rsidP="000B240B">
            <w:pPr>
              <w:rPr>
                <w:sz w:val="24"/>
                <w:szCs w:val="24"/>
              </w:rPr>
            </w:pPr>
            <w:r w:rsidRPr="00706D5B">
              <w:rPr>
                <w:sz w:val="24"/>
                <w:szCs w:val="24"/>
              </w:rPr>
              <w:t xml:space="preserve">Attiecībā </w:t>
            </w:r>
            <w:r>
              <w:rPr>
                <w:sz w:val="24"/>
                <w:szCs w:val="24"/>
              </w:rPr>
              <w:t xml:space="preserve">uz </w:t>
            </w:r>
            <w:r w:rsidR="001909F0">
              <w:rPr>
                <w:sz w:val="24"/>
                <w:szCs w:val="24"/>
              </w:rPr>
              <w:t xml:space="preserve">amata vietām (detalizētāk sk. </w:t>
            </w:r>
            <w:r w:rsidR="001909F0" w:rsidRPr="001909F0">
              <w:rPr>
                <w:sz w:val="24"/>
                <w:szCs w:val="24"/>
              </w:rPr>
              <w:t>anotācijas (</w:t>
            </w:r>
            <w:proofErr w:type="spellStart"/>
            <w:r w:rsidR="001909F0" w:rsidRPr="001909F0">
              <w:rPr>
                <w:sz w:val="24"/>
                <w:szCs w:val="24"/>
              </w:rPr>
              <w:t>ex-ante</w:t>
            </w:r>
            <w:proofErr w:type="spellEnd"/>
            <w:r w:rsidR="001909F0" w:rsidRPr="001909F0">
              <w:rPr>
                <w:sz w:val="24"/>
                <w:szCs w:val="24"/>
              </w:rPr>
              <w:t>) pielikumā</w:t>
            </w:r>
            <w:r w:rsidR="001909F0">
              <w:rPr>
                <w:sz w:val="24"/>
                <w:szCs w:val="24"/>
              </w:rPr>
              <w:t>):</w:t>
            </w:r>
          </w:p>
          <w:p w14:paraId="0FF19A41" w14:textId="42B77479" w:rsidR="001909F0" w:rsidRDefault="001909F0" w:rsidP="000B240B">
            <w:pPr>
              <w:rPr>
                <w:sz w:val="24"/>
                <w:szCs w:val="24"/>
              </w:rPr>
            </w:pPr>
          </w:p>
          <w:tbl>
            <w:tblPr>
              <w:tblStyle w:val="TableGrid"/>
              <w:tblW w:w="7201" w:type="dxa"/>
              <w:tblInd w:w="0" w:type="dxa"/>
              <w:tblLayout w:type="fixed"/>
              <w:tblLook w:val="04A0" w:firstRow="1" w:lastRow="0" w:firstColumn="1" w:lastColumn="0" w:noHBand="0" w:noVBand="1"/>
            </w:tblPr>
            <w:tblGrid>
              <w:gridCol w:w="3178"/>
              <w:gridCol w:w="815"/>
              <w:gridCol w:w="1069"/>
              <w:gridCol w:w="1069"/>
              <w:gridCol w:w="1070"/>
            </w:tblGrid>
            <w:tr w:rsidR="001909F0" w14:paraId="7F0FF622" w14:textId="77777777" w:rsidTr="000B240B">
              <w:trPr>
                <w:tblHeader/>
              </w:trPr>
              <w:tc>
                <w:tcPr>
                  <w:tcW w:w="3178" w:type="dxa"/>
                </w:tcPr>
                <w:p w14:paraId="6F456B70" w14:textId="77777777" w:rsidR="001909F0" w:rsidRPr="00340921" w:rsidRDefault="001909F0" w:rsidP="001909F0">
                  <w:pPr>
                    <w:keepNext/>
                    <w:jc w:val="center"/>
                    <w:rPr>
                      <w:rFonts w:ascii="Times New Roman" w:hAnsi="Times New Roman"/>
                      <w:b/>
                      <w:bCs/>
                      <w:sz w:val="24"/>
                      <w:szCs w:val="24"/>
                    </w:rPr>
                  </w:pPr>
                  <w:r w:rsidRPr="6B554ED8">
                    <w:rPr>
                      <w:rFonts w:ascii="Times New Roman" w:hAnsi="Times New Roman"/>
                      <w:sz w:val="24"/>
                      <w:szCs w:val="24"/>
                    </w:rPr>
                    <w:br w:type="page"/>
                  </w:r>
                  <w:r>
                    <w:rPr>
                      <w:rFonts w:ascii="Times New Roman" w:hAnsi="Times New Roman"/>
                      <w:b/>
                      <w:bCs/>
                      <w:sz w:val="24"/>
                      <w:szCs w:val="24"/>
                    </w:rPr>
                    <w:t>Izdevumu pozīcijas</w:t>
                  </w:r>
                </w:p>
              </w:tc>
              <w:tc>
                <w:tcPr>
                  <w:tcW w:w="815" w:type="dxa"/>
                </w:tcPr>
                <w:p w14:paraId="5537A6B1" w14:textId="77777777" w:rsidR="001909F0" w:rsidRPr="007F0F8C" w:rsidRDefault="001909F0" w:rsidP="001909F0">
                  <w:pPr>
                    <w:jc w:val="center"/>
                    <w:rPr>
                      <w:rFonts w:ascii="Times New Roman" w:hAnsi="Times New Roman"/>
                      <w:b/>
                      <w:bCs/>
                    </w:rPr>
                  </w:pPr>
                  <w:r w:rsidRPr="6B554ED8">
                    <w:rPr>
                      <w:rFonts w:ascii="Times New Roman" w:hAnsi="Times New Roman"/>
                      <w:b/>
                      <w:bCs/>
                    </w:rPr>
                    <w:t>EKK</w:t>
                  </w:r>
                </w:p>
              </w:tc>
              <w:tc>
                <w:tcPr>
                  <w:tcW w:w="1069" w:type="dxa"/>
                </w:tcPr>
                <w:p w14:paraId="5302A9A5" w14:textId="77777777" w:rsidR="001909F0" w:rsidRPr="00340921" w:rsidRDefault="001909F0" w:rsidP="001909F0">
                  <w:pPr>
                    <w:jc w:val="center"/>
                    <w:rPr>
                      <w:rFonts w:ascii="Times New Roman" w:hAnsi="Times New Roman"/>
                      <w:b/>
                      <w:bCs/>
                      <w:sz w:val="24"/>
                      <w:szCs w:val="24"/>
                    </w:rPr>
                  </w:pPr>
                  <w:r>
                    <w:rPr>
                      <w:rFonts w:ascii="Times New Roman" w:hAnsi="Times New Roman"/>
                      <w:b/>
                      <w:bCs/>
                      <w:sz w:val="24"/>
                      <w:szCs w:val="24"/>
                    </w:rPr>
                    <w:t>2024</w:t>
                  </w:r>
                  <w:r w:rsidRPr="6B554ED8">
                    <w:rPr>
                      <w:rFonts w:ascii="Times New Roman" w:hAnsi="Times New Roman"/>
                      <w:b/>
                      <w:bCs/>
                      <w:sz w:val="24"/>
                      <w:szCs w:val="24"/>
                    </w:rPr>
                    <w:t>.</w:t>
                  </w:r>
                </w:p>
              </w:tc>
              <w:tc>
                <w:tcPr>
                  <w:tcW w:w="1069" w:type="dxa"/>
                </w:tcPr>
                <w:p w14:paraId="2832F483" w14:textId="77777777" w:rsidR="001909F0" w:rsidRPr="00340921" w:rsidRDefault="001909F0" w:rsidP="001909F0">
                  <w:pPr>
                    <w:jc w:val="center"/>
                    <w:rPr>
                      <w:rFonts w:ascii="Times New Roman" w:hAnsi="Times New Roman"/>
                      <w:b/>
                      <w:bCs/>
                      <w:sz w:val="24"/>
                      <w:szCs w:val="24"/>
                    </w:rPr>
                  </w:pPr>
                  <w:r>
                    <w:rPr>
                      <w:rFonts w:ascii="Times New Roman" w:hAnsi="Times New Roman"/>
                      <w:b/>
                      <w:bCs/>
                      <w:sz w:val="24"/>
                      <w:szCs w:val="24"/>
                    </w:rPr>
                    <w:t>2025</w:t>
                  </w:r>
                  <w:r w:rsidRPr="6B554ED8">
                    <w:rPr>
                      <w:rFonts w:ascii="Times New Roman" w:hAnsi="Times New Roman"/>
                      <w:b/>
                      <w:bCs/>
                      <w:sz w:val="24"/>
                      <w:szCs w:val="24"/>
                    </w:rPr>
                    <w:t>.</w:t>
                  </w:r>
                </w:p>
              </w:tc>
              <w:tc>
                <w:tcPr>
                  <w:tcW w:w="1070" w:type="dxa"/>
                </w:tcPr>
                <w:p w14:paraId="45DB09B3" w14:textId="77777777" w:rsidR="001909F0" w:rsidRPr="00340921" w:rsidRDefault="001909F0" w:rsidP="001909F0">
                  <w:pPr>
                    <w:jc w:val="center"/>
                    <w:rPr>
                      <w:rFonts w:ascii="Times New Roman" w:hAnsi="Times New Roman"/>
                      <w:b/>
                      <w:bCs/>
                      <w:sz w:val="24"/>
                      <w:szCs w:val="24"/>
                    </w:rPr>
                  </w:pPr>
                  <w:r>
                    <w:rPr>
                      <w:rFonts w:ascii="Times New Roman" w:hAnsi="Times New Roman"/>
                      <w:b/>
                      <w:bCs/>
                      <w:sz w:val="24"/>
                      <w:szCs w:val="24"/>
                    </w:rPr>
                    <w:t>2026</w:t>
                  </w:r>
                  <w:r w:rsidRPr="6B554ED8">
                    <w:rPr>
                      <w:rFonts w:ascii="Times New Roman" w:hAnsi="Times New Roman"/>
                      <w:b/>
                      <w:bCs/>
                      <w:sz w:val="24"/>
                      <w:szCs w:val="24"/>
                    </w:rPr>
                    <w:t>.</w:t>
                  </w:r>
                </w:p>
              </w:tc>
            </w:tr>
            <w:tr w:rsidR="001909F0" w14:paraId="077BA71A" w14:textId="77777777" w:rsidTr="000B240B">
              <w:tc>
                <w:tcPr>
                  <w:tcW w:w="3178" w:type="dxa"/>
                </w:tcPr>
                <w:p w14:paraId="22627BF3" w14:textId="75F5F747" w:rsidR="001909F0" w:rsidRPr="00340921" w:rsidRDefault="00D4700E" w:rsidP="001909F0">
                  <w:pPr>
                    <w:keepNext/>
                    <w:rPr>
                      <w:rFonts w:ascii="Times New Roman" w:hAnsi="Times New Roman"/>
                      <w:sz w:val="24"/>
                      <w:szCs w:val="24"/>
                    </w:rPr>
                  </w:pPr>
                  <w:r>
                    <w:rPr>
                      <w:rFonts w:ascii="Times New Roman" w:hAnsi="Times New Roman"/>
                      <w:sz w:val="24"/>
                      <w:szCs w:val="24"/>
                    </w:rPr>
                    <w:t>Atlīdzība</w:t>
                  </w:r>
                </w:p>
              </w:tc>
              <w:tc>
                <w:tcPr>
                  <w:tcW w:w="815" w:type="dxa"/>
                </w:tcPr>
                <w:p w14:paraId="3739EE06" w14:textId="24692D62" w:rsidR="001909F0" w:rsidRPr="007F0F8C" w:rsidRDefault="00E625B9" w:rsidP="001909F0">
                  <w:pPr>
                    <w:jc w:val="center"/>
                    <w:rPr>
                      <w:rFonts w:ascii="Times New Roman" w:hAnsi="Times New Roman"/>
                      <w:color w:val="000000"/>
                    </w:rPr>
                  </w:pPr>
                  <w:r>
                    <w:rPr>
                      <w:rFonts w:ascii="Times New Roman" w:hAnsi="Times New Roman"/>
                      <w:color w:val="000000"/>
                    </w:rPr>
                    <w:t>1000</w:t>
                  </w:r>
                </w:p>
              </w:tc>
              <w:tc>
                <w:tcPr>
                  <w:tcW w:w="1069" w:type="dxa"/>
                </w:tcPr>
                <w:p w14:paraId="446D205D" w14:textId="61533090" w:rsidR="001909F0" w:rsidRPr="00340921" w:rsidRDefault="00167195" w:rsidP="001909F0">
                  <w:pPr>
                    <w:jc w:val="right"/>
                    <w:rPr>
                      <w:rFonts w:ascii="Times New Roman" w:hAnsi="Times New Roman"/>
                      <w:color w:val="000000"/>
                      <w:sz w:val="24"/>
                      <w:szCs w:val="24"/>
                    </w:rPr>
                  </w:pPr>
                  <w:r w:rsidRPr="00167195">
                    <w:rPr>
                      <w:rFonts w:ascii="Times New Roman" w:hAnsi="Times New Roman"/>
                      <w:color w:val="000000" w:themeColor="text1"/>
                      <w:sz w:val="24"/>
                      <w:szCs w:val="24"/>
                    </w:rPr>
                    <w:t>468 149</w:t>
                  </w:r>
                </w:p>
              </w:tc>
              <w:tc>
                <w:tcPr>
                  <w:tcW w:w="1069" w:type="dxa"/>
                </w:tcPr>
                <w:p w14:paraId="297F74DD" w14:textId="27DEF88F" w:rsidR="001909F0" w:rsidRPr="00340921" w:rsidRDefault="00167195" w:rsidP="001909F0">
                  <w:pPr>
                    <w:jc w:val="right"/>
                    <w:rPr>
                      <w:rFonts w:ascii="Times New Roman" w:hAnsi="Times New Roman"/>
                      <w:color w:val="000000"/>
                      <w:sz w:val="24"/>
                      <w:szCs w:val="24"/>
                    </w:rPr>
                  </w:pPr>
                  <w:r w:rsidRPr="00167195">
                    <w:rPr>
                      <w:rFonts w:ascii="Times New Roman" w:hAnsi="Times New Roman"/>
                      <w:color w:val="000000" w:themeColor="text1"/>
                      <w:sz w:val="24"/>
                      <w:szCs w:val="24"/>
                    </w:rPr>
                    <w:t>468 149</w:t>
                  </w:r>
                </w:p>
              </w:tc>
              <w:tc>
                <w:tcPr>
                  <w:tcW w:w="1070" w:type="dxa"/>
                </w:tcPr>
                <w:p w14:paraId="19B31D67" w14:textId="0F89D9A4" w:rsidR="001909F0" w:rsidRPr="00340921" w:rsidRDefault="00167195" w:rsidP="001909F0">
                  <w:pPr>
                    <w:jc w:val="right"/>
                    <w:rPr>
                      <w:rFonts w:ascii="Times New Roman" w:hAnsi="Times New Roman"/>
                      <w:color w:val="000000"/>
                      <w:sz w:val="24"/>
                      <w:szCs w:val="24"/>
                    </w:rPr>
                  </w:pPr>
                  <w:r w:rsidRPr="00167195">
                    <w:rPr>
                      <w:rFonts w:ascii="Times New Roman" w:hAnsi="Times New Roman"/>
                      <w:color w:val="000000" w:themeColor="text1"/>
                      <w:sz w:val="24"/>
                      <w:szCs w:val="24"/>
                    </w:rPr>
                    <w:t>468 149</w:t>
                  </w:r>
                </w:p>
              </w:tc>
            </w:tr>
            <w:tr w:rsidR="001909F0" w14:paraId="6759D7B9" w14:textId="77777777" w:rsidTr="000B240B">
              <w:tc>
                <w:tcPr>
                  <w:tcW w:w="3178" w:type="dxa"/>
                </w:tcPr>
                <w:p w14:paraId="2DC64A24" w14:textId="628FB9F6" w:rsidR="001909F0" w:rsidRPr="00340921" w:rsidRDefault="00D4700E" w:rsidP="001909F0">
                  <w:pPr>
                    <w:rPr>
                      <w:rFonts w:ascii="Times New Roman" w:hAnsi="Times New Roman"/>
                      <w:sz w:val="24"/>
                      <w:szCs w:val="24"/>
                    </w:rPr>
                  </w:pPr>
                  <w:r>
                    <w:rPr>
                      <w:rFonts w:ascii="Times New Roman" w:hAnsi="Times New Roman"/>
                      <w:sz w:val="24"/>
                      <w:szCs w:val="24"/>
                    </w:rPr>
                    <w:t>Preces pakalpojumi</w:t>
                  </w:r>
                </w:p>
              </w:tc>
              <w:tc>
                <w:tcPr>
                  <w:tcW w:w="815" w:type="dxa"/>
                </w:tcPr>
                <w:p w14:paraId="2B171BAC" w14:textId="2F72F0E1" w:rsidR="001909F0" w:rsidRPr="007F0F8C" w:rsidRDefault="00E625B9" w:rsidP="001909F0">
                  <w:pPr>
                    <w:jc w:val="center"/>
                    <w:rPr>
                      <w:rFonts w:ascii="Times New Roman" w:hAnsi="Times New Roman"/>
                    </w:rPr>
                  </w:pPr>
                  <w:r>
                    <w:rPr>
                      <w:rFonts w:ascii="Times New Roman" w:hAnsi="Times New Roman"/>
                    </w:rPr>
                    <w:t>2000</w:t>
                  </w:r>
                </w:p>
              </w:tc>
              <w:tc>
                <w:tcPr>
                  <w:tcW w:w="1069" w:type="dxa"/>
                </w:tcPr>
                <w:p w14:paraId="308D7219" w14:textId="03200DE6" w:rsidR="001909F0" w:rsidRPr="00340921" w:rsidRDefault="00B460B1" w:rsidP="001909F0">
                  <w:pPr>
                    <w:jc w:val="right"/>
                    <w:rPr>
                      <w:rFonts w:ascii="Times New Roman" w:hAnsi="Times New Roman"/>
                      <w:color w:val="000000"/>
                      <w:sz w:val="24"/>
                      <w:szCs w:val="24"/>
                    </w:rPr>
                  </w:pPr>
                  <w:r w:rsidRPr="00B460B1">
                    <w:rPr>
                      <w:rFonts w:ascii="Times New Roman" w:hAnsi="Times New Roman"/>
                      <w:sz w:val="24"/>
                      <w:szCs w:val="24"/>
                    </w:rPr>
                    <w:t>35 784</w:t>
                  </w:r>
                </w:p>
              </w:tc>
              <w:tc>
                <w:tcPr>
                  <w:tcW w:w="1069" w:type="dxa"/>
                </w:tcPr>
                <w:p w14:paraId="3D5EF00A" w14:textId="5375AF55" w:rsidR="001909F0" w:rsidRPr="00340921" w:rsidRDefault="00B460B1" w:rsidP="001909F0">
                  <w:pPr>
                    <w:jc w:val="right"/>
                    <w:rPr>
                      <w:rFonts w:ascii="Times New Roman" w:hAnsi="Times New Roman"/>
                      <w:color w:val="000000"/>
                      <w:sz w:val="24"/>
                      <w:szCs w:val="24"/>
                    </w:rPr>
                  </w:pPr>
                  <w:r w:rsidRPr="00B460B1">
                    <w:rPr>
                      <w:rFonts w:ascii="Times New Roman" w:hAnsi="Times New Roman"/>
                      <w:sz w:val="24"/>
                      <w:szCs w:val="24"/>
                    </w:rPr>
                    <w:t>27 909</w:t>
                  </w:r>
                </w:p>
              </w:tc>
              <w:tc>
                <w:tcPr>
                  <w:tcW w:w="1070" w:type="dxa"/>
                </w:tcPr>
                <w:p w14:paraId="7E2B89FE" w14:textId="4F3FE620" w:rsidR="001909F0" w:rsidRPr="00340921" w:rsidRDefault="00B460B1" w:rsidP="001909F0">
                  <w:pPr>
                    <w:jc w:val="right"/>
                    <w:rPr>
                      <w:rFonts w:ascii="Times New Roman" w:hAnsi="Times New Roman"/>
                      <w:color w:val="000000"/>
                      <w:sz w:val="24"/>
                      <w:szCs w:val="24"/>
                    </w:rPr>
                  </w:pPr>
                  <w:r w:rsidRPr="00B460B1">
                    <w:rPr>
                      <w:rFonts w:ascii="Times New Roman" w:hAnsi="Times New Roman"/>
                      <w:sz w:val="24"/>
                      <w:szCs w:val="24"/>
                    </w:rPr>
                    <w:t>27 909</w:t>
                  </w:r>
                </w:p>
              </w:tc>
            </w:tr>
            <w:tr w:rsidR="001909F0" w14:paraId="4DFA5005" w14:textId="77777777" w:rsidTr="000B240B">
              <w:tc>
                <w:tcPr>
                  <w:tcW w:w="3178" w:type="dxa"/>
                </w:tcPr>
                <w:p w14:paraId="5385BD0C" w14:textId="6DD75389" w:rsidR="001909F0" w:rsidRPr="00340921" w:rsidRDefault="00D4700E" w:rsidP="001909F0">
                  <w:pPr>
                    <w:rPr>
                      <w:rFonts w:ascii="Times New Roman" w:hAnsi="Times New Roman"/>
                      <w:sz w:val="24"/>
                      <w:szCs w:val="24"/>
                    </w:rPr>
                  </w:pPr>
                  <w:r>
                    <w:rPr>
                      <w:rFonts w:ascii="Times New Roman" w:hAnsi="Times New Roman"/>
                      <w:sz w:val="24"/>
                      <w:szCs w:val="24"/>
                    </w:rPr>
                    <w:t>Pamatkapitāla veidošana</w:t>
                  </w:r>
                </w:p>
              </w:tc>
              <w:tc>
                <w:tcPr>
                  <w:tcW w:w="815" w:type="dxa"/>
                </w:tcPr>
                <w:p w14:paraId="4CB24814" w14:textId="0E279333" w:rsidR="001909F0" w:rsidRPr="007F0F8C" w:rsidRDefault="00E625B9" w:rsidP="001909F0">
                  <w:pPr>
                    <w:jc w:val="center"/>
                    <w:rPr>
                      <w:rFonts w:ascii="Times New Roman" w:hAnsi="Times New Roman"/>
                      <w:color w:val="000000"/>
                    </w:rPr>
                  </w:pPr>
                  <w:r>
                    <w:rPr>
                      <w:rFonts w:ascii="Times New Roman" w:hAnsi="Times New Roman"/>
                      <w:color w:val="000000"/>
                    </w:rPr>
                    <w:t>5000</w:t>
                  </w:r>
                </w:p>
              </w:tc>
              <w:tc>
                <w:tcPr>
                  <w:tcW w:w="1069" w:type="dxa"/>
                </w:tcPr>
                <w:p w14:paraId="6E84157C" w14:textId="2435B15D" w:rsidR="001909F0" w:rsidRPr="00340921" w:rsidRDefault="00FB6A66" w:rsidP="001909F0">
                  <w:pPr>
                    <w:jc w:val="right"/>
                    <w:rPr>
                      <w:rFonts w:ascii="Times New Roman" w:hAnsi="Times New Roman"/>
                      <w:color w:val="000000"/>
                      <w:sz w:val="24"/>
                      <w:szCs w:val="24"/>
                    </w:rPr>
                  </w:pPr>
                  <w:r w:rsidRPr="00FB6A66">
                    <w:rPr>
                      <w:rFonts w:ascii="Times New Roman" w:hAnsi="Times New Roman"/>
                      <w:color w:val="000000" w:themeColor="text1"/>
                      <w:sz w:val="24"/>
                      <w:szCs w:val="24"/>
                    </w:rPr>
                    <w:t>23 023</w:t>
                  </w:r>
                </w:p>
              </w:tc>
              <w:tc>
                <w:tcPr>
                  <w:tcW w:w="1069" w:type="dxa"/>
                </w:tcPr>
                <w:p w14:paraId="5C39174D" w14:textId="77777777" w:rsidR="001909F0" w:rsidRPr="00340921" w:rsidRDefault="001909F0" w:rsidP="001909F0">
                  <w:pPr>
                    <w:jc w:val="right"/>
                    <w:rPr>
                      <w:rFonts w:ascii="Times New Roman" w:hAnsi="Times New Roman"/>
                      <w:color w:val="000000"/>
                      <w:sz w:val="24"/>
                      <w:szCs w:val="24"/>
                    </w:rPr>
                  </w:pPr>
                  <w:r w:rsidRPr="6B554ED8">
                    <w:rPr>
                      <w:rFonts w:ascii="Times New Roman" w:hAnsi="Times New Roman"/>
                      <w:color w:val="000000" w:themeColor="text1"/>
                      <w:sz w:val="24"/>
                      <w:szCs w:val="24"/>
                    </w:rPr>
                    <w:t>0</w:t>
                  </w:r>
                </w:p>
              </w:tc>
              <w:tc>
                <w:tcPr>
                  <w:tcW w:w="1070" w:type="dxa"/>
                </w:tcPr>
                <w:p w14:paraId="153FDC7C" w14:textId="77777777" w:rsidR="001909F0" w:rsidRPr="00340921" w:rsidRDefault="001909F0" w:rsidP="001909F0">
                  <w:pPr>
                    <w:jc w:val="right"/>
                    <w:rPr>
                      <w:rFonts w:ascii="Times New Roman" w:hAnsi="Times New Roman"/>
                      <w:color w:val="000000"/>
                      <w:sz w:val="24"/>
                      <w:szCs w:val="24"/>
                    </w:rPr>
                  </w:pPr>
                  <w:r w:rsidRPr="6B554ED8">
                    <w:rPr>
                      <w:rFonts w:ascii="Times New Roman" w:hAnsi="Times New Roman"/>
                      <w:color w:val="000000" w:themeColor="text1"/>
                      <w:sz w:val="24"/>
                      <w:szCs w:val="24"/>
                    </w:rPr>
                    <w:t>0</w:t>
                  </w:r>
                </w:p>
              </w:tc>
            </w:tr>
            <w:tr w:rsidR="001909F0" w14:paraId="56FCED30" w14:textId="77777777" w:rsidTr="000B240B">
              <w:tc>
                <w:tcPr>
                  <w:tcW w:w="3178" w:type="dxa"/>
                </w:tcPr>
                <w:p w14:paraId="1A7A09EA" w14:textId="77777777" w:rsidR="001909F0" w:rsidRPr="00340921" w:rsidRDefault="001909F0" w:rsidP="001909F0">
                  <w:pPr>
                    <w:jc w:val="right"/>
                    <w:rPr>
                      <w:rFonts w:ascii="Times New Roman" w:hAnsi="Times New Roman"/>
                      <w:b/>
                      <w:bCs/>
                      <w:sz w:val="24"/>
                      <w:szCs w:val="24"/>
                    </w:rPr>
                  </w:pPr>
                  <w:r w:rsidRPr="6B554ED8">
                    <w:rPr>
                      <w:rFonts w:ascii="Times New Roman" w:hAnsi="Times New Roman"/>
                      <w:b/>
                      <w:bCs/>
                      <w:sz w:val="24"/>
                      <w:szCs w:val="24"/>
                    </w:rPr>
                    <w:t>Kopā:</w:t>
                  </w:r>
                </w:p>
              </w:tc>
              <w:tc>
                <w:tcPr>
                  <w:tcW w:w="815" w:type="dxa"/>
                </w:tcPr>
                <w:p w14:paraId="56DB0FA0" w14:textId="77777777" w:rsidR="001909F0" w:rsidRPr="007F0F8C" w:rsidRDefault="001909F0" w:rsidP="001909F0">
                  <w:pPr>
                    <w:jc w:val="right"/>
                    <w:rPr>
                      <w:rFonts w:ascii="Times New Roman" w:hAnsi="Times New Roman"/>
                      <w:b/>
                      <w:bCs/>
                      <w:color w:val="000000"/>
                    </w:rPr>
                  </w:pPr>
                </w:p>
              </w:tc>
              <w:tc>
                <w:tcPr>
                  <w:tcW w:w="1069" w:type="dxa"/>
                </w:tcPr>
                <w:p w14:paraId="2CF3611E" w14:textId="697BC908" w:rsidR="001909F0" w:rsidRPr="006A374A" w:rsidRDefault="00FB6A66" w:rsidP="001909F0">
                  <w:pPr>
                    <w:jc w:val="right"/>
                    <w:rPr>
                      <w:rFonts w:ascii="Times New Roman" w:hAnsi="Times New Roman"/>
                      <w:b/>
                      <w:bCs/>
                      <w:sz w:val="24"/>
                      <w:szCs w:val="24"/>
                    </w:rPr>
                  </w:pPr>
                  <w:r w:rsidRPr="00FB6A66">
                    <w:rPr>
                      <w:rFonts w:ascii="Times New Roman" w:hAnsi="Times New Roman"/>
                      <w:b/>
                      <w:bCs/>
                      <w:color w:val="000000" w:themeColor="text1"/>
                      <w:sz w:val="24"/>
                      <w:szCs w:val="24"/>
                    </w:rPr>
                    <w:t>526 956</w:t>
                  </w:r>
                </w:p>
              </w:tc>
              <w:tc>
                <w:tcPr>
                  <w:tcW w:w="1069" w:type="dxa"/>
                </w:tcPr>
                <w:p w14:paraId="0FE17645" w14:textId="61B3FCA1" w:rsidR="001909F0" w:rsidRPr="006A374A" w:rsidRDefault="00FB6A66" w:rsidP="001909F0">
                  <w:pPr>
                    <w:jc w:val="right"/>
                    <w:rPr>
                      <w:rFonts w:ascii="Times New Roman" w:hAnsi="Times New Roman"/>
                      <w:b/>
                      <w:bCs/>
                      <w:sz w:val="24"/>
                      <w:szCs w:val="24"/>
                    </w:rPr>
                  </w:pPr>
                  <w:r w:rsidRPr="00FB6A66">
                    <w:rPr>
                      <w:rFonts w:ascii="Times New Roman" w:hAnsi="Times New Roman"/>
                      <w:b/>
                      <w:bCs/>
                      <w:color w:val="000000" w:themeColor="text1"/>
                      <w:sz w:val="24"/>
                      <w:szCs w:val="24"/>
                    </w:rPr>
                    <w:t>496 058</w:t>
                  </w:r>
                </w:p>
              </w:tc>
              <w:tc>
                <w:tcPr>
                  <w:tcW w:w="1070" w:type="dxa"/>
                </w:tcPr>
                <w:p w14:paraId="5782FBA6" w14:textId="4E451E72" w:rsidR="001909F0" w:rsidRPr="006A374A" w:rsidRDefault="00FB6A66" w:rsidP="001909F0">
                  <w:pPr>
                    <w:jc w:val="right"/>
                    <w:rPr>
                      <w:rFonts w:ascii="Times New Roman" w:hAnsi="Times New Roman"/>
                      <w:b/>
                      <w:bCs/>
                      <w:sz w:val="24"/>
                      <w:szCs w:val="24"/>
                    </w:rPr>
                  </w:pPr>
                  <w:r w:rsidRPr="00FB6A66">
                    <w:rPr>
                      <w:rFonts w:ascii="Times New Roman" w:hAnsi="Times New Roman"/>
                      <w:b/>
                      <w:bCs/>
                      <w:color w:val="000000" w:themeColor="text1"/>
                      <w:sz w:val="24"/>
                      <w:szCs w:val="24"/>
                    </w:rPr>
                    <w:t>496 058</w:t>
                  </w:r>
                </w:p>
              </w:tc>
            </w:tr>
          </w:tbl>
          <w:p w14:paraId="4B37F1B0" w14:textId="2A501030" w:rsidR="00984F13" w:rsidRDefault="00984F13" w:rsidP="000B240B"/>
        </w:tc>
      </w:tr>
      <w:tr w:rsidR="004F33B0" w14:paraId="50AF8B13" w14:textId="77777777" w:rsidTr="000B240B">
        <w:tc>
          <w:tcPr>
            <w:tcW w:w="1205" w:type="dxa"/>
            <w:shd w:val="clear" w:color="auto" w:fill="FFFFFF"/>
            <w:noWrap/>
            <w:tcMar>
              <w:top w:w="75" w:type="dxa"/>
              <w:left w:w="75" w:type="dxa"/>
              <w:bottom w:w="75" w:type="dxa"/>
              <w:right w:w="75" w:type="dxa"/>
            </w:tcMar>
            <w:vAlign w:val="center"/>
          </w:tcPr>
          <w:p w14:paraId="744102E7" w14:textId="77777777" w:rsidR="004F33B0" w:rsidRDefault="004F33B0" w:rsidP="000B240B">
            <w:pPr>
              <w:rPr>
                <w:sz w:val="24"/>
              </w:rPr>
            </w:pPr>
            <w:r>
              <w:rPr>
                <w:sz w:val="24"/>
              </w:rPr>
              <w:lastRenderedPageBreak/>
              <w:t xml:space="preserve">7. Amata vietu skaita izmaiņas (palielinājuma gadījumā: izvērsts pamatojums, </w:t>
            </w:r>
            <w:proofErr w:type="spellStart"/>
            <w:r>
              <w:rPr>
                <w:sz w:val="24"/>
              </w:rPr>
              <w:t>izvērtējums</w:t>
            </w:r>
            <w:proofErr w:type="spellEnd"/>
            <w:r>
              <w:rPr>
                <w:sz w:val="24"/>
              </w:rPr>
              <w:t xml:space="preserve"> par esošo resursu pārskatīšanas iespējām, t.sk. vakanto štata vietu, ilgstošo vakanču izmantošanu u.c.)</w:t>
            </w:r>
          </w:p>
        </w:tc>
        <w:tc>
          <w:tcPr>
            <w:tcW w:w="8435" w:type="dxa"/>
            <w:gridSpan w:val="7"/>
            <w:shd w:val="clear" w:color="auto" w:fill="FFFFFF"/>
            <w:noWrap/>
            <w:tcMar>
              <w:top w:w="75" w:type="dxa"/>
              <w:left w:w="75" w:type="dxa"/>
              <w:bottom w:w="75" w:type="dxa"/>
              <w:right w:w="75" w:type="dxa"/>
            </w:tcMar>
            <w:vAlign w:val="center"/>
          </w:tcPr>
          <w:p w14:paraId="5172C635" w14:textId="57479CCA" w:rsidR="000407EB" w:rsidRDefault="000407EB" w:rsidP="000B240B">
            <w:pPr>
              <w:rPr>
                <w:sz w:val="24"/>
                <w:szCs w:val="24"/>
              </w:rPr>
            </w:pPr>
            <w:r w:rsidRPr="000407EB">
              <w:rPr>
                <w:sz w:val="24"/>
                <w:szCs w:val="24"/>
              </w:rPr>
              <w:t xml:space="preserve">Pēc </w:t>
            </w:r>
            <w:r>
              <w:rPr>
                <w:sz w:val="24"/>
                <w:szCs w:val="24"/>
              </w:rPr>
              <w:t xml:space="preserve">DAGR </w:t>
            </w:r>
            <w:r w:rsidRPr="000407EB">
              <w:rPr>
                <w:sz w:val="24"/>
                <w:szCs w:val="24"/>
              </w:rPr>
              <w:t xml:space="preserve">projekta realizācijas DAGR plānots uzturēt un attīstīt kā vienu no būtiskākajiem koplietošanas risinājumiem datu pārvaldības īstenošanai valsts pārvaldē.  </w:t>
            </w:r>
          </w:p>
          <w:p w14:paraId="4C00C5AC" w14:textId="39A386AF" w:rsidR="004F33B0" w:rsidRDefault="00F65CC2" w:rsidP="000B240B">
            <w:pPr>
              <w:rPr>
                <w:sz w:val="24"/>
                <w:szCs w:val="24"/>
              </w:rPr>
            </w:pPr>
            <w:r>
              <w:rPr>
                <w:sz w:val="24"/>
                <w:szCs w:val="24"/>
              </w:rPr>
              <w:t>Līdz šim VRAA</w:t>
            </w:r>
            <w:r w:rsidR="00D86CD2">
              <w:rPr>
                <w:sz w:val="24"/>
                <w:szCs w:val="24"/>
              </w:rPr>
              <w:t xml:space="preserve"> attiecībā uz vals</w:t>
            </w:r>
            <w:r w:rsidR="000C54C3">
              <w:rPr>
                <w:sz w:val="24"/>
                <w:szCs w:val="24"/>
              </w:rPr>
              <w:t>ts informācijas sistēmu uzturēšanu</w:t>
            </w:r>
            <w:r>
              <w:rPr>
                <w:sz w:val="24"/>
                <w:szCs w:val="24"/>
              </w:rPr>
              <w:t xml:space="preserve"> ir nodrošinājis tikai </w:t>
            </w:r>
            <w:r w:rsidR="007019A9" w:rsidRPr="007019A9">
              <w:rPr>
                <w:sz w:val="24"/>
                <w:szCs w:val="24"/>
              </w:rPr>
              <w:t>informācijas un komunikācijas tehnoloģiju infrastruktūras pakalpojumu nodrošin</w:t>
            </w:r>
            <w:r w:rsidR="00E01283">
              <w:rPr>
                <w:sz w:val="24"/>
                <w:szCs w:val="24"/>
              </w:rPr>
              <w:t xml:space="preserve">āšanu VISS </w:t>
            </w:r>
            <w:r w:rsidR="002F492E">
              <w:rPr>
                <w:sz w:val="24"/>
                <w:szCs w:val="24"/>
              </w:rPr>
              <w:t xml:space="preserve">un vairākām valsts informācijas sistēmām. DAGR </w:t>
            </w:r>
            <w:r w:rsidR="00661E16">
              <w:rPr>
                <w:sz w:val="24"/>
                <w:szCs w:val="24"/>
              </w:rPr>
              <w:t>gadījumā būs nepieciešams nodrošināt papildus arī</w:t>
            </w:r>
            <w:r w:rsidR="004A0626">
              <w:rPr>
                <w:sz w:val="24"/>
                <w:szCs w:val="24"/>
              </w:rPr>
              <w:t xml:space="preserve"> </w:t>
            </w:r>
            <w:r w:rsidR="00CD42B8">
              <w:rPr>
                <w:sz w:val="24"/>
                <w:szCs w:val="24"/>
              </w:rPr>
              <w:t xml:space="preserve">DAGR iekļauto </w:t>
            </w:r>
            <w:r w:rsidR="00CD42B8" w:rsidRPr="0029713B">
              <w:rPr>
                <w:sz w:val="24"/>
                <w:szCs w:val="24"/>
              </w:rPr>
              <w:t>datu pārvaldības īstenošan</w:t>
            </w:r>
            <w:r w:rsidR="00C74BB6">
              <w:rPr>
                <w:sz w:val="24"/>
                <w:szCs w:val="24"/>
              </w:rPr>
              <w:t xml:space="preserve">u. Šī ir </w:t>
            </w:r>
            <w:r w:rsidR="002668C7">
              <w:rPr>
                <w:sz w:val="24"/>
                <w:szCs w:val="24"/>
              </w:rPr>
              <w:t>jauna</w:t>
            </w:r>
            <w:r w:rsidR="00F17290">
              <w:rPr>
                <w:sz w:val="24"/>
                <w:szCs w:val="24"/>
              </w:rPr>
              <w:t xml:space="preserve"> papildus</w:t>
            </w:r>
            <w:r w:rsidR="00C74BB6">
              <w:rPr>
                <w:sz w:val="24"/>
                <w:szCs w:val="24"/>
              </w:rPr>
              <w:t xml:space="preserve"> funkcija</w:t>
            </w:r>
            <w:r w:rsidR="00F17290">
              <w:rPr>
                <w:sz w:val="24"/>
                <w:szCs w:val="24"/>
              </w:rPr>
              <w:t xml:space="preserve"> VRAA</w:t>
            </w:r>
            <w:r w:rsidR="00C74BB6">
              <w:rPr>
                <w:sz w:val="24"/>
                <w:szCs w:val="24"/>
              </w:rPr>
              <w:t>, kuras nodrošināš</w:t>
            </w:r>
            <w:r w:rsidR="009817CD">
              <w:rPr>
                <w:sz w:val="24"/>
                <w:szCs w:val="24"/>
              </w:rPr>
              <w:t>a</w:t>
            </w:r>
            <w:r w:rsidR="00C74BB6">
              <w:rPr>
                <w:sz w:val="24"/>
                <w:szCs w:val="24"/>
              </w:rPr>
              <w:t>nai nepiecieš</w:t>
            </w:r>
            <w:r w:rsidR="009817CD">
              <w:rPr>
                <w:sz w:val="24"/>
                <w:szCs w:val="24"/>
              </w:rPr>
              <w:t>amas papildus septiņas amata vietas</w:t>
            </w:r>
            <w:r w:rsidR="001820FC">
              <w:rPr>
                <w:sz w:val="24"/>
                <w:szCs w:val="24"/>
              </w:rPr>
              <w:t xml:space="preserve">. </w:t>
            </w:r>
            <w:r w:rsidR="00CD2DA1">
              <w:rPr>
                <w:sz w:val="24"/>
                <w:szCs w:val="24"/>
              </w:rPr>
              <w:t>Minētajām amata vietām būs jānodrošina:</w:t>
            </w:r>
          </w:p>
          <w:p w14:paraId="41641889" w14:textId="77777777" w:rsidR="00CD2DA1" w:rsidRDefault="003B2D14" w:rsidP="00CD2DA1">
            <w:pPr>
              <w:pStyle w:val="ListParagraph"/>
              <w:numPr>
                <w:ilvl w:val="0"/>
                <w:numId w:val="14"/>
              </w:numPr>
              <w:rPr>
                <w:sz w:val="24"/>
                <w:szCs w:val="24"/>
              </w:rPr>
            </w:pPr>
            <w:r w:rsidRPr="003B2D14">
              <w:rPr>
                <w:sz w:val="24"/>
                <w:szCs w:val="24"/>
              </w:rPr>
              <w:t>DAGR vienotā</w:t>
            </w:r>
            <w:r>
              <w:rPr>
                <w:sz w:val="24"/>
                <w:szCs w:val="24"/>
              </w:rPr>
              <w:t xml:space="preserve"> datu modeļa </w:t>
            </w:r>
            <w:r w:rsidR="00AE5842">
              <w:rPr>
                <w:sz w:val="24"/>
                <w:szCs w:val="24"/>
              </w:rPr>
              <w:t>uzturēšanu un konfigurēšanu;</w:t>
            </w:r>
          </w:p>
          <w:p w14:paraId="03099FD8" w14:textId="77777777" w:rsidR="00AE5842" w:rsidRDefault="00AE5842" w:rsidP="00CD2DA1">
            <w:pPr>
              <w:pStyle w:val="ListParagraph"/>
              <w:numPr>
                <w:ilvl w:val="0"/>
                <w:numId w:val="14"/>
              </w:numPr>
              <w:rPr>
                <w:sz w:val="24"/>
                <w:szCs w:val="24"/>
              </w:rPr>
            </w:pPr>
            <w:r>
              <w:rPr>
                <w:sz w:val="24"/>
                <w:szCs w:val="24"/>
              </w:rPr>
              <w:t>Jaunu datu devēju datu modeļu definēšanu;</w:t>
            </w:r>
          </w:p>
          <w:p w14:paraId="172AFD04" w14:textId="74E7BA03" w:rsidR="00E73E18" w:rsidRPr="00E73E18" w:rsidRDefault="00E73E18" w:rsidP="00E73E18">
            <w:pPr>
              <w:pStyle w:val="ListParagraph"/>
              <w:numPr>
                <w:ilvl w:val="0"/>
                <w:numId w:val="14"/>
              </w:numPr>
              <w:rPr>
                <w:sz w:val="24"/>
                <w:szCs w:val="24"/>
              </w:rPr>
            </w:pPr>
            <w:r w:rsidRPr="00E73E18">
              <w:rPr>
                <w:sz w:val="24"/>
                <w:szCs w:val="24"/>
              </w:rPr>
              <w:t>DAGR datu arhitektūras vadlīniju veidošanu;</w:t>
            </w:r>
          </w:p>
          <w:p w14:paraId="673941B1" w14:textId="77777777" w:rsidR="00E73E18" w:rsidRPr="00E73E18" w:rsidRDefault="00E73E18" w:rsidP="00E73E18">
            <w:pPr>
              <w:pStyle w:val="ListParagraph"/>
              <w:numPr>
                <w:ilvl w:val="0"/>
                <w:numId w:val="14"/>
              </w:numPr>
              <w:rPr>
                <w:sz w:val="24"/>
                <w:szCs w:val="24"/>
              </w:rPr>
            </w:pPr>
            <w:r w:rsidRPr="00E73E18">
              <w:rPr>
                <w:sz w:val="24"/>
                <w:szCs w:val="24"/>
              </w:rPr>
              <w:t>DAGR datu arhitektūras uzturēšanu, papildināšanu un izmaiņu veikšanu;</w:t>
            </w:r>
          </w:p>
          <w:p w14:paraId="1A9A08D5" w14:textId="77777777" w:rsidR="00E73E18" w:rsidRPr="00E73E18" w:rsidRDefault="00E73E18" w:rsidP="00E73E18">
            <w:pPr>
              <w:pStyle w:val="ListParagraph"/>
              <w:numPr>
                <w:ilvl w:val="0"/>
                <w:numId w:val="14"/>
              </w:numPr>
              <w:rPr>
                <w:sz w:val="24"/>
                <w:szCs w:val="24"/>
              </w:rPr>
            </w:pPr>
            <w:r w:rsidRPr="00E73E18">
              <w:rPr>
                <w:sz w:val="24"/>
                <w:szCs w:val="24"/>
              </w:rPr>
              <w:t xml:space="preserve">Datu avotu kartēšanu, datu kustības un </w:t>
            </w:r>
            <w:proofErr w:type="spellStart"/>
            <w:r w:rsidRPr="00E73E18">
              <w:rPr>
                <w:sz w:val="24"/>
                <w:szCs w:val="24"/>
              </w:rPr>
              <w:t>saskarņu</w:t>
            </w:r>
            <w:proofErr w:type="spellEnd"/>
            <w:r w:rsidRPr="00E73E18">
              <w:rPr>
                <w:sz w:val="24"/>
                <w:szCs w:val="24"/>
              </w:rPr>
              <w:t xml:space="preserve"> pārraudzīšanu ar mērķi nodrošināt datu kvalitāti;</w:t>
            </w:r>
          </w:p>
          <w:p w14:paraId="22518B94" w14:textId="77777777" w:rsidR="00E73E18" w:rsidRPr="00E73E18" w:rsidRDefault="00E73E18" w:rsidP="00E73E18">
            <w:pPr>
              <w:pStyle w:val="ListParagraph"/>
              <w:numPr>
                <w:ilvl w:val="0"/>
                <w:numId w:val="14"/>
              </w:numPr>
              <w:rPr>
                <w:sz w:val="24"/>
                <w:szCs w:val="24"/>
              </w:rPr>
            </w:pPr>
            <w:r w:rsidRPr="00E73E18">
              <w:rPr>
                <w:sz w:val="24"/>
                <w:szCs w:val="24"/>
              </w:rPr>
              <w:t>Problēmu risināšanu, kas saistītas ar datiem un datu avotu integrācijām ar DAGR;</w:t>
            </w:r>
          </w:p>
          <w:p w14:paraId="649A84BD" w14:textId="77777777" w:rsidR="00E73E18" w:rsidRPr="00E73E18" w:rsidRDefault="00E73E18" w:rsidP="00E73E18">
            <w:pPr>
              <w:pStyle w:val="ListParagraph"/>
              <w:numPr>
                <w:ilvl w:val="0"/>
                <w:numId w:val="14"/>
              </w:numPr>
              <w:rPr>
                <w:sz w:val="24"/>
                <w:szCs w:val="24"/>
              </w:rPr>
            </w:pPr>
            <w:r w:rsidRPr="00E73E18">
              <w:rPr>
                <w:sz w:val="24"/>
                <w:szCs w:val="24"/>
              </w:rPr>
              <w:t>Atbalsta sniegšanu DAGR lietotājiem.</w:t>
            </w:r>
          </w:p>
          <w:p w14:paraId="7D195A71" w14:textId="41D30183" w:rsidR="00AE5842" w:rsidRPr="004D30AC" w:rsidRDefault="009874AF" w:rsidP="004D30AC">
            <w:pPr>
              <w:rPr>
                <w:sz w:val="24"/>
                <w:szCs w:val="24"/>
              </w:rPr>
            </w:pPr>
            <w:r>
              <w:rPr>
                <w:sz w:val="24"/>
                <w:szCs w:val="24"/>
              </w:rPr>
              <w:t>Papildus norādāms, ka DAGR projekta īstenošanas sākuma fāzē, plānots ie</w:t>
            </w:r>
            <w:r w:rsidR="003D53AC">
              <w:rPr>
                <w:sz w:val="24"/>
                <w:szCs w:val="24"/>
              </w:rPr>
              <w:t>k</w:t>
            </w:r>
            <w:r>
              <w:rPr>
                <w:sz w:val="24"/>
                <w:szCs w:val="24"/>
              </w:rPr>
              <w:t xml:space="preserve">ļaut DAGR informāciju tikai no </w:t>
            </w:r>
            <w:r w:rsidR="008D0B8C">
              <w:rPr>
                <w:sz w:val="24"/>
                <w:szCs w:val="24"/>
              </w:rPr>
              <w:t xml:space="preserve">10 valsts informācijas sistēmām. Taču ņemot vērā Saeimas komisijas </w:t>
            </w:r>
            <w:r w:rsidR="009E19D0">
              <w:rPr>
                <w:sz w:val="24"/>
                <w:szCs w:val="24"/>
              </w:rPr>
              <w:t>vēstulē doto uzdevumu, līdz</w:t>
            </w:r>
            <w:r w:rsidR="009A3C40" w:rsidRPr="009A3C40">
              <w:rPr>
                <w:sz w:val="24"/>
                <w:szCs w:val="24"/>
              </w:rPr>
              <w:t xml:space="preserve"> 2024.gadam bū</w:t>
            </w:r>
            <w:r w:rsidR="00181C3F">
              <w:rPr>
                <w:sz w:val="24"/>
                <w:szCs w:val="24"/>
              </w:rPr>
              <w:t>s nepieciešams nodrošināt, ka DAGR ir</w:t>
            </w:r>
            <w:r w:rsidR="009A3C40" w:rsidRPr="009A3C40">
              <w:rPr>
                <w:sz w:val="24"/>
                <w:szCs w:val="24"/>
              </w:rPr>
              <w:t xml:space="preserve"> pieejami dati vismaz no 50% valsts informācijas sistēmām</w:t>
            </w:r>
            <w:r w:rsidR="00794063">
              <w:rPr>
                <w:sz w:val="24"/>
                <w:szCs w:val="24"/>
              </w:rPr>
              <w:t>, kas ir ļoti būtisks DAGR darba apjoma pieaugums.</w:t>
            </w:r>
          </w:p>
        </w:tc>
      </w:tr>
    </w:tbl>
    <w:p w14:paraId="7D2843D9" w14:textId="77777777" w:rsidR="004F33B0" w:rsidRDefault="004F33B0"/>
    <w:p w14:paraId="02EB8517" w14:textId="77777777" w:rsidR="00BB1FE9" w:rsidRDefault="00002DEF">
      <w:pPr>
        <w:spacing w:before="90" w:after="90"/>
      </w:pPr>
      <w:r>
        <w:rPr>
          <w:b/>
        </w:rPr>
        <w:t>Cita informācija</w:t>
      </w:r>
    </w:p>
    <w:p w14:paraId="1F28660D" w14:textId="77777777" w:rsidR="00EF5AB4" w:rsidRDefault="00EF5AB4"/>
    <w:p w14:paraId="03B875FF" w14:textId="1D5D8E54" w:rsidR="00EF5AB4" w:rsidRDefault="00EF5AB4">
      <w:r>
        <w:t xml:space="preserve">Lai arī pēc DAGR projekta īstenošanas varētu paplašināt centralizēti pārvaldāmo valsts pārvaldes rīcībā esošo datu apjomu, tajā skaitā izpildot Saeimas komisijas doto uzdevumu VARAM </w:t>
      </w:r>
      <w:r w:rsidRPr="00CD6205">
        <w:t>nodrošināt vienotu, centralizētu datu izplatīšanas un pārvaldības platformas risinājumu, kurā līdz 2024.gadam būtu pieejami dati vismaz no 50% valsts informācijas sistēmām</w:t>
      </w:r>
      <w:r>
        <w:t xml:space="preserve">, </w:t>
      </w:r>
      <w:r w:rsidR="00C304F7">
        <w:t xml:space="preserve">no 2024.gada </w:t>
      </w:r>
      <w:r>
        <w:t xml:space="preserve">būs nepieciešams papildus finansējums DAGR </w:t>
      </w:r>
      <w:r>
        <w:lastRenderedPageBreak/>
        <w:t xml:space="preserve">papildus </w:t>
      </w:r>
      <w:r w:rsidRPr="00AE2D78">
        <w:t>IKT infrastruktūras pakalpojumu saņemšanai</w:t>
      </w:r>
      <w:r>
        <w:t xml:space="preserve"> izmantojot </w:t>
      </w:r>
      <w:r w:rsidRPr="000228CA">
        <w:t xml:space="preserve">valsts </w:t>
      </w:r>
      <w:proofErr w:type="spellStart"/>
      <w:r w:rsidRPr="000228CA">
        <w:t>federētā</w:t>
      </w:r>
      <w:proofErr w:type="spellEnd"/>
      <w:r w:rsidRPr="000228CA">
        <w:t xml:space="preserve"> mākoņa ietvaros</w:t>
      </w:r>
      <w:r>
        <w:t xml:space="preserve"> sniegtos pakalpojumus.</w:t>
      </w:r>
      <w:r w:rsidR="005761F0">
        <w:t xml:space="preserve"> Ņemot vērā, ka šobrīd vēl nav </w:t>
      </w:r>
      <w:r w:rsidR="00670796" w:rsidRPr="006705F5">
        <w:t>zināmas</w:t>
      </w:r>
      <w:r w:rsidR="00533077">
        <w:t xml:space="preserve"> visu</w:t>
      </w:r>
      <w:r w:rsidR="00F15E6B">
        <w:t xml:space="preserve"> </w:t>
      </w:r>
      <w:r w:rsidR="00F15E6B" w:rsidRPr="000228CA">
        <w:t xml:space="preserve">valsts </w:t>
      </w:r>
      <w:proofErr w:type="spellStart"/>
      <w:r w:rsidR="00F15E6B" w:rsidRPr="000228CA">
        <w:t>federētā</w:t>
      </w:r>
      <w:proofErr w:type="spellEnd"/>
      <w:r w:rsidR="00F15E6B" w:rsidRPr="000228CA">
        <w:t xml:space="preserve"> mākoņa ietvaros</w:t>
      </w:r>
      <w:r w:rsidR="00F15E6B">
        <w:t xml:space="preserve"> sniegt</w:t>
      </w:r>
      <w:r w:rsidR="00533077">
        <w:t>o</w:t>
      </w:r>
      <w:r w:rsidR="00F15E6B">
        <w:t xml:space="preserve"> pakalpojum</w:t>
      </w:r>
      <w:r w:rsidR="00533077">
        <w:t>u izmaksas, kā arī šo izmaksu segšanas kārtība</w:t>
      </w:r>
      <w:r w:rsidR="00F15E6B">
        <w:t xml:space="preserve">, nepieciešamais finansējuma apjoms uz doto brīdi nav zinām. </w:t>
      </w:r>
      <w:r>
        <w:t xml:space="preserve"> Līdz ar to noteikumu projekta </w:t>
      </w:r>
      <w:proofErr w:type="spellStart"/>
      <w:r>
        <w:t>protokollēmumā</w:t>
      </w:r>
      <w:proofErr w:type="spellEnd"/>
      <w:r>
        <w:t xml:space="preserve"> tiek dots uzdevums VARAM </w:t>
      </w:r>
      <w:r w:rsidRPr="00AE2D78">
        <w:t xml:space="preserve">līdz 2024. gada 1.janvārim </w:t>
      </w:r>
      <w:r w:rsidR="00A371C4">
        <w:t>pieprasīt</w:t>
      </w:r>
      <w:r w:rsidRPr="00AE2D78">
        <w:t xml:space="preserve"> finansējumu DAGR IKT infrastruktūras pakalpojumu saņemšanai, lai nodrošinātu DAGR darbību pēc </w:t>
      </w:r>
      <w:r>
        <w:t>DAGR projekta</w:t>
      </w:r>
      <w:r w:rsidRPr="00AE2D78">
        <w:t xml:space="preserve"> īstenošanas</w:t>
      </w:r>
      <w:r w:rsidR="00AF46FD">
        <w:t xml:space="preserve">, kā arī </w:t>
      </w:r>
      <w:r w:rsidR="000C5627" w:rsidRPr="000677F9">
        <w:t xml:space="preserve">līdz 2024. gada 1. janvārim izstrādāt un iesniegt Ministru kabinetā noteikumus par valsts </w:t>
      </w:r>
      <w:proofErr w:type="spellStart"/>
      <w:r w:rsidR="000C5627" w:rsidRPr="000677F9">
        <w:t>federētā</w:t>
      </w:r>
      <w:proofErr w:type="spellEnd"/>
      <w:r w:rsidR="000C5627" w:rsidRPr="000677F9">
        <w:t xml:space="preserve"> mākoņa pakalpojumu izmantošanas kārtību</w:t>
      </w:r>
      <w:r w:rsidR="003F6357">
        <w:t>.</w:t>
      </w:r>
    </w:p>
    <w:p w14:paraId="39A808F4" w14:textId="77777777" w:rsidR="00BB1FE9" w:rsidRDefault="00002DEF">
      <w:pPr>
        <w:spacing w:before="180"/>
      </w:pPr>
      <w:r>
        <w:rPr>
          <w:b/>
          <w:sz w:val="32"/>
        </w:rPr>
        <w:t>4. Tiesību akta projekta ietekme uz spēkā esošo tiesību normu sistēmu</w:t>
      </w:r>
    </w:p>
    <w:p w14:paraId="7E6C3956" w14:textId="77777777" w:rsidR="00BB1FE9" w:rsidRDefault="00002DEF">
      <w:pPr>
        <w:spacing w:before="90" w:after="90"/>
      </w:pPr>
      <w:r>
        <w:rPr>
          <w:b/>
        </w:rPr>
        <w:t>Vai projekts skar šo jomu?</w:t>
      </w:r>
    </w:p>
    <w:p w14:paraId="18E0A5B6" w14:textId="77777777" w:rsidR="00BB1FE9" w:rsidRDefault="00002DEF">
      <w:r>
        <w:t>Nē</w:t>
      </w:r>
    </w:p>
    <w:p w14:paraId="7D41E831" w14:textId="77777777" w:rsidR="00BB1FE9" w:rsidRDefault="00002DEF">
      <w:pPr>
        <w:spacing w:before="270" w:after="180"/>
      </w:pPr>
      <w:r>
        <w:rPr>
          <w:b/>
          <w:sz w:val="30"/>
        </w:rPr>
        <w:t>4.2. Cita informācija</w:t>
      </w:r>
    </w:p>
    <w:p w14:paraId="64759F07" w14:textId="77777777" w:rsidR="00BB1FE9" w:rsidRDefault="00002DEF">
      <w:r>
        <w:t>-</w:t>
      </w:r>
    </w:p>
    <w:p w14:paraId="0F62B9DF" w14:textId="77777777" w:rsidR="00BB1FE9" w:rsidRDefault="00002DEF">
      <w:pPr>
        <w:spacing w:before="180"/>
      </w:pPr>
      <w:r>
        <w:rPr>
          <w:b/>
          <w:sz w:val="32"/>
        </w:rPr>
        <w:t>5. Tiesību akta projekta atbilstība Latvijas Republikas starptautiskajām saistībām</w:t>
      </w:r>
    </w:p>
    <w:p w14:paraId="598149D2" w14:textId="77777777" w:rsidR="00BB1FE9" w:rsidRDefault="00002DEF">
      <w:pPr>
        <w:spacing w:before="90" w:after="90"/>
      </w:pPr>
      <w:r>
        <w:rPr>
          <w:b/>
        </w:rPr>
        <w:t>Vai projekts skar šo jomu?</w:t>
      </w:r>
    </w:p>
    <w:p w14:paraId="4FF9E4C4" w14:textId="77777777" w:rsidR="00BB1FE9" w:rsidRDefault="00002DEF">
      <w:r>
        <w:t>Nē</w:t>
      </w:r>
    </w:p>
    <w:p w14:paraId="40CA0720" w14:textId="77777777" w:rsidR="00BB1FE9" w:rsidRDefault="00002DEF">
      <w:pPr>
        <w:spacing w:before="270" w:after="180"/>
      </w:pPr>
      <w:r>
        <w:rPr>
          <w:b/>
          <w:sz w:val="30"/>
        </w:rPr>
        <w:t>5.3. Cita informācija</w:t>
      </w:r>
    </w:p>
    <w:p w14:paraId="21801AE3" w14:textId="77777777" w:rsidR="00BB1FE9" w:rsidRDefault="00002DEF">
      <w:pPr>
        <w:spacing w:before="90" w:after="90"/>
      </w:pPr>
      <w:r>
        <w:rPr>
          <w:b/>
        </w:rPr>
        <w:t>Apraksts</w:t>
      </w:r>
    </w:p>
    <w:p w14:paraId="4A943C26" w14:textId="77777777" w:rsidR="00BB1FE9" w:rsidRDefault="00002DEF">
      <w:r>
        <w:t>-</w:t>
      </w:r>
    </w:p>
    <w:p w14:paraId="33D454CC" w14:textId="77777777" w:rsidR="00BB1FE9" w:rsidRDefault="00002DEF">
      <w:pPr>
        <w:spacing w:before="180"/>
      </w:pPr>
      <w:r>
        <w:rPr>
          <w:b/>
          <w:sz w:val="32"/>
        </w:rPr>
        <w:t>6. Projekta izstrādē iesaistītās institūcijas un sabiedrības līdzdalības process</w:t>
      </w:r>
    </w:p>
    <w:p w14:paraId="73C5EB86" w14:textId="77777777" w:rsidR="00BB1FE9" w:rsidRDefault="00002DEF">
      <w:pPr>
        <w:spacing w:before="90" w:after="90"/>
      </w:pPr>
      <w:r>
        <w:rPr>
          <w:b/>
        </w:rPr>
        <w:t>Sabiedrības līdzdalība uz šo tiesību akta projektu neattiecas</w:t>
      </w:r>
    </w:p>
    <w:p w14:paraId="0AE97695" w14:textId="5DC9C02E" w:rsidR="00BB1FE9" w:rsidRDefault="001322DF">
      <w:r>
        <w:t>Nē</w:t>
      </w:r>
    </w:p>
    <w:p w14:paraId="6F8CC034" w14:textId="77777777" w:rsidR="00BB1FE9" w:rsidRDefault="00002DEF">
      <w:pPr>
        <w:spacing w:before="270" w:after="180"/>
      </w:pPr>
      <w:r>
        <w:rPr>
          <w:b/>
          <w:sz w:val="30"/>
        </w:rPr>
        <w:t>6.4. Cita informācija</w:t>
      </w:r>
    </w:p>
    <w:p w14:paraId="05B671B2" w14:textId="77777777" w:rsidR="00BB1FE9" w:rsidRDefault="00002DEF">
      <w:pPr>
        <w:spacing w:before="90" w:after="90"/>
      </w:pPr>
      <w:r>
        <w:rPr>
          <w:b/>
        </w:rPr>
        <w:t>Cita informācija</w:t>
      </w:r>
    </w:p>
    <w:p w14:paraId="4334753B" w14:textId="77777777" w:rsidR="00BB1FE9" w:rsidRDefault="00002DEF">
      <w:r>
        <w:t>-</w:t>
      </w:r>
    </w:p>
    <w:p w14:paraId="4E8241C8" w14:textId="77777777" w:rsidR="00BB1FE9" w:rsidRDefault="00002DEF">
      <w:pPr>
        <w:spacing w:before="180"/>
      </w:pPr>
      <w:r>
        <w:rPr>
          <w:b/>
          <w:sz w:val="32"/>
        </w:rPr>
        <w:t>7. Tiesību akta projekta izpildes nodrošināšana un tās ietekme uz institūcijām</w:t>
      </w:r>
    </w:p>
    <w:p w14:paraId="76227E54" w14:textId="77777777" w:rsidR="00BB1FE9" w:rsidRDefault="00002DEF">
      <w:pPr>
        <w:spacing w:before="90" w:after="90"/>
      </w:pPr>
      <w:r>
        <w:rPr>
          <w:b/>
        </w:rPr>
        <w:t>Vai projekts skar šo jomu?</w:t>
      </w:r>
    </w:p>
    <w:p w14:paraId="24555334" w14:textId="77777777" w:rsidR="00BB1FE9" w:rsidRDefault="00002DEF">
      <w:r>
        <w:t>Jā</w:t>
      </w:r>
    </w:p>
    <w:p w14:paraId="7865C0F0" w14:textId="77777777" w:rsidR="00BB1FE9" w:rsidRDefault="00002DEF">
      <w:pPr>
        <w:spacing w:before="270" w:after="180"/>
      </w:pPr>
      <w:r>
        <w:rPr>
          <w:b/>
          <w:sz w:val="30"/>
        </w:rPr>
        <w:lastRenderedPageBreak/>
        <w:t>7.1. Projekta izpildē iesaistītās institūcijas</w:t>
      </w:r>
    </w:p>
    <w:p w14:paraId="72A7A93A" w14:textId="77777777" w:rsidR="00BB1FE9" w:rsidRDefault="00002DEF">
      <w:pPr>
        <w:spacing w:before="90" w:after="90"/>
      </w:pPr>
      <w:r>
        <w:rPr>
          <w:b/>
        </w:rPr>
        <w:t>Institūcijas</w:t>
      </w:r>
    </w:p>
    <w:p w14:paraId="25140198" w14:textId="77777777" w:rsidR="00BB1FE9" w:rsidRDefault="00002DEF">
      <w:r>
        <w:t>Vides aizsardzības un reģionālās attīstības ministrija</w:t>
      </w:r>
    </w:p>
    <w:p w14:paraId="0B8DF0E0" w14:textId="77777777" w:rsidR="00BB1FE9" w:rsidRDefault="00002DEF">
      <w:r>
        <w:t>Valsts reģionālās attīstības aģentūra</w:t>
      </w:r>
    </w:p>
    <w:p w14:paraId="5F5E6DE1" w14:textId="77777777" w:rsidR="00BB1FE9" w:rsidRDefault="00002DEF">
      <w:pPr>
        <w:spacing w:before="270" w:after="180"/>
      </w:pPr>
      <w:r>
        <w:rPr>
          <w:b/>
          <w:sz w:val="30"/>
        </w:rPr>
        <w:t>7.2. Administratīvo izmaksu monetārs novērtējums</w:t>
      </w:r>
    </w:p>
    <w:p w14:paraId="44AA4CE5" w14:textId="77777777" w:rsidR="00BB1FE9" w:rsidRDefault="00002DEF">
      <w:pPr>
        <w:spacing w:before="90" w:after="90"/>
      </w:pPr>
      <w:r>
        <w:rPr>
          <w:b/>
        </w:rPr>
        <w:t>Vai projekts skar šo jomu?</w:t>
      </w:r>
    </w:p>
    <w:p w14:paraId="5454C635" w14:textId="77777777" w:rsidR="00BB1FE9" w:rsidRDefault="00002DEF">
      <w:r>
        <w:t>Nē</w:t>
      </w:r>
    </w:p>
    <w:p w14:paraId="5344B100" w14:textId="77777777" w:rsidR="00BB1FE9" w:rsidRDefault="00002DEF">
      <w:pPr>
        <w:spacing w:before="270" w:after="180"/>
      </w:pPr>
      <w:r>
        <w:rPr>
          <w:b/>
          <w:sz w:val="30"/>
        </w:rPr>
        <w:t>7.3. Atbilstības izmaksu monetārs novērtējums</w:t>
      </w:r>
    </w:p>
    <w:p w14:paraId="0D472D5C" w14:textId="77777777" w:rsidR="00BB1FE9" w:rsidRDefault="00002DEF">
      <w:pPr>
        <w:spacing w:before="90" w:after="90"/>
      </w:pPr>
      <w:r>
        <w:rPr>
          <w:b/>
        </w:rPr>
        <w:t>Vai projekts skar šo jomu?</w:t>
      </w:r>
    </w:p>
    <w:p w14:paraId="7EA3EC86" w14:textId="77777777" w:rsidR="00BB1FE9" w:rsidRDefault="00002DEF">
      <w:r>
        <w:t>Nē</w:t>
      </w:r>
    </w:p>
    <w:p w14:paraId="71B5C32B" w14:textId="77777777" w:rsidR="00BB1FE9" w:rsidRDefault="00002DEF">
      <w:pPr>
        <w:spacing w:before="270" w:after="180"/>
      </w:pPr>
      <w:r>
        <w:rPr>
          <w:b/>
          <w:sz w:val="30"/>
        </w:rPr>
        <w:t>7.4. Projekta izpildes ietekme uz pārvaldes funkcijām un institucionālo struktūru</w:t>
      </w:r>
    </w:p>
    <w:tbl>
      <w:tblPr>
        <w:tblStyle w:val="a"/>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371"/>
        <w:gridCol w:w="900"/>
        <w:gridCol w:w="4371"/>
      </w:tblGrid>
      <w:tr w:rsidR="00BB1FE9" w14:paraId="0B5B3A93" w14:textId="77777777">
        <w:tc>
          <w:tcPr>
            <w:tcW w:w="4371" w:type="dxa"/>
            <w:shd w:val="clear" w:color="auto" w:fill="FFFFFF"/>
            <w:noWrap/>
            <w:tcMar>
              <w:top w:w="75" w:type="dxa"/>
              <w:left w:w="75" w:type="dxa"/>
              <w:bottom w:w="75" w:type="dxa"/>
              <w:right w:w="75" w:type="dxa"/>
            </w:tcMar>
            <w:vAlign w:val="center"/>
          </w:tcPr>
          <w:p w14:paraId="650D3770" w14:textId="77777777" w:rsidR="00BB1FE9" w:rsidRDefault="00002DEF">
            <w:pPr>
              <w:jc w:val="left"/>
            </w:pPr>
            <w:r>
              <w:rPr>
                <w:b/>
                <w:sz w:val="24"/>
              </w:rPr>
              <w:t>Ietekme</w:t>
            </w:r>
          </w:p>
        </w:tc>
        <w:tc>
          <w:tcPr>
            <w:tcW w:w="900" w:type="dxa"/>
            <w:shd w:val="clear" w:color="auto" w:fill="FFFFFF"/>
            <w:noWrap/>
            <w:tcMar>
              <w:top w:w="75" w:type="dxa"/>
              <w:left w:w="75" w:type="dxa"/>
              <w:bottom w:w="75" w:type="dxa"/>
              <w:right w:w="75" w:type="dxa"/>
            </w:tcMar>
            <w:vAlign w:val="center"/>
          </w:tcPr>
          <w:p w14:paraId="4714B667" w14:textId="77777777" w:rsidR="00BB1FE9" w:rsidRDefault="00002DEF">
            <w:pPr>
              <w:jc w:val="left"/>
            </w:pPr>
            <w:r>
              <w:rPr>
                <w:b/>
                <w:sz w:val="24"/>
              </w:rPr>
              <w:t>Jā/Nē</w:t>
            </w:r>
          </w:p>
        </w:tc>
        <w:tc>
          <w:tcPr>
            <w:tcW w:w="4371" w:type="dxa"/>
            <w:shd w:val="clear" w:color="auto" w:fill="FFFFFF"/>
            <w:noWrap/>
            <w:tcMar>
              <w:top w:w="75" w:type="dxa"/>
              <w:left w:w="75" w:type="dxa"/>
              <w:bottom w:w="75" w:type="dxa"/>
              <w:right w:w="75" w:type="dxa"/>
            </w:tcMar>
            <w:vAlign w:val="center"/>
          </w:tcPr>
          <w:p w14:paraId="00A66AC8" w14:textId="77777777" w:rsidR="00BB1FE9" w:rsidRDefault="00002DEF">
            <w:pPr>
              <w:jc w:val="left"/>
            </w:pPr>
            <w:r>
              <w:rPr>
                <w:b/>
                <w:sz w:val="24"/>
              </w:rPr>
              <w:t>Skaidrojums</w:t>
            </w:r>
          </w:p>
        </w:tc>
      </w:tr>
      <w:tr w:rsidR="00BB1FE9" w14:paraId="061A3BDD" w14:textId="77777777">
        <w:tc>
          <w:tcPr>
            <w:tcW w:w="4371" w:type="dxa"/>
            <w:shd w:val="clear" w:color="auto" w:fill="FFFFFF"/>
            <w:noWrap/>
            <w:tcMar>
              <w:top w:w="75" w:type="dxa"/>
              <w:left w:w="75" w:type="dxa"/>
              <w:bottom w:w="75" w:type="dxa"/>
              <w:right w:w="75" w:type="dxa"/>
            </w:tcMar>
            <w:vAlign w:val="center"/>
          </w:tcPr>
          <w:p w14:paraId="45E2CA8E" w14:textId="77777777" w:rsidR="00BB1FE9" w:rsidRDefault="00002DEF">
            <w:pPr>
              <w:jc w:val="left"/>
            </w:pPr>
            <w:r>
              <w:rPr>
                <w:sz w:val="24"/>
              </w:rPr>
              <w:t>1. Tiks veidota jauna institūcija</w:t>
            </w:r>
          </w:p>
        </w:tc>
        <w:tc>
          <w:tcPr>
            <w:tcW w:w="900" w:type="dxa"/>
            <w:shd w:val="clear" w:color="auto" w:fill="FFFFFF"/>
            <w:noWrap/>
            <w:tcMar>
              <w:top w:w="75" w:type="dxa"/>
              <w:left w:w="75" w:type="dxa"/>
              <w:bottom w:w="75" w:type="dxa"/>
              <w:right w:w="75" w:type="dxa"/>
            </w:tcMar>
            <w:vAlign w:val="center"/>
          </w:tcPr>
          <w:p w14:paraId="288194EC" w14:textId="77777777" w:rsidR="00BB1FE9" w:rsidRDefault="00002DEF">
            <w:pPr>
              <w:jc w:val="left"/>
            </w:pPr>
            <w:r>
              <w:rPr>
                <w:sz w:val="24"/>
              </w:rPr>
              <w:t>Nē</w:t>
            </w:r>
          </w:p>
        </w:tc>
        <w:tc>
          <w:tcPr>
            <w:tcW w:w="4371" w:type="dxa"/>
            <w:shd w:val="clear" w:color="auto" w:fill="FFFFFF"/>
            <w:noWrap/>
            <w:tcMar>
              <w:top w:w="75" w:type="dxa"/>
              <w:left w:w="75" w:type="dxa"/>
              <w:bottom w:w="75" w:type="dxa"/>
              <w:right w:w="75" w:type="dxa"/>
            </w:tcMar>
            <w:vAlign w:val="center"/>
          </w:tcPr>
          <w:p w14:paraId="0E3AF01D" w14:textId="77777777" w:rsidR="00BB1FE9" w:rsidRDefault="00002DEF">
            <w:r>
              <w:rPr>
                <w:sz w:val="24"/>
              </w:rPr>
              <w:t>-</w:t>
            </w:r>
          </w:p>
        </w:tc>
      </w:tr>
      <w:tr w:rsidR="00BB1FE9" w14:paraId="6682D38F" w14:textId="77777777">
        <w:tc>
          <w:tcPr>
            <w:tcW w:w="4371" w:type="dxa"/>
            <w:shd w:val="clear" w:color="auto" w:fill="FFFFFF"/>
            <w:noWrap/>
            <w:tcMar>
              <w:top w:w="75" w:type="dxa"/>
              <w:left w:w="75" w:type="dxa"/>
              <w:bottom w:w="75" w:type="dxa"/>
              <w:right w:w="75" w:type="dxa"/>
            </w:tcMar>
            <w:vAlign w:val="center"/>
          </w:tcPr>
          <w:p w14:paraId="37775105" w14:textId="77777777" w:rsidR="00BB1FE9" w:rsidRDefault="00002DEF">
            <w:pPr>
              <w:jc w:val="left"/>
            </w:pPr>
            <w:r>
              <w:rPr>
                <w:sz w:val="24"/>
              </w:rPr>
              <w:t>2. Tiks likvidēta institūcija</w:t>
            </w:r>
          </w:p>
        </w:tc>
        <w:tc>
          <w:tcPr>
            <w:tcW w:w="900" w:type="dxa"/>
            <w:shd w:val="clear" w:color="auto" w:fill="FFFFFF"/>
            <w:noWrap/>
            <w:tcMar>
              <w:top w:w="75" w:type="dxa"/>
              <w:left w:w="75" w:type="dxa"/>
              <w:bottom w:w="75" w:type="dxa"/>
              <w:right w:w="75" w:type="dxa"/>
            </w:tcMar>
            <w:vAlign w:val="center"/>
          </w:tcPr>
          <w:p w14:paraId="776C0E72" w14:textId="77777777" w:rsidR="00BB1FE9" w:rsidRDefault="00002DEF">
            <w:pPr>
              <w:jc w:val="left"/>
            </w:pPr>
            <w:r>
              <w:rPr>
                <w:sz w:val="24"/>
              </w:rPr>
              <w:t>Nē</w:t>
            </w:r>
          </w:p>
        </w:tc>
        <w:tc>
          <w:tcPr>
            <w:tcW w:w="4371" w:type="dxa"/>
            <w:shd w:val="clear" w:color="auto" w:fill="FFFFFF"/>
            <w:noWrap/>
            <w:tcMar>
              <w:top w:w="75" w:type="dxa"/>
              <w:left w:w="75" w:type="dxa"/>
              <w:bottom w:w="75" w:type="dxa"/>
              <w:right w:w="75" w:type="dxa"/>
            </w:tcMar>
            <w:vAlign w:val="center"/>
          </w:tcPr>
          <w:p w14:paraId="07731F42" w14:textId="77777777" w:rsidR="00BB1FE9" w:rsidRDefault="00002DEF">
            <w:r>
              <w:rPr>
                <w:sz w:val="24"/>
              </w:rPr>
              <w:t>-</w:t>
            </w:r>
          </w:p>
        </w:tc>
      </w:tr>
      <w:tr w:rsidR="00BB1FE9" w14:paraId="7DBFED73" w14:textId="77777777">
        <w:tc>
          <w:tcPr>
            <w:tcW w:w="4371" w:type="dxa"/>
            <w:shd w:val="clear" w:color="auto" w:fill="FFFFFF"/>
            <w:noWrap/>
            <w:tcMar>
              <w:top w:w="75" w:type="dxa"/>
              <w:left w:w="75" w:type="dxa"/>
              <w:bottom w:w="75" w:type="dxa"/>
              <w:right w:w="75" w:type="dxa"/>
            </w:tcMar>
            <w:vAlign w:val="center"/>
          </w:tcPr>
          <w:p w14:paraId="43FAF1B6" w14:textId="77777777" w:rsidR="00BB1FE9" w:rsidRDefault="00002DEF">
            <w:pPr>
              <w:jc w:val="left"/>
            </w:pPr>
            <w:r>
              <w:rPr>
                <w:sz w:val="24"/>
              </w:rPr>
              <w:t>3. Tiks veikta esošās institūcijas reorganizācija</w:t>
            </w:r>
          </w:p>
        </w:tc>
        <w:tc>
          <w:tcPr>
            <w:tcW w:w="900" w:type="dxa"/>
            <w:shd w:val="clear" w:color="auto" w:fill="FFFFFF"/>
            <w:noWrap/>
            <w:tcMar>
              <w:top w:w="75" w:type="dxa"/>
              <w:left w:w="75" w:type="dxa"/>
              <w:bottom w:w="75" w:type="dxa"/>
              <w:right w:w="75" w:type="dxa"/>
            </w:tcMar>
            <w:vAlign w:val="center"/>
          </w:tcPr>
          <w:p w14:paraId="0D17A804" w14:textId="77777777" w:rsidR="00BB1FE9" w:rsidRDefault="00002DEF">
            <w:pPr>
              <w:jc w:val="left"/>
            </w:pPr>
            <w:r>
              <w:rPr>
                <w:sz w:val="24"/>
              </w:rPr>
              <w:t>Nē</w:t>
            </w:r>
          </w:p>
        </w:tc>
        <w:tc>
          <w:tcPr>
            <w:tcW w:w="4371" w:type="dxa"/>
            <w:shd w:val="clear" w:color="auto" w:fill="FFFFFF"/>
            <w:noWrap/>
            <w:tcMar>
              <w:top w:w="75" w:type="dxa"/>
              <w:left w:w="75" w:type="dxa"/>
              <w:bottom w:w="75" w:type="dxa"/>
              <w:right w:w="75" w:type="dxa"/>
            </w:tcMar>
            <w:vAlign w:val="center"/>
          </w:tcPr>
          <w:p w14:paraId="5F954D36" w14:textId="77777777" w:rsidR="00BB1FE9" w:rsidRDefault="00002DEF">
            <w:r>
              <w:rPr>
                <w:sz w:val="24"/>
              </w:rPr>
              <w:t>-</w:t>
            </w:r>
          </w:p>
        </w:tc>
      </w:tr>
      <w:tr w:rsidR="00BB1FE9" w14:paraId="682645C2" w14:textId="77777777">
        <w:tc>
          <w:tcPr>
            <w:tcW w:w="4371" w:type="dxa"/>
            <w:shd w:val="clear" w:color="auto" w:fill="FFFFFF"/>
            <w:noWrap/>
            <w:tcMar>
              <w:top w:w="75" w:type="dxa"/>
              <w:left w:w="75" w:type="dxa"/>
              <w:bottom w:w="75" w:type="dxa"/>
              <w:right w:w="75" w:type="dxa"/>
            </w:tcMar>
            <w:vAlign w:val="center"/>
          </w:tcPr>
          <w:p w14:paraId="47055701" w14:textId="77777777" w:rsidR="00BB1FE9" w:rsidRDefault="00002DEF">
            <w:pPr>
              <w:jc w:val="left"/>
            </w:pPr>
            <w:r>
              <w:rPr>
                <w:sz w:val="24"/>
              </w:rPr>
              <w:t>4. Institūcijas funkcijas un uzdevumi tiks mainīti (paplašināti vai sašaurināti)</w:t>
            </w:r>
          </w:p>
        </w:tc>
        <w:tc>
          <w:tcPr>
            <w:tcW w:w="900" w:type="dxa"/>
            <w:shd w:val="clear" w:color="auto" w:fill="FFFFFF"/>
            <w:noWrap/>
            <w:tcMar>
              <w:top w:w="75" w:type="dxa"/>
              <w:left w:w="75" w:type="dxa"/>
              <w:bottom w:w="75" w:type="dxa"/>
              <w:right w:w="75" w:type="dxa"/>
            </w:tcMar>
            <w:vAlign w:val="center"/>
          </w:tcPr>
          <w:p w14:paraId="32E78F84" w14:textId="672D1314" w:rsidR="00BB1FE9" w:rsidRDefault="00891697">
            <w:pPr>
              <w:jc w:val="left"/>
            </w:pPr>
            <w:r w:rsidRPr="001D5D3E">
              <w:rPr>
                <w:sz w:val="24"/>
              </w:rPr>
              <w:t>Jā</w:t>
            </w:r>
          </w:p>
        </w:tc>
        <w:tc>
          <w:tcPr>
            <w:tcW w:w="4371" w:type="dxa"/>
            <w:shd w:val="clear" w:color="auto" w:fill="FFFFFF"/>
            <w:noWrap/>
            <w:tcMar>
              <w:top w:w="75" w:type="dxa"/>
              <w:left w:w="75" w:type="dxa"/>
              <w:bottom w:w="75" w:type="dxa"/>
              <w:right w:w="75" w:type="dxa"/>
            </w:tcMar>
            <w:vAlign w:val="center"/>
          </w:tcPr>
          <w:p w14:paraId="08B74F5B" w14:textId="23887C07" w:rsidR="00BB1FE9" w:rsidRDefault="000E7612">
            <w:pPr>
              <w:rPr>
                <w:sz w:val="24"/>
              </w:rPr>
            </w:pPr>
            <w:r w:rsidRPr="000E7612">
              <w:rPr>
                <w:sz w:val="24"/>
              </w:rPr>
              <w:t>DAGR būs nepieciešams nodrošināt papildus arī DAGR iekļauto datu pārvaldības īstenošanu. Šī ir jauna papildus funkcija VRAA</w:t>
            </w:r>
            <w:r w:rsidR="00D870AF">
              <w:rPr>
                <w:sz w:val="24"/>
              </w:rPr>
              <w:t xml:space="preserve">. Minētās funkcijas </w:t>
            </w:r>
            <w:r w:rsidR="00886F1F">
              <w:rPr>
                <w:sz w:val="24"/>
              </w:rPr>
              <w:t>veikš</w:t>
            </w:r>
            <w:r w:rsidR="00907632">
              <w:rPr>
                <w:sz w:val="24"/>
              </w:rPr>
              <w:t>anai</w:t>
            </w:r>
            <w:r w:rsidR="00D870AF">
              <w:rPr>
                <w:sz w:val="24"/>
              </w:rPr>
              <w:t xml:space="preserve"> būs nepieciešams</w:t>
            </w:r>
            <w:r w:rsidR="00907632">
              <w:rPr>
                <w:sz w:val="24"/>
              </w:rPr>
              <w:t xml:space="preserve"> nodrošināt</w:t>
            </w:r>
            <w:r w:rsidR="00D870AF">
              <w:rPr>
                <w:sz w:val="24"/>
              </w:rPr>
              <w:t>:</w:t>
            </w:r>
          </w:p>
          <w:p w14:paraId="69D5CDB6" w14:textId="77777777" w:rsidR="00886F1F" w:rsidRDefault="00886F1F" w:rsidP="00886F1F">
            <w:pPr>
              <w:pStyle w:val="ListParagraph"/>
              <w:numPr>
                <w:ilvl w:val="0"/>
                <w:numId w:val="14"/>
              </w:numPr>
              <w:rPr>
                <w:sz w:val="24"/>
                <w:szCs w:val="24"/>
              </w:rPr>
            </w:pPr>
            <w:r w:rsidRPr="003B2D14">
              <w:rPr>
                <w:sz w:val="24"/>
                <w:szCs w:val="24"/>
              </w:rPr>
              <w:t>DAGR vienotā</w:t>
            </w:r>
            <w:r>
              <w:rPr>
                <w:sz w:val="24"/>
                <w:szCs w:val="24"/>
              </w:rPr>
              <w:t xml:space="preserve"> datu modeļa uzturēšanu un konfigurēšanu;</w:t>
            </w:r>
          </w:p>
          <w:p w14:paraId="4A41BA99" w14:textId="77777777" w:rsidR="00886F1F" w:rsidRDefault="00886F1F" w:rsidP="00886F1F">
            <w:pPr>
              <w:pStyle w:val="ListParagraph"/>
              <w:numPr>
                <w:ilvl w:val="0"/>
                <w:numId w:val="14"/>
              </w:numPr>
              <w:rPr>
                <w:sz w:val="24"/>
                <w:szCs w:val="24"/>
              </w:rPr>
            </w:pPr>
            <w:r>
              <w:rPr>
                <w:sz w:val="24"/>
                <w:szCs w:val="24"/>
              </w:rPr>
              <w:t>Jaunu datu devēju datu modeļu definēšanu;</w:t>
            </w:r>
          </w:p>
          <w:p w14:paraId="56A0669B" w14:textId="77777777" w:rsidR="00886F1F" w:rsidRPr="00E73E18" w:rsidRDefault="00886F1F" w:rsidP="00886F1F">
            <w:pPr>
              <w:pStyle w:val="ListParagraph"/>
              <w:numPr>
                <w:ilvl w:val="0"/>
                <w:numId w:val="14"/>
              </w:numPr>
              <w:rPr>
                <w:sz w:val="24"/>
                <w:szCs w:val="24"/>
              </w:rPr>
            </w:pPr>
            <w:r w:rsidRPr="00E73E18">
              <w:rPr>
                <w:sz w:val="24"/>
                <w:szCs w:val="24"/>
              </w:rPr>
              <w:t>DAGR datu arhitektūras vadlīniju veidošanu;</w:t>
            </w:r>
          </w:p>
          <w:p w14:paraId="628D3F25" w14:textId="77777777" w:rsidR="00886F1F" w:rsidRPr="00E73E18" w:rsidRDefault="00886F1F" w:rsidP="00886F1F">
            <w:pPr>
              <w:pStyle w:val="ListParagraph"/>
              <w:numPr>
                <w:ilvl w:val="0"/>
                <w:numId w:val="14"/>
              </w:numPr>
              <w:rPr>
                <w:sz w:val="24"/>
                <w:szCs w:val="24"/>
              </w:rPr>
            </w:pPr>
            <w:r w:rsidRPr="00E73E18">
              <w:rPr>
                <w:sz w:val="24"/>
                <w:szCs w:val="24"/>
              </w:rPr>
              <w:t>DAGR datu arhitektūras uzturēšanu, papildināšanu un izmaiņu veikšanu;</w:t>
            </w:r>
          </w:p>
          <w:p w14:paraId="5FBC4B6D" w14:textId="77777777" w:rsidR="00886F1F" w:rsidRPr="00E73E18" w:rsidRDefault="00886F1F" w:rsidP="00886F1F">
            <w:pPr>
              <w:pStyle w:val="ListParagraph"/>
              <w:numPr>
                <w:ilvl w:val="0"/>
                <w:numId w:val="14"/>
              </w:numPr>
              <w:rPr>
                <w:sz w:val="24"/>
                <w:szCs w:val="24"/>
              </w:rPr>
            </w:pPr>
            <w:r w:rsidRPr="00E73E18">
              <w:rPr>
                <w:sz w:val="24"/>
                <w:szCs w:val="24"/>
              </w:rPr>
              <w:t xml:space="preserve">Datu avotu kartēšanu, datu kustības un </w:t>
            </w:r>
            <w:proofErr w:type="spellStart"/>
            <w:r w:rsidRPr="00E73E18">
              <w:rPr>
                <w:sz w:val="24"/>
                <w:szCs w:val="24"/>
              </w:rPr>
              <w:t>saskarņu</w:t>
            </w:r>
            <w:proofErr w:type="spellEnd"/>
            <w:r w:rsidRPr="00E73E18">
              <w:rPr>
                <w:sz w:val="24"/>
                <w:szCs w:val="24"/>
              </w:rPr>
              <w:t xml:space="preserve"> pārraudzīšanu ar mērķi nodrošināt datu kvalitāti;</w:t>
            </w:r>
          </w:p>
          <w:p w14:paraId="55A67E65" w14:textId="77777777" w:rsidR="00886F1F" w:rsidRPr="00E73E18" w:rsidRDefault="00886F1F" w:rsidP="00886F1F">
            <w:pPr>
              <w:pStyle w:val="ListParagraph"/>
              <w:numPr>
                <w:ilvl w:val="0"/>
                <w:numId w:val="14"/>
              </w:numPr>
              <w:rPr>
                <w:sz w:val="24"/>
                <w:szCs w:val="24"/>
              </w:rPr>
            </w:pPr>
            <w:r w:rsidRPr="00E73E18">
              <w:rPr>
                <w:sz w:val="24"/>
                <w:szCs w:val="24"/>
              </w:rPr>
              <w:t>Problēmu risināšanu, kas saistītas ar datiem un datu avotu integrācijām ar DAGR;</w:t>
            </w:r>
          </w:p>
          <w:p w14:paraId="78797FBC" w14:textId="16662DEE" w:rsidR="00D870AF" w:rsidRPr="00907632" w:rsidRDefault="00886F1F" w:rsidP="00907632">
            <w:pPr>
              <w:pStyle w:val="ListParagraph"/>
              <w:numPr>
                <w:ilvl w:val="0"/>
                <w:numId w:val="14"/>
              </w:numPr>
              <w:rPr>
                <w:sz w:val="24"/>
                <w:szCs w:val="24"/>
              </w:rPr>
            </w:pPr>
            <w:r w:rsidRPr="00E73E18">
              <w:rPr>
                <w:sz w:val="24"/>
                <w:szCs w:val="24"/>
              </w:rPr>
              <w:t>Atbalsta sniegšanu DAGR lietotājiem.</w:t>
            </w:r>
          </w:p>
        </w:tc>
      </w:tr>
      <w:tr w:rsidR="00BB1FE9" w14:paraId="6736A86E" w14:textId="77777777">
        <w:tc>
          <w:tcPr>
            <w:tcW w:w="4371" w:type="dxa"/>
            <w:shd w:val="clear" w:color="auto" w:fill="FFFFFF"/>
            <w:noWrap/>
            <w:tcMar>
              <w:top w:w="75" w:type="dxa"/>
              <w:left w:w="75" w:type="dxa"/>
              <w:bottom w:w="75" w:type="dxa"/>
              <w:right w:w="75" w:type="dxa"/>
            </w:tcMar>
            <w:vAlign w:val="center"/>
          </w:tcPr>
          <w:p w14:paraId="1F4F0410" w14:textId="77777777" w:rsidR="00BB1FE9" w:rsidRDefault="00002DEF">
            <w:pPr>
              <w:jc w:val="left"/>
            </w:pPr>
            <w:r>
              <w:rPr>
                <w:sz w:val="24"/>
              </w:rPr>
              <w:lastRenderedPageBreak/>
              <w:t xml:space="preserve">5. Tiks veikta iekšējo institūcijas procesu </w:t>
            </w:r>
            <w:proofErr w:type="spellStart"/>
            <w:r>
              <w:rPr>
                <w:sz w:val="24"/>
              </w:rPr>
              <w:t>efektivizācija</w:t>
            </w:r>
            <w:proofErr w:type="spellEnd"/>
          </w:p>
        </w:tc>
        <w:tc>
          <w:tcPr>
            <w:tcW w:w="900" w:type="dxa"/>
            <w:shd w:val="clear" w:color="auto" w:fill="FFFFFF"/>
            <w:noWrap/>
            <w:tcMar>
              <w:top w:w="75" w:type="dxa"/>
              <w:left w:w="75" w:type="dxa"/>
              <w:bottom w:w="75" w:type="dxa"/>
              <w:right w:w="75" w:type="dxa"/>
            </w:tcMar>
            <w:vAlign w:val="center"/>
          </w:tcPr>
          <w:p w14:paraId="355B9276" w14:textId="77777777" w:rsidR="00BB1FE9" w:rsidRDefault="00002DEF">
            <w:pPr>
              <w:jc w:val="left"/>
            </w:pPr>
            <w:r>
              <w:rPr>
                <w:sz w:val="24"/>
              </w:rPr>
              <w:t>Nē</w:t>
            </w:r>
          </w:p>
        </w:tc>
        <w:tc>
          <w:tcPr>
            <w:tcW w:w="4371" w:type="dxa"/>
            <w:shd w:val="clear" w:color="auto" w:fill="FFFFFF"/>
            <w:noWrap/>
            <w:tcMar>
              <w:top w:w="75" w:type="dxa"/>
              <w:left w:w="75" w:type="dxa"/>
              <w:bottom w:w="75" w:type="dxa"/>
              <w:right w:w="75" w:type="dxa"/>
            </w:tcMar>
            <w:vAlign w:val="center"/>
          </w:tcPr>
          <w:p w14:paraId="150E78A2" w14:textId="77777777" w:rsidR="00BB1FE9" w:rsidRDefault="00002DEF">
            <w:r>
              <w:rPr>
                <w:sz w:val="24"/>
              </w:rPr>
              <w:t>-</w:t>
            </w:r>
          </w:p>
        </w:tc>
      </w:tr>
      <w:tr w:rsidR="00BB1FE9" w14:paraId="5099BF21" w14:textId="77777777">
        <w:tc>
          <w:tcPr>
            <w:tcW w:w="4371" w:type="dxa"/>
            <w:shd w:val="clear" w:color="auto" w:fill="FFFFFF"/>
            <w:noWrap/>
            <w:tcMar>
              <w:top w:w="75" w:type="dxa"/>
              <w:left w:w="75" w:type="dxa"/>
              <w:bottom w:w="75" w:type="dxa"/>
              <w:right w:w="75" w:type="dxa"/>
            </w:tcMar>
            <w:vAlign w:val="center"/>
          </w:tcPr>
          <w:p w14:paraId="36E86C0A" w14:textId="77777777" w:rsidR="00BB1FE9" w:rsidRDefault="00002DEF">
            <w:pPr>
              <w:jc w:val="left"/>
            </w:pPr>
            <w:r>
              <w:rPr>
                <w:sz w:val="24"/>
              </w:rPr>
              <w:t xml:space="preserve">6. Tiks veikta iekšējo institūcijas procesu </w:t>
            </w:r>
            <w:proofErr w:type="spellStart"/>
            <w:r>
              <w:rPr>
                <w:sz w:val="24"/>
              </w:rPr>
              <w:t>digitalizācija</w:t>
            </w:r>
            <w:proofErr w:type="spellEnd"/>
          </w:p>
        </w:tc>
        <w:tc>
          <w:tcPr>
            <w:tcW w:w="900" w:type="dxa"/>
            <w:shd w:val="clear" w:color="auto" w:fill="FFFFFF"/>
            <w:noWrap/>
            <w:tcMar>
              <w:top w:w="75" w:type="dxa"/>
              <w:left w:w="75" w:type="dxa"/>
              <w:bottom w:w="75" w:type="dxa"/>
              <w:right w:w="75" w:type="dxa"/>
            </w:tcMar>
            <w:vAlign w:val="center"/>
          </w:tcPr>
          <w:p w14:paraId="0D857A93" w14:textId="77777777" w:rsidR="00BB1FE9" w:rsidRDefault="00002DEF">
            <w:pPr>
              <w:jc w:val="left"/>
            </w:pPr>
            <w:r>
              <w:rPr>
                <w:sz w:val="24"/>
              </w:rPr>
              <w:t>Nē</w:t>
            </w:r>
          </w:p>
        </w:tc>
        <w:tc>
          <w:tcPr>
            <w:tcW w:w="4371" w:type="dxa"/>
            <w:shd w:val="clear" w:color="auto" w:fill="FFFFFF"/>
            <w:noWrap/>
            <w:tcMar>
              <w:top w:w="75" w:type="dxa"/>
              <w:left w:w="75" w:type="dxa"/>
              <w:bottom w:w="75" w:type="dxa"/>
              <w:right w:w="75" w:type="dxa"/>
            </w:tcMar>
            <w:vAlign w:val="center"/>
          </w:tcPr>
          <w:p w14:paraId="54BC230E" w14:textId="77777777" w:rsidR="00BB1FE9" w:rsidRDefault="00002DEF">
            <w:r>
              <w:rPr>
                <w:sz w:val="24"/>
              </w:rPr>
              <w:t>-</w:t>
            </w:r>
          </w:p>
        </w:tc>
      </w:tr>
      <w:tr w:rsidR="00BB1FE9" w14:paraId="0114799E" w14:textId="77777777">
        <w:tc>
          <w:tcPr>
            <w:tcW w:w="4371" w:type="dxa"/>
            <w:shd w:val="clear" w:color="auto" w:fill="FFFFFF"/>
            <w:noWrap/>
            <w:tcMar>
              <w:top w:w="75" w:type="dxa"/>
              <w:left w:w="75" w:type="dxa"/>
              <w:bottom w:w="75" w:type="dxa"/>
              <w:right w:w="75" w:type="dxa"/>
            </w:tcMar>
            <w:vAlign w:val="center"/>
          </w:tcPr>
          <w:p w14:paraId="3546362C" w14:textId="77777777" w:rsidR="00BB1FE9" w:rsidRDefault="00002DEF">
            <w:pPr>
              <w:jc w:val="left"/>
            </w:pPr>
            <w:r>
              <w:rPr>
                <w:sz w:val="24"/>
              </w:rPr>
              <w:t>7. Tiks veikta iekšējo institūcijas procesu optimizācija</w:t>
            </w:r>
          </w:p>
        </w:tc>
        <w:tc>
          <w:tcPr>
            <w:tcW w:w="900" w:type="dxa"/>
            <w:shd w:val="clear" w:color="auto" w:fill="FFFFFF"/>
            <w:noWrap/>
            <w:tcMar>
              <w:top w:w="75" w:type="dxa"/>
              <w:left w:w="75" w:type="dxa"/>
              <w:bottom w:w="75" w:type="dxa"/>
              <w:right w:w="75" w:type="dxa"/>
            </w:tcMar>
            <w:vAlign w:val="center"/>
          </w:tcPr>
          <w:p w14:paraId="61990003" w14:textId="77777777" w:rsidR="00BB1FE9" w:rsidRDefault="00002DEF">
            <w:pPr>
              <w:jc w:val="left"/>
            </w:pPr>
            <w:r>
              <w:rPr>
                <w:sz w:val="24"/>
              </w:rPr>
              <w:t>Nē</w:t>
            </w:r>
          </w:p>
        </w:tc>
        <w:tc>
          <w:tcPr>
            <w:tcW w:w="4371" w:type="dxa"/>
            <w:shd w:val="clear" w:color="auto" w:fill="FFFFFF"/>
            <w:noWrap/>
            <w:tcMar>
              <w:top w:w="75" w:type="dxa"/>
              <w:left w:w="75" w:type="dxa"/>
              <w:bottom w:w="75" w:type="dxa"/>
              <w:right w:w="75" w:type="dxa"/>
            </w:tcMar>
            <w:vAlign w:val="center"/>
          </w:tcPr>
          <w:p w14:paraId="45A25E9D" w14:textId="77777777" w:rsidR="00BB1FE9" w:rsidRDefault="00002DEF">
            <w:r>
              <w:rPr>
                <w:sz w:val="24"/>
              </w:rPr>
              <w:t>-</w:t>
            </w:r>
          </w:p>
        </w:tc>
      </w:tr>
      <w:tr w:rsidR="00BB1FE9" w14:paraId="7CDEDF68" w14:textId="77777777">
        <w:tc>
          <w:tcPr>
            <w:tcW w:w="4371" w:type="dxa"/>
            <w:shd w:val="clear" w:color="auto" w:fill="FFFFFF"/>
            <w:noWrap/>
            <w:tcMar>
              <w:top w:w="75" w:type="dxa"/>
              <w:left w:w="75" w:type="dxa"/>
              <w:bottom w:w="75" w:type="dxa"/>
              <w:right w:w="75" w:type="dxa"/>
            </w:tcMar>
            <w:vAlign w:val="center"/>
          </w:tcPr>
          <w:p w14:paraId="098A47F1" w14:textId="77777777" w:rsidR="00BB1FE9" w:rsidRDefault="00002DEF">
            <w:pPr>
              <w:jc w:val="left"/>
            </w:pPr>
            <w:r>
              <w:rPr>
                <w:sz w:val="24"/>
              </w:rPr>
              <w:t>8. Cita informācija</w:t>
            </w:r>
          </w:p>
        </w:tc>
        <w:tc>
          <w:tcPr>
            <w:tcW w:w="900" w:type="dxa"/>
            <w:shd w:val="clear" w:color="auto" w:fill="FFFFFF"/>
            <w:noWrap/>
            <w:tcMar>
              <w:top w:w="75" w:type="dxa"/>
              <w:left w:w="75" w:type="dxa"/>
              <w:bottom w:w="75" w:type="dxa"/>
              <w:right w:w="75" w:type="dxa"/>
            </w:tcMar>
            <w:vAlign w:val="center"/>
          </w:tcPr>
          <w:p w14:paraId="18F69C1B" w14:textId="77777777" w:rsidR="00BB1FE9" w:rsidRDefault="00002DEF">
            <w:pPr>
              <w:jc w:val="left"/>
            </w:pPr>
            <w:r>
              <w:rPr>
                <w:sz w:val="24"/>
              </w:rPr>
              <w:t>Nē</w:t>
            </w:r>
          </w:p>
        </w:tc>
        <w:tc>
          <w:tcPr>
            <w:tcW w:w="4371" w:type="dxa"/>
            <w:shd w:val="clear" w:color="auto" w:fill="FFFFFF"/>
            <w:noWrap/>
            <w:tcMar>
              <w:top w:w="75" w:type="dxa"/>
              <w:left w:w="75" w:type="dxa"/>
              <w:bottom w:w="75" w:type="dxa"/>
              <w:right w:w="75" w:type="dxa"/>
            </w:tcMar>
            <w:vAlign w:val="center"/>
          </w:tcPr>
          <w:p w14:paraId="47CF7596" w14:textId="77777777" w:rsidR="00BB1FE9" w:rsidRDefault="00002DEF">
            <w:r>
              <w:rPr>
                <w:sz w:val="24"/>
              </w:rPr>
              <w:t>-</w:t>
            </w:r>
          </w:p>
        </w:tc>
      </w:tr>
    </w:tbl>
    <w:p w14:paraId="0D2D8E1F" w14:textId="77777777" w:rsidR="00BB1FE9" w:rsidRDefault="00002DEF">
      <w:pPr>
        <w:spacing w:before="270" w:after="180"/>
      </w:pPr>
      <w:r>
        <w:rPr>
          <w:b/>
          <w:sz w:val="30"/>
        </w:rPr>
        <w:t>7.5. Cita informācija</w:t>
      </w:r>
    </w:p>
    <w:p w14:paraId="27B2001F" w14:textId="77777777" w:rsidR="00BB1FE9" w:rsidRDefault="00002DEF">
      <w:pPr>
        <w:spacing w:before="90" w:after="90"/>
      </w:pPr>
      <w:r>
        <w:rPr>
          <w:b/>
        </w:rPr>
        <w:t>Cita informācija</w:t>
      </w:r>
    </w:p>
    <w:p w14:paraId="1D9D7EE8" w14:textId="77777777" w:rsidR="00BB1FE9" w:rsidRDefault="00002DEF">
      <w:pPr>
        <w:spacing w:before="180"/>
      </w:pPr>
      <w:r>
        <w:rPr>
          <w:b/>
          <w:sz w:val="32"/>
        </w:rPr>
        <w:t>8. Horizontālās ietekmes</w:t>
      </w:r>
    </w:p>
    <w:p w14:paraId="3E1A3C69" w14:textId="77777777" w:rsidR="00BB1FE9" w:rsidRDefault="00002DEF">
      <w:pPr>
        <w:spacing w:before="270" w:after="180"/>
      </w:pPr>
      <w:r>
        <w:rPr>
          <w:b/>
          <w:sz w:val="30"/>
        </w:rPr>
        <w:t>8.1. Projekta tiesiskā regulējuma ietekme</w:t>
      </w:r>
    </w:p>
    <w:p w14:paraId="0F8C4F7B" w14:textId="77777777" w:rsidR="00BB1FE9" w:rsidRDefault="00002DEF">
      <w:pPr>
        <w:spacing w:before="270" w:after="180"/>
      </w:pPr>
      <w:r>
        <w:rPr>
          <w:b/>
          <w:sz w:val="30"/>
        </w:rPr>
        <w:t>8.1.1. uz publisku pakalpojumu attīstību</w:t>
      </w:r>
    </w:p>
    <w:p w14:paraId="14D1D22A" w14:textId="77777777" w:rsidR="00BB1FE9" w:rsidRDefault="00002DEF">
      <w:pPr>
        <w:spacing w:before="90" w:after="90"/>
      </w:pPr>
      <w:r>
        <w:rPr>
          <w:b/>
        </w:rPr>
        <w:t>Vai projekts skar šo jomu?</w:t>
      </w:r>
    </w:p>
    <w:p w14:paraId="50785CBD" w14:textId="77777777" w:rsidR="00BB1FE9" w:rsidRDefault="00002DEF">
      <w:r>
        <w:t>Nē</w:t>
      </w:r>
    </w:p>
    <w:p w14:paraId="348AA371" w14:textId="77777777" w:rsidR="00BB1FE9" w:rsidRDefault="00002DEF">
      <w:pPr>
        <w:spacing w:before="270" w:after="180"/>
      </w:pPr>
      <w:r>
        <w:rPr>
          <w:b/>
          <w:sz w:val="30"/>
        </w:rPr>
        <w:t>8.1.2. uz valsts un pašvaldību informācijas un komunikācijas tehnoloģiju attīstību</w:t>
      </w:r>
    </w:p>
    <w:p w14:paraId="45ACE54A" w14:textId="77777777" w:rsidR="00BB1FE9" w:rsidRDefault="00002DEF">
      <w:pPr>
        <w:spacing w:before="90" w:after="90"/>
      </w:pPr>
      <w:r>
        <w:rPr>
          <w:b/>
        </w:rPr>
        <w:t>Vai projekts skar šo jomu?</w:t>
      </w:r>
    </w:p>
    <w:p w14:paraId="14E52D6A" w14:textId="77777777" w:rsidR="00BB1FE9" w:rsidRDefault="00002DEF">
      <w:r>
        <w:t>Nē</w:t>
      </w:r>
    </w:p>
    <w:p w14:paraId="370BF3B4" w14:textId="77777777" w:rsidR="00BB1FE9" w:rsidRDefault="00002DEF">
      <w:pPr>
        <w:spacing w:before="270" w:after="180"/>
      </w:pPr>
      <w:r>
        <w:rPr>
          <w:b/>
          <w:sz w:val="30"/>
        </w:rPr>
        <w:t>8.1.3. uz informācijas sabiedrības politikas īstenošanu</w:t>
      </w:r>
    </w:p>
    <w:p w14:paraId="60912312" w14:textId="77777777" w:rsidR="00BB1FE9" w:rsidRDefault="00002DEF">
      <w:pPr>
        <w:spacing w:before="90" w:after="90"/>
      </w:pPr>
      <w:r>
        <w:rPr>
          <w:b/>
        </w:rPr>
        <w:t>Vai projekts skar šo jomu?</w:t>
      </w:r>
    </w:p>
    <w:p w14:paraId="3AFB4BD8" w14:textId="77777777" w:rsidR="00BB1FE9" w:rsidRDefault="00002DEF">
      <w:r>
        <w:t>Nē</w:t>
      </w:r>
    </w:p>
    <w:p w14:paraId="5599834C" w14:textId="77777777" w:rsidR="00BB1FE9" w:rsidRDefault="00002DEF">
      <w:pPr>
        <w:spacing w:before="270" w:after="180"/>
      </w:pPr>
      <w:r>
        <w:rPr>
          <w:b/>
          <w:sz w:val="30"/>
        </w:rPr>
        <w:t>8.1.4. uz Nacionālā attīstības plāna rādītājiem</w:t>
      </w:r>
    </w:p>
    <w:p w14:paraId="7D4ECEAD" w14:textId="77777777" w:rsidR="00BB1FE9" w:rsidRDefault="00002DEF">
      <w:pPr>
        <w:spacing w:before="90" w:after="90"/>
      </w:pPr>
      <w:r>
        <w:rPr>
          <w:b/>
        </w:rPr>
        <w:t>Vai projekts skar šo jomu?</w:t>
      </w:r>
    </w:p>
    <w:p w14:paraId="535BBB68" w14:textId="77777777" w:rsidR="00BB1FE9" w:rsidRDefault="00002DEF">
      <w:r>
        <w:t>Nē</w:t>
      </w:r>
    </w:p>
    <w:p w14:paraId="013168AA" w14:textId="77777777" w:rsidR="00BB1FE9" w:rsidRDefault="00002DEF">
      <w:pPr>
        <w:spacing w:before="270" w:after="180"/>
      </w:pPr>
      <w:r>
        <w:rPr>
          <w:b/>
          <w:sz w:val="30"/>
        </w:rPr>
        <w:t>8.1.5. uz teritoriju attīstību</w:t>
      </w:r>
    </w:p>
    <w:p w14:paraId="5F88FA1A" w14:textId="77777777" w:rsidR="00BB1FE9" w:rsidRDefault="00002DEF">
      <w:pPr>
        <w:spacing w:before="90" w:after="90"/>
      </w:pPr>
      <w:r>
        <w:rPr>
          <w:b/>
        </w:rPr>
        <w:t>Vai projekts skar šo jomu?</w:t>
      </w:r>
    </w:p>
    <w:p w14:paraId="24EFA811" w14:textId="77777777" w:rsidR="00BB1FE9" w:rsidRDefault="00002DEF">
      <w:r>
        <w:t>Nē</w:t>
      </w:r>
    </w:p>
    <w:p w14:paraId="190F5358" w14:textId="77777777" w:rsidR="00BB1FE9" w:rsidRDefault="00002DEF">
      <w:pPr>
        <w:spacing w:before="270" w:after="180"/>
      </w:pPr>
      <w:r>
        <w:rPr>
          <w:b/>
          <w:sz w:val="30"/>
        </w:rPr>
        <w:t>8.1.6. uz vidi</w:t>
      </w:r>
    </w:p>
    <w:p w14:paraId="7BFD0F29" w14:textId="77777777" w:rsidR="00BB1FE9" w:rsidRDefault="00002DEF">
      <w:pPr>
        <w:spacing w:before="90" w:after="90"/>
      </w:pPr>
      <w:r>
        <w:rPr>
          <w:b/>
        </w:rPr>
        <w:t>Vai projekts skar šo jomu?</w:t>
      </w:r>
    </w:p>
    <w:p w14:paraId="363BA0F0" w14:textId="77777777" w:rsidR="00BB1FE9" w:rsidRDefault="00002DEF">
      <w:r>
        <w:lastRenderedPageBreak/>
        <w:t>Nē</w:t>
      </w:r>
    </w:p>
    <w:p w14:paraId="2899F992" w14:textId="77777777" w:rsidR="00BB1FE9" w:rsidRDefault="00002DEF">
      <w:pPr>
        <w:spacing w:before="270" w:after="180"/>
      </w:pPr>
      <w:r>
        <w:rPr>
          <w:b/>
          <w:sz w:val="30"/>
        </w:rPr>
        <w:t xml:space="preserve">8.1.7. uz </w:t>
      </w:r>
      <w:proofErr w:type="spellStart"/>
      <w:r>
        <w:rPr>
          <w:b/>
          <w:sz w:val="30"/>
        </w:rPr>
        <w:t>klimatneitralitāti</w:t>
      </w:r>
      <w:proofErr w:type="spellEnd"/>
    </w:p>
    <w:p w14:paraId="36081C79" w14:textId="77777777" w:rsidR="00BB1FE9" w:rsidRDefault="00002DEF">
      <w:pPr>
        <w:spacing w:before="90" w:after="90"/>
      </w:pPr>
      <w:r>
        <w:rPr>
          <w:b/>
        </w:rPr>
        <w:t>Vai projekts skar šo jomu?</w:t>
      </w:r>
    </w:p>
    <w:p w14:paraId="70391DE7" w14:textId="77777777" w:rsidR="00BB1FE9" w:rsidRDefault="00002DEF">
      <w:r>
        <w:t>Nē</w:t>
      </w:r>
    </w:p>
    <w:p w14:paraId="5A3D1FDA" w14:textId="77777777" w:rsidR="00BB1FE9" w:rsidRDefault="00002DEF">
      <w:pPr>
        <w:spacing w:before="270" w:after="180"/>
      </w:pPr>
      <w:r>
        <w:rPr>
          <w:b/>
          <w:sz w:val="30"/>
        </w:rPr>
        <w:t>8.1.8. uz iedzīvotāju sociālo situāciju</w:t>
      </w:r>
    </w:p>
    <w:p w14:paraId="75FBCEA0" w14:textId="77777777" w:rsidR="00BB1FE9" w:rsidRDefault="00002DEF">
      <w:pPr>
        <w:spacing w:before="90" w:after="90"/>
      </w:pPr>
      <w:r>
        <w:rPr>
          <w:b/>
        </w:rPr>
        <w:t>Vai projekts skar šo jomu?</w:t>
      </w:r>
    </w:p>
    <w:p w14:paraId="5832C78F" w14:textId="77777777" w:rsidR="00BB1FE9" w:rsidRDefault="00002DEF">
      <w:r>
        <w:t>Nē</w:t>
      </w:r>
    </w:p>
    <w:p w14:paraId="2F1EA778" w14:textId="77777777" w:rsidR="00BB1FE9" w:rsidRDefault="00002DEF">
      <w:pPr>
        <w:spacing w:before="270" w:after="180"/>
      </w:pPr>
      <w:r>
        <w:rPr>
          <w:b/>
          <w:sz w:val="30"/>
        </w:rPr>
        <w:t>8.1.9. uz personu ar invaliditāti vienlīdzīgām iespējām un tiesībām</w:t>
      </w:r>
    </w:p>
    <w:p w14:paraId="460B7D5C" w14:textId="77777777" w:rsidR="00BB1FE9" w:rsidRDefault="00002DEF">
      <w:pPr>
        <w:spacing w:before="90" w:after="90"/>
      </w:pPr>
      <w:r>
        <w:rPr>
          <w:b/>
        </w:rPr>
        <w:t>Vai projekts skar šo jomu?</w:t>
      </w:r>
    </w:p>
    <w:p w14:paraId="41D5194C" w14:textId="77777777" w:rsidR="00BB1FE9" w:rsidRDefault="00002DEF">
      <w:r>
        <w:t>Nē</w:t>
      </w:r>
    </w:p>
    <w:p w14:paraId="27386183" w14:textId="77777777" w:rsidR="00BB1FE9" w:rsidRDefault="00002DEF">
      <w:pPr>
        <w:spacing w:before="270" w:after="180"/>
      </w:pPr>
      <w:r>
        <w:rPr>
          <w:b/>
          <w:sz w:val="30"/>
        </w:rPr>
        <w:t>8.1.10. uz dzimumu līdztiesību</w:t>
      </w:r>
    </w:p>
    <w:p w14:paraId="39019D75" w14:textId="77777777" w:rsidR="00BB1FE9" w:rsidRDefault="00002DEF">
      <w:pPr>
        <w:spacing w:before="90" w:after="90"/>
      </w:pPr>
      <w:r>
        <w:rPr>
          <w:b/>
        </w:rPr>
        <w:t>Vai projekts skar šo jomu?</w:t>
      </w:r>
    </w:p>
    <w:p w14:paraId="0E025432" w14:textId="77777777" w:rsidR="00BB1FE9" w:rsidRDefault="00002DEF">
      <w:r>
        <w:t>-</w:t>
      </w:r>
    </w:p>
    <w:p w14:paraId="0A64A89B" w14:textId="77777777" w:rsidR="00BB1FE9" w:rsidRDefault="00002DEF">
      <w:pPr>
        <w:spacing w:before="270" w:after="180"/>
      </w:pPr>
      <w:r>
        <w:rPr>
          <w:b/>
          <w:sz w:val="30"/>
        </w:rPr>
        <w:t>8.1.11. uz veselību</w:t>
      </w:r>
    </w:p>
    <w:p w14:paraId="52A4FCC0" w14:textId="77777777" w:rsidR="00BB1FE9" w:rsidRDefault="00002DEF">
      <w:pPr>
        <w:spacing w:before="90" w:after="90"/>
      </w:pPr>
      <w:r>
        <w:rPr>
          <w:b/>
        </w:rPr>
        <w:t>Vai projekts skar šo jomu?</w:t>
      </w:r>
    </w:p>
    <w:p w14:paraId="1E8145AB" w14:textId="77777777" w:rsidR="00BB1FE9" w:rsidRDefault="00002DEF">
      <w:r>
        <w:t>Nē</w:t>
      </w:r>
    </w:p>
    <w:p w14:paraId="605A6485" w14:textId="77777777" w:rsidR="00BB1FE9" w:rsidRDefault="00002DEF">
      <w:pPr>
        <w:spacing w:before="270" w:after="180"/>
      </w:pPr>
      <w:r>
        <w:rPr>
          <w:b/>
          <w:sz w:val="30"/>
        </w:rPr>
        <w:t>8.1.12. uz cilvēktiesībām, demokrātiskām vērtībām un pilsoniskās sabiedrības attīstību</w:t>
      </w:r>
    </w:p>
    <w:p w14:paraId="06CF3363" w14:textId="77777777" w:rsidR="00BB1FE9" w:rsidRDefault="00002DEF">
      <w:pPr>
        <w:spacing w:before="90" w:after="90"/>
      </w:pPr>
      <w:r>
        <w:rPr>
          <w:b/>
        </w:rPr>
        <w:t>Vai projekts skar šo jomu?</w:t>
      </w:r>
    </w:p>
    <w:p w14:paraId="55F3141C" w14:textId="77777777" w:rsidR="00BB1FE9" w:rsidRDefault="00002DEF">
      <w:r>
        <w:t>Nē</w:t>
      </w:r>
    </w:p>
    <w:p w14:paraId="69576A62" w14:textId="77777777" w:rsidR="00BB1FE9" w:rsidRDefault="00002DEF">
      <w:pPr>
        <w:spacing w:before="270" w:after="180"/>
      </w:pPr>
      <w:r>
        <w:rPr>
          <w:b/>
          <w:sz w:val="30"/>
        </w:rPr>
        <w:t>8.1.13. uz datu aizsardzību</w:t>
      </w:r>
    </w:p>
    <w:p w14:paraId="5999273D" w14:textId="77777777" w:rsidR="00BB1FE9" w:rsidRDefault="00002DEF">
      <w:pPr>
        <w:spacing w:before="90" w:after="90"/>
      </w:pPr>
      <w:r>
        <w:rPr>
          <w:b/>
        </w:rPr>
        <w:t>Vai projekts skar šo jomu?</w:t>
      </w:r>
    </w:p>
    <w:p w14:paraId="63832FBE" w14:textId="77777777" w:rsidR="00BB1FE9" w:rsidRDefault="00002DEF">
      <w:r>
        <w:t>Nē</w:t>
      </w:r>
    </w:p>
    <w:p w14:paraId="3ACB6B08" w14:textId="77777777" w:rsidR="00BB1FE9" w:rsidRDefault="00002DEF">
      <w:pPr>
        <w:spacing w:before="270" w:after="180"/>
      </w:pPr>
      <w:r>
        <w:rPr>
          <w:b/>
          <w:sz w:val="30"/>
        </w:rPr>
        <w:t>8.1.14. uz diasporu</w:t>
      </w:r>
    </w:p>
    <w:p w14:paraId="28D5F809" w14:textId="77777777" w:rsidR="00BB1FE9" w:rsidRDefault="00002DEF">
      <w:pPr>
        <w:spacing w:before="90" w:after="90"/>
      </w:pPr>
      <w:r>
        <w:rPr>
          <w:b/>
        </w:rPr>
        <w:t>Vai projekts skar šo jomu?</w:t>
      </w:r>
    </w:p>
    <w:p w14:paraId="33993ADA" w14:textId="77777777" w:rsidR="00BB1FE9" w:rsidRDefault="00002DEF">
      <w:r>
        <w:t>Nē</w:t>
      </w:r>
    </w:p>
    <w:p w14:paraId="18737EE9" w14:textId="77777777" w:rsidR="00BB1FE9" w:rsidRDefault="00002DEF">
      <w:pPr>
        <w:spacing w:before="270" w:after="180"/>
      </w:pPr>
      <w:r>
        <w:rPr>
          <w:b/>
          <w:sz w:val="30"/>
        </w:rPr>
        <w:t>8.1.15. uz profesiju reglamentāciju</w:t>
      </w:r>
    </w:p>
    <w:p w14:paraId="21D86F96" w14:textId="77777777" w:rsidR="00BB1FE9" w:rsidRDefault="00002DEF">
      <w:pPr>
        <w:spacing w:before="90" w:after="90"/>
      </w:pPr>
      <w:r>
        <w:rPr>
          <w:b/>
        </w:rPr>
        <w:t>Vai projekts skar šo jomu?</w:t>
      </w:r>
    </w:p>
    <w:p w14:paraId="073D9727" w14:textId="77777777" w:rsidR="00BB1FE9" w:rsidRDefault="00002DEF">
      <w:r>
        <w:lastRenderedPageBreak/>
        <w:t>Nē</w:t>
      </w:r>
    </w:p>
    <w:p w14:paraId="60DC557C" w14:textId="77777777" w:rsidR="00BB1FE9" w:rsidRDefault="00002DEF">
      <w:pPr>
        <w:spacing w:before="270" w:after="180"/>
      </w:pPr>
      <w:r>
        <w:rPr>
          <w:b/>
          <w:sz w:val="30"/>
        </w:rPr>
        <w:t>8.2. Cita informācija</w:t>
      </w:r>
    </w:p>
    <w:p w14:paraId="7FC8573A" w14:textId="77777777" w:rsidR="00BB1FE9" w:rsidRDefault="00002DEF">
      <w:pPr>
        <w:spacing w:before="90" w:after="90"/>
      </w:pPr>
      <w:r>
        <w:rPr>
          <w:b/>
        </w:rPr>
        <w:t>Cita informācija</w:t>
      </w:r>
    </w:p>
    <w:p w14:paraId="43C73C76" w14:textId="77777777" w:rsidR="00BB1FE9" w:rsidRDefault="00002DEF">
      <w:r>
        <w:t>-</w:t>
      </w:r>
    </w:p>
    <w:sectPr w:rsidR="00BB1FE9">
      <w:headerReference w:type="default" r:id="rId10"/>
      <w:footerReference w:type="default" r:id="rId11"/>
      <w:headerReference w:type="first" r:id="rId12"/>
      <w:footerReference w:type="first" r:id="rId13"/>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0D531" w14:textId="77777777" w:rsidR="00D0181A" w:rsidRDefault="00D0181A">
      <w:r>
        <w:separator/>
      </w:r>
    </w:p>
  </w:endnote>
  <w:endnote w:type="continuationSeparator" w:id="0">
    <w:p w14:paraId="0EA55029" w14:textId="77777777" w:rsidR="00D0181A" w:rsidRDefault="00D0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286E" w14:textId="77777777" w:rsidR="00BB1FE9" w:rsidRDefault="00002DEF">
    <w:pPr>
      <w:jc w:val="right"/>
    </w:pPr>
    <w:r>
      <w:rPr>
        <w:sz w:val="24"/>
        <w:szCs w:val="24"/>
      </w:rPr>
      <w:fldChar w:fldCharType="begin"/>
    </w:r>
    <w:r>
      <w:rPr>
        <w:sz w:val="24"/>
        <w:szCs w:val="24"/>
      </w:rPr>
      <w:instrText>PAGE</w:instrText>
    </w:r>
    <w:r>
      <w:rPr>
        <w:sz w:val="24"/>
        <w:szCs w:val="24"/>
      </w:rPr>
      <w:fldChar w:fldCharType="separate"/>
    </w:r>
    <w:r>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7E75" w14:textId="77777777" w:rsidR="004B1E27" w:rsidRDefault="00002DE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B8B3" w14:textId="77777777" w:rsidR="00D0181A" w:rsidRDefault="00D0181A">
      <w:r>
        <w:separator/>
      </w:r>
    </w:p>
  </w:footnote>
  <w:footnote w:type="continuationSeparator" w:id="0">
    <w:p w14:paraId="030DFDDA" w14:textId="77777777" w:rsidR="00D0181A" w:rsidRDefault="00D01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91A0" w14:textId="1D49FCC6" w:rsidR="00BF22F8" w:rsidRDefault="004349ED" w:rsidP="004349ED">
    <w:pPr>
      <w:pStyle w:val="Header"/>
      <w:contextualSpacing w:val="0"/>
    </w:pPr>
    <w:r>
      <w:t>Anotācija (</w:t>
    </w:r>
    <w:proofErr w:type="spellStart"/>
    <w:r>
      <w:t>ex-ante</w:t>
    </w:r>
    <w:proofErr w:type="spellEnd"/>
    <w:r>
      <w:t>) 22-TA-2640</w:t>
    </w:r>
    <w:r>
      <w:br/>
      <w:t>Izdrukāts 01.09.2022. 14.47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37A3" w14:textId="508E0314" w:rsidR="00BF22F8" w:rsidRDefault="004349ED" w:rsidP="004349ED">
    <w:pPr>
      <w:pStyle w:val="Header"/>
      <w:contextualSpacing w:val="0"/>
    </w:pPr>
    <w:r>
      <w:t>Anotācija (</w:t>
    </w:r>
    <w:proofErr w:type="spellStart"/>
    <w:r>
      <w:t>ex-ante</w:t>
    </w:r>
    <w:proofErr w:type="spellEnd"/>
    <w:r>
      <w:t>) 22-TA-2640</w:t>
    </w:r>
    <w:r>
      <w:br/>
      <w:t>Izdrukāts 01.09.2022. 14.47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DAE"/>
    <w:multiLevelType w:val="hybridMultilevel"/>
    <w:tmpl w:val="8FF428A6"/>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3B467F"/>
    <w:multiLevelType w:val="hybridMultilevel"/>
    <w:tmpl w:val="73E8F4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6D369C"/>
    <w:multiLevelType w:val="hybridMultilevel"/>
    <w:tmpl w:val="E2021FC2"/>
    <w:lvl w:ilvl="0" w:tplc="07CC8D08">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9A40CE"/>
    <w:multiLevelType w:val="hybridMultilevel"/>
    <w:tmpl w:val="D10C3A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BC6CBF"/>
    <w:multiLevelType w:val="hybridMultilevel"/>
    <w:tmpl w:val="6A6295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FED48A1"/>
    <w:multiLevelType w:val="hybridMultilevel"/>
    <w:tmpl w:val="2592BCF2"/>
    <w:lvl w:ilvl="0" w:tplc="0426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432EFF"/>
    <w:multiLevelType w:val="hybridMultilevel"/>
    <w:tmpl w:val="627802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34D4CBA"/>
    <w:multiLevelType w:val="hybridMultilevel"/>
    <w:tmpl w:val="81AACA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AC25CD4"/>
    <w:multiLevelType w:val="hybridMultilevel"/>
    <w:tmpl w:val="2A6837BC"/>
    <w:lvl w:ilvl="0" w:tplc="541C1E1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9CE2BC7"/>
    <w:multiLevelType w:val="hybridMultilevel"/>
    <w:tmpl w:val="4AE237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1991BEB"/>
    <w:multiLevelType w:val="hybridMultilevel"/>
    <w:tmpl w:val="BED6CF46"/>
    <w:lvl w:ilvl="0" w:tplc="04260001">
      <w:start w:val="1"/>
      <w:numFmt w:val="bullet"/>
      <w:lvlText w:val=""/>
      <w:lvlJc w:val="left"/>
      <w:pPr>
        <w:ind w:left="720" w:hanging="360"/>
      </w:pPr>
      <w:rPr>
        <w:rFonts w:ascii="Symbol" w:hAnsi="Symbol" w:hint="default"/>
      </w:rPr>
    </w:lvl>
    <w:lvl w:ilvl="1" w:tplc="6F9E8080">
      <w:numFmt w:val="bullet"/>
      <w:lvlText w:val="•"/>
      <w:lvlJc w:val="left"/>
      <w:pPr>
        <w:ind w:left="1800" w:hanging="72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9B6A78"/>
    <w:multiLevelType w:val="hybridMultilevel"/>
    <w:tmpl w:val="7D76A4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50944E8"/>
    <w:multiLevelType w:val="hybridMultilevel"/>
    <w:tmpl w:val="9884A1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B3F16A4"/>
    <w:multiLevelType w:val="hybridMultilevel"/>
    <w:tmpl w:val="12D011CE"/>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D325A2F"/>
    <w:multiLevelType w:val="hybridMultilevel"/>
    <w:tmpl w:val="F60269C4"/>
    <w:lvl w:ilvl="0" w:tplc="07CC8D08">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5B85EFD"/>
    <w:multiLevelType w:val="hybridMultilevel"/>
    <w:tmpl w:val="D1902A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80667406">
    <w:abstractNumId w:val="12"/>
  </w:num>
  <w:num w:numId="2" w16cid:durableId="601114512">
    <w:abstractNumId w:val="4"/>
  </w:num>
  <w:num w:numId="3" w16cid:durableId="1912427718">
    <w:abstractNumId w:val="2"/>
  </w:num>
  <w:num w:numId="4" w16cid:durableId="1877430853">
    <w:abstractNumId w:val="14"/>
  </w:num>
  <w:num w:numId="5" w16cid:durableId="996542561">
    <w:abstractNumId w:val="8"/>
  </w:num>
  <w:num w:numId="6" w16cid:durableId="785928752">
    <w:abstractNumId w:val="10"/>
  </w:num>
  <w:num w:numId="7" w16cid:durableId="204755569">
    <w:abstractNumId w:val="5"/>
  </w:num>
  <w:num w:numId="8" w16cid:durableId="1065225865">
    <w:abstractNumId w:val="11"/>
  </w:num>
  <w:num w:numId="9" w16cid:durableId="1302729652">
    <w:abstractNumId w:val="13"/>
  </w:num>
  <w:num w:numId="10" w16cid:durableId="181281554">
    <w:abstractNumId w:val="6"/>
  </w:num>
  <w:num w:numId="11" w16cid:durableId="506754851">
    <w:abstractNumId w:val="9"/>
  </w:num>
  <w:num w:numId="12" w16cid:durableId="1273442612">
    <w:abstractNumId w:val="0"/>
  </w:num>
  <w:num w:numId="13" w16cid:durableId="1994138098">
    <w:abstractNumId w:val="1"/>
  </w:num>
  <w:num w:numId="14" w16cid:durableId="1016426517">
    <w:abstractNumId w:val="3"/>
  </w:num>
  <w:num w:numId="15" w16cid:durableId="1847403533">
    <w:abstractNumId w:val="7"/>
  </w:num>
  <w:num w:numId="16" w16cid:durableId="14071507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E9"/>
    <w:rsid w:val="00002DEF"/>
    <w:rsid w:val="0000728B"/>
    <w:rsid w:val="00007540"/>
    <w:rsid w:val="00010C07"/>
    <w:rsid w:val="00012EA0"/>
    <w:rsid w:val="0001467B"/>
    <w:rsid w:val="0001714C"/>
    <w:rsid w:val="000228CA"/>
    <w:rsid w:val="00022AE4"/>
    <w:rsid w:val="00024E8A"/>
    <w:rsid w:val="00027767"/>
    <w:rsid w:val="00027B46"/>
    <w:rsid w:val="000328A6"/>
    <w:rsid w:val="00033589"/>
    <w:rsid w:val="0003522C"/>
    <w:rsid w:val="000407EB"/>
    <w:rsid w:val="00041625"/>
    <w:rsid w:val="000431FF"/>
    <w:rsid w:val="000537E3"/>
    <w:rsid w:val="00054F7D"/>
    <w:rsid w:val="00055785"/>
    <w:rsid w:val="0005615C"/>
    <w:rsid w:val="0006170F"/>
    <w:rsid w:val="00061849"/>
    <w:rsid w:val="0006764B"/>
    <w:rsid w:val="000677F9"/>
    <w:rsid w:val="00067B30"/>
    <w:rsid w:val="00067FF2"/>
    <w:rsid w:val="00071D80"/>
    <w:rsid w:val="00074E1C"/>
    <w:rsid w:val="000757EE"/>
    <w:rsid w:val="00091B0B"/>
    <w:rsid w:val="00094791"/>
    <w:rsid w:val="000947E0"/>
    <w:rsid w:val="000A2453"/>
    <w:rsid w:val="000A2796"/>
    <w:rsid w:val="000A2D51"/>
    <w:rsid w:val="000A48EA"/>
    <w:rsid w:val="000A5B2D"/>
    <w:rsid w:val="000B3062"/>
    <w:rsid w:val="000B3B1B"/>
    <w:rsid w:val="000C0DA2"/>
    <w:rsid w:val="000C14AF"/>
    <w:rsid w:val="000C5059"/>
    <w:rsid w:val="000C54C3"/>
    <w:rsid w:val="000C5627"/>
    <w:rsid w:val="000C6019"/>
    <w:rsid w:val="000C6D13"/>
    <w:rsid w:val="000D1171"/>
    <w:rsid w:val="000D6CA9"/>
    <w:rsid w:val="000E3CF2"/>
    <w:rsid w:val="000E7612"/>
    <w:rsid w:val="000F5937"/>
    <w:rsid w:val="000F5938"/>
    <w:rsid w:val="000F5C2F"/>
    <w:rsid w:val="00102951"/>
    <w:rsid w:val="001079FF"/>
    <w:rsid w:val="001123AD"/>
    <w:rsid w:val="0011370E"/>
    <w:rsid w:val="00113870"/>
    <w:rsid w:val="0011555A"/>
    <w:rsid w:val="00116654"/>
    <w:rsid w:val="0012288A"/>
    <w:rsid w:val="00126789"/>
    <w:rsid w:val="00127583"/>
    <w:rsid w:val="00132264"/>
    <w:rsid w:val="001322DF"/>
    <w:rsid w:val="00133DB2"/>
    <w:rsid w:val="0013504B"/>
    <w:rsid w:val="00146B9D"/>
    <w:rsid w:val="0014752F"/>
    <w:rsid w:val="001517A5"/>
    <w:rsid w:val="00152628"/>
    <w:rsid w:val="0015628F"/>
    <w:rsid w:val="00157213"/>
    <w:rsid w:val="00157ACA"/>
    <w:rsid w:val="0016186B"/>
    <w:rsid w:val="00164882"/>
    <w:rsid w:val="0016709B"/>
    <w:rsid w:val="00167195"/>
    <w:rsid w:val="00170BCD"/>
    <w:rsid w:val="00171A81"/>
    <w:rsid w:val="00173649"/>
    <w:rsid w:val="00173744"/>
    <w:rsid w:val="001776B3"/>
    <w:rsid w:val="00177BBD"/>
    <w:rsid w:val="0018116B"/>
    <w:rsid w:val="00181C3F"/>
    <w:rsid w:val="001820FC"/>
    <w:rsid w:val="00183DD1"/>
    <w:rsid w:val="001873C2"/>
    <w:rsid w:val="00187B6B"/>
    <w:rsid w:val="001906F6"/>
    <w:rsid w:val="001909F0"/>
    <w:rsid w:val="00196D6A"/>
    <w:rsid w:val="001A26B6"/>
    <w:rsid w:val="001A5AAF"/>
    <w:rsid w:val="001A6329"/>
    <w:rsid w:val="001C30D2"/>
    <w:rsid w:val="001C3CE0"/>
    <w:rsid w:val="001C5A3A"/>
    <w:rsid w:val="001C6A1D"/>
    <w:rsid w:val="001D22B4"/>
    <w:rsid w:val="001D27B8"/>
    <w:rsid w:val="001D509A"/>
    <w:rsid w:val="001D5D3E"/>
    <w:rsid w:val="001D70E1"/>
    <w:rsid w:val="001E109D"/>
    <w:rsid w:val="001E2C2B"/>
    <w:rsid w:val="001F19C8"/>
    <w:rsid w:val="00203911"/>
    <w:rsid w:val="0021064B"/>
    <w:rsid w:val="00223261"/>
    <w:rsid w:val="00223505"/>
    <w:rsid w:val="00226633"/>
    <w:rsid w:val="00230C1C"/>
    <w:rsid w:val="002313F1"/>
    <w:rsid w:val="00233253"/>
    <w:rsid w:val="00234865"/>
    <w:rsid w:val="00241F5E"/>
    <w:rsid w:val="00243357"/>
    <w:rsid w:val="00245EF7"/>
    <w:rsid w:val="0025423E"/>
    <w:rsid w:val="00256818"/>
    <w:rsid w:val="00257241"/>
    <w:rsid w:val="002626A0"/>
    <w:rsid w:val="002653F3"/>
    <w:rsid w:val="00266177"/>
    <w:rsid w:val="002668C7"/>
    <w:rsid w:val="0026739D"/>
    <w:rsid w:val="0027126F"/>
    <w:rsid w:val="002745F0"/>
    <w:rsid w:val="00285A5D"/>
    <w:rsid w:val="00292924"/>
    <w:rsid w:val="0029713B"/>
    <w:rsid w:val="002A1E85"/>
    <w:rsid w:val="002B4592"/>
    <w:rsid w:val="002B6B28"/>
    <w:rsid w:val="002C25C0"/>
    <w:rsid w:val="002C42E1"/>
    <w:rsid w:val="002C6226"/>
    <w:rsid w:val="002E2E13"/>
    <w:rsid w:val="002E4B12"/>
    <w:rsid w:val="002E5D98"/>
    <w:rsid w:val="002E7B94"/>
    <w:rsid w:val="002F492E"/>
    <w:rsid w:val="00301384"/>
    <w:rsid w:val="00311668"/>
    <w:rsid w:val="00335072"/>
    <w:rsid w:val="00343409"/>
    <w:rsid w:val="00372D49"/>
    <w:rsid w:val="003856E1"/>
    <w:rsid w:val="00386C22"/>
    <w:rsid w:val="003878D8"/>
    <w:rsid w:val="003944F0"/>
    <w:rsid w:val="003964E3"/>
    <w:rsid w:val="003A10FE"/>
    <w:rsid w:val="003A2CC3"/>
    <w:rsid w:val="003A5E9A"/>
    <w:rsid w:val="003A62FD"/>
    <w:rsid w:val="003A66FC"/>
    <w:rsid w:val="003B2D14"/>
    <w:rsid w:val="003B5715"/>
    <w:rsid w:val="003C30E3"/>
    <w:rsid w:val="003C460B"/>
    <w:rsid w:val="003D53AC"/>
    <w:rsid w:val="003F13EE"/>
    <w:rsid w:val="003F6357"/>
    <w:rsid w:val="004325F0"/>
    <w:rsid w:val="004349ED"/>
    <w:rsid w:val="004354F8"/>
    <w:rsid w:val="00444FD0"/>
    <w:rsid w:val="00453AA9"/>
    <w:rsid w:val="004627F5"/>
    <w:rsid w:val="004644AE"/>
    <w:rsid w:val="00476F97"/>
    <w:rsid w:val="00480C0B"/>
    <w:rsid w:val="0048259F"/>
    <w:rsid w:val="00482903"/>
    <w:rsid w:val="004842CA"/>
    <w:rsid w:val="00486297"/>
    <w:rsid w:val="004902C4"/>
    <w:rsid w:val="00491773"/>
    <w:rsid w:val="004A0626"/>
    <w:rsid w:val="004A0C74"/>
    <w:rsid w:val="004A3B79"/>
    <w:rsid w:val="004B15EF"/>
    <w:rsid w:val="004B1E27"/>
    <w:rsid w:val="004D30AC"/>
    <w:rsid w:val="004D420E"/>
    <w:rsid w:val="004D4463"/>
    <w:rsid w:val="004D4DAB"/>
    <w:rsid w:val="004D7BB5"/>
    <w:rsid w:val="004E3A9C"/>
    <w:rsid w:val="004E647D"/>
    <w:rsid w:val="004E6B67"/>
    <w:rsid w:val="004F1D4B"/>
    <w:rsid w:val="004F33B0"/>
    <w:rsid w:val="004F3607"/>
    <w:rsid w:val="004F6F2A"/>
    <w:rsid w:val="00500A49"/>
    <w:rsid w:val="00502719"/>
    <w:rsid w:val="00505CC0"/>
    <w:rsid w:val="00512BDD"/>
    <w:rsid w:val="00512D9B"/>
    <w:rsid w:val="005131A1"/>
    <w:rsid w:val="00522BB3"/>
    <w:rsid w:val="005241E3"/>
    <w:rsid w:val="00525B15"/>
    <w:rsid w:val="00527363"/>
    <w:rsid w:val="00530C60"/>
    <w:rsid w:val="00533077"/>
    <w:rsid w:val="005346B8"/>
    <w:rsid w:val="005351BD"/>
    <w:rsid w:val="005366F3"/>
    <w:rsid w:val="00537EA0"/>
    <w:rsid w:val="00545D1A"/>
    <w:rsid w:val="005761F0"/>
    <w:rsid w:val="0057754B"/>
    <w:rsid w:val="00583CAC"/>
    <w:rsid w:val="00584C34"/>
    <w:rsid w:val="00596051"/>
    <w:rsid w:val="00596F7A"/>
    <w:rsid w:val="005A075E"/>
    <w:rsid w:val="005A41A7"/>
    <w:rsid w:val="005A5310"/>
    <w:rsid w:val="005A57BF"/>
    <w:rsid w:val="005B4350"/>
    <w:rsid w:val="005B737C"/>
    <w:rsid w:val="005C32B0"/>
    <w:rsid w:val="005C468C"/>
    <w:rsid w:val="005C46F8"/>
    <w:rsid w:val="005D4225"/>
    <w:rsid w:val="005D5AE1"/>
    <w:rsid w:val="005E7012"/>
    <w:rsid w:val="005F18C4"/>
    <w:rsid w:val="005F203E"/>
    <w:rsid w:val="005F305B"/>
    <w:rsid w:val="005F46AA"/>
    <w:rsid w:val="005F5D43"/>
    <w:rsid w:val="00601A8D"/>
    <w:rsid w:val="00601E99"/>
    <w:rsid w:val="006055EA"/>
    <w:rsid w:val="00614F7B"/>
    <w:rsid w:val="00616F3E"/>
    <w:rsid w:val="00617149"/>
    <w:rsid w:val="006259DB"/>
    <w:rsid w:val="00630907"/>
    <w:rsid w:val="006310BC"/>
    <w:rsid w:val="00632491"/>
    <w:rsid w:val="00635587"/>
    <w:rsid w:val="00637820"/>
    <w:rsid w:val="006403A8"/>
    <w:rsid w:val="00645B61"/>
    <w:rsid w:val="00646074"/>
    <w:rsid w:val="00650E35"/>
    <w:rsid w:val="0065687C"/>
    <w:rsid w:val="00657E34"/>
    <w:rsid w:val="00660F91"/>
    <w:rsid w:val="00661E16"/>
    <w:rsid w:val="006705F5"/>
    <w:rsid w:val="00670796"/>
    <w:rsid w:val="00672577"/>
    <w:rsid w:val="00674DA3"/>
    <w:rsid w:val="00680D16"/>
    <w:rsid w:val="00684F99"/>
    <w:rsid w:val="00696FDE"/>
    <w:rsid w:val="006A0887"/>
    <w:rsid w:val="006A1324"/>
    <w:rsid w:val="006C781C"/>
    <w:rsid w:val="006D190C"/>
    <w:rsid w:val="006D6313"/>
    <w:rsid w:val="006E1590"/>
    <w:rsid w:val="006E34BA"/>
    <w:rsid w:val="006F0634"/>
    <w:rsid w:val="0070100D"/>
    <w:rsid w:val="007019A9"/>
    <w:rsid w:val="0070430A"/>
    <w:rsid w:val="00706D5B"/>
    <w:rsid w:val="00707410"/>
    <w:rsid w:val="00713E6C"/>
    <w:rsid w:val="0071613C"/>
    <w:rsid w:val="00721565"/>
    <w:rsid w:val="0072453C"/>
    <w:rsid w:val="0072654D"/>
    <w:rsid w:val="00726850"/>
    <w:rsid w:val="00731C2F"/>
    <w:rsid w:val="00741027"/>
    <w:rsid w:val="00751F2D"/>
    <w:rsid w:val="00755781"/>
    <w:rsid w:val="00760B1B"/>
    <w:rsid w:val="007629EB"/>
    <w:rsid w:val="00767343"/>
    <w:rsid w:val="0076784E"/>
    <w:rsid w:val="00777E1F"/>
    <w:rsid w:val="007870FE"/>
    <w:rsid w:val="00791E96"/>
    <w:rsid w:val="0079247E"/>
    <w:rsid w:val="00793A05"/>
    <w:rsid w:val="00794063"/>
    <w:rsid w:val="007A1459"/>
    <w:rsid w:val="007A49EE"/>
    <w:rsid w:val="007A6377"/>
    <w:rsid w:val="007A747C"/>
    <w:rsid w:val="007B4937"/>
    <w:rsid w:val="007B4FB8"/>
    <w:rsid w:val="007B5436"/>
    <w:rsid w:val="007E4FE9"/>
    <w:rsid w:val="007E7333"/>
    <w:rsid w:val="007F0B26"/>
    <w:rsid w:val="007F3B18"/>
    <w:rsid w:val="007F5DDF"/>
    <w:rsid w:val="00801154"/>
    <w:rsid w:val="0081110D"/>
    <w:rsid w:val="00814184"/>
    <w:rsid w:val="00815176"/>
    <w:rsid w:val="008178B0"/>
    <w:rsid w:val="008265E5"/>
    <w:rsid w:val="0083034F"/>
    <w:rsid w:val="00830B1B"/>
    <w:rsid w:val="008324C9"/>
    <w:rsid w:val="008362F8"/>
    <w:rsid w:val="00837124"/>
    <w:rsid w:val="00841D65"/>
    <w:rsid w:val="008442FE"/>
    <w:rsid w:val="008444B4"/>
    <w:rsid w:val="0085357A"/>
    <w:rsid w:val="00854546"/>
    <w:rsid w:val="00857BEF"/>
    <w:rsid w:val="00860DEB"/>
    <w:rsid w:val="00861B21"/>
    <w:rsid w:val="00865519"/>
    <w:rsid w:val="0088656C"/>
    <w:rsid w:val="00886F1F"/>
    <w:rsid w:val="00891697"/>
    <w:rsid w:val="00896E05"/>
    <w:rsid w:val="00897447"/>
    <w:rsid w:val="008A38AB"/>
    <w:rsid w:val="008A4452"/>
    <w:rsid w:val="008B57C7"/>
    <w:rsid w:val="008B5D14"/>
    <w:rsid w:val="008B660C"/>
    <w:rsid w:val="008C7FD0"/>
    <w:rsid w:val="008D0B8C"/>
    <w:rsid w:val="008D26CA"/>
    <w:rsid w:val="008D3235"/>
    <w:rsid w:val="008D3347"/>
    <w:rsid w:val="008D578D"/>
    <w:rsid w:val="008E0618"/>
    <w:rsid w:val="008E7E8C"/>
    <w:rsid w:val="008F1259"/>
    <w:rsid w:val="008F2D6B"/>
    <w:rsid w:val="008F3270"/>
    <w:rsid w:val="008F5949"/>
    <w:rsid w:val="00907632"/>
    <w:rsid w:val="00912C9E"/>
    <w:rsid w:val="00913BCD"/>
    <w:rsid w:val="00915BA1"/>
    <w:rsid w:val="0092037B"/>
    <w:rsid w:val="00924D97"/>
    <w:rsid w:val="00925DBC"/>
    <w:rsid w:val="00930ECF"/>
    <w:rsid w:val="00934F9F"/>
    <w:rsid w:val="00936BAD"/>
    <w:rsid w:val="00944AE3"/>
    <w:rsid w:val="0094566F"/>
    <w:rsid w:val="009462E2"/>
    <w:rsid w:val="0095154F"/>
    <w:rsid w:val="00951CAA"/>
    <w:rsid w:val="00956EB1"/>
    <w:rsid w:val="00962667"/>
    <w:rsid w:val="009671F3"/>
    <w:rsid w:val="00967DE3"/>
    <w:rsid w:val="0097225D"/>
    <w:rsid w:val="0098082A"/>
    <w:rsid w:val="00981112"/>
    <w:rsid w:val="009817CD"/>
    <w:rsid w:val="00984F13"/>
    <w:rsid w:val="0098534C"/>
    <w:rsid w:val="009874AF"/>
    <w:rsid w:val="00990B94"/>
    <w:rsid w:val="009A2935"/>
    <w:rsid w:val="009A37FB"/>
    <w:rsid w:val="009A3C40"/>
    <w:rsid w:val="009A6E23"/>
    <w:rsid w:val="009C59BB"/>
    <w:rsid w:val="009C6B36"/>
    <w:rsid w:val="009D1461"/>
    <w:rsid w:val="009D165D"/>
    <w:rsid w:val="009D2274"/>
    <w:rsid w:val="009D2EA0"/>
    <w:rsid w:val="009D31C6"/>
    <w:rsid w:val="009D4555"/>
    <w:rsid w:val="009D45C2"/>
    <w:rsid w:val="009E134B"/>
    <w:rsid w:val="009E19D0"/>
    <w:rsid w:val="009E4D70"/>
    <w:rsid w:val="009E677A"/>
    <w:rsid w:val="009E714E"/>
    <w:rsid w:val="009F655F"/>
    <w:rsid w:val="009F7118"/>
    <w:rsid w:val="00A000E8"/>
    <w:rsid w:val="00A01E79"/>
    <w:rsid w:val="00A2075F"/>
    <w:rsid w:val="00A21899"/>
    <w:rsid w:val="00A235FB"/>
    <w:rsid w:val="00A24162"/>
    <w:rsid w:val="00A274B6"/>
    <w:rsid w:val="00A3393B"/>
    <w:rsid w:val="00A347C0"/>
    <w:rsid w:val="00A35098"/>
    <w:rsid w:val="00A371C4"/>
    <w:rsid w:val="00A47D26"/>
    <w:rsid w:val="00A51A53"/>
    <w:rsid w:val="00A5550A"/>
    <w:rsid w:val="00A60DA8"/>
    <w:rsid w:val="00A6298E"/>
    <w:rsid w:val="00A634E9"/>
    <w:rsid w:val="00A662B0"/>
    <w:rsid w:val="00A679C4"/>
    <w:rsid w:val="00A71A7D"/>
    <w:rsid w:val="00A7300C"/>
    <w:rsid w:val="00A732AE"/>
    <w:rsid w:val="00A76D86"/>
    <w:rsid w:val="00A77305"/>
    <w:rsid w:val="00A81F4A"/>
    <w:rsid w:val="00A81F70"/>
    <w:rsid w:val="00A8222B"/>
    <w:rsid w:val="00A82B3B"/>
    <w:rsid w:val="00A851B8"/>
    <w:rsid w:val="00A95A2A"/>
    <w:rsid w:val="00AA049F"/>
    <w:rsid w:val="00AA27D5"/>
    <w:rsid w:val="00AC0BD6"/>
    <w:rsid w:val="00AC21A1"/>
    <w:rsid w:val="00AC2A77"/>
    <w:rsid w:val="00AE03DB"/>
    <w:rsid w:val="00AE2D78"/>
    <w:rsid w:val="00AE5842"/>
    <w:rsid w:val="00AF46FD"/>
    <w:rsid w:val="00AF68EF"/>
    <w:rsid w:val="00B03710"/>
    <w:rsid w:val="00B05C8D"/>
    <w:rsid w:val="00B14403"/>
    <w:rsid w:val="00B14C54"/>
    <w:rsid w:val="00B21FE5"/>
    <w:rsid w:val="00B24BFC"/>
    <w:rsid w:val="00B26253"/>
    <w:rsid w:val="00B3180C"/>
    <w:rsid w:val="00B32911"/>
    <w:rsid w:val="00B341CA"/>
    <w:rsid w:val="00B35E62"/>
    <w:rsid w:val="00B36106"/>
    <w:rsid w:val="00B367CF"/>
    <w:rsid w:val="00B36CCC"/>
    <w:rsid w:val="00B40B61"/>
    <w:rsid w:val="00B448AB"/>
    <w:rsid w:val="00B45058"/>
    <w:rsid w:val="00B460B1"/>
    <w:rsid w:val="00B5050D"/>
    <w:rsid w:val="00B61A73"/>
    <w:rsid w:val="00B6472A"/>
    <w:rsid w:val="00B66314"/>
    <w:rsid w:val="00B7550E"/>
    <w:rsid w:val="00B772F2"/>
    <w:rsid w:val="00B814CA"/>
    <w:rsid w:val="00B824F8"/>
    <w:rsid w:val="00B90AA4"/>
    <w:rsid w:val="00B9525E"/>
    <w:rsid w:val="00B964EF"/>
    <w:rsid w:val="00BA0C97"/>
    <w:rsid w:val="00BA1052"/>
    <w:rsid w:val="00BA1AB4"/>
    <w:rsid w:val="00BA2A3C"/>
    <w:rsid w:val="00BA4B3A"/>
    <w:rsid w:val="00BA55BF"/>
    <w:rsid w:val="00BA56E8"/>
    <w:rsid w:val="00BA6626"/>
    <w:rsid w:val="00BB0CEF"/>
    <w:rsid w:val="00BB13E1"/>
    <w:rsid w:val="00BB1FE9"/>
    <w:rsid w:val="00BC5E5D"/>
    <w:rsid w:val="00BD56A3"/>
    <w:rsid w:val="00BE34B2"/>
    <w:rsid w:val="00BF22F8"/>
    <w:rsid w:val="00BF411C"/>
    <w:rsid w:val="00BF4C85"/>
    <w:rsid w:val="00BF6241"/>
    <w:rsid w:val="00C028AA"/>
    <w:rsid w:val="00C04E93"/>
    <w:rsid w:val="00C11B25"/>
    <w:rsid w:val="00C138DA"/>
    <w:rsid w:val="00C17167"/>
    <w:rsid w:val="00C20614"/>
    <w:rsid w:val="00C24949"/>
    <w:rsid w:val="00C263E3"/>
    <w:rsid w:val="00C26F4B"/>
    <w:rsid w:val="00C304F7"/>
    <w:rsid w:val="00C317C3"/>
    <w:rsid w:val="00C33F2D"/>
    <w:rsid w:val="00C401F0"/>
    <w:rsid w:val="00C40DFE"/>
    <w:rsid w:val="00C417A2"/>
    <w:rsid w:val="00C45C1D"/>
    <w:rsid w:val="00C550AD"/>
    <w:rsid w:val="00C56740"/>
    <w:rsid w:val="00C577CB"/>
    <w:rsid w:val="00C678E0"/>
    <w:rsid w:val="00C73C68"/>
    <w:rsid w:val="00C744E0"/>
    <w:rsid w:val="00C74BB6"/>
    <w:rsid w:val="00C76B9F"/>
    <w:rsid w:val="00C826F9"/>
    <w:rsid w:val="00C82E8D"/>
    <w:rsid w:val="00C86E3B"/>
    <w:rsid w:val="00C9268C"/>
    <w:rsid w:val="00C97A01"/>
    <w:rsid w:val="00CA5CD6"/>
    <w:rsid w:val="00CA78C7"/>
    <w:rsid w:val="00CB1475"/>
    <w:rsid w:val="00CB5779"/>
    <w:rsid w:val="00CB6636"/>
    <w:rsid w:val="00CC339E"/>
    <w:rsid w:val="00CC60DD"/>
    <w:rsid w:val="00CD1775"/>
    <w:rsid w:val="00CD2DA1"/>
    <w:rsid w:val="00CD42B8"/>
    <w:rsid w:val="00CD6205"/>
    <w:rsid w:val="00CD6F0E"/>
    <w:rsid w:val="00CE0E89"/>
    <w:rsid w:val="00CE3605"/>
    <w:rsid w:val="00CE4007"/>
    <w:rsid w:val="00CF2D14"/>
    <w:rsid w:val="00CF392C"/>
    <w:rsid w:val="00CF4690"/>
    <w:rsid w:val="00D0181A"/>
    <w:rsid w:val="00D105A7"/>
    <w:rsid w:val="00D11AB0"/>
    <w:rsid w:val="00D24578"/>
    <w:rsid w:val="00D34E8E"/>
    <w:rsid w:val="00D3646B"/>
    <w:rsid w:val="00D36A73"/>
    <w:rsid w:val="00D3731A"/>
    <w:rsid w:val="00D42C02"/>
    <w:rsid w:val="00D43DE8"/>
    <w:rsid w:val="00D4700E"/>
    <w:rsid w:val="00D51783"/>
    <w:rsid w:val="00D715FB"/>
    <w:rsid w:val="00D75582"/>
    <w:rsid w:val="00D75947"/>
    <w:rsid w:val="00D83E6E"/>
    <w:rsid w:val="00D8511B"/>
    <w:rsid w:val="00D85F4B"/>
    <w:rsid w:val="00D86CD2"/>
    <w:rsid w:val="00D870AF"/>
    <w:rsid w:val="00D9171F"/>
    <w:rsid w:val="00DA2440"/>
    <w:rsid w:val="00DA4475"/>
    <w:rsid w:val="00DB14C9"/>
    <w:rsid w:val="00DB3446"/>
    <w:rsid w:val="00DB6F18"/>
    <w:rsid w:val="00DC11C3"/>
    <w:rsid w:val="00DC2838"/>
    <w:rsid w:val="00DC71BD"/>
    <w:rsid w:val="00DC7EC8"/>
    <w:rsid w:val="00DF2F1F"/>
    <w:rsid w:val="00E01283"/>
    <w:rsid w:val="00E064AB"/>
    <w:rsid w:val="00E13ECC"/>
    <w:rsid w:val="00E23138"/>
    <w:rsid w:val="00E33ED3"/>
    <w:rsid w:val="00E3646F"/>
    <w:rsid w:val="00E56DCF"/>
    <w:rsid w:val="00E625B9"/>
    <w:rsid w:val="00E73487"/>
    <w:rsid w:val="00E73E18"/>
    <w:rsid w:val="00E75369"/>
    <w:rsid w:val="00E75D52"/>
    <w:rsid w:val="00E8685A"/>
    <w:rsid w:val="00E91AEF"/>
    <w:rsid w:val="00E93557"/>
    <w:rsid w:val="00E94508"/>
    <w:rsid w:val="00EA1FBA"/>
    <w:rsid w:val="00EA55D2"/>
    <w:rsid w:val="00EB0523"/>
    <w:rsid w:val="00EB0E4F"/>
    <w:rsid w:val="00EB6C86"/>
    <w:rsid w:val="00ED2F0E"/>
    <w:rsid w:val="00ED5778"/>
    <w:rsid w:val="00ED6A40"/>
    <w:rsid w:val="00EE4A2C"/>
    <w:rsid w:val="00EE4AE4"/>
    <w:rsid w:val="00EE523C"/>
    <w:rsid w:val="00EF064A"/>
    <w:rsid w:val="00EF5AB4"/>
    <w:rsid w:val="00F0077B"/>
    <w:rsid w:val="00F009C2"/>
    <w:rsid w:val="00F01A49"/>
    <w:rsid w:val="00F02983"/>
    <w:rsid w:val="00F02DC3"/>
    <w:rsid w:val="00F15E6B"/>
    <w:rsid w:val="00F17290"/>
    <w:rsid w:val="00F2026E"/>
    <w:rsid w:val="00F204ED"/>
    <w:rsid w:val="00F20936"/>
    <w:rsid w:val="00F215EF"/>
    <w:rsid w:val="00F23C9A"/>
    <w:rsid w:val="00F24640"/>
    <w:rsid w:val="00F25F89"/>
    <w:rsid w:val="00F34B95"/>
    <w:rsid w:val="00F44AD6"/>
    <w:rsid w:val="00F52708"/>
    <w:rsid w:val="00F57FAA"/>
    <w:rsid w:val="00F65CC2"/>
    <w:rsid w:val="00F72CC9"/>
    <w:rsid w:val="00F76AC3"/>
    <w:rsid w:val="00F851A7"/>
    <w:rsid w:val="00F91835"/>
    <w:rsid w:val="00F94035"/>
    <w:rsid w:val="00F9419A"/>
    <w:rsid w:val="00F97D6C"/>
    <w:rsid w:val="00FA07EC"/>
    <w:rsid w:val="00FA1D61"/>
    <w:rsid w:val="00FA2AEF"/>
    <w:rsid w:val="00FA7171"/>
    <w:rsid w:val="00FA7B98"/>
    <w:rsid w:val="00FB51FE"/>
    <w:rsid w:val="00FB5379"/>
    <w:rsid w:val="00FB6A66"/>
    <w:rsid w:val="00FD15CA"/>
    <w:rsid w:val="00FD41F3"/>
    <w:rsid w:val="00FD62FB"/>
    <w:rsid w:val="00FE1C3D"/>
    <w:rsid w:val="00FE2D14"/>
    <w:rsid w:val="00FF0436"/>
    <w:rsid w:val="00FF1E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638A"/>
  <w15:docId w15:val="{0BD3B27B-A110-42CA-9D7B-E8FB0CAB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701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00D"/>
    <w:rPr>
      <w:rFonts w:ascii="Segoe UI" w:hAnsi="Segoe UI" w:cs="Segoe UI"/>
      <w:sz w:val="18"/>
      <w:szCs w:val="18"/>
    </w:rPr>
  </w:style>
  <w:style w:type="paragraph" w:styleId="FootnoteText">
    <w:name w:val="footnote text"/>
    <w:basedOn w:val="Normal"/>
    <w:link w:val="FootnoteTextChar"/>
    <w:unhideWhenUsed/>
    <w:rsid w:val="00956EB1"/>
    <w:pPr>
      <w:jc w:val="left"/>
    </w:pPr>
    <w:rPr>
      <w:rFonts w:asciiTheme="minorHAnsi" w:eastAsiaTheme="minorEastAsia" w:hAnsiTheme="minorHAnsi" w:cstheme="minorBidi"/>
      <w:color w:val="auto"/>
      <w:sz w:val="20"/>
    </w:rPr>
  </w:style>
  <w:style w:type="character" w:customStyle="1" w:styleId="FootnoteTextChar">
    <w:name w:val="Footnote Text Char"/>
    <w:basedOn w:val="DefaultParagraphFont"/>
    <w:link w:val="FootnoteText"/>
    <w:rsid w:val="00956EB1"/>
    <w:rPr>
      <w:rFonts w:asciiTheme="minorHAnsi" w:eastAsiaTheme="minorEastAsia" w:hAnsiTheme="minorHAnsi" w:cstheme="minorBidi"/>
      <w:color w:val="auto"/>
      <w:sz w:val="20"/>
    </w:rPr>
  </w:style>
  <w:style w:type="character" w:styleId="FootnoteReference">
    <w:name w:val="footnote reference"/>
    <w:basedOn w:val="DefaultParagraphFont"/>
    <w:uiPriority w:val="99"/>
    <w:semiHidden/>
    <w:unhideWhenUsed/>
    <w:rsid w:val="00956EB1"/>
    <w:rPr>
      <w:vertAlign w:val="superscript"/>
    </w:rPr>
  </w:style>
  <w:style w:type="character" w:styleId="Hyperlink">
    <w:name w:val="Hyperlink"/>
    <w:basedOn w:val="DefaultParagraphFont"/>
    <w:uiPriority w:val="99"/>
    <w:unhideWhenUsed/>
    <w:rsid w:val="00956EB1"/>
    <w:rPr>
      <w:color w:val="0563C1" w:themeColor="hyperlink"/>
      <w:u w:val="single"/>
    </w:rPr>
  </w:style>
  <w:style w:type="paragraph" w:styleId="Footer">
    <w:name w:val="footer"/>
    <w:basedOn w:val="Normal"/>
    <w:link w:val="FooterChar"/>
    <w:uiPriority w:val="99"/>
    <w:unhideWhenUsed/>
    <w:rsid w:val="00FA2AEF"/>
    <w:pPr>
      <w:tabs>
        <w:tab w:val="center" w:pos="4153"/>
        <w:tab w:val="right" w:pos="8306"/>
      </w:tabs>
    </w:pPr>
  </w:style>
  <w:style w:type="character" w:customStyle="1" w:styleId="FooterChar">
    <w:name w:val="Footer Char"/>
    <w:basedOn w:val="DefaultParagraphFont"/>
    <w:link w:val="Footer"/>
    <w:uiPriority w:val="99"/>
    <w:rsid w:val="00FA2AEF"/>
  </w:style>
  <w:style w:type="paragraph" w:styleId="ListParagraph">
    <w:name w:val="List Paragraph"/>
    <w:basedOn w:val="Normal"/>
    <w:uiPriority w:val="34"/>
    <w:qFormat/>
    <w:rsid w:val="00D34E8E"/>
    <w:pPr>
      <w:ind w:left="720"/>
      <w:contextualSpacing/>
    </w:pPr>
  </w:style>
  <w:style w:type="table" w:styleId="TableGrid">
    <w:name w:val="Table Grid"/>
    <w:basedOn w:val="TableNormal"/>
    <w:uiPriority w:val="59"/>
    <w:rsid w:val="00984F13"/>
    <w:pPr>
      <w:jc w:val="left"/>
    </w:pPr>
    <w:rPr>
      <w:rFonts w:asciiTheme="minorHAnsi" w:eastAsiaTheme="minorHAnsi" w:hAnsiTheme="minorHAnsi" w:cstheme="minorBidi"/>
      <w:color w:val="aut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6654"/>
    <w:pPr>
      <w:jc w:val="left"/>
    </w:pPr>
  </w:style>
  <w:style w:type="paragraph" w:styleId="EndnoteText">
    <w:name w:val="endnote text"/>
    <w:basedOn w:val="Normal"/>
    <w:link w:val="EndnoteTextChar"/>
    <w:uiPriority w:val="99"/>
    <w:semiHidden/>
    <w:unhideWhenUsed/>
    <w:rsid w:val="00E33ED3"/>
    <w:rPr>
      <w:sz w:val="20"/>
    </w:rPr>
  </w:style>
  <w:style w:type="character" w:customStyle="1" w:styleId="EndnoteTextChar">
    <w:name w:val="Endnote Text Char"/>
    <w:basedOn w:val="DefaultParagraphFont"/>
    <w:link w:val="EndnoteText"/>
    <w:uiPriority w:val="99"/>
    <w:semiHidden/>
    <w:rsid w:val="00E33ED3"/>
    <w:rPr>
      <w:sz w:val="20"/>
    </w:rPr>
  </w:style>
  <w:style w:type="character" w:styleId="EndnoteReference">
    <w:name w:val="endnote reference"/>
    <w:basedOn w:val="DefaultParagraphFont"/>
    <w:uiPriority w:val="99"/>
    <w:semiHidden/>
    <w:unhideWhenUsed/>
    <w:rsid w:val="00E33E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718B298228960489F56F0419CFA614F" ma:contentTypeVersion="13" ma:contentTypeDescription="Izveidot jaunu dokumentu." ma:contentTypeScope="" ma:versionID="e0c5d9fc041f0d262d14ba66cca8b0ee">
  <xsd:schema xmlns:xsd="http://www.w3.org/2001/XMLSchema" xmlns:xs="http://www.w3.org/2001/XMLSchema" xmlns:p="http://schemas.microsoft.com/office/2006/metadata/properties" xmlns:ns3="b7ff3f73-803f-483a-890b-71b582754ce2" xmlns:ns4="f4ac1c89-c468-4115-8111-4b2433007404" targetNamespace="http://schemas.microsoft.com/office/2006/metadata/properties" ma:root="true" ma:fieldsID="846c058c597685bb2ec753467add9be0" ns3:_="" ns4:_="">
    <xsd:import namespace="b7ff3f73-803f-483a-890b-71b582754ce2"/>
    <xsd:import namespace="f4ac1c89-c468-4115-8111-4b24330074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f3f73-803f-483a-890b-71b582754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ac1c89-c468-4115-8111-4b243300740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8BA0A-126D-4F66-BCFA-4612C4CDF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f3f73-803f-483a-890b-71b582754ce2"/>
    <ds:schemaRef ds:uri="f4ac1c89-c468-4115-8111-4b2433007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60A17-7D43-40C7-B681-45AC82D1535D}">
  <ds:schemaRefs>
    <ds:schemaRef ds:uri="http://schemas.microsoft.com/sharepoint/v3/contenttype/forms"/>
  </ds:schemaRefs>
</ds:datastoreItem>
</file>

<file path=customXml/itemProps3.xml><?xml version="1.0" encoding="utf-8"?>
<ds:datastoreItem xmlns:ds="http://schemas.openxmlformats.org/officeDocument/2006/customXml" ds:itemID="{4585A49E-C411-4F57-A74B-2E216C8322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22771</Words>
  <Characters>12981</Characters>
  <Application>Microsoft Office Word</Application>
  <DocSecurity>0</DocSecurity>
  <Lines>108</Lines>
  <Paragraphs>71</Paragraphs>
  <ScaleCrop>false</ScaleCrop>
  <Company/>
  <LinksUpToDate>false</LinksUpToDate>
  <CharactersWithSpaces>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anotācija_(ex_ante)_21-TA-1573.docx</dc:title>
  <dc:creator>Ieva Moroza-Lubova</dc:creator>
  <cp:lastModifiedBy>Lita Trakina</cp:lastModifiedBy>
  <cp:revision>2</cp:revision>
  <dcterms:created xsi:type="dcterms:W3CDTF">2022-09-20T13:41:00Z</dcterms:created>
  <dcterms:modified xsi:type="dcterms:W3CDTF">2022-09-20T13:41:00Z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0x0101002718B298228960489F56F0419CFA614F</vt:lpwstr>
  </property>
</Properties>
</file>