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56F8" w:rsidRDefault="00275875" w:rsidP="000F4160">
      <w:pPr>
        <w:pStyle w:val="Subtitle"/>
        <w:ind w:left="-142" w:right="-284"/>
      </w:pPr>
      <w:r>
        <w:t xml:space="preserve">VIDES KONSULTATĪVĀ PADOME </w:t>
      </w:r>
    </w:p>
    <w:p w14:paraId="00000002" w14:textId="77777777" w:rsidR="002856F8" w:rsidRDefault="00275875" w:rsidP="000F4160">
      <w:pPr>
        <w:ind w:left="-142" w:right="-284"/>
        <w:jc w:val="center"/>
        <w:rPr>
          <w:sz w:val="20"/>
          <w:szCs w:val="20"/>
        </w:rPr>
      </w:pPr>
      <w:r>
        <w:rPr>
          <w:sz w:val="20"/>
          <w:szCs w:val="20"/>
        </w:rPr>
        <w:t>Nodibinājumi: „Latvijas Dabas fonds”, „Vides Izglītības fonds”, „Pasaules Dabas fonds”, „Ķemeru Nacionālā parka fonds”, “Teiču dabas fonds”, biedrības: „Latvijas Ornitoloģijas biedrība”, „Vides fakti”„Vides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Permakultūras biedrība”, “</w:t>
      </w:r>
      <w:r>
        <w:rPr>
          <w:sz w:val="20"/>
          <w:szCs w:val="20"/>
          <w:highlight w:val="white"/>
        </w:rPr>
        <w:t>Korporatīvās ilgtspējas un atbildības institūts</w:t>
      </w:r>
      <w:r>
        <w:rPr>
          <w:sz w:val="20"/>
          <w:szCs w:val="20"/>
        </w:rPr>
        <w:t>”, un biedrība „Baltijas Vides forums”.</w:t>
      </w:r>
    </w:p>
    <w:p w14:paraId="00000003" w14:textId="77777777" w:rsidR="002856F8" w:rsidRDefault="00275875" w:rsidP="000F4160">
      <w:pPr>
        <w:pBdr>
          <w:bottom w:val="single" w:sz="12" w:space="1" w:color="00000A"/>
        </w:pBdr>
        <w:ind w:left="-142" w:right="-284"/>
        <w:jc w:val="center"/>
        <w:rPr>
          <w:b/>
          <w:sz w:val="22"/>
          <w:szCs w:val="22"/>
        </w:rPr>
      </w:pPr>
      <w:r>
        <w:rPr>
          <w:b/>
          <w:sz w:val="22"/>
          <w:szCs w:val="22"/>
        </w:rPr>
        <w:t>Rīga, Peldu iela 26/28, LV-1494</w:t>
      </w:r>
    </w:p>
    <w:p w14:paraId="00000004" w14:textId="77777777" w:rsidR="002856F8" w:rsidRDefault="002856F8" w:rsidP="000F4160">
      <w:pPr>
        <w:ind w:left="-142" w:right="-284"/>
        <w:rPr>
          <w:sz w:val="22"/>
          <w:szCs w:val="22"/>
        </w:rPr>
      </w:pPr>
    </w:p>
    <w:p w14:paraId="27B96BD0" w14:textId="1884EB85" w:rsidR="00C84445" w:rsidRDefault="00BF3BC3" w:rsidP="000F4160">
      <w:pPr>
        <w:pStyle w:val="NormalWeb"/>
        <w:spacing w:before="0" w:beforeAutospacing="0" w:after="0" w:afterAutospacing="0"/>
        <w:ind w:left="-142" w:right="-284"/>
      </w:pPr>
      <w:r>
        <w:rPr>
          <w:color w:val="000000"/>
        </w:rPr>
        <w:t>13</w:t>
      </w:r>
      <w:r w:rsidR="00C84445">
        <w:rPr>
          <w:color w:val="000000"/>
        </w:rPr>
        <w:t>.</w:t>
      </w:r>
      <w:r>
        <w:rPr>
          <w:color w:val="000000"/>
        </w:rPr>
        <w:t>01</w:t>
      </w:r>
      <w:r w:rsidR="00C84445">
        <w:rPr>
          <w:color w:val="000000"/>
        </w:rPr>
        <w:t>.202</w:t>
      </w:r>
      <w:r>
        <w:rPr>
          <w:color w:val="000000"/>
        </w:rPr>
        <w:t>3</w:t>
      </w:r>
      <w:r w:rsidR="00C84445">
        <w:rPr>
          <w:color w:val="000000"/>
        </w:rPr>
        <w:t>.</w:t>
      </w:r>
    </w:p>
    <w:p w14:paraId="0F69DE1C" w14:textId="62740693" w:rsidR="00C84445" w:rsidRPr="002B54CF" w:rsidRDefault="00C84445" w:rsidP="000F4160">
      <w:pPr>
        <w:pStyle w:val="NormalWeb"/>
        <w:spacing w:before="0" w:beforeAutospacing="0" w:after="0" w:afterAutospacing="0"/>
        <w:ind w:left="-142" w:right="-284"/>
      </w:pPr>
      <w:r w:rsidRPr="002B54CF">
        <w:rPr>
          <w:color w:val="000000"/>
        </w:rPr>
        <w:t>Nr. 1-</w:t>
      </w:r>
      <w:r w:rsidR="00BF3BC3">
        <w:rPr>
          <w:color w:val="000000"/>
        </w:rPr>
        <w:t>3</w:t>
      </w:r>
      <w:r w:rsidRPr="002B54CF">
        <w:rPr>
          <w:color w:val="000000"/>
        </w:rPr>
        <w:t>.</w:t>
      </w:r>
    </w:p>
    <w:p w14:paraId="3425EAD1" w14:textId="77777777" w:rsidR="004B40A1" w:rsidRDefault="004B40A1" w:rsidP="004B40A1">
      <w:pPr>
        <w:pStyle w:val="NormalWeb"/>
        <w:spacing w:before="0" w:beforeAutospacing="0" w:after="0" w:afterAutospacing="0"/>
        <w:ind w:left="-142" w:right="-284"/>
        <w:jc w:val="right"/>
        <w:rPr>
          <w:b/>
          <w:bCs/>
          <w:color w:val="000000"/>
        </w:rPr>
      </w:pPr>
      <w:r w:rsidRPr="002B54CF">
        <w:rPr>
          <w:b/>
          <w:bCs/>
          <w:color w:val="000000"/>
        </w:rPr>
        <w:t>Vides aizsardzības un reģionālās attīstības</w:t>
      </w:r>
      <w:r>
        <w:rPr>
          <w:b/>
          <w:bCs/>
          <w:color w:val="000000"/>
        </w:rPr>
        <w:t xml:space="preserve"> ministram</w:t>
      </w:r>
    </w:p>
    <w:p w14:paraId="7C0983E7" w14:textId="14163CC4" w:rsidR="004B40A1" w:rsidRDefault="004B40A1" w:rsidP="004B40A1">
      <w:pPr>
        <w:pStyle w:val="NormalWeb"/>
        <w:spacing w:before="0" w:beforeAutospacing="0" w:after="0" w:afterAutospacing="0"/>
        <w:ind w:left="-142" w:right="-284"/>
        <w:jc w:val="right"/>
        <w:rPr>
          <w:b/>
          <w:bCs/>
          <w:color w:val="000000"/>
        </w:rPr>
      </w:pPr>
      <w:r w:rsidRPr="004B40A1">
        <w:rPr>
          <w:rStyle w:val="Hyperlink"/>
        </w:rPr>
        <w:t>maris.sprindzuks@varam.gov.lv</w:t>
      </w:r>
      <w:r w:rsidRPr="002B54CF">
        <w:rPr>
          <w:b/>
          <w:bCs/>
          <w:color w:val="000000"/>
        </w:rPr>
        <w:t xml:space="preserve"> </w:t>
      </w:r>
    </w:p>
    <w:p w14:paraId="5A572DEE" w14:textId="6822043D" w:rsidR="00C84445" w:rsidRPr="004B40A1" w:rsidRDefault="00C84445" w:rsidP="004B40A1">
      <w:pPr>
        <w:pStyle w:val="NormalWeb"/>
        <w:spacing w:before="0" w:beforeAutospacing="0" w:after="0" w:afterAutospacing="0"/>
        <w:ind w:left="-142" w:right="-284"/>
        <w:jc w:val="right"/>
        <w:rPr>
          <w:b/>
          <w:bCs/>
          <w:color w:val="000000"/>
        </w:rPr>
      </w:pPr>
      <w:r w:rsidRPr="002B54CF">
        <w:rPr>
          <w:b/>
          <w:bCs/>
          <w:color w:val="000000"/>
        </w:rPr>
        <w:t>Vides aizsardzības un reģionālās attīstības ministrijai</w:t>
      </w:r>
    </w:p>
    <w:p w14:paraId="5D89D8A7" w14:textId="258CCD90" w:rsidR="00C84445" w:rsidRPr="002B54CF" w:rsidRDefault="00000000" w:rsidP="000F4160">
      <w:pPr>
        <w:pStyle w:val="NormalWeb"/>
        <w:spacing w:before="0" w:beforeAutospacing="0" w:after="0" w:afterAutospacing="0"/>
        <w:ind w:left="-142" w:right="-284"/>
        <w:jc w:val="right"/>
      </w:pPr>
      <w:hyperlink r:id="rId7" w:history="1">
        <w:r w:rsidR="00C84445" w:rsidRPr="002B54CF">
          <w:rPr>
            <w:rStyle w:val="Hyperlink"/>
          </w:rPr>
          <w:t>pasts@varam.gov.lv</w:t>
        </w:r>
      </w:hyperlink>
    </w:p>
    <w:p w14:paraId="7472DA3E" w14:textId="22842E40" w:rsidR="004B40A1" w:rsidRDefault="004B40A1" w:rsidP="000F4160">
      <w:pPr>
        <w:pStyle w:val="NormalWeb"/>
        <w:spacing w:before="0" w:beforeAutospacing="0" w:after="0" w:afterAutospacing="0"/>
        <w:ind w:left="-142" w:right="-284"/>
        <w:jc w:val="right"/>
        <w:rPr>
          <w:rStyle w:val="Hyperlink"/>
        </w:rPr>
      </w:pPr>
    </w:p>
    <w:p w14:paraId="5DCD083E" w14:textId="215A1683" w:rsidR="00031F85" w:rsidRDefault="00031F85" w:rsidP="000F4160">
      <w:pPr>
        <w:pStyle w:val="NormalWeb"/>
        <w:spacing w:before="0" w:beforeAutospacing="0" w:after="0" w:afterAutospacing="0"/>
        <w:ind w:left="-142" w:right="-284"/>
        <w:jc w:val="right"/>
        <w:rPr>
          <w:rStyle w:val="Hyperlink"/>
        </w:rPr>
      </w:pPr>
    </w:p>
    <w:p w14:paraId="349F7EF9" w14:textId="1DED9945" w:rsidR="00C84445" w:rsidRPr="00C84445" w:rsidRDefault="00D917E2" w:rsidP="000F4160">
      <w:pPr>
        <w:ind w:left="-142" w:right="-284"/>
        <w:rPr>
          <w:i/>
          <w:iCs/>
          <w:color w:val="000000"/>
        </w:rPr>
      </w:pPr>
      <w:r>
        <w:rPr>
          <w:i/>
          <w:iCs/>
          <w:color w:val="000000"/>
        </w:rPr>
        <w:t>VKP priekšlikumi</w:t>
      </w:r>
      <w:r w:rsidR="00C84445" w:rsidRPr="00C84445">
        <w:rPr>
          <w:i/>
          <w:iCs/>
          <w:color w:val="000000"/>
        </w:rPr>
        <w:t xml:space="preserve"> </w:t>
      </w:r>
      <w:r w:rsidRPr="00D917E2">
        <w:rPr>
          <w:i/>
          <w:iCs/>
          <w:color w:val="000000"/>
        </w:rPr>
        <w:t>Valdības rīcības plāna projekt</w:t>
      </w:r>
      <w:r>
        <w:rPr>
          <w:i/>
          <w:iCs/>
          <w:color w:val="000000"/>
        </w:rPr>
        <w:t xml:space="preserve">am. </w:t>
      </w:r>
    </w:p>
    <w:p w14:paraId="754B9974" w14:textId="77777777" w:rsidR="00C84445" w:rsidRPr="00C84445" w:rsidRDefault="00C84445" w:rsidP="000F4160">
      <w:pPr>
        <w:pStyle w:val="NormalWeb"/>
        <w:spacing w:before="0" w:beforeAutospacing="0" w:after="0" w:afterAutospacing="0"/>
        <w:ind w:left="-142" w:right="-284" w:firstLine="720"/>
        <w:rPr>
          <w:color w:val="000000"/>
          <w:lang w:val="lv-LV"/>
        </w:rPr>
      </w:pPr>
    </w:p>
    <w:p w14:paraId="65D6D6E5" w14:textId="6215F262" w:rsidR="00C84445" w:rsidRPr="00C84445" w:rsidRDefault="00C84445" w:rsidP="000F4160">
      <w:pPr>
        <w:pStyle w:val="NormalWeb"/>
        <w:spacing w:before="0" w:beforeAutospacing="0" w:after="0" w:afterAutospacing="0"/>
        <w:ind w:left="-142" w:right="-284" w:firstLine="720"/>
        <w:jc w:val="both"/>
        <w:rPr>
          <w:lang w:val="lv-LV"/>
        </w:rPr>
      </w:pPr>
      <w:r w:rsidRPr="00C84445">
        <w:rPr>
          <w:color w:val="000000"/>
          <w:lang w:val="lv-LV"/>
        </w:rPr>
        <w:t xml:space="preserve">Vides konsultatīvā padome (turpmāk - VKP) </w:t>
      </w:r>
      <w:r w:rsidR="00D917E2">
        <w:rPr>
          <w:color w:val="000000"/>
          <w:lang w:val="lv-LV"/>
        </w:rPr>
        <w:t xml:space="preserve">pateicas VARAM ministram Mārim Sprindžukam par dalību VKP 2023. gada pirmajā sanāksmē, apliecinot turpmāku sadarbību ar VKP kā galveno sociālo partneri, un atvērtību VKP ekspertu priekšlikumiem nozares politikas veidošanā. VKP </w:t>
      </w:r>
      <w:r w:rsidRPr="00C84445">
        <w:rPr>
          <w:color w:val="000000"/>
          <w:lang w:val="lv-LV"/>
        </w:rPr>
        <w:t>organizāciju eksperti ir iepazinušies ar</w:t>
      </w:r>
      <w:r w:rsidR="008E2E34">
        <w:rPr>
          <w:color w:val="000000"/>
          <w:lang w:val="lv-LV"/>
        </w:rPr>
        <w:t xml:space="preserve"> </w:t>
      </w:r>
      <w:r w:rsidR="00D917E2">
        <w:rPr>
          <w:color w:val="000000"/>
          <w:lang w:val="lv-LV"/>
        </w:rPr>
        <w:t>Valdības rīcības plāna</w:t>
      </w:r>
      <w:r w:rsidR="008E2E34">
        <w:rPr>
          <w:color w:val="000000"/>
          <w:lang w:val="lv-LV"/>
        </w:rPr>
        <w:t xml:space="preserve"> projekta 12. </w:t>
      </w:r>
      <w:r w:rsidR="009634B8">
        <w:rPr>
          <w:color w:val="000000"/>
          <w:lang w:val="lv-LV"/>
        </w:rPr>
        <w:t>janvāra</w:t>
      </w:r>
      <w:r w:rsidR="008E2E34">
        <w:rPr>
          <w:color w:val="000000"/>
          <w:lang w:val="lv-LV"/>
        </w:rPr>
        <w:t xml:space="preserve"> versiju </w:t>
      </w:r>
      <w:r w:rsidRPr="00C84445">
        <w:rPr>
          <w:color w:val="000000"/>
          <w:lang w:val="lv-LV"/>
        </w:rPr>
        <w:t>un sniedz šādus komentārus:  </w:t>
      </w:r>
    </w:p>
    <w:p w14:paraId="00000005" w14:textId="29C29C17" w:rsidR="002856F8" w:rsidRDefault="002856F8" w:rsidP="000F4160">
      <w:pPr>
        <w:ind w:left="-142" w:right="-284"/>
        <w:jc w:val="both"/>
      </w:pPr>
    </w:p>
    <w:p w14:paraId="7A08B8CC" w14:textId="77777777" w:rsidR="008E2E34" w:rsidRPr="008E2E34" w:rsidRDefault="008E2E34" w:rsidP="008E2E34">
      <w:pPr>
        <w:ind w:left="-142" w:right="-284"/>
        <w:jc w:val="both"/>
        <w:rPr>
          <w:b/>
          <w:bCs/>
        </w:rPr>
      </w:pPr>
      <w:r w:rsidRPr="008E2E34">
        <w:rPr>
          <w:b/>
          <w:bCs/>
        </w:rPr>
        <w:t>Konceptuālie komentāri:</w:t>
      </w:r>
    </w:p>
    <w:p w14:paraId="3BA66A16" w14:textId="77777777" w:rsidR="008E2E34" w:rsidRDefault="008E2E34" w:rsidP="008E2E34">
      <w:pPr>
        <w:ind w:left="-142" w:right="-284"/>
        <w:jc w:val="both"/>
      </w:pPr>
      <w:r>
        <w:t>(par rīcības plāna pasākumiem 110.3., 110.4., 111.1., 111.3., 118.1., 118.6. (jauns), 119. (tabulā bez numura), 120. (tabulā bez numura), 122.2. (jauns), 122.4. (jauns))</w:t>
      </w:r>
    </w:p>
    <w:p w14:paraId="7A40B11E" w14:textId="77777777" w:rsidR="008E2E34" w:rsidRDefault="008E2E34" w:rsidP="008E2E34">
      <w:pPr>
        <w:ind w:left="-142" w:right="-284"/>
        <w:jc w:val="both"/>
      </w:pPr>
    </w:p>
    <w:p w14:paraId="100462CB" w14:textId="77777777" w:rsidR="008E2E34" w:rsidRDefault="008E2E34" w:rsidP="008E2E34">
      <w:pPr>
        <w:ind w:left="-142" w:right="-284"/>
        <w:jc w:val="both"/>
      </w:pPr>
      <w:r>
        <w:t>(1) "Rīcības plānā pārejai uz aprites ekonomiku 2020.–2027. gadam " ietverta virkne pasākumu, kas saistīti ar atbalsta instrumentu izstrādi dažādu pasākumu īstenošanai, piemēram:</w:t>
      </w:r>
    </w:p>
    <w:p w14:paraId="519149EF" w14:textId="77777777" w:rsidR="008E2E34" w:rsidRDefault="008E2E34" w:rsidP="008E2E34">
      <w:pPr>
        <w:ind w:left="-142" w:right="-284"/>
        <w:jc w:val="both"/>
      </w:pPr>
      <w:r>
        <w:t xml:space="preserve"> -Atbalsta instrumentu izstrāde un pilnveidošana un finansējuma nodrošināšana inovācijām un pētniecībai jaunu materiālu, tehnoloģiju izstrādei un ieviešanai (atbildīgais IZM, iesaistīti EM, LIAA, SM, VARAM). </w:t>
      </w:r>
    </w:p>
    <w:p w14:paraId="7B51EF8E" w14:textId="77777777" w:rsidR="008E2E34" w:rsidRDefault="008E2E34" w:rsidP="008E2E34">
      <w:pPr>
        <w:ind w:left="-142" w:right="-284"/>
        <w:jc w:val="both"/>
      </w:pPr>
      <w:r>
        <w:t xml:space="preserve"> -Ekodizaina principu attīstība ražošanā un produktu izstrādē, izglītībā un inovācijās saistībā arī ar produktu politikas pilnveidošanu /atbalsta instrumentu izstrāde/.</w:t>
      </w:r>
    </w:p>
    <w:p w14:paraId="2CD7013D" w14:textId="77777777" w:rsidR="008E2E34" w:rsidRDefault="008E2E34" w:rsidP="008E2E34">
      <w:pPr>
        <w:ind w:left="-142" w:right="-284"/>
        <w:jc w:val="both"/>
      </w:pPr>
      <w:r>
        <w:t xml:space="preserve"> -Atbalsta instrumentu izstrāde slēgtu materiālu ciklu un labāko pieejamo tehnoloģiju ieviešana ražošanā.</w:t>
      </w:r>
    </w:p>
    <w:p w14:paraId="1ED7D804" w14:textId="5154219C" w:rsidR="008E2E34" w:rsidRPr="008E2E34" w:rsidRDefault="008E2E34" w:rsidP="008E2E34">
      <w:pPr>
        <w:ind w:left="-142" w:right="-284"/>
        <w:jc w:val="both"/>
        <w:rPr>
          <w:u w:val="single"/>
        </w:rPr>
      </w:pPr>
      <w:r>
        <w:t xml:space="preserve"> -Atbalsta instrumentu izstrāde jaunu biznesa modeļu veicināšana preču ražošanā un izplatīšanā. -Industriālās simbiozes  veicināšana, īpaši reģionālajā līmenī /atbalsta instrumentu izstrāde/. Kaut arī šo pasākumu īstenošanas termiņš "Rīcības plānā pārejai uz aprites ekonomiku 2020.–2027. gadam " ir 2027. gads, </w:t>
      </w:r>
      <w:r w:rsidRPr="008E2E34">
        <w:rPr>
          <w:u w:val="single"/>
        </w:rPr>
        <w:t>valdības rīcības plānā jāparedz konkrēti uzdevumi, kas šīs valdības darbības laikā nodrošinātu virzību uz pasākumu izpildi.</w:t>
      </w:r>
      <w:r>
        <w:t xml:space="preserve"> </w:t>
      </w:r>
      <w:r w:rsidRPr="008E2E34">
        <w:rPr>
          <w:u w:val="single"/>
        </w:rPr>
        <w:t>Skat. priekšlikumus rīcības plāna 111.3. pasākumam.</w:t>
      </w:r>
    </w:p>
    <w:p w14:paraId="6EC36916" w14:textId="77777777" w:rsidR="008E2E34" w:rsidRDefault="008E2E34" w:rsidP="008E2E34">
      <w:pPr>
        <w:ind w:left="-142" w:right="-284"/>
        <w:jc w:val="both"/>
      </w:pPr>
      <w:r>
        <w:t>(2) Pašreiz rīcības plāna pasākuma  "Pilnveidot bioloģiski noārdāmo atkritumu dalītās vākšanas sistēmu un samazināt  pārtikas atkritumu apjomu" plānotais rezultāts   "Izveidota bioloģiski noārdāmo atkritumu dalītās vākšanas sistēma Latvijā" nekādā veidā nemazinās radīto pārtikas atkritumu apjomu. Nepieciešams paredzēt papildus pasākumu pārtikas atkritumu rašanās samazināšanai. Piemēram, "Rīcības plānā pārejai uz aprites ekonomiku 2020.–2027. gadam " ir ietverti pasākumi:</w:t>
      </w:r>
    </w:p>
    <w:p w14:paraId="6C743158" w14:textId="77777777" w:rsidR="008E2E34" w:rsidRDefault="008E2E34" w:rsidP="008E2E34">
      <w:pPr>
        <w:ind w:left="-142" w:right="-284"/>
        <w:jc w:val="both"/>
      </w:pPr>
      <w:r>
        <w:t xml:space="preserve">  -"Pārtikas uzskaites sistēmas izveide un attīstība organizāciju/komersantu, pašvaldību un nacionālajā līmenī"  /  Izstrādāti atbalsta instrumenti  /  Rezultāts: Samazināts pārtikas atkritumu apjoms.</w:t>
      </w:r>
    </w:p>
    <w:p w14:paraId="50306B6E" w14:textId="77777777" w:rsidR="008E2E34" w:rsidRDefault="008E2E34" w:rsidP="008E2E34">
      <w:pPr>
        <w:ind w:left="-142" w:right="-284"/>
        <w:jc w:val="both"/>
      </w:pPr>
      <w:r>
        <w:lastRenderedPageBreak/>
        <w:t xml:space="preserve"> -"Pārtikas pārdales sistēmas attīstība, t.sk. iesaistot pārtikas banku un sociālās uzņēmējdarbības sektoru" /   Izstrādāti saistošie tiesību akti  /  Rezultāts: Pieaudzis sociālajiem uzņēmumiem un pārtikas bankām nodotais pārtikas apjoms (atbildīgais - ZM)</w:t>
      </w:r>
    </w:p>
    <w:p w14:paraId="5986DEB4" w14:textId="4095DC47" w:rsidR="008E2E34" w:rsidRPr="008E2E34" w:rsidRDefault="008E2E34" w:rsidP="008E2E34">
      <w:pPr>
        <w:ind w:left="-142" w:right="-284"/>
        <w:jc w:val="both"/>
        <w:rPr>
          <w:u w:val="single"/>
        </w:rPr>
      </w:pPr>
      <w:r>
        <w:t xml:space="preserve"> </w:t>
      </w:r>
      <w:r w:rsidRPr="008E2E34">
        <w:rPr>
          <w:u w:val="single"/>
        </w:rPr>
        <w:t>Nepieciešams papildināt valdības rīcības plānu, ietverot uzdevumus, kas nodrošinās  vismaz šo pasākumu īstenošanu - skat. priekšlikumus rīcības plāna 110.4. pasākumam</w:t>
      </w:r>
    </w:p>
    <w:p w14:paraId="261A83A6" w14:textId="77777777" w:rsidR="008E2E34" w:rsidRDefault="008E2E34" w:rsidP="008E2E34">
      <w:pPr>
        <w:ind w:left="-142" w:right="-284"/>
        <w:jc w:val="both"/>
      </w:pPr>
    </w:p>
    <w:p w14:paraId="62392C21" w14:textId="77777777" w:rsidR="008E2E34" w:rsidRDefault="008E2E34" w:rsidP="008E2E34">
      <w:pPr>
        <w:ind w:left="-142" w:right="-284"/>
        <w:jc w:val="both"/>
      </w:pPr>
      <w:r>
        <w:t xml:space="preserve">(3) Atkritumu apsaimniekošanas valsts plānā 2021-2028 (Atkritumu rašanās novēršanas valsts programma) ir ietveri šādi VARAM atbildībā esoši pasākumi: </w:t>
      </w:r>
    </w:p>
    <w:p w14:paraId="465ECA00" w14:textId="315360B5" w:rsidR="008E2E34" w:rsidRDefault="008E2E34" w:rsidP="008E2E34">
      <w:pPr>
        <w:ind w:left="-142" w:right="-284"/>
        <w:jc w:val="both"/>
      </w:pPr>
      <w:r>
        <w:t xml:space="preserve">-Valsts sektora iepirkumu īstenošana ZPI ietvaros, augstāko prioritāti nosakot no atjaunojamiem un atkārtoti izmantojamiem resursiem ražotu mēbeļu un biroja inventāra iegādei un obligātas atkritumu šķirošanas prakses ieviešanu valsts sektora iestādēs (izstrādāti normatīvo aktu projekti) – </w:t>
      </w:r>
      <w:r w:rsidRPr="008E2E34">
        <w:rPr>
          <w:u w:val="single"/>
        </w:rPr>
        <w:t>nepieciešams attiecīgi papildināt valdības rīcības plānu, skat. priekšlikumus 111.1. pasākumam.</w:t>
      </w:r>
    </w:p>
    <w:p w14:paraId="3D783DF0" w14:textId="77777777" w:rsidR="008E2E34" w:rsidRDefault="008E2E34" w:rsidP="008E2E34">
      <w:pPr>
        <w:ind w:left="-142" w:right="-284"/>
        <w:jc w:val="both"/>
      </w:pPr>
    </w:p>
    <w:p w14:paraId="4DB967A0" w14:textId="77777777" w:rsidR="008E2E34" w:rsidRDefault="008E2E34" w:rsidP="008E2E34">
      <w:pPr>
        <w:ind w:left="-142" w:right="-284"/>
        <w:jc w:val="both"/>
      </w:pPr>
      <w:r>
        <w:t xml:space="preserve"> -Mēbeļu otrreizējā izmantošana kā daļa no ilgtspējīgu biroja un koplietošanas telpu un citu resursu izmantošanas attīstības valsts  pārvaldē (izstrādāti normatīvo aktu projekti)</w:t>
      </w:r>
    </w:p>
    <w:p w14:paraId="48ECF528" w14:textId="66B1CAAE" w:rsidR="008E2E34" w:rsidRDefault="008E2E34" w:rsidP="008E2E34">
      <w:pPr>
        <w:ind w:left="-142" w:right="-284"/>
        <w:jc w:val="both"/>
      </w:pPr>
      <w:r>
        <w:t xml:space="preserve"> -Veicināt tādu produktu atkārtota izmantošanu, kuri ir kritiski svarīgu izejvielu galvenie avoti, lai nepieļautu, ka šīs izejvielas kļūst par atkritumiem (t.sk. baterijas, akumulatori) (izstrādāti normatīvo aktu projekti)</w:t>
      </w:r>
    </w:p>
    <w:p w14:paraId="4585D89F" w14:textId="77777777" w:rsidR="008E2E34" w:rsidRPr="008E2E34" w:rsidRDefault="008E2E34" w:rsidP="008E2E34">
      <w:pPr>
        <w:ind w:left="-142" w:right="-284"/>
        <w:jc w:val="both"/>
        <w:rPr>
          <w:u w:val="single"/>
        </w:rPr>
      </w:pPr>
      <w:r w:rsidRPr="008E2E34">
        <w:rPr>
          <w:u w:val="single"/>
        </w:rPr>
        <w:t>Nepieciešams papildināt valdības rīcības plānu, ietverot uzdevumus, kas nodrošinās šo pasākumu īstenošanu - skat. priekšlikumus rīcības plāna 110.3. pasākumam.</w:t>
      </w:r>
    </w:p>
    <w:p w14:paraId="3AD4247A" w14:textId="77777777" w:rsidR="008E2E34" w:rsidRDefault="008E2E34" w:rsidP="008E2E34">
      <w:pPr>
        <w:ind w:left="-142" w:right="-284"/>
        <w:jc w:val="both"/>
      </w:pPr>
    </w:p>
    <w:p w14:paraId="7788388E" w14:textId="77777777" w:rsidR="008E2E34" w:rsidRDefault="008E2E34" w:rsidP="008E2E34">
      <w:pPr>
        <w:ind w:left="-142" w:right="-284"/>
        <w:jc w:val="both"/>
      </w:pPr>
      <w:r>
        <w:t xml:space="preserve">(5) Rīcības plāna 118.1. pasākuma rezultātu nepieciešams precizēt atbilstoši ES Bioloģiskās daudzveidības stratēģijas 2030. gadam mērķim, ietverot "tajā skaitā 10% ar stingru aizsardzības režīmu" - </w:t>
      </w:r>
      <w:r w:rsidRPr="008E2E34">
        <w:rPr>
          <w:u w:val="single"/>
        </w:rPr>
        <w:t>skat. priekšlikumus rīcības plāna 118.1. pasākumam.</w:t>
      </w:r>
    </w:p>
    <w:p w14:paraId="3FEE906E" w14:textId="77777777" w:rsidR="008E2E34" w:rsidRDefault="008E2E34" w:rsidP="008E2E34">
      <w:pPr>
        <w:ind w:left="-142" w:right="-284"/>
        <w:jc w:val="both"/>
      </w:pPr>
    </w:p>
    <w:p w14:paraId="3E2794B7" w14:textId="41A00458" w:rsidR="008E2E34" w:rsidRDefault="008E2E34" w:rsidP="008E2E34">
      <w:pPr>
        <w:ind w:left="-142" w:right="-284"/>
        <w:jc w:val="both"/>
      </w:pPr>
      <w:r>
        <w:t xml:space="preserve">(6) Lai sekmētu valdības deklarācijas 118. punktā dotā uzdevuma izpildi atbilstoši Nacionālā attīstības plāna 2021.–2027. gadam uzdevumiem, </w:t>
      </w:r>
      <w:r w:rsidRPr="008E2E34">
        <w:rPr>
          <w:u w:val="single"/>
        </w:rPr>
        <w:t>nepieciešams papildināt rīcības plānu ar jaunu pasākumu</w:t>
      </w:r>
      <w:r>
        <w:t>, kas ietver normatīvā regulējuma pilnveidošanu un papildināšanu Eiropas Savienības nozīmes sugu un biotopu labvēlīga aizsardzības stāvokļa sasniegšanai ārpus Natura 2000 teritorijām – skat. pasākumu 118.6.</w:t>
      </w:r>
    </w:p>
    <w:p w14:paraId="0F8118A2" w14:textId="77777777" w:rsidR="008E2E34" w:rsidRDefault="008E2E34" w:rsidP="008E2E34">
      <w:pPr>
        <w:ind w:left="-142" w:right="-284"/>
        <w:jc w:val="both"/>
      </w:pPr>
    </w:p>
    <w:p w14:paraId="669AC4C2" w14:textId="737D832D" w:rsidR="008E2E34" w:rsidRDefault="008E2E34" w:rsidP="008E2E34">
      <w:pPr>
        <w:ind w:left="-142" w:right="-284"/>
        <w:jc w:val="both"/>
      </w:pPr>
      <w:r>
        <w:t>(7) Atbilstoši valdības deklarācijas 119. punkta saturam, ierosinām tam atbilstošo pasākumu izteikt šādā redakcijā: “</w:t>
      </w:r>
      <w:r w:rsidRPr="008E2E34">
        <w:rPr>
          <w:u w:val="single"/>
        </w:rPr>
        <w:t>Pabeigt īpaši aizsargājamo dabas teritoriju Natura 2000 tīkla izveidi, lai nodrošinātu labvēlīgu aizsardzības stāvokli Padomes 1992. gada 21. maija Direktīvas 92/43/EEK par dabisko dzīvotņu, savvaļas faunas un floras aizsardzību  un Padomes 1979. gada 2. aprīļa Direktīvas 79/409/EEK par savvaļas putnu aizsardzību pielikumos minētajiem biotopiem un sugām</w:t>
      </w:r>
      <w:r>
        <w:t>.” – skat. pasākumu pie valdības deklarācijas 119. punkta.</w:t>
      </w:r>
    </w:p>
    <w:p w14:paraId="5A7B325F" w14:textId="77777777" w:rsidR="008E2E34" w:rsidRDefault="008E2E34" w:rsidP="008E2E34">
      <w:pPr>
        <w:ind w:left="-142" w:right="-284"/>
        <w:jc w:val="both"/>
      </w:pPr>
    </w:p>
    <w:p w14:paraId="434855EE" w14:textId="77777777" w:rsidR="008E2E34" w:rsidRDefault="008E2E34" w:rsidP="008E2E34">
      <w:pPr>
        <w:ind w:left="-142" w:right="-284"/>
        <w:jc w:val="both"/>
      </w:pPr>
      <w:r>
        <w:t>(8) Lai izpildītu valdības deklarācijas 120.punktā doto uzdevumu (lai ietekmes uz vidi aspekts tiktu ņemts vērā kā būtiska attīstības plānošanas sastāvdaļa visās tautsaimniecības un politikas plānošanas jomās), ierosinām tam atbilstošo pasākumu izteikt šādā redakcijā: "</w:t>
      </w:r>
      <w:r w:rsidRPr="008E2E34">
        <w:rPr>
          <w:u w:val="single"/>
        </w:rPr>
        <w:t>Pilnveidot ietekmes uz vidi novērtējuma procedūras, kā arī pilnveidot nozaru (piemēram, lauksaimniecības, mežsaimniecības, zivsaimniecības, ūdens apsaimniekošanas, enerģētikas u.c.) attīstības plānošanas un pašvaldību teritorijas plānošanas procesus un normatīvo regulējumu, integrējot nosacījumus vides kvalitātes un dabas vērtību saglabāšanai.</w:t>
      </w:r>
      <w:r>
        <w:t>" - skat. pasākumu pie valdības deklarācijas 120. punkta.</w:t>
      </w:r>
    </w:p>
    <w:p w14:paraId="4915691F" w14:textId="77777777" w:rsidR="008E2E34" w:rsidRDefault="008E2E34" w:rsidP="008E2E34">
      <w:pPr>
        <w:ind w:left="-142" w:right="-284"/>
        <w:jc w:val="both"/>
      </w:pPr>
    </w:p>
    <w:p w14:paraId="556EA60C" w14:textId="2871CC2A" w:rsidR="008E2E34" w:rsidRDefault="008E2E34" w:rsidP="008E2E34">
      <w:pPr>
        <w:ind w:left="-142" w:right="-284"/>
        <w:jc w:val="both"/>
      </w:pPr>
      <w:r>
        <w:t xml:space="preserve">(9) Lai izpildītu valdības deklarācijas 122. punktā doto uzdevumu (Veicināsim racionālu dabas kapitāla izmantošanu un apsaimniekošanu, kā arī sabiedrības izpratni par dabas un vides kvalitāti kā cilvēka dzīves kvalitātes būtisku un neatņemamu sastāvdaļu un ekotūrisma elementu.), </w:t>
      </w:r>
      <w:r w:rsidRPr="008E2E34">
        <w:rPr>
          <w:u w:val="single"/>
        </w:rPr>
        <w:t>ierosinām papildināt rīcības plānu ar jauniem pasākumiem</w:t>
      </w:r>
      <w:r>
        <w:t>:</w:t>
      </w:r>
    </w:p>
    <w:p w14:paraId="10E507C2" w14:textId="3CED8F4C" w:rsidR="008E2E34" w:rsidRDefault="008E2E34" w:rsidP="008E2E34">
      <w:pPr>
        <w:ind w:left="-142" w:right="-284"/>
        <w:jc w:val="both"/>
      </w:pPr>
      <w:r>
        <w:t>- kas paredz noteikt pienākumus un atbildības dabas resursu, tai skaitā ūdens resursu ilgtspējīgā pārvaldībā (sagatavot normatīvos dokumentus dabas kapitāla, tsk. ūdens resursu, pārvaldībai);</w:t>
      </w:r>
    </w:p>
    <w:p w14:paraId="3D675872" w14:textId="77777777" w:rsidR="008E2E34" w:rsidRDefault="008E2E34" w:rsidP="008E2E34">
      <w:pPr>
        <w:ind w:left="-142" w:right="-284"/>
        <w:jc w:val="both"/>
      </w:pPr>
      <w:r>
        <w:lastRenderedPageBreak/>
        <w:t>- kas sekmē sabiedrības izpratni par dabas un vides kvalitāti kā cilvēka dzīves kvalitātes būtisku un neatņemamu sastāvdaļu un ekotūrisma elementu un kura rezultāts ir īstenotas sabiedrības informēšanas kampaņas un izglītojoši pasākumi iedzīvotājiem par dabas vērtībām un to nozīmi labbūtībā – skat. pasākumus 122.2. un 122.4.</w:t>
      </w:r>
    </w:p>
    <w:p w14:paraId="40B8E561" w14:textId="2584A9BC" w:rsidR="008E2E34" w:rsidRDefault="008E2E34" w:rsidP="008E2E34">
      <w:pPr>
        <w:ind w:left="-142" w:right="-284"/>
        <w:jc w:val="both"/>
      </w:pPr>
    </w:p>
    <w:p w14:paraId="6D7051A8" w14:textId="77777777" w:rsidR="008E2E34" w:rsidRDefault="008E2E34" w:rsidP="008E2E34">
      <w:pPr>
        <w:ind w:left="-142" w:right="-284"/>
        <w:jc w:val="both"/>
      </w:pPr>
    </w:p>
    <w:p w14:paraId="10449D86" w14:textId="77777777" w:rsidR="008E2E34" w:rsidRPr="008E2E34" w:rsidRDefault="008E2E34" w:rsidP="008E2E34">
      <w:pPr>
        <w:ind w:left="-142" w:right="-284"/>
        <w:jc w:val="both"/>
        <w:rPr>
          <w:b/>
          <w:bCs/>
        </w:rPr>
      </w:pPr>
      <w:r w:rsidRPr="008E2E34">
        <w:rPr>
          <w:b/>
          <w:bCs/>
        </w:rPr>
        <w:t>Tehniskie komentāri:</w:t>
      </w:r>
    </w:p>
    <w:p w14:paraId="335BC4A5" w14:textId="77777777" w:rsidR="008E2E34" w:rsidRDefault="008E2E34" w:rsidP="008E2E34">
      <w:pPr>
        <w:ind w:left="-142" w:right="-284"/>
        <w:jc w:val="both"/>
      </w:pPr>
      <w:r>
        <w:t>(10) 094. uzdevuma rīcības sadaļa atsaucas uz 219. un 223. uzdevumu, kam nav saistības ar 094.uzdevumu</w:t>
      </w:r>
    </w:p>
    <w:p w14:paraId="6293B2CC" w14:textId="77777777" w:rsidR="008E2E34" w:rsidRDefault="008E2E34" w:rsidP="008E2E34">
      <w:pPr>
        <w:ind w:left="-142" w:right="-284"/>
        <w:jc w:val="both"/>
      </w:pPr>
      <w:r>
        <w:t>(11) 2026. gada beigas varētu būt pārāk attāls termiņš 110.2., 110.3., 111.4, 112., 118.2. (šis ir īpaši par vēlu - ja jau uz to pašu brīdi vajag sagatavot 5 jaunus DAP), 119., 122.1. uzdevumu izpildei.</w:t>
      </w:r>
    </w:p>
    <w:p w14:paraId="573F398A" w14:textId="77777777" w:rsidR="008E2E34" w:rsidRDefault="008E2E34" w:rsidP="008E2E34">
      <w:pPr>
        <w:ind w:left="-142" w:right="-284"/>
        <w:jc w:val="both"/>
      </w:pPr>
      <w:r>
        <w:t>(12) Rekomendējam pārformulēt 120. uzdevuma sasniedzamo rezultātu, jo rezultāts nav izmērāms, nav viennzīmīgi skaidrs un nav reālistiski sasniedzams ar plānoto rīcību.</w:t>
      </w:r>
    </w:p>
    <w:p w14:paraId="29EADC8C" w14:textId="2F8F3F85" w:rsidR="00D917E2" w:rsidRPr="00C84445" w:rsidRDefault="008E2E34" w:rsidP="008E2E34">
      <w:pPr>
        <w:ind w:left="-142" w:right="-284"/>
        <w:jc w:val="both"/>
      </w:pPr>
      <w:r>
        <w:t>(13) 122.3 uzdevumā rīcības plāna pasākumam un darbības rezultātam nav sasaistes ar pašu uzdevumu.</w:t>
      </w:r>
    </w:p>
    <w:p w14:paraId="0000000D" w14:textId="08F99B5C" w:rsidR="002856F8" w:rsidRDefault="002856F8" w:rsidP="000F4160">
      <w:pPr>
        <w:ind w:left="-142" w:right="-284"/>
      </w:pPr>
    </w:p>
    <w:p w14:paraId="6AC9DFAD" w14:textId="5D96E615" w:rsidR="008E2E34" w:rsidRDefault="008E2E34" w:rsidP="000F4160">
      <w:pPr>
        <w:ind w:left="-142" w:right="-284"/>
      </w:pPr>
    </w:p>
    <w:p w14:paraId="0105A5C0" w14:textId="50B45C5D" w:rsidR="008E2E34" w:rsidRDefault="008E2E34" w:rsidP="008E2E34">
      <w:pPr>
        <w:ind w:right="-284"/>
      </w:pPr>
    </w:p>
    <w:p w14:paraId="32483CAB" w14:textId="77777777" w:rsidR="008E2E34" w:rsidRPr="00C84445" w:rsidRDefault="008E2E34" w:rsidP="000F4160">
      <w:pPr>
        <w:ind w:left="-142" w:right="-284"/>
      </w:pPr>
    </w:p>
    <w:p w14:paraId="0000000E" w14:textId="4E7966EC" w:rsidR="002856F8" w:rsidRDefault="00275875" w:rsidP="000F4160">
      <w:pPr>
        <w:ind w:left="-142" w:right="-284"/>
      </w:pPr>
      <w:r w:rsidRPr="00C84445">
        <w:t>Ar cieņu,</w:t>
      </w:r>
    </w:p>
    <w:p w14:paraId="226E3F22" w14:textId="77777777" w:rsidR="00D61687" w:rsidRPr="00C84445" w:rsidRDefault="00D61687" w:rsidP="000F4160">
      <w:pPr>
        <w:ind w:left="-142" w:right="-284"/>
      </w:pPr>
    </w:p>
    <w:p w14:paraId="0000000F" w14:textId="77777777" w:rsidR="002856F8" w:rsidRPr="00C84445" w:rsidRDefault="00275875" w:rsidP="000F4160">
      <w:pPr>
        <w:ind w:left="-142" w:right="-284"/>
      </w:pPr>
      <w:r w:rsidRPr="00C84445">
        <w:t>Juris Jātnieks</w:t>
      </w:r>
    </w:p>
    <w:p w14:paraId="00000010" w14:textId="63E7CB91" w:rsidR="002856F8" w:rsidRPr="00C84445" w:rsidRDefault="00275875" w:rsidP="000F4160">
      <w:pPr>
        <w:ind w:left="-142" w:right="-284"/>
      </w:pPr>
      <w:r w:rsidRPr="00C84445">
        <w:t>Vides konsultatīvās padomes priekšsē</w:t>
      </w:r>
      <w:r w:rsidR="00C84445" w:rsidRPr="00C84445">
        <w:t>dē</w:t>
      </w:r>
      <w:r w:rsidRPr="00C84445">
        <w:t>tājs</w:t>
      </w:r>
    </w:p>
    <w:p w14:paraId="00000011" w14:textId="77777777" w:rsidR="002856F8" w:rsidRPr="00C84445" w:rsidRDefault="002856F8" w:rsidP="000F4160">
      <w:pPr>
        <w:ind w:left="-142" w:right="-284"/>
      </w:pPr>
    </w:p>
    <w:p w14:paraId="00000015" w14:textId="77777777" w:rsidR="002856F8" w:rsidRDefault="002856F8" w:rsidP="000F4160">
      <w:pPr>
        <w:ind w:right="-284"/>
      </w:pPr>
    </w:p>
    <w:p w14:paraId="00000016" w14:textId="77777777" w:rsidR="002856F8" w:rsidRDefault="002856F8" w:rsidP="000F4160">
      <w:pPr>
        <w:ind w:left="-142" w:right="-284"/>
      </w:pPr>
    </w:p>
    <w:p w14:paraId="00000018" w14:textId="77777777" w:rsidR="002856F8" w:rsidRDefault="00275875" w:rsidP="000F4160">
      <w:pPr>
        <w:ind w:right="-284"/>
        <w:jc w:val="center"/>
        <w:rPr>
          <w:sz w:val="20"/>
          <w:szCs w:val="20"/>
        </w:rPr>
      </w:pPr>
      <w:r>
        <w:rPr>
          <w:sz w:val="20"/>
          <w:szCs w:val="20"/>
        </w:rPr>
        <w:t>ŠIS DOKUMENTS IR ELEKTRONISKI PARAKSTĪTS AR DROŠU ELEKTRONISKO PARAKSTU UN SATUR LAIKA ZĪMOGU</w:t>
      </w:r>
    </w:p>
    <w:sectPr w:rsidR="002856F8">
      <w:footerReference w:type="default" r:id="rId8"/>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1466" w14:textId="77777777" w:rsidR="0046567F" w:rsidRDefault="0046567F">
      <w:r>
        <w:separator/>
      </w:r>
    </w:p>
  </w:endnote>
  <w:endnote w:type="continuationSeparator" w:id="0">
    <w:p w14:paraId="6D985B54" w14:textId="77777777" w:rsidR="0046567F" w:rsidRDefault="0046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5687A290" w:rsidR="002856F8" w:rsidRDefault="00275875">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C84445">
      <w:rPr>
        <w:noProof/>
        <w:color w:val="000000"/>
      </w:rPr>
      <w:t>1</w:t>
    </w:r>
    <w:r>
      <w:rPr>
        <w:color w:val="000000"/>
      </w:rPr>
      <w:fldChar w:fldCharType="end"/>
    </w:r>
  </w:p>
  <w:p w14:paraId="0000001A" w14:textId="77777777" w:rsidR="002856F8" w:rsidRDefault="002856F8">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6132" w14:textId="77777777" w:rsidR="0046567F" w:rsidRDefault="0046567F">
      <w:r>
        <w:separator/>
      </w:r>
    </w:p>
  </w:footnote>
  <w:footnote w:type="continuationSeparator" w:id="0">
    <w:p w14:paraId="0E13390E" w14:textId="77777777" w:rsidR="0046567F" w:rsidRDefault="00465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C6568"/>
    <w:multiLevelType w:val="hybridMultilevel"/>
    <w:tmpl w:val="1CBA6F68"/>
    <w:lvl w:ilvl="0" w:tplc="CD269F8E">
      <w:numFmt w:val="bullet"/>
      <w:lvlText w:val="-"/>
      <w:lvlJc w:val="left"/>
      <w:pPr>
        <w:ind w:left="99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F1A2C"/>
    <w:multiLevelType w:val="hybridMultilevel"/>
    <w:tmpl w:val="B87A9C5C"/>
    <w:lvl w:ilvl="0" w:tplc="CD269F8E">
      <w:numFmt w:val="bullet"/>
      <w:lvlText w:val="-"/>
      <w:lvlJc w:val="left"/>
      <w:pPr>
        <w:ind w:left="99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163C2"/>
    <w:multiLevelType w:val="hybridMultilevel"/>
    <w:tmpl w:val="8C564D44"/>
    <w:lvl w:ilvl="0" w:tplc="D9760C8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38635622">
    <w:abstractNumId w:val="2"/>
  </w:num>
  <w:num w:numId="2" w16cid:durableId="404650998">
    <w:abstractNumId w:val="1"/>
  </w:num>
  <w:num w:numId="3" w16cid:durableId="205017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F8"/>
    <w:rsid w:val="00031F85"/>
    <w:rsid w:val="000F4160"/>
    <w:rsid w:val="00194AC9"/>
    <w:rsid w:val="001B24F0"/>
    <w:rsid w:val="00200F6C"/>
    <w:rsid w:val="00275875"/>
    <w:rsid w:val="002856F8"/>
    <w:rsid w:val="002B54CF"/>
    <w:rsid w:val="002E0410"/>
    <w:rsid w:val="003E0EBE"/>
    <w:rsid w:val="0046567F"/>
    <w:rsid w:val="004B40A1"/>
    <w:rsid w:val="005F1DCD"/>
    <w:rsid w:val="00644B5A"/>
    <w:rsid w:val="006A7EF8"/>
    <w:rsid w:val="006E3DF4"/>
    <w:rsid w:val="007E656F"/>
    <w:rsid w:val="00800034"/>
    <w:rsid w:val="00816238"/>
    <w:rsid w:val="00817B3F"/>
    <w:rsid w:val="008759B3"/>
    <w:rsid w:val="008D34D8"/>
    <w:rsid w:val="008E2E34"/>
    <w:rsid w:val="009634B8"/>
    <w:rsid w:val="00A56622"/>
    <w:rsid w:val="00BF3BC3"/>
    <w:rsid w:val="00C01308"/>
    <w:rsid w:val="00C118CF"/>
    <w:rsid w:val="00C84445"/>
    <w:rsid w:val="00D05A5F"/>
    <w:rsid w:val="00D61687"/>
    <w:rsid w:val="00D719E9"/>
    <w:rsid w:val="00D917E2"/>
    <w:rsid w:val="00EA6376"/>
    <w:rsid w:val="00FC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1B2D"/>
  <w15:docId w15:val="{C363EA92-8BF7-4C8A-A646-0CC8D4BF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paragraph" w:styleId="NormalWeb">
    <w:name w:val="Normal (Web)"/>
    <w:basedOn w:val="Normal"/>
    <w:uiPriority w:val="99"/>
    <w:semiHidden/>
    <w:unhideWhenUsed/>
    <w:rsid w:val="00C84445"/>
    <w:pPr>
      <w:spacing w:before="100" w:beforeAutospacing="1" w:after="100" w:afterAutospacing="1"/>
    </w:pPr>
    <w:rPr>
      <w:lang w:val="en-US"/>
    </w:rPr>
  </w:style>
  <w:style w:type="character" w:styleId="Hyperlink">
    <w:name w:val="Hyperlink"/>
    <w:basedOn w:val="DefaultParagraphFont"/>
    <w:uiPriority w:val="99"/>
    <w:unhideWhenUsed/>
    <w:rsid w:val="00C84445"/>
    <w:rPr>
      <w:color w:val="0000FF"/>
      <w:u w:val="single"/>
    </w:rPr>
  </w:style>
  <w:style w:type="character" w:styleId="UnresolvedMention">
    <w:name w:val="Unresolved Mention"/>
    <w:basedOn w:val="DefaultParagraphFont"/>
    <w:uiPriority w:val="99"/>
    <w:semiHidden/>
    <w:unhideWhenUsed/>
    <w:rsid w:val="00C84445"/>
    <w:rPr>
      <w:color w:val="605E5C"/>
      <w:shd w:val="clear" w:color="auto" w:fill="E1DFDD"/>
    </w:rPr>
  </w:style>
  <w:style w:type="paragraph" w:styleId="ListParagraph">
    <w:name w:val="List Paragraph"/>
    <w:basedOn w:val="Normal"/>
    <w:uiPriority w:val="34"/>
    <w:qFormat/>
    <w:rsid w:val="00C8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07145">
      <w:bodyDiv w:val="1"/>
      <w:marLeft w:val="0"/>
      <w:marRight w:val="0"/>
      <w:marTop w:val="0"/>
      <w:marBottom w:val="0"/>
      <w:divBdr>
        <w:top w:val="none" w:sz="0" w:space="0" w:color="auto"/>
        <w:left w:val="none" w:sz="0" w:space="0" w:color="auto"/>
        <w:bottom w:val="none" w:sz="0" w:space="0" w:color="auto"/>
        <w:right w:val="none" w:sz="0" w:space="0" w:color="auto"/>
      </w:divBdr>
    </w:div>
    <w:div w:id="167021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Lita Trakina</cp:lastModifiedBy>
  <cp:revision>2</cp:revision>
  <dcterms:created xsi:type="dcterms:W3CDTF">2023-02-08T10:26:00Z</dcterms:created>
  <dcterms:modified xsi:type="dcterms:W3CDTF">2023-02-08T10:26:00Z</dcterms:modified>
</cp:coreProperties>
</file>