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3A85" w14:textId="265A2AFC" w:rsidR="00430E67" w:rsidRDefault="00943082" w:rsidP="00430E67">
      <w:pPr>
        <w:pStyle w:val="NormalWeb"/>
        <w:spacing w:before="0" w:beforeAutospacing="0" w:after="120" w:afterAutospacing="0"/>
        <w:ind w:left="23" w:right="57" w:hanging="1"/>
        <w:jc w:val="center"/>
        <w:rPr>
          <w:rFonts w:ascii="Times" w:hAnsi="Times" w:cs="Times"/>
          <w:b/>
          <w:color w:val="000000"/>
          <w:sz w:val="28"/>
          <w:szCs w:val="28"/>
        </w:rPr>
      </w:pPr>
      <w:r w:rsidRPr="001660F1">
        <w:rPr>
          <w:rFonts w:ascii="Times" w:hAnsi="Times" w:cs="Times"/>
          <w:b/>
          <w:bCs/>
          <w:color w:val="000000"/>
          <w:sz w:val="28"/>
          <w:szCs w:val="28"/>
        </w:rPr>
        <w:t>Vadlīnijas saistošo noteikumu izstrādei</w:t>
      </w:r>
      <w:r w:rsidR="00956A81">
        <w:rPr>
          <w:rFonts w:ascii="Times" w:hAnsi="Times" w:cs="Times"/>
          <w:b/>
          <w:bCs/>
          <w:color w:val="000000"/>
          <w:sz w:val="28"/>
          <w:szCs w:val="28"/>
        </w:rPr>
        <w:t xml:space="preserve"> p</w:t>
      </w:r>
      <w:r w:rsidRPr="00943082">
        <w:rPr>
          <w:rFonts w:ascii="Times" w:hAnsi="Times" w:cs="Times"/>
          <w:b/>
          <w:bCs/>
          <w:color w:val="000000"/>
          <w:sz w:val="28"/>
          <w:szCs w:val="28"/>
        </w:rPr>
        <w:t>ar</w:t>
      </w:r>
      <w:r w:rsidR="00F87EA4">
        <w:rPr>
          <w:rFonts w:ascii="Times" w:hAnsi="Times" w:cs="Times"/>
          <w:b/>
          <w:bCs/>
          <w:color w:val="000000"/>
          <w:sz w:val="28"/>
          <w:szCs w:val="28"/>
        </w:rPr>
        <w:t xml:space="preserve"> publiskā lietošanā nodotu pašvaldības zaļo zonu un stādījumu</w:t>
      </w:r>
      <w:r w:rsidRPr="00943082">
        <w:rPr>
          <w:rFonts w:ascii="Times" w:hAnsi="Times" w:cs="Times"/>
          <w:b/>
          <w:color w:val="000000"/>
          <w:sz w:val="28"/>
          <w:szCs w:val="28"/>
        </w:rPr>
        <w:t xml:space="preserve"> aizsardzību</w:t>
      </w:r>
    </w:p>
    <w:p w14:paraId="216E1627" w14:textId="06843DB9" w:rsidR="00D61C07" w:rsidRPr="00DE719F" w:rsidRDefault="00ED536F" w:rsidP="00430E67">
      <w:pPr>
        <w:pStyle w:val="NormalWeb"/>
        <w:spacing w:before="0" w:beforeAutospacing="0" w:after="120" w:afterAutospacing="0"/>
        <w:ind w:left="23" w:right="57" w:hanging="23"/>
        <w:jc w:val="both"/>
        <w:rPr>
          <w:b/>
          <w:bCs/>
        </w:rPr>
      </w:pPr>
      <w:r w:rsidRPr="00DE719F">
        <w:rPr>
          <w:u w:val="single"/>
        </w:rPr>
        <w:t>Saskaņā ar Pašvaldību likuma 47. panta o</w:t>
      </w:r>
      <w:r w:rsidR="00696919" w:rsidRPr="00DE719F">
        <w:rPr>
          <w:u w:val="single"/>
        </w:rPr>
        <w:t>tro</w:t>
      </w:r>
      <w:r w:rsidRPr="00DE719F">
        <w:rPr>
          <w:u w:val="single"/>
        </w:rPr>
        <w:t xml:space="preserve"> daļu saistošie noteikumi </w:t>
      </w:r>
      <w:r w:rsidRPr="00DE719F">
        <w:rPr>
          <w:shd w:val="clear" w:color="auto" w:fill="FFFFFF"/>
        </w:rPr>
        <w:t>par publiskā lietošanā nodotu pašvaldības zaļo zonu un stādījumu aizsardzību</w:t>
      </w:r>
      <w:r w:rsidRPr="00DE719F">
        <w:rPr>
          <w:u w:val="single"/>
        </w:rPr>
        <w:t xml:space="preserve"> </w:t>
      </w:r>
      <w:r w:rsidR="00E550C9" w:rsidRPr="00DE719F">
        <w:rPr>
          <w:u w:val="single"/>
        </w:rPr>
        <w:t>nosūtāmi</w:t>
      </w:r>
      <w:r w:rsidRPr="00DE719F">
        <w:rPr>
          <w:u w:val="single"/>
        </w:rPr>
        <w:t xml:space="preserve"> VARAM izvērtēšanai un atzinuma sniegšanai</w:t>
      </w:r>
      <w:r w:rsidR="00E550C9" w:rsidRPr="00DE719F">
        <w:rPr>
          <w:u w:val="single"/>
        </w:rPr>
        <w:t>.</w:t>
      </w:r>
    </w:p>
    <w:p w14:paraId="64560B80" w14:textId="47544B20" w:rsidR="00F72BC6" w:rsidRPr="00430E67" w:rsidRDefault="00006909" w:rsidP="00430E67">
      <w:pPr>
        <w:pStyle w:val="NormalWeb"/>
        <w:spacing w:before="0" w:beforeAutospacing="0" w:after="120" w:afterAutospacing="0"/>
        <w:ind w:right="-6" w:hanging="23"/>
        <w:jc w:val="both"/>
        <w:rPr>
          <w:rFonts w:ascii="Times" w:hAnsi="Times" w:cs="Times"/>
          <w:color w:val="000000"/>
        </w:rPr>
      </w:pPr>
      <w:r w:rsidRPr="00DE719F">
        <w:t>Pašvaldību l</w:t>
      </w:r>
      <w:r w:rsidR="00EA6E28" w:rsidRPr="00DE719F">
        <w:t>ikuma 4</w:t>
      </w:r>
      <w:r w:rsidR="00F87EA4" w:rsidRPr="00DE719F">
        <w:t>5</w:t>
      </w:r>
      <w:r w:rsidR="00EA6E28" w:rsidRPr="00DE719F">
        <w:t>.</w:t>
      </w:r>
      <w:r w:rsidR="009428F6" w:rsidRPr="00DE719F">
        <w:t> </w:t>
      </w:r>
      <w:r w:rsidR="00EA6E28" w:rsidRPr="00DE719F">
        <w:t xml:space="preserve">panta pirmās daļas </w:t>
      </w:r>
      <w:r w:rsidR="00F87EA4" w:rsidRPr="00DE719F">
        <w:t>5</w:t>
      </w:r>
      <w:r w:rsidR="00EA6E28" w:rsidRPr="00DE719F">
        <w:t>.</w:t>
      </w:r>
      <w:r w:rsidR="009428F6" w:rsidRPr="00DE719F">
        <w:t> </w:t>
      </w:r>
      <w:r w:rsidR="00EA6E28" w:rsidRPr="00DE719F">
        <w:t>punkts noteic, ka dome ir tiesīga izdot saistošus noteikumus</w:t>
      </w:r>
      <w:r w:rsidR="00F87EA4">
        <w:rPr>
          <w:rFonts w:ascii="Times" w:hAnsi="Times" w:cs="Times"/>
          <w:color w:val="000000"/>
        </w:rPr>
        <w:t xml:space="preserve"> un </w:t>
      </w:r>
      <w:r w:rsidR="00EA6E28">
        <w:rPr>
          <w:rFonts w:ascii="Times" w:hAnsi="Times" w:cs="Times"/>
          <w:color w:val="000000"/>
        </w:rPr>
        <w:t>paredz</w:t>
      </w:r>
      <w:r w:rsidR="00F87EA4">
        <w:rPr>
          <w:rFonts w:ascii="Times" w:hAnsi="Times" w:cs="Times"/>
          <w:color w:val="000000"/>
        </w:rPr>
        <w:t>ēt</w:t>
      </w:r>
      <w:r w:rsidR="00EA6E28">
        <w:rPr>
          <w:rFonts w:ascii="Times" w:hAnsi="Times" w:cs="Times"/>
          <w:color w:val="000000"/>
        </w:rPr>
        <w:t xml:space="preserve"> administratīvo atbildību par to pārkāpšanu, </w:t>
      </w:r>
      <w:r w:rsidR="00F87EA4">
        <w:rPr>
          <w:rFonts w:ascii="Times" w:hAnsi="Times" w:cs="Times"/>
          <w:color w:val="000000"/>
        </w:rPr>
        <w:t xml:space="preserve">nosakot administratīvos pārkāpumus un par tiem piemērojamos administratīvos sodus, ja likumos nav noteikts citādi, </w:t>
      </w:r>
      <w:r w:rsidR="00EA6E28">
        <w:rPr>
          <w:rFonts w:ascii="Times" w:hAnsi="Times" w:cs="Times"/>
          <w:color w:val="000000"/>
        </w:rPr>
        <w:t xml:space="preserve">par </w:t>
      </w:r>
      <w:r w:rsidR="00F87EA4">
        <w:rPr>
          <w:rFonts w:ascii="Times" w:hAnsi="Times" w:cs="Times"/>
          <w:color w:val="000000"/>
        </w:rPr>
        <w:t>publiskā lietošanā nodotu pašvaldības zaļo zonu un stādījumu aizsardzību</w:t>
      </w:r>
      <w:r w:rsidR="00EA6E28">
        <w:rPr>
          <w:rFonts w:ascii="Times" w:hAnsi="Times" w:cs="Times"/>
          <w:color w:val="000000"/>
        </w:rPr>
        <w:t>.</w:t>
      </w:r>
    </w:p>
    <w:p w14:paraId="409CDA90" w14:textId="72D9D3B2" w:rsidR="00EA6E28" w:rsidRPr="00C80A3A" w:rsidRDefault="005275FD" w:rsidP="00430E67">
      <w:pPr>
        <w:pStyle w:val="NormalWeb"/>
        <w:spacing w:before="0" w:beforeAutospacing="0" w:after="120" w:afterAutospacing="0"/>
        <w:ind w:right="-6" w:hanging="23"/>
        <w:jc w:val="center"/>
        <w:rPr>
          <w:b/>
          <w:bCs/>
          <w:color w:val="000000"/>
          <w:sz w:val="28"/>
          <w:szCs w:val="28"/>
        </w:rPr>
      </w:pPr>
      <w:r w:rsidRPr="00C80A3A">
        <w:rPr>
          <w:b/>
          <w:bCs/>
          <w:color w:val="000000"/>
          <w:sz w:val="28"/>
          <w:szCs w:val="28"/>
        </w:rPr>
        <w:t xml:space="preserve">Kas jāņem vērā, </w:t>
      </w:r>
      <w:r w:rsidR="00EA6E28" w:rsidRPr="00C80A3A">
        <w:rPr>
          <w:b/>
          <w:bCs/>
          <w:color w:val="000000"/>
          <w:sz w:val="28"/>
          <w:szCs w:val="28"/>
        </w:rPr>
        <w:t>izstrādājot saistošos noteikumus</w:t>
      </w:r>
    </w:p>
    <w:p w14:paraId="7641E2FE" w14:textId="5FD59741" w:rsidR="000C01D3" w:rsidRDefault="000C01D3" w:rsidP="00430E67">
      <w:pPr>
        <w:pStyle w:val="NormalWeb"/>
        <w:numPr>
          <w:ilvl w:val="0"/>
          <w:numId w:val="4"/>
        </w:numPr>
        <w:spacing w:before="0" w:beforeAutospacing="0" w:after="120" w:afterAutospacing="0"/>
        <w:ind w:left="0" w:right="-6" w:hanging="23"/>
        <w:jc w:val="both"/>
      </w:pPr>
      <w:r>
        <w:rPr>
          <w:color w:val="000000"/>
        </w:rPr>
        <w:t xml:space="preserve">Jāievēro </w:t>
      </w:r>
      <w:r w:rsidRPr="00F72BC6">
        <w:rPr>
          <w:color w:val="000000"/>
        </w:rPr>
        <w:t>Ministru kabineta 2009. gada 3. februāra noteikum</w:t>
      </w:r>
      <w:r w:rsidR="00DE719F">
        <w:rPr>
          <w:color w:val="000000"/>
        </w:rPr>
        <w:t>i</w:t>
      </w:r>
      <w:r w:rsidRPr="00F72BC6">
        <w:rPr>
          <w:color w:val="000000"/>
        </w:rPr>
        <w:t xml:space="preserve"> Nr. 108 “Normatīvo aktu projektu sagatavošanas noteikumi”</w:t>
      </w:r>
    </w:p>
    <w:p w14:paraId="139877F0" w14:textId="77777777" w:rsidR="00986A17" w:rsidRDefault="00F87EA4" w:rsidP="00430E67">
      <w:pPr>
        <w:pStyle w:val="NormalWeb"/>
        <w:numPr>
          <w:ilvl w:val="0"/>
          <w:numId w:val="4"/>
        </w:numPr>
        <w:spacing w:before="0" w:beforeAutospacing="0" w:after="120" w:afterAutospacing="0"/>
        <w:ind w:left="0" w:right="-6" w:hanging="23"/>
        <w:jc w:val="both"/>
      </w:pPr>
      <w:r w:rsidRPr="00F72BC6">
        <w:rPr>
          <w:bCs/>
        </w:rPr>
        <w:t>Pašvaldību l</w:t>
      </w:r>
      <w:r w:rsidR="00EA6E28" w:rsidRPr="00F72BC6">
        <w:t>ikuma 4</w:t>
      </w:r>
      <w:r w:rsidRPr="00F72BC6">
        <w:t>5</w:t>
      </w:r>
      <w:r w:rsidR="00EA6E28" w:rsidRPr="00F72BC6">
        <w:t>.</w:t>
      </w:r>
      <w:r w:rsidR="009428F6" w:rsidRPr="00F72BC6">
        <w:t> </w:t>
      </w:r>
      <w:r w:rsidR="00EA6E28" w:rsidRPr="00F72BC6">
        <w:t xml:space="preserve">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w:t>
      </w:r>
      <w:r w:rsidR="00C56A03">
        <w:t>S</w:t>
      </w:r>
      <w:r w:rsidR="00EA6E28" w:rsidRPr="00F72BC6">
        <w:t>aistošie noteikumi, kas apvieno savstarpēji nesaistītu, atšķirīgu tiesisko regulējumu, nav skaidri un viegli uztverami, kas ietekmē Latvijas Republikas Satversme 90.</w:t>
      </w:r>
      <w:r w:rsidR="009428F6" w:rsidRPr="00F72BC6">
        <w:t> </w:t>
      </w:r>
      <w:r w:rsidR="00EA6E28" w:rsidRPr="00F72BC6">
        <w:t>pantā noteiktās tiesības ikvienam zināt savas tiesības.</w:t>
      </w:r>
    </w:p>
    <w:p w14:paraId="35C57ED8" w14:textId="77777777" w:rsidR="00986A17" w:rsidRDefault="009902EF" w:rsidP="00430E67">
      <w:pPr>
        <w:pStyle w:val="NormalWeb"/>
        <w:numPr>
          <w:ilvl w:val="0"/>
          <w:numId w:val="4"/>
        </w:numPr>
        <w:spacing w:before="0" w:beforeAutospacing="0" w:after="120" w:afterAutospacing="0"/>
        <w:ind w:left="0" w:right="-6" w:hanging="23"/>
        <w:jc w:val="both"/>
      </w:pPr>
      <w:r w:rsidRPr="009428F6">
        <w:t>Paredzot saistošajos noteikumos administratīvo atbildību par noteiktu pārkāpumu, ir jāievēro Tieslietu ministrijas 2016.</w:t>
      </w:r>
      <w:r w:rsidR="00C11E50">
        <w:t> </w:t>
      </w:r>
      <w:r w:rsidRPr="009428F6">
        <w:t>gada 7.</w:t>
      </w:r>
      <w:r w:rsidR="00C11E50">
        <w:t> </w:t>
      </w:r>
      <w:r w:rsidRPr="009428F6">
        <w:t>novembra informatīvajā ziņojumā “Nozaru administratīvo pārkāpumu kodifikācijas ieviešanas sistēmas īstenošana”</w:t>
      </w:r>
      <w:r w:rsidR="0053480B" w:rsidRPr="009428F6">
        <w:rPr>
          <w:rStyle w:val="FootnoteReference"/>
        </w:rPr>
        <w:footnoteReference w:id="1"/>
      </w:r>
      <w:r w:rsidRPr="009428F6">
        <w:t xml:space="preserve"> ietvertās rekomendācijas</w:t>
      </w:r>
      <w:r w:rsidR="00986A17">
        <w:t>.</w:t>
      </w:r>
    </w:p>
    <w:p w14:paraId="42335CE7" w14:textId="4F90EAE1" w:rsidR="009902EF" w:rsidRDefault="00986A17" w:rsidP="00430E67">
      <w:pPr>
        <w:pStyle w:val="NormalWeb"/>
        <w:numPr>
          <w:ilvl w:val="0"/>
          <w:numId w:val="4"/>
        </w:numPr>
        <w:spacing w:before="0" w:beforeAutospacing="0" w:after="120" w:afterAutospacing="0"/>
        <w:ind w:left="0" w:right="-6" w:hanging="23"/>
        <w:jc w:val="both"/>
      </w:pPr>
      <w:r w:rsidRPr="00986A17">
        <w:t>Vienlaikus vēršam uzmanību, ka Tieslietu ministrija ir izsūtījusi vēstuli visām pašvaldībām</w:t>
      </w:r>
      <w:r w:rsidRPr="00BF7ACF">
        <w:rPr>
          <w:rStyle w:val="FootnoteReference"/>
        </w:rPr>
        <w:footnoteReference w:id="2"/>
      </w:r>
      <w:r w:rsidRPr="00986A17">
        <w:t xml:space="preserve">, sniedzot viedokli par pašvaldību saistošajiem noteikumiem administratīvās atbildības jomā. Tieslietu ministrija vērsa uzmanību, ka </w:t>
      </w:r>
      <w:r w:rsidRPr="00986A17">
        <w:rPr>
          <w:color w:val="000000"/>
        </w:rPr>
        <w:t xml:space="preserve">Administratīvās atbildības likuma 2. panta ceturtā daļa noteic, ka pašvaldību dome ir tiesīga izdot saistošos noteikumus, paredzot administratīvo atbildību par to pārkāpšanu, likuma "Par pašvaldību" noteiktajos gadījumos. Likumu "Par pašvaldību" aizstājis Pašvaldību likums, kurš stājās spēkā 2023. gada 1. janvārī. Tiesības pašvaldības saistošajos noteikumos regulēt administratīvās sodīšanas jautājumus ir pakārtotas Pašvaldību likuma regulējumam. Pašvaldību likuma 45. panta pirmā un otrā daļa noteic jautājumu loku, kuros dome ir tiesīga izdot saistošos noteikumus, paredzot administratīvo atbildību par to pārkāpšanu, ja likumos nav noteikts citādi. Izstrādājot administratīvās atbildības regulējumu, pašvaldībai ir </w:t>
      </w:r>
      <w:r w:rsidRPr="00986A17">
        <w:rPr>
          <w:color w:val="000000"/>
          <w:u w:val="single"/>
        </w:rPr>
        <w:t>jāpamato administratīvās atbildības noteikšanas nepieciešamība</w:t>
      </w:r>
      <w:r w:rsidRPr="00986A17">
        <w:rPr>
          <w:color w:val="000000"/>
        </w:rPr>
        <w:t xml:space="preserve">. </w:t>
      </w:r>
      <w:r w:rsidRPr="00986A17">
        <w:t>Tieslietu ministrija vēstulē noradīja, ka jāņem vērā administratīvā akta prioritātes principa ievērošana, proti, administratīvajā procesā radies jautājums ir risināms ar administratīvā procesa līdzekļiem.</w:t>
      </w:r>
      <w:r w:rsidRPr="00BF7ACF">
        <w:rPr>
          <w:rStyle w:val="FootnoteReference"/>
        </w:rPr>
        <w:footnoteReference w:id="3"/>
      </w:r>
    </w:p>
    <w:p w14:paraId="2D40F7D5" w14:textId="77777777" w:rsidR="00131A97" w:rsidRDefault="005275FD" w:rsidP="00131A97">
      <w:pPr>
        <w:pStyle w:val="NormalWeb"/>
        <w:numPr>
          <w:ilvl w:val="0"/>
          <w:numId w:val="4"/>
        </w:numPr>
        <w:spacing w:before="0" w:beforeAutospacing="0" w:after="120" w:afterAutospacing="0"/>
        <w:ind w:left="0" w:right="-2" w:firstLine="0"/>
        <w:jc w:val="both"/>
      </w:pPr>
      <w:r w:rsidRPr="003764A8">
        <w:rPr>
          <w:color w:val="000000"/>
        </w:rPr>
        <w:t>Pašvaldību likuma 45.</w:t>
      </w:r>
      <w:r>
        <w:rPr>
          <w:color w:val="000000"/>
        </w:rPr>
        <w:t> </w:t>
      </w:r>
      <w:r w:rsidRPr="003764A8">
        <w:rPr>
          <w:color w:val="000000"/>
        </w:rPr>
        <w:t>panta pirmās daļas 5.</w:t>
      </w:r>
      <w:r>
        <w:rPr>
          <w:color w:val="000000"/>
        </w:rPr>
        <w:t> </w:t>
      </w:r>
      <w:r w:rsidRPr="003764A8">
        <w:rPr>
          <w:color w:val="000000"/>
        </w:rPr>
        <w:t>punktā noteiktais pilnvarojums izdot saistošos noteikumus pamatā ir saistīts ar Pašvaldību likuma 4. panta pirmās daļas 2.</w:t>
      </w:r>
      <w:r>
        <w:rPr>
          <w:color w:val="000000"/>
        </w:rPr>
        <w:t> </w:t>
      </w:r>
      <w:r w:rsidRPr="003764A8">
        <w:rPr>
          <w:color w:val="000000"/>
        </w:rPr>
        <w:t>punktā noteiktās autonomās</w:t>
      </w:r>
      <w:r>
        <w:rPr>
          <w:rFonts w:ascii="Times" w:hAnsi="Times" w:cs="Times"/>
          <w:color w:val="000000"/>
        </w:rPr>
        <w:t xml:space="preserve"> funkcijas izpildi, proti, gādāt par savas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w:t>
      </w:r>
    </w:p>
    <w:p w14:paraId="6F3770C8" w14:textId="3C1E02FE" w:rsidR="005275FD" w:rsidRPr="00F72BC6" w:rsidRDefault="005275FD" w:rsidP="00131A97">
      <w:pPr>
        <w:pStyle w:val="NormalWeb"/>
        <w:spacing w:before="0" w:beforeAutospacing="0" w:after="120" w:afterAutospacing="0"/>
        <w:ind w:right="-2"/>
        <w:jc w:val="both"/>
      </w:pPr>
      <w:r w:rsidRPr="00131A97">
        <w:rPr>
          <w:rFonts w:ascii="Times" w:hAnsi="Times" w:cs="Times"/>
          <w:color w:val="000000"/>
        </w:rPr>
        <w:lastRenderedPageBreak/>
        <w:t xml:space="preserve">Atbilstoši Pašvaldību likuma 4. panta pirmās daļas 2. punktā noteiktajiem autonomās funkcijas uzdevumiem pašvaldība gādā par pašvaldības īpašumu uzturēšanu un veic šos uzdevumus patstāvīgi, izņemot gadījumu, ja pašvaldība ir izvēlējusies uzlikt nekustamo īpašumu īpašniekiem kopt īpašumam piegulošās publiskā lietošanā esošās teritorijas (gājēju ietves un zālāji līdz brauktuves malai, izņemot sabiedriskā transporta pieturvietas). Turklāt saskaņā ar Pašvaldību likuma 4. panta otro daļu pašvaldība autonomās funkcija pilda atbilstoši ārējiem normatīvajiem aktiem, piemēram, Atkritumu apsaimniekošanas likumam, likumam </w:t>
      </w:r>
      <w:r w:rsidR="005715DB">
        <w:rPr>
          <w:rFonts w:ascii="Times" w:hAnsi="Times" w:cs="Times"/>
          <w:color w:val="000000"/>
        </w:rPr>
        <w:t>“</w:t>
      </w:r>
      <w:r w:rsidRPr="00131A97">
        <w:rPr>
          <w:rFonts w:ascii="Times" w:hAnsi="Times" w:cs="Times"/>
          <w:color w:val="000000"/>
        </w:rPr>
        <w:t>Par autoceļiem”, Ceļu satiksmes likumam, Būvniecības likumam, un pašvaldība ir tiesīga izdot saistošos noteikumus, ievērojot šajos normatīvajos aktos noteikto tiesību apjomu.</w:t>
      </w:r>
    </w:p>
    <w:p w14:paraId="4F871646" w14:textId="77777777" w:rsidR="00253C28" w:rsidRPr="00C80A3A" w:rsidRDefault="005333A1" w:rsidP="00253C28">
      <w:pPr>
        <w:spacing w:after="120" w:line="240" w:lineRule="auto"/>
        <w:ind w:left="23" w:hanging="23"/>
        <w:jc w:val="center"/>
        <w:rPr>
          <w:rFonts w:ascii="Times New Roman" w:hAnsi="Times New Roman" w:cs="Times New Roman"/>
          <w:b/>
          <w:bCs/>
          <w:color w:val="000000" w:themeColor="text1"/>
          <w:sz w:val="28"/>
          <w:szCs w:val="28"/>
        </w:rPr>
      </w:pPr>
      <w:r w:rsidRPr="00C80A3A">
        <w:rPr>
          <w:rFonts w:ascii="Times New Roman" w:hAnsi="Times New Roman" w:cs="Times New Roman"/>
          <w:b/>
          <w:bCs/>
          <w:sz w:val="28"/>
          <w:szCs w:val="28"/>
        </w:rPr>
        <w:t>Būtiskākais, kas j</w:t>
      </w:r>
      <w:r w:rsidR="00E479FF" w:rsidRPr="00C80A3A">
        <w:rPr>
          <w:rFonts w:ascii="Times New Roman" w:hAnsi="Times New Roman" w:cs="Times New Roman"/>
          <w:b/>
          <w:bCs/>
          <w:sz w:val="28"/>
          <w:szCs w:val="28"/>
        </w:rPr>
        <w:t>āņem vērā</w:t>
      </w:r>
      <w:r w:rsidR="00CC34EE" w:rsidRPr="00C80A3A">
        <w:rPr>
          <w:rFonts w:ascii="Times New Roman" w:hAnsi="Times New Roman" w:cs="Times New Roman"/>
          <w:b/>
          <w:bCs/>
          <w:sz w:val="28"/>
          <w:szCs w:val="28"/>
        </w:rPr>
        <w:t xml:space="preserve"> pašvaldībai</w:t>
      </w:r>
      <w:r w:rsidR="007E54C4" w:rsidRPr="00C80A3A">
        <w:rPr>
          <w:rFonts w:ascii="Times New Roman" w:hAnsi="Times New Roman" w:cs="Times New Roman"/>
          <w:b/>
          <w:bCs/>
          <w:color w:val="000000" w:themeColor="text1"/>
          <w:sz w:val="28"/>
          <w:szCs w:val="28"/>
        </w:rPr>
        <w:t xml:space="preserve"> izstrādājot administratīvās atbildības regulējumu</w:t>
      </w:r>
      <w:r w:rsidR="00191C7B" w:rsidRPr="00C80A3A">
        <w:rPr>
          <w:rFonts w:ascii="Times New Roman" w:hAnsi="Times New Roman" w:cs="Times New Roman"/>
          <w:b/>
          <w:bCs/>
          <w:color w:val="000000" w:themeColor="text1"/>
          <w:sz w:val="28"/>
          <w:szCs w:val="28"/>
        </w:rPr>
        <w:t>:</w:t>
      </w:r>
    </w:p>
    <w:p w14:paraId="4262A4B1" w14:textId="042B0FA4" w:rsidR="00253C28" w:rsidRPr="0080162B" w:rsidRDefault="00253C28" w:rsidP="0080162B">
      <w:pPr>
        <w:pStyle w:val="ListParagraph"/>
        <w:numPr>
          <w:ilvl w:val="1"/>
          <w:numId w:val="5"/>
        </w:numPr>
        <w:spacing w:after="120"/>
        <w:ind w:left="0" w:firstLine="0"/>
        <w:jc w:val="both"/>
        <w:rPr>
          <w:b/>
          <w:bCs/>
          <w:color w:val="000000" w:themeColor="text1"/>
          <w:sz w:val="24"/>
          <w:szCs w:val="24"/>
        </w:rPr>
      </w:pPr>
      <w:r w:rsidRPr="0080162B">
        <w:rPr>
          <w:sz w:val="24"/>
          <w:szCs w:val="24"/>
        </w:rPr>
        <w:t>administratīvā akta prioritātes principa ievērošanas iespējas. Uzsveram, ka administratīvajā procesā radies jautājums ir risināms ar administratīvā procesa līdzekļiem</w:t>
      </w:r>
      <w:r w:rsidRPr="00483C97">
        <w:rPr>
          <w:rStyle w:val="FootnoteReference"/>
          <w:sz w:val="24"/>
          <w:szCs w:val="24"/>
        </w:rPr>
        <w:footnoteReference w:id="4"/>
      </w:r>
      <w:r w:rsidRPr="0080162B">
        <w:rPr>
          <w:sz w:val="24"/>
          <w:szCs w:val="24"/>
        </w:rPr>
        <w:t>;</w:t>
      </w:r>
    </w:p>
    <w:p w14:paraId="5D54ECCC" w14:textId="77777777" w:rsidR="00253C28"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4A51DE">
        <w:rPr>
          <w:sz w:val="24"/>
          <w:szCs w:val="24"/>
        </w:rPr>
        <w:t>problēmsituācijas attiecināmība uz publiski tiesiskajām attiecībām, proti, administratīvā atbildība var tikt paredzēta, ja pārkāpums var skart ievērojamu sabiedrības daļu;</w:t>
      </w:r>
    </w:p>
    <w:p w14:paraId="1E0D276D" w14:textId="77777777" w:rsidR="00253C28"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4A51DE">
        <w:rPr>
          <w:sz w:val="24"/>
          <w:szCs w:val="24"/>
        </w:rPr>
        <w:t>problēmsituācijas bīstamība un kaitīgums, proti, vai iespējamais pārkāpums var aizskart sabiedriskās intereses tādā mērā, ka nepieciešams paredzēt administratīvo atbildību par to. Piemēram, administratīvā atbildība par ievērot noteikto zāles garumu;</w:t>
      </w:r>
    </w:p>
    <w:p w14:paraId="79AE47DA" w14:textId="77777777" w:rsidR="00253C28"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4A51DE">
        <w:rPr>
          <w:sz w:val="24"/>
          <w:szCs w:val="24"/>
        </w:rPr>
        <w:t>aizliegums paredzēt administratīvos sodus par administratīvā akta labprātīgu neizpildīšanu</w:t>
      </w:r>
      <w:r w:rsidRPr="00483C97">
        <w:rPr>
          <w:rStyle w:val="FootnoteReference"/>
          <w:sz w:val="24"/>
          <w:szCs w:val="24"/>
        </w:rPr>
        <w:footnoteReference w:id="5"/>
      </w:r>
      <w:r w:rsidRPr="004A51DE">
        <w:rPr>
          <w:sz w:val="24"/>
          <w:szCs w:val="24"/>
        </w:rPr>
        <w:t>;</w:t>
      </w:r>
    </w:p>
    <w:p w14:paraId="2E076C6F" w14:textId="77777777" w:rsidR="00253C28"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4A51DE">
        <w:rPr>
          <w:sz w:val="24"/>
          <w:szCs w:val="24"/>
        </w:rPr>
        <w:t>paredzētā administratīvā pārkāpuma sastāva elementi (darbība vai bezdarbība, par kuru paredzēta administratīvā atbildība). Tiesību normā jābūt ietvertām skaidrām darbības vai bezdarbības izpausmēm par kurām personu paredzēts sodīt;</w:t>
      </w:r>
    </w:p>
    <w:p w14:paraId="6DD7AA13" w14:textId="77777777" w:rsidR="00253C28"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4A51DE">
        <w:rPr>
          <w:sz w:val="24"/>
          <w:szCs w:val="24"/>
        </w:rPr>
        <w:t>korespondējošās tiesību normas jeb normatīvā tiesību akta vienības, par kura regulējuma neīstenošanu ir noteikta administratīvā atbildība;</w:t>
      </w:r>
    </w:p>
    <w:p w14:paraId="05A48D3F" w14:textId="77777777" w:rsidR="00253C28" w:rsidRPr="00DE719F"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4A51DE">
        <w:rPr>
          <w:sz w:val="24"/>
          <w:szCs w:val="24"/>
        </w:rPr>
        <w:t xml:space="preserve">soda </w:t>
      </w:r>
      <w:r w:rsidRPr="00DE719F">
        <w:rPr>
          <w:sz w:val="24"/>
          <w:szCs w:val="24"/>
        </w:rPr>
        <w:t>veida un apmēra izvēles pamatojums;</w:t>
      </w:r>
    </w:p>
    <w:p w14:paraId="14CB648F" w14:textId="77777777" w:rsidR="00253C28" w:rsidRPr="00DE719F"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DE719F">
        <w:rPr>
          <w:sz w:val="24"/>
          <w:szCs w:val="24"/>
        </w:rPr>
        <w:t>kompetentās iestādes, kuras piemēros sodus, izvēles apsvērumi;</w:t>
      </w:r>
    </w:p>
    <w:p w14:paraId="59DD7E0A" w14:textId="77777777" w:rsidR="00253C28" w:rsidRPr="00DE719F" w:rsidRDefault="00253C28" w:rsidP="00253C28">
      <w:pPr>
        <w:pStyle w:val="ListParagraph"/>
        <w:numPr>
          <w:ilvl w:val="1"/>
          <w:numId w:val="5"/>
        </w:numPr>
        <w:tabs>
          <w:tab w:val="left" w:pos="0"/>
        </w:tabs>
        <w:suppressAutoHyphens w:val="0"/>
        <w:autoSpaceDN/>
        <w:spacing w:after="120"/>
        <w:ind w:left="0" w:firstLine="0"/>
        <w:contextualSpacing/>
        <w:jc w:val="both"/>
        <w:textAlignment w:val="auto"/>
        <w:rPr>
          <w:sz w:val="24"/>
          <w:szCs w:val="24"/>
        </w:rPr>
      </w:pPr>
      <w:r w:rsidRPr="00DE719F">
        <w:rPr>
          <w:sz w:val="24"/>
          <w:szCs w:val="24"/>
        </w:rPr>
        <w:t>paredzēto administratīvo pārkāpumu sastāvu izvērtējums citu normatīvo aktu, kas noteic administratīvo atbildību;</w:t>
      </w:r>
    </w:p>
    <w:p w14:paraId="21393966" w14:textId="77777777" w:rsidR="00253C28" w:rsidRPr="00DE719F" w:rsidRDefault="00253C28" w:rsidP="0080162B">
      <w:pPr>
        <w:pStyle w:val="ListParagraph"/>
        <w:numPr>
          <w:ilvl w:val="1"/>
          <w:numId w:val="5"/>
        </w:numPr>
        <w:tabs>
          <w:tab w:val="left" w:pos="0"/>
        </w:tabs>
        <w:suppressAutoHyphens w:val="0"/>
        <w:autoSpaceDN/>
        <w:ind w:left="0" w:firstLine="0"/>
        <w:contextualSpacing/>
        <w:jc w:val="both"/>
        <w:textAlignment w:val="auto"/>
        <w:rPr>
          <w:sz w:val="24"/>
          <w:szCs w:val="24"/>
        </w:rPr>
      </w:pPr>
      <w:r w:rsidRPr="00DE719F">
        <w:rPr>
          <w:color w:val="000000"/>
          <w:sz w:val="24"/>
          <w:szCs w:val="24"/>
        </w:rPr>
        <w:t>s</w:t>
      </w:r>
      <w:r w:rsidRPr="00DE719F">
        <w:rPr>
          <w:sz w:val="24"/>
          <w:szCs w:val="24"/>
        </w:rPr>
        <w:t>aistošajos noteikumos ir aizliegts paredzēt administratīvos sodus par administratīvā akta labprātīgu neizpildīšanu.</w:t>
      </w:r>
    </w:p>
    <w:p w14:paraId="5D4FA278" w14:textId="77777777" w:rsidR="00943082" w:rsidRPr="00DE719F" w:rsidRDefault="00943082" w:rsidP="0080162B">
      <w:pPr>
        <w:spacing w:after="0" w:line="240" w:lineRule="auto"/>
        <w:ind w:hanging="23"/>
        <w:rPr>
          <w:sz w:val="24"/>
          <w:szCs w:val="24"/>
        </w:rPr>
      </w:pPr>
    </w:p>
    <w:p w14:paraId="1AB00C36" w14:textId="77777777" w:rsidR="00ED536F" w:rsidRDefault="00ED536F" w:rsidP="0080162B">
      <w:pPr>
        <w:spacing w:after="0" w:line="240" w:lineRule="auto"/>
        <w:ind w:hanging="23"/>
      </w:pPr>
    </w:p>
    <w:p w14:paraId="5318BF64" w14:textId="77777777" w:rsidR="00943082" w:rsidRDefault="00943082" w:rsidP="0080162B">
      <w:pPr>
        <w:spacing w:after="0" w:line="240" w:lineRule="auto"/>
        <w:ind w:hanging="23"/>
      </w:pPr>
    </w:p>
    <w:p w14:paraId="77734B72" w14:textId="1EF0DAB8" w:rsidR="00943082" w:rsidRDefault="00943082" w:rsidP="0080162B">
      <w:pPr>
        <w:pStyle w:val="ListParagraph"/>
        <w:ind w:left="0" w:hanging="23"/>
        <w:jc w:val="both"/>
        <w:rPr>
          <w:sz w:val="20"/>
          <w:szCs w:val="20"/>
        </w:rPr>
      </w:pPr>
      <w:r>
        <w:rPr>
          <w:sz w:val="20"/>
          <w:szCs w:val="20"/>
        </w:rPr>
        <w:t xml:space="preserve">Vadlīnijas aktualizētas </w:t>
      </w:r>
      <w:r w:rsidR="00ED536F">
        <w:rPr>
          <w:sz w:val="20"/>
          <w:szCs w:val="20"/>
        </w:rPr>
        <w:t>31.03.2023.</w:t>
      </w:r>
    </w:p>
    <w:p w14:paraId="38EBC844" w14:textId="77777777" w:rsidR="00ED536F" w:rsidRDefault="00ED536F" w:rsidP="009756C9">
      <w:pPr>
        <w:pStyle w:val="ListParagraph"/>
        <w:ind w:left="0" w:hanging="23"/>
        <w:jc w:val="both"/>
        <w:rPr>
          <w:sz w:val="20"/>
          <w:szCs w:val="20"/>
        </w:rPr>
      </w:pPr>
    </w:p>
    <w:p w14:paraId="69990C98" w14:textId="77777777" w:rsidR="00ED536F" w:rsidRDefault="00ED536F" w:rsidP="009756C9">
      <w:pPr>
        <w:pStyle w:val="ListParagraph"/>
        <w:ind w:left="0" w:hanging="23"/>
        <w:jc w:val="both"/>
        <w:rPr>
          <w:sz w:val="20"/>
          <w:szCs w:val="20"/>
        </w:rPr>
      </w:pPr>
    </w:p>
    <w:p w14:paraId="1D2258BD" w14:textId="77777777" w:rsidR="00943082" w:rsidRDefault="00943082" w:rsidP="009756C9">
      <w:pPr>
        <w:pStyle w:val="xxmsonormal"/>
        <w:shd w:val="clear" w:color="auto" w:fill="FFFFFF"/>
        <w:ind w:hanging="23"/>
        <w:rPr>
          <w:color w:val="000000"/>
          <w:sz w:val="20"/>
          <w:szCs w:val="20"/>
        </w:rPr>
      </w:pPr>
      <w:r>
        <w:rPr>
          <w:color w:val="000000"/>
          <w:sz w:val="20"/>
          <w:szCs w:val="20"/>
        </w:rPr>
        <w:t>Kontaktinformācija:</w:t>
      </w:r>
    </w:p>
    <w:p w14:paraId="1FE0CC9A" w14:textId="77777777" w:rsidR="00ED536F" w:rsidRDefault="00ED536F" w:rsidP="00430E67">
      <w:pPr>
        <w:pStyle w:val="ListParagraph"/>
        <w:ind w:left="0" w:hanging="23"/>
        <w:jc w:val="both"/>
        <w:rPr>
          <w:color w:val="000000"/>
          <w:sz w:val="20"/>
          <w:szCs w:val="20"/>
        </w:rPr>
      </w:pPr>
    </w:p>
    <w:p w14:paraId="6391FDFA" w14:textId="66EB4551" w:rsidR="009A268B" w:rsidRPr="009756C9" w:rsidRDefault="009A268B" w:rsidP="00430E67">
      <w:pPr>
        <w:pStyle w:val="xxmsonormal"/>
        <w:shd w:val="clear" w:color="auto" w:fill="FFFFFF"/>
        <w:ind w:hanging="23"/>
        <w:rPr>
          <w:rFonts w:ascii="Calibri" w:hAnsi="Calibri" w:cs="Calibri"/>
          <w:color w:val="000000"/>
          <w:sz w:val="20"/>
          <w:szCs w:val="20"/>
        </w:rPr>
      </w:pPr>
      <w:r w:rsidRPr="009756C9">
        <w:rPr>
          <w:color w:val="000000"/>
          <w:sz w:val="20"/>
          <w:szCs w:val="20"/>
        </w:rPr>
        <w:t>Agris Buzēns, Pašvaldību departamenta Pašvaldību pārraudzības nodaļas vecākais eksperts</w:t>
      </w:r>
    </w:p>
    <w:p w14:paraId="48E941D1" w14:textId="2F8CBED0" w:rsidR="00943082" w:rsidRPr="009756C9" w:rsidRDefault="00000000" w:rsidP="00430E67">
      <w:pPr>
        <w:pStyle w:val="ListParagraph"/>
        <w:ind w:left="0" w:hanging="23"/>
        <w:jc w:val="both"/>
        <w:rPr>
          <w:color w:val="000000"/>
          <w:sz w:val="20"/>
          <w:szCs w:val="20"/>
        </w:rPr>
      </w:pPr>
      <w:hyperlink r:id="rId8" w:history="1">
        <w:r w:rsidR="009A268B" w:rsidRPr="009756C9">
          <w:rPr>
            <w:rStyle w:val="Hyperlink"/>
            <w:sz w:val="20"/>
            <w:szCs w:val="20"/>
          </w:rPr>
          <w:t>agris.buzens@varam.gov.lv</w:t>
        </w:r>
      </w:hyperlink>
      <w:r w:rsidR="009A268B" w:rsidRPr="009756C9">
        <w:rPr>
          <w:color w:val="000000"/>
          <w:sz w:val="20"/>
          <w:szCs w:val="20"/>
        </w:rPr>
        <w:t>, tālr. 6</w:t>
      </w:r>
      <w:r w:rsidR="009B466F" w:rsidRPr="009756C9">
        <w:rPr>
          <w:color w:val="000000"/>
          <w:sz w:val="20"/>
          <w:szCs w:val="20"/>
        </w:rPr>
        <w:t>601</w:t>
      </w:r>
      <w:r w:rsidR="00C22143" w:rsidRPr="009756C9">
        <w:rPr>
          <w:color w:val="000000"/>
          <w:sz w:val="20"/>
          <w:szCs w:val="20"/>
        </w:rPr>
        <w:t>6719</w:t>
      </w:r>
    </w:p>
    <w:p w14:paraId="0346BE87" w14:textId="77777777" w:rsidR="00841AB5" w:rsidRPr="009756C9" w:rsidRDefault="00841AB5" w:rsidP="00430E67">
      <w:pPr>
        <w:pStyle w:val="ListParagraph"/>
        <w:ind w:left="0" w:hanging="23"/>
        <w:jc w:val="both"/>
        <w:rPr>
          <w:color w:val="000000"/>
          <w:sz w:val="20"/>
          <w:szCs w:val="20"/>
        </w:rPr>
      </w:pPr>
    </w:p>
    <w:p w14:paraId="0B6E330E" w14:textId="450E8944" w:rsidR="00841AB5" w:rsidRPr="009756C9" w:rsidRDefault="00841AB5" w:rsidP="00430E67">
      <w:pPr>
        <w:pStyle w:val="ListParagraph"/>
        <w:ind w:left="0" w:hanging="23"/>
        <w:jc w:val="both"/>
        <w:rPr>
          <w:color w:val="000000"/>
          <w:sz w:val="20"/>
          <w:szCs w:val="20"/>
        </w:rPr>
      </w:pPr>
      <w:r w:rsidRPr="009756C9">
        <w:rPr>
          <w:color w:val="000000"/>
          <w:sz w:val="20"/>
          <w:szCs w:val="20"/>
        </w:rPr>
        <w:t>Vineta Stolere, Pašvaldību departamenta Pašvaldību pārraudzības nodaļas vecākā eksperte</w:t>
      </w:r>
    </w:p>
    <w:p w14:paraId="1FA63B4D" w14:textId="77777777" w:rsidR="00943849" w:rsidRPr="009756C9" w:rsidRDefault="00000000" w:rsidP="00430E67">
      <w:pPr>
        <w:pStyle w:val="xxmsonormal"/>
        <w:shd w:val="clear" w:color="auto" w:fill="FFFFFF"/>
        <w:ind w:hanging="23"/>
        <w:rPr>
          <w:color w:val="000000"/>
          <w:sz w:val="20"/>
          <w:szCs w:val="20"/>
        </w:rPr>
      </w:pPr>
      <w:hyperlink r:id="rId9" w:history="1">
        <w:r w:rsidR="00943849" w:rsidRPr="009756C9">
          <w:rPr>
            <w:rStyle w:val="Hyperlink"/>
            <w:sz w:val="20"/>
            <w:szCs w:val="20"/>
          </w:rPr>
          <w:t>vineta.stolere@varam.gov.lv</w:t>
        </w:r>
      </w:hyperlink>
      <w:r w:rsidR="00841AB5" w:rsidRPr="009756C9">
        <w:rPr>
          <w:color w:val="000000"/>
          <w:sz w:val="20"/>
          <w:szCs w:val="20"/>
        </w:rPr>
        <w:t xml:space="preserve"> , tālr. </w:t>
      </w:r>
      <w:r w:rsidR="00943849" w:rsidRPr="009756C9">
        <w:rPr>
          <w:color w:val="000000"/>
          <w:sz w:val="20"/>
          <w:szCs w:val="20"/>
        </w:rPr>
        <w:t xml:space="preserve">67026948 </w:t>
      </w:r>
    </w:p>
    <w:p w14:paraId="25B41671" w14:textId="77777777" w:rsidR="00943849" w:rsidRPr="009756C9" w:rsidRDefault="00943849" w:rsidP="00430E67">
      <w:pPr>
        <w:pStyle w:val="xxmsonormal"/>
        <w:shd w:val="clear" w:color="auto" w:fill="FFFFFF"/>
        <w:ind w:hanging="23"/>
        <w:rPr>
          <w:color w:val="000000"/>
          <w:sz w:val="20"/>
          <w:szCs w:val="20"/>
        </w:rPr>
      </w:pPr>
    </w:p>
    <w:p w14:paraId="13F2ADAF" w14:textId="473DB776" w:rsidR="00943849" w:rsidRPr="009756C9" w:rsidRDefault="00943849" w:rsidP="00430E67">
      <w:pPr>
        <w:pStyle w:val="xxmsonormal"/>
        <w:shd w:val="clear" w:color="auto" w:fill="FFFFFF"/>
        <w:ind w:hanging="23"/>
        <w:rPr>
          <w:rFonts w:ascii="Calibri" w:hAnsi="Calibri" w:cs="Calibri"/>
          <w:color w:val="000000"/>
          <w:sz w:val="20"/>
          <w:szCs w:val="20"/>
        </w:rPr>
      </w:pPr>
      <w:r w:rsidRPr="009756C9">
        <w:rPr>
          <w:color w:val="000000"/>
          <w:sz w:val="20"/>
          <w:szCs w:val="20"/>
        </w:rPr>
        <w:t>Imants Priedītis, Pašvaldību departamenta Pašvaldību pārraudzības nodaļas vecākais eksperts</w:t>
      </w:r>
    </w:p>
    <w:p w14:paraId="680E660F" w14:textId="784C08D3" w:rsidR="00841AB5" w:rsidRPr="009756C9" w:rsidRDefault="00000000" w:rsidP="00430E67">
      <w:pPr>
        <w:pStyle w:val="ListParagraph"/>
        <w:ind w:left="0" w:hanging="23"/>
        <w:jc w:val="both"/>
        <w:rPr>
          <w:color w:val="000000"/>
          <w:sz w:val="20"/>
          <w:szCs w:val="20"/>
        </w:rPr>
      </w:pPr>
      <w:hyperlink r:id="rId10" w:history="1">
        <w:r w:rsidR="00943849" w:rsidRPr="009756C9">
          <w:rPr>
            <w:rStyle w:val="Hyperlink"/>
            <w:sz w:val="20"/>
            <w:szCs w:val="20"/>
          </w:rPr>
          <w:t>imants.prieditis@varam.gov.lv</w:t>
        </w:r>
      </w:hyperlink>
      <w:r w:rsidR="00943849" w:rsidRPr="009756C9">
        <w:rPr>
          <w:color w:val="000000"/>
          <w:sz w:val="20"/>
          <w:szCs w:val="20"/>
        </w:rPr>
        <w:t>, tālr. 67026564</w:t>
      </w:r>
    </w:p>
    <w:sectPr w:rsidR="00841AB5" w:rsidRPr="009756C9" w:rsidSect="00430E6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046E" w14:textId="77777777" w:rsidR="00F246D4" w:rsidRDefault="00F246D4" w:rsidP="0053480B">
      <w:pPr>
        <w:spacing w:after="0" w:line="240" w:lineRule="auto"/>
      </w:pPr>
      <w:r>
        <w:separator/>
      </w:r>
    </w:p>
  </w:endnote>
  <w:endnote w:type="continuationSeparator" w:id="0">
    <w:p w14:paraId="77BFF294" w14:textId="77777777" w:rsidR="00F246D4" w:rsidRDefault="00F246D4" w:rsidP="0053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E02D" w14:textId="77777777" w:rsidR="00F246D4" w:rsidRDefault="00F246D4" w:rsidP="0053480B">
      <w:pPr>
        <w:spacing w:after="0" w:line="240" w:lineRule="auto"/>
      </w:pPr>
      <w:r>
        <w:separator/>
      </w:r>
    </w:p>
  </w:footnote>
  <w:footnote w:type="continuationSeparator" w:id="0">
    <w:p w14:paraId="0C62A829" w14:textId="77777777" w:rsidR="00F246D4" w:rsidRDefault="00F246D4" w:rsidP="0053480B">
      <w:pPr>
        <w:spacing w:after="0" w:line="240" w:lineRule="auto"/>
      </w:pPr>
      <w:r>
        <w:continuationSeparator/>
      </w:r>
    </w:p>
  </w:footnote>
  <w:footnote w:id="1">
    <w:p w14:paraId="38C9501E" w14:textId="195C4FEE" w:rsidR="0053480B" w:rsidRPr="00703B6E" w:rsidRDefault="0053480B">
      <w:pPr>
        <w:pStyle w:val="FootnoteText"/>
        <w:rPr>
          <w:rFonts w:ascii="Times New Roman" w:hAnsi="Times New Roman" w:cs="Times New Roman"/>
        </w:rPr>
      </w:pPr>
      <w:r w:rsidRPr="00703B6E">
        <w:rPr>
          <w:rStyle w:val="FootnoteReference"/>
          <w:rFonts w:ascii="Times New Roman" w:hAnsi="Times New Roman" w:cs="Times New Roman"/>
        </w:rPr>
        <w:footnoteRef/>
      </w:r>
      <w:r w:rsidRPr="00703B6E">
        <w:rPr>
          <w:rFonts w:ascii="Times New Roman" w:hAnsi="Times New Roman" w:cs="Times New Roman"/>
        </w:rPr>
        <w:t xml:space="preserve"> Pieejams: </w:t>
      </w:r>
      <w:hyperlink r:id="rId1" w:history="1">
        <w:r w:rsidRPr="00703B6E">
          <w:rPr>
            <w:rStyle w:val="Hyperlink"/>
            <w:rFonts w:ascii="Times New Roman" w:hAnsi="Times New Roman" w:cs="Times New Roman"/>
          </w:rPr>
          <w:t>http://tap.mk.gov.lv/lv/mk/tap/?pid=40404107</w:t>
        </w:r>
      </w:hyperlink>
    </w:p>
  </w:footnote>
  <w:footnote w:id="2">
    <w:p w14:paraId="207A8E2F" w14:textId="77777777" w:rsidR="00986A17" w:rsidRDefault="00986A17" w:rsidP="00986A17">
      <w:pPr>
        <w:pStyle w:val="FootnoteText"/>
      </w:pPr>
      <w:r w:rsidRPr="00703B6E">
        <w:rPr>
          <w:rStyle w:val="FootnoteReference"/>
          <w:rFonts w:ascii="Times New Roman" w:hAnsi="Times New Roman" w:cs="Times New Roman"/>
        </w:rPr>
        <w:footnoteRef/>
      </w:r>
      <w:r w:rsidRPr="00703B6E">
        <w:rPr>
          <w:rFonts w:ascii="Times New Roman" w:hAnsi="Times New Roman" w:cs="Times New Roman"/>
        </w:rPr>
        <w:t> Viedoklis pausts Tieslietu ministrijas 2023. gada 1. februāra vēstule Nr. 1-17/356</w:t>
      </w:r>
    </w:p>
  </w:footnote>
  <w:footnote w:id="3">
    <w:p w14:paraId="18AD761F" w14:textId="77777777" w:rsidR="00986A17" w:rsidRPr="00703B6E" w:rsidRDefault="00986A17" w:rsidP="00986A17">
      <w:pPr>
        <w:pStyle w:val="FootnoteText"/>
        <w:jc w:val="both"/>
        <w:rPr>
          <w:rFonts w:ascii="Times New Roman" w:hAnsi="Times New Roman" w:cs="Times New Roman"/>
        </w:rPr>
      </w:pPr>
      <w:r w:rsidRPr="00703B6E">
        <w:rPr>
          <w:rStyle w:val="FootnoteReference"/>
          <w:rFonts w:ascii="Times New Roman" w:hAnsi="Times New Roman" w:cs="Times New Roman"/>
        </w:rPr>
        <w:footnoteRef/>
      </w:r>
      <w:r w:rsidRPr="00703B6E">
        <w:rPr>
          <w:rFonts w:ascii="Times New Roman" w:hAnsi="Times New Roman" w:cs="Times New Roman"/>
        </w:rPr>
        <w:t> Danovskis E. Administratīvās atbildības likuma pamatnoteikumu svarīgākās nostādnes. Grām.: Satversmē nostiprināto vērtību aizsardzība: dažādu tiesību nozaru perspektīva. Rīga: LU Akadēmiskais apgāds, 2019, 466. lpp.</w:t>
      </w:r>
    </w:p>
  </w:footnote>
  <w:footnote w:id="4">
    <w:p w14:paraId="2B5BC9E2" w14:textId="77777777" w:rsidR="00253C28" w:rsidRPr="00CE37E5" w:rsidRDefault="00253C28" w:rsidP="00253C28">
      <w:pPr>
        <w:pStyle w:val="FootnoteText"/>
        <w:jc w:val="both"/>
        <w:rPr>
          <w:rFonts w:ascii="Times New Roman" w:hAnsi="Times New Roman" w:cs="Times New Roman"/>
        </w:rPr>
      </w:pPr>
      <w:r w:rsidRPr="00CE37E5">
        <w:rPr>
          <w:rStyle w:val="FootnoteReference"/>
          <w:rFonts w:ascii="Times New Roman" w:hAnsi="Times New Roman" w:cs="Times New Roman"/>
        </w:rPr>
        <w:footnoteRef/>
      </w:r>
      <w:r w:rsidRPr="00CE37E5">
        <w:rPr>
          <w:rFonts w:ascii="Times New Roman" w:hAnsi="Times New Roman" w:cs="Times New Roman"/>
        </w:rPr>
        <w:t> Danovskis E. Administratīvās atbildības likuma pamatnoteikumu svarīgākās nostādnes. Grām.: Satversmē nostiprināto vērtību aizsardzība: dažādu tiesību nozaru perspektīva. Rīga: LU Akadēmiskais apgāds, 2019, 466. lpp.</w:t>
      </w:r>
    </w:p>
  </w:footnote>
  <w:footnote w:id="5">
    <w:p w14:paraId="7B5CB60B" w14:textId="77777777" w:rsidR="00253C28" w:rsidRPr="00CE37E5" w:rsidRDefault="00253C28" w:rsidP="00253C28">
      <w:pPr>
        <w:pStyle w:val="FootnoteText"/>
        <w:jc w:val="both"/>
        <w:rPr>
          <w:rFonts w:ascii="Times New Roman" w:hAnsi="Times New Roman" w:cs="Times New Roman"/>
        </w:rPr>
      </w:pPr>
      <w:r w:rsidRPr="00CE37E5">
        <w:rPr>
          <w:rStyle w:val="FootnoteReference"/>
          <w:rFonts w:ascii="Times New Roman" w:hAnsi="Times New Roman" w:cs="Times New Roman"/>
        </w:rPr>
        <w:footnoteRef/>
      </w:r>
      <w:r w:rsidRPr="00CE37E5">
        <w:rPr>
          <w:rFonts w:ascii="Times New Roman" w:hAnsi="Times New Roman" w:cs="Times New Roman"/>
        </w:rPr>
        <w:t xml:space="preserve"> Sk. Informatīvais ziņojums “Nozaru administratīvo pārkāpumu kodifikācijas ieviešanas sistēmas īstenošana”. Pieejams: </w:t>
      </w:r>
      <w:hyperlink r:id="rId2" w:history="1">
        <w:r w:rsidRPr="00CE37E5">
          <w:rPr>
            <w:rStyle w:val="Hyperlink"/>
            <w:rFonts w:ascii="Times New Roman" w:hAnsi="Times New Roman" w:cs="Times New Roman"/>
          </w:rPr>
          <w:t>http://tap.mk.gov.lv/</w:t>
        </w:r>
      </w:hyperlink>
      <w:r w:rsidRPr="00CE37E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57A"/>
    <w:multiLevelType w:val="hybridMultilevel"/>
    <w:tmpl w:val="EAE62DEC"/>
    <w:lvl w:ilvl="0" w:tplc="2AF2DCF8">
      <w:start w:val="1"/>
      <w:numFmt w:val="decimal"/>
      <w:lvlText w:val="%1."/>
      <w:lvlJc w:val="left"/>
      <w:pPr>
        <w:ind w:left="802" w:hanging="360"/>
      </w:pPr>
      <w:rPr>
        <w:b/>
        <w:bCs/>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2" w15:restartNumberingAfterBreak="0">
    <w:nsid w:val="2F8D7A9A"/>
    <w:multiLevelType w:val="multilevel"/>
    <w:tmpl w:val="830CFEEC"/>
    <w:lvl w:ilvl="0">
      <w:start w:val="4"/>
      <w:numFmt w:val="decimal"/>
      <w:lvlText w:val="%1."/>
      <w:lvlJc w:val="left"/>
      <w:pPr>
        <w:ind w:left="380" w:hanging="38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1537868"/>
    <w:multiLevelType w:val="hybridMultilevel"/>
    <w:tmpl w:val="C82E3502"/>
    <w:lvl w:ilvl="0" w:tplc="F894DFC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22193">
    <w:abstractNumId w:val="1"/>
  </w:num>
  <w:num w:numId="2" w16cid:durableId="643701117">
    <w:abstractNumId w:val="3"/>
  </w:num>
  <w:num w:numId="3" w16cid:durableId="44332259">
    <w:abstractNumId w:val="4"/>
  </w:num>
  <w:num w:numId="4" w16cid:durableId="1437864527">
    <w:abstractNumId w:val="0"/>
  </w:num>
  <w:num w:numId="5" w16cid:durableId="1927958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28"/>
    <w:rsid w:val="00006909"/>
    <w:rsid w:val="000C01D3"/>
    <w:rsid w:val="00131A97"/>
    <w:rsid w:val="00191C7B"/>
    <w:rsid w:val="001C4D0D"/>
    <w:rsid w:val="00252654"/>
    <w:rsid w:val="00253C28"/>
    <w:rsid w:val="002738D7"/>
    <w:rsid w:val="00287960"/>
    <w:rsid w:val="002A6A48"/>
    <w:rsid w:val="002B6FBB"/>
    <w:rsid w:val="002E7539"/>
    <w:rsid w:val="0035322C"/>
    <w:rsid w:val="003764A8"/>
    <w:rsid w:val="00430E67"/>
    <w:rsid w:val="004C642D"/>
    <w:rsid w:val="004D0526"/>
    <w:rsid w:val="004E75E6"/>
    <w:rsid w:val="005275FD"/>
    <w:rsid w:val="005333A1"/>
    <w:rsid w:val="0053480B"/>
    <w:rsid w:val="005535F8"/>
    <w:rsid w:val="00557E35"/>
    <w:rsid w:val="005715DB"/>
    <w:rsid w:val="00576BB3"/>
    <w:rsid w:val="005A0946"/>
    <w:rsid w:val="005D0B70"/>
    <w:rsid w:val="005D5AD4"/>
    <w:rsid w:val="00660AC4"/>
    <w:rsid w:val="00683FCD"/>
    <w:rsid w:val="00692B2D"/>
    <w:rsid w:val="00696919"/>
    <w:rsid w:val="006D29FC"/>
    <w:rsid w:val="006F0E78"/>
    <w:rsid w:val="00703B6E"/>
    <w:rsid w:val="00771197"/>
    <w:rsid w:val="007C589D"/>
    <w:rsid w:val="007E1102"/>
    <w:rsid w:val="007E54C4"/>
    <w:rsid w:val="0080162B"/>
    <w:rsid w:val="00824596"/>
    <w:rsid w:val="00841AB5"/>
    <w:rsid w:val="009428F6"/>
    <w:rsid w:val="00943082"/>
    <w:rsid w:val="00943849"/>
    <w:rsid w:val="00956A81"/>
    <w:rsid w:val="009756C9"/>
    <w:rsid w:val="00986A17"/>
    <w:rsid w:val="009902EF"/>
    <w:rsid w:val="009A268B"/>
    <w:rsid w:val="009B466F"/>
    <w:rsid w:val="009B56BD"/>
    <w:rsid w:val="009E67B3"/>
    <w:rsid w:val="009F2E8C"/>
    <w:rsid w:val="00B844BD"/>
    <w:rsid w:val="00BA4075"/>
    <w:rsid w:val="00C11E50"/>
    <w:rsid w:val="00C22143"/>
    <w:rsid w:val="00C56A03"/>
    <w:rsid w:val="00C74834"/>
    <w:rsid w:val="00C80A3A"/>
    <w:rsid w:val="00CC34EE"/>
    <w:rsid w:val="00D61C07"/>
    <w:rsid w:val="00DE5EC9"/>
    <w:rsid w:val="00DE719F"/>
    <w:rsid w:val="00DE7A8F"/>
    <w:rsid w:val="00E0057A"/>
    <w:rsid w:val="00E16DAC"/>
    <w:rsid w:val="00E26FCC"/>
    <w:rsid w:val="00E479FF"/>
    <w:rsid w:val="00E550C9"/>
    <w:rsid w:val="00EA6E28"/>
    <w:rsid w:val="00ED536F"/>
    <w:rsid w:val="00F246D4"/>
    <w:rsid w:val="00F72BC6"/>
    <w:rsid w:val="00F87EA4"/>
    <w:rsid w:val="00FC4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4189"/>
  <w15:docId w15:val="{7D4D3640-010D-4066-9599-4B30E531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E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943082"/>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943082"/>
    <w:rPr>
      <w:color w:val="0563C1"/>
      <w:u w:val="single"/>
    </w:rPr>
  </w:style>
  <w:style w:type="paragraph" w:customStyle="1" w:styleId="xxmsonormal">
    <w:name w:val="x_x_msonormal"/>
    <w:basedOn w:val="Normal"/>
    <w:rsid w:val="00943082"/>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943082"/>
  </w:style>
  <w:style w:type="paragraph" w:styleId="FootnoteText">
    <w:name w:val="footnote text"/>
    <w:aliases w:val="Char Char Char,Footnote Text1,Footnote Text1 Char"/>
    <w:basedOn w:val="Normal"/>
    <w:link w:val="FootnoteTextChar"/>
    <w:uiPriority w:val="99"/>
    <w:unhideWhenUsed/>
    <w:rsid w:val="0053480B"/>
    <w:pPr>
      <w:spacing w:after="0" w:line="240" w:lineRule="auto"/>
    </w:pPr>
    <w:rPr>
      <w:sz w:val="20"/>
      <w:szCs w:val="20"/>
    </w:rPr>
  </w:style>
  <w:style w:type="character" w:customStyle="1" w:styleId="FootnoteTextChar">
    <w:name w:val="Footnote Text Char"/>
    <w:aliases w:val="Char Char Char Char1,Footnote Text1 Char1,Footnote Text1 Char Char"/>
    <w:basedOn w:val="DefaultParagraphFont"/>
    <w:link w:val="FootnoteText"/>
    <w:uiPriority w:val="99"/>
    <w:rsid w:val="0053480B"/>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basedOn w:val="DefaultParagraphFont"/>
    <w:link w:val="CharCharCharChar"/>
    <w:uiPriority w:val="99"/>
    <w:unhideWhenUsed/>
    <w:rsid w:val="0053480B"/>
    <w:rPr>
      <w:vertAlign w:val="superscript"/>
    </w:rPr>
  </w:style>
  <w:style w:type="paragraph" w:styleId="Header">
    <w:name w:val="header"/>
    <w:basedOn w:val="Normal"/>
    <w:link w:val="HeaderChar"/>
    <w:unhideWhenUsed/>
    <w:rsid w:val="007E54C4"/>
    <w:pPr>
      <w:widowControl w:val="0"/>
      <w:tabs>
        <w:tab w:val="center" w:pos="4320"/>
        <w:tab w:val="right" w:pos="8640"/>
      </w:tabs>
      <w:spacing w:after="0" w:line="240" w:lineRule="auto"/>
      <w:jc w:val="both"/>
    </w:pPr>
    <w:rPr>
      <w:rFonts w:ascii="Times New Roman" w:eastAsia="Calibri" w:hAnsi="Times New Roman" w:cs="Times New Roman"/>
      <w:sz w:val="24"/>
    </w:rPr>
  </w:style>
  <w:style w:type="character" w:customStyle="1" w:styleId="HeaderChar">
    <w:name w:val="Header Char"/>
    <w:basedOn w:val="DefaultParagraphFont"/>
    <w:link w:val="Header"/>
    <w:rsid w:val="007E54C4"/>
    <w:rPr>
      <w:rFonts w:ascii="Times New Roman" w:eastAsia="Calibri" w:hAnsi="Times New Roman" w:cs="Times New Roman"/>
      <w:sz w:val="24"/>
    </w:rPr>
  </w:style>
  <w:style w:type="paragraph" w:customStyle="1" w:styleId="CharCharCharChar">
    <w:name w:val="Char Char Char Char"/>
    <w:aliases w:val="Char2"/>
    <w:basedOn w:val="Normal"/>
    <w:next w:val="Normal"/>
    <w:link w:val="FootnoteReference"/>
    <w:uiPriority w:val="99"/>
    <w:rsid w:val="007E54C4"/>
    <w:pPr>
      <w:spacing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9A268B"/>
    <w:rPr>
      <w:color w:val="605E5C"/>
      <w:shd w:val="clear" w:color="auto" w:fill="E1DFDD"/>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86A17"/>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buzens@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mants.prieditis@varam.gov.lv" TargetMode="External"/><Relationship Id="rId4" Type="http://schemas.openxmlformats.org/officeDocument/2006/relationships/settings" Target="settings.xml"/><Relationship Id="rId9" Type="http://schemas.openxmlformats.org/officeDocument/2006/relationships/hyperlink" Target="mailto:vineta.stolere@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ap.mk.gov.lv/" TargetMode="External"/><Relationship Id="rId1" Type="http://schemas.openxmlformats.org/officeDocument/2006/relationships/hyperlink" Target="http://tap.mk.gov.lv/lv/mk/tap/?pid=40404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2E82-6CC8-40B3-BE83-80A098EC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4049</Words>
  <Characters>2308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Marta Bergmane</cp:lastModifiedBy>
  <cp:revision>57</cp:revision>
  <dcterms:created xsi:type="dcterms:W3CDTF">2023-03-23T15:00:00Z</dcterms:created>
  <dcterms:modified xsi:type="dcterms:W3CDTF">2023-04-14T09:27:00Z</dcterms:modified>
</cp:coreProperties>
</file>