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2A2A" w:rsidRDefault="00000000">
      <w:pPr>
        <w:pStyle w:val="Subtitle"/>
      </w:pPr>
      <w:r>
        <w:t xml:space="preserve">VIDES KONSULTATĪVĀ PADOME </w:t>
      </w:r>
    </w:p>
    <w:p w14:paraId="00000002" w14:textId="77777777" w:rsidR="000C2A2A" w:rsidRDefault="00000000">
      <w:pPr>
        <w:jc w:val="center"/>
        <w:rPr>
          <w:sz w:val="20"/>
        </w:rPr>
      </w:pPr>
      <w:r>
        <w:rPr>
          <w:sz w:val="20"/>
        </w:rPr>
        <w:t>Nodibinājumi: „Latvijas Dabas fonds”,  „Pasaules Dabas fonds”, „Ķemeru Nacionālā parka fonds”, “Teiču dabas fonds”, biedrības: „Latvijas Ornitoloģijas biedrība”, „Vides fakti”,„Vides aizsardzības klubs”,  „Latvijas Makšķernieku asociācija”,  „Zaļā brīvība”, „Ekodizaina kompetences centrs”, „Latvijas Botāniķu biedrība „Latvijas Atkritumu saimniecības asociācija”, „Baltijas krasti”, „Zero Waste Latvija”, „Latvijas Vides pārvaldības asociācija”, „Saldus rajona attīstības biedrība”, ”</w:t>
      </w:r>
      <w:r>
        <w:rPr>
          <w:rFonts w:ascii="RobustaTLPro-Regular" w:eastAsia="RobustaTLPro-Regular" w:hAnsi="RobustaTLPro-Regular" w:cs="RobustaTLPro-Regular"/>
          <w:color w:val="212529"/>
          <w:sz w:val="20"/>
          <w:highlight w:val="white"/>
        </w:rPr>
        <w:t xml:space="preserve"> </w:t>
      </w:r>
      <w:r>
        <w:rPr>
          <w:sz w:val="20"/>
          <w:highlight w:val="white"/>
        </w:rPr>
        <w:t>Korporatīvās ilgtspējas un atbildības institūts</w:t>
      </w:r>
      <w:r>
        <w:rPr>
          <w:sz w:val="20"/>
        </w:rPr>
        <w:t xml:space="preserve">”, un biedrība „Baltijas Vides forums”, Biķernieku meža aizsardzības biedrība, </w:t>
      </w:r>
    </w:p>
    <w:p w14:paraId="00000003" w14:textId="77777777" w:rsidR="000C2A2A" w:rsidRDefault="00000000">
      <w:pPr>
        <w:pBdr>
          <w:bottom w:val="single" w:sz="12" w:space="1" w:color="00000A"/>
        </w:pBdr>
        <w:jc w:val="center"/>
        <w:rPr>
          <w:b/>
          <w:sz w:val="22"/>
          <w:szCs w:val="22"/>
        </w:rPr>
      </w:pPr>
      <w:r>
        <w:rPr>
          <w:b/>
          <w:sz w:val="22"/>
          <w:szCs w:val="22"/>
        </w:rPr>
        <w:t>Rīga, Peldu iela 26/28, LV-1494</w:t>
      </w:r>
    </w:p>
    <w:p w14:paraId="00000004" w14:textId="77777777" w:rsidR="000C2A2A" w:rsidRDefault="00000000">
      <w:pPr>
        <w:rPr>
          <w:sz w:val="28"/>
          <w:szCs w:val="28"/>
        </w:rPr>
      </w:pPr>
      <w:r>
        <w:rPr>
          <w:sz w:val="28"/>
          <w:szCs w:val="28"/>
        </w:rPr>
        <w:t>03.04.2023.</w:t>
      </w:r>
    </w:p>
    <w:p w14:paraId="00000005" w14:textId="77777777" w:rsidR="000C2A2A" w:rsidRDefault="00000000">
      <w:pPr>
        <w:rPr>
          <w:sz w:val="28"/>
          <w:szCs w:val="28"/>
        </w:rPr>
      </w:pPr>
      <w:r>
        <w:rPr>
          <w:sz w:val="28"/>
          <w:szCs w:val="28"/>
        </w:rPr>
        <w:t>Nr.1-11</w:t>
      </w:r>
    </w:p>
    <w:p w14:paraId="00000006" w14:textId="77777777" w:rsidR="000C2A2A" w:rsidRDefault="000C2A2A">
      <w:pPr>
        <w:rPr>
          <w:sz w:val="28"/>
          <w:szCs w:val="28"/>
        </w:rPr>
      </w:pPr>
    </w:p>
    <w:p w14:paraId="00000007" w14:textId="77777777" w:rsidR="000C2A2A" w:rsidRDefault="000C2A2A">
      <w:pPr>
        <w:jc w:val="both"/>
        <w:rPr>
          <w:sz w:val="28"/>
          <w:szCs w:val="28"/>
        </w:rPr>
      </w:pPr>
    </w:p>
    <w:p w14:paraId="00000008" w14:textId="77777777" w:rsidR="000C2A2A" w:rsidRDefault="00000000">
      <w:pPr>
        <w:jc w:val="right"/>
        <w:rPr>
          <w:b/>
        </w:rPr>
      </w:pPr>
      <w:r>
        <w:rPr>
          <w:b/>
        </w:rPr>
        <w:t>VSIA “Zemkopības ministrijas nekustamie īpašumi”</w:t>
      </w:r>
    </w:p>
    <w:p w14:paraId="00000009" w14:textId="77777777" w:rsidR="000C2A2A" w:rsidRDefault="00000000">
      <w:pPr>
        <w:jc w:val="right"/>
      </w:pPr>
      <w:hyperlink r:id="rId8">
        <w:r>
          <w:rPr>
            <w:color w:val="0000FF"/>
            <w:u w:val="single"/>
          </w:rPr>
          <w:t>info@zmni.lv</w:t>
        </w:r>
      </w:hyperlink>
      <w:r>
        <w:t xml:space="preserve"> </w:t>
      </w:r>
    </w:p>
    <w:p w14:paraId="0000000A" w14:textId="77777777" w:rsidR="000C2A2A" w:rsidRDefault="000C2A2A">
      <w:pPr>
        <w:jc w:val="right"/>
      </w:pPr>
    </w:p>
    <w:p w14:paraId="0000000B" w14:textId="77777777" w:rsidR="000C2A2A" w:rsidRDefault="00000000">
      <w:pPr>
        <w:jc w:val="right"/>
      </w:pPr>
      <w:r>
        <w:t>Informācijai:</w:t>
      </w:r>
    </w:p>
    <w:p w14:paraId="0000000C" w14:textId="77777777" w:rsidR="000C2A2A" w:rsidRDefault="00000000">
      <w:pPr>
        <w:jc w:val="right"/>
        <w:rPr>
          <w:b/>
        </w:rPr>
      </w:pPr>
      <w:r>
        <w:rPr>
          <w:b/>
        </w:rPr>
        <w:t>Valsts vides dienestam</w:t>
      </w:r>
    </w:p>
    <w:p w14:paraId="0000000D" w14:textId="77777777" w:rsidR="000C2A2A" w:rsidRDefault="00000000">
      <w:pPr>
        <w:jc w:val="right"/>
      </w:pPr>
      <w:hyperlink r:id="rId9">
        <w:r>
          <w:rPr>
            <w:color w:val="0000FF"/>
            <w:u w:val="single"/>
          </w:rPr>
          <w:t>pasts@vvd.gov.lv</w:t>
        </w:r>
      </w:hyperlink>
      <w:r>
        <w:t xml:space="preserve"> </w:t>
      </w:r>
    </w:p>
    <w:p w14:paraId="0000000E" w14:textId="77777777" w:rsidR="000C2A2A" w:rsidRDefault="000C2A2A"/>
    <w:p w14:paraId="0000000F" w14:textId="77777777" w:rsidR="000C2A2A" w:rsidRDefault="000C2A2A">
      <w:pPr>
        <w:spacing w:after="80"/>
        <w:rPr>
          <w:b/>
        </w:rPr>
      </w:pPr>
    </w:p>
    <w:p w14:paraId="00000010" w14:textId="77777777" w:rsidR="000C2A2A" w:rsidRDefault="00000000">
      <w:pPr>
        <w:spacing w:after="80"/>
        <w:rPr>
          <w:b/>
        </w:rPr>
      </w:pPr>
      <w:r>
        <w:rPr>
          <w:b/>
        </w:rPr>
        <w:t>Par valsts nozīmes ūdensnotekas Bolupe atjaunošanas projektu pik. 88/00-358/00</w:t>
      </w:r>
    </w:p>
    <w:p w14:paraId="00000011" w14:textId="77777777" w:rsidR="000C2A2A" w:rsidRDefault="000C2A2A">
      <w:pPr>
        <w:spacing w:after="80"/>
        <w:jc w:val="both"/>
      </w:pPr>
    </w:p>
    <w:p w14:paraId="00000012" w14:textId="720CD80E" w:rsidR="000C2A2A" w:rsidRDefault="00000000">
      <w:pPr>
        <w:spacing w:after="80"/>
        <w:ind w:firstLine="567"/>
        <w:jc w:val="both"/>
      </w:pPr>
      <w:r>
        <w:t xml:space="preserve">Vides konsultatīvās padomes (turpmāk – VKP) sēdē 15.03.2023. </w:t>
      </w:r>
      <w:r w:rsidR="004960E7">
        <w:t>skatīta</w:t>
      </w:r>
      <w:r>
        <w:t xml:space="preserve"> valsts nozīmes ūdensnotekas Bolupe, meliorācijas kadastra Nr. 4254:01, pik. 88/00-358/00 Balvu novadā atjaunošanas projekt</w:t>
      </w:r>
      <w:r w:rsidR="004960E7">
        <w:t>ā</w:t>
      </w:r>
      <w:r>
        <w:t xml:space="preserve"> (turpmāk – Bolupes projekts) plānoto darbu iespējam</w:t>
      </w:r>
      <w:r w:rsidR="004960E7">
        <w:t>ā</w:t>
      </w:r>
      <w:r>
        <w:t xml:space="preserve"> ietekmi uz vidi. Pateicamies VSIA “Zemkopības ministrijas nekustamie īpašumi” un Valsts vides dienesta pārstāvjiem par </w:t>
      </w:r>
      <w:r w:rsidR="004960E7">
        <w:t xml:space="preserve">klātbūtni </w:t>
      </w:r>
      <w:r>
        <w:t>sēdē, sniegto informāciju un iespēju iepazīties ar ekspertu atzinumiem.</w:t>
      </w:r>
    </w:p>
    <w:p w14:paraId="00000013" w14:textId="77777777" w:rsidR="000C2A2A" w:rsidRDefault="00000000">
      <w:pPr>
        <w:spacing w:after="80"/>
        <w:ind w:firstLine="567"/>
        <w:jc w:val="both"/>
      </w:pPr>
      <w:r>
        <w:t>VKP ir iepazinusies ar Bolupes projekta izstrādei sniegtajiem ekspertu atzinumiem u.c. ar projekta teritoriju saistītiem materiāliem un uzsver šādus ar projekta izstrādi saistītus aspektus:</w:t>
      </w:r>
    </w:p>
    <w:p w14:paraId="00000014"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Darbi plānoti 27 km garā Bolupes posmā un saskaņā ar būves tehniskās apsekošanas atzinumā (I. Kupčs, 06.05.2022.) un VSIA “Meliorprojekts” eksperta atzinumā (A. Teivens, 08.12.2022.) minēto ir paredzēts atjaunot sākotnēji projektētos (1952., 1956. g.) gultnes parametrus. Plānots izrakt aptuveni 189 000 m</w:t>
      </w:r>
      <w:r>
        <w:rPr>
          <w:color w:val="000000"/>
          <w:szCs w:val="24"/>
          <w:vertAlign w:val="superscript"/>
        </w:rPr>
        <w:t>3</w:t>
      </w:r>
      <w:r>
        <w:rPr>
          <w:color w:val="000000"/>
          <w:szCs w:val="24"/>
        </w:rPr>
        <w:t xml:space="preserve"> grunts un sanešus, tos izlīdzinot ūdensnotekas ekspluatācijas aizsargjoslā, novākt apaugumu un kritalas gultnes nogāzēs un ūdensnotekas aizsargjoslā, atjaunot 2 drenāžas iztekas, ierīkot aptuveni 90 virszemes ūdens noteku teknes, atjaunot 2 tiltu stiprinājumus, atjaunojamā posma lejasgalā izbūvēt sedimentācijas baseinu 50 m garā posmā.</w:t>
      </w:r>
    </w:p>
    <w:p w14:paraId="00000015"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Saskaņā ar VSIA “Meliorprojekts” eksperta atzinumā (A. Teivens, 08.12.2022.) minēto: “Ūdens plūsmas vienmērīgai nodrošināšanai visā kanāla garumā, paredzēts atjaunot kanāla gultnes šķērsgriezumu, nodrošinot pavasara palu ūdeņu ar 10% varbūtīgumu aplēses caurplūduma uztveršanu un novadīšanu bez ūdens līmeņa uzstādinājuma un pieguļošo teritoriju applūšanas.”</w:t>
      </w:r>
    </w:p>
    <w:p w14:paraId="00000016"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Ministru kabineta Noteikumi par Latvijas būvnormatīvu LBN 224-15 “Meliorācijas sistēmas un hidrotehniskās būves” pieļauj zālāju applūšanu pavasara palos: “21. Ūdensnoteka un novadgrāvis nodrošina: 21.1. aplēses caurplūduma – pavasara palu maksimālo caurplūdumu ar 10 % pārsniegšanas varbūtību – izvadīšanu pa izvēlēto šķērsgriezumu, neappludinot apkārtējās tīrumu platības, vai atkarībā no zālāju sugas pieļaujot zālāju īslaicīgu applūšanu ne ilgāk par 10 līdz 30 diennaktīm”. Šajos noteikumos nav iekļautas prasības nodrošināt meža zemju neapplūšanu.</w:t>
      </w:r>
    </w:p>
    <w:p w14:paraId="00000017"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lastRenderedPageBreak/>
        <w:t>Aizsargjoslu likuma 1. panta 11. punkts nosaka, applūstošā teritorija ir ūdensteces ielejas vai ūdenstilpes ieplakas daļa, kura palos vai plūdos pilnīgi vai daļēji applūst un kuras platums ūdensteces vai ūdenstilpes aizsardzības nolūkos tiek noteikts vietējās pašvaldības teritorijas plānojumā atbilstoši Aizsargjoslu likuma 7. panta sestajā daļā noteiktajai metodikai. Savukārt saskaņā ar Ministru kabineta noteikumiem Nr.406 “Virszemes ūdensobjektu aizsargjoslu noteikšanas metodika”, nosakot teritorijas plānojumā applūstošo teritoriju, ņem vērā dabā konstatējamas regulāra applūduma pazīmes un applūstošo teritoriju robežas, un būves. Ja applūstošo teritoriju nevar noteikt atbilstoši pazīmēm dabā, tad izmanto inženiertehniskos aprēķinus un applūstošajās teritorijās iekļauj platības ar 10 % applūduma varbūtību.</w:t>
      </w:r>
    </w:p>
    <w:p w14:paraId="00000018"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Sertificēta sugu un biotopu eksperta atzinumā par valsts nozīmes ūdensnotekas “Bolupe” atjaunošanas darbu ietekmi uz zivju resursiem (E. Bērziņš, D. Ustups, 19.12.2022.) minēts, ka atjaunojamais Bolupes posms tiks apsekots 2023. gada jūlijā, pirms plānoto atjaunošanas darbu veikšanas, un tiks sagatavots atzinuma papildinājums par ūdensnotekas izpētes rezultātiem un nepieciešamības gadījumā papildināti ieteikumi darbu ietekmes uz zivju resursiem samazināšanai.</w:t>
      </w:r>
    </w:p>
    <w:p w14:paraId="00000019"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Būves tehniskās apsekošanas atzinumā (I. Kupčs, 06.05.2022.) minēts, ka Bolupes posmā pik.100/00 līdz pik.137/00 abos krastos atrodas vecā atbērtne ar neizlīdzinātu izrakto grunti, un laika posmā no 1969. līdz 2022. gadam nav veikti pilnvērtīgi ūdensnotekas kopšanas darbi. Atzinumos nav minēts par Bolupes gultnes pārtīrīšanu šajā laika posmā. Šajā laikā Bolupe ir attīstījusies dabiski un saskaņā ar biotopu eksperta atzinumā minēto (U. Bergmanis, 16.12.2022.) upes gultnē un krastos ir pamanāmas dabisku ūdensteču pazīmes – daudzviet upe meandrējas, ir izveidojušies stāvkrasti/krastu atsegumi (3. attēls), upes gultnē ir atsegušies akmeņi. Bolupes posms pik. 340/10 – 356/50 atzīts par Eiropas Savienības nozīmes biotopu 3260 Upju straujteces un dabiski upju posmi (</w:t>
      </w:r>
      <w:hyperlink r:id="rId10">
        <w:r>
          <w:rPr>
            <w:color w:val="0000FF"/>
            <w:szCs w:val="24"/>
            <w:u w:val="single"/>
          </w:rPr>
          <w:t>https://ozols.gov.lv/pub</w:t>
        </w:r>
      </w:hyperlink>
      <w:r>
        <w:rPr>
          <w:color w:val="000000"/>
          <w:szCs w:val="24"/>
        </w:rPr>
        <w:t>).</w:t>
      </w:r>
    </w:p>
    <w:p w14:paraId="0000001A"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Bolupes krastos un iespējamajā applūšanas zonā sastopami vairāki Eiropas Savienības nozīmes biotopi, no kuriem lielākās platības aizņem ar palu režīmu tieši saistītais biotops 6450 Palieņu zālāji. Šī biotopa izvietojums labi redzams Dabas datu sistēmā “Ozols” (</w:t>
      </w:r>
      <w:hyperlink r:id="rId11">
        <w:r>
          <w:rPr>
            <w:color w:val="0000FF"/>
            <w:szCs w:val="24"/>
            <w:u w:val="single"/>
          </w:rPr>
          <w:t>https://ozols.gov.lv/pub</w:t>
        </w:r>
      </w:hyperlink>
      <w:r>
        <w:rPr>
          <w:color w:val="000000"/>
          <w:szCs w:val="24"/>
        </w:rPr>
        <w:t>).  Pārējo ES nozīmes biotopu veidu izvietojums norādīts arī Bolupes projekta izstrādei sniegtajā biotopu eksperta atzinuma pielikumos (U. Bergmanis, 16.12.2022.).</w:t>
      </w:r>
    </w:p>
    <w:p w14:paraId="0000001B"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 xml:space="preserve">Bolupes palieni iezīmē ne tikai reljefs un augstuma atzīmes, bet arī aluviālo augšņu izplatība (vēsturiskie lauksaimniecības zemju augšņu kartēšanas dati ir pieejami </w:t>
      </w:r>
      <w:hyperlink r:id="rId12">
        <w:r>
          <w:rPr>
            <w:color w:val="0000FF"/>
            <w:szCs w:val="24"/>
            <w:u w:val="single"/>
          </w:rPr>
          <w:t>https://data.gov.lv/lv</w:t>
        </w:r>
      </w:hyperlink>
      <w:r>
        <w:rPr>
          <w:color w:val="000000"/>
          <w:szCs w:val="24"/>
        </w:rPr>
        <w:t>).</w:t>
      </w:r>
    </w:p>
    <w:p w14:paraId="0000001C"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 xml:space="preserve">Aktuālā ortofoto karte un lauku bloku dati (skat. </w:t>
      </w:r>
      <w:hyperlink r:id="rId13">
        <w:r>
          <w:rPr>
            <w:color w:val="0000FF"/>
            <w:szCs w:val="24"/>
            <w:u w:val="single"/>
          </w:rPr>
          <w:t>https://karte.lad.gov.lv/</w:t>
        </w:r>
      </w:hyperlink>
      <w:r>
        <w:rPr>
          <w:color w:val="000000"/>
          <w:szCs w:val="24"/>
        </w:rPr>
        <w:t>) liecina, ka Bolupes krastos atrodas galvenokārt meži un apsaimniekoti un dažādā pakāpē aizauguši zālāji, kā arī nelielas aramzemes platības, dažas viensētas un Balvu pilsētas notekūdeņu attīrīšanas iekārtas.</w:t>
      </w:r>
    </w:p>
    <w:p w14:paraId="0000001D"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Zaļā infrastruktūra tiek definēta kā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(Eiropas Komisija, COM/2013/0249). Piemēram, arī ganības un ilgtspējīgi apsaimniekoti zālāji, meža zemes, upes un palienes ir zaļās infrastruktūras elementi (M. Knite, J. Brizga, 2014).</w:t>
      </w:r>
    </w:p>
    <w:p w14:paraId="0000001E"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 xml:space="preserve">Būtiskākie ekosistēmu pakalpojumi, ko sniedz zemieņu upju zaļā infrastruktūra, ietver ūdens plūsmu regulēšanu un plūdu riska mazināšanu, barības vielu noteces aizturēšanu, augsnes erozijas kontroli, dzīvotņu nodrošināšanu apputeksnētājiem, vietējā un globālā </w:t>
      </w:r>
      <w:r>
        <w:rPr>
          <w:color w:val="000000"/>
          <w:szCs w:val="24"/>
        </w:rPr>
        <w:lastRenderedPageBreak/>
        <w:t>klimata regulēšanu, kas palīdz uzlabot intensīvi izmantoto lauksaimniecības zemju vides kvalitāti (A. Ruskule, K. Veidemane, D. Strigune, 2020).</w:t>
      </w:r>
    </w:p>
    <w:p w14:paraId="0000001F" w14:textId="77777777" w:rsidR="000C2A2A" w:rsidRDefault="00000000">
      <w:pPr>
        <w:numPr>
          <w:ilvl w:val="0"/>
          <w:numId w:val="1"/>
        </w:numPr>
        <w:pBdr>
          <w:top w:val="nil"/>
          <w:left w:val="nil"/>
          <w:bottom w:val="nil"/>
          <w:right w:val="nil"/>
          <w:between w:val="nil"/>
        </w:pBdr>
        <w:jc w:val="both"/>
        <w:rPr>
          <w:color w:val="000000"/>
          <w:szCs w:val="24"/>
        </w:rPr>
      </w:pPr>
      <w:r>
        <w:rPr>
          <w:color w:val="000000"/>
          <w:szCs w:val="24"/>
        </w:rPr>
        <w:t xml:space="preserve">Ūdens apsaimniekošanas likuma 11. pantā noteiktie vides kvalitātes mērķi ūdensobjektiem ietver arī mērķi “novērst visu virszemes ūdensobjektu stāvokļa pasliktināšanos un aizsargāt tos, uzlabojot ūdens kvalitāti un, ja nepieciešams, veicot sanāciju, lai visos virszemes ūdensobjektos sasniegtu labu virszemes ūdeņu stāvokli”. Daugavas upju baseinu apgabala apsaimniekošanas plānā un plūdu riska pārvaldības plānā 2023.-2027. gadam (turpmāk – Daugavas UBAP) ir minēts: “Taisnotie, meliorētie upju posmi izjauc upes laterālo nepārtrauktību jeb saistību ar upes palieni, samazina upes pašattīrīšanās spējas, līdz ar to palielina biogēnu slodzi un veicina eitrofikāciju un bioloģiskās daudzveidības samazināšanos. Lai nodrošinātu upes laterālo nepārtrauktību, piemērots pasākums “gultnes elementu izvietošana upē”, izmantojot akmeņus, granti, arī koku stumbrus un citus dabas elementus. Līkumojošos upju posmos hidroloģisko apstākļu dažādība – straujteces un lēnāki upju posmi – palīdz uzlabot bioloģisko daudzveidību un upes spēju pašattīrīties.” Daugavas UBA laterālo nepārtrauktību nepieciešams atjaunot 90 ūdensobjektos, tajā skaitā arī D451 Bolupe_2, kas ietver Bolupes projekta posmu. Daugavas UBAP sadaļā </w:t>
      </w:r>
      <w:r>
        <w:rPr>
          <w:i/>
          <w:color w:val="000000"/>
          <w:szCs w:val="24"/>
        </w:rPr>
        <w:t>8.D.1. Preventīvi, gatavības un aizsardzības pasākumi nacionālas nozīmes plūdu riska teritorijās</w:t>
      </w:r>
      <w:r>
        <w:rPr>
          <w:color w:val="000000"/>
          <w:szCs w:val="24"/>
        </w:rPr>
        <w:t xml:space="preserve"> ietvertajā pasākumā </w:t>
      </w:r>
      <w:r>
        <w:rPr>
          <w:i/>
          <w:color w:val="000000"/>
          <w:szCs w:val="24"/>
        </w:rPr>
        <w:t>10.8. Bolupes upes atjaunošana</w:t>
      </w:r>
      <w:r>
        <w:rPr>
          <w:color w:val="000000"/>
          <w:szCs w:val="24"/>
        </w:rPr>
        <w:t xml:space="preserve"> cita starpā paredzēts arī “saglabāt dabiskos un dabiski atjaunojušos ūdensteces posmus un saglabāt ūdenstecei raksturīgos elementus; veikt ietekmes uz vidi sākotnējo izvērtējumu”.</w:t>
      </w:r>
    </w:p>
    <w:p w14:paraId="00000020" w14:textId="77777777" w:rsidR="000C2A2A" w:rsidRDefault="00000000">
      <w:pPr>
        <w:numPr>
          <w:ilvl w:val="0"/>
          <w:numId w:val="1"/>
        </w:numPr>
        <w:pBdr>
          <w:top w:val="nil"/>
          <w:left w:val="nil"/>
          <w:bottom w:val="nil"/>
          <w:right w:val="nil"/>
          <w:between w:val="nil"/>
        </w:pBdr>
        <w:spacing w:after="80"/>
        <w:jc w:val="both"/>
        <w:rPr>
          <w:color w:val="000000"/>
          <w:szCs w:val="24"/>
        </w:rPr>
      </w:pPr>
      <w:r>
        <w:rPr>
          <w:color w:val="000000"/>
          <w:szCs w:val="24"/>
        </w:rPr>
        <w:t>Atveseļošanas un noturības mehānisma plāna 2021.-2026. gadam (turpmāk – ANM plāna) 1.pielikumā principa “Nenodarīt būtisku kaitējumu” novērtējumā attiecībā uz aktivitāti “1.3.1.2.i. Investīcijas plūdu risku mazināšanas infrastruktūrā, t.sk polderu sūkņu staciju atjaunošana, aizsargdambju atjaunošana, potamālo upju regulēto posmu atjaunošana” cita starpā minēts, ka pasākumam nebūs kaitīgas ietekmes uz bioloģisko daudzveidību un ekosistēmām, jo prioritāri tiks īstenoti “zaļās infrastruktūras” risinājumi, vai arī kombinētās infrastruktūras izbūve, kas papildināta ar dabā balstītu risinājumu elementiem un pasākums mazinās negatīvo ietekmi uz bioloģisko daudzveidību, kā arī  tiks izvērtēta ietekme normatīvo aktu noteiktajā apjomā un visi nepieciešamie mazināšanas pasākumi tiks noteikti un atspoguļoti katrā pasākumā. (</w:t>
      </w:r>
      <w:hyperlink r:id="rId14">
        <w:r>
          <w:rPr>
            <w:color w:val="0000FF"/>
            <w:szCs w:val="24"/>
            <w:u w:val="single"/>
          </w:rPr>
          <w:t>https://www.esfondi.lv/upload/anm/02_anm_plana_pielikums_nr.1_dnsh_18052021.pdf</w:t>
        </w:r>
      </w:hyperlink>
      <w:r>
        <w:rPr>
          <w:color w:val="000000"/>
          <w:szCs w:val="24"/>
        </w:rPr>
        <w:t>). Savukārt izziņas par publiskās apspriedes ietvaros saņemtajiem komentāriem par Latvijas Atveseļošanas un noturības mehānisma plāna projektu 55. punktā minēts, ka  “tiks īstenoti projekti plūdu risku mazināšanai, laba ūdens ekoloģiskā stāvokļa sasniegšanai” un “videi draudzīgu meliorācijas sistēmu elementu izbūve uzlabos meliorācijas sistēmu dabiskošanos un nodrošinās bioloģiskās daudzveidības uzlabošanos” (</w:t>
      </w:r>
      <w:hyperlink r:id="rId15">
        <w:r>
          <w:rPr>
            <w:color w:val="0000FF"/>
            <w:szCs w:val="24"/>
            <w:u w:val="single"/>
          </w:rPr>
          <w:t>http://www.esfondi.lv/upload/anm/izzina_anm.docx</w:t>
        </w:r>
      </w:hyperlink>
      <w:r>
        <w:rPr>
          <w:color w:val="000000"/>
          <w:szCs w:val="24"/>
        </w:rPr>
        <w:t>).</w:t>
      </w:r>
    </w:p>
    <w:p w14:paraId="00000021" w14:textId="77777777" w:rsidR="000C2A2A" w:rsidRDefault="000C2A2A">
      <w:pPr>
        <w:spacing w:after="80"/>
        <w:ind w:firstLine="567"/>
        <w:jc w:val="both"/>
      </w:pPr>
    </w:p>
    <w:p w14:paraId="00000022" w14:textId="77777777" w:rsidR="000C2A2A" w:rsidRDefault="00000000">
      <w:pPr>
        <w:spacing w:after="80"/>
        <w:ind w:firstLine="567"/>
        <w:jc w:val="both"/>
      </w:pPr>
      <w:r>
        <w:t xml:space="preserve">Ņemot vērā iepriekš aprakstīto situāciju, kā arī Atveseļošanas un noturības mehānisma projektu mērķus un nosacījumus, VKP sniedz </w:t>
      </w:r>
      <w:r>
        <w:rPr>
          <w:b/>
        </w:rPr>
        <w:t>viedokli un priekšlikumus</w:t>
      </w:r>
      <w:r>
        <w:t xml:space="preserve"> Bolupes pik. 88/00-358/00 atjaunošanas projekta izstrādei:</w:t>
      </w:r>
    </w:p>
    <w:p w14:paraId="00000023" w14:textId="77777777" w:rsidR="000C2A2A" w:rsidRDefault="00000000">
      <w:pPr>
        <w:numPr>
          <w:ilvl w:val="0"/>
          <w:numId w:val="2"/>
        </w:numPr>
        <w:pBdr>
          <w:top w:val="nil"/>
          <w:left w:val="nil"/>
          <w:bottom w:val="nil"/>
          <w:right w:val="nil"/>
          <w:between w:val="nil"/>
        </w:pBdr>
        <w:tabs>
          <w:tab w:val="left" w:pos="6946"/>
        </w:tabs>
        <w:spacing w:after="80"/>
        <w:jc w:val="both"/>
        <w:rPr>
          <w:color w:val="000000"/>
          <w:szCs w:val="24"/>
        </w:rPr>
      </w:pPr>
      <w:r>
        <w:rPr>
          <w:color w:val="000000"/>
          <w:szCs w:val="24"/>
        </w:rPr>
        <w:t>Izstrādājot un īstenojot projektu nepieciešams ievērot biotopu eksperta (U. Bergmanis, 16.12.2022.) ieteiktos ietekmi mazinošos pasākumus: “</w:t>
      </w:r>
      <w:r>
        <w:rPr>
          <w:b/>
          <w:color w:val="000000"/>
          <w:szCs w:val="24"/>
        </w:rPr>
        <w:t>Ūdensteces (teritorija) gultne un krastu nogāzes nav pārveidojamas</w:t>
      </w:r>
      <w:r>
        <w:rPr>
          <w:color w:val="000000"/>
          <w:szCs w:val="24"/>
        </w:rPr>
        <w:t xml:space="preserve">. </w:t>
      </w:r>
      <w:r>
        <w:rPr>
          <w:b/>
          <w:color w:val="000000"/>
          <w:szCs w:val="24"/>
        </w:rPr>
        <w:t>Ir pieļaujama un ir vēlama ūdens plūsmu kavējošu šķēršļu –</w:t>
      </w:r>
      <w:r>
        <w:rPr>
          <w:color w:val="000000"/>
          <w:szCs w:val="24"/>
        </w:rPr>
        <w:t xml:space="preserve"> </w:t>
      </w:r>
      <w:r>
        <w:rPr>
          <w:b/>
          <w:color w:val="000000"/>
          <w:szCs w:val="24"/>
        </w:rPr>
        <w:t>iekritušu koku, sanesumu un bebru aizsprostu izvākšana</w:t>
      </w:r>
      <w:r>
        <w:rPr>
          <w:color w:val="000000"/>
          <w:szCs w:val="24"/>
        </w:rPr>
        <w:t xml:space="preserve">.” Tāpat arī projektā pieļaujama infrastruktūras objektu – tiltu, caurteku, drenu izteku atjaunošana. Šāds veicamo darbu apjoms atbilst Daugavas UBAP un ANM plāna pasākumos minētajiem nosacījumiem Bolupes atjaunošanai – saglabās dabiski atjaunojušos ūdensteces posmus, saglabās ūdenstecei raksturīgos elementus un bioloģisko daudzveidību un veicinās upes dabiskošanos un kvalitātes </w:t>
      </w:r>
      <w:r>
        <w:rPr>
          <w:color w:val="000000"/>
          <w:szCs w:val="24"/>
        </w:rPr>
        <w:lastRenderedPageBreak/>
        <w:t>uzlabošanos. Tāpat tas atbilst zivju sugu ekspertu (E. Bērziņš, D. Ustups, 19.12.2022.) ieteikumiem – iespēju robežās samazināt tieši ietekmētās Bolupes gultnes daļas platību un atstāt Bolupē un ar to savienotajos grāvjos atsevišķus kokus, siekstas, akmeņus un citus zivju dzīvotņu daudzveidību palielinošus elementus. Nepieciešams ievērot arī citus ekspertu (U.  Bergmanis, 16.12.2022, E. Bērziņš, D. Ustups, 19.12.2022.) ieteikumus, kas mazina ietekmi uz Bolupes un to saistītajām dzīvotnēm un sugām.</w:t>
      </w:r>
    </w:p>
    <w:p w14:paraId="00000024" w14:textId="77777777" w:rsidR="000C2A2A" w:rsidRDefault="00000000">
      <w:pPr>
        <w:numPr>
          <w:ilvl w:val="0"/>
          <w:numId w:val="2"/>
        </w:numPr>
        <w:pBdr>
          <w:top w:val="nil"/>
          <w:left w:val="nil"/>
          <w:bottom w:val="nil"/>
          <w:right w:val="nil"/>
          <w:between w:val="nil"/>
        </w:pBdr>
        <w:spacing w:after="80"/>
        <w:jc w:val="both"/>
        <w:rPr>
          <w:color w:val="000000"/>
          <w:szCs w:val="24"/>
        </w:rPr>
      </w:pPr>
      <w:r>
        <w:rPr>
          <w:color w:val="000000"/>
          <w:szCs w:val="24"/>
        </w:rPr>
        <w:t xml:space="preserve">Nepieciešams rūpīgi plānot bebru dambju un koku sanesumu izvākšanai nepieciešamās tehnikas piebraucamo ceļus un koku retināšanu, lai saglabātu vērtīgākos kokus (veselīgus resnākos kokus, melnalkšņus, platlapjus u.c. bioloģiski vērtīgus kokus) un novērstu upes krasta eroziju (saglabājami koki, kuru sakņu sistēmas nostiprina upes krastus. </w:t>
      </w:r>
      <w:r>
        <w:rPr>
          <w:b/>
          <w:color w:val="000000"/>
          <w:szCs w:val="24"/>
        </w:rPr>
        <w:t>Bolupes projekta izstrādes un īstenošanas laikā nepieciešams konsultēties ar sertificētu biotopu ekspertu, lai pēc iespējas mazinātu ietekmi uz Bolupes un tās krastos esošajiem biotopiem</w:t>
      </w:r>
      <w:r>
        <w:rPr>
          <w:color w:val="000000"/>
          <w:szCs w:val="24"/>
        </w:rPr>
        <w:t>. Jāņem vērā, ka palu un bebru darbības rezultātā lokālo upes gultnē esošo šķēršļu izvietojums var atšķirties no sākotnēji apsekotās situācijas.</w:t>
      </w:r>
    </w:p>
    <w:p w14:paraId="00000025" w14:textId="77777777" w:rsidR="000C2A2A" w:rsidRDefault="00000000">
      <w:pPr>
        <w:numPr>
          <w:ilvl w:val="0"/>
          <w:numId w:val="2"/>
        </w:numPr>
        <w:pBdr>
          <w:top w:val="nil"/>
          <w:left w:val="nil"/>
          <w:bottom w:val="nil"/>
          <w:right w:val="nil"/>
          <w:between w:val="nil"/>
        </w:pBdr>
        <w:spacing w:after="80"/>
        <w:jc w:val="both"/>
        <w:rPr>
          <w:color w:val="000000"/>
          <w:szCs w:val="24"/>
        </w:rPr>
      </w:pPr>
      <w:r>
        <w:rPr>
          <w:color w:val="000000"/>
          <w:szCs w:val="24"/>
        </w:rPr>
        <w:t xml:space="preserve">Lai novērtētu iespējamo plūdu ietekmi, Bolupes </w:t>
      </w:r>
      <w:r>
        <w:rPr>
          <w:b/>
          <w:color w:val="000000"/>
          <w:szCs w:val="24"/>
        </w:rPr>
        <w:t>projektam nepieciešams pievienot kartogrāfisko materiālu ar prognozēto applūstošo teritoriju ar 10 % varbūtību</w:t>
      </w:r>
      <w:r>
        <w:rPr>
          <w:color w:val="000000"/>
          <w:szCs w:val="24"/>
        </w:rPr>
        <w:t>. Palieņu applūšana ir dabisks process, un tas ir nepieciešams Bolupes krastos sastopamo aizsargājamo palieņu zālāju pastāvēšanai. Pilnībā novēršot applūšanu, kā tas paredzēts būves tehniskās apsekošanas atzinumā (I. Kupčs, 06.05.2022.) un VSIA “Meliorprojekts” eksperta atzinumā (A. Teivens, 08.12.2022.), sagaidāma negatīva ietekme uz ES nozīmes biotopu 6450 Palieņu zālāji, kā arī negatīvi var tik ietekmēti ES nozīmes mežu biotopi un palielināties applūšanas riski lejpus Bolupes projekta teritorijas.</w:t>
      </w:r>
    </w:p>
    <w:p w14:paraId="00000026" w14:textId="77777777" w:rsidR="000C2A2A" w:rsidRDefault="00000000">
      <w:pPr>
        <w:numPr>
          <w:ilvl w:val="0"/>
          <w:numId w:val="2"/>
        </w:numPr>
        <w:pBdr>
          <w:top w:val="nil"/>
          <w:left w:val="nil"/>
          <w:bottom w:val="nil"/>
          <w:right w:val="nil"/>
          <w:between w:val="nil"/>
        </w:pBdr>
        <w:spacing w:after="80"/>
        <w:jc w:val="both"/>
        <w:rPr>
          <w:color w:val="000000"/>
          <w:szCs w:val="24"/>
        </w:rPr>
      </w:pPr>
      <w:r>
        <w:rPr>
          <w:b/>
          <w:color w:val="000000"/>
          <w:szCs w:val="24"/>
        </w:rPr>
        <w:t>Applūstošu dabisku un daļēji dabisku palieņu saglabāšana un atjaunošana</w:t>
      </w:r>
      <w:r>
        <w:rPr>
          <w:color w:val="000000"/>
          <w:szCs w:val="24"/>
        </w:rPr>
        <w:t xml:space="preserve"> atbilst zaļās infrastruktūras konceptam, nodrošinot vairākus ekosistēmu pakalpojumus – </w:t>
      </w:r>
      <w:r>
        <w:rPr>
          <w:b/>
          <w:color w:val="000000"/>
          <w:szCs w:val="24"/>
        </w:rPr>
        <w:t>mazina plūdu riskus apdzīvotām vietām, sekmē bioloģiskās daudzveidības saglabāšanos, kā arī iespējama šo teritoriju izmantošana mežsaimniecībā vai pļavu un ganību ierīkošanai</w:t>
      </w:r>
      <w:r>
        <w:rPr>
          <w:color w:val="000000"/>
          <w:szCs w:val="24"/>
        </w:rPr>
        <w:t>. Atbilstoši Aizsargjoslu likumā noteiktajam applūstošās teritorijas jāņem vērā, izstrādājot pašvaldības teritorijas plānojumu. Meliorācijas sistēmu un hidrotehnisko būvju būvnormatīvs pieļauj meža zemju un zālāju applūšanu.</w:t>
      </w:r>
    </w:p>
    <w:p w14:paraId="00000027" w14:textId="77777777" w:rsidR="000C2A2A" w:rsidRDefault="00000000">
      <w:pPr>
        <w:numPr>
          <w:ilvl w:val="0"/>
          <w:numId w:val="2"/>
        </w:numPr>
        <w:pBdr>
          <w:top w:val="nil"/>
          <w:left w:val="nil"/>
          <w:bottom w:val="nil"/>
          <w:right w:val="nil"/>
          <w:between w:val="nil"/>
        </w:pBdr>
        <w:spacing w:after="80"/>
        <w:jc w:val="both"/>
        <w:rPr>
          <w:color w:val="000000"/>
          <w:szCs w:val="24"/>
        </w:rPr>
      </w:pPr>
      <w:r>
        <w:rPr>
          <w:b/>
          <w:color w:val="000000"/>
          <w:szCs w:val="24"/>
        </w:rPr>
        <w:t>Ja Bolupes projektu paredzēts īstenot</w:t>
      </w:r>
      <w:r>
        <w:rPr>
          <w:color w:val="000000"/>
          <w:szCs w:val="24"/>
        </w:rPr>
        <w:t xml:space="preserve"> būves tehniskās apsekošanas atzinumā (I. Kupčs, 06.05.2022.) un VSIA “Meliorprojekts” eksperta atzinumā (A. Teivens, 08.12.2022.) minētajā apjomā, </w:t>
      </w:r>
      <w:r>
        <w:rPr>
          <w:b/>
          <w:color w:val="000000"/>
          <w:szCs w:val="24"/>
        </w:rPr>
        <w:t>atjaunojot sākotnēji projektētos Bolupes gultnes parametrus, novācot apaugumu Bolupes krastu nogāzēs un ūdensnotekas ekspluatācijas aizsargjoslā un novēršot vēsturisko palieņu applūšanu,</w:t>
      </w:r>
      <w:r>
        <w:rPr>
          <w:color w:val="000000"/>
          <w:szCs w:val="24"/>
        </w:rPr>
        <w:t xml:space="preserve"> </w:t>
      </w:r>
      <w:r>
        <w:rPr>
          <w:b/>
          <w:color w:val="000000"/>
          <w:szCs w:val="24"/>
        </w:rPr>
        <w:t>nepieciešams izvērtēt iespēju piemērot projektam ietekmes uz vidi novērtējuma procedūru  atbildoši likuma “Par ietekmes uz vidi novērtējuma” 3.</w:t>
      </w:r>
      <w:r>
        <w:rPr>
          <w:b/>
          <w:color w:val="000000"/>
          <w:szCs w:val="24"/>
          <w:vertAlign w:val="superscript"/>
        </w:rPr>
        <w:t>2</w:t>
      </w:r>
      <w:r>
        <w:rPr>
          <w:b/>
          <w:color w:val="000000"/>
          <w:szCs w:val="24"/>
        </w:rPr>
        <w:t> panta 5. daļai, lai pēc iespējas mazinātu projekta negatīvo ietekmi uz bioloģisko daudzveidību un ūdeņu kvalitāti</w:t>
      </w:r>
      <w:r>
        <w:rPr>
          <w:color w:val="000000"/>
          <w:szCs w:val="24"/>
        </w:rPr>
        <w:t>, izvērtējot:</w:t>
      </w:r>
    </w:p>
    <w:p w14:paraId="00000028"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t>ietekmi ES nozīmes un Latvijas īpaši aizsargājamo biotopu Upju straujteces un dabiski upju posmi Bolupes pik. 340/10 – 356/50, kā arī ietekmi uz pārējo Bolupes posmu, ņemot vērā pašreizējo un pēc projekta īstenošanas sagaidāmo Bolupes ekosistēmas un ūdeņu kvalitāti un sugu sastāvu, tostarp nepieciešams izvērtēt projektēto gultnes parametru un mazūdens perioda ūdens līmeņa, kā arī plānotās krastu apauguma izciršanas ietekmi uz Bolupes ekosistēmu (dzīvotņu sastopamību, sugu sastāvu, aizaugumu, ūdens dziļumu un temperatūru u.c.);</w:t>
      </w:r>
    </w:p>
    <w:p w14:paraId="00000029"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t>ietekmi uz ES nozīmes un Latvijas īpaši aizsargājamo biotopu Palieņu zālāji, kas sastopams Bolupes krastos, kā arī ietekmi uz ES nozīmes mežu biotopiem, kas atrodas Bolupes iespējamajā applūšanas zonā;</w:t>
      </w:r>
    </w:p>
    <w:p w14:paraId="0000002A"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lastRenderedPageBreak/>
        <w:t>ietekmi uz zivju resursiem un ņemtu vērā sertificēta sugu un biotopu eksperta atzinumā par valsts nozīmes ūdensnotekas “Bolupe” atjaunošanas darbu ietekmi uz zivju resursiem (E. Bērziņš, D. Ustups, 19.12.2022.) minēto, ka atjaunojamais Bolupes posms tiks apsekots 2023. gada jūlijā, pirms plānoto atjaunošanas darbu veikšanas, un tiks sagatavots atzinuma papildinājums par ūdensnotekas izpētes rezultātiem un nepieciešamības gadījumā papildināti ieteikumi darbu ietekmes uz zivju resursiem samazināšanai;</w:t>
      </w:r>
    </w:p>
    <w:p w14:paraId="0000002B"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t>izvēlēto risinājumu ietekmi Bolupes posmā pik. 100/00 līdz pik.137/00. kur abos krastos atrodas vecā atbērtne ar neizlīdzinātu izrakto grunti un kuras izlīdzināšana, ja tā nepieciešama tehnikas pārvietošanās ceļā, var radīt papildus ietekmi;</w:t>
      </w:r>
    </w:p>
    <w:p w14:paraId="0000002C"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t>ietekmi uz Bolupes ūdens režīmu, tostarp plūdu riskiem apdzīvotām mājām un infrastruktūrai, kā arī iespējamām ūdens līmeņa un applūstošo teritoriju platību izmaiņām lejpus Bolupes projekta teritorijas;</w:t>
      </w:r>
    </w:p>
    <w:p w14:paraId="0000002D" w14:textId="77777777" w:rsidR="000C2A2A" w:rsidRDefault="00000000">
      <w:pPr>
        <w:numPr>
          <w:ilvl w:val="0"/>
          <w:numId w:val="3"/>
        </w:numPr>
        <w:pBdr>
          <w:top w:val="nil"/>
          <w:left w:val="nil"/>
          <w:bottom w:val="nil"/>
          <w:right w:val="nil"/>
          <w:between w:val="nil"/>
        </w:pBdr>
        <w:spacing w:after="80"/>
        <w:jc w:val="both"/>
        <w:rPr>
          <w:color w:val="000000"/>
          <w:szCs w:val="24"/>
        </w:rPr>
      </w:pPr>
      <w:r>
        <w:rPr>
          <w:color w:val="000000"/>
          <w:szCs w:val="24"/>
        </w:rPr>
        <w:t>iespēju izmantot zaļās infrastruktūras un dabā balstītus risinājumus, modelējot Bolupes palieņu, kā arī Bolupes vēsturisko posmu pik. 100/00 – 131/00 atjaunošanu un šo risinājumu ietekmi uz Bolupes hidroloģiskos režīmu (tostarp lejpus Bolupes projektā iekļautā posma), bioloģisko daudzveidību, kā arī teritorijas apsaimniekošanas iespējām;</w:t>
      </w:r>
    </w:p>
    <w:p w14:paraId="0000002E" w14:textId="6DDC2FF8" w:rsidR="000C2A2A" w:rsidRDefault="00000000">
      <w:pPr>
        <w:numPr>
          <w:ilvl w:val="0"/>
          <w:numId w:val="3"/>
        </w:numPr>
        <w:pBdr>
          <w:top w:val="nil"/>
          <w:left w:val="nil"/>
          <w:bottom w:val="nil"/>
          <w:right w:val="nil"/>
          <w:between w:val="nil"/>
        </w:pBdr>
        <w:spacing w:after="80"/>
        <w:jc w:val="both"/>
        <w:rPr>
          <w:color w:val="000000"/>
          <w:szCs w:val="24"/>
        </w:rPr>
      </w:pPr>
      <w:sdt>
        <w:sdtPr>
          <w:tag w:val="goog_rdk_1"/>
          <w:id w:val="1001847909"/>
        </w:sdtPr>
        <w:sdtContent/>
      </w:sdt>
      <w:r>
        <w:rPr>
          <w:color w:val="000000"/>
          <w:szCs w:val="24"/>
        </w:rPr>
        <w:t>Balvu un Pērkonu ezeru ūdens līmeņus</w:t>
      </w:r>
      <w:r>
        <w:t xml:space="preserve"> un </w:t>
      </w:r>
      <w:r>
        <w:rPr>
          <w:color w:val="000000"/>
          <w:szCs w:val="24"/>
        </w:rPr>
        <w:t xml:space="preserve"> </w:t>
      </w:r>
      <w:r>
        <w:t xml:space="preserve">iespēju ezeros uzkrāt kādu daļu palu ūdeņu, tādējādi mazinot plūdu riskus mājām un infrastruktūrai </w:t>
      </w:r>
      <w:sdt>
        <w:sdtPr>
          <w:tag w:val="goog_rdk_2"/>
          <w:id w:val="-205952103"/>
        </w:sdtPr>
        <w:sdtContent/>
      </w:sdt>
      <w:sdt>
        <w:sdtPr>
          <w:tag w:val="goog_rdk_3"/>
          <w:id w:val="954440837"/>
        </w:sdtPr>
        <w:sdtContent/>
      </w:sdt>
      <w:r>
        <w:rPr>
          <w:color w:val="000000"/>
          <w:szCs w:val="24"/>
        </w:rPr>
        <w:t xml:space="preserve">Bolupes </w:t>
      </w:r>
      <w:r>
        <w:t>krastos</w:t>
      </w:r>
      <w:r>
        <w:rPr>
          <w:color w:val="000000"/>
          <w:szCs w:val="24"/>
        </w:rPr>
        <w:t>.</w:t>
      </w:r>
    </w:p>
    <w:p w14:paraId="0000002F" w14:textId="77777777" w:rsidR="000C2A2A" w:rsidRDefault="000C2A2A">
      <w:pPr>
        <w:spacing w:after="80"/>
        <w:ind w:firstLine="567"/>
        <w:jc w:val="both"/>
      </w:pPr>
    </w:p>
    <w:p w14:paraId="00000030" w14:textId="77777777" w:rsidR="000C2A2A" w:rsidRDefault="00000000">
      <w:pPr>
        <w:spacing w:after="80"/>
        <w:ind w:firstLine="567"/>
        <w:jc w:val="both"/>
      </w:pPr>
      <w:r>
        <w:rPr>
          <w:b/>
        </w:rPr>
        <w:t>Lūdzam informēt Vides konsultatīvo padomi par valsts nozīmes ūdensnotekas Bolupe atjaunošanas projekta pik. 88/00-358/00 tālāko virzību un lūdzam rast iespēju iepazīties ar izstrādāto</w:t>
      </w:r>
      <w:r>
        <w:t xml:space="preserve"> </w:t>
      </w:r>
      <w:r>
        <w:rPr>
          <w:b/>
        </w:rPr>
        <w:t>būvprojektu minimālajā sastāvā un apspriest to ar projekta pasūtītājiem VSIA “Zemkopības ministrijas nekustamie īpašumi” un projekta izstrādātājiem pirms būvprojekta minimālajā sastāvā akceptēšanas un iesniegšanas būvatļaujas saņemšanai</w:t>
      </w:r>
      <w:r>
        <w:t xml:space="preserve">. </w:t>
      </w:r>
    </w:p>
    <w:p w14:paraId="00000031" w14:textId="77777777" w:rsidR="000C2A2A" w:rsidRDefault="000C2A2A">
      <w:pPr>
        <w:spacing w:after="80"/>
        <w:ind w:firstLine="567"/>
        <w:jc w:val="both"/>
      </w:pPr>
    </w:p>
    <w:p w14:paraId="0000003B" w14:textId="77777777" w:rsidR="000C2A2A" w:rsidRDefault="000C2A2A">
      <w:pPr>
        <w:pBdr>
          <w:top w:val="nil"/>
          <w:left w:val="nil"/>
          <w:bottom w:val="nil"/>
          <w:right w:val="nil"/>
          <w:between w:val="nil"/>
        </w:pBdr>
        <w:jc w:val="both"/>
        <w:rPr>
          <w:color w:val="000000"/>
          <w:sz w:val="28"/>
          <w:szCs w:val="28"/>
        </w:rPr>
      </w:pPr>
    </w:p>
    <w:p w14:paraId="0000003C" w14:textId="77777777" w:rsidR="000C2A2A" w:rsidRDefault="000C2A2A">
      <w:pPr>
        <w:jc w:val="both"/>
        <w:rPr>
          <w:sz w:val="18"/>
          <w:szCs w:val="18"/>
        </w:rPr>
      </w:pPr>
    </w:p>
    <w:p w14:paraId="0000003D" w14:textId="77777777" w:rsidR="000C2A2A" w:rsidRDefault="000C2A2A">
      <w:pPr>
        <w:jc w:val="both"/>
        <w:rPr>
          <w:sz w:val="18"/>
          <w:szCs w:val="18"/>
        </w:rPr>
      </w:pPr>
    </w:p>
    <w:p w14:paraId="0000003E" w14:textId="77777777" w:rsidR="000C2A2A" w:rsidRDefault="00000000">
      <w:pPr>
        <w:rPr>
          <w:sz w:val="28"/>
          <w:szCs w:val="28"/>
        </w:rPr>
      </w:pPr>
      <w:r>
        <w:rPr>
          <w:color w:val="000000"/>
          <w:sz w:val="28"/>
          <w:szCs w:val="28"/>
        </w:rPr>
        <w:t>Ar cieņu, </w:t>
      </w:r>
    </w:p>
    <w:p w14:paraId="0000003F" w14:textId="77777777" w:rsidR="000C2A2A" w:rsidRDefault="000C2A2A">
      <w:pPr>
        <w:spacing w:after="160" w:line="259" w:lineRule="auto"/>
        <w:rPr>
          <w:sz w:val="28"/>
          <w:szCs w:val="28"/>
        </w:rPr>
      </w:pPr>
    </w:p>
    <w:p w14:paraId="00000040" w14:textId="77777777" w:rsidR="000C2A2A" w:rsidRDefault="00000000">
      <w:pPr>
        <w:rPr>
          <w:sz w:val="28"/>
          <w:szCs w:val="28"/>
        </w:rPr>
      </w:pPr>
      <w:r>
        <w:rPr>
          <w:color w:val="000000"/>
          <w:sz w:val="28"/>
          <w:szCs w:val="28"/>
        </w:rPr>
        <w:t>Vides konsultatīvās padomes priekšsēdētājs </w:t>
      </w:r>
      <w:r>
        <w:rPr>
          <w:color w:val="000000"/>
          <w:sz w:val="28"/>
          <w:szCs w:val="28"/>
        </w:rPr>
        <w:tab/>
      </w:r>
      <w:r>
        <w:rPr>
          <w:color w:val="000000"/>
          <w:sz w:val="28"/>
          <w:szCs w:val="28"/>
        </w:rPr>
        <w:tab/>
      </w:r>
      <w:r>
        <w:rPr>
          <w:color w:val="000000"/>
          <w:sz w:val="28"/>
          <w:szCs w:val="28"/>
        </w:rPr>
        <w:tab/>
      </w:r>
      <w:r>
        <w:rPr>
          <w:color w:val="000000"/>
          <w:sz w:val="28"/>
          <w:szCs w:val="28"/>
        </w:rPr>
        <w:tab/>
        <w:t>Juris Jātnieks </w:t>
      </w:r>
    </w:p>
    <w:p w14:paraId="00000041" w14:textId="77777777" w:rsidR="000C2A2A" w:rsidRDefault="000C2A2A">
      <w:pPr>
        <w:jc w:val="both"/>
        <w:rPr>
          <w:sz w:val="18"/>
          <w:szCs w:val="18"/>
        </w:rPr>
      </w:pPr>
    </w:p>
    <w:p w14:paraId="00000042" w14:textId="21795EC7" w:rsidR="000C2A2A" w:rsidRDefault="000C2A2A">
      <w:pPr>
        <w:jc w:val="both"/>
        <w:rPr>
          <w:sz w:val="18"/>
          <w:szCs w:val="18"/>
        </w:rPr>
      </w:pPr>
    </w:p>
    <w:p w14:paraId="4835B0B7" w14:textId="77777777" w:rsidR="004960E7" w:rsidRDefault="004960E7">
      <w:pPr>
        <w:jc w:val="both"/>
        <w:rPr>
          <w:sz w:val="18"/>
          <w:szCs w:val="18"/>
        </w:rPr>
      </w:pPr>
    </w:p>
    <w:p w14:paraId="1E129AE8" w14:textId="77777777" w:rsidR="004960E7" w:rsidRDefault="004960E7" w:rsidP="004960E7">
      <w:pPr>
        <w:spacing w:after="80"/>
        <w:ind w:left="567"/>
        <w:jc w:val="both"/>
      </w:pPr>
      <w:r>
        <w:t>Izmantotie informācijas avoti:</w:t>
      </w:r>
    </w:p>
    <w:p w14:paraId="4ACD7991" w14:textId="77777777" w:rsidR="004960E7" w:rsidRDefault="004960E7" w:rsidP="004960E7">
      <w:pPr>
        <w:spacing w:after="80"/>
        <w:ind w:left="567"/>
        <w:jc w:val="both"/>
      </w:pPr>
      <w:r>
        <w:t>A. Ruskule, K. Veidemane, D. Strigune 2020. Zemieņu upju zaļā infrastruktūra dabai un cilvēka labklājībai. Biržu reģionālā parka direkcija. Projekts “Zaļās infrastruktūras pilnveidošana zemieņu upju ainavā” (ENGRAVE Nr. LLI-291).</w:t>
      </w:r>
    </w:p>
    <w:p w14:paraId="47BD8DDC" w14:textId="77777777" w:rsidR="004960E7" w:rsidRDefault="004960E7" w:rsidP="004960E7">
      <w:pPr>
        <w:spacing w:after="80"/>
        <w:ind w:left="567"/>
        <w:jc w:val="both"/>
      </w:pPr>
      <w:r>
        <w:t>A. Teivens, 08.12.2022. Eksperta atzinums par virszemes ūdens objekta tīrīšanas vai padziļināšanas iespējamo ietekmi uz apkārtējiem ūdens objektiem, kā arī iespējamo ietekmi uz tīrāmo vai padziļināmo ūdens objektu – Valsts nozīmes ūdensnoteku Bolupe, pik.88/00-358/00 Rugāju, Balvu, Kubulu pagastos, Balvu novadā.</w:t>
      </w:r>
    </w:p>
    <w:p w14:paraId="4DF81720" w14:textId="77777777" w:rsidR="004960E7" w:rsidRDefault="004960E7" w:rsidP="004960E7">
      <w:pPr>
        <w:spacing w:after="80"/>
        <w:ind w:left="567"/>
        <w:jc w:val="both"/>
      </w:pPr>
      <w:r>
        <w:t>Daugavas upju baseinu apgabala apsaimniekošanas plāns un plūdu riska pārvaldības plāns 2022.-2027. gadam. 461 lpp. Rīga, Latvijas Vides, ģeoloģijas un meteoroloģijas centrs (2023).</w:t>
      </w:r>
    </w:p>
    <w:p w14:paraId="419BF72C" w14:textId="77777777" w:rsidR="004960E7" w:rsidRDefault="004960E7" w:rsidP="004960E7">
      <w:pPr>
        <w:spacing w:after="80"/>
        <w:ind w:left="567"/>
        <w:jc w:val="both"/>
      </w:pPr>
      <w:r>
        <w:lastRenderedPageBreak/>
        <w:t>E. Bērziņš, D. Ustups, 19.12.2022. Sertificēta sugu un biotopu eksperta atzinums par valsts nozīmes ūdensnotekas “Bolupe” atjaunošanas darbu ietekmi uz zivju resursiem.</w:t>
      </w:r>
    </w:p>
    <w:p w14:paraId="176636F1" w14:textId="77777777" w:rsidR="004960E7" w:rsidRDefault="004960E7" w:rsidP="004960E7">
      <w:pPr>
        <w:spacing w:after="80"/>
        <w:ind w:left="567"/>
        <w:jc w:val="both"/>
      </w:pPr>
      <w:r>
        <w:t>Eiropas Komisija, COM/2013/0249. Zaļā infrastruktūra (ZI) – Eiropas dabas kapitāla pilnveide.</w:t>
      </w:r>
    </w:p>
    <w:p w14:paraId="47567ADD" w14:textId="77777777" w:rsidR="004960E7" w:rsidRDefault="004960E7" w:rsidP="004960E7">
      <w:pPr>
        <w:spacing w:after="80"/>
        <w:ind w:left="567"/>
        <w:jc w:val="both"/>
      </w:pPr>
      <w:r>
        <w:t>I. Kupčs, 06.05.2022. Būves tehniskās apsekošanas atzinums.</w:t>
      </w:r>
    </w:p>
    <w:p w14:paraId="5BB45CC8" w14:textId="77777777" w:rsidR="004960E7" w:rsidRDefault="004960E7" w:rsidP="004960E7">
      <w:pPr>
        <w:spacing w:after="80"/>
        <w:ind w:left="567"/>
        <w:jc w:val="both"/>
      </w:pPr>
      <w:r>
        <w:t>M. Knite, J. Brizga, 2014. Izvērtējums par nepieciešamo zaļo infrastruktūru pasākumu iekļaušanu vides un reģionālās attīstības politiku plānošanā.</w:t>
      </w:r>
    </w:p>
    <w:p w14:paraId="31583F19" w14:textId="77777777" w:rsidR="004960E7" w:rsidRDefault="004960E7" w:rsidP="004960E7">
      <w:pPr>
        <w:spacing w:after="80"/>
        <w:ind w:left="567"/>
        <w:jc w:val="both"/>
      </w:pPr>
      <w:r>
        <w:t>U. Bergmanis, 16.12.2022. Eksperta atzinums NR. UB/2022/18.</w:t>
      </w:r>
    </w:p>
    <w:p w14:paraId="00000043" w14:textId="77777777" w:rsidR="000C2A2A" w:rsidRDefault="000C2A2A">
      <w:pPr>
        <w:jc w:val="both"/>
        <w:rPr>
          <w:sz w:val="18"/>
          <w:szCs w:val="18"/>
        </w:rPr>
      </w:pPr>
    </w:p>
    <w:p w14:paraId="00000044" w14:textId="77777777" w:rsidR="000C2A2A" w:rsidRDefault="000C2A2A">
      <w:pPr>
        <w:jc w:val="both"/>
        <w:rPr>
          <w:sz w:val="18"/>
          <w:szCs w:val="18"/>
        </w:rPr>
      </w:pPr>
    </w:p>
    <w:p w14:paraId="00000045" w14:textId="77777777" w:rsidR="000C2A2A" w:rsidRDefault="000C2A2A"/>
    <w:p w14:paraId="00000046" w14:textId="77777777" w:rsidR="000C2A2A" w:rsidRDefault="000C2A2A"/>
    <w:p w14:paraId="00000047" w14:textId="77777777" w:rsidR="000C2A2A" w:rsidRDefault="000C2A2A"/>
    <w:p w14:paraId="00000048" w14:textId="77777777" w:rsidR="000C2A2A" w:rsidRDefault="000C2A2A"/>
    <w:p w14:paraId="00000049" w14:textId="77777777" w:rsidR="000C2A2A" w:rsidRDefault="000C2A2A"/>
    <w:p w14:paraId="0000004A" w14:textId="77777777" w:rsidR="000C2A2A" w:rsidRDefault="000C2A2A"/>
    <w:p w14:paraId="0000004B" w14:textId="77777777" w:rsidR="000C2A2A" w:rsidRDefault="000C2A2A">
      <w:pPr>
        <w:rPr>
          <w:sz w:val="18"/>
          <w:szCs w:val="18"/>
        </w:rPr>
      </w:pPr>
    </w:p>
    <w:p w14:paraId="0000004C" w14:textId="77777777" w:rsidR="000C2A2A" w:rsidRDefault="00000000">
      <w:pPr>
        <w:ind w:left="720"/>
        <w:jc w:val="center"/>
        <w:rPr>
          <w:sz w:val="20"/>
        </w:rPr>
      </w:pPr>
      <w:r>
        <w:rPr>
          <w:sz w:val="20"/>
        </w:rPr>
        <w:t>ŠIS DOKUMENTS IR ELEKTRONISKI PARAKSTĪTS AR DROŠU ELEKTRONISKO PARAKSTU UN SATUR LAIKA ZĪMOGU</w:t>
      </w:r>
    </w:p>
    <w:sectPr w:rsidR="000C2A2A">
      <w:footerReference w:type="default" r:id="rId16"/>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2ACE3" w14:textId="77777777" w:rsidR="003665E2" w:rsidRDefault="003665E2">
      <w:r>
        <w:separator/>
      </w:r>
    </w:p>
  </w:endnote>
  <w:endnote w:type="continuationSeparator" w:id="0">
    <w:p w14:paraId="1BCDE959" w14:textId="77777777" w:rsidR="003665E2" w:rsidRDefault="0036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RobustaTLPro-Regular">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0C2A2A" w:rsidRDefault="000C2A2A">
    <w:pPr>
      <w:pBdr>
        <w:top w:val="nil"/>
        <w:left w:val="nil"/>
        <w:bottom w:val="nil"/>
        <w:right w:val="nil"/>
        <w:between w:val="nil"/>
      </w:pBdr>
      <w:tabs>
        <w:tab w:val="center" w:pos="4153"/>
        <w:tab w:val="right" w:pos="8306"/>
      </w:tabs>
      <w:jc w:val="right"/>
      <w:rPr>
        <w:color w:val="000000"/>
        <w:szCs w:val="24"/>
      </w:rPr>
    </w:pPr>
  </w:p>
  <w:p w14:paraId="0000004E" w14:textId="77777777" w:rsidR="000C2A2A" w:rsidRDefault="000C2A2A">
    <w:pPr>
      <w:pBdr>
        <w:top w:val="nil"/>
        <w:left w:val="nil"/>
        <w:bottom w:val="nil"/>
        <w:right w:val="nil"/>
        <w:between w:val="nil"/>
      </w:pBdr>
      <w:tabs>
        <w:tab w:val="center" w:pos="4153"/>
        <w:tab w:val="right" w:pos="8306"/>
      </w:tabs>
      <w:ind w:right="360"/>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7585B" w14:textId="77777777" w:rsidR="003665E2" w:rsidRDefault="003665E2">
      <w:r>
        <w:separator/>
      </w:r>
    </w:p>
  </w:footnote>
  <w:footnote w:type="continuationSeparator" w:id="0">
    <w:p w14:paraId="2D3A5ECD" w14:textId="77777777" w:rsidR="003665E2" w:rsidRDefault="0036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5911"/>
    <w:multiLevelType w:val="multilevel"/>
    <w:tmpl w:val="5A40D03E"/>
    <w:lvl w:ilvl="0">
      <w:start w:val="1"/>
      <w:numFmt w:val="decimal"/>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37B0285B"/>
    <w:multiLevelType w:val="multilevel"/>
    <w:tmpl w:val="AD10AFA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A52284F"/>
    <w:multiLevelType w:val="multilevel"/>
    <w:tmpl w:val="2278D86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594942614">
    <w:abstractNumId w:val="1"/>
  </w:num>
  <w:num w:numId="2" w16cid:durableId="1281573517">
    <w:abstractNumId w:val="2"/>
  </w:num>
  <w:num w:numId="3" w16cid:durableId="172217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2A"/>
    <w:rsid w:val="000C2A2A"/>
    <w:rsid w:val="003665E2"/>
    <w:rsid w:val="004516A1"/>
    <w:rsid w:val="004960E7"/>
    <w:rsid w:val="005877AD"/>
    <w:rsid w:val="00A0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3D85"/>
  <w15:docId w15:val="{6C20F7A6-8DAC-4B58-A3FE-BFB67B7E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EA"/>
    <w:rPr>
      <w:szCs w:val="20"/>
      <w:lang w:eastAsia="lv-LV"/>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ubtitleChar">
    <w:name w:val="Subtitle Char"/>
    <w:basedOn w:val="DefaultParagraphFont"/>
    <w:link w:val="Subtitle"/>
    <w:qFormat/>
    <w:rsid w:val="00522EEA"/>
    <w:rPr>
      <w:rFonts w:ascii="Times New Roman" w:eastAsia="Times New Roman" w:hAnsi="Times New Roman" w:cs="Times New Roman"/>
      <w:b/>
      <w:i/>
      <w:sz w:val="48"/>
      <w:szCs w:val="20"/>
      <w:lang w:eastAsia="lv-LV"/>
    </w:rPr>
  </w:style>
  <w:style w:type="character" w:customStyle="1" w:styleId="FooterChar">
    <w:name w:val="Footer Char"/>
    <w:basedOn w:val="DefaultParagraphFont"/>
    <w:link w:val="Footer"/>
    <w:uiPriority w:val="99"/>
    <w:qFormat/>
    <w:rsid w:val="00522EEA"/>
    <w:rPr>
      <w:rFonts w:ascii="Times New Roman" w:eastAsia="Times New Roman" w:hAnsi="Times New Roman" w:cs="Times New Roman"/>
      <w:sz w:val="24"/>
      <w:szCs w:val="20"/>
      <w:lang w:eastAsia="lv-LV"/>
    </w:rPr>
  </w:style>
  <w:style w:type="paragraph" w:styleId="Subtitle">
    <w:name w:val="Subtitle"/>
    <w:basedOn w:val="Normal"/>
    <w:next w:val="Normal"/>
    <w:link w:val="SubtitleChar"/>
    <w:uiPriority w:val="11"/>
    <w:qFormat/>
    <w:pPr>
      <w:jc w:val="center"/>
    </w:pPr>
    <w:rPr>
      <w:b/>
      <w:i/>
      <w:sz w:val="48"/>
      <w:szCs w:val="48"/>
    </w:rPr>
  </w:style>
  <w:style w:type="character" w:customStyle="1" w:styleId="SubtitleChar1">
    <w:name w:val="Subtitle Char1"/>
    <w:basedOn w:val="DefaultParagraphFont"/>
    <w:uiPriority w:val="11"/>
    <w:rsid w:val="00522EEA"/>
    <w:rPr>
      <w:rFonts w:asciiTheme="majorHAnsi" w:eastAsiaTheme="majorEastAsia" w:hAnsiTheme="majorHAnsi" w:cstheme="majorBidi"/>
      <w:i/>
      <w:iCs/>
      <w:color w:val="4F81BD" w:themeColor="accent1"/>
      <w:spacing w:val="15"/>
      <w:sz w:val="24"/>
      <w:szCs w:val="24"/>
      <w:lang w:eastAsia="lv-LV"/>
    </w:rPr>
  </w:style>
  <w:style w:type="paragraph" w:styleId="Footer">
    <w:name w:val="footer"/>
    <w:basedOn w:val="Normal"/>
    <w:link w:val="FooterChar"/>
    <w:uiPriority w:val="99"/>
    <w:rsid w:val="00522EEA"/>
    <w:pPr>
      <w:tabs>
        <w:tab w:val="center" w:pos="4153"/>
        <w:tab w:val="right" w:pos="8306"/>
      </w:tabs>
    </w:pPr>
  </w:style>
  <w:style w:type="character" w:customStyle="1" w:styleId="FooterChar1">
    <w:name w:val="Footer Char1"/>
    <w:basedOn w:val="DefaultParagraphFont"/>
    <w:uiPriority w:val="99"/>
    <w:semiHidden/>
    <w:rsid w:val="00522EEA"/>
    <w:rPr>
      <w:rFonts w:ascii="Times New Roman" w:eastAsia="Times New Roman" w:hAnsi="Times New Roman" w:cs="Times New Roman"/>
      <w:sz w:val="24"/>
      <w:szCs w:val="20"/>
      <w:lang w:eastAsia="lv-LV"/>
    </w:rPr>
  </w:style>
  <w:style w:type="character" w:styleId="CommentReference">
    <w:name w:val="annotation reference"/>
    <w:basedOn w:val="DefaultParagraphFont"/>
    <w:uiPriority w:val="99"/>
    <w:semiHidden/>
    <w:unhideWhenUsed/>
    <w:rsid w:val="00991C16"/>
    <w:rPr>
      <w:sz w:val="16"/>
      <w:szCs w:val="16"/>
    </w:rPr>
  </w:style>
  <w:style w:type="paragraph" w:styleId="CommentText">
    <w:name w:val="annotation text"/>
    <w:basedOn w:val="Normal"/>
    <w:link w:val="CommentTextChar"/>
    <w:uiPriority w:val="99"/>
    <w:semiHidden/>
    <w:unhideWhenUsed/>
    <w:rsid w:val="00991C16"/>
    <w:rPr>
      <w:sz w:val="20"/>
    </w:rPr>
  </w:style>
  <w:style w:type="character" w:customStyle="1" w:styleId="CommentTextChar">
    <w:name w:val="Comment Text Char"/>
    <w:basedOn w:val="DefaultParagraphFont"/>
    <w:link w:val="CommentText"/>
    <w:uiPriority w:val="99"/>
    <w:semiHidden/>
    <w:rsid w:val="00991C16"/>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91C16"/>
    <w:rPr>
      <w:b/>
      <w:bCs/>
    </w:rPr>
  </w:style>
  <w:style w:type="character" w:customStyle="1" w:styleId="CommentSubjectChar">
    <w:name w:val="Comment Subject Char"/>
    <w:basedOn w:val="CommentTextChar"/>
    <w:link w:val="CommentSubject"/>
    <w:uiPriority w:val="99"/>
    <w:semiHidden/>
    <w:rsid w:val="00991C16"/>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91C16"/>
    <w:rPr>
      <w:rFonts w:ascii="Tahoma" w:hAnsi="Tahoma" w:cs="Tahoma"/>
      <w:sz w:val="16"/>
      <w:szCs w:val="16"/>
    </w:rPr>
  </w:style>
  <w:style w:type="character" w:customStyle="1" w:styleId="BalloonTextChar">
    <w:name w:val="Balloon Text Char"/>
    <w:basedOn w:val="DefaultParagraphFont"/>
    <w:link w:val="BalloonText"/>
    <w:uiPriority w:val="99"/>
    <w:semiHidden/>
    <w:rsid w:val="00991C16"/>
    <w:rPr>
      <w:rFonts w:ascii="Tahoma" w:eastAsia="Times New Roman" w:hAnsi="Tahoma" w:cs="Tahoma"/>
      <w:sz w:val="16"/>
      <w:szCs w:val="16"/>
      <w:lang w:eastAsia="lv-LV"/>
    </w:rPr>
  </w:style>
  <w:style w:type="paragraph" w:styleId="ListParagraph">
    <w:name w:val="List Paragraph"/>
    <w:basedOn w:val="Normal"/>
    <w:uiPriority w:val="34"/>
    <w:qFormat/>
    <w:rsid w:val="00991C16"/>
    <w:pPr>
      <w:ind w:left="720"/>
      <w:contextualSpacing/>
    </w:pPr>
  </w:style>
  <w:style w:type="character" w:styleId="Hyperlink">
    <w:name w:val="Hyperlink"/>
    <w:basedOn w:val="DefaultParagraphFont"/>
    <w:uiPriority w:val="99"/>
    <w:unhideWhenUsed/>
    <w:rsid w:val="00F0330B"/>
    <w:rPr>
      <w:color w:val="0000FF" w:themeColor="hyperlink"/>
      <w:u w:val="single"/>
    </w:rPr>
  </w:style>
  <w:style w:type="paragraph" w:styleId="PlainText">
    <w:name w:val="Plain Text"/>
    <w:basedOn w:val="Normal"/>
    <w:link w:val="PlainTextChar"/>
    <w:uiPriority w:val="99"/>
    <w:semiHidden/>
    <w:unhideWhenUsed/>
    <w:rsid w:val="0054191F"/>
    <w:rPr>
      <w:rFonts w:ascii="Consolas" w:hAnsi="Consolas" w:cs="Consolas"/>
      <w:sz w:val="21"/>
      <w:szCs w:val="21"/>
    </w:rPr>
  </w:style>
  <w:style w:type="character" w:customStyle="1" w:styleId="PlainTextChar">
    <w:name w:val="Plain Text Char"/>
    <w:basedOn w:val="DefaultParagraphFont"/>
    <w:link w:val="PlainText"/>
    <w:uiPriority w:val="99"/>
    <w:semiHidden/>
    <w:rsid w:val="0054191F"/>
    <w:rPr>
      <w:rFonts w:ascii="Consolas" w:eastAsia="Times New Roman" w:hAnsi="Consolas" w:cs="Consolas"/>
      <w:sz w:val="21"/>
      <w:lang w:eastAsia="lv-LV"/>
    </w:rPr>
  </w:style>
  <w:style w:type="paragraph" w:styleId="FootnoteText">
    <w:name w:val="footnote text"/>
    <w:basedOn w:val="Normal"/>
    <w:link w:val="FootnoteTextChar"/>
    <w:uiPriority w:val="99"/>
    <w:semiHidden/>
    <w:unhideWhenUsed/>
    <w:rsid w:val="00A70573"/>
    <w:rPr>
      <w:sz w:val="20"/>
    </w:rPr>
  </w:style>
  <w:style w:type="character" w:customStyle="1" w:styleId="FootnoteTextChar">
    <w:name w:val="Footnote Text Char"/>
    <w:basedOn w:val="DefaultParagraphFont"/>
    <w:link w:val="FootnoteText"/>
    <w:uiPriority w:val="99"/>
    <w:semiHidden/>
    <w:rsid w:val="00A705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unhideWhenUsed/>
    <w:rsid w:val="00A70573"/>
    <w:rPr>
      <w:vertAlign w:val="superscript"/>
    </w:rPr>
  </w:style>
  <w:style w:type="paragraph" w:styleId="Header">
    <w:name w:val="header"/>
    <w:basedOn w:val="Normal"/>
    <w:link w:val="HeaderChar"/>
    <w:uiPriority w:val="99"/>
    <w:unhideWhenUsed/>
    <w:rsid w:val="00E76FF0"/>
    <w:pPr>
      <w:tabs>
        <w:tab w:val="center" w:pos="4153"/>
        <w:tab w:val="right" w:pos="8306"/>
      </w:tabs>
    </w:pPr>
  </w:style>
  <w:style w:type="character" w:customStyle="1" w:styleId="HeaderChar">
    <w:name w:val="Header Char"/>
    <w:basedOn w:val="DefaultParagraphFont"/>
    <w:link w:val="Header"/>
    <w:uiPriority w:val="99"/>
    <w:rsid w:val="00E76FF0"/>
    <w:rPr>
      <w:rFonts w:ascii="Times New Roman" w:eastAsia="Times New Roman" w:hAnsi="Times New Roman" w:cs="Times New Roman"/>
      <w:sz w:val="24"/>
      <w:szCs w:val="20"/>
      <w:lang w:eastAsia="lv-LV"/>
    </w:rPr>
  </w:style>
  <w:style w:type="paragraph" w:customStyle="1" w:styleId="paragraph">
    <w:name w:val="paragraph"/>
    <w:basedOn w:val="Normal"/>
    <w:rsid w:val="00DC501D"/>
    <w:pPr>
      <w:spacing w:before="100" w:beforeAutospacing="1" w:after="100" w:afterAutospacing="1"/>
    </w:pPr>
    <w:rPr>
      <w:szCs w:val="24"/>
    </w:rPr>
  </w:style>
  <w:style w:type="character" w:customStyle="1" w:styleId="normaltextrun">
    <w:name w:val="normaltextrun"/>
    <w:basedOn w:val="DefaultParagraphFont"/>
    <w:rsid w:val="00DC501D"/>
  </w:style>
  <w:style w:type="character" w:customStyle="1" w:styleId="eop">
    <w:name w:val="eop"/>
    <w:basedOn w:val="DefaultParagraphFont"/>
    <w:rsid w:val="00DC501D"/>
  </w:style>
  <w:style w:type="character" w:styleId="UnresolvedMention">
    <w:name w:val="Unresolved Mention"/>
    <w:basedOn w:val="DefaultParagraphFont"/>
    <w:uiPriority w:val="99"/>
    <w:semiHidden/>
    <w:unhideWhenUsed/>
    <w:rsid w:val="009149D3"/>
    <w:rPr>
      <w:color w:val="605E5C"/>
      <w:shd w:val="clear" w:color="auto" w:fill="E1DFDD"/>
    </w:rPr>
  </w:style>
  <w:style w:type="paragraph" w:styleId="NormalWeb">
    <w:name w:val="Normal (Web)"/>
    <w:basedOn w:val="Normal"/>
    <w:uiPriority w:val="99"/>
    <w:semiHidden/>
    <w:unhideWhenUsed/>
    <w:rsid w:val="00FA4EF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hyperlink" Target="https://karte.lad.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v.l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zols.gov.lv/pub" TargetMode="External"/><Relationship Id="rId5" Type="http://schemas.openxmlformats.org/officeDocument/2006/relationships/webSettings" Target="webSettings.xml"/><Relationship Id="rId15" Type="http://schemas.openxmlformats.org/officeDocument/2006/relationships/hyperlink" Target="http://www.esfondi.lv/upload/anm/izzina_anm.docx" TargetMode="External"/><Relationship Id="rId10" Type="http://schemas.openxmlformats.org/officeDocument/2006/relationships/hyperlink" Target="https://ozols.gov.lv/pub" TargetMode="External"/><Relationship Id="rId4" Type="http://schemas.openxmlformats.org/officeDocument/2006/relationships/settings" Target="settings.xml"/><Relationship Id="rId9" Type="http://schemas.openxmlformats.org/officeDocument/2006/relationships/hyperlink" Target="mailto:pasts@vvd.gov.lv" TargetMode="External"/><Relationship Id="rId14" Type="http://schemas.openxmlformats.org/officeDocument/2006/relationships/hyperlink" Target="https://www.esfondi.lv/upload/anm/02_anm_plana_pielikums_nr.1_dnsh_1805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4C7CTnubINrDdQCEDRnvCen3JAA==">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11729</Words>
  <Characters>6687</Characters>
  <Application>Microsoft Office Word</Application>
  <DocSecurity>0</DocSecurity>
  <Lines>55</Lines>
  <Paragraphs>36</Paragraphs>
  <ScaleCrop>false</ScaleCrop>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Eņģele;Viesturs Kerus</dc:creator>
  <cp:lastModifiedBy>Lita Trakina</cp:lastModifiedBy>
  <cp:revision>2</cp:revision>
  <dcterms:created xsi:type="dcterms:W3CDTF">2023-05-08T09:16:00Z</dcterms:created>
  <dcterms:modified xsi:type="dcterms:W3CDTF">2023-05-08T09:16:00Z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0x010100010AE40043085146B36B71FC7BC285E2</vt:lpwstr>
  </property>
</Properties>
</file>