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paragraph"/>
        <w:contextualSpacing w:val="0"/>
        <w:jc w:val="right"/>
        <w:spacing w:before="240" w:beforeAutospacing="0"/>
        <w:spacing w:lineRule="auto" w:line="240"/>
        <w:pBdr/>
        <w:rPr>
          <w:b w:val="1"/>
          <w:rtl w:val="0"/>
        </w:rPr>
      </w:pPr>
      <w:r w:rsidR="00000000" w:rsidRPr="00000000" w:rsidDel="00000000">
        <w:rPr>
          <w:rStyle w:val="paragraph"/>
          <w:b w:val="1"/>
          <w:rtl w:val="0"/>
        </w:rPr>
        <w:t xml:space="preserve"/>
      </w:r>
      <w:r w:rsidR="00000000" w:rsidRPr="00000000" w:rsidDel="00000000">
        <w:rPr>
          <w:rStyle w:val="paragraph"/>
          <w:b w:val="1"/>
          <w:rtl w:val="0"/>
        </w:rPr>
        <w:t xml:space="preserve">Ministru kabineta noteikumi Nr. 298</w:t>
      </w:r>
    </w:p>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Rīgā 2023. gada 13. jūnijā (prot. Nr. 32 16. §)</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Dabas aizsardzības pārvaldes publisko maksas pakalpojumu cenrādis</w:t>
      </w:r>
    </w:p>
    <w:p w:rsidP="00000000" w:rsidRDefault="00000000" w:rsidR="00000000" w:rsidRPr="00000000" w:rsidDel="00000000">
      <w:pPr>
        <w:pStyle w:val="paragraph"/>
        <w:contextualSpacing w:val="0"/>
        <w:jc w:val="right"/>
        <w:ind w:left="4820"/>
        <w:spacing w:lineRule="auto" w:line="240"/>
        <w:pBdr/>
      </w:pPr>
      <w:r w:rsidR="00000000" w:rsidRPr="00000000" w:rsidDel="00000000">
        <w:rPr>
          <w:rStyle w:val="paragraph"/>
          <w:rtl w:val="0"/>
        </w:rPr>
        <w:t xml:space="preserve"/>
      </w:r>
      <w:r w:rsidR="00000000" w:rsidRPr="00000000" w:rsidDel="00000000">
        <w:rPr>
          <w:rStyle w:val="paragraph"/>
          <w:i w:val="1"/>
          <w:rtl w:val="0"/>
        </w:rPr>
        <w:t xml:space="preserve">Izdoti saskaņā ar </w:t>
      </w:r>
      <w:r w:rsidR="00000000" w:rsidRPr="00000000" w:rsidDel="00000000">
        <w:rPr>
          <w:rStyle w:val="paragraph"/>
          <w:i w:val="1"/>
          <w:rtl w:val="0"/>
        </w:rPr>
        <w:t xml:space="preserve">Likuma par budžetu un finanšu vadību</w:t>
      </w:r>
      <w:r w:rsidR="00000000" w:rsidRPr="00000000" w:rsidDel="00000000">
        <w:rPr>
          <w:rStyle w:val="paragraph"/>
          <w:i w:val="1"/>
          <w:rtl w:val="0"/>
        </w:rPr>
        <w:t xml:space="preserve">  </w:t>
      </w:r>
      <w:r w:rsidR="00000000" w:rsidRPr="00000000" w:rsidDel="00000000">
        <w:rPr>
          <w:rStyle w:val="paragraph"/>
          <w:i w:val="1"/>
          <w:rtl w:val="0"/>
        </w:rPr>
        <w:t xml:space="preserve">5. panta</w:t>
      </w:r>
      <w:r w:rsidR="00000000" w:rsidRPr="00000000" w:rsidDel="00000000">
        <w:rPr>
          <w:rStyle w:val="paragraph"/>
          <w:i w:val="1"/>
          <w:rtl w:val="0"/>
        </w:rPr>
        <w:t xml:space="preserve"> devīto daļu</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Noteikumi nosaka Dabas aizsardzības pārvaldes (turpmāk – pārvalde) sniegto publisko maksas pakalpojumu cenrādi (turpmāk – cenrādis).</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Pārvalde publiskos maksas pakalpojumus sniedz saskaņā ar cenrādi (</w:t>
      </w:r>
      <w:r w:rsidR="00000000" w:rsidRPr="00000000" w:rsidDel="00000000">
        <w:rPr>
          <w:rtl w:val="0"/>
        </w:rPr>
        <w:t xml:space="preserve">pielikums</w:t>
      </w:r>
      <w:r w:rsidR="00000000" w:rsidRPr="00000000" w:rsidDel="00000000">
        <w:rPr>
          <w:rtl w:val="0"/>
        </w:rPr>
        <w:t xml:space="preserve">).</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Par šo noteikumu </w:t>
      </w:r>
      <w:r w:rsidR="00000000" w:rsidRPr="00000000" w:rsidDel="00000000">
        <w:rPr>
          <w:rtl w:val="0"/>
        </w:rPr>
        <w:t xml:space="preserve">pielikuma</w:t>
      </w:r>
      <w:r w:rsidR="00000000" w:rsidRPr="00000000" w:rsidDel="00000000">
        <w:rPr>
          <w:rtl w:val="0"/>
        </w:rPr>
        <w:t xml:space="preserve"> 1. punktā un 6.4. apakšpunktā minētajiem pakalpojumiem maksu neiekasē (piemēro 100 % atlaidi) no:</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3.</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bērniem, kas nav sasnieguši piecu gadu vecumu;</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3.</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bāreņiem un bez vecāku gādības palikušiem bērniem, krīzes centru, ilgstošas sociālās aprūpes un sociālās rehabilitācijas institūciju klientiem un Valsts izglītības informācijas sistēmā reģistrēto speciālo izglītības iestāžu izglītojamiem, kā arī viņus pavadošajām personām (uzrādot atbilstošus dokumentus);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3.</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personām, kas pavada bērnus ar invaliditāti vai personas, kuras nav sasniegušas 24 gadu vecumu un kurām ir noteikta I vai II grupas invaliditāte, vai personas ar I grupas invaliditāti;</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3.</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personām ar I un II grupas invaliditāti (uzrādot dokumentu, kas apliecina personas invaliditāti);</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3.</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viena grupas vadītāja, kas pavada vispārējās izglītības iestāžu, profesionālās izglītības iestāžu, augstskolu izglītojamos vai pieaugušo grupu (grupā 16 līdz 30 apmeklētāji), vai pamatskolas grupu (grupā 5 līdz 14 izglītojamie);</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3.</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diviem grupas vadītājiem, kas pavada pamatskolas grupu, kurā ir 15 un vairāk izglītojamie;</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3.</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trīs grupas vadītājiem, kas pavada pirmsskolas vecuma bērnu grupu (grupā 10 līdz 30 izglītojamie).</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Pārvalde šo noteikumu </w:t>
      </w:r>
      <w:r w:rsidR="00000000" w:rsidRPr="00000000" w:rsidDel="00000000">
        <w:rPr>
          <w:rtl w:val="0"/>
        </w:rPr>
        <w:t xml:space="preserve">pielikuma</w:t>
      </w:r>
      <w:r w:rsidR="00000000" w:rsidRPr="00000000" w:rsidDel="00000000">
        <w:rPr>
          <w:rtl w:val="0"/>
        </w:rPr>
        <w:t xml:space="preserve"> 1.1., 1.2. un 1.3. apakšpunktā minētajiem pakalpojumiem piemēro 50 % atlaidi daudzbērnu ģimenēm (uzrādot dokumentus, kas noteikti normatīvajos aktos par Latvijas Goda ģimenes apliecības programmas īstenošanas kārtību, un dokumentus, kas apliecina daudzbērnu ģimenes statusu vai bērnu skaitu) un ģimenēm, kuru aprūpē ir bērns ar invaliditāti vai persona, kura nav sasniegusi 24 gadu vecumu un kurai ir noteikta I vai II grupas invaliditāte (uzrādot Latvijas Goda ģimenes apliecību vai dokumentu, kas apliecina personas invaliditāti, un dokumentus, kas noteikti normatīvajos aktos par Latvijas Goda ģimenes apliecības programmas īstenošanas kārtību).</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Pārvalde šo noteikumu </w:t>
      </w:r>
      <w:r w:rsidR="00000000" w:rsidRPr="00000000" w:rsidDel="00000000">
        <w:rPr>
          <w:rtl w:val="0"/>
        </w:rPr>
        <w:t xml:space="preserve">pielikuma</w:t>
      </w:r>
      <w:r w:rsidR="00000000" w:rsidRPr="00000000" w:rsidDel="00000000">
        <w:rPr>
          <w:rtl w:val="0"/>
        </w:rPr>
        <w:t xml:space="preserve"> 1.1., 1.2., 1.3. apakšpunktā un 4., 5., 6., 7. punktā minētajiem pakalpojumiem piemēro šādu atlaidi:</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5.</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30 % – pārvaldes atpazīstamības veicināšanai sadarbības partneru organizētos pasākumos un akcijās;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5.</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50 % – pārvaldes organizēto pasākumu un akciju atpazīstamības veicināšanai un apmeklētāju piesaistei;</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5.</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100 % – sadarbības partneriem dabas izpratnes, kultūras aktivitāšu un pieredzes apmaiņas veicināšanai un mediju pārstāvjiem profesionālās darbības nodrošināšanai.</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Maksājumu par pārvaldes sniegtajiem publiskajiem maksas pakalpojumiem veic, izmantojot vienu no šādiem maksāšanas veidiem:</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6.</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ar tāda maksājumu pakalpojuma sniedzēja starpniecību, kuram ir tiesības sniegt maksājumu pakalpojumus Maksājumu pakalpojumu un elektroniskās naudas likuma izpratnē;</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6.</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ar maksājumu karti maksājumu karšu pieņemšanas terminālī vai citā alternatīvā sistēmā, ja pārvalde vai starpniekinstitūcija to tehniski nodrošina, par maksas pakalpojumiem, kas ir norādīti šo noteikumu </w:t>
      </w:r>
      <w:r w:rsidR="00000000" w:rsidRPr="00000000" w:rsidDel="00000000">
        <w:rPr>
          <w:rtl w:val="0"/>
        </w:rPr>
        <w:t xml:space="preserve">pielikuma</w:t>
      </w:r>
      <w:r w:rsidR="00000000" w:rsidRPr="00000000" w:rsidDel="00000000">
        <w:rPr>
          <w:rtl w:val="0"/>
        </w:rPr>
        <w:t xml:space="preserve"> 1. un 2. punktā;</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6.</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ar pārskaitījumu pārvaldes norēķinu kontā Valsts kasē par maksas pakalpojumiem, kas ir norādīti šo noteikumu </w:t>
      </w:r>
      <w:r w:rsidR="00000000" w:rsidRPr="00000000" w:rsidDel="00000000">
        <w:rPr>
          <w:rtl w:val="0"/>
        </w:rPr>
        <w:t xml:space="preserve">pielikuma</w:t>
      </w:r>
      <w:r w:rsidR="00000000" w:rsidRPr="00000000" w:rsidDel="00000000">
        <w:rPr>
          <w:rtl w:val="0"/>
        </w:rPr>
        <w:t xml:space="preserve"> 3., 4., 5., 6., 7. un 8. punktā.</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Atzīt par spēku zaudējušiem Ministru kabineta 2013. gada 16. jūlija noteikumus Nr. 406 "Dabas aizsardzības pārvaldes publisko maksas pakalpojumu cenrādis" (Latvijas Vēstnesis, 2013, 156. nr.).</w:t>
      </w:r>
    </w:p>
    <w:p w:rsidP="00000000" w:rsidRDefault="00000000" w:rsidR="00000000" w:rsidRPr="00000000" w:rsidDel="00000000">
      <w:pPr>
        <w:contextualSpacing w:val="0"/>
        <w:spacing w:before="480" w:beforeAutospacing="0"/>
        <w:spacing w:lineRule="auto" w:line="240"/>
        <w:pBdr/>
      </w:pPr>
      <w:r w:rsidR="00000000" w:rsidRPr="00000000" w:rsidDel="00000000">
        <w:rPr>
          <w:rtl w:val="0"/>
        </w:rPr>
        <w:t xml:space="preserve"/>
      </w:r>
    </w:p>
    <w:tbl>
      <w:tblPr>
        <w:tblStyle w:val="DefaultTable"/>
        <w:bidiVisual w:val="0"/>
        <w:tblW w:w="9642.0" w:type="dxa"/>
        <w:tblInd w:w="0.0" w:type="dxa"/>
        <w:jc w:val="left"/>
        <w:tblLayout w:type="fixed"/>
        <w:tblLook w:val="0600"/>
      </w:tblPr>
      <w:tblGrid>
        <w:gridCol w:w="2721"/>
        <w:gridCol w:w="4200"/>
        <w:gridCol w:w="2721"/>
        <w:tblGridChange w:id="0">
          <w:tblGrid>
            <w:gridCol w:w="2721"/>
            <w:gridCol w:w="4200"/>
            <w:gridCol w:w="2721"/>
          </w:tblGrid>
        </w:tblGridChange>
      </w:tblGrid>
      <w:tr>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Ministru prezidents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A. K. Kariņš</w:t>
            </w:r>
          </w:p>
        </w:tc>
      </w:tr>
      <w:tr>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Vides aizsardzības un reģionālās attīstības ministrs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M. Sprindžuks</w:t>
            </w:r>
          </w:p>
        </w:tc>
      </w:tr>
    </w:tbl>
    <w:p w:rsidP="00000000" w:rsidRDefault="00000000" w:rsidR="00000000" w:rsidRPr="00000000" w:rsidDel="00000000">
      <w:pPr>
        <w:contextualSpacing w:val="0"/>
        <w:ind w:left="705"/>
        <w:spacing w:before="800" w:beforeAutospacing="0"/>
        <w:spacing w:lineRule="auto" w:line="240"/>
        <w:pBdr/>
      </w:pPr>
      <w:r w:rsidR="00000000" w:rsidRPr="00000000" w:rsidDel="00000000">
        <w:rPr>
          <w:rtl w:val="0"/>
        </w:rPr>
        <w:t xml:space="preserve"/>
      </w:r>
      <w:r w:rsidR="00000000" w:rsidRPr="00000000" w:rsidDel="00000000">
        <w:rPr>
          <w:sz w:val="24"/>
          <w:rtl w:val="0"/>
        </w:rPr>
        <w:t xml:space="preserve">* Dokuments ir parakstīts ar drošu elektronisko parakstu</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projekts 22-TA-3138</w:t>
    </w:r>
    <w:r>
      <w:br/>
    </w:r>
    <w:r w:rsidR="00000000" w:rsidRPr="00000000" w:rsidDel="00000000">
      <w:rPr>
        <w:rtl w:val="0"/>
      </w:rPr>
      <w:t xml:space="preserve">Izdrukāts 14.06.2023. 11.20</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projekts 22-TA-3138</w:t>
    </w:r>
    <w:r>
      <w:br/>
    </w:r>
    <w:r w:rsidR="00000000" w:rsidRPr="00000000" w:rsidDel="00000000">
      <w:rPr>
        <w:rtl w:val="0"/>
      </w:rPr>
      <w:t xml:space="preserve">Izdrukāts 14.06.2023. 11.20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both"/>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signed_document_paragraph" w:type="paragraph">
    <w:name w:val="signed_document_paragraph"/>
    <w:basedOn w:val="Normal"/>
    <w:next w:val="Normal"/>
    <w:pPr>
      <w:keepNext w:val="0"/>
      <w:keepLines w:val="0"/>
      <w:widowControl w:val="1"/>
      <w:contextualSpacing w:val="1"/>
      <w:jc w:val="right"/>
    </w:pPr>
    <w:rPr>
      <w:sz w:val="24"/>
    </w:rPr>
  </w:style>
  <w:style w:styleId="bold_paragraph_header" w:type="paragraph">
    <w:name w:val="bold_paragraph_header"/>
    <w:basedOn w:val="Normal"/>
    <w:next w:val="Normal"/>
    <w:pPr>
      <w:keepNext w:val="0"/>
      <w:keepLines w:val="0"/>
      <w:widowControl w:val="1"/>
      <w:spacing w:lineRule="auto" w:line="240"/>
      <w:contextualSpacing w:val="1"/>
      <w:jc w:val="center"/>
    </w:pPr>
    <w:rPr>
      <w:b w:val="1"/>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footer2.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 Target="header1.xml" Type="http://schemas.openxmlformats.org/officeDocument/2006/relationships/header" Id="rId7"/><Relationship Target="header2.xml" Type="http://schemas.openxmlformats.org/officeDocument/2006/relationships/header"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noteikumu_projekts_22-TA-3138.docx</dc:title>
</cp:coreProperties>
</file>

<file path=docProps/custom.xml><?xml version="1.0" encoding="utf-8"?>
<Properties xmlns="http://schemas.openxmlformats.org/officeDocument/2006/custom-properties" xmlns:vt="http://schemas.openxmlformats.org/officeDocument/2006/docPropsVTypes"/>
</file>