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38C4" w14:textId="77777777" w:rsidR="00CC13D4" w:rsidRPr="00550D35" w:rsidRDefault="00CC13D4" w:rsidP="00CC13D4">
      <w:pPr>
        <w:spacing w:before="0" w:after="0"/>
        <w:ind w:firstLine="0"/>
        <w:jc w:val="center"/>
        <w:rPr>
          <w:lang w:val="lv-LV"/>
        </w:rPr>
      </w:pPr>
    </w:p>
    <w:p w14:paraId="1D2F20B8" w14:textId="77777777" w:rsidR="00CC13D4" w:rsidRPr="00550D35" w:rsidRDefault="00CC13D4" w:rsidP="00CC13D4">
      <w:pPr>
        <w:spacing w:before="0" w:after="0"/>
        <w:ind w:firstLine="0"/>
        <w:jc w:val="center"/>
        <w:rPr>
          <w:lang w:val="lv-LV"/>
        </w:rPr>
      </w:pPr>
    </w:p>
    <w:p w14:paraId="0B92DD5D" w14:textId="77777777" w:rsidR="00CC13D4" w:rsidRPr="00550D35" w:rsidRDefault="00CC13D4" w:rsidP="00CC13D4">
      <w:pPr>
        <w:spacing w:before="0" w:after="0"/>
        <w:ind w:firstLine="0"/>
        <w:jc w:val="center"/>
        <w:rPr>
          <w:lang w:val="lv-LV"/>
        </w:rPr>
      </w:pPr>
    </w:p>
    <w:p w14:paraId="507CA058" w14:textId="77777777" w:rsidR="00CC13D4" w:rsidRPr="00550D35" w:rsidRDefault="00CC13D4" w:rsidP="00CC13D4">
      <w:pPr>
        <w:spacing w:before="0" w:after="0"/>
        <w:ind w:firstLine="0"/>
        <w:jc w:val="center"/>
        <w:rPr>
          <w:lang w:val="lv-LV"/>
        </w:rPr>
      </w:pPr>
    </w:p>
    <w:p w14:paraId="66D68603" w14:textId="77777777" w:rsidR="00CC13D4" w:rsidRPr="00550D35" w:rsidRDefault="00CC13D4" w:rsidP="00CC13D4">
      <w:pPr>
        <w:spacing w:before="0" w:after="0"/>
        <w:ind w:firstLine="0"/>
        <w:jc w:val="center"/>
        <w:rPr>
          <w:lang w:val="lv-LV"/>
        </w:rPr>
      </w:pPr>
    </w:p>
    <w:p w14:paraId="0675B6EA" w14:textId="77777777" w:rsidR="00CC13D4" w:rsidRPr="00550D35" w:rsidRDefault="00CC13D4" w:rsidP="00CC13D4">
      <w:pPr>
        <w:spacing w:before="0" w:after="0"/>
        <w:ind w:firstLine="0"/>
        <w:jc w:val="center"/>
        <w:rPr>
          <w:lang w:val="lv-LV"/>
        </w:rPr>
      </w:pPr>
    </w:p>
    <w:p w14:paraId="570AD8D4" w14:textId="77777777" w:rsidR="00CC13D4" w:rsidRPr="00550D35" w:rsidRDefault="00CC13D4" w:rsidP="00CC13D4">
      <w:pPr>
        <w:spacing w:before="0" w:after="0"/>
        <w:ind w:firstLine="0"/>
        <w:jc w:val="center"/>
        <w:rPr>
          <w:lang w:val="lv-LV"/>
        </w:rPr>
      </w:pPr>
    </w:p>
    <w:p w14:paraId="1D568444" w14:textId="77777777" w:rsidR="00CC13D4" w:rsidRPr="00550D35" w:rsidRDefault="00CC13D4" w:rsidP="00CC13D4">
      <w:pPr>
        <w:spacing w:before="0" w:after="0"/>
        <w:ind w:firstLine="0"/>
        <w:jc w:val="center"/>
        <w:rPr>
          <w:lang w:val="lv-LV"/>
        </w:rPr>
      </w:pPr>
    </w:p>
    <w:p w14:paraId="3C30F34C" w14:textId="77777777" w:rsidR="00CC13D4" w:rsidRPr="00550D35" w:rsidRDefault="00CC13D4" w:rsidP="00CC13D4">
      <w:pPr>
        <w:spacing w:before="0" w:after="0"/>
        <w:ind w:firstLine="0"/>
        <w:jc w:val="center"/>
        <w:rPr>
          <w:lang w:val="lv-LV"/>
        </w:rPr>
      </w:pPr>
    </w:p>
    <w:p w14:paraId="24BC3B68" w14:textId="77777777" w:rsidR="00271655" w:rsidRPr="00550D35" w:rsidRDefault="00271655" w:rsidP="00271655">
      <w:pPr>
        <w:spacing w:before="0" w:after="0"/>
        <w:ind w:firstLine="0"/>
        <w:jc w:val="center"/>
        <w:rPr>
          <w:lang w:val="lv-LV"/>
        </w:rPr>
      </w:pPr>
      <w:r w:rsidRPr="00550D35">
        <w:rPr>
          <w:sz w:val="52"/>
          <w:szCs w:val="52"/>
          <w:lang w:val="lv-LV"/>
        </w:rPr>
        <w:t>Informatīvais ziņojums</w:t>
      </w:r>
    </w:p>
    <w:p w14:paraId="3F377CCB" w14:textId="77777777" w:rsidR="00CC13D4" w:rsidRPr="00550D35" w:rsidRDefault="00CC13D4" w:rsidP="00CC13D4">
      <w:pPr>
        <w:spacing w:before="0" w:after="0"/>
        <w:ind w:firstLine="0"/>
        <w:jc w:val="center"/>
        <w:rPr>
          <w:lang w:val="lv-LV"/>
        </w:rPr>
      </w:pPr>
    </w:p>
    <w:p w14:paraId="03E7F126" w14:textId="77777777" w:rsidR="00CC13D4" w:rsidRPr="00550D35" w:rsidRDefault="00CC13D4" w:rsidP="00CC13D4">
      <w:pPr>
        <w:spacing w:before="0" w:after="0"/>
        <w:ind w:firstLine="0"/>
        <w:jc w:val="center"/>
        <w:rPr>
          <w:lang w:val="lv-LV"/>
        </w:rPr>
      </w:pPr>
    </w:p>
    <w:p w14:paraId="4AB0701A" w14:textId="77777777" w:rsidR="00CC13D4" w:rsidRPr="00550D35" w:rsidRDefault="00CC13D4" w:rsidP="00CC13D4">
      <w:pPr>
        <w:spacing w:before="0" w:after="0"/>
        <w:ind w:firstLine="0"/>
        <w:jc w:val="center"/>
        <w:rPr>
          <w:lang w:val="lv-LV"/>
        </w:rPr>
      </w:pPr>
    </w:p>
    <w:p w14:paraId="636E98D0" w14:textId="77777777" w:rsidR="00CC13D4" w:rsidRPr="00550D35" w:rsidRDefault="00CC13D4" w:rsidP="00CC13D4">
      <w:pPr>
        <w:spacing w:before="0" w:after="0"/>
        <w:ind w:firstLine="0"/>
        <w:jc w:val="center"/>
        <w:rPr>
          <w:lang w:val="lv-LV"/>
        </w:rPr>
      </w:pPr>
    </w:p>
    <w:p w14:paraId="747BF2D3" w14:textId="5119BA41" w:rsidR="00CC13D4" w:rsidRPr="00550D35" w:rsidRDefault="00CC13D4" w:rsidP="00CC13D4">
      <w:pPr>
        <w:spacing w:before="0" w:after="0"/>
        <w:ind w:firstLine="0"/>
        <w:jc w:val="center"/>
        <w:rPr>
          <w:b/>
          <w:bCs/>
          <w:sz w:val="52"/>
          <w:szCs w:val="52"/>
          <w:lang w:val="lv-LV"/>
        </w:rPr>
      </w:pPr>
      <w:r w:rsidRPr="00550D35">
        <w:rPr>
          <w:b/>
          <w:bCs/>
          <w:sz w:val="52"/>
          <w:szCs w:val="52"/>
          <w:lang w:val="lv-LV"/>
        </w:rPr>
        <w:t>Digitālās desmitgades</w:t>
      </w:r>
    </w:p>
    <w:p w14:paraId="04C97E5D" w14:textId="24E93D67" w:rsidR="00CC13D4" w:rsidRPr="00550D35" w:rsidRDefault="00CC13D4" w:rsidP="00CC13D4">
      <w:pPr>
        <w:spacing w:before="0" w:after="0"/>
        <w:ind w:firstLine="0"/>
        <w:jc w:val="center"/>
        <w:rPr>
          <w:b/>
          <w:bCs/>
          <w:sz w:val="52"/>
          <w:szCs w:val="52"/>
          <w:lang w:val="lv-LV"/>
        </w:rPr>
      </w:pPr>
      <w:r w:rsidRPr="00550D35">
        <w:rPr>
          <w:b/>
          <w:bCs/>
          <w:sz w:val="52"/>
          <w:szCs w:val="52"/>
          <w:lang w:val="lv-LV"/>
        </w:rPr>
        <w:t>stratēģiskais ceļvedis Latvijai</w:t>
      </w:r>
      <w:r w:rsidRPr="00550D35">
        <w:rPr>
          <w:b/>
          <w:bCs/>
          <w:sz w:val="52"/>
          <w:szCs w:val="52"/>
          <w:lang w:val="lv-LV"/>
        </w:rPr>
        <w:br/>
        <w:t>līdz 2030.gadam</w:t>
      </w:r>
    </w:p>
    <w:p w14:paraId="56B00A6B" w14:textId="77777777" w:rsidR="00400BC9" w:rsidRPr="00550D35" w:rsidRDefault="00400BC9" w:rsidP="00FD0CB3">
      <w:pPr>
        <w:widowControl w:val="0"/>
        <w:spacing w:before="0" w:after="0"/>
        <w:ind w:firstLine="0"/>
        <w:jc w:val="left"/>
        <w:rPr>
          <w:b/>
          <w:bCs/>
          <w:szCs w:val="24"/>
          <w:lang w:val="lv-LV"/>
        </w:rPr>
      </w:pPr>
    </w:p>
    <w:p w14:paraId="3AF1959E" w14:textId="77777777" w:rsidR="00400BC9" w:rsidRPr="00550D35" w:rsidRDefault="00400BC9" w:rsidP="00FD0CB3">
      <w:pPr>
        <w:widowControl w:val="0"/>
        <w:spacing w:before="0" w:after="0"/>
        <w:ind w:firstLine="0"/>
        <w:jc w:val="left"/>
        <w:rPr>
          <w:b/>
          <w:bCs/>
          <w:szCs w:val="24"/>
          <w:lang w:val="lv-LV"/>
        </w:rPr>
      </w:pPr>
    </w:p>
    <w:p w14:paraId="31F433BF" w14:textId="77777777" w:rsidR="00400BC9" w:rsidRPr="00550D35" w:rsidRDefault="00400BC9" w:rsidP="00FD0CB3">
      <w:pPr>
        <w:widowControl w:val="0"/>
        <w:spacing w:before="0" w:after="0"/>
        <w:ind w:firstLine="0"/>
        <w:jc w:val="left"/>
        <w:rPr>
          <w:b/>
          <w:bCs/>
          <w:szCs w:val="24"/>
          <w:lang w:val="lv-LV"/>
        </w:rPr>
      </w:pPr>
    </w:p>
    <w:p w14:paraId="2E409C9C" w14:textId="77777777" w:rsidR="00400BC9" w:rsidRPr="00550D35" w:rsidRDefault="00400BC9" w:rsidP="00FD0CB3">
      <w:pPr>
        <w:widowControl w:val="0"/>
        <w:spacing w:before="0" w:after="0"/>
        <w:ind w:firstLine="0"/>
        <w:jc w:val="left"/>
        <w:rPr>
          <w:b/>
          <w:bCs/>
          <w:szCs w:val="24"/>
          <w:lang w:val="lv-LV"/>
        </w:rPr>
      </w:pPr>
    </w:p>
    <w:p w14:paraId="3CC3EFAF" w14:textId="77777777" w:rsidR="00400BC9" w:rsidRPr="00550D35" w:rsidRDefault="00400BC9" w:rsidP="00FD0CB3">
      <w:pPr>
        <w:widowControl w:val="0"/>
        <w:spacing w:before="0" w:after="0"/>
        <w:ind w:firstLine="0"/>
        <w:jc w:val="left"/>
        <w:rPr>
          <w:b/>
          <w:bCs/>
          <w:szCs w:val="24"/>
          <w:lang w:val="lv-LV"/>
        </w:rPr>
      </w:pPr>
    </w:p>
    <w:p w14:paraId="6FD26B90" w14:textId="77777777" w:rsidR="00400BC9" w:rsidRPr="00550D35" w:rsidRDefault="00400BC9" w:rsidP="00FD0CB3">
      <w:pPr>
        <w:widowControl w:val="0"/>
        <w:spacing w:before="0" w:after="0"/>
        <w:ind w:firstLine="0"/>
        <w:jc w:val="left"/>
        <w:rPr>
          <w:b/>
          <w:bCs/>
          <w:szCs w:val="24"/>
          <w:lang w:val="lv-LV"/>
        </w:rPr>
      </w:pPr>
    </w:p>
    <w:p w14:paraId="0F344ADD" w14:textId="77777777" w:rsidR="00400BC9" w:rsidRPr="00550D35" w:rsidRDefault="00400BC9" w:rsidP="00FD0CB3">
      <w:pPr>
        <w:widowControl w:val="0"/>
        <w:spacing w:before="0" w:after="0"/>
        <w:ind w:firstLine="0"/>
        <w:jc w:val="left"/>
        <w:rPr>
          <w:b/>
          <w:bCs/>
          <w:szCs w:val="24"/>
          <w:lang w:val="lv-LV"/>
        </w:rPr>
      </w:pPr>
    </w:p>
    <w:p w14:paraId="099EC4D7" w14:textId="77777777" w:rsidR="00400BC9" w:rsidRPr="00550D35" w:rsidRDefault="00400BC9" w:rsidP="00FD0CB3">
      <w:pPr>
        <w:widowControl w:val="0"/>
        <w:spacing w:before="0" w:after="0"/>
        <w:ind w:firstLine="0"/>
        <w:jc w:val="left"/>
        <w:rPr>
          <w:b/>
          <w:bCs/>
          <w:szCs w:val="24"/>
          <w:lang w:val="lv-LV"/>
        </w:rPr>
      </w:pPr>
    </w:p>
    <w:p w14:paraId="2858CA48" w14:textId="77777777" w:rsidR="00400BC9" w:rsidRPr="00550D35" w:rsidRDefault="00400BC9" w:rsidP="00FD0CB3">
      <w:pPr>
        <w:widowControl w:val="0"/>
        <w:spacing w:before="0" w:after="0"/>
        <w:ind w:firstLine="0"/>
        <w:jc w:val="left"/>
        <w:rPr>
          <w:b/>
          <w:bCs/>
          <w:szCs w:val="24"/>
          <w:lang w:val="lv-LV"/>
        </w:rPr>
      </w:pPr>
    </w:p>
    <w:p w14:paraId="63BD315C" w14:textId="77777777" w:rsidR="00400BC9" w:rsidRPr="00550D35" w:rsidRDefault="00400BC9" w:rsidP="00FD0CB3">
      <w:pPr>
        <w:widowControl w:val="0"/>
        <w:spacing w:before="0" w:after="0"/>
        <w:ind w:firstLine="0"/>
        <w:jc w:val="left"/>
        <w:rPr>
          <w:b/>
          <w:bCs/>
          <w:szCs w:val="24"/>
          <w:lang w:val="lv-LV"/>
        </w:rPr>
      </w:pPr>
    </w:p>
    <w:p w14:paraId="79404BDD" w14:textId="77777777" w:rsidR="00400BC9" w:rsidRPr="00550D35" w:rsidRDefault="00400BC9" w:rsidP="00FD0CB3">
      <w:pPr>
        <w:widowControl w:val="0"/>
        <w:spacing w:before="0" w:after="0"/>
        <w:ind w:firstLine="0"/>
        <w:jc w:val="left"/>
        <w:rPr>
          <w:b/>
          <w:bCs/>
          <w:szCs w:val="24"/>
          <w:lang w:val="lv-LV"/>
        </w:rPr>
      </w:pPr>
    </w:p>
    <w:p w14:paraId="7184E94B" w14:textId="77777777" w:rsidR="00400BC9" w:rsidRPr="00550D35" w:rsidRDefault="00400BC9" w:rsidP="00FD0CB3">
      <w:pPr>
        <w:widowControl w:val="0"/>
        <w:spacing w:before="0" w:after="0"/>
        <w:ind w:firstLine="0"/>
        <w:jc w:val="left"/>
        <w:rPr>
          <w:b/>
          <w:bCs/>
          <w:szCs w:val="24"/>
          <w:lang w:val="lv-LV"/>
        </w:rPr>
      </w:pPr>
    </w:p>
    <w:p w14:paraId="24BEC313" w14:textId="77777777" w:rsidR="00400BC9" w:rsidRPr="00550D35" w:rsidRDefault="00400BC9" w:rsidP="00FD0CB3">
      <w:pPr>
        <w:widowControl w:val="0"/>
        <w:spacing w:before="0" w:after="0"/>
        <w:ind w:firstLine="0"/>
        <w:jc w:val="left"/>
        <w:rPr>
          <w:b/>
          <w:bCs/>
          <w:szCs w:val="24"/>
          <w:lang w:val="lv-LV"/>
        </w:rPr>
      </w:pPr>
    </w:p>
    <w:p w14:paraId="6EAE4AB9" w14:textId="77777777" w:rsidR="00400BC9" w:rsidRPr="00550D35" w:rsidRDefault="00400BC9" w:rsidP="00FD0CB3">
      <w:pPr>
        <w:widowControl w:val="0"/>
        <w:spacing w:before="0" w:after="0"/>
        <w:ind w:firstLine="0"/>
        <w:jc w:val="left"/>
        <w:rPr>
          <w:b/>
          <w:bCs/>
          <w:szCs w:val="24"/>
          <w:lang w:val="lv-LV"/>
        </w:rPr>
      </w:pPr>
    </w:p>
    <w:p w14:paraId="20FEC1BE" w14:textId="1235F01E" w:rsidR="00450377" w:rsidRPr="00550D35" w:rsidRDefault="00450377" w:rsidP="00400BC9">
      <w:pPr>
        <w:widowControl w:val="0"/>
        <w:spacing w:before="0" w:after="0"/>
        <w:ind w:firstLine="0"/>
        <w:jc w:val="center"/>
        <w:rPr>
          <w:b/>
          <w:bCs/>
          <w:szCs w:val="24"/>
          <w:lang w:val="lv-LV"/>
        </w:rPr>
      </w:pPr>
      <w:r w:rsidRPr="00550D35">
        <w:rPr>
          <w:b/>
          <w:bCs/>
          <w:szCs w:val="24"/>
          <w:lang w:val="lv-LV"/>
        </w:rPr>
        <w:t>20</w:t>
      </w:r>
      <w:r w:rsidR="00DA15DE">
        <w:rPr>
          <w:b/>
          <w:bCs/>
          <w:szCs w:val="24"/>
          <w:lang w:val="lv-LV"/>
        </w:rPr>
        <w:t>24</w:t>
      </w:r>
      <w:r w:rsidRPr="00550D35">
        <w:rPr>
          <w:b/>
          <w:bCs/>
          <w:szCs w:val="24"/>
          <w:lang w:val="lv-LV"/>
        </w:rPr>
        <w:t>. gads</w:t>
      </w:r>
    </w:p>
    <w:p w14:paraId="3698E69D" w14:textId="0081AE6B" w:rsidR="00CC13D4" w:rsidRPr="00550D35" w:rsidRDefault="00CC13D4" w:rsidP="00400BC9">
      <w:pPr>
        <w:pageBreakBefore/>
        <w:spacing w:before="0" w:after="0"/>
        <w:ind w:firstLine="0"/>
        <w:jc w:val="center"/>
        <w:rPr>
          <w:b/>
          <w:bCs/>
          <w:kern w:val="28"/>
          <w:sz w:val="52"/>
          <w:szCs w:val="52"/>
          <w:lang w:val="lv-LV"/>
        </w:rPr>
      </w:pPr>
    </w:p>
    <w:p w14:paraId="6508A4D5" w14:textId="39293146" w:rsidR="00A26CD8" w:rsidRDefault="00D23402">
      <w:pPr>
        <w:pStyle w:val="TOC1"/>
        <w:rPr>
          <w:rFonts w:asciiTheme="minorHAnsi" w:eastAsiaTheme="minorEastAsia" w:hAnsiTheme="minorHAnsi" w:cstheme="minorBidi"/>
          <w:noProof/>
          <w:kern w:val="2"/>
          <w:szCs w:val="24"/>
          <w:lang w:val="lv-LV" w:eastAsia="lv-LV"/>
          <w14:ligatures w14:val="standardContextual"/>
        </w:rPr>
      </w:pPr>
      <w:r w:rsidRPr="00550D35">
        <w:rPr>
          <w:b/>
          <w:bCs/>
          <w:sz w:val="22"/>
          <w:szCs w:val="22"/>
          <w:lang w:val="lv-LV"/>
        </w:rPr>
        <w:fldChar w:fldCharType="begin"/>
      </w:r>
      <w:r w:rsidRPr="00550D35">
        <w:rPr>
          <w:b/>
          <w:bCs/>
          <w:sz w:val="22"/>
          <w:szCs w:val="22"/>
          <w:lang w:val="lv-LV"/>
        </w:rPr>
        <w:instrText xml:space="preserve"> TOC \o "1-1" \h \z \u </w:instrText>
      </w:r>
      <w:r w:rsidRPr="00550D35">
        <w:rPr>
          <w:b/>
          <w:bCs/>
          <w:sz w:val="22"/>
          <w:szCs w:val="22"/>
          <w:lang w:val="lv-LV"/>
        </w:rPr>
        <w:fldChar w:fldCharType="separate"/>
      </w:r>
      <w:hyperlink w:anchor="_Toc155952333" w:history="1">
        <w:r w:rsidR="00A26CD8" w:rsidRPr="00A82094">
          <w:rPr>
            <w:rStyle w:val="Hyperlink"/>
            <w:noProof/>
          </w:rPr>
          <w:t>1.</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Ievads</w:t>
        </w:r>
        <w:r w:rsidR="00A26CD8">
          <w:rPr>
            <w:noProof/>
            <w:webHidden/>
          </w:rPr>
          <w:tab/>
        </w:r>
        <w:r w:rsidR="00A26CD8">
          <w:rPr>
            <w:noProof/>
            <w:webHidden/>
          </w:rPr>
          <w:fldChar w:fldCharType="begin"/>
        </w:r>
        <w:r w:rsidR="00A26CD8">
          <w:rPr>
            <w:noProof/>
            <w:webHidden/>
          </w:rPr>
          <w:instrText xml:space="preserve"> PAGEREF _Toc155952333 \h </w:instrText>
        </w:r>
        <w:r w:rsidR="00A26CD8">
          <w:rPr>
            <w:noProof/>
            <w:webHidden/>
          </w:rPr>
        </w:r>
        <w:r w:rsidR="00A26CD8">
          <w:rPr>
            <w:noProof/>
            <w:webHidden/>
          </w:rPr>
          <w:fldChar w:fldCharType="separate"/>
        </w:r>
        <w:r w:rsidR="00A26CD8">
          <w:rPr>
            <w:noProof/>
            <w:webHidden/>
          </w:rPr>
          <w:t>5</w:t>
        </w:r>
        <w:r w:rsidR="00A26CD8">
          <w:rPr>
            <w:noProof/>
            <w:webHidden/>
          </w:rPr>
          <w:fldChar w:fldCharType="end"/>
        </w:r>
      </w:hyperlink>
    </w:p>
    <w:p w14:paraId="17A87266" w14:textId="26F06351"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34" w:history="1">
        <w:r w:rsidR="00A26CD8" w:rsidRPr="00A82094">
          <w:rPr>
            <w:rStyle w:val="Hyperlink"/>
            <w:noProof/>
          </w:rPr>
          <w:t>2.</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Vismaz pamata digitālās prasmes</w:t>
        </w:r>
        <w:r w:rsidR="00A26CD8">
          <w:rPr>
            <w:noProof/>
            <w:webHidden/>
          </w:rPr>
          <w:tab/>
        </w:r>
        <w:r w:rsidR="00A26CD8">
          <w:rPr>
            <w:noProof/>
            <w:webHidden/>
          </w:rPr>
          <w:fldChar w:fldCharType="begin"/>
        </w:r>
        <w:r w:rsidR="00A26CD8">
          <w:rPr>
            <w:noProof/>
            <w:webHidden/>
          </w:rPr>
          <w:instrText xml:space="preserve"> PAGEREF _Toc155952334 \h </w:instrText>
        </w:r>
        <w:r w:rsidR="00A26CD8">
          <w:rPr>
            <w:noProof/>
            <w:webHidden/>
          </w:rPr>
        </w:r>
        <w:r w:rsidR="00A26CD8">
          <w:rPr>
            <w:noProof/>
            <w:webHidden/>
          </w:rPr>
          <w:fldChar w:fldCharType="separate"/>
        </w:r>
        <w:r w:rsidR="00A26CD8">
          <w:rPr>
            <w:noProof/>
            <w:webHidden/>
          </w:rPr>
          <w:t>7</w:t>
        </w:r>
        <w:r w:rsidR="00A26CD8">
          <w:rPr>
            <w:noProof/>
            <w:webHidden/>
          </w:rPr>
          <w:fldChar w:fldCharType="end"/>
        </w:r>
      </w:hyperlink>
    </w:p>
    <w:p w14:paraId="34395F90" w14:textId="51520491"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35" w:history="1">
        <w:r w:rsidR="00A26CD8" w:rsidRPr="00A82094">
          <w:rPr>
            <w:rStyle w:val="Hyperlink"/>
            <w:noProof/>
          </w:rPr>
          <w:t>3.</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IKT speciālisti</w:t>
        </w:r>
        <w:r w:rsidR="00A26CD8">
          <w:rPr>
            <w:noProof/>
            <w:webHidden/>
          </w:rPr>
          <w:tab/>
        </w:r>
        <w:r w:rsidR="00A26CD8">
          <w:rPr>
            <w:noProof/>
            <w:webHidden/>
          </w:rPr>
          <w:fldChar w:fldCharType="begin"/>
        </w:r>
        <w:r w:rsidR="00A26CD8">
          <w:rPr>
            <w:noProof/>
            <w:webHidden/>
          </w:rPr>
          <w:instrText xml:space="preserve"> PAGEREF _Toc155952335 \h </w:instrText>
        </w:r>
        <w:r w:rsidR="00A26CD8">
          <w:rPr>
            <w:noProof/>
            <w:webHidden/>
          </w:rPr>
        </w:r>
        <w:r w:rsidR="00A26CD8">
          <w:rPr>
            <w:noProof/>
            <w:webHidden/>
          </w:rPr>
          <w:fldChar w:fldCharType="separate"/>
        </w:r>
        <w:r w:rsidR="00A26CD8">
          <w:rPr>
            <w:noProof/>
            <w:webHidden/>
          </w:rPr>
          <w:t>18</w:t>
        </w:r>
        <w:r w:rsidR="00A26CD8">
          <w:rPr>
            <w:noProof/>
            <w:webHidden/>
          </w:rPr>
          <w:fldChar w:fldCharType="end"/>
        </w:r>
      </w:hyperlink>
    </w:p>
    <w:p w14:paraId="1813ED1C" w14:textId="7403FE77"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36" w:history="1">
        <w:r w:rsidR="00A26CD8" w:rsidRPr="00A82094">
          <w:rPr>
            <w:rStyle w:val="Hyperlink"/>
            <w:noProof/>
          </w:rPr>
          <w:t>4.</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Gigabitu savienojamība un 5G pārklājums</w:t>
        </w:r>
        <w:r w:rsidR="00A26CD8">
          <w:rPr>
            <w:noProof/>
            <w:webHidden/>
          </w:rPr>
          <w:tab/>
        </w:r>
        <w:r w:rsidR="00A26CD8">
          <w:rPr>
            <w:noProof/>
            <w:webHidden/>
          </w:rPr>
          <w:fldChar w:fldCharType="begin"/>
        </w:r>
        <w:r w:rsidR="00A26CD8">
          <w:rPr>
            <w:noProof/>
            <w:webHidden/>
          </w:rPr>
          <w:instrText xml:space="preserve"> PAGEREF _Toc155952336 \h </w:instrText>
        </w:r>
        <w:r w:rsidR="00A26CD8">
          <w:rPr>
            <w:noProof/>
            <w:webHidden/>
          </w:rPr>
        </w:r>
        <w:r w:rsidR="00A26CD8">
          <w:rPr>
            <w:noProof/>
            <w:webHidden/>
          </w:rPr>
          <w:fldChar w:fldCharType="separate"/>
        </w:r>
        <w:r w:rsidR="00A26CD8">
          <w:rPr>
            <w:noProof/>
            <w:webHidden/>
          </w:rPr>
          <w:t>27</w:t>
        </w:r>
        <w:r w:rsidR="00A26CD8">
          <w:rPr>
            <w:noProof/>
            <w:webHidden/>
          </w:rPr>
          <w:fldChar w:fldCharType="end"/>
        </w:r>
      </w:hyperlink>
    </w:p>
    <w:p w14:paraId="4F7BFDD3" w14:textId="52C22666"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37" w:history="1">
        <w:r w:rsidR="00A26CD8" w:rsidRPr="00A82094">
          <w:rPr>
            <w:rStyle w:val="Hyperlink"/>
            <w:noProof/>
          </w:rPr>
          <w:t>5.</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Pusvadītāji</w:t>
        </w:r>
        <w:r w:rsidR="00A26CD8">
          <w:rPr>
            <w:noProof/>
            <w:webHidden/>
          </w:rPr>
          <w:tab/>
        </w:r>
        <w:r w:rsidR="00A26CD8">
          <w:rPr>
            <w:noProof/>
            <w:webHidden/>
          </w:rPr>
          <w:fldChar w:fldCharType="begin"/>
        </w:r>
        <w:r w:rsidR="00A26CD8">
          <w:rPr>
            <w:noProof/>
            <w:webHidden/>
          </w:rPr>
          <w:instrText xml:space="preserve"> PAGEREF _Toc155952337 \h </w:instrText>
        </w:r>
        <w:r w:rsidR="00A26CD8">
          <w:rPr>
            <w:noProof/>
            <w:webHidden/>
          </w:rPr>
        </w:r>
        <w:r w:rsidR="00A26CD8">
          <w:rPr>
            <w:noProof/>
            <w:webHidden/>
          </w:rPr>
          <w:fldChar w:fldCharType="separate"/>
        </w:r>
        <w:r w:rsidR="00A26CD8">
          <w:rPr>
            <w:noProof/>
            <w:webHidden/>
          </w:rPr>
          <w:t>40</w:t>
        </w:r>
        <w:r w:rsidR="00A26CD8">
          <w:rPr>
            <w:noProof/>
            <w:webHidden/>
          </w:rPr>
          <w:fldChar w:fldCharType="end"/>
        </w:r>
      </w:hyperlink>
    </w:p>
    <w:p w14:paraId="62C55966" w14:textId="7A441323"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38" w:history="1">
        <w:r w:rsidR="00A26CD8" w:rsidRPr="00A82094">
          <w:rPr>
            <w:rStyle w:val="Hyperlink"/>
            <w:noProof/>
          </w:rPr>
          <w:t>6.</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Perifērijas mezgli</w:t>
        </w:r>
        <w:r w:rsidR="00A26CD8">
          <w:rPr>
            <w:noProof/>
            <w:webHidden/>
          </w:rPr>
          <w:tab/>
        </w:r>
        <w:r w:rsidR="00A26CD8">
          <w:rPr>
            <w:noProof/>
            <w:webHidden/>
          </w:rPr>
          <w:fldChar w:fldCharType="begin"/>
        </w:r>
        <w:r w:rsidR="00A26CD8">
          <w:rPr>
            <w:noProof/>
            <w:webHidden/>
          </w:rPr>
          <w:instrText xml:space="preserve"> PAGEREF _Toc155952338 \h </w:instrText>
        </w:r>
        <w:r w:rsidR="00A26CD8">
          <w:rPr>
            <w:noProof/>
            <w:webHidden/>
          </w:rPr>
        </w:r>
        <w:r w:rsidR="00A26CD8">
          <w:rPr>
            <w:noProof/>
            <w:webHidden/>
          </w:rPr>
          <w:fldChar w:fldCharType="separate"/>
        </w:r>
        <w:r w:rsidR="00A26CD8">
          <w:rPr>
            <w:noProof/>
            <w:webHidden/>
          </w:rPr>
          <w:t>48</w:t>
        </w:r>
        <w:r w:rsidR="00A26CD8">
          <w:rPr>
            <w:noProof/>
            <w:webHidden/>
          </w:rPr>
          <w:fldChar w:fldCharType="end"/>
        </w:r>
      </w:hyperlink>
    </w:p>
    <w:p w14:paraId="48037E6A" w14:textId="6A90D36D"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39" w:history="1">
        <w:r w:rsidR="00A26CD8" w:rsidRPr="00A82094">
          <w:rPr>
            <w:rStyle w:val="Hyperlink"/>
            <w:noProof/>
          </w:rPr>
          <w:t>7.</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Kvantiska datošana</w:t>
        </w:r>
        <w:r w:rsidR="00A26CD8">
          <w:rPr>
            <w:noProof/>
            <w:webHidden/>
          </w:rPr>
          <w:tab/>
        </w:r>
        <w:r w:rsidR="00A26CD8">
          <w:rPr>
            <w:noProof/>
            <w:webHidden/>
          </w:rPr>
          <w:fldChar w:fldCharType="begin"/>
        </w:r>
        <w:r w:rsidR="00A26CD8">
          <w:rPr>
            <w:noProof/>
            <w:webHidden/>
          </w:rPr>
          <w:instrText xml:space="preserve"> PAGEREF _Toc155952339 \h </w:instrText>
        </w:r>
        <w:r w:rsidR="00A26CD8">
          <w:rPr>
            <w:noProof/>
            <w:webHidden/>
          </w:rPr>
        </w:r>
        <w:r w:rsidR="00A26CD8">
          <w:rPr>
            <w:noProof/>
            <w:webHidden/>
          </w:rPr>
          <w:fldChar w:fldCharType="separate"/>
        </w:r>
        <w:r w:rsidR="00A26CD8">
          <w:rPr>
            <w:noProof/>
            <w:webHidden/>
          </w:rPr>
          <w:t>49</w:t>
        </w:r>
        <w:r w:rsidR="00A26CD8">
          <w:rPr>
            <w:noProof/>
            <w:webHidden/>
          </w:rPr>
          <w:fldChar w:fldCharType="end"/>
        </w:r>
      </w:hyperlink>
    </w:p>
    <w:p w14:paraId="4915729D" w14:textId="3144494B"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0" w:history="1">
        <w:r w:rsidR="00A26CD8" w:rsidRPr="00A82094">
          <w:rPr>
            <w:rStyle w:val="Hyperlink"/>
            <w:noProof/>
          </w:rPr>
          <w:t>8.</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Mākoņdatošana</w:t>
        </w:r>
        <w:r w:rsidR="00A26CD8">
          <w:rPr>
            <w:noProof/>
            <w:webHidden/>
          </w:rPr>
          <w:tab/>
        </w:r>
        <w:r w:rsidR="00A26CD8">
          <w:rPr>
            <w:noProof/>
            <w:webHidden/>
          </w:rPr>
          <w:fldChar w:fldCharType="begin"/>
        </w:r>
        <w:r w:rsidR="00A26CD8">
          <w:rPr>
            <w:noProof/>
            <w:webHidden/>
          </w:rPr>
          <w:instrText xml:space="preserve"> PAGEREF _Toc155952340 \h </w:instrText>
        </w:r>
        <w:r w:rsidR="00A26CD8">
          <w:rPr>
            <w:noProof/>
            <w:webHidden/>
          </w:rPr>
        </w:r>
        <w:r w:rsidR="00A26CD8">
          <w:rPr>
            <w:noProof/>
            <w:webHidden/>
          </w:rPr>
          <w:fldChar w:fldCharType="separate"/>
        </w:r>
        <w:r w:rsidR="00A26CD8">
          <w:rPr>
            <w:noProof/>
            <w:webHidden/>
          </w:rPr>
          <w:t>55</w:t>
        </w:r>
        <w:r w:rsidR="00A26CD8">
          <w:rPr>
            <w:noProof/>
            <w:webHidden/>
          </w:rPr>
          <w:fldChar w:fldCharType="end"/>
        </w:r>
      </w:hyperlink>
    </w:p>
    <w:p w14:paraId="56DABD29" w14:textId="22C64B6F"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1" w:history="1">
        <w:r w:rsidR="00A26CD8" w:rsidRPr="00A82094">
          <w:rPr>
            <w:rStyle w:val="Hyperlink"/>
            <w:noProof/>
          </w:rPr>
          <w:t>9.</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Lielie dati</w:t>
        </w:r>
        <w:r w:rsidR="00A26CD8">
          <w:rPr>
            <w:noProof/>
            <w:webHidden/>
          </w:rPr>
          <w:tab/>
        </w:r>
        <w:r w:rsidR="00A26CD8">
          <w:rPr>
            <w:noProof/>
            <w:webHidden/>
          </w:rPr>
          <w:fldChar w:fldCharType="begin"/>
        </w:r>
        <w:r w:rsidR="00A26CD8">
          <w:rPr>
            <w:noProof/>
            <w:webHidden/>
          </w:rPr>
          <w:instrText xml:space="preserve"> PAGEREF _Toc155952341 \h </w:instrText>
        </w:r>
        <w:r w:rsidR="00A26CD8">
          <w:rPr>
            <w:noProof/>
            <w:webHidden/>
          </w:rPr>
        </w:r>
        <w:r w:rsidR="00A26CD8">
          <w:rPr>
            <w:noProof/>
            <w:webHidden/>
          </w:rPr>
          <w:fldChar w:fldCharType="separate"/>
        </w:r>
        <w:r w:rsidR="00A26CD8">
          <w:rPr>
            <w:noProof/>
            <w:webHidden/>
          </w:rPr>
          <w:t>64</w:t>
        </w:r>
        <w:r w:rsidR="00A26CD8">
          <w:rPr>
            <w:noProof/>
            <w:webHidden/>
          </w:rPr>
          <w:fldChar w:fldCharType="end"/>
        </w:r>
      </w:hyperlink>
    </w:p>
    <w:p w14:paraId="2097BCB7" w14:textId="32557E47"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2" w:history="1">
        <w:r w:rsidR="00A26CD8" w:rsidRPr="00A82094">
          <w:rPr>
            <w:rStyle w:val="Hyperlink"/>
            <w:noProof/>
          </w:rPr>
          <w:t>10.</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Mākslīgais intelekts</w:t>
        </w:r>
        <w:r w:rsidR="00A26CD8">
          <w:rPr>
            <w:noProof/>
            <w:webHidden/>
          </w:rPr>
          <w:tab/>
        </w:r>
        <w:r w:rsidR="00A26CD8">
          <w:rPr>
            <w:noProof/>
            <w:webHidden/>
          </w:rPr>
          <w:fldChar w:fldCharType="begin"/>
        </w:r>
        <w:r w:rsidR="00A26CD8">
          <w:rPr>
            <w:noProof/>
            <w:webHidden/>
          </w:rPr>
          <w:instrText xml:space="preserve"> PAGEREF _Toc155952342 \h </w:instrText>
        </w:r>
        <w:r w:rsidR="00A26CD8">
          <w:rPr>
            <w:noProof/>
            <w:webHidden/>
          </w:rPr>
        </w:r>
        <w:r w:rsidR="00A26CD8">
          <w:rPr>
            <w:noProof/>
            <w:webHidden/>
          </w:rPr>
          <w:fldChar w:fldCharType="separate"/>
        </w:r>
        <w:r w:rsidR="00A26CD8">
          <w:rPr>
            <w:noProof/>
            <w:webHidden/>
          </w:rPr>
          <w:t>69</w:t>
        </w:r>
        <w:r w:rsidR="00A26CD8">
          <w:rPr>
            <w:noProof/>
            <w:webHidden/>
          </w:rPr>
          <w:fldChar w:fldCharType="end"/>
        </w:r>
      </w:hyperlink>
    </w:p>
    <w:p w14:paraId="782F84C1" w14:textId="7389CF17"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3" w:history="1">
        <w:r w:rsidR="00A26CD8" w:rsidRPr="00A82094">
          <w:rPr>
            <w:rStyle w:val="Hyperlink"/>
            <w:noProof/>
          </w:rPr>
          <w:t>11.</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Mazie un vidējie uzņēmumi ar vismaz pamata digitālās intensitātes līmeni</w:t>
        </w:r>
        <w:r w:rsidR="00A26CD8">
          <w:rPr>
            <w:noProof/>
            <w:webHidden/>
          </w:rPr>
          <w:tab/>
        </w:r>
        <w:r w:rsidR="00A26CD8">
          <w:rPr>
            <w:noProof/>
            <w:webHidden/>
          </w:rPr>
          <w:fldChar w:fldCharType="begin"/>
        </w:r>
        <w:r w:rsidR="00A26CD8">
          <w:rPr>
            <w:noProof/>
            <w:webHidden/>
          </w:rPr>
          <w:instrText xml:space="preserve"> PAGEREF _Toc155952343 \h </w:instrText>
        </w:r>
        <w:r w:rsidR="00A26CD8">
          <w:rPr>
            <w:noProof/>
            <w:webHidden/>
          </w:rPr>
        </w:r>
        <w:r w:rsidR="00A26CD8">
          <w:rPr>
            <w:noProof/>
            <w:webHidden/>
          </w:rPr>
          <w:fldChar w:fldCharType="separate"/>
        </w:r>
        <w:r w:rsidR="00A26CD8">
          <w:rPr>
            <w:noProof/>
            <w:webHidden/>
          </w:rPr>
          <w:t>75</w:t>
        </w:r>
        <w:r w:rsidR="00A26CD8">
          <w:rPr>
            <w:noProof/>
            <w:webHidden/>
          </w:rPr>
          <w:fldChar w:fldCharType="end"/>
        </w:r>
      </w:hyperlink>
    </w:p>
    <w:p w14:paraId="5204DCDE" w14:textId="402715FD"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4" w:history="1">
        <w:r w:rsidR="00A26CD8" w:rsidRPr="00A82094">
          <w:rPr>
            <w:rStyle w:val="Hyperlink"/>
            <w:noProof/>
          </w:rPr>
          <w:t>12.</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Vienradži</w:t>
        </w:r>
        <w:r w:rsidR="00A26CD8">
          <w:rPr>
            <w:noProof/>
            <w:webHidden/>
          </w:rPr>
          <w:tab/>
        </w:r>
        <w:r w:rsidR="00A26CD8">
          <w:rPr>
            <w:noProof/>
            <w:webHidden/>
          </w:rPr>
          <w:fldChar w:fldCharType="begin"/>
        </w:r>
        <w:r w:rsidR="00A26CD8">
          <w:rPr>
            <w:noProof/>
            <w:webHidden/>
          </w:rPr>
          <w:instrText xml:space="preserve"> PAGEREF _Toc155952344 \h </w:instrText>
        </w:r>
        <w:r w:rsidR="00A26CD8">
          <w:rPr>
            <w:noProof/>
            <w:webHidden/>
          </w:rPr>
        </w:r>
        <w:r w:rsidR="00A26CD8">
          <w:rPr>
            <w:noProof/>
            <w:webHidden/>
          </w:rPr>
          <w:fldChar w:fldCharType="separate"/>
        </w:r>
        <w:r w:rsidR="00A26CD8">
          <w:rPr>
            <w:noProof/>
            <w:webHidden/>
          </w:rPr>
          <w:t>82</w:t>
        </w:r>
        <w:r w:rsidR="00A26CD8">
          <w:rPr>
            <w:noProof/>
            <w:webHidden/>
          </w:rPr>
          <w:fldChar w:fldCharType="end"/>
        </w:r>
      </w:hyperlink>
    </w:p>
    <w:p w14:paraId="1F9A1B20" w14:textId="3C96082A"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5" w:history="1">
        <w:r w:rsidR="00A26CD8" w:rsidRPr="00A82094">
          <w:rPr>
            <w:rStyle w:val="Hyperlink"/>
            <w:noProof/>
          </w:rPr>
          <w:t>13.</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Galvenie publiskie pakalpojumi iedzīvotājiem</w:t>
        </w:r>
        <w:r w:rsidR="00A26CD8">
          <w:rPr>
            <w:noProof/>
            <w:webHidden/>
          </w:rPr>
          <w:tab/>
        </w:r>
        <w:r w:rsidR="00A26CD8">
          <w:rPr>
            <w:noProof/>
            <w:webHidden/>
          </w:rPr>
          <w:fldChar w:fldCharType="begin"/>
        </w:r>
        <w:r w:rsidR="00A26CD8">
          <w:rPr>
            <w:noProof/>
            <w:webHidden/>
          </w:rPr>
          <w:instrText xml:space="preserve"> PAGEREF _Toc155952345 \h </w:instrText>
        </w:r>
        <w:r w:rsidR="00A26CD8">
          <w:rPr>
            <w:noProof/>
            <w:webHidden/>
          </w:rPr>
        </w:r>
        <w:r w:rsidR="00A26CD8">
          <w:rPr>
            <w:noProof/>
            <w:webHidden/>
          </w:rPr>
          <w:fldChar w:fldCharType="separate"/>
        </w:r>
        <w:r w:rsidR="00A26CD8">
          <w:rPr>
            <w:noProof/>
            <w:webHidden/>
          </w:rPr>
          <w:t>88</w:t>
        </w:r>
        <w:r w:rsidR="00A26CD8">
          <w:rPr>
            <w:noProof/>
            <w:webHidden/>
          </w:rPr>
          <w:fldChar w:fldCharType="end"/>
        </w:r>
      </w:hyperlink>
    </w:p>
    <w:p w14:paraId="760F525E" w14:textId="52DE29FE"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6" w:history="1">
        <w:r w:rsidR="00A26CD8" w:rsidRPr="00A82094">
          <w:rPr>
            <w:rStyle w:val="Hyperlink"/>
            <w:noProof/>
          </w:rPr>
          <w:t>14.</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Galvenie publiskie pakalpojumi uzņēmumiem</w:t>
        </w:r>
        <w:r w:rsidR="00A26CD8">
          <w:rPr>
            <w:noProof/>
            <w:webHidden/>
          </w:rPr>
          <w:tab/>
        </w:r>
        <w:r w:rsidR="00A26CD8">
          <w:rPr>
            <w:noProof/>
            <w:webHidden/>
          </w:rPr>
          <w:fldChar w:fldCharType="begin"/>
        </w:r>
        <w:r w:rsidR="00A26CD8">
          <w:rPr>
            <w:noProof/>
            <w:webHidden/>
          </w:rPr>
          <w:instrText xml:space="preserve"> PAGEREF _Toc155952346 \h </w:instrText>
        </w:r>
        <w:r w:rsidR="00A26CD8">
          <w:rPr>
            <w:noProof/>
            <w:webHidden/>
          </w:rPr>
        </w:r>
        <w:r w:rsidR="00A26CD8">
          <w:rPr>
            <w:noProof/>
            <w:webHidden/>
          </w:rPr>
          <w:fldChar w:fldCharType="separate"/>
        </w:r>
        <w:r w:rsidR="00A26CD8">
          <w:rPr>
            <w:noProof/>
            <w:webHidden/>
          </w:rPr>
          <w:t>99</w:t>
        </w:r>
        <w:r w:rsidR="00A26CD8">
          <w:rPr>
            <w:noProof/>
            <w:webHidden/>
          </w:rPr>
          <w:fldChar w:fldCharType="end"/>
        </w:r>
      </w:hyperlink>
    </w:p>
    <w:p w14:paraId="44D7E5BF" w14:textId="136D2C19"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7" w:history="1">
        <w:r w:rsidR="00A26CD8" w:rsidRPr="00A82094">
          <w:rPr>
            <w:rStyle w:val="Hyperlink"/>
            <w:noProof/>
          </w:rPr>
          <w:t>15.</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Piekļuve pacienta e-veselības kartei</w:t>
        </w:r>
        <w:r w:rsidR="00A26CD8">
          <w:rPr>
            <w:noProof/>
            <w:webHidden/>
          </w:rPr>
          <w:tab/>
        </w:r>
        <w:r w:rsidR="00A26CD8">
          <w:rPr>
            <w:noProof/>
            <w:webHidden/>
          </w:rPr>
          <w:fldChar w:fldCharType="begin"/>
        </w:r>
        <w:r w:rsidR="00A26CD8">
          <w:rPr>
            <w:noProof/>
            <w:webHidden/>
          </w:rPr>
          <w:instrText xml:space="preserve"> PAGEREF _Toc155952347 \h </w:instrText>
        </w:r>
        <w:r w:rsidR="00A26CD8">
          <w:rPr>
            <w:noProof/>
            <w:webHidden/>
          </w:rPr>
        </w:r>
        <w:r w:rsidR="00A26CD8">
          <w:rPr>
            <w:noProof/>
            <w:webHidden/>
          </w:rPr>
          <w:fldChar w:fldCharType="separate"/>
        </w:r>
        <w:r w:rsidR="00A26CD8">
          <w:rPr>
            <w:noProof/>
            <w:webHidden/>
          </w:rPr>
          <w:t>104</w:t>
        </w:r>
        <w:r w:rsidR="00A26CD8">
          <w:rPr>
            <w:noProof/>
            <w:webHidden/>
          </w:rPr>
          <w:fldChar w:fldCharType="end"/>
        </w:r>
      </w:hyperlink>
    </w:p>
    <w:p w14:paraId="2995A522" w14:textId="22929360"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8" w:history="1">
        <w:r w:rsidR="00A26CD8" w:rsidRPr="00A82094">
          <w:rPr>
            <w:rStyle w:val="Hyperlink"/>
            <w:noProof/>
          </w:rPr>
          <w:t>16.</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Piekļuve elektroniskai identifikācijai</w:t>
        </w:r>
        <w:r w:rsidR="00A26CD8">
          <w:rPr>
            <w:noProof/>
            <w:webHidden/>
          </w:rPr>
          <w:tab/>
        </w:r>
        <w:r w:rsidR="00A26CD8">
          <w:rPr>
            <w:noProof/>
            <w:webHidden/>
          </w:rPr>
          <w:fldChar w:fldCharType="begin"/>
        </w:r>
        <w:r w:rsidR="00A26CD8">
          <w:rPr>
            <w:noProof/>
            <w:webHidden/>
          </w:rPr>
          <w:instrText xml:space="preserve"> PAGEREF _Toc155952348 \h </w:instrText>
        </w:r>
        <w:r w:rsidR="00A26CD8">
          <w:rPr>
            <w:noProof/>
            <w:webHidden/>
          </w:rPr>
        </w:r>
        <w:r w:rsidR="00A26CD8">
          <w:rPr>
            <w:noProof/>
            <w:webHidden/>
          </w:rPr>
          <w:fldChar w:fldCharType="separate"/>
        </w:r>
        <w:r w:rsidR="00A26CD8">
          <w:rPr>
            <w:noProof/>
            <w:webHidden/>
          </w:rPr>
          <w:t>113</w:t>
        </w:r>
        <w:r w:rsidR="00A26CD8">
          <w:rPr>
            <w:noProof/>
            <w:webHidden/>
          </w:rPr>
          <w:fldChar w:fldCharType="end"/>
        </w:r>
      </w:hyperlink>
    </w:p>
    <w:p w14:paraId="6CECCD89" w14:textId="2A1687AB" w:rsidR="00A26CD8" w:rsidRDefault="00AC141D">
      <w:pPr>
        <w:pStyle w:val="TOC1"/>
        <w:rPr>
          <w:rFonts w:asciiTheme="minorHAnsi" w:eastAsiaTheme="minorEastAsia" w:hAnsiTheme="minorHAnsi" w:cstheme="minorBidi"/>
          <w:noProof/>
          <w:kern w:val="2"/>
          <w:szCs w:val="24"/>
          <w:lang w:val="lv-LV" w:eastAsia="lv-LV"/>
          <w14:ligatures w14:val="standardContextual"/>
        </w:rPr>
      </w:pPr>
      <w:hyperlink w:anchor="_Toc155952349" w:history="1">
        <w:r w:rsidR="00A26CD8" w:rsidRPr="00A82094">
          <w:rPr>
            <w:rStyle w:val="Hyperlink"/>
            <w:noProof/>
          </w:rPr>
          <w:t>17.</w:t>
        </w:r>
        <w:r w:rsidR="00A26CD8">
          <w:rPr>
            <w:rFonts w:asciiTheme="minorHAnsi" w:eastAsiaTheme="minorEastAsia" w:hAnsiTheme="minorHAnsi" w:cstheme="minorBidi"/>
            <w:noProof/>
            <w:kern w:val="2"/>
            <w:szCs w:val="24"/>
            <w:lang w:val="lv-LV" w:eastAsia="lv-LV"/>
            <w14:ligatures w14:val="standardContextual"/>
          </w:rPr>
          <w:tab/>
        </w:r>
        <w:r w:rsidR="00A26CD8" w:rsidRPr="00A82094">
          <w:rPr>
            <w:rStyle w:val="Hyperlink"/>
            <w:noProof/>
          </w:rPr>
          <w:t>Kopsavilkums</w:t>
        </w:r>
        <w:r w:rsidR="00A26CD8">
          <w:rPr>
            <w:noProof/>
            <w:webHidden/>
          </w:rPr>
          <w:tab/>
        </w:r>
        <w:r w:rsidR="00A26CD8">
          <w:rPr>
            <w:noProof/>
            <w:webHidden/>
          </w:rPr>
          <w:fldChar w:fldCharType="begin"/>
        </w:r>
        <w:r w:rsidR="00A26CD8">
          <w:rPr>
            <w:noProof/>
            <w:webHidden/>
          </w:rPr>
          <w:instrText xml:space="preserve"> PAGEREF _Toc155952349 \h </w:instrText>
        </w:r>
        <w:r w:rsidR="00A26CD8">
          <w:rPr>
            <w:noProof/>
            <w:webHidden/>
          </w:rPr>
        </w:r>
        <w:r w:rsidR="00A26CD8">
          <w:rPr>
            <w:noProof/>
            <w:webHidden/>
          </w:rPr>
          <w:fldChar w:fldCharType="separate"/>
        </w:r>
        <w:r w:rsidR="00A26CD8">
          <w:rPr>
            <w:noProof/>
            <w:webHidden/>
          </w:rPr>
          <w:t>119</w:t>
        </w:r>
        <w:r w:rsidR="00A26CD8">
          <w:rPr>
            <w:noProof/>
            <w:webHidden/>
          </w:rPr>
          <w:fldChar w:fldCharType="end"/>
        </w:r>
      </w:hyperlink>
    </w:p>
    <w:p w14:paraId="53245BEB" w14:textId="5395E5D9" w:rsidR="00987941" w:rsidRPr="00550D35" w:rsidRDefault="00D23402" w:rsidP="00987941">
      <w:pPr>
        <w:rPr>
          <w:sz w:val="22"/>
          <w:szCs w:val="18"/>
          <w:lang w:val="lv-LV"/>
        </w:rPr>
      </w:pPr>
      <w:r w:rsidRPr="00550D35">
        <w:rPr>
          <w:sz w:val="22"/>
          <w:szCs w:val="18"/>
          <w:lang w:val="lv-LV"/>
        </w:rPr>
        <w:fldChar w:fldCharType="end"/>
      </w:r>
      <w:bookmarkStart w:id="0" w:name="_Toc103684215"/>
      <w:bookmarkStart w:id="1" w:name="_Toc103866966"/>
    </w:p>
    <w:p w14:paraId="7E6BBA2B" w14:textId="77777777" w:rsidR="00987941" w:rsidRPr="00550D35" w:rsidRDefault="00987941" w:rsidP="00B52E9B">
      <w:pPr>
        <w:pStyle w:val="Heading1"/>
        <w:numPr>
          <w:ilvl w:val="0"/>
          <w:numId w:val="0"/>
        </w:numPr>
      </w:pPr>
      <w:r w:rsidRPr="00550D35">
        <w:br w:type="page"/>
      </w:r>
    </w:p>
    <w:p w14:paraId="7BA7339E" w14:textId="77777777" w:rsidR="002B594E" w:rsidRPr="00550D35" w:rsidRDefault="002B594E" w:rsidP="00987941">
      <w:pPr>
        <w:rPr>
          <w:rFonts w:eastAsiaTheme="minorHAnsi" w:cs="Calibri"/>
          <w:sz w:val="22"/>
          <w:szCs w:val="22"/>
          <w:lang w:val="lv-LV" w:eastAsia="en-US"/>
        </w:rPr>
      </w:pPr>
    </w:p>
    <w:p w14:paraId="46B33C44" w14:textId="61876543" w:rsidR="00B128D6" w:rsidRPr="00550D35" w:rsidRDefault="00B128D6" w:rsidP="008F7D0C">
      <w:pPr>
        <w:jc w:val="center"/>
        <w:rPr>
          <w:b/>
          <w:bCs/>
          <w:szCs w:val="24"/>
          <w:lang w:val="lv-LV" w:eastAsia="lv-LV"/>
        </w:rPr>
      </w:pPr>
      <w:bookmarkStart w:id="2" w:name="_Toc135217085"/>
      <w:bookmarkStart w:id="3" w:name="_Toc135226516"/>
      <w:bookmarkEnd w:id="0"/>
      <w:bookmarkEnd w:id="1"/>
      <w:r w:rsidRPr="00550D35">
        <w:rPr>
          <w:b/>
          <w:bCs/>
          <w:szCs w:val="24"/>
          <w:lang w:val="lv-LV" w:eastAsia="lv-LV"/>
        </w:rPr>
        <w:t>SAĪSINĀJUMI UN TERMINI</w:t>
      </w:r>
      <w:bookmarkEnd w:id="2"/>
      <w:bookmarkEnd w:id="3"/>
    </w:p>
    <w:p w14:paraId="29652A6E" w14:textId="77777777" w:rsidR="00A460D6" w:rsidRPr="00550D35" w:rsidRDefault="00B128D6" w:rsidP="008F7D0C">
      <w:pPr>
        <w:rPr>
          <w:szCs w:val="24"/>
          <w:lang w:val="lv-LV"/>
        </w:rPr>
      </w:pPr>
      <w:proofErr w:type="spellStart"/>
      <w:r w:rsidRPr="00550D35">
        <w:rPr>
          <w:b/>
          <w:bCs/>
          <w:szCs w:val="24"/>
          <w:lang w:val="lv-LV"/>
        </w:rPr>
        <w:t>AiM</w:t>
      </w:r>
      <w:proofErr w:type="spellEnd"/>
      <w:r w:rsidR="0077093F" w:rsidRPr="00550D35">
        <w:rPr>
          <w:b/>
          <w:bCs/>
          <w:szCs w:val="24"/>
          <w:lang w:val="lv-LV"/>
        </w:rPr>
        <w:t xml:space="preserve">  </w:t>
      </w:r>
      <w:r w:rsidR="0077093F" w:rsidRPr="00550D35">
        <w:rPr>
          <w:szCs w:val="24"/>
          <w:lang w:val="lv-LV"/>
        </w:rPr>
        <w:t>–</w:t>
      </w:r>
      <w:r w:rsidRPr="00550D35">
        <w:rPr>
          <w:szCs w:val="24"/>
          <w:lang w:val="lv-LV"/>
        </w:rPr>
        <w:t xml:space="preserve"> Aizsardzības ministrija</w:t>
      </w:r>
    </w:p>
    <w:p w14:paraId="56688B8A" w14:textId="7D6684AD" w:rsidR="00A460D6" w:rsidRPr="00550D35" w:rsidRDefault="00A460D6" w:rsidP="00A460D6">
      <w:pPr>
        <w:rPr>
          <w:szCs w:val="24"/>
          <w:lang w:val="lv-LV" w:eastAsia="lv-LV"/>
        </w:rPr>
      </w:pPr>
      <w:r w:rsidRPr="00550D35">
        <w:rPr>
          <w:b/>
          <w:bCs/>
          <w:szCs w:val="24"/>
          <w:lang w:val="lv-LV"/>
        </w:rPr>
        <w:t xml:space="preserve">ALTUM - </w:t>
      </w:r>
      <w:r w:rsidRPr="00550D35">
        <w:rPr>
          <w:szCs w:val="24"/>
          <w:lang w:val="lv-LV" w:eastAsia="lv-LV"/>
        </w:rPr>
        <w:t>Attīstības finanšu institūcija “ALTUM”</w:t>
      </w:r>
    </w:p>
    <w:p w14:paraId="2DDCABFA" w14:textId="1D792FFC" w:rsidR="00C26989" w:rsidRPr="00550D35" w:rsidRDefault="00C26989" w:rsidP="00C26989">
      <w:pPr>
        <w:ind w:left="720" w:firstLine="0"/>
        <w:rPr>
          <w:szCs w:val="24"/>
          <w:lang w:val="lv-LV"/>
        </w:rPr>
      </w:pPr>
      <w:r w:rsidRPr="00550D35">
        <w:rPr>
          <w:b/>
          <w:bCs/>
          <w:szCs w:val="24"/>
          <w:lang w:val="lv-LV"/>
        </w:rPr>
        <w:t xml:space="preserve">ANM </w:t>
      </w:r>
      <w:r w:rsidRPr="00550D35">
        <w:rPr>
          <w:szCs w:val="24"/>
          <w:lang w:val="lv-LV"/>
        </w:rPr>
        <w:t>– Eiropas Savienības Atveseļošanas un noturības mehānisms</w:t>
      </w:r>
    </w:p>
    <w:p w14:paraId="79F68DA9" w14:textId="2ABCEDA0" w:rsidR="00B128D6" w:rsidRPr="00550D35" w:rsidRDefault="00B128D6" w:rsidP="00876050">
      <w:pPr>
        <w:ind w:left="720" w:firstLine="0"/>
        <w:rPr>
          <w:szCs w:val="24"/>
          <w:lang w:val="lv-LV"/>
        </w:rPr>
      </w:pPr>
      <w:r w:rsidRPr="00550D35">
        <w:rPr>
          <w:b/>
          <w:bCs/>
          <w:szCs w:val="24"/>
          <w:lang w:val="lv-LV"/>
        </w:rPr>
        <w:t>ANM</w:t>
      </w:r>
      <w:r w:rsidR="00876050" w:rsidRPr="00550D35">
        <w:rPr>
          <w:b/>
          <w:bCs/>
          <w:szCs w:val="24"/>
          <w:lang w:val="lv-LV"/>
        </w:rPr>
        <w:t xml:space="preserve"> plāns</w:t>
      </w:r>
      <w:r w:rsidR="0077093F" w:rsidRPr="00550D35">
        <w:rPr>
          <w:b/>
          <w:bCs/>
          <w:szCs w:val="24"/>
          <w:lang w:val="lv-LV"/>
        </w:rPr>
        <w:t xml:space="preserve"> </w:t>
      </w:r>
      <w:r w:rsidR="0077093F" w:rsidRPr="00550D35">
        <w:rPr>
          <w:szCs w:val="24"/>
          <w:lang w:val="lv-LV"/>
        </w:rPr>
        <w:t>–</w:t>
      </w:r>
      <w:r w:rsidRPr="00550D35">
        <w:rPr>
          <w:szCs w:val="24"/>
          <w:lang w:val="lv-LV"/>
        </w:rPr>
        <w:t xml:space="preserve"> </w:t>
      </w:r>
      <w:r w:rsidR="007425A2" w:rsidRPr="00550D35">
        <w:rPr>
          <w:szCs w:val="24"/>
          <w:lang w:val="lv-LV"/>
        </w:rPr>
        <w:t xml:space="preserve">Eiropas Savienības </w:t>
      </w:r>
      <w:r w:rsidRPr="00550D35">
        <w:rPr>
          <w:szCs w:val="24"/>
          <w:lang w:val="lv-LV"/>
        </w:rPr>
        <w:t>Atveseļošanas un noturības mehānism</w:t>
      </w:r>
      <w:r w:rsidR="00876050" w:rsidRPr="00550D35">
        <w:rPr>
          <w:szCs w:val="24"/>
          <w:lang w:val="lv-LV"/>
        </w:rPr>
        <w:t>a plāns Latvijai</w:t>
      </w:r>
    </w:p>
    <w:p w14:paraId="2BDB1A02" w14:textId="77777777" w:rsidR="00562D83" w:rsidRPr="00550D35" w:rsidRDefault="00562D83" w:rsidP="009840C6">
      <w:pPr>
        <w:ind w:left="720" w:firstLine="0"/>
        <w:rPr>
          <w:szCs w:val="24"/>
          <w:lang w:val="lv-LV"/>
        </w:rPr>
      </w:pPr>
      <w:r w:rsidRPr="00550D35">
        <w:rPr>
          <w:b/>
          <w:bCs/>
          <w:szCs w:val="24"/>
          <w:lang w:val="lv-LV"/>
        </w:rPr>
        <w:t>Ceļvedis Latvijai</w:t>
      </w:r>
      <w:r w:rsidRPr="00550D35">
        <w:rPr>
          <w:szCs w:val="24"/>
          <w:lang w:val="lv-LV"/>
        </w:rPr>
        <w:t xml:space="preserve"> - Digitālās desmitgades stratēģiskais ceļvedis Latvijai līdz 2030.gadam</w:t>
      </w:r>
    </w:p>
    <w:p w14:paraId="02A597FD" w14:textId="5CD782AA" w:rsidR="00B128D6" w:rsidRPr="00550D35" w:rsidRDefault="00B128D6" w:rsidP="008F7D0C">
      <w:pPr>
        <w:rPr>
          <w:szCs w:val="24"/>
          <w:lang w:val="lv-LV"/>
        </w:rPr>
      </w:pPr>
      <w:r w:rsidRPr="00550D35">
        <w:rPr>
          <w:b/>
          <w:bCs/>
          <w:szCs w:val="24"/>
          <w:lang w:val="lv-LV"/>
        </w:rPr>
        <w:t>Covid-19</w:t>
      </w:r>
      <w:r w:rsidR="0077093F" w:rsidRPr="00550D35">
        <w:rPr>
          <w:b/>
          <w:bCs/>
          <w:szCs w:val="24"/>
          <w:lang w:val="lv-LV"/>
        </w:rPr>
        <w:t xml:space="preserve"> </w:t>
      </w:r>
      <w:r w:rsidR="0077093F" w:rsidRPr="00550D35">
        <w:rPr>
          <w:szCs w:val="24"/>
          <w:lang w:val="lv-LV"/>
        </w:rPr>
        <w:t>–</w:t>
      </w:r>
      <w:r w:rsidRPr="00550D35">
        <w:rPr>
          <w:szCs w:val="24"/>
          <w:lang w:val="lv-LV"/>
        </w:rPr>
        <w:t xml:space="preserve"> koronavīruss</w:t>
      </w:r>
    </w:p>
    <w:p w14:paraId="3BAD470F" w14:textId="4C87635E" w:rsidR="00457734" w:rsidRPr="00550D35" w:rsidRDefault="00457734" w:rsidP="008F7D0C">
      <w:pPr>
        <w:rPr>
          <w:szCs w:val="24"/>
          <w:lang w:val="lv-LV"/>
        </w:rPr>
      </w:pPr>
      <w:r w:rsidRPr="00550D35">
        <w:rPr>
          <w:b/>
          <w:bCs/>
          <w:szCs w:val="24"/>
          <w:lang w:val="lv-LV"/>
        </w:rPr>
        <w:t>CSP</w:t>
      </w:r>
      <w:r w:rsidRPr="00550D35">
        <w:rPr>
          <w:szCs w:val="24"/>
          <w:lang w:val="lv-LV"/>
        </w:rPr>
        <w:t xml:space="preserve"> </w:t>
      </w:r>
      <w:r w:rsidR="0077093F" w:rsidRPr="00550D35">
        <w:rPr>
          <w:szCs w:val="24"/>
          <w:lang w:val="lv-LV"/>
        </w:rPr>
        <w:t xml:space="preserve"> – </w:t>
      </w:r>
      <w:r w:rsidRPr="00550D35">
        <w:rPr>
          <w:szCs w:val="24"/>
          <w:lang w:val="lv-LV"/>
        </w:rPr>
        <w:t>Centrālā statistikas pārvalde</w:t>
      </w:r>
    </w:p>
    <w:p w14:paraId="7F95A541" w14:textId="01338691" w:rsidR="00B128D6" w:rsidRPr="00550D35" w:rsidRDefault="00B128D6" w:rsidP="00987941">
      <w:pPr>
        <w:ind w:left="720" w:firstLine="0"/>
        <w:rPr>
          <w:szCs w:val="24"/>
          <w:lang w:val="lv-LV"/>
        </w:rPr>
      </w:pPr>
      <w:r w:rsidRPr="00550D35">
        <w:rPr>
          <w:b/>
          <w:bCs/>
          <w:szCs w:val="24"/>
          <w:lang w:val="lv-LV"/>
        </w:rPr>
        <w:t>Dekādes programma</w:t>
      </w:r>
      <w:r w:rsidR="0077093F" w:rsidRPr="00550D35">
        <w:rPr>
          <w:b/>
          <w:bCs/>
          <w:szCs w:val="24"/>
          <w:lang w:val="lv-LV"/>
        </w:rPr>
        <w:t xml:space="preserve"> </w:t>
      </w:r>
      <w:r w:rsidR="0077093F" w:rsidRPr="00550D35">
        <w:rPr>
          <w:szCs w:val="24"/>
          <w:lang w:val="lv-LV"/>
        </w:rPr>
        <w:t>–</w:t>
      </w:r>
      <w:r w:rsidRPr="00550D35">
        <w:rPr>
          <w:b/>
          <w:bCs/>
          <w:szCs w:val="24"/>
          <w:lang w:val="lv-LV"/>
        </w:rPr>
        <w:t xml:space="preserve"> </w:t>
      </w:r>
      <w:r w:rsidRPr="00550D35">
        <w:rPr>
          <w:szCs w:val="24"/>
          <w:lang w:val="lv-LV"/>
        </w:rPr>
        <w:t>Eiropas Parlamenta un Padomes lēmums (ES) 2022/2481 ar ko izveido politikas programmu “Digitālās desmitgades ceļš” 2030. gadam</w:t>
      </w:r>
    </w:p>
    <w:p w14:paraId="76BC3A9C" w14:textId="62574B33" w:rsidR="008B59CB" w:rsidRPr="00550D35" w:rsidRDefault="008B59CB" w:rsidP="00987941">
      <w:pPr>
        <w:ind w:left="720" w:firstLine="0"/>
        <w:rPr>
          <w:szCs w:val="24"/>
          <w:lang w:val="lv-LV"/>
        </w:rPr>
      </w:pPr>
      <w:r w:rsidRPr="00550D35">
        <w:rPr>
          <w:b/>
          <w:bCs/>
          <w:szCs w:val="24"/>
          <w:lang w:val="lv-LV"/>
        </w:rPr>
        <w:t xml:space="preserve">DEP </w:t>
      </w:r>
      <w:r w:rsidRPr="00550D35">
        <w:rPr>
          <w:szCs w:val="24"/>
          <w:lang w:val="lv-LV"/>
        </w:rPr>
        <w:t>– programma “Digitālā Eiropa”</w:t>
      </w:r>
    </w:p>
    <w:p w14:paraId="2AF1A24E" w14:textId="1E78B128" w:rsidR="00B128D6" w:rsidRPr="00550D35" w:rsidRDefault="00B128D6" w:rsidP="008F7D0C">
      <w:pPr>
        <w:rPr>
          <w:szCs w:val="24"/>
          <w:lang w:val="lv-LV"/>
        </w:rPr>
      </w:pPr>
      <w:r w:rsidRPr="00550D35">
        <w:rPr>
          <w:b/>
          <w:bCs/>
          <w:szCs w:val="24"/>
          <w:lang w:val="lv-LV"/>
        </w:rPr>
        <w:t>DESI</w:t>
      </w:r>
      <w:r w:rsidR="0077093F" w:rsidRPr="00550D35">
        <w:rPr>
          <w:b/>
          <w:bCs/>
          <w:szCs w:val="24"/>
          <w:lang w:val="lv-LV"/>
        </w:rPr>
        <w:t xml:space="preserve"> </w:t>
      </w:r>
      <w:r w:rsidR="0077093F" w:rsidRPr="00550D35">
        <w:rPr>
          <w:szCs w:val="24"/>
          <w:lang w:val="lv-LV"/>
        </w:rPr>
        <w:t>–</w:t>
      </w:r>
      <w:r w:rsidRPr="00550D35">
        <w:rPr>
          <w:szCs w:val="24"/>
          <w:lang w:val="lv-LV"/>
        </w:rPr>
        <w:t xml:space="preserve"> Digitālās ekonomikas un sabiedrības indekss</w:t>
      </w:r>
    </w:p>
    <w:p w14:paraId="12EC4F33" w14:textId="5C01ADCC" w:rsidR="00B128D6" w:rsidRPr="00550D35" w:rsidRDefault="00B128D6" w:rsidP="008F7D0C">
      <w:pPr>
        <w:rPr>
          <w:szCs w:val="24"/>
          <w:lang w:val="lv-LV"/>
        </w:rPr>
      </w:pPr>
      <w:r w:rsidRPr="00550D35">
        <w:rPr>
          <w:b/>
          <w:bCs/>
          <w:szCs w:val="24"/>
          <w:lang w:val="lv-LV" w:eastAsia="lv-LV"/>
        </w:rPr>
        <w:t>DTP2027</w:t>
      </w:r>
      <w:r w:rsidR="0077093F" w:rsidRPr="00550D35">
        <w:rPr>
          <w:b/>
          <w:bCs/>
          <w:szCs w:val="24"/>
          <w:lang w:val="lv-LV" w:eastAsia="lv-LV"/>
        </w:rPr>
        <w:t xml:space="preserve"> </w:t>
      </w:r>
      <w:r w:rsidR="0077093F" w:rsidRPr="00550D35">
        <w:rPr>
          <w:szCs w:val="24"/>
          <w:lang w:val="lv-LV"/>
        </w:rPr>
        <w:t>–</w:t>
      </w:r>
      <w:r w:rsidRPr="00550D35">
        <w:rPr>
          <w:szCs w:val="24"/>
          <w:lang w:val="lv-LV" w:eastAsia="lv-LV"/>
        </w:rPr>
        <w:t xml:space="preserve"> Digitālās transformācijas pamatnostādnes 2021.–2027.gadam</w:t>
      </w:r>
    </w:p>
    <w:p w14:paraId="1FEBF4FA" w14:textId="45C891CD" w:rsidR="00C9013B" w:rsidRPr="00550D35" w:rsidRDefault="00B128D6" w:rsidP="008F7D0C">
      <w:pPr>
        <w:rPr>
          <w:szCs w:val="24"/>
          <w:lang w:val="lv-LV"/>
        </w:rPr>
      </w:pPr>
      <w:r w:rsidRPr="00550D35">
        <w:rPr>
          <w:b/>
          <w:bCs/>
          <w:szCs w:val="24"/>
          <w:lang w:val="lv-LV"/>
        </w:rPr>
        <w:t>EDIC</w:t>
      </w:r>
      <w:r w:rsidR="0077093F" w:rsidRPr="00550D35">
        <w:rPr>
          <w:b/>
          <w:bCs/>
          <w:szCs w:val="24"/>
          <w:lang w:val="lv-LV"/>
        </w:rPr>
        <w:t xml:space="preserve"> </w:t>
      </w:r>
      <w:r w:rsidR="0077093F" w:rsidRPr="00550D35">
        <w:rPr>
          <w:szCs w:val="24"/>
          <w:lang w:val="lv-LV"/>
        </w:rPr>
        <w:t>–</w:t>
      </w:r>
      <w:r w:rsidRPr="00550D35">
        <w:rPr>
          <w:szCs w:val="24"/>
          <w:lang w:val="lv-LV"/>
        </w:rPr>
        <w:t xml:space="preserve"> Eiropas Digitālas inovācijas centrs</w:t>
      </w:r>
    </w:p>
    <w:p w14:paraId="6B8E5E85" w14:textId="6202C928" w:rsidR="008C3C08" w:rsidRPr="00550D35" w:rsidRDefault="008C3C08" w:rsidP="008F7D0C">
      <w:pPr>
        <w:rPr>
          <w:szCs w:val="24"/>
          <w:lang w:val="lv-LV"/>
        </w:rPr>
      </w:pPr>
      <w:proofErr w:type="spellStart"/>
      <w:r w:rsidRPr="00550D35">
        <w:rPr>
          <w:b/>
          <w:bCs/>
          <w:szCs w:val="24"/>
          <w:lang w:val="lv-LV"/>
        </w:rPr>
        <w:t>eID</w:t>
      </w:r>
      <w:proofErr w:type="spellEnd"/>
      <w:r w:rsidR="0077093F" w:rsidRPr="00550D35">
        <w:rPr>
          <w:b/>
          <w:bCs/>
          <w:szCs w:val="24"/>
          <w:lang w:val="lv-LV"/>
        </w:rPr>
        <w:t xml:space="preserve"> </w:t>
      </w:r>
      <w:r w:rsidR="0077093F" w:rsidRPr="00550D35">
        <w:rPr>
          <w:szCs w:val="24"/>
          <w:lang w:val="lv-LV"/>
        </w:rPr>
        <w:t>–</w:t>
      </w:r>
      <w:r w:rsidRPr="00550D35">
        <w:rPr>
          <w:b/>
          <w:bCs/>
          <w:szCs w:val="24"/>
          <w:lang w:val="lv-LV"/>
        </w:rPr>
        <w:t xml:space="preserve"> </w:t>
      </w:r>
      <w:r w:rsidRPr="00550D35">
        <w:rPr>
          <w:szCs w:val="24"/>
          <w:lang w:val="lv-LV"/>
        </w:rPr>
        <w:t>elektroniskā identifikācija</w:t>
      </w:r>
    </w:p>
    <w:p w14:paraId="313AF5C2" w14:textId="7DAFADC7" w:rsidR="00DE75EF" w:rsidRPr="00550D35" w:rsidRDefault="00DE75EF" w:rsidP="00E34AEE">
      <w:pPr>
        <w:ind w:left="720" w:firstLine="0"/>
        <w:rPr>
          <w:b/>
          <w:bCs/>
          <w:szCs w:val="24"/>
          <w:lang w:val="lv-LV"/>
        </w:rPr>
      </w:pPr>
      <w:proofErr w:type="spellStart"/>
      <w:r w:rsidRPr="00550D35">
        <w:rPr>
          <w:b/>
          <w:bCs/>
          <w:szCs w:val="24"/>
          <w:lang w:val="lv-LV"/>
        </w:rPr>
        <w:t>eIDAS</w:t>
      </w:r>
      <w:proofErr w:type="spellEnd"/>
      <w:r w:rsidRPr="00550D35">
        <w:rPr>
          <w:b/>
          <w:bCs/>
          <w:szCs w:val="24"/>
          <w:lang w:val="lv-LV"/>
        </w:rPr>
        <w:t xml:space="preserve"> </w:t>
      </w:r>
      <w:r w:rsidR="005209B1" w:rsidRPr="00550D35">
        <w:rPr>
          <w:b/>
          <w:bCs/>
          <w:szCs w:val="24"/>
          <w:lang w:val="lv-LV"/>
        </w:rPr>
        <w:t>regula</w:t>
      </w:r>
      <w:r w:rsidR="0077093F" w:rsidRPr="00550D35">
        <w:rPr>
          <w:b/>
          <w:bCs/>
          <w:szCs w:val="24"/>
          <w:lang w:val="lv-LV"/>
        </w:rPr>
        <w:t xml:space="preserve"> </w:t>
      </w:r>
      <w:r w:rsidR="0077093F" w:rsidRPr="00550D35">
        <w:rPr>
          <w:szCs w:val="24"/>
          <w:lang w:val="lv-LV"/>
        </w:rPr>
        <w:t>–</w:t>
      </w:r>
      <w:r w:rsidR="00E34AEE" w:rsidRPr="00550D35">
        <w:rPr>
          <w:b/>
          <w:bCs/>
          <w:szCs w:val="24"/>
          <w:lang w:val="lv-LV"/>
        </w:rPr>
        <w:t xml:space="preserve"> </w:t>
      </w:r>
      <w:r w:rsidR="00E34AEE" w:rsidRPr="00550D35">
        <w:rPr>
          <w:szCs w:val="24"/>
          <w:lang w:val="lv-LV"/>
        </w:rPr>
        <w:t>Eiropas Parlamenta un Padomes regula (ES) Nr. 910/2014 (2014.</w:t>
      </w:r>
      <w:r w:rsidR="00283CE2" w:rsidRPr="00550D35">
        <w:rPr>
          <w:szCs w:val="24"/>
          <w:lang w:val="lv-LV"/>
        </w:rPr>
        <w:t> </w:t>
      </w:r>
      <w:r w:rsidR="00E34AEE" w:rsidRPr="00550D35">
        <w:rPr>
          <w:szCs w:val="24"/>
          <w:lang w:val="lv-LV"/>
        </w:rPr>
        <w:t>gada 23. jūlijs) par elektronisko identifikāciju un uzticamības pakalpojumiem elektronisko darījumu veikšanai iekšē</w:t>
      </w:r>
      <w:r w:rsidR="00245D27" w:rsidRPr="00550D35">
        <w:rPr>
          <w:szCs w:val="24"/>
          <w:lang w:val="lv-LV"/>
        </w:rPr>
        <w:t>jā</w:t>
      </w:r>
      <w:r w:rsidR="00E34AEE" w:rsidRPr="00550D35">
        <w:rPr>
          <w:szCs w:val="24"/>
          <w:lang w:val="lv-LV"/>
        </w:rPr>
        <w:t xml:space="preserve"> tirgū un ar ko atceļ Direktīvu 1999/93/EK</w:t>
      </w:r>
    </w:p>
    <w:p w14:paraId="18C4D956" w14:textId="3B7FD0E4" w:rsidR="005209B1" w:rsidRPr="00550D35" w:rsidRDefault="006E3AEC" w:rsidP="00E66C2C">
      <w:pPr>
        <w:autoSpaceDE w:val="0"/>
        <w:autoSpaceDN w:val="0"/>
        <w:adjustRightInd w:val="0"/>
        <w:spacing w:after="0"/>
        <w:ind w:left="720" w:firstLine="0"/>
        <w:rPr>
          <w:szCs w:val="24"/>
          <w:lang w:val="lv-LV"/>
        </w:rPr>
      </w:pPr>
      <w:proofErr w:type="spellStart"/>
      <w:r w:rsidRPr="00550D35">
        <w:rPr>
          <w:b/>
          <w:bCs/>
          <w:szCs w:val="24"/>
          <w:lang w:val="lv-LV"/>
        </w:rPr>
        <w:t>eIDAS</w:t>
      </w:r>
      <w:proofErr w:type="spellEnd"/>
      <w:r w:rsidRPr="00550D35">
        <w:rPr>
          <w:b/>
          <w:bCs/>
          <w:szCs w:val="24"/>
          <w:lang w:val="lv-LV"/>
        </w:rPr>
        <w:t xml:space="preserve"> regula (jaunā)</w:t>
      </w:r>
      <w:r w:rsidR="00DC0903" w:rsidRPr="00550D35">
        <w:rPr>
          <w:b/>
          <w:bCs/>
          <w:szCs w:val="24"/>
          <w:lang w:val="lv-LV"/>
        </w:rPr>
        <w:t xml:space="preserve"> </w:t>
      </w:r>
      <w:r w:rsidR="0077093F" w:rsidRPr="00550D35">
        <w:rPr>
          <w:szCs w:val="24"/>
          <w:lang w:val="lv-LV"/>
        </w:rPr>
        <w:t>–</w:t>
      </w:r>
      <w:r w:rsidR="00DC0903" w:rsidRPr="00550D35">
        <w:rPr>
          <w:b/>
          <w:bCs/>
          <w:szCs w:val="24"/>
          <w:lang w:val="lv-LV"/>
        </w:rPr>
        <w:t xml:space="preserve"> </w:t>
      </w:r>
      <w:r w:rsidR="00DC0903" w:rsidRPr="00550D35">
        <w:rPr>
          <w:szCs w:val="24"/>
          <w:lang w:val="lv-LV"/>
        </w:rPr>
        <w:t>Eiropas Parlamenta un Padomes regula, ar ko groza Eiropas Parlamenta un Padomes 2014. gada 23. jūlija Regulu (ES) Nr. 910/2014 par elektronisko identifikāciju un uzticamības pakalpojumiem elektronisko darījumu veikšanai iekšē</w:t>
      </w:r>
      <w:r w:rsidR="00245D27" w:rsidRPr="00550D35">
        <w:rPr>
          <w:szCs w:val="24"/>
          <w:lang w:val="lv-LV"/>
        </w:rPr>
        <w:t>jā</w:t>
      </w:r>
      <w:r w:rsidR="00DC0903" w:rsidRPr="00550D35">
        <w:rPr>
          <w:szCs w:val="24"/>
          <w:lang w:val="lv-LV"/>
        </w:rPr>
        <w:t xml:space="preserve"> tirgū (</w:t>
      </w:r>
      <w:proofErr w:type="spellStart"/>
      <w:r w:rsidR="00DC0903" w:rsidRPr="00550D35">
        <w:rPr>
          <w:szCs w:val="24"/>
          <w:lang w:val="lv-LV"/>
        </w:rPr>
        <w:t>eIDAS</w:t>
      </w:r>
      <w:proofErr w:type="spellEnd"/>
      <w:r w:rsidR="00DC0903" w:rsidRPr="00550D35">
        <w:rPr>
          <w:szCs w:val="24"/>
          <w:lang w:val="lv-LV"/>
        </w:rPr>
        <w:t>)</w:t>
      </w:r>
    </w:p>
    <w:p w14:paraId="38F39BD2" w14:textId="3644FDC1" w:rsidR="00B128D6" w:rsidRPr="00550D35" w:rsidRDefault="00B128D6" w:rsidP="008F7D0C">
      <w:pPr>
        <w:rPr>
          <w:szCs w:val="24"/>
          <w:lang w:val="lv-LV"/>
        </w:rPr>
      </w:pPr>
      <w:r w:rsidRPr="00550D35">
        <w:rPr>
          <w:b/>
          <w:bCs/>
          <w:szCs w:val="24"/>
          <w:lang w:val="lv-LV"/>
        </w:rPr>
        <w:t>EISI</w:t>
      </w:r>
      <w:r w:rsidRPr="00550D35">
        <w:rPr>
          <w:szCs w:val="24"/>
          <w:lang w:val="lv-LV"/>
        </w:rPr>
        <w:t xml:space="preserve"> </w:t>
      </w:r>
      <w:bookmarkStart w:id="4" w:name="_Hlk140586634"/>
      <w:r w:rsidRPr="00550D35">
        <w:rPr>
          <w:szCs w:val="24"/>
          <w:lang w:val="lv-LV"/>
        </w:rPr>
        <w:t>–</w:t>
      </w:r>
      <w:bookmarkEnd w:id="4"/>
      <w:r w:rsidRPr="00550D35">
        <w:rPr>
          <w:szCs w:val="24"/>
          <w:lang w:val="lv-LV"/>
        </w:rPr>
        <w:t xml:space="preserve"> Eiropas Infrastruktūras savienošanas instruments</w:t>
      </w:r>
    </w:p>
    <w:p w14:paraId="74AD9FB4" w14:textId="7B9AEC48" w:rsidR="00B128D6" w:rsidRPr="00550D35" w:rsidRDefault="00B128D6" w:rsidP="008F7D0C">
      <w:pPr>
        <w:rPr>
          <w:szCs w:val="24"/>
          <w:lang w:val="lv-LV"/>
        </w:rPr>
      </w:pPr>
      <w:r w:rsidRPr="00550D35">
        <w:rPr>
          <w:b/>
          <w:bCs/>
          <w:szCs w:val="24"/>
          <w:lang w:val="lv-LV"/>
        </w:rPr>
        <w:t>EK</w:t>
      </w:r>
      <w:r w:rsidRPr="00550D35">
        <w:rPr>
          <w:szCs w:val="24"/>
          <w:lang w:val="lv-LV"/>
        </w:rPr>
        <w:t xml:space="preserve"> </w:t>
      </w:r>
      <w:r w:rsidR="002E2505" w:rsidRPr="00550D35">
        <w:rPr>
          <w:szCs w:val="24"/>
          <w:lang w:val="lv-LV"/>
        </w:rPr>
        <w:t xml:space="preserve">– </w:t>
      </w:r>
      <w:r w:rsidRPr="00550D35">
        <w:rPr>
          <w:szCs w:val="24"/>
          <w:lang w:val="lv-LV"/>
        </w:rPr>
        <w:t>Eiropas Komisija</w:t>
      </w:r>
    </w:p>
    <w:p w14:paraId="43D4A31E" w14:textId="0C7C3B23" w:rsidR="00B128D6" w:rsidRPr="00550D35" w:rsidRDefault="00B128D6" w:rsidP="008F7D0C">
      <w:pPr>
        <w:rPr>
          <w:szCs w:val="24"/>
          <w:lang w:val="lv-LV"/>
        </w:rPr>
      </w:pPr>
      <w:r w:rsidRPr="00550D35">
        <w:rPr>
          <w:b/>
          <w:bCs/>
          <w:szCs w:val="24"/>
          <w:lang w:val="lv-LV"/>
        </w:rPr>
        <w:t>EM</w:t>
      </w:r>
      <w:r w:rsidRPr="00550D35">
        <w:rPr>
          <w:szCs w:val="24"/>
          <w:lang w:val="lv-LV"/>
        </w:rPr>
        <w:t xml:space="preserve"> </w:t>
      </w:r>
      <w:r w:rsidR="002E2505" w:rsidRPr="00550D35">
        <w:rPr>
          <w:szCs w:val="24"/>
          <w:lang w:val="lv-LV"/>
        </w:rPr>
        <w:t xml:space="preserve">– </w:t>
      </w:r>
      <w:r w:rsidRPr="00550D35">
        <w:rPr>
          <w:szCs w:val="24"/>
          <w:lang w:val="lv-LV"/>
        </w:rPr>
        <w:t>Ekonomikas ministrija</w:t>
      </w:r>
    </w:p>
    <w:p w14:paraId="3B1571D3" w14:textId="7B97695F" w:rsidR="00782FBF" w:rsidRPr="00550D35" w:rsidRDefault="00782FBF" w:rsidP="008F7D0C">
      <w:pPr>
        <w:rPr>
          <w:szCs w:val="24"/>
          <w:lang w:val="lv-LV"/>
        </w:rPr>
      </w:pPr>
      <w:r w:rsidRPr="00550D35">
        <w:rPr>
          <w:b/>
          <w:bCs/>
          <w:szCs w:val="24"/>
          <w:lang w:val="lv-LV"/>
        </w:rPr>
        <w:t>EP</w:t>
      </w:r>
      <w:r w:rsidRPr="00550D35">
        <w:rPr>
          <w:szCs w:val="24"/>
          <w:lang w:val="lv-LV"/>
        </w:rPr>
        <w:t xml:space="preserve"> – Eiropas Parlaments</w:t>
      </w:r>
    </w:p>
    <w:p w14:paraId="43A7D13D" w14:textId="2DE8D49E" w:rsidR="00E21522" w:rsidRPr="00550D35" w:rsidRDefault="00B128D6" w:rsidP="00EB6AB9">
      <w:pPr>
        <w:rPr>
          <w:szCs w:val="24"/>
          <w:lang w:val="lv-LV"/>
        </w:rPr>
      </w:pPr>
      <w:r w:rsidRPr="00550D35">
        <w:rPr>
          <w:b/>
          <w:bCs/>
          <w:szCs w:val="24"/>
          <w:lang w:val="lv-LV"/>
        </w:rPr>
        <w:t>ERAF</w:t>
      </w:r>
      <w:r w:rsidR="002E2505" w:rsidRPr="00550D35">
        <w:rPr>
          <w:b/>
          <w:bCs/>
          <w:szCs w:val="24"/>
          <w:lang w:val="lv-LV"/>
        </w:rPr>
        <w:t xml:space="preserve"> </w:t>
      </w:r>
      <w:r w:rsidR="002E2505" w:rsidRPr="00550D35">
        <w:rPr>
          <w:szCs w:val="24"/>
          <w:lang w:val="lv-LV"/>
        </w:rPr>
        <w:t>–</w:t>
      </w:r>
      <w:r w:rsidRPr="00550D35">
        <w:rPr>
          <w:szCs w:val="24"/>
          <w:lang w:val="lv-LV"/>
        </w:rPr>
        <w:t xml:space="preserve"> Eiropas Reģionālās attīstības fonds</w:t>
      </w:r>
    </w:p>
    <w:p w14:paraId="5EFF1543" w14:textId="7AA0E70A" w:rsidR="00B128D6" w:rsidRPr="00550D35" w:rsidRDefault="00B128D6" w:rsidP="008F7D0C">
      <w:pPr>
        <w:rPr>
          <w:szCs w:val="24"/>
          <w:lang w:val="lv-LV"/>
        </w:rPr>
      </w:pPr>
      <w:r w:rsidRPr="00550D35">
        <w:rPr>
          <w:b/>
          <w:bCs/>
          <w:szCs w:val="24"/>
          <w:lang w:val="lv-LV"/>
        </w:rPr>
        <w:t>ES</w:t>
      </w:r>
      <w:r w:rsidRPr="00550D35">
        <w:rPr>
          <w:szCs w:val="24"/>
          <w:lang w:val="lv-LV"/>
        </w:rPr>
        <w:t xml:space="preserve"> </w:t>
      </w:r>
      <w:r w:rsidR="002E2505" w:rsidRPr="00550D35">
        <w:rPr>
          <w:szCs w:val="24"/>
          <w:lang w:val="lv-LV"/>
        </w:rPr>
        <w:t xml:space="preserve">– </w:t>
      </w:r>
      <w:r w:rsidRPr="00550D35">
        <w:rPr>
          <w:szCs w:val="24"/>
          <w:lang w:val="lv-LV"/>
        </w:rPr>
        <w:t>Eiropas Savienība</w:t>
      </w:r>
    </w:p>
    <w:p w14:paraId="22FED76A" w14:textId="29B6F7EE" w:rsidR="002D337A" w:rsidRPr="00550D35" w:rsidRDefault="002D337A" w:rsidP="002D337A">
      <w:pPr>
        <w:rPr>
          <w:szCs w:val="24"/>
          <w:lang w:val="lv-LV"/>
        </w:rPr>
      </w:pPr>
      <w:r w:rsidRPr="00550D35">
        <w:rPr>
          <w:b/>
          <w:bCs/>
          <w:szCs w:val="24"/>
          <w:lang w:val="lv-LV"/>
        </w:rPr>
        <w:t xml:space="preserve">ES Dalībvalsts </w:t>
      </w:r>
      <w:r w:rsidRPr="00550D35">
        <w:rPr>
          <w:szCs w:val="24"/>
          <w:lang w:val="lv-LV"/>
        </w:rPr>
        <w:t>– Eiropas Savienības Dalībvalsts</w:t>
      </w:r>
    </w:p>
    <w:p w14:paraId="5500B838" w14:textId="2B5EF9C4" w:rsidR="006055B5" w:rsidRPr="00550D35" w:rsidRDefault="006055B5" w:rsidP="008F7D0C">
      <w:pPr>
        <w:rPr>
          <w:szCs w:val="24"/>
          <w:lang w:val="lv-LV"/>
        </w:rPr>
      </w:pPr>
      <w:r w:rsidRPr="00550D35">
        <w:rPr>
          <w:b/>
          <w:bCs/>
          <w:szCs w:val="24"/>
          <w:lang w:val="lv-LV"/>
        </w:rPr>
        <w:t>ESF</w:t>
      </w:r>
      <w:r w:rsidRPr="00550D35">
        <w:rPr>
          <w:szCs w:val="24"/>
          <w:lang w:val="lv-LV"/>
        </w:rPr>
        <w:t xml:space="preserve"> – Eiropas Sociālais fonds</w:t>
      </w:r>
    </w:p>
    <w:p w14:paraId="5FAC0594" w14:textId="0EDC08BD" w:rsidR="006055B5" w:rsidRPr="00550D35" w:rsidRDefault="006055B5" w:rsidP="008F7D0C">
      <w:pPr>
        <w:rPr>
          <w:szCs w:val="24"/>
          <w:lang w:val="lv-LV"/>
        </w:rPr>
      </w:pPr>
      <w:r w:rsidRPr="00550D35">
        <w:rPr>
          <w:b/>
          <w:bCs/>
          <w:szCs w:val="24"/>
          <w:lang w:val="lv-LV"/>
        </w:rPr>
        <w:t>ESF Plus</w:t>
      </w:r>
      <w:r w:rsidRPr="00550D35">
        <w:rPr>
          <w:szCs w:val="24"/>
          <w:lang w:val="lv-LV"/>
        </w:rPr>
        <w:t xml:space="preserve"> – Eiropas Sociālais fonds Plus</w:t>
      </w:r>
    </w:p>
    <w:p w14:paraId="5AEE8DBD" w14:textId="4B084B1A" w:rsidR="00F278AA" w:rsidRPr="00550D35" w:rsidRDefault="00F278AA" w:rsidP="008F7D0C">
      <w:pPr>
        <w:rPr>
          <w:szCs w:val="24"/>
          <w:lang w:val="lv-LV"/>
        </w:rPr>
      </w:pPr>
      <w:r w:rsidRPr="00550D35">
        <w:rPr>
          <w:b/>
          <w:bCs/>
          <w:szCs w:val="24"/>
          <w:lang w:val="lv-LV"/>
        </w:rPr>
        <w:t>EVK</w:t>
      </w:r>
      <w:r w:rsidRPr="00550D35">
        <w:rPr>
          <w:szCs w:val="24"/>
          <w:lang w:val="lv-LV"/>
        </w:rPr>
        <w:t xml:space="preserve"> – elektroniskā veselības karte</w:t>
      </w:r>
    </w:p>
    <w:p w14:paraId="7ADF8F84" w14:textId="7723BF50" w:rsidR="00B128D6" w:rsidRPr="00550D35" w:rsidRDefault="00B128D6" w:rsidP="008F7D0C">
      <w:pPr>
        <w:rPr>
          <w:szCs w:val="24"/>
          <w:lang w:val="lv-LV"/>
        </w:rPr>
      </w:pPr>
      <w:r w:rsidRPr="00550D35">
        <w:rPr>
          <w:b/>
          <w:bCs/>
          <w:szCs w:val="24"/>
          <w:lang w:val="lv-LV"/>
        </w:rPr>
        <w:t>FM</w:t>
      </w:r>
      <w:r w:rsidRPr="00550D35">
        <w:rPr>
          <w:szCs w:val="24"/>
          <w:lang w:val="lv-LV"/>
        </w:rPr>
        <w:t xml:space="preserve"> </w:t>
      </w:r>
      <w:r w:rsidR="002E2505" w:rsidRPr="00550D35">
        <w:rPr>
          <w:szCs w:val="24"/>
          <w:lang w:val="lv-LV"/>
        </w:rPr>
        <w:t xml:space="preserve">– </w:t>
      </w:r>
      <w:r w:rsidRPr="00550D35">
        <w:rPr>
          <w:szCs w:val="24"/>
          <w:lang w:val="lv-LV"/>
        </w:rPr>
        <w:t>Finanšu ministrija</w:t>
      </w:r>
    </w:p>
    <w:p w14:paraId="7C053F96" w14:textId="0ADB8825" w:rsidR="00B40261" w:rsidRPr="00550D35" w:rsidRDefault="00B40261" w:rsidP="00644A19">
      <w:pPr>
        <w:ind w:left="720" w:firstLine="0"/>
        <w:rPr>
          <w:szCs w:val="24"/>
          <w:lang w:val="lv-LV"/>
        </w:rPr>
      </w:pPr>
      <w:r w:rsidRPr="00550D35">
        <w:rPr>
          <w:b/>
          <w:bCs/>
          <w:szCs w:val="24"/>
          <w:lang w:val="lv-LV"/>
        </w:rPr>
        <w:t xml:space="preserve">GBER </w:t>
      </w:r>
      <w:r w:rsidR="00644A19" w:rsidRPr="00550D35">
        <w:rPr>
          <w:b/>
          <w:bCs/>
          <w:szCs w:val="24"/>
          <w:lang w:val="lv-LV"/>
        </w:rPr>
        <w:t>regula</w:t>
      </w:r>
      <w:r w:rsidR="00644A19" w:rsidRPr="00550D35">
        <w:rPr>
          <w:szCs w:val="24"/>
          <w:lang w:val="lv-LV"/>
        </w:rPr>
        <w:t xml:space="preserve"> - Komisijas regula (ES) 2023/1315 (2023. gada 23. jūnijs), ar kuru groza Regulu (ES) Nr. 651/2014, ar ko noteiktas atbalsta kategorijas atzīst par saderīgām ar iekšējo tirgu, piemērojot Līguma 107. un 108. pantu, un Regulu (ES) 2022/2473, ar kuru, piemērojot Līguma 107. un 108. pantu, dažu kategoriju atbalstu uzņēmumiem, kas nodarbojas ar zvejas un akvakultūras produktu ražošanu, apstrādi un tirdzniecību, atzīst par saderīgu ar iekšējo tirgu</w:t>
      </w:r>
    </w:p>
    <w:p w14:paraId="6D91B589" w14:textId="75896021" w:rsidR="00B128D6" w:rsidRPr="00550D35" w:rsidRDefault="00B128D6" w:rsidP="008F7D0C">
      <w:pPr>
        <w:rPr>
          <w:szCs w:val="24"/>
          <w:lang w:val="lv-LV"/>
        </w:rPr>
      </w:pPr>
      <w:r w:rsidRPr="00550D35">
        <w:rPr>
          <w:b/>
          <w:bCs/>
          <w:szCs w:val="24"/>
          <w:lang w:val="lv-LV"/>
        </w:rPr>
        <w:t>IAP</w:t>
      </w:r>
      <w:r w:rsidRPr="00550D35">
        <w:rPr>
          <w:szCs w:val="24"/>
          <w:lang w:val="lv-LV"/>
        </w:rPr>
        <w:t xml:space="preserve"> </w:t>
      </w:r>
      <w:r w:rsidR="002E2505" w:rsidRPr="00550D35">
        <w:rPr>
          <w:szCs w:val="24"/>
          <w:lang w:val="lv-LV"/>
        </w:rPr>
        <w:t xml:space="preserve">– </w:t>
      </w:r>
      <w:r w:rsidRPr="00550D35">
        <w:rPr>
          <w:szCs w:val="24"/>
          <w:lang w:val="lv-LV"/>
        </w:rPr>
        <w:t>Izglītības attīstības pamatnostādnes 2021.–2027.</w:t>
      </w:r>
      <w:r w:rsidR="00A5298E" w:rsidRPr="00550D35">
        <w:rPr>
          <w:szCs w:val="24"/>
          <w:lang w:val="lv-LV"/>
        </w:rPr>
        <w:t> g</w:t>
      </w:r>
      <w:r w:rsidRPr="00550D35">
        <w:rPr>
          <w:szCs w:val="24"/>
          <w:lang w:val="lv-LV"/>
        </w:rPr>
        <w:t>adam</w:t>
      </w:r>
    </w:p>
    <w:p w14:paraId="09EE28E8" w14:textId="7CE25406" w:rsidR="00B128D6" w:rsidRPr="00550D35" w:rsidRDefault="00B128D6" w:rsidP="008F7D0C">
      <w:pPr>
        <w:rPr>
          <w:szCs w:val="24"/>
          <w:lang w:val="lv-LV"/>
        </w:rPr>
      </w:pPr>
      <w:r w:rsidRPr="00550D35">
        <w:rPr>
          <w:b/>
          <w:bCs/>
          <w:szCs w:val="24"/>
          <w:lang w:val="lv-LV"/>
        </w:rPr>
        <w:lastRenderedPageBreak/>
        <w:t>IKT</w:t>
      </w:r>
      <w:r w:rsidRPr="00550D35">
        <w:rPr>
          <w:szCs w:val="24"/>
          <w:lang w:val="lv-LV"/>
        </w:rPr>
        <w:t xml:space="preserve"> </w:t>
      </w:r>
      <w:r w:rsidR="002E2505" w:rsidRPr="00550D35">
        <w:rPr>
          <w:szCs w:val="24"/>
          <w:lang w:val="lv-LV"/>
        </w:rPr>
        <w:t>– I</w:t>
      </w:r>
      <w:r w:rsidRPr="00550D35">
        <w:rPr>
          <w:szCs w:val="24"/>
          <w:lang w:val="lv-LV"/>
        </w:rPr>
        <w:t>nformācijas un komunikācijas tehnoloģijas</w:t>
      </w:r>
    </w:p>
    <w:p w14:paraId="10A4018F" w14:textId="7F0C4970" w:rsidR="00B128D6" w:rsidRPr="00550D35" w:rsidRDefault="00B128D6" w:rsidP="008F7D0C">
      <w:pPr>
        <w:rPr>
          <w:szCs w:val="24"/>
          <w:lang w:val="lv-LV"/>
        </w:rPr>
      </w:pPr>
      <w:r w:rsidRPr="00550D35">
        <w:rPr>
          <w:b/>
          <w:bCs/>
          <w:szCs w:val="24"/>
          <w:lang w:val="lv-LV"/>
        </w:rPr>
        <w:t>IPCEI</w:t>
      </w:r>
      <w:r w:rsidRPr="00550D35">
        <w:rPr>
          <w:szCs w:val="24"/>
          <w:lang w:val="lv-LV"/>
        </w:rPr>
        <w:t xml:space="preserve"> </w:t>
      </w:r>
      <w:r w:rsidR="002E2505" w:rsidRPr="00550D35">
        <w:rPr>
          <w:szCs w:val="24"/>
          <w:lang w:val="lv-LV"/>
        </w:rPr>
        <w:t xml:space="preserve">– </w:t>
      </w:r>
      <w:r w:rsidRPr="00550D35">
        <w:rPr>
          <w:szCs w:val="24"/>
          <w:lang w:val="lv-LV"/>
        </w:rPr>
        <w:t>Eiropas kop</w:t>
      </w:r>
      <w:r w:rsidR="009F1F2E" w:rsidRPr="00550D35">
        <w:rPr>
          <w:szCs w:val="24"/>
          <w:lang w:val="lv-LV"/>
        </w:rPr>
        <w:t>ē</w:t>
      </w:r>
      <w:r w:rsidRPr="00550D35">
        <w:rPr>
          <w:szCs w:val="24"/>
          <w:lang w:val="lv-LV"/>
        </w:rPr>
        <w:t>jo interešu projektu programma</w:t>
      </w:r>
    </w:p>
    <w:p w14:paraId="7EDC840B" w14:textId="6B7EF9F7" w:rsidR="00B128D6" w:rsidRPr="00550D35" w:rsidRDefault="00B128D6" w:rsidP="008F7D0C">
      <w:pPr>
        <w:rPr>
          <w:szCs w:val="24"/>
          <w:lang w:val="lv-LV"/>
        </w:rPr>
      </w:pPr>
      <w:r w:rsidRPr="00550D35">
        <w:rPr>
          <w:b/>
          <w:bCs/>
          <w:szCs w:val="24"/>
          <w:lang w:val="lv-LV"/>
        </w:rPr>
        <w:t>IT</w:t>
      </w:r>
      <w:r w:rsidRPr="00550D35">
        <w:rPr>
          <w:szCs w:val="24"/>
          <w:lang w:val="lv-LV"/>
        </w:rPr>
        <w:t xml:space="preserve"> </w:t>
      </w:r>
      <w:r w:rsidR="002E2505" w:rsidRPr="00550D35">
        <w:rPr>
          <w:szCs w:val="24"/>
          <w:lang w:val="lv-LV"/>
        </w:rPr>
        <w:t xml:space="preserve">– </w:t>
      </w:r>
      <w:r w:rsidRPr="00550D35">
        <w:rPr>
          <w:szCs w:val="24"/>
          <w:lang w:val="lv-LV"/>
        </w:rPr>
        <w:t>informācijas tehnoloģijas</w:t>
      </w:r>
    </w:p>
    <w:p w14:paraId="6CC28391" w14:textId="5334C781" w:rsidR="00B128D6" w:rsidRPr="00550D35" w:rsidRDefault="00B128D6" w:rsidP="008F7D0C">
      <w:pPr>
        <w:rPr>
          <w:szCs w:val="24"/>
          <w:lang w:val="lv-LV"/>
        </w:rPr>
      </w:pPr>
      <w:r w:rsidRPr="00550D35">
        <w:rPr>
          <w:b/>
          <w:bCs/>
          <w:szCs w:val="24"/>
          <w:lang w:val="lv-LV"/>
        </w:rPr>
        <w:t>IAP2027</w:t>
      </w:r>
      <w:r w:rsidR="002E2505" w:rsidRPr="00550D35">
        <w:rPr>
          <w:b/>
          <w:bCs/>
          <w:szCs w:val="24"/>
          <w:lang w:val="lv-LV"/>
        </w:rPr>
        <w:t xml:space="preserve"> </w:t>
      </w:r>
      <w:r w:rsidR="002E2505" w:rsidRPr="00550D35">
        <w:rPr>
          <w:szCs w:val="24"/>
          <w:lang w:val="lv-LV"/>
        </w:rPr>
        <w:t>–</w:t>
      </w:r>
      <w:r w:rsidRPr="00550D35">
        <w:rPr>
          <w:szCs w:val="24"/>
          <w:lang w:val="lv-LV"/>
        </w:rPr>
        <w:t xml:space="preserve"> Izglītības attīstības pamatnostādnes 2021.–2027. gadam</w:t>
      </w:r>
    </w:p>
    <w:p w14:paraId="7D3E4F54" w14:textId="61AC910D" w:rsidR="00B128D6" w:rsidRPr="00550D35" w:rsidRDefault="00B128D6" w:rsidP="008F7D0C">
      <w:pPr>
        <w:rPr>
          <w:szCs w:val="24"/>
          <w:lang w:val="lv-LV"/>
        </w:rPr>
      </w:pPr>
      <w:r w:rsidRPr="00550D35">
        <w:rPr>
          <w:b/>
          <w:bCs/>
          <w:szCs w:val="24"/>
          <w:lang w:val="lv-LV"/>
        </w:rPr>
        <w:t>IZM</w:t>
      </w:r>
      <w:r w:rsidR="002E2505" w:rsidRPr="00550D35">
        <w:rPr>
          <w:b/>
          <w:bCs/>
          <w:szCs w:val="24"/>
          <w:lang w:val="lv-LV"/>
        </w:rPr>
        <w:t xml:space="preserve"> </w:t>
      </w:r>
      <w:r w:rsidR="002E2505" w:rsidRPr="00550D35">
        <w:rPr>
          <w:szCs w:val="24"/>
          <w:lang w:val="lv-LV"/>
        </w:rPr>
        <w:t>–</w:t>
      </w:r>
      <w:r w:rsidRPr="00550D35">
        <w:rPr>
          <w:szCs w:val="24"/>
          <w:lang w:val="lv-LV"/>
        </w:rPr>
        <w:t xml:space="preserve"> Izglītības un zinātnes ministrija</w:t>
      </w:r>
    </w:p>
    <w:p w14:paraId="5A763AE1" w14:textId="7EF9EF3E" w:rsidR="00B128D6" w:rsidRPr="00550D35" w:rsidRDefault="00B128D6" w:rsidP="008F7D0C">
      <w:pPr>
        <w:rPr>
          <w:szCs w:val="24"/>
          <w:lang w:val="lv-LV"/>
        </w:rPr>
      </w:pPr>
      <w:r w:rsidRPr="00550D35">
        <w:rPr>
          <w:b/>
          <w:bCs/>
          <w:szCs w:val="24"/>
          <w:lang w:val="lv-LV"/>
        </w:rPr>
        <w:t>Josla</w:t>
      </w:r>
      <w:r w:rsidR="002E2505" w:rsidRPr="00550D35">
        <w:rPr>
          <w:b/>
          <w:bCs/>
          <w:szCs w:val="24"/>
          <w:lang w:val="lv-LV"/>
        </w:rPr>
        <w:t xml:space="preserve"> </w:t>
      </w:r>
      <w:r w:rsidR="002E2505" w:rsidRPr="00550D35">
        <w:rPr>
          <w:szCs w:val="24"/>
          <w:lang w:val="lv-LV"/>
        </w:rPr>
        <w:t>–</w:t>
      </w:r>
      <w:r w:rsidRPr="00550D35">
        <w:rPr>
          <w:szCs w:val="24"/>
          <w:lang w:val="lv-LV"/>
        </w:rPr>
        <w:t xml:space="preserve"> </w:t>
      </w:r>
      <w:r w:rsidRPr="00550D35">
        <w:rPr>
          <w:rFonts w:eastAsia="TimesNewRoman"/>
          <w:szCs w:val="24"/>
          <w:lang w:val="lv-LV" w:eastAsia="lv-LV"/>
        </w:rPr>
        <w:t>radiofrekvenču josla</w:t>
      </w:r>
    </w:p>
    <w:p w14:paraId="04BDC333" w14:textId="49941E40" w:rsidR="00B128D6" w:rsidRPr="00550D35" w:rsidRDefault="00B128D6" w:rsidP="008F7D0C">
      <w:pPr>
        <w:rPr>
          <w:szCs w:val="24"/>
          <w:lang w:val="lv-LV"/>
        </w:rPr>
      </w:pPr>
      <w:r w:rsidRPr="00550D35">
        <w:rPr>
          <w:b/>
          <w:bCs/>
          <w:szCs w:val="24"/>
          <w:lang w:val="lv-LV"/>
        </w:rPr>
        <w:t>KEM</w:t>
      </w:r>
      <w:r w:rsidR="002E2505" w:rsidRPr="00550D35">
        <w:rPr>
          <w:b/>
          <w:bCs/>
          <w:szCs w:val="24"/>
          <w:lang w:val="lv-LV"/>
        </w:rPr>
        <w:t xml:space="preserve"> </w:t>
      </w:r>
      <w:r w:rsidR="002E2505" w:rsidRPr="00550D35">
        <w:rPr>
          <w:szCs w:val="24"/>
          <w:lang w:val="lv-LV"/>
        </w:rPr>
        <w:t>–</w:t>
      </w:r>
      <w:r w:rsidRPr="00550D35">
        <w:rPr>
          <w:szCs w:val="24"/>
          <w:lang w:val="lv-LV"/>
        </w:rPr>
        <w:t xml:space="preserve"> Klimata un enerģētikas ministrija</w:t>
      </w:r>
    </w:p>
    <w:p w14:paraId="7EF63FDC" w14:textId="4E6AAD03" w:rsidR="00B128D6" w:rsidRPr="00550D35" w:rsidRDefault="00B128D6" w:rsidP="008F7D0C">
      <w:pPr>
        <w:rPr>
          <w:szCs w:val="24"/>
          <w:lang w:val="lv-LV"/>
        </w:rPr>
      </w:pPr>
      <w:r w:rsidRPr="00550D35">
        <w:rPr>
          <w:b/>
          <w:bCs/>
          <w:szCs w:val="24"/>
          <w:lang w:val="lv-LV"/>
        </w:rPr>
        <w:t>KPI</w:t>
      </w:r>
      <w:r w:rsidR="002E2505" w:rsidRPr="00550D35">
        <w:rPr>
          <w:b/>
          <w:bCs/>
          <w:szCs w:val="24"/>
          <w:lang w:val="lv-LV"/>
        </w:rPr>
        <w:t xml:space="preserve"> </w:t>
      </w:r>
      <w:r w:rsidR="002E2505" w:rsidRPr="00550D35">
        <w:rPr>
          <w:szCs w:val="24"/>
          <w:lang w:val="lv-LV"/>
        </w:rPr>
        <w:t>–</w:t>
      </w:r>
      <w:r w:rsidRPr="00550D35">
        <w:rPr>
          <w:szCs w:val="24"/>
          <w:lang w:val="lv-LV"/>
        </w:rPr>
        <w:t xml:space="preserve"> </w:t>
      </w:r>
      <w:r w:rsidR="00A4389E" w:rsidRPr="00550D35">
        <w:rPr>
          <w:szCs w:val="24"/>
          <w:lang w:val="lv-LV"/>
        </w:rPr>
        <w:t>digitāl</w:t>
      </w:r>
      <w:r w:rsidR="00EE3294" w:rsidRPr="00550D35">
        <w:rPr>
          <w:szCs w:val="24"/>
          <w:lang w:val="lv-LV"/>
        </w:rPr>
        <w:t>ais</w:t>
      </w:r>
      <w:r w:rsidRPr="00550D35">
        <w:rPr>
          <w:szCs w:val="24"/>
          <w:lang w:val="lv-LV"/>
        </w:rPr>
        <w:t xml:space="preserve"> </w:t>
      </w:r>
      <w:proofErr w:type="spellStart"/>
      <w:r w:rsidR="00EE3294" w:rsidRPr="00550D35">
        <w:rPr>
          <w:szCs w:val="24"/>
          <w:lang w:val="lv-LV"/>
        </w:rPr>
        <w:t>mērķ</w:t>
      </w:r>
      <w:r w:rsidRPr="00550D35">
        <w:rPr>
          <w:szCs w:val="24"/>
          <w:lang w:val="lv-LV"/>
        </w:rPr>
        <w:t>rādītāj</w:t>
      </w:r>
      <w:r w:rsidR="009A2F00" w:rsidRPr="00550D35">
        <w:rPr>
          <w:szCs w:val="24"/>
          <w:lang w:val="lv-LV"/>
        </w:rPr>
        <w:t>a</w:t>
      </w:r>
      <w:proofErr w:type="spellEnd"/>
      <w:r w:rsidR="009A2F00" w:rsidRPr="00550D35">
        <w:rPr>
          <w:szCs w:val="24"/>
          <w:lang w:val="lv-LV"/>
        </w:rPr>
        <w:t xml:space="preserve"> galvenais snieguma rādītājs</w:t>
      </w:r>
    </w:p>
    <w:p w14:paraId="2D8CFC37" w14:textId="0303AD37" w:rsidR="007F5E9E" w:rsidRPr="00550D35" w:rsidRDefault="007F5E9E" w:rsidP="008F7D0C">
      <w:pPr>
        <w:rPr>
          <w:szCs w:val="24"/>
          <w:lang w:val="lv-LV"/>
        </w:rPr>
      </w:pPr>
      <w:r w:rsidRPr="00550D35">
        <w:rPr>
          <w:b/>
          <w:bCs/>
          <w:szCs w:val="24"/>
          <w:lang w:val="lv-LV"/>
        </w:rPr>
        <w:t>Latvija.gov.lv</w:t>
      </w:r>
      <w:r w:rsidR="00B94F15" w:rsidRPr="00550D35">
        <w:rPr>
          <w:b/>
          <w:bCs/>
          <w:szCs w:val="24"/>
          <w:lang w:val="lv-LV"/>
        </w:rPr>
        <w:t xml:space="preserve"> portāls</w:t>
      </w:r>
      <w:r w:rsidR="00B94F15" w:rsidRPr="00550D35">
        <w:rPr>
          <w:szCs w:val="24"/>
          <w:lang w:val="lv-LV"/>
        </w:rPr>
        <w:t xml:space="preserve"> – </w:t>
      </w:r>
      <w:r w:rsidR="00387E7B" w:rsidRPr="00550D35">
        <w:rPr>
          <w:szCs w:val="24"/>
          <w:lang w:val="lv-LV"/>
        </w:rPr>
        <w:t>v</w:t>
      </w:r>
      <w:r w:rsidR="00B94F15" w:rsidRPr="00550D35">
        <w:rPr>
          <w:szCs w:val="24"/>
          <w:lang w:val="lv-LV"/>
        </w:rPr>
        <w:t xml:space="preserve">alsts </w:t>
      </w:r>
      <w:r w:rsidR="00387E7B" w:rsidRPr="00550D35">
        <w:rPr>
          <w:szCs w:val="24"/>
          <w:lang w:val="lv-LV"/>
        </w:rPr>
        <w:t>pārvaldes pakalpojumu portāls</w:t>
      </w:r>
      <w:r w:rsidR="0061407B" w:rsidRPr="00550D35">
        <w:rPr>
          <w:szCs w:val="24"/>
          <w:lang w:val="lv-LV"/>
        </w:rPr>
        <w:t xml:space="preserve"> www.latvija.gov.lv</w:t>
      </w:r>
    </w:p>
    <w:p w14:paraId="7447E488" w14:textId="250CB107" w:rsidR="0080257D" w:rsidRPr="00550D35" w:rsidRDefault="0080257D" w:rsidP="008F7D0C">
      <w:pPr>
        <w:rPr>
          <w:szCs w:val="24"/>
          <w:lang w:val="lv-LV"/>
        </w:rPr>
      </w:pPr>
      <w:r w:rsidRPr="00550D35">
        <w:rPr>
          <w:b/>
          <w:bCs/>
          <w:szCs w:val="24"/>
          <w:lang w:val="lv-LV"/>
        </w:rPr>
        <w:t>LIAA</w:t>
      </w:r>
      <w:r w:rsidRPr="00550D35">
        <w:rPr>
          <w:szCs w:val="24"/>
          <w:lang w:val="lv-LV"/>
        </w:rPr>
        <w:t xml:space="preserve"> – Latvijas Investīciju un attīstības </w:t>
      </w:r>
      <w:r w:rsidR="005D0EA9" w:rsidRPr="00550D35">
        <w:rPr>
          <w:szCs w:val="24"/>
          <w:lang w:val="lv-LV"/>
        </w:rPr>
        <w:t>aģentūra</w:t>
      </w:r>
    </w:p>
    <w:p w14:paraId="53AD3A32" w14:textId="442BCC3B" w:rsidR="002D7DB6" w:rsidRPr="00550D35" w:rsidRDefault="002D7DB6" w:rsidP="008F7D0C">
      <w:pPr>
        <w:rPr>
          <w:szCs w:val="24"/>
          <w:lang w:val="lv-LV"/>
        </w:rPr>
      </w:pPr>
      <w:r w:rsidRPr="00550D35">
        <w:rPr>
          <w:b/>
          <w:bCs/>
          <w:szCs w:val="24"/>
          <w:lang w:val="lv-LV"/>
        </w:rPr>
        <w:t>LIKTA</w:t>
      </w:r>
      <w:r w:rsidRPr="00550D35">
        <w:rPr>
          <w:szCs w:val="24"/>
          <w:lang w:val="lv-LV"/>
        </w:rPr>
        <w:t xml:space="preserve"> – Latvijas Informācijas un komunikācijas tehnoloģiju asociācija</w:t>
      </w:r>
    </w:p>
    <w:p w14:paraId="47FCCDF0" w14:textId="1944AE10" w:rsidR="00B128D6" w:rsidRPr="00550D35" w:rsidRDefault="00B128D6" w:rsidP="008F7D0C">
      <w:pPr>
        <w:rPr>
          <w:szCs w:val="24"/>
          <w:lang w:val="lv-LV"/>
        </w:rPr>
      </w:pPr>
      <w:r w:rsidRPr="00550D35">
        <w:rPr>
          <w:b/>
          <w:bCs/>
          <w:szCs w:val="24"/>
          <w:lang w:val="lv-LV"/>
        </w:rPr>
        <w:t>LM</w:t>
      </w:r>
      <w:r w:rsidR="002E2505" w:rsidRPr="00550D35">
        <w:rPr>
          <w:b/>
          <w:bCs/>
          <w:szCs w:val="24"/>
          <w:lang w:val="lv-LV"/>
        </w:rPr>
        <w:t xml:space="preserve"> </w:t>
      </w:r>
      <w:r w:rsidR="002E2505" w:rsidRPr="00550D35">
        <w:rPr>
          <w:szCs w:val="24"/>
          <w:lang w:val="lv-LV"/>
        </w:rPr>
        <w:t>–</w:t>
      </w:r>
      <w:r w:rsidRPr="00550D35">
        <w:rPr>
          <w:szCs w:val="24"/>
          <w:lang w:val="lv-LV"/>
        </w:rPr>
        <w:t xml:space="preserve"> Labklājības ministrija</w:t>
      </w:r>
    </w:p>
    <w:p w14:paraId="59A13858" w14:textId="1A84E83F" w:rsidR="004C63FC" w:rsidRPr="00550D35" w:rsidRDefault="00B128D6" w:rsidP="0095371A">
      <w:pPr>
        <w:rPr>
          <w:bCs/>
          <w:szCs w:val="24"/>
          <w:lang w:val="lv-LV"/>
        </w:rPr>
      </w:pPr>
      <w:r w:rsidRPr="00550D35">
        <w:rPr>
          <w:b/>
          <w:szCs w:val="24"/>
          <w:lang w:val="lv-LV"/>
        </w:rPr>
        <w:t>LTE</w:t>
      </w:r>
      <w:r w:rsidR="002E2505" w:rsidRPr="00550D35">
        <w:rPr>
          <w:b/>
          <w:szCs w:val="24"/>
          <w:lang w:val="lv-LV"/>
        </w:rPr>
        <w:t xml:space="preserve"> </w:t>
      </w:r>
      <w:r w:rsidR="002E2505" w:rsidRPr="00550D35">
        <w:rPr>
          <w:szCs w:val="24"/>
          <w:lang w:val="lv-LV"/>
        </w:rPr>
        <w:t>–</w:t>
      </w:r>
      <w:r w:rsidRPr="00550D35">
        <w:rPr>
          <w:bCs/>
          <w:szCs w:val="24"/>
          <w:lang w:val="lv-LV"/>
        </w:rPr>
        <w:t xml:space="preserve"> Ceturtās paaudzes bezvadu platjoslas elektronisko sakaru tehnoloģij</w:t>
      </w:r>
      <w:r w:rsidR="00D13D67" w:rsidRPr="00550D35">
        <w:rPr>
          <w:bCs/>
          <w:szCs w:val="24"/>
          <w:lang w:val="lv-LV"/>
        </w:rPr>
        <w:t>a</w:t>
      </w:r>
    </w:p>
    <w:p w14:paraId="6818EA1D" w14:textId="77777777" w:rsidR="004C63FC" w:rsidRPr="00550D35" w:rsidRDefault="004C63FC" w:rsidP="004F6120">
      <w:pPr>
        <w:ind w:left="720" w:firstLine="0"/>
        <w:rPr>
          <w:szCs w:val="24"/>
          <w:lang w:val="lv-LV"/>
        </w:rPr>
      </w:pPr>
      <w:r w:rsidRPr="00550D35">
        <w:rPr>
          <w:b/>
          <w:szCs w:val="24"/>
          <w:lang w:val="lv-LV"/>
        </w:rPr>
        <w:t xml:space="preserve">LU </w:t>
      </w:r>
      <w:r w:rsidRPr="00550D35">
        <w:rPr>
          <w:szCs w:val="24"/>
          <w:lang w:val="lv-LV"/>
        </w:rPr>
        <w:t>– Latvijas Universitāte</w:t>
      </w:r>
    </w:p>
    <w:p w14:paraId="26110455" w14:textId="0586CDBB" w:rsidR="000040C0" w:rsidRPr="00550D35" w:rsidRDefault="000040C0" w:rsidP="000040C0">
      <w:pPr>
        <w:ind w:left="720" w:firstLine="0"/>
        <w:rPr>
          <w:szCs w:val="24"/>
          <w:lang w:val="lv-LV"/>
        </w:rPr>
      </w:pPr>
      <w:r w:rsidRPr="00550D35">
        <w:rPr>
          <w:b/>
          <w:szCs w:val="24"/>
          <w:lang w:val="lv-LV"/>
        </w:rPr>
        <w:t xml:space="preserve">LU </w:t>
      </w:r>
      <w:r w:rsidR="00DF62B2" w:rsidRPr="00550D35">
        <w:rPr>
          <w:b/>
          <w:szCs w:val="24"/>
          <w:lang w:val="lv-LV"/>
        </w:rPr>
        <w:t xml:space="preserve">CFI </w:t>
      </w:r>
      <w:r w:rsidRPr="00550D35">
        <w:rPr>
          <w:szCs w:val="24"/>
          <w:lang w:val="lv-LV"/>
        </w:rPr>
        <w:t>– Latvijas Universitātes Cietvielu fizikas institūts</w:t>
      </w:r>
    </w:p>
    <w:p w14:paraId="38B41770" w14:textId="748C2DD8" w:rsidR="004C63FC" w:rsidRPr="00550D35" w:rsidRDefault="004C63FC" w:rsidP="004F6120">
      <w:pPr>
        <w:ind w:left="720" w:firstLine="0"/>
        <w:rPr>
          <w:szCs w:val="24"/>
          <w:lang w:val="lv-LV"/>
        </w:rPr>
      </w:pPr>
      <w:r w:rsidRPr="00550D35">
        <w:rPr>
          <w:b/>
          <w:szCs w:val="24"/>
          <w:lang w:val="lv-LV"/>
        </w:rPr>
        <w:t xml:space="preserve">LU MII </w:t>
      </w:r>
      <w:r w:rsidRPr="00550D35">
        <w:rPr>
          <w:szCs w:val="24"/>
          <w:lang w:val="lv-LV"/>
        </w:rPr>
        <w:t>– Latvijas Universitātes Matemātikas un informātikas institūts</w:t>
      </w:r>
    </w:p>
    <w:p w14:paraId="2A665B35" w14:textId="68850ACA" w:rsidR="00BE7D43" w:rsidRPr="00550D35" w:rsidRDefault="00BE7D43" w:rsidP="004F6120">
      <w:pPr>
        <w:ind w:left="720" w:firstLine="0"/>
        <w:rPr>
          <w:bCs/>
          <w:spacing w:val="-4"/>
          <w:szCs w:val="24"/>
          <w:lang w:val="lv-LV"/>
        </w:rPr>
      </w:pPr>
      <w:r w:rsidRPr="00550D35">
        <w:rPr>
          <w:b/>
          <w:spacing w:val="-4"/>
          <w:szCs w:val="24"/>
          <w:lang w:val="lv-LV"/>
        </w:rPr>
        <w:t>LVRTC</w:t>
      </w:r>
      <w:r w:rsidR="002E2505" w:rsidRPr="00550D35">
        <w:rPr>
          <w:b/>
          <w:spacing w:val="-4"/>
          <w:szCs w:val="24"/>
          <w:lang w:val="lv-LV"/>
        </w:rPr>
        <w:t xml:space="preserve"> </w:t>
      </w:r>
      <w:r w:rsidR="002E2505" w:rsidRPr="00550D35">
        <w:rPr>
          <w:spacing w:val="-4"/>
          <w:szCs w:val="24"/>
          <w:lang w:val="lv-LV"/>
        </w:rPr>
        <w:t>–</w:t>
      </w:r>
      <w:r w:rsidRPr="00550D35">
        <w:rPr>
          <w:b/>
          <w:spacing w:val="-4"/>
          <w:szCs w:val="24"/>
          <w:lang w:val="lv-LV"/>
        </w:rPr>
        <w:t xml:space="preserve"> </w:t>
      </w:r>
      <w:r w:rsidR="00815344" w:rsidRPr="00550D35">
        <w:rPr>
          <w:bCs/>
          <w:spacing w:val="-4"/>
          <w:szCs w:val="24"/>
          <w:lang w:val="lv-LV"/>
        </w:rPr>
        <w:t>Valsts akciju sabiedrība “</w:t>
      </w:r>
      <w:r w:rsidRPr="00550D35">
        <w:rPr>
          <w:bCs/>
          <w:spacing w:val="-4"/>
          <w:szCs w:val="24"/>
          <w:lang w:val="lv-LV"/>
        </w:rPr>
        <w:t>Latvijas Valsts radio un televīzijas centrs</w:t>
      </w:r>
      <w:r w:rsidR="00815344" w:rsidRPr="00550D35">
        <w:rPr>
          <w:bCs/>
          <w:spacing w:val="-4"/>
          <w:szCs w:val="24"/>
          <w:lang w:val="lv-LV"/>
        </w:rPr>
        <w:t>”</w:t>
      </w:r>
    </w:p>
    <w:p w14:paraId="559D4C1D" w14:textId="19D0B1D0" w:rsidR="00B128D6" w:rsidRPr="00550D35" w:rsidRDefault="00B128D6" w:rsidP="008F7D0C">
      <w:pPr>
        <w:rPr>
          <w:szCs w:val="24"/>
          <w:lang w:val="lv-LV"/>
        </w:rPr>
      </w:pPr>
      <w:r w:rsidRPr="00550D35">
        <w:rPr>
          <w:b/>
          <w:bCs/>
          <w:szCs w:val="24"/>
          <w:lang w:val="lv-LV"/>
        </w:rPr>
        <w:t>MK</w:t>
      </w:r>
      <w:r w:rsidR="002E2505" w:rsidRPr="00550D35">
        <w:rPr>
          <w:b/>
          <w:bCs/>
          <w:szCs w:val="24"/>
          <w:lang w:val="lv-LV"/>
        </w:rPr>
        <w:t xml:space="preserve"> </w:t>
      </w:r>
      <w:r w:rsidR="002E2505" w:rsidRPr="00550D35">
        <w:rPr>
          <w:szCs w:val="24"/>
          <w:lang w:val="lv-LV"/>
        </w:rPr>
        <w:t>–</w:t>
      </w:r>
      <w:r w:rsidRPr="00550D35">
        <w:rPr>
          <w:szCs w:val="24"/>
          <w:lang w:val="lv-LV"/>
        </w:rPr>
        <w:t xml:space="preserve"> Ministru kabinets</w:t>
      </w:r>
    </w:p>
    <w:p w14:paraId="0E7DC96F" w14:textId="29773B8B" w:rsidR="00B128D6" w:rsidRPr="00550D35" w:rsidRDefault="00B128D6" w:rsidP="008F7D0C">
      <w:pPr>
        <w:rPr>
          <w:szCs w:val="24"/>
          <w:lang w:val="lv-LV"/>
        </w:rPr>
      </w:pPr>
      <w:r w:rsidRPr="00550D35">
        <w:rPr>
          <w:b/>
          <w:bCs/>
          <w:szCs w:val="24"/>
          <w:lang w:val="lv-LV"/>
        </w:rPr>
        <w:t>MVU</w:t>
      </w:r>
      <w:r w:rsidR="002E2505" w:rsidRPr="00550D35">
        <w:rPr>
          <w:b/>
          <w:bCs/>
          <w:szCs w:val="24"/>
          <w:lang w:val="lv-LV"/>
        </w:rPr>
        <w:t xml:space="preserve"> </w:t>
      </w:r>
      <w:r w:rsidR="002E2505" w:rsidRPr="00550D35">
        <w:rPr>
          <w:szCs w:val="24"/>
          <w:lang w:val="lv-LV"/>
        </w:rPr>
        <w:t>–</w:t>
      </w:r>
      <w:r w:rsidRPr="00550D35">
        <w:rPr>
          <w:szCs w:val="24"/>
          <w:lang w:val="lv-LV"/>
        </w:rPr>
        <w:t xml:space="preserve"> mazie un vidējie uzņēmumi</w:t>
      </w:r>
    </w:p>
    <w:p w14:paraId="0AA55316" w14:textId="0F8381A8" w:rsidR="00B128D6" w:rsidRPr="00550D35" w:rsidRDefault="00B128D6" w:rsidP="008F7D0C">
      <w:pPr>
        <w:rPr>
          <w:szCs w:val="24"/>
          <w:lang w:val="lv-LV"/>
        </w:rPr>
      </w:pPr>
      <w:r w:rsidRPr="00550D35">
        <w:rPr>
          <w:b/>
          <w:bCs/>
          <w:szCs w:val="24"/>
          <w:lang w:val="lv-LV"/>
        </w:rPr>
        <w:t>NAP2027</w:t>
      </w:r>
      <w:r w:rsidR="002E2505" w:rsidRPr="00550D35">
        <w:rPr>
          <w:b/>
          <w:bCs/>
          <w:szCs w:val="24"/>
          <w:lang w:val="lv-LV"/>
        </w:rPr>
        <w:t xml:space="preserve"> </w:t>
      </w:r>
      <w:r w:rsidR="002E2505" w:rsidRPr="00550D35">
        <w:rPr>
          <w:szCs w:val="24"/>
          <w:lang w:val="lv-LV"/>
        </w:rPr>
        <w:t>–</w:t>
      </w:r>
      <w:r w:rsidRPr="00550D35">
        <w:rPr>
          <w:szCs w:val="24"/>
          <w:lang w:val="lv-LV"/>
        </w:rPr>
        <w:t xml:space="preserve"> Nacionālais attīstības plāns 2021.- 2027.</w:t>
      </w:r>
      <w:r w:rsidR="009355D5" w:rsidRPr="00550D35">
        <w:rPr>
          <w:szCs w:val="24"/>
          <w:lang w:val="lv-LV"/>
        </w:rPr>
        <w:t> </w:t>
      </w:r>
      <w:r w:rsidRPr="00550D35">
        <w:rPr>
          <w:szCs w:val="24"/>
          <w:lang w:val="lv-LV"/>
        </w:rPr>
        <w:t>gadam</w:t>
      </w:r>
    </w:p>
    <w:p w14:paraId="03712978" w14:textId="748D97C8" w:rsidR="00B128D6" w:rsidRPr="00550D35" w:rsidRDefault="00B128D6" w:rsidP="008F7D0C">
      <w:pPr>
        <w:rPr>
          <w:szCs w:val="24"/>
          <w:lang w:val="lv-LV"/>
        </w:rPr>
      </w:pPr>
      <w:r w:rsidRPr="00550D35">
        <w:rPr>
          <w:b/>
          <w:bCs/>
          <w:szCs w:val="24"/>
          <w:lang w:val="lv-LV"/>
        </w:rPr>
        <w:t>NIP2027</w:t>
      </w:r>
      <w:r w:rsidR="002E2505" w:rsidRPr="00550D35">
        <w:rPr>
          <w:b/>
          <w:bCs/>
          <w:szCs w:val="24"/>
          <w:lang w:val="lv-LV"/>
        </w:rPr>
        <w:t xml:space="preserve"> </w:t>
      </w:r>
      <w:r w:rsidR="002E2505" w:rsidRPr="00550D35">
        <w:rPr>
          <w:szCs w:val="24"/>
          <w:lang w:val="lv-LV"/>
        </w:rPr>
        <w:t>–</w:t>
      </w:r>
      <w:r w:rsidRPr="00550D35">
        <w:rPr>
          <w:szCs w:val="24"/>
          <w:lang w:val="lv-LV"/>
        </w:rPr>
        <w:t xml:space="preserve"> Nacionālās industriālās politikas pamatnostādnes 2021.–2027.</w:t>
      </w:r>
      <w:r w:rsidR="009355D5" w:rsidRPr="00550D35">
        <w:rPr>
          <w:szCs w:val="24"/>
          <w:lang w:val="lv-LV"/>
        </w:rPr>
        <w:t> </w:t>
      </w:r>
      <w:r w:rsidRPr="00550D35">
        <w:rPr>
          <w:szCs w:val="24"/>
          <w:lang w:val="lv-LV"/>
        </w:rPr>
        <w:t>gadam</w:t>
      </w:r>
    </w:p>
    <w:p w14:paraId="2645440E" w14:textId="116AA87E" w:rsidR="00B128D6" w:rsidRPr="00550D35" w:rsidRDefault="00B128D6" w:rsidP="008F7D0C">
      <w:pPr>
        <w:rPr>
          <w:szCs w:val="24"/>
          <w:lang w:val="lv-LV"/>
        </w:rPr>
      </w:pPr>
      <w:r w:rsidRPr="00550D35">
        <w:rPr>
          <w:b/>
          <w:bCs/>
          <w:szCs w:val="24"/>
          <w:lang w:val="lv-LV"/>
        </w:rPr>
        <w:t>NVO</w:t>
      </w:r>
      <w:r w:rsidR="002E2505" w:rsidRPr="00550D35">
        <w:rPr>
          <w:b/>
          <w:bCs/>
          <w:szCs w:val="24"/>
          <w:lang w:val="lv-LV"/>
        </w:rPr>
        <w:t xml:space="preserve"> </w:t>
      </w:r>
      <w:r w:rsidR="002E2505" w:rsidRPr="00550D35">
        <w:rPr>
          <w:szCs w:val="24"/>
          <w:lang w:val="lv-LV"/>
        </w:rPr>
        <w:t>–</w:t>
      </w:r>
      <w:r w:rsidRPr="00550D35">
        <w:rPr>
          <w:szCs w:val="24"/>
          <w:lang w:val="lv-LV"/>
        </w:rPr>
        <w:t xml:space="preserve"> nevalstiskās organizācijas</w:t>
      </w:r>
    </w:p>
    <w:p w14:paraId="12E7265C" w14:textId="5F4FD607" w:rsidR="00B128D6" w:rsidRPr="00550D35" w:rsidRDefault="00B128D6" w:rsidP="00987941">
      <w:pPr>
        <w:ind w:left="720" w:firstLine="0"/>
        <w:rPr>
          <w:szCs w:val="24"/>
          <w:lang w:val="lv-LV" w:eastAsia="lv-LV"/>
        </w:rPr>
      </w:pPr>
      <w:r w:rsidRPr="00550D35">
        <w:rPr>
          <w:b/>
          <w:bCs/>
          <w:szCs w:val="24"/>
          <w:lang w:val="lv-LV" w:eastAsia="lv-LV"/>
        </w:rPr>
        <w:t>Pēdē</w:t>
      </w:r>
      <w:r w:rsidR="00245D27" w:rsidRPr="00550D35">
        <w:rPr>
          <w:b/>
          <w:bCs/>
          <w:szCs w:val="24"/>
          <w:lang w:val="lv-LV" w:eastAsia="lv-LV"/>
        </w:rPr>
        <w:t>jā</w:t>
      </w:r>
      <w:r w:rsidRPr="00550D35">
        <w:rPr>
          <w:b/>
          <w:bCs/>
          <w:szCs w:val="24"/>
          <w:lang w:val="lv-LV" w:eastAsia="lv-LV"/>
        </w:rPr>
        <w:t xml:space="preserve"> jūdze</w:t>
      </w:r>
      <w:r w:rsidR="002E2505" w:rsidRPr="00550D35">
        <w:rPr>
          <w:b/>
          <w:bCs/>
          <w:szCs w:val="24"/>
          <w:lang w:val="lv-LV" w:eastAsia="lv-LV"/>
        </w:rPr>
        <w:t xml:space="preserve"> </w:t>
      </w:r>
      <w:r w:rsidR="002E2505" w:rsidRPr="00550D35">
        <w:rPr>
          <w:szCs w:val="24"/>
          <w:lang w:val="lv-LV"/>
        </w:rPr>
        <w:t>–</w:t>
      </w:r>
      <w:r w:rsidRPr="00550D35">
        <w:rPr>
          <w:szCs w:val="24"/>
          <w:lang w:val="lv-LV" w:eastAsia="lv-LV"/>
        </w:rPr>
        <w:t xml:space="preserve"> elektronisko sakaru piekļuves tīkla daļa. Fiksēta</w:t>
      </w:r>
      <w:r w:rsidR="00245D27" w:rsidRPr="00550D35">
        <w:rPr>
          <w:szCs w:val="24"/>
          <w:lang w:val="lv-LV" w:eastAsia="lv-LV"/>
        </w:rPr>
        <w:t>jā</w:t>
      </w:r>
      <w:r w:rsidRPr="00550D35">
        <w:rPr>
          <w:szCs w:val="24"/>
          <w:lang w:val="lv-LV" w:eastAsia="lv-LV"/>
        </w:rPr>
        <w:t>s līni</w:t>
      </w:r>
      <w:r w:rsidR="00245D27" w:rsidRPr="00550D35">
        <w:rPr>
          <w:szCs w:val="24"/>
          <w:lang w:val="lv-LV" w:eastAsia="lv-LV"/>
        </w:rPr>
        <w:t>jā</w:t>
      </w:r>
      <w:r w:rsidRPr="00550D35">
        <w:rPr>
          <w:szCs w:val="24"/>
          <w:lang w:val="lv-LV" w:eastAsia="lv-LV"/>
        </w:rPr>
        <w:t>s no pēdē</w:t>
      </w:r>
      <w:r w:rsidR="00245D27" w:rsidRPr="00550D35">
        <w:rPr>
          <w:szCs w:val="24"/>
          <w:lang w:val="lv-LV" w:eastAsia="lv-LV"/>
        </w:rPr>
        <w:t>jā</w:t>
      </w:r>
      <w:r w:rsidRPr="00550D35">
        <w:rPr>
          <w:szCs w:val="24"/>
          <w:lang w:val="lv-LV" w:eastAsia="lv-LV"/>
        </w:rPr>
        <w:t xml:space="preserve"> piekļuves mezgla līdz galalietotāja iekārtai, bezvadu risinājumos no operatora bāzes stacijas līdz galalietotāja iekārtai un fiksētā bezvadu risinājuma gadījumos no pēdē</w:t>
      </w:r>
      <w:r w:rsidR="00245D27" w:rsidRPr="00550D35">
        <w:rPr>
          <w:szCs w:val="24"/>
          <w:lang w:val="lv-LV" w:eastAsia="lv-LV"/>
        </w:rPr>
        <w:t>jā</w:t>
      </w:r>
      <w:r w:rsidRPr="00550D35">
        <w:rPr>
          <w:szCs w:val="24"/>
          <w:lang w:val="lv-LV" w:eastAsia="lv-LV"/>
        </w:rPr>
        <w:t>s komersanta bāzes stacijas līdz galalietotāja iekārtai</w:t>
      </w:r>
    </w:p>
    <w:p w14:paraId="4ACE888A" w14:textId="36BF493C" w:rsidR="00C627B2" w:rsidRPr="00550D35" w:rsidRDefault="00C627B2" w:rsidP="008F7D0C">
      <w:pPr>
        <w:rPr>
          <w:szCs w:val="24"/>
          <w:lang w:val="lv-LV" w:eastAsia="lv-LV"/>
        </w:rPr>
      </w:pPr>
      <w:r w:rsidRPr="00550D35">
        <w:rPr>
          <w:b/>
          <w:bCs/>
          <w:szCs w:val="24"/>
          <w:lang w:val="lv-LV" w:eastAsia="lv-LV"/>
        </w:rPr>
        <w:t>PIA</w:t>
      </w:r>
      <w:r w:rsidR="002E2505" w:rsidRPr="00550D35">
        <w:rPr>
          <w:b/>
          <w:bCs/>
          <w:szCs w:val="24"/>
          <w:lang w:val="lv-LV" w:eastAsia="lv-LV"/>
        </w:rPr>
        <w:t xml:space="preserve"> </w:t>
      </w:r>
      <w:r w:rsidR="002E2505" w:rsidRPr="00550D35">
        <w:rPr>
          <w:szCs w:val="24"/>
          <w:lang w:val="lv-LV"/>
        </w:rPr>
        <w:t>–</w:t>
      </w:r>
      <w:r w:rsidRPr="00550D35">
        <w:rPr>
          <w:b/>
          <w:bCs/>
          <w:szCs w:val="24"/>
          <w:lang w:val="lv-LV" w:eastAsia="lv-LV"/>
        </w:rPr>
        <w:t xml:space="preserve"> </w:t>
      </w:r>
      <w:r w:rsidRPr="00550D35">
        <w:rPr>
          <w:szCs w:val="24"/>
          <w:lang w:val="lv-LV" w:eastAsia="lv-LV"/>
        </w:rPr>
        <w:t>profesionālā izglītība un apmācība </w:t>
      </w:r>
    </w:p>
    <w:p w14:paraId="66B6334A" w14:textId="4EA9138B" w:rsidR="00C148C5" w:rsidRPr="00550D35" w:rsidRDefault="00C148C5" w:rsidP="008F7D0C">
      <w:pPr>
        <w:rPr>
          <w:szCs w:val="24"/>
          <w:lang w:val="lv-LV" w:eastAsia="lv-LV"/>
        </w:rPr>
      </w:pPr>
      <w:r w:rsidRPr="00550D35">
        <w:rPr>
          <w:b/>
          <w:bCs/>
          <w:szCs w:val="24"/>
          <w:lang w:val="lv-LV" w:eastAsia="lv-LV"/>
        </w:rPr>
        <w:t>P&amp;A</w:t>
      </w:r>
      <w:r w:rsidRPr="00550D35">
        <w:rPr>
          <w:szCs w:val="24"/>
          <w:lang w:val="lv-LV" w:eastAsia="lv-LV"/>
        </w:rPr>
        <w:t xml:space="preserve"> – pētniecība un attīstība</w:t>
      </w:r>
    </w:p>
    <w:p w14:paraId="48B75024" w14:textId="517AA6C1" w:rsidR="00B128D6" w:rsidRPr="00550D35" w:rsidRDefault="00B128D6" w:rsidP="00987941">
      <w:pPr>
        <w:ind w:left="720" w:firstLine="0"/>
        <w:rPr>
          <w:szCs w:val="24"/>
          <w:lang w:val="lv-LV" w:eastAsia="lv-LV"/>
        </w:rPr>
      </w:pPr>
      <w:r w:rsidRPr="00550D35">
        <w:rPr>
          <w:b/>
          <w:bCs/>
          <w:szCs w:val="24"/>
          <w:lang w:val="lv-LV"/>
        </w:rPr>
        <w:t xml:space="preserve">Rail </w:t>
      </w:r>
      <w:proofErr w:type="spellStart"/>
      <w:r w:rsidRPr="00550D35">
        <w:rPr>
          <w:b/>
          <w:bCs/>
          <w:szCs w:val="24"/>
          <w:lang w:val="lv-LV"/>
        </w:rPr>
        <w:t>Baltica</w:t>
      </w:r>
      <w:proofErr w:type="spellEnd"/>
      <w:r w:rsidR="002E2505" w:rsidRPr="00550D35">
        <w:rPr>
          <w:b/>
          <w:bCs/>
          <w:szCs w:val="24"/>
          <w:lang w:val="lv-LV"/>
        </w:rPr>
        <w:t xml:space="preserve"> </w:t>
      </w:r>
      <w:r w:rsidR="002E2505" w:rsidRPr="00550D35">
        <w:rPr>
          <w:szCs w:val="24"/>
          <w:lang w:val="lv-LV"/>
        </w:rPr>
        <w:t>–</w:t>
      </w:r>
      <w:r w:rsidRPr="00550D35">
        <w:rPr>
          <w:szCs w:val="24"/>
          <w:lang w:val="lv-LV"/>
        </w:rPr>
        <w:t xml:space="preserve"> dzelzceļa infrastruktūras projekts ar mērķi integrēt Baltijas valstis Eiropas dzelzceļu tīklā. Paredzēts, ka dzelzceļa līnija savienos Helsinkus, Tallinu, Pērnavu, Rīgu, Paņevežu, Kauņu, Viļ</w:t>
      </w:r>
      <w:r w:rsidR="00A1088E" w:rsidRPr="00550D35">
        <w:rPr>
          <w:szCs w:val="24"/>
          <w:lang w:val="lv-LV"/>
        </w:rPr>
        <w:t>ņ</w:t>
      </w:r>
      <w:r w:rsidRPr="00550D35">
        <w:rPr>
          <w:szCs w:val="24"/>
          <w:lang w:val="lv-LV"/>
        </w:rPr>
        <w:t>u un Varšavu.</w:t>
      </w:r>
    </w:p>
    <w:p w14:paraId="3B8A622D" w14:textId="51DCF435" w:rsidR="00B128D6" w:rsidRPr="00550D35" w:rsidRDefault="00B128D6" w:rsidP="008F7D0C">
      <w:pPr>
        <w:rPr>
          <w:szCs w:val="24"/>
          <w:lang w:val="lv-LV"/>
        </w:rPr>
      </w:pPr>
      <w:r w:rsidRPr="00550D35">
        <w:rPr>
          <w:b/>
          <w:bCs/>
          <w:szCs w:val="24"/>
          <w:lang w:val="lv-LV"/>
        </w:rPr>
        <w:t>RIS3</w:t>
      </w:r>
      <w:r w:rsidR="002E2505" w:rsidRPr="00550D35">
        <w:rPr>
          <w:b/>
          <w:bCs/>
          <w:szCs w:val="24"/>
          <w:lang w:val="lv-LV"/>
        </w:rPr>
        <w:t xml:space="preserve"> </w:t>
      </w:r>
      <w:r w:rsidR="002E2505" w:rsidRPr="00550D35">
        <w:rPr>
          <w:szCs w:val="24"/>
          <w:lang w:val="lv-LV"/>
        </w:rPr>
        <w:t>–</w:t>
      </w:r>
      <w:r w:rsidRPr="00550D35">
        <w:rPr>
          <w:szCs w:val="24"/>
          <w:lang w:val="lv-LV"/>
        </w:rPr>
        <w:t xml:space="preserve"> Latvijas Viedās specializācijas stratēģija</w:t>
      </w:r>
    </w:p>
    <w:p w14:paraId="6FC27ED5" w14:textId="31175C08" w:rsidR="009B47F7" w:rsidRPr="00550D35" w:rsidRDefault="009B47F7" w:rsidP="008F7D0C">
      <w:pPr>
        <w:rPr>
          <w:szCs w:val="24"/>
          <w:lang w:val="lv-LV"/>
        </w:rPr>
      </w:pPr>
      <w:r w:rsidRPr="00550D35">
        <w:rPr>
          <w:b/>
          <w:bCs/>
          <w:szCs w:val="24"/>
          <w:lang w:val="lv-LV"/>
        </w:rPr>
        <w:t>RTU</w:t>
      </w:r>
      <w:r w:rsidR="002E2505" w:rsidRPr="00550D35">
        <w:rPr>
          <w:b/>
          <w:bCs/>
          <w:szCs w:val="24"/>
          <w:lang w:val="lv-LV"/>
        </w:rPr>
        <w:t xml:space="preserve"> </w:t>
      </w:r>
      <w:r w:rsidR="002E2505" w:rsidRPr="00550D35">
        <w:rPr>
          <w:szCs w:val="24"/>
          <w:lang w:val="lv-LV"/>
        </w:rPr>
        <w:t>–</w:t>
      </w:r>
      <w:r w:rsidRPr="00550D35">
        <w:rPr>
          <w:szCs w:val="24"/>
          <w:lang w:val="lv-LV"/>
        </w:rPr>
        <w:t xml:space="preserve"> Rīgas Tehniskā un</w:t>
      </w:r>
      <w:r w:rsidR="00397D67">
        <w:rPr>
          <w:szCs w:val="24"/>
          <w:lang w:val="lv-LV"/>
        </w:rPr>
        <w:t>i</w:t>
      </w:r>
      <w:r w:rsidRPr="00550D35">
        <w:rPr>
          <w:szCs w:val="24"/>
          <w:lang w:val="lv-LV"/>
        </w:rPr>
        <w:t>versitāte</w:t>
      </w:r>
    </w:p>
    <w:p w14:paraId="05245C7C" w14:textId="60F49512" w:rsidR="00844200" w:rsidRPr="00550D35" w:rsidRDefault="00844200" w:rsidP="00844200">
      <w:pPr>
        <w:rPr>
          <w:szCs w:val="24"/>
          <w:lang w:val="lv-LV"/>
        </w:rPr>
      </w:pPr>
      <w:r w:rsidRPr="00550D35">
        <w:rPr>
          <w:b/>
          <w:bCs/>
          <w:szCs w:val="24"/>
          <w:lang w:val="lv-LV"/>
        </w:rPr>
        <w:t>SIA LMT</w:t>
      </w:r>
      <w:r w:rsidRPr="00550D35">
        <w:rPr>
          <w:szCs w:val="24"/>
          <w:lang w:val="lv-LV"/>
        </w:rPr>
        <w:t xml:space="preserve"> – SIA “Latvijas Mobilais telefons”</w:t>
      </w:r>
    </w:p>
    <w:p w14:paraId="46E51DCE" w14:textId="0C0471E5" w:rsidR="00B128D6" w:rsidRPr="00550D35" w:rsidRDefault="00B128D6" w:rsidP="008F7D0C">
      <w:pPr>
        <w:rPr>
          <w:szCs w:val="24"/>
          <w:lang w:val="lv-LV"/>
        </w:rPr>
      </w:pPr>
      <w:r w:rsidRPr="00550D35">
        <w:rPr>
          <w:b/>
          <w:bCs/>
          <w:szCs w:val="24"/>
          <w:lang w:val="lv-LV"/>
        </w:rPr>
        <w:t>SM</w:t>
      </w:r>
      <w:r w:rsidR="002E2505" w:rsidRPr="00550D35">
        <w:rPr>
          <w:b/>
          <w:bCs/>
          <w:szCs w:val="24"/>
          <w:lang w:val="lv-LV"/>
        </w:rPr>
        <w:t xml:space="preserve"> </w:t>
      </w:r>
      <w:r w:rsidR="002E2505" w:rsidRPr="00550D35">
        <w:rPr>
          <w:szCs w:val="24"/>
          <w:lang w:val="lv-LV"/>
        </w:rPr>
        <w:t>–</w:t>
      </w:r>
      <w:r w:rsidRPr="00550D35">
        <w:rPr>
          <w:szCs w:val="24"/>
          <w:lang w:val="lv-LV"/>
        </w:rPr>
        <w:t xml:space="preserve"> Satiksmes ministrija</w:t>
      </w:r>
    </w:p>
    <w:p w14:paraId="6CD5E24C" w14:textId="561ACF13" w:rsidR="00B128D6" w:rsidRPr="00550D35" w:rsidRDefault="00B128D6" w:rsidP="00987941">
      <w:pPr>
        <w:ind w:left="720" w:firstLine="0"/>
        <w:rPr>
          <w:szCs w:val="24"/>
          <w:lang w:val="lv-LV"/>
        </w:rPr>
      </w:pPr>
      <w:r w:rsidRPr="00550D35">
        <w:rPr>
          <w:b/>
          <w:bCs/>
          <w:szCs w:val="24"/>
          <w:lang w:val="lv-LV"/>
        </w:rPr>
        <w:t>STEM</w:t>
      </w:r>
      <w:r w:rsidR="002E2505" w:rsidRPr="00550D35">
        <w:rPr>
          <w:b/>
          <w:bCs/>
          <w:szCs w:val="24"/>
          <w:lang w:val="lv-LV"/>
        </w:rPr>
        <w:t xml:space="preserve"> </w:t>
      </w:r>
      <w:r w:rsidR="002E2505" w:rsidRPr="00550D35">
        <w:rPr>
          <w:szCs w:val="24"/>
          <w:lang w:val="lv-LV"/>
        </w:rPr>
        <w:t>–</w:t>
      </w:r>
      <w:r w:rsidRPr="00550D35">
        <w:rPr>
          <w:szCs w:val="24"/>
          <w:lang w:val="lv-LV"/>
        </w:rPr>
        <w:t xml:space="preserve"> zinātne, tehnoloģijas, inženierzinātnes un matemātika (</w:t>
      </w:r>
      <w:proofErr w:type="spellStart"/>
      <w:r w:rsidRPr="00550D35">
        <w:rPr>
          <w:i/>
          <w:iCs/>
          <w:szCs w:val="24"/>
          <w:lang w:val="lv-LV"/>
        </w:rPr>
        <w:t>science</w:t>
      </w:r>
      <w:proofErr w:type="spellEnd"/>
      <w:r w:rsidRPr="00550D35">
        <w:rPr>
          <w:i/>
          <w:iCs/>
          <w:szCs w:val="24"/>
          <w:lang w:val="lv-LV"/>
        </w:rPr>
        <w:t xml:space="preserve">, </w:t>
      </w:r>
      <w:proofErr w:type="spellStart"/>
      <w:r w:rsidRPr="00550D35">
        <w:rPr>
          <w:i/>
          <w:iCs/>
          <w:szCs w:val="24"/>
          <w:lang w:val="lv-LV"/>
        </w:rPr>
        <w:t>technology</w:t>
      </w:r>
      <w:proofErr w:type="spellEnd"/>
      <w:r w:rsidRPr="00550D35">
        <w:rPr>
          <w:i/>
          <w:iCs/>
          <w:szCs w:val="24"/>
          <w:lang w:val="lv-LV"/>
        </w:rPr>
        <w:t xml:space="preserve">, </w:t>
      </w:r>
      <w:proofErr w:type="spellStart"/>
      <w:r w:rsidRPr="00550D35">
        <w:rPr>
          <w:i/>
          <w:iCs/>
          <w:szCs w:val="24"/>
          <w:lang w:val="lv-LV"/>
        </w:rPr>
        <w:t>engineering</w:t>
      </w:r>
      <w:proofErr w:type="spellEnd"/>
      <w:r w:rsidRPr="00550D35">
        <w:rPr>
          <w:i/>
          <w:iCs/>
          <w:szCs w:val="24"/>
          <w:lang w:val="lv-LV"/>
        </w:rPr>
        <w:t xml:space="preserve"> </w:t>
      </w:r>
      <w:proofErr w:type="spellStart"/>
      <w:r w:rsidRPr="00550D35">
        <w:rPr>
          <w:i/>
          <w:iCs/>
          <w:szCs w:val="24"/>
          <w:lang w:val="lv-LV"/>
        </w:rPr>
        <w:t>and</w:t>
      </w:r>
      <w:proofErr w:type="spellEnd"/>
      <w:r w:rsidRPr="00550D35">
        <w:rPr>
          <w:i/>
          <w:iCs/>
          <w:szCs w:val="24"/>
          <w:lang w:val="lv-LV"/>
        </w:rPr>
        <w:t xml:space="preserve"> </w:t>
      </w:r>
      <w:proofErr w:type="spellStart"/>
      <w:r w:rsidRPr="00550D35">
        <w:rPr>
          <w:i/>
          <w:iCs/>
          <w:szCs w:val="24"/>
          <w:lang w:val="lv-LV"/>
        </w:rPr>
        <w:t>mathematics</w:t>
      </w:r>
      <w:proofErr w:type="spellEnd"/>
      <w:r w:rsidRPr="00550D35">
        <w:rPr>
          <w:szCs w:val="24"/>
          <w:lang w:val="lv-LV"/>
        </w:rPr>
        <w:t>)</w:t>
      </w:r>
    </w:p>
    <w:p w14:paraId="1649E4E6" w14:textId="553ECCEB" w:rsidR="0096665E" w:rsidRPr="00550D35" w:rsidRDefault="00B128D6" w:rsidP="0096665E">
      <w:pPr>
        <w:rPr>
          <w:szCs w:val="24"/>
          <w:lang w:val="lv-LV"/>
        </w:rPr>
      </w:pPr>
      <w:r w:rsidRPr="00550D35">
        <w:rPr>
          <w:b/>
          <w:bCs/>
          <w:szCs w:val="24"/>
          <w:lang w:val="lv-LV"/>
        </w:rPr>
        <w:t>TAP</w:t>
      </w:r>
      <w:r w:rsidR="002E2505" w:rsidRPr="00550D35">
        <w:rPr>
          <w:b/>
          <w:bCs/>
          <w:szCs w:val="24"/>
          <w:lang w:val="lv-LV"/>
        </w:rPr>
        <w:t xml:space="preserve"> </w:t>
      </w:r>
      <w:r w:rsidR="00841E86" w:rsidRPr="00550D35">
        <w:rPr>
          <w:b/>
          <w:bCs/>
          <w:szCs w:val="24"/>
          <w:lang w:val="lv-LV"/>
        </w:rPr>
        <w:t>portāls</w:t>
      </w:r>
      <w:r w:rsidR="002E2505" w:rsidRPr="00550D35">
        <w:rPr>
          <w:szCs w:val="24"/>
          <w:lang w:val="lv-LV"/>
        </w:rPr>
        <w:t>–</w:t>
      </w:r>
      <w:r w:rsidRPr="00550D35">
        <w:rPr>
          <w:szCs w:val="24"/>
          <w:lang w:val="lv-LV"/>
        </w:rPr>
        <w:t xml:space="preserve"> </w:t>
      </w:r>
      <w:r w:rsidR="00E7035D" w:rsidRPr="00550D35">
        <w:rPr>
          <w:szCs w:val="24"/>
          <w:lang w:val="lv-LV"/>
        </w:rPr>
        <w:t>Vienotais tiesību aktu projektu izstrādes un saskaņošanas portāls</w:t>
      </w:r>
    </w:p>
    <w:p w14:paraId="305F94E4" w14:textId="4472B048" w:rsidR="00B128D6" w:rsidRPr="00550D35" w:rsidRDefault="00B128D6" w:rsidP="008F7D0C">
      <w:pPr>
        <w:rPr>
          <w:szCs w:val="24"/>
          <w:lang w:val="lv-LV"/>
        </w:rPr>
      </w:pPr>
      <w:r w:rsidRPr="00550D35">
        <w:rPr>
          <w:b/>
          <w:bCs/>
          <w:szCs w:val="24"/>
          <w:lang w:val="lv-LV"/>
        </w:rPr>
        <w:t>VARAM</w:t>
      </w:r>
      <w:r w:rsidR="002E2505" w:rsidRPr="00550D35">
        <w:rPr>
          <w:b/>
          <w:bCs/>
          <w:szCs w:val="24"/>
          <w:lang w:val="lv-LV"/>
        </w:rPr>
        <w:t xml:space="preserve"> </w:t>
      </w:r>
      <w:r w:rsidR="002E2505" w:rsidRPr="00550D35">
        <w:rPr>
          <w:szCs w:val="24"/>
          <w:lang w:val="lv-LV"/>
        </w:rPr>
        <w:t>–</w:t>
      </w:r>
      <w:r w:rsidRPr="00550D35">
        <w:rPr>
          <w:szCs w:val="24"/>
          <w:lang w:val="lv-LV"/>
        </w:rPr>
        <w:t xml:space="preserve"> Vides aizsardzības un reģionālās attīstības ministrija</w:t>
      </w:r>
    </w:p>
    <w:p w14:paraId="47258CFD" w14:textId="771C317B" w:rsidR="0095156C" w:rsidRPr="00550D35" w:rsidRDefault="0095156C" w:rsidP="008F7D0C">
      <w:pPr>
        <w:rPr>
          <w:szCs w:val="24"/>
          <w:lang w:val="lv-LV"/>
        </w:rPr>
      </w:pPr>
      <w:r w:rsidRPr="00550D35">
        <w:rPr>
          <w:b/>
          <w:bCs/>
          <w:szCs w:val="24"/>
          <w:lang w:val="lv-LV"/>
        </w:rPr>
        <w:t xml:space="preserve">VASES </w:t>
      </w:r>
      <w:r w:rsidRPr="00550D35">
        <w:rPr>
          <w:szCs w:val="24"/>
          <w:lang w:val="lv-LV"/>
        </w:rPr>
        <w:t>– Valsts akciju sabiedrība “Elektroniskie sakari”</w:t>
      </w:r>
    </w:p>
    <w:p w14:paraId="5DDFC4EB" w14:textId="72468BB5" w:rsidR="00B128D6" w:rsidRPr="00550D35" w:rsidRDefault="00B128D6" w:rsidP="00987941">
      <w:pPr>
        <w:ind w:left="720" w:firstLine="0"/>
        <w:rPr>
          <w:spacing w:val="-6"/>
          <w:szCs w:val="24"/>
          <w:lang w:val="lv-LV"/>
        </w:rPr>
      </w:pPr>
      <w:r w:rsidRPr="00550D35">
        <w:rPr>
          <w:b/>
          <w:bCs/>
          <w:spacing w:val="-6"/>
          <w:szCs w:val="24"/>
          <w:lang w:val="lv-LV"/>
        </w:rPr>
        <w:t>VH</w:t>
      </w:r>
      <w:r w:rsidR="00C539C3" w:rsidRPr="00550D35">
        <w:rPr>
          <w:b/>
          <w:bCs/>
          <w:spacing w:val="-6"/>
          <w:szCs w:val="24"/>
          <w:lang w:val="lv-LV"/>
        </w:rPr>
        <w:t>C</w:t>
      </w:r>
      <w:r w:rsidRPr="00550D35">
        <w:rPr>
          <w:b/>
          <w:bCs/>
          <w:spacing w:val="-6"/>
          <w:szCs w:val="24"/>
          <w:lang w:val="lv-LV"/>
        </w:rPr>
        <w:t>N tīkls</w:t>
      </w:r>
      <w:r w:rsidR="002E2505" w:rsidRPr="00550D35">
        <w:rPr>
          <w:b/>
          <w:bCs/>
          <w:spacing w:val="-6"/>
          <w:szCs w:val="24"/>
          <w:lang w:val="lv-LV"/>
        </w:rPr>
        <w:t xml:space="preserve"> </w:t>
      </w:r>
      <w:r w:rsidR="002E2505" w:rsidRPr="00550D35">
        <w:rPr>
          <w:spacing w:val="-6"/>
          <w:szCs w:val="24"/>
          <w:lang w:val="lv-LV"/>
        </w:rPr>
        <w:t>–</w:t>
      </w:r>
      <w:r w:rsidRPr="00550D35">
        <w:rPr>
          <w:spacing w:val="-6"/>
          <w:szCs w:val="24"/>
          <w:lang w:val="lv-LV"/>
        </w:rPr>
        <w:t xml:space="preserve"> ļoti augstas veiktspējas tīkls (ar datu pārraides ātrumu vismaz 100 Mbit/s)</w:t>
      </w:r>
    </w:p>
    <w:p w14:paraId="6C926042" w14:textId="241165EC" w:rsidR="00B128D6" w:rsidRPr="00550D35" w:rsidRDefault="00B128D6" w:rsidP="008F7D0C">
      <w:pPr>
        <w:rPr>
          <w:szCs w:val="24"/>
          <w:lang w:val="lv-LV"/>
        </w:rPr>
      </w:pPr>
      <w:r w:rsidRPr="00550D35">
        <w:rPr>
          <w:b/>
          <w:bCs/>
          <w:szCs w:val="24"/>
          <w:lang w:val="lv-LV"/>
        </w:rPr>
        <w:t>VM</w:t>
      </w:r>
      <w:r w:rsidR="002E2505" w:rsidRPr="00550D35">
        <w:rPr>
          <w:b/>
          <w:bCs/>
          <w:szCs w:val="24"/>
          <w:lang w:val="lv-LV"/>
        </w:rPr>
        <w:t xml:space="preserve"> </w:t>
      </w:r>
      <w:r w:rsidR="002E2505" w:rsidRPr="00550D35">
        <w:rPr>
          <w:szCs w:val="24"/>
          <w:lang w:val="lv-LV"/>
        </w:rPr>
        <w:t>–</w:t>
      </w:r>
      <w:r w:rsidRPr="00550D35">
        <w:rPr>
          <w:szCs w:val="24"/>
          <w:lang w:val="lv-LV"/>
        </w:rPr>
        <w:t xml:space="preserve"> Veselības ministrija</w:t>
      </w:r>
    </w:p>
    <w:p w14:paraId="4683AB9A" w14:textId="598A7655" w:rsidR="00B128D6" w:rsidRPr="00550D35" w:rsidRDefault="00B128D6" w:rsidP="008F7D0C">
      <w:pPr>
        <w:rPr>
          <w:szCs w:val="24"/>
          <w:lang w:val="lv-LV"/>
        </w:rPr>
      </w:pPr>
      <w:r w:rsidRPr="00550D35">
        <w:rPr>
          <w:b/>
          <w:bCs/>
          <w:szCs w:val="24"/>
          <w:lang w:val="lv-LV"/>
        </w:rPr>
        <w:lastRenderedPageBreak/>
        <w:t>VPVKAC</w:t>
      </w:r>
      <w:r w:rsidR="002E2505" w:rsidRPr="00550D35">
        <w:rPr>
          <w:b/>
          <w:bCs/>
          <w:szCs w:val="24"/>
          <w:lang w:val="lv-LV"/>
        </w:rPr>
        <w:t xml:space="preserve"> </w:t>
      </w:r>
      <w:r w:rsidR="002E2505" w:rsidRPr="00550D35">
        <w:rPr>
          <w:szCs w:val="24"/>
          <w:lang w:val="lv-LV"/>
        </w:rPr>
        <w:t>–</w:t>
      </w:r>
      <w:r w:rsidRPr="00550D35">
        <w:rPr>
          <w:szCs w:val="24"/>
          <w:lang w:val="lv-LV"/>
        </w:rPr>
        <w:t xml:space="preserve"> valsts un pašvaldību vienotais klientu apkalpošanas centrs</w:t>
      </w:r>
    </w:p>
    <w:p w14:paraId="472FE2E0" w14:textId="294200C0" w:rsidR="00A05B0E" w:rsidRPr="00550D35" w:rsidRDefault="00A05B0E" w:rsidP="008F7D0C">
      <w:pPr>
        <w:rPr>
          <w:spacing w:val="-8"/>
          <w:szCs w:val="24"/>
          <w:lang w:val="lv-LV"/>
        </w:rPr>
      </w:pPr>
      <w:r w:rsidRPr="00550D35">
        <w:rPr>
          <w:b/>
          <w:bCs/>
          <w:szCs w:val="24"/>
          <w:lang w:val="lv-LV"/>
        </w:rPr>
        <w:t>ZTAIP</w:t>
      </w:r>
      <w:r w:rsidRPr="00550D35">
        <w:rPr>
          <w:szCs w:val="24"/>
          <w:lang w:val="lv-LV"/>
        </w:rPr>
        <w:t>-</w:t>
      </w:r>
      <w:r w:rsidR="008566DA" w:rsidRPr="00550D35">
        <w:rPr>
          <w:spacing w:val="-8"/>
          <w:lang w:val="lv-LV"/>
        </w:rPr>
        <w:t>Zinātnes, tehnoloģijas attīstība un inovācijas pamatnostādnes 2021.-2027. gadam</w:t>
      </w:r>
    </w:p>
    <w:p w14:paraId="445B14E0" w14:textId="089076E8" w:rsidR="00B128D6" w:rsidRPr="00550D35" w:rsidRDefault="00B128D6" w:rsidP="008F7D0C">
      <w:pPr>
        <w:rPr>
          <w:szCs w:val="24"/>
          <w:lang w:val="lv-LV" w:eastAsia="lv-LV"/>
        </w:rPr>
      </w:pPr>
      <w:r w:rsidRPr="00550D35">
        <w:rPr>
          <w:b/>
          <w:bCs/>
          <w:szCs w:val="24"/>
          <w:lang w:val="lv-LV"/>
        </w:rPr>
        <w:t>4G</w:t>
      </w:r>
      <w:r w:rsidR="002E2505" w:rsidRPr="00550D35">
        <w:rPr>
          <w:b/>
          <w:bCs/>
          <w:szCs w:val="24"/>
          <w:lang w:val="lv-LV"/>
        </w:rPr>
        <w:t xml:space="preserve"> </w:t>
      </w:r>
      <w:r w:rsidR="002E2505" w:rsidRPr="00550D35">
        <w:rPr>
          <w:szCs w:val="24"/>
          <w:lang w:val="lv-LV"/>
        </w:rPr>
        <w:t>–</w:t>
      </w:r>
      <w:r w:rsidRPr="00550D35">
        <w:rPr>
          <w:szCs w:val="24"/>
          <w:lang w:val="lv-LV"/>
        </w:rPr>
        <w:t xml:space="preserve"> </w:t>
      </w:r>
      <w:r w:rsidRPr="00550D35">
        <w:rPr>
          <w:szCs w:val="24"/>
          <w:lang w:val="lv-LV" w:eastAsia="lv-LV"/>
        </w:rPr>
        <w:t>Ceturtās paaudzes mobilo sakaru sistēmas</w:t>
      </w:r>
    </w:p>
    <w:p w14:paraId="668494FA" w14:textId="0BEA7966" w:rsidR="00987941" w:rsidRPr="00550D35" w:rsidRDefault="00B128D6" w:rsidP="00A071D1">
      <w:pPr>
        <w:rPr>
          <w:szCs w:val="24"/>
          <w:lang w:val="lv-LV" w:eastAsia="lv-LV"/>
        </w:rPr>
      </w:pPr>
      <w:r w:rsidRPr="00550D35">
        <w:rPr>
          <w:b/>
          <w:bCs/>
          <w:szCs w:val="24"/>
          <w:lang w:val="lv-LV"/>
        </w:rPr>
        <w:t>5G</w:t>
      </w:r>
      <w:r w:rsidRPr="00550D35">
        <w:rPr>
          <w:szCs w:val="24"/>
          <w:lang w:val="lv-LV"/>
        </w:rPr>
        <w:t xml:space="preserve"> </w:t>
      </w:r>
      <w:r w:rsidR="002E2505" w:rsidRPr="00550D35">
        <w:rPr>
          <w:szCs w:val="24"/>
          <w:lang w:val="lv-LV"/>
        </w:rPr>
        <w:t xml:space="preserve">– </w:t>
      </w:r>
      <w:r w:rsidRPr="00550D35">
        <w:rPr>
          <w:szCs w:val="24"/>
          <w:lang w:val="lv-LV" w:eastAsia="lv-LV"/>
        </w:rPr>
        <w:t>Piektās paaudzes mobilo sakaru sistēmas</w:t>
      </w:r>
    </w:p>
    <w:p w14:paraId="6B1A9FC7" w14:textId="2B8C0F8E" w:rsidR="006D6EF9" w:rsidRPr="00550D35" w:rsidRDefault="002718C9" w:rsidP="00B52E9B">
      <w:pPr>
        <w:pStyle w:val="Heading1"/>
        <w:numPr>
          <w:ilvl w:val="0"/>
          <w:numId w:val="38"/>
        </w:numPr>
      </w:pPr>
      <w:bookmarkStart w:id="5" w:name="_Toc135226517"/>
      <w:bookmarkStart w:id="6" w:name="_Toc155952333"/>
      <w:r w:rsidRPr="00550D35">
        <w:t>Ievads</w:t>
      </w:r>
      <w:bookmarkEnd w:id="5"/>
      <w:bookmarkEnd w:id="6"/>
    </w:p>
    <w:p w14:paraId="7021B747" w14:textId="2B5EA7B0" w:rsidR="004430C6" w:rsidRPr="00550D35" w:rsidRDefault="002D4B16" w:rsidP="00E066B5">
      <w:pPr>
        <w:rPr>
          <w:lang w:val="lv-LV"/>
        </w:rPr>
      </w:pPr>
      <w:bookmarkStart w:id="7" w:name="_Toc135226518"/>
      <w:r w:rsidRPr="00550D35">
        <w:rPr>
          <w:lang w:val="lv-LV"/>
        </w:rPr>
        <w:t>Latvija ir sagatavojusi informatīvo ziņojumu “Digitālās desmitgades stratēģiskais  ceļvedi</w:t>
      </w:r>
      <w:r w:rsidR="00027487" w:rsidRPr="00550D35">
        <w:rPr>
          <w:lang w:val="lv-LV"/>
        </w:rPr>
        <w:t>s</w:t>
      </w:r>
      <w:r w:rsidRPr="00550D35">
        <w:rPr>
          <w:lang w:val="lv-LV"/>
        </w:rPr>
        <w:t xml:space="preserve"> Latvijai līdz 2030.gadam” (turpmāk – ceļvedis Latvijai) </w:t>
      </w:r>
      <w:r w:rsidR="004430C6" w:rsidRPr="00550D35">
        <w:rPr>
          <w:lang w:val="lv-LV"/>
        </w:rPr>
        <w:t xml:space="preserve">kā to paredz </w:t>
      </w:r>
      <w:r w:rsidR="00782FBF" w:rsidRPr="00550D35">
        <w:rPr>
          <w:lang w:val="lv-LV"/>
        </w:rPr>
        <w:t>EP</w:t>
      </w:r>
      <w:r w:rsidR="004430C6" w:rsidRPr="00550D35">
        <w:rPr>
          <w:lang w:val="lv-LV"/>
        </w:rPr>
        <w:t xml:space="preserve"> un Padomes lēmums (ES) 2022/2481, </w:t>
      </w:r>
      <w:r w:rsidR="00C85F56" w:rsidRPr="00550D35">
        <w:rPr>
          <w:lang w:val="lv-LV"/>
        </w:rPr>
        <w:t>ar ko izveido Dekādes programmu</w:t>
      </w:r>
      <w:r w:rsidR="00C85F56" w:rsidRPr="00550D35">
        <w:rPr>
          <w:rStyle w:val="FootnoteReference"/>
          <w:lang w:val="lv-LV"/>
        </w:rPr>
        <w:footnoteReference w:id="2"/>
      </w:r>
      <w:r w:rsidR="00C85F56" w:rsidRPr="00550D35">
        <w:rPr>
          <w:lang w:val="lv-LV"/>
        </w:rPr>
        <w:t xml:space="preserve">, </w:t>
      </w:r>
      <w:r w:rsidR="00B01D72" w:rsidRPr="00550D35">
        <w:rPr>
          <w:lang w:val="lv-LV"/>
        </w:rPr>
        <w:t xml:space="preserve">kurā tiek </w:t>
      </w:r>
      <w:r w:rsidR="004430C6" w:rsidRPr="00550D35">
        <w:rPr>
          <w:lang w:val="lv-LV"/>
        </w:rPr>
        <w:t xml:space="preserve">noteikti līdz 2030.gadam sasniedzamie vispārīgie </w:t>
      </w:r>
      <w:r w:rsidR="00B01D72" w:rsidRPr="00550D35">
        <w:rPr>
          <w:lang w:val="lv-LV"/>
        </w:rPr>
        <w:t xml:space="preserve">digitālie </w:t>
      </w:r>
      <w:r w:rsidR="004430C6" w:rsidRPr="00550D35">
        <w:rPr>
          <w:lang w:val="lv-LV"/>
        </w:rPr>
        <w:t>mērķi</w:t>
      </w:r>
      <w:r w:rsidR="0083509D" w:rsidRPr="00550D35">
        <w:rPr>
          <w:lang w:val="lv-LV"/>
        </w:rPr>
        <w:t xml:space="preserve"> un</w:t>
      </w:r>
      <w:r w:rsidR="004430C6" w:rsidRPr="00550D35">
        <w:rPr>
          <w:lang w:val="lv-LV"/>
        </w:rPr>
        <w:t xml:space="preserve"> digitālie </w:t>
      </w:r>
      <w:proofErr w:type="spellStart"/>
      <w:r w:rsidR="004430C6" w:rsidRPr="00550D35">
        <w:rPr>
          <w:lang w:val="lv-LV"/>
        </w:rPr>
        <w:t>mērķrādītāji</w:t>
      </w:r>
      <w:proofErr w:type="spellEnd"/>
      <w:r w:rsidR="004430C6" w:rsidRPr="00550D35">
        <w:rPr>
          <w:lang w:val="lv-LV"/>
        </w:rPr>
        <w:t>, to sasniegšanas uzraudzība un arī daudzvalstu projektu veidošana.</w:t>
      </w:r>
    </w:p>
    <w:p w14:paraId="5AA66D26" w14:textId="3B437B9F" w:rsidR="00C80847" w:rsidRPr="00550D35" w:rsidRDefault="00C80847" w:rsidP="00E066B5">
      <w:pPr>
        <w:rPr>
          <w:lang w:val="lv-LV"/>
        </w:rPr>
      </w:pPr>
      <w:r w:rsidRPr="00550D35">
        <w:rPr>
          <w:lang w:val="lv-LV"/>
        </w:rPr>
        <w:t>Saskaņā ar Dekādes programmā noteikto EK uzrauga sasniegto progresu</w:t>
      </w:r>
      <w:r w:rsidR="00257F4C" w:rsidRPr="00550D35">
        <w:rPr>
          <w:lang w:val="lv-LV"/>
        </w:rPr>
        <w:t xml:space="preserve"> ES </w:t>
      </w:r>
      <w:r w:rsidRPr="00550D35">
        <w:rPr>
          <w:lang w:val="lv-LV"/>
        </w:rPr>
        <w:t xml:space="preserve">attiecībā uz vispārīgajiem mērķiem un digitālajiem </w:t>
      </w:r>
      <w:proofErr w:type="spellStart"/>
      <w:r w:rsidRPr="00550D35">
        <w:rPr>
          <w:lang w:val="lv-LV"/>
        </w:rPr>
        <w:t>mērķrādītājiem</w:t>
      </w:r>
      <w:proofErr w:type="spellEnd"/>
      <w:r w:rsidRPr="00550D35">
        <w:rPr>
          <w:lang w:val="lv-LV"/>
        </w:rPr>
        <w:t xml:space="preserve">. Minētajā nolūkā EK balstās uz DESI un, pieņemot </w:t>
      </w:r>
      <w:r w:rsidR="00556271" w:rsidRPr="00550D35">
        <w:rPr>
          <w:lang w:val="lv-LV"/>
        </w:rPr>
        <w:t>EK īstenošanas lēmumu</w:t>
      </w:r>
      <w:r w:rsidR="00556271">
        <w:rPr>
          <w:lang w:val="lv-LV"/>
        </w:rPr>
        <w:t xml:space="preserve"> </w:t>
      </w:r>
      <w:r w:rsidR="00556271" w:rsidRPr="006E4EE2">
        <w:rPr>
          <w:lang w:val="lv-LV"/>
        </w:rPr>
        <w:t>C(2023)4288</w:t>
      </w:r>
      <w:r w:rsidRPr="00550D35">
        <w:rPr>
          <w:rStyle w:val="FootnoteReference"/>
          <w:lang w:val="lv-LV"/>
        </w:rPr>
        <w:footnoteReference w:id="3"/>
      </w:r>
      <w:r w:rsidRPr="00550D35">
        <w:rPr>
          <w:lang w:val="lv-LV"/>
        </w:rPr>
        <w:t xml:space="preserve">, nosaka katra digitālā </w:t>
      </w:r>
      <w:proofErr w:type="spellStart"/>
      <w:r w:rsidRPr="00550D35">
        <w:rPr>
          <w:lang w:val="lv-LV"/>
        </w:rPr>
        <w:t>mērķrādītāja</w:t>
      </w:r>
      <w:proofErr w:type="spellEnd"/>
      <w:r w:rsidRPr="00550D35">
        <w:rPr>
          <w:lang w:val="lv-LV"/>
        </w:rPr>
        <w:t xml:space="preserve"> KPI. EK nosaka ES līmeņa prognozētās trajektorijas katram no digitālajiem </w:t>
      </w:r>
      <w:proofErr w:type="spellStart"/>
      <w:r w:rsidRPr="00550D35">
        <w:rPr>
          <w:lang w:val="lv-LV"/>
        </w:rPr>
        <w:t>mērķrādītājiem</w:t>
      </w:r>
      <w:proofErr w:type="spellEnd"/>
      <w:r w:rsidRPr="00550D35">
        <w:rPr>
          <w:lang w:val="lv-LV"/>
        </w:rPr>
        <w:t xml:space="preserve">, kas ir Dekādes programmas uzraudzības un ES Dalībvalstu digitālās desmitgades stratēģisko ceļvežu pamats. Ņemot vērā tehnoloģiju, ekonomikas vai sociālo attīstību, EK ciešā sadarbībā ar </w:t>
      </w:r>
      <w:r w:rsidR="00ED51D9" w:rsidRPr="00550D35">
        <w:rPr>
          <w:lang w:val="lv-LV"/>
        </w:rPr>
        <w:t>ES D</w:t>
      </w:r>
      <w:r w:rsidRPr="00550D35">
        <w:rPr>
          <w:lang w:val="lv-LV"/>
        </w:rPr>
        <w:t>alībvalstīm pēc vajadzības atjauninās vienu vai vairākas no minētajām prognozētajām trajektorijām. EK ziņos EP un Padomei par ES līmeņa prognozētajām trajektorijām un to atjauninājumiem.</w:t>
      </w:r>
    </w:p>
    <w:p w14:paraId="58840299" w14:textId="77777777" w:rsidR="001B15BC" w:rsidRPr="00550D35" w:rsidRDefault="001B15BC" w:rsidP="001B15BC">
      <w:pPr>
        <w:rPr>
          <w:lang w:val="lv-LV"/>
        </w:rPr>
      </w:pPr>
      <w:r w:rsidRPr="00550D35">
        <w:rPr>
          <w:lang w:val="lv-LV"/>
        </w:rPr>
        <w:t xml:space="preserve">Dekādes programmā noteikto digitālo </w:t>
      </w:r>
      <w:proofErr w:type="spellStart"/>
      <w:r w:rsidRPr="00550D35">
        <w:rPr>
          <w:lang w:val="lv-LV"/>
        </w:rPr>
        <w:t>mērķrādītāju</w:t>
      </w:r>
      <w:proofErr w:type="spellEnd"/>
      <w:r w:rsidRPr="00550D35">
        <w:rPr>
          <w:lang w:val="lv-LV"/>
        </w:rPr>
        <w:t xml:space="preserve"> sasniegšanas uzraudzība paredz ES Dalībvalstīm iesniegt EK valstu digitālās desmitgades stratēģiskos ceļvežus par laiku līdz 2030. gadam, rosinot, ja tas iespējams un izmērāms valstu līmenī, valstu prognozētās trajektorijas, kurās apraksta pieņemtos, plānotos vai īstenotos instrumentus, lai dotu ieguldījumu Dekādes programmā izklāstīto vispārīgo mērķu un digitālo </w:t>
      </w:r>
      <w:proofErr w:type="spellStart"/>
      <w:r w:rsidRPr="00550D35">
        <w:rPr>
          <w:lang w:val="lv-LV"/>
        </w:rPr>
        <w:t>mērķrādītāju</w:t>
      </w:r>
      <w:proofErr w:type="spellEnd"/>
      <w:r w:rsidRPr="00550D35">
        <w:rPr>
          <w:lang w:val="lv-LV"/>
        </w:rPr>
        <w:t xml:space="preserve"> sasniegšanā ES līmenī.</w:t>
      </w:r>
    </w:p>
    <w:p w14:paraId="6556D90B" w14:textId="5722FC21" w:rsidR="00AE6ADC" w:rsidRPr="00550D35" w:rsidRDefault="097D6A43" w:rsidP="00E066B5">
      <w:pPr>
        <w:rPr>
          <w:lang w:val="lv-LV"/>
        </w:rPr>
      </w:pPr>
      <w:r w:rsidRPr="00550D35">
        <w:rPr>
          <w:lang w:val="lv-LV"/>
        </w:rPr>
        <w:t>EK</w:t>
      </w:r>
      <w:r w:rsidR="004430C6" w:rsidRPr="00550D35">
        <w:rPr>
          <w:lang w:val="lv-LV"/>
        </w:rPr>
        <w:t xml:space="preserve"> un </w:t>
      </w:r>
      <w:r w:rsidR="00ED51D9" w:rsidRPr="00550D35">
        <w:rPr>
          <w:lang w:val="lv-LV"/>
        </w:rPr>
        <w:t>ES D</w:t>
      </w:r>
      <w:r w:rsidR="004430C6" w:rsidRPr="00550D35">
        <w:rPr>
          <w:lang w:val="lv-LV"/>
        </w:rPr>
        <w:t>alībvalstu sadarbības un uzraudzības mehānism</w:t>
      </w:r>
      <w:r w:rsidR="00CB2968">
        <w:rPr>
          <w:lang w:val="lv-LV"/>
        </w:rPr>
        <w:t>s</w:t>
      </w:r>
      <w:r w:rsidR="004430C6" w:rsidRPr="00550D35">
        <w:rPr>
          <w:lang w:val="lv-LV"/>
        </w:rPr>
        <w:t xml:space="preserve"> Dekādes programmas īstenošanai </w:t>
      </w:r>
      <w:r w:rsidR="00CB2968">
        <w:rPr>
          <w:lang w:val="lv-LV"/>
        </w:rPr>
        <w:t>tiek</w:t>
      </w:r>
      <w:r w:rsidR="004430C6" w:rsidRPr="00550D35">
        <w:rPr>
          <w:lang w:val="lv-LV"/>
        </w:rPr>
        <w:t xml:space="preserve"> uzsākt</w:t>
      </w:r>
      <w:r w:rsidR="00CB2968">
        <w:rPr>
          <w:lang w:val="lv-LV"/>
        </w:rPr>
        <w:t>s</w:t>
      </w:r>
      <w:r w:rsidR="004430C6" w:rsidRPr="00550D35">
        <w:rPr>
          <w:lang w:val="lv-LV"/>
        </w:rPr>
        <w:t xml:space="preserve"> ar valstu ceļvežu novērtējumu, kam jābalstās uz iesniegtajiem datiem un ziņojumā par digitālo desmitgadi veikto novērtējumu, kā arī attiecīgo ieinteresēto personu, piemēram, </w:t>
      </w:r>
      <w:r w:rsidR="7944C59A" w:rsidRPr="00550D35">
        <w:rPr>
          <w:lang w:val="lv-LV"/>
        </w:rPr>
        <w:t>komerc</w:t>
      </w:r>
      <w:r w:rsidR="004430C6" w:rsidRPr="00550D35">
        <w:rPr>
          <w:lang w:val="lv-LV"/>
        </w:rPr>
        <w:t>darbības organizāciju, tostarp MVU pārstāvju, sociālo partneru un pilsoniskās sabiedrības sniegtajām atsauksmēm.</w:t>
      </w:r>
    </w:p>
    <w:p w14:paraId="69D46DBC" w14:textId="25450ED5" w:rsidR="004430C6" w:rsidRPr="00550D35" w:rsidRDefault="004430C6" w:rsidP="00E066B5">
      <w:pPr>
        <w:rPr>
          <w:lang w:val="lv-LV"/>
        </w:rPr>
      </w:pPr>
      <w:r w:rsidRPr="00550D35">
        <w:rPr>
          <w:lang w:val="lv-LV"/>
        </w:rPr>
        <w:t>Dekādes programmas ieviešanas uzraudzības process paredz ik pēc diviem gadiem veikt valstu ceļvežu korekcijas, atbilstoši tam ceļvedī Latvijai būs nepieciešams veikt informācijas atjaunošanu un papildināšanu</w:t>
      </w:r>
      <w:r w:rsidR="303380D5" w:rsidRPr="00550D35">
        <w:rPr>
          <w:lang w:val="lv-LV"/>
        </w:rPr>
        <w:t>.</w:t>
      </w:r>
      <w:r w:rsidR="187E861C" w:rsidRPr="00550D35">
        <w:rPr>
          <w:lang w:val="lv-LV"/>
        </w:rPr>
        <w:t xml:space="preserve"> </w:t>
      </w:r>
      <w:r w:rsidR="1E55C459" w:rsidRPr="00550D35">
        <w:rPr>
          <w:lang w:val="lv-LV"/>
        </w:rPr>
        <w:t xml:space="preserve"> </w:t>
      </w:r>
    </w:p>
    <w:p w14:paraId="695044AC" w14:textId="666D58EF" w:rsidR="00D97BA9" w:rsidRPr="00550D35" w:rsidRDefault="004430C6" w:rsidP="00941483">
      <w:pPr>
        <w:rPr>
          <w:lang w:val="lv-LV"/>
        </w:rPr>
      </w:pPr>
      <w:r w:rsidRPr="00550D35">
        <w:rPr>
          <w:lang w:val="lv-LV"/>
        </w:rPr>
        <w:t>Ceļve</w:t>
      </w:r>
      <w:r w:rsidR="005608C4" w:rsidRPr="00550D35">
        <w:rPr>
          <w:lang w:val="lv-LV"/>
        </w:rPr>
        <w:t>dis</w:t>
      </w:r>
      <w:r w:rsidRPr="00550D35">
        <w:rPr>
          <w:lang w:val="lv-LV"/>
        </w:rPr>
        <w:t xml:space="preserve"> Latvijai </w:t>
      </w:r>
      <w:r w:rsidR="005608C4" w:rsidRPr="00550D35">
        <w:rPr>
          <w:lang w:val="lv-LV"/>
        </w:rPr>
        <w:t xml:space="preserve">ir </w:t>
      </w:r>
      <w:r w:rsidR="00537E80" w:rsidRPr="00550D35">
        <w:rPr>
          <w:lang w:val="lv-LV"/>
        </w:rPr>
        <w:t xml:space="preserve">izstrādāts </w:t>
      </w:r>
      <w:r w:rsidRPr="00550D35">
        <w:rPr>
          <w:lang w:val="lv-LV"/>
        </w:rPr>
        <w:t xml:space="preserve">sadarbojoties dažādām institūcijām, iekļaujot arī sociālos partnerus un </w:t>
      </w:r>
      <w:r w:rsidR="00100CB0" w:rsidRPr="00550D35">
        <w:rPr>
          <w:lang w:val="lv-LV"/>
        </w:rPr>
        <w:t>NVO</w:t>
      </w:r>
      <w:r w:rsidRPr="00550D35">
        <w:rPr>
          <w:lang w:val="lv-LV"/>
        </w:rPr>
        <w:t>.</w:t>
      </w:r>
      <w:r w:rsidR="008841BD" w:rsidRPr="00550D35">
        <w:rPr>
          <w:lang w:val="lv-LV"/>
        </w:rPr>
        <w:t xml:space="preserve"> Par ceļveža Latvijai projektu tika rīkota sabiedriskā apspriešana.</w:t>
      </w:r>
      <w:r w:rsidR="00C4308B" w:rsidRPr="00550D35">
        <w:rPr>
          <w:lang w:val="lv-LV"/>
        </w:rPr>
        <w:t xml:space="preserve"> Ceļvedī Latvijai ir ņemts vērā sociālo partneru un </w:t>
      </w:r>
      <w:r w:rsidR="00941483" w:rsidRPr="00550D35">
        <w:rPr>
          <w:lang w:val="lv-LV"/>
        </w:rPr>
        <w:t>NVO</w:t>
      </w:r>
      <w:r w:rsidR="00C4308B" w:rsidRPr="00550D35">
        <w:rPr>
          <w:lang w:val="lv-LV"/>
        </w:rPr>
        <w:t xml:space="preserve"> atsauksmes. </w:t>
      </w:r>
    </w:p>
    <w:p w14:paraId="0DB7EA73" w14:textId="57BAB8D5" w:rsidR="00FD3529" w:rsidRPr="00550D35" w:rsidRDefault="00EA30DD" w:rsidP="00E066B5">
      <w:pPr>
        <w:rPr>
          <w:lang w:val="lv-LV"/>
        </w:rPr>
      </w:pPr>
      <w:r w:rsidRPr="00550D35">
        <w:rPr>
          <w:lang w:val="lv-LV"/>
        </w:rPr>
        <w:lastRenderedPageBreak/>
        <w:t>Ceļved</w:t>
      </w:r>
      <w:r w:rsidR="00B41289" w:rsidRPr="00550D35">
        <w:rPr>
          <w:lang w:val="lv-LV"/>
        </w:rPr>
        <w:t>ī</w:t>
      </w:r>
      <w:r w:rsidRPr="00550D35">
        <w:rPr>
          <w:lang w:val="lv-LV"/>
        </w:rPr>
        <w:t xml:space="preserve"> Latvijai</w:t>
      </w:r>
      <w:r w:rsidR="00B41289" w:rsidRPr="00550D35">
        <w:rPr>
          <w:lang w:val="lv-LV"/>
        </w:rPr>
        <w:t xml:space="preserve"> informācija </w:t>
      </w:r>
      <w:r w:rsidR="007672C8" w:rsidRPr="00550D35">
        <w:rPr>
          <w:lang w:val="lv-LV"/>
        </w:rPr>
        <w:t xml:space="preserve">sniegta </w:t>
      </w:r>
      <w:r w:rsidR="00B41289" w:rsidRPr="00550D35">
        <w:rPr>
          <w:lang w:val="lv-LV"/>
        </w:rPr>
        <w:t>un trajektorijas</w:t>
      </w:r>
      <w:r w:rsidR="009302C8" w:rsidRPr="00550D35">
        <w:rPr>
          <w:lang w:val="lv-LV"/>
        </w:rPr>
        <w:t xml:space="preserve"> prognozētas </w:t>
      </w:r>
      <w:r w:rsidR="00B41289" w:rsidRPr="00550D35">
        <w:rPr>
          <w:lang w:val="lv-LV"/>
        </w:rPr>
        <w:t>balst</w:t>
      </w:r>
      <w:r w:rsidR="009302C8" w:rsidRPr="00550D35">
        <w:rPr>
          <w:lang w:val="lv-LV"/>
        </w:rPr>
        <w:t>otie</w:t>
      </w:r>
      <w:r w:rsidR="00B41289" w:rsidRPr="00550D35">
        <w:rPr>
          <w:lang w:val="lv-LV"/>
        </w:rPr>
        <w:t>s uz</w:t>
      </w:r>
      <w:r w:rsidR="002E4F17" w:rsidRPr="00550D35">
        <w:rPr>
          <w:lang w:val="lv-LV"/>
        </w:rPr>
        <w:t xml:space="preserve"> nacionāl</w:t>
      </w:r>
      <w:r w:rsidR="009A0868">
        <w:rPr>
          <w:lang w:val="lv-LV"/>
        </w:rPr>
        <w:t>a līmeņa</w:t>
      </w:r>
      <w:r w:rsidR="002E4F17" w:rsidRPr="00550D35">
        <w:rPr>
          <w:lang w:val="lv-LV"/>
        </w:rPr>
        <w:t xml:space="preserve"> attīstības plānošanas dokumentiem, tostarp, </w:t>
      </w:r>
      <w:r w:rsidR="009302C8" w:rsidRPr="00550D35">
        <w:rPr>
          <w:lang w:val="lv-LV"/>
        </w:rPr>
        <w:t>NAP2027</w:t>
      </w:r>
      <w:r w:rsidR="001F11EA" w:rsidRPr="00550D35">
        <w:rPr>
          <w:rStyle w:val="FootnoteReference"/>
          <w:lang w:val="lv-LV"/>
        </w:rPr>
        <w:footnoteReference w:id="4"/>
      </w:r>
      <w:r w:rsidR="009302C8" w:rsidRPr="00550D35">
        <w:rPr>
          <w:lang w:val="lv-LV"/>
        </w:rPr>
        <w:t xml:space="preserve">, </w:t>
      </w:r>
      <w:r w:rsidR="002E4F17" w:rsidRPr="00550D35">
        <w:rPr>
          <w:lang w:val="lv-LV"/>
        </w:rPr>
        <w:t>DTP2027</w:t>
      </w:r>
      <w:r w:rsidR="00E12693" w:rsidRPr="00550D35">
        <w:rPr>
          <w:rStyle w:val="FootnoteReference"/>
          <w:lang w:val="lv-LV"/>
        </w:rPr>
        <w:footnoteReference w:id="5"/>
      </w:r>
      <w:r w:rsidR="002E4F17" w:rsidRPr="00550D35">
        <w:rPr>
          <w:lang w:val="lv-LV"/>
        </w:rPr>
        <w:t>, IAP2027</w:t>
      </w:r>
      <w:r w:rsidR="00C305FE" w:rsidRPr="00550D35">
        <w:rPr>
          <w:rStyle w:val="FootnoteReference"/>
          <w:lang w:val="lv-LV"/>
        </w:rPr>
        <w:footnoteReference w:id="6"/>
      </w:r>
      <w:r w:rsidR="002E4F17" w:rsidRPr="00550D35">
        <w:rPr>
          <w:lang w:val="lv-LV"/>
        </w:rPr>
        <w:t>, NIP2027</w:t>
      </w:r>
      <w:r w:rsidR="005853BC" w:rsidRPr="00550D35">
        <w:rPr>
          <w:rStyle w:val="FootnoteReference"/>
          <w:lang w:val="lv-LV"/>
        </w:rPr>
        <w:footnoteReference w:id="7"/>
      </w:r>
      <w:r w:rsidR="009302C8" w:rsidRPr="00550D35">
        <w:rPr>
          <w:lang w:val="lv-LV"/>
        </w:rPr>
        <w:t>,</w:t>
      </w:r>
      <w:r w:rsidRPr="00550D35">
        <w:rPr>
          <w:lang w:val="lv-LV"/>
        </w:rPr>
        <w:t xml:space="preserve"> </w:t>
      </w:r>
      <w:r w:rsidR="002770FB" w:rsidRPr="00550D35">
        <w:rPr>
          <w:lang w:val="lv-LV"/>
        </w:rPr>
        <w:t>ZTAIP</w:t>
      </w:r>
      <w:r w:rsidR="0013693A" w:rsidRPr="00550D35">
        <w:rPr>
          <w:rStyle w:val="FootnoteReference"/>
          <w:lang w:val="lv-LV"/>
        </w:rPr>
        <w:footnoteReference w:id="8"/>
      </w:r>
      <w:r w:rsidR="002770FB" w:rsidRPr="00550D35">
        <w:rPr>
          <w:lang w:val="lv-LV"/>
        </w:rPr>
        <w:t xml:space="preserve">, </w:t>
      </w:r>
      <w:r w:rsidR="009A0868">
        <w:rPr>
          <w:lang w:val="lv-LV"/>
        </w:rPr>
        <w:t>Latvijas Kosmosa stratēģiju 2021.-2027. gadam</w:t>
      </w:r>
      <w:r w:rsidR="009A0868">
        <w:rPr>
          <w:rStyle w:val="FootnoteReference"/>
          <w:lang w:val="lv-LV"/>
        </w:rPr>
        <w:footnoteReference w:id="9"/>
      </w:r>
      <w:r w:rsidR="009A0868">
        <w:rPr>
          <w:lang w:val="lv-LV"/>
        </w:rPr>
        <w:t xml:space="preserve">, </w:t>
      </w:r>
      <w:r w:rsidRPr="003C6FFE">
        <w:rPr>
          <w:lang w:val="lv-LV"/>
        </w:rPr>
        <w:t>D</w:t>
      </w:r>
      <w:r w:rsidR="003C6FFE" w:rsidRPr="003C6FFE">
        <w:rPr>
          <w:lang w:val="lv-LV"/>
        </w:rPr>
        <w:t>igitālās d</w:t>
      </w:r>
      <w:r w:rsidR="009116DB" w:rsidRPr="003C6FFE">
        <w:rPr>
          <w:lang w:val="lv-LV"/>
        </w:rPr>
        <w:t>ekādes</w:t>
      </w:r>
      <w:r w:rsidRPr="003C6FFE">
        <w:rPr>
          <w:lang w:val="lv-LV"/>
        </w:rPr>
        <w:t xml:space="preserve"> </w:t>
      </w:r>
      <w:r w:rsidR="009E1372" w:rsidRPr="003C6FFE">
        <w:rPr>
          <w:lang w:val="lv-LV"/>
        </w:rPr>
        <w:t>2023. gad</w:t>
      </w:r>
      <w:r w:rsidR="009E1372">
        <w:rPr>
          <w:lang w:val="lv-LV"/>
        </w:rPr>
        <w:t>a</w:t>
      </w:r>
      <w:r w:rsidR="009E1372" w:rsidRPr="003C6FFE">
        <w:rPr>
          <w:lang w:val="lv-LV"/>
        </w:rPr>
        <w:t xml:space="preserve"> </w:t>
      </w:r>
      <w:r w:rsidRPr="003C6FFE">
        <w:rPr>
          <w:lang w:val="lv-LV"/>
        </w:rPr>
        <w:t xml:space="preserve">ziņojumā par </w:t>
      </w:r>
      <w:r w:rsidR="00EB5D5D" w:rsidRPr="003C6FFE">
        <w:rPr>
          <w:lang w:val="lv-LV"/>
        </w:rPr>
        <w:t>Latviju</w:t>
      </w:r>
      <w:r w:rsidR="005323C4" w:rsidRPr="003C6FFE">
        <w:rPr>
          <w:rStyle w:val="FootnoteReference"/>
          <w:lang w:val="lv-LV"/>
        </w:rPr>
        <w:footnoteReference w:id="10"/>
      </w:r>
      <w:r w:rsidR="005548E3">
        <w:rPr>
          <w:lang w:val="lv-LV"/>
        </w:rPr>
        <w:t>,</w:t>
      </w:r>
      <w:r w:rsidR="006A66D5">
        <w:rPr>
          <w:lang w:val="lv-LV"/>
        </w:rPr>
        <w:t xml:space="preserve"> </w:t>
      </w:r>
      <w:r w:rsidR="006A66D5" w:rsidRPr="00550D35">
        <w:rPr>
          <w:lang w:val="lv-LV"/>
        </w:rPr>
        <w:t xml:space="preserve">DESI ziņojumā par Latviju </w:t>
      </w:r>
      <w:r w:rsidRPr="00550D35">
        <w:rPr>
          <w:lang w:val="lv-LV"/>
        </w:rPr>
        <w:t>2022.gad</w:t>
      </w:r>
      <w:r w:rsidR="00EB5D5D" w:rsidRPr="00550D35">
        <w:rPr>
          <w:lang w:val="lv-LV"/>
        </w:rPr>
        <w:t>ā</w:t>
      </w:r>
      <w:r w:rsidR="0027770C" w:rsidRPr="00550D35">
        <w:rPr>
          <w:rStyle w:val="FootnoteReference"/>
          <w:lang w:val="lv-LV"/>
        </w:rPr>
        <w:footnoteReference w:id="11"/>
      </w:r>
      <w:r w:rsidRPr="00550D35">
        <w:rPr>
          <w:lang w:val="lv-LV"/>
        </w:rPr>
        <w:t xml:space="preserve"> pieejamo informāciju par Latvijas situāciju </w:t>
      </w:r>
      <w:proofErr w:type="spellStart"/>
      <w:r w:rsidRPr="00550D35">
        <w:rPr>
          <w:lang w:val="lv-LV"/>
        </w:rPr>
        <w:t>mērķrādītāju</w:t>
      </w:r>
      <w:proofErr w:type="spellEnd"/>
      <w:r w:rsidRPr="00550D35">
        <w:rPr>
          <w:lang w:val="lv-LV"/>
        </w:rPr>
        <w:t xml:space="preserve"> jomās, Eiropas semestra ziņojumu Latvijai 2023.gadam</w:t>
      </w:r>
      <w:r w:rsidRPr="00550D35">
        <w:rPr>
          <w:rStyle w:val="FootnoteReference"/>
          <w:szCs w:val="24"/>
          <w:lang w:val="lv-LV"/>
        </w:rPr>
        <w:footnoteReference w:id="12"/>
      </w:r>
      <w:r w:rsidR="005548E3">
        <w:rPr>
          <w:lang w:val="lv-LV"/>
        </w:rPr>
        <w:t xml:space="preserve"> un</w:t>
      </w:r>
      <w:r w:rsidRPr="00550D35">
        <w:rPr>
          <w:lang w:val="lv-LV"/>
        </w:rPr>
        <w:t xml:space="preserve"> ANM plānu Latvijai</w:t>
      </w:r>
      <w:r w:rsidR="003F55A4" w:rsidRPr="00550D35">
        <w:rPr>
          <w:rStyle w:val="FootnoteReference"/>
          <w:lang w:val="lv-LV"/>
        </w:rPr>
        <w:footnoteReference w:id="13"/>
      </w:r>
      <w:r w:rsidR="00FF5D19" w:rsidRPr="00550D35">
        <w:rPr>
          <w:lang w:val="lv-LV"/>
        </w:rPr>
        <w:t xml:space="preserve">. </w:t>
      </w:r>
      <w:r w:rsidR="00ED11FB" w:rsidRPr="00550D35">
        <w:rPr>
          <w:lang w:val="lv-LV"/>
        </w:rPr>
        <w:t>Ceļveža Latvijai izstrādes laikā 2023.gadā turpinās darbību un pasākumu plānošana nacionālās politikas īstenošanai Dekādes programmas galveno snieguma rādītāju jomās, ierobežojot iespējas sniegt aptverošu informāciju par 2023.-2030.gada periodu.</w:t>
      </w:r>
    </w:p>
    <w:p w14:paraId="3555F934" w14:textId="0B754BAC" w:rsidR="00290458" w:rsidRPr="00550D35" w:rsidRDefault="00290458" w:rsidP="00E066B5">
      <w:pPr>
        <w:rPr>
          <w:lang w:val="lv-LV"/>
        </w:rPr>
      </w:pPr>
      <w:r w:rsidRPr="00550D35">
        <w:rPr>
          <w:lang w:val="lv-LV"/>
        </w:rPr>
        <w:t xml:space="preserve">Ziņojumā izmantoti Digitālās dekādes 2023.gada ziņojumā par Latviju apkopotie dati par Digitālās dekādes </w:t>
      </w:r>
      <w:proofErr w:type="spellStart"/>
      <w:r w:rsidRPr="00550D35">
        <w:rPr>
          <w:lang w:val="lv-LV"/>
        </w:rPr>
        <w:t>mērķrādītāju</w:t>
      </w:r>
      <w:proofErr w:type="spellEnd"/>
      <w:r w:rsidRPr="00550D35">
        <w:rPr>
          <w:lang w:val="lv-LV"/>
        </w:rPr>
        <w:t xml:space="preserve"> nacionālo bāzes vērtību, Digitālās dekādes </w:t>
      </w:r>
      <w:proofErr w:type="spellStart"/>
      <w:r w:rsidRPr="00550D35">
        <w:rPr>
          <w:lang w:val="lv-LV"/>
        </w:rPr>
        <w:t>mērķrādītāju</w:t>
      </w:r>
      <w:proofErr w:type="spellEnd"/>
      <w:r w:rsidRPr="00550D35">
        <w:rPr>
          <w:lang w:val="lv-LV"/>
        </w:rPr>
        <w:t xml:space="preserve"> ES bāzes vērtību 2023.gadā un ES sasniedzamo </w:t>
      </w:r>
      <w:proofErr w:type="spellStart"/>
      <w:r w:rsidRPr="00550D35">
        <w:rPr>
          <w:lang w:val="lv-LV"/>
        </w:rPr>
        <w:t>mērķrādītāju</w:t>
      </w:r>
      <w:proofErr w:type="spellEnd"/>
      <w:r w:rsidRPr="00550D35">
        <w:rPr>
          <w:lang w:val="lv-LV"/>
        </w:rPr>
        <w:t xml:space="preserve"> vērtību 2030.gadam.</w:t>
      </w:r>
    </w:p>
    <w:p w14:paraId="0FB90C93" w14:textId="515497F2" w:rsidR="00540484" w:rsidRPr="00550D35" w:rsidRDefault="00FD3529" w:rsidP="00E066B5">
      <w:pPr>
        <w:rPr>
          <w:lang w:val="lv-LV"/>
        </w:rPr>
      </w:pPr>
      <w:r w:rsidRPr="00550D35">
        <w:rPr>
          <w:lang w:val="lv-LV"/>
        </w:rPr>
        <w:t>Ziņojumā norādītie pasākumi tiks īstenoti, piesaistot ES politiku instrumentu vai citas pārējās ārvalstu finanšu palīdzības finansējumu, kā arī esošo valsts budžeta līdzekļu un cilvēkresursu ietvaros.</w:t>
      </w:r>
    </w:p>
    <w:p w14:paraId="46E3BD11" w14:textId="1822F86A" w:rsidR="006531DA" w:rsidRPr="00550D35" w:rsidRDefault="004430C6" w:rsidP="00E066B5">
      <w:pPr>
        <w:rPr>
          <w:lang w:val="lv-LV"/>
        </w:rPr>
      </w:pPr>
      <w:r w:rsidRPr="00550D35">
        <w:rPr>
          <w:lang w:val="lv-LV"/>
        </w:rPr>
        <w:t>Ceļvedis Latvijai sastāv no 1</w:t>
      </w:r>
      <w:r w:rsidR="4A720EEE" w:rsidRPr="00550D35">
        <w:rPr>
          <w:lang w:val="lv-LV"/>
        </w:rPr>
        <w:t>7</w:t>
      </w:r>
      <w:r w:rsidRPr="00550D35">
        <w:rPr>
          <w:lang w:val="lv-LV"/>
        </w:rPr>
        <w:t xml:space="preserve"> nodaļām</w:t>
      </w:r>
      <w:r w:rsidR="0D739636" w:rsidRPr="00550D35">
        <w:rPr>
          <w:lang w:val="lv-LV"/>
        </w:rPr>
        <w:t>.</w:t>
      </w:r>
      <w:r w:rsidR="009023F6" w:rsidRPr="00550D35">
        <w:rPr>
          <w:lang w:val="lv-LV"/>
        </w:rPr>
        <w:t xml:space="preserve"> </w:t>
      </w:r>
      <w:r w:rsidR="303E4A13" w:rsidRPr="00550D35">
        <w:rPr>
          <w:lang w:val="lv-LV"/>
        </w:rPr>
        <w:t>K</w:t>
      </w:r>
      <w:r w:rsidR="009023F6" w:rsidRPr="00550D35">
        <w:rPr>
          <w:lang w:val="lv-LV"/>
        </w:rPr>
        <w:t xml:space="preserve">atram </w:t>
      </w:r>
      <w:proofErr w:type="spellStart"/>
      <w:r w:rsidR="009023F6" w:rsidRPr="00550D35">
        <w:rPr>
          <w:lang w:val="lv-LV"/>
        </w:rPr>
        <w:t>mērķrādītajam</w:t>
      </w:r>
      <w:proofErr w:type="spellEnd"/>
      <w:r w:rsidR="00B4339A" w:rsidRPr="00550D35">
        <w:rPr>
          <w:lang w:val="lv-LV"/>
        </w:rPr>
        <w:t xml:space="preserve">, </w:t>
      </w:r>
      <w:r w:rsidR="007E1BB6" w:rsidRPr="00550D35">
        <w:rPr>
          <w:lang w:val="lv-LV"/>
        </w:rPr>
        <w:t>izņemot</w:t>
      </w:r>
      <w:r w:rsidR="00E615F7" w:rsidRPr="00550D35">
        <w:rPr>
          <w:lang w:val="lv-LV"/>
        </w:rPr>
        <w:t xml:space="preserve"> </w:t>
      </w:r>
      <w:proofErr w:type="spellStart"/>
      <w:r w:rsidR="00E31682" w:rsidRPr="00550D35">
        <w:rPr>
          <w:lang w:val="lv-LV"/>
        </w:rPr>
        <w:t>mērķrādītājus</w:t>
      </w:r>
      <w:proofErr w:type="spellEnd"/>
      <w:r w:rsidR="00E31682" w:rsidRPr="00550D35">
        <w:rPr>
          <w:lang w:val="lv-LV"/>
        </w:rPr>
        <w:t xml:space="preserve"> “g</w:t>
      </w:r>
      <w:r w:rsidR="00E615F7" w:rsidRPr="00550D35">
        <w:rPr>
          <w:lang w:val="lv-LV"/>
        </w:rPr>
        <w:t>igabitu savienojamība</w:t>
      </w:r>
      <w:r w:rsidR="00E31682" w:rsidRPr="00550D35">
        <w:rPr>
          <w:lang w:val="lv-LV"/>
        </w:rPr>
        <w:t>”</w:t>
      </w:r>
      <w:r w:rsidR="00E615F7" w:rsidRPr="00550D35">
        <w:rPr>
          <w:lang w:val="lv-LV"/>
        </w:rPr>
        <w:t xml:space="preserve"> un </w:t>
      </w:r>
      <w:r w:rsidR="00E31682" w:rsidRPr="00550D35">
        <w:rPr>
          <w:lang w:val="lv-LV"/>
        </w:rPr>
        <w:t>“</w:t>
      </w:r>
      <w:r w:rsidR="00E615F7" w:rsidRPr="00550D35">
        <w:rPr>
          <w:lang w:val="lv-LV"/>
        </w:rPr>
        <w:t>5G pārklājums</w:t>
      </w:r>
      <w:r w:rsidR="00E31682" w:rsidRPr="00550D35">
        <w:rPr>
          <w:lang w:val="lv-LV"/>
        </w:rPr>
        <w:t>”, kuri aprakstīti vienā nodaļā,</w:t>
      </w:r>
      <w:r w:rsidR="007E1BB6" w:rsidRPr="00550D35">
        <w:rPr>
          <w:lang w:val="lv-LV"/>
        </w:rPr>
        <w:t xml:space="preserve"> </w:t>
      </w:r>
      <w:r w:rsidR="009023F6" w:rsidRPr="00550D35">
        <w:rPr>
          <w:lang w:val="lv-LV"/>
        </w:rPr>
        <w:t xml:space="preserve"> veltīta atsevišķa nodaļa</w:t>
      </w:r>
      <w:r w:rsidR="00ED739D" w:rsidRPr="00550D35">
        <w:rPr>
          <w:lang w:val="lv-LV"/>
        </w:rPr>
        <w:t xml:space="preserve"> </w:t>
      </w:r>
      <w:r w:rsidR="009023F6" w:rsidRPr="00550D35">
        <w:rPr>
          <w:lang w:val="lv-LV" w:eastAsia="en-US"/>
        </w:rPr>
        <w:t xml:space="preserve">atbilstoši EK </w:t>
      </w:r>
      <w:r w:rsidR="00ED739D" w:rsidRPr="00550D35">
        <w:rPr>
          <w:lang w:val="lv-LV" w:eastAsia="en-US"/>
        </w:rPr>
        <w:t xml:space="preserve">izstrādātajās </w:t>
      </w:r>
      <w:r w:rsidR="009023F6" w:rsidRPr="00550D35">
        <w:rPr>
          <w:lang w:val="lv-LV" w:eastAsia="en-US"/>
        </w:rPr>
        <w:t>ceļvežu izstrādes vadlīnijās</w:t>
      </w:r>
      <w:r w:rsidR="006C2173" w:rsidRPr="00550D35">
        <w:rPr>
          <w:rStyle w:val="FootnoteReference"/>
          <w:lang w:val="lv-LV" w:eastAsia="en-US"/>
        </w:rPr>
        <w:footnoteReference w:id="14"/>
      </w:r>
      <w:r w:rsidR="009023F6" w:rsidRPr="00550D35">
        <w:rPr>
          <w:lang w:val="lv-LV" w:eastAsia="en-US"/>
        </w:rPr>
        <w:t xml:space="preserve"> ieteiktajai </w:t>
      </w:r>
      <w:r w:rsidR="009023F6" w:rsidRPr="00550D35">
        <w:rPr>
          <w:lang w:val="lv-LV"/>
        </w:rPr>
        <w:t>struktūrai.</w:t>
      </w:r>
    </w:p>
    <w:p w14:paraId="187763FB" w14:textId="08EFDED8" w:rsidR="00B71916" w:rsidRDefault="00D60F6E" w:rsidP="00E066B5">
      <w:pPr>
        <w:rPr>
          <w:szCs w:val="24"/>
          <w:lang w:val="lv-LV"/>
        </w:rPr>
      </w:pPr>
      <w:r w:rsidRPr="00550D35">
        <w:rPr>
          <w:lang w:val="lv-LV"/>
        </w:rPr>
        <w:t>VARAM kā vadošā valsts pārvaldes iestāde</w:t>
      </w:r>
      <w:r w:rsidR="000F0CEA" w:rsidRPr="00550D35">
        <w:rPr>
          <w:lang w:val="lv-LV"/>
        </w:rPr>
        <w:t xml:space="preserve"> </w:t>
      </w:r>
      <w:r w:rsidR="009C6CB2" w:rsidRPr="00550D35">
        <w:rPr>
          <w:lang w:val="lv-LV"/>
        </w:rPr>
        <w:t>par informācijas sabiedrība</w:t>
      </w:r>
      <w:r w:rsidR="00CB4D3A" w:rsidRPr="00550D35">
        <w:rPr>
          <w:lang w:val="lv-LV"/>
        </w:rPr>
        <w:t>s</w:t>
      </w:r>
      <w:r w:rsidR="009C6CB2" w:rsidRPr="00550D35">
        <w:rPr>
          <w:lang w:val="lv-LV"/>
        </w:rPr>
        <w:t>, elektroniskā</w:t>
      </w:r>
      <w:r w:rsidR="00CB4D3A" w:rsidRPr="00550D35">
        <w:rPr>
          <w:lang w:val="lv-LV"/>
        </w:rPr>
        <w:t>s</w:t>
      </w:r>
      <w:r w:rsidR="009C6CB2" w:rsidRPr="00550D35">
        <w:rPr>
          <w:lang w:val="lv-LV"/>
        </w:rPr>
        <w:t xml:space="preserve"> pārvalde</w:t>
      </w:r>
      <w:r w:rsidR="00CB4D3A" w:rsidRPr="00550D35">
        <w:rPr>
          <w:lang w:val="lv-LV"/>
        </w:rPr>
        <w:t>s</w:t>
      </w:r>
      <w:r w:rsidR="009C6CB2" w:rsidRPr="00550D35">
        <w:rPr>
          <w:lang w:val="lv-LV"/>
        </w:rPr>
        <w:t xml:space="preserve"> un valsts </w:t>
      </w:r>
      <w:r w:rsidR="00CB4D3A" w:rsidRPr="00550D35">
        <w:rPr>
          <w:lang w:val="lv-LV"/>
        </w:rPr>
        <w:t>IKT</w:t>
      </w:r>
      <w:r w:rsidR="009C6CB2" w:rsidRPr="00550D35">
        <w:rPr>
          <w:lang w:val="lv-LV"/>
        </w:rPr>
        <w:t xml:space="preserve"> pārvaldība</w:t>
      </w:r>
      <w:r w:rsidR="00CB4D3A" w:rsidRPr="00550D35">
        <w:rPr>
          <w:lang w:val="lv-LV"/>
        </w:rPr>
        <w:t>s jomām</w:t>
      </w:r>
      <w:r w:rsidR="009C6CB2" w:rsidRPr="00550D35">
        <w:rPr>
          <w:lang w:val="lv-LV"/>
        </w:rPr>
        <w:t xml:space="preserve"> </w:t>
      </w:r>
      <w:r w:rsidR="000F0CEA" w:rsidRPr="00550D35">
        <w:rPr>
          <w:lang w:val="lv-LV"/>
        </w:rPr>
        <w:t xml:space="preserve">ir </w:t>
      </w:r>
      <w:r w:rsidR="009C6CB2" w:rsidRPr="00550D35">
        <w:rPr>
          <w:lang w:val="lv-LV"/>
        </w:rPr>
        <w:t>nosakāma</w:t>
      </w:r>
      <w:r w:rsidR="000F0CEA" w:rsidRPr="00550D35">
        <w:rPr>
          <w:lang w:val="lv-LV"/>
        </w:rPr>
        <w:t xml:space="preserve"> </w:t>
      </w:r>
      <w:r w:rsidR="009C6CB2" w:rsidRPr="00550D35">
        <w:rPr>
          <w:lang w:val="lv-LV"/>
        </w:rPr>
        <w:t>p</w:t>
      </w:r>
      <w:r w:rsidR="0053665F" w:rsidRPr="00550D35">
        <w:rPr>
          <w:lang w:val="lv-LV"/>
        </w:rPr>
        <w:t xml:space="preserve">ar atbildīgo </w:t>
      </w:r>
      <w:r w:rsidR="00E920B4" w:rsidRPr="00550D35">
        <w:rPr>
          <w:lang w:val="lv-LV"/>
        </w:rPr>
        <w:t xml:space="preserve">institūciju </w:t>
      </w:r>
      <w:r w:rsidR="0053665F" w:rsidRPr="00550D35">
        <w:rPr>
          <w:lang w:val="lv-LV"/>
        </w:rPr>
        <w:t xml:space="preserve">par ceļveža Latvijai atjauninājumu sagatavošanu, atbilstoši </w:t>
      </w:r>
      <w:r w:rsidR="000F3E29" w:rsidRPr="00550D35">
        <w:rPr>
          <w:lang w:val="lv-LV"/>
        </w:rPr>
        <w:t>Dekādes</w:t>
      </w:r>
      <w:r w:rsidR="0053665F" w:rsidRPr="00550D35">
        <w:rPr>
          <w:lang w:val="lv-LV"/>
        </w:rPr>
        <w:t xml:space="preserve"> programmā noteiktajam, </w:t>
      </w:r>
      <w:r w:rsidR="00CF355B" w:rsidRPr="00550D35">
        <w:rPr>
          <w:lang w:val="lv-LV"/>
        </w:rPr>
        <w:t xml:space="preserve">ceļveža Latvijai atjauninājumu </w:t>
      </w:r>
      <w:r w:rsidR="0053665F" w:rsidRPr="00550D35">
        <w:rPr>
          <w:lang w:val="lv-LV"/>
        </w:rPr>
        <w:t>iesnieg</w:t>
      </w:r>
      <w:r w:rsidR="00CB4D3A" w:rsidRPr="00550D35">
        <w:rPr>
          <w:lang w:val="lv-LV"/>
        </w:rPr>
        <w:t>šanu</w:t>
      </w:r>
      <w:r w:rsidR="0053665F" w:rsidRPr="00550D35">
        <w:rPr>
          <w:lang w:val="lv-LV"/>
        </w:rPr>
        <w:t xml:space="preserve"> izskatīšanai </w:t>
      </w:r>
      <w:r w:rsidR="00BD6167">
        <w:rPr>
          <w:lang w:val="lv-LV"/>
        </w:rPr>
        <w:t>MK</w:t>
      </w:r>
      <w:r w:rsidR="003879F7" w:rsidRPr="00550D35">
        <w:rPr>
          <w:lang w:val="lv-LV"/>
        </w:rPr>
        <w:t xml:space="preserve"> un </w:t>
      </w:r>
      <w:r w:rsidR="00D20EFE" w:rsidRPr="00550D35">
        <w:rPr>
          <w:lang w:val="lv-LV"/>
        </w:rPr>
        <w:t>iesniegšanu EK</w:t>
      </w:r>
      <w:r w:rsidR="0053665F" w:rsidRPr="00550D35">
        <w:rPr>
          <w:lang w:val="lv-LV"/>
        </w:rPr>
        <w:t>.</w:t>
      </w:r>
      <w:r w:rsidR="65A94280" w:rsidRPr="00550D35">
        <w:rPr>
          <w:lang w:val="lv-LV"/>
        </w:rPr>
        <w:t xml:space="preserve"> Atbilstoši kompetencēm attiecīgi </w:t>
      </w:r>
      <w:r w:rsidR="6043E002" w:rsidRPr="00550D35">
        <w:rPr>
          <w:lang w:val="lv-LV"/>
        </w:rPr>
        <w:t xml:space="preserve">EM, IZM, SM, </w:t>
      </w:r>
      <w:r w:rsidR="0012347E" w:rsidRPr="00550D35">
        <w:rPr>
          <w:lang w:val="lv-LV"/>
        </w:rPr>
        <w:t xml:space="preserve">VARAM, </w:t>
      </w:r>
      <w:r w:rsidR="6043E002" w:rsidRPr="00550D35">
        <w:rPr>
          <w:lang w:val="lv-LV"/>
        </w:rPr>
        <w:t xml:space="preserve">VM ir nosakāmas par atbildīgām savas kompetences ietvaros par ceļveža </w:t>
      </w:r>
      <w:proofErr w:type="spellStart"/>
      <w:r w:rsidR="10DD51CD" w:rsidRPr="00550D35">
        <w:rPr>
          <w:lang w:val="lv-LV"/>
        </w:rPr>
        <w:t>mērķrādītāj</w:t>
      </w:r>
      <w:r w:rsidR="3E1F25AD" w:rsidRPr="00550D35">
        <w:rPr>
          <w:lang w:val="lv-LV"/>
        </w:rPr>
        <w:t>iem</w:t>
      </w:r>
      <w:proofErr w:type="spellEnd"/>
      <w:r w:rsidR="00C83687" w:rsidRPr="00550D35">
        <w:rPr>
          <w:lang w:val="lv-LV"/>
        </w:rPr>
        <w:t xml:space="preserve">, savukārt, </w:t>
      </w:r>
      <w:proofErr w:type="spellStart"/>
      <w:r w:rsidR="00C83687" w:rsidRPr="00550D35">
        <w:rPr>
          <w:lang w:val="lv-LV"/>
        </w:rPr>
        <w:t>A</w:t>
      </w:r>
      <w:r w:rsidR="005B5FE4" w:rsidRPr="00550D35">
        <w:rPr>
          <w:lang w:val="lv-LV"/>
        </w:rPr>
        <w:t>i</w:t>
      </w:r>
      <w:r w:rsidR="00C83687" w:rsidRPr="00550D35">
        <w:rPr>
          <w:lang w:val="lv-LV"/>
        </w:rPr>
        <w:t>M</w:t>
      </w:r>
      <w:proofErr w:type="spellEnd"/>
      <w:r w:rsidR="00C83687" w:rsidRPr="00550D35">
        <w:rPr>
          <w:lang w:val="lv-LV"/>
        </w:rPr>
        <w:t xml:space="preserve"> </w:t>
      </w:r>
      <w:r w:rsidR="00753F0A" w:rsidRPr="00550D35">
        <w:rPr>
          <w:szCs w:val="24"/>
          <w:lang w:val="lv-LV"/>
        </w:rPr>
        <w:t>ti</w:t>
      </w:r>
      <w:r w:rsidR="00E02CF1">
        <w:rPr>
          <w:szCs w:val="24"/>
          <w:lang w:val="lv-LV"/>
        </w:rPr>
        <w:t>e</w:t>
      </w:r>
      <w:r w:rsidR="00753F0A" w:rsidRPr="00550D35">
        <w:rPr>
          <w:szCs w:val="24"/>
          <w:lang w:val="lv-LV"/>
        </w:rPr>
        <w:t>k aicināta sniegt informāciju</w:t>
      </w:r>
      <w:r w:rsidR="00C83687" w:rsidRPr="00550D35">
        <w:rPr>
          <w:szCs w:val="24"/>
          <w:lang w:val="lv-LV"/>
        </w:rPr>
        <w:t xml:space="preserve"> par </w:t>
      </w:r>
      <w:proofErr w:type="spellStart"/>
      <w:r w:rsidR="00C83687" w:rsidRPr="00550D35">
        <w:rPr>
          <w:szCs w:val="24"/>
          <w:lang w:val="lv-LV"/>
        </w:rPr>
        <w:t>kiberdrošības</w:t>
      </w:r>
      <w:proofErr w:type="spellEnd"/>
      <w:r w:rsidR="00C83687" w:rsidRPr="00550D35">
        <w:rPr>
          <w:szCs w:val="24"/>
          <w:lang w:val="lv-LV"/>
        </w:rPr>
        <w:t xml:space="preserve"> aspektu atspoguļošanu ceļvedī Latvijai.</w:t>
      </w:r>
    </w:p>
    <w:p w14:paraId="21FA55A0" w14:textId="77777777" w:rsidR="000B785F" w:rsidRPr="00550D35" w:rsidRDefault="000B785F" w:rsidP="00E066B5">
      <w:pPr>
        <w:rPr>
          <w:color w:val="FF0000"/>
          <w:lang w:val="lv-LV"/>
        </w:rPr>
      </w:pPr>
    </w:p>
    <w:p w14:paraId="0F6AC52C" w14:textId="6DE3328A" w:rsidR="009A1299" w:rsidRPr="00550D35" w:rsidRDefault="003A551F" w:rsidP="00B52E9B">
      <w:pPr>
        <w:pStyle w:val="Heading1"/>
        <w:rPr>
          <w:sz w:val="24"/>
          <w:szCs w:val="24"/>
        </w:rPr>
      </w:pPr>
      <w:bookmarkStart w:id="8" w:name="_Toc155952334"/>
      <w:r w:rsidRPr="00550D35">
        <w:t>Vismaz pamata digitālās prasmes</w:t>
      </w:r>
      <w:bookmarkEnd w:id="7"/>
      <w:bookmarkEnd w:id="8"/>
    </w:p>
    <w:p w14:paraId="3DF48479" w14:textId="1F7917E0" w:rsidR="007770C2" w:rsidRPr="00550D35" w:rsidRDefault="00D62A43" w:rsidP="0046297C">
      <w:pPr>
        <w:ind w:firstLine="0"/>
        <w:rPr>
          <w:b/>
          <w:bCs/>
          <w:i/>
          <w:iCs/>
          <w:szCs w:val="24"/>
          <w:lang w:val="lv-LV"/>
        </w:rPr>
      </w:pPr>
      <w:r w:rsidRPr="00550D35">
        <w:rPr>
          <w:b/>
          <w:bCs/>
          <w:i/>
          <w:iCs/>
          <w:szCs w:val="24"/>
          <w:lang w:val="lv-LV"/>
        </w:rPr>
        <w:t>Vismaz pamata digitālās prasmes</w:t>
      </w:r>
      <w:r w:rsidR="006532C5" w:rsidRPr="00550D35">
        <w:rPr>
          <w:b/>
          <w:bCs/>
          <w:i/>
          <w:iCs/>
          <w:szCs w:val="24"/>
          <w:lang w:val="lv-LV"/>
        </w:rPr>
        <w:t>,</w:t>
      </w:r>
      <w:r w:rsidRPr="00550D35">
        <w:rPr>
          <w:b/>
          <w:bCs/>
          <w:i/>
          <w:iCs/>
          <w:szCs w:val="24"/>
          <w:lang w:val="lv-LV"/>
        </w:rPr>
        <w:t xml:space="preserve"> </w:t>
      </w:r>
      <w:r w:rsidR="001A727B" w:rsidRPr="00550D35">
        <w:rPr>
          <w:i/>
          <w:iCs/>
          <w:szCs w:val="24"/>
          <w:lang w:val="lv-LV"/>
        </w:rPr>
        <w:t xml:space="preserve">ko </w:t>
      </w:r>
      <w:r w:rsidR="00520799" w:rsidRPr="00550D35">
        <w:rPr>
          <w:i/>
          <w:iCs/>
          <w:szCs w:val="24"/>
          <w:lang w:val="lv-LV"/>
        </w:rPr>
        <w:t>mēra kā to 16–74 gadus vecu cilvēku procentu (sadalot pa dzimumiem), kuru digitālās prasmes ir “</w:t>
      </w:r>
      <w:proofErr w:type="spellStart"/>
      <w:r w:rsidR="00520799" w:rsidRPr="00550D35">
        <w:rPr>
          <w:i/>
          <w:iCs/>
          <w:szCs w:val="24"/>
          <w:lang w:val="lv-LV"/>
        </w:rPr>
        <w:t>pamatlīmenī</w:t>
      </w:r>
      <w:proofErr w:type="spellEnd"/>
      <w:r w:rsidR="00520799" w:rsidRPr="00550D35">
        <w:rPr>
          <w:i/>
          <w:iCs/>
          <w:szCs w:val="24"/>
          <w:lang w:val="lv-LV"/>
        </w:rPr>
        <w:t xml:space="preserve">” vai “virs </w:t>
      </w:r>
      <w:proofErr w:type="spellStart"/>
      <w:r w:rsidR="00520799" w:rsidRPr="00550D35">
        <w:rPr>
          <w:i/>
          <w:iCs/>
          <w:szCs w:val="24"/>
          <w:lang w:val="lv-LV"/>
        </w:rPr>
        <w:t>pamatlīmeņa</w:t>
      </w:r>
      <w:proofErr w:type="spellEnd"/>
      <w:r w:rsidR="00520799" w:rsidRPr="00550D35">
        <w:rPr>
          <w:i/>
          <w:iCs/>
          <w:szCs w:val="24"/>
          <w:lang w:val="lv-LV"/>
        </w:rPr>
        <w:t>” katrā no šādiem pieciem aspektiem: informācija, saziņa, problēmu risināšana, digitālā satura radīšana un drošība. Mērījumu pamatā ir darbības, ko cilvēki veikuši iepriekšējo trīs mēnešu laikā</w:t>
      </w:r>
      <w:r w:rsidR="00617D77" w:rsidRPr="00550D35">
        <w:rPr>
          <w:rStyle w:val="FootnoteReference"/>
          <w:i/>
          <w:iCs/>
          <w:szCs w:val="24"/>
          <w:lang w:val="lv-LV"/>
        </w:rPr>
        <w:footnoteReference w:id="15"/>
      </w:r>
      <w:r w:rsidR="00520799" w:rsidRPr="00550D35">
        <w:rPr>
          <w:i/>
          <w:iCs/>
          <w:szCs w:val="24"/>
          <w:lang w:val="lv-LV"/>
        </w:rPr>
        <w:t xml:space="preserve"> , un abu dzimumu tuvināšanās – mēra kā sieviešu un vīriešu procentu to cilvēku vidū, kuriem digitālās prasmes ir “</w:t>
      </w:r>
      <w:proofErr w:type="spellStart"/>
      <w:r w:rsidR="00520799" w:rsidRPr="00550D35">
        <w:rPr>
          <w:i/>
          <w:iCs/>
          <w:szCs w:val="24"/>
          <w:lang w:val="lv-LV"/>
        </w:rPr>
        <w:t>pamatlīmenī</w:t>
      </w:r>
      <w:proofErr w:type="spellEnd"/>
      <w:r w:rsidR="00520799" w:rsidRPr="00550D35">
        <w:rPr>
          <w:i/>
          <w:iCs/>
          <w:szCs w:val="24"/>
          <w:lang w:val="lv-LV"/>
        </w:rPr>
        <w:t xml:space="preserve">” vai “virs </w:t>
      </w:r>
      <w:proofErr w:type="spellStart"/>
      <w:r w:rsidR="00520799" w:rsidRPr="00550D35">
        <w:rPr>
          <w:i/>
          <w:iCs/>
          <w:szCs w:val="24"/>
          <w:lang w:val="lv-LV"/>
        </w:rPr>
        <w:t>pamatlīmeņa</w:t>
      </w:r>
      <w:proofErr w:type="spellEnd"/>
      <w:r w:rsidR="00520799" w:rsidRPr="00550D35">
        <w:rPr>
          <w:i/>
          <w:iCs/>
          <w:szCs w:val="24"/>
          <w:lang w:val="lv-LV"/>
        </w:rPr>
        <w:t>”</w:t>
      </w:r>
      <w:r w:rsidR="004E669F" w:rsidRPr="00550D35">
        <w:rPr>
          <w:i/>
          <w:iCs/>
          <w:szCs w:val="24"/>
          <w:lang w:val="lv-LV"/>
        </w:rPr>
        <w:t>.</w:t>
      </w:r>
    </w:p>
    <w:p w14:paraId="2183AD39" w14:textId="3ECDED89" w:rsidR="004602F6" w:rsidRPr="00550D35" w:rsidRDefault="00451149" w:rsidP="00081BA9">
      <w:pPr>
        <w:pStyle w:val="Heading2"/>
        <w:rPr>
          <w:rFonts w:eastAsiaTheme="minorHAnsi" w:cs="Calibri"/>
          <w:sz w:val="22"/>
          <w:szCs w:val="22"/>
          <w:lang w:val="lv-LV" w:eastAsia="en-US"/>
        </w:rPr>
      </w:pPr>
      <w:r w:rsidRPr="00550D35">
        <w:rPr>
          <w:lang w:val="lv-LV"/>
        </w:rPr>
        <w:t>Analīze par pašreizējo stāvokli digitālās pārveides jomā dalībvalsts kontekstā</w:t>
      </w:r>
    </w:p>
    <w:p w14:paraId="7695280C" w14:textId="52BC6941" w:rsidR="001842FB" w:rsidRPr="00550D35" w:rsidRDefault="001842FB" w:rsidP="001842FB">
      <w:pPr>
        <w:rPr>
          <w:lang w:val="lv-LV"/>
        </w:rPr>
      </w:pPr>
      <w:bookmarkStart w:id="9" w:name="_Toc135226520"/>
      <w:r w:rsidRPr="00550D35">
        <w:rPr>
          <w:lang w:val="lv-LV"/>
        </w:rPr>
        <w:t>Saskaņā ar D</w:t>
      </w:r>
      <w:r w:rsidR="00724D33" w:rsidRPr="00550D35">
        <w:rPr>
          <w:lang w:val="lv-LV"/>
        </w:rPr>
        <w:t>igitālās de</w:t>
      </w:r>
      <w:r w:rsidR="00227969" w:rsidRPr="00550D35">
        <w:rPr>
          <w:lang w:val="lv-LV"/>
        </w:rPr>
        <w:t>k</w:t>
      </w:r>
      <w:r w:rsidR="00724D33" w:rsidRPr="00550D35">
        <w:rPr>
          <w:lang w:val="lv-LV"/>
        </w:rPr>
        <w:t>ādes</w:t>
      </w:r>
      <w:r w:rsidRPr="00550D35">
        <w:rPr>
          <w:lang w:val="lv-LV"/>
        </w:rPr>
        <w:t xml:space="preserve"> </w:t>
      </w:r>
      <w:r w:rsidR="00497CC6" w:rsidRPr="00550D35">
        <w:rPr>
          <w:lang w:val="lv-LV"/>
        </w:rPr>
        <w:t xml:space="preserve">2023.gada </w:t>
      </w:r>
      <w:r w:rsidRPr="00550D35">
        <w:rPr>
          <w:lang w:val="lv-LV"/>
        </w:rPr>
        <w:t xml:space="preserve">ziņojumu par </w:t>
      </w:r>
      <w:r w:rsidR="00724D33" w:rsidRPr="00550D35">
        <w:rPr>
          <w:lang w:val="lv-LV"/>
        </w:rPr>
        <w:t>Latviju</w:t>
      </w:r>
      <w:r w:rsidR="0057499F" w:rsidRPr="00550D35">
        <w:rPr>
          <w:lang w:val="lv-LV"/>
        </w:rPr>
        <w:t xml:space="preserve"> </w:t>
      </w:r>
      <w:r w:rsidRPr="00550D35">
        <w:rPr>
          <w:lang w:val="lv-LV"/>
        </w:rPr>
        <w:t xml:space="preserve">rādītājs gan attiecībā uz digitālajām prasmēm vismaz </w:t>
      </w:r>
      <w:proofErr w:type="spellStart"/>
      <w:r w:rsidRPr="00550D35">
        <w:rPr>
          <w:lang w:val="lv-LV"/>
        </w:rPr>
        <w:t>pamatlīmenī</w:t>
      </w:r>
      <w:proofErr w:type="spellEnd"/>
      <w:r w:rsidRPr="00550D35">
        <w:rPr>
          <w:lang w:val="lv-LV"/>
        </w:rPr>
        <w:t xml:space="preserve">, gan digitālajām prasmēm virs </w:t>
      </w:r>
      <w:proofErr w:type="spellStart"/>
      <w:r w:rsidRPr="00550D35">
        <w:rPr>
          <w:lang w:val="lv-LV"/>
        </w:rPr>
        <w:t>pamatlīmeņa</w:t>
      </w:r>
      <w:proofErr w:type="spellEnd"/>
      <w:r w:rsidRPr="00550D35">
        <w:rPr>
          <w:lang w:val="lv-LV"/>
        </w:rPr>
        <w:t xml:space="preserve"> ir tikai nedaudz zemāks par ES vidējo rādītāju. 51</w:t>
      </w:r>
      <w:r w:rsidR="000D150B" w:rsidRPr="00550D35">
        <w:rPr>
          <w:lang w:val="lv-LV"/>
        </w:rPr>
        <w:t> </w:t>
      </w:r>
      <w:r w:rsidRPr="00550D35">
        <w:rPr>
          <w:lang w:val="lv-LV"/>
        </w:rPr>
        <w:t>% iedzīvotāju vecumā no 16 līdz 74</w:t>
      </w:r>
      <w:r w:rsidR="00732DFC" w:rsidRPr="00550D35">
        <w:rPr>
          <w:lang w:val="lv-LV"/>
        </w:rPr>
        <w:t> </w:t>
      </w:r>
      <w:r w:rsidRPr="00550D35">
        <w:rPr>
          <w:lang w:val="lv-LV"/>
        </w:rPr>
        <w:t xml:space="preserve">gadiem ir digitālās prasmes vismaz </w:t>
      </w:r>
      <w:proofErr w:type="spellStart"/>
      <w:r w:rsidRPr="00550D35">
        <w:rPr>
          <w:lang w:val="lv-LV"/>
        </w:rPr>
        <w:t>pamatlīmenī</w:t>
      </w:r>
      <w:proofErr w:type="spellEnd"/>
      <w:r w:rsidRPr="00550D35">
        <w:rPr>
          <w:lang w:val="lv-LV"/>
        </w:rPr>
        <w:t xml:space="preserve"> un 24 % ir digitālās prasmes virs </w:t>
      </w:r>
      <w:proofErr w:type="spellStart"/>
      <w:r w:rsidRPr="00550D35">
        <w:rPr>
          <w:lang w:val="lv-LV"/>
        </w:rPr>
        <w:t>pamatlīmeņa</w:t>
      </w:r>
      <w:proofErr w:type="spellEnd"/>
      <w:r w:rsidRPr="00550D35">
        <w:rPr>
          <w:lang w:val="lv-LV"/>
        </w:rPr>
        <w:t xml:space="preserve"> salīdzinājumā ar attiecīgajiem ES vidējiem rādītājiem — 54 % un 26 %. Latvija, kurā 64 % iedzīvotāju ir digitālā satura radīšanas prasmes vismaz </w:t>
      </w:r>
      <w:proofErr w:type="spellStart"/>
      <w:r w:rsidRPr="00550D35">
        <w:rPr>
          <w:lang w:val="lv-LV"/>
        </w:rPr>
        <w:t>pamatlīmenī</w:t>
      </w:r>
      <w:proofErr w:type="spellEnd"/>
      <w:r w:rsidRPr="00550D35">
        <w:rPr>
          <w:lang w:val="lv-LV"/>
        </w:rPr>
        <w:t>, ir tuvu ES vidējam rādītājam — 66 %.</w:t>
      </w:r>
    </w:p>
    <w:p w14:paraId="6C8C580A" w14:textId="17B32566" w:rsidR="00ED3C08" w:rsidRPr="00550D35" w:rsidRDefault="00ED3C08" w:rsidP="00AF044E">
      <w:pPr>
        <w:rPr>
          <w:lang w:val="lv-LV"/>
        </w:rPr>
      </w:pPr>
      <w:r w:rsidRPr="00550D35">
        <w:rPr>
          <w:lang w:val="lv-LV"/>
        </w:rPr>
        <w:t xml:space="preserve">Digitālās dekādes 2023.gada ziņojumā par Latviju EK </w:t>
      </w:r>
      <w:r w:rsidR="000B33BC" w:rsidRPr="00550D35">
        <w:rPr>
          <w:lang w:val="lv-LV"/>
        </w:rPr>
        <w:t>ir ieteikusi</w:t>
      </w:r>
      <w:r w:rsidRPr="00550D35">
        <w:rPr>
          <w:lang w:val="lv-LV"/>
        </w:rPr>
        <w:t xml:space="preserve"> paātrināt centienus digitālo prasmju jomā. Proti, Latvija tiek mudināta turpināt īstenot pasākumus, lai integrētu digitālos </w:t>
      </w:r>
      <w:r w:rsidR="00320DB9" w:rsidRPr="00550D35">
        <w:rPr>
          <w:lang w:val="lv-LV"/>
        </w:rPr>
        <w:t xml:space="preserve">risinājumus </w:t>
      </w:r>
      <w:r w:rsidRPr="00550D35">
        <w:rPr>
          <w:lang w:val="lv-LV"/>
        </w:rPr>
        <w:t>izglītības sistēmā</w:t>
      </w:r>
      <w:r w:rsidR="00320DB9" w:rsidRPr="00550D35">
        <w:rPr>
          <w:lang w:val="lv-LV"/>
        </w:rPr>
        <w:t xml:space="preserve"> visā izglītības ciklā</w:t>
      </w:r>
      <w:r w:rsidRPr="00550D35">
        <w:rPr>
          <w:lang w:val="lv-LV"/>
        </w:rPr>
        <w:t>, integrējot tos visos mācību priekšmetos. Īpaša uzmanība jāpievērš IKT speciālistu piesaistei un noturēšanai</w:t>
      </w:r>
      <w:r w:rsidR="00AF044E" w:rsidRPr="00550D35">
        <w:rPr>
          <w:lang w:val="lv-LV"/>
        </w:rPr>
        <w:t>.</w:t>
      </w:r>
    </w:p>
    <w:p w14:paraId="532E50E4" w14:textId="2FABC6F5" w:rsidR="001842FB" w:rsidRPr="00550D35" w:rsidRDefault="001842FB" w:rsidP="001842FB">
      <w:pPr>
        <w:rPr>
          <w:lang w:val="lv-LV"/>
        </w:rPr>
      </w:pPr>
      <w:r w:rsidRPr="00550D35">
        <w:rPr>
          <w:lang w:val="lv-LV"/>
        </w:rPr>
        <w:t xml:space="preserve">Saskaņā ar </w:t>
      </w:r>
      <w:r w:rsidR="00DB38F9" w:rsidRPr="00550D35">
        <w:rPr>
          <w:lang w:val="lv-LV"/>
        </w:rPr>
        <w:t>EK</w:t>
      </w:r>
      <w:r w:rsidRPr="00550D35">
        <w:rPr>
          <w:lang w:val="lv-LV"/>
        </w:rPr>
        <w:t xml:space="preserve"> dienestu darba dokumentu SWD(2023) 614 </w:t>
      </w:r>
      <w:proofErr w:type="spellStart"/>
      <w:r w:rsidRPr="00550D35">
        <w:rPr>
          <w:lang w:val="lv-LV"/>
        </w:rPr>
        <w:t>final</w:t>
      </w:r>
      <w:proofErr w:type="spellEnd"/>
      <w:r w:rsidRPr="00550D35">
        <w:rPr>
          <w:lang w:val="lv-LV"/>
        </w:rPr>
        <w:t xml:space="preserve"> “2023. gada ziņojumu par valsti – Latvija” digitālo prasmju trūkuma novēršana joprojām ir viena no Latvijas galvenajām </w:t>
      </w:r>
      <w:proofErr w:type="spellStart"/>
      <w:r w:rsidRPr="00550D35">
        <w:rPr>
          <w:lang w:val="lv-LV"/>
        </w:rPr>
        <w:t>digitalizācijas</w:t>
      </w:r>
      <w:proofErr w:type="spellEnd"/>
      <w:r w:rsidRPr="00550D35">
        <w:rPr>
          <w:lang w:val="lv-LV"/>
        </w:rPr>
        <w:t xml:space="preserve"> problēmām. Latvijā digitālo </w:t>
      </w:r>
      <w:proofErr w:type="spellStart"/>
      <w:r w:rsidRPr="00550D35">
        <w:rPr>
          <w:lang w:val="lv-LV"/>
        </w:rPr>
        <w:t>pamatprasmju</w:t>
      </w:r>
      <w:proofErr w:type="spellEnd"/>
      <w:r w:rsidRPr="00550D35">
        <w:rPr>
          <w:lang w:val="lv-LV"/>
        </w:rPr>
        <w:t xml:space="preserve"> līmenis ir zemāks par ES vidējo rādītāju, un gandrīz pusei valsts iedzīvotāju to joprojām trūkst.</w:t>
      </w:r>
    </w:p>
    <w:p w14:paraId="6974EC4A" w14:textId="533FC4B0" w:rsidR="00E27D58" w:rsidRPr="00550D35" w:rsidRDefault="001842FB" w:rsidP="00041ADA">
      <w:pPr>
        <w:rPr>
          <w:shd w:val="clear" w:color="auto" w:fill="FFFFFF"/>
          <w:lang w:val="lv-LV"/>
        </w:rPr>
      </w:pPr>
      <w:r w:rsidRPr="00550D35">
        <w:rPr>
          <w:shd w:val="clear" w:color="auto" w:fill="FFFFFF"/>
          <w:lang w:val="lv-LV"/>
        </w:rPr>
        <w:t xml:space="preserve">DTP2027 </w:t>
      </w:r>
      <w:r w:rsidR="007E035D" w:rsidRPr="00550D35">
        <w:rPr>
          <w:lang w:val="lv-LV"/>
        </w:rPr>
        <w:t>digitālo prasmju attīstīšana ir noteikta par valsts prioritāti</w:t>
      </w:r>
      <w:r w:rsidR="007E035D" w:rsidRPr="00550D35">
        <w:rPr>
          <w:shd w:val="clear" w:color="auto" w:fill="FFFFFF"/>
          <w:lang w:val="lv-LV"/>
        </w:rPr>
        <w:t>.</w:t>
      </w:r>
      <w:r w:rsidR="00041ADA" w:rsidRPr="00550D35">
        <w:rPr>
          <w:shd w:val="clear" w:color="auto" w:fill="FFFFFF"/>
          <w:lang w:val="lv-LV"/>
        </w:rPr>
        <w:t xml:space="preserve"> DTP2027 </w:t>
      </w:r>
      <w:r w:rsidRPr="00550D35">
        <w:rPr>
          <w:shd w:val="clear" w:color="auto" w:fill="FFFFFF"/>
          <w:lang w:val="lv-LV"/>
        </w:rPr>
        <w:t xml:space="preserve">definētie sasniedzamie politikas rezultāti un rezultatīvie rādītāji paredz līdz 2027. gadam panākt iedzīvotāju, kam digitālās prasmes ir vismaz </w:t>
      </w:r>
      <w:proofErr w:type="spellStart"/>
      <w:r w:rsidRPr="00550D35">
        <w:rPr>
          <w:shd w:val="clear" w:color="auto" w:fill="FFFFFF"/>
          <w:lang w:val="lv-LV"/>
        </w:rPr>
        <w:t>pamatlīmenī</w:t>
      </w:r>
      <w:proofErr w:type="spellEnd"/>
      <w:r w:rsidRPr="00550D35">
        <w:rPr>
          <w:shd w:val="clear" w:color="auto" w:fill="FFFFFF"/>
          <w:lang w:val="lv-LV"/>
        </w:rPr>
        <w:t>, skaita palielinājumu līdz 70 %.</w:t>
      </w:r>
      <w:r w:rsidR="00041ADA" w:rsidRPr="00550D35">
        <w:rPr>
          <w:shd w:val="clear" w:color="auto" w:fill="FFFFFF"/>
          <w:lang w:val="lv-LV"/>
        </w:rPr>
        <w:t xml:space="preserve"> Saskaņoti ar DTP2027 ir izstrādāta </w:t>
      </w:r>
      <w:r w:rsidR="00E27D58" w:rsidRPr="00550D35">
        <w:rPr>
          <w:lang w:val="lv-LV"/>
        </w:rPr>
        <w:t>vidēja termiņa izglītības un prasmju stratēģija IAP2027</w:t>
      </w:r>
      <w:r w:rsidR="009C0C01" w:rsidRPr="00550D35">
        <w:rPr>
          <w:lang w:val="lv-LV"/>
        </w:rPr>
        <w:t xml:space="preserve"> ar </w:t>
      </w:r>
      <w:r w:rsidR="00E27D58" w:rsidRPr="00550D35">
        <w:rPr>
          <w:lang w:val="lv-LV"/>
        </w:rPr>
        <w:t>mērķi veicināt un modernizēt digitālās prasmes un STEM</w:t>
      </w:r>
      <w:r w:rsidR="00563CFB" w:rsidRPr="00550D35">
        <w:rPr>
          <w:lang w:val="lv-LV"/>
        </w:rPr>
        <w:t xml:space="preserve"> priekšmetu</w:t>
      </w:r>
      <w:r w:rsidR="00E27D58" w:rsidRPr="00550D35">
        <w:rPr>
          <w:lang w:val="lv-LV"/>
        </w:rPr>
        <w:t xml:space="preserve"> apguvi, kā arī izmantot IKT mācību procesā un attīstīt skolotāju digitālās prasmes.</w:t>
      </w:r>
    </w:p>
    <w:p w14:paraId="4599CA9E" w14:textId="3D2EE971" w:rsidR="00E27D58" w:rsidRPr="00550D35" w:rsidRDefault="008875F9" w:rsidP="00E27D58">
      <w:pPr>
        <w:rPr>
          <w:lang w:val="lv-LV"/>
        </w:rPr>
      </w:pPr>
      <w:r w:rsidRPr="00550D35">
        <w:rPr>
          <w:lang w:val="lv-LV"/>
        </w:rPr>
        <w:t xml:space="preserve">Īstenojot </w:t>
      </w:r>
      <w:r w:rsidR="00E27D58" w:rsidRPr="00550D35">
        <w:rPr>
          <w:lang w:val="lv-LV"/>
        </w:rPr>
        <w:t>ANM plān</w:t>
      </w:r>
      <w:r w:rsidRPr="00550D35">
        <w:rPr>
          <w:lang w:val="lv-LV"/>
        </w:rPr>
        <w:t>ā</w:t>
      </w:r>
      <w:r w:rsidR="00E27D58" w:rsidRPr="00550D35">
        <w:rPr>
          <w:lang w:val="lv-LV"/>
        </w:rPr>
        <w:t xml:space="preserve"> ietver</w:t>
      </w:r>
      <w:r w:rsidRPr="00550D35">
        <w:rPr>
          <w:lang w:val="lv-LV"/>
        </w:rPr>
        <w:t>tos</w:t>
      </w:r>
      <w:r w:rsidR="00E27D58" w:rsidRPr="00550D35">
        <w:rPr>
          <w:lang w:val="lv-LV"/>
        </w:rPr>
        <w:t xml:space="preserve"> pasākumus, kuri pilnībā vai daļēji saistīti ar digitālajām prasmēm, </w:t>
      </w:r>
      <w:r w:rsidRPr="00550D35">
        <w:rPr>
          <w:lang w:val="lv-LV"/>
        </w:rPr>
        <w:t xml:space="preserve">tiks </w:t>
      </w:r>
      <w:r w:rsidR="00E27D58" w:rsidRPr="00550D35">
        <w:rPr>
          <w:lang w:val="lv-LV"/>
        </w:rPr>
        <w:t>novērs</w:t>
      </w:r>
      <w:r w:rsidRPr="00550D35">
        <w:rPr>
          <w:lang w:val="lv-LV"/>
        </w:rPr>
        <w:t>ts</w:t>
      </w:r>
      <w:r w:rsidR="00E27D58" w:rsidRPr="00550D35">
        <w:rPr>
          <w:lang w:val="lv-LV"/>
        </w:rPr>
        <w:t xml:space="preserve"> digitālo prasmju trūkum</w:t>
      </w:r>
      <w:r w:rsidR="00DA1E2F" w:rsidRPr="00550D35">
        <w:rPr>
          <w:lang w:val="lv-LV"/>
        </w:rPr>
        <w:t>s</w:t>
      </w:r>
      <w:r w:rsidR="00E27D58" w:rsidRPr="00550D35">
        <w:rPr>
          <w:lang w:val="lv-LV"/>
        </w:rPr>
        <w:t xml:space="preserve"> vairumā vecuma grupu, sociālajā un darba vidē. Budžeta piešķīrums 106</w:t>
      </w:r>
      <w:r w:rsidRPr="00550D35">
        <w:rPr>
          <w:lang w:val="lv-LV"/>
        </w:rPr>
        <w:t>,0</w:t>
      </w:r>
      <w:r w:rsidR="00E27D58" w:rsidRPr="00550D35">
        <w:rPr>
          <w:lang w:val="lv-LV"/>
        </w:rPr>
        <w:t xml:space="preserve"> milj. </w:t>
      </w:r>
      <w:proofErr w:type="spellStart"/>
      <w:r w:rsidR="00221010" w:rsidRPr="00550D35">
        <w:rPr>
          <w:i/>
          <w:iCs/>
          <w:lang w:val="lv-LV"/>
        </w:rPr>
        <w:t>euro</w:t>
      </w:r>
      <w:proofErr w:type="spellEnd"/>
      <w:r w:rsidR="00E27D58" w:rsidRPr="00550D35">
        <w:rPr>
          <w:lang w:val="lv-LV"/>
        </w:rPr>
        <w:t xml:space="preserve"> apmērā, kas veido 6 % no ANM plāna</w:t>
      </w:r>
      <w:r w:rsidRPr="00550D35">
        <w:rPr>
          <w:lang w:val="lv-LV"/>
        </w:rPr>
        <w:t xml:space="preserve"> finansējuma</w:t>
      </w:r>
      <w:r w:rsidR="00E27D58" w:rsidRPr="00550D35">
        <w:rPr>
          <w:lang w:val="lv-LV"/>
        </w:rPr>
        <w:t>, būs vērsts uz to, lai uzlabotu studentu un pieaugušo digitālās prasmes, panāktu sabiedrības un darba tirgus, tostarp valsts pārvaldes, digitālo pārveidi un mazinātu sociālās atstumtības riskus.</w:t>
      </w:r>
    </w:p>
    <w:p w14:paraId="37FEF347" w14:textId="2411E6EC" w:rsidR="00E27D58" w:rsidRPr="00550D35" w:rsidRDefault="00E27D58" w:rsidP="00E27D58">
      <w:pPr>
        <w:rPr>
          <w:lang w:val="lv-LV"/>
        </w:rPr>
      </w:pPr>
      <w:r w:rsidRPr="00550D35">
        <w:rPr>
          <w:lang w:val="lv-LV"/>
        </w:rPr>
        <w:t xml:space="preserve">2021. gada sākumā IZM kopā ar lielākajiem telekomunikāciju pakalpojumu sniedzējiem, RTU un citām ieinteresētajām personām parakstīja sadarbības memorandu “Jaudīgs internets ikvienai Latvijas skolai”. 2021. gada 14. maijā IZM parakstīja </w:t>
      </w:r>
      <w:r w:rsidRPr="00550D35">
        <w:rPr>
          <w:lang w:val="lv-LV"/>
        </w:rPr>
        <w:lastRenderedPageBreak/>
        <w:t xml:space="preserve">saprašanās memorandu “Dators ikvienam bērnam”. </w:t>
      </w:r>
      <w:r w:rsidR="008875F9" w:rsidRPr="00550D35">
        <w:rPr>
          <w:lang w:val="lv-LV"/>
        </w:rPr>
        <w:t>Abu minēto</w:t>
      </w:r>
      <w:r w:rsidRPr="00550D35">
        <w:rPr>
          <w:lang w:val="lv-LV"/>
        </w:rPr>
        <w:t xml:space="preserve"> memorandu mērķis ir nodrošināt gan skolas, gan skolēnus ar IKT rīkiem, tostarp datoriem, modernizētiem iekštīkliem un uzlabotiem interneta </w:t>
      </w:r>
      <w:proofErr w:type="spellStart"/>
      <w:r w:rsidRPr="00550D35">
        <w:rPr>
          <w:lang w:val="lv-LV"/>
        </w:rPr>
        <w:t>pieslēgumiem</w:t>
      </w:r>
      <w:proofErr w:type="spellEnd"/>
      <w:r w:rsidRPr="00550D35">
        <w:rPr>
          <w:lang w:val="lv-LV"/>
        </w:rPr>
        <w:t>. Publiskaj</w:t>
      </w:r>
      <w:r w:rsidR="005F4486">
        <w:rPr>
          <w:lang w:val="lv-LV"/>
        </w:rPr>
        <w:t>os</w:t>
      </w:r>
      <w:r w:rsidRPr="00550D35">
        <w:rPr>
          <w:lang w:val="lv-LV"/>
        </w:rPr>
        <w:t xml:space="preserve"> iepirkum</w:t>
      </w:r>
      <w:r w:rsidR="005F4486">
        <w:rPr>
          <w:lang w:val="lv-LV"/>
        </w:rPr>
        <w:t>os</w:t>
      </w:r>
      <w:r w:rsidRPr="00550D35">
        <w:rPr>
          <w:lang w:val="lv-LV"/>
        </w:rPr>
        <w:t xml:space="preserve">, kas tika </w:t>
      </w:r>
      <w:r w:rsidR="005F4486">
        <w:rPr>
          <w:lang w:val="lv-LV"/>
        </w:rPr>
        <w:t>uz</w:t>
      </w:r>
      <w:r w:rsidRPr="00550D35">
        <w:rPr>
          <w:lang w:val="lv-LV"/>
        </w:rPr>
        <w:t>sākt</w:t>
      </w:r>
      <w:r w:rsidR="005F4486">
        <w:rPr>
          <w:lang w:val="lv-LV"/>
        </w:rPr>
        <w:t>i</w:t>
      </w:r>
      <w:r w:rsidRPr="00550D35">
        <w:rPr>
          <w:lang w:val="lv-LV"/>
        </w:rPr>
        <w:t xml:space="preserve"> 2021. gada augustā, </w:t>
      </w:r>
      <w:proofErr w:type="spellStart"/>
      <w:r w:rsidRPr="00550D35">
        <w:rPr>
          <w:lang w:val="lv-LV"/>
        </w:rPr>
        <w:t>pamatskolēniem</w:t>
      </w:r>
      <w:proofErr w:type="spellEnd"/>
      <w:r w:rsidRPr="00550D35">
        <w:rPr>
          <w:lang w:val="lv-LV"/>
        </w:rPr>
        <w:t xml:space="preserve"> </w:t>
      </w:r>
      <w:r w:rsidR="005F4486">
        <w:rPr>
          <w:lang w:val="lv-LV"/>
        </w:rPr>
        <w:t>ir</w:t>
      </w:r>
      <w:r w:rsidR="005F4486" w:rsidRPr="00550D35">
        <w:rPr>
          <w:lang w:val="lv-LV"/>
        </w:rPr>
        <w:t xml:space="preserve"> </w:t>
      </w:r>
      <w:r w:rsidRPr="00550D35">
        <w:rPr>
          <w:lang w:val="lv-LV"/>
        </w:rPr>
        <w:t xml:space="preserve">iegādāti </w:t>
      </w:r>
      <w:r w:rsidR="005F4486">
        <w:rPr>
          <w:lang w:val="lv-LV"/>
        </w:rPr>
        <w:t>5</w:t>
      </w:r>
      <w:r w:rsidRPr="00550D35">
        <w:rPr>
          <w:lang w:val="lv-LV"/>
        </w:rPr>
        <w:t>0</w:t>
      </w:r>
      <w:r w:rsidR="00DD01F5">
        <w:rPr>
          <w:lang w:val="lv-LV"/>
        </w:rPr>
        <w:t> tūkst.</w:t>
      </w:r>
      <w:r w:rsidRPr="00550D35">
        <w:rPr>
          <w:lang w:val="lv-LV"/>
        </w:rPr>
        <w:t xml:space="preserve"> datoru. Vairāk nekā 100 skolas ir uzlabojušas savus interneta savienojumus ar ziedotu aprīkojumu.</w:t>
      </w:r>
    </w:p>
    <w:p w14:paraId="4AC7C981" w14:textId="2DBA975E" w:rsidR="00E27D58" w:rsidRPr="00550D35" w:rsidRDefault="00E27D58" w:rsidP="00E27D58">
      <w:pPr>
        <w:rPr>
          <w:lang w:val="lv-LV"/>
        </w:rPr>
      </w:pPr>
      <w:r w:rsidRPr="00550D35">
        <w:rPr>
          <w:lang w:val="lv-LV"/>
        </w:rPr>
        <w:t xml:space="preserve">Pārskatītajā vispārējās izglītības programmā “Skola2030” norādīts, ka digitālā </w:t>
      </w:r>
      <w:proofErr w:type="spellStart"/>
      <w:r w:rsidRPr="00550D35">
        <w:rPr>
          <w:lang w:val="lv-LV"/>
        </w:rPr>
        <w:t>pratība</w:t>
      </w:r>
      <w:proofErr w:type="spellEnd"/>
      <w:r w:rsidRPr="00550D35">
        <w:rPr>
          <w:lang w:val="lv-LV"/>
        </w:rPr>
        <w:t xml:space="preserve"> ir transversāla prasme, kas jāintegrē visā vispārējās izglītības ciklā, uzsverot programmēšanas un algoritmiskās domāšanas prasmes. “Skola2030” ietvaros Latvija kopš 2021. gada septembra ievieš integrēto modulāro e-mācību pārvaldības sistēmu “skolo.lv”</w:t>
      </w:r>
      <w:r w:rsidR="00F83E49" w:rsidRPr="00550D35">
        <w:rPr>
          <w:lang w:val="lv-LV"/>
        </w:rPr>
        <w:t xml:space="preserve">, </w:t>
      </w:r>
      <w:r w:rsidRPr="00550D35">
        <w:rPr>
          <w:lang w:val="lv-LV"/>
        </w:rPr>
        <w:t xml:space="preserve"> </w:t>
      </w:r>
      <w:r w:rsidR="00F83E49" w:rsidRPr="00550D35">
        <w:rPr>
          <w:lang w:val="lv-LV"/>
        </w:rPr>
        <w:t>kas</w:t>
      </w:r>
      <w:r w:rsidRPr="00550D35">
        <w:rPr>
          <w:lang w:val="lv-LV"/>
        </w:rPr>
        <w:t xml:space="preserve"> nodrošina uzlabotu mācību saturu, labāku piekļuvi digitālajiem mācību līdzekļiem un skolām paredzētiem rīkiem, uzlabotu datu apmaiņu un atbalstu skolotājiem mācīšanās un mācīšanas nolūkos. Laikposmā no 2020. gada līdz 2021. gadam 2040 skolotāji ir sākuši apmācību, lai uzlabotu savas digitālās prasmes, un 1921 skolotāji to jau ir pabeiguši, veidojot aptuveni 28 % no skolotājiem ar augstu kompetenci IKT prasmju jomā.</w:t>
      </w:r>
    </w:p>
    <w:p w14:paraId="6D8A241D" w14:textId="616B0E72" w:rsidR="00E27D58" w:rsidRPr="00550D35" w:rsidRDefault="00E27D58" w:rsidP="00E27D58">
      <w:pPr>
        <w:rPr>
          <w:lang w:val="lv-LV"/>
        </w:rPr>
      </w:pPr>
      <w:r w:rsidRPr="00550D35">
        <w:rPr>
          <w:lang w:val="lv-LV"/>
        </w:rPr>
        <w:t>Latvijā ir izveidots Programmēšanas nedēļas vēstnieku, vadošo skolotāju un brīvprātīgo tīkls</w:t>
      </w:r>
      <w:r w:rsidR="00C66223" w:rsidRPr="00550D35">
        <w:rPr>
          <w:lang w:val="lv-LV"/>
        </w:rPr>
        <w:t xml:space="preserve">, kas </w:t>
      </w:r>
      <w:r w:rsidRPr="00550D35">
        <w:rPr>
          <w:lang w:val="lv-LV"/>
        </w:rPr>
        <w:t xml:space="preserve">koordinē Programmēšanas nedēļas popularizēšanu Latvijas izglītības iestādēs. </w:t>
      </w:r>
      <w:r w:rsidR="00C66223" w:rsidRPr="00550D35">
        <w:rPr>
          <w:lang w:val="lv-LV"/>
        </w:rPr>
        <w:t>Minētā tīkla</w:t>
      </w:r>
      <w:r w:rsidRPr="00550D35">
        <w:rPr>
          <w:lang w:val="lv-LV"/>
        </w:rPr>
        <w:t xml:space="preserve"> galvenais uzdevums ir piesaistīt jaunas izglītības iestādes, jaunus brīvprātīgos un citu priekšmetu skolotājus, parādot veidu, kā programmēt. Sākot ar 2022. gada otro pusgadu līdz 2026. gadam plānots izveidot 21 starptautisku mācību moduli kvantu tehnoloģiju, augstas veiktspējas </w:t>
      </w:r>
      <w:proofErr w:type="spellStart"/>
      <w:r w:rsidRPr="00550D35">
        <w:rPr>
          <w:lang w:val="lv-LV"/>
        </w:rPr>
        <w:t>datošanas</w:t>
      </w:r>
      <w:proofErr w:type="spellEnd"/>
      <w:r w:rsidRPr="00550D35">
        <w:rPr>
          <w:lang w:val="lv-LV"/>
        </w:rPr>
        <w:t xml:space="preserve"> un valodu tehnoloģiju augsta līmeņa digitālo prasmju apguvei, ko atbalsta ANM plāna pasākumi, lai apmācītu 3000 studentu un speciālistu (uzņēmumus, akadēmiskās aprindas un publisko sektoru).</w:t>
      </w:r>
    </w:p>
    <w:p w14:paraId="67986CF6" w14:textId="019079E4" w:rsidR="00E27D58" w:rsidRPr="00550D35" w:rsidRDefault="00E27D58" w:rsidP="00E27D58">
      <w:pPr>
        <w:rPr>
          <w:lang w:val="lv-LV"/>
        </w:rPr>
      </w:pPr>
      <w:r w:rsidRPr="00550D35">
        <w:rPr>
          <w:lang w:val="lv-LV"/>
        </w:rPr>
        <w:t>Pieaugušo izglītības pārvaldības modeļa īstenošanas plānā, ko piemēro līdz 2023.</w:t>
      </w:r>
      <w:r w:rsidR="009E43DD" w:rsidRPr="00550D35">
        <w:rPr>
          <w:lang w:val="lv-LV"/>
        </w:rPr>
        <w:t> </w:t>
      </w:r>
      <w:r w:rsidRPr="00550D35">
        <w:rPr>
          <w:lang w:val="lv-LV"/>
        </w:rPr>
        <w:t>gadam, prioritāšu starpā ir izklāstītas plašākas digitālās prasmes. 2021. gada maijā Valsts izglītības attīstības aģentūra izsludināja uzaicinājumu, kas bija īpaši vērsts uz digitālo prasmju izglītības programmu darba ņēmējiem, kuri vecāki par 25 gadiem. 2021. gadā IT nozares programmās piedalījās gandrīz 27</w:t>
      </w:r>
      <w:r w:rsidR="00984869" w:rsidRPr="00550D35">
        <w:rPr>
          <w:lang w:val="lv-LV"/>
        </w:rPr>
        <w:t>,5 tūkst.</w:t>
      </w:r>
      <w:r w:rsidRPr="00550D35">
        <w:rPr>
          <w:lang w:val="lv-LV"/>
        </w:rPr>
        <w:t xml:space="preserve"> pieaugušo, kas ir 65 % no visiem dalībniekiem. Darba ņēmēji var saņemt novērtējumus, apmācības un sertifikātus programmās, kas aptver gandrīz 12 digitālo prasmju kopumus. Programmas saskaņo un apstiprina IZM izveidotā Pieaugušo izglītības pārvaldības padome.</w:t>
      </w:r>
    </w:p>
    <w:p w14:paraId="1A5F34C5" w14:textId="77008F85" w:rsidR="005D6A56" w:rsidRPr="00550D35" w:rsidRDefault="00E27D58" w:rsidP="005D6A56">
      <w:pPr>
        <w:rPr>
          <w:lang w:val="lv-LV"/>
        </w:rPr>
      </w:pPr>
      <w:r w:rsidRPr="00550D35">
        <w:rPr>
          <w:lang w:val="lv-LV"/>
        </w:rPr>
        <w:t xml:space="preserve">Latvijas digitālo prasmju un darbvietu nacionālo koalīciju vada </w:t>
      </w:r>
      <w:r w:rsidR="00C66223" w:rsidRPr="00550D35">
        <w:rPr>
          <w:lang w:val="lv-LV"/>
        </w:rPr>
        <w:t>LIKTA</w:t>
      </w:r>
      <w:r w:rsidRPr="00550D35">
        <w:rPr>
          <w:lang w:val="lv-LV"/>
        </w:rPr>
        <w:t>, tās Apmācības komisija ir izstrādājusi jaunas IKT programmas saskaņā ar ES iniciatīvu “Digitālo prasmju un darbvietu koalīcija”, kuras mērķis ir novērst digitālo prasmju trūkumu, apvienojot ES valstis, uzņēmumus un organizācijas. Citi projekti, piemēram, projekts “Digitālo kompetenču attīstības sistēma” (</w:t>
      </w:r>
      <w:proofErr w:type="spellStart"/>
      <w:r w:rsidRPr="00550D35">
        <w:rPr>
          <w:i/>
          <w:iCs/>
          <w:lang w:val="lv-LV"/>
        </w:rPr>
        <w:t>Digital</w:t>
      </w:r>
      <w:proofErr w:type="spellEnd"/>
      <w:r w:rsidRPr="00550D35">
        <w:rPr>
          <w:i/>
          <w:iCs/>
          <w:lang w:val="lv-LV"/>
        </w:rPr>
        <w:t xml:space="preserve"> </w:t>
      </w:r>
      <w:proofErr w:type="spellStart"/>
      <w:r w:rsidRPr="00550D35">
        <w:rPr>
          <w:i/>
          <w:iCs/>
          <w:lang w:val="lv-LV"/>
        </w:rPr>
        <w:t>Competence</w:t>
      </w:r>
      <w:proofErr w:type="spellEnd"/>
      <w:r w:rsidRPr="00550D35">
        <w:rPr>
          <w:i/>
          <w:iCs/>
          <w:lang w:val="lv-LV"/>
        </w:rPr>
        <w:t xml:space="preserve"> </w:t>
      </w:r>
      <w:proofErr w:type="spellStart"/>
      <w:r w:rsidRPr="00550D35">
        <w:rPr>
          <w:i/>
          <w:iCs/>
          <w:lang w:val="lv-LV"/>
        </w:rPr>
        <w:t>Development</w:t>
      </w:r>
      <w:proofErr w:type="spellEnd"/>
      <w:r w:rsidRPr="00550D35">
        <w:rPr>
          <w:i/>
          <w:iCs/>
          <w:lang w:val="lv-LV"/>
        </w:rPr>
        <w:t xml:space="preserve"> </w:t>
      </w:r>
      <w:proofErr w:type="spellStart"/>
      <w:r w:rsidRPr="00550D35">
        <w:rPr>
          <w:i/>
          <w:iCs/>
          <w:lang w:val="lv-LV"/>
        </w:rPr>
        <w:t>System</w:t>
      </w:r>
      <w:proofErr w:type="spellEnd"/>
      <w:r w:rsidRPr="00550D35">
        <w:rPr>
          <w:i/>
          <w:iCs/>
          <w:lang w:val="lv-LV"/>
        </w:rPr>
        <w:t xml:space="preserve"> — DCDS</w:t>
      </w:r>
      <w:r w:rsidRPr="00550D35">
        <w:rPr>
          <w:lang w:val="lv-LV"/>
        </w:rPr>
        <w:t xml:space="preserve">), palīdz uzlabot prasmes un digitālo </w:t>
      </w:r>
      <w:proofErr w:type="spellStart"/>
      <w:r w:rsidRPr="00550D35">
        <w:rPr>
          <w:lang w:val="lv-LV"/>
        </w:rPr>
        <w:t>pratību</w:t>
      </w:r>
      <w:proofErr w:type="spellEnd"/>
      <w:r w:rsidRPr="00550D35">
        <w:rPr>
          <w:lang w:val="lv-LV"/>
        </w:rPr>
        <w:t xml:space="preserve"> Latvijā. Projekts “</w:t>
      </w:r>
      <w:r w:rsidRPr="005C4C4E">
        <w:rPr>
          <w:i/>
          <w:iCs/>
          <w:lang w:val="lv-LV"/>
        </w:rPr>
        <w:t>ICTs</w:t>
      </w:r>
      <w:r w:rsidRPr="00550D35">
        <w:rPr>
          <w:i/>
          <w:iCs/>
          <w:lang w:val="lv-LV"/>
        </w:rPr>
        <w:t>kills4All</w:t>
      </w:r>
      <w:r w:rsidRPr="00550D35">
        <w:rPr>
          <w:lang w:val="lv-LV"/>
        </w:rPr>
        <w:t>” pievēršas Latvijas iedzīvotāju digitālajām prasmēm, bet projekts “</w:t>
      </w:r>
      <w:proofErr w:type="spellStart"/>
      <w:r w:rsidRPr="00550D35">
        <w:rPr>
          <w:i/>
          <w:iCs/>
          <w:lang w:val="lv-LV"/>
        </w:rPr>
        <w:t>Count</w:t>
      </w:r>
      <w:proofErr w:type="spellEnd"/>
      <w:r w:rsidRPr="00550D35">
        <w:rPr>
          <w:i/>
          <w:iCs/>
          <w:lang w:val="lv-LV"/>
        </w:rPr>
        <w:t xml:space="preserve"> </w:t>
      </w:r>
      <w:proofErr w:type="spellStart"/>
      <w:r w:rsidRPr="00550D35">
        <w:rPr>
          <w:i/>
          <w:iCs/>
          <w:lang w:val="lv-LV"/>
        </w:rPr>
        <w:t>me</w:t>
      </w:r>
      <w:proofErr w:type="spellEnd"/>
      <w:r w:rsidRPr="00550D35">
        <w:rPr>
          <w:i/>
          <w:iCs/>
          <w:lang w:val="lv-LV"/>
        </w:rPr>
        <w:t xml:space="preserve"> </w:t>
      </w:r>
      <w:proofErr w:type="spellStart"/>
      <w:r w:rsidRPr="00550D35">
        <w:rPr>
          <w:i/>
          <w:iCs/>
          <w:lang w:val="lv-LV"/>
        </w:rPr>
        <w:t>In</w:t>
      </w:r>
      <w:proofErr w:type="spellEnd"/>
      <w:r w:rsidRPr="00550D35">
        <w:rPr>
          <w:lang w:val="lv-LV"/>
        </w:rPr>
        <w:t>” pievēršas to cilvēku prasmēm, kam ir invaliditāte. “</w:t>
      </w:r>
      <w:r w:rsidRPr="00550D35">
        <w:rPr>
          <w:i/>
          <w:iCs/>
          <w:lang w:val="lv-LV"/>
        </w:rPr>
        <w:t>Women4IT</w:t>
      </w:r>
      <w:r w:rsidRPr="00550D35">
        <w:rPr>
          <w:lang w:val="lv-LV"/>
        </w:rPr>
        <w:t>” ir daudzpusēja ieinteresēto personu partnerība, kurā iesaistītas dažādas valstis un kuras mērķis ir uzlabot dzimumu līdzsvaru un dzimumu līdztiesību IKT darbvietās. 60 % no visiem izglītojamajiem, kuri Latvijā apguvuši digitālās prasmes, bija sievietes.</w:t>
      </w:r>
    </w:p>
    <w:p w14:paraId="667670F2" w14:textId="626BB7BE" w:rsidR="00C44D29" w:rsidRPr="00550D35" w:rsidRDefault="00146CBC" w:rsidP="00126ED0">
      <w:pPr>
        <w:rPr>
          <w:color w:val="000000"/>
          <w:lang w:val="lv-LV"/>
        </w:rPr>
      </w:pPr>
      <w:r w:rsidRPr="00550D35">
        <w:rPr>
          <w:lang w:val="lv-LV"/>
        </w:rPr>
        <w:t xml:space="preserve">Digitālā sabiedrībā un ekonomikā pamata digitālo prasmju kopumā īpaša nozīme ir </w:t>
      </w:r>
      <w:proofErr w:type="spellStart"/>
      <w:r w:rsidRPr="00550D35">
        <w:rPr>
          <w:lang w:val="lv-LV"/>
        </w:rPr>
        <w:t>kiberdrošības</w:t>
      </w:r>
      <w:proofErr w:type="spellEnd"/>
      <w:r w:rsidRPr="00550D35">
        <w:rPr>
          <w:lang w:val="lv-LV"/>
        </w:rPr>
        <w:t xml:space="preserve"> prasmēm, kas nepieciešamas, lai iekļautos sabiedrībā un ekonomikā, kas piedzīvo digitālu transformāciju, vai citiem vārdiem – adaptējoties plašai tehnoloģiju izmantošanai visās dzīves jomās. To nosaka arī Latvijas </w:t>
      </w:r>
      <w:proofErr w:type="spellStart"/>
      <w:r w:rsidRPr="00550D35">
        <w:rPr>
          <w:lang w:val="lv-LV"/>
        </w:rPr>
        <w:t>kiberdrošības</w:t>
      </w:r>
      <w:proofErr w:type="spellEnd"/>
      <w:r w:rsidRPr="00550D35">
        <w:rPr>
          <w:lang w:val="lv-LV"/>
        </w:rPr>
        <w:t xml:space="preserve"> stratēģija 2023.-2026. gadam</w:t>
      </w:r>
      <w:r w:rsidR="00A42E7C" w:rsidRPr="00550D35">
        <w:rPr>
          <w:rStyle w:val="FootnoteReference"/>
          <w:lang w:val="lv-LV"/>
        </w:rPr>
        <w:footnoteReference w:id="16"/>
      </w:r>
      <w:r w:rsidRPr="00550D35">
        <w:rPr>
          <w:lang w:val="lv-LV"/>
        </w:rPr>
        <w:t>, kurā</w:t>
      </w:r>
      <w:r w:rsidRPr="00550D35">
        <w:rPr>
          <w:color w:val="000000"/>
          <w:lang w:val="lv-LV"/>
        </w:rPr>
        <w:t xml:space="preserve"> i</w:t>
      </w:r>
      <w:r w:rsidR="00C44D29" w:rsidRPr="00550D35">
        <w:rPr>
          <w:color w:val="000000"/>
          <w:lang w:val="lv-LV"/>
        </w:rPr>
        <w:t>dentifi</w:t>
      </w:r>
      <w:r w:rsidRPr="00550D35">
        <w:rPr>
          <w:color w:val="000000"/>
          <w:lang w:val="lv-LV"/>
        </w:rPr>
        <w:t xml:space="preserve">cēta </w:t>
      </w:r>
      <w:r w:rsidR="32D75EED" w:rsidRPr="00550D35">
        <w:rPr>
          <w:color w:val="000000"/>
          <w:lang w:val="lv-LV"/>
        </w:rPr>
        <w:t>nepieciešamība</w:t>
      </w:r>
      <w:r w:rsidRPr="00550D35">
        <w:rPr>
          <w:color w:val="000000"/>
          <w:lang w:val="lv-LV"/>
        </w:rPr>
        <w:t xml:space="preserve"> veikt sabiedrības informēšanas kampaņas un </w:t>
      </w:r>
      <w:r w:rsidR="441F9A86" w:rsidRPr="00550D35">
        <w:rPr>
          <w:color w:val="000000"/>
          <w:lang w:val="lv-LV"/>
        </w:rPr>
        <w:t>apmācības</w:t>
      </w:r>
      <w:r w:rsidRPr="00550D35">
        <w:rPr>
          <w:color w:val="000000"/>
          <w:lang w:val="lv-LV"/>
        </w:rPr>
        <w:t xml:space="preserve"> dažādās mērķauditorijās, lai vairotu sabiedrības daļu ar pamata digitālajām prasmēm, tostarp</w:t>
      </w:r>
      <w:r w:rsidR="00C44D29" w:rsidRPr="00550D35">
        <w:rPr>
          <w:color w:val="000000"/>
          <w:lang w:val="lv-LV"/>
        </w:rPr>
        <w:t>,</w:t>
      </w:r>
      <w:r w:rsidRPr="00550D35">
        <w:rPr>
          <w:color w:val="000000"/>
          <w:lang w:val="lv-LV"/>
        </w:rPr>
        <w:t xml:space="preserve"> prasmēm atpazīt </w:t>
      </w:r>
      <w:proofErr w:type="spellStart"/>
      <w:r w:rsidRPr="00550D35">
        <w:rPr>
          <w:color w:val="000000"/>
          <w:lang w:val="lv-LV"/>
        </w:rPr>
        <w:t>kiberapdraudējumu</w:t>
      </w:r>
      <w:proofErr w:type="spellEnd"/>
      <w:r w:rsidRPr="00550D35">
        <w:rPr>
          <w:color w:val="000000"/>
          <w:lang w:val="lv-LV"/>
        </w:rPr>
        <w:t xml:space="preserve">. Tādēļ līdztekus digitālo prasmju </w:t>
      </w:r>
      <w:r w:rsidRPr="00550D35">
        <w:rPr>
          <w:color w:val="000000"/>
          <w:lang w:val="lv-LV"/>
        </w:rPr>
        <w:lastRenderedPageBreak/>
        <w:t xml:space="preserve">paaugstināšanai mācību pasākumu saturā ir paredzēts iekļaut </w:t>
      </w:r>
      <w:r w:rsidR="003B4D6C" w:rsidRPr="00550D35">
        <w:rPr>
          <w:color w:val="000000"/>
          <w:lang w:val="lv-LV"/>
        </w:rPr>
        <w:t xml:space="preserve">arī </w:t>
      </w:r>
      <w:r w:rsidRPr="00550D35">
        <w:rPr>
          <w:color w:val="000000"/>
          <w:lang w:val="lv-LV"/>
        </w:rPr>
        <w:t xml:space="preserve">digitālās drošības elementus, t.sk.ar ANM plāna </w:t>
      </w:r>
      <w:r w:rsidR="00157774" w:rsidRPr="00550D35">
        <w:rPr>
          <w:color w:val="000000"/>
          <w:lang w:val="lv-LV"/>
        </w:rPr>
        <w:t xml:space="preserve">investīcijām </w:t>
      </w:r>
      <w:r w:rsidRPr="00550D35">
        <w:rPr>
          <w:color w:val="000000"/>
          <w:lang w:val="lv-LV"/>
        </w:rPr>
        <w:t>2.3.2.1.i. un 2.3.2.2.i. un DEP</w:t>
      </w:r>
      <w:r w:rsidR="00260FE0" w:rsidRPr="00550D35">
        <w:rPr>
          <w:color w:val="000000"/>
          <w:lang w:val="lv-LV"/>
        </w:rPr>
        <w:t xml:space="preserve"> </w:t>
      </w:r>
      <w:r w:rsidRPr="00550D35">
        <w:rPr>
          <w:color w:val="000000"/>
          <w:lang w:val="lv-LV"/>
        </w:rPr>
        <w:t xml:space="preserve">projektiem, kuru rezultāts sekmēs sabiedrības izpratni par drošas digitālas darbības pamatprincipiem un </w:t>
      </w:r>
      <w:proofErr w:type="spellStart"/>
      <w:r w:rsidRPr="00550D35">
        <w:rPr>
          <w:color w:val="000000"/>
          <w:lang w:val="lv-LV"/>
        </w:rPr>
        <w:t>kiberdrošības</w:t>
      </w:r>
      <w:proofErr w:type="spellEnd"/>
      <w:r w:rsidRPr="00550D35">
        <w:rPr>
          <w:color w:val="000000"/>
          <w:lang w:val="lv-LV"/>
        </w:rPr>
        <w:t xml:space="preserve"> pamatiem.</w:t>
      </w:r>
    </w:p>
    <w:p w14:paraId="4647B8F7" w14:textId="5339AB88" w:rsidR="007B2F88" w:rsidRPr="00550D35" w:rsidRDefault="00146CBC" w:rsidP="00126ED0">
      <w:pPr>
        <w:rPr>
          <w:shd w:val="clear" w:color="auto" w:fill="FFFFFF"/>
          <w:lang w:val="lv-LV"/>
        </w:rPr>
      </w:pPr>
      <w:r w:rsidRPr="00550D35">
        <w:rPr>
          <w:bCs/>
          <w:szCs w:val="24"/>
          <w:lang w:val="lv-LV"/>
        </w:rPr>
        <w:t xml:space="preserve">Tāpat arī </w:t>
      </w:r>
      <w:r w:rsidRPr="00550D35">
        <w:rPr>
          <w:color w:val="000000"/>
          <w:lang w:val="lv-LV"/>
        </w:rPr>
        <w:t>Kohēzijas politikas ietvaros tiks turpinātas investīcijas izglītības sistēmas digitālo spēju attīstībā, investējot izglītības iestāžu mācību vidē un  digitālajās tehnoloģijās izglītībā, lai stiprinātu jaunā vispārējās izglītības satura īstenošanu, kas pakāpeniski tiek ieviests, tāpat tiks nostiprināta augstākās izglītības iestāžu un profesionālās izglītības iestāžu tehnoloģiskā kapacitāte mācību procesa sekmīgai nodrošināšanai un piekļuvei kvalitatīviem digitālajiem mācību resursiem.</w:t>
      </w:r>
    </w:p>
    <w:p w14:paraId="19F2F09F" w14:textId="73FFD29C" w:rsidR="00A05DCC" w:rsidRPr="00550D35" w:rsidRDefault="009D29D1">
      <w:pPr>
        <w:pStyle w:val="Heading2"/>
        <w:rPr>
          <w:lang w:val="lv-LV"/>
        </w:rPr>
      </w:pPr>
      <w:r w:rsidRPr="00550D35">
        <w:rPr>
          <w:lang w:val="lv-LV"/>
        </w:rPr>
        <w:t xml:space="preserve">KPI </w:t>
      </w:r>
      <w:r w:rsidR="00191029" w:rsidRPr="00550D35">
        <w:rPr>
          <w:lang w:val="lv-LV"/>
        </w:rPr>
        <w:t>“</w:t>
      </w:r>
      <w:r w:rsidR="00191029" w:rsidRPr="00550D35">
        <w:rPr>
          <w:bCs/>
          <w:szCs w:val="24"/>
          <w:lang w:val="lv-LV"/>
        </w:rPr>
        <w:t>Vismaz pamata digitālās prasmes</w:t>
      </w:r>
      <w:r w:rsidR="00191029" w:rsidRPr="00550D35">
        <w:rPr>
          <w:lang w:val="lv-LV"/>
        </w:rPr>
        <w:t xml:space="preserve"> “ v</w:t>
      </w:r>
      <w:r w:rsidR="002864F1" w:rsidRPr="00550D35">
        <w:rPr>
          <w:lang w:val="lv-LV"/>
        </w:rPr>
        <w:t>alsts prognozētā trajektorija</w:t>
      </w:r>
      <w:r w:rsidR="0060722E" w:rsidRPr="00550D35">
        <w:rPr>
          <w:lang w:val="lv-LV"/>
        </w:rPr>
        <w:t xml:space="preserve"> un </w:t>
      </w:r>
      <w:proofErr w:type="spellStart"/>
      <w:r w:rsidR="0060722E" w:rsidRPr="00550D35">
        <w:rPr>
          <w:lang w:val="lv-LV"/>
        </w:rPr>
        <w:t>mērķrādītāj</w:t>
      </w:r>
      <w:r w:rsidR="00DD03FE" w:rsidRPr="00550D35">
        <w:rPr>
          <w:lang w:val="lv-LV"/>
        </w:rPr>
        <w:t>s</w:t>
      </w:r>
      <w:proofErr w:type="spellEnd"/>
      <w:r w:rsidR="0060722E" w:rsidRPr="00550D35">
        <w:rPr>
          <w:lang w:val="lv-LV"/>
        </w:rPr>
        <w:t>, kas paredzēt</w:t>
      </w:r>
      <w:r w:rsidR="00DD03FE" w:rsidRPr="00550D35">
        <w:rPr>
          <w:lang w:val="lv-LV"/>
        </w:rPr>
        <w:t>s</w:t>
      </w:r>
      <w:r w:rsidR="0060722E" w:rsidRPr="00550D35">
        <w:rPr>
          <w:lang w:val="lv-LV"/>
        </w:rPr>
        <w:t xml:space="preserve">, lai palīdzētu sasniegt ES digitālo </w:t>
      </w:r>
      <w:proofErr w:type="spellStart"/>
      <w:r w:rsidR="0060722E" w:rsidRPr="00550D35">
        <w:rPr>
          <w:lang w:val="lv-LV"/>
        </w:rPr>
        <w:t>mērķrādītāju</w:t>
      </w:r>
      <w:bookmarkEnd w:id="9"/>
      <w:proofErr w:type="spellEnd"/>
    </w:p>
    <w:p w14:paraId="3E31DBC8" w14:textId="77777777" w:rsidR="00CE1620" w:rsidRPr="00550D35" w:rsidRDefault="00CE1620" w:rsidP="00CE1620">
      <w:pPr>
        <w:pStyle w:val="Text2"/>
        <w:rPr>
          <w:lang w:val="lv-LV"/>
        </w:rPr>
      </w:pPr>
    </w:p>
    <w:p w14:paraId="14B0D6D2" w14:textId="06EE42FC" w:rsidR="000C51FF" w:rsidRPr="00550D35" w:rsidRDefault="000C51FF" w:rsidP="00F30695">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b/>
          <w:bCs/>
          <w:szCs w:val="24"/>
          <w:lang w:val="lv-LV"/>
        </w:rPr>
      </w:pPr>
      <w:r w:rsidRPr="00550D35">
        <w:rPr>
          <w:b/>
          <w:bCs/>
          <w:szCs w:val="24"/>
          <w:lang w:val="lv-LV"/>
        </w:rPr>
        <w:t>Nacionālā bāzes vērtība (2023)</w:t>
      </w:r>
      <w:r w:rsidR="00A6272B" w:rsidRPr="00550D35">
        <w:rPr>
          <w:b/>
          <w:bCs/>
          <w:szCs w:val="24"/>
          <w:lang w:val="lv-LV"/>
        </w:rPr>
        <w:t xml:space="preserve"> </w:t>
      </w:r>
      <w:r w:rsidR="00E76FD6" w:rsidRPr="00550D35">
        <w:rPr>
          <w:b/>
          <w:bCs/>
          <w:szCs w:val="24"/>
          <w:lang w:val="lv-LV"/>
        </w:rPr>
        <w:t xml:space="preserve">   </w:t>
      </w:r>
      <w:r w:rsidRPr="00550D35">
        <w:rPr>
          <w:b/>
          <w:bCs/>
          <w:szCs w:val="24"/>
          <w:lang w:val="lv-LV"/>
        </w:rPr>
        <w:t>51 %</w:t>
      </w:r>
      <w:r w:rsidR="00B8242D" w:rsidRPr="00550D35">
        <w:rPr>
          <w:b/>
          <w:bCs/>
          <w:szCs w:val="24"/>
          <w:lang w:val="lv-LV"/>
        </w:rPr>
        <w:t xml:space="preserve">   </w:t>
      </w:r>
      <w:r w:rsidRPr="00550D35">
        <w:rPr>
          <w:b/>
          <w:bCs/>
          <w:szCs w:val="24"/>
          <w:lang w:val="lv-LV"/>
        </w:rPr>
        <w:t>ES bāzes vērtība (2023)</w:t>
      </w:r>
      <w:r w:rsidR="00B55292" w:rsidRPr="00550D35">
        <w:rPr>
          <w:b/>
          <w:bCs/>
          <w:szCs w:val="24"/>
          <w:lang w:val="lv-LV"/>
        </w:rPr>
        <w:t xml:space="preserve"> </w:t>
      </w:r>
      <w:r w:rsidRPr="00550D35">
        <w:rPr>
          <w:b/>
          <w:bCs/>
          <w:szCs w:val="24"/>
          <w:lang w:val="lv-LV"/>
        </w:rPr>
        <w:t>54 %</w:t>
      </w:r>
    </w:p>
    <w:p w14:paraId="2A7F16A3" w14:textId="03C4ADAA" w:rsidR="00B8242D" w:rsidRPr="00550D35" w:rsidRDefault="000C51FF" w:rsidP="00B8242D">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b/>
          <w:bCs/>
          <w:szCs w:val="24"/>
          <w:lang w:val="lv-LV"/>
        </w:rPr>
      </w:pPr>
      <w:r w:rsidRPr="00550D35">
        <w:rPr>
          <w:b/>
          <w:bCs/>
          <w:szCs w:val="24"/>
          <w:lang w:val="lv-LV"/>
        </w:rPr>
        <w:t>Nacionāl</w:t>
      </w:r>
      <w:r w:rsidR="00B8242D" w:rsidRPr="00550D35">
        <w:rPr>
          <w:b/>
          <w:bCs/>
          <w:szCs w:val="24"/>
          <w:lang w:val="lv-LV"/>
        </w:rPr>
        <w:t>ais</w:t>
      </w:r>
      <w:r w:rsidRPr="00550D35">
        <w:rPr>
          <w:b/>
          <w:bCs/>
          <w:szCs w:val="24"/>
          <w:lang w:val="lv-LV"/>
        </w:rPr>
        <w:t xml:space="preserve"> </w:t>
      </w:r>
      <w:proofErr w:type="spellStart"/>
      <w:r w:rsidRPr="00550D35">
        <w:rPr>
          <w:b/>
          <w:bCs/>
          <w:szCs w:val="24"/>
          <w:lang w:val="lv-LV"/>
        </w:rPr>
        <w:t>mērķ</w:t>
      </w:r>
      <w:r w:rsidR="00E858E8" w:rsidRPr="00550D35">
        <w:rPr>
          <w:b/>
          <w:bCs/>
          <w:szCs w:val="24"/>
          <w:lang w:val="lv-LV"/>
        </w:rPr>
        <w:t>rādītāj</w:t>
      </w:r>
      <w:r w:rsidR="00B8242D" w:rsidRPr="00550D35">
        <w:rPr>
          <w:b/>
          <w:bCs/>
          <w:szCs w:val="24"/>
          <w:lang w:val="lv-LV"/>
        </w:rPr>
        <w:t>s</w:t>
      </w:r>
      <w:proofErr w:type="spellEnd"/>
      <w:r w:rsidRPr="00550D35">
        <w:rPr>
          <w:b/>
          <w:bCs/>
          <w:szCs w:val="24"/>
          <w:lang w:val="lv-LV"/>
        </w:rPr>
        <w:t xml:space="preserve"> </w:t>
      </w:r>
      <w:r w:rsidR="00EE05D7" w:rsidRPr="00550D35">
        <w:rPr>
          <w:b/>
          <w:bCs/>
          <w:szCs w:val="24"/>
          <w:lang w:val="lv-LV"/>
        </w:rPr>
        <w:t>(</w:t>
      </w:r>
      <w:r w:rsidRPr="00550D35">
        <w:rPr>
          <w:b/>
          <w:bCs/>
          <w:szCs w:val="24"/>
          <w:lang w:val="lv-LV"/>
        </w:rPr>
        <w:t>2030</w:t>
      </w:r>
      <w:r w:rsidR="00EE05D7" w:rsidRPr="00550D35">
        <w:rPr>
          <w:b/>
          <w:bCs/>
          <w:szCs w:val="24"/>
          <w:lang w:val="lv-LV"/>
        </w:rPr>
        <w:t>)</w:t>
      </w:r>
      <w:r w:rsidR="00663A8A" w:rsidRPr="00550D35">
        <w:rPr>
          <w:b/>
          <w:bCs/>
          <w:szCs w:val="24"/>
          <w:lang w:val="lv-LV"/>
        </w:rPr>
        <w:t xml:space="preserve"> </w:t>
      </w:r>
      <w:r w:rsidR="007D2C48" w:rsidRPr="00550D35">
        <w:rPr>
          <w:b/>
          <w:bCs/>
          <w:szCs w:val="24"/>
          <w:lang w:val="lv-LV"/>
        </w:rPr>
        <w:t>70</w:t>
      </w:r>
      <w:r w:rsidR="008938BA" w:rsidRPr="00550D35">
        <w:rPr>
          <w:b/>
          <w:bCs/>
          <w:szCs w:val="24"/>
          <w:lang w:val="lv-LV"/>
        </w:rPr>
        <w:t> </w:t>
      </w:r>
      <w:r w:rsidR="007D2C48" w:rsidRPr="00550D35">
        <w:rPr>
          <w:b/>
          <w:bCs/>
          <w:szCs w:val="24"/>
          <w:lang w:val="lv-LV"/>
        </w:rPr>
        <w:t>%</w:t>
      </w:r>
      <w:r w:rsidR="00B8242D" w:rsidRPr="00550D35">
        <w:rPr>
          <w:b/>
          <w:bCs/>
          <w:szCs w:val="24"/>
          <w:lang w:val="lv-LV"/>
        </w:rPr>
        <w:t xml:space="preserve">   ES </w:t>
      </w:r>
      <w:proofErr w:type="spellStart"/>
      <w:r w:rsidR="00B8242D" w:rsidRPr="00550D35">
        <w:rPr>
          <w:b/>
          <w:bCs/>
          <w:szCs w:val="24"/>
          <w:lang w:val="lv-LV"/>
        </w:rPr>
        <w:t>mērķrādītājs</w:t>
      </w:r>
      <w:proofErr w:type="spellEnd"/>
      <w:r w:rsidR="00B8242D" w:rsidRPr="00550D35">
        <w:rPr>
          <w:b/>
          <w:bCs/>
          <w:szCs w:val="24"/>
          <w:lang w:val="lv-LV"/>
        </w:rPr>
        <w:t xml:space="preserve"> </w:t>
      </w:r>
      <w:r w:rsidR="00545C6F" w:rsidRPr="00550D35">
        <w:rPr>
          <w:b/>
          <w:bCs/>
          <w:szCs w:val="24"/>
          <w:lang w:val="lv-LV"/>
        </w:rPr>
        <w:t xml:space="preserve"> </w:t>
      </w:r>
      <w:r w:rsidR="00B8242D" w:rsidRPr="00550D35">
        <w:rPr>
          <w:b/>
          <w:bCs/>
          <w:szCs w:val="24"/>
          <w:lang w:val="lv-LV"/>
        </w:rPr>
        <w:t>(2030) 80 %</w:t>
      </w:r>
    </w:p>
    <w:p w14:paraId="6E845DAF" w14:textId="6354A84A" w:rsidR="00E56534" w:rsidRPr="00550D35" w:rsidRDefault="00E56534" w:rsidP="00B8242D">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i/>
          <w:iCs/>
          <w:szCs w:val="24"/>
          <w:lang w:val="lv-LV"/>
        </w:rPr>
      </w:pPr>
      <w:r w:rsidRPr="00550D35">
        <w:rPr>
          <w:i/>
          <w:iCs/>
          <w:szCs w:val="24"/>
          <w:lang w:val="lv-LV"/>
        </w:rPr>
        <w:t xml:space="preserve">Avots: </w:t>
      </w:r>
      <w:r w:rsidRPr="00550D35">
        <w:rPr>
          <w:i/>
          <w:iCs/>
          <w:lang w:val="lv-LV"/>
        </w:rPr>
        <w:t>Digitālās dekādes 2023.gada ziņojums par Latviju</w:t>
      </w:r>
    </w:p>
    <w:p w14:paraId="58723186" w14:textId="57EA4C03" w:rsidR="004119BE" w:rsidRPr="00550D35" w:rsidRDefault="00B8242D" w:rsidP="003821C4">
      <w:pPr>
        <w:spacing w:before="0" w:after="160" w:line="259" w:lineRule="auto"/>
        <w:ind w:left="720" w:firstLine="0"/>
        <w:contextualSpacing/>
        <w:jc w:val="left"/>
        <w:rPr>
          <w:b/>
          <w:bCs/>
          <w:szCs w:val="24"/>
          <w:lang w:val="lv-LV"/>
        </w:rPr>
      </w:pPr>
      <w:r w:rsidRPr="00550D35">
        <w:rPr>
          <w:b/>
          <w:bCs/>
          <w:szCs w:val="24"/>
          <w:lang w:val="lv-LV"/>
        </w:rPr>
        <w:t xml:space="preserve">  </w:t>
      </w:r>
    </w:p>
    <w:p w14:paraId="7E87E038" w14:textId="161A2923" w:rsidR="000C51FF" w:rsidRPr="00550D35" w:rsidRDefault="009D6467" w:rsidP="000C51FF">
      <w:pPr>
        <w:rPr>
          <w:lang w:val="lv-LV"/>
        </w:rPr>
      </w:pPr>
      <w:r w:rsidRPr="00550D35">
        <w:rPr>
          <w:lang w:val="lv-LV"/>
        </w:rPr>
        <w:t>I</w:t>
      </w:r>
      <w:r w:rsidR="000C51FF" w:rsidRPr="00550D35">
        <w:rPr>
          <w:lang w:val="lv-LV"/>
        </w:rPr>
        <w:t xml:space="preserve">nformācija par nacionālo trajektoriju 2028.-2030.gadam tiks </w:t>
      </w:r>
      <w:r w:rsidR="007D2C48" w:rsidRPr="00550D35">
        <w:rPr>
          <w:lang w:val="lv-LV"/>
        </w:rPr>
        <w:t>precizē</w:t>
      </w:r>
      <w:r w:rsidR="000C51FF" w:rsidRPr="00550D35">
        <w:rPr>
          <w:lang w:val="lv-LV"/>
        </w:rPr>
        <w:t>ta ceļveža pārskatīšanas gaitā 2025.gadā, vienlaikus turpinot sekmēt tuvināšanos ES definētajam mērķim</w:t>
      </w:r>
      <w:r w:rsidRPr="00550D35">
        <w:rPr>
          <w:lang w:val="lv-LV"/>
        </w:rPr>
        <w:t xml:space="preserve"> </w:t>
      </w:r>
      <w:r w:rsidR="00147CAC" w:rsidRPr="00550D35">
        <w:rPr>
          <w:lang w:val="lv-LV"/>
        </w:rPr>
        <w:t xml:space="preserve">panākt, ka </w:t>
      </w:r>
      <w:r w:rsidR="00055335" w:rsidRPr="00550D35">
        <w:rPr>
          <w:lang w:val="lv-LV"/>
        </w:rPr>
        <w:t xml:space="preserve">vismaz pamata digitālās prasmes ir </w:t>
      </w:r>
      <w:r w:rsidRPr="00550D35">
        <w:rPr>
          <w:lang w:val="lv-LV"/>
        </w:rPr>
        <w:t>80%</w:t>
      </w:r>
      <w:r w:rsidR="00055335" w:rsidRPr="00550D35">
        <w:rPr>
          <w:lang w:val="lv-LV"/>
        </w:rPr>
        <w:t xml:space="preserve"> </w:t>
      </w:r>
      <w:r w:rsidR="00FF40B6" w:rsidRPr="00550D35">
        <w:rPr>
          <w:lang w:val="lv-LV"/>
        </w:rPr>
        <w:t>ES iedzīvotāju.</w:t>
      </w:r>
    </w:p>
    <w:p w14:paraId="3DB1B483" w14:textId="77777777" w:rsidR="000C51FF" w:rsidRPr="00550D35" w:rsidRDefault="000C51FF" w:rsidP="000C51FF">
      <w:pPr>
        <w:pStyle w:val="ListParagraph"/>
        <w:spacing w:before="0"/>
        <w:ind w:left="360" w:firstLine="0"/>
        <w:rPr>
          <w:szCs w:val="24"/>
          <w:lang w:val="lv-LV"/>
        </w:rPr>
      </w:pPr>
    </w:p>
    <w:tbl>
      <w:tblPr>
        <w:tblStyle w:val="TableGrid"/>
        <w:tblW w:w="0" w:type="auto"/>
        <w:tblInd w:w="534" w:type="dxa"/>
        <w:tblLook w:val="04A0" w:firstRow="1" w:lastRow="0" w:firstColumn="1" w:lastColumn="0" w:noHBand="0" w:noVBand="1"/>
      </w:tblPr>
      <w:tblGrid>
        <w:gridCol w:w="879"/>
        <w:gridCol w:w="850"/>
        <w:gridCol w:w="993"/>
        <w:gridCol w:w="850"/>
        <w:gridCol w:w="960"/>
        <w:gridCol w:w="827"/>
        <w:gridCol w:w="827"/>
        <w:gridCol w:w="1887"/>
      </w:tblGrid>
      <w:tr w:rsidR="000C51FF" w:rsidRPr="00550D35" w14:paraId="038EB54D" w14:textId="77777777" w:rsidTr="00DF5CB8">
        <w:tc>
          <w:tcPr>
            <w:tcW w:w="879" w:type="dxa"/>
            <w:shd w:val="clear" w:color="auto" w:fill="auto"/>
          </w:tcPr>
          <w:p w14:paraId="6566DC48" w14:textId="77777777" w:rsidR="000C51FF" w:rsidRPr="00550D35" w:rsidRDefault="000C51FF" w:rsidP="00393CD7">
            <w:pPr>
              <w:pStyle w:val="Text2"/>
              <w:ind w:left="0" w:firstLine="0"/>
              <w:rPr>
                <w:sz w:val="20"/>
                <w:lang w:val="lv-LV"/>
              </w:rPr>
            </w:pPr>
            <w:r w:rsidRPr="00550D35">
              <w:rPr>
                <w:sz w:val="20"/>
                <w:lang w:val="lv-LV"/>
              </w:rPr>
              <w:t>2023</w:t>
            </w:r>
          </w:p>
        </w:tc>
        <w:tc>
          <w:tcPr>
            <w:tcW w:w="850" w:type="dxa"/>
            <w:shd w:val="clear" w:color="auto" w:fill="auto"/>
          </w:tcPr>
          <w:p w14:paraId="361D9611" w14:textId="77777777" w:rsidR="000C51FF" w:rsidRPr="00550D35" w:rsidRDefault="000C51FF" w:rsidP="00393CD7">
            <w:pPr>
              <w:pStyle w:val="Text2"/>
              <w:ind w:left="0" w:firstLine="0"/>
              <w:rPr>
                <w:sz w:val="20"/>
                <w:lang w:val="lv-LV"/>
              </w:rPr>
            </w:pPr>
            <w:r w:rsidRPr="00550D35">
              <w:rPr>
                <w:sz w:val="20"/>
                <w:lang w:val="lv-LV"/>
              </w:rPr>
              <w:t>2024</w:t>
            </w:r>
          </w:p>
        </w:tc>
        <w:tc>
          <w:tcPr>
            <w:tcW w:w="993" w:type="dxa"/>
            <w:shd w:val="clear" w:color="auto" w:fill="auto"/>
          </w:tcPr>
          <w:p w14:paraId="2812D0D6" w14:textId="77777777" w:rsidR="000C51FF" w:rsidRPr="00550D35" w:rsidRDefault="000C51FF" w:rsidP="00393CD7">
            <w:pPr>
              <w:pStyle w:val="Text2"/>
              <w:ind w:left="0" w:firstLine="0"/>
              <w:rPr>
                <w:sz w:val="20"/>
                <w:lang w:val="lv-LV"/>
              </w:rPr>
            </w:pPr>
            <w:r w:rsidRPr="00550D35">
              <w:rPr>
                <w:sz w:val="20"/>
                <w:lang w:val="lv-LV"/>
              </w:rPr>
              <w:t>2025</w:t>
            </w:r>
          </w:p>
        </w:tc>
        <w:tc>
          <w:tcPr>
            <w:tcW w:w="850" w:type="dxa"/>
            <w:shd w:val="clear" w:color="auto" w:fill="auto"/>
          </w:tcPr>
          <w:p w14:paraId="74E2603B" w14:textId="77777777" w:rsidR="000C51FF" w:rsidRPr="00550D35" w:rsidRDefault="000C51FF" w:rsidP="00393CD7">
            <w:pPr>
              <w:pStyle w:val="Text2"/>
              <w:ind w:left="0" w:firstLine="0"/>
              <w:rPr>
                <w:sz w:val="20"/>
                <w:lang w:val="lv-LV"/>
              </w:rPr>
            </w:pPr>
            <w:r w:rsidRPr="00550D35">
              <w:rPr>
                <w:sz w:val="20"/>
                <w:lang w:val="lv-LV"/>
              </w:rPr>
              <w:t>2026</w:t>
            </w:r>
          </w:p>
        </w:tc>
        <w:tc>
          <w:tcPr>
            <w:tcW w:w="960" w:type="dxa"/>
            <w:shd w:val="clear" w:color="auto" w:fill="auto"/>
          </w:tcPr>
          <w:p w14:paraId="2B92A402" w14:textId="77777777" w:rsidR="000C51FF" w:rsidRPr="00550D35" w:rsidRDefault="000C51FF" w:rsidP="00393CD7">
            <w:pPr>
              <w:pStyle w:val="Text2"/>
              <w:ind w:left="0" w:firstLine="0"/>
              <w:rPr>
                <w:sz w:val="20"/>
                <w:lang w:val="lv-LV"/>
              </w:rPr>
            </w:pPr>
            <w:r w:rsidRPr="00550D35">
              <w:rPr>
                <w:sz w:val="20"/>
                <w:lang w:val="lv-LV"/>
              </w:rPr>
              <w:t>2027</w:t>
            </w:r>
          </w:p>
        </w:tc>
        <w:tc>
          <w:tcPr>
            <w:tcW w:w="827" w:type="dxa"/>
            <w:shd w:val="clear" w:color="auto" w:fill="auto"/>
          </w:tcPr>
          <w:p w14:paraId="33AA9BD9" w14:textId="77777777" w:rsidR="000C51FF" w:rsidRPr="00550D35" w:rsidRDefault="000C51FF" w:rsidP="00393CD7">
            <w:pPr>
              <w:pStyle w:val="Text2"/>
              <w:ind w:left="0" w:firstLine="0"/>
              <w:rPr>
                <w:sz w:val="20"/>
                <w:lang w:val="lv-LV"/>
              </w:rPr>
            </w:pPr>
            <w:r w:rsidRPr="00550D35">
              <w:rPr>
                <w:sz w:val="20"/>
                <w:lang w:val="lv-LV"/>
              </w:rPr>
              <w:t>2028</w:t>
            </w:r>
          </w:p>
        </w:tc>
        <w:tc>
          <w:tcPr>
            <w:tcW w:w="827" w:type="dxa"/>
            <w:shd w:val="clear" w:color="auto" w:fill="auto"/>
          </w:tcPr>
          <w:p w14:paraId="3329935F" w14:textId="77777777" w:rsidR="000C51FF" w:rsidRPr="00550D35" w:rsidRDefault="000C51FF" w:rsidP="00393CD7">
            <w:pPr>
              <w:pStyle w:val="Text2"/>
              <w:ind w:left="0" w:firstLine="0"/>
              <w:rPr>
                <w:sz w:val="20"/>
                <w:lang w:val="lv-LV"/>
              </w:rPr>
            </w:pPr>
            <w:r w:rsidRPr="00550D35">
              <w:rPr>
                <w:sz w:val="20"/>
                <w:lang w:val="lv-LV"/>
              </w:rPr>
              <w:t>2029</w:t>
            </w:r>
          </w:p>
        </w:tc>
        <w:tc>
          <w:tcPr>
            <w:tcW w:w="1887" w:type="dxa"/>
            <w:shd w:val="clear" w:color="auto" w:fill="auto"/>
          </w:tcPr>
          <w:p w14:paraId="5D077E8C" w14:textId="77777777" w:rsidR="000C51FF" w:rsidRPr="00550D35" w:rsidRDefault="000C51FF" w:rsidP="00393CD7">
            <w:pPr>
              <w:pStyle w:val="Text2"/>
              <w:ind w:left="0" w:firstLine="0"/>
              <w:rPr>
                <w:sz w:val="20"/>
                <w:lang w:val="lv-LV"/>
              </w:rPr>
            </w:pPr>
            <w:r w:rsidRPr="00550D35">
              <w:rPr>
                <w:sz w:val="20"/>
                <w:lang w:val="lv-LV"/>
              </w:rPr>
              <w:t>2030</w:t>
            </w:r>
          </w:p>
        </w:tc>
      </w:tr>
      <w:tr w:rsidR="000C51FF" w:rsidRPr="003B2E9A" w14:paraId="5757B2D9" w14:textId="77777777" w:rsidTr="00DF5CB8">
        <w:tc>
          <w:tcPr>
            <w:tcW w:w="879" w:type="dxa"/>
            <w:shd w:val="clear" w:color="auto" w:fill="auto"/>
          </w:tcPr>
          <w:p w14:paraId="14CE08CB" w14:textId="77777777" w:rsidR="000C51FF" w:rsidRPr="00550D35" w:rsidRDefault="000C51FF" w:rsidP="00393CD7">
            <w:pPr>
              <w:pStyle w:val="Text2"/>
              <w:ind w:left="0" w:firstLine="0"/>
              <w:rPr>
                <w:sz w:val="20"/>
                <w:lang w:val="lv-LV"/>
              </w:rPr>
            </w:pPr>
            <w:r w:rsidRPr="00550D35">
              <w:rPr>
                <w:sz w:val="20"/>
                <w:lang w:val="lv-LV"/>
              </w:rPr>
              <w:t>51%</w:t>
            </w:r>
          </w:p>
        </w:tc>
        <w:tc>
          <w:tcPr>
            <w:tcW w:w="850" w:type="dxa"/>
            <w:shd w:val="clear" w:color="auto" w:fill="auto"/>
          </w:tcPr>
          <w:p w14:paraId="3F34019A" w14:textId="77777777" w:rsidR="000C51FF" w:rsidRPr="00550D35" w:rsidRDefault="000C51FF" w:rsidP="00393CD7">
            <w:pPr>
              <w:pStyle w:val="Text2"/>
              <w:ind w:left="0" w:firstLine="0"/>
              <w:rPr>
                <w:sz w:val="20"/>
                <w:lang w:val="lv-LV"/>
              </w:rPr>
            </w:pPr>
            <w:r w:rsidRPr="00550D35">
              <w:rPr>
                <w:sz w:val="20"/>
                <w:lang w:val="lv-LV"/>
              </w:rPr>
              <w:t>54%</w:t>
            </w:r>
          </w:p>
        </w:tc>
        <w:tc>
          <w:tcPr>
            <w:tcW w:w="993" w:type="dxa"/>
            <w:shd w:val="clear" w:color="auto" w:fill="auto"/>
          </w:tcPr>
          <w:p w14:paraId="492E5114" w14:textId="77777777" w:rsidR="000C51FF" w:rsidRPr="00550D35" w:rsidRDefault="000C51FF" w:rsidP="00393CD7">
            <w:pPr>
              <w:pStyle w:val="Text2"/>
              <w:ind w:left="0" w:firstLine="0"/>
              <w:rPr>
                <w:sz w:val="20"/>
                <w:lang w:val="lv-LV"/>
              </w:rPr>
            </w:pPr>
            <w:r w:rsidRPr="00550D35">
              <w:rPr>
                <w:sz w:val="20"/>
                <w:lang w:val="lv-LV"/>
              </w:rPr>
              <w:t>58%</w:t>
            </w:r>
          </w:p>
        </w:tc>
        <w:tc>
          <w:tcPr>
            <w:tcW w:w="850" w:type="dxa"/>
            <w:shd w:val="clear" w:color="auto" w:fill="auto"/>
          </w:tcPr>
          <w:p w14:paraId="10E947D5" w14:textId="77777777" w:rsidR="000C51FF" w:rsidRPr="00550D35" w:rsidRDefault="000C51FF" w:rsidP="00393CD7">
            <w:pPr>
              <w:pStyle w:val="Text2"/>
              <w:ind w:left="0" w:firstLine="0"/>
              <w:rPr>
                <w:sz w:val="20"/>
                <w:lang w:val="lv-LV"/>
              </w:rPr>
            </w:pPr>
            <w:r w:rsidRPr="00550D35">
              <w:rPr>
                <w:sz w:val="20"/>
                <w:lang w:val="lv-LV"/>
              </w:rPr>
              <w:t>64%</w:t>
            </w:r>
          </w:p>
        </w:tc>
        <w:tc>
          <w:tcPr>
            <w:tcW w:w="960" w:type="dxa"/>
            <w:shd w:val="clear" w:color="auto" w:fill="auto"/>
          </w:tcPr>
          <w:p w14:paraId="60756881" w14:textId="77777777" w:rsidR="000C51FF" w:rsidRPr="00550D35" w:rsidRDefault="000C51FF" w:rsidP="00393CD7">
            <w:pPr>
              <w:pStyle w:val="Text2"/>
              <w:ind w:left="0" w:firstLine="0"/>
              <w:rPr>
                <w:sz w:val="20"/>
                <w:lang w:val="lv-LV"/>
              </w:rPr>
            </w:pPr>
            <w:r w:rsidRPr="00550D35">
              <w:rPr>
                <w:sz w:val="20"/>
                <w:lang w:val="lv-LV"/>
              </w:rPr>
              <w:t>70%</w:t>
            </w:r>
          </w:p>
        </w:tc>
        <w:tc>
          <w:tcPr>
            <w:tcW w:w="827" w:type="dxa"/>
            <w:shd w:val="clear" w:color="auto" w:fill="auto"/>
          </w:tcPr>
          <w:p w14:paraId="13370A90" w14:textId="77777777" w:rsidR="000C51FF" w:rsidRPr="00550D35" w:rsidRDefault="000C51FF" w:rsidP="00393CD7">
            <w:pPr>
              <w:pStyle w:val="Text2"/>
              <w:ind w:left="0" w:firstLine="0"/>
              <w:rPr>
                <w:sz w:val="20"/>
                <w:lang w:val="lv-LV"/>
              </w:rPr>
            </w:pPr>
            <w:r w:rsidRPr="00550D35">
              <w:rPr>
                <w:sz w:val="20"/>
                <w:lang w:val="lv-LV"/>
              </w:rPr>
              <w:t>Vismaz 70%</w:t>
            </w:r>
          </w:p>
        </w:tc>
        <w:tc>
          <w:tcPr>
            <w:tcW w:w="827" w:type="dxa"/>
            <w:shd w:val="clear" w:color="auto" w:fill="auto"/>
          </w:tcPr>
          <w:p w14:paraId="419CE6CB" w14:textId="77777777" w:rsidR="000C51FF" w:rsidRPr="00550D35" w:rsidRDefault="000C51FF" w:rsidP="00393CD7">
            <w:pPr>
              <w:pStyle w:val="Text2"/>
              <w:ind w:left="0" w:firstLine="0"/>
              <w:rPr>
                <w:sz w:val="20"/>
                <w:lang w:val="lv-LV"/>
              </w:rPr>
            </w:pPr>
            <w:r w:rsidRPr="00550D35">
              <w:rPr>
                <w:sz w:val="20"/>
                <w:lang w:val="lv-LV"/>
              </w:rPr>
              <w:t>Vismaz 70%</w:t>
            </w:r>
          </w:p>
        </w:tc>
        <w:tc>
          <w:tcPr>
            <w:tcW w:w="1887" w:type="dxa"/>
            <w:shd w:val="clear" w:color="auto" w:fill="auto"/>
          </w:tcPr>
          <w:p w14:paraId="3B4EC13A" w14:textId="52F4284D" w:rsidR="000C51FF" w:rsidRPr="00550D35" w:rsidRDefault="000C51FF" w:rsidP="00393CD7">
            <w:pPr>
              <w:pStyle w:val="Text2"/>
              <w:ind w:left="0" w:firstLine="0"/>
              <w:rPr>
                <w:sz w:val="20"/>
                <w:lang w:val="lv-LV"/>
              </w:rPr>
            </w:pPr>
            <w:r w:rsidRPr="00550D35">
              <w:rPr>
                <w:sz w:val="20"/>
                <w:lang w:val="lv-LV"/>
              </w:rPr>
              <w:t>Vismaz 70%</w:t>
            </w:r>
            <w:r w:rsidR="00DF5CB8" w:rsidRPr="00550D35">
              <w:rPr>
                <w:sz w:val="20"/>
                <w:lang w:val="lv-LV"/>
              </w:rPr>
              <w:t>,</w:t>
            </w:r>
            <w:r w:rsidRPr="00550D35">
              <w:rPr>
                <w:sz w:val="20"/>
                <w:lang w:val="lv-LV"/>
              </w:rPr>
              <w:t xml:space="preserve"> maksimāli tuvinoties ES mērķim 80% </w:t>
            </w:r>
          </w:p>
        </w:tc>
      </w:tr>
    </w:tbl>
    <w:p w14:paraId="5A75146F" w14:textId="77777777" w:rsidR="000C51FF" w:rsidRPr="00550D35" w:rsidRDefault="000C51FF" w:rsidP="000C51FF">
      <w:pPr>
        <w:pStyle w:val="Text2"/>
        <w:ind w:left="0" w:firstLine="0"/>
        <w:rPr>
          <w:lang w:val="lv-LV"/>
        </w:rPr>
      </w:pPr>
    </w:p>
    <w:p w14:paraId="1FF52C44" w14:textId="77777777" w:rsidR="00C77C80" w:rsidRPr="00550D35" w:rsidRDefault="00C77C80" w:rsidP="00C77C80">
      <w:pPr>
        <w:pStyle w:val="Heading2"/>
        <w:rPr>
          <w:lang w:val="lv-LV"/>
        </w:rPr>
      </w:pPr>
      <w:r w:rsidRPr="00550D35">
        <w:rPr>
          <w:lang w:val="lv-LV"/>
        </w:rPr>
        <w:t xml:space="preserve">Politika, pasākumi un darbības digitālā </w:t>
      </w:r>
      <w:proofErr w:type="spellStart"/>
      <w:r w:rsidRPr="00550D35">
        <w:rPr>
          <w:lang w:val="lv-LV"/>
        </w:rPr>
        <w:t>mērķrādītāja</w:t>
      </w:r>
      <w:proofErr w:type="spellEnd"/>
      <w:r w:rsidRPr="00550D35">
        <w:rPr>
          <w:lang w:val="lv-LV"/>
        </w:rPr>
        <w:t xml:space="preserve"> sasniegšanai</w:t>
      </w:r>
    </w:p>
    <w:p w14:paraId="1BAFE3EE" w14:textId="77777777" w:rsidR="00C77C80" w:rsidRPr="00550D35" w:rsidRDefault="00C77C80" w:rsidP="00CF6D94">
      <w:pPr>
        <w:rPr>
          <w:shd w:val="clear" w:color="auto" w:fill="FFFFFF"/>
          <w:lang w:val="lv-LV"/>
        </w:rPr>
      </w:pPr>
      <w:r w:rsidRPr="00550D35">
        <w:rPr>
          <w:lang w:val="lv-LV"/>
        </w:rPr>
        <w:t xml:space="preserve">IAP2027 </w:t>
      </w:r>
      <w:r w:rsidRPr="00550D35">
        <w:rPr>
          <w:lang w:val="lv-LV" w:eastAsia="lv-LV"/>
        </w:rPr>
        <w:t xml:space="preserve">paredz, ka viena no </w:t>
      </w:r>
      <w:r w:rsidRPr="00550D35">
        <w:rPr>
          <w:shd w:val="clear" w:color="auto" w:fill="FFFFFF"/>
          <w:lang w:val="lv-LV"/>
        </w:rPr>
        <w:t xml:space="preserve">nozīmīgākajām horizontālajām pārmaiņām, kas aptvers visas vai vairākas izglītības jomas, ir </w:t>
      </w:r>
      <w:proofErr w:type="spellStart"/>
      <w:r w:rsidRPr="00550D35">
        <w:rPr>
          <w:shd w:val="clear" w:color="auto" w:fill="FFFFFF"/>
          <w:lang w:val="lv-LV"/>
        </w:rPr>
        <w:t>digitalizācija</w:t>
      </w:r>
      <w:proofErr w:type="spellEnd"/>
      <w:r w:rsidRPr="00550D35">
        <w:rPr>
          <w:shd w:val="clear" w:color="auto" w:fill="FFFFFF"/>
          <w:lang w:val="lv-LV"/>
        </w:rPr>
        <w:t>, tai skaitā, digitālo prasmju kā caurviju kompetences prioritāra attīstība sabiedrībā. IAP2027 kā viena no prioritātēm ir digitālo prasmju apguve un pilnveide ((16-74 gadus veciem iedzīvotājiem) ‒ vismaz pamata līmeņa digitālās prasmes), IZM īsteno visaptverošus pasākumus, tai skaitā ES projektu ietvaros, lai attīstītu Latvijas iedzīvotāju digitālās prasmes.</w:t>
      </w:r>
    </w:p>
    <w:p w14:paraId="45C7CFEB" w14:textId="77777777" w:rsidR="00C77C80" w:rsidRPr="00550D35" w:rsidRDefault="00C77C80" w:rsidP="00CF6D94">
      <w:pPr>
        <w:rPr>
          <w:shd w:val="clear" w:color="auto" w:fill="FFFFFF"/>
          <w:lang w:val="lv-LV"/>
        </w:rPr>
      </w:pPr>
      <w:r w:rsidRPr="00550D35">
        <w:rPr>
          <w:rStyle w:val="normaltextrun"/>
          <w:color w:val="000000"/>
          <w:shd w:val="clear" w:color="auto" w:fill="FFFFFF"/>
          <w:lang w:val="lv-LV"/>
        </w:rPr>
        <w:t>Lai veicinātu digitālo prasmju attīstību un uzlabošanu pieaugušajiem, 2023. gadā ir izstrādāts normatīvais regulējums vienotas sistēmas izveidei digitālo prasmju novērtēšanai, mācību vajadzību apzināšanai, plānošanai un novērtēšanai, nosakot, ka  izglītības  programmas, kuras mērķis ir digitālo kompetenču apguve, saturs un sasniedzamie mācību rezultāti tiek strukturēti atbilstoši Eiropas Iedzīvotāju digitālo kompetenču ietvara (</w:t>
      </w:r>
      <w:proofErr w:type="spellStart"/>
      <w:r w:rsidRPr="00550D35">
        <w:rPr>
          <w:rStyle w:val="normaltextrun"/>
          <w:i/>
          <w:iCs/>
          <w:color w:val="000000"/>
          <w:shd w:val="clear" w:color="auto" w:fill="FFFFFF"/>
          <w:lang w:val="lv-LV"/>
        </w:rPr>
        <w:t>DigComp</w:t>
      </w:r>
      <w:proofErr w:type="spellEnd"/>
      <w:r w:rsidRPr="00550D35">
        <w:rPr>
          <w:rStyle w:val="normaltextrun"/>
          <w:color w:val="000000"/>
          <w:shd w:val="clear" w:color="auto" w:fill="FFFFFF"/>
          <w:lang w:val="lv-LV"/>
        </w:rPr>
        <w:t>) aprakstiem un kompetenču apguves līmeņiem arī neformālajās izglītības programmās.</w:t>
      </w:r>
    </w:p>
    <w:p w14:paraId="1D803587" w14:textId="7A2F7A40" w:rsidR="00C77C80" w:rsidRPr="00044635" w:rsidRDefault="00C77C80" w:rsidP="00CF6D94">
      <w:pPr>
        <w:rPr>
          <w:color w:val="000000"/>
          <w:lang w:val="lv-LV"/>
        </w:rPr>
      </w:pPr>
      <w:r w:rsidRPr="00550D35">
        <w:rPr>
          <w:color w:val="000000"/>
          <w:lang w:val="lv-LV"/>
        </w:rPr>
        <w:t xml:space="preserve">Vērienīgi pasākumi pamata prasmju uzlabošanai ir iekļauti ANM plānā, t.sk., Reformu un investīciju virzienā “Digitālās prasmes” (2.3.), kas ietver reformu Digitālās prasmes sabiedrības un pārvaldes digitālajai transformācijai (2.3.2.r.) un paredz investīcijas, lai nodrošinātu digitālās prasmes iedzīvotājiem, t.sk. jauniešiem (2.3.2.1.i. Digitālās prasmes iedzīvotājiem, t.sk. jauniešiem),  valsts un pašvaldību digitālās transformācijas prasmju un spēju attīstīšanai (2.3.2.2.i. Valsts un pašvaldību digitālās transformācijas prasmju un spēju attīstība). Savukārt, ANM plāna reforma ilgtspējīgas un </w:t>
      </w:r>
      <w:r w:rsidRPr="00550D35">
        <w:rPr>
          <w:color w:val="000000"/>
          <w:lang w:val="lv-LV"/>
        </w:rPr>
        <w:lastRenderedPageBreak/>
        <w:t>sociāli atbildīgas atbalsta sistēmas pieaugušo izglītībai attīstīšanai (2.3.1.r.) paredz investīcijas augsta līmeņa digitālo prasmju apguves nodrošināšanai (2.3.1.1.i. Augsta līmeņa digitālo prasmju apguves nodrošināšana)</w:t>
      </w:r>
      <w:r>
        <w:rPr>
          <w:color w:val="000000"/>
          <w:lang w:val="lv-LV"/>
        </w:rPr>
        <w:t xml:space="preserve">, </w:t>
      </w:r>
      <w:r w:rsidRPr="00550D35">
        <w:rPr>
          <w:color w:val="000000"/>
          <w:lang w:val="lv-LV"/>
        </w:rPr>
        <w:t>  individuālo mācību kontu pieejas attīstīšanai (2.3.1.4.i. Individuālo mācību kontu pieejas attīstība)</w:t>
      </w:r>
      <w:r>
        <w:rPr>
          <w:color w:val="000000"/>
          <w:lang w:val="lv-LV"/>
        </w:rPr>
        <w:t>, savukārt</w:t>
      </w:r>
      <w:r w:rsidR="00146FC6">
        <w:rPr>
          <w:color w:val="000000"/>
          <w:lang w:val="lv-LV"/>
        </w:rPr>
        <w:t xml:space="preserve">, </w:t>
      </w:r>
      <w:r w:rsidRPr="00550D35">
        <w:rPr>
          <w:lang w:val="lv-LV"/>
        </w:rPr>
        <w:t xml:space="preserve">ANM </w:t>
      </w:r>
      <w:r>
        <w:rPr>
          <w:lang w:val="lv-LV"/>
        </w:rPr>
        <w:t xml:space="preserve">plāna </w:t>
      </w:r>
      <w:r w:rsidRPr="00550D35">
        <w:rPr>
          <w:lang w:val="lv-LV"/>
        </w:rPr>
        <w:t xml:space="preserve">investīcijas </w:t>
      </w:r>
      <w:r w:rsidRPr="00E30818">
        <w:rPr>
          <w:shd w:val="clear" w:color="auto" w:fill="FFFFFF"/>
          <w:lang w:val="lv-LV"/>
        </w:rPr>
        <w:t xml:space="preserve">3.1.2.5.i. "Bezdarbnieku, darba meklētāju un bezdarba riskam pakļauto iedzīvotāju iesaiste darba tirgū” </w:t>
      </w:r>
      <w:r>
        <w:rPr>
          <w:shd w:val="clear" w:color="auto" w:fill="FFFFFF"/>
          <w:lang w:val="lv-LV"/>
        </w:rPr>
        <w:t>ietvaros tiek īstenots projekts “Prasmju pilnveide pieaugušajiem” ar mērķi v</w:t>
      </w:r>
      <w:r w:rsidRPr="00E30818">
        <w:rPr>
          <w:shd w:val="clear" w:color="auto" w:fill="FFFFFF"/>
          <w:lang w:val="lv-LV"/>
        </w:rPr>
        <w:t>eicināt bezdarbnieku, darba meklētāju un bezdarba riskam pakļauto personu konkurētspēju un iekļaušanos darba tirgū</w:t>
      </w:r>
      <w:r>
        <w:rPr>
          <w:shd w:val="clear" w:color="auto" w:fill="FFFFFF"/>
          <w:lang w:val="lv-LV"/>
        </w:rPr>
        <w:t>.</w:t>
      </w:r>
    </w:p>
    <w:p w14:paraId="5A9236A3" w14:textId="77777777" w:rsidR="00C77C80" w:rsidRDefault="00C77C80" w:rsidP="00CF6D94">
      <w:pPr>
        <w:rPr>
          <w:lang w:val="lv-LV"/>
        </w:rPr>
      </w:pPr>
      <w:r w:rsidRPr="00550D35">
        <w:rPr>
          <w:lang w:val="lv-LV"/>
        </w:rPr>
        <w:t xml:space="preserve">ANM </w:t>
      </w:r>
      <w:r>
        <w:rPr>
          <w:lang w:val="lv-LV"/>
        </w:rPr>
        <w:t xml:space="preserve">plāna </w:t>
      </w:r>
      <w:r w:rsidRPr="00550D35">
        <w:rPr>
          <w:lang w:val="lv-LV"/>
        </w:rPr>
        <w:t xml:space="preserve">investīcijas 2.3.2.1.i. “Digitālās prasmes iedzīvotājiem t.sk. jauniešiem” ietvaros VARAM sadarbībā ar pašvaldībām īstenos projektu “Sabiedrības digitālo prasmju attīstība”. Projekta mērķis ir veicināt digitālo pašapkalpošanās prasmju attīstību sabiedrībā, tādējādi veicinot personu veiksmīgāku iekļaušanos sabiedrībā, t.sk. nodarbinātībā, ikdienas sadzīves jautājumu mūsdienīgā risināšanā un kvalitatīvas dzīves uzlabošanā. Projekta laikā tiks izstrādāta mācību programma pasniedzējiem - </w:t>
      </w:r>
      <w:proofErr w:type="spellStart"/>
      <w:r w:rsidRPr="00550D35">
        <w:rPr>
          <w:lang w:val="lv-LV"/>
        </w:rPr>
        <w:t>mentoriem</w:t>
      </w:r>
      <w:proofErr w:type="spellEnd"/>
      <w:r w:rsidRPr="00550D35">
        <w:rPr>
          <w:lang w:val="lv-LV"/>
        </w:rPr>
        <w:t>, e-mācību kurss sabiedrības digitālo prasmju pilnveidei un monitoringa ietvars. Projekta mērķis līdz 2026.gada 30.aprīlim</w:t>
      </w:r>
      <w:r>
        <w:rPr>
          <w:lang w:val="lv-LV"/>
        </w:rPr>
        <w:t xml:space="preserve"> </w:t>
      </w:r>
      <w:r w:rsidRPr="00550D35">
        <w:rPr>
          <w:lang w:val="lv-LV"/>
        </w:rPr>
        <w:t>ir panākt, ka vismaz 40 tūkst. iedzīvotāji uzlabos savas digitālās pašapkalpošanās prasmes.</w:t>
      </w:r>
    </w:p>
    <w:p w14:paraId="3646E6B4" w14:textId="77777777" w:rsidR="00C77C80" w:rsidRPr="006B66D1" w:rsidRDefault="00C77C80" w:rsidP="00CF6D94">
      <w:pPr>
        <w:rPr>
          <w:lang w:val="lv-LV"/>
        </w:rPr>
      </w:pPr>
      <w:r w:rsidRPr="00832EBE">
        <w:rPr>
          <w:lang w:val="lv-LV"/>
        </w:rPr>
        <w:t xml:space="preserve">ANM plāna 2.3.2.1.i. investīcijas ietvaros Jaunatnes starptautisko programmu aģentūra sadarbībā ar pašvaldībām īstenos projektu "Digitālā darba ar jaunatni sistēmas attīstība pašvaldībās". Projekta mērķis ir izveidot mūsdienīgu, elastīgu, ilgtspējīgu, uz </w:t>
      </w:r>
      <w:proofErr w:type="spellStart"/>
      <w:r w:rsidRPr="00832EBE">
        <w:rPr>
          <w:lang w:val="lv-LV"/>
        </w:rPr>
        <w:t>mērķgrupas</w:t>
      </w:r>
      <w:proofErr w:type="spellEnd"/>
      <w:r w:rsidRPr="00832EBE">
        <w:rPr>
          <w:lang w:val="lv-LV"/>
        </w:rPr>
        <w:t xml:space="preserve"> problēmu risinājumiem vērstu digitālā darba ar jaunatni sistēmu pašvaldībās, to sasaistot ar citiem pašvaldības pakalpojumiem (t.sk. e-pakalpojumu attīstību) un mērķa grupas vajadzībām, lai nodrošinātu jauniešiem plašas iespējas attīstīt un pielietot savas digitālās prasmes.</w:t>
      </w:r>
    </w:p>
    <w:p w14:paraId="590D58E9" w14:textId="77777777" w:rsidR="00C77C80" w:rsidRPr="00550D35" w:rsidRDefault="00C77C80" w:rsidP="00CF6D94">
      <w:pPr>
        <w:rPr>
          <w:lang w:val="lv-LV"/>
        </w:rPr>
      </w:pPr>
      <w:r w:rsidRPr="00550D35">
        <w:rPr>
          <w:lang w:val="lv-LV"/>
        </w:rPr>
        <w:t xml:space="preserve">Ar DEP atbalstu ir uzsākts projekts “Nacionālais koordinācijas centrs (NCC-LV)”, ar mērķi apzināt nacionālo </w:t>
      </w:r>
      <w:proofErr w:type="spellStart"/>
      <w:r w:rsidRPr="00550D35">
        <w:rPr>
          <w:lang w:val="lv-LV"/>
        </w:rPr>
        <w:t>kiberdrošības</w:t>
      </w:r>
      <w:proofErr w:type="spellEnd"/>
      <w:r w:rsidRPr="00550D35">
        <w:rPr>
          <w:lang w:val="lv-LV"/>
        </w:rPr>
        <w:t xml:space="preserve"> </w:t>
      </w:r>
      <w:proofErr w:type="spellStart"/>
      <w:r w:rsidRPr="00550D35">
        <w:rPr>
          <w:lang w:val="lv-LV"/>
        </w:rPr>
        <w:t>komptenču</w:t>
      </w:r>
      <w:proofErr w:type="spellEnd"/>
      <w:r w:rsidRPr="00550D35">
        <w:rPr>
          <w:lang w:val="lv-LV"/>
        </w:rPr>
        <w:t xml:space="preserve"> kopienu, informēt par iespējām saņemt ES līdzfinansējumu ar </w:t>
      </w:r>
      <w:proofErr w:type="spellStart"/>
      <w:r w:rsidRPr="00550D35">
        <w:rPr>
          <w:lang w:val="lv-LV"/>
        </w:rPr>
        <w:t>kiberdrošību</w:t>
      </w:r>
      <w:proofErr w:type="spellEnd"/>
      <w:r w:rsidRPr="00550D35">
        <w:rPr>
          <w:lang w:val="lv-LV"/>
        </w:rPr>
        <w:t xml:space="preserve"> saistīto projektu īstenošanai, kā arī koordinēt un uzraudzīt tos nacionālās </w:t>
      </w:r>
      <w:proofErr w:type="spellStart"/>
      <w:r w:rsidRPr="00550D35">
        <w:rPr>
          <w:lang w:val="lv-LV"/>
        </w:rPr>
        <w:t>kiberdrošības</w:t>
      </w:r>
      <w:proofErr w:type="spellEnd"/>
      <w:r w:rsidRPr="00550D35">
        <w:rPr>
          <w:lang w:val="lv-LV"/>
        </w:rPr>
        <w:t xml:space="preserve"> </w:t>
      </w:r>
      <w:proofErr w:type="spellStart"/>
      <w:r w:rsidRPr="00550D35">
        <w:rPr>
          <w:lang w:val="lv-LV"/>
        </w:rPr>
        <w:t>komptenču</w:t>
      </w:r>
      <w:proofErr w:type="spellEnd"/>
      <w:r w:rsidRPr="00550D35">
        <w:rPr>
          <w:lang w:val="lv-LV"/>
        </w:rPr>
        <w:t xml:space="preserve"> kopienas dalībnieku projektus, kas tiek līdzfinansēti ar Eiropas </w:t>
      </w:r>
      <w:proofErr w:type="spellStart"/>
      <w:r w:rsidRPr="00550D35">
        <w:rPr>
          <w:lang w:val="lv-LV"/>
        </w:rPr>
        <w:t>Kiberdrošības</w:t>
      </w:r>
      <w:proofErr w:type="spellEnd"/>
      <w:r w:rsidRPr="00550D35">
        <w:rPr>
          <w:lang w:val="lv-LV"/>
        </w:rPr>
        <w:t xml:space="preserve"> kompetenču centra (</w:t>
      </w:r>
      <w:r w:rsidRPr="00550D35">
        <w:rPr>
          <w:i/>
          <w:iCs/>
          <w:lang w:val="lv-LV"/>
        </w:rPr>
        <w:t>ECCC</w:t>
      </w:r>
      <w:r w:rsidRPr="00550D35">
        <w:rPr>
          <w:lang w:val="lv-LV"/>
        </w:rPr>
        <w:t xml:space="preserve">) pārvaldīto finanšu instrumentu atbalstu. NCC-LV kopumā atbalstīs </w:t>
      </w:r>
      <w:proofErr w:type="spellStart"/>
      <w:r w:rsidRPr="00550D35">
        <w:rPr>
          <w:lang w:val="lv-LV"/>
        </w:rPr>
        <w:t>kiberdrošības</w:t>
      </w:r>
      <w:proofErr w:type="spellEnd"/>
      <w:r w:rsidRPr="00550D35">
        <w:rPr>
          <w:lang w:val="lv-LV"/>
        </w:rPr>
        <w:t xml:space="preserve"> kompetenču attīstību dažādos virzienos, tostarp arī digitālo prasmju attīstībā sabiedrībā kopumā. Pamata digitālo prasmju attīstīšanai paredzētas sabiedrības informēšanas kampaņas, izglītības darbinieku apmācīšana un Latvijas jauniešu atbalstīšana, piedaloties </w:t>
      </w:r>
      <w:proofErr w:type="spellStart"/>
      <w:r w:rsidRPr="00550D35">
        <w:rPr>
          <w:lang w:val="lv-LV"/>
        </w:rPr>
        <w:t>kiberdrošības</w:t>
      </w:r>
      <w:proofErr w:type="spellEnd"/>
      <w:r w:rsidRPr="00550D35">
        <w:rPr>
          <w:lang w:val="lv-LV"/>
        </w:rPr>
        <w:t xml:space="preserve"> neformālās izglītības iniciatīvās. Šo darbību aktīvā fāze paredzēta 2024.-2025. gadā. Paredzams, ka arī 2025.-2027. gadā DEP atbalstīs Latvijas NKC koordinētus </w:t>
      </w:r>
      <w:proofErr w:type="spellStart"/>
      <w:r w:rsidRPr="00550D35">
        <w:rPr>
          <w:lang w:val="lv-LV"/>
        </w:rPr>
        <w:t>kiberdrošības</w:t>
      </w:r>
      <w:proofErr w:type="spellEnd"/>
      <w:r w:rsidRPr="00550D35">
        <w:rPr>
          <w:lang w:val="lv-LV"/>
        </w:rPr>
        <w:t xml:space="preserve"> jomas projektus, taču konkrētas aktivitātes un finansējuma apmērs tiks noteikts turpmākajos DEP konkursu uzsaukumos.  </w:t>
      </w:r>
    </w:p>
    <w:p w14:paraId="7018D475" w14:textId="77777777" w:rsidR="00C77C80" w:rsidRPr="00550D35" w:rsidRDefault="00C77C80" w:rsidP="00C77C80">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039B8957" w14:textId="77777777" w:rsidR="00C77C80" w:rsidRPr="00550D35" w:rsidRDefault="00C77C80" w:rsidP="00C77C80">
      <w:pPr>
        <w:ind w:left="1080" w:firstLine="0"/>
        <w:contextualSpacing/>
        <w:rPr>
          <w:rFonts w:eastAsia="Calibri"/>
          <w:b/>
          <w:bCs/>
          <w:lang w:val="lv-LV"/>
        </w:rPr>
      </w:pPr>
      <w:r w:rsidRPr="00550D35">
        <w:rPr>
          <w:rFonts w:eastAsia="Calibri"/>
          <w:b/>
          <w:bCs/>
          <w:lang w:val="lv-LV"/>
        </w:rPr>
        <w:t>Kopējais laika ietvars:</w:t>
      </w:r>
    </w:p>
    <w:tbl>
      <w:tblPr>
        <w:tblStyle w:val="TableGrid"/>
        <w:tblW w:w="4952" w:type="pct"/>
        <w:tblLook w:val="04A0" w:firstRow="1" w:lastRow="0" w:firstColumn="1" w:lastColumn="0" w:noHBand="0" w:noVBand="1"/>
      </w:tblPr>
      <w:tblGrid>
        <w:gridCol w:w="2322"/>
        <w:gridCol w:w="767"/>
        <w:gridCol w:w="772"/>
        <w:gridCol w:w="716"/>
        <w:gridCol w:w="716"/>
        <w:gridCol w:w="764"/>
        <w:gridCol w:w="718"/>
        <w:gridCol w:w="813"/>
        <w:gridCol w:w="936"/>
      </w:tblGrid>
      <w:tr w:rsidR="00C77C80" w:rsidRPr="00550D35" w14:paraId="270E1E62" w14:textId="77777777" w:rsidTr="00BA62A0">
        <w:tc>
          <w:tcPr>
            <w:tcW w:w="1362" w:type="pct"/>
            <w:shd w:val="clear" w:color="auto" w:fill="auto"/>
          </w:tcPr>
          <w:p w14:paraId="00F07366" w14:textId="77777777" w:rsidR="00C77C80" w:rsidRPr="00550D35" w:rsidRDefault="00C77C80" w:rsidP="00BA62A0">
            <w:pPr>
              <w:ind w:firstLine="0"/>
              <w:rPr>
                <w:sz w:val="20"/>
                <w:lang w:val="lv-LV"/>
              </w:rPr>
            </w:pPr>
          </w:p>
        </w:tc>
        <w:tc>
          <w:tcPr>
            <w:tcW w:w="450" w:type="pct"/>
          </w:tcPr>
          <w:p w14:paraId="2387CAA7" w14:textId="77777777" w:rsidR="00C77C80" w:rsidRPr="00550D35" w:rsidRDefault="00C77C80" w:rsidP="00BA62A0">
            <w:pPr>
              <w:ind w:firstLine="0"/>
              <w:rPr>
                <w:sz w:val="20"/>
                <w:lang w:val="lv-LV"/>
              </w:rPr>
            </w:pPr>
            <w:r w:rsidRPr="00550D35">
              <w:rPr>
                <w:sz w:val="20"/>
                <w:lang w:val="lv-LV"/>
              </w:rPr>
              <w:t>2023</w:t>
            </w:r>
          </w:p>
        </w:tc>
        <w:tc>
          <w:tcPr>
            <w:tcW w:w="453" w:type="pct"/>
          </w:tcPr>
          <w:p w14:paraId="2B761DCB" w14:textId="77777777" w:rsidR="00C77C80" w:rsidRPr="00550D35" w:rsidRDefault="00C77C80" w:rsidP="00BA62A0">
            <w:pPr>
              <w:ind w:firstLine="0"/>
              <w:rPr>
                <w:sz w:val="20"/>
                <w:lang w:val="lv-LV"/>
              </w:rPr>
            </w:pPr>
            <w:r w:rsidRPr="00550D35">
              <w:rPr>
                <w:sz w:val="20"/>
                <w:lang w:val="lv-LV"/>
              </w:rPr>
              <w:t>2024</w:t>
            </w:r>
          </w:p>
        </w:tc>
        <w:tc>
          <w:tcPr>
            <w:tcW w:w="420" w:type="pct"/>
          </w:tcPr>
          <w:p w14:paraId="6D61D1C4" w14:textId="77777777" w:rsidR="00C77C80" w:rsidRPr="00550D35" w:rsidRDefault="00C77C80" w:rsidP="00BA62A0">
            <w:pPr>
              <w:ind w:firstLine="0"/>
              <w:rPr>
                <w:sz w:val="20"/>
                <w:lang w:val="lv-LV"/>
              </w:rPr>
            </w:pPr>
            <w:r w:rsidRPr="00550D35">
              <w:rPr>
                <w:sz w:val="20"/>
                <w:lang w:val="lv-LV"/>
              </w:rPr>
              <w:t>2025</w:t>
            </w:r>
          </w:p>
        </w:tc>
        <w:tc>
          <w:tcPr>
            <w:tcW w:w="420" w:type="pct"/>
          </w:tcPr>
          <w:p w14:paraId="5CB94CAB" w14:textId="77777777" w:rsidR="00C77C80" w:rsidRPr="00550D35" w:rsidRDefault="00C77C80" w:rsidP="00BA62A0">
            <w:pPr>
              <w:ind w:firstLine="0"/>
              <w:rPr>
                <w:sz w:val="20"/>
                <w:lang w:val="lv-LV"/>
              </w:rPr>
            </w:pPr>
            <w:r w:rsidRPr="00550D35">
              <w:rPr>
                <w:sz w:val="20"/>
                <w:lang w:val="lv-LV"/>
              </w:rPr>
              <w:t>2026</w:t>
            </w:r>
          </w:p>
        </w:tc>
        <w:tc>
          <w:tcPr>
            <w:tcW w:w="448" w:type="pct"/>
          </w:tcPr>
          <w:p w14:paraId="4BBF131D" w14:textId="77777777" w:rsidR="00C77C80" w:rsidRPr="00550D35" w:rsidRDefault="00C77C80" w:rsidP="00BA62A0">
            <w:pPr>
              <w:ind w:firstLine="0"/>
              <w:rPr>
                <w:sz w:val="20"/>
                <w:lang w:val="lv-LV"/>
              </w:rPr>
            </w:pPr>
            <w:r w:rsidRPr="00550D35">
              <w:rPr>
                <w:sz w:val="20"/>
                <w:lang w:val="lv-LV"/>
              </w:rPr>
              <w:t>2027</w:t>
            </w:r>
          </w:p>
        </w:tc>
        <w:tc>
          <w:tcPr>
            <w:tcW w:w="421" w:type="pct"/>
          </w:tcPr>
          <w:p w14:paraId="7C4D14F3" w14:textId="77777777" w:rsidR="00C77C80" w:rsidRPr="00550D35" w:rsidRDefault="00C77C80" w:rsidP="00BA62A0">
            <w:pPr>
              <w:ind w:firstLine="0"/>
              <w:rPr>
                <w:sz w:val="20"/>
                <w:lang w:val="lv-LV"/>
              </w:rPr>
            </w:pPr>
            <w:r w:rsidRPr="00550D35">
              <w:rPr>
                <w:sz w:val="20"/>
                <w:lang w:val="lv-LV"/>
              </w:rPr>
              <w:t>2028</w:t>
            </w:r>
          </w:p>
        </w:tc>
        <w:tc>
          <w:tcPr>
            <w:tcW w:w="477" w:type="pct"/>
          </w:tcPr>
          <w:p w14:paraId="3429B12E" w14:textId="77777777" w:rsidR="00C77C80" w:rsidRPr="00550D35" w:rsidRDefault="00C77C80" w:rsidP="00BA62A0">
            <w:pPr>
              <w:ind w:firstLine="0"/>
              <w:rPr>
                <w:sz w:val="20"/>
                <w:lang w:val="lv-LV"/>
              </w:rPr>
            </w:pPr>
            <w:r w:rsidRPr="00550D35">
              <w:rPr>
                <w:sz w:val="20"/>
                <w:lang w:val="lv-LV"/>
              </w:rPr>
              <w:t>2029</w:t>
            </w:r>
          </w:p>
        </w:tc>
        <w:tc>
          <w:tcPr>
            <w:tcW w:w="549" w:type="pct"/>
          </w:tcPr>
          <w:p w14:paraId="3E7EF1C6" w14:textId="77777777" w:rsidR="00C77C80" w:rsidRPr="00550D35" w:rsidRDefault="00C77C80" w:rsidP="00BA62A0">
            <w:pPr>
              <w:ind w:firstLine="0"/>
              <w:rPr>
                <w:sz w:val="20"/>
                <w:lang w:val="lv-LV"/>
              </w:rPr>
            </w:pPr>
            <w:r w:rsidRPr="00550D35">
              <w:rPr>
                <w:sz w:val="20"/>
                <w:lang w:val="lv-LV"/>
              </w:rPr>
              <w:t>2030</w:t>
            </w:r>
          </w:p>
        </w:tc>
      </w:tr>
      <w:tr w:rsidR="00C77C80" w:rsidRPr="00550D35" w14:paraId="0259D79B" w14:textId="77777777" w:rsidTr="00BA62A0">
        <w:tc>
          <w:tcPr>
            <w:tcW w:w="5000" w:type="pct"/>
            <w:gridSpan w:val="9"/>
            <w:shd w:val="clear" w:color="auto" w:fill="BFBFBF" w:themeFill="background1" w:themeFillShade="BF"/>
          </w:tcPr>
          <w:p w14:paraId="63B06D31" w14:textId="77777777" w:rsidR="00C77C80" w:rsidRPr="00550D35" w:rsidRDefault="00C77C80" w:rsidP="00BA62A0">
            <w:pPr>
              <w:ind w:firstLine="0"/>
              <w:rPr>
                <w:sz w:val="20"/>
                <w:lang w:val="lv-LV"/>
              </w:rPr>
            </w:pPr>
            <w:r w:rsidRPr="00550D35">
              <w:rPr>
                <w:b/>
                <w:bCs/>
                <w:i/>
                <w:iCs/>
                <w:sz w:val="20"/>
                <w:u w:val="single"/>
                <w:shd w:val="clear" w:color="auto" w:fill="BFBFBF"/>
                <w:lang w:val="lv-LV"/>
              </w:rPr>
              <w:t xml:space="preserve">Pasākumi, kas sniedz ieguldījumu </w:t>
            </w:r>
            <w:proofErr w:type="spellStart"/>
            <w:r w:rsidRPr="00550D35">
              <w:rPr>
                <w:b/>
                <w:bCs/>
                <w:i/>
                <w:iCs/>
                <w:sz w:val="20"/>
                <w:u w:val="single"/>
                <w:lang w:val="lv-LV"/>
              </w:rPr>
              <w:t>mērķrādītāja</w:t>
            </w:r>
            <w:proofErr w:type="spellEnd"/>
            <w:r w:rsidRPr="00550D35">
              <w:rPr>
                <w:b/>
                <w:bCs/>
                <w:i/>
                <w:iCs/>
                <w:sz w:val="20"/>
                <w:u w:val="single"/>
                <w:lang w:val="lv-LV"/>
              </w:rPr>
              <w:t xml:space="preserve"> sasniegšanā</w:t>
            </w:r>
          </w:p>
        </w:tc>
      </w:tr>
      <w:tr w:rsidR="00C77C80" w:rsidRPr="00CB315E" w14:paraId="07A74B20" w14:textId="77777777" w:rsidTr="00BA62A0">
        <w:tc>
          <w:tcPr>
            <w:tcW w:w="1362" w:type="pct"/>
          </w:tcPr>
          <w:p w14:paraId="4BB110E0" w14:textId="77777777" w:rsidR="00C77C80" w:rsidRPr="00D17171" w:rsidRDefault="00C77C80" w:rsidP="00BA62A0">
            <w:pPr>
              <w:spacing w:before="0" w:after="0"/>
              <w:ind w:firstLine="0"/>
              <w:rPr>
                <w:sz w:val="20"/>
                <w:lang w:val="lv-LV"/>
              </w:rPr>
            </w:pPr>
            <w:r w:rsidRPr="00D17171">
              <w:rPr>
                <w:sz w:val="20"/>
                <w:lang w:val="lv-LV"/>
              </w:rPr>
              <w:t>Pasākums Nr.1 –</w:t>
            </w:r>
            <w:r w:rsidRPr="00D17171">
              <w:rPr>
                <w:sz w:val="20"/>
                <w:lang w:val="lv-LV"/>
              </w:rPr>
              <w:br/>
            </w:r>
            <w:r w:rsidRPr="00D17171">
              <w:rPr>
                <w:b/>
                <w:bCs/>
                <w:sz w:val="20"/>
                <w:lang w:val="lv-LV"/>
              </w:rPr>
              <w:t>projekts "Nodarbināto personu profesionālās kompetences pilnveide"</w:t>
            </w:r>
          </w:p>
          <w:p w14:paraId="62E14ABA" w14:textId="08E75FD8" w:rsidR="00C77C80" w:rsidRPr="00CB315E" w:rsidRDefault="00C77C80" w:rsidP="00BA62A0">
            <w:pPr>
              <w:spacing w:before="0" w:after="0"/>
              <w:ind w:firstLine="0"/>
              <w:rPr>
                <w:sz w:val="20"/>
                <w:lang w:val="lv-LV"/>
              </w:rPr>
            </w:pPr>
            <w:r w:rsidRPr="00D17171">
              <w:rPr>
                <w:sz w:val="20"/>
                <w:lang w:val="lv-LV"/>
              </w:rPr>
              <w:t>Finansējuma avots: ESF</w:t>
            </w:r>
            <w:r w:rsidR="00807A36">
              <w:rPr>
                <w:sz w:val="20"/>
                <w:lang w:val="lv-LV"/>
              </w:rPr>
              <w:t> </w:t>
            </w:r>
            <w:r w:rsidRPr="00D17171">
              <w:rPr>
                <w:sz w:val="20"/>
                <w:lang w:val="lv-LV"/>
              </w:rPr>
              <w:t>8.4.1. pasākums</w:t>
            </w:r>
            <w:r w:rsidR="00915AC2" w:rsidRPr="00D17171">
              <w:rPr>
                <w:rStyle w:val="FootnoteReference"/>
                <w:sz w:val="20"/>
                <w:lang w:val="lv-LV"/>
              </w:rPr>
              <w:footnoteReference w:id="17"/>
            </w:r>
          </w:p>
        </w:tc>
        <w:tc>
          <w:tcPr>
            <w:tcW w:w="450" w:type="pct"/>
            <w:shd w:val="clear" w:color="auto" w:fill="70AD47" w:themeFill="accent6"/>
          </w:tcPr>
          <w:p w14:paraId="77FC9AE2" w14:textId="77777777" w:rsidR="00C77C80" w:rsidRPr="00550D35" w:rsidRDefault="00C77C80" w:rsidP="00BA62A0">
            <w:pPr>
              <w:ind w:firstLine="0"/>
              <w:rPr>
                <w:sz w:val="20"/>
                <w:lang w:val="lv-LV"/>
              </w:rPr>
            </w:pPr>
          </w:p>
        </w:tc>
        <w:tc>
          <w:tcPr>
            <w:tcW w:w="453" w:type="pct"/>
            <w:shd w:val="clear" w:color="auto" w:fill="auto"/>
          </w:tcPr>
          <w:p w14:paraId="30CEBDB9" w14:textId="77777777" w:rsidR="00C77C80" w:rsidRPr="00550D35" w:rsidRDefault="00C77C80" w:rsidP="00BA62A0">
            <w:pPr>
              <w:ind w:firstLine="0"/>
              <w:rPr>
                <w:sz w:val="20"/>
                <w:lang w:val="lv-LV"/>
              </w:rPr>
            </w:pPr>
          </w:p>
        </w:tc>
        <w:tc>
          <w:tcPr>
            <w:tcW w:w="420" w:type="pct"/>
            <w:shd w:val="clear" w:color="auto" w:fill="auto"/>
          </w:tcPr>
          <w:p w14:paraId="06513229" w14:textId="77777777" w:rsidR="00C77C80" w:rsidRPr="00550D35" w:rsidRDefault="00C77C80" w:rsidP="00BA62A0">
            <w:pPr>
              <w:ind w:firstLine="0"/>
              <w:rPr>
                <w:sz w:val="20"/>
                <w:lang w:val="lv-LV"/>
              </w:rPr>
            </w:pPr>
          </w:p>
        </w:tc>
        <w:tc>
          <w:tcPr>
            <w:tcW w:w="420" w:type="pct"/>
            <w:shd w:val="clear" w:color="auto" w:fill="auto"/>
          </w:tcPr>
          <w:p w14:paraId="73FDFB19" w14:textId="77777777" w:rsidR="00C77C80" w:rsidRPr="00550D35" w:rsidRDefault="00C77C80" w:rsidP="00BA62A0">
            <w:pPr>
              <w:ind w:firstLine="0"/>
              <w:rPr>
                <w:sz w:val="20"/>
                <w:lang w:val="lv-LV"/>
              </w:rPr>
            </w:pPr>
          </w:p>
        </w:tc>
        <w:tc>
          <w:tcPr>
            <w:tcW w:w="448" w:type="pct"/>
            <w:shd w:val="clear" w:color="auto" w:fill="auto"/>
          </w:tcPr>
          <w:p w14:paraId="7196F4BA" w14:textId="77777777" w:rsidR="00C77C80" w:rsidRPr="00550D35" w:rsidRDefault="00C77C80" w:rsidP="00BA62A0">
            <w:pPr>
              <w:ind w:firstLine="0"/>
              <w:rPr>
                <w:sz w:val="20"/>
                <w:lang w:val="lv-LV"/>
              </w:rPr>
            </w:pPr>
          </w:p>
        </w:tc>
        <w:tc>
          <w:tcPr>
            <w:tcW w:w="421" w:type="pct"/>
          </w:tcPr>
          <w:p w14:paraId="47376D25" w14:textId="77777777" w:rsidR="00C77C80" w:rsidRPr="00550D35" w:rsidRDefault="00C77C80" w:rsidP="00BA62A0">
            <w:pPr>
              <w:ind w:firstLine="0"/>
              <w:rPr>
                <w:sz w:val="20"/>
                <w:lang w:val="lv-LV"/>
              </w:rPr>
            </w:pPr>
          </w:p>
        </w:tc>
        <w:tc>
          <w:tcPr>
            <w:tcW w:w="477" w:type="pct"/>
          </w:tcPr>
          <w:p w14:paraId="3462FBBC" w14:textId="77777777" w:rsidR="00C77C80" w:rsidRPr="00550D35" w:rsidRDefault="00C77C80" w:rsidP="00BA62A0">
            <w:pPr>
              <w:ind w:firstLine="0"/>
              <w:rPr>
                <w:sz w:val="20"/>
                <w:lang w:val="lv-LV"/>
              </w:rPr>
            </w:pPr>
          </w:p>
        </w:tc>
        <w:tc>
          <w:tcPr>
            <w:tcW w:w="549" w:type="pct"/>
          </w:tcPr>
          <w:p w14:paraId="54602639" w14:textId="77777777" w:rsidR="00C77C80" w:rsidRPr="00550D35" w:rsidRDefault="00C77C80" w:rsidP="00BA62A0">
            <w:pPr>
              <w:ind w:firstLine="0"/>
              <w:rPr>
                <w:sz w:val="20"/>
                <w:lang w:val="lv-LV"/>
              </w:rPr>
            </w:pPr>
          </w:p>
        </w:tc>
      </w:tr>
      <w:tr w:rsidR="00C77C80" w:rsidRPr="003B2E9A" w14:paraId="670711A3" w14:textId="77777777" w:rsidTr="00BA62A0">
        <w:tc>
          <w:tcPr>
            <w:tcW w:w="1362" w:type="pct"/>
          </w:tcPr>
          <w:p w14:paraId="37F9CC1D" w14:textId="77777777" w:rsidR="00C77C80" w:rsidRDefault="00C77C80" w:rsidP="00BA62A0">
            <w:pPr>
              <w:spacing w:before="0" w:after="0"/>
              <w:ind w:firstLine="0"/>
              <w:rPr>
                <w:sz w:val="20"/>
                <w:lang w:val="lv-LV"/>
              </w:rPr>
            </w:pPr>
            <w:r w:rsidRPr="00550D35">
              <w:rPr>
                <w:sz w:val="20"/>
                <w:lang w:val="lv-LV"/>
              </w:rPr>
              <w:lastRenderedPageBreak/>
              <w:t xml:space="preserve">Pasākums Nr.2 – </w:t>
            </w:r>
            <w:r w:rsidRPr="00DC6B9C">
              <w:rPr>
                <w:b/>
                <w:bCs/>
                <w:sz w:val="20"/>
                <w:lang w:val="lv-LV"/>
              </w:rPr>
              <w:t xml:space="preserve">“Atbalsts pieaugušo individuālajās vajadzībās balstītai pieaugušo </w:t>
            </w:r>
            <w:r w:rsidRPr="00147942">
              <w:rPr>
                <w:b/>
                <w:bCs/>
                <w:sz w:val="20"/>
                <w:lang w:val="lv-LV"/>
              </w:rPr>
              <w:t>izglītībai”</w:t>
            </w:r>
          </w:p>
          <w:p w14:paraId="051844F0" w14:textId="0C3E0A7E" w:rsidR="00E22276" w:rsidRPr="00E22276" w:rsidRDefault="00C77C80" w:rsidP="002732CE">
            <w:pPr>
              <w:spacing w:before="0" w:after="0"/>
              <w:ind w:firstLine="0"/>
              <w:rPr>
                <w:sz w:val="20"/>
                <w:lang w:val="lv-LV"/>
              </w:rPr>
            </w:pPr>
            <w:r w:rsidRPr="00EB2FC8">
              <w:rPr>
                <w:sz w:val="20"/>
                <w:lang w:val="lv-LV"/>
              </w:rPr>
              <w:t xml:space="preserve">Finansējuma avots: </w:t>
            </w:r>
            <w:r w:rsidR="002732CE" w:rsidRPr="002732CE">
              <w:rPr>
                <w:sz w:val="20"/>
                <w:lang w:val="lv-LV"/>
              </w:rPr>
              <w:t xml:space="preserve">ES kohēzijas politikas programmas 2021.–2027. gadam </w:t>
            </w:r>
            <w:r w:rsidR="00E22276" w:rsidRPr="002732CE">
              <w:rPr>
                <w:sz w:val="20"/>
                <w:lang w:val="lv-LV"/>
              </w:rPr>
              <w:t>4.2.4.2.</w:t>
            </w:r>
            <w:r w:rsidR="00807A36">
              <w:rPr>
                <w:sz w:val="20"/>
                <w:lang w:val="lv-LV"/>
              </w:rPr>
              <w:t> </w:t>
            </w:r>
            <w:r w:rsidR="00E22276" w:rsidRPr="002732CE">
              <w:rPr>
                <w:sz w:val="20"/>
                <w:lang w:val="lv-LV"/>
              </w:rPr>
              <w:t>pasākums</w:t>
            </w:r>
            <w:r w:rsidR="002732CE">
              <w:rPr>
                <w:rStyle w:val="FootnoteReference"/>
                <w:sz w:val="20"/>
                <w:lang w:val="lv-LV"/>
              </w:rPr>
              <w:footnoteReference w:id="18"/>
            </w:r>
          </w:p>
        </w:tc>
        <w:tc>
          <w:tcPr>
            <w:tcW w:w="450" w:type="pct"/>
          </w:tcPr>
          <w:p w14:paraId="0F195AD8" w14:textId="77777777" w:rsidR="00C77C80" w:rsidRPr="00550D35" w:rsidRDefault="00C77C80" w:rsidP="00BA62A0">
            <w:pPr>
              <w:rPr>
                <w:sz w:val="20"/>
                <w:lang w:val="lv-LV"/>
              </w:rPr>
            </w:pPr>
          </w:p>
        </w:tc>
        <w:tc>
          <w:tcPr>
            <w:tcW w:w="453" w:type="pct"/>
            <w:shd w:val="clear" w:color="auto" w:fill="70AD47" w:themeFill="accent6"/>
          </w:tcPr>
          <w:p w14:paraId="5ABED806" w14:textId="77777777" w:rsidR="00C77C80" w:rsidRPr="00550D35" w:rsidRDefault="00C77C80" w:rsidP="00BA62A0">
            <w:pPr>
              <w:rPr>
                <w:sz w:val="20"/>
                <w:lang w:val="lv-LV"/>
              </w:rPr>
            </w:pPr>
          </w:p>
        </w:tc>
        <w:tc>
          <w:tcPr>
            <w:tcW w:w="420" w:type="pct"/>
            <w:shd w:val="clear" w:color="auto" w:fill="70AD47" w:themeFill="accent6"/>
          </w:tcPr>
          <w:p w14:paraId="667249ED" w14:textId="77777777" w:rsidR="00C77C80" w:rsidRPr="00550D35" w:rsidRDefault="00C77C80" w:rsidP="00BA62A0">
            <w:pPr>
              <w:rPr>
                <w:sz w:val="20"/>
                <w:lang w:val="lv-LV"/>
              </w:rPr>
            </w:pPr>
          </w:p>
        </w:tc>
        <w:tc>
          <w:tcPr>
            <w:tcW w:w="420" w:type="pct"/>
            <w:shd w:val="clear" w:color="auto" w:fill="70AD47" w:themeFill="accent6"/>
          </w:tcPr>
          <w:p w14:paraId="498AEA94" w14:textId="77777777" w:rsidR="00C77C80" w:rsidRPr="00550D35" w:rsidRDefault="00C77C80" w:rsidP="00BA62A0">
            <w:pPr>
              <w:rPr>
                <w:sz w:val="20"/>
                <w:lang w:val="lv-LV"/>
              </w:rPr>
            </w:pPr>
          </w:p>
        </w:tc>
        <w:tc>
          <w:tcPr>
            <w:tcW w:w="448" w:type="pct"/>
            <w:shd w:val="clear" w:color="auto" w:fill="70AD47" w:themeFill="accent6"/>
          </w:tcPr>
          <w:p w14:paraId="715615AA" w14:textId="77777777" w:rsidR="00C77C80" w:rsidRPr="00550D35" w:rsidRDefault="00C77C80" w:rsidP="00BA62A0">
            <w:pPr>
              <w:rPr>
                <w:sz w:val="20"/>
                <w:lang w:val="lv-LV"/>
              </w:rPr>
            </w:pPr>
          </w:p>
        </w:tc>
        <w:tc>
          <w:tcPr>
            <w:tcW w:w="421" w:type="pct"/>
            <w:shd w:val="clear" w:color="auto" w:fill="70AD47" w:themeFill="accent6"/>
          </w:tcPr>
          <w:p w14:paraId="0E8A1C2A" w14:textId="77777777" w:rsidR="00C77C80" w:rsidRPr="00550D35" w:rsidRDefault="00C77C80" w:rsidP="00BA62A0">
            <w:pPr>
              <w:rPr>
                <w:sz w:val="20"/>
                <w:lang w:val="lv-LV"/>
              </w:rPr>
            </w:pPr>
          </w:p>
        </w:tc>
        <w:tc>
          <w:tcPr>
            <w:tcW w:w="477" w:type="pct"/>
            <w:shd w:val="clear" w:color="auto" w:fill="70AD47" w:themeFill="accent6"/>
          </w:tcPr>
          <w:p w14:paraId="63671F0B" w14:textId="77777777" w:rsidR="00C77C80" w:rsidRPr="00550D35" w:rsidRDefault="00C77C80" w:rsidP="00BA62A0">
            <w:pPr>
              <w:rPr>
                <w:sz w:val="20"/>
                <w:lang w:val="lv-LV"/>
              </w:rPr>
            </w:pPr>
          </w:p>
        </w:tc>
        <w:tc>
          <w:tcPr>
            <w:tcW w:w="549" w:type="pct"/>
          </w:tcPr>
          <w:p w14:paraId="061ED426" w14:textId="77777777" w:rsidR="00C77C80" w:rsidRPr="00550D35" w:rsidRDefault="00C77C80" w:rsidP="00BA62A0">
            <w:pPr>
              <w:rPr>
                <w:sz w:val="20"/>
                <w:lang w:val="lv-LV"/>
              </w:rPr>
            </w:pPr>
          </w:p>
          <w:p w14:paraId="67BD5F8A" w14:textId="77777777" w:rsidR="00C77C80" w:rsidRPr="00550D35" w:rsidRDefault="00C77C80" w:rsidP="00BA62A0">
            <w:pPr>
              <w:rPr>
                <w:sz w:val="20"/>
                <w:lang w:val="lv-LV"/>
              </w:rPr>
            </w:pPr>
          </w:p>
        </w:tc>
      </w:tr>
      <w:tr w:rsidR="00C77C80" w:rsidRPr="008A1BF8" w14:paraId="18C9D994" w14:textId="77777777" w:rsidTr="00BA62A0">
        <w:tc>
          <w:tcPr>
            <w:tcW w:w="1362" w:type="pct"/>
          </w:tcPr>
          <w:p w14:paraId="153C989F" w14:textId="77777777" w:rsidR="00C77C80" w:rsidRDefault="00C77C80" w:rsidP="00BA62A0">
            <w:pPr>
              <w:spacing w:before="0" w:after="0"/>
              <w:ind w:firstLine="0"/>
              <w:rPr>
                <w:sz w:val="20"/>
                <w:lang w:val="lv-LV"/>
              </w:rPr>
            </w:pPr>
            <w:r w:rsidRPr="00550D35">
              <w:rPr>
                <w:sz w:val="20"/>
                <w:lang w:val="lv-LV"/>
              </w:rPr>
              <w:t>Pasākums Nr.3 –</w:t>
            </w:r>
            <w:r w:rsidRPr="00550D35">
              <w:rPr>
                <w:sz w:val="20"/>
                <w:lang w:val="lv-LV"/>
              </w:rPr>
              <w:br/>
            </w:r>
            <w:r w:rsidRPr="00DC6B9C">
              <w:rPr>
                <w:b/>
                <w:bCs/>
                <w:sz w:val="20"/>
                <w:lang w:val="lv-LV"/>
              </w:rPr>
              <w:t>“Individuālo mācību kontu pieejas attīstība”</w:t>
            </w:r>
          </w:p>
          <w:p w14:paraId="50B7CFA5" w14:textId="77777777" w:rsidR="00C77C80" w:rsidRPr="00550D35" w:rsidRDefault="00C77C80" w:rsidP="00BA62A0">
            <w:pPr>
              <w:spacing w:before="0" w:after="0"/>
              <w:ind w:firstLine="0"/>
              <w:rPr>
                <w:sz w:val="20"/>
                <w:lang w:val="lv-LV"/>
              </w:rPr>
            </w:pPr>
            <w:r w:rsidRPr="00EB2FC8">
              <w:rPr>
                <w:sz w:val="20"/>
                <w:lang w:val="lv-LV"/>
              </w:rPr>
              <w:t xml:space="preserve">Finansējuma avots: </w:t>
            </w:r>
            <w:r w:rsidRPr="00550D35">
              <w:rPr>
                <w:sz w:val="20"/>
                <w:lang w:val="lv-LV"/>
              </w:rPr>
              <w:t xml:space="preserve">ANM plāna investīcija 2.3.1.4.i.  </w:t>
            </w:r>
          </w:p>
        </w:tc>
        <w:tc>
          <w:tcPr>
            <w:tcW w:w="450" w:type="pct"/>
          </w:tcPr>
          <w:p w14:paraId="36A5DC83" w14:textId="77777777" w:rsidR="00C77C80" w:rsidRPr="00550D35" w:rsidRDefault="00C77C80" w:rsidP="00BA62A0">
            <w:pPr>
              <w:rPr>
                <w:sz w:val="20"/>
                <w:lang w:val="lv-LV"/>
              </w:rPr>
            </w:pPr>
          </w:p>
        </w:tc>
        <w:tc>
          <w:tcPr>
            <w:tcW w:w="453" w:type="pct"/>
            <w:shd w:val="clear" w:color="auto" w:fill="70AD47" w:themeFill="accent6"/>
          </w:tcPr>
          <w:p w14:paraId="140952D4" w14:textId="77777777" w:rsidR="00C77C80" w:rsidRPr="00550D35" w:rsidRDefault="00C77C80" w:rsidP="00BA62A0">
            <w:pPr>
              <w:rPr>
                <w:sz w:val="20"/>
                <w:lang w:val="lv-LV"/>
              </w:rPr>
            </w:pPr>
          </w:p>
        </w:tc>
        <w:tc>
          <w:tcPr>
            <w:tcW w:w="420" w:type="pct"/>
            <w:shd w:val="clear" w:color="auto" w:fill="70AD47" w:themeFill="accent6"/>
          </w:tcPr>
          <w:p w14:paraId="44BB3C33" w14:textId="77777777" w:rsidR="00C77C80" w:rsidRPr="00550D35" w:rsidRDefault="00C77C80" w:rsidP="00BA62A0">
            <w:pPr>
              <w:rPr>
                <w:sz w:val="20"/>
                <w:lang w:val="lv-LV"/>
              </w:rPr>
            </w:pPr>
          </w:p>
        </w:tc>
        <w:tc>
          <w:tcPr>
            <w:tcW w:w="420" w:type="pct"/>
            <w:shd w:val="clear" w:color="auto" w:fill="70AD47" w:themeFill="accent6"/>
          </w:tcPr>
          <w:p w14:paraId="5E01384F" w14:textId="77777777" w:rsidR="00C77C80" w:rsidRPr="00550D35" w:rsidRDefault="00C77C80" w:rsidP="00BA62A0">
            <w:pPr>
              <w:rPr>
                <w:sz w:val="20"/>
                <w:lang w:val="lv-LV"/>
              </w:rPr>
            </w:pPr>
          </w:p>
        </w:tc>
        <w:tc>
          <w:tcPr>
            <w:tcW w:w="448" w:type="pct"/>
          </w:tcPr>
          <w:p w14:paraId="6FDA08FC" w14:textId="77777777" w:rsidR="00C77C80" w:rsidRPr="00550D35" w:rsidRDefault="00C77C80" w:rsidP="00BA62A0">
            <w:pPr>
              <w:rPr>
                <w:sz w:val="20"/>
                <w:lang w:val="lv-LV"/>
              </w:rPr>
            </w:pPr>
          </w:p>
        </w:tc>
        <w:tc>
          <w:tcPr>
            <w:tcW w:w="421" w:type="pct"/>
          </w:tcPr>
          <w:p w14:paraId="1A97A708" w14:textId="77777777" w:rsidR="00C77C80" w:rsidRPr="00550D35" w:rsidRDefault="00C77C80" w:rsidP="00BA62A0">
            <w:pPr>
              <w:rPr>
                <w:sz w:val="20"/>
                <w:lang w:val="lv-LV"/>
              </w:rPr>
            </w:pPr>
          </w:p>
        </w:tc>
        <w:tc>
          <w:tcPr>
            <w:tcW w:w="477" w:type="pct"/>
          </w:tcPr>
          <w:p w14:paraId="46EF9E92" w14:textId="77777777" w:rsidR="00C77C80" w:rsidRPr="00550D35" w:rsidRDefault="00C77C80" w:rsidP="00BA62A0">
            <w:pPr>
              <w:rPr>
                <w:sz w:val="20"/>
                <w:lang w:val="lv-LV"/>
              </w:rPr>
            </w:pPr>
          </w:p>
        </w:tc>
        <w:tc>
          <w:tcPr>
            <w:tcW w:w="549" w:type="pct"/>
          </w:tcPr>
          <w:p w14:paraId="71A31782" w14:textId="77777777" w:rsidR="00C77C80" w:rsidRPr="00550D35" w:rsidRDefault="00C77C80" w:rsidP="00BA62A0">
            <w:pPr>
              <w:rPr>
                <w:sz w:val="20"/>
                <w:lang w:val="lv-LV"/>
              </w:rPr>
            </w:pPr>
          </w:p>
        </w:tc>
      </w:tr>
      <w:tr w:rsidR="00C77C80" w:rsidRPr="008A1BF8" w14:paraId="491F2807" w14:textId="77777777" w:rsidTr="00BA62A0">
        <w:trPr>
          <w:trHeight w:val="300"/>
        </w:trPr>
        <w:tc>
          <w:tcPr>
            <w:tcW w:w="1362" w:type="pct"/>
          </w:tcPr>
          <w:p w14:paraId="12ACC647" w14:textId="77777777" w:rsidR="00C77C80" w:rsidRPr="00550D35" w:rsidRDefault="00C77C80" w:rsidP="00BA62A0">
            <w:pPr>
              <w:ind w:firstLine="0"/>
              <w:rPr>
                <w:sz w:val="20"/>
                <w:lang w:val="lv-LV"/>
              </w:rPr>
            </w:pPr>
            <w:r w:rsidRPr="00550D35">
              <w:rPr>
                <w:sz w:val="20"/>
                <w:lang w:val="lv-LV"/>
              </w:rPr>
              <w:t xml:space="preserve">Pasākums Nr.4 - </w:t>
            </w:r>
          </w:p>
          <w:p w14:paraId="093F5E86" w14:textId="77777777" w:rsidR="00C77C80" w:rsidRPr="00DC6B9C" w:rsidRDefault="00C77C80" w:rsidP="00BA62A0">
            <w:pPr>
              <w:ind w:firstLine="0"/>
              <w:rPr>
                <w:b/>
                <w:bCs/>
                <w:sz w:val="20"/>
                <w:lang w:val="lv-LV"/>
              </w:rPr>
            </w:pPr>
            <w:r w:rsidRPr="00DC6B9C">
              <w:rPr>
                <w:b/>
                <w:bCs/>
                <w:sz w:val="20"/>
                <w:lang w:val="lv-LV"/>
              </w:rPr>
              <w:t xml:space="preserve"> “Sabiedrības digitālo prasmju attīstība”</w:t>
            </w:r>
          </w:p>
          <w:p w14:paraId="5F19EE27" w14:textId="77777777" w:rsidR="00C77C80" w:rsidRPr="00550D35" w:rsidRDefault="00C77C80" w:rsidP="00BA62A0">
            <w:pPr>
              <w:ind w:firstLine="0"/>
              <w:rPr>
                <w:sz w:val="20"/>
                <w:lang w:val="lv-LV"/>
              </w:rPr>
            </w:pPr>
            <w:r w:rsidRPr="00EB2FC8">
              <w:rPr>
                <w:sz w:val="20"/>
                <w:lang w:val="lv-LV"/>
              </w:rPr>
              <w:t xml:space="preserve">Finansējuma avots: </w:t>
            </w:r>
            <w:r w:rsidRPr="00550D35">
              <w:rPr>
                <w:sz w:val="20"/>
                <w:lang w:val="lv-LV"/>
              </w:rPr>
              <w:t>ANM plāna investīcija 2.3.2.1.i</w:t>
            </w:r>
          </w:p>
        </w:tc>
        <w:tc>
          <w:tcPr>
            <w:tcW w:w="450" w:type="pct"/>
            <w:shd w:val="clear" w:color="auto" w:fill="70AD47" w:themeFill="accent6"/>
          </w:tcPr>
          <w:p w14:paraId="00D24635" w14:textId="77777777" w:rsidR="00C77C80" w:rsidRPr="00550D35" w:rsidRDefault="00C77C80" w:rsidP="00BA62A0">
            <w:pPr>
              <w:rPr>
                <w:sz w:val="20"/>
                <w:highlight w:val="green"/>
                <w:lang w:val="lv-LV"/>
              </w:rPr>
            </w:pPr>
          </w:p>
        </w:tc>
        <w:tc>
          <w:tcPr>
            <w:tcW w:w="453" w:type="pct"/>
            <w:shd w:val="clear" w:color="auto" w:fill="70AD47" w:themeFill="accent6"/>
          </w:tcPr>
          <w:p w14:paraId="1DDC1248" w14:textId="77777777" w:rsidR="00C77C80" w:rsidRPr="00550D35" w:rsidRDefault="00C77C80" w:rsidP="00BA62A0">
            <w:pPr>
              <w:rPr>
                <w:sz w:val="20"/>
                <w:highlight w:val="green"/>
                <w:lang w:val="lv-LV"/>
              </w:rPr>
            </w:pPr>
          </w:p>
        </w:tc>
        <w:tc>
          <w:tcPr>
            <w:tcW w:w="420" w:type="pct"/>
            <w:shd w:val="clear" w:color="auto" w:fill="70AD47" w:themeFill="accent6"/>
          </w:tcPr>
          <w:p w14:paraId="1EB62263" w14:textId="77777777" w:rsidR="00C77C80" w:rsidRPr="00550D35" w:rsidRDefault="00C77C80" w:rsidP="00BA62A0">
            <w:pPr>
              <w:rPr>
                <w:sz w:val="20"/>
                <w:highlight w:val="green"/>
                <w:lang w:val="lv-LV"/>
              </w:rPr>
            </w:pPr>
          </w:p>
        </w:tc>
        <w:tc>
          <w:tcPr>
            <w:tcW w:w="420" w:type="pct"/>
            <w:shd w:val="clear" w:color="auto" w:fill="70AD47" w:themeFill="accent6"/>
          </w:tcPr>
          <w:p w14:paraId="4C51E0DB" w14:textId="77777777" w:rsidR="00C77C80" w:rsidRPr="00550D35" w:rsidRDefault="00C77C80" w:rsidP="00BA62A0">
            <w:pPr>
              <w:rPr>
                <w:sz w:val="20"/>
                <w:highlight w:val="green"/>
                <w:lang w:val="lv-LV"/>
              </w:rPr>
            </w:pPr>
          </w:p>
        </w:tc>
        <w:tc>
          <w:tcPr>
            <w:tcW w:w="448" w:type="pct"/>
          </w:tcPr>
          <w:p w14:paraId="7C2C0C2E" w14:textId="77777777" w:rsidR="00C77C80" w:rsidRPr="00550D35" w:rsidRDefault="00C77C80" w:rsidP="00BA62A0">
            <w:pPr>
              <w:rPr>
                <w:sz w:val="20"/>
                <w:lang w:val="lv-LV"/>
              </w:rPr>
            </w:pPr>
          </w:p>
        </w:tc>
        <w:tc>
          <w:tcPr>
            <w:tcW w:w="421" w:type="pct"/>
          </w:tcPr>
          <w:p w14:paraId="40DC4855" w14:textId="77777777" w:rsidR="00C77C80" w:rsidRPr="00550D35" w:rsidRDefault="00C77C80" w:rsidP="00BA62A0">
            <w:pPr>
              <w:rPr>
                <w:sz w:val="20"/>
                <w:lang w:val="lv-LV"/>
              </w:rPr>
            </w:pPr>
          </w:p>
        </w:tc>
        <w:tc>
          <w:tcPr>
            <w:tcW w:w="477" w:type="pct"/>
          </w:tcPr>
          <w:p w14:paraId="5DCFB606" w14:textId="77777777" w:rsidR="00C77C80" w:rsidRPr="00550D35" w:rsidRDefault="00C77C80" w:rsidP="00BA62A0">
            <w:pPr>
              <w:rPr>
                <w:sz w:val="20"/>
                <w:lang w:val="lv-LV"/>
              </w:rPr>
            </w:pPr>
          </w:p>
        </w:tc>
        <w:tc>
          <w:tcPr>
            <w:tcW w:w="549" w:type="pct"/>
          </w:tcPr>
          <w:p w14:paraId="0486F985" w14:textId="77777777" w:rsidR="00C77C80" w:rsidRPr="00550D35" w:rsidRDefault="00C77C80" w:rsidP="00BA62A0">
            <w:pPr>
              <w:rPr>
                <w:sz w:val="20"/>
                <w:lang w:val="lv-LV"/>
              </w:rPr>
            </w:pPr>
          </w:p>
        </w:tc>
      </w:tr>
      <w:tr w:rsidR="00C77C80" w:rsidRPr="008A1BF8" w14:paraId="7FC99AAB" w14:textId="77777777" w:rsidTr="00BA62A0">
        <w:trPr>
          <w:trHeight w:val="300"/>
        </w:trPr>
        <w:tc>
          <w:tcPr>
            <w:tcW w:w="1362" w:type="pct"/>
          </w:tcPr>
          <w:p w14:paraId="4B4F5DAC" w14:textId="77777777" w:rsidR="00C77C80" w:rsidRPr="0073786B" w:rsidRDefault="00C77C80" w:rsidP="00BA62A0">
            <w:pPr>
              <w:ind w:firstLine="0"/>
              <w:rPr>
                <w:sz w:val="20"/>
                <w:lang w:val="lv-LV"/>
              </w:rPr>
            </w:pPr>
            <w:r w:rsidRPr="0073786B">
              <w:rPr>
                <w:sz w:val="20"/>
                <w:lang w:val="lv-LV"/>
              </w:rPr>
              <w:t xml:space="preserve">Pasākums Nr. </w:t>
            </w:r>
            <w:r>
              <w:rPr>
                <w:sz w:val="20"/>
                <w:lang w:val="lv-LV"/>
              </w:rPr>
              <w:t>5</w:t>
            </w:r>
            <w:r w:rsidRPr="0073786B">
              <w:rPr>
                <w:sz w:val="20"/>
                <w:lang w:val="lv-LV"/>
              </w:rPr>
              <w:t xml:space="preserve"> – </w:t>
            </w:r>
          </w:p>
          <w:p w14:paraId="3EC9741D" w14:textId="77777777" w:rsidR="00C77C80" w:rsidRPr="00DC6B9C" w:rsidRDefault="00C77C80" w:rsidP="00BA62A0">
            <w:pPr>
              <w:ind w:firstLine="0"/>
              <w:rPr>
                <w:b/>
                <w:bCs/>
                <w:sz w:val="20"/>
                <w:lang w:val="lv-LV"/>
              </w:rPr>
            </w:pPr>
            <w:r w:rsidRPr="0073786B">
              <w:rPr>
                <w:sz w:val="20"/>
                <w:lang w:val="lv-LV"/>
              </w:rPr>
              <w:t xml:space="preserve"> </w:t>
            </w:r>
            <w:r w:rsidRPr="00DC6B9C">
              <w:rPr>
                <w:b/>
                <w:bCs/>
                <w:sz w:val="20"/>
                <w:lang w:val="lv-LV"/>
              </w:rPr>
              <w:t>“Prasmju pilnveide pieaugušajiem”</w:t>
            </w:r>
          </w:p>
          <w:p w14:paraId="51785433" w14:textId="77777777" w:rsidR="00C77C80" w:rsidRPr="00550D35" w:rsidRDefault="00C77C80" w:rsidP="00BA62A0">
            <w:pPr>
              <w:ind w:firstLine="0"/>
              <w:rPr>
                <w:sz w:val="20"/>
                <w:lang w:val="lv-LV"/>
              </w:rPr>
            </w:pPr>
            <w:r w:rsidRPr="00EB2FC8">
              <w:rPr>
                <w:sz w:val="20"/>
                <w:lang w:val="lv-LV"/>
              </w:rPr>
              <w:t xml:space="preserve">Finansējuma avots: </w:t>
            </w:r>
            <w:r w:rsidRPr="0073786B">
              <w:rPr>
                <w:sz w:val="20"/>
                <w:lang w:val="lv-LV"/>
              </w:rPr>
              <w:t>ANM plāna investīcija 3.1.2.5.i.</w:t>
            </w:r>
          </w:p>
        </w:tc>
        <w:tc>
          <w:tcPr>
            <w:tcW w:w="450" w:type="pct"/>
            <w:shd w:val="clear" w:color="auto" w:fill="70AD47" w:themeFill="accent6"/>
          </w:tcPr>
          <w:p w14:paraId="1043164D" w14:textId="77777777" w:rsidR="00C77C80" w:rsidRPr="00550D35" w:rsidRDefault="00C77C80" w:rsidP="00BA62A0">
            <w:pPr>
              <w:rPr>
                <w:sz w:val="20"/>
                <w:highlight w:val="green"/>
                <w:lang w:val="lv-LV"/>
              </w:rPr>
            </w:pPr>
          </w:p>
        </w:tc>
        <w:tc>
          <w:tcPr>
            <w:tcW w:w="453" w:type="pct"/>
            <w:shd w:val="clear" w:color="auto" w:fill="70AD47" w:themeFill="accent6"/>
          </w:tcPr>
          <w:p w14:paraId="78BB3F6B" w14:textId="77777777" w:rsidR="00C77C80" w:rsidRPr="00550D35" w:rsidRDefault="00C77C80" w:rsidP="00BA62A0">
            <w:pPr>
              <w:rPr>
                <w:sz w:val="20"/>
                <w:highlight w:val="green"/>
                <w:lang w:val="lv-LV"/>
              </w:rPr>
            </w:pPr>
          </w:p>
        </w:tc>
        <w:tc>
          <w:tcPr>
            <w:tcW w:w="420" w:type="pct"/>
            <w:shd w:val="clear" w:color="auto" w:fill="70AD47" w:themeFill="accent6"/>
          </w:tcPr>
          <w:p w14:paraId="427CD598" w14:textId="77777777" w:rsidR="00C77C80" w:rsidRPr="00550D35" w:rsidRDefault="00C77C80" w:rsidP="00BA62A0">
            <w:pPr>
              <w:rPr>
                <w:sz w:val="20"/>
                <w:highlight w:val="green"/>
                <w:lang w:val="lv-LV"/>
              </w:rPr>
            </w:pPr>
          </w:p>
        </w:tc>
        <w:tc>
          <w:tcPr>
            <w:tcW w:w="420" w:type="pct"/>
            <w:shd w:val="clear" w:color="auto" w:fill="70AD47" w:themeFill="accent6"/>
          </w:tcPr>
          <w:p w14:paraId="4A1B0D72" w14:textId="77777777" w:rsidR="00C77C80" w:rsidRPr="00550D35" w:rsidRDefault="00C77C80" w:rsidP="00BA62A0">
            <w:pPr>
              <w:rPr>
                <w:sz w:val="20"/>
                <w:highlight w:val="green"/>
                <w:lang w:val="lv-LV"/>
              </w:rPr>
            </w:pPr>
          </w:p>
        </w:tc>
        <w:tc>
          <w:tcPr>
            <w:tcW w:w="448" w:type="pct"/>
          </w:tcPr>
          <w:p w14:paraId="0ADFB778" w14:textId="77777777" w:rsidR="00C77C80" w:rsidRPr="00550D35" w:rsidRDefault="00C77C80" w:rsidP="00BA62A0">
            <w:pPr>
              <w:rPr>
                <w:sz w:val="20"/>
                <w:lang w:val="lv-LV"/>
              </w:rPr>
            </w:pPr>
          </w:p>
        </w:tc>
        <w:tc>
          <w:tcPr>
            <w:tcW w:w="421" w:type="pct"/>
          </w:tcPr>
          <w:p w14:paraId="438E1D08" w14:textId="77777777" w:rsidR="00C77C80" w:rsidRPr="00550D35" w:rsidRDefault="00C77C80" w:rsidP="00BA62A0">
            <w:pPr>
              <w:rPr>
                <w:sz w:val="20"/>
                <w:lang w:val="lv-LV"/>
              </w:rPr>
            </w:pPr>
          </w:p>
        </w:tc>
        <w:tc>
          <w:tcPr>
            <w:tcW w:w="477" w:type="pct"/>
          </w:tcPr>
          <w:p w14:paraId="3DFC9CB7" w14:textId="77777777" w:rsidR="00C77C80" w:rsidRPr="00550D35" w:rsidRDefault="00C77C80" w:rsidP="00BA62A0">
            <w:pPr>
              <w:rPr>
                <w:sz w:val="20"/>
                <w:lang w:val="lv-LV"/>
              </w:rPr>
            </w:pPr>
          </w:p>
        </w:tc>
        <w:tc>
          <w:tcPr>
            <w:tcW w:w="549" w:type="pct"/>
          </w:tcPr>
          <w:p w14:paraId="1F14E609" w14:textId="77777777" w:rsidR="00C77C80" w:rsidRPr="00550D35" w:rsidRDefault="00C77C80" w:rsidP="00BA62A0">
            <w:pPr>
              <w:rPr>
                <w:sz w:val="20"/>
                <w:lang w:val="lv-LV"/>
              </w:rPr>
            </w:pPr>
          </w:p>
        </w:tc>
      </w:tr>
      <w:tr w:rsidR="00C77C80" w:rsidRPr="008A1BF8" w14:paraId="669A6EC8" w14:textId="77777777" w:rsidTr="00BA62A0">
        <w:trPr>
          <w:trHeight w:val="300"/>
        </w:trPr>
        <w:tc>
          <w:tcPr>
            <w:tcW w:w="1362" w:type="pct"/>
          </w:tcPr>
          <w:p w14:paraId="743F832F" w14:textId="77777777" w:rsidR="00C77C80" w:rsidRPr="009044BF" w:rsidRDefault="00C77C80" w:rsidP="00BA62A0">
            <w:pPr>
              <w:ind w:firstLine="0"/>
              <w:rPr>
                <w:sz w:val="20"/>
                <w:lang w:val="lv-LV"/>
              </w:rPr>
            </w:pPr>
            <w:r w:rsidRPr="009044BF">
              <w:rPr>
                <w:sz w:val="20"/>
                <w:lang w:val="lv-LV"/>
              </w:rPr>
              <w:t>Pasākums Nr.6 –</w:t>
            </w:r>
            <w:r w:rsidRPr="00DC6B9C">
              <w:rPr>
                <w:b/>
                <w:bCs/>
                <w:sz w:val="20"/>
                <w:lang w:val="lv-LV"/>
              </w:rPr>
              <w:t>“Digitālās prasmes iedzīvotājiem t.sk. jauniešiem”</w:t>
            </w:r>
          </w:p>
          <w:p w14:paraId="4398A606" w14:textId="77777777" w:rsidR="00C77C80" w:rsidRPr="00550D35" w:rsidRDefault="00C77C80" w:rsidP="00BA62A0">
            <w:pPr>
              <w:ind w:firstLine="0"/>
              <w:rPr>
                <w:sz w:val="20"/>
                <w:lang w:val="lv-LV"/>
              </w:rPr>
            </w:pPr>
            <w:r w:rsidRPr="006C3199">
              <w:rPr>
                <w:sz w:val="20"/>
                <w:lang w:val="lv-LV"/>
              </w:rPr>
              <w:t xml:space="preserve">Finansējuma avots: </w:t>
            </w:r>
            <w:r w:rsidRPr="0073786B">
              <w:rPr>
                <w:sz w:val="20"/>
                <w:lang w:val="lv-LV"/>
              </w:rPr>
              <w:t xml:space="preserve">ANM plāna investīcija </w:t>
            </w:r>
            <w:r>
              <w:rPr>
                <w:sz w:val="20"/>
                <w:lang w:val="lv-LV"/>
              </w:rPr>
              <w:t>2</w:t>
            </w:r>
            <w:r w:rsidRPr="0073786B">
              <w:rPr>
                <w:sz w:val="20"/>
                <w:lang w:val="lv-LV"/>
              </w:rPr>
              <w:t>.</w:t>
            </w:r>
            <w:r>
              <w:rPr>
                <w:sz w:val="20"/>
                <w:lang w:val="lv-LV"/>
              </w:rPr>
              <w:t>3</w:t>
            </w:r>
            <w:r w:rsidRPr="0073786B">
              <w:rPr>
                <w:sz w:val="20"/>
                <w:lang w:val="lv-LV"/>
              </w:rPr>
              <w:t>.2.</w:t>
            </w:r>
            <w:r>
              <w:rPr>
                <w:sz w:val="20"/>
                <w:lang w:val="lv-LV"/>
              </w:rPr>
              <w:t>1</w:t>
            </w:r>
            <w:r w:rsidRPr="0073786B">
              <w:rPr>
                <w:sz w:val="20"/>
                <w:lang w:val="lv-LV"/>
              </w:rPr>
              <w:t>.i.</w:t>
            </w:r>
          </w:p>
        </w:tc>
        <w:tc>
          <w:tcPr>
            <w:tcW w:w="450" w:type="pct"/>
            <w:shd w:val="clear" w:color="auto" w:fill="70AD47" w:themeFill="accent6"/>
          </w:tcPr>
          <w:p w14:paraId="52260913" w14:textId="77777777" w:rsidR="00C77C80" w:rsidRPr="00550D35" w:rsidRDefault="00C77C80" w:rsidP="00BA62A0">
            <w:pPr>
              <w:rPr>
                <w:sz w:val="20"/>
                <w:highlight w:val="green"/>
                <w:lang w:val="lv-LV"/>
              </w:rPr>
            </w:pPr>
          </w:p>
        </w:tc>
        <w:tc>
          <w:tcPr>
            <w:tcW w:w="453" w:type="pct"/>
            <w:shd w:val="clear" w:color="auto" w:fill="70AD47" w:themeFill="accent6"/>
          </w:tcPr>
          <w:p w14:paraId="1836F007" w14:textId="77777777" w:rsidR="00C77C80" w:rsidRPr="00550D35" w:rsidRDefault="00C77C80" w:rsidP="00BA62A0">
            <w:pPr>
              <w:rPr>
                <w:sz w:val="20"/>
                <w:highlight w:val="green"/>
                <w:lang w:val="lv-LV"/>
              </w:rPr>
            </w:pPr>
          </w:p>
        </w:tc>
        <w:tc>
          <w:tcPr>
            <w:tcW w:w="420" w:type="pct"/>
            <w:shd w:val="clear" w:color="auto" w:fill="70AD47" w:themeFill="accent6"/>
          </w:tcPr>
          <w:p w14:paraId="0EA2F305" w14:textId="77777777" w:rsidR="00C77C80" w:rsidRPr="00550D35" w:rsidRDefault="00C77C80" w:rsidP="00BA62A0">
            <w:pPr>
              <w:rPr>
                <w:sz w:val="20"/>
                <w:highlight w:val="green"/>
                <w:lang w:val="lv-LV"/>
              </w:rPr>
            </w:pPr>
          </w:p>
        </w:tc>
        <w:tc>
          <w:tcPr>
            <w:tcW w:w="420" w:type="pct"/>
            <w:shd w:val="clear" w:color="auto" w:fill="70AD47" w:themeFill="accent6"/>
          </w:tcPr>
          <w:p w14:paraId="1C51BC51" w14:textId="77777777" w:rsidR="00C77C80" w:rsidRPr="00550D35" w:rsidRDefault="00C77C80" w:rsidP="00BA62A0">
            <w:pPr>
              <w:rPr>
                <w:sz w:val="20"/>
                <w:highlight w:val="green"/>
                <w:lang w:val="lv-LV"/>
              </w:rPr>
            </w:pPr>
          </w:p>
        </w:tc>
        <w:tc>
          <w:tcPr>
            <w:tcW w:w="448" w:type="pct"/>
          </w:tcPr>
          <w:p w14:paraId="06B23D6E" w14:textId="77777777" w:rsidR="00C77C80" w:rsidRPr="00550D35" w:rsidRDefault="00C77C80" w:rsidP="00BA62A0">
            <w:pPr>
              <w:rPr>
                <w:sz w:val="20"/>
                <w:lang w:val="lv-LV"/>
              </w:rPr>
            </w:pPr>
          </w:p>
        </w:tc>
        <w:tc>
          <w:tcPr>
            <w:tcW w:w="421" w:type="pct"/>
          </w:tcPr>
          <w:p w14:paraId="7EEB5BCE" w14:textId="77777777" w:rsidR="00C77C80" w:rsidRPr="00550D35" w:rsidRDefault="00C77C80" w:rsidP="00BA62A0">
            <w:pPr>
              <w:rPr>
                <w:sz w:val="20"/>
                <w:lang w:val="lv-LV"/>
              </w:rPr>
            </w:pPr>
          </w:p>
        </w:tc>
        <w:tc>
          <w:tcPr>
            <w:tcW w:w="477" w:type="pct"/>
          </w:tcPr>
          <w:p w14:paraId="262DEC8B" w14:textId="77777777" w:rsidR="00C77C80" w:rsidRPr="00550D35" w:rsidRDefault="00C77C80" w:rsidP="00BA62A0">
            <w:pPr>
              <w:rPr>
                <w:sz w:val="20"/>
                <w:lang w:val="lv-LV"/>
              </w:rPr>
            </w:pPr>
          </w:p>
        </w:tc>
        <w:tc>
          <w:tcPr>
            <w:tcW w:w="549" w:type="pct"/>
          </w:tcPr>
          <w:p w14:paraId="4AD849F7" w14:textId="77777777" w:rsidR="00C77C80" w:rsidRPr="00550D35" w:rsidRDefault="00C77C80" w:rsidP="00BA62A0">
            <w:pPr>
              <w:rPr>
                <w:sz w:val="20"/>
                <w:lang w:val="lv-LV"/>
              </w:rPr>
            </w:pPr>
          </w:p>
        </w:tc>
      </w:tr>
      <w:tr w:rsidR="00C77C80" w:rsidRPr="008A1BF8" w14:paraId="4499FC17" w14:textId="77777777" w:rsidTr="00BA62A0">
        <w:trPr>
          <w:trHeight w:val="300"/>
        </w:trPr>
        <w:tc>
          <w:tcPr>
            <w:tcW w:w="1362" w:type="pct"/>
          </w:tcPr>
          <w:p w14:paraId="4D98D7A1" w14:textId="77777777" w:rsidR="00C77C80" w:rsidRDefault="00C77C80" w:rsidP="00BA62A0">
            <w:pPr>
              <w:ind w:firstLine="0"/>
              <w:rPr>
                <w:sz w:val="20"/>
                <w:lang w:val="lv-LV"/>
              </w:rPr>
            </w:pPr>
            <w:r w:rsidRPr="00550D35">
              <w:rPr>
                <w:sz w:val="20"/>
                <w:lang w:val="lv-LV"/>
              </w:rPr>
              <w:t xml:space="preserve">Pasākums Nr. </w:t>
            </w:r>
            <w:r>
              <w:rPr>
                <w:sz w:val="20"/>
                <w:lang w:val="lv-LV"/>
              </w:rPr>
              <w:t>7</w:t>
            </w:r>
            <w:r w:rsidRPr="00550D35">
              <w:rPr>
                <w:sz w:val="20"/>
                <w:lang w:val="lv-LV"/>
              </w:rPr>
              <w:t xml:space="preserve"> – </w:t>
            </w:r>
            <w:r w:rsidRPr="00DC6B9C">
              <w:rPr>
                <w:b/>
                <w:bCs/>
                <w:sz w:val="20"/>
                <w:lang w:val="lv-LV"/>
              </w:rPr>
              <w:t>“Nacionālais koordinācijas centrs – Latvija” (NCC-LV)</w:t>
            </w:r>
          </w:p>
          <w:p w14:paraId="7B9527AE" w14:textId="77777777" w:rsidR="00C77C80" w:rsidRPr="00550D35" w:rsidRDefault="00C77C80" w:rsidP="00BA62A0">
            <w:pPr>
              <w:ind w:firstLine="0"/>
              <w:rPr>
                <w:sz w:val="20"/>
                <w:lang w:val="lv-LV"/>
              </w:rPr>
            </w:pPr>
            <w:r w:rsidRPr="00EB2FC8">
              <w:rPr>
                <w:sz w:val="20"/>
                <w:lang w:val="lv-LV"/>
              </w:rPr>
              <w:t xml:space="preserve">Finansējuma avots: valsts budžets, </w:t>
            </w:r>
            <w:r>
              <w:rPr>
                <w:sz w:val="20"/>
                <w:lang w:val="lv-LV"/>
              </w:rPr>
              <w:t>DEP līdzfinansējums</w:t>
            </w:r>
          </w:p>
        </w:tc>
        <w:tc>
          <w:tcPr>
            <w:tcW w:w="450" w:type="pct"/>
            <w:shd w:val="clear" w:color="auto" w:fill="70AD47" w:themeFill="accent6"/>
          </w:tcPr>
          <w:p w14:paraId="24204981" w14:textId="77777777" w:rsidR="00C77C80" w:rsidRPr="00550D35" w:rsidRDefault="00C77C80" w:rsidP="00BA62A0">
            <w:pPr>
              <w:rPr>
                <w:sz w:val="20"/>
                <w:highlight w:val="green"/>
                <w:lang w:val="lv-LV"/>
              </w:rPr>
            </w:pPr>
          </w:p>
        </w:tc>
        <w:tc>
          <w:tcPr>
            <w:tcW w:w="453" w:type="pct"/>
            <w:shd w:val="clear" w:color="auto" w:fill="70AD47" w:themeFill="accent6"/>
          </w:tcPr>
          <w:p w14:paraId="05B0A71E" w14:textId="77777777" w:rsidR="00C77C80" w:rsidRPr="00550D35" w:rsidRDefault="00C77C80" w:rsidP="00BA62A0">
            <w:pPr>
              <w:rPr>
                <w:sz w:val="20"/>
                <w:highlight w:val="green"/>
                <w:lang w:val="lv-LV"/>
              </w:rPr>
            </w:pPr>
          </w:p>
        </w:tc>
        <w:tc>
          <w:tcPr>
            <w:tcW w:w="420" w:type="pct"/>
            <w:shd w:val="clear" w:color="auto" w:fill="70AD47" w:themeFill="accent6"/>
          </w:tcPr>
          <w:p w14:paraId="6507E7CA" w14:textId="77777777" w:rsidR="00C77C80" w:rsidRPr="00550D35" w:rsidRDefault="00C77C80" w:rsidP="00BA62A0">
            <w:pPr>
              <w:rPr>
                <w:sz w:val="20"/>
                <w:highlight w:val="green"/>
                <w:lang w:val="lv-LV"/>
              </w:rPr>
            </w:pPr>
          </w:p>
        </w:tc>
        <w:tc>
          <w:tcPr>
            <w:tcW w:w="420" w:type="pct"/>
            <w:shd w:val="clear" w:color="auto" w:fill="FFFFFF" w:themeFill="background1"/>
          </w:tcPr>
          <w:p w14:paraId="7B540B91" w14:textId="77777777" w:rsidR="00C77C80" w:rsidRPr="00550D35" w:rsidRDefault="00C77C80" w:rsidP="00BA62A0">
            <w:pPr>
              <w:rPr>
                <w:sz w:val="20"/>
                <w:highlight w:val="green"/>
                <w:lang w:val="lv-LV"/>
              </w:rPr>
            </w:pPr>
          </w:p>
        </w:tc>
        <w:tc>
          <w:tcPr>
            <w:tcW w:w="448" w:type="pct"/>
          </w:tcPr>
          <w:p w14:paraId="624CBC0D" w14:textId="77777777" w:rsidR="00C77C80" w:rsidRPr="00550D35" w:rsidRDefault="00C77C80" w:rsidP="00BA62A0">
            <w:pPr>
              <w:rPr>
                <w:sz w:val="20"/>
                <w:lang w:val="lv-LV"/>
              </w:rPr>
            </w:pPr>
          </w:p>
        </w:tc>
        <w:tc>
          <w:tcPr>
            <w:tcW w:w="421" w:type="pct"/>
          </w:tcPr>
          <w:p w14:paraId="34D71AA9" w14:textId="77777777" w:rsidR="00C77C80" w:rsidRPr="00550D35" w:rsidRDefault="00C77C80" w:rsidP="00BA62A0">
            <w:pPr>
              <w:rPr>
                <w:sz w:val="20"/>
                <w:lang w:val="lv-LV"/>
              </w:rPr>
            </w:pPr>
          </w:p>
        </w:tc>
        <w:tc>
          <w:tcPr>
            <w:tcW w:w="477" w:type="pct"/>
          </w:tcPr>
          <w:p w14:paraId="3B269A5D" w14:textId="77777777" w:rsidR="00C77C80" w:rsidRPr="00550D35" w:rsidRDefault="00C77C80" w:rsidP="00BA62A0">
            <w:pPr>
              <w:rPr>
                <w:sz w:val="20"/>
                <w:lang w:val="lv-LV"/>
              </w:rPr>
            </w:pPr>
          </w:p>
        </w:tc>
        <w:tc>
          <w:tcPr>
            <w:tcW w:w="549" w:type="pct"/>
          </w:tcPr>
          <w:p w14:paraId="52FCBAE0" w14:textId="77777777" w:rsidR="00C77C80" w:rsidRPr="00550D35" w:rsidRDefault="00C77C80" w:rsidP="00BA62A0">
            <w:pPr>
              <w:rPr>
                <w:sz w:val="20"/>
                <w:lang w:val="lv-LV"/>
              </w:rPr>
            </w:pPr>
          </w:p>
        </w:tc>
      </w:tr>
    </w:tbl>
    <w:p w14:paraId="6268DA97" w14:textId="77777777" w:rsidR="00C77C80" w:rsidRPr="00550D35" w:rsidRDefault="00C77C80" w:rsidP="00C77C80">
      <w:pPr>
        <w:spacing w:before="60" w:after="0"/>
        <w:ind w:left="720"/>
        <w:rPr>
          <w:rFonts w:eastAsia="Calibri" w:cs="Calibri"/>
          <w:lang w:val="lv-LV"/>
        </w:rPr>
      </w:pPr>
    </w:p>
    <w:p w14:paraId="6B96C3B2" w14:textId="77777777" w:rsidR="00C77C80" w:rsidRPr="0063021F" w:rsidRDefault="00C77C80" w:rsidP="00CF6D94">
      <w:pPr>
        <w:pStyle w:val="ListParagraph"/>
        <w:spacing w:before="0" w:after="160" w:line="259" w:lineRule="auto"/>
        <w:ind w:left="0" w:firstLine="360"/>
        <w:contextualSpacing/>
        <w:jc w:val="left"/>
        <w:rPr>
          <w:noProof/>
          <w:sz w:val="24"/>
          <w:szCs w:val="24"/>
          <w:lang w:val="lv-LV"/>
        </w:rPr>
      </w:pPr>
      <w:r w:rsidRPr="0063021F">
        <w:rPr>
          <w:b/>
          <w:noProof/>
          <w:sz w:val="24"/>
          <w:szCs w:val="24"/>
          <w:lang w:val="lv-LV"/>
        </w:rPr>
        <w:t>Visu to pasākumu budžets, kurus var attiecināt uz mērķrādītāju</w:t>
      </w:r>
      <w:r w:rsidRPr="0063021F">
        <w:rPr>
          <w:noProof/>
          <w:sz w:val="24"/>
          <w:szCs w:val="24"/>
          <w:lang w:val="lv-LV"/>
        </w:rPr>
        <w:t xml:space="preserve"> </w:t>
      </w:r>
    </w:p>
    <w:p w14:paraId="11DE72A3" w14:textId="77777777" w:rsidR="00C77C80" w:rsidRPr="00550D35" w:rsidRDefault="00C77C80" w:rsidP="00C77C80">
      <w:pPr>
        <w:spacing w:before="0" w:after="160" w:line="259" w:lineRule="auto"/>
        <w:ind w:left="360" w:firstLine="0"/>
        <w:contextualSpacing/>
        <w:jc w:val="left"/>
        <w:rPr>
          <w:lang w:val="lv-LV"/>
        </w:rPr>
      </w:pPr>
      <w:r w:rsidRPr="00550D35">
        <w:rPr>
          <w:lang w:val="lv-LV"/>
        </w:rPr>
        <w:t>Publiskās investīcijas:</w:t>
      </w:r>
    </w:p>
    <w:p w14:paraId="1DE08B24" w14:textId="77777777" w:rsidR="00C77C80" w:rsidRPr="00550D35" w:rsidRDefault="00C77C80" w:rsidP="00C77C80">
      <w:pPr>
        <w:numPr>
          <w:ilvl w:val="0"/>
          <w:numId w:val="41"/>
        </w:numPr>
        <w:spacing w:before="0" w:after="0"/>
        <w:ind w:left="1800" w:firstLine="0"/>
        <w:textAlignment w:val="baseline"/>
        <w:rPr>
          <w:szCs w:val="24"/>
          <w:lang w:val="lv-LV"/>
        </w:rPr>
      </w:pPr>
      <w:r w:rsidRPr="00550D35">
        <w:rPr>
          <w:szCs w:val="24"/>
          <w:lang w:val="lv-LV"/>
        </w:rPr>
        <w:t xml:space="preserve">piešķirts: </w:t>
      </w:r>
      <w:r>
        <w:rPr>
          <w:szCs w:val="24"/>
          <w:lang w:val="lv-LV"/>
        </w:rPr>
        <w:t>3</w:t>
      </w:r>
      <w:r w:rsidRPr="00550D35">
        <w:rPr>
          <w:szCs w:val="24"/>
          <w:lang w:val="lv-LV"/>
        </w:rPr>
        <w:t>6,</w:t>
      </w:r>
      <w:r>
        <w:rPr>
          <w:szCs w:val="24"/>
          <w:lang w:val="lv-LV"/>
        </w:rPr>
        <w:t>6</w:t>
      </w:r>
      <w:r w:rsidRPr="00550D35">
        <w:rPr>
          <w:szCs w:val="24"/>
          <w:lang w:val="lv-LV"/>
        </w:rPr>
        <w:t xml:space="preserve"> milj. </w:t>
      </w:r>
      <w:proofErr w:type="spellStart"/>
      <w:r w:rsidRPr="00550D35">
        <w:rPr>
          <w:i/>
          <w:szCs w:val="24"/>
          <w:lang w:val="lv-LV"/>
        </w:rPr>
        <w:t>euro</w:t>
      </w:r>
      <w:proofErr w:type="spellEnd"/>
      <w:r w:rsidRPr="00550D35">
        <w:rPr>
          <w:i/>
          <w:iCs/>
          <w:szCs w:val="24"/>
          <w:lang w:val="lv-LV"/>
        </w:rPr>
        <w:t xml:space="preserve">  </w:t>
      </w:r>
      <w:r w:rsidRPr="00550D35">
        <w:rPr>
          <w:szCs w:val="24"/>
          <w:lang w:val="lv-LV"/>
        </w:rPr>
        <w:t> </w:t>
      </w:r>
    </w:p>
    <w:p w14:paraId="4A46B932" w14:textId="77777777" w:rsidR="00C77C80" w:rsidRPr="00550D35" w:rsidRDefault="00C77C80" w:rsidP="00C77C80">
      <w:pPr>
        <w:numPr>
          <w:ilvl w:val="0"/>
          <w:numId w:val="41"/>
        </w:numPr>
        <w:spacing w:before="0" w:after="0"/>
        <w:ind w:left="1800" w:firstLine="0"/>
        <w:textAlignment w:val="baseline"/>
        <w:rPr>
          <w:szCs w:val="24"/>
          <w:lang w:val="lv-LV"/>
        </w:rPr>
      </w:pPr>
      <w:r w:rsidRPr="00550D35">
        <w:rPr>
          <w:szCs w:val="24"/>
          <w:lang w:val="lv-LV"/>
        </w:rPr>
        <w:t>plānots:</w:t>
      </w:r>
      <w:r w:rsidRPr="00550D35">
        <w:rPr>
          <w:b/>
          <w:bCs/>
          <w:szCs w:val="24"/>
          <w:lang w:val="lv-LV"/>
        </w:rPr>
        <w:t xml:space="preserve"> </w:t>
      </w:r>
      <w:r w:rsidRPr="00550D35">
        <w:rPr>
          <w:szCs w:val="24"/>
          <w:lang w:val="lv-LV"/>
        </w:rPr>
        <w:t>49,7</w:t>
      </w:r>
      <w:r w:rsidRPr="00550D35">
        <w:rPr>
          <w:b/>
          <w:bCs/>
          <w:szCs w:val="24"/>
          <w:lang w:val="lv-LV"/>
        </w:rPr>
        <w:t xml:space="preserve"> </w:t>
      </w:r>
      <w:r w:rsidRPr="00550D35">
        <w:rPr>
          <w:szCs w:val="24"/>
          <w:lang w:val="lv-LV"/>
        </w:rPr>
        <w:t>milj. </w:t>
      </w:r>
      <w:proofErr w:type="spellStart"/>
      <w:r w:rsidRPr="00550D35">
        <w:rPr>
          <w:i/>
          <w:szCs w:val="24"/>
          <w:lang w:val="lv-LV"/>
        </w:rPr>
        <w:t>euro</w:t>
      </w:r>
      <w:proofErr w:type="spellEnd"/>
      <w:r w:rsidRPr="00550D35">
        <w:rPr>
          <w:i/>
          <w:iCs/>
          <w:szCs w:val="24"/>
          <w:lang w:val="lv-LV"/>
        </w:rPr>
        <w:t xml:space="preserve">  </w:t>
      </w:r>
      <w:r w:rsidRPr="00550D35">
        <w:rPr>
          <w:szCs w:val="24"/>
          <w:lang w:val="lv-LV"/>
        </w:rPr>
        <w:t>  </w:t>
      </w:r>
    </w:p>
    <w:p w14:paraId="163B9A31" w14:textId="77777777" w:rsidR="00C77C80" w:rsidRPr="00550D35" w:rsidRDefault="00C77C80" w:rsidP="00C77C80">
      <w:pPr>
        <w:numPr>
          <w:ilvl w:val="0"/>
          <w:numId w:val="42"/>
        </w:numPr>
        <w:spacing w:before="0" w:after="0"/>
        <w:ind w:left="1800" w:firstLine="0"/>
        <w:textAlignment w:val="baseline"/>
        <w:rPr>
          <w:szCs w:val="24"/>
          <w:lang w:val="lv-LV"/>
        </w:rPr>
      </w:pPr>
      <w:r w:rsidRPr="00550D35">
        <w:rPr>
          <w:szCs w:val="24"/>
          <w:lang w:val="lv-LV"/>
        </w:rPr>
        <w:t>tai skaitā no nacionālajiem finansēšanas avotiem:  </w:t>
      </w:r>
    </w:p>
    <w:p w14:paraId="07971A47" w14:textId="77777777" w:rsidR="00C77C80" w:rsidRPr="00550D35" w:rsidRDefault="00C77C80" w:rsidP="00C77C80">
      <w:pPr>
        <w:numPr>
          <w:ilvl w:val="0"/>
          <w:numId w:val="42"/>
        </w:numPr>
        <w:spacing w:before="0" w:after="0"/>
        <w:ind w:left="2430" w:firstLine="0"/>
        <w:textAlignment w:val="baseline"/>
        <w:rPr>
          <w:szCs w:val="24"/>
          <w:lang w:val="lv-LV"/>
        </w:rPr>
      </w:pPr>
      <w:r w:rsidRPr="00550D35">
        <w:rPr>
          <w:szCs w:val="24"/>
          <w:lang w:val="lv-LV"/>
        </w:rPr>
        <w:t xml:space="preserve">piešķirts: </w:t>
      </w:r>
      <w:r>
        <w:rPr>
          <w:szCs w:val="24"/>
          <w:lang w:val="lv-LV"/>
        </w:rPr>
        <w:t>2,4</w:t>
      </w:r>
      <w:r w:rsidRPr="00550D35">
        <w:rPr>
          <w:szCs w:val="24"/>
          <w:lang w:val="lv-LV"/>
        </w:rPr>
        <w:t xml:space="preserve"> milj. </w:t>
      </w:r>
      <w:proofErr w:type="spellStart"/>
      <w:r w:rsidRPr="00550D35">
        <w:rPr>
          <w:i/>
          <w:szCs w:val="24"/>
          <w:lang w:val="lv-LV"/>
        </w:rPr>
        <w:t>euro</w:t>
      </w:r>
      <w:proofErr w:type="spellEnd"/>
      <w:r w:rsidRPr="00550D35">
        <w:rPr>
          <w:i/>
          <w:iCs/>
          <w:szCs w:val="24"/>
          <w:lang w:val="lv-LV"/>
        </w:rPr>
        <w:t xml:space="preserve">  </w:t>
      </w:r>
      <w:r w:rsidRPr="00550D35">
        <w:rPr>
          <w:szCs w:val="24"/>
          <w:lang w:val="lv-LV"/>
        </w:rPr>
        <w:t>  </w:t>
      </w:r>
    </w:p>
    <w:p w14:paraId="4AD7CC6A" w14:textId="77777777" w:rsidR="00C77C80" w:rsidRPr="00550D35" w:rsidRDefault="00C77C80" w:rsidP="00C77C80">
      <w:pPr>
        <w:numPr>
          <w:ilvl w:val="0"/>
          <w:numId w:val="42"/>
        </w:numPr>
        <w:spacing w:before="0" w:after="0"/>
        <w:ind w:left="2430" w:firstLine="0"/>
        <w:textAlignment w:val="baseline"/>
        <w:rPr>
          <w:szCs w:val="24"/>
          <w:lang w:val="lv-LV"/>
        </w:rPr>
      </w:pPr>
      <w:r w:rsidRPr="00550D35">
        <w:rPr>
          <w:szCs w:val="24"/>
          <w:lang w:val="lv-LV"/>
        </w:rPr>
        <w:t>plānots: 6,0 milj. </w:t>
      </w:r>
      <w:proofErr w:type="spellStart"/>
      <w:r w:rsidRPr="00550D35">
        <w:rPr>
          <w:i/>
          <w:szCs w:val="24"/>
          <w:lang w:val="lv-LV"/>
        </w:rPr>
        <w:t>euro</w:t>
      </w:r>
      <w:proofErr w:type="spellEnd"/>
      <w:r w:rsidRPr="00550D35">
        <w:rPr>
          <w:i/>
          <w:iCs/>
          <w:szCs w:val="24"/>
          <w:lang w:val="lv-LV"/>
        </w:rPr>
        <w:t xml:space="preserve">  </w:t>
      </w:r>
      <w:r w:rsidRPr="00550D35">
        <w:rPr>
          <w:szCs w:val="24"/>
          <w:lang w:val="lv-LV"/>
        </w:rPr>
        <w:t>    </w:t>
      </w:r>
    </w:p>
    <w:p w14:paraId="53C9E84E" w14:textId="77777777" w:rsidR="00C77C80" w:rsidRPr="00550D35" w:rsidRDefault="00C77C80" w:rsidP="00C77C80">
      <w:pPr>
        <w:numPr>
          <w:ilvl w:val="0"/>
          <w:numId w:val="42"/>
        </w:numPr>
        <w:spacing w:before="0" w:after="0"/>
        <w:ind w:left="1800" w:firstLine="0"/>
        <w:textAlignment w:val="baseline"/>
        <w:rPr>
          <w:szCs w:val="24"/>
          <w:lang w:val="lv-LV"/>
        </w:rPr>
      </w:pPr>
      <w:r w:rsidRPr="00550D35">
        <w:rPr>
          <w:szCs w:val="24"/>
          <w:lang w:val="lv-LV"/>
        </w:rPr>
        <w:t>tai skaitā no ES finansēšanas avotiem:  </w:t>
      </w:r>
    </w:p>
    <w:p w14:paraId="03E1E476" w14:textId="77777777" w:rsidR="00C77C80" w:rsidRPr="00550D35" w:rsidRDefault="00C77C80" w:rsidP="00C77C80">
      <w:pPr>
        <w:numPr>
          <w:ilvl w:val="0"/>
          <w:numId w:val="42"/>
        </w:numPr>
        <w:spacing w:before="0" w:after="0"/>
        <w:ind w:left="2430" w:firstLine="0"/>
        <w:textAlignment w:val="baseline"/>
        <w:rPr>
          <w:szCs w:val="24"/>
          <w:lang w:val="lv-LV"/>
        </w:rPr>
      </w:pPr>
      <w:r w:rsidRPr="00550D35">
        <w:rPr>
          <w:szCs w:val="24"/>
          <w:lang w:val="lv-LV"/>
        </w:rPr>
        <w:t xml:space="preserve">piešķirts: </w:t>
      </w:r>
      <w:r>
        <w:rPr>
          <w:szCs w:val="24"/>
          <w:lang w:val="lv-LV"/>
        </w:rPr>
        <w:t>34,1</w:t>
      </w:r>
      <w:r w:rsidRPr="00550D35">
        <w:rPr>
          <w:szCs w:val="24"/>
          <w:lang w:val="lv-LV"/>
        </w:rPr>
        <w:t xml:space="preserve"> milj. </w:t>
      </w:r>
      <w:proofErr w:type="spellStart"/>
      <w:r w:rsidRPr="00550D35">
        <w:rPr>
          <w:i/>
          <w:szCs w:val="24"/>
          <w:lang w:val="lv-LV"/>
        </w:rPr>
        <w:t>euro</w:t>
      </w:r>
      <w:proofErr w:type="spellEnd"/>
      <w:r w:rsidRPr="00550D35">
        <w:rPr>
          <w:i/>
          <w:iCs/>
          <w:szCs w:val="24"/>
          <w:lang w:val="lv-LV"/>
        </w:rPr>
        <w:t xml:space="preserve">  </w:t>
      </w:r>
      <w:r w:rsidRPr="00550D35">
        <w:rPr>
          <w:szCs w:val="24"/>
          <w:lang w:val="lv-LV"/>
        </w:rPr>
        <w:t>   </w:t>
      </w:r>
    </w:p>
    <w:p w14:paraId="0C063A78" w14:textId="77777777" w:rsidR="00C77C80" w:rsidRPr="00550D35" w:rsidRDefault="00C77C80" w:rsidP="00C77C80">
      <w:pPr>
        <w:numPr>
          <w:ilvl w:val="0"/>
          <w:numId w:val="43"/>
        </w:numPr>
        <w:spacing w:before="0" w:after="0"/>
        <w:ind w:left="2430" w:firstLine="0"/>
        <w:textAlignment w:val="baseline"/>
        <w:rPr>
          <w:szCs w:val="24"/>
          <w:lang w:val="lv-LV"/>
        </w:rPr>
      </w:pPr>
      <w:r w:rsidRPr="00550D35">
        <w:rPr>
          <w:szCs w:val="24"/>
          <w:lang w:val="lv-LV"/>
        </w:rPr>
        <w:t>plānotais: 43,7 milj. </w:t>
      </w:r>
      <w:proofErr w:type="spellStart"/>
      <w:r w:rsidRPr="00550D35">
        <w:rPr>
          <w:i/>
          <w:szCs w:val="24"/>
          <w:lang w:val="lv-LV"/>
        </w:rPr>
        <w:t>euro</w:t>
      </w:r>
      <w:proofErr w:type="spellEnd"/>
      <w:r w:rsidRPr="00550D35">
        <w:rPr>
          <w:i/>
          <w:iCs/>
          <w:szCs w:val="24"/>
          <w:lang w:val="lv-LV"/>
        </w:rPr>
        <w:t xml:space="preserve">  </w:t>
      </w:r>
      <w:r w:rsidRPr="00550D35">
        <w:rPr>
          <w:szCs w:val="24"/>
          <w:lang w:val="lv-LV"/>
        </w:rPr>
        <w:t>   </w:t>
      </w:r>
    </w:p>
    <w:p w14:paraId="65FDB887" w14:textId="77777777" w:rsidR="00C77C80" w:rsidRPr="00550D35" w:rsidRDefault="00C77C80" w:rsidP="00C77C80">
      <w:pPr>
        <w:spacing w:before="60" w:after="0"/>
        <w:ind w:left="1080"/>
        <w:rPr>
          <w:rFonts w:eastAsia="Calibri" w:cs="Calibri"/>
          <w:lang w:val="lv-LV"/>
        </w:rPr>
      </w:pPr>
    </w:p>
    <w:p w14:paraId="519CEFF4" w14:textId="77777777" w:rsidR="00C77C80" w:rsidRPr="00550D35" w:rsidRDefault="00C77C80" w:rsidP="00C77C80">
      <w:pPr>
        <w:rPr>
          <w:rFonts w:eastAsia="Calibri"/>
          <w:lang w:val="lv-LV"/>
        </w:rPr>
      </w:pPr>
      <w:r w:rsidRPr="00550D35">
        <w:rPr>
          <w:rFonts w:eastAsia="Calibri"/>
          <w:b/>
          <w:bCs/>
          <w:lang w:val="lv-LV"/>
        </w:rPr>
        <w:t>Izaicinājums Nr. 1</w:t>
      </w:r>
      <w:r w:rsidRPr="00550D35">
        <w:rPr>
          <w:rFonts w:eastAsia="Calibri"/>
          <w:lang w:val="lv-LV"/>
        </w:rPr>
        <w:t xml:space="preserve"> – Latvijas izaicinājums ir nepietiekamas iedzīvotāju digitālās prasmes visos līmeņos, kas kavē sabiedrības un uzņēmumu digitālo transformāciju,  savukārt salīdzinoši zemais uzņēmumu </w:t>
      </w:r>
      <w:proofErr w:type="spellStart"/>
      <w:r w:rsidRPr="00550D35">
        <w:rPr>
          <w:rFonts w:eastAsia="Calibri"/>
          <w:lang w:val="lv-LV"/>
        </w:rPr>
        <w:t>digitalizācijas</w:t>
      </w:r>
      <w:proofErr w:type="spellEnd"/>
      <w:r w:rsidRPr="00550D35">
        <w:rPr>
          <w:rFonts w:eastAsia="Calibri"/>
          <w:lang w:val="lv-LV"/>
        </w:rPr>
        <w:t xml:space="preserve"> līmenis neveicina darbinieku digitālo prasmju apgūšanu vai pielietošanu. Ierosinātie pasākumi ir vērsti uz digitālās plaisas mazināšanu ar mērķi dot iespēju ikvienam attīstīt pamata prasmes un kompetences dažādos izglītības līmeņos un formās, tostarp neformālajā izglītībā, kā arī nodrošināt, ka ikviens var piedalīties sabiedrības aktivitātēs drošā tiešsaistes vidē. </w:t>
      </w:r>
    </w:p>
    <w:p w14:paraId="0CAE4679" w14:textId="77777777" w:rsidR="00C77C80" w:rsidRPr="00550D35" w:rsidRDefault="00C77C80" w:rsidP="00C77C80">
      <w:pPr>
        <w:rPr>
          <w:rFonts w:eastAsia="Calibri"/>
          <w:lang w:val="lv-LV"/>
        </w:rPr>
      </w:pPr>
      <w:r w:rsidRPr="00550D35">
        <w:rPr>
          <w:rFonts w:eastAsia="Calibri"/>
          <w:b/>
          <w:bCs/>
          <w:lang w:val="lv-LV"/>
        </w:rPr>
        <w:t>Izaicinājums Nr. 2</w:t>
      </w:r>
      <w:r w:rsidRPr="00550D35">
        <w:rPr>
          <w:rFonts w:eastAsia="Calibri"/>
          <w:lang w:val="lv-LV"/>
        </w:rPr>
        <w:t xml:space="preserve"> – Latvijas iedzīvotāju līdzdalība izglītības aktivitātēs kopumā ir zemāka nekā vidēji ES. Saskaņā ar CSP Darbaspēka </w:t>
      </w:r>
      <w:proofErr w:type="spellStart"/>
      <w:r w:rsidRPr="00550D35">
        <w:rPr>
          <w:rFonts w:eastAsia="Calibri"/>
          <w:lang w:val="lv-LV"/>
        </w:rPr>
        <w:t>apsekojumu</w:t>
      </w:r>
      <w:proofErr w:type="spellEnd"/>
      <w:r w:rsidRPr="00550D35">
        <w:rPr>
          <w:rFonts w:eastAsia="Calibri"/>
          <w:lang w:val="lv-LV"/>
        </w:rPr>
        <w:t xml:space="preserve"> ik gadu tiek mērīts iedzīvotāju (25-64 gadi) īpatsvars, kas piedalījušies pieaugušo izglītībā četru nedēļu laikā pirms aptaujas veikšanas. Ņemot vērā dažādus atbalsta pasākumus un spēju pielāgoties mainīgajiem apstākļiem, 2022.gadā pieaugušo izglītībā iesaistījās jau 9,7% pieaugušo, taču tas joprojām ir par 2,2 procentpunktiem zemāks kā vidēji ES (11,9%). Latvijā tāpat kā vidēji ES visaktīvāk pieaugušo izglītībā iesaistās personas ar augstāko izglītību (17,7%, 2021), bet viszemākā aktivitāte ir personām ar pamata vai zemāku izglītības līmeni (4,3% ar arodizglītību vai profesionālo vidējo izglītību, 2021). Kā lielākajā daļā ES dalībvalstu, arī Latvijā sievietes aktīvāk piedalās pieaugušo izglītībā kā vīrieši (attiecīgi 12,5% un 6,6%, 2021). Pasākumu ietvaros uzdevums būs nodrošināt saprotamus nosacījumus un digitālo </w:t>
      </w:r>
      <w:proofErr w:type="spellStart"/>
      <w:r w:rsidRPr="00550D35">
        <w:rPr>
          <w:rFonts w:eastAsia="Calibri"/>
          <w:lang w:val="lv-LV"/>
        </w:rPr>
        <w:t>pratību</w:t>
      </w:r>
      <w:proofErr w:type="spellEnd"/>
      <w:r w:rsidRPr="00550D35">
        <w:rPr>
          <w:rFonts w:eastAsia="Calibri"/>
          <w:lang w:val="lv-LV"/>
        </w:rPr>
        <w:t xml:space="preserve"> izglītības programmu  pieejamību ikvienam, tostarp personām ar invaliditāti, reģionos un attālākos apvidos dzīvojošām personām.</w:t>
      </w:r>
    </w:p>
    <w:p w14:paraId="14D259D7" w14:textId="77777777" w:rsidR="00C77C80" w:rsidRPr="00550D35" w:rsidRDefault="00C77C80" w:rsidP="00C77C80">
      <w:pPr>
        <w:rPr>
          <w:rFonts w:eastAsia="Calibri"/>
          <w:highlight w:val="yellow"/>
          <w:lang w:val="lv-LV"/>
        </w:rPr>
      </w:pPr>
    </w:p>
    <w:p w14:paraId="64CD4453" w14:textId="77777777" w:rsidR="00C77C80" w:rsidRPr="00550D35" w:rsidRDefault="00C77C80" w:rsidP="00C77C80">
      <w:pPr>
        <w:pStyle w:val="Heading3"/>
        <w:rPr>
          <w:lang w:val="lv-LV"/>
        </w:rPr>
      </w:pPr>
      <w:r w:rsidRPr="00550D35">
        <w:rPr>
          <w:lang w:val="lv-LV"/>
        </w:rPr>
        <w:t>Pasākumu apraksts</w:t>
      </w:r>
    </w:p>
    <w:tbl>
      <w:tblPr>
        <w:tblStyle w:val="TableGrid"/>
        <w:tblW w:w="8755" w:type="dxa"/>
        <w:tblLook w:val="04A0" w:firstRow="1" w:lastRow="0" w:firstColumn="1" w:lastColumn="0" w:noHBand="0" w:noVBand="1"/>
      </w:tblPr>
      <w:tblGrid>
        <w:gridCol w:w="3192"/>
        <w:gridCol w:w="5563"/>
      </w:tblGrid>
      <w:tr w:rsidR="00C77C80" w:rsidRPr="003B2E9A" w14:paraId="2595F166" w14:textId="77777777" w:rsidTr="00700909">
        <w:tc>
          <w:tcPr>
            <w:tcW w:w="8755" w:type="dxa"/>
            <w:gridSpan w:val="2"/>
            <w:shd w:val="clear" w:color="auto" w:fill="FFFFFF" w:themeFill="background1"/>
          </w:tcPr>
          <w:p w14:paraId="31C31F56" w14:textId="0369ADE4" w:rsidR="00C77C80" w:rsidRPr="00550D35" w:rsidRDefault="00C77C80" w:rsidP="00BA62A0">
            <w:pPr>
              <w:ind w:firstLine="0"/>
              <w:contextualSpacing/>
              <w:rPr>
                <w:rFonts w:eastAsia="Wingdings 2"/>
                <w:sz w:val="20"/>
                <w:lang w:val="lv-LV"/>
              </w:rPr>
            </w:pPr>
            <w:r w:rsidRPr="00550D35">
              <w:rPr>
                <w:b/>
                <w:bCs/>
                <w:sz w:val="20"/>
                <w:lang w:val="lv-LV"/>
              </w:rPr>
              <w:t>Pasākums Nr.1 – E</w:t>
            </w:r>
            <w:r w:rsidR="00BF7BCC">
              <w:rPr>
                <w:b/>
                <w:bCs/>
                <w:sz w:val="20"/>
                <w:lang w:val="lv-LV"/>
              </w:rPr>
              <w:t>S</w:t>
            </w:r>
            <w:r w:rsidRPr="00550D35">
              <w:rPr>
                <w:b/>
                <w:bCs/>
                <w:sz w:val="20"/>
                <w:lang w:val="lv-LV"/>
              </w:rPr>
              <w:t xml:space="preserve">F 8.4.1 </w:t>
            </w:r>
            <w:r>
              <w:rPr>
                <w:b/>
                <w:bCs/>
                <w:sz w:val="20"/>
                <w:lang w:val="lv-LV"/>
              </w:rPr>
              <w:t>pasākums</w:t>
            </w:r>
            <w:r w:rsidRPr="00550D35">
              <w:rPr>
                <w:b/>
                <w:bCs/>
                <w:sz w:val="20"/>
                <w:lang w:val="lv-LV"/>
              </w:rPr>
              <w:t xml:space="preserve"> "Nodarbināto personu profesionālās kompetences pilnveide"</w:t>
            </w:r>
          </w:p>
        </w:tc>
      </w:tr>
      <w:tr w:rsidR="00C77C80" w:rsidRPr="00550D35" w14:paraId="1BCDEE86" w14:textId="77777777" w:rsidTr="00700909">
        <w:tc>
          <w:tcPr>
            <w:tcW w:w="3192" w:type="dxa"/>
            <w:shd w:val="clear" w:color="auto" w:fill="FFFFFF" w:themeFill="background1"/>
          </w:tcPr>
          <w:p w14:paraId="045A90A7" w14:textId="77777777" w:rsidR="00C77C80" w:rsidRPr="00550D35" w:rsidRDefault="00C77C80" w:rsidP="00BA62A0">
            <w:pPr>
              <w:ind w:firstLine="0"/>
              <w:rPr>
                <w:b/>
                <w:bCs/>
                <w:sz w:val="20"/>
                <w:lang w:val="lv-LV"/>
              </w:rPr>
            </w:pPr>
            <w:r w:rsidRPr="00550D35">
              <w:rPr>
                <w:b/>
                <w:bCs/>
                <w:sz w:val="20"/>
                <w:lang w:val="lv-LV"/>
              </w:rPr>
              <w:t>Jauns pasākums</w:t>
            </w:r>
          </w:p>
        </w:tc>
        <w:tc>
          <w:tcPr>
            <w:tcW w:w="5563" w:type="dxa"/>
            <w:shd w:val="clear" w:color="auto" w:fill="FFFFFF" w:themeFill="background1"/>
          </w:tcPr>
          <w:p w14:paraId="216C0BCB"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853179968"/>
                <w14:checkbox>
                  <w14:checked w14:val="0"/>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sz w:val="22"/>
                <w:szCs w:val="22"/>
                <w:lang w:val="lv-LV"/>
              </w:rPr>
              <w:t>jā</w:t>
            </w:r>
          </w:p>
          <w:p w14:paraId="490D3C45" w14:textId="77777777" w:rsidR="00C77C80" w:rsidRPr="00550D35" w:rsidRDefault="00AC141D" w:rsidP="00BA62A0">
            <w:pPr>
              <w:spacing w:before="0" w:after="120"/>
              <w:ind w:firstLine="0"/>
              <w:contextualSpacing/>
              <w:jc w:val="left"/>
              <w:rPr>
                <w:sz w:val="20"/>
                <w:lang w:val="lv-LV"/>
              </w:rPr>
            </w:pPr>
            <w:sdt>
              <w:sdtPr>
                <w:rPr>
                  <w:sz w:val="22"/>
                  <w:szCs w:val="22"/>
                  <w:lang w:val="lv-LV"/>
                </w:rPr>
                <w:id w:val="-1311249547"/>
                <w14:checkbox>
                  <w14:checked w14:val="1"/>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rFonts w:eastAsia="MS Minngs"/>
                <w:sz w:val="22"/>
                <w:szCs w:val="22"/>
                <w:lang w:val="lv-LV"/>
              </w:rPr>
              <w:t xml:space="preserve"> </w:t>
            </w:r>
            <w:r w:rsidR="00C77C80" w:rsidRPr="00550D35">
              <w:rPr>
                <w:sz w:val="22"/>
                <w:szCs w:val="22"/>
                <w:lang w:val="lv-LV"/>
              </w:rPr>
              <w:t>nē</w:t>
            </w:r>
          </w:p>
        </w:tc>
      </w:tr>
      <w:tr w:rsidR="00C77C80" w:rsidRPr="003B2E9A" w14:paraId="0C9F9943" w14:textId="77777777" w:rsidTr="00700909">
        <w:tc>
          <w:tcPr>
            <w:tcW w:w="3192" w:type="dxa"/>
            <w:shd w:val="clear" w:color="auto" w:fill="FFFFFF" w:themeFill="background1"/>
          </w:tcPr>
          <w:p w14:paraId="46443AC9" w14:textId="77777777" w:rsidR="00C77C80" w:rsidRPr="00550D35" w:rsidRDefault="00C77C80" w:rsidP="00BA62A0">
            <w:pPr>
              <w:ind w:firstLine="0"/>
              <w:rPr>
                <w:b/>
                <w:bCs/>
                <w:sz w:val="20"/>
                <w:lang w:val="lv-LV"/>
              </w:rPr>
            </w:pPr>
            <w:r w:rsidRPr="00550D35">
              <w:rPr>
                <w:b/>
                <w:bCs/>
                <w:sz w:val="20"/>
                <w:lang w:val="lv-LV"/>
              </w:rPr>
              <w:t>Īss pasākuma apraksts</w:t>
            </w:r>
          </w:p>
          <w:p w14:paraId="428FFC06" w14:textId="77777777" w:rsidR="00C77C80" w:rsidRPr="00550D35" w:rsidRDefault="00C77C80" w:rsidP="00BA62A0">
            <w:pPr>
              <w:rPr>
                <w:i/>
                <w:iCs/>
                <w:sz w:val="20"/>
                <w:lang w:val="lv-LV"/>
              </w:rPr>
            </w:pPr>
          </w:p>
        </w:tc>
        <w:tc>
          <w:tcPr>
            <w:tcW w:w="5563" w:type="dxa"/>
            <w:shd w:val="clear" w:color="auto" w:fill="FFFFFF" w:themeFill="background1"/>
          </w:tcPr>
          <w:p w14:paraId="28C44534" w14:textId="77777777" w:rsidR="00C77C80" w:rsidRPr="00550D35" w:rsidRDefault="00C77C80" w:rsidP="00BA62A0">
            <w:pPr>
              <w:ind w:firstLine="0"/>
              <w:contextualSpacing/>
              <w:rPr>
                <w:iCs/>
                <w:sz w:val="20"/>
                <w:lang w:val="lv-LV"/>
              </w:rPr>
            </w:pPr>
            <w:r w:rsidRPr="00550D35">
              <w:rPr>
                <w:iCs/>
                <w:sz w:val="20"/>
                <w:lang w:val="lv-LV"/>
              </w:rPr>
              <w:t xml:space="preserve">Projekta mērķis ir pilnveidot nodarbināto personu profesionālo kompetenci, lai laikus novērstu darbaspēka kvalifikācijas neatbilstību darba tirgus pieprasījumam, veicinātu strādājošo konkurētspēju un darba produktivitātes pieaugumu, kas laika posmā no 2017. līdz 2023.gadam ļauj izglītības programmās iesaistīt vairāk nekā 87 tūkstošus nodarbināto personu. Nodarbinātajiem piedāvāto mācību saturs 2023.gadā saistīts ar piecām digitālajām kompetencēm: informācijas apstrāde/informācijas un datu </w:t>
            </w:r>
            <w:proofErr w:type="spellStart"/>
            <w:r w:rsidRPr="00550D35">
              <w:rPr>
                <w:iCs/>
                <w:sz w:val="20"/>
                <w:lang w:val="lv-LV"/>
              </w:rPr>
              <w:t>pratība</w:t>
            </w:r>
            <w:proofErr w:type="spellEnd"/>
            <w:r w:rsidRPr="00550D35">
              <w:rPr>
                <w:iCs/>
                <w:sz w:val="20"/>
                <w:lang w:val="lv-LV"/>
              </w:rPr>
              <w:t xml:space="preserve">; komunikācija un sadarbība; digitālā satura veidošana; drošība; problēmu risināšana.  </w:t>
            </w:r>
          </w:p>
        </w:tc>
      </w:tr>
      <w:tr w:rsidR="00C77C80" w:rsidRPr="00550D35" w14:paraId="75A7222D" w14:textId="77777777" w:rsidTr="00700909">
        <w:tc>
          <w:tcPr>
            <w:tcW w:w="3192" w:type="dxa"/>
            <w:shd w:val="clear" w:color="auto" w:fill="FFFFFF" w:themeFill="background1"/>
          </w:tcPr>
          <w:p w14:paraId="61C749BF" w14:textId="656EC651" w:rsidR="00C77C80" w:rsidRPr="00550D35" w:rsidRDefault="00C77C80" w:rsidP="00BA62A0">
            <w:pPr>
              <w:ind w:firstLine="0"/>
              <w:rPr>
                <w:b/>
                <w:bCs/>
                <w:sz w:val="20"/>
                <w:lang w:val="lv-LV"/>
              </w:rPr>
            </w:pPr>
            <w:r w:rsidRPr="00550D35">
              <w:rPr>
                <w:b/>
                <w:bCs/>
                <w:sz w:val="20"/>
                <w:lang w:val="lv-LV"/>
              </w:rPr>
              <w:t>Piešķirtais vai plānotais budžets un, ja atbilstoši, citi resursi</w:t>
            </w:r>
          </w:p>
        </w:tc>
        <w:tc>
          <w:tcPr>
            <w:tcW w:w="5563" w:type="dxa"/>
            <w:shd w:val="clear" w:color="auto" w:fill="FFFFFF" w:themeFill="background1"/>
          </w:tcPr>
          <w:p w14:paraId="35651D3F" w14:textId="77777777" w:rsidR="00C77C80" w:rsidRPr="00550D35" w:rsidRDefault="00C77C80" w:rsidP="00BA62A0">
            <w:pPr>
              <w:ind w:firstLine="0"/>
              <w:contextualSpacing/>
              <w:rPr>
                <w:iCs/>
                <w:sz w:val="20"/>
                <w:lang w:val="lv-LV"/>
              </w:rPr>
            </w:pPr>
            <w:r w:rsidRPr="00550D35">
              <w:rPr>
                <w:iCs/>
                <w:sz w:val="20"/>
                <w:lang w:val="lv-LV"/>
              </w:rPr>
              <w:t xml:space="preserve">Publiskā sektora ieguldījumi: </w:t>
            </w:r>
          </w:p>
          <w:p w14:paraId="031FD335" w14:textId="77777777" w:rsidR="00C77C80" w:rsidRPr="00550D35" w:rsidRDefault="00C77C80" w:rsidP="00BA62A0">
            <w:pPr>
              <w:ind w:firstLine="0"/>
              <w:contextualSpacing/>
              <w:rPr>
                <w:iCs/>
                <w:sz w:val="20"/>
                <w:lang w:val="lv-LV"/>
              </w:rPr>
            </w:pPr>
            <w:r w:rsidRPr="00550D35">
              <w:rPr>
                <w:iCs/>
                <w:sz w:val="20"/>
                <w:lang w:val="lv-LV"/>
              </w:rPr>
              <w:t xml:space="preserve">piešķirts: </w:t>
            </w:r>
            <w:r w:rsidRPr="00550D35">
              <w:rPr>
                <w:sz w:val="20"/>
                <w:lang w:val="lv-LV"/>
              </w:rPr>
              <w:t>44,0</w:t>
            </w:r>
            <w:r>
              <w:rPr>
                <w:iCs/>
                <w:sz w:val="20"/>
                <w:lang w:val="lv-LV"/>
              </w:rPr>
              <w:t> </w:t>
            </w:r>
            <w:r w:rsidRPr="00550D35">
              <w:rPr>
                <w:iCs/>
                <w:sz w:val="20"/>
                <w:lang w:val="lv-LV"/>
              </w:rPr>
              <w:t>milj.  </w:t>
            </w:r>
            <w:proofErr w:type="spellStart"/>
            <w:r w:rsidRPr="00550D35">
              <w:rPr>
                <w:i/>
                <w:sz w:val="20"/>
                <w:lang w:val="lv-LV"/>
              </w:rPr>
              <w:t>euro</w:t>
            </w:r>
            <w:proofErr w:type="spellEnd"/>
            <w:r w:rsidRPr="00550D35">
              <w:rPr>
                <w:i/>
                <w:sz w:val="20"/>
                <w:lang w:val="lv-LV"/>
              </w:rPr>
              <w:t>;</w:t>
            </w:r>
          </w:p>
          <w:p w14:paraId="76F63925" w14:textId="77777777" w:rsidR="00C77C80" w:rsidRPr="00550D35" w:rsidRDefault="00C77C80" w:rsidP="00BA62A0">
            <w:pPr>
              <w:ind w:firstLine="0"/>
              <w:contextualSpacing/>
              <w:rPr>
                <w:iCs/>
                <w:sz w:val="20"/>
                <w:lang w:val="lv-LV"/>
              </w:rPr>
            </w:pPr>
            <w:r w:rsidRPr="00550D35">
              <w:rPr>
                <w:iCs/>
                <w:sz w:val="20"/>
                <w:lang w:val="lv-LV"/>
              </w:rPr>
              <w:t xml:space="preserve">t.sk. no nacionālajiem finansēšanas avotiem: </w:t>
            </w:r>
          </w:p>
          <w:p w14:paraId="5EFB36AE" w14:textId="77777777" w:rsidR="00C77C80" w:rsidRPr="00550D35" w:rsidRDefault="00C77C80" w:rsidP="00BA62A0">
            <w:pPr>
              <w:ind w:firstLine="0"/>
              <w:contextualSpacing/>
              <w:rPr>
                <w:iCs/>
                <w:sz w:val="20"/>
                <w:lang w:val="lv-LV"/>
              </w:rPr>
            </w:pPr>
            <w:r w:rsidRPr="00550D35">
              <w:rPr>
                <w:iCs/>
                <w:sz w:val="20"/>
                <w:lang w:val="lv-LV"/>
              </w:rPr>
              <w:t>piešķirts: 6,</w:t>
            </w:r>
            <w:r w:rsidRPr="00550D35">
              <w:rPr>
                <w:sz w:val="20"/>
                <w:lang w:val="lv-LV"/>
              </w:rPr>
              <w:t>6</w:t>
            </w:r>
            <w:r w:rsidRPr="00550D35">
              <w:rPr>
                <w:iCs/>
                <w:sz w:val="20"/>
                <w:lang w:val="lv-LV"/>
              </w:rPr>
              <w:t xml:space="preserve"> </w:t>
            </w:r>
            <w:r>
              <w:rPr>
                <w:iCs/>
                <w:sz w:val="20"/>
                <w:lang w:val="lv-LV"/>
              </w:rPr>
              <w:t> </w:t>
            </w:r>
            <w:r w:rsidRPr="00550D35">
              <w:rPr>
                <w:iCs/>
                <w:sz w:val="20"/>
                <w:lang w:val="lv-LV"/>
              </w:rPr>
              <w:t>milj</w:t>
            </w:r>
            <w:r w:rsidRPr="00550D35">
              <w:rPr>
                <w:i/>
                <w:sz w:val="20"/>
                <w:lang w:val="lv-LV"/>
              </w:rPr>
              <w:t>.  </w:t>
            </w:r>
            <w:proofErr w:type="spellStart"/>
            <w:r w:rsidRPr="00550D35">
              <w:rPr>
                <w:i/>
                <w:sz w:val="20"/>
                <w:lang w:val="lv-LV"/>
              </w:rPr>
              <w:t>euro</w:t>
            </w:r>
            <w:proofErr w:type="spellEnd"/>
            <w:r w:rsidRPr="00550D35">
              <w:rPr>
                <w:iCs/>
                <w:sz w:val="20"/>
                <w:lang w:val="lv-LV"/>
              </w:rPr>
              <w:t>;</w:t>
            </w:r>
          </w:p>
          <w:p w14:paraId="666D93E4" w14:textId="77777777" w:rsidR="00C77C80" w:rsidRPr="00550D35" w:rsidRDefault="00C77C80" w:rsidP="00BA62A0">
            <w:pPr>
              <w:ind w:firstLine="0"/>
              <w:contextualSpacing/>
              <w:rPr>
                <w:iCs/>
                <w:sz w:val="20"/>
                <w:lang w:val="lv-LV"/>
              </w:rPr>
            </w:pPr>
            <w:r w:rsidRPr="00550D35">
              <w:rPr>
                <w:iCs/>
                <w:sz w:val="20"/>
                <w:lang w:val="lv-LV"/>
              </w:rPr>
              <w:t xml:space="preserve">t.sk. no ES finansēšanas avotiem (ESF 2014.-2020.): </w:t>
            </w:r>
          </w:p>
          <w:p w14:paraId="14CF7423" w14:textId="77777777" w:rsidR="00C77C80" w:rsidRPr="00550D35" w:rsidRDefault="00C77C80" w:rsidP="00BA62A0">
            <w:pPr>
              <w:ind w:firstLine="0"/>
              <w:rPr>
                <w:iCs/>
                <w:sz w:val="20"/>
                <w:lang w:val="lv-LV"/>
              </w:rPr>
            </w:pPr>
            <w:r w:rsidRPr="00550D35">
              <w:rPr>
                <w:iCs/>
                <w:sz w:val="20"/>
                <w:lang w:val="lv-LV"/>
              </w:rPr>
              <w:t xml:space="preserve">piešķirts: </w:t>
            </w:r>
            <w:r w:rsidRPr="00550D35">
              <w:rPr>
                <w:sz w:val="20"/>
                <w:lang w:val="lv-LV"/>
              </w:rPr>
              <w:t>37,4</w:t>
            </w:r>
            <w:r>
              <w:rPr>
                <w:iCs/>
                <w:sz w:val="20"/>
                <w:lang w:val="lv-LV"/>
              </w:rPr>
              <w:t> </w:t>
            </w:r>
            <w:r w:rsidRPr="00550D35">
              <w:rPr>
                <w:iCs/>
                <w:sz w:val="20"/>
                <w:lang w:val="lv-LV"/>
              </w:rPr>
              <w:t xml:space="preserve">milj. </w:t>
            </w:r>
            <w:r w:rsidRPr="00550D35">
              <w:rPr>
                <w:i/>
                <w:sz w:val="20"/>
                <w:lang w:val="lv-LV"/>
              </w:rPr>
              <w:t> </w:t>
            </w:r>
            <w:proofErr w:type="spellStart"/>
            <w:r w:rsidRPr="00550D35">
              <w:rPr>
                <w:i/>
                <w:sz w:val="20"/>
                <w:lang w:val="lv-LV"/>
              </w:rPr>
              <w:t>euro</w:t>
            </w:r>
            <w:proofErr w:type="spellEnd"/>
            <w:r w:rsidRPr="00550D35">
              <w:rPr>
                <w:iCs/>
                <w:sz w:val="20"/>
                <w:lang w:val="lv-LV"/>
              </w:rPr>
              <w:t>.</w:t>
            </w:r>
          </w:p>
        </w:tc>
      </w:tr>
      <w:tr w:rsidR="00C77C80" w:rsidRPr="00550D35" w14:paraId="5F5E9286" w14:textId="77777777" w:rsidTr="00700909">
        <w:tc>
          <w:tcPr>
            <w:tcW w:w="3192" w:type="dxa"/>
            <w:shd w:val="clear" w:color="auto" w:fill="FFFFFF" w:themeFill="background1"/>
          </w:tcPr>
          <w:p w14:paraId="27D712C8" w14:textId="77777777" w:rsidR="00C77C80" w:rsidRPr="00550D35" w:rsidRDefault="00C77C80" w:rsidP="00BA62A0">
            <w:pPr>
              <w:ind w:firstLine="0"/>
              <w:rPr>
                <w:b/>
                <w:bCs/>
                <w:sz w:val="20"/>
                <w:lang w:val="lv-LV"/>
              </w:rPr>
            </w:pPr>
            <w:r w:rsidRPr="00550D35">
              <w:rPr>
                <w:b/>
                <w:bCs/>
                <w:sz w:val="20"/>
                <w:lang w:val="lv-LV"/>
              </w:rPr>
              <w:t>Sagaidāmā ietekme un laika ietvars</w:t>
            </w:r>
          </w:p>
        </w:tc>
        <w:tc>
          <w:tcPr>
            <w:tcW w:w="5563" w:type="dxa"/>
            <w:shd w:val="clear" w:color="auto" w:fill="FFFFFF" w:themeFill="background1"/>
          </w:tcPr>
          <w:p w14:paraId="00F85502" w14:textId="77777777" w:rsidR="00C77C80" w:rsidRPr="00550D35" w:rsidRDefault="00C77C80" w:rsidP="00BA62A0">
            <w:pPr>
              <w:ind w:firstLine="0"/>
              <w:contextualSpacing/>
              <w:rPr>
                <w:rFonts w:eastAsia="Calibri"/>
                <w:iCs/>
                <w:sz w:val="20"/>
                <w:lang w:val="lv-LV"/>
              </w:rPr>
            </w:pPr>
            <w:r w:rsidRPr="00550D35">
              <w:rPr>
                <w:rFonts w:eastAsia="Calibri"/>
                <w:iCs/>
                <w:sz w:val="20"/>
                <w:lang w:val="lv-LV"/>
              </w:rPr>
              <w:t>Pasākums sniegs ieguldījumu KPI “Vismaz pamata digitālās prasmes” plānotās mērķa vērtības sasniegšanā, nodrošinot pieejamību digitālo kompetenču pilnveidošanai. Tiks p</w:t>
            </w:r>
            <w:r w:rsidRPr="00550D35">
              <w:rPr>
                <w:iCs/>
                <w:sz w:val="20"/>
                <w:lang w:val="lv-LV"/>
              </w:rPr>
              <w:t>ilnveidota nodarbināto personu profesionālā kompetence, lai laikus novērstu darbaspēka kvalifikācijas neatbilstību darba tirgus pieprasījumam, veicinātu strādājošo konkurētspēju un darba produktivitātes pieaugumu.</w:t>
            </w:r>
          </w:p>
          <w:p w14:paraId="51E1D2BE" w14:textId="77777777" w:rsidR="00C77C80" w:rsidRPr="00550D35" w:rsidRDefault="00C77C80" w:rsidP="00BA62A0">
            <w:pPr>
              <w:ind w:firstLine="0"/>
              <w:contextualSpacing/>
              <w:rPr>
                <w:rFonts w:eastAsia="Calibri"/>
                <w:iCs/>
                <w:sz w:val="20"/>
                <w:lang w:val="lv-LV"/>
              </w:rPr>
            </w:pPr>
            <w:r w:rsidRPr="00550D35">
              <w:rPr>
                <w:rFonts w:eastAsia="Calibri"/>
                <w:iCs/>
                <w:sz w:val="20"/>
                <w:lang w:val="lv-LV"/>
              </w:rPr>
              <w:t>Projekta laika ietvars 2017.-2023.gads.</w:t>
            </w:r>
          </w:p>
        </w:tc>
      </w:tr>
    </w:tbl>
    <w:p w14:paraId="4A27F945" w14:textId="77777777" w:rsidR="00C77C80" w:rsidRPr="00550D35" w:rsidRDefault="00C77C80" w:rsidP="00C77C80">
      <w:pPr>
        <w:ind w:firstLine="0"/>
        <w:rPr>
          <w:b/>
          <w:bCs/>
          <w:sz w:val="20"/>
          <w:lang w:val="lv-LV"/>
        </w:rPr>
      </w:pPr>
    </w:p>
    <w:tbl>
      <w:tblPr>
        <w:tblStyle w:val="TableGrid"/>
        <w:tblW w:w="8784" w:type="dxa"/>
        <w:tblLook w:val="04A0" w:firstRow="1" w:lastRow="0" w:firstColumn="1" w:lastColumn="0" w:noHBand="0" w:noVBand="1"/>
      </w:tblPr>
      <w:tblGrid>
        <w:gridCol w:w="3192"/>
        <w:gridCol w:w="5592"/>
      </w:tblGrid>
      <w:tr w:rsidR="00C77C80" w:rsidRPr="003B2E9A" w14:paraId="64AC0134" w14:textId="77777777" w:rsidTr="00BA62A0">
        <w:tc>
          <w:tcPr>
            <w:tcW w:w="8784" w:type="dxa"/>
            <w:gridSpan w:val="2"/>
          </w:tcPr>
          <w:p w14:paraId="7A9296B1" w14:textId="2E56F5D9" w:rsidR="00C77C80" w:rsidRPr="00550D35" w:rsidRDefault="00C77C80" w:rsidP="00BA62A0">
            <w:pPr>
              <w:ind w:firstLine="0"/>
              <w:contextualSpacing/>
              <w:rPr>
                <w:rFonts w:eastAsia="MS Minngs"/>
                <w:sz w:val="20"/>
                <w:lang w:val="lv-LV"/>
              </w:rPr>
            </w:pPr>
            <w:r w:rsidRPr="00550D35">
              <w:rPr>
                <w:b/>
                <w:bCs/>
                <w:sz w:val="20"/>
                <w:lang w:val="lv-LV"/>
              </w:rPr>
              <w:t xml:space="preserve">Pasākums Nr. 2 –ESF Plus 4.2.4.2. </w:t>
            </w:r>
            <w:r>
              <w:rPr>
                <w:b/>
                <w:bCs/>
                <w:sz w:val="20"/>
                <w:lang w:val="lv-LV"/>
              </w:rPr>
              <w:t>pasākums</w:t>
            </w:r>
            <w:r w:rsidRPr="00550D35">
              <w:rPr>
                <w:b/>
                <w:bCs/>
                <w:sz w:val="20"/>
                <w:lang w:val="lv-LV"/>
              </w:rPr>
              <w:t xml:space="preserve"> “Atbalsts pieaugušo individuālajās vajadzībās balstītai pieaugušo izglītībai”</w:t>
            </w:r>
          </w:p>
        </w:tc>
      </w:tr>
      <w:tr w:rsidR="00C77C80" w:rsidRPr="00550D35" w14:paraId="4EDB2EFB" w14:textId="77777777" w:rsidTr="00BA62A0">
        <w:tc>
          <w:tcPr>
            <w:tcW w:w="3192" w:type="dxa"/>
          </w:tcPr>
          <w:p w14:paraId="35B7204D" w14:textId="77777777" w:rsidR="00C77C80" w:rsidRPr="00550D35" w:rsidRDefault="00C77C80" w:rsidP="00BA62A0">
            <w:pPr>
              <w:ind w:firstLine="0"/>
              <w:rPr>
                <w:b/>
                <w:bCs/>
                <w:sz w:val="20"/>
                <w:lang w:val="lv-LV"/>
              </w:rPr>
            </w:pPr>
            <w:r w:rsidRPr="00550D35">
              <w:rPr>
                <w:b/>
                <w:bCs/>
                <w:sz w:val="20"/>
                <w:lang w:val="lv-LV"/>
              </w:rPr>
              <w:t>Jauns pasākums</w:t>
            </w:r>
          </w:p>
        </w:tc>
        <w:tc>
          <w:tcPr>
            <w:tcW w:w="5592" w:type="dxa"/>
          </w:tcPr>
          <w:p w14:paraId="4D5EFFD7"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172216797"/>
                <w14:checkbox>
                  <w14:checked w14:val="1"/>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sz w:val="22"/>
                <w:szCs w:val="22"/>
                <w:lang w:val="lv-LV"/>
              </w:rPr>
              <w:t>jā</w:t>
            </w:r>
          </w:p>
          <w:p w14:paraId="5089BB17"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641890810"/>
                <w14:checkbox>
                  <w14:checked w14:val="1"/>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rFonts w:eastAsia="MS Minngs"/>
                <w:sz w:val="22"/>
                <w:szCs w:val="22"/>
                <w:lang w:val="lv-LV"/>
              </w:rPr>
              <w:t xml:space="preserve"> </w:t>
            </w:r>
            <w:r w:rsidR="00C77C80" w:rsidRPr="00550D35">
              <w:rPr>
                <w:sz w:val="22"/>
                <w:szCs w:val="22"/>
                <w:lang w:val="lv-LV"/>
              </w:rPr>
              <w:t>nē</w:t>
            </w:r>
          </w:p>
        </w:tc>
      </w:tr>
      <w:tr w:rsidR="00C77C80" w:rsidRPr="003B2E9A" w14:paraId="2F536287" w14:textId="77777777" w:rsidTr="00BA62A0">
        <w:tc>
          <w:tcPr>
            <w:tcW w:w="3192" w:type="dxa"/>
          </w:tcPr>
          <w:p w14:paraId="49A633EA" w14:textId="77777777" w:rsidR="00C77C80" w:rsidRPr="00550D35" w:rsidRDefault="00C77C80" w:rsidP="00BA62A0">
            <w:pPr>
              <w:ind w:firstLine="0"/>
              <w:rPr>
                <w:b/>
                <w:bCs/>
                <w:sz w:val="20"/>
                <w:lang w:val="lv-LV"/>
              </w:rPr>
            </w:pPr>
            <w:r w:rsidRPr="00550D35">
              <w:rPr>
                <w:b/>
                <w:bCs/>
                <w:sz w:val="20"/>
                <w:lang w:val="lv-LV"/>
              </w:rPr>
              <w:lastRenderedPageBreak/>
              <w:t>Īss pasākuma apraksts</w:t>
            </w:r>
          </w:p>
        </w:tc>
        <w:tc>
          <w:tcPr>
            <w:tcW w:w="5592" w:type="dxa"/>
          </w:tcPr>
          <w:p w14:paraId="082284F5" w14:textId="5CFE7F98" w:rsidR="00C77C80" w:rsidRPr="00550D35" w:rsidRDefault="00C77C80" w:rsidP="00BA62A0">
            <w:pPr>
              <w:ind w:firstLine="0"/>
              <w:contextualSpacing/>
              <w:rPr>
                <w:sz w:val="20"/>
                <w:lang w:val="lv-LV"/>
              </w:rPr>
            </w:pPr>
            <w:r w:rsidRPr="00550D35">
              <w:rPr>
                <w:sz w:val="20"/>
                <w:lang w:val="lv-LV"/>
              </w:rPr>
              <w:t xml:space="preserve">4.2.4.2. </w:t>
            </w:r>
            <w:r w:rsidR="00F62088">
              <w:rPr>
                <w:sz w:val="20"/>
                <w:lang w:val="lv-LV"/>
              </w:rPr>
              <w:t>pasākums</w:t>
            </w:r>
            <w:r w:rsidR="00F62088" w:rsidRPr="00550D35">
              <w:rPr>
                <w:sz w:val="20"/>
                <w:lang w:val="lv-LV"/>
              </w:rPr>
              <w:t xml:space="preserve"> </w:t>
            </w:r>
            <w:r w:rsidRPr="00550D35">
              <w:rPr>
                <w:sz w:val="20"/>
                <w:lang w:val="lv-LV"/>
              </w:rPr>
              <w:t>“Atbalsts pieaugušo individuālajās vajadzībās balstītai pieaugušo izglītībai” īstenošana iecerēts kā projekta 8.4.1.“Nodarbināto personu profesionālās kompetences pilnveide” turpinājums.</w:t>
            </w:r>
          </w:p>
        </w:tc>
      </w:tr>
      <w:tr w:rsidR="00C77C80" w:rsidRPr="00550D35" w14:paraId="6A8C70DC" w14:textId="77777777" w:rsidTr="00BA62A0">
        <w:tc>
          <w:tcPr>
            <w:tcW w:w="3192" w:type="dxa"/>
            <w:shd w:val="clear" w:color="auto" w:fill="auto"/>
          </w:tcPr>
          <w:p w14:paraId="2CF79F60" w14:textId="65BAF168" w:rsidR="00C77C80" w:rsidRPr="00550D35" w:rsidRDefault="00C77C80" w:rsidP="00BA62A0">
            <w:pPr>
              <w:ind w:firstLine="0"/>
              <w:rPr>
                <w:b/>
                <w:bCs/>
                <w:sz w:val="20"/>
                <w:lang w:val="lv-LV"/>
              </w:rPr>
            </w:pPr>
            <w:r w:rsidRPr="00550D35">
              <w:rPr>
                <w:b/>
                <w:bCs/>
                <w:sz w:val="20"/>
                <w:lang w:val="lv-LV"/>
              </w:rPr>
              <w:t>Piešķirtais vai plānotais budžets un, ja atbilstoši, citi resursi</w:t>
            </w:r>
          </w:p>
        </w:tc>
        <w:tc>
          <w:tcPr>
            <w:tcW w:w="5592" w:type="dxa"/>
            <w:shd w:val="clear" w:color="auto" w:fill="auto"/>
          </w:tcPr>
          <w:p w14:paraId="32A9E08C" w14:textId="77777777" w:rsidR="00C77C80" w:rsidRPr="00550D35" w:rsidRDefault="00C77C80" w:rsidP="00BA62A0">
            <w:pPr>
              <w:ind w:firstLine="0"/>
              <w:contextualSpacing/>
              <w:rPr>
                <w:sz w:val="20"/>
                <w:lang w:val="lv-LV"/>
              </w:rPr>
            </w:pPr>
            <w:r w:rsidRPr="00550D35">
              <w:rPr>
                <w:sz w:val="20"/>
                <w:lang w:val="lv-LV"/>
              </w:rPr>
              <w:t xml:space="preserve">Publiskā sektora ieguldījumi: </w:t>
            </w:r>
          </w:p>
          <w:p w14:paraId="3A1816F4" w14:textId="32C3B7CC" w:rsidR="00C77C80" w:rsidRPr="00550D35" w:rsidRDefault="00C77C80" w:rsidP="00BA62A0">
            <w:pPr>
              <w:contextualSpacing/>
              <w:rPr>
                <w:sz w:val="20"/>
                <w:lang w:val="lv-LV"/>
              </w:rPr>
            </w:pPr>
            <w:r w:rsidRPr="00550D35">
              <w:rPr>
                <w:sz w:val="20"/>
                <w:lang w:val="lv-LV"/>
              </w:rPr>
              <w:t>piešķirts: 34,6 milj.  </w:t>
            </w:r>
            <w:proofErr w:type="spellStart"/>
            <w:r w:rsidRPr="00550D35">
              <w:rPr>
                <w:i/>
                <w:sz w:val="20"/>
                <w:lang w:val="lv-LV"/>
              </w:rPr>
              <w:t>euro</w:t>
            </w:r>
            <w:proofErr w:type="spellEnd"/>
            <w:r w:rsidRPr="00550D35">
              <w:rPr>
                <w:sz w:val="20"/>
                <w:lang w:val="lv-LV"/>
              </w:rPr>
              <w:t xml:space="preserve"> – no </w:t>
            </w:r>
            <w:r>
              <w:rPr>
                <w:sz w:val="20"/>
                <w:lang w:val="lv-LV"/>
              </w:rPr>
              <w:t>pasākuma</w:t>
            </w:r>
            <w:r w:rsidRPr="00550D35">
              <w:rPr>
                <w:sz w:val="20"/>
                <w:lang w:val="lv-LV"/>
              </w:rPr>
              <w:t xml:space="preserve"> 4.2.4.2</w:t>
            </w:r>
            <w:r w:rsidR="00BE6465">
              <w:rPr>
                <w:sz w:val="20"/>
                <w:lang w:val="lv-LV"/>
              </w:rPr>
              <w:t>.</w:t>
            </w:r>
          </w:p>
          <w:p w14:paraId="49355C0B" w14:textId="77777777" w:rsidR="00C77C80" w:rsidRPr="00550D35" w:rsidRDefault="00C77C80" w:rsidP="00BA62A0">
            <w:pPr>
              <w:ind w:firstLine="0"/>
              <w:contextualSpacing/>
              <w:rPr>
                <w:sz w:val="20"/>
                <w:lang w:val="lv-LV"/>
              </w:rPr>
            </w:pPr>
            <w:r w:rsidRPr="00550D35">
              <w:rPr>
                <w:sz w:val="20"/>
                <w:lang w:val="lv-LV"/>
              </w:rPr>
              <w:t xml:space="preserve">t.sk. no nacionālajiem finanšu avotiem: </w:t>
            </w:r>
          </w:p>
          <w:p w14:paraId="1F18DDD3" w14:textId="196EE90D" w:rsidR="00C77C80" w:rsidRPr="00550D35" w:rsidRDefault="00C77C80" w:rsidP="00BA62A0">
            <w:pPr>
              <w:contextualSpacing/>
              <w:rPr>
                <w:sz w:val="20"/>
                <w:lang w:val="lv-LV"/>
              </w:rPr>
            </w:pPr>
            <w:r w:rsidRPr="00550D35">
              <w:rPr>
                <w:sz w:val="20"/>
                <w:lang w:val="lv-LV"/>
              </w:rPr>
              <w:t>piešķirts: 5,2 milj.  </w:t>
            </w:r>
            <w:proofErr w:type="spellStart"/>
            <w:r w:rsidRPr="00550D35">
              <w:rPr>
                <w:i/>
                <w:sz w:val="20"/>
                <w:lang w:val="lv-LV"/>
              </w:rPr>
              <w:t>euro</w:t>
            </w:r>
            <w:proofErr w:type="spellEnd"/>
            <w:r w:rsidRPr="00550D35">
              <w:rPr>
                <w:sz w:val="20"/>
                <w:lang w:val="lv-LV"/>
              </w:rPr>
              <w:t xml:space="preserve"> - </w:t>
            </w:r>
            <w:r>
              <w:rPr>
                <w:sz w:val="20"/>
                <w:lang w:val="lv-LV"/>
              </w:rPr>
              <w:t>pasākuma</w:t>
            </w:r>
            <w:r w:rsidRPr="00550D35">
              <w:rPr>
                <w:sz w:val="20"/>
                <w:lang w:val="lv-LV"/>
              </w:rPr>
              <w:t xml:space="preserve"> 4.2.4.2</w:t>
            </w:r>
            <w:r w:rsidR="00BE6465">
              <w:rPr>
                <w:sz w:val="20"/>
                <w:lang w:val="lv-LV"/>
              </w:rPr>
              <w:t>.</w:t>
            </w:r>
          </w:p>
          <w:p w14:paraId="1802BA9A" w14:textId="77777777" w:rsidR="00C77C80" w:rsidRPr="00550D35" w:rsidRDefault="00C77C80" w:rsidP="00BA62A0">
            <w:pPr>
              <w:ind w:firstLine="0"/>
              <w:contextualSpacing/>
              <w:rPr>
                <w:sz w:val="20"/>
                <w:lang w:val="lv-LV"/>
              </w:rPr>
            </w:pPr>
            <w:r w:rsidRPr="00550D35">
              <w:rPr>
                <w:sz w:val="20"/>
                <w:lang w:val="lv-LV"/>
              </w:rPr>
              <w:t>t.sk. no ES finanšu avotiem:</w:t>
            </w:r>
          </w:p>
          <w:p w14:paraId="3BBD5C58" w14:textId="4EEF4654" w:rsidR="00C77C80" w:rsidRPr="00550D35" w:rsidRDefault="00C77C80" w:rsidP="00BA62A0">
            <w:pPr>
              <w:contextualSpacing/>
              <w:rPr>
                <w:rFonts w:eastAsia="Calibri"/>
                <w:sz w:val="20"/>
                <w:lang w:val="lv-LV"/>
              </w:rPr>
            </w:pPr>
            <w:r w:rsidRPr="00550D35">
              <w:rPr>
                <w:sz w:val="20"/>
                <w:lang w:val="lv-LV"/>
              </w:rPr>
              <w:t>plānots: 29,4 milj.  </w:t>
            </w:r>
            <w:proofErr w:type="spellStart"/>
            <w:r w:rsidRPr="00550D35">
              <w:rPr>
                <w:i/>
                <w:sz w:val="20"/>
                <w:lang w:val="lv-LV"/>
              </w:rPr>
              <w:t>euro</w:t>
            </w:r>
            <w:proofErr w:type="spellEnd"/>
            <w:r w:rsidRPr="00550D35">
              <w:rPr>
                <w:sz w:val="20"/>
                <w:lang w:val="lv-LV"/>
              </w:rPr>
              <w:t xml:space="preserve"> – </w:t>
            </w:r>
            <w:r>
              <w:rPr>
                <w:sz w:val="20"/>
                <w:lang w:val="lv-LV"/>
              </w:rPr>
              <w:t>pasākuma</w:t>
            </w:r>
            <w:r w:rsidRPr="00550D35">
              <w:rPr>
                <w:sz w:val="20"/>
                <w:lang w:val="lv-LV"/>
              </w:rPr>
              <w:t xml:space="preserve"> 4.2.4.2</w:t>
            </w:r>
            <w:r w:rsidR="00BE6465">
              <w:rPr>
                <w:sz w:val="20"/>
                <w:lang w:val="lv-LV"/>
              </w:rPr>
              <w:t>.</w:t>
            </w:r>
          </w:p>
        </w:tc>
      </w:tr>
      <w:tr w:rsidR="00C77C80" w:rsidRPr="00550D35" w14:paraId="744F3F56" w14:textId="77777777" w:rsidTr="00BA62A0">
        <w:tc>
          <w:tcPr>
            <w:tcW w:w="3192" w:type="dxa"/>
          </w:tcPr>
          <w:p w14:paraId="28D2A069" w14:textId="77777777" w:rsidR="00C77C80" w:rsidRPr="00550D35" w:rsidRDefault="00C77C80" w:rsidP="00BA62A0">
            <w:pPr>
              <w:ind w:firstLine="0"/>
              <w:rPr>
                <w:b/>
                <w:bCs/>
                <w:sz w:val="20"/>
                <w:lang w:val="lv-LV"/>
              </w:rPr>
            </w:pPr>
            <w:r w:rsidRPr="00550D35">
              <w:rPr>
                <w:b/>
                <w:bCs/>
                <w:sz w:val="20"/>
                <w:lang w:val="lv-LV"/>
              </w:rPr>
              <w:t>Sagaidāmā ietekme un laika ietvars</w:t>
            </w:r>
          </w:p>
        </w:tc>
        <w:tc>
          <w:tcPr>
            <w:tcW w:w="5592" w:type="dxa"/>
          </w:tcPr>
          <w:p w14:paraId="3360929E" w14:textId="77777777" w:rsidR="00C77C80" w:rsidRPr="00550D35" w:rsidRDefault="00C77C80" w:rsidP="00BA62A0">
            <w:pPr>
              <w:ind w:firstLine="0"/>
              <w:contextualSpacing/>
              <w:rPr>
                <w:sz w:val="20"/>
                <w:lang w:val="lv-LV"/>
              </w:rPr>
            </w:pPr>
            <w:r w:rsidRPr="00550D35">
              <w:rPr>
                <w:rFonts w:eastAsia="Calibri"/>
                <w:iCs/>
                <w:sz w:val="20"/>
                <w:lang w:val="lv-LV"/>
              </w:rPr>
              <w:t xml:space="preserve">Pasākums sniegs ieguldījumu KPI “Vismaz pamata digitālās prasmes” plānotās mērķa vērtības sasniegšanā, nodrošinot pieejamību digitālo kompetenču pilnveidošanai. </w:t>
            </w:r>
            <w:r w:rsidRPr="00550D35">
              <w:rPr>
                <w:sz w:val="20"/>
                <w:lang w:val="lv-LV"/>
              </w:rPr>
              <w:t>Kopā šajā pasākumā līdz 2029.gada beigām plānots iesaistīt 35 tūkst. nodarbinātas personas.</w:t>
            </w:r>
          </w:p>
          <w:p w14:paraId="1AE59343" w14:textId="77777777" w:rsidR="00C77C80" w:rsidRPr="00550D35" w:rsidRDefault="00C77C80" w:rsidP="00BA62A0">
            <w:pPr>
              <w:ind w:firstLine="0"/>
              <w:contextualSpacing/>
              <w:rPr>
                <w:rFonts w:eastAsia="Calibri"/>
                <w:sz w:val="20"/>
                <w:lang w:val="lv-LV"/>
              </w:rPr>
            </w:pPr>
            <w:r w:rsidRPr="00550D35">
              <w:rPr>
                <w:rFonts w:eastAsia="Calibri"/>
                <w:sz w:val="20"/>
                <w:lang w:val="lv-LV"/>
              </w:rPr>
              <w:t xml:space="preserve">Projekta laika ietvars 01.01.2024.-31.12.2029. </w:t>
            </w:r>
          </w:p>
        </w:tc>
      </w:tr>
    </w:tbl>
    <w:p w14:paraId="1F3DC9D2" w14:textId="77777777" w:rsidR="00C77C80" w:rsidRPr="00550D35" w:rsidRDefault="00C77C80" w:rsidP="00C77C80">
      <w:pPr>
        <w:ind w:firstLine="0"/>
        <w:rPr>
          <w:b/>
          <w:bCs/>
          <w:sz w:val="20"/>
          <w:lang w:val="lv-LV"/>
        </w:rPr>
      </w:pPr>
    </w:p>
    <w:tbl>
      <w:tblPr>
        <w:tblStyle w:val="TableGrid"/>
        <w:tblW w:w="8784" w:type="dxa"/>
        <w:tblLook w:val="04A0" w:firstRow="1" w:lastRow="0" w:firstColumn="1" w:lastColumn="0" w:noHBand="0" w:noVBand="1"/>
      </w:tblPr>
      <w:tblGrid>
        <w:gridCol w:w="3192"/>
        <w:gridCol w:w="5592"/>
      </w:tblGrid>
      <w:tr w:rsidR="00C77C80" w:rsidRPr="003B2E9A" w14:paraId="24462377" w14:textId="77777777" w:rsidTr="00BA62A0">
        <w:tc>
          <w:tcPr>
            <w:tcW w:w="8784" w:type="dxa"/>
            <w:gridSpan w:val="2"/>
          </w:tcPr>
          <w:p w14:paraId="20742F45" w14:textId="77777777" w:rsidR="00C77C80" w:rsidRPr="00550D35" w:rsidRDefault="00C77C80" w:rsidP="00BA62A0">
            <w:pPr>
              <w:ind w:firstLine="0"/>
              <w:contextualSpacing/>
              <w:rPr>
                <w:rFonts w:eastAsia="MS Minngs"/>
                <w:sz w:val="20"/>
                <w:lang w:val="lv-LV"/>
              </w:rPr>
            </w:pPr>
            <w:r w:rsidRPr="00550D35">
              <w:rPr>
                <w:b/>
                <w:bCs/>
                <w:sz w:val="20"/>
                <w:lang w:val="lv-LV"/>
              </w:rPr>
              <w:t xml:space="preserve">Pasākums Nr.3 – ANM plāna investīcija </w:t>
            </w:r>
            <w:r w:rsidRPr="00455B1F">
              <w:rPr>
                <w:b/>
                <w:bCs/>
                <w:sz w:val="20"/>
                <w:lang w:val="lv-LV"/>
              </w:rPr>
              <w:t xml:space="preserve">2.3.1.4.i.  </w:t>
            </w:r>
            <w:r w:rsidRPr="00550D35">
              <w:rPr>
                <w:b/>
                <w:bCs/>
                <w:sz w:val="20"/>
                <w:lang w:val="lv-LV"/>
              </w:rPr>
              <w:t>“Individuālo mācību kontu pieejas attīstība”</w:t>
            </w:r>
          </w:p>
        </w:tc>
      </w:tr>
      <w:tr w:rsidR="00C77C80" w:rsidRPr="00550D35" w14:paraId="7DF7D053" w14:textId="77777777" w:rsidTr="00BA62A0">
        <w:tc>
          <w:tcPr>
            <w:tcW w:w="3192" w:type="dxa"/>
          </w:tcPr>
          <w:p w14:paraId="31CB44F4" w14:textId="77777777" w:rsidR="00C77C80" w:rsidRPr="00550D35" w:rsidRDefault="00C77C80" w:rsidP="00BA62A0">
            <w:pPr>
              <w:rPr>
                <w:b/>
                <w:bCs/>
                <w:sz w:val="20"/>
                <w:lang w:val="lv-LV"/>
              </w:rPr>
            </w:pPr>
            <w:r w:rsidRPr="00550D35">
              <w:rPr>
                <w:b/>
                <w:bCs/>
                <w:sz w:val="20"/>
                <w:lang w:val="lv-LV"/>
              </w:rPr>
              <w:t>Jauns pasākums</w:t>
            </w:r>
          </w:p>
        </w:tc>
        <w:tc>
          <w:tcPr>
            <w:tcW w:w="5592" w:type="dxa"/>
          </w:tcPr>
          <w:p w14:paraId="5E210B5F"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51291532"/>
                <w14:checkbox>
                  <w14:checked w14:val="1"/>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sz w:val="22"/>
                <w:szCs w:val="22"/>
                <w:lang w:val="lv-LV"/>
              </w:rPr>
              <w:t>jā</w:t>
            </w:r>
          </w:p>
          <w:p w14:paraId="34BE2756"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336909349"/>
                <w14:checkbox>
                  <w14:checked w14:val="0"/>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rFonts w:eastAsia="MS Minngs"/>
                <w:sz w:val="22"/>
                <w:szCs w:val="22"/>
                <w:lang w:val="lv-LV"/>
              </w:rPr>
              <w:t xml:space="preserve"> </w:t>
            </w:r>
            <w:r w:rsidR="00C77C80" w:rsidRPr="00550D35">
              <w:rPr>
                <w:sz w:val="22"/>
                <w:szCs w:val="22"/>
                <w:lang w:val="lv-LV"/>
              </w:rPr>
              <w:t>nē</w:t>
            </w:r>
          </w:p>
        </w:tc>
      </w:tr>
      <w:tr w:rsidR="00C77C80" w:rsidRPr="00550D35" w14:paraId="7A3EB34E" w14:textId="77777777" w:rsidTr="00BA62A0">
        <w:tc>
          <w:tcPr>
            <w:tcW w:w="3192" w:type="dxa"/>
          </w:tcPr>
          <w:p w14:paraId="2700084D" w14:textId="77777777" w:rsidR="00C77C80" w:rsidRPr="00550D35" w:rsidRDefault="00C77C80" w:rsidP="00BA62A0">
            <w:pPr>
              <w:ind w:firstLine="0"/>
              <w:rPr>
                <w:b/>
                <w:bCs/>
                <w:sz w:val="20"/>
                <w:lang w:val="lv-LV"/>
              </w:rPr>
            </w:pPr>
            <w:r w:rsidRPr="00550D35">
              <w:rPr>
                <w:b/>
                <w:bCs/>
                <w:sz w:val="20"/>
                <w:lang w:val="lv-LV"/>
              </w:rPr>
              <w:t>Īss pasākuma apraksts</w:t>
            </w:r>
          </w:p>
          <w:p w14:paraId="474B2719" w14:textId="77777777" w:rsidR="00C77C80" w:rsidRPr="00550D35" w:rsidRDefault="00C77C80" w:rsidP="00BA62A0">
            <w:pPr>
              <w:rPr>
                <w:b/>
                <w:sz w:val="20"/>
                <w:lang w:val="lv-LV"/>
              </w:rPr>
            </w:pPr>
          </w:p>
        </w:tc>
        <w:tc>
          <w:tcPr>
            <w:tcW w:w="5592" w:type="dxa"/>
          </w:tcPr>
          <w:p w14:paraId="2927BB9B" w14:textId="77777777" w:rsidR="00C77C80" w:rsidRPr="00550D35" w:rsidRDefault="00C77C80" w:rsidP="00BA62A0">
            <w:pPr>
              <w:ind w:firstLine="0"/>
              <w:contextualSpacing/>
              <w:rPr>
                <w:iCs/>
                <w:sz w:val="20"/>
                <w:lang w:val="lv-LV"/>
              </w:rPr>
            </w:pPr>
            <w:r w:rsidRPr="00550D35">
              <w:rPr>
                <w:iCs/>
                <w:sz w:val="20"/>
                <w:lang w:val="lv-LV"/>
              </w:rPr>
              <w:t>Pasākuma ietvaros plānots attīstīt un aprobēt Latvijas kontekstam atbilstošu individuālo mācību kontu konceptu, kas stiprina indivīda mācību ceļu īstenošanu, pārvaldību un informācijas par mācīšanas rezultātiem uzglabāšanu, kā arī sekmēt pieaugušo dalību izglītībā, palīdzot apgūt un pilnveidot sabiedrības digitālās prasmes, tostarp veicinot piekļuvi starptautisku un ārvalstu mācību platformu mācību iespējām, izmantojot individuālo mācību kontu resursus.</w:t>
            </w:r>
          </w:p>
          <w:p w14:paraId="7454F4C2" w14:textId="77777777" w:rsidR="00C77C80" w:rsidRPr="00550D35" w:rsidRDefault="00C77C80" w:rsidP="00BA62A0">
            <w:pPr>
              <w:ind w:firstLine="0"/>
              <w:contextualSpacing/>
              <w:rPr>
                <w:iCs/>
                <w:sz w:val="20"/>
                <w:lang w:val="lv-LV"/>
              </w:rPr>
            </w:pPr>
            <w:r w:rsidRPr="00550D35">
              <w:rPr>
                <w:iCs/>
                <w:sz w:val="20"/>
                <w:lang w:val="lv-LV"/>
              </w:rPr>
              <w:t xml:space="preserve">ANM plāna investīcija ir daļa no Latvijas definētā ANM plāna 2.komponentes “Digitālā transformācija” reformu un investīciju virziena 2.3. “Digitālās prasmes”. </w:t>
            </w:r>
          </w:p>
        </w:tc>
      </w:tr>
      <w:tr w:rsidR="00C77C80" w:rsidRPr="00550D35" w14:paraId="0C7FC364" w14:textId="77777777" w:rsidTr="00BA62A0">
        <w:tc>
          <w:tcPr>
            <w:tcW w:w="3192" w:type="dxa"/>
            <w:shd w:val="clear" w:color="auto" w:fill="auto"/>
          </w:tcPr>
          <w:p w14:paraId="5271A8DA" w14:textId="6392644C" w:rsidR="00C77C80" w:rsidRPr="00550D35" w:rsidRDefault="00C77C80" w:rsidP="00BA62A0">
            <w:pPr>
              <w:ind w:firstLine="0"/>
              <w:rPr>
                <w:b/>
                <w:bCs/>
                <w:sz w:val="20"/>
                <w:lang w:val="lv-LV"/>
              </w:rPr>
            </w:pPr>
            <w:r w:rsidRPr="00550D35">
              <w:rPr>
                <w:b/>
                <w:bCs/>
                <w:sz w:val="20"/>
                <w:lang w:val="lv-LV"/>
              </w:rPr>
              <w:t>Piešķirtais vai plānotais budžets un, ja atbilstoši, citi resursi</w:t>
            </w:r>
          </w:p>
        </w:tc>
        <w:tc>
          <w:tcPr>
            <w:tcW w:w="5592" w:type="dxa"/>
            <w:shd w:val="clear" w:color="auto" w:fill="auto"/>
          </w:tcPr>
          <w:p w14:paraId="6D67943A" w14:textId="77777777" w:rsidR="00C77C80" w:rsidRPr="00550D35" w:rsidRDefault="00C77C80" w:rsidP="00BA62A0">
            <w:pPr>
              <w:ind w:firstLine="0"/>
              <w:contextualSpacing/>
              <w:rPr>
                <w:iCs/>
                <w:sz w:val="20"/>
                <w:lang w:val="lv-LV"/>
              </w:rPr>
            </w:pPr>
            <w:r w:rsidRPr="00550D35">
              <w:rPr>
                <w:iCs/>
                <w:sz w:val="20"/>
                <w:lang w:val="lv-LV"/>
              </w:rPr>
              <w:t xml:space="preserve">Publiskā sektora ieguldījumi: </w:t>
            </w:r>
          </w:p>
          <w:p w14:paraId="39AE5787" w14:textId="77777777" w:rsidR="00C77C80" w:rsidRPr="00550D35" w:rsidRDefault="00C77C80" w:rsidP="00BA62A0">
            <w:pPr>
              <w:ind w:left="720" w:firstLine="0"/>
              <w:contextualSpacing/>
              <w:rPr>
                <w:iCs/>
                <w:sz w:val="20"/>
                <w:lang w:val="lv-LV"/>
              </w:rPr>
            </w:pPr>
            <w:r w:rsidRPr="00550D35">
              <w:rPr>
                <w:iCs/>
                <w:sz w:val="20"/>
                <w:lang w:val="lv-LV"/>
              </w:rPr>
              <w:t>piešķirts: nav piešķirts,</w:t>
            </w:r>
          </w:p>
          <w:p w14:paraId="7060A397" w14:textId="77777777" w:rsidR="00C77C80" w:rsidRPr="00550D35" w:rsidRDefault="00C77C80" w:rsidP="00BA62A0">
            <w:pPr>
              <w:ind w:left="720" w:firstLine="0"/>
              <w:contextualSpacing/>
              <w:rPr>
                <w:iCs/>
                <w:sz w:val="20"/>
                <w:lang w:val="lv-LV"/>
              </w:rPr>
            </w:pPr>
            <w:r w:rsidRPr="00550D35">
              <w:rPr>
                <w:iCs/>
                <w:sz w:val="20"/>
                <w:lang w:val="lv-LV"/>
              </w:rPr>
              <w:t>plānots: 15,1  milj.  </w:t>
            </w:r>
            <w:proofErr w:type="spellStart"/>
            <w:r w:rsidRPr="00550D35">
              <w:rPr>
                <w:i/>
                <w:iCs/>
                <w:sz w:val="20"/>
                <w:lang w:val="lv-LV"/>
              </w:rPr>
              <w:t>euro</w:t>
            </w:r>
            <w:proofErr w:type="spellEnd"/>
            <w:r w:rsidRPr="00550D35">
              <w:rPr>
                <w:iCs/>
                <w:sz w:val="20"/>
                <w:lang w:val="lv-LV"/>
              </w:rPr>
              <w:t xml:space="preserve">; </w:t>
            </w:r>
          </w:p>
          <w:p w14:paraId="4670D7FC" w14:textId="77777777" w:rsidR="00C77C80" w:rsidRPr="00550D35" w:rsidRDefault="00C77C80" w:rsidP="00BA62A0">
            <w:pPr>
              <w:ind w:firstLine="0"/>
              <w:contextualSpacing/>
              <w:rPr>
                <w:iCs/>
                <w:sz w:val="20"/>
                <w:lang w:val="lv-LV"/>
              </w:rPr>
            </w:pPr>
            <w:r w:rsidRPr="00550D35">
              <w:rPr>
                <w:iCs/>
                <w:sz w:val="20"/>
                <w:lang w:val="lv-LV"/>
              </w:rPr>
              <w:t xml:space="preserve">t.sk. no nacionālajiem finansēšanas avotiem: </w:t>
            </w:r>
          </w:p>
          <w:p w14:paraId="721AA966" w14:textId="77777777" w:rsidR="00C77C80" w:rsidRPr="00550D35" w:rsidRDefault="00C77C80" w:rsidP="00BA62A0">
            <w:pPr>
              <w:ind w:left="720" w:firstLine="0"/>
              <w:contextualSpacing/>
              <w:rPr>
                <w:iCs/>
                <w:sz w:val="20"/>
                <w:lang w:val="lv-LV"/>
              </w:rPr>
            </w:pPr>
            <w:r w:rsidRPr="00550D35">
              <w:rPr>
                <w:iCs/>
                <w:sz w:val="20"/>
                <w:lang w:val="lv-LV"/>
              </w:rPr>
              <w:t>piešķirts: nav piešķirts</w:t>
            </w:r>
          </w:p>
          <w:p w14:paraId="03E19982" w14:textId="77777777" w:rsidR="00C77C80" w:rsidRPr="00550D35" w:rsidRDefault="00C77C80" w:rsidP="00BA62A0">
            <w:pPr>
              <w:ind w:left="720" w:firstLine="0"/>
              <w:contextualSpacing/>
              <w:rPr>
                <w:iCs/>
                <w:sz w:val="20"/>
                <w:lang w:val="lv-LV"/>
              </w:rPr>
            </w:pPr>
            <w:r w:rsidRPr="00550D35">
              <w:rPr>
                <w:iCs/>
                <w:sz w:val="20"/>
                <w:lang w:val="lv-LV"/>
              </w:rPr>
              <w:t>plānots: 0,8 milj.  </w:t>
            </w:r>
            <w:proofErr w:type="spellStart"/>
            <w:r w:rsidRPr="00550D35">
              <w:rPr>
                <w:i/>
                <w:iCs/>
                <w:sz w:val="20"/>
                <w:lang w:val="lv-LV"/>
              </w:rPr>
              <w:t>euro</w:t>
            </w:r>
            <w:proofErr w:type="spellEnd"/>
            <w:r w:rsidRPr="00550D35">
              <w:rPr>
                <w:iCs/>
                <w:sz w:val="20"/>
                <w:lang w:val="lv-LV"/>
              </w:rPr>
              <w:t>;</w:t>
            </w:r>
          </w:p>
          <w:p w14:paraId="00CAAFA0" w14:textId="77777777" w:rsidR="00C77C80" w:rsidRPr="00550D35" w:rsidRDefault="00C77C80" w:rsidP="00BA62A0">
            <w:pPr>
              <w:ind w:firstLine="0"/>
              <w:contextualSpacing/>
              <w:rPr>
                <w:iCs/>
                <w:sz w:val="20"/>
                <w:lang w:val="lv-LV"/>
              </w:rPr>
            </w:pPr>
            <w:r w:rsidRPr="00550D35">
              <w:rPr>
                <w:iCs/>
                <w:sz w:val="20"/>
                <w:lang w:val="lv-LV"/>
              </w:rPr>
              <w:t xml:space="preserve">t.sk. no ES finansēšanas avotiem (ANM): </w:t>
            </w:r>
          </w:p>
          <w:p w14:paraId="7AC044B8" w14:textId="77777777" w:rsidR="00C77C80" w:rsidRPr="00550D35" w:rsidRDefault="00C77C80" w:rsidP="00BA62A0">
            <w:pPr>
              <w:ind w:left="720" w:firstLine="0"/>
              <w:contextualSpacing/>
              <w:rPr>
                <w:iCs/>
                <w:sz w:val="20"/>
                <w:lang w:val="lv-LV"/>
              </w:rPr>
            </w:pPr>
            <w:r w:rsidRPr="00550D35">
              <w:rPr>
                <w:iCs/>
                <w:sz w:val="20"/>
                <w:lang w:val="lv-LV"/>
              </w:rPr>
              <w:t>piešķirts: nav piešķirts,</w:t>
            </w:r>
          </w:p>
          <w:p w14:paraId="3D193E82" w14:textId="77777777" w:rsidR="00C77C80" w:rsidRPr="00550D35" w:rsidRDefault="00C77C80" w:rsidP="00BA62A0">
            <w:pPr>
              <w:ind w:left="720" w:firstLine="0"/>
              <w:contextualSpacing/>
              <w:rPr>
                <w:iCs/>
                <w:sz w:val="20"/>
                <w:lang w:val="lv-LV"/>
              </w:rPr>
            </w:pPr>
            <w:r w:rsidRPr="00550D35">
              <w:rPr>
                <w:iCs/>
                <w:sz w:val="20"/>
                <w:lang w:val="lv-LV"/>
              </w:rPr>
              <w:t>plānots: 14,3 milj.  </w:t>
            </w:r>
            <w:proofErr w:type="spellStart"/>
            <w:r w:rsidRPr="00550D35">
              <w:rPr>
                <w:i/>
                <w:iCs/>
                <w:sz w:val="20"/>
                <w:lang w:val="lv-LV"/>
              </w:rPr>
              <w:t>euro</w:t>
            </w:r>
            <w:proofErr w:type="spellEnd"/>
            <w:r w:rsidRPr="00550D35">
              <w:rPr>
                <w:iCs/>
                <w:sz w:val="20"/>
                <w:lang w:val="lv-LV"/>
              </w:rPr>
              <w:t>.</w:t>
            </w:r>
          </w:p>
        </w:tc>
      </w:tr>
      <w:tr w:rsidR="00C77C80" w:rsidRPr="00550D35" w14:paraId="19F025FA" w14:textId="77777777" w:rsidTr="00BA62A0">
        <w:tc>
          <w:tcPr>
            <w:tcW w:w="3192" w:type="dxa"/>
          </w:tcPr>
          <w:p w14:paraId="1C7795B8" w14:textId="77777777" w:rsidR="00C77C80" w:rsidRPr="00550D35" w:rsidRDefault="00C77C80" w:rsidP="00BA62A0">
            <w:pPr>
              <w:ind w:firstLine="0"/>
              <w:rPr>
                <w:b/>
                <w:bCs/>
                <w:sz w:val="20"/>
                <w:lang w:val="lv-LV"/>
              </w:rPr>
            </w:pPr>
            <w:r w:rsidRPr="00550D35">
              <w:rPr>
                <w:b/>
                <w:bCs/>
                <w:sz w:val="20"/>
                <w:lang w:val="lv-LV"/>
              </w:rPr>
              <w:t>Sagaidāmā ietekme un laika ietvars</w:t>
            </w:r>
          </w:p>
        </w:tc>
        <w:tc>
          <w:tcPr>
            <w:tcW w:w="5592" w:type="dxa"/>
          </w:tcPr>
          <w:p w14:paraId="32B764C6" w14:textId="77777777" w:rsidR="00C77C80" w:rsidRPr="00550D35" w:rsidRDefault="00C77C80" w:rsidP="00BA62A0">
            <w:pPr>
              <w:ind w:firstLine="0"/>
              <w:contextualSpacing/>
              <w:rPr>
                <w:iCs/>
                <w:sz w:val="20"/>
                <w:lang w:val="lv-LV"/>
              </w:rPr>
            </w:pPr>
            <w:r w:rsidRPr="00550D35">
              <w:rPr>
                <w:rFonts w:eastAsia="Calibri"/>
                <w:iCs/>
                <w:sz w:val="20"/>
                <w:lang w:val="lv-LV"/>
              </w:rPr>
              <w:t xml:space="preserve">Pasākums sniegs ieguldījumu KPI “Vismaz pamata digitālās prasmes” plānotās mērķa vērtības sasniegšanā, nodrošinot pieejamību digitālo kompetenču pilnveidošanai. </w:t>
            </w:r>
            <w:r w:rsidRPr="00550D35">
              <w:rPr>
                <w:iCs/>
                <w:sz w:val="20"/>
                <w:lang w:val="lv-LV"/>
              </w:rPr>
              <w:t xml:space="preserve">ANM plāna investīcijas </w:t>
            </w:r>
            <w:r w:rsidRPr="00157774">
              <w:rPr>
                <w:sz w:val="20"/>
                <w:lang w:val="lv-LV"/>
              </w:rPr>
              <w:t>2.3.1.4.i.</w:t>
            </w:r>
            <w:r w:rsidRPr="006F4245">
              <w:rPr>
                <w:b/>
                <w:bCs/>
                <w:sz w:val="20"/>
                <w:lang w:val="lv-LV"/>
              </w:rPr>
              <w:t xml:space="preserve">  </w:t>
            </w:r>
            <w:r w:rsidRPr="00550D35">
              <w:rPr>
                <w:iCs/>
                <w:sz w:val="20"/>
                <w:lang w:val="lv-LV"/>
              </w:rPr>
              <w:t xml:space="preserve">ietvarā </w:t>
            </w:r>
            <w:r>
              <w:rPr>
                <w:iCs/>
                <w:sz w:val="20"/>
                <w:lang w:val="lv-LV"/>
              </w:rPr>
              <w:t>plānots</w:t>
            </w:r>
            <w:r w:rsidRPr="00550D35">
              <w:rPr>
                <w:iCs/>
                <w:sz w:val="20"/>
                <w:lang w:val="lv-LV"/>
              </w:rPr>
              <w:t>: attīstīt un aprobēt Latvijas kontekstam atbilstoša individuālo mācību kontu pieeja, kas stiprina indivīda mācību ceļu īstenošanu, pārvaldību un informācijas par mācīšanās rezultātiem uzglabāšanu, kā arī sekmēt pieaugušo dalību izglītībā, palīdzot apgūt un pilnveidot pieaugušo digitālās prasmes.</w:t>
            </w:r>
          </w:p>
          <w:p w14:paraId="40A1CADC" w14:textId="77777777" w:rsidR="00C77C80" w:rsidRPr="00550D35" w:rsidRDefault="00C77C80" w:rsidP="00BA62A0">
            <w:pPr>
              <w:ind w:firstLine="0"/>
              <w:contextualSpacing/>
              <w:rPr>
                <w:rFonts w:eastAsia="Calibri"/>
                <w:iCs/>
                <w:sz w:val="20"/>
                <w:lang w:val="lv-LV"/>
              </w:rPr>
            </w:pPr>
            <w:r w:rsidRPr="00550D35">
              <w:rPr>
                <w:rFonts w:eastAsia="Calibri"/>
                <w:iCs/>
                <w:sz w:val="20"/>
                <w:lang w:val="lv-LV"/>
              </w:rPr>
              <w:t xml:space="preserve">Projekta laika ietvars 01.11.2023. - 31.05.2026. </w:t>
            </w:r>
          </w:p>
        </w:tc>
      </w:tr>
    </w:tbl>
    <w:p w14:paraId="2CEDA94F" w14:textId="77777777" w:rsidR="00C77C80" w:rsidRPr="00550D35" w:rsidRDefault="00C77C80" w:rsidP="00C77C80">
      <w:pPr>
        <w:pStyle w:val="Text3"/>
        <w:ind w:left="0" w:firstLine="0"/>
        <w:rPr>
          <w:lang w:val="lv-LV"/>
        </w:rPr>
      </w:pPr>
    </w:p>
    <w:tbl>
      <w:tblPr>
        <w:tblStyle w:val="TableGrid"/>
        <w:tblW w:w="0" w:type="auto"/>
        <w:tblLook w:val="04A0" w:firstRow="1" w:lastRow="0" w:firstColumn="1" w:lastColumn="0" w:noHBand="0" w:noVBand="1"/>
      </w:tblPr>
      <w:tblGrid>
        <w:gridCol w:w="3131"/>
        <w:gridCol w:w="5476"/>
      </w:tblGrid>
      <w:tr w:rsidR="00C77C80" w:rsidRPr="003B2E9A" w14:paraId="6F2DF119" w14:textId="77777777" w:rsidTr="00BA62A0">
        <w:trPr>
          <w:trHeight w:val="300"/>
        </w:trPr>
        <w:tc>
          <w:tcPr>
            <w:tcW w:w="8784" w:type="dxa"/>
            <w:gridSpan w:val="2"/>
          </w:tcPr>
          <w:p w14:paraId="34850C19" w14:textId="77777777" w:rsidR="00C77C80" w:rsidRPr="00550D35" w:rsidRDefault="00C77C80" w:rsidP="00BA62A0">
            <w:pPr>
              <w:spacing w:line="259" w:lineRule="auto"/>
              <w:ind w:firstLine="0"/>
              <w:contextualSpacing/>
              <w:rPr>
                <w:b/>
                <w:bCs/>
                <w:sz w:val="20"/>
                <w:lang w:val="lv-LV"/>
              </w:rPr>
            </w:pPr>
            <w:r w:rsidRPr="00550D35">
              <w:rPr>
                <w:b/>
                <w:bCs/>
                <w:sz w:val="20"/>
                <w:lang w:val="lv-LV"/>
              </w:rPr>
              <w:t>Pasākums Nr.4 – ANM plāna investīcija 2.3.2.1.i projekts “Sabiedrības digitālo prasmju attīstība”</w:t>
            </w:r>
          </w:p>
        </w:tc>
      </w:tr>
      <w:tr w:rsidR="00C77C80" w:rsidRPr="00550D35" w14:paraId="321FB998" w14:textId="77777777" w:rsidTr="00BA62A0">
        <w:trPr>
          <w:trHeight w:val="300"/>
        </w:trPr>
        <w:tc>
          <w:tcPr>
            <w:tcW w:w="3192" w:type="dxa"/>
          </w:tcPr>
          <w:p w14:paraId="50873A00" w14:textId="77777777" w:rsidR="00C77C80" w:rsidRPr="00550D35" w:rsidRDefault="00C77C80" w:rsidP="00BA62A0">
            <w:pPr>
              <w:rPr>
                <w:b/>
                <w:bCs/>
                <w:sz w:val="20"/>
                <w:lang w:val="lv-LV"/>
              </w:rPr>
            </w:pPr>
            <w:r w:rsidRPr="00550D35">
              <w:rPr>
                <w:b/>
                <w:bCs/>
                <w:sz w:val="20"/>
                <w:lang w:val="lv-LV"/>
              </w:rPr>
              <w:t>Jauns pasākums</w:t>
            </w:r>
          </w:p>
        </w:tc>
        <w:tc>
          <w:tcPr>
            <w:tcW w:w="5592" w:type="dxa"/>
          </w:tcPr>
          <w:p w14:paraId="6EC8FDD2"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421688024"/>
                <w14:checkbox>
                  <w14:checked w14:val="0"/>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sz w:val="22"/>
                <w:szCs w:val="22"/>
                <w:lang w:val="lv-LV"/>
              </w:rPr>
              <w:t>jā</w:t>
            </w:r>
          </w:p>
          <w:p w14:paraId="2FBE49BE"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855537833"/>
                <w14:checkbox>
                  <w14:checked w14:val="0"/>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rFonts w:eastAsia="MS Minngs"/>
                <w:sz w:val="22"/>
                <w:szCs w:val="22"/>
                <w:lang w:val="lv-LV"/>
              </w:rPr>
              <w:t xml:space="preserve"> </w:t>
            </w:r>
            <w:r w:rsidR="00C77C80" w:rsidRPr="00550D35">
              <w:rPr>
                <w:sz w:val="22"/>
                <w:szCs w:val="22"/>
                <w:lang w:val="lv-LV"/>
              </w:rPr>
              <w:t>nē</w:t>
            </w:r>
          </w:p>
        </w:tc>
      </w:tr>
      <w:tr w:rsidR="00C77C80" w:rsidRPr="003B2E9A" w14:paraId="0879940E" w14:textId="77777777" w:rsidTr="00BA62A0">
        <w:trPr>
          <w:trHeight w:val="300"/>
        </w:trPr>
        <w:tc>
          <w:tcPr>
            <w:tcW w:w="3192" w:type="dxa"/>
          </w:tcPr>
          <w:p w14:paraId="061FBF35" w14:textId="574C39F7" w:rsidR="00C77C80" w:rsidRPr="00550D35" w:rsidRDefault="00C77C80" w:rsidP="00BA62A0">
            <w:pPr>
              <w:ind w:firstLine="0"/>
              <w:rPr>
                <w:b/>
                <w:bCs/>
                <w:sz w:val="20"/>
                <w:lang w:val="lv-LV"/>
              </w:rPr>
            </w:pPr>
            <w:r w:rsidRPr="00550D35">
              <w:rPr>
                <w:b/>
                <w:bCs/>
                <w:sz w:val="20"/>
                <w:lang w:val="lv-LV"/>
              </w:rPr>
              <w:t>Īss pasākuma apraksts</w:t>
            </w:r>
          </w:p>
          <w:p w14:paraId="0AF71692" w14:textId="77777777" w:rsidR="00C77C80" w:rsidRPr="00550D35" w:rsidRDefault="00C77C80" w:rsidP="00BA62A0">
            <w:pPr>
              <w:rPr>
                <w:b/>
                <w:bCs/>
                <w:sz w:val="20"/>
                <w:lang w:val="lv-LV"/>
              </w:rPr>
            </w:pPr>
          </w:p>
        </w:tc>
        <w:tc>
          <w:tcPr>
            <w:tcW w:w="5592" w:type="dxa"/>
          </w:tcPr>
          <w:p w14:paraId="44298900" w14:textId="77777777" w:rsidR="00C77C80" w:rsidRPr="00550D35" w:rsidRDefault="00C77C80" w:rsidP="00BA62A0">
            <w:pPr>
              <w:ind w:firstLine="0"/>
              <w:rPr>
                <w:sz w:val="20"/>
                <w:lang w:val="lv-LV"/>
              </w:rPr>
            </w:pPr>
            <w:r w:rsidRPr="00550D35">
              <w:rPr>
                <w:sz w:val="20"/>
                <w:lang w:val="lv-LV"/>
              </w:rPr>
              <w:t>ANM plāna investīcijas ietvaros līdz 2026. gada 30 aprīlim plānots  izstrādāt mācību programmu (e-mācību kursu) sabiedrības digitālo prasmju pilnveidei un mācību rezultātā vismaz 40</w:t>
            </w:r>
            <w:r>
              <w:rPr>
                <w:sz w:val="20"/>
                <w:lang w:val="lv-LV"/>
              </w:rPr>
              <w:t> tūkst.</w:t>
            </w:r>
            <w:r w:rsidRPr="00550D35">
              <w:rPr>
                <w:sz w:val="20"/>
                <w:lang w:val="lv-LV"/>
              </w:rPr>
              <w:t xml:space="preserve"> iedzīvotājiem uzlabot digitālās pašapkalpošanās prasmes. Projekts tiks īstenots sadarbībā ar  </w:t>
            </w:r>
            <w:proofErr w:type="spellStart"/>
            <w:r w:rsidRPr="00550D35">
              <w:rPr>
                <w:sz w:val="20"/>
                <w:lang w:val="lv-LV"/>
              </w:rPr>
              <w:t>valstspilsētu</w:t>
            </w:r>
            <w:proofErr w:type="spellEnd"/>
            <w:r w:rsidRPr="00550D35">
              <w:rPr>
                <w:sz w:val="20"/>
                <w:lang w:val="lv-LV"/>
              </w:rPr>
              <w:t xml:space="preserve"> vai novadu pašvaldībām, pašvaldību apvienībām, kura ietvaros </w:t>
            </w:r>
            <w:r w:rsidRPr="00550D35">
              <w:rPr>
                <w:sz w:val="20"/>
                <w:lang w:val="lv-LV"/>
              </w:rPr>
              <w:lastRenderedPageBreak/>
              <w:t>centralizēti: 1) izveidos monitoringa ietvaru, lai nomērītu sabiedrības digitālās pašapkalpošanās prasmes un sekotu līdzi paradumu maiņai izmantot primāros publiskos un privātos pakalpojumus digitālā veidā; 2) izstrādās  mācību saturu un materiālus 3) īstenos pasniedzēju-</w:t>
            </w:r>
            <w:proofErr w:type="spellStart"/>
            <w:r w:rsidRPr="00550D35">
              <w:rPr>
                <w:sz w:val="20"/>
                <w:lang w:val="lv-LV"/>
              </w:rPr>
              <w:t>mentoru</w:t>
            </w:r>
            <w:proofErr w:type="spellEnd"/>
            <w:r w:rsidRPr="00550D35">
              <w:rPr>
                <w:sz w:val="20"/>
                <w:lang w:val="lv-LV"/>
              </w:rPr>
              <w:t xml:space="preserve"> mācības 4) veiks komunikācijas un publicitātes pasākumus. Pašvaldības organizēs decentralizētās (tuvāk cilvēkam) mācības iedzīvotājam atbalstošā vidē, nodrošinot  pasniedzēja – </w:t>
            </w:r>
            <w:proofErr w:type="spellStart"/>
            <w:r w:rsidRPr="00550D35">
              <w:rPr>
                <w:sz w:val="20"/>
                <w:lang w:val="lv-LV"/>
              </w:rPr>
              <w:t>mentora</w:t>
            </w:r>
            <w:proofErr w:type="spellEnd"/>
            <w:r w:rsidRPr="00550D35">
              <w:rPr>
                <w:sz w:val="20"/>
                <w:lang w:val="lv-LV"/>
              </w:rPr>
              <w:t xml:space="preserve"> atbalstu, mācību telpas un aprīkojumu klātienes un attālinātām mācībām. </w:t>
            </w:r>
          </w:p>
        </w:tc>
      </w:tr>
      <w:tr w:rsidR="00C77C80" w:rsidRPr="00550D35" w14:paraId="04CD4F7C" w14:textId="77777777" w:rsidTr="00BA62A0">
        <w:trPr>
          <w:trHeight w:val="300"/>
        </w:trPr>
        <w:tc>
          <w:tcPr>
            <w:tcW w:w="3192" w:type="dxa"/>
            <w:shd w:val="clear" w:color="auto" w:fill="auto"/>
          </w:tcPr>
          <w:p w14:paraId="3B318267" w14:textId="021EA48F" w:rsidR="00C77C80" w:rsidRPr="00550D35" w:rsidRDefault="00C77C80" w:rsidP="00BA62A0">
            <w:pPr>
              <w:ind w:firstLine="0"/>
              <w:rPr>
                <w:b/>
                <w:bCs/>
                <w:sz w:val="20"/>
                <w:lang w:val="lv-LV"/>
              </w:rPr>
            </w:pPr>
            <w:r w:rsidRPr="00550D35">
              <w:rPr>
                <w:b/>
                <w:bCs/>
                <w:sz w:val="20"/>
                <w:lang w:val="lv-LV"/>
              </w:rPr>
              <w:lastRenderedPageBreak/>
              <w:t>Piešķirtais vai plānotais budžets un, ja atbilstoši, citi resursi</w:t>
            </w:r>
          </w:p>
        </w:tc>
        <w:tc>
          <w:tcPr>
            <w:tcW w:w="5592" w:type="dxa"/>
            <w:shd w:val="clear" w:color="auto" w:fill="auto"/>
          </w:tcPr>
          <w:p w14:paraId="75646E6D" w14:textId="77777777" w:rsidR="00C77C80" w:rsidRPr="00550D35" w:rsidRDefault="00C77C80" w:rsidP="00BA62A0">
            <w:pPr>
              <w:ind w:firstLine="0"/>
              <w:contextualSpacing/>
              <w:rPr>
                <w:sz w:val="20"/>
                <w:lang w:val="lv-LV"/>
              </w:rPr>
            </w:pPr>
            <w:r w:rsidRPr="00550D35">
              <w:rPr>
                <w:sz w:val="20"/>
                <w:lang w:val="lv-LV"/>
              </w:rPr>
              <w:t xml:space="preserve">Publiskā sektora ieguldījumi: </w:t>
            </w:r>
          </w:p>
          <w:p w14:paraId="28ED309A" w14:textId="77777777" w:rsidR="00C77C80" w:rsidRPr="00550D35" w:rsidRDefault="00C77C80" w:rsidP="00BA62A0">
            <w:pPr>
              <w:ind w:left="720" w:firstLine="0"/>
              <w:contextualSpacing/>
              <w:rPr>
                <w:sz w:val="20"/>
                <w:lang w:val="lv-LV"/>
              </w:rPr>
            </w:pPr>
            <w:r w:rsidRPr="00550D35">
              <w:rPr>
                <w:sz w:val="20"/>
                <w:lang w:val="lv-LV"/>
              </w:rPr>
              <w:t>piešķirts: nav piešķirts,</w:t>
            </w:r>
          </w:p>
          <w:p w14:paraId="2E6E5817" w14:textId="77777777" w:rsidR="00C77C80" w:rsidRPr="00550D35" w:rsidRDefault="00C77C80" w:rsidP="00BA62A0">
            <w:pPr>
              <w:ind w:left="720" w:firstLine="0"/>
              <w:contextualSpacing/>
              <w:rPr>
                <w:sz w:val="20"/>
                <w:lang w:val="lv-LV"/>
              </w:rPr>
            </w:pPr>
            <w:r w:rsidRPr="00550D35">
              <w:rPr>
                <w:sz w:val="20"/>
                <w:lang w:val="lv-LV"/>
              </w:rPr>
              <w:t>plānots: 9,38 milj.  </w:t>
            </w:r>
            <w:proofErr w:type="spellStart"/>
            <w:r w:rsidRPr="00550D35">
              <w:rPr>
                <w:i/>
                <w:iCs/>
                <w:sz w:val="20"/>
                <w:lang w:val="lv-LV"/>
              </w:rPr>
              <w:t>euro</w:t>
            </w:r>
            <w:proofErr w:type="spellEnd"/>
            <w:r w:rsidRPr="00550D35">
              <w:rPr>
                <w:sz w:val="20"/>
                <w:lang w:val="lv-LV"/>
              </w:rPr>
              <w:t xml:space="preserve">; </w:t>
            </w:r>
          </w:p>
          <w:p w14:paraId="5A364385" w14:textId="77777777" w:rsidR="00C77C80" w:rsidRPr="00550D35" w:rsidRDefault="00C77C80" w:rsidP="00BA62A0">
            <w:pPr>
              <w:ind w:firstLine="0"/>
              <w:contextualSpacing/>
              <w:rPr>
                <w:sz w:val="20"/>
                <w:lang w:val="lv-LV"/>
              </w:rPr>
            </w:pPr>
            <w:r w:rsidRPr="00550D35">
              <w:rPr>
                <w:sz w:val="20"/>
                <w:lang w:val="lv-LV"/>
              </w:rPr>
              <w:t xml:space="preserve">t.sk. no nacionālajiem finansēšanas avotiem: </w:t>
            </w:r>
          </w:p>
          <w:p w14:paraId="6EC924FF" w14:textId="77777777" w:rsidR="00C77C80" w:rsidRPr="00550D35" w:rsidRDefault="00C77C80" w:rsidP="00BA62A0">
            <w:pPr>
              <w:ind w:left="720" w:firstLine="0"/>
              <w:contextualSpacing/>
              <w:rPr>
                <w:sz w:val="20"/>
                <w:lang w:val="lv-LV"/>
              </w:rPr>
            </w:pPr>
            <w:r w:rsidRPr="00550D35">
              <w:rPr>
                <w:sz w:val="20"/>
                <w:lang w:val="lv-LV"/>
              </w:rPr>
              <w:t>piešķirts: nav piešķirts</w:t>
            </w:r>
          </w:p>
          <w:p w14:paraId="359D491E" w14:textId="77777777" w:rsidR="00C77C80" w:rsidRPr="00550D35" w:rsidRDefault="00C77C80" w:rsidP="00BA62A0">
            <w:pPr>
              <w:ind w:left="720" w:firstLine="0"/>
              <w:contextualSpacing/>
              <w:rPr>
                <w:sz w:val="20"/>
                <w:lang w:val="lv-LV"/>
              </w:rPr>
            </w:pPr>
            <w:r w:rsidRPr="00550D35">
              <w:rPr>
                <w:sz w:val="20"/>
                <w:lang w:val="lv-LV"/>
              </w:rPr>
              <w:t>plānots: 0,34 milj.  </w:t>
            </w:r>
            <w:proofErr w:type="spellStart"/>
            <w:r w:rsidRPr="00550D35">
              <w:rPr>
                <w:i/>
                <w:iCs/>
                <w:sz w:val="20"/>
                <w:lang w:val="lv-LV"/>
              </w:rPr>
              <w:t>euro</w:t>
            </w:r>
            <w:proofErr w:type="spellEnd"/>
            <w:r w:rsidRPr="00550D35">
              <w:rPr>
                <w:sz w:val="20"/>
                <w:lang w:val="lv-LV"/>
              </w:rPr>
              <w:t>;</w:t>
            </w:r>
          </w:p>
          <w:p w14:paraId="6E0ACEC0" w14:textId="77777777" w:rsidR="00C77C80" w:rsidRPr="00550D35" w:rsidRDefault="00C77C80" w:rsidP="00BA62A0">
            <w:pPr>
              <w:ind w:firstLine="0"/>
              <w:contextualSpacing/>
              <w:rPr>
                <w:sz w:val="20"/>
                <w:lang w:val="lv-LV"/>
              </w:rPr>
            </w:pPr>
            <w:r w:rsidRPr="00550D35">
              <w:rPr>
                <w:sz w:val="20"/>
                <w:lang w:val="lv-LV"/>
              </w:rPr>
              <w:t xml:space="preserve">t.sk. no ES finansēšanas avotiem (ANM): </w:t>
            </w:r>
          </w:p>
          <w:p w14:paraId="2FAA8733" w14:textId="77777777" w:rsidR="00C77C80" w:rsidRPr="00550D35" w:rsidRDefault="00C77C80" w:rsidP="00BA62A0">
            <w:pPr>
              <w:ind w:left="720" w:firstLine="0"/>
              <w:contextualSpacing/>
              <w:rPr>
                <w:sz w:val="20"/>
                <w:lang w:val="lv-LV"/>
              </w:rPr>
            </w:pPr>
            <w:r w:rsidRPr="00550D35">
              <w:rPr>
                <w:sz w:val="20"/>
                <w:lang w:val="lv-LV"/>
              </w:rPr>
              <w:t>piešķirts: nav piešķirts,</w:t>
            </w:r>
          </w:p>
          <w:p w14:paraId="3C117549" w14:textId="77777777" w:rsidR="00C77C80" w:rsidRPr="00550D35" w:rsidRDefault="00C77C80" w:rsidP="00BA62A0">
            <w:pPr>
              <w:ind w:left="720" w:firstLine="0"/>
              <w:contextualSpacing/>
              <w:rPr>
                <w:sz w:val="20"/>
                <w:lang w:val="lv-LV"/>
              </w:rPr>
            </w:pPr>
            <w:r w:rsidRPr="00550D35">
              <w:rPr>
                <w:sz w:val="20"/>
                <w:lang w:val="lv-LV"/>
              </w:rPr>
              <w:t>plānots: 9,04 milj.  </w:t>
            </w:r>
            <w:proofErr w:type="spellStart"/>
            <w:r w:rsidRPr="00550D35">
              <w:rPr>
                <w:i/>
                <w:iCs/>
                <w:sz w:val="20"/>
                <w:lang w:val="lv-LV"/>
              </w:rPr>
              <w:t>euro</w:t>
            </w:r>
            <w:proofErr w:type="spellEnd"/>
            <w:r w:rsidRPr="00550D35">
              <w:rPr>
                <w:sz w:val="20"/>
                <w:lang w:val="lv-LV"/>
              </w:rPr>
              <w:t>.</w:t>
            </w:r>
          </w:p>
        </w:tc>
      </w:tr>
      <w:tr w:rsidR="00C77C80" w:rsidRPr="00F6220A" w14:paraId="4B4F1E1A" w14:textId="77777777" w:rsidTr="00BA62A0">
        <w:trPr>
          <w:trHeight w:val="300"/>
        </w:trPr>
        <w:tc>
          <w:tcPr>
            <w:tcW w:w="3192" w:type="dxa"/>
          </w:tcPr>
          <w:p w14:paraId="536EF2FB" w14:textId="77777777" w:rsidR="00C77C80" w:rsidRPr="00550D35" w:rsidRDefault="00C77C80" w:rsidP="00BA62A0">
            <w:pPr>
              <w:ind w:firstLine="0"/>
              <w:rPr>
                <w:b/>
                <w:bCs/>
                <w:sz w:val="20"/>
                <w:lang w:val="lv-LV"/>
              </w:rPr>
            </w:pPr>
            <w:r w:rsidRPr="00550D35">
              <w:rPr>
                <w:b/>
                <w:bCs/>
                <w:sz w:val="20"/>
                <w:lang w:val="lv-LV"/>
              </w:rPr>
              <w:t>Sagaidāmā ietekme un laika ietvars</w:t>
            </w:r>
          </w:p>
        </w:tc>
        <w:tc>
          <w:tcPr>
            <w:tcW w:w="5592" w:type="dxa"/>
          </w:tcPr>
          <w:p w14:paraId="626C6418" w14:textId="77777777" w:rsidR="00C77C80" w:rsidRPr="00550D35" w:rsidRDefault="00C77C80" w:rsidP="00BA62A0">
            <w:pPr>
              <w:ind w:firstLine="0"/>
              <w:rPr>
                <w:color w:val="000000" w:themeColor="text1"/>
                <w:sz w:val="20"/>
                <w:lang w:val="lv-LV"/>
              </w:rPr>
            </w:pPr>
            <w:r w:rsidRPr="00550D35">
              <w:rPr>
                <w:sz w:val="20"/>
                <w:lang w:val="lv-LV"/>
              </w:rPr>
              <w:t xml:space="preserve">Projekta īstenošanas rezultātā: 1) </w:t>
            </w:r>
            <w:r w:rsidRPr="00550D35">
              <w:rPr>
                <w:color w:val="000000" w:themeColor="text1"/>
                <w:sz w:val="20"/>
                <w:lang w:val="lv-LV"/>
              </w:rPr>
              <w:t xml:space="preserve">pašvaldībās </w:t>
            </w:r>
            <w:r w:rsidRPr="00550D35">
              <w:rPr>
                <w:sz w:val="20"/>
                <w:lang w:val="lv-LV"/>
              </w:rPr>
              <w:t xml:space="preserve">tiks </w:t>
            </w:r>
            <w:r w:rsidRPr="00550D35">
              <w:rPr>
                <w:color w:val="000000" w:themeColor="text1"/>
                <w:sz w:val="20"/>
                <w:lang w:val="lv-LV"/>
              </w:rPr>
              <w:t>ieviesta sistēmiska pieeja savu iedzīvotāju digitālo prasmju attīstībai; 2) tiks samazināta plaisa starp publisko un privāto elektronisko pakalpojumu piedāvājumu un iedzīvotāju prasmēm to izmantot; 3) tiks izstrādāts un ieviests digitālo pašapkalpošanās prasmju apguves e-mācību kurss; 4)</w:t>
            </w:r>
            <w:r w:rsidRPr="00550D35">
              <w:rPr>
                <w:rFonts w:ascii="Verdana" w:eastAsia="Verdana" w:hAnsi="Verdana" w:cs="Verdana"/>
                <w:sz w:val="20"/>
                <w:lang w:val="lv-LV"/>
              </w:rPr>
              <w:t xml:space="preserve"> </w:t>
            </w:r>
            <w:r w:rsidRPr="00550D35">
              <w:rPr>
                <w:color w:val="000000" w:themeColor="text1"/>
                <w:sz w:val="20"/>
                <w:lang w:val="lv-LV"/>
              </w:rPr>
              <w:t xml:space="preserve">tiks apmācīti 200 pasniedzēji – </w:t>
            </w:r>
            <w:proofErr w:type="spellStart"/>
            <w:r w:rsidRPr="00550D35">
              <w:rPr>
                <w:color w:val="000000" w:themeColor="text1"/>
                <w:sz w:val="20"/>
                <w:lang w:val="lv-LV"/>
              </w:rPr>
              <w:t>mentori</w:t>
            </w:r>
            <w:proofErr w:type="spellEnd"/>
            <w:r w:rsidRPr="00550D35">
              <w:rPr>
                <w:color w:val="000000" w:themeColor="text1"/>
                <w:sz w:val="20"/>
                <w:lang w:val="lv-LV"/>
              </w:rPr>
              <w:t xml:space="preserve"> no visām Latvijas pašvaldībām; 5) tiks palielināts iedzīvotāju īpatsvars, kuriem ir padziļinātas digitālās pašapkalpošanās prasmes (apmācīti 40</w:t>
            </w:r>
            <w:r>
              <w:rPr>
                <w:color w:val="000000" w:themeColor="text1"/>
                <w:sz w:val="20"/>
                <w:lang w:val="lv-LV"/>
              </w:rPr>
              <w:t> tūkst. </w:t>
            </w:r>
            <w:r w:rsidRPr="00550D35">
              <w:rPr>
                <w:color w:val="000000" w:themeColor="text1"/>
                <w:sz w:val="20"/>
                <w:lang w:val="lv-LV"/>
              </w:rPr>
              <w:t>iedzīvotāju).</w:t>
            </w:r>
          </w:p>
          <w:p w14:paraId="7348CF8C" w14:textId="77777777" w:rsidR="00C77C80" w:rsidRPr="00550D35" w:rsidRDefault="00C77C80" w:rsidP="00BA62A0">
            <w:pPr>
              <w:ind w:firstLine="0"/>
              <w:contextualSpacing/>
              <w:rPr>
                <w:rFonts w:eastAsia="Calibri"/>
                <w:sz w:val="20"/>
                <w:lang w:val="lv-LV"/>
              </w:rPr>
            </w:pPr>
            <w:r w:rsidRPr="00550D35">
              <w:rPr>
                <w:rFonts w:eastAsia="Calibri"/>
                <w:sz w:val="20"/>
                <w:lang w:val="lv-LV"/>
              </w:rPr>
              <w:t>Projekta laika ietvars 01.11.2023. - 30.04.2026.</w:t>
            </w:r>
          </w:p>
        </w:tc>
      </w:tr>
    </w:tbl>
    <w:p w14:paraId="3542A92E" w14:textId="77777777" w:rsidR="00C77C80" w:rsidRDefault="00C77C80" w:rsidP="00C77C80">
      <w:pPr>
        <w:pStyle w:val="Text3"/>
        <w:ind w:left="0" w:firstLine="0"/>
        <w:rPr>
          <w:lang w:val="lv-LV"/>
        </w:rPr>
      </w:pPr>
    </w:p>
    <w:tbl>
      <w:tblPr>
        <w:tblStyle w:val="TableGrid"/>
        <w:tblW w:w="0" w:type="auto"/>
        <w:tblLook w:val="04A0" w:firstRow="1" w:lastRow="0" w:firstColumn="1" w:lastColumn="0" w:noHBand="0" w:noVBand="1"/>
      </w:tblPr>
      <w:tblGrid>
        <w:gridCol w:w="3128"/>
        <w:gridCol w:w="5479"/>
      </w:tblGrid>
      <w:tr w:rsidR="00C77C80" w:rsidRPr="003B2E9A" w14:paraId="7FF3BA80" w14:textId="77777777" w:rsidTr="00BA62A0">
        <w:trPr>
          <w:trHeight w:val="300"/>
        </w:trPr>
        <w:tc>
          <w:tcPr>
            <w:tcW w:w="8784" w:type="dxa"/>
            <w:gridSpan w:val="2"/>
          </w:tcPr>
          <w:p w14:paraId="59612C77" w14:textId="77777777" w:rsidR="00C77C80" w:rsidRPr="0073786B" w:rsidRDefault="00C77C80" w:rsidP="00BA62A0">
            <w:pPr>
              <w:spacing w:line="259" w:lineRule="auto"/>
              <w:ind w:firstLine="0"/>
              <w:contextualSpacing/>
              <w:rPr>
                <w:b/>
                <w:bCs/>
                <w:sz w:val="20"/>
                <w:lang w:val="lv-LV"/>
              </w:rPr>
            </w:pPr>
            <w:r w:rsidRPr="0073786B">
              <w:rPr>
                <w:b/>
                <w:bCs/>
                <w:sz w:val="20"/>
                <w:lang w:val="lv-LV"/>
              </w:rPr>
              <w:t xml:space="preserve">Pasākums Nr. </w:t>
            </w:r>
            <w:r>
              <w:rPr>
                <w:b/>
                <w:bCs/>
                <w:sz w:val="20"/>
                <w:lang w:val="lv-LV"/>
              </w:rPr>
              <w:t>5</w:t>
            </w:r>
            <w:r w:rsidRPr="0073786B">
              <w:rPr>
                <w:b/>
                <w:bCs/>
                <w:sz w:val="20"/>
                <w:lang w:val="lv-LV"/>
              </w:rPr>
              <w:t xml:space="preserve"> – </w:t>
            </w:r>
            <w:r w:rsidRPr="00337A14">
              <w:rPr>
                <w:b/>
                <w:bCs/>
                <w:sz w:val="20"/>
                <w:lang w:val="lv-LV"/>
              </w:rPr>
              <w:t xml:space="preserve">ANM plāna investīcija 3.1.2.5.i. “Prasmju pilnveide </w:t>
            </w:r>
            <w:r>
              <w:rPr>
                <w:b/>
                <w:bCs/>
                <w:sz w:val="20"/>
                <w:lang w:val="lv-LV"/>
              </w:rPr>
              <w:t>p</w:t>
            </w:r>
            <w:r w:rsidRPr="00337A14">
              <w:rPr>
                <w:b/>
                <w:bCs/>
                <w:sz w:val="20"/>
                <w:lang w:val="lv-LV"/>
              </w:rPr>
              <w:t>ieaugušajiem”</w:t>
            </w:r>
          </w:p>
        </w:tc>
      </w:tr>
      <w:tr w:rsidR="00C77C80" w:rsidRPr="00550D35" w14:paraId="10C48469" w14:textId="77777777" w:rsidTr="00BA62A0">
        <w:trPr>
          <w:trHeight w:val="300"/>
        </w:trPr>
        <w:tc>
          <w:tcPr>
            <w:tcW w:w="3192" w:type="dxa"/>
          </w:tcPr>
          <w:p w14:paraId="4446C892" w14:textId="77777777" w:rsidR="00C77C80" w:rsidRPr="00550D35" w:rsidRDefault="00C77C80" w:rsidP="00BA62A0">
            <w:pPr>
              <w:ind w:firstLine="0"/>
              <w:rPr>
                <w:b/>
                <w:bCs/>
                <w:sz w:val="20"/>
                <w:lang w:val="lv-LV"/>
              </w:rPr>
            </w:pPr>
            <w:r w:rsidRPr="00550D35">
              <w:rPr>
                <w:b/>
                <w:bCs/>
                <w:sz w:val="20"/>
                <w:lang w:val="lv-LV"/>
              </w:rPr>
              <w:t>Jauns pasākums</w:t>
            </w:r>
          </w:p>
        </w:tc>
        <w:tc>
          <w:tcPr>
            <w:tcW w:w="5592" w:type="dxa"/>
          </w:tcPr>
          <w:p w14:paraId="6A895D7B"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874533062"/>
                <w14:checkbox>
                  <w14:checked w14:val="0"/>
                  <w14:checkedState w14:val="2612" w14:font="MS Gothic"/>
                  <w14:uncheckedState w14:val="2610" w14:font="MS Gothic"/>
                </w14:checkbox>
              </w:sdtPr>
              <w:sdtEndPr/>
              <w:sdtContent>
                <w:r w:rsidR="00C77C80">
                  <w:rPr>
                    <w:rFonts w:ascii="MS Gothic" w:eastAsia="MS Gothic" w:hAnsi="MS Gothic" w:hint="eastAsia"/>
                    <w:sz w:val="22"/>
                    <w:szCs w:val="22"/>
                    <w:lang w:val="lv-LV"/>
                  </w:rPr>
                  <w:t>☐</w:t>
                </w:r>
              </w:sdtContent>
            </w:sdt>
            <w:r w:rsidR="00C77C80" w:rsidRPr="00550D35">
              <w:rPr>
                <w:sz w:val="22"/>
                <w:szCs w:val="22"/>
                <w:lang w:val="lv-LV"/>
              </w:rPr>
              <w:t>jā</w:t>
            </w:r>
          </w:p>
          <w:p w14:paraId="32D42CB9"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279760521"/>
                <w14:checkbox>
                  <w14:checked w14:val="1"/>
                  <w14:checkedState w14:val="2612" w14:font="MS Gothic"/>
                  <w14:uncheckedState w14:val="2610" w14:font="MS Gothic"/>
                </w14:checkbox>
              </w:sdtPr>
              <w:sdtEndPr/>
              <w:sdtContent>
                <w:r w:rsidR="00C77C80">
                  <w:rPr>
                    <w:rFonts w:ascii="MS Gothic" w:eastAsia="MS Gothic" w:hAnsi="MS Gothic" w:hint="eastAsia"/>
                    <w:sz w:val="22"/>
                    <w:szCs w:val="22"/>
                    <w:lang w:val="lv-LV"/>
                  </w:rPr>
                  <w:t>☒</w:t>
                </w:r>
              </w:sdtContent>
            </w:sdt>
            <w:r w:rsidR="00C77C80" w:rsidRPr="00550D35">
              <w:rPr>
                <w:rFonts w:eastAsia="MS Minngs"/>
                <w:sz w:val="22"/>
                <w:szCs w:val="22"/>
                <w:lang w:val="lv-LV"/>
              </w:rPr>
              <w:t xml:space="preserve"> </w:t>
            </w:r>
            <w:r w:rsidR="00C77C80" w:rsidRPr="00550D35">
              <w:rPr>
                <w:sz w:val="22"/>
                <w:szCs w:val="22"/>
                <w:lang w:val="lv-LV"/>
              </w:rPr>
              <w:t>nē</w:t>
            </w:r>
          </w:p>
        </w:tc>
      </w:tr>
      <w:tr w:rsidR="00C77C80" w:rsidRPr="003B2E9A" w14:paraId="59D01666" w14:textId="77777777" w:rsidTr="00BA62A0">
        <w:trPr>
          <w:trHeight w:val="300"/>
        </w:trPr>
        <w:tc>
          <w:tcPr>
            <w:tcW w:w="3192" w:type="dxa"/>
          </w:tcPr>
          <w:p w14:paraId="5E186365" w14:textId="77777777" w:rsidR="00C77C80" w:rsidRPr="00550D35" w:rsidRDefault="00C77C80" w:rsidP="00BA62A0">
            <w:pPr>
              <w:ind w:firstLine="0"/>
              <w:rPr>
                <w:b/>
                <w:bCs/>
                <w:sz w:val="20"/>
                <w:lang w:val="lv-LV"/>
              </w:rPr>
            </w:pPr>
            <w:r w:rsidRPr="00550D35">
              <w:rPr>
                <w:b/>
                <w:bCs/>
                <w:sz w:val="20"/>
                <w:lang w:val="lv-LV"/>
              </w:rPr>
              <w:t>Īss pasākuma apraksts</w:t>
            </w:r>
          </w:p>
        </w:tc>
        <w:tc>
          <w:tcPr>
            <w:tcW w:w="5592" w:type="dxa"/>
          </w:tcPr>
          <w:p w14:paraId="68A9FCD2" w14:textId="3D3CB3EC" w:rsidR="00C77C80" w:rsidRDefault="00C77C80" w:rsidP="00BA62A0">
            <w:pPr>
              <w:ind w:firstLine="0"/>
              <w:rPr>
                <w:sz w:val="20"/>
                <w:lang w:val="lv-LV"/>
              </w:rPr>
            </w:pPr>
            <w:r w:rsidRPr="00337A14">
              <w:rPr>
                <w:sz w:val="20"/>
                <w:lang w:val="lv-LV"/>
              </w:rPr>
              <w:t>Mācību pasākumu piedāvājumu N</w:t>
            </w:r>
            <w:r>
              <w:rPr>
                <w:sz w:val="20"/>
                <w:lang w:val="lv-LV"/>
              </w:rPr>
              <w:t>odarbinātības valsts aģentūra</w:t>
            </w:r>
            <w:r w:rsidRPr="00337A14">
              <w:rPr>
                <w:sz w:val="20"/>
                <w:lang w:val="lv-LV"/>
              </w:rPr>
              <w:t xml:space="preserve"> klientiem nodrošina regulāri. To īstenošanu nosaka 2011.gada 25.janvāra </w:t>
            </w:r>
            <w:r w:rsidR="00BD6167">
              <w:rPr>
                <w:sz w:val="20"/>
                <w:lang w:val="lv-LV"/>
              </w:rPr>
              <w:t>MK</w:t>
            </w:r>
            <w:r w:rsidRPr="00337A14">
              <w:rPr>
                <w:sz w:val="20"/>
                <w:lang w:val="lv-LV"/>
              </w:rPr>
              <w:t xml:space="preserve"> noteikumi Nr.75 “Noteikumi par aktīvo nodarbinātības pasākumu un preventīvo bezdarba samazināšanas pasākumu organizēšanas un finansēšanas kārtību un pasākumu īstenotāju izvēles principiem”</w:t>
            </w:r>
            <w:r>
              <w:rPr>
                <w:sz w:val="20"/>
                <w:lang w:val="lv-LV"/>
              </w:rPr>
              <w:t>.</w:t>
            </w:r>
          </w:p>
          <w:p w14:paraId="5C54EA0A" w14:textId="77777777" w:rsidR="00C77C80" w:rsidRDefault="00C77C80" w:rsidP="00BA62A0">
            <w:pPr>
              <w:ind w:firstLine="0"/>
              <w:rPr>
                <w:sz w:val="20"/>
                <w:lang w:val="lv-LV"/>
              </w:rPr>
            </w:pPr>
            <w:r>
              <w:rPr>
                <w:sz w:val="20"/>
                <w:lang w:val="lv-LV"/>
              </w:rPr>
              <w:t>Projekta “</w:t>
            </w:r>
            <w:r w:rsidRPr="00337A14">
              <w:rPr>
                <w:sz w:val="20"/>
                <w:lang w:val="lv-LV"/>
              </w:rPr>
              <w:t>Prasmju pilnveide ieaugušajiem”</w:t>
            </w:r>
            <w:r>
              <w:rPr>
                <w:sz w:val="20"/>
                <w:lang w:val="lv-LV"/>
              </w:rPr>
              <w:t xml:space="preserve"> mērķis ir v</w:t>
            </w:r>
            <w:r w:rsidRPr="002A3739">
              <w:rPr>
                <w:sz w:val="20"/>
                <w:lang w:val="lv-LV"/>
              </w:rPr>
              <w:t xml:space="preserve">eicināt bezdarbnieku, darba meklētāju un bezdarba riskam pakļauto personu konkurētspēju un iekļaušanos darba tirgū, īstenojot profesionālās izglītības, </w:t>
            </w:r>
            <w:proofErr w:type="spellStart"/>
            <w:r w:rsidRPr="002A3739">
              <w:rPr>
                <w:sz w:val="20"/>
                <w:lang w:val="lv-LV"/>
              </w:rPr>
              <w:t>pārkvalifikācijas</w:t>
            </w:r>
            <w:proofErr w:type="spellEnd"/>
            <w:r w:rsidRPr="002A3739">
              <w:rPr>
                <w:sz w:val="20"/>
                <w:lang w:val="lv-LV"/>
              </w:rPr>
              <w:t>, kvalifikācijas paaugstināšanas un neformālās izglītības pasākumus, un uzlabotas profilēšanas sistēmas ietvaros izstrādāt un ieviest digitālus prasmju novērtēšanas rīkus efektīvāka individuālā pārkvalificēšanās un prasmju pilnveides piedāvājuma veidošanai, uzsvaru liekot uz digitālajām prasmēm.</w:t>
            </w:r>
          </w:p>
          <w:p w14:paraId="40A37519" w14:textId="77777777" w:rsidR="00C77C80" w:rsidRPr="00550D35" w:rsidRDefault="00C77C80" w:rsidP="00BA62A0">
            <w:pPr>
              <w:ind w:firstLine="0"/>
              <w:rPr>
                <w:sz w:val="20"/>
                <w:lang w:val="lv-LV"/>
              </w:rPr>
            </w:pPr>
            <w:r>
              <w:rPr>
                <w:sz w:val="20"/>
                <w:lang w:val="lv-LV"/>
              </w:rPr>
              <w:t xml:space="preserve">Projekta mērķa grupas ir </w:t>
            </w:r>
            <w:r w:rsidRPr="00E22E2D">
              <w:rPr>
                <w:sz w:val="20"/>
                <w:lang w:val="lv-LV"/>
              </w:rPr>
              <w:t>bezdarbnieka vai darba meklētāja statusā</w:t>
            </w:r>
            <w:r>
              <w:rPr>
                <w:sz w:val="20"/>
                <w:lang w:val="lv-LV"/>
              </w:rPr>
              <w:t xml:space="preserve"> esošas un </w:t>
            </w:r>
            <w:r w:rsidRPr="00E22E2D">
              <w:rPr>
                <w:sz w:val="20"/>
                <w:lang w:val="lv-LV"/>
              </w:rPr>
              <w:t>bezdarba riskam pakļautās personas.</w:t>
            </w:r>
          </w:p>
        </w:tc>
      </w:tr>
      <w:tr w:rsidR="00C77C80" w:rsidRPr="00550D35" w14:paraId="6A216261" w14:textId="77777777" w:rsidTr="00BA62A0">
        <w:trPr>
          <w:trHeight w:val="300"/>
        </w:trPr>
        <w:tc>
          <w:tcPr>
            <w:tcW w:w="3192" w:type="dxa"/>
            <w:shd w:val="clear" w:color="auto" w:fill="auto"/>
          </w:tcPr>
          <w:p w14:paraId="1EF82A7D" w14:textId="6C9BB978" w:rsidR="00C77C80" w:rsidRPr="00550D35" w:rsidRDefault="00C77C80" w:rsidP="00BA62A0">
            <w:pPr>
              <w:ind w:firstLine="0"/>
              <w:rPr>
                <w:b/>
                <w:bCs/>
                <w:sz w:val="20"/>
                <w:lang w:val="lv-LV"/>
              </w:rPr>
            </w:pPr>
            <w:r w:rsidRPr="00550D35">
              <w:rPr>
                <w:b/>
                <w:bCs/>
                <w:sz w:val="20"/>
                <w:lang w:val="lv-LV"/>
              </w:rPr>
              <w:t>Piešķirtais vai plānotais budžets un, ja atbilstoši, citi resursi</w:t>
            </w:r>
          </w:p>
        </w:tc>
        <w:tc>
          <w:tcPr>
            <w:tcW w:w="5592" w:type="dxa"/>
            <w:shd w:val="clear" w:color="auto" w:fill="auto"/>
          </w:tcPr>
          <w:p w14:paraId="3182B250" w14:textId="77777777" w:rsidR="00C77C80" w:rsidRPr="00337A14" w:rsidRDefault="00C77C80" w:rsidP="00BA62A0">
            <w:pPr>
              <w:ind w:firstLine="0"/>
              <w:contextualSpacing/>
              <w:rPr>
                <w:i/>
                <w:iCs/>
                <w:sz w:val="20"/>
                <w:lang w:val="lv-LV"/>
              </w:rPr>
            </w:pPr>
            <w:r w:rsidRPr="00550D35">
              <w:rPr>
                <w:sz w:val="20"/>
                <w:lang w:val="lv-LV"/>
              </w:rPr>
              <w:t>P</w:t>
            </w:r>
            <w:r>
              <w:rPr>
                <w:sz w:val="20"/>
                <w:lang w:val="lv-LV"/>
              </w:rPr>
              <w:t xml:space="preserve">rojekta kopējās izmaksas ir </w:t>
            </w:r>
            <w:r w:rsidRPr="00337A14">
              <w:rPr>
                <w:sz w:val="20"/>
                <w:lang w:val="lv-LV"/>
              </w:rPr>
              <w:t xml:space="preserve">30,2 milj. </w:t>
            </w:r>
            <w:proofErr w:type="spellStart"/>
            <w:r w:rsidRPr="00337A14">
              <w:rPr>
                <w:i/>
                <w:iCs/>
                <w:sz w:val="20"/>
                <w:lang w:val="lv-LV"/>
              </w:rPr>
              <w:t>euro</w:t>
            </w:r>
            <w:proofErr w:type="spellEnd"/>
            <w:r>
              <w:rPr>
                <w:i/>
                <w:iCs/>
                <w:sz w:val="20"/>
                <w:lang w:val="lv-LV"/>
              </w:rPr>
              <w:t>:</w:t>
            </w:r>
          </w:p>
          <w:p w14:paraId="7DFF63AD" w14:textId="77777777" w:rsidR="00C77C80" w:rsidRPr="00550D35" w:rsidRDefault="00C77C80" w:rsidP="00BA62A0">
            <w:pPr>
              <w:ind w:firstLine="0"/>
              <w:contextualSpacing/>
              <w:rPr>
                <w:sz w:val="20"/>
                <w:lang w:val="lv-LV"/>
              </w:rPr>
            </w:pPr>
            <w:r w:rsidRPr="00550D35">
              <w:rPr>
                <w:sz w:val="20"/>
                <w:lang w:val="lv-LV"/>
              </w:rPr>
              <w:t xml:space="preserve">t.sk. no nacionālajiem finansēšanas avotiem: </w:t>
            </w:r>
          </w:p>
          <w:p w14:paraId="499FE207" w14:textId="77777777" w:rsidR="00C77C80" w:rsidRPr="00550D35" w:rsidRDefault="00C77C80" w:rsidP="00BA62A0">
            <w:pPr>
              <w:ind w:left="720" w:firstLine="0"/>
              <w:contextualSpacing/>
              <w:rPr>
                <w:sz w:val="20"/>
                <w:lang w:val="lv-LV"/>
              </w:rPr>
            </w:pPr>
            <w:r>
              <w:rPr>
                <w:sz w:val="20"/>
                <w:lang w:val="lv-LV"/>
              </w:rPr>
              <w:t>piešķirts:1</w:t>
            </w:r>
            <w:r w:rsidRPr="00550D35">
              <w:rPr>
                <w:sz w:val="20"/>
                <w:lang w:val="lv-LV"/>
              </w:rPr>
              <w:t>,</w:t>
            </w:r>
            <w:r>
              <w:rPr>
                <w:sz w:val="20"/>
                <w:lang w:val="lv-LV"/>
              </w:rPr>
              <w:t>4</w:t>
            </w:r>
            <w:r w:rsidRPr="00550D35">
              <w:rPr>
                <w:sz w:val="20"/>
                <w:lang w:val="lv-LV"/>
              </w:rPr>
              <w:t xml:space="preserve"> milj. </w:t>
            </w:r>
            <w:proofErr w:type="spellStart"/>
            <w:r w:rsidRPr="004C3CE4">
              <w:rPr>
                <w:i/>
                <w:iCs/>
                <w:sz w:val="20"/>
                <w:lang w:val="lv-LV"/>
              </w:rPr>
              <w:t>euro</w:t>
            </w:r>
            <w:proofErr w:type="spellEnd"/>
            <w:r w:rsidRPr="00550D35">
              <w:rPr>
                <w:sz w:val="20"/>
                <w:lang w:val="lv-LV"/>
              </w:rPr>
              <w:t>;</w:t>
            </w:r>
          </w:p>
          <w:p w14:paraId="15AEFBE4" w14:textId="77777777" w:rsidR="00C77C80" w:rsidRPr="00550D35" w:rsidRDefault="00C77C80" w:rsidP="00BA62A0">
            <w:pPr>
              <w:ind w:firstLine="0"/>
              <w:contextualSpacing/>
              <w:rPr>
                <w:sz w:val="20"/>
                <w:lang w:val="lv-LV"/>
              </w:rPr>
            </w:pPr>
            <w:r w:rsidRPr="00550D35">
              <w:rPr>
                <w:sz w:val="20"/>
                <w:lang w:val="lv-LV"/>
              </w:rPr>
              <w:t>t.sk. no ES finansēšanas avotiem (</w:t>
            </w:r>
            <w:r>
              <w:rPr>
                <w:sz w:val="20"/>
                <w:lang w:val="lv-LV"/>
              </w:rPr>
              <w:t>ANM</w:t>
            </w:r>
            <w:r w:rsidRPr="00550D35">
              <w:rPr>
                <w:sz w:val="20"/>
                <w:lang w:val="lv-LV"/>
              </w:rPr>
              <w:t xml:space="preserve">): </w:t>
            </w:r>
          </w:p>
          <w:p w14:paraId="75020908" w14:textId="77777777" w:rsidR="00C77C80" w:rsidRPr="00550D35" w:rsidRDefault="00C77C80" w:rsidP="00BA62A0">
            <w:pPr>
              <w:ind w:left="720" w:firstLine="0"/>
              <w:contextualSpacing/>
              <w:rPr>
                <w:sz w:val="20"/>
                <w:lang w:val="lv-LV"/>
              </w:rPr>
            </w:pPr>
            <w:r>
              <w:rPr>
                <w:sz w:val="20"/>
                <w:lang w:val="lv-LV"/>
              </w:rPr>
              <w:t xml:space="preserve">piešķirts: </w:t>
            </w:r>
            <w:r w:rsidRPr="00550D35">
              <w:rPr>
                <w:sz w:val="20"/>
                <w:lang w:val="lv-LV"/>
              </w:rPr>
              <w:t>2</w:t>
            </w:r>
            <w:r>
              <w:rPr>
                <w:sz w:val="20"/>
                <w:lang w:val="lv-LV"/>
              </w:rPr>
              <w:t>8,7</w:t>
            </w:r>
            <w:r w:rsidRPr="00550D35">
              <w:rPr>
                <w:sz w:val="20"/>
                <w:lang w:val="lv-LV"/>
              </w:rPr>
              <w:t xml:space="preserve"> milj. </w:t>
            </w:r>
            <w:proofErr w:type="spellStart"/>
            <w:r w:rsidRPr="00247916">
              <w:rPr>
                <w:i/>
                <w:iCs/>
                <w:sz w:val="20"/>
                <w:lang w:val="lv-LV"/>
              </w:rPr>
              <w:t>euro</w:t>
            </w:r>
            <w:proofErr w:type="spellEnd"/>
            <w:r w:rsidRPr="00550D35">
              <w:rPr>
                <w:sz w:val="20"/>
                <w:lang w:val="lv-LV"/>
              </w:rPr>
              <w:t>.</w:t>
            </w:r>
          </w:p>
        </w:tc>
      </w:tr>
      <w:tr w:rsidR="00C77C80" w:rsidRPr="00550D35" w14:paraId="6F92F8C0" w14:textId="77777777" w:rsidTr="00BA62A0">
        <w:trPr>
          <w:trHeight w:val="300"/>
        </w:trPr>
        <w:tc>
          <w:tcPr>
            <w:tcW w:w="3192" w:type="dxa"/>
          </w:tcPr>
          <w:p w14:paraId="1DC8016D" w14:textId="77777777" w:rsidR="00C77C80" w:rsidRPr="00550D35" w:rsidRDefault="00C77C80" w:rsidP="00BA62A0">
            <w:pPr>
              <w:ind w:firstLine="0"/>
              <w:rPr>
                <w:b/>
                <w:bCs/>
                <w:sz w:val="20"/>
                <w:lang w:val="lv-LV"/>
              </w:rPr>
            </w:pPr>
            <w:r w:rsidRPr="00550D35">
              <w:rPr>
                <w:b/>
                <w:bCs/>
                <w:sz w:val="20"/>
                <w:lang w:val="lv-LV"/>
              </w:rPr>
              <w:t>Sagaidāmā ietekme un laika ietvars</w:t>
            </w:r>
          </w:p>
        </w:tc>
        <w:tc>
          <w:tcPr>
            <w:tcW w:w="5592" w:type="dxa"/>
          </w:tcPr>
          <w:p w14:paraId="1CEB7270" w14:textId="77777777" w:rsidR="00C77C80" w:rsidRPr="00337A14" w:rsidRDefault="00C77C80" w:rsidP="00BA62A0">
            <w:pPr>
              <w:shd w:val="clear" w:color="auto" w:fill="FFFFFF"/>
              <w:spacing w:before="100" w:beforeAutospacing="1" w:after="100" w:afterAutospacing="1"/>
              <w:ind w:firstLine="0"/>
              <w:rPr>
                <w:sz w:val="20"/>
                <w:lang w:val="lv-LV"/>
              </w:rPr>
            </w:pPr>
            <w:r w:rsidRPr="00550D35">
              <w:rPr>
                <w:sz w:val="20"/>
                <w:lang w:val="lv-LV"/>
              </w:rPr>
              <w:t>Projekta īstenošanas rezultātā</w:t>
            </w:r>
            <w:r>
              <w:rPr>
                <w:sz w:val="20"/>
                <w:lang w:val="lv-LV"/>
              </w:rPr>
              <w:t xml:space="preserve"> plānots:</w:t>
            </w:r>
            <w:r>
              <w:rPr>
                <w:sz w:val="20"/>
                <w:lang w:val="lv-LV"/>
              </w:rPr>
              <w:br/>
              <w:t>L</w:t>
            </w:r>
            <w:r w:rsidRPr="006D2654">
              <w:rPr>
                <w:sz w:val="20"/>
                <w:lang w:val="lv-LV"/>
              </w:rPr>
              <w:t xml:space="preserve">īdz </w:t>
            </w:r>
            <w:r>
              <w:rPr>
                <w:sz w:val="20"/>
                <w:lang w:val="lv-LV"/>
              </w:rPr>
              <w:t>31.03.2025.</w:t>
            </w:r>
            <w:r w:rsidRPr="00F1732C">
              <w:rPr>
                <w:sz w:val="20"/>
                <w:lang w:val="lv-LV"/>
              </w:rPr>
              <w:t xml:space="preserve"> prasm</w:t>
            </w:r>
            <w:r>
              <w:rPr>
                <w:sz w:val="20"/>
                <w:lang w:val="lv-LV"/>
              </w:rPr>
              <w:t>es ir</w:t>
            </w:r>
            <w:r w:rsidRPr="00443F09">
              <w:rPr>
                <w:sz w:val="20"/>
                <w:lang w:val="lv-LV"/>
              </w:rPr>
              <w:t xml:space="preserve"> pilnveido</w:t>
            </w:r>
            <w:r>
              <w:rPr>
                <w:sz w:val="20"/>
                <w:lang w:val="lv-LV"/>
              </w:rPr>
              <w:t>juši</w:t>
            </w:r>
            <w:r w:rsidRPr="00BA1754">
              <w:rPr>
                <w:sz w:val="20"/>
                <w:lang w:val="lv-LV"/>
              </w:rPr>
              <w:t xml:space="preserve"> </w:t>
            </w:r>
            <w:r w:rsidRPr="00337A14">
              <w:rPr>
                <w:sz w:val="20"/>
                <w:lang w:val="lv-LV"/>
              </w:rPr>
              <w:t>10</w:t>
            </w:r>
            <w:r>
              <w:rPr>
                <w:sz w:val="20"/>
                <w:lang w:val="lv-LV"/>
              </w:rPr>
              <w:t> tūkst. </w:t>
            </w:r>
            <w:r w:rsidRPr="00337A14">
              <w:rPr>
                <w:sz w:val="20"/>
                <w:lang w:val="lv-LV"/>
              </w:rPr>
              <w:t>bezdarbnieki, darba meklētāji, bezdarba riskam pakļautie iedzīvotāji</w:t>
            </w:r>
            <w:r>
              <w:rPr>
                <w:sz w:val="20"/>
                <w:lang w:val="lv-LV"/>
              </w:rPr>
              <w:t>;</w:t>
            </w:r>
            <w:r>
              <w:rPr>
                <w:sz w:val="20"/>
                <w:lang w:val="lv-LV"/>
              </w:rPr>
              <w:br/>
            </w:r>
            <w:r>
              <w:rPr>
                <w:sz w:val="20"/>
                <w:lang w:val="lv-LV"/>
              </w:rPr>
              <w:lastRenderedPageBreak/>
              <w:t>L</w:t>
            </w:r>
            <w:r w:rsidRPr="00C62A04">
              <w:rPr>
                <w:sz w:val="20"/>
                <w:lang w:val="lv-LV"/>
              </w:rPr>
              <w:t xml:space="preserve">īdz </w:t>
            </w:r>
            <w:r>
              <w:rPr>
                <w:sz w:val="20"/>
                <w:lang w:val="lv-LV"/>
              </w:rPr>
              <w:t>30.06.2026. pr</w:t>
            </w:r>
            <w:r w:rsidRPr="00487F5A">
              <w:rPr>
                <w:sz w:val="20"/>
                <w:lang w:val="lv-LV"/>
              </w:rPr>
              <w:t>asm</w:t>
            </w:r>
            <w:r>
              <w:rPr>
                <w:sz w:val="20"/>
                <w:lang w:val="lv-LV"/>
              </w:rPr>
              <w:t>es ir</w:t>
            </w:r>
            <w:r w:rsidRPr="00487F5A">
              <w:rPr>
                <w:sz w:val="20"/>
                <w:lang w:val="lv-LV"/>
              </w:rPr>
              <w:t xml:space="preserve"> pilnveido</w:t>
            </w:r>
            <w:r>
              <w:rPr>
                <w:sz w:val="20"/>
                <w:lang w:val="lv-LV"/>
              </w:rPr>
              <w:t xml:space="preserve">juši </w:t>
            </w:r>
            <w:r w:rsidRPr="00337A14">
              <w:rPr>
                <w:sz w:val="20"/>
                <w:lang w:val="lv-LV"/>
              </w:rPr>
              <w:t>20 450 bezdarbnieki, darba meklētāji, bezdarba riskam pakļautie iedzīvotāji</w:t>
            </w:r>
            <w:r>
              <w:rPr>
                <w:sz w:val="20"/>
                <w:lang w:val="lv-LV"/>
              </w:rPr>
              <w:t>.</w:t>
            </w:r>
          </w:p>
          <w:p w14:paraId="0F92033D" w14:textId="77777777" w:rsidR="00C77C80" w:rsidRPr="00550D35" w:rsidRDefault="00C77C80" w:rsidP="00BA62A0">
            <w:pPr>
              <w:ind w:firstLine="0"/>
              <w:contextualSpacing/>
              <w:rPr>
                <w:rFonts w:eastAsia="Calibri"/>
                <w:sz w:val="20"/>
                <w:lang w:val="lv-LV"/>
              </w:rPr>
            </w:pPr>
            <w:r w:rsidRPr="00550D35">
              <w:rPr>
                <w:rFonts w:eastAsia="Calibri"/>
                <w:sz w:val="20"/>
                <w:lang w:val="lv-LV"/>
              </w:rPr>
              <w:t>Projekta laika ietvars 0</w:t>
            </w:r>
            <w:r>
              <w:rPr>
                <w:rFonts w:eastAsia="Calibri"/>
                <w:sz w:val="20"/>
                <w:lang w:val="lv-LV"/>
              </w:rPr>
              <w:t>2</w:t>
            </w:r>
            <w:r w:rsidRPr="00550D35">
              <w:rPr>
                <w:rFonts w:eastAsia="Calibri"/>
                <w:sz w:val="20"/>
                <w:lang w:val="lv-LV"/>
              </w:rPr>
              <w:t>.0</w:t>
            </w:r>
            <w:r>
              <w:rPr>
                <w:rFonts w:eastAsia="Calibri"/>
                <w:sz w:val="20"/>
                <w:lang w:val="lv-LV"/>
              </w:rPr>
              <w:t>9</w:t>
            </w:r>
            <w:r w:rsidRPr="00550D35">
              <w:rPr>
                <w:rFonts w:eastAsia="Calibri"/>
                <w:sz w:val="20"/>
                <w:lang w:val="lv-LV"/>
              </w:rPr>
              <w:t>.2023. - 3</w:t>
            </w:r>
            <w:r>
              <w:rPr>
                <w:rFonts w:eastAsia="Calibri"/>
                <w:sz w:val="20"/>
                <w:lang w:val="lv-LV"/>
              </w:rPr>
              <w:t>0</w:t>
            </w:r>
            <w:r w:rsidRPr="00550D35">
              <w:rPr>
                <w:rFonts w:eastAsia="Calibri"/>
                <w:sz w:val="20"/>
                <w:lang w:val="lv-LV"/>
              </w:rPr>
              <w:t>.0</w:t>
            </w:r>
            <w:r>
              <w:rPr>
                <w:rFonts w:eastAsia="Calibri"/>
                <w:sz w:val="20"/>
                <w:lang w:val="lv-LV"/>
              </w:rPr>
              <w:t>6</w:t>
            </w:r>
            <w:r w:rsidRPr="00550D35">
              <w:rPr>
                <w:rFonts w:eastAsia="Calibri"/>
                <w:sz w:val="20"/>
                <w:lang w:val="lv-LV"/>
              </w:rPr>
              <w:t>.202</w:t>
            </w:r>
            <w:r>
              <w:rPr>
                <w:rFonts w:eastAsia="Calibri"/>
                <w:sz w:val="20"/>
                <w:lang w:val="lv-LV"/>
              </w:rPr>
              <w:t>6</w:t>
            </w:r>
            <w:r w:rsidRPr="00550D35">
              <w:rPr>
                <w:rFonts w:eastAsia="Calibri"/>
                <w:sz w:val="20"/>
                <w:lang w:val="lv-LV"/>
              </w:rPr>
              <w:t>.</w:t>
            </w:r>
          </w:p>
        </w:tc>
      </w:tr>
    </w:tbl>
    <w:p w14:paraId="745DC36D" w14:textId="77777777" w:rsidR="00C77C80" w:rsidRDefault="00C77C80" w:rsidP="00C77C80">
      <w:pPr>
        <w:pStyle w:val="Text3"/>
        <w:ind w:left="0" w:firstLine="0"/>
        <w:rPr>
          <w:lang w:val="lv-LV"/>
        </w:rPr>
      </w:pPr>
    </w:p>
    <w:tbl>
      <w:tblPr>
        <w:tblStyle w:val="TableGrid"/>
        <w:tblW w:w="8755" w:type="dxa"/>
        <w:tblLook w:val="04A0" w:firstRow="1" w:lastRow="0" w:firstColumn="1" w:lastColumn="0" w:noHBand="0" w:noVBand="1"/>
      </w:tblPr>
      <w:tblGrid>
        <w:gridCol w:w="3192"/>
        <w:gridCol w:w="5563"/>
      </w:tblGrid>
      <w:tr w:rsidR="00C77C80" w:rsidRPr="003B2E9A" w14:paraId="6015681A" w14:textId="77777777" w:rsidTr="00BA62A0">
        <w:tc>
          <w:tcPr>
            <w:tcW w:w="8755" w:type="dxa"/>
            <w:gridSpan w:val="2"/>
          </w:tcPr>
          <w:p w14:paraId="4C1F192B" w14:textId="77777777" w:rsidR="00C77C80" w:rsidRPr="00550D35" w:rsidRDefault="00C77C80" w:rsidP="00BA62A0">
            <w:pPr>
              <w:ind w:firstLine="0"/>
              <w:contextualSpacing/>
              <w:rPr>
                <w:rFonts w:eastAsia="Wingdings 2"/>
                <w:sz w:val="20"/>
                <w:lang w:val="lv-LV"/>
              </w:rPr>
            </w:pPr>
            <w:r w:rsidRPr="00550D35">
              <w:rPr>
                <w:b/>
                <w:bCs/>
                <w:sz w:val="20"/>
                <w:lang w:val="lv-LV"/>
              </w:rPr>
              <w:t>Pasākums Nr.</w:t>
            </w:r>
            <w:r>
              <w:rPr>
                <w:b/>
                <w:bCs/>
                <w:sz w:val="20"/>
                <w:lang w:val="lv-LV"/>
              </w:rPr>
              <w:t>6</w:t>
            </w:r>
            <w:r w:rsidRPr="00550D35">
              <w:rPr>
                <w:b/>
                <w:bCs/>
                <w:sz w:val="20"/>
                <w:lang w:val="lv-LV"/>
              </w:rPr>
              <w:t xml:space="preserve"> – </w:t>
            </w:r>
            <w:r>
              <w:rPr>
                <w:b/>
                <w:bCs/>
                <w:sz w:val="20"/>
                <w:lang w:val="lv-LV"/>
              </w:rPr>
              <w:t xml:space="preserve">ANM plāna </w:t>
            </w:r>
            <w:r w:rsidRPr="00873634">
              <w:rPr>
                <w:b/>
                <w:bCs/>
                <w:sz w:val="20"/>
                <w:lang w:val="lv-LV"/>
              </w:rPr>
              <w:t>investīcija</w:t>
            </w:r>
            <w:r>
              <w:rPr>
                <w:b/>
                <w:bCs/>
                <w:sz w:val="20"/>
                <w:lang w:val="lv-LV"/>
              </w:rPr>
              <w:t>s</w:t>
            </w:r>
            <w:r w:rsidRPr="00873634">
              <w:rPr>
                <w:b/>
                <w:bCs/>
                <w:sz w:val="20"/>
                <w:lang w:val="lv-LV"/>
              </w:rPr>
              <w:t xml:space="preserve">  2.3.2.1.i. </w:t>
            </w:r>
            <w:r>
              <w:rPr>
                <w:b/>
                <w:bCs/>
                <w:sz w:val="20"/>
                <w:lang w:val="lv-LV"/>
              </w:rPr>
              <w:t xml:space="preserve">pasākums </w:t>
            </w:r>
            <w:r w:rsidRPr="00873634">
              <w:rPr>
                <w:b/>
                <w:bCs/>
                <w:sz w:val="20"/>
                <w:lang w:val="lv-LV"/>
              </w:rPr>
              <w:t>“Digitālās prasmes iedzīvotājiem t.sk. jauniešiem”</w:t>
            </w:r>
          </w:p>
        </w:tc>
      </w:tr>
      <w:tr w:rsidR="00C77C80" w:rsidRPr="00550D35" w14:paraId="296D58AC" w14:textId="77777777" w:rsidTr="00BA62A0">
        <w:tc>
          <w:tcPr>
            <w:tcW w:w="3192" w:type="dxa"/>
          </w:tcPr>
          <w:p w14:paraId="30479359" w14:textId="77777777" w:rsidR="00C77C80" w:rsidRPr="00550D35" w:rsidRDefault="00C77C80" w:rsidP="00BA62A0">
            <w:pPr>
              <w:ind w:firstLine="0"/>
              <w:rPr>
                <w:b/>
                <w:bCs/>
                <w:sz w:val="20"/>
                <w:lang w:val="lv-LV"/>
              </w:rPr>
            </w:pPr>
            <w:r w:rsidRPr="00550D35">
              <w:rPr>
                <w:b/>
                <w:bCs/>
                <w:sz w:val="20"/>
                <w:lang w:val="lv-LV"/>
              </w:rPr>
              <w:t>Jauns pasākums</w:t>
            </w:r>
          </w:p>
        </w:tc>
        <w:tc>
          <w:tcPr>
            <w:tcW w:w="5563" w:type="dxa"/>
          </w:tcPr>
          <w:p w14:paraId="44EC985F"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226660879"/>
                <w14:checkbox>
                  <w14:checked w14:val="1"/>
                  <w14:checkedState w14:val="2612" w14:font="MS Gothic"/>
                  <w14:uncheckedState w14:val="2610" w14:font="MS Gothic"/>
                </w14:checkbox>
              </w:sdtPr>
              <w:sdtEndPr/>
              <w:sdtContent>
                <w:r w:rsidR="00C77C80">
                  <w:rPr>
                    <w:rFonts w:ascii="MS Gothic" w:eastAsia="MS Gothic" w:hAnsi="MS Gothic" w:hint="eastAsia"/>
                    <w:sz w:val="22"/>
                    <w:szCs w:val="22"/>
                    <w:lang w:val="lv-LV"/>
                  </w:rPr>
                  <w:t>☒</w:t>
                </w:r>
              </w:sdtContent>
            </w:sdt>
            <w:r w:rsidR="00C77C80" w:rsidRPr="00550D35">
              <w:rPr>
                <w:sz w:val="22"/>
                <w:szCs w:val="22"/>
                <w:lang w:val="lv-LV"/>
              </w:rPr>
              <w:t>jā</w:t>
            </w:r>
          </w:p>
          <w:p w14:paraId="439E4296" w14:textId="77777777" w:rsidR="00C77C80" w:rsidRPr="00550D35" w:rsidRDefault="00AC141D" w:rsidP="00BA62A0">
            <w:pPr>
              <w:spacing w:before="0" w:after="120"/>
              <w:ind w:firstLine="0"/>
              <w:contextualSpacing/>
              <w:jc w:val="left"/>
              <w:rPr>
                <w:sz w:val="20"/>
                <w:lang w:val="lv-LV"/>
              </w:rPr>
            </w:pPr>
            <w:sdt>
              <w:sdtPr>
                <w:rPr>
                  <w:sz w:val="22"/>
                  <w:szCs w:val="22"/>
                  <w:lang w:val="lv-LV"/>
                </w:rPr>
                <w:id w:val="-1710638991"/>
                <w14:checkbox>
                  <w14:checked w14:val="0"/>
                  <w14:checkedState w14:val="2612" w14:font="MS Gothic"/>
                  <w14:uncheckedState w14:val="2610" w14:font="MS Gothic"/>
                </w14:checkbox>
              </w:sdtPr>
              <w:sdtEndPr/>
              <w:sdtContent>
                <w:r w:rsidR="00C77C80">
                  <w:rPr>
                    <w:rFonts w:ascii="MS Gothic" w:eastAsia="MS Gothic" w:hAnsi="MS Gothic" w:hint="eastAsia"/>
                    <w:sz w:val="22"/>
                    <w:szCs w:val="22"/>
                    <w:lang w:val="lv-LV"/>
                  </w:rPr>
                  <w:t>☐</w:t>
                </w:r>
              </w:sdtContent>
            </w:sdt>
            <w:r w:rsidR="00C77C80" w:rsidRPr="00550D35">
              <w:rPr>
                <w:rFonts w:eastAsia="MS Minngs"/>
                <w:sz w:val="22"/>
                <w:szCs w:val="22"/>
                <w:lang w:val="lv-LV"/>
              </w:rPr>
              <w:t xml:space="preserve"> </w:t>
            </w:r>
            <w:r w:rsidR="00C77C80" w:rsidRPr="00550D35">
              <w:rPr>
                <w:sz w:val="22"/>
                <w:szCs w:val="22"/>
                <w:lang w:val="lv-LV"/>
              </w:rPr>
              <w:t>nē</w:t>
            </w:r>
          </w:p>
        </w:tc>
      </w:tr>
      <w:tr w:rsidR="00C77C80" w:rsidRPr="003B2E9A" w14:paraId="4E7D53DC" w14:textId="77777777" w:rsidTr="00BA62A0">
        <w:tc>
          <w:tcPr>
            <w:tcW w:w="3192" w:type="dxa"/>
          </w:tcPr>
          <w:p w14:paraId="62EF92B4" w14:textId="77777777" w:rsidR="00C77C80" w:rsidRPr="00550D35" w:rsidRDefault="00C77C80" w:rsidP="00BA62A0">
            <w:pPr>
              <w:ind w:firstLine="0"/>
              <w:rPr>
                <w:b/>
                <w:bCs/>
                <w:sz w:val="20"/>
                <w:lang w:val="lv-LV"/>
              </w:rPr>
            </w:pPr>
            <w:r w:rsidRPr="00550D35">
              <w:rPr>
                <w:b/>
                <w:bCs/>
                <w:sz w:val="20"/>
                <w:lang w:val="lv-LV"/>
              </w:rPr>
              <w:t>Īss pasākuma apraksts</w:t>
            </w:r>
          </w:p>
          <w:p w14:paraId="1BDBE387" w14:textId="77777777" w:rsidR="00C77C80" w:rsidRPr="00550D35" w:rsidRDefault="00C77C80" w:rsidP="00BA62A0">
            <w:pPr>
              <w:rPr>
                <w:i/>
                <w:iCs/>
                <w:sz w:val="20"/>
                <w:lang w:val="lv-LV"/>
              </w:rPr>
            </w:pPr>
          </w:p>
        </w:tc>
        <w:tc>
          <w:tcPr>
            <w:tcW w:w="5563" w:type="dxa"/>
          </w:tcPr>
          <w:p w14:paraId="5DB4673E" w14:textId="77777777" w:rsidR="00C77C80" w:rsidRPr="00014276" w:rsidRDefault="00C77C80" w:rsidP="00BA62A0">
            <w:pPr>
              <w:pBdr>
                <w:top w:val="nil"/>
                <w:left w:val="nil"/>
                <w:bottom w:val="nil"/>
                <w:right w:val="nil"/>
                <w:between w:val="nil"/>
              </w:pBdr>
              <w:spacing w:after="0"/>
              <w:ind w:firstLine="0"/>
              <w:rPr>
                <w:color w:val="000000" w:themeColor="text1"/>
                <w:sz w:val="20"/>
                <w:lang w:val="lv-LV"/>
              </w:rPr>
            </w:pPr>
            <w:r w:rsidRPr="00014276">
              <w:rPr>
                <w:b/>
                <w:color w:val="000000" w:themeColor="text1"/>
                <w:sz w:val="20"/>
                <w:lang w:val="lv-LV"/>
              </w:rPr>
              <w:t>Pasākum</w:t>
            </w:r>
            <w:r w:rsidRPr="00014276">
              <w:rPr>
                <w:b/>
                <w:bCs/>
                <w:color w:val="000000" w:themeColor="text1"/>
                <w:sz w:val="20"/>
                <w:lang w:val="lv-LV"/>
              </w:rPr>
              <w:t>a mērķis</w:t>
            </w:r>
            <w:r w:rsidRPr="00014276">
              <w:rPr>
                <w:color w:val="000000" w:themeColor="text1"/>
                <w:sz w:val="20"/>
                <w:lang w:val="lv-LV"/>
              </w:rPr>
              <w:t xml:space="preserve"> ir ieviest pašvaldībās sistēmisku pieeju iedzīvotāju digitālo prasmju attīstībai, kā arī izveidot mūsdienīgu, elastīgu, ilgtspējīgu, uz </w:t>
            </w:r>
            <w:proofErr w:type="spellStart"/>
            <w:r w:rsidRPr="00014276">
              <w:rPr>
                <w:color w:val="000000" w:themeColor="text1"/>
                <w:sz w:val="20"/>
                <w:lang w:val="lv-LV"/>
              </w:rPr>
              <w:t>mērķgrupas</w:t>
            </w:r>
            <w:proofErr w:type="spellEnd"/>
            <w:r w:rsidRPr="00014276">
              <w:rPr>
                <w:color w:val="000000" w:themeColor="text1"/>
                <w:sz w:val="20"/>
                <w:lang w:val="lv-LV"/>
              </w:rPr>
              <w:t xml:space="preserve"> problēmu risinājumiem vērstu digitālā darba ar jaunatni sistēmu pašvaldībās, to sasaistot ar citiem pašvaldības pakalpojumiem (t.sk. e-pakalpojumu attīstību) un mērķa grupas vajadzībām.</w:t>
            </w:r>
          </w:p>
          <w:p w14:paraId="6CE98E03" w14:textId="77777777" w:rsidR="00C77C80" w:rsidRPr="00F3510B" w:rsidRDefault="00C77C80" w:rsidP="00BA62A0">
            <w:pPr>
              <w:pBdr>
                <w:top w:val="nil"/>
                <w:left w:val="nil"/>
                <w:bottom w:val="nil"/>
                <w:right w:val="nil"/>
                <w:between w:val="nil"/>
              </w:pBdr>
              <w:spacing w:after="0"/>
              <w:ind w:firstLine="0"/>
              <w:rPr>
                <w:sz w:val="20"/>
                <w:lang w:val="lv-LV"/>
              </w:rPr>
            </w:pPr>
            <w:r w:rsidRPr="00014276">
              <w:rPr>
                <w:sz w:val="20"/>
                <w:lang w:val="lv-LV"/>
              </w:rPr>
              <w:t>Investīcijas pasākuma ietvaros finansējums tiek piešķirts diviem  projektiem:</w:t>
            </w:r>
            <w:r>
              <w:rPr>
                <w:sz w:val="20"/>
                <w:lang w:val="lv-LV"/>
              </w:rPr>
              <w:t xml:space="preserve"> p</w:t>
            </w:r>
            <w:r w:rsidRPr="00014276">
              <w:rPr>
                <w:b/>
                <w:bCs/>
                <w:sz w:val="20"/>
                <w:lang w:val="lv-LV"/>
              </w:rPr>
              <w:t xml:space="preserve">rojektam “Digitālā darba ar jaunatni sistēmas attīstība pašvaldībās” </w:t>
            </w:r>
            <w:r>
              <w:rPr>
                <w:b/>
                <w:bCs/>
                <w:sz w:val="20"/>
                <w:lang w:val="lv-LV"/>
              </w:rPr>
              <w:t>un p</w:t>
            </w:r>
            <w:r w:rsidRPr="00F3510B">
              <w:rPr>
                <w:b/>
                <w:bCs/>
                <w:sz w:val="20"/>
                <w:lang w:val="lv-LV"/>
              </w:rPr>
              <w:t>rojektam “Sabiedrības digitālo prasmju attīstība”</w:t>
            </w:r>
            <w:r>
              <w:rPr>
                <w:b/>
                <w:bCs/>
                <w:sz w:val="20"/>
                <w:lang w:val="lv-LV"/>
              </w:rPr>
              <w:t>.</w:t>
            </w:r>
          </w:p>
          <w:p w14:paraId="56F9F6C9" w14:textId="77777777" w:rsidR="00C77C80" w:rsidRPr="00014276" w:rsidRDefault="00C77C80" w:rsidP="00BA62A0">
            <w:pPr>
              <w:pBdr>
                <w:top w:val="nil"/>
                <w:left w:val="nil"/>
                <w:bottom w:val="nil"/>
                <w:right w:val="nil"/>
                <w:between w:val="nil"/>
              </w:pBdr>
              <w:spacing w:after="0"/>
              <w:ind w:firstLine="0"/>
              <w:rPr>
                <w:sz w:val="20"/>
                <w:lang w:val="lv-LV"/>
              </w:rPr>
            </w:pPr>
            <w:r w:rsidRPr="00014276">
              <w:rPr>
                <w:sz w:val="20"/>
                <w:lang w:val="lv-LV"/>
              </w:rPr>
              <w:t xml:space="preserve">Investīcijas pasākuma </w:t>
            </w:r>
            <w:r w:rsidRPr="00014276">
              <w:rPr>
                <w:b/>
                <w:bCs/>
                <w:sz w:val="20"/>
                <w:lang w:val="lv-LV"/>
              </w:rPr>
              <w:t>mērķa grupa</w:t>
            </w:r>
            <w:r w:rsidRPr="00014276">
              <w:rPr>
                <w:sz w:val="20"/>
                <w:lang w:val="lv-LV"/>
              </w:rPr>
              <w:t xml:space="preserve"> ir jaunieši (personas vecumā no 13 līdz 25 gadiem), t.sk. jaunieši ar ierobežotām iespējām, pieaugušie bez digitālajām prasmēm vai ar zemu digitālo prasmju līmeni, t.sk. personas ar īpašām vajadzībām un sociālās atstumtības riskam pakļautās personas, pašvaldību iestāžu, jaunatnes organizāciju un organizāciju, kas strādā ar jauniešiem, darba ar jaunatni veicēji, pašvaldības kā sadarbības partneri un investīcijas pasākuma rezultātu ilgtspējas plānotāji.</w:t>
            </w:r>
          </w:p>
        </w:tc>
      </w:tr>
      <w:tr w:rsidR="00C77C80" w:rsidRPr="00014276" w14:paraId="1792952C" w14:textId="77777777" w:rsidTr="00BA62A0">
        <w:tc>
          <w:tcPr>
            <w:tcW w:w="3192" w:type="dxa"/>
            <w:shd w:val="clear" w:color="auto" w:fill="auto"/>
          </w:tcPr>
          <w:p w14:paraId="39070CC4" w14:textId="5134E5A1" w:rsidR="00C77C80" w:rsidRPr="00550D35" w:rsidRDefault="00C77C80" w:rsidP="00BA62A0">
            <w:pPr>
              <w:ind w:firstLine="0"/>
              <w:rPr>
                <w:b/>
                <w:bCs/>
                <w:sz w:val="20"/>
                <w:lang w:val="lv-LV"/>
              </w:rPr>
            </w:pPr>
            <w:r w:rsidRPr="00550D35">
              <w:rPr>
                <w:b/>
                <w:bCs/>
                <w:sz w:val="20"/>
                <w:lang w:val="lv-LV"/>
              </w:rPr>
              <w:t>Piešķirtais vai plānotais budžets un, ja atbilstoši, citi resursi</w:t>
            </w:r>
          </w:p>
        </w:tc>
        <w:tc>
          <w:tcPr>
            <w:tcW w:w="5563" w:type="dxa"/>
            <w:shd w:val="clear" w:color="auto" w:fill="auto"/>
          </w:tcPr>
          <w:p w14:paraId="5E819FFB" w14:textId="77777777" w:rsidR="00C77C80" w:rsidRPr="00550D35" w:rsidRDefault="00C77C80" w:rsidP="00BA62A0">
            <w:pPr>
              <w:ind w:firstLine="0"/>
              <w:contextualSpacing/>
              <w:rPr>
                <w:iCs/>
                <w:sz w:val="20"/>
                <w:lang w:val="lv-LV"/>
              </w:rPr>
            </w:pPr>
            <w:r w:rsidRPr="00550D35">
              <w:rPr>
                <w:iCs/>
                <w:sz w:val="20"/>
                <w:lang w:val="lv-LV"/>
              </w:rPr>
              <w:t xml:space="preserve">Publiskā sektora ieguldījumi: </w:t>
            </w:r>
          </w:p>
          <w:p w14:paraId="2DE345CA" w14:textId="77777777" w:rsidR="00C77C80" w:rsidRPr="00550D35" w:rsidRDefault="00C77C80" w:rsidP="00BA62A0">
            <w:pPr>
              <w:ind w:firstLine="0"/>
              <w:contextualSpacing/>
              <w:rPr>
                <w:iCs/>
                <w:sz w:val="20"/>
                <w:lang w:val="lv-LV"/>
              </w:rPr>
            </w:pPr>
            <w:r w:rsidRPr="00550D35">
              <w:rPr>
                <w:iCs/>
                <w:sz w:val="20"/>
                <w:lang w:val="lv-LV"/>
              </w:rPr>
              <w:t xml:space="preserve">piešķirts: </w:t>
            </w:r>
            <w:r>
              <w:rPr>
                <w:sz w:val="20"/>
                <w:lang w:val="lv-LV"/>
              </w:rPr>
              <w:t>12,6 </w:t>
            </w:r>
            <w:r w:rsidRPr="00550D35">
              <w:rPr>
                <w:iCs/>
                <w:sz w:val="20"/>
                <w:lang w:val="lv-LV"/>
              </w:rPr>
              <w:t>milj.  </w:t>
            </w:r>
            <w:proofErr w:type="spellStart"/>
            <w:r w:rsidRPr="00550D35">
              <w:rPr>
                <w:i/>
                <w:sz w:val="20"/>
                <w:lang w:val="lv-LV"/>
              </w:rPr>
              <w:t>euro</w:t>
            </w:r>
            <w:proofErr w:type="spellEnd"/>
            <w:r w:rsidRPr="00550D35">
              <w:rPr>
                <w:i/>
                <w:sz w:val="20"/>
                <w:lang w:val="lv-LV"/>
              </w:rPr>
              <w:t>;</w:t>
            </w:r>
          </w:p>
          <w:p w14:paraId="02F9158D" w14:textId="77777777" w:rsidR="00C77C80" w:rsidRPr="00550D35" w:rsidRDefault="00C77C80" w:rsidP="00BA62A0">
            <w:pPr>
              <w:ind w:firstLine="0"/>
              <w:contextualSpacing/>
              <w:rPr>
                <w:iCs/>
                <w:sz w:val="20"/>
                <w:lang w:val="lv-LV"/>
              </w:rPr>
            </w:pPr>
            <w:r w:rsidRPr="00550D35">
              <w:rPr>
                <w:iCs/>
                <w:sz w:val="20"/>
                <w:lang w:val="lv-LV"/>
              </w:rPr>
              <w:t xml:space="preserve">t.sk. no nacionālajiem finansēšanas avotiem: </w:t>
            </w:r>
          </w:p>
          <w:p w14:paraId="28BC7A6C" w14:textId="5BD0F1C3" w:rsidR="00C77C80" w:rsidRPr="00550D35" w:rsidRDefault="00C77C80" w:rsidP="00BA62A0">
            <w:pPr>
              <w:ind w:firstLine="0"/>
              <w:contextualSpacing/>
              <w:rPr>
                <w:iCs/>
                <w:sz w:val="20"/>
                <w:lang w:val="lv-LV"/>
              </w:rPr>
            </w:pPr>
            <w:r w:rsidRPr="00550D35">
              <w:rPr>
                <w:iCs/>
                <w:sz w:val="20"/>
                <w:lang w:val="lv-LV"/>
              </w:rPr>
              <w:t xml:space="preserve">piešķirts: </w:t>
            </w:r>
            <w:r w:rsidRPr="00014276">
              <w:rPr>
                <w:iCs/>
                <w:sz w:val="20"/>
                <w:lang w:val="lv-LV"/>
              </w:rPr>
              <w:t>632,60 tūkst.</w:t>
            </w:r>
            <w:r w:rsidR="002F0DBE">
              <w:rPr>
                <w:iCs/>
                <w:sz w:val="20"/>
                <w:lang w:val="lv-LV"/>
              </w:rPr>
              <w:t> </w:t>
            </w:r>
            <w:proofErr w:type="spellStart"/>
            <w:r w:rsidRPr="00550D35">
              <w:rPr>
                <w:i/>
                <w:sz w:val="20"/>
                <w:lang w:val="lv-LV"/>
              </w:rPr>
              <w:t>euro</w:t>
            </w:r>
            <w:proofErr w:type="spellEnd"/>
            <w:r w:rsidRPr="00550D35">
              <w:rPr>
                <w:iCs/>
                <w:sz w:val="20"/>
                <w:lang w:val="lv-LV"/>
              </w:rPr>
              <w:t>;</w:t>
            </w:r>
          </w:p>
          <w:p w14:paraId="61B13D8D" w14:textId="77777777" w:rsidR="00C77C80" w:rsidRPr="00550D35" w:rsidRDefault="00C77C80" w:rsidP="00BA62A0">
            <w:pPr>
              <w:ind w:firstLine="0"/>
              <w:contextualSpacing/>
              <w:rPr>
                <w:iCs/>
                <w:sz w:val="20"/>
                <w:lang w:val="lv-LV"/>
              </w:rPr>
            </w:pPr>
            <w:r w:rsidRPr="00550D35">
              <w:rPr>
                <w:iCs/>
                <w:sz w:val="20"/>
                <w:lang w:val="lv-LV"/>
              </w:rPr>
              <w:t>t.sk. no ES finansēšanas avotiem (</w:t>
            </w:r>
            <w:r>
              <w:rPr>
                <w:iCs/>
                <w:sz w:val="20"/>
                <w:lang w:val="lv-LV"/>
              </w:rPr>
              <w:t>ANM</w:t>
            </w:r>
            <w:r w:rsidRPr="00550D35">
              <w:rPr>
                <w:iCs/>
                <w:sz w:val="20"/>
                <w:lang w:val="lv-LV"/>
              </w:rPr>
              <w:t xml:space="preserve">): </w:t>
            </w:r>
          </w:p>
          <w:p w14:paraId="67934388" w14:textId="77777777" w:rsidR="00C77C80" w:rsidRPr="00014276" w:rsidRDefault="00C77C80" w:rsidP="00BA62A0">
            <w:pPr>
              <w:ind w:firstLine="0"/>
              <w:rPr>
                <w:iCs/>
                <w:sz w:val="20"/>
                <w:lang w:val="lv-LV"/>
              </w:rPr>
            </w:pPr>
            <w:r w:rsidRPr="00550D35">
              <w:rPr>
                <w:iCs/>
                <w:sz w:val="20"/>
                <w:lang w:val="lv-LV"/>
              </w:rPr>
              <w:t xml:space="preserve">piešķirts: </w:t>
            </w:r>
            <w:r>
              <w:rPr>
                <w:iCs/>
                <w:sz w:val="20"/>
                <w:lang w:val="lv-LV"/>
              </w:rPr>
              <w:t>12,6 </w:t>
            </w:r>
            <w:r w:rsidRPr="00550D35">
              <w:rPr>
                <w:iCs/>
                <w:sz w:val="20"/>
                <w:lang w:val="lv-LV"/>
              </w:rPr>
              <w:t>milj.</w:t>
            </w:r>
            <w:r>
              <w:rPr>
                <w:iCs/>
                <w:sz w:val="20"/>
                <w:lang w:val="lv-LV"/>
              </w:rPr>
              <w:t> </w:t>
            </w:r>
            <w:proofErr w:type="spellStart"/>
            <w:r w:rsidRPr="00550D35">
              <w:rPr>
                <w:i/>
                <w:sz w:val="20"/>
                <w:lang w:val="lv-LV"/>
              </w:rPr>
              <w:t>euro</w:t>
            </w:r>
            <w:proofErr w:type="spellEnd"/>
            <w:r w:rsidRPr="00550D35">
              <w:rPr>
                <w:iCs/>
                <w:sz w:val="20"/>
                <w:lang w:val="lv-LV"/>
              </w:rPr>
              <w:t>.</w:t>
            </w:r>
          </w:p>
        </w:tc>
      </w:tr>
      <w:tr w:rsidR="00C77C80" w:rsidRPr="00550D35" w14:paraId="29B5DC86" w14:textId="77777777" w:rsidTr="00BA62A0">
        <w:tc>
          <w:tcPr>
            <w:tcW w:w="3192" w:type="dxa"/>
          </w:tcPr>
          <w:p w14:paraId="6D716783" w14:textId="77777777" w:rsidR="00C77C80" w:rsidRPr="00550D35" w:rsidRDefault="00C77C80" w:rsidP="00BA62A0">
            <w:pPr>
              <w:ind w:firstLine="0"/>
              <w:rPr>
                <w:b/>
                <w:bCs/>
                <w:sz w:val="20"/>
                <w:lang w:val="lv-LV"/>
              </w:rPr>
            </w:pPr>
            <w:r w:rsidRPr="00550D35">
              <w:rPr>
                <w:b/>
                <w:bCs/>
                <w:sz w:val="20"/>
                <w:lang w:val="lv-LV"/>
              </w:rPr>
              <w:t>Sagaidāmā ietekme un laika ietvars</w:t>
            </w:r>
          </w:p>
        </w:tc>
        <w:tc>
          <w:tcPr>
            <w:tcW w:w="5563" w:type="dxa"/>
          </w:tcPr>
          <w:p w14:paraId="329D0513" w14:textId="77777777" w:rsidR="00C77C80" w:rsidRPr="00014276" w:rsidRDefault="00C77C80" w:rsidP="00BA62A0">
            <w:pPr>
              <w:pBdr>
                <w:top w:val="nil"/>
                <w:left w:val="nil"/>
                <w:bottom w:val="nil"/>
                <w:right w:val="nil"/>
                <w:between w:val="nil"/>
              </w:pBdr>
              <w:spacing w:after="0"/>
              <w:ind w:firstLine="0"/>
              <w:rPr>
                <w:color w:val="000000" w:themeColor="text1"/>
                <w:sz w:val="20"/>
                <w:lang w:val="lv-LV"/>
              </w:rPr>
            </w:pPr>
            <w:r w:rsidRPr="00873634">
              <w:rPr>
                <w:color w:val="000000" w:themeColor="text1"/>
                <w:sz w:val="20"/>
                <w:lang w:val="lv-LV"/>
              </w:rPr>
              <w:t>Investīcijas pasākuma īstenošanas rezultātā tiks</w:t>
            </w:r>
            <w:r>
              <w:rPr>
                <w:color w:val="000000" w:themeColor="text1"/>
                <w:sz w:val="20"/>
                <w:lang w:val="lv-LV"/>
              </w:rPr>
              <w:t>:</w:t>
            </w:r>
            <w:r>
              <w:rPr>
                <w:color w:val="000000" w:themeColor="text1"/>
                <w:sz w:val="20"/>
                <w:lang w:val="lv-LV"/>
              </w:rPr>
              <w:br/>
            </w:r>
            <w:r w:rsidRPr="00873634">
              <w:rPr>
                <w:color w:val="000000" w:themeColor="text1"/>
                <w:sz w:val="20"/>
                <w:lang w:val="lv-LV"/>
              </w:rPr>
              <w:t>izstrādātas un īstenotas koordinētas aktivitātes pašvaldību līmenī, kas nodrošina digitālo prasmju apguvi jauniešiem un to lietošanu darbā ar jaunatni</w:t>
            </w:r>
            <w:r>
              <w:rPr>
                <w:color w:val="000000" w:themeColor="text1"/>
                <w:sz w:val="20"/>
                <w:lang w:val="lv-LV"/>
              </w:rPr>
              <w:t xml:space="preserve"> </w:t>
            </w:r>
            <w:r w:rsidRPr="00873634">
              <w:rPr>
                <w:color w:val="000000" w:themeColor="text1"/>
                <w:sz w:val="20"/>
                <w:lang w:val="lv-LV"/>
              </w:rPr>
              <w:t>tiks izveidota darba ar jaunatni digitālā vide un sekmēta jauniešu līdzdalība vietējās pārvaldes procesos, kā arī izstrādātas un īstenotas vienotas tehnoloģiju jaunrades digitālajā darbā ar jaunatni vadlīnijas</w:t>
            </w:r>
            <w:r w:rsidRPr="00873634">
              <w:rPr>
                <w:sz w:val="20"/>
                <w:lang w:val="lv-LV"/>
              </w:rPr>
              <w:t>, lai atbilstoši tām veidotajos pasākumos un aktivitātēs nodrošinātu</w:t>
            </w:r>
            <w:r w:rsidRPr="00873634">
              <w:rPr>
                <w:color w:val="000000" w:themeColor="text1"/>
                <w:sz w:val="20"/>
                <w:lang w:val="lv-LV"/>
              </w:rPr>
              <w:t xml:space="preserve"> jaunatnes tehnoloģiju un inovāciju spēju attīstību. Tāpat investīcijas pasākuma īstenošanas rezultātā tiks izstrādāta digitālo pašapkalpošanās prasmju apguves programma un moduļi (klātienes un tālmācības) iedzīvotājiem, lai veicinātu to </w:t>
            </w:r>
            <w:r w:rsidRPr="00873634">
              <w:rPr>
                <w:sz w:val="20"/>
                <w:lang w:val="lv-LV"/>
              </w:rPr>
              <w:t xml:space="preserve">spēju </w:t>
            </w:r>
            <w:r w:rsidRPr="00873634">
              <w:rPr>
                <w:color w:val="000000" w:themeColor="text1"/>
                <w:sz w:val="20"/>
                <w:lang w:val="lv-LV"/>
              </w:rPr>
              <w:t xml:space="preserve">izmantot primāros publiskos un privātos pakalpojumus digitālā veidā, veikta iedzīvotāju digitālo pašapkalpošanās prasmju novērtēšana, mācību vajadzību identificēšana, plānošana un mācību īstenošana iedzīvotājiem, kuriem nepiemīt vai ir zemas digitālās pašapkalpošanās prasmes, </w:t>
            </w:r>
            <w:r>
              <w:rPr>
                <w:color w:val="000000" w:themeColor="text1"/>
                <w:sz w:val="20"/>
                <w:lang w:val="lv-LV"/>
              </w:rPr>
              <w:t xml:space="preserve">un </w:t>
            </w:r>
            <w:r w:rsidRPr="00873634">
              <w:rPr>
                <w:color w:val="000000" w:themeColor="text1"/>
                <w:sz w:val="20"/>
                <w:lang w:val="lv-LV"/>
              </w:rPr>
              <w:t>līdz ar to ir ierobežota piekļuve publiskajiem un privātajiem pakalpojumiem digitālajā vidē</w:t>
            </w:r>
            <w:r w:rsidRPr="00873634">
              <w:rPr>
                <w:color w:val="000000" w:themeColor="text1"/>
                <w:szCs w:val="24"/>
                <w:lang w:val="lv-LV"/>
              </w:rPr>
              <w:t>.</w:t>
            </w:r>
          </w:p>
          <w:p w14:paraId="4CD886BD" w14:textId="77777777" w:rsidR="00C77C80" w:rsidRPr="00550D35" w:rsidRDefault="00C77C80" w:rsidP="00BA62A0">
            <w:pPr>
              <w:ind w:firstLine="0"/>
              <w:contextualSpacing/>
              <w:rPr>
                <w:rFonts w:eastAsia="Calibri"/>
                <w:iCs/>
                <w:sz w:val="20"/>
                <w:lang w:val="lv-LV"/>
              </w:rPr>
            </w:pPr>
            <w:r w:rsidRPr="00550D35">
              <w:rPr>
                <w:rFonts w:eastAsia="Calibri"/>
                <w:iCs/>
                <w:sz w:val="20"/>
                <w:lang w:val="lv-LV"/>
              </w:rPr>
              <w:t xml:space="preserve">Projekta laika ietvars </w:t>
            </w:r>
            <w:r>
              <w:rPr>
                <w:rFonts w:eastAsia="Calibri"/>
                <w:iCs/>
                <w:sz w:val="20"/>
                <w:lang w:val="lv-LV"/>
              </w:rPr>
              <w:t>01.01.2023</w:t>
            </w:r>
            <w:r w:rsidRPr="00550D35">
              <w:rPr>
                <w:rFonts w:eastAsia="Calibri"/>
                <w:iCs/>
                <w:sz w:val="20"/>
                <w:lang w:val="lv-LV"/>
              </w:rPr>
              <w:t>.</w:t>
            </w:r>
            <w:r>
              <w:rPr>
                <w:rFonts w:eastAsia="Calibri"/>
                <w:iCs/>
                <w:sz w:val="20"/>
                <w:lang w:val="lv-LV"/>
              </w:rPr>
              <w:t>-30.04.2026.</w:t>
            </w:r>
          </w:p>
        </w:tc>
      </w:tr>
    </w:tbl>
    <w:p w14:paraId="40D9CEAE" w14:textId="77777777" w:rsidR="00C77C80" w:rsidRPr="00550D35" w:rsidRDefault="00C77C80" w:rsidP="00C77C80">
      <w:pPr>
        <w:pStyle w:val="Text3"/>
        <w:ind w:left="0" w:firstLine="0"/>
        <w:rPr>
          <w:lang w:val="lv-LV"/>
        </w:rPr>
      </w:pPr>
    </w:p>
    <w:tbl>
      <w:tblPr>
        <w:tblStyle w:val="TableGrid"/>
        <w:tblW w:w="8784" w:type="dxa"/>
        <w:tblLook w:val="04A0" w:firstRow="1" w:lastRow="0" w:firstColumn="1" w:lastColumn="0" w:noHBand="0" w:noVBand="1"/>
      </w:tblPr>
      <w:tblGrid>
        <w:gridCol w:w="3137"/>
        <w:gridCol w:w="5647"/>
      </w:tblGrid>
      <w:tr w:rsidR="00C77C80" w:rsidRPr="003B2E9A" w14:paraId="29FAF594" w14:textId="77777777" w:rsidTr="00BA62A0">
        <w:trPr>
          <w:trHeight w:val="300"/>
        </w:trPr>
        <w:tc>
          <w:tcPr>
            <w:tcW w:w="8784" w:type="dxa"/>
            <w:gridSpan w:val="2"/>
          </w:tcPr>
          <w:p w14:paraId="7EDAC66B" w14:textId="77777777" w:rsidR="00C77C80" w:rsidRPr="00550D35" w:rsidRDefault="00C77C80" w:rsidP="00BA62A0">
            <w:pPr>
              <w:spacing w:line="259" w:lineRule="auto"/>
              <w:ind w:firstLine="0"/>
              <w:contextualSpacing/>
              <w:rPr>
                <w:b/>
                <w:bCs/>
                <w:sz w:val="20"/>
                <w:lang w:val="lv-LV"/>
              </w:rPr>
            </w:pPr>
            <w:r w:rsidRPr="00550D35">
              <w:rPr>
                <w:b/>
                <w:bCs/>
                <w:sz w:val="20"/>
                <w:lang w:val="lv-LV"/>
              </w:rPr>
              <w:t xml:space="preserve">Pasākums Nr. </w:t>
            </w:r>
            <w:r>
              <w:rPr>
                <w:b/>
                <w:bCs/>
                <w:sz w:val="20"/>
                <w:lang w:val="lv-LV"/>
              </w:rPr>
              <w:t>7</w:t>
            </w:r>
            <w:r w:rsidRPr="00550D35">
              <w:rPr>
                <w:b/>
                <w:bCs/>
                <w:sz w:val="20"/>
                <w:lang w:val="lv-LV"/>
              </w:rPr>
              <w:t xml:space="preserve"> – DEP projekts “Nacionālais koordinācijas centrs - Latvija”</w:t>
            </w:r>
          </w:p>
        </w:tc>
      </w:tr>
      <w:tr w:rsidR="00C77C80" w:rsidRPr="00550D35" w14:paraId="123C2709" w14:textId="77777777" w:rsidTr="00BA62A0">
        <w:trPr>
          <w:trHeight w:val="300"/>
        </w:trPr>
        <w:tc>
          <w:tcPr>
            <w:tcW w:w="3137" w:type="dxa"/>
          </w:tcPr>
          <w:p w14:paraId="1BABE83D" w14:textId="77777777" w:rsidR="00C77C80" w:rsidRPr="00550D35" w:rsidRDefault="00C77C80" w:rsidP="00BA62A0">
            <w:pPr>
              <w:rPr>
                <w:b/>
                <w:bCs/>
                <w:sz w:val="20"/>
                <w:lang w:val="lv-LV"/>
              </w:rPr>
            </w:pPr>
            <w:r w:rsidRPr="00550D35">
              <w:rPr>
                <w:b/>
                <w:bCs/>
                <w:sz w:val="20"/>
                <w:lang w:val="lv-LV"/>
              </w:rPr>
              <w:t>Jauns pasākums</w:t>
            </w:r>
          </w:p>
        </w:tc>
        <w:tc>
          <w:tcPr>
            <w:tcW w:w="5647" w:type="dxa"/>
          </w:tcPr>
          <w:p w14:paraId="2CF92BDA"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756492113"/>
                <w14:checkbox>
                  <w14:checked w14:val="0"/>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sz w:val="22"/>
                <w:szCs w:val="22"/>
                <w:lang w:val="lv-LV"/>
              </w:rPr>
              <w:t>jā</w:t>
            </w:r>
          </w:p>
          <w:p w14:paraId="6E140CCE" w14:textId="77777777" w:rsidR="00C77C80" w:rsidRPr="00550D35" w:rsidRDefault="00AC141D" w:rsidP="00BA62A0">
            <w:pPr>
              <w:spacing w:before="0" w:after="120"/>
              <w:ind w:firstLine="0"/>
              <w:contextualSpacing/>
              <w:jc w:val="left"/>
              <w:rPr>
                <w:sz w:val="22"/>
                <w:szCs w:val="22"/>
                <w:lang w:val="lv-LV"/>
              </w:rPr>
            </w:pPr>
            <w:sdt>
              <w:sdtPr>
                <w:rPr>
                  <w:sz w:val="22"/>
                  <w:szCs w:val="22"/>
                  <w:lang w:val="lv-LV"/>
                </w:rPr>
                <w:id w:val="-1841227027"/>
                <w14:checkbox>
                  <w14:checked w14:val="0"/>
                  <w14:checkedState w14:val="2612" w14:font="MS Gothic"/>
                  <w14:uncheckedState w14:val="2610" w14:font="MS Gothic"/>
                </w14:checkbox>
              </w:sdtPr>
              <w:sdtEndPr/>
              <w:sdtContent>
                <w:r w:rsidR="00C77C80" w:rsidRPr="00550D35">
                  <w:rPr>
                    <w:rFonts w:ascii="MS Gothic" w:eastAsia="MS Gothic" w:hAnsi="MS Gothic"/>
                    <w:sz w:val="22"/>
                    <w:szCs w:val="22"/>
                    <w:lang w:val="lv-LV"/>
                  </w:rPr>
                  <w:t>☐</w:t>
                </w:r>
              </w:sdtContent>
            </w:sdt>
            <w:r w:rsidR="00C77C80" w:rsidRPr="00550D35">
              <w:rPr>
                <w:rFonts w:eastAsia="MS Minngs"/>
                <w:sz w:val="22"/>
                <w:szCs w:val="22"/>
                <w:lang w:val="lv-LV"/>
              </w:rPr>
              <w:t xml:space="preserve"> </w:t>
            </w:r>
            <w:r w:rsidR="00C77C80" w:rsidRPr="00550D35">
              <w:rPr>
                <w:sz w:val="22"/>
                <w:szCs w:val="22"/>
                <w:lang w:val="lv-LV"/>
              </w:rPr>
              <w:t>nē</w:t>
            </w:r>
          </w:p>
        </w:tc>
      </w:tr>
      <w:tr w:rsidR="00C77C80" w:rsidRPr="003B2E9A" w14:paraId="70208CA7" w14:textId="77777777" w:rsidTr="00BA62A0">
        <w:trPr>
          <w:trHeight w:val="300"/>
        </w:trPr>
        <w:tc>
          <w:tcPr>
            <w:tcW w:w="3137" w:type="dxa"/>
          </w:tcPr>
          <w:p w14:paraId="28B242D6" w14:textId="77777777" w:rsidR="00C77C80" w:rsidRPr="00550D35" w:rsidRDefault="00C77C80" w:rsidP="00BA62A0">
            <w:pPr>
              <w:ind w:firstLine="0"/>
              <w:rPr>
                <w:b/>
                <w:bCs/>
                <w:sz w:val="20"/>
                <w:lang w:val="lv-LV"/>
              </w:rPr>
            </w:pPr>
            <w:r w:rsidRPr="00550D35">
              <w:rPr>
                <w:b/>
                <w:bCs/>
                <w:sz w:val="20"/>
                <w:lang w:val="lv-LV"/>
              </w:rPr>
              <w:t>Īss pasākuma apraksts</w:t>
            </w:r>
          </w:p>
        </w:tc>
        <w:tc>
          <w:tcPr>
            <w:tcW w:w="5647" w:type="dxa"/>
          </w:tcPr>
          <w:p w14:paraId="59BAD8EB" w14:textId="77777777" w:rsidR="00C77C80" w:rsidRPr="00550D35" w:rsidRDefault="00C77C80" w:rsidP="00BA62A0">
            <w:pPr>
              <w:ind w:firstLine="0"/>
              <w:rPr>
                <w:sz w:val="20"/>
                <w:lang w:val="lv-LV"/>
              </w:rPr>
            </w:pPr>
            <w:r w:rsidRPr="00550D35">
              <w:rPr>
                <w:sz w:val="20"/>
                <w:lang w:val="lv-LV"/>
              </w:rPr>
              <w:t xml:space="preserve">Saskaņā ar 2021. gada 20. maija Eiropas Parlamenta un Padomes regulu (ES) 2021/887, ar ko izveido Eiropas Industriālo, tehnoloģisko un pētniecisko </w:t>
            </w:r>
            <w:proofErr w:type="spellStart"/>
            <w:r w:rsidRPr="00550D35">
              <w:rPr>
                <w:sz w:val="20"/>
                <w:lang w:val="lv-LV"/>
              </w:rPr>
              <w:t>kiberdrošības</w:t>
            </w:r>
            <w:proofErr w:type="spellEnd"/>
            <w:r w:rsidRPr="00550D35">
              <w:rPr>
                <w:sz w:val="20"/>
                <w:lang w:val="lv-LV"/>
              </w:rPr>
              <w:t xml:space="preserve"> kompetenču centru un Nacionālo koordinācijas centru tīklu, arī Latvijā tika izveidots </w:t>
            </w:r>
            <w:r w:rsidRPr="00550D35">
              <w:rPr>
                <w:sz w:val="20"/>
                <w:lang w:val="lv-LV"/>
              </w:rPr>
              <w:lastRenderedPageBreak/>
              <w:t xml:space="preserve">Nacionālais koordinācijas centrs (NKC) </w:t>
            </w:r>
            <w:proofErr w:type="spellStart"/>
            <w:r w:rsidRPr="00550D35">
              <w:rPr>
                <w:sz w:val="20"/>
                <w:lang w:val="lv-LV"/>
              </w:rPr>
              <w:t>kiberdrošības</w:t>
            </w:r>
            <w:proofErr w:type="spellEnd"/>
            <w:r w:rsidRPr="00550D35">
              <w:rPr>
                <w:sz w:val="20"/>
                <w:lang w:val="lv-LV"/>
              </w:rPr>
              <w:t xml:space="preserve"> jomas attīstīšanai. NKC īsteno DEP projektu </w:t>
            </w:r>
            <w:proofErr w:type="spellStart"/>
            <w:r w:rsidRPr="00550D35">
              <w:rPr>
                <w:sz w:val="20"/>
                <w:lang w:val="lv-LV"/>
              </w:rPr>
              <w:t>kiberdrošības</w:t>
            </w:r>
            <w:proofErr w:type="spellEnd"/>
            <w:r w:rsidRPr="00550D35">
              <w:rPr>
                <w:sz w:val="20"/>
                <w:lang w:val="lv-LV"/>
              </w:rPr>
              <w:t xml:space="preserve"> kapacitātes un NKC stiprināšanai, kas paredz arī pamata </w:t>
            </w:r>
            <w:proofErr w:type="spellStart"/>
            <w:r w:rsidRPr="00550D35">
              <w:rPr>
                <w:sz w:val="20"/>
                <w:lang w:val="lv-LV"/>
              </w:rPr>
              <w:t>kiberdrošības</w:t>
            </w:r>
            <w:proofErr w:type="spellEnd"/>
            <w:r w:rsidRPr="00550D35">
              <w:rPr>
                <w:sz w:val="20"/>
                <w:lang w:val="lv-LV"/>
              </w:rPr>
              <w:t xml:space="preserve"> prasmju uzlabošanu specifiskās mērķauditorijās.</w:t>
            </w:r>
          </w:p>
        </w:tc>
      </w:tr>
      <w:tr w:rsidR="00C77C80" w:rsidRPr="00550D35" w14:paraId="04BDEA3D" w14:textId="77777777" w:rsidTr="00BA62A0">
        <w:trPr>
          <w:trHeight w:val="300"/>
        </w:trPr>
        <w:tc>
          <w:tcPr>
            <w:tcW w:w="3137" w:type="dxa"/>
            <w:shd w:val="clear" w:color="auto" w:fill="auto"/>
          </w:tcPr>
          <w:p w14:paraId="2BC0E857" w14:textId="755A31D8" w:rsidR="00C77C80" w:rsidRPr="00550D35" w:rsidRDefault="00C77C80" w:rsidP="00BA62A0">
            <w:pPr>
              <w:ind w:firstLine="0"/>
              <w:rPr>
                <w:b/>
                <w:bCs/>
                <w:sz w:val="20"/>
                <w:lang w:val="lv-LV"/>
              </w:rPr>
            </w:pPr>
            <w:r w:rsidRPr="00550D35">
              <w:rPr>
                <w:b/>
                <w:bCs/>
                <w:sz w:val="20"/>
                <w:lang w:val="lv-LV"/>
              </w:rPr>
              <w:lastRenderedPageBreak/>
              <w:t>Piešķirtais vai plānotais budžets un, ja atbilstoši, citi resursi</w:t>
            </w:r>
          </w:p>
        </w:tc>
        <w:tc>
          <w:tcPr>
            <w:tcW w:w="5647" w:type="dxa"/>
            <w:shd w:val="clear" w:color="auto" w:fill="auto"/>
          </w:tcPr>
          <w:p w14:paraId="229E2D3F" w14:textId="77777777" w:rsidR="00C77C80" w:rsidRPr="00550D35" w:rsidRDefault="00C77C80" w:rsidP="00BA62A0">
            <w:pPr>
              <w:ind w:firstLine="0"/>
              <w:contextualSpacing/>
              <w:rPr>
                <w:sz w:val="20"/>
                <w:lang w:val="lv-LV"/>
              </w:rPr>
            </w:pPr>
            <w:r w:rsidRPr="00550D35">
              <w:rPr>
                <w:sz w:val="20"/>
                <w:lang w:val="lv-LV"/>
              </w:rPr>
              <w:t xml:space="preserve">Publiskā sektora ieguldījumi (tikai pamata digitālo prasmju uzlabošanai paredzēto pasākumu daļa projektā): </w:t>
            </w:r>
          </w:p>
          <w:p w14:paraId="293A82FC" w14:textId="77777777" w:rsidR="00C77C80" w:rsidRPr="00550D35" w:rsidRDefault="00C77C80" w:rsidP="00BA62A0">
            <w:pPr>
              <w:ind w:left="720" w:firstLine="0"/>
              <w:contextualSpacing/>
              <w:rPr>
                <w:sz w:val="20"/>
                <w:lang w:val="lv-LV"/>
              </w:rPr>
            </w:pPr>
            <w:r w:rsidRPr="00550D35">
              <w:rPr>
                <w:sz w:val="20"/>
                <w:lang w:val="lv-LV"/>
              </w:rPr>
              <w:t xml:space="preserve">piešķirts: 0,43 milj. </w:t>
            </w:r>
            <w:proofErr w:type="spellStart"/>
            <w:r w:rsidRPr="00550D35">
              <w:rPr>
                <w:i/>
                <w:iCs/>
                <w:sz w:val="20"/>
                <w:lang w:val="lv-LV"/>
              </w:rPr>
              <w:t>euro</w:t>
            </w:r>
            <w:proofErr w:type="spellEnd"/>
            <w:r w:rsidRPr="00550D35">
              <w:rPr>
                <w:sz w:val="20"/>
                <w:lang w:val="lv-LV"/>
              </w:rPr>
              <w:t>;</w:t>
            </w:r>
          </w:p>
          <w:p w14:paraId="44BFC0C2" w14:textId="77777777" w:rsidR="00C77C80" w:rsidRPr="00550D35" w:rsidRDefault="00C77C80" w:rsidP="00BA62A0">
            <w:pPr>
              <w:ind w:firstLine="0"/>
              <w:contextualSpacing/>
              <w:rPr>
                <w:sz w:val="20"/>
                <w:lang w:val="lv-LV"/>
              </w:rPr>
            </w:pPr>
            <w:r w:rsidRPr="00550D35">
              <w:rPr>
                <w:sz w:val="20"/>
                <w:lang w:val="lv-LV"/>
              </w:rPr>
              <w:t xml:space="preserve">t.sk. no nacionālajiem finansēšanas avotiem: </w:t>
            </w:r>
          </w:p>
          <w:p w14:paraId="0B52A9B2" w14:textId="77777777" w:rsidR="00C77C80" w:rsidRPr="00550D35" w:rsidRDefault="00C77C80" w:rsidP="00BA62A0">
            <w:pPr>
              <w:ind w:left="720" w:firstLine="0"/>
              <w:contextualSpacing/>
              <w:rPr>
                <w:sz w:val="20"/>
                <w:lang w:val="lv-LV"/>
              </w:rPr>
            </w:pPr>
            <w:r w:rsidRPr="00550D35">
              <w:rPr>
                <w:sz w:val="20"/>
                <w:lang w:val="lv-LV"/>
              </w:rPr>
              <w:t xml:space="preserve">piešķirts: 0,215 milj. </w:t>
            </w:r>
            <w:proofErr w:type="spellStart"/>
            <w:r w:rsidRPr="00550D35">
              <w:rPr>
                <w:i/>
                <w:iCs/>
                <w:sz w:val="20"/>
                <w:lang w:val="lv-LV"/>
              </w:rPr>
              <w:t>euro</w:t>
            </w:r>
            <w:proofErr w:type="spellEnd"/>
            <w:r w:rsidRPr="00550D35">
              <w:rPr>
                <w:sz w:val="20"/>
                <w:lang w:val="lv-LV"/>
              </w:rPr>
              <w:t>;</w:t>
            </w:r>
          </w:p>
          <w:p w14:paraId="7D44D59F" w14:textId="77777777" w:rsidR="00C77C80" w:rsidRPr="00550D35" w:rsidRDefault="00C77C80" w:rsidP="00BA62A0">
            <w:pPr>
              <w:ind w:firstLine="0"/>
              <w:contextualSpacing/>
              <w:rPr>
                <w:sz w:val="20"/>
                <w:lang w:val="lv-LV"/>
              </w:rPr>
            </w:pPr>
            <w:r w:rsidRPr="00550D35">
              <w:rPr>
                <w:sz w:val="20"/>
                <w:lang w:val="lv-LV"/>
              </w:rPr>
              <w:t xml:space="preserve">t.sk. no ES finansēšanas avotiem (DEP): </w:t>
            </w:r>
          </w:p>
          <w:p w14:paraId="54C42B4C" w14:textId="77777777" w:rsidR="00C77C80" w:rsidRPr="00550D35" w:rsidRDefault="00C77C80" w:rsidP="00BA62A0">
            <w:pPr>
              <w:ind w:left="720" w:firstLine="0"/>
              <w:contextualSpacing/>
              <w:rPr>
                <w:sz w:val="20"/>
                <w:lang w:val="lv-LV"/>
              </w:rPr>
            </w:pPr>
            <w:r w:rsidRPr="00550D35">
              <w:rPr>
                <w:sz w:val="20"/>
                <w:lang w:val="lv-LV"/>
              </w:rPr>
              <w:t xml:space="preserve">piešķirts: 0,215 milj. </w:t>
            </w:r>
            <w:proofErr w:type="spellStart"/>
            <w:r w:rsidRPr="00550D35">
              <w:rPr>
                <w:i/>
                <w:iCs/>
                <w:sz w:val="20"/>
                <w:lang w:val="lv-LV"/>
              </w:rPr>
              <w:t>euro</w:t>
            </w:r>
            <w:proofErr w:type="spellEnd"/>
            <w:r w:rsidRPr="00550D35">
              <w:rPr>
                <w:sz w:val="20"/>
                <w:lang w:val="lv-LV"/>
              </w:rPr>
              <w:t>.</w:t>
            </w:r>
          </w:p>
        </w:tc>
      </w:tr>
      <w:tr w:rsidR="00C77C80" w:rsidRPr="00550D35" w14:paraId="3682597B" w14:textId="77777777" w:rsidTr="00BA62A0">
        <w:trPr>
          <w:trHeight w:val="300"/>
        </w:trPr>
        <w:tc>
          <w:tcPr>
            <w:tcW w:w="3137" w:type="dxa"/>
          </w:tcPr>
          <w:p w14:paraId="04CFE1A8" w14:textId="77777777" w:rsidR="00C77C80" w:rsidRPr="00550D35" w:rsidRDefault="00C77C80" w:rsidP="00BA62A0">
            <w:pPr>
              <w:ind w:firstLine="0"/>
              <w:rPr>
                <w:b/>
                <w:bCs/>
                <w:sz w:val="20"/>
                <w:lang w:val="lv-LV"/>
              </w:rPr>
            </w:pPr>
            <w:r w:rsidRPr="00550D35">
              <w:rPr>
                <w:b/>
                <w:bCs/>
                <w:sz w:val="20"/>
                <w:lang w:val="lv-LV"/>
              </w:rPr>
              <w:t>Sagaidāmā ietekme un laika ietvars</w:t>
            </w:r>
          </w:p>
        </w:tc>
        <w:tc>
          <w:tcPr>
            <w:tcW w:w="5647" w:type="dxa"/>
          </w:tcPr>
          <w:p w14:paraId="3610A60D" w14:textId="77777777" w:rsidR="00C77C80" w:rsidRPr="00550D35" w:rsidRDefault="00C77C80" w:rsidP="00BA62A0">
            <w:pPr>
              <w:ind w:firstLine="0"/>
              <w:rPr>
                <w:color w:val="000000" w:themeColor="text1"/>
                <w:sz w:val="20"/>
                <w:lang w:val="lv-LV"/>
              </w:rPr>
            </w:pPr>
            <w:r w:rsidRPr="00550D35">
              <w:rPr>
                <w:sz w:val="20"/>
                <w:lang w:val="lv-LV"/>
              </w:rPr>
              <w:t xml:space="preserve">Projekta īstenošanas rezultātā: 1) tiks nodrošinātas pamata </w:t>
            </w:r>
            <w:proofErr w:type="spellStart"/>
            <w:r w:rsidRPr="00550D35">
              <w:rPr>
                <w:sz w:val="20"/>
                <w:lang w:val="lv-LV"/>
              </w:rPr>
              <w:t>kiberdrošības</w:t>
            </w:r>
            <w:proofErr w:type="spellEnd"/>
            <w:r w:rsidRPr="00550D35">
              <w:rPr>
                <w:sz w:val="20"/>
                <w:lang w:val="lv-LV"/>
              </w:rPr>
              <w:t xml:space="preserve"> prasmju apmācības</w:t>
            </w:r>
            <w:r w:rsidRPr="00550D35">
              <w:rPr>
                <w:color w:val="000000" w:themeColor="text1"/>
                <w:sz w:val="20"/>
                <w:lang w:val="lv-LV"/>
              </w:rPr>
              <w:t xml:space="preserve"> vismaz 100 vispārizglītojošo izglītības iestāžu pedagogiem un pašvaldību izglītības pārvalžu darbiniekiem (paredzot šo zināšanu pārnesi arī pedagoģiskajā darbā); 2) tiks realizēta sabiedrības informēšanas kampaņa par aktuāliem </w:t>
            </w:r>
            <w:proofErr w:type="spellStart"/>
            <w:r w:rsidRPr="00550D35">
              <w:rPr>
                <w:color w:val="000000" w:themeColor="text1"/>
                <w:sz w:val="20"/>
                <w:lang w:val="lv-LV"/>
              </w:rPr>
              <w:t>kiberhigiēnas</w:t>
            </w:r>
            <w:proofErr w:type="spellEnd"/>
            <w:r w:rsidRPr="00550D35">
              <w:rPr>
                <w:color w:val="000000" w:themeColor="text1"/>
                <w:sz w:val="20"/>
                <w:lang w:val="lv-LV"/>
              </w:rPr>
              <w:t xml:space="preserve"> jautājumiem; 3) tiks nodrošināta Latvijas jauniešu dalība un apmācība vietējos un starptautiskos </w:t>
            </w:r>
            <w:proofErr w:type="spellStart"/>
            <w:r w:rsidRPr="00550D35">
              <w:rPr>
                <w:color w:val="000000" w:themeColor="text1"/>
                <w:sz w:val="20"/>
                <w:lang w:val="lv-LV"/>
              </w:rPr>
              <w:t>kiberdrošības</w:t>
            </w:r>
            <w:proofErr w:type="spellEnd"/>
            <w:r w:rsidRPr="00550D35">
              <w:rPr>
                <w:color w:val="000000" w:themeColor="text1"/>
                <w:sz w:val="20"/>
                <w:lang w:val="lv-LV"/>
              </w:rPr>
              <w:t xml:space="preserve"> jomas pasākumos (nometnēs un sacensībās).</w:t>
            </w:r>
          </w:p>
          <w:p w14:paraId="37BF0728" w14:textId="77777777" w:rsidR="00C77C80" w:rsidRPr="00550D35" w:rsidRDefault="00C77C80" w:rsidP="00BA62A0">
            <w:pPr>
              <w:ind w:firstLine="0"/>
              <w:contextualSpacing/>
              <w:rPr>
                <w:rFonts w:eastAsia="Calibri"/>
                <w:sz w:val="20"/>
                <w:lang w:val="lv-LV"/>
              </w:rPr>
            </w:pPr>
            <w:r w:rsidRPr="00550D35">
              <w:rPr>
                <w:rFonts w:eastAsia="Calibri"/>
                <w:sz w:val="20"/>
                <w:lang w:val="lv-LV"/>
              </w:rPr>
              <w:t>Projekta laika ietvars 01.09.2023. - 31.08.2025.</w:t>
            </w:r>
          </w:p>
        </w:tc>
      </w:tr>
    </w:tbl>
    <w:p w14:paraId="41AF9641" w14:textId="77777777" w:rsidR="00C77C80" w:rsidRPr="00550D35" w:rsidRDefault="00C77C80" w:rsidP="00C77C80">
      <w:pPr>
        <w:pStyle w:val="Text3"/>
        <w:ind w:left="0" w:firstLine="0"/>
        <w:rPr>
          <w:lang w:val="lv-LV"/>
        </w:rPr>
      </w:pPr>
    </w:p>
    <w:p w14:paraId="08241BE6" w14:textId="77777777" w:rsidR="00C77C80" w:rsidRPr="00550D35" w:rsidRDefault="00C77C80" w:rsidP="00C77C80">
      <w:pPr>
        <w:pStyle w:val="Heading2"/>
        <w:rPr>
          <w:lang w:val="lv-LV"/>
        </w:rPr>
      </w:pPr>
      <w:r w:rsidRPr="00550D35">
        <w:rPr>
          <w:lang w:val="lv-LV"/>
        </w:rPr>
        <w:t>Galvenā politika, pasākumi un darbības, kas paredzēti, lai palīdzētu sasniegt vispārīgos mērķus</w:t>
      </w:r>
    </w:p>
    <w:p w14:paraId="6C4F09B0" w14:textId="77777777" w:rsidR="00C77C80" w:rsidRPr="00550D35" w:rsidRDefault="00C77C80" w:rsidP="00C77C80">
      <w:pPr>
        <w:rPr>
          <w:lang w:val="lv-LV"/>
        </w:rPr>
      </w:pPr>
      <w:r w:rsidRPr="00550D35">
        <w:rPr>
          <w:lang w:val="lv-LV"/>
        </w:rPr>
        <w:t>Īstenojamā politika, pasākumi un darbības KPI “Vismaz pamata digitālās prasmes” jomā sniedz ieguldījumu iedzīvotāju piekļuves nodrošināšanā digitālajām tehnoloģijām.</w:t>
      </w:r>
    </w:p>
    <w:p w14:paraId="2F339B8D" w14:textId="77777777" w:rsidR="00C77C80" w:rsidRPr="00550D35" w:rsidRDefault="00C77C80" w:rsidP="00C77C80">
      <w:pPr>
        <w:rPr>
          <w:shd w:val="clear" w:color="auto" w:fill="FFFFFF"/>
          <w:lang w:val="lv-LV"/>
        </w:rPr>
      </w:pPr>
      <w:r w:rsidRPr="00550D35">
        <w:rPr>
          <w:lang w:val="lv-LV"/>
        </w:rPr>
        <w:t xml:space="preserve"> IAP2027 </w:t>
      </w:r>
      <w:r w:rsidRPr="00550D35">
        <w:rPr>
          <w:lang w:val="lv-LV" w:eastAsia="lv-LV"/>
        </w:rPr>
        <w:t xml:space="preserve">paredz, ka viena no </w:t>
      </w:r>
      <w:r w:rsidRPr="00550D35">
        <w:rPr>
          <w:shd w:val="clear" w:color="auto" w:fill="FFFFFF"/>
          <w:lang w:val="lv-LV"/>
        </w:rPr>
        <w:t xml:space="preserve">nozīmīgākajām horizontālajām pārmaiņām, kas aptvers visas vai vairākas izglītības jomas, ir </w:t>
      </w:r>
      <w:proofErr w:type="spellStart"/>
      <w:r w:rsidRPr="00550D35">
        <w:rPr>
          <w:shd w:val="clear" w:color="auto" w:fill="FFFFFF"/>
          <w:lang w:val="lv-LV"/>
        </w:rPr>
        <w:t>digitalizācija</w:t>
      </w:r>
      <w:proofErr w:type="spellEnd"/>
      <w:r w:rsidRPr="00550D35">
        <w:rPr>
          <w:shd w:val="clear" w:color="auto" w:fill="FFFFFF"/>
          <w:lang w:val="lv-LV"/>
        </w:rPr>
        <w:t>, tai skaitā, digitālo prasmju kā caurviju kompetences prioritāra attīstība sabiedrībā. Kā viena no IAP2027 prioritātēm ir noteikta digitālo prasmju apguve un pilnveide ((16-74 gadus veciem iedzīvotājiem) ‒ vismaz pamata līmeņa digitālās prasmes), to īsteno veicot visaptverošus pasākumus, tai skaitā ES projektu ietvaros, lai attīstītu Latvijas iedzīvotāju digitālās prasmes.</w:t>
      </w:r>
    </w:p>
    <w:p w14:paraId="69E33860" w14:textId="77777777" w:rsidR="00C77C80" w:rsidRPr="00550D35" w:rsidRDefault="00C77C80" w:rsidP="00C77C80">
      <w:pPr>
        <w:rPr>
          <w:shd w:val="clear" w:color="auto" w:fill="FFFFFF"/>
          <w:lang w:val="lv-LV"/>
        </w:rPr>
      </w:pPr>
      <w:r w:rsidRPr="00550D35">
        <w:rPr>
          <w:rStyle w:val="normaltextrun"/>
          <w:color w:val="000000"/>
          <w:shd w:val="clear" w:color="auto" w:fill="FFFFFF"/>
          <w:lang w:val="lv-LV"/>
        </w:rPr>
        <w:t>Lai veicinātu digitālo prasmju attīstību un uzlabošanu pieaugušajiem, 2023. gadā ir izstrādāts normatīvais regulējums vienotas sistēmas izveidei digitālo prasmju novērtēšanai, mācību vajadzību apzināšanai, plānošanai un novērtēšanai, nosakot, ka  izglītības  programmas, kuras mērķis ir digitālo kompetenču apguve, saturs un sasniedzamie mācību rezultāti tiek strukturēti atbilstoši Eiropas Iedzīvotāju digitālo kompetenču ietvara (</w:t>
      </w:r>
      <w:proofErr w:type="spellStart"/>
      <w:r w:rsidRPr="00550D35">
        <w:rPr>
          <w:rStyle w:val="normaltextrun"/>
          <w:i/>
          <w:iCs/>
          <w:color w:val="000000"/>
          <w:shd w:val="clear" w:color="auto" w:fill="FFFFFF"/>
          <w:lang w:val="lv-LV"/>
        </w:rPr>
        <w:t>DigComp</w:t>
      </w:r>
      <w:proofErr w:type="spellEnd"/>
      <w:r w:rsidRPr="00550D35">
        <w:rPr>
          <w:rStyle w:val="normaltextrun"/>
          <w:color w:val="000000"/>
          <w:shd w:val="clear" w:color="auto" w:fill="FFFFFF"/>
          <w:lang w:val="lv-LV"/>
        </w:rPr>
        <w:t>) aprakstiem un kompetenču apguves līmeņiem arī neformālajās izglītības programmās.</w:t>
      </w:r>
    </w:p>
    <w:p w14:paraId="4CF6B801" w14:textId="77777777" w:rsidR="00C77C80" w:rsidRPr="00550D35" w:rsidRDefault="00C77C80" w:rsidP="00C77C80">
      <w:pPr>
        <w:rPr>
          <w:shd w:val="clear" w:color="auto" w:fill="FFFFFF"/>
          <w:lang w:val="lv-LV"/>
        </w:rPr>
      </w:pPr>
      <w:r w:rsidRPr="00550D35">
        <w:rPr>
          <w:color w:val="000000"/>
          <w:lang w:val="lv-LV"/>
        </w:rPr>
        <w:t>Vērienīgi pasākumi pamata prasmju uzlabošanai ir iekļauti ANM plānā, t.sk., Reformu un investīciju virzienā “Digitālās prasmes” (2.3.), kas ietver reformu Digitālās prasmes sabiedrības un pārvaldes digitālajai transformācijai (2.3.2.r.) un ANM plāna reforma ilgtspējīgas un sociāli atbildīgas atbalsta sistēmas pieaugušo izglītībai attīstīšanai (2.3.1.r.).</w:t>
      </w:r>
    </w:p>
    <w:p w14:paraId="3A503E0F" w14:textId="77777777" w:rsidR="00C77C80" w:rsidRPr="00203E55" w:rsidRDefault="00C77C80" w:rsidP="00C77C80">
      <w:pPr>
        <w:rPr>
          <w:lang w:val="lv-LV"/>
        </w:rPr>
      </w:pPr>
      <w:r w:rsidRPr="00550D35">
        <w:rPr>
          <w:lang w:val="lv-LV"/>
        </w:rPr>
        <w:t xml:space="preserve">Valsts izglītības attīstības aģentūra īsteno </w:t>
      </w:r>
      <w:r w:rsidRPr="00455B1F">
        <w:rPr>
          <w:lang w:val="lv-LV"/>
        </w:rPr>
        <w:t>ES struktūrfondu un Kohēzijas fonda 2014. – 2020. gada plānošanas perioda darbības programmas "Izaugsme un nodarbinātība" 8.4.1.specifisk</w:t>
      </w:r>
      <w:r>
        <w:rPr>
          <w:lang w:val="lv-LV"/>
        </w:rPr>
        <w:t>ā</w:t>
      </w:r>
      <w:r w:rsidRPr="00455B1F">
        <w:rPr>
          <w:lang w:val="lv-LV"/>
        </w:rPr>
        <w:t xml:space="preserve"> atbalsta mērķ</w:t>
      </w:r>
      <w:r>
        <w:rPr>
          <w:lang w:val="lv-LV"/>
        </w:rPr>
        <w:t>a</w:t>
      </w:r>
      <w:r w:rsidRPr="00455B1F">
        <w:rPr>
          <w:lang w:val="lv-LV"/>
        </w:rPr>
        <w:t xml:space="preserve"> "Pilnveidot nodarbināto personu profesionālo kompetenci" projektu</w:t>
      </w:r>
      <w:r w:rsidRPr="009B5E87">
        <w:rPr>
          <w:lang w:val="lv-LV"/>
        </w:rPr>
        <w:t xml:space="preserve"> </w:t>
      </w:r>
      <w:r w:rsidRPr="00550D35">
        <w:rPr>
          <w:lang w:val="lv-LV"/>
        </w:rPr>
        <w:t>par nodarbināto vecumā no 25 gadiem profesionālās kompetences uzlabošanu, ieskaitot tos, kuriem ir</w:t>
      </w:r>
      <w:r>
        <w:rPr>
          <w:lang w:val="lv-LV"/>
        </w:rPr>
        <w:t xml:space="preserve"> </w:t>
      </w:r>
      <w:r w:rsidRPr="00550D35">
        <w:rPr>
          <w:lang w:val="lv-LV"/>
        </w:rPr>
        <w:t>zems</w:t>
      </w:r>
      <w:r>
        <w:rPr>
          <w:lang w:val="lv-LV"/>
        </w:rPr>
        <w:t xml:space="preserve"> </w:t>
      </w:r>
      <w:r w:rsidRPr="00550D35">
        <w:rPr>
          <w:lang w:val="lv-LV"/>
        </w:rPr>
        <w:t>izglītības</w:t>
      </w:r>
      <w:r>
        <w:rPr>
          <w:lang w:val="lv-LV"/>
        </w:rPr>
        <w:t xml:space="preserve"> </w:t>
      </w:r>
      <w:r w:rsidRPr="00550D35">
        <w:rPr>
          <w:lang w:val="lv-LV"/>
        </w:rPr>
        <w:t>līmenis (</w:t>
      </w:r>
      <w:hyperlink r:id="rId14" w:history="1">
        <w:r w:rsidRPr="00550D35">
          <w:rPr>
            <w:rStyle w:val="Hyperlink"/>
            <w:lang w:val="lv-LV"/>
          </w:rPr>
          <w:t>https://www.macibaspieaugusajiem.lv/par-projektu</w:t>
        </w:r>
      </w:hyperlink>
      <w:r w:rsidRPr="00550D35">
        <w:rPr>
          <w:lang w:val="lv-LV"/>
        </w:rPr>
        <w:t>).</w:t>
      </w:r>
    </w:p>
    <w:p w14:paraId="35EDA933" w14:textId="77777777" w:rsidR="0037710B" w:rsidRPr="00550D35" w:rsidRDefault="0037710B" w:rsidP="0037710B">
      <w:pPr>
        <w:rPr>
          <w:lang w:val="lv-LV"/>
        </w:rPr>
      </w:pPr>
      <w:r w:rsidRPr="00550D35">
        <w:rPr>
          <w:lang w:val="lv-LV"/>
        </w:rPr>
        <w:t xml:space="preserve">DEP projekts “NCC-LV” kopumā atbalstīs </w:t>
      </w:r>
      <w:proofErr w:type="spellStart"/>
      <w:r w:rsidRPr="00550D35">
        <w:rPr>
          <w:lang w:val="lv-LV"/>
        </w:rPr>
        <w:t>kiberdrošības</w:t>
      </w:r>
      <w:proofErr w:type="spellEnd"/>
      <w:r w:rsidRPr="00550D35">
        <w:rPr>
          <w:lang w:val="lv-LV"/>
        </w:rPr>
        <w:t xml:space="preserve"> kompetenču attīstību dažādos virzienos, tostarp arī digitālo prasmju attīstībā sabiedrībā kopumā.</w:t>
      </w:r>
    </w:p>
    <w:p w14:paraId="3369AAAE" w14:textId="77777777" w:rsidR="00C77C80" w:rsidRPr="00550D35" w:rsidRDefault="00C77C80" w:rsidP="00C77C80">
      <w:pPr>
        <w:rPr>
          <w:lang w:val="lv-LV"/>
        </w:rPr>
      </w:pPr>
      <w:r w:rsidRPr="00550D35">
        <w:rPr>
          <w:lang w:val="lv-LV"/>
        </w:rPr>
        <w:lastRenderedPageBreak/>
        <w:t xml:space="preserve">Minētie pasākumi ļaus paātrināt centienus, t.sk., turpināt īstenot pasākumus, lai integrētu digitālos risinājumus izglītības sistēmā visā izglītības ciklā, integrējot tos visos mācību priekšmetos, kā tas minēts ieteikumā digitālo prasmju jomā EK Digitālās dekādes 2023.gada ziņojumā par Latviju.  </w:t>
      </w:r>
    </w:p>
    <w:p w14:paraId="3FA43EDE" w14:textId="77777777" w:rsidR="00994FE8" w:rsidRPr="00550D35" w:rsidRDefault="00994FE8" w:rsidP="00C77C80">
      <w:pPr>
        <w:rPr>
          <w:lang w:val="lv-LV"/>
        </w:rPr>
      </w:pPr>
    </w:p>
    <w:tbl>
      <w:tblPr>
        <w:tblW w:w="88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2562"/>
        <w:gridCol w:w="4536"/>
      </w:tblGrid>
      <w:tr w:rsidR="00C77C80" w:rsidRPr="003B2E9A" w14:paraId="006BC80F" w14:textId="77777777" w:rsidTr="00B147CF">
        <w:trPr>
          <w:trHeight w:val="520"/>
        </w:trPr>
        <w:tc>
          <w:tcPr>
            <w:tcW w:w="1702" w:type="dxa"/>
            <w:tcMar>
              <w:top w:w="0" w:type="dxa"/>
              <w:left w:w="108" w:type="dxa"/>
              <w:bottom w:w="0" w:type="dxa"/>
              <w:right w:w="108" w:type="dxa"/>
            </w:tcMar>
            <w:vAlign w:val="center"/>
          </w:tcPr>
          <w:p w14:paraId="72611F5A" w14:textId="77777777" w:rsidR="00C77C80" w:rsidRPr="00550D35" w:rsidRDefault="00C77C80" w:rsidP="00BA62A0">
            <w:pPr>
              <w:pStyle w:val="ListParagraph"/>
              <w:spacing w:after="120"/>
              <w:ind w:left="0" w:firstLine="0"/>
              <w:rPr>
                <w:rFonts w:cs="Times New Roman"/>
                <w:b/>
                <w:i/>
                <w:sz w:val="20"/>
                <w:szCs w:val="20"/>
                <w:lang w:val="lv-LV"/>
              </w:rPr>
            </w:pPr>
          </w:p>
        </w:tc>
        <w:tc>
          <w:tcPr>
            <w:tcW w:w="2562" w:type="dxa"/>
            <w:tcMar>
              <w:top w:w="0" w:type="dxa"/>
              <w:left w:w="108" w:type="dxa"/>
              <w:bottom w:w="0" w:type="dxa"/>
              <w:right w:w="108" w:type="dxa"/>
            </w:tcMar>
            <w:vAlign w:val="center"/>
          </w:tcPr>
          <w:p w14:paraId="12FCC6F2" w14:textId="77777777" w:rsidR="00C77C80" w:rsidRPr="00550D35" w:rsidRDefault="00C77C80" w:rsidP="00BA62A0">
            <w:pPr>
              <w:pStyle w:val="ListParagraph"/>
              <w:spacing w:after="120"/>
              <w:ind w:left="0" w:firstLine="0"/>
              <w:rPr>
                <w:rFonts w:cs="Times New Roman"/>
                <w:b/>
                <w:i/>
                <w:sz w:val="20"/>
                <w:szCs w:val="20"/>
                <w:lang w:val="lv-LV"/>
              </w:rPr>
            </w:pPr>
            <w:r w:rsidRPr="00550D35">
              <w:rPr>
                <w:rFonts w:cs="Times New Roman"/>
                <w:b/>
                <w:i/>
                <w:sz w:val="20"/>
                <w:szCs w:val="20"/>
                <w:lang w:val="lv-LV"/>
              </w:rPr>
              <w:t>Vispārīgie mērķi</w:t>
            </w:r>
          </w:p>
        </w:tc>
        <w:tc>
          <w:tcPr>
            <w:tcW w:w="4536" w:type="dxa"/>
            <w:vAlign w:val="center"/>
          </w:tcPr>
          <w:p w14:paraId="0668E026" w14:textId="77777777" w:rsidR="00C77C80" w:rsidRPr="00550D35" w:rsidRDefault="00C77C80" w:rsidP="00BA62A0">
            <w:pPr>
              <w:pStyle w:val="ListParagraph"/>
              <w:spacing w:after="120"/>
              <w:ind w:left="0" w:firstLine="0"/>
              <w:jc w:val="center"/>
              <w:rPr>
                <w:rFonts w:cs="Times New Roman"/>
                <w:b/>
                <w:i/>
                <w:sz w:val="20"/>
                <w:szCs w:val="20"/>
                <w:lang w:val="lv-LV"/>
              </w:rPr>
            </w:pPr>
            <w:r w:rsidRPr="00550D35">
              <w:rPr>
                <w:rFonts w:cs="Times New Roman"/>
                <w:b/>
                <w:i/>
                <w:sz w:val="20"/>
                <w:szCs w:val="20"/>
                <w:lang w:val="lv-LV"/>
              </w:rPr>
              <w:t>Dalībvalsts iespējamā ieguldījuma jomu piemēri</w:t>
            </w:r>
          </w:p>
        </w:tc>
      </w:tr>
      <w:tr w:rsidR="0080557A" w:rsidRPr="003B2E9A" w14:paraId="250E46B8" w14:textId="77777777" w:rsidTr="00B147CF">
        <w:trPr>
          <w:trHeight w:val="1401"/>
        </w:trPr>
        <w:tc>
          <w:tcPr>
            <w:tcW w:w="1702" w:type="dxa"/>
            <w:tcMar>
              <w:top w:w="0" w:type="dxa"/>
              <w:left w:w="108" w:type="dxa"/>
              <w:bottom w:w="0" w:type="dxa"/>
              <w:right w:w="108" w:type="dxa"/>
            </w:tcMar>
            <w:vAlign w:val="center"/>
            <w:hideMark/>
          </w:tcPr>
          <w:p w14:paraId="41E6880B" w14:textId="77777777" w:rsidR="0080557A" w:rsidRPr="00550D35" w:rsidRDefault="0080557A" w:rsidP="0080557A">
            <w:pPr>
              <w:pStyle w:val="ListParagraph"/>
              <w:spacing w:after="120"/>
              <w:ind w:left="142" w:firstLine="0"/>
              <w:rPr>
                <w:rFonts w:cs="Times New Roman"/>
                <w:b/>
                <w:i/>
                <w:sz w:val="20"/>
                <w:szCs w:val="20"/>
                <w:lang w:val="lv-LV"/>
              </w:rPr>
            </w:pPr>
            <w:r w:rsidRPr="00550D35">
              <w:rPr>
                <w:rFonts w:cs="Times New Roman"/>
                <w:b/>
                <w:i/>
                <w:sz w:val="20"/>
                <w:szCs w:val="20"/>
                <w:lang w:val="lv-LV"/>
              </w:rPr>
              <w:t>Veicināt iedzīvotāju piekļuvi digitālajām tehnoloģijām</w:t>
            </w:r>
          </w:p>
        </w:tc>
        <w:tc>
          <w:tcPr>
            <w:tcW w:w="2562" w:type="dxa"/>
            <w:tcMar>
              <w:top w:w="0" w:type="dxa"/>
              <w:left w:w="108" w:type="dxa"/>
              <w:bottom w:w="0" w:type="dxa"/>
              <w:right w:w="108" w:type="dxa"/>
            </w:tcMar>
            <w:vAlign w:val="center"/>
          </w:tcPr>
          <w:p w14:paraId="43FDE85C" w14:textId="77777777" w:rsidR="0080557A" w:rsidRPr="00550D35" w:rsidRDefault="0080557A" w:rsidP="0080557A">
            <w:pPr>
              <w:pStyle w:val="ListParagraph"/>
              <w:spacing w:after="120"/>
              <w:ind w:left="221" w:firstLine="0"/>
              <w:rPr>
                <w:rFonts w:cs="Times New Roman"/>
                <w:sz w:val="20"/>
                <w:szCs w:val="20"/>
                <w:lang w:val="lv-LV"/>
              </w:rPr>
            </w:pPr>
            <w:r w:rsidRPr="00550D35">
              <w:rPr>
                <w:rFonts w:cs="Times New Roman"/>
                <w:sz w:val="20"/>
                <w:szCs w:val="20"/>
                <w:lang w:val="lv-LV"/>
              </w:rPr>
              <w:t>Atsaucoties uz mērķiem, kas minēti Dekādes programmas 3.panta 1.daļas (a), (b), (e) un (g) punktā</w:t>
            </w:r>
          </w:p>
        </w:tc>
        <w:tc>
          <w:tcPr>
            <w:tcW w:w="4536" w:type="dxa"/>
          </w:tcPr>
          <w:p w14:paraId="3F0B06BD" w14:textId="3C09C310" w:rsidR="0080557A" w:rsidRPr="00550D35" w:rsidRDefault="0080557A" w:rsidP="00022C14">
            <w:pPr>
              <w:spacing w:after="0"/>
              <w:ind w:left="113" w:right="113" w:firstLine="0"/>
              <w:rPr>
                <w:b/>
                <w:bCs/>
                <w:sz w:val="20"/>
                <w:lang w:val="lv-LV"/>
              </w:rPr>
            </w:pPr>
            <w:r w:rsidRPr="00550D35">
              <w:rPr>
                <w:b/>
                <w:bCs/>
                <w:sz w:val="20"/>
                <w:lang w:val="lv-LV"/>
              </w:rPr>
              <w:t>Pasākums Nr.1 –"Nodarbināto personu profesionālās kompetences pilnveide"</w:t>
            </w:r>
            <w:r w:rsidR="004A4F1C">
              <w:rPr>
                <w:b/>
                <w:bCs/>
                <w:sz w:val="20"/>
                <w:lang w:val="lv-LV"/>
              </w:rPr>
              <w:t xml:space="preserve"> </w:t>
            </w:r>
            <w:r w:rsidRPr="00550D35">
              <w:rPr>
                <w:sz w:val="20"/>
                <w:lang w:val="lv-LV"/>
              </w:rPr>
              <w:t xml:space="preserve">tiešā veidā veicinās digitālās prasmes sabiedrības mērķu sasniegšanai. Digitālo prasmju attīstīšana ir horizontāla apmācības prioritāte. Projekts aptver visu līmeņu digitālās prasmes, sākot no pamata līdz pat paaugstinātām, kā arī nodrošina apmācību jaunajās tehnoloģijās, piemēram, robotikā, </w:t>
            </w:r>
            <w:proofErr w:type="spellStart"/>
            <w:r w:rsidRPr="00550D35">
              <w:rPr>
                <w:sz w:val="20"/>
                <w:lang w:val="lv-LV"/>
              </w:rPr>
              <w:t>mākoņskaitļošanā</w:t>
            </w:r>
            <w:proofErr w:type="spellEnd"/>
            <w:r w:rsidR="003D3AD5">
              <w:rPr>
                <w:sz w:val="20"/>
                <w:lang w:val="lv-LV"/>
              </w:rPr>
              <w:t xml:space="preserve">, </w:t>
            </w:r>
            <w:r w:rsidRPr="00550D35">
              <w:rPr>
                <w:sz w:val="20"/>
                <w:lang w:val="lv-LV"/>
              </w:rPr>
              <w:t xml:space="preserve">u.c. Kopš 2021. gada projekta ietvaros izglītība digitālo prasmju attīstīšanai ir noteikta tieši saskaņā ar </w:t>
            </w:r>
            <w:proofErr w:type="spellStart"/>
            <w:r w:rsidRPr="003D3AD5">
              <w:rPr>
                <w:i/>
                <w:iCs/>
                <w:sz w:val="20"/>
                <w:lang w:val="lv-LV"/>
              </w:rPr>
              <w:t>DigComp</w:t>
            </w:r>
            <w:proofErr w:type="spellEnd"/>
            <w:r w:rsidRPr="00550D35">
              <w:rPr>
                <w:sz w:val="20"/>
                <w:lang w:val="lv-LV"/>
              </w:rPr>
              <w:t xml:space="preserve"> ietvaru.</w:t>
            </w:r>
          </w:p>
        </w:tc>
      </w:tr>
      <w:tr w:rsidR="0080557A" w:rsidRPr="00550D35" w14:paraId="619797C8" w14:textId="77777777" w:rsidTr="00B147CF">
        <w:trPr>
          <w:trHeight w:val="1096"/>
        </w:trPr>
        <w:tc>
          <w:tcPr>
            <w:tcW w:w="1702" w:type="dxa"/>
            <w:tcMar>
              <w:top w:w="0" w:type="dxa"/>
              <w:left w:w="108" w:type="dxa"/>
              <w:bottom w:w="0" w:type="dxa"/>
              <w:right w:w="108" w:type="dxa"/>
            </w:tcMar>
            <w:vAlign w:val="center"/>
            <w:hideMark/>
          </w:tcPr>
          <w:p w14:paraId="2FBBD451" w14:textId="77777777" w:rsidR="0080557A" w:rsidRPr="00550D35" w:rsidRDefault="0080557A" w:rsidP="0080557A">
            <w:pPr>
              <w:pStyle w:val="ListParagraph"/>
              <w:spacing w:after="120"/>
              <w:ind w:left="142" w:firstLine="0"/>
              <w:rPr>
                <w:rFonts w:cs="Times New Roman"/>
                <w:b/>
                <w:i/>
                <w:sz w:val="20"/>
                <w:szCs w:val="20"/>
                <w:lang w:val="lv-LV"/>
              </w:rPr>
            </w:pPr>
            <w:r w:rsidRPr="00550D35">
              <w:rPr>
                <w:rFonts w:cs="Times New Roman"/>
                <w:b/>
                <w:i/>
                <w:sz w:val="20"/>
                <w:szCs w:val="20"/>
                <w:lang w:val="lv-LV"/>
              </w:rPr>
              <w:t>Veicināt līderību un suverenitāti</w:t>
            </w:r>
          </w:p>
        </w:tc>
        <w:tc>
          <w:tcPr>
            <w:tcW w:w="2562" w:type="dxa"/>
            <w:tcMar>
              <w:top w:w="0" w:type="dxa"/>
              <w:left w:w="108" w:type="dxa"/>
              <w:bottom w:w="0" w:type="dxa"/>
              <w:right w:w="108" w:type="dxa"/>
            </w:tcMar>
            <w:vAlign w:val="center"/>
            <w:hideMark/>
          </w:tcPr>
          <w:p w14:paraId="53CCE83D" w14:textId="77777777" w:rsidR="0080557A" w:rsidRPr="00550D35" w:rsidRDefault="0080557A" w:rsidP="0080557A">
            <w:pPr>
              <w:pStyle w:val="ListParagraph"/>
              <w:spacing w:after="120"/>
              <w:ind w:left="223" w:firstLine="0"/>
              <w:rPr>
                <w:rFonts w:cs="Times New Roman"/>
                <w:i/>
                <w:sz w:val="20"/>
                <w:szCs w:val="20"/>
                <w:lang w:val="lv-LV"/>
              </w:rPr>
            </w:pPr>
            <w:r w:rsidRPr="00550D35">
              <w:rPr>
                <w:rFonts w:cs="Times New Roman"/>
                <w:sz w:val="20"/>
                <w:szCs w:val="20"/>
                <w:lang w:val="lv-LV"/>
              </w:rPr>
              <w:t>Atsaucoties uz mērķiem, kas minēti Dekādes programmas 3.panta 1.daļas (c), (d), (</w:t>
            </w:r>
            <w:proofErr w:type="spellStart"/>
            <w:r w:rsidRPr="00550D35">
              <w:rPr>
                <w:rFonts w:cs="Times New Roman"/>
                <w:sz w:val="20"/>
                <w:szCs w:val="20"/>
                <w:lang w:val="lv-LV"/>
              </w:rPr>
              <w:t>da</w:t>
            </w:r>
            <w:proofErr w:type="spellEnd"/>
            <w:r w:rsidRPr="00550D35">
              <w:rPr>
                <w:rFonts w:cs="Times New Roman"/>
                <w:sz w:val="20"/>
                <w:szCs w:val="20"/>
                <w:lang w:val="lv-LV"/>
              </w:rPr>
              <w:t>), (ha) un  (</w:t>
            </w:r>
            <w:proofErr w:type="spellStart"/>
            <w:r w:rsidRPr="00550D35">
              <w:rPr>
                <w:rFonts w:cs="Times New Roman"/>
                <w:sz w:val="20"/>
                <w:szCs w:val="20"/>
                <w:lang w:val="lv-LV"/>
              </w:rPr>
              <w:t>db</w:t>
            </w:r>
            <w:proofErr w:type="spellEnd"/>
            <w:r w:rsidRPr="00550D35">
              <w:rPr>
                <w:rFonts w:cs="Times New Roman"/>
                <w:sz w:val="20"/>
                <w:szCs w:val="20"/>
                <w:lang w:val="lv-LV"/>
              </w:rPr>
              <w:t>) punktā</w:t>
            </w:r>
          </w:p>
        </w:tc>
        <w:tc>
          <w:tcPr>
            <w:tcW w:w="4536" w:type="dxa"/>
          </w:tcPr>
          <w:p w14:paraId="76F64A91" w14:textId="77777777" w:rsidR="0080557A" w:rsidRPr="00550D35" w:rsidRDefault="0080557A" w:rsidP="00022C14">
            <w:pPr>
              <w:spacing w:after="120"/>
              <w:ind w:left="113" w:right="113" w:firstLine="0"/>
              <w:rPr>
                <w:b/>
                <w:i/>
                <w:sz w:val="20"/>
                <w:lang w:val="lv-LV"/>
              </w:rPr>
            </w:pPr>
            <w:r w:rsidRPr="00550D35">
              <w:rPr>
                <w:sz w:val="20"/>
                <w:lang w:val="lv-LV"/>
              </w:rPr>
              <w:t>Nav attiecināms</w:t>
            </w:r>
          </w:p>
        </w:tc>
      </w:tr>
      <w:tr w:rsidR="0080557A" w:rsidRPr="003B2E9A" w14:paraId="326D0480" w14:textId="77777777" w:rsidTr="00B147CF">
        <w:trPr>
          <w:trHeight w:val="1120"/>
        </w:trPr>
        <w:tc>
          <w:tcPr>
            <w:tcW w:w="1702" w:type="dxa"/>
            <w:tcMar>
              <w:top w:w="0" w:type="dxa"/>
              <w:left w:w="108" w:type="dxa"/>
              <w:bottom w:w="0" w:type="dxa"/>
              <w:right w:w="108" w:type="dxa"/>
            </w:tcMar>
            <w:vAlign w:val="center"/>
          </w:tcPr>
          <w:p w14:paraId="0FA6BE48" w14:textId="77777777" w:rsidR="0080557A" w:rsidRPr="00550D35" w:rsidRDefault="0080557A" w:rsidP="0080557A">
            <w:pPr>
              <w:pStyle w:val="ListParagraph"/>
              <w:spacing w:after="120"/>
              <w:ind w:left="142" w:firstLine="0"/>
              <w:rPr>
                <w:rFonts w:cs="Times New Roman"/>
                <w:b/>
                <w:i/>
                <w:sz w:val="20"/>
                <w:szCs w:val="20"/>
                <w:lang w:val="lv-LV"/>
              </w:rPr>
            </w:pPr>
            <w:r w:rsidRPr="00550D35">
              <w:rPr>
                <w:rFonts w:cs="Times New Roman"/>
                <w:b/>
                <w:i/>
                <w:sz w:val="20"/>
                <w:szCs w:val="20"/>
                <w:lang w:val="lv-LV"/>
              </w:rPr>
              <w:t>Veicināt zaļo pārveidi</w:t>
            </w:r>
          </w:p>
        </w:tc>
        <w:tc>
          <w:tcPr>
            <w:tcW w:w="2562" w:type="dxa"/>
            <w:tcMar>
              <w:top w:w="0" w:type="dxa"/>
              <w:left w:w="108" w:type="dxa"/>
              <w:bottom w:w="0" w:type="dxa"/>
              <w:right w:w="108" w:type="dxa"/>
            </w:tcMar>
            <w:vAlign w:val="center"/>
          </w:tcPr>
          <w:p w14:paraId="0ADE95D8" w14:textId="77777777" w:rsidR="0080557A" w:rsidRPr="00550D35" w:rsidRDefault="0080557A" w:rsidP="0080557A">
            <w:pPr>
              <w:pStyle w:val="ListParagraph"/>
              <w:spacing w:after="120"/>
              <w:ind w:left="223" w:firstLine="0"/>
              <w:rPr>
                <w:rFonts w:cs="Times New Roman"/>
                <w:sz w:val="20"/>
                <w:szCs w:val="20"/>
                <w:lang w:val="lv-LV"/>
              </w:rPr>
            </w:pPr>
            <w:r w:rsidRPr="00550D35">
              <w:rPr>
                <w:rFonts w:cs="Times New Roman"/>
                <w:sz w:val="20"/>
                <w:szCs w:val="20"/>
                <w:lang w:val="lv-LV"/>
              </w:rPr>
              <w:t>Atsaucoties uz mērķiem, kas minēti Dekādes programmas</w:t>
            </w:r>
            <w:r w:rsidRPr="00550D35">
              <w:rPr>
                <w:rFonts w:cs="Times New Roman"/>
                <w:sz w:val="20"/>
                <w:szCs w:val="20"/>
                <w:lang w:val="lv-LV"/>
              </w:rPr>
              <w:br/>
              <w:t>3. panta 1.daļas (f) punktā.</w:t>
            </w:r>
          </w:p>
        </w:tc>
        <w:tc>
          <w:tcPr>
            <w:tcW w:w="4536" w:type="dxa"/>
          </w:tcPr>
          <w:p w14:paraId="1827301A" w14:textId="77777777" w:rsidR="0080557A" w:rsidRPr="00550D35" w:rsidRDefault="0080557A" w:rsidP="00022C14">
            <w:pPr>
              <w:spacing w:before="0" w:after="120"/>
              <w:ind w:left="113" w:right="113" w:firstLine="0"/>
              <w:rPr>
                <w:i/>
                <w:sz w:val="20"/>
                <w:lang w:val="lv-LV"/>
              </w:rPr>
            </w:pPr>
            <w:r w:rsidRPr="00550D35">
              <w:rPr>
                <w:sz w:val="20"/>
                <w:lang w:val="lv-LV"/>
              </w:rPr>
              <w:t xml:space="preserve">Pasākumā Nr. 2 </w:t>
            </w:r>
            <w:r>
              <w:rPr>
                <w:sz w:val="20"/>
                <w:lang w:val="lv-LV"/>
              </w:rPr>
              <w:t>pasākuma</w:t>
            </w:r>
            <w:r w:rsidRPr="00550D35">
              <w:rPr>
                <w:sz w:val="20"/>
                <w:lang w:val="lv-LV"/>
              </w:rPr>
              <w:t xml:space="preserve"> 4.2.4.2. “Atbalsts pieaugušo individuālajās vajadzībās balstītai pieaugušo izglītībai” zaļā pārveide ir norādīta kā horizontālā prioritāte.</w:t>
            </w:r>
          </w:p>
        </w:tc>
      </w:tr>
    </w:tbl>
    <w:p w14:paraId="1B527F0A" w14:textId="77777777" w:rsidR="00C77C80" w:rsidRPr="00550D35" w:rsidRDefault="00C77C80" w:rsidP="00C77C80">
      <w:pPr>
        <w:pStyle w:val="Heading2"/>
        <w:rPr>
          <w:lang w:val="lv-LV"/>
        </w:rPr>
      </w:pPr>
      <w:r w:rsidRPr="00550D35">
        <w:rPr>
          <w:lang w:val="lv-LV"/>
        </w:rPr>
        <w:t>ES līmeņa sadarbība</w:t>
      </w:r>
    </w:p>
    <w:p w14:paraId="46E0629F" w14:textId="77777777" w:rsidR="00C77C80" w:rsidRPr="00550D35" w:rsidRDefault="00C77C80" w:rsidP="00C77C80">
      <w:pPr>
        <w:pStyle w:val="Heading3"/>
        <w:rPr>
          <w:lang w:val="lv-LV"/>
        </w:rPr>
      </w:pPr>
      <w:r w:rsidRPr="00550D35">
        <w:rPr>
          <w:lang w:val="lv-LV"/>
        </w:rPr>
        <w:t>Daudzvalstu projekti</w:t>
      </w:r>
    </w:p>
    <w:p w14:paraId="29344C3F" w14:textId="77777777" w:rsidR="00C77C80" w:rsidRPr="00550D35" w:rsidRDefault="00C77C80" w:rsidP="00C77C80">
      <w:pPr>
        <w:rPr>
          <w:lang w:val="lv-LV"/>
        </w:rPr>
      </w:pPr>
      <w:r w:rsidRPr="00550D35">
        <w:rPr>
          <w:lang w:val="lv-LV"/>
        </w:rPr>
        <w:t xml:space="preserve">Ceļveža sagatavošanas laikā nav identificēti 1) </w:t>
      </w:r>
      <w:r w:rsidRPr="00550D35">
        <w:rPr>
          <w:noProof/>
          <w:lang w:val="lv-LV"/>
        </w:rPr>
        <w:t>daudzvalstu projekti, kas iekļauti Dekādes programmas pielikumā norādīto daudzvalstu projektu jomu sarakstā vai dalībvalsts apņemas vai plāno uzņemties nākotnē;</w:t>
      </w:r>
      <w:r w:rsidRPr="00550D35">
        <w:rPr>
          <w:lang w:val="lv-LV"/>
        </w:rPr>
        <w:t xml:space="preserve"> 2) iespējamie jaunie daudzvalstu projekti, kuri vēl nav iekļauti Dekādes programmas pielikumā minēto darbības jomu sarakstā, bet kuras dalībvalsts uzskata par nepieciešamām; 3) Kopīgas apņemšanās, kurās dalībvalsts piedalās vai plāno iesaistīties.</w:t>
      </w:r>
    </w:p>
    <w:p w14:paraId="565DE899" w14:textId="77777777" w:rsidR="00C77C80" w:rsidRPr="00550D35" w:rsidRDefault="00C77C80" w:rsidP="00C77C80">
      <w:pPr>
        <w:pStyle w:val="Text3"/>
        <w:rPr>
          <w:lang w:val="lv-LV"/>
        </w:rPr>
      </w:pPr>
    </w:p>
    <w:p w14:paraId="6BB11C02" w14:textId="77777777" w:rsidR="00C77C80" w:rsidRPr="00550D35" w:rsidRDefault="00C77C80" w:rsidP="00C77C80">
      <w:pPr>
        <w:pStyle w:val="Heading3"/>
        <w:rPr>
          <w:lang w:val="lv-LV"/>
        </w:rPr>
      </w:pPr>
      <w:r w:rsidRPr="00550D35">
        <w:rPr>
          <w:lang w:val="lv-LV"/>
        </w:rPr>
        <w:t>Veicinošie faktori ES līmenī</w:t>
      </w:r>
    </w:p>
    <w:p w14:paraId="048C5E2F" w14:textId="5D8D1F91" w:rsidR="00C77C80" w:rsidRPr="00550D35" w:rsidRDefault="00C77C80" w:rsidP="00C77C80">
      <w:pPr>
        <w:pStyle w:val="Text2"/>
        <w:ind w:left="0"/>
        <w:rPr>
          <w:lang w:val="lv-LV"/>
        </w:rPr>
      </w:pPr>
      <w:r w:rsidRPr="00550D35">
        <w:rPr>
          <w:lang w:val="lv-LV"/>
        </w:rPr>
        <w:t xml:space="preserve">Īpaši jāuzsver ANM plāna investīciju nozīmi Latvijas iedzīvotāju prasmju attīstības kontekstā, jo ANM plāna investīcijas ir paredzētas digitālo prasmju attīstības pasākumiem, aptverot gan </w:t>
      </w:r>
      <w:proofErr w:type="spellStart"/>
      <w:r w:rsidRPr="00550D35">
        <w:rPr>
          <w:lang w:val="lv-LV"/>
        </w:rPr>
        <w:t>pamatprasmes</w:t>
      </w:r>
      <w:proofErr w:type="spellEnd"/>
      <w:r w:rsidR="003D3AD5">
        <w:rPr>
          <w:lang w:val="lv-LV"/>
        </w:rPr>
        <w:t>,</w:t>
      </w:r>
      <w:r w:rsidRPr="00550D35">
        <w:rPr>
          <w:lang w:val="lv-LV"/>
        </w:rPr>
        <w:t xml:space="preserve"> gan stimulējot augsta līmeņa digitālo prasmju attīstības pieeju, gan arī attīstot uzņēmumu digitālās spējas, investējot darbinieku digitālo prasmju uzlabošanā.</w:t>
      </w:r>
    </w:p>
    <w:p w14:paraId="1805E274" w14:textId="77777777" w:rsidR="00C77C80" w:rsidRPr="00550D35" w:rsidRDefault="00C77C80" w:rsidP="00C77C80">
      <w:pPr>
        <w:rPr>
          <w:lang w:val="lv-LV"/>
        </w:rPr>
      </w:pPr>
      <w:r w:rsidRPr="00550D35">
        <w:rPr>
          <w:lang w:val="lv-LV"/>
        </w:rPr>
        <w:t xml:space="preserve">DEP īstenošana sniedz būtisku ieguldījumu </w:t>
      </w:r>
      <w:proofErr w:type="spellStart"/>
      <w:r w:rsidRPr="00550D35">
        <w:rPr>
          <w:lang w:val="lv-LV"/>
        </w:rPr>
        <w:t>kiberdrošības</w:t>
      </w:r>
      <w:proofErr w:type="spellEnd"/>
      <w:r w:rsidRPr="00550D35">
        <w:rPr>
          <w:lang w:val="lv-LV"/>
        </w:rPr>
        <w:t xml:space="preserve"> prasmju trūkuma novēršanai, ko panāk, piemēram, saskaņojot </w:t>
      </w:r>
      <w:proofErr w:type="spellStart"/>
      <w:r w:rsidRPr="00550D35">
        <w:rPr>
          <w:lang w:val="lv-LV"/>
        </w:rPr>
        <w:t>kiberdrošības</w:t>
      </w:r>
      <w:proofErr w:type="spellEnd"/>
      <w:r w:rsidRPr="00550D35">
        <w:rPr>
          <w:lang w:val="lv-LV"/>
        </w:rPr>
        <w:t xml:space="preserve"> prasmju programmas, pielāgojot tās konkrētām nozaru vajadzībām un atvieglojot piekļuvi uz konkrētu mērķi orientētām specializētām apmācībām.</w:t>
      </w:r>
    </w:p>
    <w:p w14:paraId="34CD4A84" w14:textId="77777777" w:rsidR="00C77C80" w:rsidRPr="00550D35" w:rsidRDefault="00C77C80" w:rsidP="00C77C80">
      <w:pPr>
        <w:pStyle w:val="Heading2"/>
        <w:rPr>
          <w:lang w:val="lv-LV"/>
        </w:rPr>
      </w:pPr>
      <w:r w:rsidRPr="00550D35">
        <w:rPr>
          <w:lang w:val="lv-LV"/>
        </w:rPr>
        <w:t>Ieinteresēto personu atsauksmes</w:t>
      </w:r>
    </w:p>
    <w:p w14:paraId="42B083A4" w14:textId="77777777" w:rsidR="00C77C80" w:rsidRPr="00550D35" w:rsidRDefault="00C77C80" w:rsidP="00C77C80">
      <w:pPr>
        <w:rPr>
          <w:lang w:val="lv-LV"/>
        </w:rPr>
      </w:pPr>
      <w:r w:rsidRPr="00550D35">
        <w:rPr>
          <w:lang w:val="lv-LV"/>
        </w:rPr>
        <w:t xml:space="preserve">Ceļvedī Latvijai ir ņemta vērā Biedrības “Rīgas aktīvo senioru alianse”  atsauksme, ar kuru tā ir aicinājusi uzsvērt digitālo prasmju ieguldījumu personiskajā pilnveidē un </w:t>
      </w:r>
      <w:r w:rsidRPr="00550D35">
        <w:rPr>
          <w:lang w:val="lv-LV"/>
        </w:rPr>
        <w:lastRenderedPageBreak/>
        <w:t>iespēju palielināšanā labklājības veicināšanā; mūžizglītības  programmu, tostarp iedzīvotāja prasmju attīstīšanu saziņai digitāli ar pašvaldības un veselības, sociālas aprūpes struktūrām un prasmēm iegūt informāciju sociālajos portālos; nepieciešamību veicināt digitālo transformāciju, kas veicinās katra iedzīvotāja prasmes un drošību digitālajā vidē.</w:t>
      </w:r>
    </w:p>
    <w:p w14:paraId="08B714AE" w14:textId="77777777" w:rsidR="00C77C80" w:rsidRPr="00550D35" w:rsidRDefault="00C77C80" w:rsidP="00C77C80">
      <w:pPr>
        <w:pStyle w:val="Heading2"/>
        <w:rPr>
          <w:lang w:val="lv-LV"/>
        </w:rPr>
      </w:pPr>
      <w:r w:rsidRPr="00550D35">
        <w:rPr>
          <w:lang w:val="lv-LV"/>
        </w:rPr>
        <w:t>Vispārējā ietekme un secinājumi</w:t>
      </w:r>
    </w:p>
    <w:p w14:paraId="72A1127A" w14:textId="77777777" w:rsidR="00C77C80" w:rsidRPr="00550D35" w:rsidRDefault="00C77C80" w:rsidP="00471EC0">
      <w:pPr>
        <w:rPr>
          <w:lang w:val="lv-LV"/>
        </w:rPr>
      </w:pPr>
      <w:r w:rsidRPr="00550D35">
        <w:rPr>
          <w:lang w:val="lv-LV"/>
        </w:rPr>
        <w:t xml:space="preserve">Balstoties uz esošās situācijas novērtējumu, kas liecina par digitālo prasmju nepietiekamību iedzīvotāju vidū Latvijā, attīstības plānošanas dokumentos plānotā rīcība un ceļvedī Latvijai ieļautie pasākumi paredz dažādu līmeņu digitālo prasmju un izglītības attīstīšanu, to orientējot tā, lai iedzīvotāji kļūtu par pilnvērtīgiem digitālās ekonomikas dalībniekiem, komersanti darbā plaši izmantotu digitālos risinājumus un publiskā pārvalde sniegtu ērtus un vajadzībām atbilstošus digitālus pakalpojumus. Tādejādi tiks radīti arī papildus stimuli nozarēm, jo īpaši tām, kurās </w:t>
      </w:r>
      <w:proofErr w:type="spellStart"/>
      <w:r w:rsidRPr="00550D35">
        <w:rPr>
          <w:lang w:val="lv-LV"/>
        </w:rPr>
        <w:t>digitalizācija</w:t>
      </w:r>
      <w:proofErr w:type="spellEnd"/>
      <w:r w:rsidRPr="00550D35">
        <w:rPr>
          <w:lang w:val="lv-LV"/>
        </w:rPr>
        <w:t xml:space="preserve"> līdz šim ir notikusi fragmentēti.</w:t>
      </w:r>
    </w:p>
    <w:p w14:paraId="284EC629" w14:textId="77777777" w:rsidR="00C77C80" w:rsidRPr="00550D35" w:rsidRDefault="00C77C80" w:rsidP="00471EC0">
      <w:pPr>
        <w:rPr>
          <w:color w:val="000000" w:themeColor="text1"/>
          <w:lang w:val="lv-LV"/>
        </w:rPr>
      </w:pPr>
      <w:r w:rsidRPr="00550D35">
        <w:rPr>
          <w:lang w:val="lv-LV"/>
        </w:rPr>
        <w:t>Pamata digitālo prasmju attīstīšana ir izvirzīta kā viens no DTP2027 politikas mērķiem  nodrošināt iespēju pastāvīgi un pēc individualizēta pieprasījuma apgūt digitālās prasmes ikdienai, nodarbinātībai, tostarp darbam IKT specialitātēs un palielinot tajās nodarbināto sieviešu skaitu, komercdarbībai, zinātnei un izpētei, lai virzītos uz tādu sabiedrību, kas balsta sav</w:t>
      </w:r>
      <w:r w:rsidRPr="00550D35">
        <w:rPr>
          <w:color w:val="000000" w:themeColor="text1"/>
          <w:lang w:val="lv-LV"/>
        </w:rPr>
        <w:t xml:space="preserve">u labklājību </w:t>
      </w:r>
      <w:r w:rsidRPr="00550D35">
        <w:rPr>
          <w:lang w:val="lv-LV"/>
        </w:rPr>
        <w:t>digitālo tehnoloģiju iespēju efektīvā izmantošanā un radošā attīstībā.</w:t>
      </w:r>
    </w:p>
    <w:p w14:paraId="7114E5D6" w14:textId="77777777" w:rsidR="00C77C80" w:rsidRPr="00550D35" w:rsidRDefault="00C77C80" w:rsidP="00471EC0">
      <w:pPr>
        <w:rPr>
          <w:lang w:val="lv-LV"/>
        </w:rPr>
      </w:pPr>
      <w:r w:rsidRPr="00550D35">
        <w:rPr>
          <w:color w:val="000000" w:themeColor="text1"/>
          <w:lang w:val="lv-LV"/>
        </w:rPr>
        <w:t>B</w:t>
      </w:r>
      <w:r w:rsidRPr="00550D35">
        <w:rPr>
          <w:lang w:val="lv-LV"/>
        </w:rPr>
        <w:t xml:space="preserve">ūtiska loma ir ANM plānā paredzētajām investīcijām, lai atbalstītu vismaz pamata digitālo prasmju apgūšanu iedzīvotājiem vecumā no 16 līdz 74 gadiem, piemēram, izmēģinājuma projektam par individuālajiem mācību kontiem un iniciatīvai digitālo </w:t>
      </w:r>
      <w:proofErr w:type="spellStart"/>
      <w:r w:rsidRPr="00550D35">
        <w:rPr>
          <w:lang w:val="lv-LV"/>
        </w:rPr>
        <w:t>pamatprasmju</w:t>
      </w:r>
      <w:proofErr w:type="spellEnd"/>
      <w:r w:rsidRPr="00550D35">
        <w:rPr>
          <w:lang w:val="lv-LV"/>
        </w:rPr>
        <w:t xml:space="preserve"> nodrošināšanai vismaz 50</w:t>
      </w:r>
      <w:r>
        <w:rPr>
          <w:lang w:val="lv-LV"/>
        </w:rPr>
        <w:t> tūkst.</w:t>
      </w:r>
      <w:r w:rsidRPr="00550D35">
        <w:rPr>
          <w:lang w:val="lv-LV"/>
        </w:rPr>
        <w:t xml:space="preserve"> cilvēku. Paredzams, ka šīs investīcijas palīdzēs sasniegt valsts </w:t>
      </w:r>
      <w:proofErr w:type="spellStart"/>
      <w:r w:rsidRPr="00550D35">
        <w:rPr>
          <w:lang w:val="lv-LV"/>
        </w:rPr>
        <w:t>mērķrādītāju</w:t>
      </w:r>
      <w:proofErr w:type="spellEnd"/>
      <w:r w:rsidRPr="00550D35">
        <w:rPr>
          <w:lang w:val="lv-LV"/>
        </w:rPr>
        <w:t xml:space="preserve"> 70 % attiecībā uz iedzīvotāju skaitu, kas ir apguvuši vismaz pamata digitālās prasmes līdz 2027.gadam.</w:t>
      </w:r>
    </w:p>
    <w:p w14:paraId="615C84F3" w14:textId="2027F9B9" w:rsidR="009C00F1" w:rsidRPr="00CF6D94" w:rsidRDefault="00C77C80" w:rsidP="00471EC0">
      <w:pPr>
        <w:rPr>
          <w:lang w:val="lv-LV"/>
        </w:rPr>
      </w:pPr>
      <w:r w:rsidRPr="00550D35">
        <w:rPr>
          <w:lang w:val="lv-LV"/>
        </w:rPr>
        <w:t xml:space="preserve">Nodaļā KPI “Vismaz pamata digitālās prasmes” minētā politika un pasākumi </w:t>
      </w:r>
      <w:r w:rsidRPr="00E32358">
        <w:rPr>
          <w:lang w:val="lv-LV"/>
        </w:rPr>
        <w:t>sniegs ieguldījumu iedzīvotāju digitālo prasmju pilnveidē un definēto mērķu sasniegšanā, tai skaitā sekmējot EK Digitālās dekādes 2023.gada ziņojumā par Latviju norādīto ieteikumu izpildi attiecībā uz izglītības sistēmu.</w:t>
      </w:r>
      <w:bookmarkStart w:id="10" w:name="_Toc135226530"/>
    </w:p>
    <w:p w14:paraId="0FE56E45" w14:textId="4ECE749D" w:rsidR="00730325" w:rsidRPr="00550D35" w:rsidRDefault="00A12682" w:rsidP="00B52E9B">
      <w:pPr>
        <w:pStyle w:val="Heading1"/>
      </w:pPr>
      <w:bookmarkStart w:id="11" w:name="_Toc155952335"/>
      <w:r w:rsidRPr="00550D35">
        <w:t>IKT speciālisti</w:t>
      </w:r>
      <w:bookmarkEnd w:id="10"/>
      <w:bookmarkEnd w:id="11"/>
    </w:p>
    <w:p w14:paraId="0F0DF02A" w14:textId="5EAC5572" w:rsidR="005C5D74" w:rsidRPr="00550D35" w:rsidRDefault="006532C5" w:rsidP="00610276">
      <w:pPr>
        <w:pStyle w:val="mt-translation"/>
        <w:ind w:firstLine="0"/>
        <w:jc w:val="both"/>
        <w:rPr>
          <w:i/>
          <w:iCs/>
        </w:rPr>
      </w:pPr>
      <w:r w:rsidRPr="00550D35">
        <w:rPr>
          <w:b/>
          <w:bCs/>
          <w:i/>
          <w:iCs/>
        </w:rPr>
        <w:t>IKT speciālisti</w:t>
      </w:r>
      <w:r w:rsidR="00DF6429" w:rsidRPr="00550D35">
        <w:rPr>
          <w:b/>
          <w:bCs/>
          <w:i/>
          <w:iCs/>
        </w:rPr>
        <w:t>, ko mēra kā</w:t>
      </w:r>
      <w:r w:rsidRPr="00550D35">
        <w:rPr>
          <w:b/>
          <w:bCs/>
          <w:i/>
          <w:iCs/>
        </w:rPr>
        <w:t xml:space="preserve"> </w:t>
      </w:r>
      <w:r w:rsidR="00292FD5" w:rsidRPr="00550D35">
        <w:rPr>
          <w:i/>
          <w:iCs/>
        </w:rPr>
        <w:t>to cilvēku skaitu vecumā no 15 līdz 74 gadiem, kuri nodarbināti kā IKT speciālisti; un abu dzimumu tuvināšanās – mēra kā sieviešu un vīriešu procentu to cilvēku vidū, kuri nodarbināti kā IKT speciālisti. Saskaņā ar ISCO-083 kodu klasifikāciju IKT jomas speciālisti ir darba ņēmēji, kuri prot izstrādāt, ekspluatēt un uzturēt IKT sistēmas un kuru darba galvenā daļa ir IKT, to vidū, bet ne tikai, IKT pakalpojumu jomas vadītāji, IKT speciālisti, IKT tehniķi, IKT uzstādītāji un atbalsta speciālisti</w:t>
      </w:r>
      <w:r w:rsidR="00FF33EA" w:rsidRPr="00550D35">
        <w:rPr>
          <w:i/>
          <w:iCs/>
        </w:rPr>
        <w:t>.</w:t>
      </w:r>
    </w:p>
    <w:p w14:paraId="71742513" w14:textId="0DDBB2FE" w:rsidR="00D707F5" w:rsidRPr="00550D35" w:rsidRDefault="00451149">
      <w:pPr>
        <w:pStyle w:val="Heading2"/>
        <w:rPr>
          <w:lang w:val="lv-LV"/>
        </w:rPr>
      </w:pPr>
      <w:r w:rsidRPr="00550D35">
        <w:rPr>
          <w:lang w:val="lv-LV"/>
        </w:rPr>
        <w:t>Analīze par pašreizējo stāvokli digitālās pārveides jomā dalībvalsts kontekstā</w:t>
      </w:r>
    </w:p>
    <w:p w14:paraId="7923D343" w14:textId="1B6D6884" w:rsidR="00C51105" w:rsidRPr="00550D35" w:rsidRDefault="00E63D4C" w:rsidP="00C51105">
      <w:pPr>
        <w:rPr>
          <w:lang w:val="lv-LV"/>
        </w:rPr>
      </w:pPr>
      <w:bookmarkStart w:id="12" w:name="_Toc135226532"/>
      <w:r w:rsidRPr="00550D35">
        <w:rPr>
          <w:lang w:val="lv-LV"/>
        </w:rPr>
        <w:t xml:space="preserve">Saskaņā ar Digitālās dekādes 2023.gada ziņojumu par Latviju </w:t>
      </w:r>
      <w:r w:rsidR="00C51105" w:rsidRPr="00550D35">
        <w:rPr>
          <w:lang w:val="lv-LV"/>
        </w:rPr>
        <w:t xml:space="preserve">IKT absolventu īpatsvara samazināšanās tendence ir mainījusies, un Latvija joprojām pārsniedz ES vidējo rādītāju — </w:t>
      </w:r>
      <w:r w:rsidR="00FC747A" w:rsidRPr="00550D35">
        <w:rPr>
          <w:lang w:val="lv-LV"/>
        </w:rPr>
        <w:t>5,0</w:t>
      </w:r>
      <w:r w:rsidR="00C51105" w:rsidRPr="00550D35">
        <w:rPr>
          <w:lang w:val="lv-LV"/>
        </w:rPr>
        <w:t xml:space="preserve"> % IKT absolventu valstī salīdzinājumā ar </w:t>
      </w:r>
      <w:r w:rsidR="00FC747A" w:rsidRPr="00550D35">
        <w:rPr>
          <w:lang w:val="lv-LV"/>
        </w:rPr>
        <w:t>4,2</w:t>
      </w:r>
      <w:r w:rsidR="00C51105" w:rsidRPr="00550D35">
        <w:rPr>
          <w:lang w:val="lv-LV"/>
        </w:rPr>
        <w:t xml:space="preserve"> % ES. IKT speciālistu sieviešu īpatsvars ir 23 % salīdzinājumā ar 19 % ES līmenī</w:t>
      </w:r>
      <w:r w:rsidR="007F1120" w:rsidRPr="00550D35">
        <w:rPr>
          <w:lang w:val="lv-LV"/>
        </w:rPr>
        <w:t xml:space="preserve"> (DESI 2022.gada </w:t>
      </w:r>
      <w:r w:rsidR="0098224B" w:rsidRPr="00550D35">
        <w:rPr>
          <w:lang w:val="lv-LV"/>
        </w:rPr>
        <w:t xml:space="preserve">ziņojuma par Latviju </w:t>
      </w:r>
      <w:r w:rsidR="007F1120" w:rsidRPr="00550D35">
        <w:rPr>
          <w:lang w:val="lv-LV"/>
        </w:rPr>
        <w:t>dati</w:t>
      </w:r>
      <w:r w:rsidR="008B0B48" w:rsidRPr="00550D35">
        <w:rPr>
          <w:rStyle w:val="FootnoteReference"/>
          <w:lang w:val="lv-LV"/>
        </w:rPr>
        <w:footnoteReference w:id="19"/>
      </w:r>
      <w:r w:rsidR="0098224B" w:rsidRPr="00550D35">
        <w:rPr>
          <w:lang w:val="lv-LV"/>
        </w:rPr>
        <w:t>)</w:t>
      </w:r>
      <w:r w:rsidR="00C51105" w:rsidRPr="00550D35">
        <w:rPr>
          <w:lang w:val="lv-LV"/>
        </w:rPr>
        <w:t xml:space="preserve">. Attiecībā uz IKT speciālistu īpatsvaru Latvija samazina atšķirību no ES vidējā </w:t>
      </w:r>
      <w:r w:rsidR="00C51105" w:rsidRPr="00550D35">
        <w:rPr>
          <w:lang w:val="lv-LV"/>
        </w:rPr>
        <w:lastRenderedPageBreak/>
        <w:t xml:space="preserve">rādītāja, sasniedzot </w:t>
      </w:r>
      <w:r w:rsidR="00FC747A" w:rsidRPr="00550D35">
        <w:rPr>
          <w:lang w:val="lv-LV"/>
        </w:rPr>
        <w:t>4,4</w:t>
      </w:r>
      <w:r w:rsidR="00C51105" w:rsidRPr="00550D35">
        <w:rPr>
          <w:lang w:val="lv-LV"/>
        </w:rPr>
        <w:t xml:space="preserve"> % no kopējās nodarbinātības salīdzinājumā ar ES vidējo rādītāju 4,</w:t>
      </w:r>
      <w:r w:rsidR="00FC747A" w:rsidRPr="00550D35">
        <w:rPr>
          <w:lang w:val="lv-LV"/>
        </w:rPr>
        <w:t>6</w:t>
      </w:r>
      <w:r w:rsidR="00C51105" w:rsidRPr="00550D35">
        <w:rPr>
          <w:lang w:val="lv-LV"/>
        </w:rPr>
        <w:t xml:space="preserve"> %.</w:t>
      </w:r>
    </w:p>
    <w:p w14:paraId="44980DB4" w14:textId="2904E840" w:rsidR="00AF044E" w:rsidRPr="00550D35" w:rsidRDefault="00AF044E" w:rsidP="00DC7A17">
      <w:pPr>
        <w:rPr>
          <w:lang w:val="lv-LV"/>
        </w:rPr>
      </w:pPr>
      <w:r w:rsidRPr="00550D35">
        <w:rPr>
          <w:lang w:val="lv-LV"/>
        </w:rPr>
        <w:t>Digitālās dekādes 2023.gada ziņojumā par Latviju EK iesaka paātrināt centienus digitālo prasmju jomā. Īpaša uzmanība jāpievērš IKT speciālistu piesaistei un noturēšanai.</w:t>
      </w:r>
    </w:p>
    <w:p w14:paraId="1519D387" w14:textId="0CCF13D7" w:rsidR="004A533E" w:rsidRPr="00550D35" w:rsidRDefault="0073764A" w:rsidP="009B02AC">
      <w:pPr>
        <w:rPr>
          <w:lang w:val="lv-LV"/>
        </w:rPr>
      </w:pPr>
      <w:r w:rsidRPr="00550D35">
        <w:rPr>
          <w:lang w:val="lv-LV"/>
        </w:rPr>
        <w:t xml:space="preserve">Saskaņā ar </w:t>
      </w:r>
      <w:r w:rsidR="004C02BE" w:rsidRPr="00550D35">
        <w:rPr>
          <w:lang w:val="lv-LV"/>
        </w:rPr>
        <w:t>EK</w:t>
      </w:r>
      <w:r w:rsidRPr="00550D35">
        <w:rPr>
          <w:lang w:val="lv-LV"/>
        </w:rPr>
        <w:t xml:space="preserve"> dienestu darba dokumentu SWD(2023) 614 </w:t>
      </w:r>
      <w:proofErr w:type="spellStart"/>
      <w:r w:rsidRPr="00550D35">
        <w:rPr>
          <w:lang w:val="lv-LV"/>
        </w:rPr>
        <w:t>final</w:t>
      </w:r>
      <w:proofErr w:type="spellEnd"/>
      <w:r w:rsidRPr="00550D35">
        <w:rPr>
          <w:lang w:val="lv-LV"/>
        </w:rPr>
        <w:t xml:space="preserve"> “2023. gada ziņojumu par valsti – Latvija” </w:t>
      </w:r>
      <w:r w:rsidR="00FD5F83" w:rsidRPr="00550D35">
        <w:rPr>
          <w:lang w:val="lv-LV"/>
        </w:rPr>
        <w:t>Latvijas sniegums ir virs ES vidējā rādītāja attiecībā uz IKT studiju absolventiem un IKT speciālistēm, bet digitālo prasmju un IKT speciālistu trūkums ir galvenais šķērslis digitālo risinājumu plašākai izmantošanai privātajā sektorā Latvijā. 2022. gadā 59,2 % Latvijas uzņēmumu ziņoja par grūti aizpildāmām vakancēm darbvietās, kurās nepieciešamas IKT prasmes</w:t>
      </w:r>
      <w:r w:rsidR="000376EE" w:rsidRPr="00550D35">
        <w:rPr>
          <w:lang w:val="lv-LV"/>
        </w:rPr>
        <w:t>. Tas</w:t>
      </w:r>
      <w:r w:rsidR="000376EE" w:rsidRPr="00550D35">
        <w:rPr>
          <w:szCs w:val="24"/>
          <w:lang w:val="lv-LV"/>
        </w:rPr>
        <w:t xml:space="preserve"> neveicina IKT tehnoloģiju izmantošanu uzņēmumos un inovāciju potenciālu</w:t>
      </w:r>
      <w:r w:rsidR="002D0238" w:rsidRPr="00550D35">
        <w:rPr>
          <w:lang w:val="lv-LV"/>
        </w:rPr>
        <w:t>.</w:t>
      </w:r>
    </w:p>
    <w:p w14:paraId="68779753" w14:textId="5FD70269" w:rsidR="008F7E50" w:rsidRPr="00550D35" w:rsidRDefault="6AD52F36" w:rsidP="00856A79">
      <w:pPr>
        <w:rPr>
          <w:color w:val="000000"/>
          <w:lang w:val="lv-LV"/>
        </w:rPr>
      </w:pPr>
      <w:r w:rsidRPr="00550D35">
        <w:rPr>
          <w:lang w:val="lv-LV"/>
        </w:rPr>
        <w:t xml:space="preserve">Tādēļ saistīto reformu </w:t>
      </w:r>
      <w:r w:rsidRPr="00550D35">
        <w:rPr>
          <w:color w:val="000000"/>
          <w:lang w:val="lv-LV"/>
        </w:rPr>
        <w:t xml:space="preserve">un ANM </w:t>
      </w:r>
      <w:r w:rsidR="4F40F954" w:rsidRPr="00550D35">
        <w:rPr>
          <w:color w:val="000000"/>
          <w:lang w:val="lv-LV"/>
        </w:rPr>
        <w:t xml:space="preserve">plāna </w:t>
      </w:r>
      <w:r w:rsidRPr="00550D35">
        <w:rPr>
          <w:color w:val="000000"/>
          <w:lang w:val="lv-LV"/>
        </w:rPr>
        <w:t>investīciju</w:t>
      </w:r>
      <w:r w:rsidRPr="00550D35">
        <w:rPr>
          <w:lang w:val="lv-LV"/>
        </w:rPr>
        <w:t xml:space="preserve"> mērķis ir </w:t>
      </w:r>
      <w:r w:rsidRPr="00550D35">
        <w:rPr>
          <w:color w:val="000000"/>
          <w:lang w:val="lv-LV"/>
        </w:rPr>
        <w:t xml:space="preserve">paplašināt iedzīvotāju iespējas apgūt un pielietot pamata digitālās prasmes, </w:t>
      </w:r>
      <w:r w:rsidR="6333E11F" w:rsidRPr="00550D35">
        <w:rPr>
          <w:color w:val="000000"/>
          <w:lang w:val="lv-LV"/>
        </w:rPr>
        <w:t>tostarp</w:t>
      </w:r>
      <w:r w:rsidR="095A1A6D" w:rsidRPr="00550D35">
        <w:rPr>
          <w:color w:val="000000"/>
          <w:lang w:val="lv-LV"/>
        </w:rPr>
        <w:t>,</w:t>
      </w:r>
      <w:r w:rsidRPr="00550D35">
        <w:rPr>
          <w:lang w:val="lv-LV"/>
        </w:rPr>
        <w:t xml:space="preserve"> </w:t>
      </w:r>
      <w:r w:rsidRPr="00550D35">
        <w:rPr>
          <w:color w:val="000000"/>
          <w:lang w:val="lv-LV"/>
        </w:rPr>
        <w:t>paplašināt IKT speciālistu izglītības iespējas un attīstīt augsta līmeņa digitālo prasmju apguvi tautsaimniecības attīstībai</w:t>
      </w:r>
      <w:r w:rsidRPr="00550D35">
        <w:rPr>
          <w:lang w:val="lv-LV"/>
        </w:rPr>
        <w:t>. Šie pasākumi veicinās uzņēmumu, īpaši MV</w:t>
      </w:r>
      <w:r w:rsidR="657FCC23" w:rsidRPr="00550D35">
        <w:rPr>
          <w:lang w:val="lv-LV"/>
        </w:rPr>
        <w:t>U</w:t>
      </w:r>
      <w:r w:rsidRPr="00550D35">
        <w:rPr>
          <w:lang w:val="lv-LV"/>
        </w:rPr>
        <w:t xml:space="preserve">, atgūšanos no Covid-19 radītās pandēmijas izraisītās krīzes un piemērošanos digitālajai transformācijai, </w:t>
      </w:r>
      <w:r w:rsidRPr="00550D35">
        <w:rPr>
          <w:color w:val="000000"/>
          <w:lang w:val="lv-LV"/>
        </w:rPr>
        <w:t>kā arī publisko digitālo pakalpojumu pl</w:t>
      </w:r>
      <w:r w:rsidR="095A1A6D" w:rsidRPr="00550D35">
        <w:rPr>
          <w:color w:val="000000"/>
          <w:lang w:val="lv-LV"/>
        </w:rPr>
        <w:t>a</w:t>
      </w:r>
      <w:r w:rsidRPr="00550D35">
        <w:rPr>
          <w:color w:val="000000"/>
          <w:lang w:val="lv-LV"/>
        </w:rPr>
        <w:t>š</w:t>
      </w:r>
      <w:r w:rsidR="095A1A6D" w:rsidRPr="00550D35">
        <w:rPr>
          <w:color w:val="000000"/>
          <w:lang w:val="lv-LV"/>
        </w:rPr>
        <w:t>ā</w:t>
      </w:r>
      <w:r w:rsidRPr="00550D35">
        <w:rPr>
          <w:color w:val="000000"/>
          <w:lang w:val="lv-LV"/>
        </w:rPr>
        <w:t>ku izmantošanu privāt</w:t>
      </w:r>
      <w:r w:rsidR="095A1A6D" w:rsidRPr="00550D35">
        <w:rPr>
          <w:color w:val="000000"/>
          <w:lang w:val="lv-LV"/>
        </w:rPr>
        <w:t>ajā</w:t>
      </w:r>
      <w:r w:rsidRPr="00550D35">
        <w:rPr>
          <w:color w:val="000000"/>
          <w:lang w:val="lv-LV"/>
        </w:rPr>
        <w:t xml:space="preserve"> sektor</w:t>
      </w:r>
      <w:r w:rsidR="095A1A6D" w:rsidRPr="00550D35">
        <w:rPr>
          <w:color w:val="000000"/>
          <w:lang w:val="lv-LV"/>
        </w:rPr>
        <w:t>ā.</w:t>
      </w:r>
      <w:r w:rsidR="17D52CC1" w:rsidRPr="00550D35">
        <w:rPr>
          <w:color w:val="000000"/>
          <w:lang w:val="lv-LV"/>
        </w:rPr>
        <w:t xml:space="preserve"> </w:t>
      </w:r>
      <w:r w:rsidR="4F40F954" w:rsidRPr="00550D35">
        <w:rPr>
          <w:shd w:val="clear" w:color="auto" w:fill="FFFFFF"/>
          <w:lang w:val="lv-LV"/>
        </w:rPr>
        <w:t>ANM plānā, reformu un investīciju virzien</w:t>
      </w:r>
      <w:r w:rsidR="17D52CC1" w:rsidRPr="00550D35">
        <w:rPr>
          <w:shd w:val="clear" w:color="auto" w:fill="FFFFFF"/>
          <w:lang w:val="lv-LV"/>
        </w:rPr>
        <w:t>s</w:t>
      </w:r>
      <w:r w:rsidR="4F40F954" w:rsidRPr="00550D35">
        <w:rPr>
          <w:shd w:val="clear" w:color="auto" w:fill="FFFFFF"/>
          <w:lang w:val="lv-LV"/>
        </w:rPr>
        <w:t xml:space="preserve"> “Digitālās prasmes” (2.3.) ietver reformu ilgtspējīgas un sociāli atbildīgas atbalsta sistēmas pieaugušo izglītībai attīstīšanai (2.3.1.r.), tostarp augsta līmeņa digitālo prasmju apguves nodrošināšanai (2.3.1.1.i.), </w:t>
      </w:r>
      <w:proofErr w:type="spellStart"/>
      <w:r w:rsidR="4F40F954" w:rsidRPr="00550D35">
        <w:rPr>
          <w:shd w:val="clear" w:color="auto" w:fill="FFFFFF"/>
          <w:lang w:val="lv-LV"/>
        </w:rPr>
        <w:t>pašvadītas</w:t>
      </w:r>
      <w:proofErr w:type="spellEnd"/>
      <w:r w:rsidR="4F40F954" w:rsidRPr="00550D35">
        <w:rPr>
          <w:shd w:val="clear" w:color="auto" w:fill="FFFFFF"/>
          <w:lang w:val="lv-LV"/>
        </w:rPr>
        <w:t xml:space="preserve"> IKT speciālistu mācību pieejas attīstīšanai (2.3.1.3.i) un individuālo mācību kontu pieejas attīstīšanai (2.3.1.4.).</w:t>
      </w:r>
    </w:p>
    <w:p w14:paraId="10120CF6" w14:textId="0FEA3CAD" w:rsidR="00621A16" w:rsidRPr="00550D35" w:rsidRDefault="003441FF" w:rsidP="003441FF">
      <w:pPr>
        <w:rPr>
          <w:lang w:val="lv-LV"/>
        </w:rPr>
      </w:pPr>
      <w:r w:rsidRPr="00550D35">
        <w:rPr>
          <w:lang w:val="lv-LV"/>
        </w:rPr>
        <w:t>Latvijā ir izveidots Programmēšanas nedēļas vēstnieku, vadošo skolotāju un brīvprātīgo tīkls</w:t>
      </w:r>
      <w:r w:rsidR="004A1129" w:rsidRPr="00550D35">
        <w:rPr>
          <w:lang w:val="lv-LV"/>
        </w:rPr>
        <w:t>, kas</w:t>
      </w:r>
      <w:r w:rsidRPr="00550D35">
        <w:rPr>
          <w:lang w:val="lv-LV"/>
        </w:rPr>
        <w:t xml:space="preserve"> koordinē Programmēšanas nedēļas popularizēšanu Latvijas izglītības iestādēs</w:t>
      </w:r>
      <w:r w:rsidR="004A1129" w:rsidRPr="00550D35">
        <w:rPr>
          <w:lang w:val="lv-LV"/>
        </w:rPr>
        <w:t xml:space="preserve">, tā </w:t>
      </w:r>
      <w:r w:rsidRPr="00550D35">
        <w:rPr>
          <w:lang w:val="lv-LV"/>
        </w:rPr>
        <w:t xml:space="preserve"> galvenais uzdevums ir piesaistīt jaunas izglītības iestādes, jaunus brīvprātīgos un citu priekšmetu skolotājus, parādot veidu, kā programmēt</w:t>
      </w:r>
      <w:r w:rsidR="004A1129" w:rsidRPr="00550D35">
        <w:rPr>
          <w:lang w:val="lv-LV"/>
        </w:rPr>
        <w:t>, tā veicinot</w:t>
      </w:r>
      <w:r w:rsidR="00CC2129" w:rsidRPr="00550D35">
        <w:rPr>
          <w:lang w:val="lv-LV"/>
        </w:rPr>
        <w:t xml:space="preserve"> jauniešu interesi par IKT profesijām</w:t>
      </w:r>
      <w:r w:rsidRPr="00550D35">
        <w:rPr>
          <w:lang w:val="lv-LV"/>
        </w:rPr>
        <w:t>.</w:t>
      </w:r>
    </w:p>
    <w:p w14:paraId="3D9F385D" w14:textId="77777777" w:rsidR="00337CF4" w:rsidRDefault="00337CF4" w:rsidP="00337CF4">
      <w:pPr>
        <w:rPr>
          <w:lang w:val="lv-LV"/>
        </w:rPr>
      </w:pPr>
      <w:r w:rsidRPr="00021D94">
        <w:rPr>
          <w:lang w:val="lv-LV"/>
        </w:rPr>
        <w:t xml:space="preserve">Sākot ar 2022. gada otro pusgadu, Latvija plāno līdz 2026. </w:t>
      </w:r>
      <w:r w:rsidRPr="00060CDA">
        <w:rPr>
          <w:lang w:val="lv-LV"/>
        </w:rPr>
        <w:t xml:space="preserve">gadam izveidot 21 starptautisku mācību moduli kvantu tehnoloģiju, augstas veiktspējas </w:t>
      </w:r>
      <w:proofErr w:type="spellStart"/>
      <w:r w:rsidRPr="00060CDA">
        <w:rPr>
          <w:lang w:val="lv-LV"/>
        </w:rPr>
        <w:t>datošanas</w:t>
      </w:r>
      <w:proofErr w:type="spellEnd"/>
      <w:r w:rsidRPr="00060CDA">
        <w:rPr>
          <w:lang w:val="lv-LV"/>
        </w:rPr>
        <w:t xml:space="preserve"> (</w:t>
      </w:r>
      <w:proofErr w:type="spellStart"/>
      <w:r w:rsidRPr="00060CDA">
        <w:rPr>
          <w:i/>
          <w:iCs/>
          <w:lang w:val="lv-LV"/>
        </w:rPr>
        <w:t>high</w:t>
      </w:r>
      <w:proofErr w:type="spellEnd"/>
      <w:r w:rsidRPr="00060CDA">
        <w:rPr>
          <w:i/>
          <w:iCs/>
          <w:lang w:val="lv-LV"/>
        </w:rPr>
        <w:t xml:space="preserve"> </w:t>
      </w:r>
      <w:proofErr w:type="spellStart"/>
      <w:r w:rsidRPr="00060CDA">
        <w:rPr>
          <w:i/>
          <w:iCs/>
          <w:lang w:val="lv-LV"/>
        </w:rPr>
        <w:t>peformance</w:t>
      </w:r>
      <w:proofErr w:type="spellEnd"/>
      <w:r w:rsidRPr="00060CDA">
        <w:rPr>
          <w:i/>
          <w:iCs/>
          <w:lang w:val="lv-LV"/>
        </w:rPr>
        <w:t xml:space="preserve"> </w:t>
      </w:r>
      <w:proofErr w:type="spellStart"/>
      <w:r w:rsidRPr="00060CDA">
        <w:rPr>
          <w:i/>
          <w:iCs/>
          <w:lang w:val="lv-LV"/>
        </w:rPr>
        <w:t>computing</w:t>
      </w:r>
      <w:proofErr w:type="spellEnd"/>
      <w:r w:rsidRPr="00060CDA">
        <w:rPr>
          <w:i/>
          <w:iCs/>
          <w:lang w:val="lv-LV"/>
        </w:rPr>
        <w:t xml:space="preserve"> — HPC</w:t>
      </w:r>
      <w:r w:rsidRPr="00060CDA">
        <w:rPr>
          <w:lang w:val="lv-LV"/>
        </w:rPr>
        <w:t>) un valodu tehnoloģiju augsta līmeņa digitālo prasmju apguvei, ko atbalsta ANP, lai apmācītu 3 tūkst. studentu un speciālistu (uzņēmumus, akadēmiskās aprindas un publisko sektoru).</w:t>
      </w:r>
    </w:p>
    <w:p w14:paraId="204218B6" w14:textId="77777777" w:rsidR="00337CF4" w:rsidRPr="00550D35" w:rsidRDefault="00337CF4" w:rsidP="00337CF4">
      <w:pPr>
        <w:rPr>
          <w:lang w:val="lv-LV"/>
        </w:rPr>
      </w:pPr>
      <w:r w:rsidRPr="00550D35">
        <w:rPr>
          <w:lang w:val="lv-LV"/>
        </w:rPr>
        <w:t>Latvijas ANM plāns ietver pasākumus, kuri pilnībā vai daļēji saistīti ar digitālajām prasmēm, novērsīs digitālo prasmju trūkumu vairumā vecuma grupu, sociālajā un darba vidē. Sagaidāms, ka kopējais budžeta piešķīrums 106,0 milj. </w:t>
      </w:r>
      <w:proofErr w:type="spellStart"/>
      <w:r w:rsidRPr="00550D35">
        <w:rPr>
          <w:i/>
          <w:iCs/>
          <w:lang w:val="lv-LV"/>
        </w:rPr>
        <w:t>euro</w:t>
      </w:r>
      <w:proofErr w:type="spellEnd"/>
      <w:r w:rsidRPr="00550D35">
        <w:rPr>
          <w:lang w:val="lv-LV"/>
        </w:rPr>
        <w:t xml:space="preserve"> apmērā, kas veido 6 % no ANM plāna finansējuma, būs vērsts uz to, lai uzlabotu studentu un pieaugušo digitālās prasmes, panāktu sabiedrības un darba tirgus, tostarp valsts pārvaldes, digitālo pārveidi un mazinātu sociālās atstumtības riskus.</w:t>
      </w:r>
    </w:p>
    <w:p w14:paraId="22BAB830" w14:textId="53666645" w:rsidR="00337CF4" w:rsidRPr="00550D35" w:rsidRDefault="00337CF4" w:rsidP="00337CF4">
      <w:pPr>
        <w:rPr>
          <w:lang w:val="lv-LV"/>
        </w:rPr>
      </w:pPr>
      <w:r w:rsidRPr="00550D35">
        <w:rPr>
          <w:color w:val="000000" w:themeColor="text1"/>
          <w:lang w:val="lv-LV"/>
        </w:rPr>
        <w:t xml:space="preserve">ANM </w:t>
      </w:r>
      <w:r w:rsidR="001F73BF">
        <w:rPr>
          <w:color w:val="000000" w:themeColor="text1"/>
          <w:lang w:val="lv-LV"/>
        </w:rPr>
        <w:t xml:space="preserve">plāna </w:t>
      </w:r>
      <w:r w:rsidRPr="00550D35">
        <w:rPr>
          <w:color w:val="000000" w:themeColor="text1"/>
          <w:lang w:val="lv-LV"/>
        </w:rPr>
        <w:t>investīciju</w:t>
      </w:r>
      <w:r w:rsidRPr="00550D35">
        <w:rPr>
          <w:lang w:val="lv-LV"/>
        </w:rPr>
        <w:t xml:space="preserve"> un </w:t>
      </w:r>
      <w:r w:rsidRPr="00550D35">
        <w:rPr>
          <w:szCs w:val="24"/>
          <w:lang w:val="lv-LV"/>
        </w:rPr>
        <w:t xml:space="preserve">saistīto </w:t>
      </w:r>
      <w:r w:rsidRPr="00550D35">
        <w:rPr>
          <w:lang w:val="lv-LV"/>
        </w:rPr>
        <w:t xml:space="preserve">reformu mērķis </w:t>
      </w:r>
      <w:r w:rsidRPr="00550D35">
        <w:rPr>
          <w:szCs w:val="24"/>
          <w:lang w:val="lv-LV"/>
        </w:rPr>
        <w:t xml:space="preserve">ir </w:t>
      </w:r>
      <w:r w:rsidRPr="00550D35">
        <w:rPr>
          <w:color w:val="000000" w:themeColor="text1"/>
          <w:lang w:val="lv-LV"/>
        </w:rPr>
        <w:t>paplašināt gan iedzīvotāju iespējas apgūt un pielietot pamata digitālās prasmes, gan</w:t>
      </w:r>
      <w:r w:rsidRPr="00550D35">
        <w:rPr>
          <w:szCs w:val="24"/>
          <w:lang w:val="lv-LV"/>
        </w:rPr>
        <w:t xml:space="preserve"> </w:t>
      </w:r>
      <w:r w:rsidRPr="00550D35">
        <w:rPr>
          <w:color w:val="000000" w:themeColor="text1"/>
          <w:lang w:val="lv-LV"/>
        </w:rPr>
        <w:t>paplašināt IKT speciālistu izglītības iespējas un attīstīt augsta līmeņa digitālo prasmju apguvi tautsaimniecības attīstībai</w:t>
      </w:r>
      <w:r w:rsidRPr="00550D35">
        <w:rPr>
          <w:szCs w:val="24"/>
          <w:lang w:val="lv-LV"/>
        </w:rPr>
        <w:t xml:space="preserve">. Šie pasākumi veicinās uzņēmumu, īpaši MVU, atgūšanos no </w:t>
      </w:r>
      <w:r w:rsidRPr="00550D35">
        <w:rPr>
          <w:lang w:val="lv-LV"/>
        </w:rPr>
        <w:t>Covid-19 radītās</w:t>
      </w:r>
      <w:r w:rsidRPr="00550D35">
        <w:rPr>
          <w:szCs w:val="24"/>
          <w:lang w:val="lv-LV"/>
        </w:rPr>
        <w:t xml:space="preserve"> pandēmijas izraisītās krīzes un piemērošanos digitālajai transformācijai, </w:t>
      </w:r>
      <w:r w:rsidRPr="00550D35">
        <w:rPr>
          <w:color w:val="000000" w:themeColor="text1"/>
          <w:lang w:val="lv-LV"/>
        </w:rPr>
        <w:t>kā arī publisko digitālo pakalpojumu plašāku izmantošanu privātajā sektorā.</w:t>
      </w:r>
    </w:p>
    <w:p w14:paraId="7038DA82" w14:textId="77777777" w:rsidR="00337CF4" w:rsidRPr="00550D35" w:rsidRDefault="00337CF4" w:rsidP="00337CF4">
      <w:pPr>
        <w:rPr>
          <w:color w:val="000000"/>
          <w:lang w:val="lv-LV"/>
        </w:rPr>
      </w:pPr>
      <w:r w:rsidRPr="00550D35">
        <w:rPr>
          <w:color w:val="000000"/>
          <w:lang w:val="lv-LV"/>
        </w:rPr>
        <w:t>ANM plāna digitālās transformācijas komponentes investīciju galvenie virzieni izriet no IAP2027 noteiktajiem uzdevumiem uzlabot ekonomiski aktīvo iedzīvotāju digitālās prasmes un palielināt IKT speciālistu īpatsvaru kopējā Latvijas nodarbinātības struktūrā.</w:t>
      </w:r>
    </w:p>
    <w:p w14:paraId="50239B98" w14:textId="77777777" w:rsidR="00337CF4" w:rsidRPr="00550D35" w:rsidRDefault="00337CF4" w:rsidP="00337CF4">
      <w:pPr>
        <w:rPr>
          <w:szCs w:val="24"/>
          <w:lang w:val="lv-LV"/>
        </w:rPr>
      </w:pPr>
      <w:r w:rsidRPr="00550D35">
        <w:rPr>
          <w:color w:val="000000"/>
          <w:lang w:val="lv-LV"/>
        </w:rPr>
        <w:t xml:space="preserve">ANM plānā būtiskas investīcijas ir paredzētas gan privātajā sektorā nodarbināto digitālo prasmju attīstībai, gan publiskās pārvaldes digitālo prasmju uzlabošanai, gan </w:t>
      </w:r>
      <w:r w:rsidRPr="00550D35">
        <w:rPr>
          <w:color w:val="000000"/>
          <w:lang w:val="lv-LV"/>
        </w:rPr>
        <w:lastRenderedPageBreak/>
        <w:t xml:space="preserve">augsta līmeņa digitālo prasmju attīstībai un IKT speciālistu skaita palielināšanai, tai skaitā, izveidojot jaunu pieeju IKT speciālistu izglītībā, kas balstās uz </w:t>
      </w:r>
      <w:proofErr w:type="spellStart"/>
      <w:r w:rsidRPr="00550D35">
        <w:rPr>
          <w:color w:val="000000"/>
          <w:lang w:val="lv-LV"/>
        </w:rPr>
        <w:t>pašvadītas</w:t>
      </w:r>
      <w:proofErr w:type="spellEnd"/>
      <w:r w:rsidRPr="00550D35">
        <w:rPr>
          <w:color w:val="000000"/>
          <w:lang w:val="lv-LV"/>
        </w:rPr>
        <w:t xml:space="preserve"> mācīšanās pieeju, bet vienlaikus, nepieciešamības gadījumā ļauj ātri novērtēt un pārvērst iegūtās zināšanas un prasmes formālā kvalifikācijā.</w:t>
      </w:r>
    </w:p>
    <w:p w14:paraId="0115057E" w14:textId="77777777" w:rsidR="00337CF4" w:rsidRPr="00550D35" w:rsidRDefault="00337CF4" w:rsidP="00337CF4">
      <w:pPr>
        <w:rPr>
          <w:lang w:val="lv-LV"/>
        </w:rPr>
      </w:pPr>
      <w:r w:rsidRPr="00550D35">
        <w:rPr>
          <w:szCs w:val="24"/>
          <w:lang w:val="lv-LV"/>
        </w:rPr>
        <w:t xml:space="preserve">ANM plāna reformas “2.3.1.r. </w:t>
      </w:r>
      <w:r w:rsidRPr="00550D35">
        <w:rPr>
          <w:lang w:val="lv-LV"/>
        </w:rPr>
        <w:t>Ilgtspējīgas un sociāli atbildīgas atbalsta sistēmas pieaugušo izglītībai attīstība” realizēšanai ir plānotas investīcijas augsta līmeņa digitālo prasmju apguves nodrošināšanai (</w:t>
      </w:r>
      <w:r w:rsidRPr="00550D35">
        <w:rPr>
          <w:szCs w:val="24"/>
          <w:lang w:val="lv-LV"/>
        </w:rPr>
        <w:t>2.3.1.1.i.),</w:t>
      </w:r>
      <w:r w:rsidRPr="00550D35">
        <w:rPr>
          <w:lang w:val="lv-LV"/>
        </w:rPr>
        <w:t xml:space="preserve"> </w:t>
      </w:r>
      <w:proofErr w:type="spellStart"/>
      <w:r w:rsidRPr="00550D35">
        <w:rPr>
          <w:lang w:val="lv-LV"/>
        </w:rPr>
        <w:t>pašvadītas</w:t>
      </w:r>
      <w:proofErr w:type="spellEnd"/>
      <w:r w:rsidRPr="00550D35">
        <w:rPr>
          <w:lang w:val="lv-LV"/>
        </w:rPr>
        <w:t xml:space="preserve"> IKT speciālistu mācību pieejas attīstīšanai (2.3.1.3.i) un individuālo mācību kontu pieejas attīstīšanai (2.3.1.4.).</w:t>
      </w:r>
      <w:r w:rsidRPr="00550D35">
        <w:rPr>
          <w:szCs w:val="24"/>
          <w:lang w:val="lv-LV"/>
        </w:rPr>
        <w:t xml:space="preserve"> </w:t>
      </w:r>
      <w:r w:rsidRPr="00550D35">
        <w:rPr>
          <w:lang w:val="lv-LV"/>
        </w:rPr>
        <w:t>ANM plāna pasākumos IKT speciālistu skaita palielināšanai, ir plānots finansējums aktivitātēm, kas specifiski mērķētas uz sieviešu iesaisti un iepazīstināšanu ar karjeras iespējām IKT jomā.</w:t>
      </w:r>
    </w:p>
    <w:p w14:paraId="1E805C23" w14:textId="77777777" w:rsidR="00337CF4" w:rsidRPr="00550D35" w:rsidRDefault="00337CF4" w:rsidP="00337CF4">
      <w:pPr>
        <w:rPr>
          <w:lang w:val="lv-LV"/>
        </w:rPr>
      </w:pPr>
      <w:r w:rsidRPr="00550D35">
        <w:rPr>
          <w:lang w:val="lv-LV"/>
        </w:rPr>
        <w:t>Pieaugušo izglītības pārvaldības modeļa īstenošanas plāna ietvaros Valsts izglītības attīstības aģentūra 2021. gada maijā izsludināja uzaicinājumu, kas bija īpaši vērsts uz digitālo prasmju izglītības programmu darba ņēmējiem, kuri vecāki par 25 gadiem. Darba ņēmēji var saņemt novērtējumus, apmācības un sertifikātus programmās, kas aptver gandrīz 12 digitālo prasmju kopumus. Programmas saskaņo un apstiprina IZM izveidotā Pieaugušo izglītības pārvaldības padome.</w:t>
      </w:r>
    </w:p>
    <w:p w14:paraId="3D5B6862" w14:textId="77777777" w:rsidR="00337CF4" w:rsidRPr="00550D35" w:rsidRDefault="00337CF4" w:rsidP="00337CF4">
      <w:pPr>
        <w:rPr>
          <w:lang w:val="lv-LV"/>
        </w:rPr>
      </w:pPr>
      <w:r w:rsidRPr="00550D35">
        <w:rPr>
          <w:lang w:val="lv-LV"/>
        </w:rPr>
        <w:t>Latvijas digitālo prasmju un darbvietu nacionālo koalīciju vada LIKTA, kas  ir izstrādājusi IKT programmas saskaņā  ar ES iniciatīvu “Digitālo prasmju un darbvietu koalīcija”</w:t>
      </w:r>
      <w:r w:rsidRPr="00550D35">
        <w:rPr>
          <w:rStyle w:val="FootnoteReference"/>
          <w:lang w:val="lv-LV"/>
        </w:rPr>
        <w:footnoteReference w:id="20"/>
      </w:r>
      <w:r w:rsidRPr="00550D35">
        <w:rPr>
          <w:lang w:val="lv-LV"/>
        </w:rPr>
        <w:t xml:space="preserve"> ar mērķi novērst digitālo prasmju trūkumu, apvienojot ES valstis, uzņēmumus un organizācijas. </w:t>
      </w:r>
    </w:p>
    <w:p w14:paraId="76C04962" w14:textId="115DF965" w:rsidR="00337CF4" w:rsidRPr="00550D35" w:rsidRDefault="00337CF4" w:rsidP="00337CF4">
      <w:pPr>
        <w:rPr>
          <w:lang w:val="lv-LV"/>
        </w:rPr>
      </w:pPr>
      <w:r w:rsidRPr="00550D35">
        <w:rPr>
          <w:lang w:val="lv-LV"/>
        </w:rPr>
        <w:t>Citi projekti, piemēram, projekts “Digitālo kompetenču attīstības sistēma” (</w:t>
      </w:r>
      <w:proofErr w:type="spellStart"/>
      <w:r w:rsidRPr="00550D35">
        <w:rPr>
          <w:i/>
          <w:iCs/>
          <w:lang w:val="lv-LV"/>
        </w:rPr>
        <w:t>Digital</w:t>
      </w:r>
      <w:proofErr w:type="spellEnd"/>
      <w:r w:rsidRPr="00550D35">
        <w:rPr>
          <w:i/>
          <w:iCs/>
          <w:lang w:val="lv-LV"/>
        </w:rPr>
        <w:t xml:space="preserve"> </w:t>
      </w:r>
      <w:proofErr w:type="spellStart"/>
      <w:r w:rsidRPr="00550D35">
        <w:rPr>
          <w:i/>
          <w:iCs/>
          <w:lang w:val="lv-LV"/>
        </w:rPr>
        <w:t>Competence</w:t>
      </w:r>
      <w:proofErr w:type="spellEnd"/>
      <w:r w:rsidRPr="00550D35">
        <w:rPr>
          <w:i/>
          <w:iCs/>
          <w:lang w:val="lv-LV"/>
        </w:rPr>
        <w:t xml:space="preserve"> </w:t>
      </w:r>
      <w:proofErr w:type="spellStart"/>
      <w:r w:rsidRPr="00550D35">
        <w:rPr>
          <w:i/>
          <w:iCs/>
          <w:lang w:val="lv-LV"/>
        </w:rPr>
        <w:t>Development</w:t>
      </w:r>
      <w:proofErr w:type="spellEnd"/>
      <w:r w:rsidRPr="00550D35">
        <w:rPr>
          <w:i/>
          <w:iCs/>
          <w:lang w:val="lv-LV"/>
        </w:rPr>
        <w:t xml:space="preserve"> </w:t>
      </w:r>
      <w:proofErr w:type="spellStart"/>
      <w:r w:rsidRPr="00550D35">
        <w:rPr>
          <w:i/>
          <w:iCs/>
          <w:lang w:val="lv-LV"/>
        </w:rPr>
        <w:t>System</w:t>
      </w:r>
      <w:proofErr w:type="spellEnd"/>
      <w:r w:rsidRPr="00550D35">
        <w:rPr>
          <w:i/>
          <w:iCs/>
          <w:lang w:val="lv-LV"/>
        </w:rPr>
        <w:t xml:space="preserve"> — DCDS</w:t>
      </w:r>
      <w:r w:rsidRPr="00550D35">
        <w:rPr>
          <w:lang w:val="lv-LV"/>
        </w:rPr>
        <w:t xml:space="preserve">), palīdz uzlabot prasmes un digitālo </w:t>
      </w:r>
      <w:proofErr w:type="spellStart"/>
      <w:r w:rsidRPr="00550D35">
        <w:rPr>
          <w:lang w:val="lv-LV"/>
        </w:rPr>
        <w:t>pratību</w:t>
      </w:r>
      <w:proofErr w:type="spellEnd"/>
      <w:r w:rsidRPr="00550D35">
        <w:rPr>
          <w:lang w:val="lv-LV"/>
        </w:rPr>
        <w:t xml:space="preserve"> Latvijā. Projekts </w:t>
      </w:r>
      <w:r w:rsidR="006E02D8">
        <w:rPr>
          <w:lang w:val="lv-LV"/>
        </w:rPr>
        <w:t>“IKT prasmes visiem” (</w:t>
      </w:r>
      <w:r w:rsidRPr="00550D35">
        <w:rPr>
          <w:i/>
          <w:iCs/>
          <w:lang w:val="lv-LV"/>
        </w:rPr>
        <w:t>ICTskills4All</w:t>
      </w:r>
      <w:r w:rsidR="006E02D8">
        <w:rPr>
          <w:lang w:val="lv-LV"/>
        </w:rPr>
        <w:t>)</w:t>
      </w:r>
      <w:r w:rsidRPr="00550D35">
        <w:rPr>
          <w:lang w:val="lv-LV"/>
        </w:rPr>
        <w:t xml:space="preserve"> pievēršas Latvijas iedzīvotāju digitālajām prasmēm, bet projekts “</w:t>
      </w:r>
      <w:proofErr w:type="spellStart"/>
      <w:r w:rsidRPr="00550D35">
        <w:rPr>
          <w:i/>
          <w:iCs/>
          <w:lang w:val="lv-LV"/>
        </w:rPr>
        <w:t>Count</w:t>
      </w:r>
      <w:proofErr w:type="spellEnd"/>
      <w:r w:rsidRPr="00550D35">
        <w:rPr>
          <w:i/>
          <w:iCs/>
          <w:lang w:val="lv-LV"/>
        </w:rPr>
        <w:t xml:space="preserve"> </w:t>
      </w:r>
      <w:proofErr w:type="spellStart"/>
      <w:r w:rsidRPr="00550D35">
        <w:rPr>
          <w:i/>
          <w:iCs/>
          <w:lang w:val="lv-LV"/>
        </w:rPr>
        <w:t>me</w:t>
      </w:r>
      <w:proofErr w:type="spellEnd"/>
      <w:r w:rsidRPr="00550D35">
        <w:rPr>
          <w:i/>
          <w:iCs/>
          <w:lang w:val="lv-LV"/>
        </w:rPr>
        <w:t xml:space="preserve"> </w:t>
      </w:r>
      <w:proofErr w:type="spellStart"/>
      <w:r w:rsidRPr="00550D35">
        <w:rPr>
          <w:i/>
          <w:iCs/>
          <w:lang w:val="lv-LV"/>
        </w:rPr>
        <w:t>In</w:t>
      </w:r>
      <w:proofErr w:type="spellEnd"/>
      <w:r w:rsidRPr="00550D35">
        <w:rPr>
          <w:lang w:val="lv-LV"/>
        </w:rPr>
        <w:t>” pievēršas to cilvēku prasmēm, kam ir invaliditāte.</w:t>
      </w:r>
    </w:p>
    <w:p w14:paraId="4EA8F309" w14:textId="0F42A05E" w:rsidR="00480CC4" w:rsidRPr="00550D35" w:rsidRDefault="00A85070">
      <w:pPr>
        <w:pStyle w:val="Heading2"/>
        <w:rPr>
          <w:lang w:val="lv-LV"/>
        </w:rPr>
      </w:pPr>
      <w:r w:rsidRPr="00550D35">
        <w:rPr>
          <w:lang w:val="lv-LV"/>
        </w:rPr>
        <w:t>KPI “IKT speciālisti” v</w:t>
      </w:r>
      <w:r w:rsidR="002864F1" w:rsidRPr="00550D35">
        <w:rPr>
          <w:lang w:val="lv-LV"/>
        </w:rPr>
        <w:t>alsts prognozētā trajektorija</w:t>
      </w:r>
      <w:r w:rsidR="0053033D" w:rsidRPr="00550D35">
        <w:rPr>
          <w:lang w:val="lv-LV"/>
        </w:rPr>
        <w:t xml:space="preserve"> un </w:t>
      </w:r>
      <w:proofErr w:type="spellStart"/>
      <w:r w:rsidR="0053033D" w:rsidRPr="00550D35">
        <w:rPr>
          <w:lang w:val="lv-LV"/>
        </w:rPr>
        <w:t>mērķrādītāj</w:t>
      </w:r>
      <w:r w:rsidRPr="00550D35">
        <w:rPr>
          <w:lang w:val="lv-LV"/>
        </w:rPr>
        <w:t>s</w:t>
      </w:r>
      <w:proofErr w:type="spellEnd"/>
      <w:r w:rsidR="0053033D" w:rsidRPr="00550D35">
        <w:rPr>
          <w:lang w:val="lv-LV"/>
        </w:rPr>
        <w:t>, kas paredzēt</w:t>
      </w:r>
      <w:r w:rsidRPr="00550D35">
        <w:rPr>
          <w:lang w:val="lv-LV"/>
        </w:rPr>
        <w:t>s</w:t>
      </w:r>
      <w:r w:rsidR="0053033D" w:rsidRPr="00550D35">
        <w:rPr>
          <w:lang w:val="lv-LV"/>
        </w:rPr>
        <w:t xml:space="preserve">, lai palīdzētu sasniegt ES digitālo </w:t>
      </w:r>
      <w:proofErr w:type="spellStart"/>
      <w:r w:rsidR="0053033D" w:rsidRPr="00550D35">
        <w:rPr>
          <w:lang w:val="lv-LV"/>
        </w:rPr>
        <w:t>mērķrādītāju</w:t>
      </w:r>
      <w:bookmarkEnd w:id="12"/>
      <w:proofErr w:type="spellEnd"/>
    </w:p>
    <w:p w14:paraId="4532176D" w14:textId="77777777" w:rsidR="00922D20" w:rsidRPr="00550D35" w:rsidRDefault="00922D20" w:rsidP="00922D20">
      <w:pPr>
        <w:pStyle w:val="Text2"/>
        <w:rPr>
          <w:lang w:val="lv-LV"/>
        </w:rPr>
      </w:pPr>
    </w:p>
    <w:p w14:paraId="2FED52BC" w14:textId="4BEED80A" w:rsidR="00BC0DC5" w:rsidRPr="00550D35" w:rsidRDefault="00BC305A" w:rsidP="000576C3">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bCs/>
          <w:szCs w:val="24"/>
          <w:lang w:val="lv-LV"/>
        </w:rPr>
      </w:pPr>
      <w:r w:rsidRPr="00550D35">
        <w:rPr>
          <w:b/>
          <w:bCs/>
          <w:szCs w:val="24"/>
          <w:lang w:val="lv-LV"/>
        </w:rPr>
        <w:t>Nacionālā bāzes vērtība (2023)</w:t>
      </w:r>
      <w:r w:rsidR="00FD2030" w:rsidRPr="00550D35">
        <w:rPr>
          <w:b/>
          <w:bCs/>
          <w:szCs w:val="24"/>
          <w:lang w:val="lv-LV"/>
        </w:rPr>
        <w:t xml:space="preserve"> </w:t>
      </w:r>
      <w:r w:rsidR="00021CE4" w:rsidRPr="00550D35">
        <w:rPr>
          <w:b/>
          <w:bCs/>
          <w:szCs w:val="24"/>
          <w:lang w:val="lv-LV"/>
        </w:rPr>
        <w:t xml:space="preserve">   </w:t>
      </w:r>
      <w:r w:rsidR="002369C7" w:rsidRPr="00550D35">
        <w:rPr>
          <w:b/>
          <w:bCs/>
          <w:szCs w:val="24"/>
          <w:lang w:val="lv-LV"/>
        </w:rPr>
        <w:t>4,4</w:t>
      </w:r>
      <w:r w:rsidRPr="00550D35">
        <w:rPr>
          <w:b/>
          <w:bCs/>
          <w:szCs w:val="24"/>
          <w:lang w:val="lv-LV"/>
        </w:rPr>
        <w:t xml:space="preserve"> % </w:t>
      </w:r>
      <w:r w:rsidR="00FD2030" w:rsidRPr="00550D35">
        <w:rPr>
          <w:b/>
          <w:bCs/>
          <w:szCs w:val="24"/>
          <w:lang w:val="lv-LV"/>
        </w:rPr>
        <w:tab/>
      </w:r>
      <w:r w:rsidR="00FD2030" w:rsidRPr="00550D35">
        <w:rPr>
          <w:b/>
          <w:bCs/>
          <w:szCs w:val="24"/>
          <w:lang w:val="lv-LV"/>
        </w:rPr>
        <w:tab/>
      </w:r>
      <w:r w:rsidRPr="00550D35">
        <w:rPr>
          <w:b/>
          <w:bCs/>
          <w:szCs w:val="24"/>
          <w:lang w:val="lv-LV"/>
        </w:rPr>
        <w:t>ES bāzes vērtība (2023)</w:t>
      </w:r>
      <w:r w:rsidR="00021CE4" w:rsidRPr="00550D35">
        <w:rPr>
          <w:b/>
          <w:bCs/>
          <w:szCs w:val="24"/>
          <w:lang w:val="lv-LV"/>
        </w:rPr>
        <w:t xml:space="preserve">    </w:t>
      </w:r>
      <w:r w:rsidR="00C65BFB" w:rsidRPr="00550D35">
        <w:rPr>
          <w:b/>
          <w:bCs/>
          <w:szCs w:val="24"/>
          <w:lang w:val="lv-LV"/>
        </w:rPr>
        <w:t>4,</w:t>
      </w:r>
      <w:r w:rsidR="002369C7" w:rsidRPr="00550D35">
        <w:rPr>
          <w:b/>
          <w:bCs/>
          <w:szCs w:val="24"/>
          <w:lang w:val="lv-LV"/>
        </w:rPr>
        <w:t>6</w:t>
      </w:r>
      <w:r w:rsidRPr="00550D35">
        <w:rPr>
          <w:b/>
          <w:bCs/>
          <w:szCs w:val="24"/>
          <w:lang w:val="lv-LV"/>
        </w:rPr>
        <w:t xml:space="preserve"> %</w:t>
      </w:r>
    </w:p>
    <w:p w14:paraId="2B1D4A85" w14:textId="0A00E6F4" w:rsidR="000576C3" w:rsidRPr="00550D35" w:rsidRDefault="00BC0DC5" w:rsidP="00E63D4C">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bCs/>
          <w:szCs w:val="24"/>
          <w:lang w:val="lv-LV"/>
        </w:rPr>
      </w:pPr>
      <w:r w:rsidRPr="00550D35">
        <w:rPr>
          <w:b/>
          <w:bCs/>
          <w:szCs w:val="24"/>
          <w:lang w:val="lv-LV"/>
        </w:rPr>
        <w:t xml:space="preserve">Nacionālais </w:t>
      </w:r>
      <w:proofErr w:type="spellStart"/>
      <w:r w:rsidRPr="00550D35">
        <w:rPr>
          <w:b/>
          <w:bCs/>
          <w:szCs w:val="24"/>
          <w:lang w:val="lv-LV"/>
        </w:rPr>
        <w:t>mērķrādītājs</w:t>
      </w:r>
      <w:proofErr w:type="spellEnd"/>
      <w:r w:rsidRPr="00550D35">
        <w:rPr>
          <w:b/>
          <w:bCs/>
          <w:szCs w:val="24"/>
          <w:lang w:val="lv-LV"/>
        </w:rPr>
        <w:t xml:space="preserve"> (2030)</w:t>
      </w:r>
      <w:r w:rsidR="00FD2030" w:rsidRPr="00550D35">
        <w:rPr>
          <w:b/>
          <w:bCs/>
          <w:szCs w:val="24"/>
          <w:lang w:val="lv-LV"/>
        </w:rPr>
        <w:t xml:space="preserve"> </w:t>
      </w:r>
      <w:r w:rsidR="003D3AD5">
        <w:rPr>
          <w:b/>
          <w:bCs/>
          <w:szCs w:val="24"/>
          <w:lang w:val="lv-LV"/>
        </w:rPr>
        <w:t xml:space="preserve"> </w:t>
      </w:r>
      <w:r w:rsidRPr="00550D35">
        <w:rPr>
          <w:b/>
          <w:bCs/>
          <w:szCs w:val="24"/>
          <w:lang w:val="lv-LV"/>
        </w:rPr>
        <w:t>9,8</w:t>
      </w:r>
      <w:r w:rsidR="00AE7CCA" w:rsidRPr="00550D35">
        <w:rPr>
          <w:b/>
          <w:bCs/>
          <w:szCs w:val="24"/>
          <w:lang w:val="lv-LV"/>
        </w:rPr>
        <w:t> </w:t>
      </w:r>
      <w:r w:rsidRPr="00550D35">
        <w:rPr>
          <w:b/>
          <w:bCs/>
          <w:szCs w:val="24"/>
          <w:lang w:val="lv-LV"/>
        </w:rPr>
        <w:t xml:space="preserve">% </w:t>
      </w:r>
      <w:r w:rsidR="00FD2030" w:rsidRPr="00550D35">
        <w:rPr>
          <w:b/>
          <w:bCs/>
          <w:szCs w:val="24"/>
          <w:lang w:val="lv-LV"/>
        </w:rPr>
        <w:t xml:space="preserve">   </w:t>
      </w:r>
      <w:r w:rsidR="00FD2030" w:rsidRPr="00550D35">
        <w:rPr>
          <w:b/>
          <w:bCs/>
          <w:szCs w:val="24"/>
          <w:lang w:val="lv-LV"/>
        </w:rPr>
        <w:tab/>
      </w:r>
      <w:r w:rsidR="00677588" w:rsidRPr="00550D35">
        <w:rPr>
          <w:b/>
          <w:bCs/>
          <w:szCs w:val="24"/>
          <w:lang w:val="lv-LV"/>
        </w:rPr>
        <w:tab/>
      </w:r>
      <w:r w:rsidRPr="00550D35">
        <w:rPr>
          <w:b/>
          <w:bCs/>
          <w:szCs w:val="24"/>
          <w:lang w:val="lv-LV"/>
        </w:rPr>
        <w:t xml:space="preserve">ES </w:t>
      </w:r>
      <w:proofErr w:type="spellStart"/>
      <w:r w:rsidRPr="00550D35">
        <w:rPr>
          <w:b/>
          <w:bCs/>
          <w:szCs w:val="24"/>
          <w:lang w:val="lv-LV"/>
        </w:rPr>
        <w:t>mērķrādītājs</w:t>
      </w:r>
      <w:proofErr w:type="spellEnd"/>
      <w:r w:rsidRPr="00550D35">
        <w:rPr>
          <w:b/>
          <w:bCs/>
          <w:szCs w:val="24"/>
          <w:lang w:val="lv-LV"/>
        </w:rPr>
        <w:t xml:space="preserve"> (2030) </w:t>
      </w:r>
      <w:r w:rsidR="003A68A3" w:rsidRPr="00550D35">
        <w:rPr>
          <w:b/>
          <w:bCs/>
          <w:szCs w:val="24"/>
          <w:lang w:val="lv-LV"/>
        </w:rPr>
        <w:t>~</w:t>
      </w:r>
      <w:r w:rsidRPr="00550D35">
        <w:rPr>
          <w:b/>
          <w:bCs/>
          <w:szCs w:val="24"/>
          <w:lang w:val="lv-LV"/>
        </w:rPr>
        <w:t>10</w:t>
      </w:r>
      <w:r w:rsidR="00021CE4" w:rsidRPr="00550D35">
        <w:rPr>
          <w:b/>
          <w:bCs/>
          <w:szCs w:val="24"/>
          <w:lang w:val="lv-LV"/>
        </w:rPr>
        <w:t>,0</w:t>
      </w:r>
      <w:r w:rsidR="00AE7CCA" w:rsidRPr="00550D35">
        <w:rPr>
          <w:b/>
          <w:bCs/>
          <w:szCs w:val="24"/>
          <w:lang w:val="lv-LV"/>
        </w:rPr>
        <w:t> </w:t>
      </w:r>
      <w:r w:rsidRPr="00550D35">
        <w:rPr>
          <w:b/>
          <w:bCs/>
          <w:szCs w:val="24"/>
          <w:lang w:val="lv-LV"/>
        </w:rPr>
        <w:t>%</w:t>
      </w:r>
    </w:p>
    <w:p w14:paraId="4BD6FA4D" w14:textId="2C37EB11" w:rsidR="000576C3" w:rsidRPr="00550D35" w:rsidRDefault="000576C3" w:rsidP="00E63D4C">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i/>
          <w:iCs/>
          <w:szCs w:val="24"/>
          <w:lang w:val="lv-LV"/>
        </w:rPr>
      </w:pPr>
      <w:r w:rsidRPr="00550D35">
        <w:rPr>
          <w:i/>
          <w:iCs/>
          <w:szCs w:val="24"/>
          <w:lang w:val="lv-LV"/>
        </w:rPr>
        <w:t xml:space="preserve">Avots: </w:t>
      </w:r>
      <w:r w:rsidRPr="00550D35">
        <w:rPr>
          <w:i/>
          <w:iCs/>
          <w:lang w:val="lv-LV"/>
        </w:rPr>
        <w:t>Digitālās dekādes 2023.gada ziņojums par Latvij</w:t>
      </w:r>
      <w:r w:rsidR="00D05881" w:rsidRPr="00550D35">
        <w:rPr>
          <w:i/>
          <w:iCs/>
          <w:lang w:val="lv-LV"/>
        </w:rPr>
        <w:t>u</w:t>
      </w:r>
    </w:p>
    <w:p w14:paraId="4A974011" w14:textId="77777777" w:rsidR="00BC0DC5" w:rsidRPr="00550D35" w:rsidRDefault="00BC0DC5" w:rsidP="00AB5B8E">
      <w:pPr>
        <w:spacing w:before="0" w:after="160" w:line="259" w:lineRule="auto"/>
        <w:ind w:firstLine="0"/>
        <w:contextualSpacing/>
        <w:jc w:val="left"/>
        <w:rPr>
          <w:b/>
          <w:bCs/>
          <w:lang w:val="lv-LV"/>
        </w:rPr>
      </w:pPr>
    </w:p>
    <w:p w14:paraId="2C0B0C3F" w14:textId="1CAF8479" w:rsidR="00D32CDF" w:rsidRPr="00550D35" w:rsidRDefault="00D32CDF" w:rsidP="005271B7">
      <w:pPr>
        <w:rPr>
          <w:lang w:val="lv-LV"/>
        </w:rPr>
      </w:pPr>
      <w:r w:rsidRPr="00550D35">
        <w:rPr>
          <w:lang w:val="lv-LV"/>
        </w:rPr>
        <w:t>Ar iecerētajiem atbalsta pasākumiem Latvijā plānots IKT speciālistu skaitu palielināt par 10</w:t>
      </w:r>
      <w:r w:rsidR="00F6220A">
        <w:rPr>
          <w:lang w:val="lv-LV"/>
        </w:rPr>
        <w:t> tūkst.</w:t>
      </w:r>
      <w:r w:rsidRPr="00550D35">
        <w:rPr>
          <w:lang w:val="lv-LV"/>
        </w:rPr>
        <w:t xml:space="preserve">, panākot, ka </w:t>
      </w:r>
      <w:r w:rsidR="005271B7" w:rsidRPr="00550D35">
        <w:rPr>
          <w:lang w:val="lv-LV"/>
        </w:rPr>
        <w:t xml:space="preserve">līdz 2027.gadam </w:t>
      </w:r>
      <w:r w:rsidRPr="00550D35">
        <w:rPr>
          <w:lang w:val="lv-LV"/>
        </w:rPr>
        <w:t>IKT speciālisti sastāda 8,4% no nodarbināto skaita Latvijā, un radot priekšnosacījumus, ka līdz 2030.gadam var tikt sasniegta ES prognozētā trajektorija – kopējā nodarbinātībā  Latvijā IKT speciālistu skaits sasniedz 10%.</w:t>
      </w:r>
    </w:p>
    <w:p w14:paraId="3EE19A23" w14:textId="77777777" w:rsidR="00D32CDF" w:rsidRPr="00550D35" w:rsidRDefault="00D32CDF" w:rsidP="005271B7">
      <w:pPr>
        <w:rPr>
          <w:lang w:val="lv-LV"/>
        </w:rPr>
      </w:pPr>
      <w:r w:rsidRPr="00550D35">
        <w:rPr>
          <w:lang w:val="lv-LV"/>
        </w:rPr>
        <w:t>Ceļvedī Latvijai tiek sniegta provizoriska informācija par Latvijas nacionālo trajektoriju 2023.- 2030.gadam, tā var tikt precizēta ceļveža pārskatīšanas gaitā.</w:t>
      </w:r>
    </w:p>
    <w:tbl>
      <w:tblPr>
        <w:tblStyle w:val="TableGrid"/>
        <w:tblW w:w="9243" w:type="dxa"/>
        <w:tblInd w:w="-34" w:type="dxa"/>
        <w:tblLook w:val="04A0" w:firstRow="1" w:lastRow="0" w:firstColumn="1" w:lastColumn="0" w:noHBand="0" w:noVBand="1"/>
      </w:tblPr>
      <w:tblGrid>
        <w:gridCol w:w="880"/>
        <w:gridCol w:w="850"/>
        <w:gridCol w:w="851"/>
        <w:gridCol w:w="709"/>
        <w:gridCol w:w="850"/>
        <w:gridCol w:w="851"/>
        <w:gridCol w:w="708"/>
        <w:gridCol w:w="3544"/>
      </w:tblGrid>
      <w:tr w:rsidR="00262D12" w:rsidRPr="00550D35" w14:paraId="1769E040" w14:textId="77777777" w:rsidTr="009C00F1">
        <w:tc>
          <w:tcPr>
            <w:tcW w:w="880" w:type="dxa"/>
          </w:tcPr>
          <w:p w14:paraId="13E3CD32" w14:textId="77777777" w:rsidR="00262D12" w:rsidRPr="00550D35" w:rsidRDefault="00262D12" w:rsidP="00393CD7">
            <w:pPr>
              <w:pStyle w:val="Text2"/>
              <w:ind w:left="0" w:firstLine="0"/>
              <w:rPr>
                <w:sz w:val="20"/>
                <w:lang w:val="lv-LV"/>
              </w:rPr>
            </w:pPr>
            <w:r w:rsidRPr="00550D35">
              <w:rPr>
                <w:sz w:val="20"/>
                <w:lang w:val="lv-LV"/>
              </w:rPr>
              <w:t>2023</w:t>
            </w:r>
          </w:p>
        </w:tc>
        <w:tc>
          <w:tcPr>
            <w:tcW w:w="850" w:type="dxa"/>
          </w:tcPr>
          <w:p w14:paraId="2543B116" w14:textId="77777777" w:rsidR="00262D12" w:rsidRPr="00550D35" w:rsidRDefault="00262D12" w:rsidP="00393CD7">
            <w:pPr>
              <w:pStyle w:val="Text2"/>
              <w:ind w:left="0" w:firstLine="0"/>
              <w:rPr>
                <w:sz w:val="20"/>
                <w:lang w:val="lv-LV"/>
              </w:rPr>
            </w:pPr>
            <w:r w:rsidRPr="00550D35">
              <w:rPr>
                <w:sz w:val="20"/>
                <w:lang w:val="lv-LV"/>
              </w:rPr>
              <w:t>2024</w:t>
            </w:r>
          </w:p>
        </w:tc>
        <w:tc>
          <w:tcPr>
            <w:tcW w:w="851" w:type="dxa"/>
          </w:tcPr>
          <w:p w14:paraId="30ED5C21" w14:textId="77777777" w:rsidR="00262D12" w:rsidRPr="00550D35" w:rsidRDefault="00262D12" w:rsidP="00393CD7">
            <w:pPr>
              <w:pStyle w:val="Text2"/>
              <w:ind w:left="0" w:firstLine="0"/>
              <w:rPr>
                <w:sz w:val="20"/>
                <w:lang w:val="lv-LV"/>
              </w:rPr>
            </w:pPr>
            <w:r w:rsidRPr="00550D35">
              <w:rPr>
                <w:sz w:val="20"/>
                <w:lang w:val="lv-LV"/>
              </w:rPr>
              <w:t>2025</w:t>
            </w:r>
          </w:p>
        </w:tc>
        <w:tc>
          <w:tcPr>
            <w:tcW w:w="709" w:type="dxa"/>
          </w:tcPr>
          <w:p w14:paraId="1CF42E3D" w14:textId="77777777" w:rsidR="00262D12" w:rsidRPr="00550D35" w:rsidRDefault="00262D12" w:rsidP="00393CD7">
            <w:pPr>
              <w:pStyle w:val="Text2"/>
              <w:ind w:left="0" w:firstLine="0"/>
              <w:rPr>
                <w:sz w:val="20"/>
                <w:lang w:val="lv-LV"/>
              </w:rPr>
            </w:pPr>
            <w:r w:rsidRPr="00550D35">
              <w:rPr>
                <w:sz w:val="20"/>
                <w:lang w:val="lv-LV"/>
              </w:rPr>
              <w:t>2026</w:t>
            </w:r>
          </w:p>
        </w:tc>
        <w:tc>
          <w:tcPr>
            <w:tcW w:w="850" w:type="dxa"/>
          </w:tcPr>
          <w:p w14:paraId="5E9EA23D" w14:textId="77777777" w:rsidR="00262D12" w:rsidRPr="00550D35" w:rsidRDefault="00262D12" w:rsidP="00393CD7">
            <w:pPr>
              <w:pStyle w:val="Text2"/>
              <w:ind w:left="0" w:firstLine="0"/>
              <w:rPr>
                <w:sz w:val="20"/>
                <w:lang w:val="lv-LV"/>
              </w:rPr>
            </w:pPr>
            <w:r w:rsidRPr="00550D35">
              <w:rPr>
                <w:sz w:val="20"/>
                <w:lang w:val="lv-LV"/>
              </w:rPr>
              <w:t>2027</w:t>
            </w:r>
          </w:p>
        </w:tc>
        <w:tc>
          <w:tcPr>
            <w:tcW w:w="851" w:type="dxa"/>
          </w:tcPr>
          <w:p w14:paraId="06C2F453" w14:textId="77777777" w:rsidR="00262D12" w:rsidRPr="00550D35" w:rsidRDefault="00262D12" w:rsidP="00393CD7">
            <w:pPr>
              <w:pStyle w:val="Text2"/>
              <w:ind w:left="0" w:firstLine="0"/>
              <w:rPr>
                <w:sz w:val="20"/>
                <w:lang w:val="lv-LV"/>
              </w:rPr>
            </w:pPr>
            <w:r w:rsidRPr="00550D35">
              <w:rPr>
                <w:sz w:val="20"/>
                <w:lang w:val="lv-LV"/>
              </w:rPr>
              <w:t>2028</w:t>
            </w:r>
          </w:p>
        </w:tc>
        <w:tc>
          <w:tcPr>
            <w:tcW w:w="708" w:type="dxa"/>
          </w:tcPr>
          <w:p w14:paraId="0023D8CA" w14:textId="77777777" w:rsidR="00262D12" w:rsidRPr="00550D35" w:rsidRDefault="00262D12" w:rsidP="00393CD7">
            <w:pPr>
              <w:pStyle w:val="Text2"/>
              <w:ind w:left="0" w:firstLine="0"/>
              <w:rPr>
                <w:sz w:val="20"/>
                <w:lang w:val="lv-LV"/>
              </w:rPr>
            </w:pPr>
            <w:r w:rsidRPr="00550D35">
              <w:rPr>
                <w:sz w:val="20"/>
                <w:lang w:val="lv-LV"/>
              </w:rPr>
              <w:t>2029</w:t>
            </w:r>
          </w:p>
        </w:tc>
        <w:tc>
          <w:tcPr>
            <w:tcW w:w="3544" w:type="dxa"/>
          </w:tcPr>
          <w:p w14:paraId="7A407F8B" w14:textId="77777777" w:rsidR="00262D12" w:rsidRPr="00550D35" w:rsidRDefault="00262D12" w:rsidP="00393CD7">
            <w:pPr>
              <w:pStyle w:val="Text2"/>
              <w:ind w:left="0" w:firstLine="0"/>
              <w:rPr>
                <w:sz w:val="20"/>
                <w:lang w:val="lv-LV"/>
              </w:rPr>
            </w:pPr>
            <w:r w:rsidRPr="00550D35">
              <w:rPr>
                <w:sz w:val="20"/>
                <w:lang w:val="lv-LV"/>
              </w:rPr>
              <w:t>2030</w:t>
            </w:r>
          </w:p>
        </w:tc>
      </w:tr>
      <w:tr w:rsidR="00262D12" w:rsidRPr="003B2E9A" w14:paraId="04352A5E" w14:textId="77777777" w:rsidTr="009C00F1">
        <w:tc>
          <w:tcPr>
            <w:tcW w:w="880" w:type="dxa"/>
            <w:shd w:val="clear" w:color="auto" w:fill="auto"/>
          </w:tcPr>
          <w:p w14:paraId="53CCB690" w14:textId="30419CFC" w:rsidR="00262D12" w:rsidRPr="00550D35" w:rsidRDefault="000D7E53" w:rsidP="00393CD7">
            <w:pPr>
              <w:pStyle w:val="Text2"/>
              <w:ind w:left="0" w:firstLine="0"/>
              <w:rPr>
                <w:sz w:val="20"/>
                <w:lang w:val="lv-LV"/>
              </w:rPr>
            </w:pPr>
            <w:r w:rsidRPr="00550D35">
              <w:rPr>
                <w:sz w:val="20"/>
                <w:lang w:val="lv-LV"/>
              </w:rPr>
              <w:t>4,4</w:t>
            </w:r>
            <w:r w:rsidR="00262D12" w:rsidRPr="00550D35">
              <w:rPr>
                <w:sz w:val="20"/>
                <w:lang w:val="lv-LV"/>
              </w:rPr>
              <w:t>%</w:t>
            </w:r>
          </w:p>
        </w:tc>
        <w:tc>
          <w:tcPr>
            <w:tcW w:w="850" w:type="dxa"/>
            <w:shd w:val="clear" w:color="auto" w:fill="auto"/>
          </w:tcPr>
          <w:p w14:paraId="6F849ECE" w14:textId="256D3A9A" w:rsidR="00262D12" w:rsidRPr="00550D35" w:rsidRDefault="00BB7180" w:rsidP="00393CD7">
            <w:pPr>
              <w:pStyle w:val="Text2"/>
              <w:ind w:left="0" w:firstLine="0"/>
              <w:rPr>
                <w:sz w:val="20"/>
                <w:lang w:val="lv-LV"/>
              </w:rPr>
            </w:pPr>
            <w:r w:rsidRPr="00550D35">
              <w:rPr>
                <w:sz w:val="20"/>
                <w:lang w:val="lv-LV"/>
              </w:rPr>
              <w:t>5,</w:t>
            </w:r>
            <w:r w:rsidR="00D32CDF" w:rsidRPr="00550D35">
              <w:rPr>
                <w:sz w:val="20"/>
                <w:lang w:val="lv-LV"/>
              </w:rPr>
              <w:t>4</w:t>
            </w:r>
            <w:r w:rsidR="00262D12" w:rsidRPr="00550D35">
              <w:rPr>
                <w:sz w:val="20"/>
                <w:lang w:val="lv-LV"/>
              </w:rPr>
              <w:t>%</w:t>
            </w:r>
          </w:p>
        </w:tc>
        <w:tc>
          <w:tcPr>
            <w:tcW w:w="851" w:type="dxa"/>
            <w:shd w:val="clear" w:color="auto" w:fill="auto"/>
          </w:tcPr>
          <w:p w14:paraId="4DCD45A3" w14:textId="5337D207" w:rsidR="00262D12" w:rsidRPr="00550D35" w:rsidRDefault="00BB7180" w:rsidP="00393CD7">
            <w:pPr>
              <w:pStyle w:val="Text2"/>
              <w:ind w:left="0" w:firstLine="0"/>
              <w:rPr>
                <w:sz w:val="20"/>
                <w:lang w:val="lv-LV"/>
              </w:rPr>
            </w:pPr>
            <w:r w:rsidRPr="00550D35">
              <w:rPr>
                <w:sz w:val="20"/>
                <w:lang w:val="lv-LV"/>
              </w:rPr>
              <w:t>6,4</w:t>
            </w:r>
            <w:r w:rsidR="00262D12" w:rsidRPr="00550D35">
              <w:rPr>
                <w:sz w:val="20"/>
                <w:lang w:val="lv-LV"/>
              </w:rPr>
              <w:t>%</w:t>
            </w:r>
          </w:p>
        </w:tc>
        <w:tc>
          <w:tcPr>
            <w:tcW w:w="709" w:type="dxa"/>
            <w:shd w:val="clear" w:color="auto" w:fill="auto"/>
          </w:tcPr>
          <w:p w14:paraId="56F56158" w14:textId="427B7C72" w:rsidR="00262D12" w:rsidRPr="00550D35" w:rsidRDefault="00BB7180" w:rsidP="00393CD7">
            <w:pPr>
              <w:pStyle w:val="Text2"/>
              <w:ind w:left="0" w:firstLine="0"/>
              <w:rPr>
                <w:sz w:val="20"/>
                <w:lang w:val="lv-LV"/>
              </w:rPr>
            </w:pPr>
            <w:r w:rsidRPr="00550D35">
              <w:rPr>
                <w:sz w:val="20"/>
                <w:lang w:val="lv-LV"/>
              </w:rPr>
              <w:t>7,4</w:t>
            </w:r>
            <w:r w:rsidR="00262D12" w:rsidRPr="00550D35">
              <w:rPr>
                <w:sz w:val="20"/>
                <w:lang w:val="lv-LV"/>
              </w:rPr>
              <w:t>%</w:t>
            </w:r>
          </w:p>
        </w:tc>
        <w:tc>
          <w:tcPr>
            <w:tcW w:w="850" w:type="dxa"/>
            <w:shd w:val="clear" w:color="auto" w:fill="auto"/>
          </w:tcPr>
          <w:p w14:paraId="1EA452B9" w14:textId="079051F9" w:rsidR="00262D12" w:rsidRPr="00550D35" w:rsidRDefault="006F4087" w:rsidP="00393CD7">
            <w:pPr>
              <w:pStyle w:val="Text2"/>
              <w:ind w:left="0" w:firstLine="0"/>
              <w:rPr>
                <w:sz w:val="20"/>
                <w:lang w:val="lv-LV"/>
              </w:rPr>
            </w:pPr>
            <w:r w:rsidRPr="00550D35">
              <w:rPr>
                <w:sz w:val="20"/>
                <w:lang w:val="lv-LV"/>
              </w:rPr>
              <w:t>8,4</w:t>
            </w:r>
            <w:r w:rsidR="00262D12" w:rsidRPr="00550D35">
              <w:rPr>
                <w:sz w:val="20"/>
                <w:lang w:val="lv-LV"/>
              </w:rPr>
              <w:t>%</w:t>
            </w:r>
          </w:p>
        </w:tc>
        <w:tc>
          <w:tcPr>
            <w:tcW w:w="851" w:type="dxa"/>
            <w:shd w:val="clear" w:color="auto" w:fill="auto"/>
          </w:tcPr>
          <w:p w14:paraId="2106504F" w14:textId="07FD5F87" w:rsidR="00262D12" w:rsidRPr="00550D35" w:rsidRDefault="00D32CDF" w:rsidP="00393CD7">
            <w:pPr>
              <w:pStyle w:val="Text2"/>
              <w:ind w:left="0" w:firstLine="0"/>
              <w:rPr>
                <w:sz w:val="20"/>
                <w:lang w:val="lv-LV"/>
              </w:rPr>
            </w:pPr>
            <w:r w:rsidRPr="00550D35">
              <w:rPr>
                <w:sz w:val="20"/>
                <w:lang w:val="lv-LV"/>
              </w:rPr>
              <w:t>9</w:t>
            </w:r>
            <w:r w:rsidR="00262D12" w:rsidRPr="00550D35">
              <w:rPr>
                <w:sz w:val="20"/>
                <w:lang w:val="lv-LV"/>
              </w:rPr>
              <w:t>,</w:t>
            </w:r>
            <w:r w:rsidR="006F4087" w:rsidRPr="00550D35">
              <w:rPr>
                <w:sz w:val="20"/>
                <w:lang w:val="lv-LV"/>
              </w:rPr>
              <w:t>4</w:t>
            </w:r>
            <w:r w:rsidR="00262D12" w:rsidRPr="00550D35">
              <w:rPr>
                <w:sz w:val="20"/>
                <w:lang w:val="lv-LV"/>
              </w:rPr>
              <w:t>%</w:t>
            </w:r>
          </w:p>
        </w:tc>
        <w:tc>
          <w:tcPr>
            <w:tcW w:w="708" w:type="dxa"/>
            <w:shd w:val="clear" w:color="auto" w:fill="auto"/>
          </w:tcPr>
          <w:p w14:paraId="0A43BD05" w14:textId="652BF913" w:rsidR="00262D12" w:rsidRPr="00550D35" w:rsidRDefault="00D32CDF" w:rsidP="00393CD7">
            <w:pPr>
              <w:pStyle w:val="Text2"/>
              <w:ind w:left="0" w:firstLine="0"/>
              <w:rPr>
                <w:b/>
                <w:bCs/>
                <w:sz w:val="20"/>
                <w:lang w:val="lv-LV"/>
              </w:rPr>
            </w:pPr>
            <w:r w:rsidRPr="00550D35">
              <w:rPr>
                <w:sz w:val="20"/>
                <w:lang w:val="lv-LV"/>
              </w:rPr>
              <w:t>10</w:t>
            </w:r>
            <w:r w:rsidR="00262D12" w:rsidRPr="00550D35">
              <w:rPr>
                <w:sz w:val="20"/>
                <w:lang w:val="lv-LV"/>
              </w:rPr>
              <w:t>%</w:t>
            </w:r>
          </w:p>
        </w:tc>
        <w:tc>
          <w:tcPr>
            <w:tcW w:w="3544" w:type="dxa"/>
            <w:shd w:val="clear" w:color="auto" w:fill="auto"/>
          </w:tcPr>
          <w:p w14:paraId="1114BD13" w14:textId="4477AD7B" w:rsidR="00F809F1" w:rsidRPr="00550D35" w:rsidRDefault="00D32CDF" w:rsidP="00393CD7">
            <w:pPr>
              <w:pStyle w:val="Text2"/>
              <w:ind w:left="0" w:firstLine="0"/>
              <w:rPr>
                <w:sz w:val="20"/>
                <w:lang w:val="lv-LV"/>
              </w:rPr>
            </w:pPr>
            <w:r w:rsidRPr="00550D35">
              <w:rPr>
                <w:sz w:val="20"/>
                <w:lang w:val="lv-LV"/>
              </w:rPr>
              <w:t>10</w:t>
            </w:r>
            <w:r w:rsidR="00F809F1" w:rsidRPr="00550D35">
              <w:rPr>
                <w:sz w:val="20"/>
                <w:lang w:val="lv-LV"/>
              </w:rPr>
              <w:t>%</w:t>
            </w:r>
          </w:p>
          <w:p w14:paraId="63B725E2" w14:textId="30BD2343" w:rsidR="00262D12" w:rsidRPr="00550D35" w:rsidRDefault="00262D12" w:rsidP="00393CD7">
            <w:pPr>
              <w:pStyle w:val="Text2"/>
              <w:ind w:left="0" w:firstLine="0"/>
              <w:rPr>
                <w:sz w:val="20"/>
                <w:lang w:val="lv-LV"/>
              </w:rPr>
            </w:pPr>
            <w:r w:rsidRPr="00550D35">
              <w:rPr>
                <w:sz w:val="20"/>
                <w:lang w:val="lv-LV"/>
              </w:rPr>
              <w:lastRenderedPageBreak/>
              <w:t xml:space="preserve">ES </w:t>
            </w:r>
            <w:r w:rsidR="00E14789" w:rsidRPr="00550D35">
              <w:rPr>
                <w:sz w:val="20"/>
                <w:lang w:val="lv-LV"/>
              </w:rPr>
              <w:t xml:space="preserve">mērķis 20 milj. IKT speciālistu </w:t>
            </w:r>
            <w:r w:rsidRPr="00550D35">
              <w:rPr>
                <w:sz w:val="20"/>
                <w:lang w:val="lv-LV"/>
              </w:rPr>
              <w:t>(</w:t>
            </w:r>
            <w:proofErr w:type="spellStart"/>
            <w:r w:rsidRPr="00550D35">
              <w:rPr>
                <w:sz w:val="20"/>
                <w:lang w:val="lv-LV"/>
              </w:rPr>
              <w:t>mērķrādītājs</w:t>
            </w:r>
            <w:proofErr w:type="spellEnd"/>
            <w:r w:rsidRPr="00550D35">
              <w:rPr>
                <w:sz w:val="20"/>
                <w:lang w:val="lv-LV"/>
              </w:rPr>
              <w:t xml:space="preserve"> ir aptuveni 10%  kopējās nodarbinātības).</w:t>
            </w:r>
          </w:p>
        </w:tc>
      </w:tr>
    </w:tbl>
    <w:p w14:paraId="1CB5D9B5" w14:textId="77777777" w:rsidR="00B64009" w:rsidRPr="00550D35" w:rsidRDefault="00B64009" w:rsidP="00B64009">
      <w:pPr>
        <w:pStyle w:val="Heading2"/>
        <w:rPr>
          <w:lang w:val="lv-LV"/>
        </w:rPr>
      </w:pPr>
      <w:r w:rsidRPr="00550D35">
        <w:rPr>
          <w:lang w:val="lv-LV"/>
        </w:rPr>
        <w:lastRenderedPageBreak/>
        <w:t>Politika, pasākumi un darbības digitāl</w:t>
      </w:r>
      <w:r>
        <w:rPr>
          <w:lang w:val="lv-LV"/>
        </w:rPr>
        <w:t>ā</w:t>
      </w:r>
      <w:r w:rsidRPr="00550D35">
        <w:rPr>
          <w:lang w:val="lv-LV"/>
        </w:rPr>
        <w:t xml:space="preserve"> </w:t>
      </w:r>
      <w:proofErr w:type="spellStart"/>
      <w:r w:rsidRPr="00550D35">
        <w:rPr>
          <w:lang w:val="lv-LV"/>
        </w:rPr>
        <w:t>mērķrādītāj</w:t>
      </w:r>
      <w:r>
        <w:rPr>
          <w:lang w:val="lv-LV"/>
        </w:rPr>
        <w:t>a</w:t>
      </w:r>
      <w:proofErr w:type="spellEnd"/>
      <w:r w:rsidRPr="00550D35">
        <w:rPr>
          <w:lang w:val="lv-LV"/>
        </w:rPr>
        <w:t xml:space="preserve"> sasniegšanai </w:t>
      </w:r>
    </w:p>
    <w:p w14:paraId="585CAFB9" w14:textId="77777777" w:rsidR="00B64009" w:rsidRPr="00550D35" w:rsidRDefault="00B64009" w:rsidP="00B64009">
      <w:pPr>
        <w:pStyle w:val="Text2"/>
        <w:rPr>
          <w:lang w:val="lv-LV"/>
        </w:rPr>
      </w:pPr>
    </w:p>
    <w:p w14:paraId="76CE2E36" w14:textId="77777777" w:rsidR="00B64009" w:rsidRPr="00550D35" w:rsidRDefault="00B64009" w:rsidP="00B64009">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7C7F7D19" w14:textId="77777777" w:rsidR="003450FC" w:rsidRPr="00550D35" w:rsidRDefault="00B64009" w:rsidP="003450FC">
      <w:pPr>
        <w:pStyle w:val="Text2"/>
        <w:ind w:left="0" w:firstLine="0"/>
        <w:rPr>
          <w:lang w:val="lv-LV"/>
        </w:rPr>
      </w:pPr>
      <w:r w:rsidRPr="00550D35">
        <w:rPr>
          <w:lang w:val="lv-LV"/>
        </w:rPr>
        <w:t xml:space="preserve"> </w:t>
      </w:r>
      <w:r w:rsidR="003450FC" w:rsidRPr="00550D35">
        <w:rPr>
          <w:b/>
          <w:bCs/>
          <w:lang w:val="lv-LV"/>
        </w:rPr>
        <w:t>Kopējais laika ietvars:</w:t>
      </w:r>
    </w:p>
    <w:tbl>
      <w:tblPr>
        <w:tblStyle w:val="TableGrid"/>
        <w:tblW w:w="5440" w:type="pct"/>
        <w:tblInd w:w="-113" w:type="dxa"/>
        <w:tblLook w:val="04A0" w:firstRow="1" w:lastRow="0" w:firstColumn="1" w:lastColumn="0" w:noHBand="0" w:noVBand="1"/>
      </w:tblPr>
      <w:tblGrid>
        <w:gridCol w:w="3716"/>
        <w:gridCol w:w="616"/>
        <w:gridCol w:w="616"/>
        <w:gridCol w:w="616"/>
        <w:gridCol w:w="616"/>
        <w:gridCol w:w="616"/>
        <w:gridCol w:w="620"/>
        <w:gridCol w:w="914"/>
        <w:gridCol w:w="1034"/>
      </w:tblGrid>
      <w:tr w:rsidR="003450FC" w:rsidRPr="00550D35" w14:paraId="20BDA292" w14:textId="77777777" w:rsidTr="00E95E07">
        <w:tc>
          <w:tcPr>
            <w:tcW w:w="1984" w:type="pct"/>
            <w:shd w:val="clear" w:color="auto" w:fill="auto"/>
          </w:tcPr>
          <w:p w14:paraId="41EF22F7" w14:textId="77777777" w:rsidR="003450FC" w:rsidRPr="00550D35" w:rsidRDefault="003450FC" w:rsidP="00E95E07">
            <w:pPr>
              <w:spacing w:before="0" w:after="0"/>
              <w:ind w:firstLine="0"/>
              <w:jc w:val="left"/>
              <w:rPr>
                <w:sz w:val="20"/>
                <w:lang w:val="lv-LV"/>
              </w:rPr>
            </w:pPr>
          </w:p>
        </w:tc>
        <w:tc>
          <w:tcPr>
            <w:tcW w:w="329" w:type="pct"/>
          </w:tcPr>
          <w:p w14:paraId="0E1D3360" w14:textId="77777777" w:rsidR="003450FC" w:rsidRPr="00550D35" w:rsidRDefault="003450FC" w:rsidP="00E95E07">
            <w:pPr>
              <w:spacing w:before="0" w:after="0"/>
              <w:ind w:firstLine="0"/>
              <w:rPr>
                <w:sz w:val="20"/>
                <w:lang w:val="lv-LV"/>
              </w:rPr>
            </w:pPr>
            <w:r w:rsidRPr="00550D35">
              <w:rPr>
                <w:sz w:val="20"/>
                <w:lang w:val="lv-LV"/>
              </w:rPr>
              <w:t>2023</w:t>
            </w:r>
          </w:p>
        </w:tc>
        <w:tc>
          <w:tcPr>
            <w:tcW w:w="329" w:type="pct"/>
          </w:tcPr>
          <w:p w14:paraId="1148B4F5" w14:textId="77777777" w:rsidR="003450FC" w:rsidRPr="00550D35" w:rsidRDefault="003450FC" w:rsidP="00E95E07">
            <w:pPr>
              <w:spacing w:before="0" w:after="0"/>
              <w:ind w:firstLine="0"/>
              <w:rPr>
                <w:sz w:val="20"/>
                <w:lang w:val="lv-LV"/>
              </w:rPr>
            </w:pPr>
            <w:r w:rsidRPr="00550D35">
              <w:rPr>
                <w:sz w:val="20"/>
                <w:lang w:val="lv-LV"/>
              </w:rPr>
              <w:t>2024</w:t>
            </w:r>
          </w:p>
        </w:tc>
        <w:tc>
          <w:tcPr>
            <w:tcW w:w="329" w:type="pct"/>
          </w:tcPr>
          <w:p w14:paraId="2D52CEA2" w14:textId="77777777" w:rsidR="003450FC" w:rsidRPr="00550D35" w:rsidRDefault="003450FC" w:rsidP="00E95E07">
            <w:pPr>
              <w:spacing w:before="0" w:after="0"/>
              <w:ind w:firstLine="0"/>
              <w:rPr>
                <w:sz w:val="20"/>
                <w:lang w:val="lv-LV"/>
              </w:rPr>
            </w:pPr>
            <w:r w:rsidRPr="00550D35">
              <w:rPr>
                <w:sz w:val="20"/>
                <w:lang w:val="lv-LV"/>
              </w:rPr>
              <w:t>2025</w:t>
            </w:r>
          </w:p>
        </w:tc>
        <w:tc>
          <w:tcPr>
            <w:tcW w:w="329" w:type="pct"/>
          </w:tcPr>
          <w:p w14:paraId="5CCDD618" w14:textId="77777777" w:rsidR="003450FC" w:rsidRPr="00550D35" w:rsidRDefault="003450FC" w:rsidP="00E95E07">
            <w:pPr>
              <w:spacing w:before="0" w:after="0"/>
              <w:ind w:firstLine="0"/>
              <w:rPr>
                <w:sz w:val="20"/>
                <w:lang w:val="lv-LV"/>
              </w:rPr>
            </w:pPr>
            <w:r w:rsidRPr="00550D35">
              <w:rPr>
                <w:sz w:val="20"/>
                <w:lang w:val="lv-LV"/>
              </w:rPr>
              <w:t>2026</w:t>
            </w:r>
          </w:p>
        </w:tc>
        <w:tc>
          <w:tcPr>
            <w:tcW w:w="329" w:type="pct"/>
          </w:tcPr>
          <w:p w14:paraId="5F9B4E3A" w14:textId="77777777" w:rsidR="003450FC" w:rsidRPr="00550D35" w:rsidRDefault="003450FC" w:rsidP="00E95E07">
            <w:pPr>
              <w:spacing w:before="0" w:after="0"/>
              <w:ind w:firstLine="0"/>
              <w:rPr>
                <w:sz w:val="20"/>
                <w:lang w:val="lv-LV"/>
              </w:rPr>
            </w:pPr>
            <w:r w:rsidRPr="00550D35">
              <w:rPr>
                <w:sz w:val="20"/>
                <w:lang w:val="lv-LV"/>
              </w:rPr>
              <w:t>2027</w:t>
            </w:r>
          </w:p>
        </w:tc>
        <w:tc>
          <w:tcPr>
            <w:tcW w:w="331" w:type="pct"/>
          </w:tcPr>
          <w:p w14:paraId="6414FC68" w14:textId="77777777" w:rsidR="003450FC" w:rsidRPr="00550D35" w:rsidRDefault="003450FC" w:rsidP="00E95E07">
            <w:pPr>
              <w:spacing w:before="0" w:after="0"/>
              <w:ind w:firstLine="0"/>
              <w:rPr>
                <w:sz w:val="20"/>
                <w:lang w:val="lv-LV"/>
              </w:rPr>
            </w:pPr>
            <w:r w:rsidRPr="00550D35">
              <w:rPr>
                <w:sz w:val="20"/>
                <w:lang w:val="lv-LV"/>
              </w:rPr>
              <w:t>2028</w:t>
            </w:r>
          </w:p>
        </w:tc>
        <w:tc>
          <w:tcPr>
            <w:tcW w:w="488" w:type="pct"/>
          </w:tcPr>
          <w:p w14:paraId="14240CDB" w14:textId="77777777" w:rsidR="003450FC" w:rsidRPr="00550D35" w:rsidRDefault="003450FC" w:rsidP="00E95E07">
            <w:pPr>
              <w:spacing w:before="0" w:after="0"/>
              <w:ind w:firstLine="0"/>
              <w:rPr>
                <w:sz w:val="20"/>
                <w:lang w:val="lv-LV"/>
              </w:rPr>
            </w:pPr>
            <w:r w:rsidRPr="00550D35">
              <w:rPr>
                <w:sz w:val="20"/>
                <w:lang w:val="lv-LV"/>
              </w:rPr>
              <w:t>2029</w:t>
            </w:r>
          </w:p>
        </w:tc>
        <w:tc>
          <w:tcPr>
            <w:tcW w:w="552" w:type="pct"/>
          </w:tcPr>
          <w:p w14:paraId="460DF6B0" w14:textId="77777777" w:rsidR="003450FC" w:rsidRPr="00550D35" w:rsidRDefault="003450FC" w:rsidP="00E95E07">
            <w:pPr>
              <w:spacing w:before="0" w:after="0"/>
              <w:ind w:firstLine="0"/>
              <w:rPr>
                <w:sz w:val="20"/>
                <w:lang w:val="lv-LV"/>
              </w:rPr>
            </w:pPr>
            <w:r w:rsidRPr="00550D35">
              <w:rPr>
                <w:sz w:val="20"/>
                <w:lang w:val="lv-LV"/>
              </w:rPr>
              <w:t>2030</w:t>
            </w:r>
          </w:p>
        </w:tc>
      </w:tr>
      <w:tr w:rsidR="003450FC" w:rsidRPr="00550D35" w14:paraId="2BD33361" w14:textId="77777777" w:rsidTr="00E95E07">
        <w:tc>
          <w:tcPr>
            <w:tcW w:w="5000" w:type="pct"/>
            <w:gridSpan w:val="9"/>
            <w:shd w:val="clear" w:color="auto" w:fill="BFBFBF" w:themeFill="background1" w:themeFillShade="BF"/>
          </w:tcPr>
          <w:p w14:paraId="26126C58" w14:textId="77777777" w:rsidR="003450FC" w:rsidRPr="00550D35" w:rsidRDefault="003450FC" w:rsidP="00E95E07">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3450FC" w:rsidRPr="007C4735" w14:paraId="5BBD6E9E" w14:textId="77777777" w:rsidTr="00E95E07">
        <w:tc>
          <w:tcPr>
            <w:tcW w:w="1984" w:type="pct"/>
            <w:shd w:val="clear" w:color="auto" w:fill="auto"/>
          </w:tcPr>
          <w:p w14:paraId="6066C7AF" w14:textId="77777777" w:rsidR="003450FC" w:rsidRPr="003817C7" w:rsidRDefault="003450FC" w:rsidP="00E95E07">
            <w:pPr>
              <w:ind w:firstLine="0"/>
              <w:jc w:val="left"/>
              <w:rPr>
                <w:sz w:val="20"/>
                <w:lang w:val="lv-LV"/>
              </w:rPr>
            </w:pPr>
            <w:r w:rsidRPr="003817C7">
              <w:rPr>
                <w:sz w:val="20"/>
                <w:lang w:val="lv-LV"/>
              </w:rPr>
              <w:t>Pasākums Nr.1 –</w:t>
            </w:r>
          </w:p>
          <w:p w14:paraId="62076E4C" w14:textId="7D6206DE" w:rsidR="003450FC" w:rsidRPr="003817C7" w:rsidRDefault="003450FC" w:rsidP="00E95E07">
            <w:pPr>
              <w:ind w:firstLine="0"/>
              <w:jc w:val="left"/>
              <w:rPr>
                <w:b/>
                <w:bCs/>
                <w:color w:val="525252"/>
                <w:sz w:val="20"/>
                <w:shd w:val="clear" w:color="auto" w:fill="FDF5F5"/>
                <w:lang w:val="lv-LV"/>
              </w:rPr>
            </w:pPr>
            <w:r w:rsidRPr="003817C7">
              <w:rPr>
                <w:sz w:val="20"/>
                <w:lang w:val="lv-LV"/>
              </w:rPr>
              <w:t xml:space="preserve"> </w:t>
            </w:r>
            <w:r w:rsidRPr="003817C7">
              <w:rPr>
                <w:b/>
                <w:bCs/>
                <w:sz w:val="20"/>
                <w:lang w:val="lv-LV"/>
              </w:rPr>
              <w:t xml:space="preserve">“Nodarbināto vecumā no 25 gadiem profesionālās kompetences uzlabošana” </w:t>
            </w:r>
          </w:p>
          <w:p w14:paraId="521F3EC3" w14:textId="77777777" w:rsidR="003450FC" w:rsidRPr="00126427" w:rsidRDefault="003450FC" w:rsidP="00E95E07">
            <w:pPr>
              <w:ind w:firstLine="0"/>
              <w:jc w:val="left"/>
              <w:rPr>
                <w:sz w:val="20"/>
                <w:highlight w:val="yellow"/>
                <w:lang w:val="lv-LV"/>
              </w:rPr>
            </w:pPr>
            <w:r w:rsidRPr="003817C7">
              <w:rPr>
                <w:sz w:val="20"/>
                <w:shd w:val="clear" w:color="auto" w:fill="FFFFFF" w:themeFill="background1"/>
                <w:lang w:val="lv-LV"/>
              </w:rPr>
              <w:t xml:space="preserve">Finansējuma avots: ESF 8.4.1. pasākums  </w:t>
            </w:r>
          </w:p>
        </w:tc>
        <w:tc>
          <w:tcPr>
            <w:tcW w:w="329" w:type="pct"/>
            <w:shd w:val="clear" w:color="auto" w:fill="70AD47" w:themeFill="accent6"/>
          </w:tcPr>
          <w:p w14:paraId="13B7A0ED" w14:textId="77777777" w:rsidR="003450FC" w:rsidRPr="00126427" w:rsidRDefault="003450FC" w:rsidP="00E95E07">
            <w:pPr>
              <w:spacing w:before="0" w:after="0"/>
              <w:rPr>
                <w:sz w:val="20"/>
                <w:highlight w:val="yellow"/>
                <w:lang w:val="lv-LV"/>
              </w:rPr>
            </w:pPr>
          </w:p>
        </w:tc>
        <w:tc>
          <w:tcPr>
            <w:tcW w:w="329" w:type="pct"/>
            <w:shd w:val="clear" w:color="auto" w:fill="auto"/>
          </w:tcPr>
          <w:p w14:paraId="06A54EA9" w14:textId="77777777" w:rsidR="003450FC" w:rsidRPr="00126427" w:rsidRDefault="003450FC" w:rsidP="00E95E07">
            <w:pPr>
              <w:spacing w:before="0" w:after="0"/>
              <w:rPr>
                <w:sz w:val="20"/>
                <w:highlight w:val="yellow"/>
                <w:lang w:val="lv-LV"/>
              </w:rPr>
            </w:pPr>
          </w:p>
        </w:tc>
        <w:tc>
          <w:tcPr>
            <w:tcW w:w="329" w:type="pct"/>
            <w:shd w:val="clear" w:color="auto" w:fill="auto"/>
          </w:tcPr>
          <w:p w14:paraId="0EC76378" w14:textId="77777777" w:rsidR="003450FC" w:rsidRPr="00126427" w:rsidRDefault="003450FC" w:rsidP="00E95E07">
            <w:pPr>
              <w:spacing w:before="0" w:after="0"/>
              <w:rPr>
                <w:sz w:val="20"/>
                <w:highlight w:val="yellow"/>
                <w:lang w:val="lv-LV"/>
              </w:rPr>
            </w:pPr>
          </w:p>
        </w:tc>
        <w:tc>
          <w:tcPr>
            <w:tcW w:w="329" w:type="pct"/>
            <w:shd w:val="clear" w:color="auto" w:fill="auto"/>
          </w:tcPr>
          <w:p w14:paraId="123F9D4E" w14:textId="77777777" w:rsidR="003450FC" w:rsidRPr="00126427" w:rsidRDefault="003450FC" w:rsidP="00E95E07">
            <w:pPr>
              <w:spacing w:before="0" w:after="0"/>
              <w:rPr>
                <w:sz w:val="20"/>
                <w:highlight w:val="yellow"/>
                <w:lang w:val="lv-LV"/>
              </w:rPr>
            </w:pPr>
          </w:p>
        </w:tc>
        <w:tc>
          <w:tcPr>
            <w:tcW w:w="329" w:type="pct"/>
            <w:shd w:val="clear" w:color="auto" w:fill="auto"/>
          </w:tcPr>
          <w:p w14:paraId="2D828158" w14:textId="77777777" w:rsidR="003450FC" w:rsidRPr="00126427" w:rsidRDefault="003450FC" w:rsidP="00E95E07">
            <w:pPr>
              <w:spacing w:before="0" w:after="0"/>
              <w:rPr>
                <w:sz w:val="20"/>
                <w:highlight w:val="yellow"/>
                <w:lang w:val="lv-LV"/>
              </w:rPr>
            </w:pPr>
          </w:p>
        </w:tc>
        <w:tc>
          <w:tcPr>
            <w:tcW w:w="331" w:type="pct"/>
            <w:shd w:val="clear" w:color="auto" w:fill="auto"/>
          </w:tcPr>
          <w:p w14:paraId="02A8D5CE" w14:textId="77777777" w:rsidR="003450FC" w:rsidRPr="00126427" w:rsidRDefault="003450FC" w:rsidP="00E95E07">
            <w:pPr>
              <w:spacing w:before="0" w:after="0"/>
              <w:rPr>
                <w:sz w:val="20"/>
                <w:highlight w:val="yellow"/>
                <w:lang w:val="lv-LV"/>
              </w:rPr>
            </w:pPr>
          </w:p>
        </w:tc>
        <w:tc>
          <w:tcPr>
            <w:tcW w:w="488" w:type="pct"/>
            <w:shd w:val="clear" w:color="auto" w:fill="auto"/>
          </w:tcPr>
          <w:p w14:paraId="221EE23B" w14:textId="77777777" w:rsidR="003450FC" w:rsidRPr="00126427" w:rsidRDefault="003450FC" w:rsidP="00E95E07">
            <w:pPr>
              <w:spacing w:before="0" w:after="0"/>
              <w:rPr>
                <w:sz w:val="20"/>
                <w:highlight w:val="yellow"/>
                <w:lang w:val="lv-LV"/>
              </w:rPr>
            </w:pPr>
          </w:p>
        </w:tc>
        <w:tc>
          <w:tcPr>
            <w:tcW w:w="552" w:type="pct"/>
            <w:shd w:val="clear" w:color="auto" w:fill="auto"/>
          </w:tcPr>
          <w:p w14:paraId="15D9B33A" w14:textId="77777777" w:rsidR="003450FC" w:rsidRPr="00126427" w:rsidRDefault="003450FC" w:rsidP="00E95E07">
            <w:pPr>
              <w:spacing w:before="0" w:after="0"/>
              <w:rPr>
                <w:sz w:val="20"/>
                <w:highlight w:val="yellow"/>
                <w:lang w:val="lv-LV"/>
              </w:rPr>
            </w:pPr>
          </w:p>
        </w:tc>
      </w:tr>
      <w:tr w:rsidR="003450FC" w:rsidRPr="00C62E2E" w14:paraId="31D7C23E" w14:textId="77777777" w:rsidTr="00E95E07">
        <w:tc>
          <w:tcPr>
            <w:tcW w:w="1984" w:type="pct"/>
            <w:shd w:val="clear" w:color="auto" w:fill="FFFFFF" w:themeFill="background1"/>
          </w:tcPr>
          <w:p w14:paraId="0D49863B" w14:textId="77777777" w:rsidR="003450FC" w:rsidRPr="00FF50D5" w:rsidRDefault="003450FC" w:rsidP="00E95E07">
            <w:pPr>
              <w:ind w:firstLine="0"/>
              <w:jc w:val="left"/>
              <w:rPr>
                <w:sz w:val="20"/>
                <w:lang w:val="lv-LV"/>
              </w:rPr>
            </w:pPr>
            <w:r w:rsidRPr="00FF50D5">
              <w:rPr>
                <w:sz w:val="20"/>
                <w:lang w:val="lv-LV"/>
              </w:rPr>
              <w:t>Pasākums Nr.2</w:t>
            </w:r>
          </w:p>
          <w:p w14:paraId="58AF4F50" w14:textId="77777777" w:rsidR="003450FC" w:rsidRPr="00897FCE" w:rsidRDefault="003450FC" w:rsidP="00E95E07">
            <w:pPr>
              <w:ind w:firstLine="0"/>
              <w:jc w:val="left"/>
              <w:rPr>
                <w:b/>
                <w:bCs/>
                <w:sz w:val="20"/>
                <w:lang w:val="lv-LV"/>
              </w:rPr>
            </w:pPr>
            <w:r w:rsidRPr="00897FCE">
              <w:rPr>
                <w:b/>
                <w:bCs/>
                <w:sz w:val="20"/>
                <w:lang w:val="lv-LV"/>
              </w:rPr>
              <w:t xml:space="preserve"> “</w:t>
            </w:r>
            <w:proofErr w:type="spellStart"/>
            <w:r w:rsidRPr="00897FCE">
              <w:rPr>
                <w:b/>
                <w:bCs/>
                <w:sz w:val="20"/>
                <w:lang w:val="lv-LV"/>
              </w:rPr>
              <w:t>Pašvadītas</w:t>
            </w:r>
            <w:proofErr w:type="spellEnd"/>
            <w:r w:rsidRPr="00897FCE">
              <w:rPr>
                <w:b/>
                <w:bCs/>
                <w:sz w:val="20"/>
                <w:lang w:val="lv-LV"/>
              </w:rPr>
              <w:t xml:space="preserve"> IKT speciālistu mācību pieejas attīstība”</w:t>
            </w:r>
          </w:p>
          <w:p w14:paraId="58828DA6" w14:textId="77777777" w:rsidR="003450FC" w:rsidRPr="00FF50D5" w:rsidRDefault="003450FC" w:rsidP="00E95E07">
            <w:pPr>
              <w:ind w:firstLine="0"/>
              <w:jc w:val="left"/>
              <w:rPr>
                <w:sz w:val="20"/>
                <w:lang w:val="lv-LV"/>
              </w:rPr>
            </w:pPr>
            <w:r w:rsidRPr="00D253C9">
              <w:rPr>
                <w:sz w:val="20"/>
                <w:shd w:val="clear" w:color="auto" w:fill="FFFFFF" w:themeFill="background1"/>
                <w:lang w:val="lv-LV"/>
              </w:rPr>
              <w:t>Finansējuma avots: ANM</w:t>
            </w:r>
            <w:r w:rsidRPr="00FF50D5">
              <w:rPr>
                <w:sz w:val="20"/>
                <w:lang w:val="lv-LV"/>
              </w:rPr>
              <w:t xml:space="preserve"> plāna investīcija 2.3.1.3.i</w:t>
            </w:r>
            <w:r>
              <w:rPr>
                <w:sz w:val="20"/>
                <w:lang w:val="lv-LV"/>
              </w:rPr>
              <w:t xml:space="preserve"> </w:t>
            </w:r>
          </w:p>
        </w:tc>
        <w:tc>
          <w:tcPr>
            <w:tcW w:w="329" w:type="pct"/>
            <w:shd w:val="clear" w:color="auto" w:fill="auto"/>
          </w:tcPr>
          <w:p w14:paraId="2380EE20" w14:textId="77777777" w:rsidR="003450FC" w:rsidRPr="00550D35" w:rsidRDefault="003450FC" w:rsidP="00E95E07">
            <w:pPr>
              <w:spacing w:before="0" w:after="0"/>
              <w:rPr>
                <w:sz w:val="20"/>
                <w:lang w:val="lv-LV"/>
              </w:rPr>
            </w:pPr>
          </w:p>
        </w:tc>
        <w:tc>
          <w:tcPr>
            <w:tcW w:w="329" w:type="pct"/>
            <w:shd w:val="clear" w:color="auto" w:fill="70AD47" w:themeFill="accent6"/>
          </w:tcPr>
          <w:p w14:paraId="243C0CC8" w14:textId="77777777" w:rsidR="003450FC" w:rsidRPr="00550D35" w:rsidRDefault="003450FC" w:rsidP="00E95E07">
            <w:pPr>
              <w:spacing w:before="0" w:after="0"/>
              <w:rPr>
                <w:sz w:val="20"/>
                <w:lang w:val="lv-LV"/>
              </w:rPr>
            </w:pPr>
          </w:p>
        </w:tc>
        <w:tc>
          <w:tcPr>
            <w:tcW w:w="329" w:type="pct"/>
            <w:shd w:val="clear" w:color="auto" w:fill="70AD47" w:themeFill="accent6"/>
          </w:tcPr>
          <w:p w14:paraId="2EC30F40" w14:textId="77777777" w:rsidR="003450FC" w:rsidRPr="00550D35" w:rsidRDefault="003450FC" w:rsidP="00E95E07">
            <w:pPr>
              <w:spacing w:before="0" w:after="0"/>
              <w:rPr>
                <w:sz w:val="20"/>
                <w:lang w:val="lv-LV"/>
              </w:rPr>
            </w:pPr>
          </w:p>
        </w:tc>
        <w:tc>
          <w:tcPr>
            <w:tcW w:w="329" w:type="pct"/>
            <w:shd w:val="clear" w:color="auto" w:fill="70AD47" w:themeFill="accent6"/>
          </w:tcPr>
          <w:p w14:paraId="0C2CE5BE" w14:textId="77777777" w:rsidR="003450FC" w:rsidRPr="00550D35" w:rsidRDefault="003450FC" w:rsidP="00E95E07">
            <w:pPr>
              <w:spacing w:before="0" w:after="0"/>
              <w:rPr>
                <w:sz w:val="20"/>
                <w:lang w:val="lv-LV"/>
              </w:rPr>
            </w:pPr>
          </w:p>
        </w:tc>
        <w:tc>
          <w:tcPr>
            <w:tcW w:w="329" w:type="pct"/>
            <w:shd w:val="clear" w:color="auto" w:fill="auto"/>
          </w:tcPr>
          <w:p w14:paraId="3176552F" w14:textId="77777777" w:rsidR="003450FC" w:rsidRPr="00550D35" w:rsidRDefault="003450FC" w:rsidP="00E95E07">
            <w:pPr>
              <w:spacing w:before="0" w:after="0"/>
              <w:rPr>
                <w:sz w:val="20"/>
                <w:lang w:val="lv-LV"/>
              </w:rPr>
            </w:pPr>
          </w:p>
        </w:tc>
        <w:tc>
          <w:tcPr>
            <w:tcW w:w="331" w:type="pct"/>
            <w:shd w:val="clear" w:color="auto" w:fill="auto"/>
          </w:tcPr>
          <w:p w14:paraId="23AEB787" w14:textId="77777777" w:rsidR="003450FC" w:rsidRPr="00550D35" w:rsidRDefault="003450FC" w:rsidP="00E95E07">
            <w:pPr>
              <w:spacing w:before="0" w:after="0"/>
              <w:rPr>
                <w:sz w:val="20"/>
                <w:lang w:val="lv-LV"/>
              </w:rPr>
            </w:pPr>
          </w:p>
        </w:tc>
        <w:tc>
          <w:tcPr>
            <w:tcW w:w="488" w:type="pct"/>
            <w:shd w:val="clear" w:color="auto" w:fill="auto"/>
          </w:tcPr>
          <w:p w14:paraId="00C38C84" w14:textId="77777777" w:rsidR="003450FC" w:rsidRPr="00550D35" w:rsidRDefault="003450FC" w:rsidP="00E95E07">
            <w:pPr>
              <w:spacing w:before="0" w:after="0"/>
              <w:rPr>
                <w:sz w:val="20"/>
                <w:lang w:val="lv-LV"/>
              </w:rPr>
            </w:pPr>
          </w:p>
        </w:tc>
        <w:tc>
          <w:tcPr>
            <w:tcW w:w="552" w:type="pct"/>
            <w:shd w:val="clear" w:color="auto" w:fill="auto"/>
          </w:tcPr>
          <w:p w14:paraId="68F24897" w14:textId="77777777" w:rsidR="003450FC" w:rsidRPr="00550D35" w:rsidRDefault="003450FC" w:rsidP="00E95E07">
            <w:pPr>
              <w:spacing w:before="0" w:after="0"/>
              <w:rPr>
                <w:sz w:val="20"/>
                <w:lang w:val="lv-LV"/>
              </w:rPr>
            </w:pPr>
          </w:p>
        </w:tc>
      </w:tr>
      <w:tr w:rsidR="003450FC" w:rsidRPr="00D253C9" w14:paraId="774DF2C5" w14:textId="77777777" w:rsidTr="00E95E07">
        <w:tc>
          <w:tcPr>
            <w:tcW w:w="1984" w:type="pct"/>
            <w:shd w:val="clear" w:color="auto" w:fill="FFFFFF" w:themeFill="background1"/>
          </w:tcPr>
          <w:p w14:paraId="3D438D5B" w14:textId="77777777" w:rsidR="003450FC" w:rsidRPr="00FF50D5" w:rsidRDefault="003450FC" w:rsidP="00E95E07">
            <w:pPr>
              <w:ind w:firstLine="0"/>
              <w:jc w:val="left"/>
              <w:rPr>
                <w:sz w:val="20"/>
                <w:lang w:val="lv-LV"/>
              </w:rPr>
            </w:pPr>
            <w:r w:rsidRPr="00FF50D5">
              <w:rPr>
                <w:sz w:val="20"/>
                <w:lang w:val="lv-LV"/>
              </w:rPr>
              <w:t>Pasākums Nr.3</w:t>
            </w:r>
          </w:p>
          <w:p w14:paraId="6392A4D0" w14:textId="77777777" w:rsidR="003450FC" w:rsidRPr="00897FCE" w:rsidRDefault="003450FC" w:rsidP="00E95E07">
            <w:pPr>
              <w:ind w:firstLine="0"/>
              <w:jc w:val="left"/>
              <w:rPr>
                <w:b/>
                <w:bCs/>
                <w:sz w:val="20"/>
                <w:lang w:val="lv-LV"/>
              </w:rPr>
            </w:pPr>
            <w:r w:rsidRPr="00897FCE">
              <w:rPr>
                <w:b/>
                <w:bCs/>
                <w:sz w:val="20"/>
                <w:lang w:val="lv-LV"/>
              </w:rPr>
              <w:t xml:space="preserve">“Augsta līmeņa digitālo prasmju apguve” </w:t>
            </w:r>
          </w:p>
          <w:p w14:paraId="0BC9A7B7" w14:textId="77777777" w:rsidR="003450FC" w:rsidRPr="00FF50D5" w:rsidRDefault="003450FC" w:rsidP="00E95E07">
            <w:pPr>
              <w:ind w:firstLine="0"/>
              <w:jc w:val="left"/>
              <w:rPr>
                <w:sz w:val="20"/>
                <w:lang w:val="lv-LV"/>
              </w:rPr>
            </w:pPr>
            <w:r w:rsidRPr="00D253C9">
              <w:rPr>
                <w:sz w:val="20"/>
                <w:shd w:val="clear" w:color="auto" w:fill="FFFFFF" w:themeFill="background1"/>
                <w:lang w:val="lv-LV"/>
              </w:rPr>
              <w:t xml:space="preserve">Finansējuma avots: ANM </w:t>
            </w:r>
            <w:r w:rsidRPr="00FF50D5">
              <w:rPr>
                <w:sz w:val="20"/>
                <w:lang w:val="lv-LV"/>
              </w:rPr>
              <w:t>plāna investīcija 2.3.1.1.i</w:t>
            </w:r>
            <w:r>
              <w:rPr>
                <w:sz w:val="20"/>
                <w:lang w:val="lv-LV"/>
              </w:rPr>
              <w:t xml:space="preserve"> </w:t>
            </w:r>
          </w:p>
        </w:tc>
        <w:tc>
          <w:tcPr>
            <w:tcW w:w="329" w:type="pct"/>
            <w:shd w:val="clear" w:color="auto" w:fill="70AD47" w:themeFill="accent6"/>
          </w:tcPr>
          <w:p w14:paraId="5233DD63" w14:textId="77777777" w:rsidR="003450FC" w:rsidRPr="00550D35" w:rsidRDefault="003450FC" w:rsidP="00E95E07">
            <w:pPr>
              <w:spacing w:before="0" w:after="0"/>
              <w:rPr>
                <w:sz w:val="20"/>
                <w:lang w:val="lv-LV"/>
              </w:rPr>
            </w:pPr>
          </w:p>
        </w:tc>
        <w:tc>
          <w:tcPr>
            <w:tcW w:w="329" w:type="pct"/>
            <w:shd w:val="clear" w:color="auto" w:fill="70AD47" w:themeFill="accent6"/>
          </w:tcPr>
          <w:p w14:paraId="2AC10ADD" w14:textId="77777777" w:rsidR="003450FC" w:rsidRPr="00550D35" w:rsidRDefault="003450FC" w:rsidP="00E95E07">
            <w:pPr>
              <w:spacing w:before="0" w:after="0"/>
              <w:rPr>
                <w:sz w:val="20"/>
                <w:lang w:val="lv-LV"/>
              </w:rPr>
            </w:pPr>
          </w:p>
        </w:tc>
        <w:tc>
          <w:tcPr>
            <w:tcW w:w="329" w:type="pct"/>
            <w:shd w:val="clear" w:color="auto" w:fill="70AD47" w:themeFill="accent6"/>
          </w:tcPr>
          <w:p w14:paraId="4ACA8957" w14:textId="77777777" w:rsidR="003450FC" w:rsidRPr="00550D35" w:rsidRDefault="003450FC" w:rsidP="00E95E07">
            <w:pPr>
              <w:spacing w:before="0" w:after="0"/>
              <w:rPr>
                <w:sz w:val="20"/>
                <w:lang w:val="lv-LV"/>
              </w:rPr>
            </w:pPr>
          </w:p>
        </w:tc>
        <w:tc>
          <w:tcPr>
            <w:tcW w:w="329" w:type="pct"/>
            <w:shd w:val="clear" w:color="auto" w:fill="70AD47" w:themeFill="accent6"/>
          </w:tcPr>
          <w:p w14:paraId="5703AC44" w14:textId="77777777" w:rsidR="003450FC" w:rsidRPr="00550D35" w:rsidRDefault="003450FC" w:rsidP="00E95E07">
            <w:pPr>
              <w:spacing w:before="0" w:after="0"/>
              <w:rPr>
                <w:sz w:val="20"/>
                <w:lang w:val="lv-LV"/>
              </w:rPr>
            </w:pPr>
          </w:p>
        </w:tc>
        <w:tc>
          <w:tcPr>
            <w:tcW w:w="329" w:type="pct"/>
            <w:shd w:val="clear" w:color="auto" w:fill="FFFFFF" w:themeFill="background1"/>
          </w:tcPr>
          <w:p w14:paraId="42F4887E" w14:textId="77777777" w:rsidR="003450FC" w:rsidRPr="00550D35" w:rsidRDefault="003450FC" w:rsidP="00E95E07">
            <w:pPr>
              <w:spacing w:before="0" w:after="0"/>
              <w:rPr>
                <w:sz w:val="20"/>
                <w:lang w:val="lv-LV"/>
              </w:rPr>
            </w:pPr>
          </w:p>
        </w:tc>
        <w:tc>
          <w:tcPr>
            <w:tcW w:w="331" w:type="pct"/>
            <w:shd w:val="clear" w:color="auto" w:fill="FFFFFF" w:themeFill="background1"/>
          </w:tcPr>
          <w:p w14:paraId="3A2510CE" w14:textId="77777777" w:rsidR="003450FC" w:rsidRPr="00550D35" w:rsidRDefault="003450FC" w:rsidP="00E95E07">
            <w:pPr>
              <w:spacing w:before="0" w:after="0"/>
              <w:rPr>
                <w:sz w:val="20"/>
                <w:lang w:val="lv-LV"/>
              </w:rPr>
            </w:pPr>
          </w:p>
        </w:tc>
        <w:tc>
          <w:tcPr>
            <w:tcW w:w="488" w:type="pct"/>
            <w:shd w:val="clear" w:color="auto" w:fill="FFFFFF" w:themeFill="background1"/>
          </w:tcPr>
          <w:p w14:paraId="3B02902B" w14:textId="77777777" w:rsidR="003450FC" w:rsidRPr="00550D35" w:rsidRDefault="003450FC" w:rsidP="00E95E07">
            <w:pPr>
              <w:spacing w:before="0" w:after="0"/>
              <w:rPr>
                <w:sz w:val="20"/>
                <w:lang w:val="lv-LV"/>
              </w:rPr>
            </w:pPr>
          </w:p>
        </w:tc>
        <w:tc>
          <w:tcPr>
            <w:tcW w:w="552" w:type="pct"/>
            <w:shd w:val="clear" w:color="auto" w:fill="FFFFFF" w:themeFill="background1"/>
          </w:tcPr>
          <w:p w14:paraId="6C619996" w14:textId="77777777" w:rsidR="003450FC" w:rsidRPr="00550D35" w:rsidRDefault="003450FC" w:rsidP="00E95E07">
            <w:pPr>
              <w:spacing w:before="0" w:after="0"/>
              <w:rPr>
                <w:sz w:val="20"/>
                <w:lang w:val="lv-LV"/>
              </w:rPr>
            </w:pPr>
          </w:p>
        </w:tc>
      </w:tr>
      <w:tr w:rsidR="003450FC" w:rsidRPr="00C62E2E" w14:paraId="42B03718" w14:textId="77777777" w:rsidTr="00E95E07">
        <w:tc>
          <w:tcPr>
            <w:tcW w:w="1984" w:type="pct"/>
            <w:shd w:val="clear" w:color="auto" w:fill="FFFFFF" w:themeFill="background1"/>
          </w:tcPr>
          <w:p w14:paraId="04676356" w14:textId="77777777" w:rsidR="003450FC" w:rsidRPr="00550D35" w:rsidRDefault="003450FC" w:rsidP="00E95E07">
            <w:pPr>
              <w:ind w:firstLine="0"/>
              <w:jc w:val="left"/>
              <w:rPr>
                <w:sz w:val="20"/>
                <w:lang w:val="lv-LV"/>
              </w:rPr>
            </w:pPr>
            <w:r w:rsidRPr="00550D35">
              <w:rPr>
                <w:sz w:val="20"/>
                <w:lang w:val="lv-LV"/>
              </w:rPr>
              <w:t>Pasākums Nr. 4</w:t>
            </w:r>
          </w:p>
          <w:p w14:paraId="0D5A7FC9" w14:textId="77777777" w:rsidR="003450FC" w:rsidRPr="00B95343" w:rsidRDefault="003450FC" w:rsidP="00E95E07">
            <w:pPr>
              <w:ind w:firstLine="0"/>
              <w:jc w:val="left"/>
              <w:rPr>
                <w:b/>
                <w:bCs/>
                <w:sz w:val="20"/>
                <w:lang w:val="lv-LV"/>
              </w:rPr>
            </w:pPr>
            <w:r w:rsidRPr="00B95343">
              <w:rPr>
                <w:b/>
                <w:bCs/>
                <w:sz w:val="20"/>
                <w:lang w:val="lv-LV"/>
              </w:rPr>
              <w:t>“</w:t>
            </w:r>
            <w:proofErr w:type="spellStart"/>
            <w:r w:rsidRPr="00B95343">
              <w:rPr>
                <w:b/>
                <w:bCs/>
                <w:sz w:val="20"/>
                <w:lang w:val="lv-LV"/>
              </w:rPr>
              <w:t>Cilvēkkapitāla</w:t>
            </w:r>
            <w:proofErr w:type="spellEnd"/>
            <w:r w:rsidRPr="00B95343">
              <w:rPr>
                <w:b/>
                <w:bCs/>
                <w:sz w:val="20"/>
                <w:lang w:val="lv-LV"/>
              </w:rPr>
              <w:t xml:space="preserve"> attīstības stratēģija”</w:t>
            </w:r>
          </w:p>
        </w:tc>
        <w:tc>
          <w:tcPr>
            <w:tcW w:w="329" w:type="pct"/>
            <w:shd w:val="clear" w:color="auto" w:fill="70AD47" w:themeFill="accent6"/>
          </w:tcPr>
          <w:p w14:paraId="63E4F591" w14:textId="77777777" w:rsidR="003450FC" w:rsidRPr="00550D35" w:rsidRDefault="003450FC" w:rsidP="00E95E07">
            <w:pPr>
              <w:spacing w:before="0" w:after="0"/>
              <w:rPr>
                <w:sz w:val="20"/>
                <w:lang w:val="lv-LV"/>
              </w:rPr>
            </w:pPr>
          </w:p>
        </w:tc>
        <w:tc>
          <w:tcPr>
            <w:tcW w:w="329" w:type="pct"/>
            <w:shd w:val="clear" w:color="auto" w:fill="70AD47" w:themeFill="accent6"/>
          </w:tcPr>
          <w:p w14:paraId="61ADBAAD" w14:textId="77777777" w:rsidR="003450FC" w:rsidRPr="00550D35" w:rsidRDefault="003450FC" w:rsidP="00E95E07">
            <w:pPr>
              <w:spacing w:before="0" w:after="0"/>
              <w:rPr>
                <w:sz w:val="20"/>
                <w:lang w:val="lv-LV"/>
              </w:rPr>
            </w:pPr>
          </w:p>
        </w:tc>
        <w:tc>
          <w:tcPr>
            <w:tcW w:w="329" w:type="pct"/>
            <w:shd w:val="clear" w:color="auto" w:fill="70AD47" w:themeFill="accent6"/>
          </w:tcPr>
          <w:p w14:paraId="60DF7A7A" w14:textId="77777777" w:rsidR="003450FC" w:rsidRPr="00550D35" w:rsidRDefault="003450FC" w:rsidP="00E95E07">
            <w:pPr>
              <w:spacing w:before="0" w:after="0"/>
              <w:rPr>
                <w:sz w:val="20"/>
                <w:lang w:val="lv-LV"/>
              </w:rPr>
            </w:pPr>
          </w:p>
        </w:tc>
        <w:tc>
          <w:tcPr>
            <w:tcW w:w="329" w:type="pct"/>
            <w:shd w:val="clear" w:color="auto" w:fill="70AD47" w:themeFill="accent6"/>
          </w:tcPr>
          <w:p w14:paraId="786A8F48" w14:textId="77777777" w:rsidR="003450FC" w:rsidRPr="00550D35" w:rsidRDefault="003450FC" w:rsidP="00E95E07">
            <w:pPr>
              <w:spacing w:before="0" w:after="0"/>
              <w:rPr>
                <w:sz w:val="20"/>
                <w:lang w:val="lv-LV"/>
              </w:rPr>
            </w:pPr>
          </w:p>
        </w:tc>
        <w:tc>
          <w:tcPr>
            <w:tcW w:w="329" w:type="pct"/>
            <w:shd w:val="clear" w:color="auto" w:fill="70AD47" w:themeFill="accent6"/>
          </w:tcPr>
          <w:p w14:paraId="2B07ABC1" w14:textId="77777777" w:rsidR="003450FC" w:rsidRPr="00550D35" w:rsidRDefault="003450FC" w:rsidP="00E95E07">
            <w:pPr>
              <w:spacing w:before="0" w:after="0"/>
              <w:rPr>
                <w:sz w:val="20"/>
                <w:lang w:val="lv-LV"/>
              </w:rPr>
            </w:pPr>
          </w:p>
        </w:tc>
        <w:tc>
          <w:tcPr>
            <w:tcW w:w="331" w:type="pct"/>
            <w:shd w:val="clear" w:color="auto" w:fill="auto"/>
          </w:tcPr>
          <w:p w14:paraId="6054C27C" w14:textId="77777777" w:rsidR="003450FC" w:rsidRPr="00550D35" w:rsidRDefault="003450FC" w:rsidP="00E95E07">
            <w:pPr>
              <w:spacing w:before="0" w:after="0"/>
              <w:rPr>
                <w:sz w:val="20"/>
                <w:lang w:val="lv-LV"/>
              </w:rPr>
            </w:pPr>
          </w:p>
        </w:tc>
        <w:tc>
          <w:tcPr>
            <w:tcW w:w="488" w:type="pct"/>
            <w:shd w:val="clear" w:color="auto" w:fill="auto"/>
          </w:tcPr>
          <w:p w14:paraId="2EB5F1CE" w14:textId="77777777" w:rsidR="003450FC" w:rsidRPr="00550D35" w:rsidRDefault="003450FC" w:rsidP="00E95E07">
            <w:pPr>
              <w:spacing w:before="0" w:after="0"/>
              <w:rPr>
                <w:sz w:val="20"/>
                <w:lang w:val="lv-LV"/>
              </w:rPr>
            </w:pPr>
          </w:p>
        </w:tc>
        <w:tc>
          <w:tcPr>
            <w:tcW w:w="552" w:type="pct"/>
            <w:shd w:val="clear" w:color="auto" w:fill="FFFFFF" w:themeFill="background1"/>
          </w:tcPr>
          <w:p w14:paraId="150A2EC0" w14:textId="77777777" w:rsidR="003450FC" w:rsidRPr="00550D35" w:rsidRDefault="003450FC" w:rsidP="00E95E07">
            <w:pPr>
              <w:spacing w:before="0" w:after="0"/>
              <w:rPr>
                <w:sz w:val="20"/>
                <w:lang w:val="lv-LV"/>
              </w:rPr>
            </w:pPr>
          </w:p>
        </w:tc>
      </w:tr>
    </w:tbl>
    <w:p w14:paraId="7D3E6829" w14:textId="77777777" w:rsidR="003450FC" w:rsidRDefault="003450FC" w:rsidP="003450FC">
      <w:pPr>
        <w:spacing w:before="0" w:after="160" w:line="259" w:lineRule="auto"/>
        <w:ind w:firstLine="0"/>
        <w:contextualSpacing/>
        <w:jc w:val="left"/>
        <w:rPr>
          <w:noProof/>
          <w:lang w:val="lv-LV"/>
        </w:rPr>
      </w:pPr>
    </w:p>
    <w:p w14:paraId="5E2EE1EE" w14:textId="77777777" w:rsidR="003450FC" w:rsidRPr="00DB7473" w:rsidRDefault="003450FC" w:rsidP="00E33821">
      <w:pPr>
        <w:spacing w:before="0" w:after="160" w:line="259" w:lineRule="auto"/>
        <w:ind w:firstLine="567"/>
        <w:contextualSpacing/>
        <w:jc w:val="left"/>
        <w:rPr>
          <w:noProof/>
          <w:lang w:val="lv-LV"/>
        </w:rPr>
      </w:pPr>
      <w:r w:rsidRPr="005B651F">
        <w:rPr>
          <w:b/>
          <w:noProof/>
          <w:lang w:val="lv-LV"/>
        </w:rPr>
        <w:t xml:space="preserve">Visu to pasākumu </w:t>
      </w:r>
      <w:r w:rsidRPr="0054455C">
        <w:rPr>
          <w:b/>
          <w:noProof/>
          <w:lang w:val="lv-LV"/>
        </w:rPr>
        <w:t>budžets, kurus var attiecināt uz mērķrādītāju</w:t>
      </w:r>
    </w:p>
    <w:p w14:paraId="479E5D2C" w14:textId="77777777" w:rsidR="003450FC" w:rsidRDefault="003450FC" w:rsidP="003450FC">
      <w:pPr>
        <w:spacing w:before="0" w:after="160" w:line="259" w:lineRule="auto"/>
        <w:ind w:left="567" w:firstLine="0"/>
        <w:contextualSpacing/>
        <w:jc w:val="left"/>
        <w:rPr>
          <w:noProof/>
          <w:lang w:val="lv-LV"/>
        </w:rPr>
      </w:pPr>
    </w:p>
    <w:p w14:paraId="2169488A" w14:textId="77777777" w:rsidR="003450FC" w:rsidRPr="00550D35" w:rsidRDefault="003450FC" w:rsidP="003450FC">
      <w:pPr>
        <w:spacing w:before="0" w:after="160" w:line="259" w:lineRule="auto"/>
        <w:ind w:left="567" w:firstLine="0"/>
        <w:contextualSpacing/>
        <w:jc w:val="left"/>
        <w:rPr>
          <w:noProof/>
          <w:lang w:val="lv-LV"/>
        </w:rPr>
      </w:pPr>
      <w:r w:rsidRPr="00550D35">
        <w:rPr>
          <w:noProof/>
          <w:lang w:val="lv-LV"/>
        </w:rPr>
        <w:t xml:space="preserve">Publiskās investīcijas: </w:t>
      </w:r>
    </w:p>
    <w:p w14:paraId="5F108AA8" w14:textId="77777777" w:rsidR="003450FC" w:rsidRPr="00550D35" w:rsidRDefault="003450FC" w:rsidP="003450FC">
      <w:pPr>
        <w:pStyle w:val="ListParagraph"/>
        <w:numPr>
          <w:ilvl w:val="0"/>
          <w:numId w:val="31"/>
        </w:numPr>
        <w:contextualSpacing/>
        <w:rPr>
          <w:rFonts w:eastAsia="Calibri"/>
          <w:sz w:val="24"/>
          <w:szCs w:val="24"/>
          <w:lang w:val="lv-LV"/>
        </w:rPr>
      </w:pPr>
      <w:r w:rsidRPr="00550D35">
        <w:rPr>
          <w:rFonts w:eastAsia="Calibri"/>
          <w:sz w:val="24"/>
          <w:szCs w:val="24"/>
          <w:lang w:val="lv-LV"/>
        </w:rPr>
        <w:t>piešķirts: 44,44 milj. </w:t>
      </w:r>
      <w:proofErr w:type="spellStart"/>
      <w:r w:rsidRPr="00550D35">
        <w:rPr>
          <w:rFonts w:eastAsia="Calibri"/>
          <w:i/>
          <w:sz w:val="24"/>
          <w:szCs w:val="24"/>
          <w:lang w:val="lv-LV"/>
        </w:rPr>
        <w:t>euro</w:t>
      </w:r>
      <w:proofErr w:type="spellEnd"/>
      <w:r w:rsidRPr="00550D35">
        <w:rPr>
          <w:rFonts w:eastAsia="Calibri"/>
          <w:sz w:val="24"/>
          <w:szCs w:val="24"/>
          <w:lang w:val="lv-LV"/>
        </w:rPr>
        <w:t>;</w:t>
      </w:r>
    </w:p>
    <w:p w14:paraId="18A43589" w14:textId="77777777" w:rsidR="003450FC" w:rsidRPr="00550D35" w:rsidRDefault="003450FC" w:rsidP="003450FC">
      <w:pPr>
        <w:pStyle w:val="ListParagraph"/>
        <w:numPr>
          <w:ilvl w:val="0"/>
          <w:numId w:val="31"/>
        </w:numPr>
        <w:contextualSpacing/>
        <w:rPr>
          <w:rFonts w:eastAsia="Calibri"/>
          <w:sz w:val="24"/>
          <w:szCs w:val="24"/>
          <w:lang w:val="lv-LV"/>
        </w:rPr>
      </w:pPr>
      <w:r w:rsidRPr="00550D35">
        <w:rPr>
          <w:sz w:val="24"/>
          <w:szCs w:val="24"/>
          <w:lang w:val="lv-LV"/>
        </w:rPr>
        <w:t>plānots:</w:t>
      </w:r>
      <w:r w:rsidRPr="00550D35">
        <w:rPr>
          <w:b/>
          <w:bCs/>
          <w:sz w:val="24"/>
          <w:szCs w:val="24"/>
          <w:lang w:val="lv-LV"/>
        </w:rPr>
        <w:t xml:space="preserve">   </w:t>
      </w:r>
      <w:r w:rsidRPr="00550D35">
        <w:rPr>
          <w:rFonts w:eastAsia="Calibri"/>
          <w:sz w:val="24"/>
          <w:szCs w:val="24"/>
          <w:lang w:val="lv-LV"/>
        </w:rPr>
        <w:t>59,08 milj. </w:t>
      </w:r>
      <w:proofErr w:type="spellStart"/>
      <w:r w:rsidRPr="00550D35">
        <w:rPr>
          <w:rFonts w:eastAsia="Calibri"/>
          <w:i/>
          <w:sz w:val="24"/>
          <w:szCs w:val="24"/>
          <w:lang w:val="lv-LV"/>
        </w:rPr>
        <w:t>euro</w:t>
      </w:r>
      <w:proofErr w:type="spellEnd"/>
      <w:r w:rsidRPr="00550D35">
        <w:rPr>
          <w:rFonts w:eastAsia="Calibri"/>
          <w:sz w:val="24"/>
          <w:szCs w:val="24"/>
          <w:lang w:val="lv-LV"/>
        </w:rPr>
        <w:t>.</w:t>
      </w:r>
    </w:p>
    <w:p w14:paraId="6EA68ED3" w14:textId="77777777" w:rsidR="003450FC" w:rsidRPr="00550D35" w:rsidRDefault="003450FC" w:rsidP="003450FC">
      <w:pPr>
        <w:numPr>
          <w:ilvl w:val="1"/>
          <w:numId w:val="23"/>
        </w:numPr>
        <w:spacing w:before="120" w:after="120"/>
        <w:contextualSpacing/>
        <w:rPr>
          <w:rFonts w:eastAsia="Calibri" w:cs="Calibri"/>
          <w:szCs w:val="24"/>
          <w:lang w:val="lv-LV"/>
        </w:rPr>
      </w:pPr>
      <w:r w:rsidRPr="00550D35">
        <w:rPr>
          <w:rFonts w:eastAsia="Calibri" w:cs="Calibri"/>
          <w:szCs w:val="24"/>
          <w:lang w:val="lv-LV"/>
        </w:rPr>
        <w:t xml:space="preserve">tai skaitā no nacionālajiem finansēšanas avotiem: </w:t>
      </w:r>
    </w:p>
    <w:p w14:paraId="06C22E7D" w14:textId="77777777" w:rsidR="003450FC" w:rsidRPr="00550D35" w:rsidRDefault="003450FC" w:rsidP="003450FC">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 xml:space="preserve">piešķirts: 6,82 </w:t>
      </w:r>
      <w:r w:rsidRPr="00550D35">
        <w:rPr>
          <w:rFonts w:eastAsia="Calibri"/>
          <w:szCs w:val="24"/>
          <w:lang w:val="lv-LV"/>
        </w:rPr>
        <w:t>milj. </w:t>
      </w:r>
      <w:proofErr w:type="spellStart"/>
      <w:r w:rsidRPr="00550D35">
        <w:rPr>
          <w:rFonts w:eastAsia="Calibri"/>
          <w:i/>
          <w:szCs w:val="24"/>
          <w:lang w:val="lv-LV"/>
        </w:rPr>
        <w:t>euro</w:t>
      </w:r>
      <w:proofErr w:type="spellEnd"/>
      <w:r w:rsidRPr="00550D35">
        <w:rPr>
          <w:rFonts w:eastAsia="Calibri"/>
          <w:szCs w:val="24"/>
          <w:lang w:val="lv-LV"/>
        </w:rPr>
        <w:t xml:space="preserve">; </w:t>
      </w:r>
    </w:p>
    <w:p w14:paraId="627E325F" w14:textId="77777777" w:rsidR="003450FC" w:rsidRPr="00550D35" w:rsidRDefault="003450FC" w:rsidP="003450FC">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 xml:space="preserve">plānots:   6,34 </w:t>
      </w:r>
      <w:r w:rsidRPr="00550D35">
        <w:rPr>
          <w:rFonts w:eastAsia="Calibri"/>
          <w:szCs w:val="24"/>
          <w:lang w:val="lv-LV"/>
        </w:rPr>
        <w:t>milj. </w:t>
      </w:r>
      <w:proofErr w:type="spellStart"/>
      <w:r w:rsidRPr="00550D35">
        <w:rPr>
          <w:rFonts w:eastAsia="Calibri"/>
          <w:i/>
          <w:szCs w:val="24"/>
          <w:lang w:val="lv-LV"/>
        </w:rPr>
        <w:t>euro</w:t>
      </w:r>
      <w:proofErr w:type="spellEnd"/>
      <w:r w:rsidRPr="00550D35">
        <w:rPr>
          <w:rFonts w:eastAsia="Calibri"/>
          <w:szCs w:val="24"/>
          <w:lang w:val="lv-LV"/>
        </w:rPr>
        <w:t xml:space="preserve">.  </w:t>
      </w:r>
    </w:p>
    <w:p w14:paraId="1E5F52DC" w14:textId="77777777" w:rsidR="003450FC" w:rsidRPr="00550D35" w:rsidRDefault="003450FC" w:rsidP="003450FC">
      <w:pPr>
        <w:numPr>
          <w:ilvl w:val="1"/>
          <w:numId w:val="23"/>
        </w:numPr>
        <w:spacing w:before="120" w:after="120"/>
        <w:contextualSpacing/>
        <w:rPr>
          <w:rFonts w:eastAsia="Calibri" w:cs="Calibri"/>
          <w:szCs w:val="24"/>
          <w:lang w:val="lv-LV"/>
        </w:rPr>
      </w:pPr>
      <w:r w:rsidRPr="00550D35">
        <w:rPr>
          <w:rFonts w:eastAsia="Calibri" w:cs="Calibri"/>
          <w:szCs w:val="24"/>
          <w:lang w:val="lv-LV"/>
        </w:rPr>
        <w:t xml:space="preserve">tai skaitā no ES finansēšanas avotiem: </w:t>
      </w:r>
    </w:p>
    <w:p w14:paraId="49FA8E6C" w14:textId="77777777" w:rsidR="003450FC" w:rsidRPr="00550D35" w:rsidRDefault="003450FC" w:rsidP="003450FC">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piešķirts: 37,62 </w:t>
      </w:r>
      <w:r w:rsidRPr="00550D35">
        <w:rPr>
          <w:rFonts w:eastAsia="Calibri"/>
          <w:szCs w:val="24"/>
          <w:lang w:val="lv-LV"/>
        </w:rPr>
        <w:t>milj. </w:t>
      </w:r>
      <w:proofErr w:type="spellStart"/>
      <w:r w:rsidRPr="00550D35">
        <w:rPr>
          <w:rFonts w:eastAsia="Calibri"/>
          <w:i/>
          <w:szCs w:val="24"/>
          <w:lang w:val="lv-LV"/>
        </w:rPr>
        <w:t>euro</w:t>
      </w:r>
      <w:proofErr w:type="spellEnd"/>
      <w:r w:rsidRPr="00550D35">
        <w:rPr>
          <w:rFonts w:eastAsia="Calibri"/>
          <w:szCs w:val="24"/>
          <w:lang w:val="lv-LV"/>
        </w:rPr>
        <w:t xml:space="preserve">;  </w:t>
      </w:r>
    </w:p>
    <w:p w14:paraId="2C36B089" w14:textId="77777777" w:rsidR="003450FC" w:rsidRPr="00550D35" w:rsidRDefault="003450FC" w:rsidP="003450FC">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plānots:   52,74 </w:t>
      </w:r>
      <w:r w:rsidRPr="00550D35">
        <w:rPr>
          <w:rFonts w:eastAsia="Calibri"/>
          <w:szCs w:val="24"/>
          <w:lang w:val="lv-LV"/>
        </w:rPr>
        <w:t>milj. </w:t>
      </w:r>
      <w:proofErr w:type="spellStart"/>
      <w:r w:rsidRPr="00550D35">
        <w:rPr>
          <w:rFonts w:eastAsia="Calibri"/>
          <w:i/>
          <w:szCs w:val="24"/>
          <w:lang w:val="lv-LV"/>
        </w:rPr>
        <w:t>euro</w:t>
      </w:r>
      <w:proofErr w:type="spellEnd"/>
      <w:r w:rsidRPr="00550D35">
        <w:rPr>
          <w:rFonts w:eastAsia="Calibri"/>
          <w:szCs w:val="24"/>
          <w:lang w:val="lv-LV"/>
        </w:rPr>
        <w:t xml:space="preserve">.  </w:t>
      </w:r>
    </w:p>
    <w:p w14:paraId="3CF4656E" w14:textId="77777777" w:rsidR="00B64009" w:rsidRPr="00550D35" w:rsidRDefault="00B64009" w:rsidP="003450FC">
      <w:pPr>
        <w:ind w:firstLine="0"/>
        <w:rPr>
          <w:lang w:val="lv-LV"/>
        </w:rPr>
      </w:pPr>
    </w:p>
    <w:p w14:paraId="06E3FA84" w14:textId="77777777" w:rsidR="00B64009" w:rsidRPr="00550D35" w:rsidRDefault="00B64009" w:rsidP="00B64009">
      <w:pPr>
        <w:pStyle w:val="Heading3"/>
        <w:rPr>
          <w:lang w:val="lv-LV"/>
        </w:rPr>
      </w:pPr>
      <w:r w:rsidRPr="00550D35">
        <w:rPr>
          <w:lang w:val="lv-LV"/>
        </w:rPr>
        <w:t>Pasākumu apraksts</w:t>
      </w:r>
    </w:p>
    <w:p w14:paraId="730E4D5A" w14:textId="77777777" w:rsidR="00B64009" w:rsidRPr="00550D35" w:rsidRDefault="00B64009" w:rsidP="00B64009">
      <w:pPr>
        <w:pStyle w:val="Text3"/>
        <w:ind w:left="0" w:firstLine="0"/>
        <w:rPr>
          <w:lang w:val="lv-LV"/>
        </w:rPr>
      </w:pPr>
    </w:p>
    <w:tbl>
      <w:tblPr>
        <w:tblStyle w:val="TableGrid"/>
        <w:tblW w:w="8755" w:type="dxa"/>
        <w:tblLook w:val="04A0" w:firstRow="1" w:lastRow="0" w:firstColumn="1" w:lastColumn="0" w:noHBand="0" w:noVBand="1"/>
      </w:tblPr>
      <w:tblGrid>
        <w:gridCol w:w="3192"/>
        <w:gridCol w:w="5563"/>
      </w:tblGrid>
      <w:tr w:rsidR="006317BB" w:rsidRPr="003B2E9A" w14:paraId="3805246D" w14:textId="7F1C8AB6" w:rsidTr="00CB25E1">
        <w:tc>
          <w:tcPr>
            <w:tcW w:w="8755" w:type="dxa"/>
            <w:gridSpan w:val="2"/>
            <w:shd w:val="clear" w:color="auto" w:fill="FFFFFF" w:themeFill="background1"/>
          </w:tcPr>
          <w:p w14:paraId="06BA66C4" w14:textId="6247510D" w:rsidR="006317BB" w:rsidRPr="00550D35" w:rsidRDefault="006317BB" w:rsidP="009C20E1">
            <w:pPr>
              <w:ind w:firstLine="0"/>
              <w:contextualSpacing/>
              <w:rPr>
                <w:rFonts w:eastAsia="Wingdings 2"/>
                <w:sz w:val="20"/>
                <w:lang w:val="lv-LV"/>
              </w:rPr>
            </w:pPr>
            <w:r w:rsidRPr="00550D35">
              <w:rPr>
                <w:b/>
                <w:bCs/>
                <w:sz w:val="20"/>
                <w:lang w:val="lv-LV"/>
              </w:rPr>
              <w:t xml:space="preserve">Pasākums Nr.1 – </w:t>
            </w:r>
            <w:r w:rsidRPr="00FD450E">
              <w:rPr>
                <w:b/>
                <w:bCs/>
                <w:sz w:val="20"/>
                <w:lang w:val="lv-LV"/>
              </w:rPr>
              <w:t xml:space="preserve">ESF 8.4.1. pasākums  </w:t>
            </w:r>
            <w:r w:rsidR="003170FF" w:rsidRPr="003817C7">
              <w:rPr>
                <w:b/>
                <w:bCs/>
                <w:sz w:val="20"/>
                <w:lang w:val="lv-LV"/>
              </w:rPr>
              <w:t>“Nodarbināto vecumā no 25 gadiem profesionālās kompetences uzlabošana”</w:t>
            </w:r>
          </w:p>
        </w:tc>
      </w:tr>
      <w:tr w:rsidR="006317BB" w:rsidRPr="00550D35" w14:paraId="74D40F59" w14:textId="5DCC5120" w:rsidTr="00CB25E1">
        <w:tc>
          <w:tcPr>
            <w:tcW w:w="3192" w:type="dxa"/>
            <w:shd w:val="clear" w:color="auto" w:fill="FFFFFF" w:themeFill="background1"/>
          </w:tcPr>
          <w:p w14:paraId="38533E6B" w14:textId="77777777" w:rsidR="006317BB" w:rsidRPr="00550D35" w:rsidRDefault="006317BB" w:rsidP="00BA62A0">
            <w:pPr>
              <w:ind w:firstLine="0"/>
              <w:rPr>
                <w:b/>
                <w:bCs/>
                <w:sz w:val="20"/>
                <w:lang w:val="lv-LV"/>
              </w:rPr>
            </w:pPr>
            <w:r w:rsidRPr="00550D35">
              <w:rPr>
                <w:b/>
                <w:bCs/>
                <w:sz w:val="20"/>
                <w:lang w:val="lv-LV"/>
              </w:rPr>
              <w:t>Jauns pasākums</w:t>
            </w:r>
          </w:p>
        </w:tc>
        <w:tc>
          <w:tcPr>
            <w:tcW w:w="5563" w:type="dxa"/>
            <w:shd w:val="clear" w:color="auto" w:fill="FFFFFF" w:themeFill="background1"/>
          </w:tcPr>
          <w:p w14:paraId="6C8E5A06" w14:textId="77777777" w:rsidR="006317BB" w:rsidRPr="00550D35" w:rsidRDefault="00AC141D" w:rsidP="00BA62A0">
            <w:pPr>
              <w:spacing w:before="0" w:after="120"/>
              <w:ind w:firstLine="0"/>
              <w:contextualSpacing/>
              <w:rPr>
                <w:sz w:val="22"/>
                <w:szCs w:val="22"/>
                <w:lang w:val="lv-LV"/>
              </w:rPr>
            </w:pPr>
            <w:sdt>
              <w:sdtPr>
                <w:rPr>
                  <w:sz w:val="22"/>
                  <w:szCs w:val="22"/>
                  <w:lang w:val="lv-LV"/>
                </w:rPr>
                <w:id w:val="398725362"/>
                <w14:checkbox>
                  <w14:checked w14:val="0"/>
                  <w14:checkedState w14:val="2612" w14:font="MS Gothic"/>
                  <w14:uncheckedState w14:val="2610" w14:font="MS Gothic"/>
                </w14:checkbox>
              </w:sdtPr>
              <w:sdtEndPr/>
              <w:sdtContent>
                <w:r w:rsidR="006317BB" w:rsidRPr="00550D35">
                  <w:rPr>
                    <w:rFonts w:ascii="MS Gothic" w:eastAsia="MS Gothic" w:hAnsi="MS Gothic"/>
                    <w:sz w:val="22"/>
                    <w:szCs w:val="22"/>
                    <w:lang w:val="lv-LV"/>
                  </w:rPr>
                  <w:t>☐</w:t>
                </w:r>
              </w:sdtContent>
            </w:sdt>
            <w:r w:rsidR="006317BB" w:rsidRPr="00550D35">
              <w:rPr>
                <w:sz w:val="22"/>
                <w:szCs w:val="22"/>
                <w:lang w:val="lv-LV"/>
              </w:rPr>
              <w:t>jā</w:t>
            </w:r>
          </w:p>
          <w:p w14:paraId="2C207923" w14:textId="77777777" w:rsidR="006317BB" w:rsidRPr="00550D35" w:rsidRDefault="00AC141D" w:rsidP="00BA62A0">
            <w:pPr>
              <w:spacing w:before="0" w:after="120"/>
              <w:ind w:firstLine="0"/>
              <w:contextualSpacing/>
              <w:rPr>
                <w:sz w:val="20"/>
                <w:lang w:val="lv-LV"/>
              </w:rPr>
            </w:pPr>
            <w:sdt>
              <w:sdtPr>
                <w:rPr>
                  <w:sz w:val="22"/>
                  <w:szCs w:val="22"/>
                  <w:lang w:val="lv-LV"/>
                </w:rPr>
                <w:id w:val="1730188045"/>
                <w14:checkbox>
                  <w14:checked w14:val="1"/>
                  <w14:checkedState w14:val="2612" w14:font="MS Gothic"/>
                  <w14:uncheckedState w14:val="2610" w14:font="MS Gothic"/>
                </w14:checkbox>
              </w:sdtPr>
              <w:sdtEndPr/>
              <w:sdtContent>
                <w:r w:rsidR="006317BB" w:rsidRPr="00550D35">
                  <w:rPr>
                    <w:rFonts w:ascii="MS Gothic" w:eastAsia="MS Gothic" w:hAnsi="MS Gothic"/>
                    <w:sz w:val="22"/>
                    <w:szCs w:val="22"/>
                    <w:lang w:val="lv-LV"/>
                  </w:rPr>
                  <w:t>☒</w:t>
                </w:r>
              </w:sdtContent>
            </w:sdt>
            <w:r w:rsidR="006317BB" w:rsidRPr="00550D35">
              <w:rPr>
                <w:rFonts w:eastAsia="MS Minngs"/>
                <w:sz w:val="22"/>
                <w:szCs w:val="22"/>
                <w:lang w:val="lv-LV"/>
              </w:rPr>
              <w:t xml:space="preserve"> </w:t>
            </w:r>
            <w:r w:rsidR="006317BB" w:rsidRPr="00550D35">
              <w:rPr>
                <w:sz w:val="22"/>
                <w:szCs w:val="22"/>
                <w:lang w:val="lv-LV"/>
              </w:rPr>
              <w:t>nē</w:t>
            </w:r>
          </w:p>
        </w:tc>
      </w:tr>
      <w:tr w:rsidR="006317BB" w:rsidRPr="00FD5D3F" w14:paraId="5453AFB3" w14:textId="454441D3" w:rsidTr="00CB25E1">
        <w:tc>
          <w:tcPr>
            <w:tcW w:w="3192" w:type="dxa"/>
            <w:shd w:val="clear" w:color="auto" w:fill="FFFFFF" w:themeFill="background1"/>
          </w:tcPr>
          <w:p w14:paraId="065DCF28" w14:textId="68D0C0E5" w:rsidR="006317BB" w:rsidRPr="00550D35" w:rsidRDefault="006317BB" w:rsidP="00B20E9A">
            <w:pPr>
              <w:ind w:firstLine="0"/>
              <w:rPr>
                <w:b/>
                <w:bCs/>
                <w:sz w:val="20"/>
                <w:lang w:val="lv-LV"/>
              </w:rPr>
            </w:pPr>
            <w:r w:rsidRPr="00550D35">
              <w:rPr>
                <w:b/>
                <w:bCs/>
                <w:sz w:val="20"/>
                <w:lang w:val="lv-LV"/>
              </w:rPr>
              <w:t>Īss pasākuma apraksts</w:t>
            </w:r>
          </w:p>
          <w:p w14:paraId="57E0F4E4" w14:textId="77777777" w:rsidR="006317BB" w:rsidRPr="00550D35" w:rsidRDefault="006317BB" w:rsidP="00B20E9A">
            <w:pPr>
              <w:rPr>
                <w:sz w:val="20"/>
                <w:lang w:val="lv-LV"/>
              </w:rPr>
            </w:pPr>
          </w:p>
        </w:tc>
        <w:tc>
          <w:tcPr>
            <w:tcW w:w="5563" w:type="dxa"/>
            <w:shd w:val="clear" w:color="auto" w:fill="FFFFFF" w:themeFill="background1"/>
          </w:tcPr>
          <w:p w14:paraId="5FA1AB57" w14:textId="77777777" w:rsidR="006317BB" w:rsidRPr="00FD5D3F" w:rsidRDefault="006317BB" w:rsidP="00B20E9A">
            <w:pPr>
              <w:ind w:firstLine="0"/>
              <w:rPr>
                <w:sz w:val="20"/>
                <w:lang w:val="lv-LV"/>
              </w:rPr>
            </w:pPr>
            <w:r w:rsidRPr="00FD5D3F">
              <w:rPr>
                <w:sz w:val="20"/>
                <w:lang w:val="lv-LV"/>
              </w:rPr>
              <w:t xml:space="preserve">Valsts izglītības attīstības aģentūra īsteno ESF projektu par nodarbināto vecumā no 25 gadiem profesionālās kompetences uzlabošanu (https://www.macibaspieaugusajiem.lv/par-projektu).  Darbības ietver profesionālo tālākizglītību, profesionālās </w:t>
            </w:r>
            <w:r w:rsidRPr="00FD5D3F">
              <w:rPr>
                <w:sz w:val="20"/>
                <w:lang w:val="lv-LV"/>
              </w:rPr>
              <w:lastRenderedPageBreak/>
              <w:t>pilnveides izglītības programmas, moduli vai moduļu kopu no modulārām profesionālās izglītības programmām, studiju moduli vai studiju kursu augstākās izglītības iestādē, karjeras konsultāciju pakalpojumus vai ārpus formālās izglītības iegūtus profesionālās kompetences novērtējumus.</w:t>
            </w:r>
          </w:p>
          <w:p w14:paraId="17488644" w14:textId="2652CC50" w:rsidR="006317BB" w:rsidRPr="00550D35" w:rsidRDefault="006317BB" w:rsidP="00B20E9A">
            <w:pPr>
              <w:spacing w:after="0"/>
              <w:ind w:firstLine="0"/>
              <w:rPr>
                <w:sz w:val="20"/>
                <w:lang w:val="lv-LV"/>
              </w:rPr>
            </w:pPr>
            <w:r w:rsidRPr="00550D35">
              <w:rPr>
                <w:sz w:val="20"/>
                <w:lang w:val="lv-LV"/>
              </w:rPr>
              <w:t xml:space="preserve">Kopš 2017. gada projekta ietvaros organizētas </w:t>
            </w:r>
            <w:r>
              <w:rPr>
                <w:sz w:val="20"/>
                <w:lang w:val="lv-LV"/>
              </w:rPr>
              <w:t xml:space="preserve">desmit </w:t>
            </w:r>
            <w:r w:rsidRPr="00550D35">
              <w:rPr>
                <w:sz w:val="20"/>
                <w:lang w:val="lv-LV"/>
              </w:rPr>
              <w:t xml:space="preserve">mācību kārtas, izglītības programmas ir pabeigušas </w:t>
            </w:r>
            <w:r w:rsidRPr="0031669D">
              <w:rPr>
                <w:sz w:val="20"/>
                <w:lang w:val="lv-LV"/>
              </w:rPr>
              <w:t>66</w:t>
            </w:r>
            <w:r>
              <w:rPr>
                <w:sz w:val="20"/>
                <w:lang w:val="lv-LV"/>
              </w:rPr>
              <w:t> </w:t>
            </w:r>
            <w:r w:rsidRPr="0031669D">
              <w:rPr>
                <w:sz w:val="20"/>
                <w:lang w:val="lv-LV"/>
              </w:rPr>
              <w:t>479</w:t>
            </w:r>
            <w:r>
              <w:rPr>
                <w:sz w:val="20"/>
                <w:lang w:val="lv-LV"/>
              </w:rPr>
              <w:t xml:space="preserve"> (dati uz 22.11.2023.)</w:t>
            </w:r>
            <w:r w:rsidRPr="00550D35">
              <w:rPr>
                <w:sz w:val="20"/>
                <w:lang w:val="lv-LV"/>
              </w:rPr>
              <w:t xml:space="preserve"> unikālās personas. Plašākā iesaiste bija IKT/elektronika</w:t>
            </w:r>
            <w:r>
              <w:rPr>
                <w:sz w:val="20"/>
                <w:lang w:val="lv-LV"/>
              </w:rPr>
              <w:t>s</w:t>
            </w:r>
            <w:r w:rsidRPr="00550D35">
              <w:rPr>
                <w:sz w:val="20"/>
                <w:lang w:val="lv-LV"/>
              </w:rPr>
              <w:t xml:space="preserve"> nozarē – </w:t>
            </w:r>
            <w:r>
              <w:rPr>
                <w:sz w:val="20"/>
                <w:lang w:val="lv-LV"/>
              </w:rPr>
              <w:t xml:space="preserve">mācības uzsāka </w:t>
            </w:r>
            <w:r w:rsidRPr="0031669D">
              <w:rPr>
                <w:sz w:val="20"/>
                <w:lang w:val="lv-LV"/>
              </w:rPr>
              <w:t>40</w:t>
            </w:r>
            <w:r>
              <w:rPr>
                <w:sz w:val="20"/>
                <w:lang w:val="lv-LV"/>
              </w:rPr>
              <w:t> </w:t>
            </w:r>
            <w:r w:rsidRPr="0031669D">
              <w:rPr>
                <w:sz w:val="20"/>
                <w:lang w:val="lv-LV"/>
              </w:rPr>
              <w:t>618</w:t>
            </w:r>
            <w:r>
              <w:rPr>
                <w:sz w:val="20"/>
                <w:lang w:val="lv-LV"/>
              </w:rPr>
              <w:t xml:space="preserve"> </w:t>
            </w:r>
            <w:r w:rsidRPr="00550D35">
              <w:rPr>
                <w:sz w:val="20"/>
                <w:lang w:val="lv-LV"/>
              </w:rPr>
              <w:t> personas</w:t>
            </w:r>
            <w:r>
              <w:rPr>
                <w:sz w:val="20"/>
                <w:lang w:val="lv-LV"/>
              </w:rPr>
              <w:t>.</w:t>
            </w:r>
            <w:r w:rsidRPr="00550D35">
              <w:rPr>
                <w:sz w:val="20"/>
                <w:lang w:val="lv-LV"/>
              </w:rPr>
              <w:t xml:space="preserve"> 2020. gadā tika veikti pasākumi, lai mazinātu Covid-19 ierobežojošo pasākumu negatīvo ietekmi uz ekonomikas attīstību - tika piedāvāta </w:t>
            </w:r>
            <w:r>
              <w:rPr>
                <w:sz w:val="20"/>
                <w:lang w:val="lv-LV"/>
              </w:rPr>
              <w:t>attālināto mācību</w:t>
            </w:r>
            <w:r w:rsidRPr="00550D35">
              <w:rPr>
                <w:sz w:val="20"/>
                <w:lang w:val="lv-LV"/>
              </w:rPr>
              <w:t xml:space="preserve"> kārta profesionālās pilnveides izglītības programmās, moduļos vai moduļu ko</w:t>
            </w:r>
            <w:r>
              <w:rPr>
                <w:sz w:val="20"/>
                <w:lang w:val="lv-LV"/>
              </w:rPr>
              <w:t>pās</w:t>
            </w:r>
            <w:r w:rsidRPr="00550D35">
              <w:rPr>
                <w:sz w:val="20"/>
                <w:lang w:val="lv-LV"/>
              </w:rPr>
              <w:t xml:space="preserve"> profesionālajā tālākizglītībā, kā arī studiju modulī vai studiju kursā augstākās izglītības iestādē. </w:t>
            </w:r>
            <w:r>
              <w:rPr>
                <w:sz w:val="20"/>
                <w:lang w:val="lv-LV"/>
              </w:rPr>
              <w:t>Attālinātās kārtas</w:t>
            </w:r>
            <w:r w:rsidRPr="00550D35">
              <w:rPr>
                <w:sz w:val="20"/>
                <w:lang w:val="lv-LV"/>
              </w:rPr>
              <w:t xml:space="preserve"> ietvaros tika apmācītas 8</w:t>
            </w:r>
            <w:r>
              <w:rPr>
                <w:sz w:val="20"/>
                <w:lang w:val="lv-LV"/>
              </w:rPr>
              <w:t> </w:t>
            </w:r>
            <w:r w:rsidRPr="00550D35">
              <w:rPr>
                <w:sz w:val="20"/>
                <w:lang w:val="lv-LV"/>
              </w:rPr>
              <w:t>153</w:t>
            </w:r>
            <w:r>
              <w:rPr>
                <w:sz w:val="20"/>
                <w:lang w:val="lv-LV"/>
              </w:rPr>
              <w:t> </w:t>
            </w:r>
            <w:r w:rsidRPr="00550D35">
              <w:rPr>
                <w:sz w:val="20"/>
                <w:lang w:val="lv-LV"/>
              </w:rPr>
              <w:t>personas.</w:t>
            </w:r>
          </w:p>
        </w:tc>
      </w:tr>
      <w:tr w:rsidR="006317BB" w:rsidRPr="00550D35" w14:paraId="5BBC9887" w14:textId="04E4C873" w:rsidTr="00CB25E1">
        <w:tc>
          <w:tcPr>
            <w:tcW w:w="3192" w:type="dxa"/>
            <w:shd w:val="clear" w:color="auto" w:fill="FFFFFF" w:themeFill="background1"/>
          </w:tcPr>
          <w:p w14:paraId="29884D6E" w14:textId="20371BF0" w:rsidR="006317BB" w:rsidRPr="00550D35" w:rsidRDefault="006317BB" w:rsidP="00BA62A0">
            <w:pPr>
              <w:ind w:firstLine="0"/>
              <w:rPr>
                <w:b/>
                <w:bCs/>
                <w:sz w:val="20"/>
                <w:lang w:val="lv-LV"/>
              </w:rPr>
            </w:pPr>
            <w:r w:rsidRPr="00550D35">
              <w:rPr>
                <w:b/>
                <w:bCs/>
                <w:sz w:val="20"/>
                <w:lang w:val="lv-LV"/>
              </w:rPr>
              <w:lastRenderedPageBreak/>
              <w:t>Piešķirtais vai plānotais budžets un, ja atbilstoši, citi resursi</w:t>
            </w:r>
          </w:p>
        </w:tc>
        <w:tc>
          <w:tcPr>
            <w:tcW w:w="5563" w:type="dxa"/>
            <w:shd w:val="clear" w:color="auto" w:fill="FFFFFF" w:themeFill="background1"/>
          </w:tcPr>
          <w:p w14:paraId="6D0F41E9" w14:textId="77777777" w:rsidR="006317BB" w:rsidRPr="00550D35" w:rsidRDefault="006317BB" w:rsidP="00BA62A0">
            <w:pPr>
              <w:ind w:firstLine="0"/>
              <w:contextualSpacing/>
              <w:rPr>
                <w:iCs/>
                <w:sz w:val="20"/>
                <w:lang w:val="lv-LV"/>
              </w:rPr>
            </w:pPr>
            <w:r w:rsidRPr="00550D35">
              <w:rPr>
                <w:iCs/>
                <w:sz w:val="20"/>
                <w:lang w:val="lv-LV"/>
              </w:rPr>
              <w:t xml:space="preserve">Publiskā sektora ieguldījumi: </w:t>
            </w:r>
          </w:p>
          <w:p w14:paraId="7D607663" w14:textId="21635A62" w:rsidR="006317BB" w:rsidRPr="00550D35" w:rsidRDefault="006317BB" w:rsidP="00BA62A0">
            <w:pPr>
              <w:spacing w:after="0"/>
              <w:ind w:firstLine="0"/>
              <w:rPr>
                <w:sz w:val="20"/>
                <w:lang w:val="lv-LV"/>
              </w:rPr>
            </w:pPr>
            <w:r w:rsidRPr="00550D35">
              <w:rPr>
                <w:iCs/>
                <w:sz w:val="20"/>
                <w:lang w:val="lv-LV"/>
              </w:rPr>
              <w:t xml:space="preserve">piešķirts: </w:t>
            </w:r>
            <w:r w:rsidRPr="00550D35">
              <w:rPr>
                <w:sz w:val="20"/>
                <w:lang w:val="lv-LV"/>
              </w:rPr>
              <w:t> 4</w:t>
            </w:r>
            <w:r>
              <w:rPr>
                <w:sz w:val="20"/>
                <w:lang w:val="lv-LV"/>
              </w:rPr>
              <w:t>4</w:t>
            </w:r>
            <w:r w:rsidRPr="00550D35">
              <w:rPr>
                <w:sz w:val="20"/>
                <w:lang w:val="lv-LV"/>
              </w:rPr>
              <w:t>,</w:t>
            </w:r>
            <w:r>
              <w:rPr>
                <w:sz w:val="20"/>
                <w:lang w:val="lv-LV"/>
              </w:rPr>
              <w:t>0</w:t>
            </w:r>
            <w:r w:rsidRPr="00550D35">
              <w:rPr>
                <w:sz w:val="20"/>
                <w:lang w:val="lv-LV"/>
              </w:rPr>
              <w:t xml:space="preserve"> milj. </w:t>
            </w:r>
            <w:proofErr w:type="spellStart"/>
            <w:r w:rsidRPr="00550D35">
              <w:rPr>
                <w:i/>
                <w:sz w:val="20"/>
                <w:lang w:val="lv-LV"/>
              </w:rPr>
              <w:t>euro</w:t>
            </w:r>
            <w:proofErr w:type="spellEnd"/>
            <w:r w:rsidRPr="00550D35">
              <w:rPr>
                <w:sz w:val="20"/>
                <w:lang w:val="lv-LV"/>
              </w:rPr>
              <w:t>.</w:t>
            </w:r>
          </w:p>
          <w:p w14:paraId="78AA9FC9" w14:textId="77777777" w:rsidR="006317BB" w:rsidRPr="00550D35" w:rsidRDefault="006317BB" w:rsidP="00BA62A0">
            <w:pPr>
              <w:ind w:firstLine="0"/>
              <w:contextualSpacing/>
              <w:rPr>
                <w:iCs/>
                <w:sz w:val="20"/>
                <w:lang w:val="lv-LV"/>
              </w:rPr>
            </w:pPr>
            <w:r w:rsidRPr="00550D35">
              <w:rPr>
                <w:iCs/>
                <w:sz w:val="20"/>
                <w:lang w:val="lv-LV"/>
              </w:rPr>
              <w:t>t.sk. no nacionālajiem finansēšanas avotiem:</w:t>
            </w:r>
          </w:p>
          <w:p w14:paraId="44C0CA8B" w14:textId="5DC1D912" w:rsidR="006317BB" w:rsidRPr="00550D35" w:rsidRDefault="006317BB" w:rsidP="00BA62A0">
            <w:pPr>
              <w:ind w:firstLine="0"/>
              <w:contextualSpacing/>
              <w:rPr>
                <w:iCs/>
                <w:sz w:val="20"/>
                <w:lang w:val="lv-LV"/>
              </w:rPr>
            </w:pPr>
            <w:r w:rsidRPr="00550D35">
              <w:rPr>
                <w:iCs/>
                <w:sz w:val="20"/>
                <w:lang w:val="lv-LV"/>
              </w:rPr>
              <w:t xml:space="preserve">piešķirts: </w:t>
            </w:r>
            <w:r w:rsidRPr="00550D35">
              <w:rPr>
                <w:sz w:val="20"/>
                <w:lang w:val="lv-LV"/>
              </w:rPr>
              <w:t> 6,</w:t>
            </w:r>
            <w:r>
              <w:rPr>
                <w:sz w:val="20"/>
                <w:lang w:val="lv-LV"/>
              </w:rPr>
              <w:t>6</w:t>
            </w:r>
            <w:r w:rsidRPr="00550D35">
              <w:rPr>
                <w:sz w:val="20"/>
                <w:lang w:val="lv-LV"/>
              </w:rPr>
              <w:t xml:space="preserve"> milj.</w:t>
            </w:r>
            <w:r w:rsidR="0015666E">
              <w:rPr>
                <w:sz w:val="20"/>
                <w:lang w:val="lv-LV"/>
              </w:rPr>
              <w:t> </w:t>
            </w:r>
            <w:proofErr w:type="spellStart"/>
            <w:r w:rsidRPr="00550D35">
              <w:rPr>
                <w:i/>
                <w:sz w:val="20"/>
                <w:lang w:val="lv-LV"/>
              </w:rPr>
              <w:t>euro</w:t>
            </w:r>
            <w:proofErr w:type="spellEnd"/>
            <w:r w:rsidRPr="00550D35">
              <w:rPr>
                <w:sz w:val="20"/>
                <w:lang w:val="lv-LV"/>
              </w:rPr>
              <w:t xml:space="preserve">  (valsts budžeta finansējums)</w:t>
            </w:r>
          </w:p>
          <w:p w14:paraId="33271F52" w14:textId="77777777" w:rsidR="006317BB" w:rsidRPr="00550D35" w:rsidRDefault="006317BB" w:rsidP="00BA62A0">
            <w:pPr>
              <w:ind w:firstLine="0"/>
              <w:contextualSpacing/>
              <w:rPr>
                <w:iCs/>
                <w:sz w:val="20"/>
                <w:lang w:val="lv-LV"/>
              </w:rPr>
            </w:pPr>
            <w:r w:rsidRPr="00550D35">
              <w:rPr>
                <w:iCs/>
                <w:sz w:val="20"/>
                <w:lang w:val="lv-LV"/>
              </w:rPr>
              <w:t xml:space="preserve">t.sk. no ES finansēšanas avotiem (ESF 2014.-2020.): </w:t>
            </w:r>
          </w:p>
          <w:p w14:paraId="7EE96B0C" w14:textId="79A5223D" w:rsidR="006317BB" w:rsidRPr="00FD5D3F" w:rsidRDefault="006317BB" w:rsidP="00FD5D3F">
            <w:pPr>
              <w:ind w:firstLine="0"/>
              <w:contextualSpacing/>
              <w:rPr>
                <w:i/>
                <w:sz w:val="20"/>
                <w:lang w:val="lv-LV"/>
              </w:rPr>
            </w:pPr>
            <w:r w:rsidRPr="00550D35">
              <w:rPr>
                <w:iCs/>
                <w:sz w:val="20"/>
                <w:lang w:val="lv-LV"/>
              </w:rPr>
              <w:t>piešķirts:</w:t>
            </w:r>
            <w:r w:rsidRPr="00550D35">
              <w:rPr>
                <w:sz w:val="20"/>
                <w:lang w:val="lv-LV"/>
              </w:rPr>
              <w:t xml:space="preserve">  3</w:t>
            </w:r>
            <w:r>
              <w:rPr>
                <w:sz w:val="20"/>
                <w:lang w:val="lv-LV"/>
              </w:rPr>
              <w:t>7</w:t>
            </w:r>
            <w:r w:rsidRPr="00550D35">
              <w:rPr>
                <w:sz w:val="20"/>
                <w:lang w:val="lv-LV"/>
              </w:rPr>
              <w:t>,</w:t>
            </w:r>
            <w:r>
              <w:rPr>
                <w:sz w:val="20"/>
                <w:lang w:val="lv-LV"/>
              </w:rPr>
              <w:t>4</w:t>
            </w:r>
            <w:r w:rsidRPr="00550D35">
              <w:rPr>
                <w:sz w:val="20"/>
                <w:lang w:val="lv-LV"/>
              </w:rPr>
              <w:t xml:space="preserve"> milj. </w:t>
            </w:r>
            <w:proofErr w:type="spellStart"/>
            <w:r w:rsidRPr="00550D35">
              <w:rPr>
                <w:i/>
                <w:sz w:val="20"/>
                <w:lang w:val="lv-LV"/>
              </w:rPr>
              <w:t>euro</w:t>
            </w:r>
            <w:proofErr w:type="spellEnd"/>
            <w:r>
              <w:rPr>
                <w:i/>
                <w:sz w:val="20"/>
                <w:lang w:val="lv-LV"/>
              </w:rPr>
              <w:t>.</w:t>
            </w:r>
          </w:p>
        </w:tc>
      </w:tr>
      <w:tr w:rsidR="006317BB" w:rsidRPr="00550D35" w14:paraId="1819EFBE" w14:textId="344AD35B" w:rsidTr="00CB25E1">
        <w:tc>
          <w:tcPr>
            <w:tcW w:w="3192" w:type="dxa"/>
            <w:shd w:val="clear" w:color="auto" w:fill="FFFFFF" w:themeFill="background1"/>
          </w:tcPr>
          <w:p w14:paraId="6D3465E8" w14:textId="77777777" w:rsidR="006317BB" w:rsidRPr="00550D35" w:rsidRDefault="006317BB" w:rsidP="00BA62A0">
            <w:pPr>
              <w:ind w:firstLine="0"/>
              <w:rPr>
                <w:b/>
                <w:bCs/>
                <w:sz w:val="20"/>
                <w:lang w:val="lv-LV"/>
              </w:rPr>
            </w:pPr>
            <w:r w:rsidRPr="00550D35">
              <w:rPr>
                <w:b/>
                <w:bCs/>
                <w:sz w:val="20"/>
                <w:lang w:val="lv-LV"/>
              </w:rPr>
              <w:t>Sagaidāmā ietekme un laika ietvars</w:t>
            </w:r>
          </w:p>
        </w:tc>
        <w:tc>
          <w:tcPr>
            <w:tcW w:w="5563" w:type="dxa"/>
            <w:shd w:val="clear" w:color="auto" w:fill="FFFFFF" w:themeFill="background1"/>
          </w:tcPr>
          <w:p w14:paraId="35E5C6A7" w14:textId="773B3AE3" w:rsidR="006317BB" w:rsidRPr="00550D35" w:rsidRDefault="006317BB" w:rsidP="006317BB">
            <w:pPr>
              <w:spacing w:after="0"/>
              <w:ind w:firstLine="0"/>
              <w:rPr>
                <w:sz w:val="20"/>
                <w:lang w:val="lv-LV"/>
              </w:rPr>
            </w:pPr>
            <w:r w:rsidRPr="00550D35">
              <w:rPr>
                <w:sz w:val="20"/>
                <w:lang w:val="lv-LV"/>
              </w:rPr>
              <w:t xml:space="preserve">Projekts tiešā veidā veicinās digitālās prasmes sabiedrības mērķu sasniegšanai. Digitālo prasmju attīstīšana ir horizontāla apmācības prioritāte. Projekts aptver visu līmeņu digitālās prasmes, sākot no pamata līdz pat paaugstinātām, kā arī nodrošina apmācību jaunajās tehnoloģijās, piemēram, robotikā, </w:t>
            </w:r>
            <w:proofErr w:type="spellStart"/>
            <w:r w:rsidRPr="00550D35">
              <w:rPr>
                <w:sz w:val="20"/>
                <w:lang w:val="lv-LV"/>
              </w:rPr>
              <w:t>mākoņskaitļošanā</w:t>
            </w:r>
            <w:proofErr w:type="spellEnd"/>
            <w:r w:rsidR="0015666E">
              <w:rPr>
                <w:sz w:val="20"/>
                <w:lang w:val="lv-LV"/>
              </w:rPr>
              <w:t xml:space="preserve">, </w:t>
            </w:r>
            <w:r w:rsidRPr="00550D35">
              <w:rPr>
                <w:sz w:val="20"/>
                <w:lang w:val="lv-LV"/>
              </w:rPr>
              <w:t xml:space="preserve">u.c. Kopš 2021. gada projekta ietvaros izglītība digitālo prasmju attīstīšanai ir noteikta tieši saskaņā ar </w:t>
            </w:r>
            <w:proofErr w:type="spellStart"/>
            <w:r w:rsidRPr="0015666E">
              <w:rPr>
                <w:i/>
                <w:iCs/>
                <w:sz w:val="20"/>
                <w:lang w:val="lv-LV"/>
              </w:rPr>
              <w:t>DigComp</w:t>
            </w:r>
            <w:proofErr w:type="spellEnd"/>
            <w:r w:rsidRPr="00550D35">
              <w:rPr>
                <w:sz w:val="20"/>
                <w:lang w:val="lv-LV"/>
              </w:rPr>
              <w:t xml:space="preserve"> ietvaru.</w:t>
            </w:r>
          </w:p>
          <w:p w14:paraId="5723EBCD" w14:textId="2F67B06D" w:rsidR="006317BB" w:rsidRPr="00550D35" w:rsidRDefault="006317BB" w:rsidP="00BA62A0">
            <w:pPr>
              <w:spacing w:after="0"/>
              <w:ind w:firstLine="0"/>
              <w:rPr>
                <w:sz w:val="20"/>
                <w:lang w:val="lv-LV"/>
              </w:rPr>
            </w:pPr>
            <w:r w:rsidRPr="00550D35">
              <w:rPr>
                <w:sz w:val="20"/>
                <w:lang w:val="lv-LV"/>
              </w:rPr>
              <w:t>Projekta laika ietvars: 01.01.2017. – 31.12.2023</w:t>
            </w:r>
            <w:r>
              <w:rPr>
                <w:sz w:val="20"/>
                <w:lang w:val="lv-LV"/>
              </w:rPr>
              <w:t>.</w:t>
            </w:r>
          </w:p>
        </w:tc>
      </w:tr>
    </w:tbl>
    <w:p w14:paraId="360EFE73" w14:textId="77777777" w:rsidR="00B64009" w:rsidRPr="00550D35" w:rsidRDefault="00B64009" w:rsidP="00B64009">
      <w:pPr>
        <w:pStyle w:val="Text3"/>
        <w:ind w:left="0" w:firstLine="0"/>
        <w:rPr>
          <w:lang w:val="lv-LV"/>
        </w:rPr>
      </w:pPr>
    </w:p>
    <w:p w14:paraId="784464FB" w14:textId="77777777" w:rsidR="00B64009" w:rsidRPr="00550D35" w:rsidRDefault="00B64009" w:rsidP="00B64009">
      <w:pPr>
        <w:pStyle w:val="Text3"/>
        <w:ind w:left="0" w:firstLine="0"/>
        <w:rPr>
          <w:lang w:val="lv-LV"/>
        </w:rPr>
      </w:pPr>
    </w:p>
    <w:tbl>
      <w:tblPr>
        <w:tblStyle w:val="TableGrid"/>
        <w:tblW w:w="8784" w:type="dxa"/>
        <w:tblLook w:val="04A0" w:firstRow="1" w:lastRow="0" w:firstColumn="1" w:lastColumn="0" w:noHBand="0" w:noVBand="1"/>
      </w:tblPr>
      <w:tblGrid>
        <w:gridCol w:w="3192"/>
        <w:gridCol w:w="5592"/>
      </w:tblGrid>
      <w:tr w:rsidR="00B64009" w:rsidRPr="003B2E9A" w14:paraId="0467D657" w14:textId="77777777" w:rsidTr="00BA62A0">
        <w:tc>
          <w:tcPr>
            <w:tcW w:w="8784" w:type="dxa"/>
            <w:gridSpan w:val="2"/>
          </w:tcPr>
          <w:p w14:paraId="72E2DDE7" w14:textId="77777777" w:rsidR="00B64009" w:rsidRPr="002019FC" w:rsidRDefault="00B64009" w:rsidP="00BA62A0">
            <w:pPr>
              <w:ind w:firstLine="0"/>
              <w:contextualSpacing/>
              <w:rPr>
                <w:rFonts w:eastAsia="MS Minngs"/>
                <w:sz w:val="20"/>
                <w:lang w:val="lv-LV"/>
              </w:rPr>
            </w:pPr>
            <w:r w:rsidRPr="002019FC">
              <w:rPr>
                <w:b/>
                <w:bCs/>
                <w:sz w:val="20"/>
                <w:lang w:val="lv-LV"/>
              </w:rPr>
              <w:t>Pasākums Nr.2 – ANM plāna investīcija 2.3.1.3.i “</w:t>
            </w:r>
            <w:proofErr w:type="spellStart"/>
            <w:r w:rsidRPr="002019FC">
              <w:rPr>
                <w:b/>
                <w:bCs/>
                <w:sz w:val="20"/>
                <w:lang w:val="lv-LV"/>
              </w:rPr>
              <w:t>Pašvadītas</w:t>
            </w:r>
            <w:proofErr w:type="spellEnd"/>
            <w:r w:rsidRPr="002019FC">
              <w:rPr>
                <w:b/>
                <w:bCs/>
                <w:sz w:val="20"/>
                <w:lang w:val="lv-LV"/>
              </w:rPr>
              <w:t xml:space="preserve"> IKT speciālistu mācību pieejas attīstīšana”</w:t>
            </w:r>
          </w:p>
        </w:tc>
      </w:tr>
      <w:tr w:rsidR="00B64009" w:rsidRPr="00550D35" w14:paraId="1915558F" w14:textId="77777777" w:rsidTr="00BA62A0">
        <w:tc>
          <w:tcPr>
            <w:tcW w:w="3192" w:type="dxa"/>
          </w:tcPr>
          <w:p w14:paraId="1E967EFB" w14:textId="77777777" w:rsidR="00B64009" w:rsidRPr="002019FC" w:rsidRDefault="00B64009" w:rsidP="00BA62A0">
            <w:pPr>
              <w:ind w:firstLine="0"/>
              <w:rPr>
                <w:b/>
                <w:bCs/>
                <w:sz w:val="20"/>
                <w:lang w:val="lv-LV"/>
              </w:rPr>
            </w:pPr>
            <w:r w:rsidRPr="002019FC">
              <w:rPr>
                <w:b/>
                <w:bCs/>
                <w:sz w:val="20"/>
                <w:lang w:val="lv-LV"/>
              </w:rPr>
              <w:t>Jauns pasākums</w:t>
            </w:r>
          </w:p>
        </w:tc>
        <w:tc>
          <w:tcPr>
            <w:tcW w:w="5592" w:type="dxa"/>
          </w:tcPr>
          <w:p w14:paraId="0E921F94" w14:textId="77777777" w:rsidR="00B64009" w:rsidRPr="002019FC" w:rsidRDefault="00AC141D" w:rsidP="00BA62A0">
            <w:pPr>
              <w:spacing w:before="0" w:after="120"/>
              <w:ind w:firstLine="0"/>
              <w:contextualSpacing/>
              <w:rPr>
                <w:sz w:val="22"/>
                <w:szCs w:val="22"/>
                <w:lang w:val="lv-LV"/>
              </w:rPr>
            </w:pPr>
            <w:sdt>
              <w:sdtPr>
                <w:rPr>
                  <w:sz w:val="22"/>
                  <w:szCs w:val="22"/>
                  <w:lang w:val="lv-LV"/>
                </w:rPr>
                <w:id w:val="-1152050023"/>
                <w14:checkbox>
                  <w14:checked w14:val="1"/>
                  <w14:checkedState w14:val="2612" w14:font="MS Gothic"/>
                  <w14:uncheckedState w14:val="2610" w14:font="MS Gothic"/>
                </w14:checkbox>
              </w:sdtPr>
              <w:sdtEndPr/>
              <w:sdtContent>
                <w:r w:rsidR="00B64009" w:rsidRPr="002019FC">
                  <w:rPr>
                    <w:rFonts w:ascii="MS Gothic" w:eastAsia="MS Gothic" w:hAnsi="MS Gothic"/>
                    <w:sz w:val="22"/>
                    <w:szCs w:val="22"/>
                    <w:lang w:val="lv-LV"/>
                  </w:rPr>
                  <w:t>☒</w:t>
                </w:r>
              </w:sdtContent>
            </w:sdt>
            <w:r w:rsidR="00B64009" w:rsidRPr="002019FC">
              <w:rPr>
                <w:sz w:val="22"/>
                <w:szCs w:val="22"/>
                <w:lang w:val="lv-LV"/>
              </w:rPr>
              <w:t>jā</w:t>
            </w:r>
          </w:p>
          <w:p w14:paraId="16D233AE" w14:textId="77777777" w:rsidR="00B64009" w:rsidRPr="002019FC" w:rsidRDefault="00AC141D" w:rsidP="00BA62A0">
            <w:pPr>
              <w:spacing w:before="0" w:after="120"/>
              <w:ind w:firstLine="0"/>
              <w:contextualSpacing/>
              <w:rPr>
                <w:sz w:val="22"/>
                <w:szCs w:val="22"/>
                <w:lang w:val="lv-LV"/>
              </w:rPr>
            </w:pPr>
            <w:sdt>
              <w:sdtPr>
                <w:rPr>
                  <w:sz w:val="22"/>
                  <w:szCs w:val="22"/>
                  <w:lang w:val="lv-LV"/>
                </w:rPr>
                <w:id w:val="1789013514"/>
                <w14:checkbox>
                  <w14:checked w14:val="0"/>
                  <w14:checkedState w14:val="2612" w14:font="MS Gothic"/>
                  <w14:uncheckedState w14:val="2610" w14:font="MS Gothic"/>
                </w14:checkbox>
              </w:sdtPr>
              <w:sdtEndPr/>
              <w:sdtContent>
                <w:r w:rsidR="00B64009" w:rsidRPr="002019FC">
                  <w:rPr>
                    <w:rFonts w:ascii="MS Gothic" w:eastAsia="MS Gothic" w:hAnsi="MS Gothic"/>
                    <w:sz w:val="22"/>
                    <w:szCs w:val="22"/>
                    <w:lang w:val="lv-LV"/>
                  </w:rPr>
                  <w:t>☐</w:t>
                </w:r>
              </w:sdtContent>
            </w:sdt>
            <w:r w:rsidR="00B64009" w:rsidRPr="002019FC">
              <w:rPr>
                <w:rFonts w:eastAsia="MS Minngs"/>
                <w:sz w:val="22"/>
                <w:szCs w:val="22"/>
                <w:lang w:val="lv-LV"/>
              </w:rPr>
              <w:t xml:space="preserve"> </w:t>
            </w:r>
            <w:r w:rsidR="00B64009" w:rsidRPr="002019FC">
              <w:rPr>
                <w:sz w:val="22"/>
                <w:szCs w:val="22"/>
                <w:lang w:val="lv-LV"/>
              </w:rPr>
              <w:t>nē</w:t>
            </w:r>
          </w:p>
        </w:tc>
      </w:tr>
      <w:tr w:rsidR="00B64009" w:rsidRPr="003B2E9A" w14:paraId="72F2E121" w14:textId="77777777" w:rsidTr="00BA62A0">
        <w:tc>
          <w:tcPr>
            <w:tcW w:w="3192" w:type="dxa"/>
          </w:tcPr>
          <w:p w14:paraId="627FFD07" w14:textId="77777777" w:rsidR="00B64009" w:rsidRPr="00550D35" w:rsidRDefault="00B64009" w:rsidP="00BA62A0">
            <w:pPr>
              <w:ind w:firstLine="0"/>
              <w:rPr>
                <w:b/>
                <w:bCs/>
                <w:sz w:val="20"/>
                <w:lang w:val="lv-LV"/>
              </w:rPr>
            </w:pPr>
            <w:r w:rsidRPr="00550D35">
              <w:rPr>
                <w:b/>
                <w:bCs/>
                <w:sz w:val="20"/>
                <w:lang w:val="lv-LV"/>
              </w:rPr>
              <w:t>Īss pasākuma apraksts</w:t>
            </w:r>
            <w:r w:rsidRPr="00550D35">
              <w:rPr>
                <w:i/>
                <w:iCs/>
                <w:sz w:val="20"/>
                <w:lang w:val="lv-LV"/>
              </w:rPr>
              <w:t>:</w:t>
            </w:r>
          </w:p>
          <w:p w14:paraId="631AEA94" w14:textId="77777777" w:rsidR="00B64009" w:rsidRPr="00550D35" w:rsidRDefault="00B64009" w:rsidP="00BA62A0">
            <w:pPr>
              <w:rPr>
                <w:b/>
                <w:sz w:val="20"/>
                <w:lang w:val="lv-LV"/>
              </w:rPr>
            </w:pPr>
          </w:p>
        </w:tc>
        <w:tc>
          <w:tcPr>
            <w:tcW w:w="5592" w:type="dxa"/>
          </w:tcPr>
          <w:p w14:paraId="1AA62555" w14:textId="77777777" w:rsidR="00B64009" w:rsidRPr="00BC4BDA" w:rsidRDefault="00B64009" w:rsidP="00BA62A0">
            <w:pPr>
              <w:ind w:firstLine="0"/>
              <w:contextualSpacing/>
              <w:rPr>
                <w:iCs/>
                <w:sz w:val="20"/>
                <w:highlight w:val="yellow"/>
                <w:lang w:val="lv-LV"/>
              </w:rPr>
            </w:pPr>
            <w:r w:rsidRPr="00550D35">
              <w:rPr>
                <w:iCs/>
                <w:sz w:val="20"/>
                <w:lang w:val="lv-LV"/>
              </w:rPr>
              <w:t xml:space="preserve">ANM plāna investīcijas ietvaros paredzēts izveidot jaunu pieeju IKT speciālistu sagatavošanai, t.i. </w:t>
            </w:r>
            <w:proofErr w:type="spellStart"/>
            <w:r w:rsidRPr="00550D35">
              <w:rPr>
                <w:iCs/>
                <w:sz w:val="20"/>
                <w:lang w:val="lv-LV"/>
              </w:rPr>
              <w:t>pašvadītas</w:t>
            </w:r>
            <w:proofErr w:type="spellEnd"/>
            <w:r w:rsidRPr="00550D35">
              <w:rPr>
                <w:iCs/>
                <w:sz w:val="20"/>
                <w:lang w:val="lv-LV"/>
              </w:rPr>
              <w:t xml:space="preserve"> IKT mācīšanās skolas mācību vidi un no 2024.gada līdz 2027.gadam izglītojot 500 jaunus IKT speciālistus. Tāpat paredzētas investīcijas jau izveidoto </w:t>
            </w:r>
            <w:proofErr w:type="spellStart"/>
            <w:r w:rsidRPr="00550D35">
              <w:rPr>
                <w:iCs/>
                <w:sz w:val="20"/>
                <w:lang w:val="lv-LV"/>
              </w:rPr>
              <w:t>ārpusformālās</w:t>
            </w:r>
            <w:proofErr w:type="spellEnd"/>
            <w:r w:rsidRPr="00550D35">
              <w:rPr>
                <w:iCs/>
                <w:sz w:val="20"/>
                <w:lang w:val="lv-LV"/>
              </w:rPr>
              <w:t xml:space="preserve"> izglītības IKT speciālistu sagatavošanas iniciatīvu mērogošanai, īpaši atbalstot sieviešu iesaisti IKT darbam, intensīvu mācību īstenošanai cilvēkiem, kas vēlas mainīt karjeru un apgūt nepieciešamās iemaņas darbam IT jomā.</w:t>
            </w:r>
          </w:p>
        </w:tc>
      </w:tr>
      <w:tr w:rsidR="00B64009" w:rsidRPr="003B2E9A" w14:paraId="75C28F06" w14:textId="77777777" w:rsidTr="00BA62A0">
        <w:tc>
          <w:tcPr>
            <w:tcW w:w="3192" w:type="dxa"/>
            <w:shd w:val="clear" w:color="auto" w:fill="auto"/>
          </w:tcPr>
          <w:p w14:paraId="6AB3921E" w14:textId="57F7D5C0" w:rsidR="00B64009" w:rsidRPr="00550D35" w:rsidRDefault="00B64009" w:rsidP="00BA62A0">
            <w:pPr>
              <w:ind w:firstLine="0"/>
              <w:rPr>
                <w:b/>
                <w:bCs/>
                <w:sz w:val="20"/>
                <w:lang w:val="lv-LV"/>
              </w:rPr>
            </w:pPr>
            <w:r w:rsidRPr="00550D35">
              <w:rPr>
                <w:b/>
                <w:bCs/>
                <w:sz w:val="20"/>
                <w:lang w:val="lv-LV"/>
              </w:rPr>
              <w:t>Piešķirtais vai plānotais budžets un, ja atbilstoši, citi resursi</w:t>
            </w:r>
          </w:p>
        </w:tc>
        <w:tc>
          <w:tcPr>
            <w:tcW w:w="5592" w:type="dxa"/>
            <w:shd w:val="clear" w:color="auto" w:fill="auto"/>
          </w:tcPr>
          <w:p w14:paraId="05F96EBB" w14:textId="77777777" w:rsidR="00B64009" w:rsidRPr="006E16F0" w:rsidRDefault="00B64009" w:rsidP="00BA62A0">
            <w:pPr>
              <w:ind w:firstLine="0"/>
              <w:contextualSpacing/>
              <w:rPr>
                <w:iCs/>
                <w:sz w:val="20"/>
                <w:lang w:val="lv-LV"/>
              </w:rPr>
            </w:pPr>
            <w:r w:rsidRPr="006E16F0">
              <w:rPr>
                <w:iCs/>
                <w:sz w:val="20"/>
                <w:lang w:val="lv-LV"/>
              </w:rPr>
              <w:t xml:space="preserve">Publiskā sektora ieguldījumi: </w:t>
            </w:r>
          </w:p>
          <w:p w14:paraId="4D19A9A4" w14:textId="77777777" w:rsidR="00B64009" w:rsidRPr="006E16F0" w:rsidRDefault="00B64009" w:rsidP="00BA62A0">
            <w:pPr>
              <w:contextualSpacing/>
              <w:rPr>
                <w:iCs/>
                <w:sz w:val="20"/>
                <w:lang w:val="lv-LV"/>
              </w:rPr>
            </w:pPr>
            <w:r w:rsidRPr="006E16F0">
              <w:rPr>
                <w:iCs/>
                <w:sz w:val="20"/>
                <w:lang w:val="lv-LV"/>
              </w:rPr>
              <w:t>piešķirts: nav piešķirts</w:t>
            </w:r>
          </w:p>
          <w:p w14:paraId="6C8DCAC6" w14:textId="77777777" w:rsidR="00B64009" w:rsidRPr="006E16F0" w:rsidRDefault="00B64009" w:rsidP="00BA62A0">
            <w:pPr>
              <w:contextualSpacing/>
              <w:rPr>
                <w:iCs/>
                <w:sz w:val="20"/>
                <w:lang w:val="lv-LV"/>
              </w:rPr>
            </w:pPr>
            <w:r w:rsidRPr="006E16F0">
              <w:rPr>
                <w:iCs/>
                <w:sz w:val="20"/>
                <w:lang w:val="lv-LV"/>
              </w:rPr>
              <w:t>plānots: 3,6  milj.  </w:t>
            </w:r>
            <w:proofErr w:type="spellStart"/>
            <w:r w:rsidRPr="006E16F0">
              <w:rPr>
                <w:i/>
                <w:iCs/>
                <w:sz w:val="20"/>
                <w:lang w:val="lv-LV"/>
              </w:rPr>
              <w:t>euro</w:t>
            </w:r>
            <w:proofErr w:type="spellEnd"/>
          </w:p>
          <w:p w14:paraId="16A8F1BD" w14:textId="77777777" w:rsidR="00B64009" w:rsidRPr="006E16F0" w:rsidRDefault="00B64009" w:rsidP="00BA62A0">
            <w:pPr>
              <w:ind w:firstLine="0"/>
              <w:contextualSpacing/>
              <w:rPr>
                <w:iCs/>
                <w:sz w:val="20"/>
                <w:lang w:val="lv-LV"/>
              </w:rPr>
            </w:pPr>
            <w:r w:rsidRPr="006E16F0">
              <w:rPr>
                <w:iCs/>
                <w:sz w:val="20"/>
                <w:lang w:val="lv-LV"/>
              </w:rPr>
              <w:t xml:space="preserve">t.sk. no nacionālajiem finansēšanas avotiem: </w:t>
            </w:r>
          </w:p>
          <w:p w14:paraId="6A4E9109" w14:textId="77777777" w:rsidR="00B64009" w:rsidRPr="006E16F0" w:rsidRDefault="00B64009" w:rsidP="00BA62A0">
            <w:pPr>
              <w:contextualSpacing/>
              <w:rPr>
                <w:iCs/>
                <w:sz w:val="20"/>
                <w:lang w:val="lv-LV"/>
              </w:rPr>
            </w:pPr>
            <w:r w:rsidRPr="006E16F0">
              <w:rPr>
                <w:iCs/>
                <w:sz w:val="20"/>
                <w:lang w:val="lv-LV"/>
              </w:rPr>
              <w:t>piešķirts: nav piešķirts</w:t>
            </w:r>
          </w:p>
          <w:p w14:paraId="631EFB02" w14:textId="77777777" w:rsidR="00B64009" w:rsidRPr="006E16F0" w:rsidRDefault="00B64009" w:rsidP="00BA62A0">
            <w:pPr>
              <w:contextualSpacing/>
              <w:rPr>
                <w:iCs/>
                <w:strike/>
                <w:sz w:val="20"/>
                <w:lang w:val="lv-LV"/>
              </w:rPr>
            </w:pPr>
            <w:r w:rsidRPr="006E16F0">
              <w:rPr>
                <w:iCs/>
                <w:sz w:val="20"/>
                <w:lang w:val="lv-LV"/>
              </w:rPr>
              <w:t>plānots: nav plānots</w:t>
            </w:r>
          </w:p>
          <w:p w14:paraId="3690556B" w14:textId="77777777" w:rsidR="00B64009" w:rsidRPr="006E16F0" w:rsidRDefault="00B64009" w:rsidP="00BA62A0">
            <w:pPr>
              <w:ind w:firstLine="0"/>
              <w:contextualSpacing/>
              <w:rPr>
                <w:iCs/>
                <w:sz w:val="20"/>
                <w:lang w:val="lv-LV"/>
              </w:rPr>
            </w:pPr>
            <w:r w:rsidRPr="006E16F0">
              <w:rPr>
                <w:iCs/>
                <w:sz w:val="20"/>
                <w:lang w:val="lv-LV"/>
              </w:rPr>
              <w:t xml:space="preserve">t.sk. no ES finansēšanas avotiem: </w:t>
            </w:r>
          </w:p>
          <w:p w14:paraId="5A29AD9B" w14:textId="77777777" w:rsidR="00B64009" w:rsidRPr="006E16F0" w:rsidRDefault="00B64009" w:rsidP="00BA62A0">
            <w:pPr>
              <w:contextualSpacing/>
              <w:rPr>
                <w:iCs/>
                <w:sz w:val="20"/>
                <w:lang w:val="lv-LV"/>
              </w:rPr>
            </w:pPr>
            <w:r w:rsidRPr="006E16F0">
              <w:rPr>
                <w:iCs/>
                <w:sz w:val="20"/>
                <w:lang w:val="lv-LV"/>
              </w:rPr>
              <w:t>piešķirts: nav piešķirts</w:t>
            </w:r>
          </w:p>
          <w:p w14:paraId="0BF5F4F2" w14:textId="77777777" w:rsidR="00B64009" w:rsidRPr="00BC4BDA" w:rsidRDefault="00B64009" w:rsidP="00BA62A0">
            <w:pPr>
              <w:contextualSpacing/>
              <w:rPr>
                <w:iCs/>
                <w:sz w:val="20"/>
                <w:highlight w:val="yellow"/>
                <w:lang w:val="lv-LV"/>
              </w:rPr>
            </w:pPr>
            <w:r w:rsidRPr="006E16F0">
              <w:rPr>
                <w:iCs/>
                <w:sz w:val="20"/>
                <w:lang w:val="lv-LV"/>
              </w:rPr>
              <w:t xml:space="preserve">plānots: </w:t>
            </w:r>
            <w:r w:rsidRPr="006E16F0">
              <w:rPr>
                <w:rFonts w:eastAsia="Calibri"/>
                <w:iCs/>
                <w:sz w:val="20"/>
                <w:lang w:val="lv-LV"/>
              </w:rPr>
              <w:t>3,6  milj.  </w:t>
            </w:r>
            <w:proofErr w:type="spellStart"/>
            <w:r w:rsidRPr="006E16F0">
              <w:rPr>
                <w:rFonts w:eastAsia="Calibri"/>
                <w:i/>
                <w:iCs/>
                <w:sz w:val="20"/>
                <w:lang w:val="lv-LV"/>
              </w:rPr>
              <w:t>euro</w:t>
            </w:r>
            <w:proofErr w:type="spellEnd"/>
            <w:r w:rsidRPr="006E16F0">
              <w:rPr>
                <w:rFonts w:eastAsia="Calibri"/>
                <w:iCs/>
                <w:sz w:val="20"/>
                <w:lang w:val="lv-LV"/>
              </w:rPr>
              <w:t xml:space="preserve"> (ANM finansējums)</w:t>
            </w:r>
          </w:p>
        </w:tc>
      </w:tr>
      <w:tr w:rsidR="00B64009" w:rsidRPr="00BC4BDA" w14:paraId="37D60158" w14:textId="77777777" w:rsidTr="00BA62A0">
        <w:tc>
          <w:tcPr>
            <w:tcW w:w="3192" w:type="dxa"/>
          </w:tcPr>
          <w:p w14:paraId="43F5D257" w14:textId="77777777" w:rsidR="00B64009" w:rsidRPr="00550D35" w:rsidRDefault="00B64009" w:rsidP="00BA62A0">
            <w:pPr>
              <w:ind w:firstLine="0"/>
              <w:rPr>
                <w:b/>
                <w:bCs/>
                <w:sz w:val="20"/>
                <w:lang w:val="lv-LV"/>
              </w:rPr>
            </w:pPr>
            <w:r w:rsidRPr="00550D35">
              <w:rPr>
                <w:b/>
                <w:bCs/>
                <w:sz w:val="20"/>
                <w:lang w:val="lv-LV"/>
              </w:rPr>
              <w:t>Sagaidāmā ietekme un laika ietvars</w:t>
            </w:r>
          </w:p>
        </w:tc>
        <w:tc>
          <w:tcPr>
            <w:tcW w:w="5592" w:type="dxa"/>
          </w:tcPr>
          <w:p w14:paraId="48932281" w14:textId="77777777" w:rsidR="00B64009" w:rsidRPr="008919B1" w:rsidRDefault="00B64009" w:rsidP="00BA62A0">
            <w:pPr>
              <w:shd w:val="clear" w:color="auto" w:fill="FFFFFF" w:themeFill="background1"/>
              <w:ind w:firstLine="0"/>
              <w:contextualSpacing/>
              <w:rPr>
                <w:rFonts w:eastAsia="Calibri"/>
                <w:iCs/>
                <w:strike/>
                <w:sz w:val="20"/>
                <w:lang w:val="lv-LV"/>
              </w:rPr>
            </w:pPr>
            <w:r w:rsidRPr="00D93580">
              <w:rPr>
                <w:iCs/>
                <w:sz w:val="20"/>
                <w:lang w:val="lv-LV"/>
              </w:rPr>
              <w:t>Līdz 2027.gadam</w:t>
            </w:r>
            <w:r>
              <w:rPr>
                <w:iCs/>
                <w:sz w:val="20"/>
                <w:lang w:val="lv-LV"/>
              </w:rPr>
              <w:t xml:space="preserve"> i</w:t>
            </w:r>
            <w:r w:rsidRPr="00550D35">
              <w:rPr>
                <w:iCs/>
                <w:sz w:val="20"/>
                <w:lang w:val="lv-LV"/>
              </w:rPr>
              <w:t xml:space="preserve">zglītoti 500 jauni IKT speciālisti, mērogotas jau izveidotās </w:t>
            </w:r>
            <w:proofErr w:type="spellStart"/>
            <w:r w:rsidRPr="00550D35">
              <w:rPr>
                <w:iCs/>
                <w:sz w:val="20"/>
                <w:lang w:val="lv-LV"/>
              </w:rPr>
              <w:t>ārpusformālās</w:t>
            </w:r>
            <w:proofErr w:type="spellEnd"/>
            <w:r w:rsidRPr="00550D35">
              <w:rPr>
                <w:iCs/>
                <w:sz w:val="20"/>
                <w:lang w:val="lv-LV"/>
              </w:rPr>
              <w:t xml:space="preserve"> izglītības IKT speciālistu sagatavošanas iniciatīvas, īpaši atbalstot sieviešu iesaisti IKT darbam, nodrošinātas intensīvas mācības personām, kas vēlas mainīt karjeru un apgūt nepieciešamās iemaņas darbam IT jomā</w:t>
            </w:r>
            <w:r>
              <w:rPr>
                <w:iCs/>
                <w:sz w:val="20"/>
                <w:lang w:val="lv-LV"/>
              </w:rPr>
              <w:t>.</w:t>
            </w:r>
          </w:p>
          <w:p w14:paraId="4F9F92F8" w14:textId="77777777" w:rsidR="00B64009" w:rsidRPr="00550D35" w:rsidRDefault="00B64009" w:rsidP="00BA62A0">
            <w:pPr>
              <w:shd w:val="clear" w:color="auto" w:fill="FFFFFF" w:themeFill="background1"/>
              <w:ind w:firstLine="0"/>
              <w:contextualSpacing/>
              <w:rPr>
                <w:iCs/>
                <w:sz w:val="20"/>
                <w:lang w:val="lv-LV"/>
              </w:rPr>
            </w:pPr>
            <w:r w:rsidRPr="00550D35">
              <w:rPr>
                <w:rFonts w:eastAsia="Calibri"/>
                <w:iCs/>
                <w:sz w:val="20"/>
                <w:lang w:val="lv-LV"/>
              </w:rPr>
              <w:t>Projekta laika ietvars 2024.-202</w:t>
            </w:r>
            <w:r>
              <w:rPr>
                <w:rFonts w:eastAsia="Calibri"/>
                <w:iCs/>
                <w:sz w:val="20"/>
                <w:lang w:val="lv-LV"/>
              </w:rPr>
              <w:t>6</w:t>
            </w:r>
            <w:r w:rsidRPr="00550D35">
              <w:rPr>
                <w:rFonts w:eastAsia="Calibri"/>
                <w:iCs/>
                <w:sz w:val="20"/>
                <w:lang w:val="lv-LV"/>
              </w:rPr>
              <w:t>.gads</w:t>
            </w:r>
            <w:r>
              <w:rPr>
                <w:rFonts w:eastAsia="Calibri"/>
                <w:iCs/>
                <w:sz w:val="20"/>
                <w:lang w:val="lv-LV"/>
              </w:rPr>
              <w:t>.</w:t>
            </w:r>
          </w:p>
        </w:tc>
      </w:tr>
    </w:tbl>
    <w:p w14:paraId="27FE7139" w14:textId="77777777" w:rsidR="00B64009" w:rsidRPr="00550D35" w:rsidRDefault="00B64009" w:rsidP="00B64009">
      <w:pPr>
        <w:ind w:firstLine="0"/>
        <w:rPr>
          <w:b/>
          <w:bCs/>
          <w:sz w:val="20"/>
          <w:highlight w:val="yellow"/>
          <w:lang w:val="lv-LV"/>
        </w:rPr>
      </w:pPr>
    </w:p>
    <w:tbl>
      <w:tblPr>
        <w:tblStyle w:val="TableGrid"/>
        <w:tblW w:w="8784" w:type="dxa"/>
        <w:tblLook w:val="04A0" w:firstRow="1" w:lastRow="0" w:firstColumn="1" w:lastColumn="0" w:noHBand="0" w:noVBand="1"/>
      </w:tblPr>
      <w:tblGrid>
        <w:gridCol w:w="3192"/>
        <w:gridCol w:w="5592"/>
      </w:tblGrid>
      <w:tr w:rsidR="00B64009" w:rsidRPr="003B2E9A" w14:paraId="2E269734" w14:textId="77777777" w:rsidTr="00BA62A0">
        <w:tc>
          <w:tcPr>
            <w:tcW w:w="8784" w:type="dxa"/>
            <w:gridSpan w:val="2"/>
          </w:tcPr>
          <w:p w14:paraId="674A72E5" w14:textId="77777777" w:rsidR="00B64009" w:rsidRPr="00550D35" w:rsidRDefault="00B64009" w:rsidP="00BA62A0">
            <w:pPr>
              <w:ind w:firstLine="0"/>
              <w:contextualSpacing/>
              <w:rPr>
                <w:rFonts w:eastAsia="MS Minngs"/>
                <w:sz w:val="20"/>
                <w:highlight w:val="yellow"/>
                <w:lang w:val="lv-LV"/>
              </w:rPr>
            </w:pPr>
            <w:r w:rsidRPr="00550D35">
              <w:rPr>
                <w:b/>
                <w:bCs/>
                <w:sz w:val="20"/>
                <w:lang w:val="lv-LV"/>
              </w:rPr>
              <w:t xml:space="preserve">Pasākums Nr.3 – ANM plāna </w:t>
            </w:r>
            <w:r w:rsidRPr="00D02860">
              <w:rPr>
                <w:b/>
                <w:bCs/>
                <w:sz w:val="20"/>
                <w:lang w:val="lv-LV"/>
              </w:rPr>
              <w:t xml:space="preserve">investīcija </w:t>
            </w:r>
            <w:r w:rsidRPr="003969C1">
              <w:rPr>
                <w:b/>
                <w:bCs/>
                <w:sz w:val="20"/>
                <w:lang w:val="lv-LV"/>
              </w:rPr>
              <w:t>2.3.1.1.i.</w:t>
            </w:r>
            <w:r w:rsidRPr="00550D35">
              <w:rPr>
                <w:sz w:val="20"/>
                <w:lang w:val="lv-LV"/>
              </w:rPr>
              <w:t xml:space="preserve"> </w:t>
            </w:r>
            <w:r w:rsidRPr="00550D35">
              <w:rPr>
                <w:b/>
                <w:bCs/>
                <w:sz w:val="20"/>
                <w:lang w:val="lv-LV"/>
              </w:rPr>
              <w:t>“</w:t>
            </w:r>
            <w:r w:rsidRPr="00550D35">
              <w:rPr>
                <w:b/>
                <w:bCs/>
                <w:color w:val="212529"/>
                <w:sz w:val="20"/>
                <w:shd w:val="clear" w:color="auto" w:fill="FFFFFF"/>
                <w:lang w:val="lv-LV"/>
              </w:rPr>
              <w:t>Augsta līmeņa digitālo prasmju apguves nodrošināšana</w:t>
            </w:r>
            <w:r w:rsidRPr="00550D35">
              <w:rPr>
                <w:b/>
                <w:bCs/>
                <w:sz w:val="20"/>
                <w:lang w:val="lv-LV"/>
              </w:rPr>
              <w:t xml:space="preserve">” </w:t>
            </w:r>
            <w:r w:rsidRPr="00AB5F4B">
              <w:rPr>
                <w:b/>
                <w:bCs/>
                <w:sz w:val="20"/>
                <w:lang w:val="lv-LV"/>
              </w:rPr>
              <w:t>(</w:t>
            </w:r>
            <w:proofErr w:type="spellStart"/>
            <w:r w:rsidRPr="00AB5F4B">
              <w:rPr>
                <w:b/>
                <w:bCs/>
                <w:i/>
                <w:iCs/>
                <w:sz w:val="20"/>
                <w:lang w:val="lv-LV"/>
              </w:rPr>
              <w:t>Programme</w:t>
            </w:r>
            <w:proofErr w:type="spellEnd"/>
            <w:r w:rsidRPr="00AB5F4B">
              <w:rPr>
                <w:b/>
                <w:bCs/>
                <w:i/>
                <w:iCs/>
                <w:sz w:val="20"/>
                <w:lang w:val="lv-LV"/>
              </w:rPr>
              <w:t xml:space="preserve"> </w:t>
            </w:r>
            <w:proofErr w:type="spellStart"/>
            <w:r w:rsidRPr="00AB5F4B">
              <w:rPr>
                <w:b/>
                <w:bCs/>
                <w:i/>
                <w:iCs/>
                <w:sz w:val="20"/>
                <w:lang w:val="lv-LV"/>
              </w:rPr>
              <w:t>for</w:t>
            </w:r>
            <w:proofErr w:type="spellEnd"/>
            <w:r w:rsidRPr="00AB5F4B">
              <w:rPr>
                <w:b/>
                <w:bCs/>
                <w:i/>
                <w:iCs/>
                <w:sz w:val="20"/>
                <w:lang w:val="lv-LV"/>
              </w:rPr>
              <w:t xml:space="preserve"> </w:t>
            </w:r>
            <w:proofErr w:type="spellStart"/>
            <w:r w:rsidRPr="00AB5F4B">
              <w:rPr>
                <w:b/>
                <w:bCs/>
                <w:i/>
                <w:iCs/>
                <w:sz w:val="20"/>
                <w:lang w:val="lv-LV"/>
              </w:rPr>
              <w:t>development</w:t>
            </w:r>
            <w:proofErr w:type="spellEnd"/>
            <w:r w:rsidRPr="00AB5F4B">
              <w:rPr>
                <w:b/>
                <w:bCs/>
                <w:i/>
                <w:iCs/>
                <w:sz w:val="20"/>
                <w:lang w:val="lv-LV"/>
              </w:rPr>
              <w:t xml:space="preserve"> </w:t>
            </w:r>
            <w:proofErr w:type="spellStart"/>
            <w:r w:rsidRPr="00AB5F4B">
              <w:rPr>
                <w:b/>
                <w:bCs/>
                <w:i/>
                <w:iCs/>
                <w:sz w:val="20"/>
                <w:lang w:val="lv-LV"/>
              </w:rPr>
              <w:t>of</w:t>
            </w:r>
            <w:proofErr w:type="spellEnd"/>
            <w:r w:rsidRPr="00AB5F4B">
              <w:rPr>
                <w:b/>
                <w:bCs/>
                <w:i/>
                <w:iCs/>
                <w:sz w:val="20"/>
                <w:lang w:val="lv-LV"/>
              </w:rPr>
              <w:t xml:space="preserve"> </w:t>
            </w:r>
            <w:proofErr w:type="spellStart"/>
            <w:r w:rsidRPr="00AB5F4B">
              <w:rPr>
                <w:b/>
                <w:bCs/>
                <w:i/>
                <w:iCs/>
                <w:sz w:val="20"/>
                <w:lang w:val="lv-LV"/>
              </w:rPr>
              <w:t>advanced</w:t>
            </w:r>
            <w:proofErr w:type="spellEnd"/>
            <w:r w:rsidRPr="00AB5F4B">
              <w:rPr>
                <w:b/>
                <w:bCs/>
                <w:i/>
                <w:iCs/>
                <w:sz w:val="20"/>
                <w:lang w:val="lv-LV"/>
              </w:rPr>
              <w:t xml:space="preserve"> </w:t>
            </w:r>
            <w:proofErr w:type="spellStart"/>
            <w:r w:rsidRPr="00AB5F4B">
              <w:rPr>
                <w:b/>
                <w:bCs/>
                <w:i/>
                <w:iCs/>
                <w:sz w:val="20"/>
                <w:lang w:val="lv-LV"/>
              </w:rPr>
              <w:t>digital</w:t>
            </w:r>
            <w:proofErr w:type="spellEnd"/>
            <w:r w:rsidRPr="00AB5F4B">
              <w:rPr>
                <w:b/>
                <w:bCs/>
                <w:i/>
                <w:iCs/>
                <w:sz w:val="20"/>
                <w:lang w:val="lv-LV"/>
              </w:rPr>
              <w:t xml:space="preserve"> </w:t>
            </w:r>
            <w:proofErr w:type="spellStart"/>
            <w:r w:rsidRPr="00AB5F4B">
              <w:rPr>
                <w:b/>
                <w:bCs/>
                <w:i/>
                <w:iCs/>
                <w:sz w:val="20"/>
                <w:lang w:val="lv-LV"/>
              </w:rPr>
              <w:t>skills</w:t>
            </w:r>
            <w:proofErr w:type="spellEnd"/>
            <w:r w:rsidRPr="00AB5F4B">
              <w:rPr>
                <w:b/>
                <w:bCs/>
                <w:sz w:val="20"/>
                <w:lang w:val="lv-LV"/>
              </w:rPr>
              <w:t>)</w:t>
            </w:r>
          </w:p>
        </w:tc>
      </w:tr>
      <w:tr w:rsidR="00B64009" w:rsidRPr="00550D35" w14:paraId="790297ED" w14:textId="77777777" w:rsidTr="00BA62A0">
        <w:tc>
          <w:tcPr>
            <w:tcW w:w="3192" w:type="dxa"/>
          </w:tcPr>
          <w:p w14:paraId="198381D5" w14:textId="77777777" w:rsidR="00B64009" w:rsidRPr="00550D35" w:rsidRDefault="00B64009" w:rsidP="00BA62A0">
            <w:pPr>
              <w:ind w:firstLine="0"/>
              <w:rPr>
                <w:b/>
                <w:bCs/>
                <w:sz w:val="20"/>
                <w:highlight w:val="yellow"/>
                <w:lang w:val="lv-LV"/>
              </w:rPr>
            </w:pPr>
            <w:r w:rsidRPr="00550D35">
              <w:rPr>
                <w:b/>
                <w:bCs/>
                <w:sz w:val="20"/>
                <w:lang w:val="lv-LV"/>
              </w:rPr>
              <w:t>Jauns pasākums</w:t>
            </w:r>
          </w:p>
        </w:tc>
        <w:tc>
          <w:tcPr>
            <w:tcW w:w="5592" w:type="dxa"/>
          </w:tcPr>
          <w:p w14:paraId="651876FB" w14:textId="77777777" w:rsidR="00B64009" w:rsidRPr="00550D35" w:rsidRDefault="00AC141D" w:rsidP="00BA62A0">
            <w:pPr>
              <w:spacing w:before="0" w:after="120"/>
              <w:ind w:firstLine="0"/>
              <w:contextualSpacing/>
              <w:rPr>
                <w:sz w:val="22"/>
                <w:szCs w:val="22"/>
                <w:lang w:val="lv-LV"/>
              </w:rPr>
            </w:pPr>
            <w:sdt>
              <w:sdtPr>
                <w:rPr>
                  <w:sz w:val="22"/>
                  <w:szCs w:val="22"/>
                  <w:lang w:val="lv-LV"/>
                </w:rPr>
                <w:id w:val="1946262412"/>
                <w14:checkbox>
                  <w14:checked w14:val="1"/>
                  <w14:checkedState w14:val="2612" w14:font="MS Gothic"/>
                  <w14:uncheckedState w14:val="2610" w14:font="MS Gothic"/>
                </w14:checkbox>
              </w:sdtPr>
              <w:sdtEndPr/>
              <w:sdtContent>
                <w:r w:rsidR="00B64009" w:rsidRPr="00550D35">
                  <w:rPr>
                    <w:rFonts w:ascii="MS Gothic" w:eastAsia="MS Gothic" w:hAnsi="MS Gothic"/>
                    <w:sz w:val="22"/>
                    <w:szCs w:val="22"/>
                    <w:lang w:val="lv-LV"/>
                  </w:rPr>
                  <w:t>☒</w:t>
                </w:r>
              </w:sdtContent>
            </w:sdt>
            <w:r w:rsidR="00B64009" w:rsidRPr="00550D35">
              <w:rPr>
                <w:sz w:val="22"/>
                <w:szCs w:val="22"/>
                <w:lang w:val="lv-LV"/>
              </w:rPr>
              <w:t>jā</w:t>
            </w:r>
          </w:p>
          <w:p w14:paraId="76997AA2" w14:textId="77777777" w:rsidR="00B64009" w:rsidRPr="00550D35" w:rsidRDefault="00AC141D" w:rsidP="00BA62A0">
            <w:pPr>
              <w:spacing w:before="0" w:after="120"/>
              <w:ind w:firstLine="0"/>
              <w:contextualSpacing/>
              <w:rPr>
                <w:sz w:val="22"/>
                <w:szCs w:val="22"/>
                <w:lang w:val="lv-LV"/>
              </w:rPr>
            </w:pPr>
            <w:sdt>
              <w:sdtPr>
                <w:rPr>
                  <w:sz w:val="22"/>
                  <w:szCs w:val="22"/>
                  <w:lang w:val="lv-LV"/>
                </w:rPr>
                <w:id w:val="-1295364047"/>
                <w14:checkbox>
                  <w14:checked w14:val="0"/>
                  <w14:checkedState w14:val="2612" w14:font="MS Gothic"/>
                  <w14:uncheckedState w14:val="2610" w14:font="MS Gothic"/>
                </w14:checkbox>
              </w:sdtPr>
              <w:sdtEndPr/>
              <w:sdtContent>
                <w:r w:rsidR="00B64009" w:rsidRPr="00550D35">
                  <w:rPr>
                    <w:rFonts w:ascii="MS Gothic" w:eastAsia="MS Gothic" w:hAnsi="MS Gothic"/>
                    <w:sz w:val="22"/>
                    <w:szCs w:val="22"/>
                    <w:lang w:val="lv-LV"/>
                  </w:rPr>
                  <w:t>☐</w:t>
                </w:r>
              </w:sdtContent>
            </w:sdt>
            <w:r w:rsidR="00B64009" w:rsidRPr="00550D35">
              <w:rPr>
                <w:rFonts w:eastAsia="MS Minngs"/>
                <w:sz w:val="22"/>
                <w:szCs w:val="22"/>
                <w:lang w:val="lv-LV"/>
              </w:rPr>
              <w:t xml:space="preserve"> </w:t>
            </w:r>
            <w:r w:rsidR="00B64009" w:rsidRPr="00550D35">
              <w:rPr>
                <w:sz w:val="22"/>
                <w:szCs w:val="22"/>
                <w:lang w:val="lv-LV"/>
              </w:rPr>
              <w:t>nē</w:t>
            </w:r>
          </w:p>
        </w:tc>
      </w:tr>
      <w:tr w:rsidR="00B64009" w:rsidRPr="003B2E9A" w14:paraId="57E155C7" w14:textId="77777777" w:rsidTr="00BA62A0">
        <w:tc>
          <w:tcPr>
            <w:tcW w:w="3192" w:type="dxa"/>
          </w:tcPr>
          <w:p w14:paraId="738B61B2" w14:textId="22F66E42" w:rsidR="00B64009" w:rsidRPr="00550D35" w:rsidRDefault="00B64009" w:rsidP="00BA62A0">
            <w:pPr>
              <w:ind w:firstLine="0"/>
              <w:rPr>
                <w:b/>
                <w:bCs/>
                <w:sz w:val="20"/>
                <w:lang w:val="lv-LV"/>
              </w:rPr>
            </w:pPr>
            <w:r w:rsidRPr="00550D35">
              <w:rPr>
                <w:b/>
                <w:bCs/>
                <w:sz w:val="20"/>
                <w:lang w:val="lv-LV"/>
              </w:rPr>
              <w:t>Īss pasākuma apraksts</w:t>
            </w:r>
          </w:p>
        </w:tc>
        <w:tc>
          <w:tcPr>
            <w:tcW w:w="5592" w:type="dxa"/>
          </w:tcPr>
          <w:p w14:paraId="452FDA95" w14:textId="77777777" w:rsidR="00B64009" w:rsidRPr="00550D35" w:rsidRDefault="00B64009" w:rsidP="00BA62A0">
            <w:pPr>
              <w:spacing w:before="100" w:beforeAutospacing="1" w:after="100" w:afterAutospacing="1"/>
              <w:ind w:firstLine="0"/>
              <w:rPr>
                <w:iCs/>
                <w:sz w:val="20"/>
                <w:lang w:val="lv-LV"/>
              </w:rPr>
            </w:pPr>
            <w:r w:rsidRPr="00550D35">
              <w:rPr>
                <w:iCs/>
                <w:sz w:val="20"/>
                <w:lang w:val="lv-LV"/>
              </w:rPr>
              <w:t>2022. gada laikā tika apstiprināta programma “Progresīvu digitālo prasmju attīstīšana”, kas jau darbojas no 2023. gada 1. ceturkšņa. Programmas laikā tiks izstrādāti trīs izcilības centri progresīvu digitālo prasmju attīstībai Latvijā – kvantu skaitļošana, augstas veiktspējas skaitļošanas un valodas tehnoloģijas. Katrs izcilības centrs ir daļa no zinātnes universitāšu, rūpniecības un zinātnisko institūtu konsorcija.</w:t>
            </w:r>
          </w:p>
        </w:tc>
      </w:tr>
      <w:tr w:rsidR="00B64009" w:rsidRPr="00550D35" w14:paraId="28207037" w14:textId="77777777" w:rsidTr="00BA62A0">
        <w:tc>
          <w:tcPr>
            <w:tcW w:w="3192" w:type="dxa"/>
            <w:shd w:val="clear" w:color="auto" w:fill="auto"/>
          </w:tcPr>
          <w:p w14:paraId="7AA4905A" w14:textId="59D01545" w:rsidR="00B64009" w:rsidRPr="00550D35" w:rsidRDefault="00B64009" w:rsidP="00BA62A0">
            <w:pPr>
              <w:ind w:firstLine="0"/>
              <w:rPr>
                <w:b/>
                <w:bCs/>
                <w:sz w:val="20"/>
                <w:highlight w:val="yellow"/>
                <w:lang w:val="lv-LV"/>
              </w:rPr>
            </w:pPr>
            <w:r w:rsidRPr="00550D35">
              <w:rPr>
                <w:b/>
                <w:bCs/>
                <w:sz w:val="20"/>
                <w:lang w:val="lv-LV"/>
              </w:rPr>
              <w:t>Piešķirtais vai plānotais budžets un, ja atbilstoši, citi resursi</w:t>
            </w:r>
          </w:p>
        </w:tc>
        <w:tc>
          <w:tcPr>
            <w:tcW w:w="5592" w:type="dxa"/>
            <w:shd w:val="clear" w:color="auto" w:fill="auto"/>
          </w:tcPr>
          <w:p w14:paraId="1642BD77" w14:textId="77777777" w:rsidR="00B64009" w:rsidRPr="00550D35" w:rsidRDefault="00B64009" w:rsidP="00BA62A0">
            <w:pPr>
              <w:spacing w:before="0" w:after="100" w:afterAutospacing="1"/>
              <w:ind w:firstLine="0"/>
              <w:rPr>
                <w:iCs/>
                <w:sz w:val="20"/>
                <w:lang w:val="lv-LV"/>
              </w:rPr>
            </w:pPr>
            <w:r w:rsidRPr="00550D35">
              <w:rPr>
                <w:iCs/>
                <w:sz w:val="20"/>
                <w:lang w:val="lv-LV"/>
              </w:rPr>
              <w:t>Kopējās investīcijas 17,6 milj.  </w:t>
            </w:r>
            <w:proofErr w:type="spellStart"/>
            <w:r w:rsidRPr="00550D35">
              <w:rPr>
                <w:i/>
                <w:iCs/>
                <w:sz w:val="20"/>
                <w:lang w:val="lv-LV"/>
              </w:rPr>
              <w:t>euro</w:t>
            </w:r>
            <w:proofErr w:type="spellEnd"/>
            <w:r w:rsidRPr="00550D35">
              <w:rPr>
                <w:iCs/>
                <w:sz w:val="20"/>
                <w:lang w:val="lv-LV"/>
              </w:rPr>
              <w:t>, t.sk. 17,0 milj.  </w:t>
            </w:r>
            <w:proofErr w:type="spellStart"/>
            <w:r w:rsidRPr="00550D35">
              <w:rPr>
                <w:i/>
                <w:iCs/>
                <w:sz w:val="20"/>
                <w:lang w:val="lv-LV"/>
              </w:rPr>
              <w:t>euro</w:t>
            </w:r>
            <w:proofErr w:type="spellEnd"/>
            <w:r w:rsidRPr="00550D35">
              <w:rPr>
                <w:iCs/>
                <w:sz w:val="20"/>
                <w:lang w:val="lv-LV"/>
              </w:rPr>
              <w:t xml:space="preserve"> no  ANM un 561 tūkst. </w:t>
            </w:r>
            <w:proofErr w:type="spellStart"/>
            <w:r w:rsidRPr="00550D35">
              <w:rPr>
                <w:i/>
                <w:iCs/>
                <w:sz w:val="20"/>
                <w:lang w:val="lv-LV"/>
              </w:rPr>
              <w:t>euro</w:t>
            </w:r>
            <w:proofErr w:type="spellEnd"/>
            <w:r w:rsidRPr="00550D35">
              <w:rPr>
                <w:iCs/>
                <w:sz w:val="20"/>
                <w:lang w:val="lv-LV"/>
              </w:rPr>
              <w:t xml:space="preserve"> no valsts budžeta līdzekļiem, t.sk.:</w:t>
            </w:r>
          </w:p>
          <w:p w14:paraId="196B3FF2" w14:textId="77777777" w:rsidR="00B64009" w:rsidRPr="00550D35" w:rsidRDefault="00B64009" w:rsidP="00BA62A0">
            <w:pPr>
              <w:spacing w:before="0" w:after="100" w:afterAutospacing="1"/>
              <w:ind w:firstLine="0"/>
              <w:jc w:val="left"/>
              <w:rPr>
                <w:iCs/>
                <w:sz w:val="20"/>
                <w:lang w:val="lv-LV"/>
              </w:rPr>
            </w:pPr>
            <w:r w:rsidRPr="00550D35">
              <w:rPr>
                <w:iCs/>
                <w:sz w:val="20"/>
                <w:lang w:val="lv-LV"/>
              </w:rPr>
              <w:t>Kvantu izcilības centram:</w:t>
            </w:r>
          </w:p>
          <w:p w14:paraId="4280E5DB" w14:textId="77777777" w:rsidR="00B64009" w:rsidRPr="00550D35" w:rsidRDefault="00B64009" w:rsidP="00BA62A0">
            <w:pPr>
              <w:spacing w:before="0" w:after="100" w:afterAutospacing="1"/>
              <w:ind w:firstLine="0"/>
              <w:jc w:val="left"/>
              <w:rPr>
                <w:iCs/>
                <w:sz w:val="20"/>
                <w:lang w:val="lv-LV"/>
              </w:rPr>
            </w:pPr>
            <w:r w:rsidRPr="00550D35">
              <w:rPr>
                <w:iCs/>
                <w:sz w:val="20"/>
                <w:lang w:val="lv-LV"/>
              </w:rPr>
              <w:t>ANM finansējums 6,0 milj.  </w:t>
            </w:r>
            <w:proofErr w:type="spellStart"/>
            <w:r w:rsidRPr="00550D35">
              <w:rPr>
                <w:i/>
                <w:iCs/>
                <w:sz w:val="20"/>
                <w:lang w:val="lv-LV"/>
              </w:rPr>
              <w:t>euro</w:t>
            </w:r>
            <w:proofErr w:type="spellEnd"/>
            <w:r w:rsidRPr="00550D35">
              <w:rPr>
                <w:iCs/>
                <w:sz w:val="20"/>
                <w:lang w:val="lv-LV"/>
              </w:rPr>
              <w:t>;</w:t>
            </w:r>
            <w:r w:rsidRPr="00550D35">
              <w:rPr>
                <w:iCs/>
                <w:sz w:val="20"/>
                <w:lang w:val="lv-LV"/>
              </w:rPr>
              <w:br/>
              <w:t>valsts budžeta finansējums 190,0 tūkst. </w:t>
            </w:r>
            <w:proofErr w:type="spellStart"/>
            <w:r w:rsidRPr="00550D35">
              <w:rPr>
                <w:i/>
                <w:iCs/>
                <w:sz w:val="20"/>
                <w:lang w:val="lv-LV"/>
              </w:rPr>
              <w:t>euro</w:t>
            </w:r>
            <w:proofErr w:type="spellEnd"/>
            <w:r w:rsidRPr="00550D35">
              <w:rPr>
                <w:iCs/>
                <w:sz w:val="20"/>
                <w:lang w:val="lv-LV"/>
              </w:rPr>
              <w:t>.</w:t>
            </w:r>
          </w:p>
          <w:p w14:paraId="65FECC36" w14:textId="77777777" w:rsidR="00B64009" w:rsidRPr="00550D35" w:rsidRDefault="00B64009" w:rsidP="00BA62A0">
            <w:pPr>
              <w:spacing w:before="0" w:after="100" w:afterAutospacing="1"/>
              <w:ind w:firstLine="0"/>
              <w:jc w:val="left"/>
              <w:rPr>
                <w:iCs/>
                <w:sz w:val="20"/>
                <w:lang w:val="lv-LV"/>
              </w:rPr>
            </w:pPr>
            <w:r w:rsidRPr="00550D35">
              <w:rPr>
                <w:iCs/>
                <w:sz w:val="20"/>
                <w:lang w:val="lv-LV"/>
              </w:rPr>
              <w:t>Augstas veiktspējas skaitļošanas izcilības centram:</w:t>
            </w:r>
          </w:p>
          <w:p w14:paraId="7AED22A8" w14:textId="77777777" w:rsidR="00B64009" w:rsidRPr="00550D35" w:rsidRDefault="00B64009" w:rsidP="00BA62A0">
            <w:pPr>
              <w:spacing w:before="0" w:after="100" w:afterAutospacing="1"/>
              <w:ind w:firstLine="0"/>
              <w:jc w:val="left"/>
              <w:rPr>
                <w:iCs/>
                <w:sz w:val="20"/>
                <w:lang w:val="lv-LV"/>
              </w:rPr>
            </w:pPr>
            <w:r w:rsidRPr="00550D35">
              <w:rPr>
                <w:iCs/>
                <w:sz w:val="20"/>
                <w:lang w:val="lv-LV"/>
              </w:rPr>
              <w:t>ANM finansējums 6,0 milj. </w:t>
            </w:r>
            <w:proofErr w:type="spellStart"/>
            <w:r w:rsidRPr="00550D35">
              <w:rPr>
                <w:i/>
                <w:iCs/>
                <w:sz w:val="20"/>
                <w:lang w:val="lv-LV"/>
              </w:rPr>
              <w:t>euro</w:t>
            </w:r>
            <w:proofErr w:type="spellEnd"/>
            <w:r w:rsidRPr="00550D35">
              <w:rPr>
                <w:iCs/>
                <w:sz w:val="20"/>
                <w:lang w:val="lv-LV"/>
              </w:rPr>
              <w:t>;</w:t>
            </w:r>
            <w:r w:rsidRPr="00550D35">
              <w:rPr>
                <w:iCs/>
                <w:sz w:val="20"/>
                <w:lang w:val="lv-LV"/>
              </w:rPr>
              <w:br/>
              <w:t>valsts budžeta finansējums 231,0 tūkst.  </w:t>
            </w:r>
            <w:proofErr w:type="spellStart"/>
            <w:r w:rsidRPr="00550D35">
              <w:rPr>
                <w:i/>
                <w:iCs/>
                <w:sz w:val="20"/>
                <w:lang w:val="lv-LV"/>
              </w:rPr>
              <w:t>euro</w:t>
            </w:r>
            <w:proofErr w:type="spellEnd"/>
            <w:r w:rsidRPr="00550D35">
              <w:rPr>
                <w:iCs/>
                <w:sz w:val="20"/>
                <w:lang w:val="lv-LV"/>
              </w:rPr>
              <w:t>.</w:t>
            </w:r>
          </w:p>
          <w:p w14:paraId="76578E93" w14:textId="77777777" w:rsidR="00B64009" w:rsidRPr="00550D35" w:rsidRDefault="00B64009" w:rsidP="00BA62A0">
            <w:pPr>
              <w:spacing w:before="0" w:after="100" w:afterAutospacing="1"/>
              <w:ind w:firstLine="0"/>
              <w:jc w:val="left"/>
              <w:rPr>
                <w:iCs/>
                <w:sz w:val="20"/>
                <w:lang w:val="lv-LV"/>
              </w:rPr>
            </w:pPr>
            <w:r w:rsidRPr="00550D35">
              <w:rPr>
                <w:iCs/>
                <w:sz w:val="20"/>
                <w:lang w:val="lv-LV"/>
              </w:rPr>
              <w:t>Valodu tehnoloģiju izcilības centram:</w:t>
            </w:r>
          </w:p>
          <w:p w14:paraId="18058DDF" w14:textId="77777777" w:rsidR="00B64009" w:rsidRPr="00550D35" w:rsidRDefault="00B64009" w:rsidP="00BA62A0">
            <w:pPr>
              <w:spacing w:before="0" w:after="100" w:afterAutospacing="1"/>
              <w:ind w:firstLine="0"/>
              <w:jc w:val="left"/>
              <w:rPr>
                <w:sz w:val="20"/>
                <w:lang w:val="lv-LV"/>
              </w:rPr>
            </w:pPr>
            <w:r w:rsidRPr="00550D35">
              <w:rPr>
                <w:iCs/>
                <w:sz w:val="20"/>
                <w:lang w:val="lv-LV"/>
              </w:rPr>
              <w:t>ANM finansējums 5.0 milj.  </w:t>
            </w:r>
            <w:proofErr w:type="spellStart"/>
            <w:r w:rsidRPr="00550D35">
              <w:rPr>
                <w:i/>
                <w:iCs/>
                <w:sz w:val="20"/>
                <w:lang w:val="lv-LV"/>
              </w:rPr>
              <w:t>euro</w:t>
            </w:r>
            <w:proofErr w:type="spellEnd"/>
            <w:r w:rsidRPr="00550D35">
              <w:rPr>
                <w:iCs/>
                <w:sz w:val="20"/>
                <w:lang w:val="lv-LV"/>
              </w:rPr>
              <w:t>;</w:t>
            </w:r>
            <w:r w:rsidRPr="00550D35">
              <w:rPr>
                <w:iCs/>
                <w:sz w:val="20"/>
                <w:lang w:val="lv-LV"/>
              </w:rPr>
              <w:br/>
              <w:t>valsts budžeta finansējums 140 tūkst.  </w:t>
            </w:r>
            <w:proofErr w:type="spellStart"/>
            <w:r w:rsidRPr="00550D35">
              <w:rPr>
                <w:i/>
                <w:iCs/>
                <w:sz w:val="20"/>
                <w:lang w:val="lv-LV"/>
              </w:rPr>
              <w:t>euro</w:t>
            </w:r>
            <w:proofErr w:type="spellEnd"/>
            <w:r w:rsidRPr="00550D35">
              <w:rPr>
                <w:iCs/>
                <w:sz w:val="20"/>
                <w:lang w:val="lv-LV"/>
              </w:rPr>
              <w:t>.</w:t>
            </w:r>
          </w:p>
        </w:tc>
      </w:tr>
      <w:tr w:rsidR="00B64009" w:rsidRPr="00550D35" w14:paraId="57678663" w14:textId="77777777" w:rsidTr="00BA62A0">
        <w:tc>
          <w:tcPr>
            <w:tcW w:w="3192" w:type="dxa"/>
          </w:tcPr>
          <w:p w14:paraId="7F7DBD67" w14:textId="77777777" w:rsidR="00B64009" w:rsidRPr="00550D35" w:rsidRDefault="00B64009" w:rsidP="00BA62A0">
            <w:pPr>
              <w:ind w:firstLine="0"/>
              <w:rPr>
                <w:b/>
                <w:bCs/>
                <w:sz w:val="20"/>
                <w:highlight w:val="yellow"/>
                <w:lang w:val="lv-LV"/>
              </w:rPr>
            </w:pPr>
            <w:r w:rsidRPr="00550D35">
              <w:rPr>
                <w:b/>
                <w:bCs/>
                <w:sz w:val="20"/>
                <w:lang w:val="lv-LV"/>
              </w:rPr>
              <w:t>Sagaidāmā ietekme un laika ietvars</w:t>
            </w:r>
          </w:p>
        </w:tc>
        <w:tc>
          <w:tcPr>
            <w:tcW w:w="5592" w:type="dxa"/>
          </w:tcPr>
          <w:p w14:paraId="15D806F1" w14:textId="4ABEC66D" w:rsidR="00B64009" w:rsidRPr="00550D35" w:rsidRDefault="00B64009" w:rsidP="00BA62A0">
            <w:pPr>
              <w:spacing w:before="100" w:beforeAutospacing="1" w:after="100" w:afterAutospacing="1"/>
              <w:ind w:firstLine="0"/>
              <w:rPr>
                <w:iCs/>
                <w:sz w:val="20"/>
                <w:lang w:val="lv-LV"/>
              </w:rPr>
            </w:pPr>
            <w:r w:rsidRPr="00550D35">
              <w:rPr>
                <w:iCs/>
                <w:sz w:val="20"/>
                <w:u w:val="single"/>
                <w:lang w:val="lv-LV"/>
              </w:rPr>
              <w:t>Kvantu izcilības centra mērķis</w:t>
            </w:r>
            <w:r w:rsidRPr="00550D35">
              <w:rPr>
                <w:iCs/>
                <w:sz w:val="20"/>
                <w:lang w:val="lv-LV"/>
              </w:rPr>
              <w:t xml:space="preserve"> ir apmācīt 180 speciālistus kvantu tehnoloģijas jomā, 12 jaunus studiju moduļus progresīvu digitālo prasmju attīstībai kvantu tehnoloģijā un izstrādāt 45 zinātniskas publikācijas kvantu tehnoloģijas jomā. </w:t>
            </w:r>
            <w:r w:rsidRPr="00550D35">
              <w:rPr>
                <w:iCs/>
                <w:sz w:val="20"/>
                <w:u w:val="single"/>
                <w:lang w:val="lv-LV"/>
              </w:rPr>
              <w:t>Augstas veiktspējas skaitļošanas izcilības centra mērķis</w:t>
            </w:r>
            <w:r w:rsidRPr="00550D35">
              <w:rPr>
                <w:iCs/>
                <w:sz w:val="20"/>
                <w:lang w:val="lv-LV"/>
              </w:rPr>
              <w:t xml:space="preserve"> ir apmācīt 2</w:t>
            </w:r>
            <w:r>
              <w:rPr>
                <w:iCs/>
                <w:sz w:val="20"/>
                <w:lang w:val="lv-LV"/>
              </w:rPr>
              <w:t> tūkst.</w:t>
            </w:r>
            <w:r w:rsidRPr="00550D35">
              <w:rPr>
                <w:iCs/>
                <w:sz w:val="20"/>
                <w:lang w:val="lv-LV"/>
              </w:rPr>
              <w:t xml:space="preserve"> speciālistus augstas veiktspējas skaitļošanas tehnoloģiju jomā, 12 jaunus studiju moduļus progresīvu digitālo prasmju attīstīšanai augstas veiktspējas tehnoloģiju jomā. </w:t>
            </w:r>
            <w:r w:rsidRPr="00550D35">
              <w:rPr>
                <w:iCs/>
                <w:sz w:val="20"/>
                <w:u w:val="single"/>
                <w:lang w:val="lv-LV"/>
              </w:rPr>
              <w:t xml:space="preserve">Valodu tehnoloģiju izcilības centra mērķis </w:t>
            </w:r>
            <w:r w:rsidRPr="00550D35">
              <w:rPr>
                <w:iCs/>
                <w:sz w:val="20"/>
                <w:lang w:val="lv-LV"/>
              </w:rPr>
              <w:t>ir apmācīt 820 speciālistus valodu skaitļošanas tehnoloģiju jomā, sagatavot 5 jaunus studiju moduļus progresīvu digitālo prasmju attīstībai valodu tehnoloģiju jomā un sagatavot 10 zinātniskus izdevumus. Kopā pasākuma ietvaros plānots apmācīt 3</w:t>
            </w:r>
            <w:r>
              <w:rPr>
                <w:iCs/>
                <w:sz w:val="20"/>
                <w:lang w:val="lv-LV"/>
              </w:rPr>
              <w:t> tūkst.</w:t>
            </w:r>
            <w:r w:rsidRPr="00550D35">
              <w:rPr>
                <w:iCs/>
                <w:sz w:val="20"/>
                <w:lang w:val="lv-LV"/>
              </w:rPr>
              <w:t xml:space="preserve"> jaunus speciālistus ar progresīvām digitālajām prasmēm, izstrādāt 29</w:t>
            </w:r>
            <w:r w:rsidR="00AF3916">
              <w:rPr>
                <w:iCs/>
                <w:sz w:val="20"/>
                <w:lang w:val="lv-LV"/>
              </w:rPr>
              <w:t> </w:t>
            </w:r>
            <w:r w:rsidRPr="00550D35">
              <w:rPr>
                <w:iCs/>
                <w:sz w:val="20"/>
                <w:lang w:val="lv-LV"/>
              </w:rPr>
              <w:t>jaunus studiju moduļus un sagatavot 55 zinātniskās publikācijas.</w:t>
            </w:r>
          </w:p>
          <w:p w14:paraId="1B8EFC08" w14:textId="331525B7" w:rsidR="00B64009" w:rsidRPr="00550D35" w:rsidRDefault="00B64009" w:rsidP="00BA62A0">
            <w:pPr>
              <w:spacing w:before="100" w:beforeAutospacing="1" w:after="100" w:afterAutospacing="1"/>
              <w:ind w:firstLine="0"/>
              <w:rPr>
                <w:iCs/>
                <w:sz w:val="20"/>
                <w:lang w:val="lv-LV"/>
              </w:rPr>
            </w:pPr>
            <w:r w:rsidRPr="00550D35">
              <w:rPr>
                <w:iCs/>
                <w:sz w:val="20"/>
                <w:lang w:val="lv-LV"/>
              </w:rPr>
              <w:t>P</w:t>
            </w:r>
            <w:r w:rsidR="004D447B">
              <w:rPr>
                <w:iCs/>
                <w:sz w:val="20"/>
                <w:lang w:val="lv-LV"/>
              </w:rPr>
              <w:t>asākum</w:t>
            </w:r>
            <w:r w:rsidR="00BC041F">
              <w:rPr>
                <w:iCs/>
                <w:sz w:val="20"/>
                <w:lang w:val="lv-LV"/>
              </w:rPr>
              <w:t>a</w:t>
            </w:r>
            <w:r w:rsidRPr="00550D35">
              <w:rPr>
                <w:iCs/>
                <w:sz w:val="20"/>
                <w:lang w:val="lv-LV"/>
              </w:rPr>
              <w:t xml:space="preserve"> laika ietvars 01.01.2023. – 30.06.2026.</w:t>
            </w:r>
          </w:p>
        </w:tc>
      </w:tr>
    </w:tbl>
    <w:p w14:paraId="399B68BE" w14:textId="77777777" w:rsidR="00B64009" w:rsidRPr="00550D35" w:rsidRDefault="00AC141D" w:rsidP="00B64009">
      <w:pPr>
        <w:pStyle w:val="Text3"/>
        <w:ind w:left="0" w:firstLine="0"/>
        <w:rPr>
          <w:lang w:val="lv-LV"/>
        </w:rPr>
      </w:pPr>
      <w:sdt>
        <w:sdtPr>
          <w:rPr>
            <w:rFonts w:eastAsia="Wingdings 2"/>
            <w:sz w:val="20"/>
            <w:lang w:val="lv-LV"/>
          </w:rPr>
          <w:id w:val="-1386326998"/>
          <w14:checkbox>
            <w14:checked w14:val="0"/>
            <w14:checkedState w14:val="2612" w14:font="MS Gothic"/>
            <w14:uncheckedState w14:val="2610" w14:font="MS Gothic"/>
          </w14:checkbox>
        </w:sdtPr>
        <w:sdtEndPr/>
        <w:sdtContent/>
      </w:sdt>
    </w:p>
    <w:tbl>
      <w:tblPr>
        <w:tblStyle w:val="TableGrid"/>
        <w:tblW w:w="8755" w:type="dxa"/>
        <w:tblLook w:val="04A0" w:firstRow="1" w:lastRow="0" w:firstColumn="1" w:lastColumn="0" w:noHBand="0" w:noVBand="1"/>
      </w:tblPr>
      <w:tblGrid>
        <w:gridCol w:w="3192"/>
        <w:gridCol w:w="5563"/>
      </w:tblGrid>
      <w:tr w:rsidR="00B64009" w:rsidRPr="003B2E9A" w14:paraId="2BECADA8" w14:textId="77777777" w:rsidTr="00BA62A0">
        <w:tc>
          <w:tcPr>
            <w:tcW w:w="8755" w:type="dxa"/>
            <w:gridSpan w:val="2"/>
          </w:tcPr>
          <w:p w14:paraId="1A0E26A1" w14:textId="77777777" w:rsidR="00B64009" w:rsidRPr="00550D35" w:rsidRDefault="00B64009" w:rsidP="00BA62A0">
            <w:pPr>
              <w:ind w:hanging="120"/>
              <w:rPr>
                <w:b/>
                <w:bCs/>
                <w:sz w:val="20"/>
                <w:lang w:val="lv-LV"/>
              </w:rPr>
            </w:pPr>
            <w:r w:rsidRPr="00550D35">
              <w:rPr>
                <w:b/>
                <w:bCs/>
                <w:sz w:val="20"/>
                <w:lang w:val="lv-LV"/>
              </w:rPr>
              <w:t xml:space="preserve">Pasākums Nr.4 – </w:t>
            </w:r>
            <w:proofErr w:type="spellStart"/>
            <w:r w:rsidRPr="00550D35">
              <w:rPr>
                <w:b/>
                <w:bCs/>
                <w:sz w:val="20"/>
                <w:lang w:val="lv-LV"/>
              </w:rPr>
              <w:t>Cilvēkkapitāla</w:t>
            </w:r>
            <w:proofErr w:type="spellEnd"/>
            <w:r w:rsidRPr="00550D35">
              <w:rPr>
                <w:b/>
                <w:bCs/>
                <w:sz w:val="20"/>
                <w:lang w:val="lv-LV"/>
              </w:rPr>
              <w:t xml:space="preserve"> attīstības stratēģija</w:t>
            </w:r>
          </w:p>
        </w:tc>
      </w:tr>
      <w:tr w:rsidR="00B64009" w:rsidRPr="00550D35" w14:paraId="1E1227EA" w14:textId="77777777" w:rsidTr="00BA62A0">
        <w:tc>
          <w:tcPr>
            <w:tcW w:w="3192" w:type="dxa"/>
          </w:tcPr>
          <w:p w14:paraId="31CEBE3B" w14:textId="77777777" w:rsidR="00B64009" w:rsidRPr="00550D35" w:rsidRDefault="00B64009" w:rsidP="00BA62A0">
            <w:pPr>
              <w:ind w:firstLine="0"/>
              <w:rPr>
                <w:b/>
                <w:bCs/>
                <w:sz w:val="20"/>
                <w:lang w:val="lv-LV"/>
              </w:rPr>
            </w:pPr>
            <w:r w:rsidRPr="00550D35">
              <w:rPr>
                <w:b/>
                <w:bCs/>
                <w:sz w:val="20"/>
                <w:lang w:val="lv-LV"/>
              </w:rPr>
              <w:t>Jauns pasākums</w:t>
            </w:r>
          </w:p>
        </w:tc>
        <w:tc>
          <w:tcPr>
            <w:tcW w:w="5563" w:type="dxa"/>
          </w:tcPr>
          <w:p w14:paraId="636499C0" w14:textId="77777777" w:rsidR="00B64009" w:rsidRPr="00550D35" w:rsidRDefault="00AC141D" w:rsidP="00BA62A0">
            <w:pPr>
              <w:ind w:firstLine="0"/>
              <w:rPr>
                <w:sz w:val="20"/>
                <w:lang w:val="lv-LV"/>
              </w:rPr>
            </w:pPr>
            <w:sdt>
              <w:sdtPr>
                <w:rPr>
                  <w:sz w:val="20"/>
                  <w:lang w:val="lv-LV"/>
                </w:rPr>
                <w:id w:val="829716962"/>
                <w14:checkbox>
                  <w14:checked w14:val="1"/>
                  <w14:checkedState w14:val="2612" w14:font="MS Gothic"/>
                  <w14:uncheckedState w14:val="2610" w14:font="MS Gothic"/>
                </w14:checkbox>
              </w:sdtPr>
              <w:sdtEndPr/>
              <w:sdtContent>
                <w:r w:rsidR="00B64009" w:rsidRPr="00550D35">
                  <w:rPr>
                    <w:rFonts w:ascii="MS Gothic" w:eastAsia="MS Gothic" w:hAnsi="MS Gothic"/>
                    <w:sz w:val="20"/>
                    <w:lang w:val="lv-LV"/>
                  </w:rPr>
                  <w:t>☒</w:t>
                </w:r>
              </w:sdtContent>
            </w:sdt>
            <w:r w:rsidR="00B64009" w:rsidRPr="00550D35">
              <w:rPr>
                <w:sz w:val="20"/>
                <w:lang w:val="lv-LV"/>
              </w:rPr>
              <w:t>jā</w:t>
            </w:r>
          </w:p>
          <w:p w14:paraId="256B3D0F" w14:textId="77777777" w:rsidR="00B64009" w:rsidRPr="00550D35" w:rsidRDefault="00AC141D" w:rsidP="00BA62A0">
            <w:pPr>
              <w:ind w:firstLine="0"/>
              <w:rPr>
                <w:sz w:val="20"/>
                <w:lang w:val="lv-LV"/>
              </w:rPr>
            </w:pPr>
            <w:sdt>
              <w:sdtPr>
                <w:rPr>
                  <w:sz w:val="20"/>
                  <w:lang w:val="lv-LV"/>
                </w:rPr>
                <w:id w:val="805663282"/>
                <w14:checkbox>
                  <w14:checked w14:val="0"/>
                  <w14:checkedState w14:val="2612" w14:font="MS Gothic"/>
                  <w14:uncheckedState w14:val="2610" w14:font="MS Gothic"/>
                </w14:checkbox>
              </w:sdtPr>
              <w:sdtEndPr/>
              <w:sdtContent>
                <w:r w:rsidR="00B64009" w:rsidRPr="00550D35">
                  <w:rPr>
                    <w:rFonts w:ascii="Segoe UI Symbol" w:eastAsia="MS Gothic" w:hAnsi="Segoe UI Symbol" w:cs="Segoe UI Symbol"/>
                    <w:sz w:val="20"/>
                    <w:lang w:val="lv-LV"/>
                  </w:rPr>
                  <w:t>☐</w:t>
                </w:r>
              </w:sdtContent>
            </w:sdt>
            <w:r w:rsidR="00B64009" w:rsidRPr="00550D35">
              <w:rPr>
                <w:sz w:val="20"/>
                <w:lang w:val="lv-LV"/>
              </w:rPr>
              <w:t xml:space="preserve"> nē</w:t>
            </w:r>
          </w:p>
        </w:tc>
      </w:tr>
      <w:tr w:rsidR="00B64009" w:rsidRPr="003B2E9A" w14:paraId="4019B128" w14:textId="77777777" w:rsidTr="00BA62A0">
        <w:tc>
          <w:tcPr>
            <w:tcW w:w="3192" w:type="dxa"/>
          </w:tcPr>
          <w:p w14:paraId="39921014" w14:textId="28329E70" w:rsidR="00B64009" w:rsidRPr="00550D35" w:rsidRDefault="00B64009" w:rsidP="00BA62A0">
            <w:pPr>
              <w:ind w:firstLine="0"/>
              <w:rPr>
                <w:b/>
                <w:bCs/>
                <w:sz w:val="20"/>
                <w:lang w:val="lv-LV"/>
              </w:rPr>
            </w:pPr>
            <w:r w:rsidRPr="00550D35">
              <w:rPr>
                <w:b/>
                <w:bCs/>
                <w:sz w:val="20"/>
                <w:lang w:val="lv-LV"/>
              </w:rPr>
              <w:t>Īss pasākuma apraksts</w:t>
            </w:r>
          </w:p>
          <w:p w14:paraId="337FA177" w14:textId="77777777" w:rsidR="00B64009" w:rsidRPr="00550D35" w:rsidRDefault="00B64009" w:rsidP="00BA62A0">
            <w:pPr>
              <w:rPr>
                <w:i/>
                <w:iCs/>
                <w:sz w:val="20"/>
                <w:lang w:val="lv-LV"/>
              </w:rPr>
            </w:pPr>
          </w:p>
        </w:tc>
        <w:tc>
          <w:tcPr>
            <w:tcW w:w="5563" w:type="dxa"/>
          </w:tcPr>
          <w:p w14:paraId="42620FAC" w14:textId="77777777" w:rsidR="00B64009" w:rsidRPr="00550D35" w:rsidRDefault="00B64009" w:rsidP="00BA62A0">
            <w:pPr>
              <w:ind w:firstLine="0"/>
              <w:rPr>
                <w:sz w:val="20"/>
                <w:lang w:val="lv-LV"/>
              </w:rPr>
            </w:pPr>
            <w:r w:rsidRPr="00550D35">
              <w:rPr>
                <w:sz w:val="20"/>
                <w:lang w:val="lv-LV"/>
              </w:rPr>
              <w:t xml:space="preserve">EM sadarbībā ar LM, IZM kopā izstrādā </w:t>
            </w:r>
            <w:proofErr w:type="spellStart"/>
            <w:r w:rsidRPr="00550D35">
              <w:rPr>
                <w:sz w:val="20"/>
                <w:lang w:val="lv-LV"/>
              </w:rPr>
              <w:t>Cilvēkkapitāla</w:t>
            </w:r>
            <w:proofErr w:type="spellEnd"/>
            <w:r w:rsidRPr="00550D35">
              <w:rPr>
                <w:sz w:val="20"/>
                <w:lang w:val="lv-LV"/>
              </w:rPr>
              <w:t xml:space="preserve"> attīstības stratēģiju, lai nodrošinātu koordinētu </w:t>
            </w:r>
            <w:proofErr w:type="spellStart"/>
            <w:r w:rsidRPr="00550D35">
              <w:rPr>
                <w:sz w:val="20"/>
                <w:lang w:val="lv-LV"/>
              </w:rPr>
              <w:t>cilvēkkapitāla</w:t>
            </w:r>
            <w:proofErr w:type="spellEnd"/>
            <w:r w:rsidRPr="00550D35">
              <w:rPr>
                <w:sz w:val="20"/>
                <w:lang w:val="lv-LV"/>
              </w:rPr>
              <w:t xml:space="preserve"> jautājumu pārvaldību, sekmējot darba spēka piedāvājuma pielāgošanos nākotnes darba tirgus vajadzībām.</w:t>
            </w:r>
          </w:p>
          <w:p w14:paraId="4700113A" w14:textId="77777777" w:rsidR="00B64009" w:rsidRPr="00550D35" w:rsidRDefault="00B64009" w:rsidP="00BA62A0">
            <w:pPr>
              <w:ind w:firstLine="0"/>
              <w:rPr>
                <w:sz w:val="20"/>
                <w:lang w:val="lv-LV"/>
              </w:rPr>
            </w:pPr>
            <w:r w:rsidRPr="00550D35">
              <w:rPr>
                <w:sz w:val="20"/>
                <w:lang w:val="lv-LV"/>
              </w:rPr>
              <w:t xml:space="preserve">Stratēģijā 7 </w:t>
            </w:r>
            <w:proofErr w:type="spellStart"/>
            <w:r w:rsidRPr="00550D35">
              <w:rPr>
                <w:sz w:val="20"/>
                <w:lang w:val="lv-LV"/>
              </w:rPr>
              <w:t>apakšmērķi</w:t>
            </w:r>
            <w:proofErr w:type="spellEnd"/>
            <w:r w:rsidRPr="00550D35">
              <w:rPr>
                <w:sz w:val="20"/>
                <w:lang w:val="lv-LV"/>
              </w:rPr>
              <w:t>:</w:t>
            </w:r>
          </w:p>
          <w:p w14:paraId="68A1AC71" w14:textId="77777777" w:rsidR="00B64009" w:rsidRPr="00550D35" w:rsidRDefault="00B64009" w:rsidP="00BA62A0">
            <w:pPr>
              <w:ind w:firstLine="0"/>
              <w:rPr>
                <w:sz w:val="20"/>
                <w:lang w:val="lv-LV"/>
              </w:rPr>
            </w:pPr>
            <w:r w:rsidRPr="00550D35">
              <w:rPr>
                <w:sz w:val="20"/>
                <w:lang w:val="lv-LV"/>
              </w:rPr>
              <w:t>1.STEM prasmju stiprināšana, vidējās profesionālās izglītības piedāvājuma palielināšana, pieaugušo izglītības piedāvājuma attīstīšana.</w:t>
            </w:r>
          </w:p>
          <w:p w14:paraId="1D616B1B" w14:textId="77777777" w:rsidR="00B64009" w:rsidRPr="00550D35" w:rsidRDefault="00B64009" w:rsidP="00BA62A0">
            <w:pPr>
              <w:ind w:firstLine="0"/>
              <w:rPr>
                <w:sz w:val="20"/>
                <w:lang w:val="lv-LV"/>
              </w:rPr>
            </w:pPr>
            <w:r w:rsidRPr="00550D35">
              <w:rPr>
                <w:sz w:val="20"/>
                <w:lang w:val="lv-LV"/>
              </w:rPr>
              <w:t>2. Ekonomiski aktīvo iedzīvotāju īpatsvara palielināšana un darbaspēka reģionālās mobilitātes veicināšana</w:t>
            </w:r>
          </w:p>
          <w:p w14:paraId="3D56AE8B" w14:textId="77777777" w:rsidR="00B64009" w:rsidRPr="00550D35" w:rsidRDefault="00B64009" w:rsidP="00BA62A0">
            <w:pPr>
              <w:ind w:firstLine="0"/>
              <w:rPr>
                <w:sz w:val="20"/>
                <w:lang w:val="lv-LV"/>
              </w:rPr>
            </w:pPr>
            <w:r w:rsidRPr="00550D35">
              <w:rPr>
                <w:sz w:val="20"/>
                <w:lang w:val="lv-LV"/>
              </w:rPr>
              <w:lastRenderedPageBreak/>
              <w:t xml:space="preserve">3. </w:t>
            </w:r>
            <w:r>
              <w:rPr>
                <w:sz w:val="20"/>
                <w:lang w:val="lv-LV"/>
              </w:rPr>
              <w:t>K</w:t>
            </w:r>
            <w:r w:rsidRPr="00550D35">
              <w:rPr>
                <w:sz w:val="20"/>
                <w:lang w:val="lv-LV"/>
              </w:rPr>
              <w:t xml:space="preserve">valificētu darbinieku piesaiste, līdzsvarojot darbaspēka migrācijas politiku, t.sk. ārvalstu talantu piesaistē, un veicinot </w:t>
            </w:r>
            <w:proofErr w:type="spellStart"/>
            <w:r w:rsidRPr="00550D35">
              <w:rPr>
                <w:sz w:val="20"/>
                <w:lang w:val="lv-LV"/>
              </w:rPr>
              <w:t>remigrāciju</w:t>
            </w:r>
            <w:proofErr w:type="spellEnd"/>
            <w:r w:rsidRPr="00550D35">
              <w:rPr>
                <w:sz w:val="20"/>
                <w:lang w:val="lv-LV"/>
              </w:rPr>
              <w:t>.</w:t>
            </w:r>
          </w:p>
          <w:p w14:paraId="4172EC21" w14:textId="77777777" w:rsidR="00B64009" w:rsidRPr="00550D35" w:rsidRDefault="00B64009" w:rsidP="00BA62A0">
            <w:pPr>
              <w:ind w:firstLine="0"/>
              <w:rPr>
                <w:sz w:val="20"/>
                <w:lang w:val="lv-LV"/>
              </w:rPr>
            </w:pPr>
            <w:r w:rsidRPr="00550D35">
              <w:rPr>
                <w:sz w:val="20"/>
                <w:lang w:val="lv-LV"/>
              </w:rPr>
              <w:t>4. Veicināta darba devēju motivācija investēt darbiniekos un iedzīvotāju motivācija mācīties jaunas prasmes, mācību programmu kvalitātes kritēriji un palielinātas iedzīvotāju digitālās prasmes.</w:t>
            </w:r>
          </w:p>
          <w:p w14:paraId="70D97B76" w14:textId="77777777" w:rsidR="00B64009" w:rsidRPr="00550D35" w:rsidRDefault="00B64009" w:rsidP="00BA62A0">
            <w:pPr>
              <w:ind w:firstLine="0"/>
              <w:rPr>
                <w:sz w:val="20"/>
                <w:lang w:val="lv-LV"/>
              </w:rPr>
            </w:pPr>
            <w:r w:rsidRPr="00550D35">
              <w:rPr>
                <w:sz w:val="20"/>
                <w:lang w:val="lv-LV"/>
              </w:rPr>
              <w:t xml:space="preserve">5. Talantu attīstīšana uzņēmējdarbības veidošanā, nodrošinot uzņēmumu vadītājiem augsta līmeņa mācības </w:t>
            </w:r>
            <w:proofErr w:type="spellStart"/>
            <w:r w:rsidRPr="00550D35">
              <w:rPr>
                <w:sz w:val="20"/>
                <w:lang w:val="lv-LV"/>
              </w:rPr>
              <w:t>digitalizācijā</w:t>
            </w:r>
            <w:proofErr w:type="spellEnd"/>
            <w:r w:rsidRPr="00550D35">
              <w:rPr>
                <w:sz w:val="20"/>
                <w:lang w:val="lv-LV"/>
              </w:rPr>
              <w:t>, automatizācijā, robotizācijā un talantu vadībā.</w:t>
            </w:r>
          </w:p>
          <w:p w14:paraId="62625706" w14:textId="77777777" w:rsidR="00B64009" w:rsidRPr="00550D35" w:rsidRDefault="00B64009" w:rsidP="00BA62A0">
            <w:pPr>
              <w:ind w:firstLine="0"/>
              <w:rPr>
                <w:sz w:val="20"/>
                <w:lang w:val="lv-LV"/>
              </w:rPr>
            </w:pPr>
            <w:r w:rsidRPr="00550D35">
              <w:rPr>
                <w:sz w:val="20"/>
                <w:lang w:val="lv-LV"/>
              </w:rPr>
              <w:t xml:space="preserve">6. Uz lietotāju vērsta datu pārvaldība, kas nodrošina informācijas uzkrāšanu un analītikas kapacitāti datos </w:t>
            </w:r>
            <w:r>
              <w:rPr>
                <w:sz w:val="20"/>
                <w:lang w:val="lv-LV"/>
              </w:rPr>
              <w:t xml:space="preserve">un pierādījumos </w:t>
            </w:r>
            <w:r w:rsidRPr="00550D35">
              <w:rPr>
                <w:sz w:val="20"/>
                <w:lang w:val="lv-LV"/>
              </w:rPr>
              <w:t xml:space="preserve">balstītu lēmumu pieņemšanai </w:t>
            </w:r>
            <w:proofErr w:type="spellStart"/>
            <w:r w:rsidRPr="00550D35">
              <w:rPr>
                <w:sz w:val="20"/>
                <w:lang w:val="lv-LV"/>
              </w:rPr>
              <w:t>cilvēkkapitāla</w:t>
            </w:r>
            <w:proofErr w:type="spellEnd"/>
            <w:r w:rsidRPr="00550D35">
              <w:rPr>
                <w:sz w:val="20"/>
                <w:lang w:val="lv-LV"/>
              </w:rPr>
              <w:t xml:space="preserve"> attīstības un pieejamības </w:t>
            </w:r>
            <w:proofErr w:type="spellStart"/>
            <w:r w:rsidRPr="00550D35">
              <w:rPr>
                <w:sz w:val="20"/>
                <w:lang w:val="lv-LV"/>
              </w:rPr>
              <w:t>rīcībpolitikas</w:t>
            </w:r>
            <w:proofErr w:type="spellEnd"/>
            <w:r w:rsidRPr="00550D35">
              <w:rPr>
                <w:sz w:val="20"/>
                <w:lang w:val="lv-LV"/>
              </w:rPr>
              <w:t xml:space="preserve"> izstrādei un īstenošanai.</w:t>
            </w:r>
          </w:p>
          <w:p w14:paraId="71B17671" w14:textId="77777777" w:rsidR="00B64009" w:rsidRPr="00550D35" w:rsidRDefault="00B64009" w:rsidP="00BA62A0">
            <w:pPr>
              <w:ind w:firstLine="0"/>
              <w:rPr>
                <w:sz w:val="20"/>
                <w:lang w:val="lv-LV"/>
              </w:rPr>
            </w:pPr>
            <w:r w:rsidRPr="00550D35">
              <w:rPr>
                <w:sz w:val="20"/>
                <w:lang w:val="lv-LV"/>
              </w:rPr>
              <w:t>7. Saskaņota starpresoru sadarbība un koordinēta nepieciešamo darba tirgus pārkārtojumu plānošana, izstrāde, ieviešana un uzraudzība.</w:t>
            </w:r>
          </w:p>
        </w:tc>
      </w:tr>
      <w:tr w:rsidR="00B64009" w:rsidRPr="003B2E9A" w14:paraId="22D289D6" w14:textId="77777777" w:rsidTr="00BA62A0">
        <w:tc>
          <w:tcPr>
            <w:tcW w:w="3192" w:type="dxa"/>
            <w:shd w:val="clear" w:color="auto" w:fill="auto"/>
          </w:tcPr>
          <w:p w14:paraId="34AE18C9" w14:textId="1ECCCED6" w:rsidR="00B64009" w:rsidRPr="00550D35" w:rsidRDefault="00B64009" w:rsidP="00BA62A0">
            <w:pPr>
              <w:ind w:firstLine="0"/>
              <w:rPr>
                <w:b/>
                <w:bCs/>
                <w:sz w:val="20"/>
                <w:lang w:val="lv-LV"/>
              </w:rPr>
            </w:pPr>
            <w:r w:rsidRPr="00550D35">
              <w:rPr>
                <w:b/>
                <w:bCs/>
                <w:sz w:val="20"/>
                <w:lang w:val="lv-LV"/>
              </w:rPr>
              <w:lastRenderedPageBreak/>
              <w:t>Piešķirtais vai plānotais budžets un, ja atbilstoši, citi resursi</w:t>
            </w:r>
          </w:p>
        </w:tc>
        <w:tc>
          <w:tcPr>
            <w:tcW w:w="5563" w:type="dxa"/>
            <w:shd w:val="clear" w:color="auto" w:fill="auto"/>
          </w:tcPr>
          <w:p w14:paraId="15F994EA" w14:textId="77777777" w:rsidR="00B64009" w:rsidRPr="00550D35" w:rsidRDefault="00B64009" w:rsidP="00BA62A0">
            <w:pPr>
              <w:ind w:firstLine="0"/>
              <w:rPr>
                <w:sz w:val="20"/>
                <w:lang w:val="lv-LV"/>
              </w:rPr>
            </w:pPr>
            <w:r w:rsidRPr="00550D35">
              <w:rPr>
                <w:sz w:val="20"/>
                <w:lang w:val="lv-LV"/>
              </w:rPr>
              <w:t>Plānots no ANM plāna, ES kohēzijas fonda, valsts budžeta līdzekļiem. Turpinās stratēģijas projekta izstrāde, ceļveža Latvijai izstrādes laikā budžeta apjoms vēl nav noteikts.</w:t>
            </w:r>
          </w:p>
        </w:tc>
      </w:tr>
      <w:tr w:rsidR="00B64009" w:rsidRPr="00550D35" w14:paraId="27EEDB94" w14:textId="77777777" w:rsidTr="00BA62A0">
        <w:tc>
          <w:tcPr>
            <w:tcW w:w="3192" w:type="dxa"/>
          </w:tcPr>
          <w:p w14:paraId="01FE8C65" w14:textId="77777777" w:rsidR="00B64009" w:rsidRPr="00550D35" w:rsidRDefault="00B64009" w:rsidP="00BA62A0">
            <w:pPr>
              <w:ind w:firstLine="0"/>
              <w:rPr>
                <w:b/>
                <w:bCs/>
                <w:sz w:val="20"/>
                <w:lang w:val="lv-LV"/>
              </w:rPr>
            </w:pPr>
            <w:r w:rsidRPr="00550D35">
              <w:rPr>
                <w:b/>
                <w:bCs/>
                <w:sz w:val="20"/>
                <w:lang w:val="lv-LV"/>
              </w:rPr>
              <w:t>Sagaidāmā ietekme un laika ietvars</w:t>
            </w:r>
          </w:p>
        </w:tc>
        <w:tc>
          <w:tcPr>
            <w:tcW w:w="5563" w:type="dxa"/>
          </w:tcPr>
          <w:p w14:paraId="1D5CB445" w14:textId="77777777" w:rsidR="00B64009" w:rsidRPr="00550D35" w:rsidRDefault="00B64009" w:rsidP="00BA62A0">
            <w:pPr>
              <w:ind w:firstLine="0"/>
              <w:rPr>
                <w:sz w:val="20"/>
                <w:lang w:val="lv-LV"/>
              </w:rPr>
            </w:pPr>
            <w:r w:rsidRPr="00550D35">
              <w:rPr>
                <w:sz w:val="20"/>
                <w:lang w:val="lv-LV"/>
              </w:rPr>
              <w:t>Līdz 2027.gadam plānots palielināt IKT speciālistu skaitu par 10 tūkstošiem speciālistu.</w:t>
            </w:r>
          </w:p>
          <w:p w14:paraId="087C69AE" w14:textId="77777777" w:rsidR="00B64009" w:rsidRPr="00550D35" w:rsidRDefault="00B64009" w:rsidP="00BA62A0">
            <w:pPr>
              <w:ind w:firstLine="0"/>
              <w:rPr>
                <w:sz w:val="20"/>
                <w:lang w:val="lv-LV"/>
              </w:rPr>
            </w:pPr>
            <w:r w:rsidRPr="00550D35">
              <w:rPr>
                <w:sz w:val="20"/>
                <w:lang w:val="lv-LV"/>
              </w:rPr>
              <w:t>Pasākuma laika ietvars: 202</w:t>
            </w:r>
            <w:r>
              <w:rPr>
                <w:sz w:val="20"/>
                <w:lang w:val="lv-LV"/>
              </w:rPr>
              <w:t>4</w:t>
            </w:r>
            <w:r w:rsidRPr="00550D35">
              <w:rPr>
                <w:sz w:val="20"/>
                <w:lang w:val="lv-LV"/>
              </w:rPr>
              <w:t>.-2027. gads</w:t>
            </w:r>
          </w:p>
        </w:tc>
      </w:tr>
    </w:tbl>
    <w:p w14:paraId="116A8C6B" w14:textId="77777777" w:rsidR="00B64009" w:rsidRPr="00550D35" w:rsidRDefault="00B64009" w:rsidP="00B64009">
      <w:pPr>
        <w:pStyle w:val="Text3"/>
        <w:ind w:left="0" w:firstLine="0"/>
        <w:rPr>
          <w:lang w:val="lv-LV"/>
        </w:rPr>
      </w:pPr>
    </w:p>
    <w:p w14:paraId="3F999B92" w14:textId="77777777" w:rsidR="00B64009" w:rsidRPr="00550D35" w:rsidRDefault="00B64009" w:rsidP="00B64009">
      <w:pPr>
        <w:pStyle w:val="Heading2"/>
        <w:rPr>
          <w:lang w:val="lv-LV"/>
        </w:rPr>
      </w:pPr>
      <w:r w:rsidRPr="00550D35">
        <w:rPr>
          <w:lang w:val="lv-LV"/>
        </w:rPr>
        <w:t>Galvenā politika, pasākumi un darbības, kas paredzēti, lai palīdzētu sasniegt vispārīgos mērķus</w:t>
      </w:r>
    </w:p>
    <w:p w14:paraId="02F1FA72" w14:textId="77777777" w:rsidR="00B64009" w:rsidRPr="00550D35" w:rsidRDefault="00B64009" w:rsidP="00B64009">
      <w:pPr>
        <w:rPr>
          <w:lang w:val="lv-LV"/>
        </w:rPr>
      </w:pPr>
    </w:p>
    <w:p w14:paraId="1821A90E" w14:textId="77777777" w:rsidR="00B64009" w:rsidRPr="00550D35" w:rsidRDefault="00B64009" w:rsidP="00B64009">
      <w:pPr>
        <w:rPr>
          <w:lang w:val="lv-LV"/>
        </w:rPr>
      </w:pPr>
      <w:r w:rsidRPr="00550D35">
        <w:rPr>
          <w:lang w:val="lv-LV"/>
        </w:rPr>
        <w:t xml:space="preserve">DTP2027 iekļautā attīstības joma “Digitālās prasmes un izglītība” ietver rīcības virzienu 4.1.2. “Sabiedrības digitālo prasmju attīstība no </w:t>
      </w:r>
      <w:proofErr w:type="spellStart"/>
      <w:r w:rsidRPr="00550D35">
        <w:rPr>
          <w:lang w:val="lv-LV"/>
        </w:rPr>
        <w:t>pamatprasmēm</w:t>
      </w:r>
      <w:proofErr w:type="spellEnd"/>
      <w:r w:rsidRPr="00550D35">
        <w:rPr>
          <w:lang w:val="lv-LV"/>
        </w:rPr>
        <w:t xml:space="preserve"> līdz augsta līmeņa prasmēm” ar mērķi nodrošināt iespējas pastāvīgi un pēc individualizēta pieprasījuma apgūt digitālās prasmes darbam IKT specialitātēs un palielināt tajās nodarbināto sieviešu skaitu. Minētais rīcības virziens paredz veicināt augstākās un profesionālās izglītības iestāžu ciešāku sadarbību ar darba devējiem un nozares asociācijām, lai sagatavotu kvalificētus IKT speciālistus atbilstoši tautsaimniecības prasībām, tā rezultātā Latvijā </w:t>
      </w:r>
      <w:r w:rsidRPr="00550D35">
        <w:rPr>
          <w:szCs w:val="24"/>
          <w:lang w:val="lv-LV"/>
        </w:rPr>
        <w:t>pieaugs IKT speciālistu īpatsvars no kopējā nodarbināto skaita.</w:t>
      </w:r>
    </w:p>
    <w:p w14:paraId="5E5F360F" w14:textId="77777777" w:rsidR="00B64009" w:rsidRDefault="00B64009" w:rsidP="00051187">
      <w:pPr>
        <w:rPr>
          <w:lang w:val="lv-LV"/>
        </w:rPr>
      </w:pPr>
      <w:r w:rsidRPr="00550D35">
        <w:rPr>
          <w:lang w:val="lv-LV"/>
        </w:rPr>
        <w:t>Saskaņoti ar minēto DTP2027 jomu ir veidotas IAP2027, kas paredz veicināt un modernizēt digitālās prasmes un STEM jomu priekšmetu apguvi.</w:t>
      </w:r>
    </w:p>
    <w:p w14:paraId="05EF3553" w14:textId="52E45B8E" w:rsidR="001E6E6F" w:rsidRPr="00550D35" w:rsidRDefault="001E6E6F" w:rsidP="00051187">
      <w:pPr>
        <w:rPr>
          <w:lang w:val="lv-LV"/>
        </w:rPr>
      </w:pPr>
      <w:r w:rsidRPr="00051187">
        <w:rPr>
          <w:lang w:val="lv-LV"/>
        </w:rPr>
        <w:t>Latvijas Kosmosa stratēģij</w:t>
      </w:r>
      <w:r w:rsidR="00472BA0">
        <w:rPr>
          <w:lang w:val="lv-LV"/>
        </w:rPr>
        <w:t>ā</w:t>
      </w:r>
      <w:r w:rsidRPr="00051187">
        <w:rPr>
          <w:lang w:val="lv-LV"/>
        </w:rPr>
        <w:t xml:space="preserve"> 2021.-2027. gadam </w:t>
      </w:r>
      <w:r w:rsidR="00472BA0">
        <w:rPr>
          <w:lang w:val="lv-LV"/>
        </w:rPr>
        <w:t>ietverti</w:t>
      </w:r>
      <w:r w:rsidRPr="00051187">
        <w:rPr>
          <w:lang w:val="lv-LV"/>
        </w:rPr>
        <w:t xml:space="preserve"> mērķ</w:t>
      </w:r>
      <w:r w:rsidR="00472BA0">
        <w:rPr>
          <w:lang w:val="lv-LV"/>
        </w:rPr>
        <w:t>i</w:t>
      </w:r>
      <w:r w:rsidRPr="00051187">
        <w:rPr>
          <w:lang w:val="lv-LV"/>
        </w:rPr>
        <w:t xml:space="preserve">, kas attiecas uz </w:t>
      </w:r>
      <w:proofErr w:type="spellStart"/>
      <w:r w:rsidRPr="00051187">
        <w:rPr>
          <w:lang w:val="lv-LV"/>
        </w:rPr>
        <w:t>cilvēkkapitāla</w:t>
      </w:r>
      <w:proofErr w:type="spellEnd"/>
      <w:r w:rsidRPr="00051187">
        <w:rPr>
          <w:lang w:val="lv-LV"/>
        </w:rPr>
        <w:t xml:space="preserve"> ar </w:t>
      </w:r>
      <w:proofErr w:type="spellStart"/>
      <w:r w:rsidRPr="00051187">
        <w:rPr>
          <w:lang w:val="lv-LV"/>
        </w:rPr>
        <w:t>satelītdatu</w:t>
      </w:r>
      <w:proofErr w:type="spellEnd"/>
      <w:r w:rsidRPr="00051187">
        <w:rPr>
          <w:lang w:val="lv-LV"/>
        </w:rPr>
        <w:t xml:space="preserve"> un kosmosa tehnoloģiju izmantošanas prasmēm attīstību Latvijā. Latvijas sadarbība ar Eiropas Kosmosa aģentūru un </w:t>
      </w:r>
      <w:r w:rsidR="00472BA0">
        <w:rPr>
          <w:lang w:val="lv-LV"/>
        </w:rPr>
        <w:t xml:space="preserve">dalība </w:t>
      </w:r>
      <w:r w:rsidRPr="00051187">
        <w:rPr>
          <w:lang w:val="lv-LV"/>
        </w:rPr>
        <w:t>ES Kosmosa programm</w:t>
      </w:r>
      <w:r w:rsidR="00612D3F">
        <w:rPr>
          <w:lang w:val="lv-LV"/>
        </w:rPr>
        <w:t>ā</w:t>
      </w:r>
      <w:r w:rsidRPr="00051187">
        <w:rPr>
          <w:lang w:val="lv-LV"/>
        </w:rPr>
        <w:t xml:space="preserve"> sniedz papildus </w:t>
      </w:r>
      <w:r w:rsidR="00612D3F">
        <w:rPr>
          <w:lang w:val="lv-LV"/>
        </w:rPr>
        <w:t>ieguldījumu</w:t>
      </w:r>
      <w:r w:rsidRPr="00051187">
        <w:rPr>
          <w:lang w:val="lv-LV"/>
        </w:rPr>
        <w:t xml:space="preserve"> šāda </w:t>
      </w:r>
      <w:proofErr w:type="spellStart"/>
      <w:r w:rsidRPr="00051187">
        <w:rPr>
          <w:lang w:val="lv-LV"/>
        </w:rPr>
        <w:t>cilvēkkapitāla</w:t>
      </w:r>
      <w:proofErr w:type="spellEnd"/>
      <w:r w:rsidRPr="00051187">
        <w:rPr>
          <w:lang w:val="lv-LV"/>
        </w:rPr>
        <w:t xml:space="preserve"> attīstībai visos līmeņos zinātnē un uzņēmējdarbībā.</w:t>
      </w:r>
    </w:p>
    <w:p w14:paraId="05A9C23B" w14:textId="494AD2E8" w:rsidR="00B64009" w:rsidRPr="00550D35" w:rsidRDefault="00B64009" w:rsidP="00051187">
      <w:pPr>
        <w:rPr>
          <w:lang w:val="lv-LV"/>
        </w:rPr>
      </w:pPr>
      <w:r w:rsidRPr="00550D35">
        <w:rPr>
          <w:lang w:val="lv-LV"/>
        </w:rPr>
        <w:t>LIKTA partnerībā ar Latvijas IT Klasteri līdz 2023.gada beigām piedāvā uzņēmumiem iespēju paaugstināt savu darbinieku zināšanas un prasmes ERAF projekta “Partnerībā organizētas IKT profesionāļu apmācības inovāciju veicināšanai un nozares attīstībai” (līg</w:t>
      </w:r>
      <w:r w:rsidR="007438E6">
        <w:rPr>
          <w:lang w:val="lv-LV"/>
        </w:rPr>
        <w:t>uma</w:t>
      </w:r>
      <w:r w:rsidRPr="00550D35">
        <w:rPr>
          <w:lang w:val="lv-LV"/>
        </w:rPr>
        <w:t xml:space="preserve"> Nr. 1.2.2.1/19/A/005) ietvaros.</w:t>
      </w:r>
    </w:p>
    <w:p w14:paraId="5C8D10AC" w14:textId="77777777" w:rsidR="00B64009" w:rsidRPr="00550D35" w:rsidRDefault="00B64009" w:rsidP="00B64009">
      <w:pPr>
        <w:rPr>
          <w:lang w:val="lv-LV"/>
        </w:rPr>
      </w:pPr>
      <w:r w:rsidRPr="00550D35">
        <w:rPr>
          <w:lang w:val="lv-LV"/>
        </w:rPr>
        <w:t>Partnerībā “</w:t>
      </w:r>
      <w:r w:rsidRPr="00550D35">
        <w:rPr>
          <w:i/>
          <w:iCs/>
          <w:lang w:val="lv-LV"/>
        </w:rPr>
        <w:t>Women4IT</w:t>
      </w:r>
      <w:r w:rsidRPr="00550D35">
        <w:rPr>
          <w:lang w:val="lv-LV"/>
        </w:rPr>
        <w:t>” ir iesaistītas dažādas valstis ar mērķi uzlabot dzimumu līdzsvaru un dzimumu līdztiesību IKT darbvietās, 60 % no visiem izglītojamajiem, kuri Latvijā apguvuši digitālās prasmes, bija sievietes.</w:t>
      </w:r>
    </w:p>
    <w:p w14:paraId="2AC57C04" w14:textId="77777777" w:rsidR="00B64009" w:rsidRPr="00550D35" w:rsidRDefault="00B64009" w:rsidP="00B64009">
      <w:pPr>
        <w:rPr>
          <w:lang w:val="lv-LV"/>
        </w:rPr>
      </w:pPr>
      <w:r w:rsidRPr="00550D35">
        <w:rPr>
          <w:lang w:val="lv-LV"/>
        </w:rPr>
        <w:lastRenderedPageBreak/>
        <w:t>Īstenojamā politika, pasākumi un darbības KPI “IKT speciālisti” jomā sniedz ieguldījumu iedzīvotāju piekļuves nodrošināšanā digitālajām tehnoloģijām.</w:t>
      </w:r>
    </w:p>
    <w:p w14:paraId="75335DA5" w14:textId="77777777" w:rsidR="00B64009" w:rsidRPr="00550D35" w:rsidRDefault="00B64009" w:rsidP="00B64009">
      <w:pPr>
        <w:pStyle w:val="Text2"/>
        <w:rPr>
          <w:lang w:val="lv-LV"/>
        </w:rPr>
      </w:pPr>
    </w:p>
    <w:tbl>
      <w:tblPr>
        <w:tblW w:w="878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4"/>
        <w:gridCol w:w="1842"/>
        <w:gridCol w:w="5353"/>
      </w:tblGrid>
      <w:tr w:rsidR="00B64009" w:rsidRPr="003B2E9A" w14:paraId="476ED8A6" w14:textId="77777777" w:rsidTr="00BA62A0">
        <w:trPr>
          <w:trHeight w:val="806"/>
        </w:trPr>
        <w:tc>
          <w:tcPr>
            <w:tcW w:w="1594" w:type="dxa"/>
            <w:tcMar>
              <w:top w:w="0" w:type="dxa"/>
              <w:left w:w="108" w:type="dxa"/>
              <w:bottom w:w="0" w:type="dxa"/>
              <w:right w:w="108" w:type="dxa"/>
            </w:tcMar>
            <w:vAlign w:val="center"/>
          </w:tcPr>
          <w:p w14:paraId="4E9C8BFC" w14:textId="77777777" w:rsidR="00B64009" w:rsidRPr="00550D35" w:rsidRDefault="00B64009" w:rsidP="00BA62A0">
            <w:pPr>
              <w:spacing w:before="0" w:after="0"/>
              <w:ind w:firstLine="0"/>
              <w:jc w:val="left"/>
              <w:rPr>
                <w:b/>
                <w:i/>
                <w:sz w:val="20"/>
                <w:lang w:val="lv-LV"/>
              </w:rPr>
            </w:pPr>
          </w:p>
        </w:tc>
        <w:tc>
          <w:tcPr>
            <w:tcW w:w="1842" w:type="dxa"/>
            <w:tcMar>
              <w:top w:w="0" w:type="dxa"/>
              <w:left w:w="108" w:type="dxa"/>
              <w:bottom w:w="0" w:type="dxa"/>
              <w:right w:w="108" w:type="dxa"/>
            </w:tcMar>
            <w:vAlign w:val="center"/>
          </w:tcPr>
          <w:p w14:paraId="66B324ED" w14:textId="77777777" w:rsidR="00B64009" w:rsidRPr="00550D35" w:rsidRDefault="00B64009" w:rsidP="002A638B">
            <w:pPr>
              <w:pStyle w:val="ListParagraph"/>
              <w:spacing w:before="0"/>
              <w:ind w:left="0" w:firstLine="0"/>
              <w:rPr>
                <w:rFonts w:cs="Times New Roman"/>
                <w:sz w:val="20"/>
                <w:szCs w:val="20"/>
                <w:lang w:val="lv-LV"/>
              </w:rPr>
            </w:pPr>
            <w:r w:rsidRPr="00550D35">
              <w:rPr>
                <w:rFonts w:cs="Times New Roman"/>
                <w:b/>
                <w:i/>
                <w:sz w:val="20"/>
                <w:szCs w:val="20"/>
                <w:lang w:val="lv-LV"/>
              </w:rPr>
              <w:t>Vispārīgie mērķi</w:t>
            </w:r>
          </w:p>
        </w:tc>
        <w:tc>
          <w:tcPr>
            <w:tcW w:w="5353" w:type="dxa"/>
          </w:tcPr>
          <w:p w14:paraId="019C84E6" w14:textId="77777777" w:rsidR="00B64009" w:rsidRPr="00550D35" w:rsidRDefault="00B64009" w:rsidP="002A638B">
            <w:pPr>
              <w:pStyle w:val="ListParagraph"/>
              <w:spacing w:before="0"/>
              <w:ind w:left="0" w:firstLine="0"/>
              <w:rPr>
                <w:rFonts w:cs="Times New Roman"/>
                <w:b/>
                <w:i/>
                <w:sz w:val="20"/>
                <w:szCs w:val="20"/>
                <w:lang w:val="lv-LV"/>
              </w:rPr>
            </w:pPr>
          </w:p>
          <w:p w14:paraId="6CA31523" w14:textId="77777777" w:rsidR="00B64009" w:rsidRPr="00550D35" w:rsidRDefault="00B64009" w:rsidP="002A638B">
            <w:pPr>
              <w:pStyle w:val="ListParagraph"/>
              <w:ind w:left="0" w:firstLine="0"/>
              <w:rPr>
                <w:sz w:val="20"/>
                <w:lang w:val="lv-LV"/>
              </w:rPr>
            </w:pPr>
            <w:r w:rsidRPr="00550D35">
              <w:rPr>
                <w:rFonts w:cs="Times New Roman"/>
                <w:b/>
                <w:i/>
                <w:sz w:val="20"/>
                <w:szCs w:val="20"/>
                <w:lang w:val="lv-LV"/>
              </w:rPr>
              <w:t>Dalībvalsts iespējamā ieguldījuma jomu piemēri</w:t>
            </w:r>
          </w:p>
        </w:tc>
      </w:tr>
      <w:tr w:rsidR="00B64009" w:rsidRPr="003B2E9A" w14:paraId="01C765FE" w14:textId="77777777" w:rsidTr="00B0591F">
        <w:trPr>
          <w:trHeight w:val="841"/>
        </w:trPr>
        <w:tc>
          <w:tcPr>
            <w:tcW w:w="1594" w:type="dxa"/>
            <w:tcMar>
              <w:top w:w="0" w:type="dxa"/>
              <w:left w:w="108" w:type="dxa"/>
              <w:bottom w:w="0" w:type="dxa"/>
              <w:right w:w="108" w:type="dxa"/>
            </w:tcMar>
            <w:vAlign w:val="center"/>
            <w:hideMark/>
          </w:tcPr>
          <w:p w14:paraId="027A4421" w14:textId="77777777" w:rsidR="00B64009" w:rsidRPr="00550D35" w:rsidRDefault="00B64009" w:rsidP="00BA62A0">
            <w:pPr>
              <w:pStyle w:val="ListParagraph"/>
              <w:spacing w:after="120"/>
              <w:ind w:left="142" w:firstLine="0"/>
              <w:jc w:val="left"/>
              <w:rPr>
                <w:rFonts w:cs="Times New Roman"/>
                <w:b/>
                <w:i/>
                <w:sz w:val="20"/>
                <w:szCs w:val="20"/>
                <w:lang w:val="lv-LV"/>
              </w:rPr>
            </w:pPr>
            <w:r w:rsidRPr="00550D35">
              <w:rPr>
                <w:rFonts w:cs="Times New Roman"/>
                <w:b/>
                <w:i/>
                <w:sz w:val="20"/>
                <w:szCs w:val="20"/>
                <w:lang w:val="lv-LV"/>
              </w:rPr>
              <w:t>Veicināt iedzīvotāju piekļuvi digitālajām tehnoloģijām</w:t>
            </w:r>
          </w:p>
        </w:tc>
        <w:tc>
          <w:tcPr>
            <w:tcW w:w="1842" w:type="dxa"/>
            <w:tcMar>
              <w:top w:w="0" w:type="dxa"/>
              <w:left w:w="108" w:type="dxa"/>
              <w:bottom w:w="0" w:type="dxa"/>
              <w:right w:w="108" w:type="dxa"/>
            </w:tcMar>
            <w:vAlign w:val="center"/>
          </w:tcPr>
          <w:p w14:paraId="27946814" w14:textId="77777777" w:rsidR="00B64009" w:rsidRPr="00550D35" w:rsidRDefault="00B64009" w:rsidP="00BA62A0">
            <w:pPr>
              <w:pStyle w:val="ListParagraph"/>
              <w:spacing w:after="120"/>
              <w:ind w:left="0" w:firstLine="0"/>
              <w:jc w:val="left"/>
              <w:rPr>
                <w:rFonts w:cs="Times New Roman"/>
                <w:sz w:val="20"/>
                <w:szCs w:val="20"/>
                <w:lang w:val="lv-LV"/>
              </w:rPr>
            </w:pPr>
            <w:r w:rsidRPr="00550D35">
              <w:rPr>
                <w:rFonts w:cs="Times New Roman"/>
                <w:sz w:val="20"/>
                <w:szCs w:val="20"/>
                <w:lang w:val="lv-LV"/>
              </w:rPr>
              <w:t>Atsaucoties uz mērķiem, kas minēti Dekādes programmas 3.panta 1.daļas (a), (b), (e) un (g) punktā</w:t>
            </w:r>
          </w:p>
        </w:tc>
        <w:tc>
          <w:tcPr>
            <w:tcW w:w="5353" w:type="dxa"/>
          </w:tcPr>
          <w:p w14:paraId="036982B1" w14:textId="77777777" w:rsidR="00B64009" w:rsidRPr="00550D35" w:rsidRDefault="00B64009" w:rsidP="004E6F1B">
            <w:pPr>
              <w:ind w:firstLine="0"/>
              <w:rPr>
                <w:b/>
                <w:bCs/>
                <w:sz w:val="20"/>
                <w:lang w:val="lv-LV"/>
              </w:rPr>
            </w:pPr>
            <w:r w:rsidRPr="00550D35">
              <w:rPr>
                <w:sz w:val="20"/>
                <w:lang w:val="lv-LV"/>
              </w:rPr>
              <w:t>1.pasākums sniedz ieguldījumu Dekādes programmas mērķa “stiprināt dalībvalstu kolektīvo noturību un mazināt digitālo plaisu, panākt dzimumu un ģeogrāfisko līdzsvaru, veicinot nepārtrauktas iespējas visām personām attīstīt pamata un padziļinātas digitālās prasmes un kompetences, tostarp izmantojot arodmācības un profesionālo apmācību, un mūžizglītību un veicinot augstas veiktspējas digitālo spēju attīstību horizontālās izglītības un apmācības sistēmās” (pants 3.1.b.)</w:t>
            </w:r>
            <w:r w:rsidRPr="00550D35">
              <w:rPr>
                <w:b/>
                <w:bCs/>
                <w:sz w:val="20"/>
                <w:lang w:val="lv-LV"/>
              </w:rPr>
              <w:t>.</w:t>
            </w:r>
          </w:p>
        </w:tc>
      </w:tr>
      <w:tr w:rsidR="00B64009" w:rsidRPr="00550D35" w14:paraId="17F691A4" w14:textId="77777777" w:rsidTr="00BA62A0">
        <w:trPr>
          <w:trHeight w:val="1096"/>
        </w:trPr>
        <w:tc>
          <w:tcPr>
            <w:tcW w:w="1594" w:type="dxa"/>
            <w:tcMar>
              <w:top w:w="0" w:type="dxa"/>
              <w:left w:w="108" w:type="dxa"/>
              <w:bottom w:w="0" w:type="dxa"/>
              <w:right w:w="108" w:type="dxa"/>
            </w:tcMar>
            <w:vAlign w:val="center"/>
            <w:hideMark/>
          </w:tcPr>
          <w:p w14:paraId="59A082C2" w14:textId="77777777" w:rsidR="00B64009" w:rsidRPr="00550D35" w:rsidRDefault="00B64009" w:rsidP="00BA62A0">
            <w:pPr>
              <w:pStyle w:val="ListParagraph"/>
              <w:spacing w:after="120"/>
              <w:ind w:left="142" w:firstLine="0"/>
              <w:jc w:val="left"/>
              <w:rPr>
                <w:rFonts w:cs="Times New Roman"/>
                <w:b/>
                <w:i/>
                <w:sz w:val="20"/>
                <w:szCs w:val="20"/>
                <w:lang w:val="lv-LV"/>
              </w:rPr>
            </w:pPr>
            <w:r w:rsidRPr="00550D35">
              <w:rPr>
                <w:rFonts w:cs="Times New Roman"/>
                <w:b/>
                <w:i/>
                <w:sz w:val="20"/>
                <w:szCs w:val="20"/>
                <w:lang w:val="lv-LV"/>
              </w:rPr>
              <w:t>Veicināt līderību un suverenitāti</w:t>
            </w:r>
          </w:p>
        </w:tc>
        <w:tc>
          <w:tcPr>
            <w:tcW w:w="1842" w:type="dxa"/>
            <w:tcMar>
              <w:top w:w="0" w:type="dxa"/>
              <w:left w:w="108" w:type="dxa"/>
              <w:bottom w:w="0" w:type="dxa"/>
              <w:right w:w="108" w:type="dxa"/>
            </w:tcMar>
            <w:vAlign w:val="center"/>
            <w:hideMark/>
          </w:tcPr>
          <w:p w14:paraId="7DC5433D" w14:textId="77777777" w:rsidR="00B64009" w:rsidRPr="00550D35" w:rsidRDefault="00B64009" w:rsidP="00BA62A0">
            <w:pPr>
              <w:pStyle w:val="ListParagraph"/>
              <w:spacing w:after="120"/>
              <w:ind w:left="0" w:firstLine="0"/>
              <w:jc w:val="left"/>
              <w:rPr>
                <w:rFonts w:cs="Times New Roman"/>
                <w:i/>
                <w:sz w:val="20"/>
                <w:szCs w:val="20"/>
                <w:lang w:val="lv-LV"/>
              </w:rPr>
            </w:pPr>
            <w:r w:rsidRPr="00550D35">
              <w:rPr>
                <w:rFonts w:cs="Times New Roman"/>
                <w:sz w:val="20"/>
                <w:szCs w:val="20"/>
                <w:lang w:val="lv-LV"/>
              </w:rPr>
              <w:t>Atsaucoties uz mērķiem, kas minēti Dekādes programmas 3.panta 1.daļas (c), (d), (</w:t>
            </w:r>
            <w:proofErr w:type="spellStart"/>
            <w:r w:rsidRPr="00550D35">
              <w:rPr>
                <w:rFonts w:cs="Times New Roman"/>
                <w:sz w:val="20"/>
                <w:szCs w:val="20"/>
                <w:lang w:val="lv-LV"/>
              </w:rPr>
              <w:t>da</w:t>
            </w:r>
            <w:proofErr w:type="spellEnd"/>
            <w:r w:rsidRPr="00550D35">
              <w:rPr>
                <w:rFonts w:cs="Times New Roman"/>
                <w:sz w:val="20"/>
                <w:szCs w:val="20"/>
                <w:lang w:val="lv-LV"/>
              </w:rPr>
              <w:t>), (ha) un  (</w:t>
            </w:r>
            <w:proofErr w:type="spellStart"/>
            <w:r w:rsidRPr="00550D35">
              <w:rPr>
                <w:rFonts w:cs="Times New Roman"/>
                <w:sz w:val="20"/>
                <w:szCs w:val="20"/>
                <w:lang w:val="lv-LV"/>
              </w:rPr>
              <w:t>db</w:t>
            </w:r>
            <w:proofErr w:type="spellEnd"/>
            <w:r w:rsidRPr="00550D35">
              <w:rPr>
                <w:rFonts w:cs="Times New Roman"/>
                <w:sz w:val="20"/>
                <w:szCs w:val="20"/>
                <w:lang w:val="lv-LV"/>
              </w:rPr>
              <w:t>) punktā</w:t>
            </w:r>
          </w:p>
        </w:tc>
        <w:tc>
          <w:tcPr>
            <w:tcW w:w="5353" w:type="dxa"/>
          </w:tcPr>
          <w:p w14:paraId="13B1682F" w14:textId="77777777" w:rsidR="00B64009" w:rsidRPr="00550D35" w:rsidRDefault="00B64009" w:rsidP="004E6F1B">
            <w:pPr>
              <w:spacing w:after="120"/>
              <w:ind w:firstLine="0"/>
              <w:rPr>
                <w:b/>
                <w:i/>
                <w:sz w:val="20"/>
                <w:lang w:val="lv-LV"/>
              </w:rPr>
            </w:pPr>
            <w:r w:rsidRPr="00550D35">
              <w:rPr>
                <w:sz w:val="20"/>
                <w:lang w:val="lv-LV"/>
              </w:rPr>
              <w:t>Nav attiecināms</w:t>
            </w:r>
          </w:p>
        </w:tc>
      </w:tr>
      <w:tr w:rsidR="00B64009" w:rsidRPr="00550D35" w14:paraId="05D7656D" w14:textId="77777777" w:rsidTr="00BA62A0">
        <w:trPr>
          <w:trHeight w:val="1120"/>
        </w:trPr>
        <w:tc>
          <w:tcPr>
            <w:tcW w:w="1594" w:type="dxa"/>
            <w:tcMar>
              <w:top w:w="0" w:type="dxa"/>
              <w:left w:w="108" w:type="dxa"/>
              <w:bottom w:w="0" w:type="dxa"/>
              <w:right w:w="108" w:type="dxa"/>
            </w:tcMar>
            <w:vAlign w:val="center"/>
          </w:tcPr>
          <w:p w14:paraId="693E0DC1" w14:textId="77777777" w:rsidR="00B64009" w:rsidRPr="00550D35" w:rsidRDefault="00B64009" w:rsidP="00BA62A0">
            <w:pPr>
              <w:pStyle w:val="ListParagraph"/>
              <w:spacing w:after="120"/>
              <w:ind w:left="142" w:firstLine="0"/>
              <w:rPr>
                <w:rFonts w:cs="Times New Roman"/>
                <w:b/>
                <w:i/>
                <w:sz w:val="20"/>
                <w:szCs w:val="20"/>
                <w:lang w:val="lv-LV"/>
              </w:rPr>
            </w:pPr>
            <w:r w:rsidRPr="00550D35">
              <w:rPr>
                <w:rFonts w:cs="Times New Roman"/>
                <w:b/>
                <w:i/>
                <w:sz w:val="20"/>
                <w:szCs w:val="20"/>
                <w:lang w:val="lv-LV"/>
              </w:rPr>
              <w:t>Veicināt zaļo pārveidi</w:t>
            </w:r>
          </w:p>
        </w:tc>
        <w:tc>
          <w:tcPr>
            <w:tcW w:w="1842" w:type="dxa"/>
            <w:tcMar>
              <w:top w:w="0" w:type="dxa"/>
              <w:left w:w="108" w:type="dxa"/>
              <w:bottom w:w="0" w:type="dxa"/>
              <w:right w:w="108" w:type="dxa"/>
            </w:tcMar>
            <w:vAlign w:val="center"/>
          </w:tcPr>
          <w:p w14:paraId="0CA28267" w14:textId="77777777" w:rsidR="00B64009" w:rsidRPr="00550D35" w:rsidRDefault="00B64009" w:rsidP="00BA62A0">
            <w:pPr>
              <w:pStyle w:val="ListParagraph"/>
              <w:spacing w:after="120"/>
              <w:ind w:left="0" w:firstLine="0"/>
              <w:rPr>
                <w:rFonts w:cs="Times New Roman"/>
                <w:sz w:val="20"/>
                <w:szCs w:val="20"/>
                <w:lang w:val="lv-LV"/>
              </w:rPr>
            </w:pPr>
            <w:r w:rsidRPr="00550D35">
              <w:rPr>
                <w:rFonts w:cs="Times New Roman"/>
                <w:sz w:val="20"/>
                <w:szCs w:val="20"/>
                <w:lang w:val="lv-LV"/>
              </w:rPr>
              <w:t>Atsaucoties uz mērķiem, kas minēti Dekādes programmas</w:t>
            </w:r>
            <w:r w:rsidRPr="00550D35">
              <w:rPr>
                <w:rFonts w:cs="Times New Roman"/>
                <w:sz w:val="20"/>
                <w:szCs w:val="20"/>
                <w:lang w:val="lv-LV"/>
              </w:rPr>
              <w:br/>
              <w:t>3. panta 1.daļas (f) punktā.</w:t>
            </w:r>
          </w:p>
        </w:tc>
        <w:tc>
          <w:tcPr>
            <w:tcW w:w="5353" w:type="dxa"/>
          </w:tcPr>
          <w:p w14:paraId="5171625D" w14:textId="77777777" w:rsidR="00B64009" w:rsidRPr="00550D35" w:rsidRDefault="00B64009" w:rsidP="004E6F1B">
            <w:pPr>
              <w:spacing w:before="0" w:after="120"/>
              <w:ind w:firstLine="0"/>
              <w:rPr>
                <w:i/>
                <w:sz w:val="20"/>
                <w:lang w:val="lv-LV"/>
              </w:rPr>
            </w:pPr>
            <w:r w:rsidRPr="00550D35">
              <w:rPr>
                <w:sz w:val="20"/>
                <w:lang w:val="lv-LV"/>
              </w:rPr>
              <w:t>Nav attiecināms</w:t>
            </w:r>
          </w:p>
        </w:tc>
      </w:tr>
    </w:tbl>
    <w:p w14:paraId="335ABFB2" w14:textId="77777777" w:rsidR="00B64009" w:rsidRPr="00550D35" w:rsidRDefault="00B64009" w:rsidP="00B64009">
      <w:pPr>
        <w:pStyle w:val="Text2"/>
        <w:rPr>
          <w:lang w:val="lv-LV"/>
        </w:rPr>
      </w:pPr>
    </w:p>
    <w:p w14:paraId="3B78D2E0" w14:textId="77777777" w:rsidR="00B64009" w:rsidRPr="00550D35" w:rsidRDefault="00B64009" w:rsidP="00B64009">
      <w:pPr>
        <w:pStyle w:val="Heading2"/>
        <w:rPr>
          <w:lang w:val="lv-LV"/>
        </w:rPr>
      </w:pPr>
      <w:r w:rsidRPr="00550D35">
        <w:rPr>
          <w:lang w:val="lv-LV"/>
        </w:rPr>
        <w:t>ES līmeņa sadarbība</w:t>
      </w:r>
    </w:p>
    <w:p w14:paraId="253EB298" w14:textId="77777777" w:rsidR="00B64009" w:rsidRPr="00550D35" w:rsidRDefault="00B64009" w:rsidP="00B64009">
      <w:pPr>
        <w:pStyle w:val="Heading3"/>
        <w:rPr>
          <w:lang w:val="lv-LV"/>
        </w:rPr>
      </w:pPr>
      <w:r w:rsidRPr="00550D35">
        <w:rPr>
          <w:lang w:val="lv-LV"/>
        </w:rPr>
        <w:t>Daudzvalstu projekti</w:t>
      </w:r>
    </w:p>
    <w:p w14:paraId="7156352D" w14:textId="77777777" w:rsidR="00B64009" w:rsidRPr="00550D35" w:rsidRDefault="00B64009" w:rsidP="00B64009">
      <w:pPr>
        <w:rPr>
          <w:lang w:val="lv-LV"/>
        </w:rPr>
      </w:pPr>
      <w:r w:rsidRPr="00550D35">
        <w:rPr>
          <w:lang w:val="lv-LV"/>
        </w:rPr>
        <w:t xml:space="preserve">Ceļveža sagatavošanas laikā nav identificēti 1) </w:t>
      </w:r>
      <w:r w:rsidRPr="00550D35">
        <w:rPr>
          <w:noProof/>
          <w:lang w:val="lv-LV"/>
        </w:rPr>
        <w:t>daudzvalstu projekti, kas iekļauti pielikumā norādīto daudzvalstu projektu jomu sarakstā vai dalībvalsts apņemas vai plāno uzņemties nākotnē;</w:t>
      </w:r>
      <w:r w:rsidRPr="00550D35">
        <w:rPr>
          <w:lang w:val="lv-LV"/>
        </w:rPr>
        <w:t xml:space="preserve"> 2) iespējamie jaunie daudzvalstu projekti, kuri vēl nav iekļauti Dekādes programmas lēmuma pielikumā minēto darbības jomu sarakstā, bet kuras  dalībvalsts uzskata par nepieciešamām; 3) Kopīgas apņemšanās, kurās dalībvalsts piedalās vai plāno iesaistīties.</w:t>
      </w:r>
    </w:p>
    <w:p w14:paraId="1342F5E3" w14:textId="77777777" w:rsidR="00B64009" w:rsidRPr="00550D35" w:rsidRDefault="00B64009" w:rsidP="00B64009">
      <w:pPr>
        <w:pStyle w:val="Text3"/>
        <w:rPr>
          <w:lang w:val="lv-LV"/>
        </w:rPr>
      </w:pPr>
    </w:p>
    <w:p w14:paraId="0ADFC6BB" w14:textId="77777777" w:rsidR="00B64009" w:rsidRPr="00550D35" w:rsidRDefault="00B64009" w:rsidP="00B64009">
      <w:pPr>
        <w:pStyle w:val="Heading3"/>
        <w:rPr>
          <w:lang w:val="lv-LV"/>
        </w:rPr>
      </w:pPr>
      <w:r w:rsidRPr="00550D35">
        <w:rPr>
          <w:lang w:val="lv-LV"/>
        </w:rPr>
        <w:t>Veicinošie faktori ES līmenī</w:t>
      </w:r>
    </w:p>
    <w:p w14:paraId="45D7AF6D" w14:textId="6C168EFF" w:rsidR="00B64009" w:rsidRPr="00550D35" w:rsidRDefault="00B64009" w:rsidP="00B64009">
      <w:pPr>
        <w:rPr>
          <w:lang w:val="lv-LV"/>
        </w:rPr>
      </w:pPr>
      <w:r w:rsidRPr="00550D35">
        <w:rPr>
          <w:lang w:val="lv-LV"/>
        </w:rPr>
        <w:t xml:space="preserve">Īpaši jāuzsver ANM investīciju nozīmi Latvijas iedzīvotāju prasmju attīstības kontekstā, jo ANM plāna investīcijas ir paredzētas digitālo prasmju attīstības pasākumiem, aptverot gan </w:t>
      </w:r>
      <w:proofErr w:type="spellStart"/>
      <w:r w:rsidRPr="00550D35">
        <w:rPr>
          <w:lang w:val="lv-LV"/>
        </w:rPr>
        <w:t>pamatprasmes</w:t>
      </w:r>
      <w:proofErr w:type="spellEnd"/>
      <w:r w:rsidR="00A0780D">
        <w:rPr>
          <w:lang w:val="lv-LV"/>
        </w:rPr>
        <w:t>,</w:t>
      </w:r>
      <w:r w:rsidRPr="00550D35">
        <w:rPr>
          <w:lang w:val="lv-LV"/>
        </w:rPr>
        <w:t xml:space="preserve"> gan stimulējot augsta līmeņa digitālo prasmju attīstības pieeju, gan arī attīstot uzņēmumu digitālās spējas, investējot darbinieku digitālo prasmju uzlabošanā.</w:t>
      </w:r>
    </w:p>
    <w:p w14:paraId="7E71CAFA" w14:textId="77777777" w:rsidR="00B64009" w:rsidRPr="00550D35" w:rsidRDefault="00B64009" w:rsidP="00B64009">
      <w:pPr>
        <w:rPr>
          <w:lang w:val="lv-LV"/>
        </w:rPr>
      </w:pPr>
      <w:r w:rsidRPr="00550D35">
        <w:rPr>
          <w:lang w:val="lv-LV"/>
        </w:rPr>
        <w:t xml:space="preserve">DEP īstenošana sniedz būtisku ieguldījumu, lai esošajam un topošajam darbaspēkam nodrošinātu iespējas piekļūt padziļinātām digitālām prasmēm un apmācību iespējām, jo īpaši tādās jomās kā augsta veiktspējas </w:t>
      </w:r>
      <w:proofErr w:type="spellStart"/>
      <w:r w:rsidRPr="00550D35">
        <w:rPr>
          <w:lang w:val="lv-LV"/>
        </w:rPr>
        <w:t>datošana</w:t>
      </w:r>
      <w:proofErr w:type="spellEnd"/>
      <w:r w:rsidRPr="00550D35">
        <w:rPr>
          <w:lang w:val="lv-LV"/>
        </w:rPr>
        <w:t xml:space="preserve">, lielo datu analīze, MI, sadalītās virsgrāmatas tehnoloģijas (piemēram, </w:t>
      </w:r>
      <w:proofErr w:type="spellStart"/>
      <w:r w:rsidRPr="00550D35">
        <w:rPr>
          <w:lang w:val="lv-LV"/>
        </w:rPr>
        <w:t>blokķēde</w:t>
      </w:r>
      <w:proofErr w:type="spellEnd"/>
      <w:r w:rsidRPr="00550D35">
        <w:rPr>
          <w:lang w:val="lv-LV"/>
        </w:rPr>
        <w:t xml:space="preserve">) un </w:t>
      </w:r>
      <w:proofErr w:type="spellStart"/>
      <w:r w:rsidRPr="00550D35">
        <w:rPr>
          <w:lang w:val="lv-LV"/>
        </w:rPr>
        <w:t>kiberdrošība</w:t>
      </w:r>
      <w:proofErr w:type="spellEnd"/>
      <w:r w:rsidRPr="00550D35">
        <w:rPr>
          <w:lang w:val="lv-LV"/>
        </w:rPr>
        <w:t xml:space="preserve">, piedāvājot cita starpā studentiem, nesen augstskolu absolvējušajiem, esošajiem darba ņēmējiem un jebkura vecuma iedzīvotājiem, kam nepieciešama kvalifikācijas celšana, – neatkarīgi no atrašanās vietas – ar līdzekļiem, kas ļauj apgūt un pilnveidot minētās prasmes. Atbalsts </w:t>
      </w:r>
      <w:proofErr w:type="spellStart"/>
      <w:r w:rsidRPr="00550D35">
        <w:rPr>
          <w:lang w:val="lv-LV"/>
        </w:rPr>
        <w:t>kiberdrošības</w:t>
      </w:r>
      <w:proofErr w:type="spellEnd"/>
      <w:r w:rsidRPr="00550D35">
        <w:rPr>
          <w:lang w:val="lv-LV"/>
        </w:rPr>
        <w:t xml:space="preserve"> prasmju trūkuma novēršanai, ko panāk, piemēram, saskaņojot </w:t>
      </w:r>
      <w:proofErr w:type="spellStart"/>
      <w:r w:rsidRPr="00550D35">
        <w:rPr>
          <w:lang w:val="lv-LV"/>
        </w:rPr>
        <w:t>kiberdrošības</w:t>
      </w:r>
      <w:proofErr w:type="spellEnd"/>
      <w:r w:rsidRPr="00550D35">
        <w:rPr>
          <w:lang w:val="lv-LV"/>
        </w:rPr>
        <w:t xml:space="preserve"> </w:t>
      </w:r>
      <w:r w:rsidRPr="00550D35">
        <w:rPr>
          <w:lang w:val="lv-LV"/>
        </w:rPr>
        <w:lastRenderedPageBreak/>
        <w:t>prasmju programmas, pielāgojot tās konkrētām nozaru vajadzībām un atvieglojot piekļuvi uz konkrētu mērķi orientētām specializētām apmācībām.</w:t>
      </w:r>
    </w:p>
    <w:p w14:paraId="6E84C59D" w14:textId="77777777" w:rsidR="00B64009" w:rsidRPr="00550D35" w:rsidRDefault="00B64009" w:rsidP="00B64009">
      <w:pPr>
        <w:rPr>
          <w:lang w:val="lv-LV"/>
        </w:rPr>
      </w:pPr>
      <w:r w:rsidRPr="00550D35">
        <w:rPr>
          <w:lang w:val="lv-LV"/>
        </w:rPr>
        <w:t>EK publicētajā DESI ziņojumā par Latviju 2021. gadā</w:t>
      </w:r>
      <w:r w:rsidRPr="00550D35">
        <w:rPr>
          <w:rStyle w:val="FootnoteReference"/>
          <w:lang w:val="lv-LV"/>
        </w:rPr>
        <w:footnoteReference w:id="21"/>
      </w:r>
      <w:r w:rsidRPr="00550D35">
        <w:rPr>
          <w:lang w:val="lv-LV"/>
        </w:rPr>
        <w:t xml:space="preserve"> ir norādīts, ka ES  uzņēmumiem, jo īpaši MVU, jau pirms Covid-19 pandēmijas bija sarežģīti  atrast pietiekamu skaitu IKT speciālistu, gandrīz pusei no Latvijas uzņēmumiem, kas ir mēģinājuši aizpildīt digitālo speciālistu vakances, ir </w:t>
      </w:r>
      <w:proofErr w:type="spellStart"/>
      <w:r w:rsidRPr="00550D35">
        <w:rPr>
          <w:lang w:val="lv-LV"/>
        </w:rPr>
        <w:t>saskārušies</w:t>
      </w:r>
      <w:proofErr w:type="spellEnd"/>
      <w:r w:rsidRPr="00550D35">
        <w:rPr>
          <w:lang w:val="lv-LV"/>
        </w:rPr>
        <w:t xml:space="preserve"> ar grūtībām. KPI "IKT speciālisti" iekļaušana Dekādes programmas  KPI sarakstā sniedz papildus stimulu valstij veikt pasākumus IKT speciālistu skaita palielināšanai, tai skaitā veicinot sieviešu piekļuvi šai jomai un palielinot IKT absolventu skaitu, ar mērķi nodrošināt, ka tiek pilnībā izmantotas visas nozares un pakalpojumu </w:t>
      </w:r>
      <w:proofErr w:type="spellStart"/>
      <w:r w:rsidRPr="00550D35">
        <w:rPr>
          <w:lang w:val="lv-LV"/>
        </w:rPr>
        <w:t>digitalizācijas</w:t>
      </w:r>
      <w:proofErr w:type="spellEnd"/>
      <w:r w:rsidRPr="00550D35">
        <w:rPr>
          <w:lang w:val="lv-LV"/>
        </w:rPr>
        <w:t xml:space="preserve"> sniegtās iespējas, tostarp digitālo risinājumu plašāka izmantošana privātajā sektorā.</w:t>
      </w:r>
    </w:p>
    <w:p w14:paraId="769E0E58" w14:textId="77777777" w:rsidR="00B64009" w:rsidRPr="00550D35" w:rsidRDefault="00B64009" w:rsidP="00B64009">
      <w:pPr>
        <w:pStyle w:val="Heading2"/>
        <w:rPr>
          <w:lang w:val="lv-LV"/>
        </w:rPr>
      </w:pPr>
      <w:r w:rsidRPr="00550D35">
        <w:rPr>
          <w:lang w:val="lv-LV"/>
        </w:rPr>
        <w:t>Ieinteresēto personu atsauksmes</w:t>
      </w:r>
    </w:p>
    <w:p w14:paraId="28993EFB" w14:textId="77777777" w:rsidR="00B64009" w:rsidRPr="00550D35" w:rsidRDefault="00B64009" w:rsidP="00B64009">
      <w:pPr>
        <w:ind w:firstLine="0"/>
        <w:rPr>
          <w:lang w:val="lv-LV"/>
        </w:rPr>
      </w:pPr>
      <w:r w:rsidRPr="00550D35">
        <w:rPr>
          <w:lang w:val="lv-LV"/>
        </w:rPr>
        <w:t xml:space="preserve">LIKTA ir sniegusi atsauksmi, aicinot paredzēt aktivitātes mācību un studiju satura pilnveidei attiecīgajās studiju programmās aptverot arī digitālās jomas attīstībai tik būtisko </w:t>
      </w:r>
      <w:proofErr w:type="spellStart"/>
      <w:r w:rsidRPr="00550D35">
        <w:rPr>
          <w:lang w:val="lv-LV"/>
        </w:rPr>
        <w:t>kiberdrošības</w:t>
      </w:r>
      <w:proofErr w:type="spellEnd"/>
      <w:r w:rsidRPr="00550D35">
        <w:rPr>
          <w:lang w:val="lv-LV"/>
        </w:rPr>
        <w:t xml:space="preserve"> jomu jo, piemēram, programmētāju profesijas standartā nav ietverta </w:t>
      </w:r>
      <w:proofErr w:type="spellStart"/>
      <w:r w:rsidRPr="00550D35">
        <w:rPr>
          <w:lang w:val="lv-LV"/>
        </w:rPr>
        <w:t>kiberdrošība</w:t>
      </w:r>
      <w:proofErr w:type="spellEnd"/>
      <w:r w:rsidRPr="00550D35">
        <w:rPr>
          <w:lang w:val="lv-LV"/>
        </w:rPr>
        <w:t>, tāpēc studentiem pēc augstskolas beigšanas nepieciešams papildināt formālās izglītības programmas robus citā veidā, jau ārpus studiju programmas.</w:t>
      </w:r>
    </w:p>
    <w:p w14:paraId="1A11E426" w14:textId="77777777" w:rsidR="00B64009" w:rsidRPr="00550D35" w:rsidRDefault="00B64009" w:rsidP="00B64009">
      <w:pPr>
        <w:ind w:firstLine="0"/>
        <w:rPr>
          <w:lang w:val="lv-LV"/>
        </w:rPr>
      </w:pPr>
      <w:r w:rsidRPr="00550D35">
        <w:rPr>
          <w:lang w:val="lv-LV"/>
        </w:rPr>
        <w:t>Atbildot uz atsauksmi skaidrots, ka Latvijā tiek izstrādāti noteikumi</w:t>
      </w:r>
      <w:r w:rsidRPr="00550D35">
        <w:rPr>
          <w:rStyle w:val="FootnoteReference"/>
          <w:lang w:val="lv-LV"/>
        </w:rPr>
        <w:footnoteReference w:id="22"/>
      </w:r>
      <w:r w:rsidRPr="00550D35">
        <w:rPr>
          <w:lang w:val="lv-LV"/>
        </w:rPr>
        <w:t xml:space="preserve">, ar kuriem paredzēts attīstīt sistemātisku profesionālās izglītības satura pilnveides koordinēšanas mehānismu un nodrošināt profesionālās izglītības iestāžu un nozaru sadarbību profesionālās izglītības satura īstenošanā, identificējot darba tirgū aktuālās prasmes un ieviešot prasmes izglītības saturā ilgtspējas, digitālās un zaļās ekonomikas nodrošināšanai. Tāpat, MK 2023. gada 13. jūnija noteikumi Nr.305 “Noteikumi par valsts profesionālās tālākizglītības un profesionālās pilnveides izglītības standartu” paredz, ka profesionālās tālākizglītības programmas obligātajā  saturā visām profesionālajām kvalifikācijām no 1.-8. profesionālās kvalifikācijas līmenim obligāti jāiekļauj integrēti saturā vai atsevišķi moduļi vai studiju kursi, kas nodrošina digitālo </w:t>
      </w:r>
      <w:proofErr w:type="spellStart"/>
      <w:r w:rsidRPr="00550D35">
        <w:rPr>
          <w:lang w:val="lv-LV"/>
        </w:rPr>
        <w:t>pratību</w:t>
      </w:r>
      <w:proofErr w:type="spellEnd"/>
      <w:r w:rsidRPr="00550D35">
        <w:rPr>
          <w:lang w:val="lv-LV"/>
        </w:rPr>
        <w:t>, kas definēta Eiropas iedzīvotāju digitālās kompetences ietvarā.</w:t>
      </w:r>
    </w:p>
    <w:p w14:paraId="3B6A4BCA" w14:textId="77777777" w:rsidR="00B64009" w:rsidRPr="00550D35" w:rsidRDefault="00B64009" w:rsidP="00B64009">
      <w:pPr>
        <w:pStyle w:val="Heading2"/>
        <w:rPr>
          <w:lang w:val="lv-LV"/>
        </w:rPr>
      </w:pPr>
      <w:r w:rsidRPr="00550D35">
        <w:rPr>
          <w:lang w:val="lv-LV"/>
        </w:rPr>
        <w:t>Vispārējā ietekme un secinājumi</w:t>
      </w:r>
    </w:p>
    <w:p w14:paraId="77EA50E2" w14:textId="77777777" w:rsidR="00B64009" w:rsidRPr="00550D35" w:rsidRDefault="00B64009" w:rsidP="00B64009">
      <w:pPr>
        <w:rPr>
          <w:szCs w:val="24"/>
          <w:lang w:val="lv-LV"/>
        </w:rPr>
      </w:pPr>
      <w:r w:rsidRPr="00550D35">
        <w:rPr>
          <w:lang w:val="lv-LV"/>
        </w:rPr>
        <w:t xml:space="preserve">Ekonomikas transformācijai uz augstāko pievienoto vērtību un eksporta apjomu palielināšanai neapciešams kāpināt uzņēmumu </w:t>
      </w:r>
      <w:proofErr w:type="spellStart"/>
      <w:r w:rsidRPr="00550D35">
        <w:rPr>
          <w:lang w:val="lv-LV"/>
        </w:rPr>
        <w:t>digitalizācijas</w:t>
      </w:r>
      <w:proofErr w:type="spellEnd"/>
      <w:r w:rsidRPr="00550D35">
        <w:rPr>
          <w:lang w:val="lv-LV"/>
        </w:rPr>
        <w:t xml:space="preserve"> jaudu, t.sk. augsta līmeņa digitālās prasmes </w:t>
      </w:r>
      <w:r w:rsidRPr="00550D35">
        <w:rPr>
          <w:color w:val="000000"/>
          <w:lang w:val="lv-LV"/>
        </w:rPr>
        <w:t>un palielināt IKT speciālistu skaitu.</w:t>
      </w:r>
    </w:p>
    <w:p w14:paraId="732DD965" w14:textId="77777777" w:rsidR="00B64009" w:rsidRPr="00550D35" w:rsidRDefault="00B64009" w:rsidP="00B64009">
      <w:pPr>
        <w:rPr>
          <w:szCs w:val="24"/>
          <w:lang w:val="lv-LV"/>
        </w:rPr>
      </w:pPr>
      <w:r w:rsidRPr="00550D35">
        <w:rPr>
          <w:color w:val="000000"/>
          <w:lang w:val="lv-LV"/>
        </w:rPr>
        <w:t xml:space="preserve">Tādēļ papildus tradicionālajai IKT speciālistu izglītībai profesionālās un augstākās izglītības iestādēs, ANM plāna investīciju ietvaros ir paredzēts attīstīt </w:t>
      </w:r>
      <w:proofErr w:type="spellStart"/>
      <w:r w:rsidRPr="00550D35">
        <w:rPr>
          <w:color w:val="000000"/>
          <w:lang w:val="lv-LV"/>
        </w:rPr>
        <w:t>pašvadītu</w:t>
      </w:r>
      <w:proofErr w:type="spellEnd"/>
      <w:r w:rsidRPr="00550D35">
        <w:rPr>
          <w:color w:val="000000"/>
          <w:lang w:val="lv-LV"/>
        </w:rPr>
        <w:t xml:space="preserve"> IKT mācību pieeju, izveidojot šim nolūkam nepieciešamo mācību vidi un plāna investīciju ietvaros nodrošināt papildus IKT speciālistu mācības </w:t>
      </w:r>
      <w:proofErr w:type="spellStart"/>
      <w:r w:rsidRPr="00550D35">
        <w:rPr>
          <w:color w:val="000000"/>
          <w:lang w:val="lv-LV"/>
        </w:rPr>
        <w:t>ārpusformālās</w:t>
      </w:r>
      <w:proofErr w:type="spellEnd"/>
      <w:r w:rsidRPr="00550D35">
        <w:rPr>
          <w:color w:val="000000"/>
          <w:lang w:val="lv-LV"/>
        </w:rPr>
        <w:t xml:space="preserve"> izglītības vidē. Tāpat, plānots arī atbalstīt un mērogot iniciatīvas, kas ir vērstas uz lielāka sieviešu īpatsvara sasniegšanu IKT speciālistu vidū, ņemot vērā īpaši zemo sieviešu īpatsvaru IKT jomā Latvijā, kā arī tiks stiprinātas publiskajā sektorā nodarbināto digitālās prasmes un spējas.</w:t>
      </w:r>
    </w:p>
    <w:p w14:paraId="40F9FC17" w14:textId="77777777" w:rsidR="00B64009" w:rsidRPr="00550D35" w:rsidRDefault="00B64009" w:rsidP="00B64009">
      <w:pPr>
        <w:rPr>
          <w:szCs w:val="24"/>
          <w:lang w:val="lv-LV"/>
        </w:rPr>
      </w:pPr>
      <w:r w:rsidRPr="00550D35">
        <w:rPr>
          <w:szCs w:val="24"/>
          <w:lang w:val="lv-LV"/>
        </w:rPr>
        <w:lastRenderedPageBreak/>
        <w:t>Šobrīd tiek aktīvi veidota Eiropas vienotā zinātnes telpa un Eiropas vienotā izglītības telpa ar Eiropas universitāšu tīklu, šajās iniciatīvās īpaša loma tiek veltīta augstākā līmeņa digitālo prasmju attīstībai, tāpēc reformu virziena ietvaros piedāvātie augstākā līmeņa digitālo prasmju attīstības</w:t>
      </w:r>
      <w:r w:rsidRPr="00550D35">
        <w:rPr>
          <w:b/>
          <w:szCs w:val="24"/>
          <w:lang w:val="lv-LV"/>
        </w:rPr>
        <w:t xml:space="preserve"> </w:t>
      </w:r>
      <w:r w:rsidRPr="00550D35">
        <w:rPr>
          <w:szCs w:val="24"/>
          <w:lang w:val="lv-LV"/>
        </w:rPr>
        <w:t>pasākumi veicinās Latvijas sekmīgu iekļaušanos šajās telpās, nodrošinot:</w:t>
      </w:r>
    </w:p>
    <w:p w14:paraId="5148D6B2" w14:textId="77777777" w:rsidR="00B64009" w:rsidRPr="00550D35" w:rsidRDefault="00B64009" w:rsidP="00B64009">
      <w:pPr>
        <w:pStyle w:val="ListParagraph"/>
        <w:numPr>
          <w:ilvl w:val="0"/>
          <w:numId w:val="32"/>
        </w:numPr>
        <w:ind w:left="709" w:hanging="283"/>
        <w:rPr>
          <w:sz w:val="24"/>
          <w:szCs w:val="24"/>
          <w:lang w:val="lv-LV"/>
        </w:rPr>
      </w:pPr>
      <w:r w:rsidRPr="00550D35">
        <w:rPr>
          <w:sz w:val="24"/>
          <w:szCs w:val="24"/>
          <w:lang w:val="lv-LV"/>
        </w:rPr>
        <w:t>resursu koncentrāciju un sinerģiju dažādās zinātniskās izcilības jomās;</w:t>
      </w:r>
    </w:p>
    <w:p w14:paraId="72614A6B" w14:textId="77777777" w:rsidR="00B64009" w:rsidRPr="00550D35" w:rsidRDefault="00B64009" w:rsidP="00B64009">
      <w:pPr>
        <w:pStyle w:val="ListParagraph"/>
        <w:numPr>
          <w:ilvl w:val="0"/>
          <w:numId w:val="32"/>
        </w:numPr>
        <w:ind w:left="709" w:hanging="283"/>
        <w:rPr>
          <w:sz w:val="24"/>
          <w:szCs w:val="24"/>
          <w:lang w:val="lv-LV"/>
        </w:rPr>
      </w:pPr>
      <w:r w:rsidRPr="00550D35">
        <w:rPr>
          <w:sz w:val="24"/>
          <w:szCs w:val="24"/>
          <w:lang w:val="lv-LV"/>
        </w:rPr>
        <w:t xml:space="preserve">inovāciju ieviešanas kapacitātes pieaugumu, iekļaujoties un izmantojot Eiropas Modernās skaitļošanas partnerības </w:t>
      </w:r>
      <w:r w:rsidRPr="00F56331">
        <w:rPr>
          <w:i/>
          <w:iCs/>
          <w:sz w:val="24"/>
          <w:szCs w:val="24"/>
          <w:lang w:val="lv-LV"/>
        </w:rPr>
        <w:t>PRACE</w:t>
      </w:r>
      <w:r w:rsidRPr="00550D35">
        <w:rPr>
          <w:sz w:val="24"/>
          <w:szCs w:val="24"/>
          <w:lang w:val="lv-LV"/>
        </w:rPr>
        <w:t xml:space="preserve">, </w:t>
      </w:r>
      <w:proofErr w:type="spellStart"/>
      <w:r w:rsidRPr="00F56331">
        <w:rPr>
          <w:i/>
          <w:iCs/>
          <w:sz w:val="24"/>
          <w:szCs w:val="24"/>
          <w:lang w:val="lv-LV"/>
        </w:rPr>
        <w:t>EuroHPC</w:t>
      </w:r>
      <w:proofErr w:type="spellEnd"/>
      <w:r w:rsidRPr="00550D35">
        <w:rPr>
          <w:sz w:val="24"/>
          <w:szCs w:val="24"/>
          <w:lang w:val="lv-LV"/>
        </w:rPr>
        <w:t xml:space="preserve"> projekta  augstas veiktspējas </w:t>
      </w:r>
      <w:proofErr w:type="spellStart"/>
      <w:r w:rsidRPr="00550D35">
        <w:rPr>
          <w:sz w:val="24"/>
          <w:szCs w:val="24"/>
          <w:lang w:val="lv-LV"/>
        </w:rPr>
        <w:t>datošanas</w:t>
      </w:r>
      <w:proofErr w:type="spellEnd"/>
      <w:r w:rsidRPr="00550D35">
        <w:rPr>
          <w:sz w:val="24"/>
          <w:szCs w:val="24"/>
          <w:lang w:val="lv-LV"/>
        </w:rPr>
        <w:t xml:space="preserve"> kompetences centra </w:t>
      </w:r>
      <w:r w:rsidRPr="00F56331">
        <w:rPr>
          <w:i/>
          <w:iCs/>
          <w:sz w:val="24"/>
          <w:szCs w:val="24"/>
          <w:lang w:val="lv-LV"/>
        </w:rPr>
        <w:t>“</w:t>
      </w:r>
      <w:proofErr w:type="spellStart"/>
      <w:r w:rsidRPr="00F56331">
        <w:rPr>
          <w:i/>
          <w:iCs/>
          <w:sz w:val="24"/>
          <w:szCs w:val="24"/>
          <w:lang w:val="lv-LV"/>
        </w:rPr>
        <w:t>EuroCC</w:t>
      </w:r>
      <w:proofErr w:type="spellEnd"/>
      <w:r w:rsidRPr="00F56331">
        <w:rPr>
          <w:i/>
          <w:iCs/>
          <w:sz w:val="24"/>
          <w:szCs w:val="24"/>
          <w:lang w:val="lv-LV"/>
        </w:rPr>
        <w:t>”</w:t>
      </w:r>
      <w:r w:rsidRPr="00550D35">
        <w:rPr>
          <w:sz w:val="24"/>
          <w:szCs w:val="24"/>
          <w:lang w:val="lv-LV"/>
        </w:rPr>
        <w:t xml:space="preserve"> un citu organizāciju resursus;</w:t>
      </w:r>
    </w:p>
    <w:p w14:paraId="1970F052" w14:textId="77777777" w:rsidR="00B64009" w:rsidRPr="00550D35" w:rsidRDefault="00B64009" w:rsidP="00B64009">
      <w:pPr>
        <w:pStyle w:val="ListParagraph"/>
        <w:numPr>
          <w:ilvl w:val="0"/>
          <w:numId w:val="32"/>
        </w:numPr>
        <w:ind w:left="709" w:hanging="283"/>
        <w:rPr>
          <w:sz w:val="24"/>
          <w:szCs w:val="24"/>
          <w:lang w:val="lv-LV"/>
        </w:rPr>
      </w:pPr>
      <w:r w:rsidRPr="00550D35">
        <w:rPr>
          <w:sz w:val="24"/>
          <w:szCs w:val="24"/>
          <w:lang w:val="lv-LV"/>
        </w:rPr>
        <w:t>digitāli prasmīgu sabiedrību, radot iespēju pastāvīgi un pēc individualizēta pieprasījuma apgūt digitālās prasmes augstas veiktspējas jomā izglītībai, komercdarbībai, zinātnei un izpētei;</w:t>
      </w:r>
    </w:p>
    <w:p w14:paraId="1CC04099" w14:textId="77777777" w:rsidR="00B64009" w:rsidRPr="00550D35" w:rsidRDefault="00B64009" w:rsidP="00B64009">
      <w:pPr>
        <w:pStyle w:val="ListParagraph"/>
        <w:numPr>
          <w:ilvl w:val="0"/>
          <w:numId w:val="32"/>
        </w:numPr>
        <w:ind w:left="709" w:hanging="283"/>
        <w:rPr>
          <w:sz w:val="24"/>
          <w:szCs w:val="24"/>
          <w:lang w:val="lv-LV"/>
        </w:rPr>
      </w:pPr>
      <w:proofErr w:type="spellStart"/>
      <w:r w:rsidRPr="00550D35">
        <w:rPr>
          <w:sz w:val="24"/>
          <w:szCs w:val="24"/>
          <w:lang w:val="lv-LV"/>
        </w:rPr>
        <w:t>digitalizācijas</w:t>
      </w:r>
      <w:proofErr w:type="spellEnd"/>
      <w:r w:rsidRPr="00550D35">
        <w:rPr>
          <w:sz w:val="24"/>
          <w:szCs w:val="24"/>
          <w:lang w:val="lv-LV"/>
        </w:rPr>
        <w:t xml:space="preserve"> pakalpojumus jaunu produktu izstrādes un </w:t>
      </w:r>
      <w:proofErr w:type="spellStart"/>
      <w:r w:rsidRPr="00550D35">
        <w:rPr>
          <w:sz w:val="24"/>
          <w:szCs w:val="24"/>
          <w:lang w:val="lv-LV"/>
        </w:rPr>
        <w:t>prototipēšanas</w:t>
      </w:r>
      <w:proofErr w:type="spellEnd"/>
      <w:r w:rsidRPr="00550D35">
        <w:rPr>
          <w:sz w:val="24"/>
          <w:szCs w:val="24"/>
          <w:lang w:val="lv-LV"/>
        </w:rPr>
        <w:t xml:space="preserve"> posmā, sniedzot nepieciešamo  infrastruktūras, zinātības resursu pieeju;</w:t>
      </w:r>
    </w:p>
    <w:p w14:paraId="167AFA03" w14:textId="77777777" w:rsidR="00B64009" w:rsidRPr="00550D35" w:rsidRDefault="00B64009" w:rsidP="00B64009">
      <w:pPr>
        <w:pStyle w:val="ListParagraph"/>
        <w:numPr>
          <w:ilvl w:val="0"/>
          <w:numId w:val="32"/>
        </w:numPr>
        <w:ind w:left="709" w:hanging="283"/>
        <w:rPr>
          <w:sz w:val="24"/>
          <w:szCs w:val="24"/>
          <w:lang w:val="lv-LV"/>
        </w:rPr>
      </w:pPr>
      <w:r w:rsidRPr="00550D35">
        <w:rPr>
          <w:sz w:val="24"/>
          <w:szCs w:val="24"/>
          <w:lang w:val="lv-LV"/>
        </w:rPr>
        <w:t>sinerģiju ar Eiropas Digitālo inovāciju centru projektiem.</w:t>
      </w:r>
    </w:p>
    <w:p w14:paraId="06D6030F" w14:textId="77777777" w:rsidR="00B64009" w:rsidRPr="00550D35" w:rsidRDefault="00B64009" w:rsidP="00B64009">
      <w:pPr>
        <w:rPr>
          <w:lang w:val="lv-LV"/>
        </w:rPr>
      </w:pPr>
    </w:p>
    <w:p w14:paraId="590519BC" w14:textId="6B2ABA1D" w:rsidR="00E13C68" w:rsidRPr="00550D35" w:rsidRDefault="00B64009" w:rsidP="009A2BAD">
      <w:pPr>
        <w:ind w:firstLine="0"/>
        <w:rPr>
          <w:lang w:val="lv-LV"/>
        </w:rPr>
      </w:pPr>
      <w:r w:rsidRPr="00550D35">
        <w:rPr>
          <w:lang w:val="lv-LV"/>
        </w:rPr>
        <w:t>Nodaļā KPI “IKT speciālisti” minētā politika un pasākumi turpinās paātrināt centienus digitālo prasmju jomā, īpašu uzmanību pievēršot IKT speciālistu piesaistei un noturēšanai, kā tas norādīts EK ieteikumā Digitālās dekādes 2023.gada ziņojumā par Latviju.</w:t>
      </w:r>
    </w:p>
    <w:p w14:paraId="47829ED4" w14:textId="510DB24C" w:rsidR="008961FF" w:rsidRPr="00550D35" w:rsidRDefault="002718C9" w:rsidP="00B52E9B">
      <w:pPr>
        <w:pStyle w:val="Heading1"/>
      </w:pPr>
      <w:bookmarkStart w:id="13" w:name="_Toc135226542"/>
      <w:bookmarkStart w:id="14" w:name="_Toc155952336"/>
      <w:r w:rsidRPr="00550D35">
        <w:t>Gigabitu savienojamība un 5G pārklājums</w:t>
      </w:r>
      <w:bookmarkEnd w:id="13"/>
      <w:bookmarkEnd w:id="14"/>
    </w:p>
    <w:p w14:paraId="1A51682B" w14:textId="287EB671" w:rsidR="00FD01E4" w:rsidRPr="00550D35" w:rsidRDefault="00D72D7D" w:rsidP="00B1574E">
      <w:pPr>
        <w:pStyle w:val="Text1"/>
        <w:ind w:firstLine="0"/>
        <w:rPr>
          <w:i/>
          <w:iCs/>
          <w:szCs w:val="24"/>
          <w:lang w:val="lv-LV"/>
        </w:rPr>
      </w:pPr>
      <w:proofErr w:type="spellStart"/>
      <w:r w:rsidRPr="00550D35">
        <w:rPr>
          <w:b/>
          <w:bCs/>
          <w:i/>
          <w:iCs/>
          <w:szCs w:val="24"/>
          <w:lang w:val="lv-LV"/>
        </w:rPr>
        <w:t>G</w:t>
      </w:r>
      <w:r w:rsidR="00FD01E4" w:rsidRPr="00550D35">
        <w:rPr>
          <w:b/>
          <w:bCs/>
          <w:i/>
          <w:iCs/>
          <w:szCs w:val="24"/>
          <w:lang w:val="lv-LV"/>
        </w:rPr>
        <w:t>igabitiska</w:t>
      </w:r>
      <w:proofErr w:type="spellEnd"/>
      <w:r w:rsidR="00FD01E4" w:rsidRPr="00550D35">
        <w:rPr>
          <w:b/>
          <w:bCs/>
          <w:i/>
          <w:iCs/>
          <w:szCs w:val="24"/>
          <w:lang w:val="lv-LV"/>
        </w:rPr>
        <w:t xml:space="preserve"> savienojamība</w:t>
      </w:r>
      <w:r w:rsidRPr="00550D35">
        <w:rPr>
          <w:i/>
          <w:iCs/>
          <w:szCs w:val="24"/>
          <w:lang w:val="lv-LV"/>
        </w:rPr>
        <w:t xml:space="preserve">, ko </w:t>
      </w:r>
      <w:r w:rsidR="00FD01E4" w:rsidRPr="00550D35">
        <w:rPr>
          <w:i/>
          <w:iCs/>
          <w:szCs w:val="24"/>
          <w:lang w:val="lv-LV"/>
        </w:rPr>
        <w:t xml:space="preserve">mēra kā to mājsaimniecību procentu, kurām ir ļoti augstas veiktspējas tīklu (VHCN) pārklājums. Attiecīgās tehnoloģijas ir tās, kas pašlaik var nodrošināt </w:t>
      </w:r>
      <w:proofErr w:type="spellStart"/>
      <w:r w:rsidR="00FD01E4" w:rsidRPr="00550D35">
        <w:rPr>
          <w:i/>
          <w:iCs/>
          <w:szCs w:val="24"/>
          <w:lang w:val="lv-LV"/>
        </w:rPr>
        <w:t>gigabitisku</w:t>
      </w:r>
      <w:proofErr w:type="spellEnd"/>
      <w:r w:rsidR="00FD01E4" w:rsidRPr="00550D35">
        <w:rPr>
          <w:i/>
          <w:iCs/>
          <w:szCs w:val="24"/>
          <w:lang w:val="lv-LV"/>
        </w:rPr>
        <w:t xml:space="preserve"> savienojamību, proti, optiskā šķiedra līdz</w:t>
      </w:r>
      <w:r w:rsidR="00C13476" w:rsidRPr="00550D35">
        <w:rPr>
          <w:i/>
          <w:iCs/>
          <w:szCs w:val="24"/>
          <w:lang w:val="lv-LV"/>
        </w:rPr>
        <w:t xml:space="preserve"> telpām (</w:t>
      </w:r>
      <w:proofErr w:type="spellStart"/>
      <w:r w:rsidR="00C13476" w:rsidRPr="00550D35">
        <w:rPr>
          <w:i/>
          <w:iCs/>
          <w:szCs w:val="24"/>
          <w:lang w:val="lv-LV"/>
        </w:rPr>
        <w:t>Fibre</w:t>
      </w:r>
      <w:proofErr w:type="spellEnd"/>
      <w:r w:rsidR="00C13476" w:rsidRPr="00550D35">
        <w:rPr>
          <w:i/>
          <w:iCs/>
          <w:szCs w:val="24"/>
          <w:lang w:val="lv-LV"/>
        </w:rPr>
        <w:t xml:space="preserve"> to </w:t>
      </w:r>
      <w:proofErr w:type="spellStart"/>
      <w:r w:rsidR="00C13476" w:rsidRPr="00550D35">
        <w:rPr>
          <w:i/>
          <w:iCs/>
          <w:szCs w:val="24"/>
          <w:lang w:val="lv-LV"/>
        </w:rPr>
        <w:t>the</w:t>
      </w:r>
      <w:proofErr w:type="spellEnd"/>
      <w:r w:rsidR="00C13476" w:rsidRPr="00550D35">
        <w:rPr>
          <w:i/>
          <w:iCs/>
          <w:szCs w:val="24"/>
          <w:lang w:val="lv-LV"/>
        </w:rPr>
        <w:t xml:space="preserve"> </w:t>
      </w:r>
      <w:proofErr w:type="spellStart"/>
      <w:r w:rsidR="00C13476" w:rsidRPr="00550D35">
        <w:rPr>
          <w:i/>
          <w:iCs/>
          <w:szCs w:val="24"/>
          <w:lang w:val="lv-LV"/>
        </w:rPr>
        <w:t>Premises</w:t>
      </w:r>
      <w:proofErr w:type="spellEnd"/>
      <w:r w:rsidR="00C13476" w:rsidRPr="00550D35">
        <w:rPr>
          <w:i/>
          <w:iCs/>
          <w:szCs w:val="24"/>
          <w:lang w:val="lv-LV"/>
        </w:rPr>
        <w:t xml:space="preserve"> jeb FTTP) un “DOCSIS</w:t>
      </w:r>
      <w:r w:rsidR="00EC5A69" w:rsidRPr="00550D35">
        <w:rPr>
          <w:rStyle w:val="FootnoteReference"/>
          <w:i/>
          <w:iCs/>
          <w:szCs w:val="24"/>
          <w:lang w:val="lv-LV"/>
        </w:rPr>
        <w:footnoteReference w:id="23"/>
      </w:r>
      <w:r w:rsidR="00C13476" w:rsidRPr="00550D35">
        <w:rPr>
          <w:i/>
          <w:iCs/>
          <w:szCs w:val="24"/>
          <w:lang w:val="lv-LV"/>
        </w:rPr>
        <w:t xml:space="preserve"> 3.1”</w:t>
      </w:r>
      <w:r w:rsidR="0037534B" w:rsidRPr="00550D35">
        <w:rPr>
          <w:rStyle w:val="FootnoteReference"/>
          <w:i/>
          <w:iCs/>
          <w:szCs w:val="24"/>
          <w:lang w:val="lv-LV"/>
        </w:rPr>
        <w:footnoteReference w:id="24"/>
      </w:r>
      <w:r w:rsidR="00C13476" w:rsidRPr="00550D35">
        <w:rPr>
          <w:i/>
          <w:iCs/>
          <w:szCs w:val="24"/>
          <w:lang w:val="lv-LV"/>
        </w:rPr>
        <w:t xml:space="preserve"> kabelis. FTTP pārklājuma attīstība tiks uzraudzīta arī atsevišķi un ņemta vērā, interpretējot VHCN pārklājuma datus</w:t>
      </w:r>
      <w:r w:rsidRPr="00550D35">
        <w:rPr>
          <w:i/>
          <w:iCs/>
          <w:szCs w:val="24"/>
          <w:lang w:val="lv-LV"/>
        </w:rPr>
        <w:t>.</w:t>
      </w:r>
    </w:p>
    <w:p w14:paraId="03B08259" w14:textId="192DA9D2" w:rsidR="00D72D7D" w:rsidRPr="00550D35" w:rsidRDefault="00E71E0E" w:rsidP="00B1574E">
      <w:pPr>
        <w:pStyle w:val="Text1"/>
        <w:ind w:firstLine="0"/>
        <w:rPr>
          <w:i/>
          <w:iCs/>
          <w:szCs w:val="24"/>
          <w:lang w:val="lv-LV"/>
        </w:rPr>
      </w:pPr>
      <w:r w:rsidRPr="00550D35">
        <w:rPr>
          <w:b/>
          <w:bCs/>
          <w:i/>
          <w:iCs/>
          <w:szCs w:val="24"/>
          <w:lang w:val="lv-LV"/>
        </w:rPr>
        <w:t>5G pārklājums</w:t>
      </w:r>
      <w:r w:rsidRPr="00550D35">
        <w:rPr>
          <w:i/>
          <w:iCs/>
          <w:szCs w:val="24"/>
          <w:lang w:val="lv-LV"/>
        </w:rPr>
        <w:t>, ko mēra kā to apdzīvoto teritoriju procentu, kurām ir vismaz viena 5G tīkla pārklājums neatkarīgi no izmantotās spektra joslas.</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8607"/>
      </w:tblGrid>
      <w:tr w:rsidR="00B57B17" w:rsidRPr="003B2E9A" w14:paraId="51619FB9" w14:textId="77777777" w:rsidTr="00C016DF">
        <w:tc>
          <w:tcPr>
            <w:tcW w:w="8607" w:type="dxa"/>
            <w:tcBorders>
              <w:top w:val="nil"/>
              <w:left w:val="nil"/>
              <w:bottom w:val="nil"/>
              <w:right w:val="nil"/>
            </w:tcBorders>
          </w:tcPr>
          <w:p w14:paraId="107E1E6B" w14:textId="1BA663A5" w:rsidR="008961FF" w:rsidRPr="00550D35" w:rsidRDefault="008961FF" w:rsidP="002C7C3E">
            <w:pPr>
              <w:spacing w:before="0" w:after="0"/>
              <w:ind w:firstLine="0"/>
              <w:rPr>
                <w:szCs w:val="24"/>
                <w:lang w:val="lv-LV" w:eastAsia="lv-LV"/>
              </w:rPr>
            </w:pPr>
          </w:p>
        </w:tc>
      </w:tr>
    </w:tbl>
    <w:p w14:paraId="4388DD4D" w14:textId="12A66320" w:rsidR="003D64FA" w:rsidRPr="00550D35" w:rsidRDefault="00451149">
      <w:pPr>
        <w:pStyle w:val="Heading2"/>
        <w:rPr>
          <w:lang w:val="lv-LV"/>
        </w:rPr>
      </w:pPr>
      <w:r w:rsidRPr="00550D35">
        <w:rPr>
          <w:lang w:val="lv-LV"/>
        </w:rPr>
        <w:t>Analīze par pašreizējo stāvokli digitālās pārveides jomā dalībvalsts kontekstā</w:t>
      </w:r>
    </w:p>
    <w:p w14:paraId="06EE23B1" w14:textId="77777777" w:rsidR="00BF6596" w:rsidRPr="00550D35" w:rsidRDefault="00155821" w:rsidP="00B93F2C">
      <w:pPr>
        <w:rPr>
          <w:lang w:val="lv-LV"/>
        </w:rPr>
      </w:pPr>
      <w:r w:rsidRPr="00550D35">
        <w:rPr>
          <w:lang w:val="lv-LV"/>
        </w:rPr>
        <w:t>Saskaņā ar Digitālās dekādes 2023.gada ziņojumu par Latviju valst</w:t>
      </w:r>
      <w:r w:rsidR="005F4C22" w:rsidRPr="00550D35">
        <w:rPr>
          <w:lang w:val="lv-LV"/>
        </w:rPr>
        <w:t>ij</w:t>
      </w:r>
      <w:r w:rsidRPr="00550D35">
        <w:rPr>
          <w:lang w:val="lv-LV"/>
        </w:rPr>
        <w:t xml:space="preserve"> </w:t>
      </w:r>
      <w:r w:rsidR="00284B87" w:rsidRPr="00550D35">
        <w:rPr>
          <w:lang w:val="lv-LV"/>
        </w:rPr>
        <w:t>ir</w:t>
      </w:r>
      <w:r w:rsidR="005F4C22" w:rsidRPr="00550D35">
        <w:rPr>
          <w:lang w:val="lv-LV"/>
        </w:rPr>
        <w:t xml:space="preserve"> iespējas uzlabot digitālo infrastruktūru. Savienojamības jomā </w:t>
      </w:r>
      <w:r w:rsidR="00BB4658" w:rsidRPr="00550D35">
        <w:rPr>
          <w:lang w:val="lv-LV"/>
        </w:rPr>
        <w:t>Latvij</w:t>
      </w:r>
      <w:r w:rsidR="00060D82" w:rsidRPr="00550D35">
        <w:rPr>
          <w:lang w:val="lv-LV"/>
        </w:rPr>
        <w:t>ā</w:t>
      </w:r>
      <w:r w:rsidR="00BB4658" w:rsidRPr="00550D35">
        <w:rPr>
          <w:lang w:val="lv-LV"/>
        </w:rPr>
        <w:t xml:space="preserve"> ir </w:t>
      </w:r>
      <w:r w:rsidR="00060D82" w:rsidRPr="00550D35">
        <w:rPr>
          <w:lang w:val="lv-LV"/>
        </w:rPr>
        <w:t xml:space="preserve">labs </w:t>
      </w:r>
      <w:r w:rsidR="005F4C22" w:rsidRPr="00550D35">
        <w:rPr>
          <w:lang w:val="lv-LV"/>
        </w:rPr>
        <w:t>VHCN pārklājum</w:t>
      </w:r>
      <w:r w:rsidR="00060D82" w:rsidRPr="00550D35">
        <w:rPr>
          <w:lang w:val="lv-LV"/>
        </w:rPr>
        <w:t>s</w:t>
      </w:r>
      <w:r w:rsidR="00BB4658" w:rsidRPr="00550D35">
        <w:rPr>
          <w:lang w:val="lv-LV"/>
        </w:rPr>
        <w:t>, kas</w:t>
      </w:r>
      <w:r w:rsidR="005F4C22" w:rsidRPr="00550D35">
        <w:rPr>
          <w:lang w:val="lv-LV"/>
        </w:rPr>
        <w:t xml:space="preserve"> pozitīvi ietekmē digitālo Desmitgades mērķi, bet </w:t>
      </w:r>
      <w:r w:rsidR="00060D82" w:rsidRPr="00550D35">
        <w:rPr>
          <w:lang w:val="lv-LV"/>
        </w:rPr>
        <w:t xml:space="preserve">5G pārklājums ir </w:t>
      </w:r>
      <w:r w:rsidR="005F4C22" w:rsidRPr="00550D35">
        <w:rPr>
          <w:lang w:val="lv-LV"/>
        </w:rPr>
        <w:t>daudz zemāks par ES vidējo rādītāju. Lielākajai daļai mājsaimniecību Latvijā ir pieejams VHCN, šobrīd fiksēt</w:t>
      </w:r>
      <w:r w:rsidR="00060D82" w:rsidRPr="00550D35">
        <w:rPr>
          <w:lang w:val="lv-LV"/>
        </w:rPr>
        <w:t>ais</w:t>
      </w:r>
      <w:r w:rsidR="005F4C22" w:rsidRPr="00550D35">
        <w:rPr>
          <w:lang w:val="lv-LV"/>
        </w:rPr>
        <w:t xml:space="preserve"> VHCN pieejam</w:t>
      </w:r>
      <w:r w:rsidR="00060D82" w:rsidRPr="00550D35">
        <w:rPr>
          <w:lang w:val="lv-LV"/>
        </w:rPr>
        <w:t>s</w:t>
      </w:r>
      <w:r w:rsidR="005F4C22" w:rsidRPr="00550D35">
        <w:rPr>
          <w:lang w:val="lv-LV"/>
        </w:rPr>
        <w:t xml:space="preserve"> 92% mājsaimniecību, kas ir par 19 procentpunktiem vairāk nekā vidēji ES – 73%. </w:t>
      </w:r>
      <w:r w:rsidR="00392CCF" w:rsidRPr="00550D35">
        <w:rPr>
          <w:lang w:val="lv-LV"/>
        </w:rPr>
        <w:t>Optiskās š</w:t>
      </w:r>
      <w:r w:rsidR="005F4C22" w:rsidRPr="00550D35">
        <w:rPr>
          <w:lang w:val="lv-LV"/>
        </w:rPr>
        <w:t>ķiedra</w:t>
      </w:r>
      <w:r w:rsidR="00392CCF" w:rsidRPr="00550D35">
        <w:rPr>
          <w:lang w:val="lv-LV"/>
        </w:rPr>
        <w:t>s</w:t>
      </w:r>
      <w:r w:rsidR="005F4C22" w:rsidRPr="00550D35">
        <w:rPr>
          <w:lang w:val="lv-LV"/>
        </w:rPr>
        <w:t xml:space="preserve"> pārklājums Latvijā arī ir viens no augstākajiem ES pie 91%. Lauku apvidos VHCN aptvērums ir palielinājies par 5 procentpunktiem, sasniedzot 80% 2022. gadā, krietni pārsniedzot ES vidējo rādītāju – 45%. Tomēr gigabitu pakalpojumu ieviešana joprojām ir ierobežota. To var izskaidrot ar plašo komerciālu piedāvājumu pieejamība mājas internetam, izmantojot 4G un 5G tīklus.</w:t>
      </w:r>
    </w:p>
    <w:p w14:paraId="5AB9C12D" w14:textId="77777777" w:rsidR="00883FC0" w:rsidRPr="00550D35" w:rsidRDefault="00534075" w:rsidP="00C016DF">
      <w:pPr>
        <w:rPr>
          <w:lang w:val="lv-LV"/>
        </w:rPr>
      </w:pPr>
      <w:r w:rsidRPr="00550D35">
        <w:rPr>
          <w:lang w:val="lv-LV"/>
        </w:rPr>
        <w:lastRenderedPageBreak/>
        <w:t xml:space="preserve">Digitālās dekādes 2023.gada ziņojumā par Latviju </w:t>
      </w:r>
      <w:r w:rsidR="00BF6596" w:rsidRPr="00550D35">
        <w:rPr>
          <w:lang w:val="lv-LV"/>
        </w:rPr>
        <w:t>EK iesaka Latvijai paātrin</w:t>
      </w:r>
      <w:r w:rsidR="00BA50C2" w:rsidRPr="00550D35">
        <w:rPr>
          <w:lang w:val="lv-LV"/>
        </w:rPr>
        <w:t>āt</w:t>
      </w:r>
      <w:r w:rsidR="00BF6596" w:rsidRPr="00550D35">
        <w:rPr>
          <w:lang w:val="lv-LV"/>
        </w:rPr>
        <w:t xml:space="preserve"> centien</w:t>
      </w:r>
      <w:r w:rsidR="00BA50C2" w:rsidRPr="00550D35">
        <w:rPr>
          <w:lang w:val="lv-LV"/>
        </w:rPr>
        <w:t>us</w:t>
      </w:r>
      <w:r w:rsidR="00BF6596" w:rsidRPr="00550D35">
        <w:rPr>
          <w:lang w:val="lv-LV"/>
        </w:rPr>
        <w:t xml:space="preserve"> savienojamības infrastruktūras jomā. Proti, Latvijai </w:t>
      </w:r>
      <w:r w:rsidR="00BA50C2" w:rsidRPr="00550D35">
        <w:rPr>
          <w:lang w:val="lv-LV"/>
        </w:rPr>
        <w:t xml:space="preserve">ir </w:t>
      </w:r>
      <w:r w:rsidR="00BF6596" w:rsidRPr="00550D35">
        <w:rPr>
          <w:lang w:val="lv-LV"/>
        </w:rPr>
        <w:t>jāpalielina centieni 5G savienojamības izvēršanā</w:t>
      </w:r>
      <w:r w:rsidR="00A05A2A" w:rsidRPr="00550D35">
        <w:rPr>
          <w:lang w:val="lv-LV"/>
        </w:rPr>
        <w:t xml:space="preserve">, ļoti svarīga ir </w:t>
      </w:r>
      <w:r w:rsidR="00BA1E65" w:rsidRPr="00550D35">
        <w:rPr>
          <w:lang w:val="lv-LV"/>
        </w:rPr>
        <w:t>raita ANM pasākumu īstenošana</w:t>
      </w:r>
      <w:r w:rsidR="00BF6596" w:rsidRPr="00550D35">
        <w:rPr>
          <w:lang w:val="lv-LV"/>
        </w:rPr>
        <w:t>.</w:t>
      </w:r>
    </w:p>
    <w:p w14:paraId="60B04B36" w14:textId="58C362FF" w:rsidR="00003AEC" w:rsidRPr="00550D35" w:rsidRDefault="00003AEC" w:rsidP="00C016DF">
      <w:pPr>
        <w:rPr>
          <w:lang w:val="lv-LV"/>
        </w:rPr>
      </w:pPr>
      <w:r w:rsidRPr="00550D35">
        <w:rPr>
          <w:lang w:val="lv-LV"/>
        </w:rPr>
        <w:t>Elektronisko sakaru nozares attīstības plāna 2021.-2027. gadam rīcības virziena “Savienojamības paziņojumam</w:t>
      </w:r>
      <w:r w:rsidRPr="00550D35">
        <w:rPr>
          <w:rStyle w:val="FootnoteReference"/>
          <w:lang w:val="lv-LV"/>
        </w:rPr>
        <w:footnoteReference w:id="25"/>
      </w:r>
      <w:r w:rsidRPr="00550D35">
        <w:rPr>
          <w:lang w:val="lv-LV"/>
        </w:rPr>
        <w:t xml:space="preserve"> atbilstošas platjoslas elektronisko sakaru infrastruktūras attīstīšana” noteiktie pasākumi ir cieši saistīti ar DTP2027 noteiktajiem mērķiem</w:t>
      </w:r>
      <w:r w:rsidRPr="00550D35">
        <w:rPr>
          <w:rStyle w:val="FootnoteReference"/>
          <w:lang w:val="lv-LV"/>
        </w:rPr>
        <w:footnoteReference w:id="26"/>
      </w:r>
      <w:r w:rsidRPr="00550D35">
        <w:rPr>
          <w:lang w:val="lv-LV"/>
        </w:rPr>
        <w:t xml:space="preserve">. </w:t>
      </w:r>
    </w:p>
    <w:p w14:paraId="66425146" w14:textId="2DBB7A94" w:rsidR="00003AEC" w:rsidRPr="00550D35" w:rsidRDefault="00003AEC" w:rsidP="00003AEC">
      <w:pPr>
        <w:rPr>
          <w:lang w:val="lv-LV"/>
        </w:rPr>
      </w:pPr>
      <w:r w:rsidRPr="00550D35">
        <w:rPr>
          <w:lang w:val="lv-LV"/>
        </w:rPr>
        <w:t>Lai nekavētu elektronisko sakaru nozares attīstību un nodrošinātu tās pieprasījumu pēc attiecīgas kvalifikācijas darbaspēka, būtiska ir sasaiste ar Izglītības un zinātnes jomas plānošanas dokumentiem, t.sk., IAP2027.gadam</w:t>
      </w:r>
      <w:r w:rsidRPr="00550D35">
        <w:rPr>
          <w:rStyle w:val="FootnoteReference"/>
          <w:lang w:val="lv-LV"/>
        </w:rPr>
        <w:footnoteReference w:id="27"/>
      </w:r>
      <w:r w:rsidRPr="00550D35">
        <w:rPr>
          <w:lang w:val="lv-LV"/>
        </w:rPr>
        <w:t xml:space="preserve">, kur ņemts vērā gan </w:t>
      </w:r>
      <w:r w:rsidRPr="00550D35">
        <w:rPr>
          <w:szCs w:val="24"/>
          <w:lang w:val="lv-LV"/>
        </w:rPr>
        <w:t>Ekonomiskās sadarbības un attīstības organizācijas</w:t>
      </w:r>
      <w:r w:rsidRPr="00550D35">
        <w:rPr>
          <w:lang w:val="lv-LV"/>
        </w:rPr>
        <w:t>, gan EK pētījumos par nākotnes attīstības virzieniem akcentētais par tehnoloģiju attīstību un digitālo transformāciju, kā arī EM informatīvais ziņojums par darba tirgus vidējā un ilgtermiņa prognozēm</w:t>
      </w:r>
      <w:r w:rsidRPr="00550D35">
        <w:rPr>
          <w:rStyle w:val="FootnoteReference"/>
          <w:lang w:val="lv-LV"/>
        </w:rPr>
        <w:footnoteReference w:id="28"/>
      </w:r>
      <w:r w:rsidRPr="00550D35">
        <w:rPr>
          <w:lang w:val="lv-LV"/>
        </w:rPr>
        <w:t xml:space="preserve"> u. c. aspekti.</w:t>
      </w:r>
    </w:p>
    <w:p w14:paraId="1934D189" w14:textId="36B7C771" w:rsidR="00003AEC" w:rsidRPr="00550D35" w:rsidRDefault="00003AEC" w:rsidP="00003AEC">
      <w:pPr>
        <w:rPr>
          <w:lang w:val="lv-LV"/>
        </w:rPr>
      </w:pPr>
      <w:r w:rsidRPr="00550D35">
        <w:rPr>
          <w:lang w:val="lv-LV"/>
        </w:rPr>
        <w:t>Latvijas stiprā puse ir teju pilnīgs vidējais 4G pārklājums (99 %; ES vidējais rādītājs – 96 %); platjoslas pakalpojumu cenas Latvijā ir zemākas nekā vidēji ES.</w:t>
      </w:r>
      <w:r w:rsidRPr="00550D35">
        <w:rPr>
          <w:rStyle w:val="FootnoteReference"/>
          <w:lang w:val="lv-LV"/>
        </w:rPr>
        <w:footnoteReference w:id="29"/>
      </w:r>
    </w:p>
    <w:p w14:paraId="2A1EBB2C" w14:textId="5AFF2A4F" w:rsidR="002E1AF4" w:rsidRPr="00550D35" w:rsidRDefault="00091E68" w:rsidP="002E1AF4">
      <w:pPr>
        <w:rPr>
          <w:b/>
          <w:bCs/>
          <w:lang w:val="lv-LV"/>
        </w:rPr>
      </w:pPr>
      <w:r w:rsidRPr="00550D35">
        <w:rPr>
          <w:lang w:val="lv-LV"/>
        </w:rPr>
        <w:t xml:space="preserve">2023.gadā visi elektronisko sakaru operatori aktīvi turpina 5G tīkla izvēršanu, tostarp, </w:t>
      </w:r>
      <w:r w:rsidR="002E1AF4" w:rsidRPr="00550D35">
        <w:rPr>
          <w:lang w:val="lv-LV"/>
        </w:rPr>
        <w:t>LMT kopš 2023.gada sākuma strauji paplašinājis 5G tīklu līdz 380 5G bāzes stacijām un aptver  45% Latvijas teritorijas. 5G šobrīd pieejams jau vairāk nekā 180</w:t>
      </w:r>
      <w:r w:rsidR="00BD6BA9" w:rsidRPr="00550D35">
        <w:rPr>
          <w:lang w:val="lv-LV"/>
        </w:rPr>
        <w:t> </w:t>
      </w:r>
      <w:r w:rsidR="002E1AF4" w:rsidRPr="00550D35">
        <w:rPr>
          <w:lang w:val="lv-LV"/>
        </w:rPr>
        <w:t>apdzīvotās vietās visā Latvijā  un tagad pieejams gandrīz 70% Latvijas iedzīvotāju.</w:t>
      </w:r>
    </w:p>
    <w:p w14:paraId="2B379122" w14:textId="13061481" w:rsidR="002E1AF4" w:rsidRPr="00550D35" w:rsidRDefault="002E1AF4" w:rsidP="00F40A22">
      <w:pPr>
        <w:rPr>
          <w:lang w:val="lv-LV"/>
        </w:rPr>
      </w:pPr>
      <w:r w:rsidRPr="00550D35">
        <w:rPr>
          <w:lang w:val="lv-LV"/>
        </w:rPr>
        <w:t>Saskaņā ar datu analītikas uzņēmuma “</w:t>
      </w:r>
      <w:proofErr w:type="spellStart"/>
      <w:r w:rsidRPr="00550D35">
        <w:rPr>
          <w:lang w:val="lv-LV"/>
        </w:rPr>
        <w:t>Tefficient</w:t>
      </w:r>
      <w:proofErr w:type="spellEnd"/>
      <w:r w:rsidRPr="00550D35">
        <w:rPr>
          <w:lang w:val="lv-LV"/>
        </w:rPr>
        <w:t xml:space="preserve">” apkopoto informāciju LMT klienti pērn ierindojušies 3. vietā Eiropā </w:t>
      </w:r>
      <w:r w:rsidR="00BD6BA9" w:rsidRPr="00550D35">
        <w:rPr>
          <w:lang w:val="lv-LV"/>
        </w:rPr>
        <w:t xml:space="preserve"> un </w:t>
      </w:r>
      <w:r w:rsidRPr="00550D35">
        <w:rPr>
          <w:lang w:val="lv-LV"/>
        </w:rPr>
        <w:t xml:space="preserve">5. vietā pasaulē pēc mobilo datu patēriņa apjoma uz vienu SIM karti. Kā liecina </w:t>
      </w:r>
      <w:r w:rsidRPr="00D04C30">
        <w:rPr>
          <w:i/>
          <w:iCs/>
          <w:lang w:val="lv-LV"/>
        </w:rPr>
        <w:t>“</w:t>
      </w:r>
      <w:proofErr w:type="spellStart"/>
      <w:r w:rsidRPr="00D04C30">
        <w:rPr>
          <w:i/>
          <w:iCs/>
          <w:lang w:val="lv-LV"/>
        </w:rPr>
        <w:t>Tefficient</w:t>
      </w:r>
      <w:proofErr w:type="spellEnd"/>
      <w:r w:rsidRPr="00D04C30">
        <w:rPr>
          <w:i/>
          <w:iCs/>
          <w:lang w:val="lv-LV"/>
        </w:rPr>
        <w:t xml:space="preserve">” </w:t>
      </w:r>
      <w:r w:rsidRPr="00550D35">
        <w:rPr>
          <w:lang w:val="lv-LV"/>
        </w:rPr>
        <w:t>apkopotie dati, 2022. gadā LMT klientu vidējais datu patēriņš uz vienu SIM karti ir bijis 43,6 GB. Tas LMT ļāvis izvirzīties līderpozīcijās Baltijā, kļūstot par vienīgo Baltijas mobilo sakaru operatoru, kas iekļuvis pasaules TOP 5 mobilo tīklu sarakstā pēc vidējā mobilo datu patēriņa uz vienu SIM karti</w:t>
      </w:r>
      <w:r w:rsidR="00F40A22" w:rsidRPr="00550D35">
        <w:rPr>
          <w:rStyle w:val="FootnoteReference"/>
          <w:lang w:val="lv-LV"/>
        </w:rPr>
        <w:footnoteReference w:id="30"/>
      </w:r>
      <w:r w:rsidRPr="00550D35">
        <w:rPr>
          <w:lang w:val="lv-LV"/>
        </w:rPr>
        <w:t xml:space="preserve">. </w:t>
      </w:r>
    </w:p>
    <w:p w14:paraId="3953649A" w14:textId="2003EF13" w:rsidR="002E1AF4" w:rsidRPr="00550D35" w:rsidRDefault="002E1AF4" w:rsidP="00F40A22">
      <w:pPr>
        <w:rPr>
          <w:lang w:val="lv-LV"/>
        </w:rPr>
      </w:pPr>
      <w:r w:rsidRPr="00550D35">
        <w:rPr>
          <w:lang w:val="lv-LV"/>
        </w:rPr>
        <w:t>IKT pakalpojumu sniedzējs “Bite” turpina attīstīt plašu 5G tīkla pārklājumu visā Latvijas teritorijā, jau šobrīd nodrošinot 5G pieejamību vairāk nekā 50% Latvijas iedzīvotāju. Kopumā šobrīd uzņēmumi mobilos datus 5G tīklā izmanto ievērojami vairāk nekā 4G tīklā. “Bite” 5G visaktīvāk izmanto mazumtirdzniecības, nekustamā īpašuma un būvniecības nozaru uzņēmumi. Kopumā mobilo datu lietojums 5G tīklā uzņēmumu vidū ir par 50% lielāks nekā 4G tīklā.</w:t>
      </w:r>
    </w:p>
    <w:p w14:paraId="0B4CDE90" w14:textId="734317C1" w:rsidR="002E1AF4" w:rsidRPr="00550D35" w:rsidRDefault="002E1AF4" w:rsidP="00976A16">
      <w:pPr>
        <w:rPr>
          <w:lang w:val="lv-LV"/>
        </w:rPr>
      </w:pPr>
      <w:r w:rsidRPr="00550D35">
        <w:rPr>
          <w:lang w:val="lv-LV"/>
        </w:rPr>
        <w:t>Latvijas iedzīvotāji ir ļoti aktīvi mobilā interneta lietotāji, tā patēriņam “Bite” tīklā katru gadu augot par vidēji 25%. Ņemot vērā 5G priekšrocības, salīdzinot ar 2023.gada pavasari, mobilo datu patēriņš “Bite” 5G tīklā ir audzis par 83%. Līdz 2023.gada beigām ar 5G tehnoloģiju būs aprīkotas 340 “Bite” bāzes stacijas, uzņēmuma 5G tīklam aptverot teju 30% Latvijas teritorijas un nodrošinot 5G pieejamību katram otrajam Latvijas iedzīvotājam. Arī turpmākajos gados notiks vērienīgi darbi, lai nodrošinātu 5G tīkla pārklājumu visā Latvijas teritorijā</w:t>
      </w:r>
      <w:r w:rsidR="00976A16" w:rsidRPr="00550D35">
        <w:rPr>
          <w:rStyle w:val="FootnoteReference"/>
          <w:lang w:val="lv-LV"/>
        </w:rPr>
        <w:footnoteReference w:id="31"/>
      </w:r>
      <w:r w:rsidRPr="00550D35">
        <w:rPr>
          <w:lang w:val="lv-LV"/>
        </w:rPr>
        <w:t>.</w:t>
      </w:r>
    </w:p>
    <w:p w14:paraId="1F02E40D" w14:textId="3E539086" w:rsidR="002E1AF4" w:rsidRPr="00550D35" w:rsidRDefault="002E1AF4" w:rsidP="002E1AF4">
      <w:pPr>
        <w:rPr>
          <w:lang w:val="lv-LV"/>
        </w:rPr>
      </w:pPr>
      <w:r w:rsidRPr="00550D35">
        <w:rPr>
          <w:lang w:val="lv-LV"/>
        </w:rPr>
        <w:lastRenderedPageBreak/>
        <w:t xml:space="preserve">Uzņēmuma “Tele2” 5G tīkls ir pieejams jau 63% Latvijas teritorijas. “Tele2” uzstādītās 5G bāzes stacijas darbojas gan 700 </w:t>
      </w:r>
      <w:proofErr w:type="spellStart"/>
      <w:r w:rsidRPr="00550D35">
        <w:rPr>
          <w:lang w:val="lv-LV"/>
        </w:rPr>
        <w:t>MHz</w:t>
      </w:r>
      <w:proofErr w:type="spellEnd"/>
      <w:r w:rsidRPr="00550D35">
        <w:rPr>
          <w:lang w:val="lv-LV"/>
        </w:rPr>
        <w:t xml:space="preserve"> frekvencē, kas ir piemērota mazāk apdzīvotiem rajoniem, jo ļauj pārklāt plašāku teritoriju, gan 3,5 GHz frekvencē, kas piemērota pilsētvidei un nodrošina ātrumu līdz pat 1 </w:t>
      </w:r>
      <w:proofErr w:type="spellStart"/>
      <w:r w:rsidRPr="00550D35">
        <w:rPr>
          <w:lang w:val="lv-LV"/>
        </w:rPr>
        <w:t>Gbps</w:t>
      </w:r>
      <w:proofErr w:type="spellEnd"/>
      <w:r w:rsidRPr="00550D35">
        <w:rPr>
          <w:lang w:val="lv-LV"/>
        </w:rPr>
        <w:t xml:space="preserve">. </w:t>
      </w:r>
      <w:r w:rsidR="00942A59" w:rsidRPr="00550D35">
        <w:rPr>
          <w:lang w:val="lv-LV"/>
        </w:rPr>
        <w:t>Š</w:t>
      </w:r>
      <w:r w:rsidRPr="00550D35">
        <w:rPr>
          <w:lang w:val="lv-LV"/>
        </w:rPr>
        <w:t>ogad vidēji tiek uzstādīta viena 5G bāzes stacija dienā. Primāri tās tiek uzstādītas vietās, kur ir lielāks pieprasījums pēc mobilā interneta. “Tele2”  5G tīkla izvēršana iet soli solī ar pamattīkla modernizāciju, kas ļaus ātrāk izstrādāt un ieviest uzņēmējiem noderīgus tīkla risinājumus, lai nodrošinātu pakalpojumus, ņemot vērā tiem nepieciešamos tīkla parametrus. Mobilo datu patēriņš “Tele2” 5G tīklā kopš 2023. gada sākuma ir audzis par vairāk nekā 150%</w:t>
      </w:r>
      <w:r w:rsidR="00942A59" w:rsidRPr="00550D35">
        <w:rPr>
          <w:rStyle w:val="FootnoteReference"/>
          <w:lang w:val="lv-LV"/>
        </w:rPr>
        <w:footnoteReference w:id="32"/>
      </w:r>
      <w:r w:rsidRPr="00550D35">
        <w:rPr>
          <w:lang w:val="lv-LV"/>
        </w:rPr>
        <w:t>.</w:t>
      </w:r>
    </w:p>
    <w:p w14:paraId="1A5725DA" w14:textId="7F232A9E" w:rsidR="00B57B17" w:rsidRPr="00550D35" w:rsidRDefault="00B57B17" w:rsidP="000C6DF1">
      <w:pPr>
        <w:rPr>
          <w:b/>
          <w:bCs/>
          <w:szCs w:val="24"/>
          <w:lang w:val="lv-LV"/>
        </w:rPr>
      </w:pPr>
      <w:r w:rsidRPr="00550D35">
        <w:rPr>
          <w:b/>
          <w:bCs/>
          <w:szCs w:val="24"/>
          <w:lang w:val="lv-LV"/>
        </w:rPr>
        <w:t xml:space="preserve">Izaicinājumi: </w:t>
      </w:r>
    </w:p>
    <w:p w14:paraId="45D52F96" w14:textId="77777777" w:rsidR="00B23342" w:rsidRPr="00254436" w:rsidRDefault="00B23342" w:rsidP="00B52E9B">
      <w:pPr>
        <w:pStyle w:val="Bulletpoint"/>
        <w:rPr>
          <w:lang w:val="lv-LV"/>
        </w:rPr>
      </w:pPr>
      <w:r w:rsidRPr="00254436">
        <w:rPr>
          <w:lang w:val="lv-LV"/>
        </w:rPr>
        <w:t>investīciju nepietiekamība un nepieciešamā trūkstošā finansējuma piesaiste;</w:t>
      </w:r>
    </w:p>
    <w:p w14:paraId="1E8F6409" w14:textId="77777777" w:rsidR="00B23342" w:rsidRPr="00550D35" w:rsidRDefault="00B23342" w:rsidP="00B52E9B">
      <w:pPr>
        <w:pStyle w:val="Bulletpoint"/>
      </w:pPr>
      <w:r w:rsidRPr="00550D35">
        <w:t>digitālā drošība;</w:t>
      </w:r>
    </w:p>
    <w:p w14:paraId="7DFD7F3D" w14:textId="77777777" w:rsidR="00B23342" w:rsidRPr="00550D35" w:rsidRDefault="00B23342" w:rsidP="00B52E9B">
      <w:pPr>
        <w:pStyle w:val="Bulletpoint"/>
      </w:pPr>
      <w:r w:rsidRPr="00550D35">
        <w:t>elektronisko sakaru tīklu izvēršanas atvieglošana un izmaksu samazināšana;</w:t>
      </w:r>
    </w:p>
    <w:p w14:paraId="01073C6D" w14:textId="77777777" w:rsidR="00B23342" w:rsidRPr="00550D35" w:rsidRDefault="00B23342" w:rsidP="00B52E9B">
      <w:pPr>
        <w:pStyle w:val="Bulletpoint"/>
      </w:pPr>
      <w:r w:rsidRPr="00550D35">
        <w:t>izvērtējums par pieprasījumu un patērētāju vajadzību apzināšanu pēc ļoti augstas veiktspējas tīkla ar mērķi apzināt teritorijas, kur ir visaugstākā nepieciešamība ieguldījumu veikšanai;</w:t>
      </w:r>
    </w:p>
    <w:p w14:paraId="0DA5DF6B" w14:textId="77777777" w:rsidR="00B23342" w:rsidRPr="00550D35" w:rsidRDefault="00B23342" w:rsidP="00B52E9B">
      <w:pPr>
        <w:pStyle w:val="Bulletpoint"/>
      </w:pPr>
      <w:r w:rsidRPr="00550D35">
        <w:t>pēdējās jūdzes un pieprasījumu veicinoši pasākumi;</w:t>
      </w:r>
    </w:p>
    <w:p w14:paraId="3DDDA772" w14:textId="2EF0F05C" w:rsidR="0050712E" w:rsidRPr="00550D35" w:rsidRDefault="0050712E" w:rsidP="00B52E9B">
      <w:pPr>
        <w:pStyle w:val="Bulletpoint"/>
      </w:pPr>
      <w:r w:rsidRPr="0050712E">
        <w:t>5G infrastruktūras pieejamība un pakalpojumu attīstība gar valsts galvenajiem transporta tīkliem, tostarp tehniskās prasības pakalpojumu attīstības vajadzībām un salāgojot to ar autoceļu attīstības projektiem;</w:t>
      </w:r>
    </w:p>
    <w:p w14:paraId="457A0034" w14:textId="77777777" w:rsidR="00B23342" w:rsidRPr="00550D35" w:rsidRDefault="00B23342" w:rsidP="00B52E9B">
      <w:pPr>
        <w:pStyle w:val="Bulletpoint"/>
      </w:pPr>
      <w:r w:rsidRPr="00550D35">
        <w:t>digitālās plaisas starp pilsētām un lauku apgabaliem mazināšana, ņemot vērā nevienmērīgo iedzīvotāju blīvumu (2019.gada sākumā 1 miljons 315 tūkstoši bija pilsētu iedzīvotāji (68 %) un 605 tūkstoši - lauku iedzīvotāji)</w:t>
      </w:r>
      <w:r w:rsidRPr="00550D35">
        <w:rPr>
          <w:rStyle w:val="FootnoteReference"/>
          <w:lang w:val="lv-LV"/>
        </w:rPr>
        <w:footnoteReference w:id="33"/>
      </w:r>
      <w:r w:rsidRPr="00550D35">
        <w:t>;</w:t>
      </w:r>
    </w:p>
    <w:p w14:paraId="7466B519" w14:textId="0326EAE0" w:rsidR="00B23342" w:rsidRPr="00550D35" w:rsidRDefault="00B23342" w:rsidP="00B52E9B">
      <w:pPr>
        <w:pStyle w:val="Bulletpoint"/>
      </w:pPr>
      <w:r w:rsidRPr="00550D35">
        <w:t>5G attīstībai nepieciešamā 3.5GHz spektra diapazona izmantošanas ilgtermiņa plāna izstrāde, lai mazinātu nenoteiktību un veicinātu efektīvas investīcijas infrastruktūrā.</w:t>
      </w:r>
    </w:p>
    <w:p w14:paraId="7AD52837" w14:textId="78533CE9" w:rsidR="00B57B17" w:rsidRPr="00550D35" w:rsidRDefault="00817E71">
      <w:pPr>
        <w:pStyle w:val="Heading2"/>
        <w:rPr>
          <w:lang w:val="lv-LV"/>
        </w:rPr>
      </w:pPr>
      <w:r>
        <w:rPr>
          <w:lang w:val="lv-LV"/>
        </w:rPr>
        <w:t>KPI “</w:t>
      </w:r>
      <w:r w:rsidR="005E6D37">
        <w:rPr>
          <w:lang w:val="lv-LV"/>
        </w:rPr>
        <w:t>Gigabitu s</w:t>
      </w:r>
      <w:r w:rsidR="00DA15DE">
        <w:rPr>
          <w:lang w:val="lv-LV"/>
        </w:rPr>
        <w:t>a</w:t>
      </w:r>
      <w:r w:rsidR="005E6D37">
        <w:rPr>
          <w:lang w:val="lv-LV"/>
        </w:rPr>
        <w:t>vienojamība un KPI “5G pārklājums” v</w:t>
      </w:r>
      <w:r w:rsidR="002864F1" w:rsidRPr="00550D35">
        <w:rPr>
          <w:lang w:val="lv-LV"/>
        </w:rPr>
        <w:t>alsts prognozētās trajektorijas</w:t>
      </w:r>
      <w:r w:rsidR="00B4122B" w:rsidRPr="00550D35">
        <w:rPr>
          <w:lang w:val="lv-LV"/>
        </w:rPr>
        <w:t xml:space="preserve"> un </w:t>
      </w:r>
      <w:proofErr w:type="spellStart"/>
      <w:r w:rsidR="00B4122B" w:rsidRPr="00550D35">
        <w:rPr>
          <w:lang w:val="lv-LV"/>
        </w:rPr>
        <w:t>mērķrādītāji</w:t>
      </w:r>
      <w:proofErr w:type="spellEnd"/>
      <w:r w:rsidR="00B4122B" w:rsidRPr="00550D35">
        <w:rPr>
          <w:lang w:val="lv-LV"/>
        </w:rPr>
        <w:t xml:space="preserve">, kas paredzēti, lai palīdzētu sasniegt ES digitālos </w:t>
      </w:r>
      <w:proofErr w:type="spellStart"/>
      <w:r w:rsidR="00B4122B" w:rsidRPr="00550D35">
        <w:rPr>
          <w:lang w:val="lv-LV"/>
        </w:rPr>
        <w:t>mērķrādītājus</w:t>
      </w:r>
      <w:proofErr w:type="spellEnd"/>
      <w:r w:rsidR="00B57B17" w:rsidRPr="00550D35">
        <w:rPr>
          <w:lang w:val="lv-LV"/>
        </w:rPr>
        <w:t xml:space="preserve"> </w:t>
      </w:r>
    </w:p>
    <w:p w14:paraId="7397D40B" w14:textId="76ACE8E8" w:rsidR="00F701B7" w:rsidRPr="00550D35" w:rsidRDefault="00677DF4" w:rsidP="002135D4">
      <w:pPr>
        <w:spacing w:before="0" w:after="160" w:line="259" w:lineRule="auto"/>
        <w:ind w:firstLine="0"/>
        <w:contextualSpacing/>
        <w:jc w:val="left"/>
        <w:rPr>
          <w:b/>
          <w:bCs/>
          <w:lang w:val="lv-LV"/>
        </w:rPr>
      </w:pPr>
      <w:r w:rsidRPr="00C109AA">
        <w:rPr>
          <w:b/>
          <w:bCs/>
          <w:lang w:val="lv-LV"/>
        </w:rPr>
        <w:t>Kopējais laika ietvars:</w:t>
      </w:r>
      <w:r w:rsidR="00C109AA">
        <w:rPr>
          <w:lang w:val="lv-LV"/>
        </w:rPr>
        <w:br/>
      </w:r>
      <w:r w:rsidR="005F0CAD">
        <w:rPr>
          <w:lang w:val="lv-LV"/>
        </w:rPr>
        <w:t>Prognozētās trajektorijas</w:t>
      </w:r>
      <w:r w:rsidRPr="00550D35">
        <w:rPr>
          <w:lang w:val="lv-LV"/>
        </w:rPr>
        <w:t xml:space="preserve"> </w:t>
      </w:r>
      <w:r w:rsidR="005F0CAD">
        <w:rPr>
          <w:lang w:val="lv-LV"/>
        </w:rPr>
        <w:t xml:space="preserve">var </w:t>
      </w:r>
      <w:r w:rsidRPr="00550D35">
        <w:rPr>
          <w:lang w:val="lv-LV"/>
        </w:rPr>
        <w:t>tik</w:t>
      </w:r>
      <w:r w:rsidR="005F0CAD">
        <w:rPr>
          <w:lang w:val="lv-LV"/>
        </w:rPr>
        <w:t>t</w:t>
      </w:r>
      <w:r w:rsidRPr="00550D35">
        <w:rPr>
          <w:lang w:val="lv-LV"/>
        </w:rPr>
        <w:t xml:space="preserve"> p</w:t>
      </w:r>
      <w:r w:rsidR="005F0CAD">
        <w:rPr>
          <w:lang w:val="lv-LV"/>
        </w:rPr>
        <w:t>recizētas,</w:t>
      </w:r>
      <w:r w:rsidRPr="00550D35">
        <w:rPr>
          <w:lang w:val="lv-LV"/>
        </w:rPr>
        <w:t xml:space="preserve"> veicot </w:t>
      </w:r>
      <w:r w:rsidR="005F0CAD">
        <w:rPr>
          <w:lang w:val="lv-LV"/>
        </w:rPr>
        <w:t>ceļveža</w:t>
      </w:r>
      <w:r w:rsidR="00E725BA">
        <w:rPr>
          <w:lang w:val="lv-LV"/>
        </w:rPr>
        <w:t xml:space="preserve"> Latvijai</w:t>
      </w:r>
      <w:r w:rsidRPr="00550D35">
        <w:rPr>
          <w:lang w:val="lv-LV"/>
        </w:rPr>
        <w:t xml:space="preserve"> </w:t>
      </w:r>
      <w:r w:rsidR="005F0CAD">
        <w:rPr>
          <w:lang w:val="lv-LV"/>
        </w:rPr>
        <w:t>atjauninā</w:t>
      </w:r>
      <w:r w:rsidRPr="00550D35">
        <w:rPr>
          <w:lang w:val="lv-LV"/>
        </w:rPr>
        <w:t>šanu.</w:t>
      </w:r>
    </w:p>
    <w:p w14:paraId="1E48C45B" w14:textId="02C630E4" w:rsidR="00F701B7" w:rsidRPr="00550D35" w:rsidRDefault="00F701B7" w:rsidP="00F701B7">
      <w:pPr>
        <w:pStyle w:val="Text2"/>
        <w:ind w:left="0"/>
        <w:rPr>
          <w:b/>
          <w:bCs/>
          <w:lang w:val="lv-LV"/>
        </w:rPr>
      </w:pPr>
      <w:r w:rsidRPr="00550D35">
        <w:rPr>
          <w:b/>
          <w:bCs/>
          <w:lang w:val="lv-LV"/>
        </w:rPr>
        <w:t>Gigabitu savienojamība</w:t>
      </w:r>
      <w:r w:rsidR="008553DA" w:rsidRPr="00550D35">
        <w:rPr>
          <w:b/>
          <w:bCs/>
          <w:lang w:val="lv-LV"/>
        </w:rPr>
        <w:t>:</w:t>
      </w:r>
    </w:p>
    <w:tbl>
      <w:tblPr>
        <w:tblStyle w:val="TableGrid"/>
        <w:tblW w:w="5000" w:type="pct"/>
        <w:tblLook w:val="04A0" w:firstRow="1" w:lastRow="0" w:firstColumn="1" w:lastColumn="0" w:noHBand="0" w:noVBand="1"/>
      </w:tblPr>
      <w:tblGrid>
        <w:gridCol w:w="4303"/>
        <w:gridCol w:w="4304"/>
      </w:tblGrid>
      <w:tr w:rsidR="006A3550" w:rsidRPr="00550D35" w14:paraId="442C8F65" w14:textId="77777777" w:rsidTr="00CF5B11">
        <w:tc>
          <w:tcPr>
            <w:tcW w:w="5000" w:type="pct"/>
            <w:gridSpan w:val="2"/>
          </w:tcPr>
          <w:p w14:paraId="7E05EB9B" w14:textId="77777777" w:rsidR="006A3550" w:rsidRPr="00550D35" w:rsidRDefault="006A3550" w:rsidP="00CF5B11">
            <w:pPr>
              <w:pStyle w:val="Text2"/>
              <w:ind w:left="0" w:firstLine="0"/>
              <w:jc w:val="center"/>
              <w:rPr>
                <w:sz w:val="20"/>
                <w:lang w:val="lv-LV"/>
              </w:rPr>
            </w:pPr>
            <w:r w:rsidRPr="00550D35">
              <w:rPr>
                <w:rFonts w:eastAsia="Calibri"/>
                <w:b/>
                <w:bCs/>
                <w:sz w:val="20"/>
                <w:lang w:val="lv-LV"/>
              </w:rPr>
              <w:t xml:space="preserve">Rādītāja VHCN trajektorija 2023.-2030. </w:t>
            </w:r>
          </w:p>
        </w:tc>
      </w:tr>
      <w:tr w:rsidR="006A3550" w:rsidRPr="00550D35" w14:paraId="70B547EF" w14:textId="77777777" w:rsidTr="00CF5B11">
        <w:tc>
          <w:tcPr>
            <w:tcW w:w="2500" w:type="pct"/>
          </w:tcPr>
          <w:p w14:paraId="7C85F9B8" w14:textId="77777777" w:rsidR="006A3550" w:rsidRPr="00550D35" w:rsidRDefault="006A3550" w:rsidP="00CF5B11">
            <w:pPr>
              <w:pStyle w:val="Text2"/>
              <w:ind w:left="0" w:firstLine="0"/>
              <w:rPr>
                <w:sz w:val="20"/>
                <w:lang w:val="lv-LV"/>
              </w:rPr>
            </w:pPr>
            <w:r w:rsidRPr="00550D35">
              <w:rPr>
                <w:rFonts w:eastAsia="Calibri"/>
                <w:b/>
                <w:bCs/>
                <w:sz w:val="20"/>
                <w:lang w:val="lv-LV"/>
              </w:rPr>
              <w:t xml:space="preserve">Sākotnējā VHCN fiksēto </w:t>
            </w:r>
            <w:proofErr w:type="spellStart"/>
            <w:r w:rsidRPr="00550D35">
              <w:rPr>
                <w:rFonts w:eastAsia="Calibri"/>
                <w:b/>
                <w:bCs/>
                <w:sz w:val="20"/>
                <w:lang w:val="lv-LV"/>
              </w:rPr>
              <w:t>pieslēgumu</w:t>
            </w:r>
            <w:proofErr w:type="spellEnd"/>
            <w:r w:rsidRPr="00550D35">
              <w:rPr>
                <w:rFonts w:eastAsia="Calibri"/>
                <w:b/>
                <w:bCs/>
                <w:sz w:val="20"/>
                <w:lang w:val="lv-LV"/>
              </w:rPr>
              <w:t xml:space="preserve"> vērtība</w:t>
            </w:r>
            <w:r w:rsidRPr="00550D35">
              <w:rPr>
                <w:rFonts w:eastAsia="Calibri"/>
                <w:sz w:val="20"/>
                <w:lang w:val="lv-LV"/>
              </w:rPr>
              <w:t xml:space="preserve"> (uz 2023.g. 28.aprīli -dati par 2022.gadu</w:t>
            </w:r>
            <w:r w:rsidRPr="00550D35">
              <w:rPr>
                <w:rStyle w:val="FootnoteReference"/>
                <w:rFonts w:eastAsia="Calibri"/>
                <w:sz w:val="20"/>
                <w:lang w:val="lv-LV"/>
              </w:rPr>
              <w:footnoteReference w:id="34"/>
            </w:r>
            <w:r w:rsidRPr="00550D35">
              <w:rPr>
                <w:rFonts w:eastAsia="Calibri"/>
                <w:sz w:val="20"/>
                <w:lang w:val="lv-LV"/>
              </w:rPr>
              <w:t>):</w:t>
            </w:r>
          </w:p>
        </w:tc>
        <w:tc>
          <w:tcPr>
            <w:tcW w:w="2500" w:type="pct"/>
          </w:tcPr>
          <w:p w14:paraId="3AC9F47E" w14:textId="129DFFA9" w:rsidR="006A3550" w:rsidRPr="00550D35" w:rsidRDefault="006A3550" w:rsidP="00CF5B11">
            <w:pPr>
              <w:ind w:firstLine="0"/>
              <w:rPr>
                <w:rFonts w:eastAsia="Calibri"/>
                <w:sz w:val="20"/>
                <w:lang w:val="lv-LV"/>
              </w:rPr>
            </w:pPr>
            <w:r w:rsidRPr="00550D35">
              <w:rPr>
                <w:rFonts w:eastAsia="Calibri"/>
                <w:b/>
                <w:bCs/>
                <w:sz w:val="20"/>
                <w:lang w:val="lv-LV"/>
              </w:rPr>
              <w:t xml:space="preserve">329 182 mājsaimniecības ar 100 Mbit/s </w:t>
            </w:r>
            <w:proofErr w:type="spellStart"/>
            <w:r w:rsidRPr="00550D35">
              <w:rPr>
                <w:rFonts w:eastAsia="Calibri"/>
                <w:b/>
                <w:bCs/>
                <w:sz w:val="20"/>
                <w:lang w:val="lv-LV"/>
              </w:rPr>
              <w:t>pieslēgumu</w:t>
            </w:r>
            <w:proofErr w:type="spellEnd"/>
          </w:p>
        </w:tc>
      </w:tr>
      <w:tr w:rsidR="006A3550" w:rsidRPr="00550D35" w14:paraId="54A48168" w14:textId="77777777" w:rsidTr="00CF5B11">
        <w:tc>
          <w:tcPr>
            <w:tcW w:w="2500" w:type="pct"/>
          </w:tcPr>
          <w:p w14:paraId="75958492" w14:textId="77777777" w:rsidR="006A3550" w:rsidRPr="00550D35" w:rsidRDefault="006A3550" w:rsidP="00CF5B11">
            <w:pPr>
              <w:ind w:firstLine="0"/>
              <w:rPr>
                <w:rFonts w:eastAsia="Calibri"/>
                <w:b/>
                <w:sz w:val="20"/>
                <w:lang w:val="lv-LV"/>
              </w:rPr>
            </w:pPr>
            <w:r w:rsidRPr="00550D35">
              <w:rPr>
                <w:rFonts w:eastAsia="Calibri"/>
                <w:b/>
                <w:bCs/>
                <w:sz w:val="20"/>
                <w:lang w:val="lv-LV"/>
              </w:rPr>
              <w:t xml:space="preserve">Prognozētā VHCN fiksēto </w:t>
            </w:r>
            <w:proofErr w:type="spellStart"/>
            <w:r w:rsidRPr="00550D35">
              <w:rPr>
                <w:rFonts w:eastAsia="Calibri"/>
                <w:b/>
                <w:bCs/>
                <w:sz w:val="20"/>
                <w:lang w:val="lv-LV"/>
              </w:rPr>
              <w:t>pieslēgumu</w:t>
            </w:r>
            <w:proofErr w:type="spellEnd"/>
            <w:r w:rsidRPr="00550D35">
              <w:rPr>
                <w:rFonts w:eastAsia="Calibri"/>
                <w:b/>
                <w:bCs/>
                <w:sz w:val="20"/>
                <w:lang w:val="lv-LV"/>
              </w:rPr>
              <w:t xml:space="preserve"> vērtība</w:t>
            </w:r>
            <w:r w:rsidRPr="00550D35">
              <w:rPr>
                <w:rFonts w:eastAsia="Calibri"/>
                <w:sz w:val="20"/>
                <w:lang w:val="lv-LV"/>
              </w:rPr>
              <w:t xml:space="preserve"> (uz 2030.g.): </w:t>
            </w:r>
          </w:p>
        </w:tc>
        <w:tc>
          <w:tcPr>
            <w:tcW w:w="2500" w:type="pct"/>
          </w:tcPr>
          <w:p w14:paraId="040BD2D9" w14:textId="66D19DC2" w:rsidR="006A3550" w:rsidRPr="00550D35" w:rsidRDefault="006A3550" w:rsidP="00CF5B11">
            <w:pPr>
              <w:pStyle w:val="Text2"/>
              <w:ind w:left="0" w:firstLine="0"/>
              <w:rPr>
                <w:sz w:val="20"/>
                <w:lang w:val="lv-LV"/>
              </w:rPr>
            </w:pPr>
            <w:r w:rsidRPr="00550D35">
              <w:rPr>
                <w:rFonts w:eastAsia="Calibri"/>
                <w:b/>
                <w:sz w:val="20"/>
                <w:lang w:val="lv-LV"/>
              </w:rPr>
              <w:t>455 67</w:t>
            </w:r>
            <w:r w:rsidR="00CD39FA" w:rsidRPr="00550D35">
              <w:rPr>
                <w:rFonts w:eastAsia="Calibri"/>
                <w:b/>
                <w:sz w:val="20"/>
                <w:lang w:val="lv-LV"/>
              </w:rPr>
              <w:t>8</w:t>
            </w:r>
            <w:r w:rsidRPr="00550D35">
              <w:rPr>
                <w:rFonts w:eastAsia="Calibri"/>
                <w:b/>
                <w:sz w:val="20"/>
                <w:lang w:val="lv-LV"/>
              </w:rPr>
              <w:t xml:space="preserve"> mājsaimniecības ar 100 Mbit/s </w:t>
            </w:r>
            <w:proofErr w:type="spellStart"/>
            <w:r w:rsidRPr="00550D35">
              <w:rPr>
                <w:rFonts w:eastAsia="Calibri"/>
                <w:b/>
                <w:sz w:val="20"/>
                <w:lang w:val="lv-LV"/>
              </w:rPr>
              <w:t>pieslēgumu</w:t>
            </w:r>
            <w:proofErr w:type="spellEnd"/>
          </w:p>
        </w:tc>
      </w:tr>
      <w:tr w:rsidR="006A3550" w:rsidRPr="00550D35" w14:paraId="76BABCB5" w14:textId="77777777" w:rsidTr="00CF5B11">
        <w:tc>
          <w:tcPr>
            <w:tcW w:w="2500" w:type="pct"/>
          </w:tcPr>
          <w:p w14:paraId="460563EC" w14:textId="77777777" w:rsidR="006A3550" w:rsidRPr="00550D35" w:rsidRDefault="006A3550" w:rsidP="00CF5B11">
            <w:pPr>
              <w:ind w:firstLine="0"/>
              <w:rPr>
                <w:rFonts w:eastAsia="Calibri"/>
                <w:b/>
                <w:bCs/>
                <w:sz w:val="20"/>
                <w:lang w:val="lv-LV"/>
              </w:rPr>
            </w:pPr>
            <w:r w:rsidRPr="00550D35">
              <w:rPr>
                <w:rFonts w:eastAsia="Calibri"/>
                <w:b/>
                <w:bCs/>
                <w:sz w:val="20"/>
                <w:lang w:val="lv-LV"/>
              </w:rPr>
              <w:t xml:space="preserve">Rādītāja VHCN fiksēto </w:t>
            </w:r>
            <w:proofErr w:type="spellStart"/>
            <w:r w:rsidRPr="00550D35">
              <w:rPr>
                <w:rFonts w:eastAsia="Calibri"/>
                <w:b/>
                <w:bCs/>
                <w:sz w:val="20"/>
                <w:lang w:val="lv-LV"/>
              </w:rPr>
              <w:t>pieslēgumu</w:t>
            </w:r>
            <w:proofErr w:type="spellEnd"/>
            <w:r w:rsidRPr="00550D35">
              <w:rPr>
                <w:rFonts w:eastAsia="Calibri"/>
                <w:b/>
                <w:bCs/>
                <w:sz w:val="20"/>
                <w:lang w:val="lv-LV"/>
              </w:rPr>
              <w:t xml:space="preserve"> vērtības palielinājums  katru gadu, sākot ar 2024.g. </w:t>
            </w:r>
          </w:p>
        </w:tc>
        <w:tc>
          <w:tcPr>
            <w:tcW w:w="2500" w:type="pct"/>
          </w:tcPr>
          <w:p w14:paraId="57D73936" w14:textId="3073D57B" w:rsidR="006A3550" w:rsidRPr="00550D35" w:rsidRDefault="006A3550" w:rsidP="00CF5B11">
            <w:pPr>
              <w:pStyle w:val="Text2"/>
              <w:ind w:left="0" w:firstLine="0"/>
              <w:rPr>
                <w:sz w:val="20"/>
                <w:lang w:val="lv-LV"/>
              </w:rPr>
            </w:pPr>
            <w:r w:rsidRPr="00550D35">
              <w:rPr>
                <w:rFonts w:eastAsia="Calibri"/>
                <w:b/>
                <w:bCs/>
                <w:sz w:val="20"/>
                <w:lang w:val="lv-LV"/>
              </w:rPr>
              <w:t>15 812  mājsaimniecības</w:t>
            </w:r>
          </w:p>
        </w:tc>
      </w:tr>
    </w:tbl>
    <w:p w14:paraId="0CD29A26" w14:textId="77777777" w:rsidR="005C1F25" w:rsidRPr="00550D35" w:rsidRDefault="005C1F25" w:rsidP="006A3550">
      <w:pPr>
        <w:pStyle w:val="Text2"/>
        <w:ind w:left="0" w:firstLine="0"/>
        <w:rPr>
          <w:lang w:val="lv-LV"/>
        </w:rPr>
      </w:pPr>
    </w:p>
    <w:p w14:paraId="0BB1C24E" w14:textId="42C45543" w:rsidR="005C1F25" w:rsidRPr="00550D35" w:rsidRDefault="005C1F25" w:rsidP="006A3550">
      <w:pPr>
        <w:pStyle w:val="Text2"/>
        <w:ind w:left="0" w:firstLine="0"/>
        <w:rPr>
          <w:b/>
          <w:bCs/>
          <w:lang w:val="lv-LV"/>
        </w:rPr>
      </w:pPr>
      <w:r w:rsidRPr="00550D35">
        <w:rPr>
          <w:b/>
          <w:bCs/>
          <w:lang w:val="lv-LV"/>
        </w:rPr>
        <w:t>KPI “Gigabitu savienojamība” prognozētā trajektorija</w:t>
      </w:r>
      <w:r w:rsidR="000349A3">
        <w:rPr>
          <w:b/>
          <w:bCs/>
          <w:lang w:val="lv-LV"/>
        </w:rPr>
        <w:t xml:space="preserve"> (%)</w:t>
      </w:r>
      <w:r w:rsidRPr="00550D35">
        <w:rPr>
          <w:b/>
          <w:bCs/>
          <w:lang w:val="lv-LV"/>
        </w:rPr>
        <w:t>:</w:t>
      </w:r>
    </w:p>
    <w:tbl>
      <w:tblPr>
        <w:tblStyle w:val="TableGrid"/>
        <w:tblW w:w="5000" w:type="pct"/>
        <w:tblLook w:val="04A0" w:firstRow="1" w:lastRow="0" w:firstColumn="1" w:lastColumn="0" w:noHBand="0" w:noVBand="1"/>
      </w:tblPr>
      <w:tblGrid>
        <w:gridCol w:w="991"/>
        <w:gridCol w:w="849"/>
        <w:gridCol w:w="849"/>
        <w:gridCol w:w="850"/>
        <w:gridCol w:w="713"/>
        <w:gridCol w:w="850"/>
        <w:gridCol w:w="852"/>
        <w:gridCol w:w="2653"/>
      </w:tblGrid>
      <w:tr w:rsidR="003773DC" w:rsidRPr="00550D35" w14:paraId="2E048E62" w14:textId="77777777" w:rsidTr="0054455C">
        <w:tc>
          <w:tcPr>
            <w:tcW w:w="576" w:type="pct"/>
          </w:tcPr>
          <w:p w14:paraId="2D676981" w14:textId="77777777" w:rsidR="006A3550" w:rsidRPr="00550D35" w:rsidRDefault="006A3550" w:rsidP="00CF5B11">
            <w:pPr>
              <w:pStyle w:val="Text2"/>
              <w:ind w:left="0" w:firstLine="0"/>
              <w:rPr>
                <w:sz w:val="20"/>
                <w:lang w:val="lv-LV"/>
              </w:rPr>
            </w:pPr>
            <w:r w:rsidRPr="00550D35">
              <w:rPr>
                <w:sz w:val="20"/>
                <w:lang w:val="lv-LV"/>
              </w:rPr>
              <w:t>2023</w:t>
            </w:r>
          </w:p>
        </w:tc>
        <w:tc>
          <w:tcPr>
            <w:tcW w:w="493" w:type="pct"/>
          </w:tcPr>
          <w:p w14:paraId="734748AF" w14:textId="77777777" w:rsidR="006A3550" w:rsidRPr="00550D35" w:rsidRDefault="006A3550" w:rsidP="00CF5B11">
            <w:pPr>
              <w:pStyle w:val="Text2"/>
              <w:ind w:left="0" w:firstLine="0"/>
              <w:rPr>
                <w:sz w:val="20"/>
                <w:lang w:val="lv-LV"/>
              </w:rPr>
            </w:pPr>
            <w:r w:rsidRPr="00550D35">
              <w:rPr>
                <w:sz w:val="20"/>
                <w:lang w:val="lv-LV"/>
              </w:rPr>
              <w:t>2024</w:t>
            </w:r>
          </w:p>
        </w:tc>
        <w:tc>
          <w:tcPr>
            <w:tcW w:w="493" w:type="pct"/>
          </w:tcPr>
          <w:p w14:paraId="10BC6514" w14:textId="77777777" w:rsidR="006A3550" w:rsidRPr="00550D35" w:rsidRDefault="006A3550" w:rsidP="00CF5B11">
            <w:pPr>
              <w:pStyle w:val="Text2"/>
              <w:ind w:left="0" w:firstLine="0"/>
              <w:rPr>
                <w:sz w:val="20"/>
                <w:lang w:val="lv-LV"/>
              </w:rPr>
            </w:pPr>
            <w:r w:rsidRPr="00550D35">
              <w:rPr>
                <w:sz w:val="20"/>
                <w:lang w:val="lv-LV"/>
              </w:rPr>
              <w:t>2025</w:t>
            </w:r>
          </w:p>
        </w:tc>
        <w:tc>
          <w:tcPr>
            <w:tcW w:w="494" w:type="pct"/>
          </w:tcPr>
          <w:p w14:paraId="267E5B5A" w14:textId="77777777" w:rsidR="006A3550" w:rsidRPr="00550D35" w:rsidRDefault="006A3550" w:rsidP="00CF5B11">
            <w:pPr>
              <w:pStyle w:val="Text2"/>
              <w:ind w:left="0" w:firstLine="0"/>
              <w:rPr>
                <w:sz w:val="20"/>
                <w:lang w:val="lv-LV"/>
              </w:rPr>
            </w:pPr>
            <w:r w:rsidRPr="00550D35">
              <w:rPr>
                <w:sz w:val="20"/>
                <w:lang w:val="lv-LV"/>
              </w:rPr>
              <w:t>2026</w:t>
            </w:r>
          </w:p>
        </w:tc>
        <w:tc>
          <w:tcPr>
            <w:tcW w:w="414" w:type="pct"/>
          </w:tcPr>
          <w:p w14:paraId="5883502E" w14:textId="77777777" w:rsidR="006A3550" w:rsidRPr="00550D35" w:rsidRDefault="006A3550" w:rsidP="00CF5B11">
            <w:pPr>
              <w:pStyle w:val="Text2"/>
              <w:ind w:left="0" w:firstLine="0"/>
              <w:rPr>
                <w:sz w:val="20"/>
                <w:lang w:val="lv-LV"/>
              </w:rPr>
            </w:pPr>
            <w:r w:rsidRPr="00550D35">
              <w:rPr>
                <w:sz w:val="20"/>
                <w:lang w:val="lv-LV"/>
              </w:rPr>
              <w:t>2027</w:t>
            </w:r>
          </w:p>
        </w:tc>
        <w:tc>
          <w:tcPr>
            <w:tcW w:w="494" w:type="pct"/>
          </w:tcPr>
          <w:p w14:paraId="40A7CF4D" w14:textId="77777777" w:rsidR="006A3550" w:rsidRPr="00550D35" w:rsidRDefault="006A3550" w:rsidP="00CF5B11">
            <w:pPr>
              <w:pStyle w:val="Text2"/>
              <w:ind w:left="0" w:firstLine="0"/>
              <w:rPr>
                <w:sz w:val="20"/>
                <w:lang w:val="lv-LV"/>
              </w:rPr>
            </w:pPr>
            <w:r w:rsidRPr="00550D35">
              <w:rPr>
                <w:sz w:val="20"/>
                <w:lang w:val="lv-LV"/>
              </w:rPr>
              <w:t>2028</w:t>
            </w:r>
          </w:p>
        </w:tc>
        <w:tc>
          <w:tcPr>
            <w:tcW w:w="495" w:type="pct"/>
          </w:tcPr>
          <w:p w14:paraId="00C8879B" w14:textId="77777777" w:rsidR="006A3550" w:rsidRPr="00550D35" w:rsidRDefault="006A3550" w:rsidP="00CF5B11">
            <w:pPr>
              <w:pStyle w:val="Text2"/>
              <w:ind w:left="0" w:firstLine="0"/>
              <w:rPr>
                <w:sz w:val="20"/>
                <w:lang w:val="lv-LV"/>
              </w:rPr>
            </w:pPr>
            <w:r w:rsidRPr="00550D35">
              <w:rPr>
                <w:sz w:val="20"/>
                <w:lang w:val="lv-LV"/>
              </w:rPr>
              <w:t>2029</w:t>
            </w:r>
          </w:p>
        </w:tc>
        <w:tc>
          <w:tcPr>
            <w:tcW w:w="1541" w:type="pct"/>
          </w:tcPr>
          <w:p w14:paraId="2806F57D" w14:textId="77777777" w:rsidR="006A3550" w:rsidRPr="00550D35" w:rsidRDefault="006A3550" w:rsidP="00CF5B11">
            <w:pPr>
              <w:pStyle w:val="Text2"/>
              <w:ind w:left="0" w:firstLine="0"/>
              <w:rPr>
                <w:sz w:val="20"/>
                <w:lang w:val="lv-LV"/>
              </w:rPr>
            </w:pPr>
            <w:r w:rsidRPr="00550D35">
              <w:rPr>
                <w:sz w:val="20"/>
                <w:lang w:val="lv-LV"/>
              </w:rPr>
              <w:t>2030</w:t>
            </w:r>
          </w:p>
        </w:tc>
      </w:tr>
      <w:tr w:rsidR="003773DC" w:rsidRPr="00550D35" w14:paraId="3ABC6888" w14:textId="77777777" w:rsidTr="0054455C">
        <w:tc>
          <w:tcPr>
            <w:tcW w:w="576" w:type="pct"/>
            <w:shd w:val="clear" w:color="auto" w:fill="auto"/>
            <w:vAlign w:val="bottom"/>
          </w:tcPr>
          <w:p w14:paraId="7FD72000" w14:textId="4AFD4788" w:rsidR="006A3550" w:rsidRPr="00550D35" w:rsidRDefault="000349A3" w:rsidP="00DE7BD5">
            <w:pPr>
              <w:pStyle w:val="Text2"/>
              <w:spacing w:before="0" w:after="0"/>
              <w:ind w:left="0" w:firstLine="0"/>
              <w:rPr>
                <w:sz w:val="20"/>
                <w:lang w:val="lv-LV"/>
              </w:rPr>
            </w:pPr>
            <w:r>
              <w:rPr>
                <w:rFonts w:eastAsia="Calibri"/>
                <w:color w:val="000000"/>
                <w:sz w:val="20"/>
                <w:lang w:val="lv-LV"/>
              </w:rPr>
              <w:t>42</w:t>
            </w:r>
            <w:r w:rsidR="00DE7BD5">
              <w:rPr>
                <w:rFonts w:eastAsia="Calibri"/>
                <w:color w:val="000000"/>
                <w:sz w:val="20"/>
                <w:lang w:val="lv-LV"/>
              </w:rPr>
              <w:t>%</w:t>
            </w:r>
          </w:p>
        </w:tc>
        <w:tc>
          <w:tcPr>
            <w:tcW w:w="493" w:type="pct"/>
            <w:shd w:val="clear" w:color="auto" w:fill="auto"/>
            <w:vAlign w:val="bottom"/>
          </w:tcPr>
          <w:p w14:paraId="7AF392C0" w14:textId="1252BEE9" w:rsidR="006A3550" w:rsidRPr="00550D35" w:rsidRDefault="000349A3" w:rsidP="00DE7BD5">
            <w:pPr>
              <w:spacing w:before="0" w:after="0"/>
              <w:ind w:firstLine="0"/>
              <w:rPr>
                <w:color w:val="000000"/>
                <w:sz w:val="20"/>
                <w:lang w:val="lv-LV"/>
              </w:rPr>
            </w:pPr>
            <w:r>
              <w:rPr>
                <w:color w:val="000000"/>
                <w:sz w:val="20"/>
                <w:lang w:val="lv-LV"/>
              </w:rPr>
              <w:t>44</w:t>
            </w:r>
            <w:r w:rsidR="00DE7BD5">
              <w:rPr>
                <w:color w:val="000000"/>
                <w:sz w:val="20"/>
                <w:lang w:val="lv-LV"/>
              </w:rPr>
              <w:t>%</w:t>
            </w:r>
          </w:p>
        </w:tc>
        <w:tc>
          <w:tcPr>
            <w:tcW w:w="493" w:type="pct"/>
            <w:shd w:val="clear" w:color="auto" w:fill="auto"/>
            <w:vAlign w:val="bottom"/>
          </w:tcPr>
          <w:p w14:paraId="6D51C3D0" w14:textId="0A341CBF" w:rsidR="006A3550" w:rsidRPr="00550D35" w:rsidRDefault="000349A3" w:rsidP="00DE7BD5">
            <w:pPr>
              <w:pStyle w:val="Text2"/>
              <w:spacing w:before="0" w:after="0"/>
              <w:ind w:left="0" w:firstLine="0"/>
              <w:rPr>
                <w:sz w:val="20"/>
                <w:lang w:val="lv-LV"/>
              </w:rPr>
            </w:pPr>
            <w:r>
              <w:rPr>
                <w:sz w:val="20"/>
                <w:lang w:val="lv-LV"/>
              </w:rPr>
              <w:t>46</w:t>
            </w:r>
            <w:r w:rsidR="00DE7BD5">
              <w:rPr>
                <w:sz w:val="20"/>
                <w:lang w:val="lv-LV"/>
              </w:rPr>
              <w:t>%</w:t>
            </w:r>
          </w:p>
        </w:tc>
        <w:tc>
          <w:tcPr>
            <w:tcW w:w="494" w:type="pct"/>
            <w:shd w:val="clear" w:color="auto" w:fill="auto"/>
            <w:vAlign w:val="bottom"/>
          </w:tcPr>
          <w:p w14:paraId="74D1EA56" w14:textId="0523A8EF" w:rsidR="006A3550" w:rsidRPr="00550D35" w:rsidRDefault="000349A3" w:rsidP="00DE7BD5">
            <w:pPr>
              <w:pStyle w:val="Text2"/>
              <w:spacing w:before="0" w:after="0"/>
              <w:ind w:left="0" w:firstLine="0"/>
              <w:rPr>
                <w:sz w:val="20"/>
                <w:lang w:val="lv-LV"/>
              </w:rPr>
            </w:pPr>
            <w:r>
              <w:rPr>
                <w:sz w:val="20"/>
                <w:lang w:val="lv-LV"/>
              </w:rPr>
              <w:t>48</w:t>
            </w:r>
            <w:r w:rsidR="00DE7BD5">
              <w:rPr>
                <w:sz w:val="20"/>
                <w:lang w:val="lv-LV"/>
              </w:rPr>
              <w:t>%</w:t>
            </w:r>
          </w:p>
        </w:tc>
        <w:tc>
          <w:tcPr>
            <w:tcW w:w="414" w:type="pct"/>
            <w:shd w:val="clear" w:color="auto" w:fill="auto"/>
            <w:vAlign w:val="bottom"/>
          </w:tcPr>
          <w:p w14:paraId="3417D51C" w14:textId="731F8603" w:rsidR="006A3550" w:rsidRPr="00550D35" w:rsidRDefault="000349A3" w:rsidP="00DE7BD5">
            <w:pPr>
              <w:pStyle w:val="Text2"/>
              <w:spacing w:before="0" w:after="0"/>
              <w:ind w:left="0" w:firstLine="0"/>
              <w:rPr>
                <w:sz w:val="20"/>
                <w:lang w:val="lv-LV"/>
              </w:rPr>
            </w:pPr>
            <w:r>
              <w:rPr>
                <w:sz w:val="20"/>
                <w:lang w:val="lv-LV"/>
              </w:rPr>
              <w:t>50</w:t>
            </w:r>
            <w:r w:rsidR="00DE7BD5">
              <w:rPr>
                <w:sz w:val="20"/>
                <w:lang w:val="lv-LV"/>
              </w:rPr>
              <w:t>%</w:t>
            </w:r>
          </w:p>
        </w:tc>
        <w:tc>
          <w:tcPr>
            <w:tcW w:w="494" w:type="pct"/>
            <w:shd w:val="clear" w:color="auto" w:fill="auto"/>
            <w:vAlign w:val="bottom"/>
          </w:tcPr>
          <w:p w14:paraId="1157745B" w14:textId="72CB94C1" w:rsidR="006A3550" w:rsidRPr="00550D35" w:rsidRDefault="000349A3" w:rsidP="00DE7BD5">
            <w:pPr>
              <w:pStyle w:val="Text2"/>
              <w:spacing w:before="0" w:after="0"/>
              <w:ind w:left="0" w:firstLine="0"/>
              <w:rPr>
                <w:sz w:val="20"/>
                <w:lang w:val="lv-LV"/>
              </w:rPr>
            </w:pPr>
            <w:r>
              <w:rPr>
                <w:sz w:val="20"/>
                <w:lang w:val="lv-LV"/>
              </w:rPr>
              <w:t>51</w:t>
            </w:r>
            <w:r w:rsidR="00DE7BD5">
              <w:rPr>
                <w:sz w:val="20"/>
                <w:lang w:val="lv-LV"/>
              </w:rPr>
              <w:t>%</w:t>
            </w:r>
          </w:p>
        </w:tc>
        <w:tc>
          <w:tcPr>
            <w:tcW w:w="495" w:type="pct"/>
            <w:shd w:val="clear" w:color="auto" w:fill="auto"/>
            <w:vAlign w:val="bottom"/>
          </w:tcPr>
          <w:p w14:paraId="63179116" w14:textId="3BD41F20" w:rsidR="006A3550" w:rsidRPr="00550D35" w:rsidRDefault="000349A3" w:rsidP="00DE7BD5">
            <w:pPr>
              <w:pStyle w:val="Text2"/>
              <w:spacing w:before="0" w:after="0"/>
              <w:ind w:left="0" w:firstLine="0"/>
              <w:rPr>
                <w:sz w:val="20"/>
                <w:lang w:val="lv-LV"/>
              </w:rPr>
            </w:pPr>
            <w:r>
              <w:rPr>
                <w:sz w:val="20"/>
                <w:lang w:val="lv-LV"/>
              </w:rPr>
              <w:t>53</w:t>
            </w:r>
            <w:r w:rsidR="00DE7BD5">
              <w:rPr>
                <w:sz w:val="20"/>
                <w:lang w:val="lv-LV"/>
              </w:rPr>
              <w:t>%</w:t>
            </w:r>
          </w:p>
        </w:tc>
        <w:tc>
          <w:tcPr>
            <w:tcW w:w="1541" w:type="pct"/>
            <w:shd w:val="clear" w:color="auto" w:fill="auto"/>
            <w:vAlign w:val="bottom"/>
          </w:tcPr>
          <w:p w14:paraId="1A25E484" w14:textId="0F703673" w:rsidR="00F74879" w:rsidRPr="00550D35" w:rsidRDefault="005A228B" w:rsidP="00195D65">
            <w:pPr>
              <w:pStyle w:val="Text2"/>
              <w:spacing w:before="0" w:after="0"/>
              <w:ind w:left="0" w:firstLine="0"/>
              <w:rPr>
                <w:sz w:val="20"/>
                <w:lang w:val="lv-LV"/>
              </w:rPr>
            </w:pPr>
            <w:r>
              <w:rPr>
                <w:sz w:val="20"/>
                <w:lang w:val="lv-LV"/>
              </w:rPr>
              <w:t>55% (ES mērķis 100%)</w:t>
            </w:r>
          </w:p>
        </w:tc>
      </w:tr>
    </w:tbl>
    <w:p w14:paraId="6902F54E" w14:textId="77777777" w:rsidR="006A3550" w:rsidRPr="00550D35" w:rsidRDefault="006A3550" w:rsidP="006A3550">
      <w:pPr>
        <w:pStyle w:val="Text2"/>
        <w:ind w:left="0" w:firstLine="0"/>
        <w:rPr>
          <w:lang w:val="lv-LV"/>
        </w:rPr>
      </w:pPr>
    </w:p>
    <w:p w14:paraId="3DDEB145" w14:textId="72F7E203" w:rsidR="008553DA" w:rsidRPr="00550D35" w:rsidRDefault="00B541AD" w:rsidP="006A3550">
      <w:pPr>
        <w:pStyle w:val="Text2"/>
        <w:ind w:left="0" w:firstLine="0"/>
        <w:rPr>
          <w:b/>
          <w:bCs/>
          <w:lang w:val="lv-LV"/>
        </w:rPr>
      </w:pPr>
      <w:r w:rsidRPr="00550D35">
        <w:rPr>
          <w:b/>
          <w:bCs/>
          <w:lang w:val="lv-LV"/>
        </w:rPr>
        <w:lastRenderedPageBreak/>
        <w:t>KPI “5G pārklājums” prognozētā trajektorija:</w:t>
      </w:r>
    </w:p>
    <w:tbl>
      <w:tblPr>
        <w:tblStyle w:val="TableGrid"/>
        <w:tblW w:w="5000" w:type="pct"/>
        <w:tblLook w:val="04A0" w:firstRow="1" w:lastRow="0" w:firstColumn="1" w:lastColumn="0" w:noHBand="0" w:noVBand="1"/>
      </w:tblPr>
      <w:tblGrid>
        <w:gridCol w:w="963"/>
        <w:gridCol w:w="833"/>
        <w:gridCol w:w="833"/>
        <w:gridCol w:w="833"/>
        <w:gridCol w:w="833"/>
        <w:gridCol w:w="833"/>
        <w:gridCol w:w="833"/>
        <w:gridCol w:w="2646"/>
      </w:tblGrid>
      <w:tr w:rsidR="003773DC" w:rsidRPr="00550D35" w14:paraId="5CC179F5" w14:textId="77777777" w:rsidTr="003773DC">
        <w:tc>
          <w:tcPr>
            <w:tcW w:w="559" w:type="pct"/>
          </w:tcPr>
          <w:p w14:paraId="35F2814E" w14:textId="77777777" w:rsidR="0048229E" w:rsidRPr="00550D35" w:rsidRDefault="0048229E" w:rsidP="00CF5B11">
            <w:pPr>
              <w:pStyle w:val="Text2"/>
              <w:ind w:left="0" w:firstLine="0"/>
              <w:rPr>
                <w:sz w:val="20"/>
                <w:lang w:val="lv-LV"/>
              </w:rPr>
            </w:pPr>
            <w:r w:rsidRPr="00550D35">
              <w:rPr>
                <w:sz w:val="20"/>
                <w:lang w:val="lv-LV"/>
              </w:rPr>
              <w:t>2023</w:t>
            </w:r>
          </w:p>
        </w:tc>
        <w:tc>
          <w:tcPr>
            <w:tcW w:w="484" w:type="pct"/>
          </w:tcPr>
          <w:p w14:paraId="3357533F" w14:textId="77777777" w:rsidR="0048229E" w:rsidRPr="00550D35" w:rsidRDefault="0048229E" w:rsidP="00CF5B11">
            <w:pPr>
              <w:pStyle w:val="Text2"/>
              <w:ind w:left="0" w:firstLine="0"/>
              <w:rPr>
                <w:sz w:val="20"/>
                <w:lang w:val="lv-LV"/>
              </w:rPr>
            </w:pPr>
            <w:r w:rsidRPr="00550D35">
              <w:rPr>
                <w:sz w:val="20"/>
                <w:lang w:val="lv-LV"/>
              </w:rPr>
              <w:t>2024</w:t>
            </w:r>
          </w:p>
        </w:tc>
        <w:tc>
          <w:tcPr>
            <w:tcW w:w="484" w:type="pct"/>
          </w:tcPr>
          <w:p w14:paraId="38215D6C" w14:textId="77777777" w:rsidR="0048229E" w:rsidRPr="00550D35" w:rsidRDefault="0048229E" w:rsidP="00CF5B11">
            <w:pPr>
              <w:pStyle w:val="Text2"/>
              <w:ind w:left="0" w:firstLine="0"/>
              <w:rPr>
                <w:sz w:val="20"/>
                <w:lang w:val="lv-LV"/>
              </w:rPr>
            </w:pPr>
            <w:r w:rsidRPr="00550D35">
              <w:rPr>
                <w:sz w:val="20"/>
                <w:lang w:val="lv-LV"/>
              </w:rPr>
              <w:t>2025</w:t>
            </w:r>
          </w:p>
        </w:tc>
        <w:tc>
          <w:tcPr>
            <w:tcW w:w="484" w:type="pct"/>
          </w:tcPr>
          <w:p w14:paraId="7309C149" w14:textId="77777777" w:rsidR="0048229E" w:rsidRPr="00550D35" w:rsidRDefault="0048229E" w:rsidP="00CF5B11">
            <w:pPr>
              <w:pStyle w:val="Text2"/>
              <w:ind w:left="0" w:firstLine="0"/>
              <w:rPr>
                <w:sz w:val="20"/>
                <w:lang w:val="lv-LV"/>
              </w:rPr>
            </w:pPr>
            <w:r w:rsidRPr="00550D35">
              <w:rPr>
                <w:sz w:val="20"/>
                <w:lang w:val="lv-LV"/>
              </w:rPr>
              <w:t>2026</w:t>
            </w:r>
          </w:p>
        </w:tc>
        <w:tc>
          <w:tcPr>
            <w:tcW w:w="484" w:type="pct"/>
          </w:tcPr>
          <w:p w14:paraId="5849118B" w14:textId="77777777" w:rsidR="0048229E" w:rsidRPr="00550D35" w:rsidRDefault="0048229E" w:rsidP="00CF5B11">
            <w:pPr>
              <w:pStyle w:val="Text2"/>
              <w:ind w:left="0" w:firstLine="0"/>
              <w:rPr>
                <w:sz w:val="20"/>
                <w:lang w:val="lv-LV"/>
              </w:rPr>
            </w:pPr>
            <w:r w:rsidRPr="00550D35">
              <w:rPr>
                <w:sz w:val="20"/>
                <w:lang w:val="lv-LV"/>
              </w:rPr>
              <w:t>2027</w:t>
            </w:r>
          </w:p>
        </w:tc>
        <w:tc>
          <w:tcPr>
            <w:tcW w:w="484" w:type="pct"/>
          </w:tcPr>
          <w:p w14:paraId="0632DD70" w14:textId="77777777" w:rsidR="0048229E" w:rsidRPr="00550D35" w:rsidRDefault="0048229E" w:rsidP="00CF5B11">
            <w:pPr>
              <w:pStyle w:val="Text2"/>
              <w:ind w:left="0" w:firstLine="0"/>
              <w:rPr>
                <w:sz w:val="20"/>
                <w:lang w:val="lv-LV"/>
              </w:rPr>
            </w:pPr>
            <w:r w:rsidRPr="00550D35">
              <w:rPr>
                <w:sz w:val="20"/>
                <w:lang w:val="lv-LV"/>
              </w:rPr>
              <w:t>2028</w:t>
            </w:r>
          </w:p>
        </w:tc>
        <w:tc>
          <w:tcPr>
            <w:tcW w:w="477" w:type="pct"/>
          </w:tcPr>
          <w:p w14:paraId="6865C04A" w14:textId="77777777" w:rsidR="0048229E" w:rsidRPr="00550D35" w:rsidRDefault="0048229E" w:rsidP="00CF5B11">
            <w:pPr>
              <w:pStyle w:val="Text2"/>
              <w:ind w:left="0" w:firstLine="0"/>
              <w:rPr>
                <w:sz w:val="20"/>
                <w:lang w:val="lv-LV"/>
              </w:rPr>
            </w:pPr>
            <w:r w:rsidRPr="00550D35">
              <w:rPr>
                <w:sz w:val="20"/>
                <w:lang w:val="lv-LV"/>
              </w:rPr>
              <w:t>2029</w:t>
            </w:r>
          </w:p>
        </w:tc>
        <w:tc>
          <w:tcPr>
            <w:tcW w:w="1544" w:type="pct"/>
          </w:tcPr>
          <w:p w14:paraId="228ED657" w14:textId="77777777" w:rsidR="0048229E" w:rsidRPr="00550D35" w:rsidRDefault="0048229E" w:rsidP="00CF5B11">
            <w:pPr>
              <w:pStyle w:val="Text2"/>
              <w:ind w:left="0" w:firstLine="0"/>
              <w:rPr>
                <w:sz w:val="20"/>
                <w:lang w:val="lv-LV"/>
              </w:rPr>
            </w:pPr>
            <w:r w:rsidRPr="00550D35">
              <w:rPr>
                <w:sz w:val="20"/>
                <w:lang w:val="lv-LV"/>
              </w:rPr>
              <w:t>2030</w:t>
            </w:r>
          </w:p>
        </w:tc>
      </w:tr>
      <w:tr w:rsidR="003773DC" w:rsidRPr="00550D35" w14:paraId="0671EACD" w14:textId="77777777" w:rsidTr="003773DC">
        <w:tc>
          <w:tcPr>
            <w:tcW w:w="559" w:type="pct"/>
            <w:shd w:val="clear" w:color="auto" w:fill="auto"/>
            <w:vAlign w:val="bottom"/>
          </w:tcPr>
          <w:p w14:paraId="0570883F" w14:textId="4E38146F" w:rsidR="0048229E" w:rsidRPr="00550D35" w:rsidRDefault="0048229E" w:rsidP="00CF5B11">
            <w:pPr>
              <w:pStyle w:val="Text2"/>
              <w:ind w:left="0" w:firstLine="0"/>
              <w:rPr>
                <w:sz w:val="20"/>
                <w:lang w:val="lv-LV"/>
              </w:rPr>
            </w:pPr>
            <w:r w:rsidRPr="00550D35">
              <w:rPr>
                <w:rFonts w:eastAsia="Calibri"/>
                <w:color w:val="000000"/>
                <w:sz w:val="20"/>
                <w:lang w:val="lv-LV"/>
              </w:rPr>
              <w:t>46</w:t>
            </w:r>
            <w:r w:rsidR="00A821FC" w:rsidRPr="00550D35">
              <w:rPr>
                <w:rFonts w:eastAsia="Calibri"/>
                <w:color w:val="000000"/>
                <w:sz w:val="20"/>
                <w:lang w:val="lv-LV"/>
              </w:rPr>
              <w:t>,00</w:t>
            </w:r>
            <w:r w:rsidRPr="00550D35">
              <w:rPr>
                <w:rFonts w:eastAsia="Calibri"/>
                <w:color w:val="000000"/>
                <w:sz w:val="20"/>
                <w:lang w:val="lv-LV"/>
              </w:rPr>
              <w:t>%</w:t>
            </w:r>
            <w:r w:rsidR="00842BDB" w:rsidRPr="00550D35">
              <w:rPr>
                <w:rStyle w:val="FootnoteReference"/>
                <w:rFonts w:eastAsia="Calibri"/>
                <w:sz w:val="20"/>
                <w:lang w:val="lv-LV"/>
              </w:rPr>
              <w:footnoteReference w:id="35"/>
            </w:r>
          </w:p>
        </w:tc>
        <w:tc>
          <w:tcPr>
            <w:tcW w:w="484" w:type="pct"/>
            <w:shd w:val="clear" w:color="auto" w:fill="auto"/>
            <w:vAlign w:val="bottom"/>
          </w:tcPr>
          <w:p w14:paraId="49277D00" w14:textId="31D3DA0F" w:rsidR="0048229E" w:rsidRPr="00550D35" w:rsidRDefault="0048229E" w:rsidP="00CF5B11">
            <w:pPr>
              <w:spacing w:before="0" w:after="0"/>
              <w:ind w:firstLine="0"/>
              <w:rPr>
                <w:color w:val="000000"/>
                <w:sz w:val="20"/>
                <w:lang w:val="lv-LV"/>
              </w:rPr>
            </w:pPr>
            <w:r w:rsidRPr="00550D35">
              <w:rPr>
                <w:color w:val="000000"/>
                <w:sz w:val="20"/>
                <w:lang w:val="lv-LV"/>
              </w:rPr>
              <w:t>49,43%</w:t>
            </w:r>
          </w:p>
        </w:tc>
        <w:tc>
          <w:tcPr>
            <w:tcW w:w="484" w:type="pct"/>
            <w:shd w:val="clear" w:color="auto" w:fill="auto"/>
            <w:vAlign w:val="bottom"/>
          </w:tcPr>
          <w:p w14:paraId="0AF357F9" w14:textId="1328FF14" w:rsidR="0048229E" w:rsidRPr="00550D35" w:rsidRDefault="0048229E" w:rsidP="00CF5B11">
            <w:pPr>
              <w:pStyle w:val="Text2"/>
              <w:ind w:left="0" w:firstLine="0"/>
              <w:rPr>
                <w:sz w:val="20"/>
                <w:lang w:val="lv-LV"/>
              </w:rPr>
            </w:pPr>
            <w:r w:rsidRPr="00550D35">
              <w:rPr>
                <w:sz w:val="20"/>
                <w:lang w:val="lv-LV"/>
              </w:rPr>
              <w:t>52,86%</w:t>
            </w:r>
          </w:p>
        </w:tc>
        <w:tc>
          <w:tcPr>
            <w:tcW w:w="484" w:type="pct"/>
            <w:shd w:val="clear" w:color="auto" w:fill="auto"/>
            <w:vAlign w:val="bottom"/>
          </w:tcPr>
          <w:p w14:paraId="34829F4F" w14:textId="494840D5" w:rsidR="0048229E" w:rsidRPr="00550D35" w:rsidRDefault="0048229E" w:rsidP="00CF5B11">
            <w:pPr>
              <w:pStyle w:val="Text2"/>
              <w:ind w:left="0" w:firstLine="0"/>
              <w:rPr>
                <w:sz w:val="20"/>
                <w:lang w:val="lv-LV"/>
              </w:rPr>
            </w:pPr>
            <w:r w:rsidRPr="00550D35">
              <w:rPr>
                <w:sz w:val="20"/>
                <w:lang w:val="lv-LV"/>
              </w:rPr>
              <w:t>56,29%</w:t>
            </w:r>
          </w:p>
        </w:tc>
        <w:tc>
          <w:tcPr>
            <w:tcW w:w="484" w:type="pct"/>
            <w:shd w:val="clear" w:color="auto" w:fill="auto"/>
            <w:vAlign w:val="bottom"/>
          </w:tcPr>
          <w:p w14:paraId="122667DA" w14:textId="2A67E0F2" w:rsidR="0048229E" w:rsidRPr="00550D35" w:rsidRDefault="0048229E" w:rsidP="00CF5B11">
            <w:pPr>
              <w:pStyle w:val="Text2"/>
              <w:ind w:left="0" w:firstLine="0"/>
              <w:rPr>
                <w:sz w:val="20"/>
                <w:lang w:val="lv-LV"/>
              </w:rPr>
            </w:pPr>
            <w:r w:rsidRPr="00550D35">
              <w:rPr>
                <w:sz w:val="20"/>
                <w:lang w:val="lv-LV"/>
              </w:rPr>
              <w:t>5</w:t>
            </w:r>
            <w:r w:rsidR="00ED48F6" w:rsidRPr="00550D35">
              <w:rPr>
                <w:sz w:val="20"/>
                <w:lang w:val="lv-LV"/>
              </w:rPr>
              <w:t>9,72%</w:t>
            </w:r>
          </w:p>
        </w:tc>
        <w:tc>
          <w:tcPr>
            <w:tcW w:w="484" w:type="pct"/>
            <w:shd w:val="clear" w:color="auto" w:fill="auto"/>
            <w:vAlign w:val="bottom"/>
          </w:tcPr>
          <w:p w14:paraId="666ADAFA" w14:textId="58356C27" w:rsidR="0048229E" w:rsidRPr="00550D35" w:rsidRDefault="00ED48F6" w:rsidP="00CF5B11">
            <w:pPr>
              <w:pStyle w:val="Text2"/>
              <w:ind w:left="0" w:firstLine="0"/>
              <w:rPr>
                <w:sz w:val="20"/>
                <w:lang w:val="lv-LV"/>
              </w:rPr>
            </w:pPr>
            <w:r w:rsidRPr="00550D35">
              <w:rPr>
                <w:sz w:val="20"/>
                <w:lang w:val="lv-LV"/>
              </w:rPr>
              <w:t>53,15%</w:t>
            </w:r>
          </w:p>
        </w:tc>
        <w:tc>
          <w:tcPr>
            <w:tcW w:w="477" w:type="pct"/>
            <w:shd w:val="clear" w:color="auto" w:fill="auto"/>
            <w:vAlign w:val="bottom"/>
          </w:tcPr>
          <w:p w14:paraId="2C5F9F49" w14:textId="4FAD20AD" w:rsidR="0048229E" w:rsidRPr="00550D35" w:rsidRDefault="00FA576C" w:rsidP="00DD6F70">
            <w:pPr>
              <w:pStyle w:val="Text2"/>
              <w:spacing w:before="0" w:after="0"/>
              <w:ind w:left="0" w:firstLine="0"/>
              <w:rPr>
                <w:sz w:val="20"/>
                <w:lang w:val="lv-LV"/>
              </w:rPr>
            </w:pPr>
            <w:r w:rsidRPr="00550D35">
              <w:rPr>
                <w:sz w:val="20"/>
                <w:lang w:val="lv-LV"/>
              </w:rPr>
              <w:t>66</w:t>
            </w:r>
            <w:r w:rsidR="00D06992" w:rsidRPr="00550D35">
              <w:rPr>
                <w:sz w:val="20"/>
                <w:lang w:val="lv-LV"/>
              </w:rPr>
              <w:t>,58%</w:t>
            </w:r>
          </w:p>
        </w:tc>
        <w:tc>
          <w:tcPr>
            <w:tcW w:w="1544" w:type="pct"/>
            <w:shd w:val="clear" w:color="auto" w:fill="auto"/>
            <w:vAlign w:val="bottom"/>
          </w:tcPr>
          <w:p w14:paraId="6B6E6DA9" w14:textId="78C1A6AD" w:rsidR="00893A4E" w:rsidRPr="00550D35" w:rsidRDefault="003773DC" w:rsidP="00DD6F70">
            <w:pPr>
              <w:pStyle w:val="Text2"/>
              <w:spacing w:before="0" w:after="0"/>
              <w:ind w:left="0" w:firstLine="0"/>
              <w:rPr>
                <w:sz w:val="20"/>
                <w:lang w:val="lv-LV"/>
              </w:rPr>
            </w:pPr>
            <w:r>
              <w:rPr>
                <w:sz w:val="20"/>
                <w:lang w:val="lv-LV"/>
              </w:rPr>
              <w:t>70% (</w:t>
            </w:r>
            <w:r w:rsidR="00893A4E" w:rsidRPr="00550D35">
              <w:rPr>
                <w:sz w:val="20"/>
                <w:lang w:val="lv-LV"/>
              </w:rPr>
              <w:t>ES mērķis 100%</w:t>
            </w:r>
            <w:r>
              <w:rPr>
                <w:sz w:val="20"/>
                <w:lang w:val="lv-LV"/>
              </w:rPr>
              <w:t>)</w:t>
            </w:r>
          </w:p>
        </w:tc>
      </w:tr>
    </w:tbl>
    <w:p w14:paraId="7747EBDD" w14:textId="77777777" w:rsidR="006A3550" w:rsidRPr="00550D35" w:rsidRDefault="006A3550" w:rsidP="006A3550">
      <w:pPr>
        <w:pStyle w:val="Text2"/>
        <w:ind w:left="0" w:firstLine="0"/>
        <w:rPr>
          <w:lang w:val="lv-LV"/>
        </w:rPr>
      </w:pPr>
    </w:p>
    <w:p w14:paraId="1D3078FF" w14:textId="19BC1E45" w:rsidR="006A3550" w:rsidRPr="00550D35" w:rsidRDefault="006A3550" w:rsidP="006A3550">
      <w:pPr>
        <w:rPr>
          <w:rFonts w:eastAsia="Calibri"/>
          <w:lang w:val="lv-LV"/>
        </w:rPr>
      </w:pPr>
      <w:bookmarkStart w:id="15" w:name="_Hlk149566647"/>
      <w:r w:rsidRPr="00550D35">
        <w:rPr>
          <w:rFonts w:eastAsia="Calibri"/>
          <w:lang w:val="lv-LV"/>
        </w:rPr>
        <w:t xml:space="preserve">Teritorijas pārklājuma vērtības tiek noteiktas par kopējo Latvijas teritorijas pārklājumu. Šobrīd ne valsts, ne elektronisko sakaru komersanti neapkopo statistiku par pārklājumu, izmantojot tikai 3,6 GHz joslu. Vienlaikus pārklājuma procentuālā vērtību var noteikt tikai  teritorijās, kuras neierobežo starptautiskie radiofrekvenču spektra pārrobežu spektra pārrobežu koordinācijas ierobežojumi. </w:t>
      </w:r>
      <w:r w:rsidR="0034471F" w:rsidRPr="00550D35">
        <w:rPr>
          <w:rFonts w:eastAsia="Calibri"/>
          <w:lang w:val="lv-LV"/>
        </w:rPr>
        <w:t xml:space="preserve">Jāņem vērā, ka </w:t>
      </w:r>
      <w:r w:rsidRPr="00550D35">
        <w:rPr>
          <w:rFonts w:eastAsia="Calibri"/>
          <w:lang w:val="lv-LV"/>
        </w:rPr>
        <w:t>Latvijas gadījumā vairāk nekā 30 % teritorijas 5G pakalpojumu attīstība 3,6 GHz joslā ir būtiski ierobežota.</w:t>
      </w:r>
    </w:p>
    <w:tbl>
      <w:tblPr>
        <w:tblStyle w:val="TableGrid"/>
        <w:tblW w:w="5000" w:type="pct"/>
        <w:tblLook w:val="04A0" w:firstRow="1" w:lastRow="0" w:firstColumn="1" w:lastColumn="0" w:noHBand="0" w:noVBand="1"/>
      </w:tblPr>
      <w:tblGrid>
        <w:gridCol w:w="4815"/>
        <w:gridCol w:w="3792"/>
      </w:tblGrid>
      <w:tr w:rsidR="006A3550" w:rsidRPr="00550D35" w14:paraId="46516B73" w14:textId="77777777" w:rsidTr="00CF5B11">
        <w:tc>
          <w:tcPr>
            <w:tcW w:w="5000" w:type="pct"/>
            <w:gridSpan w:val="2"/>
          </w:tcPr>
          <w:p w14:paraId="679E7DEA" w14:textId="77777777" w:rsidR="006A3550" w:rsidRPr="00550D35" w:rsidRDefault="006A3550" w:rsidP="00CF5B11">
            <w:pPr>
              <w:pStyle w:val="Text2"/>
              <w:ind w:left="0" w:firstLine="0"/>
              <w:jc w:val="center"/>
              <w:rPr>
                <w:sz w:val="20"/>
                <w:lang w:val="lv-LV"/>
              </w:rPr>
            </w:pPr>
            <w:r w:rsidRPr="00550D35">
              <w:rPr>
                <w:rFonts w:eastAsia="Calibri"/>
                <w:b/>
                <w:bCs/>
                <w:sz w:val="20"/>
                <w:lang w:val="lv-LV"/>
              </w:rPr>
              <w:t xml:space="preserve">Rādītāja 5G trajektorija 2023.-2030. </w:t>
            </w:r>
          </w:p>
        </w:tc>
      </w:tr>
      <w:tr w:rsidR="006A3550" w:rsidRPr="00550D35" w14:paraId="28FF1318" w14:textId="77777777" w:rsidTr="00CF5B11">
        <w:tc>
          <w:tcPr>
            <w:tcW w:w="2797" w:type="pct"/>
          </w:tcPr>
          <w:p w14:paraId="3C93F4C4" w14:textId="77777777" w:rsidR="006A3550" w:rsidRPr="00550D35" w:rsidRDefault="006A3550" w:rsidP="00CF5B11">
            <w:pPr>
              <w:pStyle w:val="Text2"/>
              <w:ind w:left="0" w:firstLine="0"/>
              <w:rPr>
                <w:sz w:val="20"/>
                <w:lang w:val="lv-LV"/>
              </w:rPr>
            </w:pPr>
            <w:r w:rsidRPr="00550D35">
              <w:rPr>
                <w:rFonts w:eastAsia="Calibri"/>
                <w:b/>
                <w:bCs/>
                <w:sz w:val="20"/>
                <w:lang w:val="lv-LV"/>
              </w:rPr>
              <w:t>Rādītāja 5G pārklājuma vērtības palielinājums (provizoriski) katru gadu, sākot ar 2024. gadu</w:t>
            </w:r>
          </w:p>
        </w:tc>
        <w:tc>
          <w:tcPr>
            <w:tcW w:w="2203" w:type="pct"/>
          </w:tcPr>
          <w:p w14:paraId="1321E2D1" w14:textId="77777777" w:rsidR="006A3550" w:rsidRPr="00550D35" w:rsidRDefault="006A3550" w:rsidP="00CF5B11">
            <w:pPr>
              <w:ind w:firstLine="0"/>
              <w:rPr>
                <w:rFonts w:eastAsia="Calibri"/>
                <w:b/>
                <w:bCs/>
                <w:sz w:val="20"/>
                <w:lang w:val="lv-LV"/>
              </w:rPr>
            </w:pPr>
            <w:r w:rsidRPr="00550D35">
              <w:rPr>
                <w:rFonts w:eastAsia="Calibri"/>
                <w:b/>
                <w:bCs/>
                <w:sz w:val="20"/>
                <w:lang w:val="lv-LV"/>
              </w:rPr>
              <w:t>4 %</w:t>
            </w:r>
          </w:p>
          <w:p w14:paraId="160716B6" w14:textId="77777777" w:rsidR="006A3550" w:rsidRPr="00550D35" w:rsidRDefault="006A3550" w:rsidP="00CF5B11">
            <w:pPr>
              <w:ind w:firstLine="0"/>
              <w:rPr>
                <w:rFonts w:eastAsia="Calibri"/>
                <w:sz w:val="20"/>
                <w:lang w:val="lv-LV"/>
              </w:rPr>
            </w:pPr>
          </w:p>
        </w:tc>
      </w:tr>
    </w:tbl>
    <w:bookmarkEnd w:id="15"/>
    <w:p w14:paraId="7BE74737" w14:textId="77777777" w:rsidR="00D7475E" w:rsidRPr="00550D35" w:rsidRDefault="00D7475E" w:rsidP="00D7475E">
      <w:pPr>
        <w:pStyle w:val="Heading2"/>
        <w:rPr>
          <w:lang w:val="lv-LV"/>
        </w:rPr>
      </w:pPr>
      <w:r w:rsidRPr="00550D35">
        <w:rPr>
          <w:lang w:val="lv-LV"/>
        </w:rPr>
        <w:t>Politika, pasākumi un darbības digitāl</w:t>
      </w:r>
      <w:r>
        <w:rPr>
          <w:lang w:val="lv-LV"/>
        </w:rPr>
        <w:t>o</w:t>
      </w:r>
      <w:r w:rsidRPr="00550D35">
        <w:rPr>
          <w:lang w:val="lv-LV"/>
        </w:rPr>
        <w:t xml:space="preserve"> </w:t>
      </w:r>
      <w:proofErr w:type="spellStart"/>
      <w:r w:rsidRPr="00550D35">
        <w:rPr>
          <w:lang w:val="lv-LV"/>
        </w:rPr>
        <w:t>mērķrādītāj</w:t>
      </w:r>
      <w:r>
        <w:rPr>
          <w:lang w:val="lv-LV"/>
        </w:rPr>
        <w:t>u</w:t>
      </w:r>
      <w:proofErr w:type="spellEnd"/>
      <w:r w:rsidRPr="00550D35">
        <w:rPr>
          <w:lang w:val="lv-LV"/>
        </w:rPr>
        <w:t xml:space="preserve"> sasniegšanai </w:t>
      </w:r>
    </w:p>
    <w:p w14:paraId="72A4092E" w14:textId="77777777" w:rsidR="00D7475E" w:rsidRPr="00550D35" w:rsidRDefault="00D7475E" w:rsidP="00D7475E">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1A0121D3" w14:textId="77777777" w:rsidR="00D7475E" w:rsidRPr="00550D35" w:rsidRDefault="00D7475E" w:rsidP="00D7475E">
      <w:pPr>
        <w:pStyle w:val="Heading3"/>
        <w:numPr>
          <w:ilvl w:val="0"/>
          <w:numId w:val="0"/>
        </w:numPr>
        <w:rPr>
          <w:lang w:val="lv-LV"/>
        </w:rPr>
      </w:pPr>
      <w:r w:rsidRPr="00550D35">
        <w:rPr>
          <w:lang w:val="lv-LV"/>
        </w:rPr>
        <w:t xml:space="preserve">Savienojamība. </w:t>
      </w:r>
    </w:p>
    <w:p w14:paraId="387B55B9" w14:textId="77777777" w:rsidR="00D7475E" w:rsidRPr="00550D35" w:rsidRDefault="00D7475E" w:rsidP="00D7475E">
      <w:pPr>
        <w:rPr>
          <w:b/>
          <w:bCs/>
          <w:lang w:val="lv-LV"/>
        </w:rPr>
      </w:pPr>
      <w:r w:rsidRPr="00550D35">
        <w:rPr>
          <w:b/>
          <w:lang w:val="lv-LV"/>
        </w:rPr>
        <w:t>Mērķis</w:t>
      </w:r>
      <w:r w:rsidRPr="00550D35">
        <w:rPr>
          <w:lang w:val="lv-LV"/>
        </w:rPr>
        <w:t xml:space="preserve">: droša, noturīga, </w:t>
      </w:r>
      <w:proofErr w:type="spellStart"/>
      <w:r w:rsidRPr="00550D35">
        <w:rPr>
          <w:lang w:val="lv-LV"/>
        </w:rPr>
        <w:t>veiktspējīga</w:t>
      </w:r>
      <w:proofErr w:type="spellEnd"/>
      <w:r w:rsidRPr="00550D35">
        <w:rPr>
          <w:lang w:val="lv-LV"/>
        </w:rPr>
        <w:t xml:space="preserve"> un ilgtspējīga digitālā infrastruktūra, kur visi galalietotāji noteiktā atrašanās vietā ir aptverti ar gigabitu tīklu līdz tīkla </w:t>
      </w:r>
      <w:proofErr w:type="spellStart"/>
      <w:r w:rsidRPr="00550D35">
        <w:rPr>
          <w:lang w:val="lv-LV"/>
        </w:rPr>
        <w:t>pieslēgumpunktam</w:t>
      </w:r>
      <w:proofErr w:type="spellEnd"/>
      <w:r w:rsidRPr="00550D35">
        <w:rPr>
          <w:lang w:val="lv-LV"/>
        </w:rPr>
        <w:t>, un visas apdzīvotās teritorijas ir aptvertas ar nākamās paaudzes ātrdarbīgiem bezvadu tīkliem ar vismaz 5G līdzvērtīgu veiktspēju saskaņā ar tehnoloģiju neitralitātes principu;</w:t>
      </w:r>
    </w:p>
    <w:p w14:paraId="6E946B47" w14:textId="77777777" w:rsidR="00D7475E" w:rsidRPr="00550D35" w:rsidRDefault="00D7475E" w:rsidP="00D7475E">
      <w:pPr>
        <w:spacing w:before="0" w:after="160" w:line="259" w:lineRule="auto"/>
        <w:ind w:firstLine="0"/>
        <w:contextualSpacing/>
        <w:jc w:val="left"/>
        <w:rPr>
          <w:b/>
          <w:bCs/>
          <w:lang w:val="lv-LV"/>
        </w:rPr>
      </w:pPr>
      <w:r w:rsidRPr="00550D35">
        <w:rPr>
          <w:b/>
          <w:bCs/>
          <w:lang w:val="lv-LV"/>
        </w:rPr>
        <w:t>Kopējais laika ietvars: zemāk ietvertā tabula tiks papildināta veicot plāna saskaņošanu.</w:t>
      </w:r>
    </w:p>
    <w:tbl>
      <w:tblPr>
        <w:tblStyle w:val="TableGrid"/>
        <w:tblW w:w="5000" w:type="pct"/>
        <w:tblLook w:val="04A0" w:firstRow="1" w:lastRow="0" w:firstColumn="1" w:lastColumn="0" w:noHBand="0" w:noVBand="1"/>
      </w:tblPr>
      <w:tblGrid>
        <w:gridCol w:w="2330"/>
        <w:gridCol w:w="779"/>
        <w:gridCol w:w="783"/>
        <w:gridCol w:w="646"/>
        <w:gridCol w:w="646"/>
        <w:gridCol w:w="775"/>
        <w:gridCol w:w="646"/>
        <w:gridCol w:w="1064"/>
        <w:gridCol w:w="938"/>
      </w:tblGrid>
      <w:tr w:rsidR="00D7475E" w:rsidRPr="00550D35" w14:paraId="4AB37FD6" w14:textId="77777777" w:rsidTr="00BA62A0">
        <w:trPr>
          <w:tblHeader/>
        </w:trPr>
        <w:tc>
          <w:tcPr>
            <w:tcW w:w="1354" w:type="pct"/>
            <w:shd w:val="clear" w:color="auto" w:fill="auto"/>
          </w:tcPr>
          <w:p w14:paraId="4EE47129" w14:textId="77777777" w:rsidR="00D7475E" w:rsidRPr="00550D35" w:rsidRDefault="00D7475E" w:rsidP="00BA62A0">
            <w:pPr>
              <w:rPr>
                <w:sz w:val="20"/>
                <w:lang w:val="lv-LV"/>
              </w:rPr>
            </w:pPr>
          </w:p>
        </w:tc>
        <w:tc>
          <w:tcPr>
            <w:tcW w:w="453" w:type="pct"/>
          </w:tcPr>
          <w:p w14:paraId="2CD6212A" w14:textId="77777777" w:rsidR="00D7475E" w:rsidRPr="00550D35" w:rsidRDefault="00D7475E" w:rsidP="00BA62A0">
            <w:pPr>
              <w:spacing w:before="0" w:after="0"/>
              <w:ind w:firstLine="0"/>
              <w:rPr>
                <w:sz w:val="20"/>
                <w:lang w:val="lv-LV"/>
              </w:rPr>
            </w:pPr>
            <w:r w:rsidRPr="00550D35">
              <w:rPr>
                <w:sz w:val="20"/>
                <w:lang w:val="lv-LV"/>
              </w:rPr>
              <w:t>2023</w:t>
            </w:r>
          </w:p>
        </w:tc>
        <w:tc>
          <w:tcPr>
            <w:tcW w:w="455" w:type="pct"/>
          </w:tcPr>
          <w:p w14:paraId="2DC317FC" w14:textId="77777777" w:rsidR="00D7475E" w:rsidRPr="00550D35" w:rsidRDefault="00D7475E" w:rsidP="00BA62A0">
            <w:pPr>
              <w:spacing w:before="0" w:after="0"/>
              <w:ind w:firstLine="0"/>
              <w:rPr>
                <w:sz w:val="20"/>
                <w:lang w:val="lv-LV"/>
              </w:rPr>
            </w:pPr>
            <w:r w:rsidRPr="00550D35">
              <w:rPr>
                <w:sz w:val="20"/>
                <w:lang w:val="lv-LV"/>
              </w:rPr>
              <w:t>2024</w:t>
            </w:r>
          </w:p>
        </w:tc>
        <w:tc>
          <w:tcPr>
            <w:tcW w:w="375" w:type="pct"/>
          </w:tcPr>
          <w:p w14:paraId="307BDC37" w14:textId="77777777" w:rsidR="00D7475E" w:rsidRPr="00550D35" w:rsidRDefault="00D7475E" w:rsidP="00BA62A0">
            <w:pPr>
              <w:spacing w:before="0" w:after="0"/>
              <w:ind w:firstLine="0"/>
              <w:rPr>
                <w:sz w:val="20"/>
                <w:lang w:val="lv-LV"/>
              </w:rPr>
            </w:pPr>
            <w:r w:rsidRPr="00550D35">
              <w:rPr>
                <w:sz w:val="20"/>
                <w:lang w:val="lv-LV"/>
              </w:rPr>
              <w:t>2025</w:t>
            </w:r>
          </w:p>
        </w:tc>
        <w:tc>
          <w:tcPr>
            <w:tcW w:w="375" w:type="pct"/>
          </w:tcPr>
          <w:p w14:paraId="1ABBF044" w14:textId="77777777" w:rsidR="00D7475E" w:rsidRPr="00550D35" w:rsidRDefault="00D7475E" w:rsidP="00BA62A0">
            <w:pPr>
              <w:spacing w:before="0" w:after="0"/>
              <w:ind w:firstLine="0"/>
              <w:rPr>
                <w:sz w:val="20"/>
                <w:lang w:val="lv-LV"/>
              </w:rPr>
            </w:pPr>
            <w:r w:rsidRPr="00550D35">
              <w:rPr>
                <w:sz w:val="20"/>
                <w:lang w:val="lv-LV"/>
              </w:rPr>
              <w:t>2026</w:t>
            </w:r>
          </w:p>
        </w:tc>
        <w:tc>
          <w:tcPr>
            <w:tcW w:w="450" w:type="pct"/>
          </w:tcPr>
          <w:p w14:paraId="36FD22B7" w14:textId="77777777" w:rsidR="00D7475E" w:rsidRPr="00550D35" w:rsidRDefault="00D7475E" w:rsidP="00BA62A0">
            <w:pPr>
              <w:spacing w:before="0" w:after="0"/>
              <w:ind w:firstLine="0"/>
              <w:rPr>
                <w:sz w:val="20"/>
                <w:lang w:val="lv-LV"/>
              </w:rPr>
            </w:pPr>
            <w:r w:rsidRPr="00550D35">
              <w:rPr>
                <w:sz w:val="20"/>
                <w:lang w:val="lv-LV"/>
              </w:rPr>
              <w:t>2027</w:t>
            </w:r>
          </w:p>
        </w:tc>
        <w:tc>
          <w:tcPr>
            <w:tcW w:w="375" w:type="pct"/>
          </w:tcPr>
          <w:p w14:paraId="2829A14C" w14:textId="77777777" w:rsidR="00D7475E" w:rsidRPr="00550D35" w:rsidRDefault="00D7475E" w:rsidP="00BA62A0">
            <w:pPr>
              <w:spacing w:before="0" w:after="0"/>
              <w:ind w:firstLine="0"/>
              <w:rPr>
                <w:sz w:val="20"/>
                <w:lang w:val="lv-LV"/>
              </w:rPr>
            </w:pPr>
            <w:r w:rsidRPr="00550D35">
              <w:rPr>
                <w:sz w:val="20"/>
                <w:lang w:val="lv-LV"/>
              </w:rPr>
              <w:t>2028</w:t>
            </w:r>
          </w:p>
        </w:tc>
        <w:tc>
          <w:tcPr>
            <w:tcW w:w="618" w:type="pct"/>
          </w:tcPr>
          <w:p w14:paraId="601D99C7" w14:textId="77777777" w:rsidR="00D7475E" w:rsidRPr="00550D35" w:rsidRDefault="00D7475E" w:rsidP="00BA62A0">
            <w:pPr>
              <w:spacing w:before="0" w:after="0"/>
              <w:ind w:firstLine="0"/>
              <w:rPr>
                <w:sz w:val="20"/>
                <w:lang w:val="lv-LV"/>
              </w:rPr>
            </w:pPr>
            <w:r w:rsidRPr="00550D35">
              <w:rPr>
                <w:sz w:val="20"/>
                <w:lang w:val="lv-LV"/>
              </w:rPr>
              <w:t>2029</w:t>
            </w:r>
          </w:p>
        </w:tc>
        <w:tc>
          <w:tcPr>
            <w:tcW w:w="544" w:type="pct"/>
          </w:tcPr>
          <w:p w14:paraId="6AA157D5" w14:textId="77777777" w:rsidR="00D7475E" w:rsidRPr="00550D35" w:rsidRDefault="00D7475E" w:rsidP="00BA62A0">
            <w:pPr>
              <w:spacing w:before="0" w:after="0"/>
              <w:ind w:firstLine="0"/>
              <w:rPr>
                <w:sz w:val="20"/>
                <w:lang w:val="lv-LV"/>
              </w:rPr>
            </w:pPr>
            <w:r w:rsidRPr="00550D35">
              <w:rPr>
                <w:sz w:val="20"/>
                <w:lang w:val="lv-LV"/>
              </w:rPr>
              <w:t>2030</w:t>
            </w:r>
          </w:p>
        </w:tc>
      </w:tr>
      <w:tr w:rsidR="00D7475E" w:rsidRPr="00550D35" w14:paraId="148EFEB5" w14:textId="77777777" w:rsidTr="00BA62A0">
        <w:trPr>
          <w:tblHeader/>
        </w:trPr>
        <w:tc>
          <w:tcPr>
            <w:tcW w:w="5000" w:type="pct"/>
            <w:gridSpan w:val="9"/>
            <w:shd w:val="clear" w:color="auto" w:fill="BFBFBF" w:themeFill="background1" w:themeFillShade="BF"/>
          </w:tcPr>
          <w:p w14:paraId="633C1F70" w14:textId="77777777" w:rsidR="00D7475E" w:rsidRPr="00550D35" w:rsidRDefault="00D7475E" w:rsidP="00BA62A0">
            <w:pPr>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D7475E" w:rsidRPr="00F74B47" w14:paraId="697F4F76" w14:textId="77777777" w:rsidTr="00BA62A0">
        <w:tc>
          <w:tcPr>
            <w:tcW w:w="1354" w:type="pct"/>
          </w:tcPr>
          <w:p w14:paraId="4CCE1243" w14:textId="77777777" w:rsidR="00D7475E" w:rsidRPr="00CF2579" w:rsidRDefault="00D7475E" w:rsidP="00BA62A0">
            <w:pPr>
              <w:ind w:firstLine="0"/>
              <w:rPr>
                <w:sz w:val="20"/>
                <w:lang w:val="lv-LV"/>
              </w:rPr>
            </w:pPr>
            <w:r w:rsidRPr="00550D35">
              <w:rPr>
                <w:sz w:val="20"/>
                <w:lang w:val="lv-LV"/>
              </w:rPr>
              <w:t>Pasākums Nr.1</w:t>
            </w:r>
            <w:r w:rsidRPr="00550D35">
              <w:rPr>
                <w:sz w:val="20"/>
                <w:lang w:val="lv-LV"/>
              </w:rPr>
              <w:br/>
              <w:t xml:space="preserve">(jauns pasākums) </w:t>
            </w:r>
            <w:r w:rsidRPr="00550D35">
              <w:rPr>
                <w:b/>
                <w:bCs/>
                <w:sz w:val="20"/>
                <w:lang w:val="lv-LV"/>
              </w:rPr>
              <w:t xml:space="preserve">“5G infrastruktūras izbūve, </w:t>
            </w:r>
            <w:proofErr w:type="spellStart"/>
            <w:r w:rsidRPr="00550D35">
              <w:rPr>
                <w:b/>
                <w:bCs/>
                <w:sz w:val="20"/>
                <w:lang w:val="lv-LV"/>
              </w:rPr>
              <w:t>Via</w:t>
            </w:r>
            <w:proofErr w:type="spellEnd"/>
            <w:r w:rsidRPr="00550D35">
              <w:rPr>
                <w:b/>
                <w:bCs/>
                <w:sz w:val="20"/>
                <w:lang w:val="lv-LV"/>
              </w:rPr>
              <w:t xml:space="preserve"> </w:t>
            </w:r>
            <w:proofErr w:type="spellStart"/>
            <w:r w:rsidRPr="00550D35">
              <w:rPr>
                <w:b/>
                <w:bCs/>
                <w:sz w:val="20"/>
                <w:lang w:val="lv-LV"/>
              </w:rPr>
              <w:t>Baltica</w:t>
            </w:r>
            <w:proofErr w:type="spellEnd"/>
            <w:r w:rsidRPr="00550D35">
              <w:rPr>
                <w:b/>
                <w:bCs/>
                <w:sz w:val="20"/>
                <w:lang w:val="lv-LV"/>
              </w:rPr>
              <w:t xml:space="preserve"> un Rail </w:t>
            </w:r>
            <w:proofErr w:type="spellStart"/>
            <w:r w:rsidRPr="00550D35">
              <w:rPr>
                <w:b/>
                <w:bCs/>
                <w:sz w:val="20"/>
                <w:lang w:val="lv-LV"/>
              </w:rPr>
              <w:t>Baltica</w:t>
            </w:r>
            <w:proofErr w:type="spellEnd"/>
            <w:r w:rsidRPr="00550D35">
              <w:rPr>
                <w:b/>
                <w:bCs/>
                <w:sz w:val="20"/>
                <w:lang w:val="lv-LV"/>
              </w:rPr>
              <w:t xml:space="preserve">” </w:t>
            </w:r>
            <w:r w:rsidRPr="00550D35">
              <w:rPr>
                <w:sz w:val="20"/>
                <w:lang w:val="lv-LV"/>
              </w:rPr>
              <w:t xml:space="preserve">– projektos tiks izveidota elektronisko sakaru infrastruktūra, kas atbalstīs nepārtraukta mobilo </w:t>
            </w:r>
            <w:r w:rsidRPr="00CF2579">
              <w:rPr>
                <w:sz w:val="20"/>
                <w:lang w:val="lv-LV"/>
              </w:rPr>
              <w:t xml:space="preserve">sakaru tīkla  5G pārklājuma nodrošināšanu autoceļā </w:t>
            </w:r>
            <w:proofErr w:type="spellStart"/>
            <w:r w:rsidRPr="00CF2579">
              <w:rPr>
                <w:sz w:val="20"/>
                <w:lang w:val="lv-LV"/>
              </w:rPr>
              <w:t>Via</w:t>
            </w:r>
            <w:proofErr w:type="spellEnd"/>
            <w:r w:rsidRPr="00CF2579">
              <w:rPr>
                <w:sz w:val="20"/>
                <w:lang w:val="lv-LV"/>
              </w:rPr>
              <w:t xml:space="preserve"> </w:t>
            </w:r>
            <w:proofErr w:type="spellStart"/>
            <w:r w:rsidRPr="00CF2579">
              <w:rPr>
                <w:sz w:val="20"/>
                <w:lang w:val="lv-LV"/>
              </w:rPr>
              <w:t>Baltica</w:t>
            </w:r>
            <w:proofErr w:type="spellEnd"/>
            <w:r w:rsidRPr="00CF2579">
              <w:rPr>
                <w:sz w:val="20"/>
                <w:lang w:val="lv-LV"/>
              </w:rPr>
              <w:t xml:space="preserve"> un Rail </w:t>
            </w:r>
            <w:proofErr w:type="spellStart"/>
            <w:r w:rsidRPr="00CF2579">
              <w:rPr>
                <w:sz w:val="20"/>
                <w:lang w:val="lv-LV"/>
              </w:rPr>
              <w:t>Baltica</w:t>
            </w:r>
            <w:proofErr w:type="spellEnd"/>
            <w:r w:rsidRPr="00CF2579">
              <w:rPr>
                <w:sz w:val="20"/>
                <w:lang w:val="lv-LV"/>
              </w:rPr>
              <w:t>.</w:t>
            </w:r>
          </w:p>
          <w:p w14:paraId="189F6A23" w14:textId="626FFDDF" w:rsidR="00D7475E" w:rsidRPr="00550D35" w:rsidRDefault="00D7475E" w:rsidP="00BA62A0">
            <w:pPr>
              <w:ind w:firstLine="0"/>
              <w:rPr>
                <w:sz w:val="20"/>
                <w:lang w:val="lv-LV"/>
              </w:rPr>
            </w:pPr>
            <w:r w:rsidRPr="00841F0A">
              <w:rPr>
                <w:sz w:val="20"/>
                <w:lang w:val="lv-LV"/>
              </w:rPr>
              <w:t xml:space="preserve">Finansējuma avots: </w:t>
            </w:r>
            <w:r w:rsidRPr="00CF2579">
              <w:rPr>
                <w:sz w:val="20"/>
                <w:lang w:val="lv-LV"/>
              </w:rPr>
              <w:t>ERAF</w:t>
            </w:r>
            <w:r w:rsidRPr="00841F0A">
              <w:rPr>
                <w:sz w:val="20"/>
                <w:lang w:val="lv-LV"/>
              </w:rPr>
              <w:t xml:space="preserve"> 2021-2027</w:t>
            </w:r>
            <w:r w:rsidR="00E725BA">
              <w:rPr>
                <w:sz w:val="20"/>
                <w:lang w:val="lv-LV"/>
              </w:rPr>
              <w:br/>
            </w:r>
            <w:r w:rsidRPr="00CF2579">
              <w:rPr>
                <w:sz w:val="20"/>
                <w:lang w:val="lv-LV"/>
              </w:rPr>
              <w:t>1.4.1.2.</w:t>
            </w:r>
            <w:r w:rsidR="000E11C1">
              <w:rPr>
                <w:sz w:val="20"/>
                <w:lang w:val="lv-LV"/>
              </w:rPr>
              <w:t> pasākums</w:t>
            </w:r>
          </w:p>
        </w:tc>
        <w:tc>
          <w:tcPr>
            <w:tcW w:w="453" w:type="pct"/>
            <w:shd w:val="clear" w:color="auto" w:fill="92D050"/>
          </w:tcPr>
          <w:p w14:paraId="36B7735E" w14:textId="77777777" w:rsidR="00D7475E" w:rsidRPr="00550D35" w:rsidRDefault="00D7475E" w:rsidP="00BA62A0">
            <w:pPr>
              <w:rPr>
                <w:sz w:val="20"/>
                <w:lang w:val="lv-LV"/>
              </w:rPr>
            </w:pPr>
          </w:p>
        </w:tc>
        <w:tc>
          <w:tcPr>
            <w:tcW w:w="455" w:type="pct"/>
            <w:shd w:val="clear" w:color="auto" w:fill="92D050"/>
          </w:tcPr>
          <w:p w14:paraId="36D1AEE5" w14:textId="77777777" w:rsidR="00D7475E" w:rsidRPr="00550D35" w:rsidRDefault="00D7475E" w:rsidP="00BA62A0">
            <w:pPr>
              <w:rPr>
                <w:sz w:val="20"/>
                <w:lang w:val="lv-LV"/>
              </w:rPr>
            </w:pPr>
          </w:p>
        </w:tc>
        <w:tc>
          <w:tcPr>
            <w:tcW w:w="375" w:type="pct"/>
            <w:shd w:val="clear" w:color="auto" w:fill="92D050"/>
          </w:tcPr>
          <w:p w14:paraId="252F678D" w14:textId="77777777" w:rsidR="00D7475E" w:rsidRPr="00550D35" w:rsidRDefault="00D7475E" w:rsidP="00BA62A0">
            <w:pPr>
              <w:rPr>
                <w:sz w:val="20"/>
                <w:lang w:val="lv-LV"/>
              </w:rPr>
            </w:pPr>
          </w:p>
        </w:tc>
        <w:tc>
          <w:tcPr>
            <w:tcW w:w="375" w:type="pct"/>
            <w:shd w:val="clear" w:color="auto" w:fill="92D050"/>
          </w:tcPr>
          <w:p w14:paraId="26A45654" w14:textId="77777777" w:rsidR="00D7475E" w:rsidRPr="00550D35" w:rsidRDefault="00D7475E" w:rsidP="00BA62A0">
            <w:pPr>
              <w:rPr>
                <w:sz w:val="20"/>
                <w:lang w:val="lv-LV"/>
              </w:rPr>
            </w:pPr>
          </w:p>
        </w:tc>
        <w:tc>
          <w:tcPr>
            <w:tcW w:w="450" w:type="pct"/>
            <w:shd w:val="clear" w:color="auto" w:fill="92D050"/>
          </w:tcPr>
          <w:p w14:paraId="0990A0A5" w14:textId="77777777" w:rsidR="00D7475E" w:rsidRPr="00550D35" w:rsidRDefault="00D7475E" w:rsidP="00BA62A0">
            <w:pPr>
              <w:rPr>
                <w:sz w:val="20"/>
                <w:lang w:val="lv-LV"/>
              </w:rPr>
            </w:pPr>
          </w:p>
        </w:tc>
        <w:tc>
          <w:tcPr>
            <w:tcW w:w="375" w:type="pct"/>
            <w:shd w:val="clear" w:color="auto" w:fill="92D050"/>
          </w:tcPr>
          <w:p w14:paraId="0C6FA267" w14:textId="77777777" w:rsidR="00D7475E" w:rsidRPr="00550D35" w:rsidRDefault="00D7475E" w:rsidP="00BA62A0">
            <w:pPr>
              <w:rPr>
                <w:sz w:val="20"/>
                <w:highlight w:val="yellow"/>
                <w:lang w:val="lv-LV"/>
              </w:rPr>
            </w:pPr>
          </w:p>
        </w:tc>
        <w:tc>
          <w:tcPr>
            <w:tcW w:w="618" w:type="pct"/>
            <w:shd w:val="clear" w:color="auto" w:fill="92D050"/>
          </w:tcPr>
          <w:p w14:paraId="31B5EF55" w14:textId="77777777" w:rsidR="00D7475E" w:rsidRPr="00550D35" w:rsidRDefault="00D7475E" w:rsidP="00BA62A0">
            <w:pPr>
              <w:rPr>
                <w:sz w:val="20"/>
                <w:lang w:val="lv-LV"/>
              </w:rPr>
            </w:pPr>
          </w:p>
        </w:tc>
        <w:tc>
          <w:tcPr>
            <w:tcW w:w="544" w:type="pct"/>
          </w:tcPr>
          <w:p w14:paraId="2BAB6646" w14:textId="77777777" w:rsidR="00D7475E" w:rsidRPr="00550D35" w:rsidRDefault="00D7475E" w:rsidP="00BA62A0">
            <w:pPr>
              <w:rPr>
                <w:sz w:val="20"/>
                <w:lang w:val="lv-LV"/>
              </w:rPr>
            </w:pPr>
          </w:p>
        </w:tc>
      </w:tr>
      <w:tr w:rsidR="00D7475E" w:rsidRPr="00550D35" w14:paraId="5D0A0285" w14:textId="77777777" w:rsidTr="00BA62A0">
        <w:tc>
          <w:tcPr>
            <w:tcW w:w="1354" w:type="pct"/>
          </w:tcPr>
          <w:p w14:paraId="54185F5F" w14:textId="77777777" w:rsidR="00D7475E" w:rsidRDefault="00D7475E" w:rsidP="00BA62A0">
            <w:pPr>
              <w:ind w:firstLine="0"/>
              <w:rPr>
                <w:sz w:val="20"/>
                <w:lang w:val="lv-LV"/>
              </w:rPr>
            </w:pPr>
            <w:r w:rsidRPr="00550D35">
              <w:rPr>
                <w:sz w:val="20"/>
                <w:lang w:val="lv-LV"/>
              </w:rPr>
              <w:t>Pasākums Nr.2</w:t>
            </w:r>
            <w:r w:rsidRPr="00550D35">
              <w:rPr>
                <w:sz w:val="20"/>
                <w:lang w:val="lv-LV"/>
              </w:rPr>
              <w:br/>
              <w:t xml:space="preserve">(jauns pasākums) – </w:t>
            </w:r>
            <w:r w:rsidRPr="00C65DAA">
              <w:rPr>
                <w:b/>
                <w:bCs/>
                <w:sz w:val="20"/>
                <w:lang w:val="lv-LV"/>
              </w:rPr>
              <w:t>“Platjoslas jeb ļoti augstas veiktspējas tīklu “pēdējās jūdzes” infrastruktūras attīstība”</w:t>
            </w:r>
            <w:r w:rsidRPr="00550D35">
              <w:rPr>
                <w:sz w:val="20"/>
                <w:lang w:val="lv-LV"/>
              </w:rPr>
              <w:t xml:space="preserve"> – paredzēts, ka atklāta konkursa rezultātā izvēlēts elektronisko </w:t>
            </w:r>
            <w:r w:rsidRPr="00550D35">
              <w:rPr>
                <w:sz w:val="20"/>
                <w:lang w:val="lv-LV"/>
              </w:rPr>
              <w:lastRenderedPageBreak/>
              <w:t xml:space="preserve">sakaru komersants/-i izveidos ļoti augstas veiktspējas tīklu “pēdējās jūdzes” </w:t>
            </w:r>
            <w:proofErr w:type="spellStart"/>
            <w:r w:rsidRPr="00550D35">
              <w:rPr>
                <w:sz w:val="20"/>
                <w:lang w:val="lv-LV"/>
              </w:rPr>
              <w:t>pieslēgumus</w:t>
            </w:r>
            <w:proofErr w:type="spellEnd"/>
            <w:r w:rsidRPr="00550D35">
              <w:rPr>
                <w:sz w:val="20"/>
                <w:lang w:val="lv-LV"/>
              </w:rPr>
              <w:t xml:space="preserve"> mājsaimniecībās, uzņēmumos, skolās, ārstniecības iestādēs un citās sabiedriskajās ēkās.</w:t>
            </w:r>
          </w:p>
          <w:p w14:paraId="460FA2DE" w14:textId="77777777" w:rsidR="00D7475E" w:rsidRPr="00550D35" w:rsidRDefault="00D7475E" w:rsidP="00BA62A0">
            <w:pPr>
              <w:ind w:firstLine="0"/>
              <w:rPr>
                <w:sz w:val="20"/>
                <w:lang w:val="lv-LV"/>
              </w:rPr>
            </w:pPr>
            <w:r w:rsidRPr="00841F0A">
              <w:rPr>
                <w:sz w:val="20"/>
                <w:lang w:val="lv-LV"/>
              </w:rPr>
              <w:t xml:space="preserve">Finansējuma avots: </w:t>
            </w:r>
            <w:r w:rsidRPr="00F137D6">
              <w:rPr>
                <w:sz w:val="20"/>
                <w:lang w:val="lv-LV"/>
              </w:rPr>
              <w:t>ANM plāna investīcija 2.4.1.2.i. + ERAF 2021-2027</w:t>
            </w:r>
          </w:p>
        </w:tc>
        <w:tc>
          <w:tcPr>
            <w:tcW w:w="453" w:type="pct"/>
            <w:shd w:val="clear" w:color="auto" w:fill="92D050"/>
          </w:tcPr>
          <w:p w14:paraId="60E7F2F1" w14:textId="77777777" w:rsidR="00D7475E" w:rsidRPr="00550D35" w:rsidRDefault="00D7475E" w:rsidP="00BA62A0">
            <w:pPr>
              <w:rPr>
                <w:sz w:val="20"/>
                <w:lang w:val="lv-LV"/>
              </w:rPr>
            </w:pPr>
          </w:p>
        </w:tc>
        <w:tc>
          <w:tcPr>
            <w:tcW w:w="455" w:type="pct"/>
            <w:shd w:val="clear" w:color="auto" w:fill="92D050"/>
          </w:tcPr>
          <w:p w14:paraId="3D5FEEA7" w14:textId="77777777" w:rsidR="00D7475E" w:rsidRPr="00550D35" w:rsidRDefault="00D7475E" w:rsidP="00BA62A0">
            <w:pPr>
              <w:rPr>
                <w:sz w:val="20"/>
                <w:lang w:val="lv-LV"/>
              </w:rPr>
            </w:pPr>
          </w:p>
        </w:tc>
        <w:tc>
          <w:tcPr>
            <w:tcW w:w="375" w:type="pct"/>
            <w:shd w:val="clear" w:color="auto" w:fill="92D050"/>
          </w:tcPr>
          <w:p w14:paraId="2453541C" w14:textId="77777777" w:rsidR="00D7475E" w:rsidRPr="00550D35" w:rsidRDefault="00D7475E" w:rsidP="00BA62A0">
            <w:pPr>
              <w:rPr>
                <w:sz w:val="20"/>
                <w:lang w:val="lv-LV"/>
              </w:rPr>
            </w:pPr>
          </w:p>
        </w:tc>
        <w:tc>
          <w:tcPr>
            <w:tcW w:w="375" w:type="pct"/>
            <w:shd w:val="clear" w:color="auto" w:fill="92D050"/>
          </w:tcPr>
          <w:p w14:paraId="2BCE8F0A" w14:textId="77777777" w:rsidR="00D7475E" w:rsidRPr="00550D35" w:rsidRDefault="00D7475E" w:rsidP="00BA62A0">
            <w:pPr>
              <w:rPr>
                <w:sz w:val="20"/>
                <w:lang w:val="lv-LV"/>
              </w:rPr>
            </w:pPr>
          </w:p>
        </w:tc>
        <w:tc>
          <w:tcPr>
            <w:tcW w:w="450" w:type="pct"/>
            <w:shd w:val="clear" w:color="auto" w:fill="92D050"/>
          </w:tcPr>
          <w:p w14:paraId="2E523672" w14:textId="77777777" w:rsidR="00D7475E" w:rsidRPr="00550D35" w:rsidRDefault="00D7475E" w:rsidP="00BA62A0">
            <w:pPr>
              <w:rPr>
                <w:sz w:val="20"/>
                <w:lang w:val="lv-LV"/>
              </w:rPr>
            </w:pPr>
          </w:p>
        </w:tc>
        <w:tc>
          <w:tcPr>
            <w:tcW w:w="375" w:type="pct"/>
            <w:shd w:val="clear" w:color="auto" w:fill="92D050"/>
          </w:tcPr>
          <w:p w14:paraId="22FF75A7" w14:textId="77777777" w:rsidR="00D7475E" w:rsidRPr="00550D35" w:rsidRDefault="00D7475E" w:rsidP="00BA62A0">
            <w:pPr>
              <w:rPr>
                <w:sz w:val="20"/>
                <w:lang w:val="lv-LV"/>
              </w:rPr>
            </w:pPr>
          </w:p>
        </w:tc>
        <w:tc>
          <w:tcPr>
            <w:tcW w:w="618" w:type="pct"/>
            <w:shd w:val="clear" w:color="auto" w:fill="92D050"/>
          </w:tcPr>
          <w:p w14:paraId="3D515106" w14:textId="77777777" w:rsidR="00D7475E" w:rsidRPr="00550D35" w:rsidRDefault="00D7475E" w:rsidP="00BA62A0">
            <w:pPr>
              <w:rPr>
                <w:sz w:val="20"/>
                <w:lang w:val="lv-LV"/>
              </w:rPr>
            </w:pPr>
          </w:p>
          <w:p w14:paraId="739E2659" w14:textId="77777777" w:rsidR="00D7475E" w:rsidRPr="00550D35" w:rsidRDefault="00D7475E" w:rsidP="00BA62A0">
            <w:pPr>
              <w:rPr>
                <w:sz w:val="20"/>
                <w:lang w:val="lv-LV"/>
              </w:rPr>
            </w:pPr>
          </w:p>
        </w:tc>
        <w:tc>
          <w:tcPr>
            <w:tcW w:w="544" w:type="pct"/>
          </w:tcPr>
          <w:p w14:paraId="15321600" w14:textId="77777777" w:rsidR="00D7475E" w:rsidRPr="00550D35" w:rsidRDefault="00D7475E" w:rsidP="00BA62A0">
            <w:pPr>
              <w:rPr>
                <w:sz w:val="20"/>
                <w:lang w:val="lv-LV"/>
              </w:rPr>
            </w:pPr>
          </w:p>
          <w:p w14:paraId="3D82C69B" w14:textId="77777777" w:rsidR="00D7475E" w:rsidRPr="00550D35" w:rsidRDefault="00D7475E" w:rsidP="00BA62A0">
            <w:pPr>
              <w:rPr>
                <w:sz w:val="20"/>
                <w:lang w:val="lv-LV"/>
              </w:rPr>
            </w:pPr>
          </w:p>
        </w:tc>
      </w:tr>
      <w:tr w:rsidR="00D7475E" w:rsidRPr="00550D35" w14:paraId="02B36B6F" w14:textId="77777777" w:rsidTr="00BA62A0">
        <w:tc>
          <w:tcPr>
            <w:tcW w:w="1354" w:type="pct"/>
          </w:tcPr>
          <w:p w14:paraId="640F9CD4" w14:textId="77777777" w:rsidR="00D7475E" w:rsidRDefault="00D7475E" w:rsidP="00BA62A0">
            <w:pPr>
              <w:ind w:firstLine="0"/>
              <w:rPr>
                <w:sz w:val="20"/>
                <w:lang w:val="lv-LV"/>
              </w:rPr>
            </w:pPr>
            <w:r w:rsidRPr="00550D35">
              <w:rPr>
                <w:sz w:val="20"/>
                <w:lang w:val="lv-LV"/>
              </w:rPr>
              <w:t>Pasākums Nr.3</w:t>
            </w:r>
            <w:r w:rsidRPr="00550D35">
              <w:rPr>
                <w:sz w:val="20"/>
                <w:lang w:val="lv-LV"/>
              </w:rPr>
              <w:br/>
              <w:t xml:space="preserve">(jauns pasākums) –  </w:t>
            </w:r>
            <w:r w:rsidRPr="00C65DAA">
              <w:rPr>
                <w:b/>
                <w:bCs/>
                <w:sz w:val="20"/>
                <w:lang w:val="lv-LV"/>
              </w:rPr>
              <w:t>ERAF 2021-2027 “Vidējās jūdzes” elektronisko sakaru tīklu infrastruktūras attīstīšana</w:t>
            </w:r>
            <w:r w:rsidRPr="00841F0A">
              <w:rPr>
                <w:sz w:val="20"/>
                <w:lang w:val="lv-LV"/>
              </w:rPr>
              <w:t xml:space="preserve"> </w:t>
            </w:r>
            <w:r w:rsidRPr="00550D35">
              <w:rPr>
                <w:sz w:val="20"/>
                <w:lang w:val="lv-LV"/>
              </w:rPr>
              <w:t>– Atbalsts paredzēts ļoti augstas veiktspējas elektronisko sakaru tīklu izveidei, lai veicinātu elektronisko sakaru pakalpojumu atbilstību Savienojamības paziņojuma mērķiem.</w:t>
            </w:r>
          </w:p>
          <w:p w14:paraId="46005C2A" w14:textId="77777777" w:rsidR="00D7475E" w:rsidRPr="00841F0A" w:rsidRDefault="00D7475E" w:rsidP="00BA62A0">
            <w:pPr>
              <w:ind w:firstLine="0"/>
              <w:rPr>
                <w:sz w:val="20"/>
                <w:lang w:val="lv-LV"/>
              </w:rPr>
            </w:pPr>
            <w:r w:rsidRPr="00841F0A">
              <w:rPr>
                <w:sz w:val="20"/>
                <w:lang w:val="lv-LV"/>
              </w:rPr>
              <w:t>Finansējuma avots: ERAF 2021-2027</w:t>
            </w:r>
            <w:r>
              <w:rPr>
                <w:sz w:val="20"/>
                <w:lang w:val="lv-LV"/>
              </w:rPr>
              <w:t xml:space="preserve"> 1.4.1.3. pasākums</w:t>
            </w:r>
          </w:p>
        </w:tc>
        <w:tc>
          <w:tcPr>
            <w:tcW w:w="453" w:type="pct"/>
            <w:shd w:val="clear" w:color="auto" w:fill="92D050"/>
          </w:tcPr>
          <w:p w14:paraId="16DC875C" w14:textId="77777777" w:rsidR="00D7475E" w:rsidRPr="00550D35" w:rsidRDefault="00D7475E" w:rsidP="00BA62A0">
            <w:pPr>
              <w:rPr>
                <w:sz w:val="20"/>
                <w:lang w:val="lv-LV"/>
              </w:rPr>
            </w:pPr>
          </w:p>
        </w:tc>
        <w:tc>
          <w:tcPr>
            <w:tcW w:w="455" w:type="pct"/>
            <w:shd w:val="clear" w:color="auto" w:fill="92D050"/>
          </w:tcPr>
          <w:p w14:paraId="25418E91" w14:textId="77777777" w:rsidR="00D7475E" w:rsidRPr="00550D35" w:rsidRDefault="00D7475E" w:rsidP="00BA62A0">
            <w:pPr>
              <w:rPr>
                <w:sz w:val="20"/>
                <w:lang w:val="lv-LV"/>
              </w:rPr>
            </w:pPr>
          </w:p>
        </w:tc>
        <w:tc>
          <w:tcPr>
            <w:tcW w:w="375" w:type="pct"/>
            <w:shd w:val="clear" w:color="auto" w:fill="92D050"/>
          </w:tcPr>
          <w:p w14:paraId="5F0728B7" w14:textId="77777777" w:rsidR="00D7475E" w:rsidRPr="00550D35" w:rsidRDefault="00D7475E" w:rsidP="00BA62A0">
            <w:pPr>
              <w:rPr>
                <w:sz w:val="20"/>
                <w:highlight w:val="green"/>
                <w:lang w:val="lv-LV"/>
              </w:rPr>
            </w:pPr>
          </w:p>
        </w:tc>
        <w:tc>
          <w:tcPr>
            <w:tcW w:w="375" w:type="pct"/>
            <w:shd w:val="clear" w:color="auto" w:fill="92D050"/>
          </w:tcPr>
          <w:p w14:paraId="30B1DEBB" w14:textId="77777777" w:rsidR="00D7475E" w:rsidRPr="00550D35" w:rsidRDefault="00D7475E" w:rsidP="00BA62A0">
            <w:pPr>
              <w:rPr>
                <w:sz w:val="20"/>
                <w:highlight w:val="green"/>
                <w:lang w:val="lv-LV"/>
              </w:rPr>
            </w:pPr>
          </w:p>
        </w:tc>
        <w:tc>
          <w:tcPr>
            <w:tcW w:w="450" w:type="pct"/>
            <w:shd w:val="clear" w:color="auto" w:fill="92D050"/>
          </w:tcPr>
          <w:p w14:paraId="32BA7524" w14:textId="77777777" w:rsidR="00D7475E" w:rsidRPr="00550D35" w:rsidRDefault="00D7475E" w:rsidP="00BA62A0">
            <w:pPr>
              <w:rPr>
                <w:sz w:val="20"/>
                <w:highlight w:val="green"/>
                <w:lang w:val="lv-LV"/>
              </w:rPr>
            </w:pPr>
          </w:p>
        </w:tc>
        <w:tc>
          <w:tcPr>
            <w:tcW w:w="375" w:type="pct"/>
            <w:shd w:val="clear" w:color="auto" w:fill="92D050"/>
          </w:tcPr>
          <w:p w14:paraId="362CAB50" w14:textId="77777777" w:rsidR="00D7475E" w:rsidRPr="00550D35" w:rsidRDefault="00D7475E" w:rsidP="00BA62A0">
            <w:pPr>
              <w:rPr>
                <w:sz w:val="20"/>
                <w:lang w:val="lv-LV"/>
              </w:rPr>
            </w:pPr>
          </w:p>
        </w:tc>
        <w:tc>
          <w:tcPr>
            <w:tcW w:w="618" w:type="pct"/>
            <w:shd w:val="clear" w:color="auto" w:fill="92D050"/>
          </w:tcPr>
          <w:p w14:paraId="6AB4EF9B" w14:textId="77777777" w:rsidR="00D7475E" w:rsidRPr="00550D35" w:rsidRDefault="00D7475E" w:rsidP="00BA62A0">
            <w:pPr>
              <w:rPr>
                <w:sz w:val="20"/>
                <w:lang w:val="lv-LV"/>
              </w:rPr>
            </w:pPr>
          </w:p>
        </w:tc>
        <w:tc>
          <w:tcPr>
            <w:tcW w:w="544" w:type="pct"/>
          </w:tcPr>
          <w:p w14:paraId="3A58FB74" w14:textId="77777777" w:rsidR="00D7475E" w:rsidRPr="00550D35" w:rsidRDefault="00D7475E" w:rsidP="00BA62A0">
            <w:pPr>
              <w:rPr>
                <w:sz w:val="20"/>
                <w:lang w:val="lv-LV"/>
              </w:rPr>
            </w:pPr>
          </w:p>
        </w:tc>
      </w:tr>
      <w:tr w:rsidR="00D7475E" w:rsidRPr="008A1BF8" w14:paraId="7FAA6901" w14:textId="77777777" w:rsidTr="00BA62A0">
        <w:tc>
          <w:tcPr>
            <w:tcW w:w="1354" w:type="pct"/>
          </w:tcPr>
          <w:p w14:paraId="382D3015" w14:textId="77777777" w:rsidR="00D7475E" w:rsidRPr="00550D35" w:rsidRDefault="00D7475E" w:rsidP="00BA62A0">
            <w:pPr>
              <w:ind w:firstLine="0"/>
              <w:rPr>
                <w:sz w:val="20"/>
                <w:lang w:val="lv-LV"/>
              </w:rPr>
            </w:pPr>
            <w:r w:rsidRPr="00550D35">
              <w:rPr>
                <w:sz w:val="20"/>
                <w:lang w:val="lv-LV"/>
              </w:rPr>
              <w:t>Pasākums Nr.4 –.</w:t>
            </w:r>
          </w:p>
          <w:p w14:paraId="389A564C" w14:textId="77777777" w:rsidR="00D7475E" w:rsidRPr="00F313B0" w:rsidRDefault="00D7475E" w:rsidP="00BA62A0">
            <w:pPr>
              <w:ind w:firstLine="0"/>
              <w:rPr>
                <w:b/>
                <w:bCs/>
                <w:sz w:val="20"/>
                <w:lang w:val="lv-LV"/>
              </w:rPr>
            </w:pPr>
            <w:r w:rsidRPr="00F313B0">
              <w:rPr>
                <w:b/>
                <w:bCs/>
                <w:sz w:val="20"/>
                <w:lang w:val="lv-LV"/>
              </w:rPr>
              <w:t>Tehniskās palīdzības mehānismi, tostarp platjoslas kompetences centra darbības attīstība Latvijā, ar kuriem stiprina vietējo ieinteresēto personu spējas un konsultē projektu virzītājus – Latvijas Platjoslas kompetences centra funkciju paplašināšana un uzlabošana.</w:t>
            </w:r>
          </w:p>
          <w:p w14:paraId="13ED62BA" w14:textId="77777777" w:rsidR="00D7475E" w:rsidRPr="00550D35" w:rsidRDefault="00D7475E" w:rsidP="00BA62A0">
            <w:pPr>
              <w:ind w:firstLine="0"/>
              <w:rPr>
                <w:sz w:val="20"/>
                <w:lang w:val="lv-LV"/>
              </w:rPr>
            </w:pPr>
            <w:r w:rsidRPr="00841F0A">
              <w:rPr>
                <w:sz w:val="20"/>
                <w:lang w:val="lv-LV"/>
              </w:rPr>
              <w:t>Finansējuma avots:</w:t>
            </w:r>
            <w:r w:rsidRPr="0054455C">
              <w:rPr>
                <w:sz w:val="20"/>
                <w:lang w:val="lv-LV"/>
              </w:rPr>
              <w:t xml:space="preserve"> </w:t>
            </w:r>
            <w:r w:rsidRPr="009467E3">
              <w:rPr>
                <w:sz w:val="20"/>
                <w:lang w:val="lv-LV"/>
              </w:rPr>
              <w:t>Finansējums nav piešķirts</w:t>
            </w:r>
          </w:p>
        </w:tc>
        <w:tc>
          <w:tcPr>
            <w:tcW w:w="453" w:type="pct"/>
            <w:shd w:val="clear" w:color="auto" w:fill="92D050"/>
          </w:tcPr>
          <w:p w14:paraId="14F12721" w14:textId="77777777" w:rsidR="00D7475E" w:rsidRPr="00550D35" w:rsidRDefault="00D7475E" w:rsidP="00BA62A0">
            <w:pPr>
              <w:rPr>
                <w:sz w:val="20"/>
                <w:lang w:val="lv-LV"/>
              </w:rPr>
            </w:pPr>
          </w:p>
        </w:tc>
        <w:tc>
          <w:tcPr>
            <w:tcW w:w="455" w:type="pct"/>
            <w:shd w:val="clear" w:color="auto" w:fill="92D050"/>
          </w:tcPr>
          <w:p w14:paraId="0276E141" w14:textId="77777777" w:rsidR="00D7475E" w:rsidRPr="00550D35" w:rsidRDefault="00D7475E" w:rsidP="00BA62A0">
            <w:pPr>
              <w:rPr>
                <w:sz w:val="20"/>
                <w:lang w:val="lv-LV"/>
              </w:rPr>
            </w:pPr>
          </w:p>
        </w:tc>
        <w:tc>
          <w:tcPr>
            <w:tcW w:w="375" w:type="pct"/>
            <w:shd w:val="clear" w:color="auto" w:fill="92D050"/>
          </w:tcPr>
          <w:p w14:paraId="25AC19EF" w14:textId="77777777" w:rsidR="00D7475E" w:rsidRPr="00550D35" w:rsidRDefault="00D7475E" w:rsidP="00BA62A0">
            <w:pPr>
              <w:rPr>
                <w:sz w:val="20"/>
                <w:lang w:val="lv-LV"/>
              </w:rPr>
            </w:pPr>
          </w:p>
        </w:tc>
        <w:tc>
          <w:tcPr>
            <w:tcW w:w="375" w:type="pct"/>
            <w:shd w:val="clear" w:color="auto" w:fill="92D050"/>
          </w:tcPr>
          <w:p w14:paraId="566BBCD1" w14:textId="77777777" w:rsidR="00D7475E" w:rsidRPr="00550D35" w:rsidRDefault="00D7475E" w:rsidP="00BA62A0">
            <w:pPr>
              <w:rPr>
                <w:sz w:val="20"/>
                <w:lang w:val="lv-LV"/>
              </w:rPr>
            </w:pPr>
          </w:p>
        </w:tc>
        <w:tc>
          <w:tcPr>
            <w:tcW w:w="450" w:type="pct"/>
            <w:shd w:val="clear" w:color="auto" w:fill="92D050"/>
          </w:tcPr>
          <w:p w14:paraId="7E378A58" w14:textId="77777777" w:rsidR="00D7475E" w:rsidRPr="00550D35" w:rsidRDefault="00D7475E" w:rsidP="00BA62A0">
            <w:pPr>
              <w:rPr>
                <w:sz w:val="20"/>
                <w:lang w:val="lv-LV"/>
              </w:rPr>
            </w:pPr>
          </w:p>
        </w:tc>
        <w:tc>
          <w:tcPr>
            <w:tcW w:w="375" w:type="pct"/>
            <w:shd w:val="clear" w:color="auto" w:fill="92D050"/>
          </w:tcPr>
          <w:p w14:paraId="33C34BCE" w14:textId="77777777" w:rsidR="00D7475E" w:rsidRPr="00550D35" w:rsidRDefault="00D7475E" w:rsidP="00BA62A0">
            <w:pPr>
              <w:rPr>
                <w:sz w:val="20"/>
                <w:lang w:val="lv-LV"/>
              </w:rPr>
            </w:pPr>
          </w:p>
        </w:tc>
        <w:tc>
          <w:tcPr>
            <w:tcW w:w="618" w:type="pct"/>
            <w:shd w:val="clear" w:color="auto" w:fill="92D050"/>
          </w:tcPr>
          <w:p w14:paraId="663FDECC" w14:textId="77777777" w:rsidR="00D7475E" w:rsidRPr="00550D35" w:rsidRDefault="00D7475E" w:rsidP="00BA62A0">
            <w:pPr>
              <w:rPr>
                <w:sz w:val="20"/>
                <w:lang w:val="lv-LV"/>
              </w:rPr>
            </w:pPr>
          </w:p>
        </w:tc>
        <w:tc>
          <w:tcPr>
            <w:tcW w:w="544" w:type="pct"/>
            <w:shd w:val="clear" w:color="auto" w:fill="92D050"/>
          </w:tcPr>
          <w:p w14:paraId="3B532475" w14:textId="77777777" w:rsidR="00D7475E" w:rsidRPr="00550D35" w:rsidRDefault="00D7475E" w:rsidP="00BA62A0">
            <w:pPr>
              <w:rPr>
                <w:sz w:val="20"/>
                <w:lang w:val="lv-LV"/>
              </w:rPr>
            </w:pPr>
          </w:p>
        </w:tc>
      </w:tr>
      <w:tr w:rsidR="00D7475E" w:rsidRPr="008A1BF8" w14:paraId="7BED5C22" w14:textId="77777777" w:rsidTr="00BA62A0">
        <w:tc>
          <w:tcPr>
            <w:tcW w:w="1354" w:type="pct"/>
          </w:tcPr>
          <w:p w14:paraId="478B36A9" w14:textId="77777777" w:rsidR="00D7475E" w:rsidRPr="00550D35" w:rsidRDefault="00D7475E" w:rsidP="00BA62A0">
            <w:pPr>
              <w:ind w:firstLine="0"/>
              <w:rPr>
                <w:sz w:val="20"/>
                <w:lang w:val="lv-LV"/>
              </w:rPr>
            </w:pPr>
            <w:r w:rsidRPr="00550D35">
              <w:rPr>
                <w:sz w:val="20"/>
                <w:lang w:val="lv-LV"/>
              </w:rPr>
              <w:t xml:space="preserve">Pasākums Nr.5 – </w:t>
            </w:r>
          </w:p>
          <w:p w14:paraId="42BCCF6E" w14:textId="77777777" w:rsidR="00D7475E" w:rsidRDefault="00D7475E" w:rsidP="00BA62A0">
            <w:pPr>
              <w:ind w:firstLine="0"/>
              <w:rPr>
                <w:sz w:val="20"/>
                <w:lang w:val="lv-LV"/>
              </w:rPr>
            </w:pPr>
            <w:r w:rsidRPr="00550D35">
              <w:rPr>
                <w:b/>
                <w:bCs/>
                <w:sz w:val="20"/>
                <w:lang w:val="lv-LV"/>
              </w:rPr>
              <w:t xml:space="preserve">Investīciju ieguldījumu progresa </w:t>
            </w:r>
            <w:proofErr w:type="spellStart"/>
            <w:r w:rsidRPr="00550D35">
              <w:rPr>
                <w:b/>
                <w:bCs/>
                <w:sz w:val="20"/>
                <w:lang w:val="lv-LV"/>
              </w:rPr>
              <w:t>izvērtējums</w:t>
            </w:r>
            <w:proofErr w:type="spellEnd"/>
            <w:r w:rsidRPr="00550D35">
              <w:rPr>
                <w:b/>
                <w:bCs/>
                <w:sz w:val="20"/>
                <w:lang w:val="lv-LV"/>
              </w:rPr>
              <w:t xml:space="preserve"> un risinājumi nepieciešamā finansējuma piesaistei platjoslas attīstībai </w:t>
            </w:r>
            <w:r w:rsidRPr="00550D35">
              <w:rPr>
                <w:sz w:val="20"/>
                <w:lang w:val="lv-LV"/>
              </w:rPr>
              <w:t xml:space="preserve">– 1. Veikta investīciju nepietiekamības </w:t>
            </w:r>
            <w:proofErr w:type="spellStart"/>
            <w:r w:rsidRPr="00550D35">
              <w:rPr>
                <w:sz w:val="20"/>
                <w:lang w:val="lv-LV"/>
              </w:rPr>
              <w:t>izvērtējuma</w:t>
            </w:r>
            <w:proofErr w:type="spellEnd"/>
            <w:r w:rsidRPr="00550D35">
              <w:rPr>
                <w:sz w:val="20"/>
                <w:lang w:val="lv-LV"/>
              </w:rPr>
              <w:t xml:space="preserve"> aktualizācija platjoslas attīstībai; 2. Iesniegts MK informatīvais ziņojums par risinājumiem </w:t>
            </w:r>
            <w:r w:rsidRPr="00550D35">
              <w:rPr>
                <w:sz w:val="20"/>
                <w:lang w:val="lv-LV"/>
              </w:rPr>
              <w:lastRenderedPageBreak/>
              <w:t>nepieciešamā iztrūkstošā finansējuma piesaistei platjoslas attīstībai.</w:t>
            </w:r>
          </w:p>
          <w:p w14:paraId="606E873A" w14:textId="77777777" w:rsidR="00D7475E" w:rsidRPr="00550D35" w:rsidRDefault="00D7475E" w:rsidP="00BA62A0">
            <w:pPr>
              <w:ind w:firstLine="0"/>
              <w:rPr>
                <w:sz w:val="20"/>
                <w:lang w:val="lv-LV"/>
              </w:rPr>
            </w:pPr>
            <w:r w:rsidRPr="00A81A43">
              <w:rPr>
                <w:sz w:val="20"/>
                <w:lang w:val="lv-LV"/>
              </w:rPr>
              <w:t>Finansējuma avots:</w:t>
            </w:r>
            <w:r w:rsidRPr="004927B8">
              <w:rPr>
                <w:sz w:val="20"/>
                <w:lang w:val="lv-LV"/>
              </w:rPr>
              <w:t xml:space="preserve"> </w:t>
            </w:r>
            <w:r w:rsidRPr="009467E3">
              <w:rPr>
                <w:sz w:val="20"/>
                <w:lang w:val="lv-LV"/>
              </w:rPr>
              <w:t>Finansējums nav p</w:t>
            </w:r>
            <w:r>
              <w:rPr>
                <w:sz w:val="20"/>
                <w:lang w:val="lv-LV"/>
              </w:rPr>
              <w:t>lāno</w:t>
            </w:r>
            <w:r w:rsidRPr="009467E3">
              <w:rPr>
                <w:sz w:val="20"/>
                <w:lang w:val="lv-LV"/>
              </w:rPr>
              <w:t>ts</w:t>
            </w:r>
            <w:r w:rsidRPr="00550D35">
              <w:rPr>
                <w:sz w:val="20"/>
                <w:lang w:val="lv-LV"/>
              </w:rPr>
              <w:t xml:space="preserve"> </w:t>
            </w:r>
          </w:p>
        </w:tc>
        <w:tc>
          <w:tcPr>
            <w:tcW w:w="453" w:type="pct"/>
            <w:shd w:val="clear" w:color="auto" w:fill="92D050"/>
          </w:tcPr>
          <w:p w14:paraId="0B4694DD" w14:textId="77777777" w:rsidR="00D7475E" w:rsidRPr="00550D35" w:rsidRDefault="00D7475E" w:rsidP="00BA62A0">
            <w:pPr>
              <w:rPr>
                <w:sz w:val="20"/>
                <w:lang w:val="lv-LV"/>
              </w:rPr>
            </w:pPr>
          </w:p>
        </w:tc>
        <w:tc>
          <w:tcPr>
            <w:tcW w:w="455" w:type="pct"/>
            <w:shd w:val="clear" w:color="auto" w:fill="92D050"/>
          </w:tcPr>
          <w:p w14:paraId="2DC99F21" w14:textId="77777777" w:rsidR="00D7475E" w:rsidRPr="00550D35" w:rsidRDefault="00D7475E" w:rsidP="00BA62A0">
            <w:pPr>
              <w:rPr>
                <w:sz w:val="20"/>
                <w:lang w:val="lv-LV"/>
              </w:rPr>
            </w:pPr>
          </w:p>
        </w:tc>
        <w:tc>
          <w:tcPr>
            <w:tcW w:w="375" w:type="pct"/>
            <w:shd w:val="clear" w:color="auto" w:fill="auto"/>
          </w:tcPr>
          <w:p w14:paraId="2AEA7B59" w14:textId="77777777" w:rsidR="00D7475E" w:rsidRPr="00550D35" w:rsidRDefault="00D7475E" w:rsidP="00BA62A0">
            <w:pPr>
              <w:rPr>
                <w:sz w:val="20"/>
                <w:lang w:val="lv-LV"/>
              </w:rPr>
            </w:pPr>
          </w:p>
        </w:tc>
        <w:tc>
          <w:tcPr>
            <w:tcW w:w="375" w:type="pct"/>
            <w:shd w:val="clear" w:color="auto" w:fill="auto"/>
          </w:tcPr>
          <w:p w14:paraId="008ACE51" w14:textId="77777777" w:rsidR="00D7475E" w:rsidRPr="00550D35" w:rsidRDefault="00D7475E" w:rsidP="00BA62A0">
            <w:pPr>
              <w:rPr>
                <w:sz w:val="20"/>
                <w:lang w:val="lv-LV"/>
              </w:rPr>
            </w:pPr>
          </w:p>
        </w:tc>
        <w:tc>
          <w:tcPr>
            <w:tcW w:w="450" w:type="pct"/>
            <w:shd w:val="clear" w:color="auto" w:fill="auto"/>
          </w:tcPr>
          <w:p w14:paraId="6819A9C1" w14:textId="77777777" w:rsidR="00D7475E" w:rsidRPr="00550D35" w:rsidRDefault="00D7475E" w:rsidP="00BA62A0">
            <w:pPr>
              <w:rPr>
                <w:sz w:val="20"/>
                <w:lang w:val="lv-LV"/>
              </w:rPr>
            </w:pPr>
          </w:p>
        </w:tc>
        <w:tc>
          <w:tcPr>
            <w:tcW w:w="375" w:type="pct"/>
          </w:tcPr>
          <w:p w14:paraId="3B923106" w14:textId="77777777" w:rsidR="00D7475E" w:rsidRPr="00550D35" w:rsidRDefault="00D7475E" w:rsidP="00BA62A0">
            <w:pPr>
              <w:rPr>
                <w:sz w:val="20"/>
                <w:lang w:val="lv-LV"/>
              </w:rPr>
            </w:pPr>
          </w:p>
        </w:tc>
        <w:tc>
          <w:tcPr>
            <w:tcW w:w="618" w:type="pct"/>
          </w:tcPr>
          <w:p w14:paraId="726F854C" w14:textId="77777777" w:rsidR="00D7475E" w:rsidRPr="00550D35" w:rsidRDefault="00D7475E" w:rsidP="00BA62A0">
            <w:pPr>
              <w:rPr>
                <w:sz w:val="20"/>
                <w:lang w:val="lv-LV"/>
              </w:rPr>
            </w:pPr>
          </w:p>
        </w:tc>
        <w:tc>
          <w:tcPr>
            <w:tcW w:w="544" w:type="pct"/>
          </w:tcPr>
          <w:p w14:paraId="3B59B7CF" w14:textId="77777777" w:rsidR="00D7475E" w:rsidRPr="00550D35" w:rsidRDefault="00D7475E" w:rsidP="00BA62A0">
            <w:pPr>
              <w:rPr>
                <w:sz w:val="20"/>
                <w:lang w:val="lv-LV"/>
              </w:rPr>
            </w:pPr>
          </w:p>
        </w:tc>
      </w:tr>
      <w:tr w:rsidR="00D7475E" w:rsidRPr="008A1BF8" w14:paraId="20407244" w14:textId="77777777" w:rsidTr="00BA62A0">
        <w:tc>
          <w:tcPr>
            <w:tcW w:w="1354" w:type="pct"/>
          </w:tcPr>
          <w:p w14:paraId="5BF47FAF" w14:textId="77777777" w:rsidR="00D7475E" w:rsidRPr="00550D35" w:rsidRDefault="00D7475E" w:rsidP="00BA62A0">
            <w:pPr>
              <w:ind w:firstLine="0"/>
              <w:rPr>
                <w:sz w:val="20"/>
                <w:lang w:val="lv-LV"/>
              </w:rPr>
            </w:pPr>
            <w:r w:rsidRPr="00550D35">
              <w:rPr>
                <w:sz w:val="20"/>
                <w:lang w:val="lv-LV"/>
              </w:rPr>
              <w:t xml:space="preserve">Pasākums Nr.6 – </w:t>
            </w:r>
          </w:p>
          <w:p w14:paraId="4DD335D0" w14:textId="77777777" w:rsidR="00D7475E" w:rsidRDefault="00D7475E" w:rsidP="00BA62A0">
            <w:pPr>
              <w:ind w:firstLine="0"/>
              <w:rPr>
                <w:sz w:val="20"/>
                <w:lang w:val="lv-LV"/>
              </w:rPr>
            </w:pPr>
            <w:r w:rsidRPr="00550D35">
              <w:rPr>
                <w:b/>
                <w:bCs/>
                <w:sz w:val="20"/>
                <w:lang w:val="lv-LV"/>
              </w:rPr>
              <w:t>Elektronisko sakaru tīklu būvniecības procesa atvieglošana</w:t>
            </w:r>
            <w:r w:rsidRPr="00550D35">
              <w:rPr>
                <w:sz w:val="20"/>
                <w:lang w:val="lv-LV"/>
              </w:rPr>
              <w:t xml:space="preserve"> – 1. Veikt izmaiņas nacionālajā regulējumā atbilstoši Gigabitu infrastruktūras aktam; 2. Informatīvais ziņojums par pasākumiem elektronisko sakaru tīklu attīstības procesa atvieglošanai.</w:t>
            </w:r>
          </w:p>
          <w:p w14:paraId="3AC45337" w14:textId="77777777" w:rsidR="00D7475E" w:rsidRPr="00550D35" w:rsidRDefault="00D7475E" w:rsidP="00BA62A0">
            <w:pPr>
              <w:ind w:firstLine="0"/>
              <w:rPr>
                <w:sz w:val="20"/>
                <w:lang w:val="lv-LV"/>
              </w:rPr>
            </w:pPr>
            <w:r w:rsidRPr="00A81A43">
              <w:rPr>
                <w:sz w:val="20"/>
                <w:lang w:val="lv-LV"/>
              </w:rPr>
              <w:t>Finansējuma avots:</w:t>
            </w:r>
            <w:r w:rsidRPr="004927B8">
              <w:rPr>
                <w:sz w:val="20"/>
                <w:lang w:val="lv-LV"/>
              </w:rPr>
              <w:t xml:space="preserve"> </w:t>
            </w:r>
            <w:r w:rsidRPr="009467E3">
              <w:rPr>
                <w:sz w:val="20"/>
                <w:lang w:val="lv-LV"/>
              </w:rPr>
              <w:t>Finansējums nav p</w:t>
            </w:r>
            <w:r>
              <w:rPr>
                <w:sz w:val="20"/>
                <w:lang w:val="lv-LV"/>
              </w:rPr>
              <w:t>lāno</w:t>
            </w:r>
            <w:r w:rsidRPr="009467E3">
              <w:rPr>
                <w:sz w:val="20"/>
                <w:lang w:val="lv-LV"/>
              </w:rPr>
              <w:t>ts</w:t>
            </w:r>
            <w:r w:rsidRPr="00550D35">
              <w:rPr>
                <w:sz w:val="20"/>
                <w:lang w:val="lv-LV"/>
              </w:rPr>
              <w:t xml:space="preserve"> </w:t>
            </w:r>
          </w:p>
        </w:tc>
        <w:tc>
          <w:tcPr>
            <w:tcW w:w="453" w:type="pct"/>
            <w:shd w:val="clear" w:color="auto" w:fill="92D050"/>
          </w:tcPr>
          <w:p w14:paraId="18B938FA" w14:textId="77777777" w:rsidR="00D7475E" w:rsidRPr="00550D35" w:rsidRDefault="00D7475E" w:rsidP="00BA62A0">
            <w:pPr>
              <w:rPr>
                <w:sz w:val="20"/>
                <w:lang w:val="lv-LV"/>
              </w:rPr>
            </w:pPr>
          </w:p>
        </w:tc>
        <w:tc>
          <w:tcPr>
            <w:tcW w:w="455" w:type="pct"/>
            <w:shd w:val="clear" w:color="auto" w:fill="92D050"/>
          </w:tcPr>
          <w:p w14:paraId="14CB9A0D" w14:textId="77777777" w:rsidR="00D7475E" w:rsidRPr="00550D35" w:rsidRDefault="00D7475E" w:rsidP="00BA62A0">
            <w:pPr>
              <w:rPr>
                <w:sz w:val="20"/>
                <w:lang w:val="lv-LV"/>
              </w:rPr>
            </w:pPr>
          </w:p>
        </w:tc>
        <w:tc>
          <w:tcPr>
            <w:tcW w:w="375" w:type="pct"/>
            <w:shd w:val="clear" w:color="auto" w:fill="92D050"/>
          </w:tcPr>
          <w:p w14:paraId="61E1A648" w14:textId="77777777" w:rsidR="00D7475E" w:rsidRPr="00550D35" w:rsidRDefault="00D7475E" w:rsidP="00BA62A0">
            <w:pPr>
              <w:rPr>
                <w:sz w:val="20"/>
                <w:lang w:val="lv-LV"/>
              </w:rPr>
            </w:pPr>
          </w:p>
        </w:tc>
        <w:tc>
          <w:tcPr>
            <w:tcW w:w="375" w:type="pct"/>
            <w:shd w:val="clear" w:color="auto" w:fill="92D050"/>
          </w:tcPr>
          <w:p w14:paraId="28B515E3" w14:textId="77777777" w:rsidR="00D7475E" w:rsidRPr="00550D35" w:rsidRDefault="00D7475E" w:rsidP="00BA62A0">
            <w:pPr>
              <w:rPr>
                <w:sz w:val="20"/>
                <w:lang w:val="lv-LV"/>
              </w:rPr>
            </w:pPr>
          </w:p>
        </w:tc>
        <w:tc>
          <w:tcPr>
            <w:tcW w:w="450" w:type="pct"/>
            <w:shd w:val="clear" w:color="auto" w:fill="92D050"/>
          </w:tcPr>
          <w:p w14:paraId="4615775D" w14:textId="77777777" w:rsidR="00D7475E" w:rsidRPr="00550D35" w:rsidRDefault="00D7475E" w:rsidP="00BA62A0">
            <w:pPr>
              <w:rPr>
                <w:sz w:val="20"/>
                <w:lang w:val="lv-LV"/>
              </w:rPr>
            </w:pPr>
          </w:p>
        </w:tc>
        <w:tc>
          <w:tcPr>
            <w:tcW w:w="375" w:type="pct"/>
          </w:tcPr>
          <w:p w14:paraId="4090F2B7" w14:textId="77777777" w:rsidR="00D7475E" w:rsidRPr="00550D35" w:rsidRDefault="00D7475E" w:rsidP="00BA62A0">
            <w:pPr>
              <w:rPr>
                <w:sz w:val="20"/>
                <w:lang w:val="lv-LV"/>
              </w:rPr>
            </w:pPr>
          </w:p>
        </w:tc>
        <w:tc>
          <w:tcPr>
            <w:tcW w:w="618" w:type="pct"/>
          </w:tcPr>
          <w:p w14:paraId="13BC3EB5" w14:textId="77777777" w:rsidR="00D7475E" w:rsidRPr="00550D35" w:rsidRDefault="00D7475E" w:rsidP="00BA62A0">
            <w:pPr>
              <w:rPr>
                <w:sz w:val="20"/>
                <w:lang w:val="lv-LV"/>
              </w:rPr>
            </w:pPr>
          </w:p>
        </w:tc>
        <w:tc>
          <w:tcPr>
            <w:tcW w:w="544" w:type="pct"/>
          </w:tcPr>
          <w:p w14:paraId="37BE72A2" w14:textId="77777777" w:rsidR="00D7475E" w:rsidRPr="00550D35" w:rsidRDefault="00D7475E" w:rsidP="00BA62A0">
            <w:pPr>
              <w:rPr>
                <w:sz w:val="20"/>
                <w:lang w:val="lv-LV"/>
              </w:rPr>
            </w:pPr>
          </w:p>
        </w:tc>
      </w:tr>
      <w:tr w:rsidR="00D7475E" w:rsidRPr="003B2E9A" w14:paraId="1CA2DBD5" w14:textId="77777777" w:rsidTr="00BA62A0">
        <w:tc>
          <w:tcPr>
            <w:tcW w:w="1354" w:type="pct"/>
          </w:tcPr>
          <w:p w14:paraId="636C6422" w14:textId="77777777" w:rsidR="00D7475E" w:rsidRPr="00550D35" w:rsidRDefault="00D7475E" w:rsidP="00BA62A0">
            <w:pPr>
              <w:ind w:firstLine="0"/>
              <w:rPr>
                <w:sz w:val="20"/>
                <w:lang w:val="lv-LV"/>
              </w:rPr>
            </w:pPr>
            <w:r w:rsidRPr="00550D35">
              <w:rPr>
                <w:sz w:val="20"/>
                <w:lang w:val="lv-LV"/>
              </w:rPr>
              <w:t>Pasākums Nr.7 –.</w:t>
            </w:r>
          </w:p>
          <w:p w14:paraId="504A467D" w14:textId="77777777" w:rsidR="00D7475E" w:rsidRDefault="00D7475E" w:rsidP="00BA62A0">
            <w:pPr>
              <w:ind w:firstLine="0"/>
              <w:rPr>
                <w:sz w:val="20"/>
                <w:lang w:val="lv-LV"/>
              </w:rPr>
            </w:pPr>
            <w:r w:rsidRPr="00550D35">
              <w:rPr>
                <w:b/>
                <w:bCs/>
                <w:sz w:val="20"/>
                <w:lang w:val="lv-LV"/>
              </w:rPr>
              <w:t xml:space="preserve">Sadarbības veicināšana elektronisko sakaru tīklu, būvniecībā, piekļuvē, koplietošanā un citos jautājumos </w:t>
            </w:r>
            <w:r w:rsidRPr="00550D35">
              <w:rPr>
                <w:sz w:val="20"/>
                <w:lang w:val="lv-LV"/>
              </w:rPr>
              <w:t>– 1. Izstrādātas un publicētas vadlīnijas; 2. Organizēti semināri; 3. Iesniegti priekšlikumi MK</w:t>
            </w:r>
          </w:p>
          <w:p w14:paraId="4C7F16F4" w14:textId="77777777" w:rsidR="00D7475E" w:rsidRPr="00550D35" w:rsidRDefault="00D7475E" w:rsidP="00BA62A0">
            <w:pPr>
              <w:ind w:firstLine="0"/>
              <w:rPr>
                <w:sz w:val="20"/>
                <w:lang w:val="lv-LV"/>
              </w:rPr>
            </w:pPr>
            <w:r w:rsidRPr="00A81A43">
              <w:rPr>
                <w:sz w:val="20"/>
                <w:lang w:val="lv-LV"/>
              </w:rPr>
              <w:t>Finansējuma avots:</w:t>
            </w:r>
            <w:r w:rsidRPr="004927B8">
              <w:rPr>
                <w:sz w:val="20"/>
                <w:lang w:val="lv-LV"/>
              </w:rPr>
              <w:t xml:space="preserve"> </w:t>
            </w:r>
            <w:r w:rsidRPr="009467E3">
              <w:rPr>
                <w:sz w:val="20"/>
                <w:lang w:val="lv-LV"/>
              </w:rPr>
              <w:t>Finansējums nav p</w:t>
            </w:r>
            <w:r>
              <w:rPr>
                <w:sz w:val="20"/>
                <w:lang w:val="lv-LV"/>
              </w:rPr>
              <w:t>lāno</w:t>
            </w:r>
            <w:r w:rsidRPr="009467E3">
              <w:rPr>
                <w:sz w:val="20"/>
                <w:lang w:val="lv-LV"/>
              </w:rPr>
              <w:t>ts</w:t>
            </w:r>
            <w:r w:rsidRPr="00550D35">
              <w:rPr>
                <w:sz w:val="20"/>
                <w:lang w:val="lv-LV"/>
              </w:rPr>
              <w:t xml:space="preserve"> </w:t>
            </w:r>
          </w:p>
        </w:tc>
        <w:tc>
          <w:tcPr>
            <w:tcW w:w="453" w:type="pct"/>
            <w:shd w:val="clear" w:color="auto" w:fill="92D050"/>
          </w:tcPr>
          <w:p w14:paraId="42A07DE9" w14:textId="77777777" w:rsidR="00D7475E" w:rsidRPr="00550D35" w:rsidRDefault="00D7475E" w:rsidP="00BA62A0">
            <w:pPr>
              <w:rPr>
                <w:sz w:val="20"/>
                <w:lang w:val="lv-LV"/>
              </w:rPr>
            </w:pPr>
          </w:p>
        </w:tc>
        <w:tc>
          <w:tcPr>
            <w:tcW w:w="455" w:type="pct"/>
            <w:shd w:val="clear" w:color="auto" w:fill="92D050"/>
          </w:tcPr>
          <w:p w14:paraId="220B235F" w14:textId="77777777" w:rsidR="00D7475E" w:rsidRPr="00550D35" w:rsidRDefault="00D7475E" w:rsidP="00BA62A0">
            <w:pPr>
              <w:rPr>
                <w:sz w:val="20"/>
                <w:lang w:val="lv-LV"/>
              </w:rPr>
            </w:pPr>
          </w:p>
        </w:tc>
        <w:tc>
          <w:tcPr>
            <w:tcW w:w="375" w:type="pct"/>
            <w:shd w:val="clear" w:color="auto" w:fill="92D050"/>
          </w:tcPr>
          <w:p w14:paraId="2058B12E" w14:textId="77777777" w:rsidR="00D7475E" w:rsidRPr="00550D35" w:rsidRDefault="00D7475E" w:rsidP="00BA62A0">
            <w:pPr>
              <w:rPr>
                <w:sz w:val="20"/>
                <w:lang w:val="lv-LV"/>
              </w:rPr>
            </w:pPr>
          </w:p>
        </w:tc>
        <w:tc>
          <w:tcPr>
            <w:tcW w:w="375" w:type="pct"/>
            <w:shd w:val="clear" w:color="auto" w:fill="92D050"/>
          </w:tcPr>
          <w:p w14:paraId="0591F7FF" w14:textId="77777777" w:rsidR="00D7475E" w:rsidRPr="00550D35" w:rsidRDefault="00D7475E" w:rsidP="00BA62A0">
            <w:pPr>
              <w:rPr>
                <w:sz w:val="20"/>
                <w:lang w:val="lv-LV"/>
              </w:rPr>
            </w:pPr>
          </w:p>
        </w:tc>
        <w:tc>
          <w:tcPr>
            <w:tcW w:w="450" w:type="pct"/>
            <w:shd w:val="clear" w:color="auto" w:fill="92D050"/>
          </w:tcPr>
          <w:p w14:paraId="4BE3B3A6" w14:textId="77777777" w:rsidR="00D7475E" w:rsidRPr="00550D35" w:rsidRDefault="00D7475E" w:rsidP="00BA62A0">
            <w:pPr>
              <w:rPr>
                <w:sz w:val="20"/>
                <w:lang w:val="lv-LV"/>
              </w:rPr>
            </w:pPr>
          </w:p>
        </w:tc>
        <w:tc>
          <w:tcPr>
            <w:tcW w:w="375" w:type="pct"/>
          </w:tcPr>
          <w:p w14:paraId="796FC21D" w14:textId="77777777" w:rsidR="00D7475E" w:rsidRPr="00550D35" w:rsidRDefault="00D7475E" w:rsidP="00BA62A0">
            <w:pPr>
              <w:rPr>
                <w:sz w:val="20"/>
                <w:lang w:val="lv-LV"/>
              </w:rPr>
            </w:pPr>
          </w:p>
        </w:tc>
        <w:tc>
          <w:tcPr>
            <w:tcW w:w="618" w:type="pct"/>
          </w:tcPr>
          <w:p w14:paraId="4F76D86E" w14:textId="77777777" w:rsidR="00D7475E" w:rsidRPr="00550D35" w:rsidRDefault="00D7475E" w:rsidP="00BA62A0">
            <w:pPr>
              <w:rPr>
                <w:sz w:val="20"/>
                <w:lang w:val="lv-LV"/>
              </w:rPr>
            </w:pPr>
          </w:p>
        </w:tc>
        <w:tc>
          <w:tcPr>
            <w:tcW w:w="544" w:type="pct"/>
          </w:tcPr>
          <w:p w14:paraId="1D59E495" w14:textId="77777777" w:rsidR="00D7475E" w:rsidRPr="00550D35" w:rsidRDefault="00D7475E" w:rsidP="00BA62A0">
            <w:pPr>
              <w:rPr>
                <w:sz w:val="20"/>
                <w:lang w:val="lv-LV"/>
              </w:rPr>
            </w:pPr>
          </w:p>
        </w:tc>
      </w:tr>
    </w:tbl>
    <w:p w14:paraId="2ED83A98" w14:textId="77777777" w:rsidR="00D7475E" w:rsidRDefault="00D7475E" w:rsidP="00D7475E">
      <w:pPr>
        <w:spacing w:before="0" w:after="160" w:line="259" w:lineRule="auto"/>
        <w:ind w:firstLine="0"/>
        <w:contextualSpacing/>
        <w:jc w:val="left"/>
        <w:rPr>
          <w:rFonts w:cstheme="minorHAnsi"/>
          <w:noProof/>
          <w:color w:val="000000" w:themeColor="text1"/>
          <w:szCs w:val="24"/>
          <w:lang w:val="lv-LV"/>
        </w:rPr>
      </w:pPr>
    </w:p>
    <w:p w14:paraId="384CA63F" w14:textId="77777777" w:rsidR="00D7475E" w:rsidRPr="00806266" w:rsidRDefault="00D7475E" w:rsidP="00D7475E">
      <w:pPr>
        <w:spacing w:before="0" w:after="160" w:line="259" w:lineRule="auto"/>
        <w:ind w:firstLine="0"/>
        <w:contextualSpacing/>
        <w:jc w:val="left"/>
        <w:rPr>
          <w:noProof/>
          <w:lang w:val="lv-LV"/>
        </w:rPr>
      </w:pPr>
      <w:r w:rsidRPr="00806266">
        <w:rPr>
          <w:b/>
          <w:noProof/>
          <w:lang w:val="lv-LV"/>
        </w:rPr>
        <w:t>Visu to pasākumu budžets, kurus var attiecināt uz mērķrādītāju</w:t>
      </w:r>
    </w:p>
    <w:p w14:paraId="6F928E3C" w14:textId="77777777" w:rsidR="00D7475E" w:rsidRPr="00550D35" w:rsidRDefault="00D7475E" w:rsidP="00D7475E">
      <w:pPr>
        <w:spacing w:before="0" w:after="160" w:line="259" w:lineRule="auto"/>
        <w:ind w:left="567" w:firstLine="0"/>
        <w:contextualSpacing/>
        <w:jc w:val="left"/>
        <w:rPr>
          <w:noProof/>
          <w:lang w:val="lv-LV"/>
        </w:rPr>
      </w:pPr>
      <w:r w:rsidRPr="00550D35">
        <w:rPr>
          <w:noProof/>
          <w:lang w:val="lv-LV"/>
        </w:rPr>
        <w:t xml:space="preserve">Publiskās investīcijas: </w:t>
      </w:r>
    </w:p>
    <w:p w14:paraId="64677B59" w14:textId="77777777" w:rsidR="00D7475E" w:rsidRPr="00550D35" w:rsidRDefault="00D7475E" w:rsidP="00D7475E">
      <w:pPr>
        <w:pStyle w:val="ListParagraph"/>
        <w:numPr>
          <w:ilvl w:val="0"/>
          <w:numId w:val="31"/>
        </w:numPr>
        <w:contextualSpacing/>
        <w:rPr>
          <w:rFonts w:eastAsia="Calibri"/>
          <w:sz w:val="24"/>
          <w:szCs w:val="24"/>
          <w:lang w:val="lv-LV"/>
        </w:rPr>
      </w:pPr>
      <w:r w:rsidRPr="00550D35">
        <w:rPr>
          <w:rFonts w:eastAsia="Calibri"/>
          <w:sz w:val="24"/>
          <w:szCs w:val="24"/>
          <w:lang w:val="lv-LV"/>
        </w:rPr>
        <w:t>piešķirts: nav piešķirts</w:t>
      </w:r>
      <w:r w:rsidRPr="00550D35">
        <w:rPr>
          <w:rFonts w:eastAsia="Calibri"/>
          <w:i/>
          <w:iCs/>
          <w:sz w:val="24"/>
          <w:szCs w:val="24"/>
          <w:lang w:val="lv-LV"/>
        </w:rPr>
        <w:t xml:space="preserve">  </w:t>
      </w:r>
    </w:p>
    <w:p w14:paraId="70F3E05E" w14:textId="0792429F" w:rsidR="00D7475E" w:rsidRPr="00550D35" w:rsidRDefault="00D7475E" w:rsidP="00D7475E">
      <w:pPr>
        <w:pStyle w:val="ListParagraph"/>
        <w:numPr>
          <w:ilvl w:val="0"/>
          <w:numId w:val="31"/>
        </w:numPr>
        <w:contextualSpacing/>
        <w:rPr>
          <w:rFonts w:eastAsia="Calibri"/>
          <w:sz w:val="24"/>
          <w:szCs w:val="24"/>
          <w:lang w:val="lv-LV"/>
        </w:rPr>
      </w:pPr>
      <w:r w:rsidRPr="00550D35">
        <w:rPr>
          <w:sz w:val="24"/>
          <w:szCs w:val="24"/>
          <w:lang w:val="lv-LV"/>
        </w:rPr>
        <w:t>plānots:</w:t>
      </w:r>
      <w:r w:rsidRPr="00550D35">
        <w:rPr>
          <w:b/>
          <w:bCs/>
          <w:sz w:val="24"/>
          <w:szCs w:val="24"/>
          <w:lang w:val="lv-LV"/>
        </w:rPr>
        <w:t xml:space="preserve"> </w:t>
      </w:r>
      <w:r w:rsidR="004F27A6">
        <w:rPr>
          <w:rFonts w:eastAsia="Calibri"/>
          <w:sz w:val="24"/>
          <w:szCs w:val="24"/>
          <w:lang w:val="lv-LV"/>
        </w:rPr>
        <w:t>4</w:t>
      </w:r>
      <w:r w:rsidR="00BB4630">
        <w:rPr>
          <w:rFonts w:eastAsia="Calibri"/>
          <w:sz w:val="24"/>
          <w:szCs w:val="24"/>
          <w:lang w:val="lv-LV"/>
        </w:rPr>
        <w:t>5</w:t>
      </w:r>
      <w:r w:rsidR="004F27A6">
        <w:rPr>
          <w:rFonts w:eastAsia="Calibri"/>
          <w:sz w:val="24"/>
          <w:szCs w:val="24"/>
          <w:lang w:val="lv-LV"/>
        </w:rPr>
        <w:t>,7</w:t>
      </w:r>
      <w:r w:rsidRPr="00550D35">
        <w:rPr>
          <w:rFonts w:eastAsia="Calibri"/>
          <w:sz w:val="24"/>
          <w:szCs w:val="24"/>
          <w:lang w:val="lv-LV"/>
        </w:rPr>
        <w:t xml:space="preserve"> milj. </w:t>
      </w:r>
      <w:proofErr w:type="spellStart"/>
      <w:r w:rsidRPr="00550D35">
        <w:rPr>
          <w:rFonts w:eastAsia="Calibri"/>
          <w:i/>
          <w:sz w:val="24"/>
          <w:szCs w:val="24"/>
          <w:lang w:val="lv-LV"/>
        </w:rPr>
        <w:t>euro</w:t>
      </w:r>
      <w:proofErr w:type="spellEnd"/>
      <w:r w:rsidR="004F27A6">
        <w:rPr>
          <w:rStyle w:val="FootnoteReference"/>
          <w:rFonts w:eastAsia="Calibri"/>
          <w:i/>
          <w:sz w:val="24"/>
          <w:szCs w:val="24"/>
          <w:lang w:val="lv-LV"/>
        </w:rPr>
        <w:footnoteReference w:id="36"/>
      </w:r>
      <w:r w:rsidRPr="00550D35">
        <w:rPr>
          <w:rFonts w:eastAsia="Calibri"/>
          <w:i/>
          <w:iCs/>
          <w:sz w:val="24"/>
          <w:szCs w:val="24"/>
          <w:lang w:val="lv-LV"/>
        </w:rPr>
        <w:t xml:space="preserve">  </w:t>
      </w:r>
    </w:p>
    <w:p w14:paraId="56F36A96" w14:textId="77777777" w:rsidR="00D7475E" w:rsidRPr="00550D35" w:rsidRDefault="00D7475E" w:rsidP="00D7475E">
      <w:pPr>
        <w:numPr>
          <w:ilvl w:val="1"/>
          <w:numId w:val="23"/>
        </w:numPr>
        <w:spacing w:before="120" w:after="120"/>
        <w:contextualSpacing/>
        <w:rPr>
          <w:rFonts w:eastAsia="Calibri" w:cs="Calibri"/>
          <w:szCs w:val="24"/>
          <w:lang w:val="lv-LV"/>
        </w:rPr>
      </w:pPr>
      <w:r w:rsidRPr="00550D35">
        <w:rPr>
          <w:rFonts w:eastAsia="Calibri" w:cs="Calibri"/>
          <w:szCs w:val="24"/>
          <w:lang w:val="lv-LV"/>
        </w:rPr>
        <w:t xml:space="preserve">tai skaitā no nacionālajiem finansēšanas avotiem: </w:t>
      </w:r>
    </w:p>
    <w:p w14:paraId="534CE0D2" w14:textId="77777777" w:rsidR="00D7475E" w:rsidRPr="00550D35" w:rsidRDefault="00D7475E" w:rsidP="00D7475E">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 xml:space="preserve">piešķirts: </w:t>
      </w:r>
      <w:r w:rsidRPr="00550D35">
        <w:rPr>
          <w:rFonts w:eastAsia="Calibri"/>
          <w:szCs w:val="24"/>
          <w:lang w:val="lv-LV"/>
        </w:rPr>
        <w:t>nav piešķirts</w:t>
      </w:r>
      <w:r w:rsidRPr="00550D35">
        <w:rPr>
          <w:rFonts w:eastAsia="Calibri"/>
          <w:i/>
          <w:iCs/>
          <w:szCs w:val="24"/>
          <w:lang w:val="lv-LV"/>
        </w:rPr>
        <w:t xml:space="preserve">    </w:t>
      </w:r>
    </w:p>
    <w:p w14:paraId="4759BA72" w14:textId="4660A7B8" w:rsidR="00D7475E" w:rsidRPr="00550D35" w:rsidRDefault="00D7475E" w:rsidP="00D7475E">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 xml:space="preserve">plānots: </w:t>
      </w:r>
      <w:r w:rsidR="000331E2">
        <w:rPr>
          <w:rFonts w:eastAsia="Calibri" w:cs="Calibri"/>
          <w:szCs w:val="24"/>
          <w:lang w:val="lv-LV"/>
        </w:rPr>
        <w:t>nav plānots</w:t>
      </w:r>
      <w:r w:rsidRPr="00550D35">
        <w:rPr>
          <w:rFonts w:eastAsia="Calibri"/>
          <w:i/>
          <w:iCs/>
          <w:szCs w:val="24"/>
          <w:lang w:val="lv-LV"/>
        </w:rPr>
        <w:t xml:space="preserve">  </w:t>
      </w:r>
    </w:p>
    <w:p w14:paraId="58527F4E" w14:textId="77777777" w:rsidR="00D7475E" w:rsidRPr="00550D35" w:rsidRDefault="00D7475E" w:rsidP="00D7475E">
      <w:pPr>
        <w:numPr>
          <w:ilvl w:val="1"/>
          <w:numId w:val="23"/>
        </w:numPr>
        <w:spacing w:before="120" w:after="120"/>
        <w:contextualSpacing/>
        <w:rPr>
          <w:rFonts w:eastAsia="Calibri" w:cs="Calibri"/>
          <w:szCs w:val="24"/>
          <w:lang w:val="lv-LV"/>
        </w:rPr>
      </w:pPr>
      <w:r w:rsidRPr="00550D35">
        <w:rPr>
          <w:rFonts w:eastAsia="Calibri" w:cs="Calibri"/>
          <w:szCs w:val="24"/>
          <w:lang w:val="lv-LV"/>
        </w:rPr>
        <w:t xml:space="preserve">tai skaitā no ES finansēšanas avotiem: </w:t>
      </w:r>
    </w:p>
    <w:p w14:paraId="6FEAAFA5" w14:textId="61D3FCAB" w:rsidR="00D7475E" w:rsidRPr="00550D35" w:rsidRDefault="00D7475E" w:rsidP="00D7475E">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 xml:space="preserve">piešķirts: </w:t>
      </w:r>
      <w:r w:rsidRPr="00550D35">
        <w:rPr>
          <w:rFonts w:eastAsia="Calibri"/>
          <w:szCs w:val="24"/>
          <w:lang w:val="lv-LV"/>
        </w:rPr>
        <w:t>nav piešķirts</w:t>
      </w:r>
    </w:p>
    <w:p w14:paraId="196144C1" w14:textId="247A10E8" w:rsidR="00D7475E" w:rsidRPr="00550D35" w:rsidRDefault="00D7475E" w:rsidP="00D7475E">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 xml:space="preserve">plānotais: </w:t>
      </w:r>
      <w:r w:rsidR="00BF66D0">
        <w:rPr>
          <w:rFonts w:eastAsia="Calibri" w:cs="Calibri"/>
          <w:szCs w:val="24"/>
          <w:lang w:val="lv-LV"/>
        </w:rPr>
        <w:t>4</w:t>
      </w:r>
      <w:r w:rsidRPr="00550D35">
        <w:rPr>
          <w:rFonts w:eastAsia="Calibri" w:cs="Calibri"/>
          <w:szCs w:val="24"/>
          <w:lang w:val="lv-LV"/>
        </w:rPr>
        <w:t>5,</w:t>
      </w:r>
      <w:r w:rsidR="00BF66D0">
        <w:rPr>
          <w:rFonts w:eastAsia="Calibri" w:cs="Calibri"/>
          <w:szCs w:val="24"/>
          <w:lang w:val="lv-LV"/>
        </w:rPr>
        <w:t>7</w:t>
      </w:r>
      <w:r w:rsidRPr="00550D35">
        <w:rPr>
          <w:rFonts w:eastAsia="Calibri" w:cs="Calibri"/>
          <w:szCs w:val="24"/>
          <w:lang w:val="lv-LV"/>
        </w:rPr>
        <w:t> </w:t>
      </w:r>
      <w:r w:rsidRPr="00550D35">
        <w:rPr>
          <w:rFonts w:eastAsia="Calibri"/>
          <w:szCs w:val="24"/>
          <w:lang w:val="lv-LV"/>
        </w:rPr>
        <w:t>milj. </w:t>
      </w:r>
      <w:proofErr w:type="spellStart"/>
      <w:r w:rsidRPr="00550D35">
        <w:rPr>
          <w:rFonts w:eastAsia="Calibri"/>
          <w:i/>
          <w:szCs w:val="24"/>
          <w:lang w:val="lv-LV"/>
        </w:rPr>
        <w:t>euro</w:t>
      </w:r>
      <w:proofErr w:type="spellEnd"/>
      <w:r w:rsidRPr="00550D35">
        <w:rPr>
          <w:rFonts w:eastAsia="Calibri"/>
          <w:i/>
          <w:iCs/>
          <w:szCs w:val="24"/>
          <w:lang w:val="lv-LV"/>
        </w:rPr>
        <w:t xml:space="preserve">  </w:t>
      </w:r>
    </w:p>
    <w:p w14:paraId="439764AC" w14:textId="610768B7" w:rsidR="00D7475E" w:rsidRPr="00BF66D0" w:rsidRDefault="00D7475E" w:rsidP="00D7475E">
      <w:pPr>
        <w:spacing w:before="0" w:after="160" w:line="259" w:lineRule="auto"/>
        <w:ind w:left="360" w:firstLine="0"/>
        <w:contextualSpacing/>
        <w:jc w:val="left"/>
        <w:rPr>
          <w:rFonts w:eastAsia="Calibri" w:cs="Calibri"/>
          <w:szCs w:val="24"/>
          <w:lang w:val="lv-LV"/>
        </w:rPr>
      </w:pPr>
      <w:r w:rsidRPr="00550D35">
        <w:rPr>
          <w:noProof/>
          <w:lang w:val="lv-LV"/>
        </w:rPr>
        <w:t xml:space="preserve">Privātās </w:t>
      </w:r>
      <w:r w:rsidRPr="00BF66D0">
        <w:rPr>
          <w:rFonts w:eastAsia="Calibri" w:cs="Calibri"/>
          <w:szCs w:val="24"/>
          <w:lang w:val="lv-LV"/>
        </w:rPr>
        <w:t>investīcijas (</w:t>
      </w:r>
      <w:r w:rsidR="00BF66D0" w:rsidRPr="00BF66D0">
        <w:rPr>
          <w:rFonts w:eastAsia="Calibri" w:cs="Calibri"/>
          <w:szCs w:val="24"/>
          <w:lang w:val="lv-LV"/>
        </w:rPr>
        <w:t>līdzfinansējums publiskām investīcijām</w:t>
      </w:r>
      <w:r w:rsidRPr="00BF66D0">
        <w:rPr>
          <w:rFonts w:eastAsia="Calibri" w:cs="Calibri"/>
          <w:szCs w:val="24"/>
          <w:lang w:val="lv-LV"/>
        </w:rPr>
        <w:t xml:space="preserve">): </w:t>
      </w:r>
    </w:p>
    <w:p w14:paraId="21FDFC0B" w14:textId="77777777" w:rsidR="00D7475E" w:rsidRPr="00550D35" w:rsidRDefault="00D7475E" w:rsidP="00D7475E">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t xml:space="preserve">piešķirts: </w:t>
      </w:r>
      <w:r w:rsidRPr="00550D35">
        <w:rPr>
          <w:rFonts w:eastAsia="Calibri"/>
          <w:szCs w:val="24"/>
          <w:lang w:val="lv-LV"/>
        </w:rPr>
        <w:t>nav piešķirts</w:t>
      </w:r>
      <w:r w:rsidRPr="00550D35">
        <w:rPr>
          <w:rFonts w:eastAsia="Calibri"/>
          <w:i/>
          <w:iCs/>
          <w:szCs w:val="24"/>
          <w:lang w:val="lv-LV"/>
        </w:rPr>
        <w:t xml:space="preserve">    </w:t>
      </w:r>
    </w:p>
    <w:p w14:paraId="27BAF881" w14:textId="789DA824" w:rsidR="00D7475E" w:rsidRPr="0046071A" w:rsidRDefault="00D7475E" w:rsidP="00D7475E">
      <w:pPr>
        <w:numPr>
          <w:ilvl w:val="4"/>
          <w:numId w:val="23"/>
        </w:numPr>
        <w:spacing w:before="120" w:after="120"/>
        <w:ind w:left="2268" w:hanging="567"/>
        <w:contextualSpacing/>
        <w:rPr>
          <w:rFonts w:eastAsia="Calibri" w:cs="Calibri"/>
          <w:szCs w:val="24"/>
          <w:lang w:val="lv-LV"/>
        </w:rPr>
      </w:pPr>
      <w:r w:rsidRPr="00550D35">
        <w:rPr>
          <w:rFonts w:eastAsia="Calibri" w:cs="Calibri"/>
          <w:szCs w:val="24"/>
          <w:lang w:val="lv-LV"/>
        </w:rPr>
        <w:lastRenderedPageBreak/>
        <w:t>plānotais: 5</w:t>
      </w:r>
      <w:r w:rsidR="00BF66D0">
        <w:rPr>
          <w:rFonts w:eastAsia="Calibri" w:cs="Calibri"/>
          <w:szCs w:val="24"/>
          <w:lang w:val="lv-LV"/>
        </w:rPr>
        <w:t>,2</w:t>
      </w:r>
      <w:r w:rsidRPr="00550D35">
        <w:rPr>
          <w:rFonts w:eastAsia="Calibri" w:cs="Calibri"/>
          <w:szCs w:val="24"/>
          <w:lang w:val="lv-LV"/>
        </w:rPr>
        <w:t> </w:t>
      </w:r>
      <w:r w:rsidRPr="00550D35">
        <w:rPr>
          <w:rFonts w:eastAsia="Calibri"/>
          <w:szCs w:val="24"/>
          <w:lang w:val="lv-LV"/>
        </w:rPr>
        <w:t>milj. </w:t>
      </w:r>
      <w:proofErr w:type="spellStart"/>
      <w:r w:rsidRPr="00550D35">
        <w:rPr>
          <w:rFonts w:eastAsia="Calibri"/>
          <w:i/>
          <w:szCs w:val="24"/>
          <w:lang w:val="lv-LV"/>
        </w:rPr>
        <w:t>euro</w:t>
      </w:r>
      <w:proofErr w:type="spellEnd"/>
      <w:r w:rsidR="00BF66D0">
        <w:rPr>
          <w:rStyle w:val="FootnoteReference"/>
          <w:rFonts w:eastAsia="Calibri"/>
          <w:i/>
          <w:szCs w:val="24"/>
          <w:lang w:val="lv-LV"/>
        </w:rPr>
        <w:footnoteReference w:id="37"/>
      </w:r>
      <w:r w:rsidRPr="00550D35">
        <w:rPr>
          <w:rFonts w:eastAsia="Calibri"/>
          <w:i/>
          <w:szCs w:val="24"/>
          <w:lang w:val="lv-LV"/>
        </w:rPr>
        <w:t>.</w:t>
      </w:r>
      <w:r w:rsidRPr="00550D35">
        <w:rPr>
          <w:rFonts w:eastAsia="Calibri"/>
          <w:i/>
          <w:iCs/>
          <w:szCs w:val="24"/>
          <w:lang w:val="lv-LV"/>
        </w:rPr>
        <w:t xml:space="preserve">  </w:t>
      </w:r>
    </w:p>
    <w:p w14:paraId="4ADC43C8" w14:textId="77777777" w:rsidR="00D7475E" w:rsidRPr="00550D35" w:rsidRDefault="00D7475E" w:rsidP="00D7475E">
      <w:pPr>
        <w:ind w:firstLine="0"/>
        <w:rPr>
          <w:lang w:val="lv-LV"/>
        </w:rPr>
      </w:pPr>
    </w:p>
    <w:p w14:paraId="7F211E1A" w14:textId="77777777" w:rsidR="00D7475E" w:rsidRPr="00550D35" w:rsidRDefault="00D7475E" w:rsidP="00D7475E">
      <w:pPr>
        <w:rPr>
          <w:lang w:val="lv-LV"/>
        </w:rPr>
      </w:pPr>
      <w:r w:rsidRPr="00550D35">
        <w:rPr>
          <w:lang w:val="lv-LV"/>
        </w:rPr>
        <w:t>Ir identificēti divi galvenie izaicinājumi:</w:t>
      </w:r>
    </w:p>
    <w:p w14:paraId="348CD278" w14:textId="77777777" w:rsidR="00D7475E" w:rsidRPr="00550D35" w:rsidRDefault="00D7475E" w:rsidP="00D7475E">
      <w:pPr>
        <w:rPr>
          <w:i/>
          <w:iCs/>
          <w:lang w:val="lv-LV"/>
        </w:rPr>
      </w:pPr>
      <w:r w:rsidRPr="003E7449">
        <w:rPr>
          <w:b/>
          <w:bCs/>
          <w:lang w:val="lv-LV"/>
        </w:rPr>
        <w:t xml:space="preserve">Izaicinājums </w:t>
      </w:r>
      <w:r>
        <w:rPr>
          <w:b/>
          <w:bCs/>
          <w:lang w:val="lv-LV"/>
        </w:rPr>
        <w:t>Nr.</w:t>
      </w:r>
      <w:r w:rsidRPr="003E7449">
        <w:rPr>
          <w:b/>
          <w:bCs/>
          <w:lang w:val="lv-LV"/>
        </w:rPr>
        <w:t>1</w:t>
      </w:r>
      <w:r w:rsidRPr="00550D35">
        <w:rPr>
          <w:lang w:val="lv-LV"/>
        </w:rPr>
        <w:t xml:space="preserve"> – Nevienmērīgs iedzīvotāju blīvums. </w:t>
      </w:r>
      <w:r w:rsidRPr="00550D35">
        <w:rPr>
          <w:i/>
          <w:iCs/>
          <w:lang w:val="lv-LV"/>
        </w:rPr>
        <w:t>Lauku apvidos ir zemi ienākumi un tie ir mazapdzīvoti, komerciālā interese par "pēdējās jūdzes" izveidi ir nepietiekama. 2019.gada sākumā Latvijā 1 miljons 315 tūkstoši bija pilsētu iedzīvotāji (68 %) un 605 tūkstoši - lauku iedzīvotāji.</w:t>
      </w:r>
      <w:r w:rsidRPr="00550D35">
        <w:rPr>
          <w:lang w:val="lv-LV"/>
        </w:rPr>
        <w:t xml:space="preserve"> </w:t>
      </w:r>
    </w:p>
    <w:p w14:paraId="1973055C" w14:textId="77777777" w:rsidR="00D7475E" w:rsidRPr="00550D35" w:rsidRDefault="00D7475E" w:rsidP="00D7475E">
      <w:pPr>
        <w:rPr>
          <w:i/>
          <w:lang w:val="lv-LV"/>
        </w:rPr>
      </w:pPr>
      <w:r w:rsidRPr="003E7449">
        <w:rPr>
          <w:b/>
          <w:bCs/>
          <w:lang w:val="lv-LV"/>
        </w:rPr>
        <w:t xml:space="preserve">Izaicinājums </w:t>
      </w:r>
      <w:r>
        <w:rPr>
          <w:b/>
          <w:bCs/>
          <w:lang w:val="lv-LV"/>
        </w:rPr>
        <w:t>Nr.</w:t>
      </w:r>
      <w:r w:rsidRPr="003E7449">
        <w:rPr>
          <w:b/>
          <w:bCs/>
          <w:lang w:val="lv-LV"/>
        </w:rPr>
        <w:t>2</w:t>
      </w:r>
      <w:r w:rsidRPr="00550D35">
        <w:rPr>
          <w:lang w:val="lv-LV"/>
        </w:rPr>
        <w:t xml:space="preserve"> – Pieejamā publiskā finansējuma ierobežotais apmērs. Ņemot vērā pieejamā publiskā finansējuma ierobežoto apmēru, būtiski, neaizstājot privātās investīcijas, koncentrēt to teritorijās, kurās ekonomisku apsvērumu dēļ elektronisko sakaru komersanti nav ieinteresēti izvērst elektronisko sakaru tīklu infrastruktūru vai to dara nepietiekamā apjomā, lai veicinātu Savienojamības paziņojumā</w:t>
      </w:r>
      <w:r w:rsidRPr="00550D35">
        <w:rPr>
          <w:rStyle w:val="FootnoteReference"/>
          <w:lang w:val="lv-LV"/>
        </w:rPr>
        <w:footnoteReference w:id="38"/>
      </w:r>
      <w:r w:rsidRPr="00550D35">
        <w:rPr>
          <w:lang w:val="lv-LV"/>
        </w:rPr>
        <w:t xml:space="preserve"> un EK paziņojumā  "Digitālais kompass 2030. gadam: Eiropas ceļš uz digitālo desmitgadi"</w:t>
      </w:r>
      <w:r w:rsidRPr="00550D35">
        <w:rPr>
          <w:rStyle w:val="FootnoteReference"/>
          <w:lang w:val="lv-LV"/>
        </w:rPr>
        <w:footnoteReference w:id="39"/>
      </w:r>
      <w:r w:rsidRPr="00550D35">
        <w:rPr>
          <w:lang w:val="lv-LV"/>
        </w:rPr>
        <w:t xml:space="preserve"> noteikto ES stratēģisko mērķu elektronisko sakaru attīstībai izpildi, kā arī nodrošinātu vienlīdzīgu un kvalitatīvu elektronisko sakaru pakalpojumu pieejamību visā Latvijas teritorijā visiem iedzīvotājiem, valsts un pašvaldību iestādēm, uzņēmumiem, ārstniecības iestādēs un citām sabiedriskajām ēkām.</w:t>
      </w:r>
    </w:p>
    <w:p w14:paraId="6CA16400" w14:textId="77777777" w:rsidR="00D7475E" w:rsidRPr="00550D35" w:rsidRDefault="00D7475E" w:rsidP="00D7475E">
      <w:pPr>
        <w:rPr>
          <w:lang w:val="lv-LV"/>
        </w:rPr>
      </w:pPr>
      <w:r w:rsidRPr="00550D35">
        <w:rPr>
          <w:lang w:val="lv-LV"/>
        </w:rPr>
        <w:t>Aplēstais investīciju trūkums un iespējamās darbības, lai sasniegtu nacionālās mērķa vērtības (paskaidrot, kāda metodoloģija ir izmantota šādu ieguldījumu vajadzību novērtēšanai un jāapraksta tās galvenie elementi):</w:t>
      </w:r>
    </w:p>
    <w:p w14:paraId="06863C14" w14:textId="7F19B61D" w:rsidR="00D7475E" w:rsidRPr="00550D35" w:rsidRDefault="00D7475E" w:rsidP="00D7475E">
      <w:pPr>
        <w:rPr>
          <w:lang w:val="lv-LV"/>
        </w:rPr>
      </w:pPr>
      <w:r w:rsidRPr="00550D35">
        <w:rPr>
          <w:lang w:val="lv-LV"/>
        </w:rPr>
        <w:t>2020. gadā tika veikts pētījums “Pētījums ES fondu 2021. -2027. gada plānošanas perioda ieguldījumu priekšnosacījumu izpildei”</w:t>
      </w:r>
      <w:r w:rsidRPr="00550D35">
        <w:rPr>
          <w:rStyle w:val="FootnoteReference"/>
          <w:lang w:val="lv-LV"/>
        </w:rPr>
        <w:footnoteReference w:id="40"/>
      </w:r>
      <w:r w:rsidRPr="00550D35">
        <w:rPr>
          <w:lang w:val="lv-LV"/>
        </w:rPr>
        <w:t xml:space="preserve"> ar mērķi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Minētajā pētījumā secināts, ka investīciju nepietiekamība atkarībā no valsts izvēlētā scenārija "pēdējās jūdzes" infrastruktūrai variē no ~ 50,0 milj. </w:t>
      </w:r>
      <w:proofErr w:type="spellStart"/>
      <w:r w:rsidRPr="00550D35">
        <w:rPr>
          <w:i/>
          <w:lang w:val="lv-LV"/>
        </w:rPr>
        <w:t>euro</w:t>
      </w:r>
      <w:proofErr w:type="spellEnd"/>
      <w:r w:rsidRPr="00550D35">
        <w:rPr>
          <w:lang w:val="lv-LV"/>
        </w:rPr>
        <w:t xml:space="preserve"> (publiski pārvaldīta infrastruktūra, optiskā tīkla infrastruktūras nodrošināšanai tikai svarīgākajiem sociālekonomiskajiem virzītājspēkiem: izglītības iestādes, veselības iestādes un kultūras iestādes) līdz 957,0 milj. </w:t>
      </w:r>
      <w:proofErr w:type="spellStart"/>
      <w:r w:rsidRPr="00550D35">
        <w:rPr>
          <w:i/>
          <w:lang w:val="lv-LV"/>
        </w:rPr>
        <w:t>euro</w:t>
      </w:r>
      <w:proofErr w:type="spellEnd"/>
      <w:r w:rsidRPr="00550D35">
        <w:rPr>
          <w:lang w:val="lv-LV"/>
        </w:rPr>
        <w:t xml:space="preserve"> (privāti pārvaldīta infrastruktūra, nodrošināt vismaz 100</w:t>
      </w:r>
      <w:r w:rsidR="00EB28AB">
        <w:rPr>
          <w:lang w:val="lv-LV"/>
        </w:rPr>
        <w:t> </w:t>
      </w:r>
      <w:r w:rsidRPr="00550D35">
        <w:rPr>
          <w:lang w:val="lv-LV"/>
        </w:rPr>
        <w:t xml:space="preserve">Mbit/s ātrumu visiem iedzīvotājiem), savukārt 5G atbalstošās infrastruktūras izbūvei </w:t>
      </w:r>
      <w:proofErr w:type="spellStart"/>
      <w:r w:rsidRPr="00550D35">
        <w:rPr>
          <w:lang w:val="lv-LV"/>
        </w:rPr>
        <w:t>Via</w:t>
      </w:r>
      <w:proofErr w:type="spellEnd"/>
      <w:r w:rsidRPr="00550D35">
        <w:rPr>
          <w:lang w:val="lv-LV"/>
        </w:rPr>
        <w:t xml:space="preserve"> </w:t>
      </w:r>
      <w:proofErr w:type="spellStart"/>
      <w:r w:rsidRPr="00550D35">
        <w:rPr>
          <w:lang w:val="lv-LV"/>
        </w:rPr>
        <w:t>Baltica</w:t>
      </w:r>
      <w:proofErr w:type="spellEnd"/>
      <w:r w:rsidRPr="00550D35">
        <w:rPr>
          <w:lang w:val="lv-LV"/>
        </w:rPr>
        <w:t xml:space="preserve"> koridorā – 13,2 milj. </w:t>
      </w:r>
      <w:proofErr w:type="spellStart"/>
      <w:r w:rsidRPr="00550D35">
        <w:rPr>
          <w:i/>
          <w:lang w:val="lv-LV"/>
        </w:rPr>
        <w:t>euro</w:t>
      </w:r>
      <w:proofErr w:type="spellEnd"/>
      <w:r w:rsidRPr="00550D35">
        <w:rPr>
          <w:lang w:val="lv-LV"/>
        </w:rPr>
        <w:t xml:space="preserve">, bet Rail </w:t>
      </w:r>
      <w:proofErr w:type="spellStart"/>
      <w:r w:rsidRPr="00550D35">
        <w:rPr>
          <w:lang w:val="lv-LV"/>
        </w:rPr>
        <w:t>Baltica</w:t>
      </w:r>
      <w:proofErr w:type="spellEnd"/>
      <w:r w:rsidRPr="00550D35">
        <w:rPr>
          <w:lang w:val="lv-LV"/>
        </w:rPr>
        <w:t xml:space="preserve"> koridorā –3,7 milj. </w:t>
      </w:r>
      <w:proofErr w:type="spellStart"/>
      <w:r w:rsidRPr="00550D35">
        <w:rPr>
          <w:i/>
          <w:lang w:val="lv-LV"/>
        </w:rPr>
        <w:t>euro</w:t>
      </w:r>
      <w:proofErr w:type="spellEnd"/>
      <w:r w:rsidRPr="00550D35">
        <w:rPr>
          <w:lang w:val="lv-LV"/>
        </w:rPr>
        <w:t>.</w:t>
      </w:r>
    </w:p>
    <w:p w14:paraId="66BB8A47" w14:textId="77777777" w:rsidR="00D7475E" w:rsidRPr="00550D35" w:rsidRDefault="00D7475E" w:rsidP="00D7475E">
      <w:pPr>
        <w:rPr>
          <w:lang w:val="lv-LV"/>
        </w:rPr>
      </w:pPr>
      <w:r w:rsidRPr="00550D35">
        <w:rPr>
          <w:lang w:val="lv-LV"/>
        </w:rPr>
        <w:t xml:space="preserve">Vērojama operatoru investīciju nepietiekamība, lai varētu turpināt nodrošināt VHCN tīklus aizvien plašākai iedzīvotāju daļai arī mazāk apdzīvotās teritorijās par tādām pašām cenām kā blīvāk apdzīvotās teritorijās. </w:t>
      </w:r>
    </w:p>
    <w:p w14:paraId="43B4BCC7" w14:textId="77777777" w:rsidR="00D7475E" w:rsidRPr="00550D35" w:rsidRDefault="00D7475E" w:rsidP="00D7475E">
      <w:pPr>
        <w:pStyle w:val="Heading3"/>
        <w:numPr>
          <w:ilvl w:val="2"/>
          <w:numId w:val="33"/>
        </w:numPr>
        <w:rPr>
          <w:lang w:val="lv-LV"/>
        </w:rPr>
      </w:pPr>
      <w:r w:rsidRPr="00550D35">
        <w:rPr>
          <w:lang w:val="lv-LV"/>
        </w:rPr>
        <w:t>Pasākumu apraksts</w:t>
      </w:r>
    </w:p>
    <w:p w14:paraId="07BB0938" w14:textId="77777777" w:rsidR="00D7475E" w:rsidRPr="00550D35" w:rsidRDefault="00D7475E" w:rsidP="00D7475E">
      <w:pPr>
        <w:rPr>
          <w:lang w:val="lv-LV"/>
        </w:rPr>
      </w:pPr>
    </w:p>
    <w:tbl>
      <w:tblPr>
        <w:tblStyle w:val="TableGrid"/>
        <w:tblW w:w="5000" w:type="pct"/>
        <w:tblLook w:val="04A0" w:firstRow="1" w:lastRow="0" w:firstColumn="1" w:lastColumn="0" w:noHBand="0" w:noVBand="1"/>
      </w:tblPr>
      <w:tblGrid>
        <w:gridCol w:w="2663"/>
        <w:gridCol w:w="5944"/>
      </w:tblGrid>
      <w:tr w:rsidR="00D7475E" w:rsidRPr="003B2E9A" w14:paraId="72E6C8A3" w14:textId="77777777" w:rsidTr="00BA62A0">
        <w:tc>
          <w:tcPr>
            <w:tcW w:w="5000" w:type="pct"/>
            <w:gridSpan w:val="2"/>
          </w:tcPr>
          <w:p w14:paraId="2D5D648A" w14:textId="77777777" w:rsidR="00D7475E" w:rsidRPr="00550D35" w:rsidRDefault="00D7475E" w:rsidP="00BA62A0">
            <w:pPr>
              <w:ind w:firstLine="0"/>
              <w:contextualSpacing/>
              <w:rPr>
                <w:rFonts w:eastAsia="Wingdings 2"/>
                <w:sz w:val="20"/>
                <w:highlight w:val="black"/>
                <w:lang w:val="lv-LV"/>
              </w:rPr>
            </w:pPr>
            <w:r w:rsidRPr="00550D35">
              <w:rPr>
                <w:b/>
                <w:bCs/>
                <w:sz w:val="20"/>
                <w:lang w:val="lv-LV"/>
              </w:rPr>
              <w:lastRenderedPageBreak/>
              <w:t>Pasākums Nr.1</w:t>
            </w:r>
            <w:r w:rsidRPr="008A16C9">
              <w:rPr>
                <w:b/>
                <w:bCs/>
                <w:sz w:val="20"/>
                <w:lang w:val="lv-LV"/>
              </w:rPr>
              <w:t xml:space="preserve"> – ERAF 1.4.1.2. </w:t>
            </w:r>
            <w:r>
              <w:rPr>
                <w:b/>
                <w:bCs/>
                <w:sz w:val="20"/>
                <w:lang w:val="lv-LV"/>
              </w:rPr>
              <w:t>pasākums</w:t>
            </w:r>
            <w:r w:rsidRPr="008A16C9">
              <w:rPr>
                <w:b/>
                <w:bCs/>
                <w:sz w:val="20"/>
                <w:lang w:val="lv-LV"/>
              </w:rPr>
              <w:t xml:space="preserve"> </w:t>
            </w:r>
            <w:r>
              <w:rPr>
                <w:b/>
                <w:bCs/>
                <w:sz w:val="20"/>
                <w:lang w:val="lv-LV"/>
              </w:rPr>
              <w:t>“</w:t>
            </w:r>
            <w:r w:rsidRPr="008A16C9">
              <w:rPr>
                <w:b/>
                <w:bCs/>
                <w:sz w:val="20"/>
                <w:lang w:val="lv-LV"/>
              </w:rPr>
              <w:t xml:space="preserve">5G </w:t>
            </w:r>
            <w:r w:rsidRPr="00550D35">
              <w:rPr>
                <w:b/>
                <w:bCs/>
                <w:sz w:val="20"/>
                <w:lang w:val="lv-LV"/>
              </w:rPr>
              <w:t xml:space="preserve">infrastruktūras izbūve, </w:t>
            </w:r>
            <w:proofErr w:type="spellStart"/>
            <w:r w:rsidRPr="00550D35">
              <w:rPr>
                <w:b/>
                <w:bCs/>
                <w:sz w:val="20"/>
                <w:lang w:val="lv-LV"/>
              </w:rPr>
              <w:t>Via</w:t>
            </w:r>
            <w:proofErr w:type="spellEnd"/>
            <w:r w:rsidRPr="00550D35">
              <w:rPr>
                <w:b/>
                <w:bCs/>
                <w:sz w:val="20"/>
                <w:lang w:val="lv-LV"/>
              </w:rPr>
              <w:t xml:space="preserve"> </w:t>
            </w:r>
            <w:proofErr w:type="spellStart"/>
            <w:r w:rsidRPr="00550D35">
              <w:rPr>
                <w:b/>
                <w:bCs/>
                <w:sz w:val="20"/>
                <w:lang w:val="lv-LV"/>
              </w:rPr>
              <w:t>Baltica</w:t>
            </w:r>
            <w:proofErr w:type="spellEnd"/>
            <w:r w:rsidRPr="00550D35">
              <w:rPr>
                <w:b/>
                <w:bCs/>
                <w:sz w:val="20"/>
                <w:lang w:val="lv-LV"/>
              </w:rPr>
              <w:t xml:space="preserve"> un Rail </w:t>
            </w:r>
            <w:proofErr w:type="spellStart"/>
            <w:r w:rsidRPr="00550D35">
              <w:rPr>
                <w:b/>
                <w:bCs/>
                <w:sz w:val="20"/>
                <w:lang w:val="lv-LV"/>
              </w:rPr>
              <w:t>Baltica</w:t>
            </w:r>
            <w:proofErr w:type="spellEnd"/>
            <w:r>
              <w:rPr>
                <w:b/>
                <w:bCs/>
                <w:sz w:val="20"/>
                <w:lang w:val="lv-LV"/>
              </w:rPr>
              <w:t>”</w:t>
            </w:r>
            <w:r w:rsidRPr="00550D35" w:rsidDel="007E331A">
              <w:rPr>
                <w:b/>
                <w:bCs/>
                <w:sz w:val="20"/>
                <w:lang w:val="lv-LV"/>
              </w:rPr>
              <w:t xml:space="preserve"> </w:t>
            </w:r>
            <w:r w:rsidRPr="00550D35">
              <w:rPr>
                <w:sz w:val="20"/>
                <w:lang w:val="lv-LV"/>
              </w:rPr>
              <w:t xml:space="preserve">– projektos tiks izveidota elektronisko sakaru infrastruktūra, kas atbalstīs nepārtraukta mobilo sakaru tīkla  5G pārklājuma nodrošināšanu autoceļā </w:t>
            </w:r>
            <w:proofErr w:type="spellStart"/>
            <w:r w:rsidRPr="00550D35">
              <w:rPr>
                <w:sz w:val="20"/>
                <w:lang w:val="lv-LV"/>
              </w:rPr>
              <w:t>Via</w:t>
            </w:r>
            <w:proofErr w:type="spellEnd"/>
            <w:r w:rsidRPr="00550D35">
              <w:rPr>
                <w:sz w:val="20"/>
                <w:lang w:val="lv-LV"/>
              </w:rPr>
              <w:t xml:space="preserve"> </w:t>
            </w:r>
            <w:proofErr w:type="spellStart"/>
            <w:r w:rsidRPr="00550D35">
              <w:rPr>
                <w:sz w:val="20"/>
                <w:lang w:val="lv-LV"/>
              </w:rPr>
              <w:t>Baltica</w:t>
            </w:r>
            <w:proofErr w:type="spellEnd"/>
            <w:r w:rsidRPr="00550D35">
              <w:rPr>
                <w:sz w:val="20"/>
                <w:lang w:val="lv-LV"/>
              </w:rPr>
              <w:t xml:space="preserve"> un Rail </w:t>
            </w:r>
            <w:proofErr w:type="spellStart"/>
            <w:r w:rsidRPr="00550D35">
              <w:rPr>
                <w:sz w:val="20"/>
                <w:lang w:val="lv-LV"/>
              </w:rPr>
              <w:t>Baltica</w:t>
            </w:r>
            <w:proofErr w:type="spellEnd"/>
            <w:r w:rsidRPr="00550D35">
              <w:rPr>
                <w:sz w:val="20"/>
                <w:lang w:val="lv-LV"/>
              </w:rPr>
              <w:t>.</w:t>
            </w:r>
          </w:p>
        </w:tc>
      </w:tr>
      <w:tr w:rsidR="00D7475E" w:rsidRPr="00550D35" w14:paraId="76D606C7" w14:textId="77777777" w:rsidTr="00BA62A0">
        <w:tc>
          <w:tcPr>
            <w:tcW w:w="1547" w:type="pct"/>
          </w:tcPr>
          <w:p w14:paraId="1AAC127F" w14:textId="77777777" w:rsidR="00D7475E" w:rsidRPr="00550D35" w:rsidRDefault="00D7475E" w:rsidP="00BA62A0">
            <w:pPr>
              <w:ind w:firstLine="0"/>
              <w:rPr>
                <w:b/>
                <w:bCs/>
                <w:sz w:val="20"/>
                <w:lang w:val="lv-LV"/>
              </w:rPr>
            </w:pPr>
            <w:r w:rsidRPr="00550D35">
              <w:rPr>
                <w:b/>
                <w:bCs/>
                <w:sz w:val="20"/>
                <w:lang w:val="lv-LV"/>
              </w:rPr>
              <w:t>Jauns pasākums</w:t>
            </w:r>
          </w:p>
        </w:tc>
        <w:tc>
          <w:tcPr>
            <w:tcW w:w="3453" w:type="pct"/>
          </w:tcPr>
          <w:p w14:paraId="564E6096" w14:textId="77777777" w:rsidR="00D7475E" w:rsidRPr="00550D35" w:rsidRDefault="00AC141D" w:rsidP="00BA62A0">
            <w:pPr>
              <w:spacing w:before="0" w:after="120"/>
              <w:ind w:firstLine="0"/>
              <w:contextualSpacing/>
              <w:jc w:val="left"/>
              <w:rPr>
                <w:sz w:val="20"/>
                <w:lang w:val="lv-LV"/>
              </w:rPr>
            </w:pPr>
            <w:sdt>
              <w:sdtPr>
                <w:rPr>
                  <w:sz w:val="20"/>
                  <w:lang w:val="lv-LV"/>
                </w:rPr>
                <w:id w:val="-2140640402"/>
                <w14:checkbox>
                  <w14:checked w14:val="1"/>
                  <w14:checkedState w14:val="2612" w14:font="MS Gothic"/>
                  <w14:uncheckedState w14:val="2610" w14:font="MS Gothic"/>
                </w14:checkbox>
              </w:sdtPr>
              <w:sdtEndPr/>
              <w:sdtContent>
                <w:r w:rsidR="00D7475E" w:rsidRPr="00550D35">
                  <w:rPr>
                    <w:rFonts w:ascii="MS Gothic" w:eastAsia="MS Gothic" w:hAnsi="MS Gothic"/>
                    <w:sz w:val="20"/>
                    <w:lang w:val="lv-LV"/>
                  </w:rPr>
                  <w:t>☒</w:t>
                </w:r>
              </w:sdtContent>
            </w:sdt>
            <w:r w:rsidR="00D7475E" w:rsidRPr="00550D35">
              <w:rPr>
                <w:sz w:val="20"/>
                <w:lang w:val="lv-LV"/>
              </w:rPr>
              <w:t>jā</w:t>
            </w:r>
          </w:p>
          <w:p w14:paraId="17DC3B27" w14:textId="77777777" w:rsidR="00D7475E" w:rsidRPr="00550D35" w:rsidRDefault="00AC141D" w:rsidP="00BA62A0">
            <w:pPr>
              <w:spacing w:before="0" w:after="120"/>
              <w:ind w:firstLine="0"/>
              <w:contextualSpacing/>
              <w:jc w:val="left"/>
              <w:rPr>
                <w:sz w:val="20"/>
                <w:lang w:val="lv-LV"/>
              </w:rPr>
            </w:pPr>
            <w:sdt>
              <w:sdtPr>
                <w:rPr>
                  <w:sz w:val="20"/>
                  <w:lang w:val="lv-LV"/>
                </w:rPr>
                <w:id w:val="-1139573346"/>
                <w14:checkbox>
                  <w14:checked w14:val="0"/>
                  <w14:checkedState w14:val="2612" w14:font="MS Gothic"/>
                  <w14:uncheckedState w14:val="2610" w14:font="MS Gothic"/>
                </w14:checkbox>
              </w:sdtPr>
              <w:sdtEndPr/>
              <w:sdtContent>
                <w:r w:rsidR="00D7475E" w:rsidRPr="00550D35">
                  <w:rPr>
                    <w:rFonts w:ascii="MS Gothic" w:eastAsia="MS Gothic" w:hAnsi="MS Gothic"/>
                    <w:sz w:val="20"/>
                    <w:lang w:val="lv-LV"/>
                  </w:rPr>
                  <w:t>☐</w:t>
                </w:r>
              </w:sdtContent>
            </w:sdt>
            <w:r w:rsidR="00D7475E" w:rsidRPr="00550D35">
              <w:rPr>
                <w:rFonts w:eastAsia="MS Minngs"/>
                <w:sz w:val="20"/>
                <w:lang w:val="lv-LV"/>
              </w:rPr>
              <w:t xml:space="preserve"> </w:t>
            </w:r>
            <w:r w:rsidR="00D7475E" w:rsidRPr="00550D35">
              <w:rPr>
                <w:sz w:val="20"/>
                <w:lang w:val="lv-LV"/>
              </w:rPr>
              <w:t>nē</w:t>
            </w:r>
          </w:p>
        </w:tc>
      </w:tr>
      <w:tr w:rsidR="00D7475E" w:rsidRPr="003B2E9A" w14:paraId="0DC69C2F" w14:textId="77777777" w:rsidTr="00BA62A0">
        <w:tc>
          <w:tcPr>
            <w:tcW w:w="1547" w:type="pct"/>
          </w:tcPr>
          <w:p w14:paraId="0BCF08AA" w14:textId="77777777" w:rsidR="00D7475E" w:rsidRPr="00550D35" w:rsidRDefault="00D7475E" w:rsidP="00BA62A0">
            <w:pPr>
              <w:ind w:firstLine="0"/>
              <w:rPr>
                <w:b/>
                <w:bCs/>
                <w:sz w:val="20"/>
                <w:lang w:val="lv-LV"/>
              </w:rPr>
            </w:pPr>
            <w:r w:rsidRPr="00550D35">
              <w:rPr>
                <w:b/>
                <w:bCs/>
                <w:sz w:val="20"/>
                <w:lang w:val="lv-LV"/>
              </w:rPr>
              <w:t>Īss pasākuma apraksts</w:t>
            </w:r>
          </w:p>
        </w:tc>
        <w:tc>
          <w:tcPr>
            <w:tcW w:w="3453" w:type="pct"/>
          </w:tcPr>
          <w:p w14:paraId="208C2BB7" w14:textId="77777777" w:rsidR="00D7475E" w:rsidRPr="00550D35" w:rsidRDefault="00D7475E" w:rsidP="00BA62A0">
            <w:pPr>
              <w:ind w:firstLine="0"/>
              <w:contextualSpacing/>
              <w:rPr>
                <w:sz w:val="20"/>
                <w:lang w:val="lv-LV"/>
              </w:rPr>
            </w:pPr>
            <w:r w:rsidRPr="00550D35">
              <w:rPr>
                <w:sz w:val="20"/>
                <w:lang w:val="lv-LV"/>
              </w:rPr>
              <w:t xml:space="preserve">Elektronisko sakaru infrastruktūra, kas atbalstītu nepārtraukta 5G pārklājuma nodrošināšanu autoceļa </w:t>
            </w:r>
            <w:proofErr w:type="spellStart"/>
            <w:r w:rsidRPr="00550D35">
              <w:rPr>
                <w:sz w:val="20"/>
                <w:lang w:val="lv-LV"/>
              </w:rPr>
              <w:t>Via</w:t>
            </w:r>
            <w:proofErr w:type="spellEnd"/>
            <w:r w:rsidRPr="00550D35">
              <w:rPr>
                <w:sz w:val="20"/>
                <w:lang w:val="lv-LV"/>
              </w:rPr>
              <w:t xml:space="preserve"> </w:t>
            </w:r>
            <w:proofErr w:type="spellStart"/>
            <w:r w:rsidRPr="00550D35">
              <w:rPr>
                <w:sz w:val="20"/>
                <w:lang w:val="lv-LV"/>
              </w:rPr>
              <w:t>Baltica</w:t>
            </w:r>
            <w:proofErr w:type="spellEnd"/>
            <w:r w:rsidRPr="00550D35">
              <w:rPr>
                <w:sz w:val="20"/>
                <w:lang w:val="lv-LV"/>
              </w:rPr>
              <w:t xml:space="preserve"> un Rail </w:t>
            </w:r>
            <w:proofErr w:type="spellStart"/>
            <w:r w:rsidRPr="00550D35">
              <w:rPr>
                <w:sz w:val="20"/>
                <w:lang w:val="lv-LV"/>
              </w:rPr>
              <w:t>Baltica</w:t>
            </w:r>
            <w:proofErr w:type="spellEnd"/>
            <w:r w:rsidRPr="00550D35">
              <w:rPr>
                <w:sz w:val="20"/>
                <w:lang w:val="lv-LV"/>
              </w:rPr>
              <w:t xml:space="preserve"> koridorā.</w:t>
            </w:r>
          </w:p>
          <w:p w14:paraId="3C75C9AC" w14:textId="77777777" w:rsidR="00D7475E" w:rsidRPr="00550D35" w:rsidRDefault="00D7475E" w:rsidP="00BA62A0">
            <w:pPr>
              <w:spacing w:line="252" w:lineRule="auto"/>
              <w:ind w:firstLine="0"/>
              <w:rPr>
                <w:noProof/>
                <w:color w:val="000000" w:themeColor="text1"/>
                <w:sz w:val="20"/>
                <w:lang w:val="lv-LV"/>
              </w:rPr>
            </w:pPr>
            <w:r w:rsidRPr="00550D35">
              <w:rPr>
                <w:noProof/>
                <w:color w:val="000000" w:themeColor="text1"/>
                <w:sz w:val="20"/>
                <w:lang w:val="lv-LV"/>
              </w:rPr>
              <w:t xml:space="preserve">Ņemot vērā iepriekš minēto, ir sagaidāms, ka šis pasākums dos tiešu ieguldījumu Savienojamības mērķa sasniegšanā, lai nākotnē būtu </w:t>
            </w:r>
            <w:r w:rsidRPr="00550D35">
              <w:rPr>
                <w:sz w:val="20"/>
                <w:lang w:val="lv-LV"/>
              </w:rPr>
              <w:t xml:space="preserve">5G pārklājuma nodrošināšanu autoceļa </w:t>
            </w:r>
            <w:proofErr w:type="spellStart"/>
            <w:r w:rsidRPr="00550D35">
              <w:rPr>
                <w:sz w:val="20"/>
                <w:lang w:val="lv-LV"/>
              </w:rPr>
              <w:t>Via</w:t>
            </w:r>
            <w:proofErr w:type="spellEnd"/>
            <w:r w:rsidRPr="00550D35">
              <w:rPr>
                <w:sz w:val="20"/>
                <w:lang w:val="lv-LV"/>
              </w:rPr>
              <w:t xml:space="preserve"> </w:t>
            </w:r>
            <w:proofErr w:type="spellStart"/>
            <w:r w:rsidRPr="00550D35">
              <w:rPr>
                <w:sz w:val="20"/>
                <w:lang w:val="lv-LV"/>
              </w:rPr>
              <w:t>Baltica</w:t>
            </w:r>
            <w:proofErr w:type="spellEnd"/>
            <w:r w:rsidRPr="00550D35">
              <w:rPr>
                <w:sz w:val="20"/>
                <w:lang w:val="lv-LV"/>
              </w:rPr>
              <w:t xml:space="preserve"> un Rail </w:t>
            </w:r>
            <w:proofErr w:type="spellStart"/>
            <w:r w:rsidRPr="00550D35">
              <w:rPr>
                <w:sz w:val="20"/>
                <w:lang w:val="lv-LV"/>
              </w:rPr>
              <w:t>Baltica</w:t>
            </w:r>
            <w:proofErr w:type="spellEnd"/>
            <w:r w:rsidRPr="00550D35">
              <w:rPr>
                <w:sz w:val="20"/>
                <w:lang w:val="lv-LV"/>
              </w:rPr>
              <w:t xml:space="preserve"> koridorā.</w:t>
            </w:r>
          </w:p>
        </w:tc>
      </w:tr>
      <w:tr w:rsidR="00D7475E" w:rsidRPr="003B2E9A" w14:paraId="4AC80A82" w14:textId="77777777" w:rsidTr="00BA62A0">
        <w:tc>
          <w:tcPr>
            <w:tcW w:w="1547" w:type="pct"/>
            <w:shd w:val="clear" w:color="auto" w:fill="auto"/>
          </w:tcPr>
          <w:p w14:paraId="1762829B" w14:textId="2318EFFA" w:rsidR="00D7475E" w:rsidRPr="00550D35" w:rsidRDefault="00D7475E" w:rsidP="00BA62A0">
            <w:pPr>
              <w:ind w:firstLine="0"/>
              <w:rPr>
                <w:b/>
                <w:bCs/>
                <w:sz w:val="20"/>
                <w:lang w:val="lv-LV"/>
              </w:rPr>
            </w:pPr>
            <w:r w:rsidRPr="00550D35">
              <w:rPr>
                <w:b/>
                <w:bCs/>
                <w:sz w:val="20"/>
                <w:lang w:val="lv-LV"/>
              </w:rPr>
              <w:t>Piešķirtais vai plānotais budžets un, ja atbilstoši, citi resursi</w:t>
            </w:r>
          </w:p>
        </w:tc>
        <w:tc>
          <w:tcPr>
            <w:tcW w:w="3453" w:type="pct"/>
            <w:shd w:val="clear" w:color="auto" w:fill="auto"/>
          </w:tcPr>
          <w:p w14:paraId="39392B62" w14:textId="77777777" w:rsidR="00D7475E" w:rsidRPr="00550D35" w:rsidRDefault="00D7475E" w:rsidP="00BA62A0">
            <w:pPr>
              <w:spacing w:after="0" w:line="120" w:lineRule="atLeast"/>
              <w:ind w:firstLine="0"/>
              <w:rPr>
                <w:noProof/>
                <w:color w:val="000000" w:themeColor="text1"/>
                <w:sz w:val="20"/>
                <w:lang w:val="lv-LV"/>
              </w:rPr>
            </w:pPr>
            <w:r w:rsidRPr="00550D35">
              <w:rPr>
                <w:noProof/>
                <w:color w:val="000000" w:themeColor="text1"/>
                <w:sz w:val="20"/>
                <w:lang w:val="lv-LV"/>
              </w:rPr>
              <w:t>Plānotais budžets:</w:t>
            </w:r>
          </w:p>
          <w:p w14:paraId="6142157B" w14:textId="77777777" w:rsidR="00D7475E" w:rsidRPr="00550D35" w:rsidRDefault="00D7475E" w:rsidP="00BA62A0">
            <w:pPr>
              <w:spacing w:after="0" w:line="120" w:lineRule="atLeast"/>
              <w:ind w:firstLine="0"/>
              <w:rPr>
                <w:noProof/>
                <w:color w:val="000000" w:themeColor="text1"/>
                <w:sz w:val="20"/>
                <w:lang w:val="lv-LV"/>
              </w:rPr>
            </w:pPr>
            <w:r w:rsidRPr="00550D35">
              <w:rPr>
                <w:noProof/>
                <w:color w:val="000000" w:themeColor="text1"/>
                <w:sz w:val="20"/>
                <w:lang w:val="lv-LV"/>
              </w:rPr>
              <w:t xml:space="preserve">ERAF 2021-2027 finansējums 10,7 milj.  </w:t>
            </w:r>
            <w:r w:rsidRPr="00550D35">
              <w:rPr>
                <w:i/>
                <w:iCs/>
                <w:noProof/>
                <w:color w:val="000000" w:themeColor="text1"/>
                <w:sz w:val="20"/>
                <w:lang w:val="lv-LV"/>
              </w:rPr>
              <w:t>euro</w:t>
            </w:r>
            <w:r w:rsidRPr="00550D35">
              <w:rPr>
                <w:noProof/>
                <w:color w:val="000000" w:themeColor="text1"/>
                <w:sz w:val="20"/>
                <w:lang w:val="lv-LV"/>
              </w:rPr>
              <w:t xml:space="preserve"> (85 %);</w:t>
            </w:r>
          </w:p>
          <w:p w14:paraId="3F3F0971" w14:textId="0D963AA0" w:rsidR="00D7475E" w:rsidRPr="00550D35" w:rsidRDefault="00D7475E" w:rsidP="00BA62A0">
            <w:pPr>
              <w:spacing w:after="0" w:line="120" w:lineRule="atLeast"/>
              <w:ind w:firstLine="0"/>
              <w:rPr>
                <w:noProof/>
                <w:color w:val="000000" w:themeColor="text1"/>
                <w:sz w:val="20"/>
                <w:lang w:val="lv-LV"/>
              </w:rPr>
            </w:pPr>
            <w:r w:rsidRPr="00550D35">
              <w:rPr>
                <w:noProof/>
                <w:color w:val="000000" w:themeColor="text1"/>
                <w:sz w:val="20"/>
                <w:lang w:val="lv-LV"/>
              </w:rPr>
              <w:t xml:space="preserve">Privātais līdzfinansējums </w:t>
            </w:r>
            <w:r w:rsidR="0030062B">
              <w:rPr>
                <w:noProof/>
                <w:color w:val="000000" w:themeColor="text1"/>
                <w:sz w:val="20"/>
                <w:lang w:val="lv-LV"/>
              </w:rPr>
              <w:t>1,9</w:t>
            </w:r>
            <w:r w:rsidR="003E37CB">
              <w:rPr>
                <w:noProof/>
                <w:color w:val="000000" w:themeColor="text1"/>
                <w:sz w:val="20"/>
                <w:lang w:val="lv-LV"/>
              </w:rPr>
              <w:t> milj. </w:t>
            </w:r>
            <w:r w:rsidR="003E37CB" w:rsidRPr="003E37CB">
              <w:rPr>
                <w:i/>
                <w:iCs/>
                <w:noProof/>
                <w:color w:val="000000" w:themeColor="text1"/>
                <w:sz w:val="20"/>
                <w:lang w:val="lv-LV"/>
              </w:rPr>
              <w:t>euro</w:t>
            </w:r>
            <w:r w:rsidR="003E37CB">
              <w:rPr>
                <w:noProof/>
                <w:color w:val="000000" w:themeColor="text1"/>
                <w:sz w:val="20"/>
                <w:lang w:val="lv-LV"/>
              </w:rPr>
              <w:t xml:space="preserve"> </w:t>
            </w:r>
            <w:r w:rsidRPr="00550D35">
              <w:rPr>
                <w:noProof/>
                <w:color w:val="000000" w:themeColor="text1"/>
                <w:sz w:val="20"/>
                <w:lang w:val="lv-LV"/>
              </w:rPr>
              <w:t xml:space="preserve">(15 %); </w:t>
            </w:r>
          </w:p>
          <w:p w14:paraId="705A1442" w14:textId="77777777" w:rsidR="00D7475E" w:rsidRPr="00550D35" w:rsidRDefault="00D7475E" w:rsidP="00BA62A0">
            <w:pPr>
              <w:spacing w:after="0" w:line="120" w:lineRule="atLeast"/>
              <w:ind w:firstLine="0"/>
              <w:rPr>
                <w:noProof/>
                <w:color w:val="000000" w:themeColor="text1"/>
                <w:sz w:val="20"/>
                <w:lang w:val="lv-LV"/>
              </w:rPr>
            </w:pPr>
            <w:r w:rsidRPr="00550D35">
              <w:rPr>
                <w:noProof/>
                <w:color w:val="000000" w:themeColor="text1"/>
                <w:sz w:val="20"/>
                <w:lang w:val="lv-LV"/>
              </w:rPr>
              <w:t xml:space="preserve">Eiropas infrastruktūras savienošanas instruments – finansējuma apjoms vēl nav zināms  </w:t>
            </w:r>
          </w:p>
        </w:tc>
      </w:tr>
      <w:tr w:rsidR="00D7475E" w:rsidRPr="00550D35" w14:paraId="459E4E3E" w14:textId="77777777" w:rsidTr="00BA62A0">
        <w:tc>
          <w:tcPr>
            <w:tcW w:w="1547" w:type="pct"/>
          </w:tcPr>
          <w:p w14:paraId="7747F1AB" w14:textId="77777777" w:rsidR="00D7475E" w:rsidRPr="00550D35" w:rsidRDefault="00D7475E" w:rsidP="00BA62A0">
            <w:pPr>
              <w:ind w:firstLine="0"/>
              <w:rPr>
                <w:b/>
                <w:bCs/>
                <w:sz w:val="20"/>
                <w:lang w:val="lv-LV"/>
              </w:rPr>
            </w:pPr>
            <w:r w:rsidRPr="00550D35">
              <w:rPr>
                <w:b/>
                <w:bCs/>
                <w:sz w:val="20"/>
                <w:lang w:val="lv-LV"/>
              </w:rPr>
              <w:t>Sagaidāmā ietekme un laika ietvars</w:t>
            </w:r>
          </w:p>
        </w:tc>
        <w:tc>
          <w:tcPr>
            <w:tcW w:w="3453" w:type="pct"/>
          </w:tcPr>
          <w:p w14:paraId="1E0F2229" w14:textId="77777777" w:rsidR="00D7475E" w:rsidRPr="00550D35" w:rsidRDefault="00D7475E" w:rsidP="00BA62A0">
            <w:pPr>
              <w:ind w:firstLine="0"/>
              <w:rPr>
                <w:sz w:val="20"/>
                <w:lang w:val="lv-LV"/>
              </w:rPr>
            </w:pPr>
            <w:r w:rsidRPr="00550D35">
              <w:rPr>
                <w:sz w:val="20"/>
                <w:lang w:val="lv-LV"/>
              </w:rPr>
              <w:t>Investīcijas ietvaros sasniedzamais atskaites punkts un mērķis:</w:t>
            </w:r>
            <w:r w:rsidRPr="00550D35">
              <w:rPr>
                <w:sz w:val="20"/>
                <w:lang w:val="lv-LV"/>
              </w:rPr>
              <w:br/>
              <w:t xml:space="preserve">Tehnisko prasību pieņemšana savienotai un automatizētai braukšanai, līdz 30.12. 2021. (sasniegts); 5G pieejamība </w:t>
            </w:r>
            <w:proofErr w:type="spellStart"/>
            <w:r w:rsidRPr="00550D35">
              <w:rPr>
                <w:sz w:val="20"/>
                <w:lang w:val="lv-LV"/>
              </w:rPr>
              <w:t>Via</w:t>
            </w:r>
            <w:proofErr w:type="spellEnd"/>
            <w:r w:rsidRPr="00550D35">
              <w:rPr>
                <w:sz w:val="20"/>
                <w:lang w:val="lv-LV"/>
              </w:rPr>
              <w:t xml:space="preserve"> </w:t>
            </w:r>
            <w:proofErr w:type="spellStart"/>
            <w:r w:rsidRPr="00550D35">
              <w:rPr>
                <w:sz w:val="20"/>
                <w:lang w:val="lv-LV"/>
              </w:rPr>
              <w:t>Baltica</w:t>
            </w:r>
            <w:proofErr w:type="spellEnd"/>
            <w:r w:rsidRPr="00550D35">
              <w:rPr>
                <w:sz w:val="20"/>
                <w:lang w:val="lv-LV"/>
              </w:rPr>
              <w:t xml:space="preserve"> un Rail </w:t>
            </w:r>
            <w:proofErr w:type="spellStart"/>
            <w:r w:rsidRPr="00550D35">
              <w:rPr>
                <w:sz w:val="20"/>
                <w:lang w:val="lv-LV"/>
              </w:rPr>
              <w:t>Baltica</w:t>
            </w:r>
            <w:proofErr w:type="spellEnd"/>
            <w:r w:rsidRPr="00550D35">
              <w:rPr>
                <w:sz w:val="20"/>
                <w:lang w:val="lv-LV"/>
              </w:rPr>
              <w:t xml:space="preserve"> trasē (100 %) līdz 31.12.2029. (mērķis). </w:t>
            </w:r>
          </w:p>
        </w:tc>
      </w:tr>
    </w:tbl>
    <w:p w14:paraId="652C8813" w14:textId="77777777" w:rsidR="00D7475E" w:rsidRPr="00550D35" w:rsidRDefault="00D7475E" w:rsidP="00D7475E">
      <w:pPr>
        <w:rPr>
          <w:b/>
          <w:bCs/>
          <w:sz w:val="20"/>
          <w:lang w:val="lv-LV"/>
        </w:rPr>
      </w:pPr>
    </w:p>
    <w:tbl>
      <w:tblPr>
        <w:tblStyle w:val="TableGrid"/>
        <w:tblW w:w="5000" w:type="pct"/>
        <w:tblLook w:val="04A0" w:firstRow="1" w:lastRow="0" w:firstColumn="1" w:lastColumn="0" w:noHBand="0" w:noVBand="1"/>
      </w:tblPr>
      <w:tblGrid>
        <w:gridCol w:w="2663"/>
        <w:gridCol w:w="5944"/>
      </w:tblGrid>
      <w:tr w:rsidR="00D7475E" w:rsidRPr="003B2E9A" w14:paraId="0CCFFAE3" w14:textId="77777777" w:rsidTr="00BA62A0">
        <w:tc>
          <w:tcPr>
            <w:tcW w:w="5000" w:type="pct"/>
            <w:gridSpan w:val="2"/>
          </w:tcPr>
          <w:p w14:paraId="786D1BCA" w14:textId="77777777" w:rsidR="00D7475E" w:rsidRPr="00157985" w:rsidRDefault="00D7475E" w:rsidP="00BA62A0">
            <w:pPr>
              <w:ind w:firstLine="0"/>
              <w:contextualSpacing/>
              <w:rPr>
                <w:rFonts w:eastAsia="Wingdings 2"/>
                <w:sz w:val="20"/>
                <w:highlight w:val="black"/>
                <w:lang w:val="lv-LV"/>
              </w:rPr>
            </w:pPr>
            <w:r w:rsidRPr="00157985">
              <w:rPr>
                <w:b/>
                <w:bCs/>
                <w:sz w:val="20"/>
                <w:lang w:val="lv-LV"/>
              </w:rPr>
              <w:t>Pasākums Nr.</w:t>
            </w:r>
            <w:r w:rsidRPr="00061502">
              <w:rPr>
                <w:b/>
                <w:bCs/>
                <w:sz w:val="20"/>
                <w:lang w:val="lv-LV"/>
              </w:rPr>
              <w:t xml:space="preserve">2 – ANM plāna investīcija 2.4.1.2.i.  un  ERAF 2021-2027 “Platjoslas jeb ļoti augstas veiktspējas tīklu “pēdējās jūdzes” infrastruktūras attīstība” </w:t>
            </w:r>
            <w:r w:rsidRPr="00061502">
              <w:rPr>
                <w:sz w:val="20"/>
                <w:lang w:val="lv-LV"/>
              </w:rPr>
              <w:t xml:space="preserve">–paredzēts, ka atklāta konkursa rezultātā izvēlēts elektronisko sakaru komersants/-i izveidos ļoti augstas veiktspējas tīklu “pēdējās jūdzes” </w:t>
            </w:r>
            <w:proofErr w:type="spellStart"/>
            <w:r w:rsidRPr="00061502">
              <w:rPr>
                <w:sz w:val="20"/>
                <w:lang w:val="lv-LV"/>
              </w:rPr>
              <w:t>pieslēgumus</w:t>
            </w:r>
            <w:proofErr w:type="spellEnd"/>
            <w:r w:rsidRPr="00061502">
              <w:rPr>
                <w:sz w:val="20"/>
                <w:lang w:val="lv-LV"/>
              </w:rPr>
              <w:t xml:space="preserve"> mājsaimniecībās, uzņēmumos</w:t>
            </w:r>
            <w:r w:rsidRPr="00157985">
              <w:rPr>
                <w:sz w:val="20"/>
                <w:lang w:val="lv-LV"/>
              </w:rPr>
              <w:t>, izglītības iestādēs, ārstniecības iestādēs un citās sabiedriskajās ēkās.</w:t>
            </w:r>
          </w:p>
        </w:tc>
      </w:tr>
      <w:tr w:rsidR="00D7475E" w:rsidRPr="00550D35" w14:paraId="5ABCE798" w14:textId="77777777" w:rsidTr="00BA62A0">
        <w:tc>
          <w:tcPr>
            <w:tcW w:w="1547" w:type="pct"/>
          </w:tcPr>
          <w:p w14:paraId="21D89C86" w14:textId="77777777" w:rsidR="00D7475E" w:rsidRPr="00550D35" w:rsidRDefault="00D7475E" w:rsidP="00BA62A0">
            <w:pPr>
              <w:rPr>
                <w:b/>
                <w:bCs/>
                <w:sz w:val="20"/>
                <w:lang w:val="lv-LV"/>
              </w:rPr>
            </w:pPr>
            <w:r w:rsidRPr="00550D35">
              <w:rPr>
                <w:b/>
                <w:bCs/>
                <w:sz w:val="20"/>
                <w:lang w:val="lv-LV"/>
              </w:rPr>
              <w:t>Jauns pasākums</w:t>
            </w:r>
          </w:p>
        </w:tc>
        <w:tc>
          <w:tcPr>
            <w:tcW w:w="3453" w:type="pct"/>
          </w:tcPr>
          <w:p w14:paraId="0DF99427" w14:textId="77777777" w:rsidR="00D7475E" w:rsidRPr="00550D35" w:rsidRDefault="00AC141D" w:rsidP="00BA62A0">
            <w:pPr>
              <w:spacing w:before="0" w:after="120"/>
              <w:ind w:firstLine="0"/>
              <w:contextualSpacing/>
              <w:jc w:val="left"/>
              <w:rPr>
                <w:rFonts w:eastAsia="MS Minngs"/>
                <w:sz w:val="20"/>
                <w:lang w:val="lv-LV"/>
              </w:rPr>
            </w:pPr>
            <w:sdt>
              <w:sdtPr>
                <w:rPr>
                  <w:rFonts w:ascii="Wingdings 2" w:eastAsia="Wingdings 2" w:hAnsi="Wingdings 2" w:cs="Wingdings 2"/>
                  <w:sz w:val="20"/>
                  <w:lang w:val="lv-LV"/>
                </w:rPr>
                <w:id w:val="1755787633"/>
                <w14:checkbox>
                  <w14:checked w14:val="0"/>
                  <w14:checkedState w14:val="2612" w14:font="MS Gothic"/>
                  <w14:uncheckedState w14:val="2610" w14:font="MS Gothic"/>
                </w14:checkbox>
              </w:sdtPr>
              <w:sdtEndPr/>
              <w:sdtContent>
                <w:r w:rsidR="00D7475E" w:rsidRPr="00550D35">
                  <w:rPr>
                    <w:rFonts w:ascii="MS Gothic" w:eastAsia="MS Gothic" w:hAnsi="MS Gothic" w:cs="Wingdings 2"/>
                    <w:sz w:val="20"/>
                    <w:lang w:val="lv-LV"/>
                  </w:rPr>
                  <w:t>☐</w:t>
                </w:r>
              </w:sdtContent>
            </w:sdt>
            <w:r w:rsidR="00D7475E" w:rsidRPr="00550D35">
              <w:rPr>
                <w:rFonts w:eastAsia="MS Minngs"/>
                <w:sz w:val="20"/>
                <w:lang w:val="lv-LV"/>
              </w:rPr>
              <w:t xml:space="preserve"> jā</w:t>
            </w:r>
          </w:p>
          <w:p w14:paraId="3AB55CFB" w14:textId="77777777" w:rsidR="00D7475E" w:rsidRPr="00550D35" w:rsidRDefault="00AC141D" w:rsidP="00BA62A0">
            <w:pPr>
              <w:spacing w:before="0" w:after="120"/>
              <w:ind w:firstLine="0"/>
              <w:contextualSpacing/>
              <w:jc w:val="left"/>
              <w:rPr>
                <w:sz w:val="20"/>
                <w:lang w:val="lv-LV"/>
              </w:rPr>
            </w:pPr>
            <w:sdt>
              <w:sdtPr>
                <w:rPr>
                  <w:rFonts w:ascii="Wingdings 2" w:eastAsia="Wingdings 2" w:hAnsi="Wingdings 2" w:cs="Wingdings 2"/>
                  <w:sz w:val="20"/>
                  <w:lang w:val="lv-LV"/>
                </w:rPr>
                <w:id w:val="68630216"/>
                <w14:checkbox>
                  <w14:checked w14:val="1"/>
                  <w14:checkedState w14:val="2612" w14:font="MS Gothic"/>
                  <w14:uncheckedState w14:val="2610" w14:font="MS Gothic"/>
                </w14:checkbox>
              </w:sdtPr>
              <w:sdtEndPr/>
              <w:sdtContent>
                <w:r w:rsidR="00D7475E" w:rsidRPr="00550D35">
                  <w:rPr>
                    <w:rFonts w:ascii="MS Gothic" w:eastAsia="MS Gothic" w:hAnsi="MS Gothic" w:cs="Wingdings 2"/>
                    <w:sz w:val="20"/>
                    <w:lang w:val="lv-LV"/>
                  </w:rPr>
                  <w:t>☒</w:t>
                </w:r>
              </w:sdtContent>
            </w:sdt>
            <w:r w:rsidR="00D7475E" w:rsidRPr="00550D35">
              <w:rPr>
                <w:rFonts w:eastAsia="MS Minngs"/>
                <w:sz w:val="20"/>
                <w:lang w:val="lv-LV"/>
              </w:rPr>
              <w:t xml:space="preserve"> nē</w:t>
            </w:r>
          </w:p>
        </w:tc>
      </w:tr>
      <w:tr w:rsidR="00D7475E" w:rsidRPr="003B2E9A" w14:paraId="29647ADB" w14:textId="77777777" w:rsidTr="00BA62A0">
        <w:tc>
          <w:tcPr>
            <w:tcW w:w="1547" w:type="pct"/>
          </w:tcPr>
          <w:p w14:paraId="1C0D86F7" w14:textId="77777777" w:rsidR="00D7475E" w:rsidRPr="00550D35" w:rsidRDefault="00D7475E" w:rsidP="0085330A">
            <w:pPr>
              <w:ind w:firstLine="0"/>
              <w:rPr>
                <w:b/>
                <w:bCs/>
                <w:sz w:val="20"/>
                <w:lang w:val="lv-LV"/>
              </w:rPr>
            </w:pPr>
            <w:r w:rsidRPr="00550D35">
              <w:rPr>
                <w:b/>
                <w:bCs/>
                <w:sz w:val="20"/>
                <w:lang w:val="lv-LV"/>
              </w:rPr>
              <w:t>Īss pasākuma apraksts</w:t>
            </w:r>
          </w:p>
        </w:tc>
        <w:tc>
          <w:tcPr>
            <w:tcW w:w="3453" w:type="pct"/>
          </w:tcPr>
          <w:p w14:paraId="4DFF75EA" w14:textId="77777777" w:rsidR="00D7475E" w:rsidRPr="00550D35" w:rsidRDefault="00D7475E" w:rsidP="00BA62A0">
            <w:pPr>
              <w:ind w:firstLine="0"/>
              <w:contextualSpacing/>
              <w:rPr>
                <w:sz w:val="20"/>
                <w:lang w:val="lv-LV"/>
              </w:rPr>
            </w:pPr>
            <w:r w:rsidRPr="00550D35">
              <w:rPr>
                <w:sz w:val="20"/>
                <w:lang w:val="lv-LV"/>
              </w:rPr>
              <w:t xml:space="preserve">Projekts “Platjoslas jeb ļoti augstas veiktspējas tīklu “pēdējās jūdzes” infrastruktūras attīstība”, kur paredzēts, ka atklāta konkursa rezultātā izvēlēts elektronisko sakaru komersants izveidos VHCN “pēdējās jūdzes” </w:t>
            </w:r>
            <w:proofErr w:type="spellStart"/>
            <w:r w:rsidRPr="00550D35">
              <w:rPr>
                <w:sz w:val="20"/>
                <w:lang w:val="lv-LV"/>
              </w:rPr>
              <w:t>pieslēgumus</w:t>
            </w:r>
            <w:proofErr w:type="spellEnd"/>
            <w:r w:rsidRPr="00550D35">
              <w:rPr>
                <w:sz w:val="20"/>
                <w:lang w:val="lv-LV"/>
              </w:rPr>
              <w:t xml:space="preserve"> mājsaimniecībās, uzņēmumos, skolās, ārstniecības iestādēs un citās sabiedriskajās ēkās atbilstoši EK 2014. gada 17. jūnija regulas Nr. 651/2014 52. pantam.</w:t>
            </w:r>
          </w:p>
          <w:p w14:paraId="5C5B7716" w14:textId="77777777" w:rsidR="00D7475E" w:rsidRPr="00550D35" w:rsidRDefault="00D7475E" w:rsidP="00BA62A0">
            <w:pPr>
              <w:ind w:firstLine="0"/>
              <w:contextualSpacing/>
              <w:rPr>
                <w:noProof/>
                <w:color w:val="000000" w:themeColor="text1"/>
                <w:sz w:val="20"/>
                <w:u w:val="single"/>
                <w:lang w:val="lv-LV"/>
              </w:rPr>
            </w:pPr>
            <w:r w:rsidRPr="00550D35">
              <w:rPr>
                <w:sz w:val="20"/>
                <w:lang w:val="lv-LV"/>
              </w:rPr>
              <w:t>Pēc valsts atbalsta programmas un MK noteikumu precizēšanas atbilstoši FM komentāriem u.c. institūciju komentāriem, kā arī tulkojuma veikšanas uzsāktas sarunas ar EK.</w:t>
            </w:r>
            <w:r w:rsidRPr="00550D35">
              <w:rPr>
                <w:sz w:val="20"/>
                <w:lang w:val="lv-LV"/>
              </w:rPr>
              <w:br/>
              <w:t xml:space="preserve">- 2023. gada 13.jūlija sanāksmē ar EK secināts, ka iespējams piemērot EK 2014. gada 17. jūnija Regulas (ES) Nr. 651/2014, ar ko noteiktas atbalsta kategorijas atzīst par saderīgām ar iekšējo tirgu, piemērojot Līguma 107. un 108. pantu, 52. pants, ņemot vērā grozījumus, kas stājās spēkā 2023.gada 1. jūlijā. </w:t>
            </w:r>
            <w:r w:rsidRPr="00157985">
              <w:rPr>
                <w:sz w:val="20"/>
                <w:lang w:val="lv-LV"/>
              </w:rPr>
              <w:t>Līdz ar to, nav nepieciešams EK lēmums par saderību ar iekšējo tirgu un projektu atlases plānots uzsākt pēc MK noteikumu pieņemšanas</w:t>
            </w:r>
            <w:r w:rsidRPr="00550D35">
              <w:rPr>
                <w:sz w:val="20"/>
                <w:lang w:val="lv-LV"/>
              </w:rPr>
              <w:t>.</w:t>
            </w:r>
          </w:p>
          <w:p w14:paraId="3BF4621B" w14:textId="77777777" w:rsidR="00D7475E" w:rsidRPr="00550D35" w:rsidRDefault="00D7475E" w:rsidP="00BA62A0">
            <w:pPr>
              <w:spacing w:line="252" w:lineRule="auto"/>
              <w:ind w:firstLine="0"/>
              <w:rPr>
                <w:noProof/>
                <w:color w:val="000000" w:themeColor="text1"/>
                <w:sz w:val="20"/>
                <w:lang w:val="lv-LV"/>
              </w:rPr>
            </w:pPr>
            <w:r w:rsidRPr="00550D35">
              <w:rPr>
                <w:noProof/>
                <w:color w:val="000000" w:themeColor="text1"/>
                <w:sz w:val="20"/>
                <w:lang w:val="lv-LV"/>
              </w:rPr>
              <w:t>Ņemot vērā iepriekš minēto, ir sagaidāms, ka šis pasākums dos tiešu ieguldījumu Savienojamības mērķa sasniegšanā.</w:t>
            </w:r>
          </w:p>
        </w:tc>
      </w:tr>
      <w:tr w:rsidR="00D7475E" w:rsidRPr="003B2E9A" w14:paraId="32685593" w14:textId="77777777" w:rsidTr="00BA62A0">
        <w:tc>
          <w:tcPr>
            <w:tcW w:w="1547" w:type="pct"/>
            <w:shd w:val="clear" w:color="auto" w:fill="auto"/>
          </w:tcPr>
          <w:p w14:paraId="0EC9DD42" w14:textId="11B7531C" w:rsidR="00D7475E" w:rsidRPr="00550D35" w:rsidRDefault="00D7475E" w:rsidP="00BA62A0">
            <w:pPr>
              <w:ind w:firstLine="0"/>
              <w:rPr>
                <w:b/>
                <w:bCs/>
                <w:sz w:val="20"/>
                <w:lang w:val="lv-LV"/>
              </w:rPr>
            </w:pPr>
            <w:r w:rsidRPr="00550D35">
              <w:rPr>
                <w:b/>
                <w:bCs/>
                <w:sz w:val="20"/>
                <w:lang w:val="lv-LV"/>
              </w:rPr>
              <w:t>Piešķirtais vai plānotais budžets un, ja atbilstoši, citi resursi</w:t>
            </w:r>
          </w:p>
        </w:tc>
        <w:tc>
          <w:tcPr>
            <w:tcW w:w="3453" w:type="pct"/>
            <w:shd w:val="clear" w:color="auto" w:fill="auto"/>
          </w:tcPr>
          <w:p w14:paraId="7139DB34" w14:textId="77777777" w:rsidR="00D7475E" w:rsidRPr="00550D35" w:rsidRDefault="00D7475E" w:rsidP="00BA62A0">
            <w:pPr>
              <w:spacing w:after="0" w:line="120" w:lineRule="atLeast"/>
              <w:ind w:firstLine="0"/>
              <w:rPr>
                <w:noProof/>
                <w:color w:val="000000" w:themeColor="text1"/>
                <w:sz w:val="20"/>
                <w:lang w:val="lv-LV"/>
              </w:rPr>
            </w:pPr>
            <w:r w:rsidRPr="00550D35">
              <w:rPr>
                <w:noProof/>
                <w:color w:val="000000" w:themeColor="text1"/>
                <w:sz w:val="20"/>
                <w:lang w:val="lv-LV"/>
              </w:rPr>
              <w:t>Plānotais budžets:</w:t>
            </w:r>
          </w:p>
          <w:p w14:paraId="539B5CDD" w14:textId="77777777" w:rsidR="00D7475E" w:rsidRPr="00550D35" w:rsidRDefault="00D7475E" w:rsidP="00BA62A0">
            <w:pPr>
              <w:spacing w:after="0"/>
              <w:ind w:firstLine="0"/>
              <w:rPr>
                <w:sz w:val="20"/>
                <w:lang w:val="lv-LV"/>
              </w:rPr>
            </w:pPr>
            <w:r w:rsidRPr="00550D35">
              <w:rPr>
                <w:noProof/>
                <w:color w:val="000000" w:themeColor="text1"/>
                <w:sz w:val="20"/>
                <w:lang w:val="lv-LV"/>
              </w:rPr>
              <w:t xml:space="preserve">ANM finansējums – </w:t>
            </w:r>
            <w:r w:rsidRPr="00550D35">
              <w:rPr>
                <w:sz w:val="20"/>
                <w:lang w:val="lv-LV"/>
              </w:rPr>
              <w:t>16,5 milj.  </w:t>
            </w:r>
            <w:proofErr w:type="spellStart"/>
            <w:r w:rsidRPr="00550D35">
              <w:rPr>
                <w:i/>
                <w:sz w:val="20"/>
                <w:lang w:val="lv-LV"/>
              </w:rPr>
              <w:t>euro</w:t>
            </w:r>
            <w:proofErr w:type="spellEnd"/>
            <w:r w:rsidRPr="00550D35">
              <w:rPr>
                <w:sz w:val="20"/>
                <w:lang w:val="lv-LV"/>
              </w:rPr>
              <w:t xml:space="preserve"> – ANM (100 %);</w:t>
            </w:r>
          </w:p>
          <w:p w14:paraId="0A46779C" w14:textId="254E5281" w:rsidR="00D7475E" w:rsidRPr="00550D35" w:rsidRDefault="00D7475E" w:rsidP="00BA62A0">
            <w:pPr>
              <w:spacing w:after="0"/>
              <w:ind w:firstLine="0"/>
              <w:rPr>
                <w:sz w:val="20"/>
                <w:lang w:val="lv-LV"/>
              </w:rPr>
            </w:pPr>
            <w:r w:rsidRPr="00550D35">
              <w:rPr>
                <w:noProof/>
                <w:color w:val="000000" w:themeColor="text1"/>
                <w:sz w:val="20"/>
                <w:lang w:val="lv-LV"/>
              </w:rPr>
              <w:t xml:space="preserve">ERAF 2021-2027 finansējums - </w:t>
            </w:r>
            <w:r w:rsidRPr="00550D35">
              <w:rPr>
                <w:sz w:val="20"/>
                <w:lang w:val="lv-LV"/>
              </w:rPr>
              <w:t>7</w:t>
            </w:r>
            <w:r w:rsidR="0078636C">
              <w:rPr>
                <w:sz w:val="20"/>
                <w:lang w:val="lv-LV"/>
              </w:rPr>
              <w:t>,4</w:t>
            </w:r>
            <w:r w:rsidRPr="00550D35">
              <w:rPr>
                <w:sz w:val="20"/>
                <w:lang w:val="lv-LV"/>
              </w:rPr>
              <w:t xml:space="preserve"> milj. </w:t>
            </w:r>
            <w:r w:rsidRPr="00550D35">
              <w:rPr>
                <w:i/>
                <w:iCs/>
                <w:sz w:val="20"/>
                <w:lang w:val="lv-LV"/>
              </w:rPr>
              <w:t> </w:t>
            </w:r>
            <w:proofErr w:type="spellStart"/>
            <w:r w:rsidRPr="00550D35">
              <w:rPr>
                <w:i/>
                <w:iCs/>
                <w:sz w:val="20"/>
                <w:lang w:val="lv-LV"/>
              </w:rPr>
              <w:t>euro</w:t>
            </w:r>
            <w:proofErr w:type="spellEnd"/>
            <w:r w:rsidRPr="00550D35">
              <w:rPr>
                <w:sz w:val="20"/>
                <w:lang w:val="lv-LV"/>
              </w:rPr>
              <w:t xml:space="preserve"> (85 %);</w:t>
            </w:r>
          </w:p>
          <w:p w14:paraId="4C674FAC" w14:textId="5E898C43" w:rsidR="00843B8A" w:rsidRPr="00B80738" w:rsidRDefault="00D7475E" w:rsidP="00BA62A0">
            <w:pPr>
              <w:spacing w:after="0"/>
              <w:ind w:firstLine="0"/>
              <w:rPr>
                <w:sz w:val="20"/>
                <w:lang w:val="lv-LV"/>
              </w:rPr>
            </w:pPr>
            <w:r w:rsidRPr="00550D35">
              <w:rPr>
                <w:sz w:val="20"/>
                <w:lang w:val="lv-LV"/>
              </w:rPr>
              <w:t xml:space="preserve">Privātais līdzfinansējums – </w:t>
            </w:r>
            <w:r w:rsidR="003C6DBA">
              <w:rPr>
                <w:sz w:val="20"/>
                <w:lang w:val="lv-LV"/>
              </w:rPr>
              <w:t>1,3 </w:t>
            </w:r>
            <w:r w:rsidRPr="00550D35">
              <w:rPr>
                <w:sz w:val="20"/>
                <w:lang w:val="lv-LV"/>
              </w:rPr>
              <w:t>milj.</w:t>
            </w:r>
            <w:r w:rsidRPr="00550D35">
              <w:rPr>
                <w:i/>
                <w:iCs/>
                <w:sz w:val="20"/>
                <w:lang w:val="lv-LV"/>
              </w:rPr>
              <w:t> </w:t>
            </w:r>
            <w:proofErr w:type="spellStart"/>
            <w:r w:rsidRPr="00550D35">
              <w:rPr>
                <w:i/>
                <w:iCs/>
                <w:sz w:val="20"/>
                <w:lang w:val="lv-LV"/>
              </w:rPr>
              <w:t>euro</w:t>
            </w:r>
            <w:proofErr w:type="spellEnd"/>
            <w:r w:rsidRPr="00550D35">
              <w:rPr>
                <w:sz w:val="20"/>
                <w:lang w:val="lv-LV"/>
              </w:rPr>
              <w:t xml:space="preserve"> (15 %). </w:t>
            </w:r>
          </w:p>
        </w:tc>
      </w:tr>
      <w:tr w:rsidR="00D7475E" w:rsidRPr="003B2E9A" w14:paraId="537C48C1" w14:textId="77777777" w:rsidTr="00BA62A0">
        <w:tc>
          <w:tcPr>
            <w:tcW w:w="1547" w:type="pct"/>
          </w:tcPr>
          <w:p w14:paraId="67A7A4F1" w14:textId="77777777" w:rsidR="00D7475E" w:rsidRPr="00550D35" w:rsidRDefault="00D7475E" w:rsidP="00BA62A0">
            <w:pPr>
              <w:ind w:firstLine="0"/>
              <w:rPr>
                <w:b/>
                <w:bCs/>
                <w:sz w:val="20"/>
                <w:lang w:val="lv-LV"/>
              </w:rPr>
            </w:pPr>
            <w:r w:rsidRPr="00550D35">
              <w:rPr>
                <w:b/>
                <w:bCs/>
                <w:sz w:val="20"/>
                <w:lang w:val="lv-LV"/>
              </w:rPr>
              <w:t>Sagaidāmā ietekme un laika ietvars</w:t>
            </w:r>
          </w:p>
        </w:tc>
        <w:tc>
          <w:tcPr>
            <w:tcW w:w="3453" w:type="pct"/>
          </w:tcPr>
          <w:p w14:paraId="256FA8C3" w14:textId="77777777" w:rsidR="00D7475E" w:rsidRPr="00550D35" w:rsidRDefault="00D7475E" w:rsidP="00BA62A0">
            <w:pPr>
              <w:contextualSpacing/>
              <w:rPr>
                <w:sz w:val="20"/>
                <w:lang w:val="lv-LV"/>
              </w:rPr>
            </w:pPr>
            <w:r w:rsidRPr="00550D35">
              <w:rPr>
                <w:sz w:val="20"/>
                <w:u w:val="single"/>
                <w:lang w:val="lv-LV"/>
              </w:rPr>
              <w:t>ANM investīcijas sasniedzamie rādītāji</w:t>
            </w:r>
            <w:r w:rsidRPr="00550D35">
              <w:rPr>
                <w:sz w:val="20"/>
                <w:lang w:val="lv-LV"/>
              </w:rPr>
              <w:t xml:space="preserve">: </w:t>
            </w:r>
          </w:p>
          <w:p w14:paraId="47AA1A4E" w14:textId="77777777" w:rsidR="00D7475E" w:rsidRPr="00550D35" w:rsidRDefault="00D7475E" w:rsidP="00BA62A0">
            <w:pPr>
              <w:contextualSpacing/>
              <w:rPr>
                <w:sz w:val="20"/>
                <w:lang w:val="lv-LV"/>
              </w:rPr>
            </w:pPr>
            <w:r w:rsidRPr="00550D35">
              <w:rPr>
                <w:sz w:val="20"/>
                <w:lang w:val="lv-LV"/>
              </w:rPr>
              <w:t xml:space="preserve">1) līdz 2024. gada 31. decembrim 500 tādu mājsaimniecību, uzņēmumu, izglītības iestāžu, ārstniecības iestāžu un citu sabiedrisko ēku skaits, kam ir piekļuve platjoslas savienojumiem ar ļoti augstas veiktspējas tīklu; </w:t>
            </w:r>
          </w:p>
          <w:p w14:paraId="63BFF787" w14:textId="77777777" w:rsidR="00D7475E" w:rsidRPr="00550D35" w:rsidRDefault="00D7475E" w:rsidP="00BA62A0">
            <w:pPr>
              <w:contextualSpacing/>
              <w:rPr>
                <w:sz w:val="20"/>
                <w:lang w:val="lv-LV"/>
              </w:rPr>
            </w:pPr>
            <w:r w:rsidRPr="00550D35">
              <w:rPr>
                <w:sz w:val="20"/>
                <w:lang w:val="lv-LV"/>
              </w:rPr>
              <w:t>2) līdz 2025. gada 31. decembrim 6200 mājsaimniecību, uzņēmumu, izglītības iestāžu, ārstniecības iestāžu un citu sabiedrisko ēku skaits, kam ir piekļuve platjoslas savienojumiem ar ļoti augstas veiktspējas tīklu.</w:t>
            </w:r>
          </w:p>
          <w:p w14:paraId="5687E409" w14:textId="77777777" w:rsidR="00D7475E" w:rsidRPr="00550D35" w:rsidRDefault="00D7475E" w:rsidP="00BA62A0">
            <w:pPr>
              <w:contextualSpacing/>
              <w:rPr>
                <w:sz w:val="20"/>
                <w:lang w:val="lv-LV"/>
              </w:rPr>
            </w:pPr>
            <w:r w:rsidRPr="00550D35">
              <w:rPr>
                <w:sz w:val="20"/>
                <w:u w:val="single"/>
                <w:lang w:val="lv-LV"/>
              </w:rPr>
              <w:lastRenderedPageBreak/>
              <w:t>ERAF investīcijas sasniedzamie rādītāji</w:t>
            </w:r>
            <w:r w:rsidRPr="00550D35">
              <w:rPr>
                <w:sz w:val="20"/>
                <w:lang w:val="lv-LV"/>
              </w:rPr>
              <w:t xml:space="preserve">: </w:t>
            </w:r>
          </w:p>
          <w:p w14:paraId="36441FFC" w14:textId="77777777" w:rsidR="00D7475E" w:rsidRPr="00550D35" w:rsidRDefault="00D7475E" w:rsidP="00BA62A0">
            <w:pPr>
              <w:spacing w:before="0"/>
              <w:ind w:firstLine="0"/>
              <w:contextualSpacing/>
              <w:rPr>
                <w:sz w:val="20"/>
                <w:lang w:val="lv-LV"/>
              </w:rPr>
            </w:pPr>
            <w:r w:rsidRPr="00550D35">
              <w:rPr>
                <w:sz w:val="20"/>
                <w:lang w:val="lv-LV"/>
              </w:rPr>
              <w:t>Līdz 2029. gada 31. decembrim:</w:t>
            </w:r>
          </w:p>
          <w:p w14:paraId="6E8BE3E8" w14:textId="77777777" w:rsidR="00D7475E" w:rsidRPr="00550D35" w:rsidRDefault="00D7475E" w:rsidP="00BA62A0">
            <w:pPr>
              <w:pStyle w:val="ListParagraph"/>
              <w:numPr>
                <w:ilvl w:val="0"/>
                <w:numId w:val="49"/>
              </w:numPr>
              <w:spacing w:before="0"/>
              <w:contextualSpacing/>
              <w:rPr>
                <w:sz w:val="20"/>
                <w:lang w:val="lv-LV"/>
              </w:rPr>
            </w:pPr>
            <w:r w:rsidRPr="00550D35">
              <w:rPr>
                <w:sz w:val="20"/>
                <w:lang w:val="lv-LV"/>
              </w:rPr>
              <w:t>Papildu mājokļi ar piekļuvi ļoti augstas veiktspējas platjoslas tīklam 3 880;</w:t>
            </w:r>
          </w:p>
          <w:p w14:paraId="07B32190" w14:textId="77777777" w:rsidR="00D7475E" w:rsidRPr="00550D35" w:rsidRDefault="00D7475E" w:rsidP="00BA62A0">
            <w:pPr>
              <w:pStyle w:val="ListParagraph"/>
              <w:numPr>
                <w:ilvl w:val="0"/>
                <w:numId w:val="49"/>
              </w:numPr>
              <w:spacing w:before="0"/>
              <w:contextualSpacing/>
              <w:rPr>
                <w:sz w:val="20"/>
                <w:lang w:val="lv-LV"/>
              </w:rPr>
            </w:pPr>
            <w:r w:rsidRPr="00550D35">
              <w:rPr>
                <w:sz w:val="20"/>
                <w:lang w:val="lv-LV"/>
              </w:rPr>
              <w:t>Papildu uzņēmumi ar piekļuvi ļoti augstas veiktspējas platjoslas tīklam 1 000;</w:t>
            </w:r>
          </w:p>
          <w:p w14:paraId="7E1B4289" w14:textId="77777777" w:rsidR="00D7475E" w:rsidRPr="00550D35" w:rsidRDefault="00D7475E" w:rsidP="00BA62A0">
            <w:pPr>
              <w:pStyle w:val="ListParagraph"/>
              <w:numPr>
                <w:ilvl w:val="0"/>
                <w:numId w:val="49"/>
              </w:numPr>
              <w:spacing w:before="0"/>
              <w:contextualSpacing/>
              <w:rPr>
                <w:sz w:val="20"/>
                <w:lang w:val="lv-LV"/>
              </w:rPr>
            </w:pPr>
            <w:r w:rsidRPr="00550D35">
              <w:rPr>
                <w:sz w:val="20"/>
                <w:lang w:val="lv-LV"/>
              </w:rPr>
              <w:t xml:space="preserve">Mājokļi, kas abonē platjoslas </w:t>
            </w:r>
            <w:proofErr w:type="spellStart"/>
            <w:r w:rsidRPr="00550D35">
              <w:rPr>
                <w:sz w:val="20"/>
                <w:lang w:val="lv-LV"/>
              </w:rPr>
              <w:t>pieslēgumu</w:t>
            </w:r>
            <w:proofErr w:type="spellEnd"/>
            <w:r w:rsidRPr="00550D35">
              <w:rPr>
                <w:sz w:val="20"/>
                <w:lang w:val="lv-LV"/>
              </w:rPr>
              <w:t xml:space="preserve"> ļoti augstas veiktspējas tīklam 1 940;</w:t>
            </w:r>
          </w:p>
          <w:p w14:paraId="76D48EEE" w14:textId="77777777" w:rsidR="00D7475E" w:rsidRPr="00550D35" w:rsidRDefault="00D7475E" w:rsidP="00BA62A0">
            <w:pPr>
              <w:pStyle w:val="ListParagraph"/>
              <w:numPr>
                <w:ilvl w:val="0"/>
                <w:numId w:val="49"/>
              </w:numPr>
              <w:spacing w:before="0"/>
              <w:contextualSpacing/>
              <w:rPr>
                <w:sz w:val="20"/>
                <w:lang w:val="lv-LV"/>
              </w:rPr>
            </w:pPr>
            <w:r w:rsidRPr="00550D35">
              <w:rPr>
                <w:sz w:val="20"/>
                <w:lang w:val="lv-LV"/>
              </w:rPr>
              <w:t xml:space="preserve">Uzņēmumi, kas abonē platjoslas </w:t>
            </w:r>
            <w:proofErr w:type="spellStart"/>
            <w:r w:rsidRPr="00550D35">
              <w:rPr>
                <w:sz w:val="20"/>
                <w:lang w:val="lv-LV"/>
              </w:rPr>
              <w:t>pieslēgumu</w:t>
            </w:r>
            <w:proofErr w:type="spellEnd"/>
            <w:r w:rsidRPr="00550D35">
              <w:rPr>
                <w:sz w:val="20"/>
                <w:lang w:val="lv-LV"/>
              </w:rPr>
              <w:t xml:space="preserve"> ļoti augstas veiktspējas tīklam 500.</w:t>
            </w:r>
          </w:p>
        </w:tc>
      </w:tr>
    </w:tbl>
    <w:p w14:paraId="61FFFD89" w14:textId="77777777" w:rsidR="00D7475E" w:rsidRPr="00550D35" w:rsidRDefault="00D7475E" w:rsidP="00D7475E">
      <w:pPr>
        <w:rPr>
          <w:b/>
          <w:bCs/>
          <w:sz w:val="20"/>
          <w:lang w:val="lv-LV"/>
        </w:rPr>
      </w:pPr>
    </w:p>
    <w:tbl>
      <w:tblPr>
        <w:tblStyle w:val="TableGrid"/>
        <w:tblW w:w="5000" w:type="pct"/>
        <w:tblLook w:val="04A0" w:firstRow="1" w:lastRow="0" w:firstColumn="1" w:lastColumn="0" w:noHBand="0" w:noVBand="1"/>
      </w:tblPr>
      <w:tblGrid>
        <w:gridCol w:w="2663"/>
        <w:gridCol w:w="5944"/>
      </w:tblGrid>
      <w:tr w:rsidR="00D7475E" w:rsidRPr="003B2E9A" w14:paraId="20B58EB6" w14:textId="77777777" w:rsidTr="00BA62A0">
        <w:tc>
          <w:tcPr>
            <w:tcW w:w="5000" w:type="pct"/>
            <w:gridSpan w:val="2"/>
          </w:tcPr>
          <w:p w14:paraId="34AE606A" w14:textId="277F788F" w:rsidR="00D7475E" w:rsidRPr="00550D35" w:rsidRDefault="00D7475E" w:rsidP="00BA62A0">
            <w:pPr>
              <w:ind w:firstLine="0"/>
              <w:contextualSpacing/>
              <w:rPr>
                <w:rFonts w:eastAsia="Wingdings 2"/>
                <w:sz w:val="20"/>
                <w:highlight w:val="magenta"/>
                <w:lang w:val="lv-LV"/>
              </w:rPr>
            </w:pPr>
            <w:r w:rsidRPr="00550D35">
              <w:rPr>
                <w:b/>
                <w:bCs/>
                <w:sz w:val="20"/>
                <w:lang w:val="lv-LV"/>
              </w:rPr>
              <w:t xml:space="preserve">Pasākums Nr.3 – </w:t>
            </w:r>
            <w:r w:rsidRPr="00DB657E">
              <w:rPr>
                <w:b/>
                <w:bCs/>
                <w:sz w:val="20"/>
                <w:lang w:val="lv-LV"/>
              </w:rPr>
              <w:t xml:space="preserve">ERAF 1.4.1.3. pasākums </w:t>
            </w:r>
            <w:r w:rsidRPr="00550D35">
              <w:rPr>
                <w:b/>
                <w:bCs/>
                <w:sz w:val="20"/>
                <w:lang w:val="lv-LV"/>
              </w:rPr>
              <w:t>“Vidējās jūdzes” elektronisko sakaru tīklu infrastruktūras attīstīšana</w:t>
            </w:r>
            <w:r w:rsidRPr="00550D35">
              <w:rPr>
                <w:rStyle w:val="FootnoteReference"/>
                <w:b/>
                <w:bCs/>
                <w:sz w:val="20"/>
                <w:lang w:val="lv-LV"/>
              </w:rPr>
              <w:footnoteReference w:id="41"/>
            </w:r>
            <w:r w:rsidRPr="00550D35">
              <w:rPr>
                <w:b/>
                <w:bCs/>
                <w:sz w:val="20"/>
                <w:lang w:val="lv-LV"/>
              </w:rPr>
              <w:t xml:space="preserve"> </w:t>
            </w:r>
            <w:r w:rsidRPr="00550D35">
              <w:rPr>
                <w:sz w:val="20"/>
                <w:lang w:val="lv-LV"/>
              </w:rPr>
              <w:t>– atbalsts paredzēts ļoti augstas veiktspējas elektronisko sakaru tīklu infrastruktūras izveidei, lai veicinātu elektronisko sakaru pakalpojumu atbilstību Savienojamības paziņojuma mērķiem.</w:t>
            </w:r>
          </w:p>
        </w:tc>
      </w:tr>
      <w:tr w:rsidR="00D7475E" w:rsidRPr="00550D35" w14:paraId="3FCA8512" w14:textId="77777777" w:rsidTr="00BA62A0">
        <w:tc>
          <w:tcPr>
            <w:tcW w:w="1547" w:type="pct"/>
          </w:tcPr>
          <w:p w14:paraId="7030AB8A" w14:textId="77777777" w:rsidR="00D7475E" w:rsidRPr="00550D35" w:rsidRDefault="00D7475E" w:rsidP="00BA62A0">
            <w:pPr>
              <w:rPr>
                <w:b/>
                <w:bCs/>
                <w:sz w:val="20"/>
                <w:lang w:val="lv-LV"/>
              </w:rPr>
            </w:pPr>
            <w:r w:rsidRPr="00550D35">
              <w:rPr>
                <w:b/>
                <w:bCs/>
                <w:sz w:val="20"/>
                <w:lang w:val="lv-LV"/>
              </w:rPr>
              <w:t>Jauns pasākums</w:t>
            </w:r>
          </w:p>
        </w:tc>
        <w:tc>
          <w:tcPr>
            <w:tcW w:w="3453" w:type="pct"/>
          </w:tcPr>
          <w:p w14:paraId="1631BBA8" w14:textId="77777777" w:rsidR="00D7475E" w:rsidRPr="00550D35" w:rsidRDefault="00AC141D" w:rsidP="00BA62A0">
            <w:pPr>
              <w:spacing w:before="0" w:after="120"/>
              <w:ind w:firstLine="0"/>
              <w:contextualSpacing/>
              <w:jc w:val="left"/>
              <w:rPr>
                <w:sz w:val="20"/>
                <w:lang w:val="lv-LV"/>
              </w:rPr>
            </w:pPr>
            <w:sdt>
              <w:sdtPr>
                <w:rPr>
                  <w:sz w:val="20"/>
                  <w:lang w:val="lv-LV"/>
                </w:rPr>
                <w:id w:val="-685435117"/>
                <w14:checkbox>
                  <w14:checked w14:val="1"/>
                  <w14:checkedState w14:val="2612" w14:font="MS Gothic"/>
                  <w14:uncheckedState w14:val="2610" w14:font="MS Gothic"/>
                </w14:checkbox>
              </w:sdtPr>
              <w:sdtEndPr/>
              <w:sdtContent>
                <w:r w:rsidR="00D7475E" w:rsidRPr="00550D35">
                  <w:rPr>
                    <w:rFonts w:ascii="MS Gothic" w:eastAsia="MS Gothic" w:hAnsi="MS Gothic"/>
                    <w:sz w:val="20"/>
                    <w:lang w:val="lv-LV"/>
                  </w:rPr>
                  <w:t>☒</w:t>
                </w:r>
              </w:sdtContent>
            </w:sdt>
            <w:r w:rsidR="00D7475E" w:rsidRPr="00550D35">
              <w:rPr>
                <w:sz w:val="20"/>
                <w:lang w:val="lv-LV"/>
              </w:rPr>
              <w:t>jā</w:t>
            </w:r>
          </w:p>
          <w:p w14:paraId="0CF8CC83" w14:textId="77777777" w:rsidR="00D7475E" w:rsidRPr="00550D35" w:rsidRDefault="00AC141D" w:rsidP="00BA62A0">
            <w:pPr>
              <w:spacing w:before="0" w:after="120"/>
              <w:ind w:firstLine="0"/>
              <w:contextualSpacing/>
              <w:jc w:val="left"/>
              <w:rPr>
                <w:sz w:val="20"/>
                <w:lang w:val="lv-LV"/>
              </w:rPr>
            </w:pPr>
            <w:sdt>
              <w:sdtPr>
                <w:rPr>
                  <w:sz w:val="20"/>
                  <w:lang w:val="lv-LV"/>
                </w:rPr>
                <w:id w:val="-1969190491"/>
                <w14:checkbox>
                  <w14:checked w14:val="0"/>
                  <w14:checkedState w14:val="2612" w14:font="MS Gothic"/>
                  <w14:uncheckedState w14:val="2610" w14:font="MS Gothic"/>
                </w14:checkbox>
              </w:sdtPr>
              <w:sdtEndPr/>
              <w:sdtContent>
                <w:r w:rsidR="00D7475E" w:rsidRPr="00550D35">
                  <w:rPr>
                    <w:rFonts w:ascii="MS Gothic" w:eastAsia="MS Gothic" w:hAnsi="MS Gothic"/>
                    <w:sz w:val="20"/>
                    <w:lang w:val="lv-LV"/>
                  </w:rPr>
                  <w:t>☐</w:t>
                </w:r>
              </w:sdtContent>
            </w:sdt>
            <w:r w:rsidR="00D7475E" w:rsidRPr="00550D35">
              <w:rPr>
                <w:rFonts w:eastAsia="MS Minngs"/>
                <w:sz w:val="20"/>
                <w:lang w:val="lv-LV"/>
              </w:rPr>
              <w:t xml:space="preserve"> </w:t>
            </w:r>
            <w:r w:rsidR="00D7475E" w:rsidRPr="00550D35">
              <w:rPr>
                <w:sz w:val="20"/>
                <w:lang w:val="lv-LV"/>
              </w:rPr>
              <w:t>nē</w:t>
            </w:r>
          </w:p>
        </w:tc>
      </w:tr>
      <w:tr w:rsidR="00D7475E" w:rsidRPr="003B2E9A" w14:paraId="2B115F13" w14:textId="77777777" w:rsidTr="00BA62A0">
        <w:tc>
          <w:tcPr>
            <w:tcW w:w="1547" w:type="pct"/>
          </w:tcPr>
          <w:p w14:paraId="575FE851" w14:textId="77777777" w:rsidR="00D7475E" w:rsidRPr="00FD0F61" w:rsidRDefault="00D7475E" w:rsidP="0085330A">
            <w:pPr>
              <w:ind w:firstLine="0"/>
              <w:rPr>
                <w:b/>
                <w:bCs/>
                <w:sz w:val="20"/>
                <w:lang w:val="lv-LV"/>
              </w:rPr>
            </w:pPr>
            <w:r w:rsidRPr="00FD0F61">
              <w:rPr>
                <w:b/>
                <w:bCs/>
                <w:sz w:val="20"/>
                <w:lang w:val="lv-LV"/>
              </w:rPr>
              <w:t>Īss pasākuma apraksts</w:t>
            </w:r>
          </w:p>
        </w:tc>
        <w:tc>
          <w:tcPr>
            <w:tcW w:w="3453" w:type="pct"/>
          </w:tcPr>
          <w:p w14:paraId="15605108" w14:textId="3C612319" w:rsidR="00D7475E" w:rsidRPr="00550D35" w:rsidRDefault="00D7475E" w:rsidP="00D51D59">
            <w:pPr>
              <w:pStyle w:val="title-article-norm"/>
              <w:shd w:val="clear" w:color="auto" w:fill="FFFFFF"/>
              <w:spacing w:before="0" w:beforeAutospacing="0" w:after="120" w:afterAutospacing="0"/>
              <w:jc w:val="both"/>
              <w:rPr>
                <w:noProof/>
                <w:color w:val="000000" w:themeColor="text1"/>
                <w:sz w:val="20"/>
                <w:lang w:val="lv-LV"/>
              </w:rPr>
            </w:pPr>
            <w:r w:rsidRPr="00550D35">
              <w:rPr>
                <w:sz w:val="20"/>
                <w:szCs w:val="20"/>
                <w:lang w:val="lv-LV"/>
              </w:rPr>
              <w:t xml:space="preserve">Interneta piekļuves pakalpojumu attīstība, detalizēti nosacījumi tiks izstrādāti MK noteikumu izstrādes laikā. Indikatīvi plānots piemērot </w:t>
            </w:r>
            <w:r w:rsidR="00C73A5D">
              <w:rPr>
                <w:sz w:val="20"/>
                <w:szCs w:val="20"/>
                <w:lang w:val="lv-LV"/>
              </w:rPr>
              <w:t>EK</w:t>
            </w:r>
            <w:r w:rsidRPr="00550D35">
              <w:rPr>
                <w:sz w:val="20"/>
                <w:szCs w:val="20"/>
                <w:lang w:val="lv-LV"/>
              </w:rPr>
              <w:t xml:space="preserve"> </w:t>
            </w:r>
            <w:r w:rsidRPr="00550D35">
              <w:rPr>
                <w:color w:val="000000"/>
                <w:sz w:val="20"/>
                <w:szCs w:val="20"/>
                <w:lang w:val="lv-LV"/>
              </w:rPr>
              <w:t>2014. gada 17. jūnijs</w:t>
            </w:r>
            <w:r w:rsidRPr="00550D35">
              <w:rPr>
                <w:sz w:val="20"/>
                <w:szCs w:val="20"/>
                <w:lang w:val="lv-LV"/>
              </w:rPr>
              <w:t xml:space="preserve"> regulas  </w:t>
            </w:r>
            <w:r w:rsidRPr="00550D35">
              <w:rPr>
                <w:color w:val="000000"/>
                <w:sz w:val="20"/>
                <w:szCs w:val="20"/>
                <w:lang w:val="lv-LV"/>
              </w:rPr>
              <w:t xml:space="preserve">Nr. 651/2014, ar ko noteiktas atbalsta kategorijas atzīst par saderīgām ar iekšējo tirgu, piemērojot Līguma 107. un 108. pantu, 52. pantu “Atbalsts fiksētajiem platjoslas tīkliem” vai 52.d pantu “Atbalsts </w:t>
            </w:r>
            <w:proofErr w:type="spellStart"/>
            <w:r w:rsidRPr="00550D35">
              <w:rPr>
                <w:color w:val="000000"/>
                <w:sz w:val="20"/>
                <w:szCs w:val="20"/>
                <w:lang w:val="lv-LV"/>
              </w:rPr>
              <w:t>atvilces</w:t>
            </w:r>
            <w:proofErr w:type="spellEnd"/>
            <w:r w:rsidRPr="00550D35">
              <w:rPr>
                <w:color w:val="000000"/>
                <w:sz w:val="20"/>
                <w:szCs w:val="20"/>
                <w:lang w:val="lv-LV"/>
              </w:rPr>
              <w:t xml:space="preserve"> maršrutēšanas tīkliem”. </w:t>
            </w:r>
          </w:p>
        </w:tc>
      </w:tr>
      <w:tr w:rsidR="00D7475E" w:rsidRPr="003B2E9A" w14:paraId="0AEF4C26" w14:textId="77777777" w:rsidTr="00BA62A0">
        <w:tc>
          <w:tcPr>
            <w:tcW w:w="1547" w:type="pct"/>
            <w:shd w:val="clear" w:color="auto" w:fill="auto"/>
          </w:tcPr>
          <w:p w14:paraId="54791419" w14:textId="3B12A9A2" w:rsidR="00D7475E" w:rsidRPr="00550D35" w:rsidRDefault="00D7475E" w:rsidP="00FD0F61">
            <w:pPr>
              <w:ind w:firstLine="0"/>
              <w:rPr>
                <w:b/>
                <w:bCs/>
                <w:sz w:val="20"/>
                <w:lang w:val="lv-LV"/>
              </w:rPr>
            </w:pPr>
            <w:r w:rsidRPr="00550D35">
              <w:rPr>
                <w:b/>
                <w:bCs/>
                <w:sz w:val="20"/>
                <w:lang w:val="lv-LV"/>
              </w:rPr>
              <w:t>Piešķirtais vai plānotais budžets un, ja atbilstoši, citi resursi</w:t>
            </w:r>
          </w:p>
        </w:tc>
        <w:tc>
          <w:tcPr>
            <w:tcW w:w="3453" w:type="pct"/>
            <w:shd w:val="clear" w:color="auto" w:fill="auto"/>
          </w:tcPr>
          <w:p w14:paraId="4BA345D4" w14:textId="5F12DCC9" w:rsidR="00807D31" w:rsidRPr="00807D31" w:rsidRDefault="00D7475E" w:rsidP="00E27C59">
            <w:pPr>
              <w:spacing w:before="0" w:after="0"/>
              <w:ind w:firstLine="0"/>
              <w:rPr>
                <w:color w:val="000000"/>
                <w:sz w:val="20"/>
                <w:lang w:val="lv-LV"/>
              </w:rPr>
            </w:pPr>
            <w:r w:rsidRPr="00807D31">
              <w:rPr>
                <w:color w:val="000000"/>
                <w:sz w:val="20"/>
                <w:lang w:val="lv-LV"/>
              </w:rPr>
              <w:t>Plānot</w:t>
            </w:r>
            <w:r w:rsidR="00FD23DD">
              <w:rPr>
                <w:color w:val="000000"/>
                <w:sz w:val="20"/>
                <w:lang w:val="lv-LV"/>
              </w:rPr>
              <w:t>ai</w:t>
            </w:r>
            <w:r w:rsidRPr="00807D31">
              <w:rPr>
                <w:color w:val="000000"/>
                <w:sz w:val="20"/>
                <w:lang w:val="lv-LV"/>
              </w:rPr>
              <w:t>s </w:t>
            </w:r>
            <w:r w:rsidR="00FD23DD">
              <w:rPr>
                <w:color w:val="000000"/>
                <w:sz w:val="20"/>
                <w:lang w:val="lv-LV"/>
              </w:rPr>
              <w:t xml:space="preserve">pasākuma finansējuma </w:t>
            </w:r>
            <w:r w:rsidR="00B27C3D">
              <w:rPr>
                <w:color w:val="000000"/>
                <w:sz w:val="20"/>
                <w:lang w:val="lv-LV"/>
              </w:rPr>
              <w:t>–</w:t>
            </w:r>
            <w:r w:rsidR="00FD23DD">
              <w:rPr>
                <w:color w:val="000000"/>
                <w:sz w:val="20"/>
                <w:lang w:val="lv-LV"/>
              </w:rPr>
              <w:t xml:space="preserve"> </w:t>
            </w:r>
            <w:r w:rsidRPr="00807D31">
              <w:rPr>
                <w:color w:val="000000"/>
                <w:sz w:val="20"/>
                <w:lang w:val="lv-LV"/>
              </w:rPr>
              <w:t>13</w:t>
            </w:r>
            <w:r w:rsidR="00B27C3D">
              <w:rPr>
                <w:color w:val="000000"/>
                <w:sz w:val="20"/>
                <w:lang w:val="lv-LV"/>
              </w:rPr>
              <w:t> </w:t>
            </w:r>
            <w:r w:rsidRPr="00807D31">
              <w:rPr>
                <w:color w:val="000000"/>
                <w:sz w:val="20"/>
                <w:lang w:val="lv-LV"/>
              </w:rPr>
              <w:t>05</w:t>
            </w:r>
            <w:r w:rsidR="00EF1CD6">
              <w:rPr>
                <w:color w:val="000000"/>
                <w:sz w:val="20"/>
                <w:lang w:val="lv-LV"/>
              </w:rPr>
              <w:t>0 000</w:t>
            </w:r>
            <w:r w:rsidRPr="00807D31">
              <w:rPr>
                <w:color w:val="000000"/>
                <w:sz w:val="20"/>
                <w:lang w:val="lv-LV"/>
              </w:rPr>
              <w:t> </w:t>
            </w:r>
            <w:proofErr w:type="spellStart"/>
            <w:r w:rsidRPr="00FD23DD">
              <w:rPr>
                <w:i/>
                <w:iCs/>
                <w:color w:val="000000"/>
                <w:sz w:val="20"/>
                <w:lang w:val="lv-LV"/>
              </w:rPr>
              <w:t>euro</w:t>
            </w:r>
            <w:proofErr w:type="spellEnd"/>
            <w:r w:rsidR="00807D31" w:rsidRPr="00807D31">
              <w:rPr>
                <w:color w:val="000000"/>
                <w:sz w:val="20"/>
                <w:lang w:val="lv-LV"/>
              </w:rPr>
              <w:t>, t.sk.:</w:t>
            </w:r>
          </w:p>
          <w:p w14:paraId="19630BE6" w14:textId="757414E3" w:rsidR="00807D31" w:rsidRPr="00807D31" w:rsidRDefault="009E041B" w:rsidP="00E27C59">
            <w:pPr>
              <w:spacing w:before="0" w:after="0"/>
              <w:ind w:firstLine="0"/>
              <w:rPr>
                <w:color w:val="000000"/>
                <w:sz w:val="20"/>
                <w:lang w:val="lv-LV"/>
              </w:rPr>
            </w:pPr>
            <w:r w:rsidRPr="00550D35">
              <w:rPr>
                <w:noProof/>
                <w:color w:val="000000" w:themeColor="text1"/>
                <w:sz w:val="20"/>
                <w:lang w:val="lv-LV"/>
              </w:rPr>
              <w:t xml:space="preserve">ERAF 2021-2027 finansējums </w:t>
            </w:r>
            <w:r>
              <w:rPr>
                <w:noProof/>
                <w:color w:val="000000" w:themeColor="text1"/>
                <w:sz w:val="20"/>
                <w:lang w:val="lv-LV"/>
              </w:rPr>
              <w:t xml:space="preserve"> - </w:t>
            </w:r>
            <w:r w:rsidR="00807D31" w:rsidRPr="00807D31">
              <w:rPr>
                <w:color w:val="000000"/>
                <w:sz w:val="20"/>
                <w:lang w:val="lv-LV"/>
              </w:rPr>
              <w:t>11</w:t>
            </w:r>
            <w:r w:rsidR="00EF1CD6">
              <w:rPr>
                <w:color w:val="000000"/>
                <w:sz w:val="20"/>
                <w:lang w:val="lv-LV"/>
              </w:rPr>
              <w:t> </w:t>
            </w:r>
            <w:r w:rsidR="00807D31" w:rsidRPr="00807D31">
              <w:rPr>
                <w:color w:val="000000"/>
                <w:sz w:val="20"/>
                <w:lang w:val="lv-LV"/>
              </w:rPr>
              <w:t>092</w:t>
            </w:r>
            <w:r w:rsidR="00EF1CD6">
              <w:rPr>
                <w:color w:val="000000"/>
                <w:sz w:val="20"/>
                <w:lang w:val="lv-LV"/>
              </w:rPr>
              <w:t> </w:t>
            </w:r>
            <w:r w:rsidR="00807D31" w:rsidRPr="00807D31">
              <w:rPr>
                <w:color w:val="000000"/>
                <w:sz w:val="20"/>
                <w:lang w:val="lv-LV"/>
              </w:rPr>
              <w:t>500 </w:t>
            </w:r>
            <w:proofErr w:type="spellStart"/>
            <w:r w:rsidR="00807D31" w:rsidRPr="00807D31">
              <w:rPr>
                <w:i/>
                <w:iCs/>
                <w:color w:val="000000"/>
                <w:sz w:val="20"/>
                <w:lang w:val="lv-LV"/>
              </w:rPr>
              <w:t>euro</w:t>
            </w:r>
            <w:proofErr w:type="spellEnd"/>
            <w:r w:rsidR="00B767AA">
              <w:rPr>
                <w:i/>
                <w:iCs/>
                <w:color w:val="000000"/>
                <w:sz w:val="20"/>
                <w:lang w:val="lv-LV"/>
              </w:rPr>
              <w:t xml:space="preserve"> (85%)</w:t>
            </w:r>
            <w:r>
              <w:rPr>
                <w:i/>
                <w:iCs/>
                <w:color w:val="000000"/>
                <w:sz w:val="20"/>
                <w:lang w:val="lv-LV"/>
              </w:rPr>
              <w:t>;</w:t>
            </w:r>
          </w:p>
          <w:p w14:paraId="4404E5C3" w14:textId="0EB02237" w:rsidR="00D7475E" w:rsidRPr="00FD0F61" w:rsidRDefault="002C114A" w:rsidP="00FD0F61">
            <w:pPr>
              <w:spacing w:before="0" w:after="0"/>
              <w:ind w:firstLine="0"/>
              <w:rPr>
                <w:color w:val="000000"/>
                <w:sz w:val="20"/>
                <w:lang w:val="lv-LV"/>
              </w:rPr>
            </w:pPr>
            <w:r>
              <w:rPr>
                <w:color w:val="000000"/>
                <w:sz w:val="20"/>
                <w:lang w:val="lv-LV"/>
              </w:rPr>
              <w:t>Privāt</w:t>
            </w:r>
            <w:r w:rsidR="00E27C59" w:rsidRPr="00807D31">
              <w:rPr>
                <w:color w:val="000000"/>
                <w:sz w:val="20"/>
                <w:lang w:val="lv-LV"/>
              </w:rPr>
              <w:t xml:space="preserve">ais līdzfinansējums </w:t>
            </w:r>
            <w:r w:rsidR="00E27C59">
              <w:rPr>
                <w:color w:val="000000"/>
                <w:sz w:val="20"/>
                <w:lang w:val="lv-LV"/>
              </w:rPr>
              <w:t xml:space="preserve"> - </w:t>
            </w:r>
            <w:r w:rsidR="00807D31" w:rsidRPr="00807D31">
              <w:rPr>
                <w:color w:val="000000"/>
                <w:sz w:val="20"/>
                <w:lang w:val="lv-LV"/>
              </w:rPr>
              <w:t>1</w:t>
            </w:r>
            <w:r w:rsidR="00EF1CD6">
              <w:rPr>
                <w:color w:val="000000"/>
                <w:sz w:val="20"/>
                <w:lang w:val="lv-LV"/>
              </w:rPr>
              <w:t> </w:t>
            </w:r>
            <w:r w:rsidR="00807D31" w:rsidRPr="00807D31">
              <w:rPr>
                <w:color w:val="000000"/>
                <w:sz w:val="20"/>
                <w:lang w:val="lv-LV"/>
              </w:rPr>
              <w:t>957</w:t>
            </w:r>
            <w:r w:rsidR="00EF1CD6">
              <w:rPr>
                <w:color w:val="000000"/>
                <w:sz w:val="20"/>
                <w:lang w:val="lv-LV"/>
              </w:rPr>
              <w:t> </w:t>
            </w:r>
            <w:r w:rsidR="00807D31" w:rsidRPr="00807D31">
              <w:rPr>
                <w:color w:val="000000"/>
                <w:sz w:val="20"/>
                <w:lang w:val="lv-LV"/>
              </w:rPr>
              <w:t>500 </w:t>
            </w:r>
            <w:proofErr w:type="spellStart"/>
            <w:r w:rsidR="00807D31" w:rsidRPr="00807D31">
              <w:rPr>
                <w:i/>
                <w:iCs/>
                <w:color w:val="000000"/>
                <w:sz w:val="20"/>
                <w:lang w:val="lv-LV"/>
              </w:rPr>
              <w:t>euro</w:t>
            </w:r>
            <w:proofErr w:type="spellEnd"/>
            <w:r w:rsidR="00B767AA">
              <w:rPr>
                <w:i/>
                <w:iCs/>
                <w:color w:val="000000"/>
                <w:sz w:val="20"/>
                <w:lang w:val="lv-LV"/>
              </w:rPr>
              <w:t xml:space="preserve"> (15%)</w:t>
            </w:r>
            <w:r w:rsidR="00E27C59">
              <w:rPr>
                <w:i/>
                <w:iCs/>
                <w:color w:val="000000"/>
                <w:sz w:val="20"/>
                <w:lang w:val="lv-LV"/>
              </w:rPr>
              <w:t>.</w:t>
            </w:r>
          </w:p>
        </w:tc>
      </w:tr>
      <w:tr w:rsidR="00D7475E" w:rsidRPr="003B2E9A" w14:paraId="6C5EC0FD" w14:textId="77777777" w:rsidTr="00BA62A0">
        <w:tc>
          <w:tcPr>
            <w:tcW w:w="1547" w:type="pct"/>
          </w:tcPr>
          <w:p w14:paraId="19490D46" w14:textId="77777777" w:rsidR="00D7475E" w:rsidRPr="00550D35" w:rsidRDefault="00D7475E" w:rsidP="00FD0F61">
            <w:pPr>
              <w:ind w:firstLine="0"/>
              <w:rPr>
                <w:b/>
                <w:bCs/>
                <w:sz w:val="20"/>
                <w:lang w:val="lv-LV"/>
              </w:rPr>
            </w:pPr>
            <w:r w:rsidRPr="00550D35">
              <w:rPr>
                <w:b/>
                <w:bCs/>
                <w:sz w:val="20"/>
                <w:lang w:val="lv-LV"/>
              </w:rPr>
              <w:t xml:space="preserve">Sagaidāmā ietekme un laika ietvars </w:t>
            </w:r>
          </w:p>
        </w:tc>
        <w:tc>
          <w:tcPr>
            <w:tcW w:w="3453" w:type="pct"/>
          </w:tcPr>
          <w:p w14:paraId="228EE423" w14:textId="77777777" w:rsidR="00D7475E" w:rsidRPr="00550D35" w:rsidRDefault="00D7475E" w:rsidP="00BA62A0">
            <w:pPr>
              <w:ind w:firstLine="0"/>
              <w:rPr>
                <w:sz w:val="20"/>
                <w:lang w:val="lv-LV"/>
              </w:rPr>
            </w:pPr>
            <w:r w:rsidRPr="00550D35">
              <w:rPr>
                <w:sz w:val="20"/>
                <w:lang w:val="lv-LV"/>
              </w:rPr>
              <w:t>Līdz 2029. gada 31. decembrim:</w:t>
            </w:r>
          </w:p>
          <w:p w14:paraId="5ED2E4E9" w14:textId="77777777" w:rsidR="00D7475E" w:rsidRPr="00550D35" w:rsidRDefault="00D7475E" w:rsidP="00BA62A0">
            <w:pPr>
              <w:tabs>
                <w:tab w:val="left" w:pos="300"/>
              </w:tabs>
              <w:ind w:firstLine="0"/>
              <w:rPr>
                <w:sz w:val="20"/>
                <w:lang w:val="lv-LV"/>
              </w:rPr>
            </w:pPr>
            <w:r w:rsidRPr="00550D35">
              <w:rPr>
                <w:sz w:val="20"/>
                <w:lang w:val="lv-LV"/>
              </w:rPr>
              <w:t>1)</w:t>
            </w:r>
            <w:r w:rsidRPr="00550D35">
              <w:rPr>
                <w:sz w:val="20"/>
                <w:lang w:val="lv-LV"/>
              </w:rPr>
              <w:tab/>
              <w:t>Papildu mājokļi ar piekļuvi ļoti augstas veiktspējas platjoslas tīklam 1 054;</w:t>
            </w:r>
          </w:p>
          <w:p w14:paraId="5BA4A273" w14:textId="77777777" w:rsidR="00D7475E" w:rsidRPr="00550D35" w:rsidRDefault="00D7475E" w:rsidP="00BA62A0">
            <w:pPr>
              <w:tabs>
                <w:tab w:val="left" w:pos="300"/>
              </w:tabs>
              <w:ind w:firstLine="0"/>
              <w:rPr>
                <w:sz w:val="20"/>
                <w:lang w:val="lv-LV"/>
              </w:rPr>
            </w:pPr>
            <w:r w:rsidRPr="00550D35">
              <w:rPr>
                <w:sz w:val="20"/>
                <w:lang w:val="lv-LV"/>
              </w:rPr>
              <w:t>2)</w:t>
            </w:r>
            <w:r w:rsidRPr="00550D35">
              <w:rPr>
                <w:sz w:val="20"/>
                <w:lang w:val="lv-LV"/>
              </w:rPr>
              <w:tab/>
              <w:t>Papildu uzņēmumi ar piekļuvi ļoti augstas veiktspējas platjoslas tīklam 340;</w:t>
            </w:r>
          </w:p>
          <w:p w14:paraId="55F8ED84" w14:textId="77777777" w:rsidR="00D7475E" w:rsidRPr="00550D35" w:rsidRDefault="00D7475E" w:rsidP="00BA62A0">
            <w:pPr>
              <w:tabs>
                <w:tab w:val="left" w:pos="300"/>
              </w:tabs>
              <w:ind w:firstLine="0"/>
              <w:rPr>
                <w:sz w:val="20"/>
                <w:lang w:val="lv-LV"/>
              </w:rPr>
            </w:pPr>
            <w:r w:rsidRPr="00550D35">
              <w:rPr>
                <w:sz w:val="20"/>
                <w:lang w:val="lv-LV"/>
              </w:rPr>
              <w:t>3)</w:t>
            </w:r>
            <w:r w:rsidRPr="00550D35">
              <w:rPr>
                <w:sz w:val="20"/>
                <w:lang w:val="lv-LV"/>
              </w:rPr>
              <w:tab/>
              <w:t xml:space="preserve">Mājokļi, kas abonē platjoslas </w:t>
            </w:r>
            <w:proofErr w:type="spellStart"/>
            <w:r w:rsidRPr="00550D35">
              <w:rPr>
                <w:sz w:val="20"/>
                <w:lang w:val="lv-LV"/>
              </w:rPr>
              <w:t>pieslēgumu</w:t>
            </w:r>
            <w:proofErr w:type="spellEnd"/>
            <w:r w:rsidRPr="00550D35">
              <w:rPr>
                <w:sz w:val="20"/>
                <w:lang w:val="lv-LV"/>
              </w:rPr>
              <w:t xml:space="preserve"> ļoti augstas veiktspējas tīklam 527;</w:t>
            </w:r>
          </w:p>
          <w:p w14:paraId="49BCD5B1" w14:textId="77777777" w:rsidR="00D7475E" w:rsidRPr="00550D35" w:rsidRDefault="00D7475E" w:rsidP="00BA62A0">
            <w:pPr>
              <w:ind w:firstLine="0"/>
              <w:rPr>
                <w:sz w:val="20"/>
                <w:lang w:val="lv-LV"/>
              </w:rPr>
            </w:pPr>
            <w:r w:rsidRPr="00550D35">
              <w:rPr>
                <w:sz w:val="20"/>
                <w:lang w:val="lv-LV"/>
              </w:rPr>
              <w:t xml:space="preserve">4) Uzņēmumi, kas abonē platjoslas </w:t>
            </w:r>
            <w:proofErr w:type="spellStart"/>
            <w:r w:rsidRPr="00550D35">
              <w:rPr>
                <w:sz w:val="20"/>
                <w:lang w:val="lv-LV"/>
              </w:rPr>
              <w:t>pieslēgumu</w:t>
            </w:r>
            <w:proofErr w:type="spellEnd"/>
            <w:r w:rsidRPr="00550D35">
              <w:rPr>
                <w:sz w:val="20"/>
                <w:lang w:val="lv-LV"/>
              </w:rPr>
              <w:t xml:space="preserve"> ļoti augstas veiktspējas tīklam 170.</w:t>
            </w:r>
          </w:p>
        </w:tc>
      </w:tr>
    </w:tbl>
    <w:p w14:paraId="0A1E9403" w14:textId="77777777" w:rsidR="00D7475E" w:rsidRPr="00550D35" w:rsidRDefault="00D7475E" w:rsidP="00D7475E">
      <w:pPr>
        <w:rPr>
          <w:b/>
          <w:bCs/>
          <w:sz w:val="20"/>
          <w:lang w:val="lv-LV"/>
        </w:rPr>
      </w:pPr>
    </w:p>
    <w:p w14:paraId="5220F25B" w14:textId="77777777" w:rsidR="00D7475E" w:rsidRPr="00550D35" w:rsidRDefault="00D7475E" w:rsidP="00D7475E">
      <w:pPr>
        <w:rPr>
          <w:i/>
          <w:iCs/>
          <w:sz w:val="20"/>
          <w:lang w:val="lv-LV"/>
        </w:rPr>
      </w:pPr>
    </w:p>
    <w:tbl>
      <w:tblPr>
        <w:tblStyle w:val="TableGrid"/>
        <w:tblW w:w="5000" w:type="pct"/>
        <w:tblLook w:val="04A0" w:firstRow="1" w:lastRow="0" w:firstColumn="1" w:lastColumn="0" w:noHBand="0" w:noVBand="1"/>
      </w:tblPr>
      <w:tblGrid>
        <w:gridCol w:w="2663"/>
        <w:gridCol w:w="5944"/>
      </w:tblGrid>
      <w:tr w:rsidR="00D7475E" w:rsidRPr="003B2E9A" w14:paraId="42A3CA5A" w14:textId="77777777" w:rsidTr="00BA62A0">
        <w:tc>
          <w:tcPr>
            <w:tcW w:w="5000" w:type="pct"/>
            <w:gridSpan w:val="2"/>
          </w:tcPr>
          <w:p w14:paraId="54FE80E6" w14:textId="77777777" w:rsidR="00D7475E" w:rsidRPr="00550D35" w:rsidRDefault="00D7475E" w:rsidP="00BA62A0">
            <w:pPr>
              <w:ind w:firstLine="0"/>
              <w:contextualSpacing/>
              <w:rPr>
                <w:rFonts w:eastAsia="Wingdings 2"/>
                <w:b/>
                <w:bCs/>
                <w:sz w:val="20"/>
                <w:lang w:val="lv-LV"/>
              </w:rPr>
            </w:pPr>
            <w:r w:rsidRPr="00550D35">
              <w:rPr>
                <w:b/>
                <w:bCs/>
                <w:sz w:val="20"/>
                <w:lang w:val="lv-LV"/>
              </w:rPr>
              <w:t>Pasākums Nr.4 – Tehniskās palīdzības mehānismi, tostarp platjoslas kompetences centra darbības attīstība Latvijā, ar kuriem stiprina vietējo ieinteresēto personu spējas un konsultē projektu virzītājus – Latvijas Platjoslas kompetences centra funkciju paplašināšana un uzlabošana.</w:t>
            </w:r>
          </w:p>
        </w:tc>
      </w:tr>
      <w:tr w:rsidR="00D7475E" w:rsidRPr="00550D35" w14:paraId="5962D078" w14:textId="77777777" w:rsidTr="00BA62A0">
        <w:tc>
          <w:tcPr>
            <w:tcW w:w="1547" w:type="pct"/>
          </w:tcPr>
          <w:p w14:paraId="2096AD86" w14:textId="77777777" w:rsidR="00D7475E" w:rsidRPr="00550D35" w:rsidRDefault="00D7475E" w:rsidP="00BA62A0">
            <w:pPr>
              <w:rPr>
                <w:b/>
                <w:bCs/>
                <w:sz w:val="20"/>
                <w:lang w:val="lv-LV"/>
              </w:rPr>
            </w:pPr>
            <w:r w:rsidRPr="00550D35">
              <w:rPr>
                <w:b/>
                <w:bCs/>
                <w:sz w:val="20"/>
                <w:lang w:val="lv-LV"/>
              </w:rPr>
              <w:t>Jauns pasākums</w:t>
            </w:r>
          </w:p>
        </w:tc>
        <w:tc>
          <w:tcPr>
            <w:tcW w:w="3453" w:type="pct"/>
          </w:tcPr>
          <w:p w14:paraId="4F8BA474" w14:textId="77777777" w:rsidR="00D7475E" w:rsidRPr="00550D35" w:rsidRDefault="00AC141D" w:rsidP="00BA62A0">
            <w:pPr>
              <w:spacing w:before="0" w:after="120"/>
              <w:ind w:firstLine="0"/>
              <w:contextualSpacing/>
              <w:rPr>
                <w:sz w:val="20"/>
                <w:lang w:val="lv-LV"/>
              </w:rPr>
            </w:pPr>
            <w:sdt>
              <w:sdtPr>
                <w:rPr>
                  <w:sz w:val="20"/>
                  <w:lang w:val="lv-LV"/>
                </w:rPr>
                <w:id w:val="-649130533"/>
                <w14:checkbox>
                  <w14:checked w14:val="0"/>
                  <w14:checkedState w14:val="2612" w14:font="MS Gothic"/>
                  <w14:uncheckedState w14:val="2610" w14:font="MS Gothic"/>
                </w14:checkbox>
              </w:sdtPr>
              <w:sdtEndPr/>
              <w:sdtContent>
                <w:r w:rsidR="00D7475E" w:rsidRPr="00550D35">
                  <w:rPr>
                    <w:rFonts w:ascii="MS Gothic" w:eastAsia="MS Gothic" w:hAnsi="MS Gothic"/>
                    <w:sz w:val="20"/>
                    <w:lang w:val="lv-LV"/>
                  </w:rPr>
                  <w:t>☐</w:t>
                </w:r>
              </w:sdtContent>
            </w:sdt>
            <w:r w:rsidR="00D7475E" w:rsidRPr="00550D35">
              <w:rPr>
                <w:sz w:val="20"/>
                <w:lang w:val="lv-LV"/>
              </w:rPr>
              <w:t>jā</w:t>
            </w:r>
          </w:p>
          <w:p w14:paraId="3B30C783" w14:textId="77777777" w:rsidR="00D7475E" w:rsidRPr="00550D35" w:rsidRDefault="00AC141D" w:rsidP="00BA62A0">
            <w:pPr>
              <w:spacing w:before="0" w:after="120"/>
              <w:ind w:firstLine="0"/>
              <w:contextualSpacing/>
              <w:rPr>
                <w:sz w:val="20"/>
                <w:lang w:val="lv-LV"/>
              </w:rPr>
            </w:pPr>
            <w:sdt>
              <w:sdtPr>
                <w:rPr>
                  <w:sz w:val="20"/>
                  <w:lang w:val="lv-LV"/>
                </w:rPr>
                <w:id w:val="-674502316"/>
                <w14:checkbox>
                  <w14:checked w14:val="1"/>
                  <w14:checkedState w14:val="2612" w14:font="MS Gothic"/>
                  <w14:uncheckedState w14:val="2610" w14:font="MS Gothic"/>
                </w14:checkbox>
              </w:sdtPr>
              <w:sdtEndPr/>
              <w:sdtContent>
                <w:r w:rsidR="00D7475E" w:rsidRPr="00550D35">
                  <w:rPr>
                    <w:rFonts w:ascii="MS Gothic" w:eastAsia="MS Gothic" w:hAnsi="MS Gothic"/>
                    <w:sz w:val="20"/>
                    <w:lang w:val="lv-LV"/>
                  </w:rPr>
                  <w:t>☒</w:t>
                </w:r>
              </w:sdtContent>
            </w:sdt>
            <w:r w:rsidR="00D7475E" w:rsidRPr="00550D35">
              <w:rPr>
                <w:rFonts w:eastAsia="MS Minngs"/>
                <w:sz w:val="20"/>
                <w:lang w:val="lv-LV"/>
              </w:rPr>
              <w:t xml:space="preserve"> </w:t>
            </w:r>
            <w:r w:rsidR="00D7475E" w:rsidRPr="00550D35">
              <w:rPr>
                <w:sz w:val="20"/>
                <w:lang w:val="lv-LV"/>
              </w:rPr>
              <w:t>nē</w:t>
            </w:r>
          </w:p>
        </w:tc>
      </w:tr>
      <w:tr w:rsidR="00D7475E" w:rsidRPr="003B2E9A" w14:paraId="0B74A884" w14:textId="77777777" w:rsidTr="00BA62A0">
        <w:tc>
          <w:tcPr>
            <w:tcW w:w="1547" w:type="pct"/>
          </w:tcPr>
          <w:p w14:paraId="3EE46A4E" w14:textId="77777777" w:rsidR="00D7475E" w:rsidRPr="00550D35" w:rsidRDefault="00D7475E" w:rsidP="00BA62A0">
            <w:pPr>
              <w:ind w:firstLine="0"/>
              <w:rPr>
                <w:b/>
                <w:bCs/>
                <w:sz w:val="20"/>
                <w:lang w:val="lv-LV"/>
              </w:rPr>
            </w:pPr>
            <w:r w:rsidRPr="00550D35">
              <w:rPr>
                <w:b/>
                <w:bCs/>
                <w:sz w:val="20"/>
                <w:lang w:val="lv-LV"/>
              </w:rPr>
              <w:t>Īss pasākuma apraksts</w:t>
            </w:r>
          </w:p>
        </w:tc>
        <w:tc>
          <w:tcPr>
            <w:tcW w:w="3453" w:type="pct"/>
          </w:tcPr>
          <w:p w14:paraId="5BCEFC97" w14:textId="77777777" w:rsidR="00D7475E" w:rsidRPr="00550D35" w:rsidRDefault="00D7475E" w:rsidP="00BA62A0">
            <w:pPr>
              <w:ind w:firstLine="0"/>
              <w:contextualSpacing/>
              <w:rPr>
                <w:iCs/>
                <w:sz w:val="20"/>
                <w:lang w:val="lv-LV"/>
              </w:rPr>
            </w:pPr>
            <w:r w:rsidRPr="00550D35">
              <w:rPr>
                <w:iCs/>
                <w:sz w:val="20"/>
                <w:lang w:val="lv-LV"/>
              </w:rPr>
              <w:t>Latvijas Platjoslas kompetences centra funkciju paplašināšana un uzlabošana.</w:t>
            </w:r>
          </w:p>
          <w:p w14:paraId="2EBD06EC" w14:textId="77777777" w:rsidR="00D7475E" w:rsidRPr="00550D35" w:rsidRDefault="00D7475E" w:rsidP="00BA62A0">
            <w:pPr>
              <w:contextualSpacing/>
              <w:rPr>
                <w:iCs/>
                <w:sz w:val="20"/>
                <w:lang w:val="lv-LV"/>
              </w:rPr>
            </w:pPr>
            <w:r w:rsidRPr="00550D35">
              <w:rPr>
                <w:iCs/>
                <w:sz w:val="20"/>
                <w:lang w:val="lv-LV"/>
              </w:rPr>
              <w:t>Minēto procesu uzlabošana (pastāvīgi):</w:t>
            </w:r>
          </w:p>
          <w:p w14:paraId="24BF4BF3" w14:textId="77777777" w:rsidR="00D7475E" w:rsidRPr="00550D35" w:rsidRDefault="00D7475E" w:rsidP="00BA62A0">
            <w:pPr>
              <w:pStyle w:val="ListParagraph"/>
              <w:numPr>
                <w:ilvl w:val="0"/>
                <w:numId w:val="29"/>
              </w:numPr>
              <w:spacing w:before="0"/>
              <w:contextualSpacing/>
              <w:rPr>
                <w:rFonts w:cs="Times New Roman"/>
                <w:iCs/>
                <w:sz w:val="20"/>
                <w:szCs w:val="20"/>
                <w:lang w:val="lv-LV"/>
              </w:rPr>
            </w:pPr>
            <w:r w:rsidRPr="00550D35">
              <w:rPr>
                <w:rFonts w:cs="Times New Roman"/>
                <w:iCs/>
                <w:sz w:val="20"/>
                <w:szCs w:val="20"/>
                <w:lang w:val="lv-LV"/>
              </w:rPr>
              <w:t xml:space="preserve">Informēt Latvijas Pašvaldību savienību un pašvaldības par CEF projektu iespējām, nepieciešamības gadījumā nodrošināt konsultatīvo atbalstu. </w:t>
            </w:r>
          </w:p>
          <w:p w14:paraId="59D1764D" w14:textId="77777777" w:rsidR="00D7475E" w:rsidRPr="00550D35" w:rsidRDefault="00D7475E" w:rsidP="00BA62A0">
            <w:pPr>
              <w:pStyle w:val="ListParagraph"/>
              <w:numPr>
                <w:ilvl w:val="0"/>
                <w:numId w:val="29"/>
              </w:numPr>
              <w:spacing w:before="0"/>
              <w:contextualSpacing/>
              <w:rPr>
                <w:rFonts w:cs="Times New Roman"/>
                <w:iCs/>
                <w:sz w:val="20"/>
                <w:szCs w:val="20"/>
                <w:lang w:val="lv-LV"/>
              </w:rPr>
            </w:pPr>
            <w:r w:rsidRPr="00550D35">
              <w:rPr>
                <w:rFonts w:cs="Times New Roman"/>
                <w:iCs/>
                <w:sz w:val="20"/>
                <w:szCs w:val="20"/>
                <w:lang w:val="lv-LV"/>
              </w:rPr>
              <w:t xml:space="preserve">Iegūt atgriezenisko saiti no pašvaldībām par CEF ieviešanas progresu, izaicinājumiem un nepieciešamajām izmaiņām. </w:t>
            </w:r>
          </w:p>
          <w:p w14:paraId="53B45DAF" w14:textId="77777777" w:rsidR="00D7475E" w:rsidRPr="00550D35" w:rsidRDefault="00D7475E" w:rsidP="00BA62A0">
            <w:pPr>
              <w:pStyle w:val="ListParagraph"/>
              <w:numPr>
                <w:ilvl w:val="0"/>
                <w:numId w:val="29"/>
              </w:numPr>
              <w:spacing w:before="0"/>
              <w:contextualSpacing/>
              <w:rPr>
                <w:rFonts w:cs="Times New Roman"/>
                <w:iCs/>
                <w:sz w:val="20"/>
                <w:szCs w:val="20"/>
                <w:lang w:val="lv-LV"/>
              </w:rPr>
            </w:pPr>
            <w:r w:rsidRPr="00550D35">
              <w:rPr>
                <w:rFonts w:cs="Times New Roman"/>
                <w:iCs/>
                <w:sz w:val="20"/>
                <w:szCs w:val="20"/>
                <w:lang w:val="lv-LV"/>
              </w:rPr>
              <w:t>Konsultēt plānošanas reģionus un pašvaldības par citiem jau esošajiem vai plānotajiem platjoslas projektiem, piemēram, 5G.</w:t>
            </w:r>
          </w:p>
          <w:p w14:paraId="497AEA20" w14:textId="77777777" w:rsidR="00D7475E" w:rsidRPr="00550D35" w:rsidRDefault="00D7475E" w:rsidP="00BA62A0">
            <w:pPr>
              <w:spacing w:line="252" w:lineRule="auto"/>
              <w:rPr>
                <w:iCs/>
                <w:noProof/>
                <w:color w:val="000000" w:themeColor="text1"/>
                <w:sz w:val="20"/>
                <w:lang w:val="lv-LV"/>
              </w:rPr>
            </w:pPr>
            <w:r w:rsidRPr="00550D35">
              <w:rPr>
                <w:iCs/>
                <w:noProof/>
                <w:color w:val="000000" w:themeColor="text1"/>
                <w:sz w:val="20"/>
                <w:lang w:val="lv-LV"/>
              </w:rPr>
              <w:t xml:space="preserve">Ņemot vērā iepriekš minēto, ir sagaidāms, ka šis pasākums dos tiešu ieguldījumu Savienojamības mērķa sasniegšanā. </w:t>
            </w:r>
          </w:p>
        </w:tc>
      </w:tr>
      <w:tr w:rsidR="00D7475E" w:rsidRPr="004D24FA" w14:paraId="7B8ADBC3" w14:textId="77777777" w:rsidTr="00BA62A0">
        <w:tc>
          <w:tcPr>
            <w:tcW w:w="1547" w:type="pct"/>
            <w:shd w:val="clear" w:color="auto" w:fill="auto"/>
          </w:tcPr>
          <w:p w14:paraId="15719018" w14:textId="3A6AEFA0" w:rsidR="00D7475E" w:rsidRPr="00550D35" w:rsidRDefault="00D7475E" w:rsidP="00BA62A0">
            <w:pPr>
              <w:ind w:firstLine="0"/>
              <w:rPr>
                <w:b/>
                <w:bCs/>
                <w:sz w:val="20"/>
                <w:lang w:val="lv-LV"/>
              </w:rPr>
            </w:pPr>
            <w:r w:rsidRPr="00550D35">
              <w:rPr>
                <w:b/>
                <w:bCs/>
                <w:sz w:val="20"/>
                <w:lang w:val="lv-LV"/>
              </w:rPr>
              <w:lastRenderedPageBreak/>
              <w:t>Piešķirtais vai plānotais budžets un, ja atbilstoši, citi resursi</w:t>
            </w:r>
          </w:p>
        </w:tc>
        <w:tc>
          <w:tcPr>
            <w:tcW w:w="3453" w:type="pct"/>
            <w:shd w:val="clear" w:color="auto" w:fill="auto"/>
          </w:tcPr>
          <w:p w14:paraId="40B1AEC7" w14:textId="77777777" w:rsidR="00D7475E" w:rsidRPr="00550D35" w:rsidRDefault="00D7475E" w:rsidP="00BA62A0">
            <w:pPr>
              <w:ind w:firstLine="0"/>
              <w:contextualSpacing/>
              <w:rPr>
                <w:iCs/>
                <w:sz w:val="20"/>
                <w:lang w:val="lv-LV"/>
              </w:rPr>
            </w:pPr>
            <w:r w:rsidRPr="00550D35">
              <w:rPr>
                <w:iCs/>
                <w:sz w:val="20"/>
                <w:lang w:val="lv-LV"/>
              </w:rPr>
              <w:t>Platjoslas kompetences centra darbības un funkciju nodrošināšanai nav piešķirts papildu finansējums. Indikatīvi nepieciešams 100 tūkst. eiro gadā.</w:t>
            </w:r>
          </w:p>
        </w:tc>
      </w:tr>
      <w:tr w:rsidR="00D7475E" w:rsidRPr="00550D35" w14:paraId="224074E7" w14:textId="77777777" w:rsidTr="00BA62A0">
        <w:tc>
          <w:tcPr>
            <w:tcW w:w="1547" w:type="pct"/>
          </w:tcPr>
          <w:p w14:paraId="191DAF05" w14:textId="77777777" w:rsidR="00D7475E" w:rsidRPr="00550D35" w:rsidRDefault="00D7475E" w:rsidP="00BA62A0">
            <w:pPr>
              <w:ind w:firstLine="0"/>
              <w:rPr>
                <w:b/>
                <w:bCs/>
                <w:sz w:val="20"/>
                <w:lang w:val="lv-LV"/>
              </w:rPr>
            </w:pPr>
            <w:r w:rsidRPr="00550D35">
              <w:rPr>
                <w:b/>
                <w:bCs/>
                <w:sz w:val="20"/>
                <w:lang w:val="lv-LV"/>
              </w:rPr>
              <w:t xml:space="preserve">Sagaidāmā ietekme un laika ietvars: </w:t>
            </w:r>
          </w:p>
        </w:tc>
        <w:tc>
          <w:tcPr>
            <w:tcW w:w="3453" w:type="pct"/>
          </w:tcPr>
          <w:p w14:paraId="22D00AF1" w14:textId="77777777" w:rsidR="00D7475E" w:rsidRPr="00550D35" w:rsidRDefault="00D7475E" w:rsidP="00BA62A0">
            <w:pPr>
              <w:ind w:firstLine="0"/>
              <w:rPr>
                <w:iCs/>
                <w:sz w:val="20"/>
                <w:lang w:val="lv-LV"/>
              </w:rPr>
            </w:pPr>
            <w:r w:rsidRPr="00550D35">
              <w:rPr>
                <w:iCs/>
                <w:sz w:val="20"/>
                <w:lang w:val="lv-LV"/>
              </w:rPr>
              <w:t xml:space="preserve">Procesu pārvaldības uzlabošana (pastāvīgi). </w:t>
            </w:r>
          </w:p>
        </w:tc>
      </w:tr>
    </w:tbl>
    <w:p w14:paraId="1DD181FC" w14:textId="77777777" w:rsidR="00D7475E" w:rsidRPr="00550D35" w:rsidRDefault="00D7475E" w:rsidP="00D7475E">
      <w:pPr>
        <w:rPr>
          <w:i/>
          <w:iCs/>
          <w:sz w:val="20"/>
          <w:lang w:val="lv-LV"/>
        </w:rPr>
      </w:pPr>
    </w:p>
    <w:tbl>
      <w:tblPr>
        <w:tblStyle w:val="TableGrid"/>
        <w:tblW w:w="5000" w:type="pct"/>
        <w:tblLook w:val="04A0" w:firstRow="1" w:lastRow="0" w:firstColumn="1" w:lastColumn="0" w:noHBand="0" w:noVBand="1"/>
      </w:tblPr>
      <w:tblGrid>
        <w:gridCol w:w="2663"/>
        <w:gridCol w:w="5944"/>
      </w:tblGrid>
      <w:tr w:rsidR="00D7475E" w:rsidRPr="003B2E9A" w14:paraId="5085C7CE" w14:textId="77777777" w:rsidTr="00BA62A0">
        <w:tc>
          <w:tcPr>
            <w:tcW w:w="5000" w:type="pct"/>
            <w:gridSpan w:val="2"/>
          </w:tcPr>
          <w:p w14:paraId="09745FA4" w14:textId="77777777" w:rsidR="00D7475E" w:rsidRPr="00550D35" w:rsidRDefault="00D7475E" w:rsidP="00BA62A0">
            <w:pPr>
              <w:ind w:firstLine="0"/>
              <w:contextualSpacing/>
              <w:rPr>
                <w:rFonts w:eastAsia="Wingdings 2"/>
                <w:b/>
                <w:bCs/>
                <w:sz w:val="20"/>
                <w:lang w:val="lv-LV"/>
              </w:rPr>
            </w:pPr>
            <w:r w:rsidRPr="00550D35">
              <w:rPr>
                <w:b/>
                <w:bCs/>
                <w:sz w:val="20"/>
                <w:lang w:val="lv-LV"/>
              </w:rPr>
              <w:t xml:space="preserve">Pasākums Nr.5 – Investīciju ieguldījumu progresa </w:t>
            </w:r>
            <w:proofErr w:type="spellStart"/>
            <w:r w:rsidRPr="00550D35">
              <w:rPr>
                <w:b/>
                <w:bCs/>
                <w:sz w:val="20"/>
                <w:lang w:val="lv-LV"/>
              </w:rPr>
              <w:t>izvērtējums</w:t>
            </w:r>
            <w:proofErr w:type="spellEnd"/>
            <w:r w:rsidRPr="00550D35">
              <w:rPr>
                <w:b/>
                <w:bCs/>
                <w:sz w:val="20"/>
                <w:lang w:val="lv-LV"/>
              </w:rPr>
              <w:t xml:space="preserve"> un risinājumi nepieciešamā finansējuma piesaistei platjoslas attīstībai – 1. Veikta investīciju nepietiekamības </w:t>
            </w:r>
            <w:proofErr w:type="spellStart"/>
            <w:r w:rsidRPr="00550D35">
              <w:rPr>
                <w:b/>
                <w:bCs/>
                <w:sz w:val="20"/>
                <w:lang w:val="lv-LV"/>
              </w:rPr>
              <w:t>izvērtējuma</w:t>
            </w:r>
            <w:proofErr w:type="spellEnd"/>
            <w:r w:rsidRPr="00550D35">
              <w:rPr>
                <w:b/>
                <w:bCs/>
                <w:sz w:val="20"/>
                <w:lang w:val="lv-LV"/>
              </w:rPr>
              <w:t xml:space="preserve"> aktualizācija platjoslas attīstībai; 2. Iesniegts MK informatīvais ziņojums par risinājumiem nepieciešamā iztrūkstošā finansējuma piesaistei platjoslas attīstībai.</w:t>
            </w:r>
          </w:p>
        </w:tc>
      </w:tr>
      <w:tr w:rsidR="00D7475E" w:rsidRPr="00550D35" w14:paraId="03C0A936" w14:textId="77777777" w:rsidTr="00BA62A0">
        <w:tc>
          <w:tcPr>
            <w:tcW w:w="1547" w:type="pct"/>
          </w:tcPr>
          <w:p w14:paraId="374F10A3" w14:textId="77777777" w:rsidR="00D7475E" w:rsidRPr="00550D35" w:rsidRDefault="00D7475E" w:rsidP="00BA62A0">
            <w:pPr>
              <w:rPr>
                <w:b/>
                <w:bCs/>
                <w:sz w:val="20"/>
                <w:lang w:val="lv-LV"/>
              </w:rPr>
            </w:pPr>
            <w:r w:rsidRPr="00550D35">
              <w:rPr>
                <w:b/>
                <w:bCs/>
                <w:sz w:val="20"/>
                <w:lang w:val="lv-LV"/>
              </w:rPr>
              <w:t>Jauns pasākums</w:t>
            </w:r>
          </w:p>
        </w:tc>
        <w:tc>
          <w:tcPr>
            <w:tcW w:w="3453" w:type="pct"/>
          </w:tcPr>
          <w:p w14:paraId="6F3E1F25" w14:textId="77777777" w:rsidR="00D7475E" w:rsidRPr="00550D35" w:rsidRDefault="00AC141D" w:rsidP="00BA62A0">
            <w:pPr>
              <w:spacing w:before="0" w:after="120"/>
              <w:ind w:firstLine="0"/>
              <w:contextualSpacing/>
              <w:jc w:val="left"/>
              <w:rPr>
                <w:rFonts w:eastAsia="MS Minngs"/>
                <w:sz w:val="20"/>
                <w:lang w:val="lv-LV"/>
              </w:rPr>
            </w:pPr>
            <w:sdt>
              <w:sdtPr>
                <w:rPr>
                  <w:rFonts w:ascii="Wingdings 2" w:eastAsia="Wingdings 2" w:hAnsi="Wingdings 2" w:cs="Wingdings 2"/>
                  <w:sz w:val="20"/>
                  <w:lang w:val="lv-LV"/>
                </w:rPr>
                <w:id w:val="-1178809814"/>
                <w14:checkbox>
                  <w14:checked w14:val="0"/>
                  <w14:checkedState w14:val="2612" w14:font="MS Gothic"/>
                  <w14:uncheckedState w14:val="2610" w14:font="MS Gothic"/>
                </w14:checkbox>
              </w:sdtPr>
              <w:sdtEndPr/>
              <w:sdtContent>
                <w:r w:rsidR="00D7475E" w:rsidRPr="00550D35">
                  <w:rPr>
                    <w:rFonts w:ascii="MS Gothic" w:eastAsia="MS Gothic" w:hAnsi="MS Gothic" w:cs="Wingdings 2"/>
                    <w:sz w:val="20"/>
                    <w:lang w:val="lv-LV"/>
                  </w:rPr>
                  <w:t>☐</w:t>
                </w:r>
              </w:sdtContent>
            </w:sdt>
            <w:r w:rsidR="00D7475E" w:rsidRPr="00550D35">
              <w:rPr>
                <w:rFonts w:eastAsia="MS Minngs"/>
                <w:sz w:val="20"/>
                <w:lang w:val="lv-LV"/>
              </w:rPr>
              <w:t xml:space="preserve"> jā</w:t>
            </w:r>
          </w:p>
          <w:p w14:paraId="3D3DB7CB" w14:textId="77777777" w:rsidR="00D7475E" w:rsidRPr="00550D35" w:rsidRDefault="00AC141D" w:rsidP="00BA62A0">
            <w:pPr>
              <w:spacing w:before="0" w:after="120"/>
              <w:ind w:firstLine="0"/>
              <w:contextualSpacing/>
              <w:jc w:val="left"/>
              <w:rPr>
                <w:sz w:val="20"/>
                <w:lang w:val="lv-LV"/>
              </w:rPr>
            </w:pPr>
            <w:sdt>
              <w:sdtPr>
                <w:rPr>
                  <w:rFonts w:ascii="Wingdings 2" w:eastAsia="Wingdings 2" w:hAnsi="Wingdings 2" w:cs="Wingdings 2"/>
                  <w:sz w:val="20"/>
                  <w:lang w:val="lv-LV"/>
                </w:rPr>
                <w:id w:val="559981910"/>
                <w14:checkbox>
                  <w14:checked w14:val="1"/>
                  <w14:checkedState w14:val="2612" w14:font="MS Gothic"/>
                  <w14:uncheckedState w14:val="2610" w14:font="MS Gothic"/>
                </w14:checkbox>
              </w:sdtPr>
              <w:sdtEndPr/>
              <w:sdtContent>
                <w:r w:rsidR="00D7475E" w:rsidRPr="00550D35">
                  <w:rPr>
                    <w:rFonts w:ascii="MS Gothic" w:eastAsia="MS Gothic" w:hAnsi="MS Gothic" w:cs="Wingdings 2"/>
                    <w:sz w:val="20"/>
                    <w:lang w:val="lv-LV"/>
                  </w:rPr>
                  <w:t>☒</w:t>
                </w:r>
              </w:sdtContent>
            </w:sdt>
            <w:r w:rsidR="00D7475E" w:rsidRPr="00550D35">
              <w:rPr>
                <w:rFonts w:eastAsia="MS Minngs"/>
                <w:sz w:val="20"/>
                <w:lang w:val="lv-LV"/>
              </w:rPr>
              <w:t xml:space="preserve"> nē</w:t>
            </w:r>
          </w:p>
        </w:tc>
      </w:tr>
      <w:tr w:rsidR="00D7475E" w:rsidRPr="003B2E9A" w14:paraId="17E76809" w14:textId="77777777" w:rsidTr="00BA62A0">
        <w:tc>
          <w:tcPr>
            <w:tcW w:w="1547" w:type="pct"/>
          </w:tcPr>
          <w:p w14:paraId="11283484" w14:textId="77777777" w:rsidR="00D7475E" w:rsidRPr="00550D35" w:rsidRDefault="00D7475E" w:rsidP="00BA62A0">
            <w:pPr>
              <w:ind w:firstLine="0"/>
              <w:rPr>
                <w:b/>
                <w:bCs/>
                <w:sz w:val="20"/>
                <w:lang w:val="lv-LV"/>
              </w:rPr>
            </w:pPr>
            <w:r w:rsidRPr="00550D35">
              <w:rPr>
                <w:b/>
                <w:bCs/>
                <w:sz w:val="20"/>
                <w:lang w:val="lv-LV"/>
              </w:rPr>
              <w:t>Īss pasākuma apraksts</w:t>
            </w:r>
          </w:p>
        </w:tc>
        <w:tc>
          <w:tcPr>
            <w:tcW w:w="3453" w:type="pct"/>
          </w:tcPr>
          <w:p w14:paraId="4E7372C3" w14:textId="77777777" w:rsidR="00D7475E" w:rsidRPr="00550D35" w:rsidRDefault="00D7475E" w:rsidP="00BA62A0">
            <w:pPr>
              <w:ind w:firstLine="0"/>
              <w:rPr>
                <w:iCs/>
                <w:sz w:val="20"/>
                <w:lang w:val="lv-LV"/>
              </w:rPr>
            </w:pPr>
            <w:r w:rsidRPr="00550D35">
              <w:rPr>
                <w:iCs/>
                <w:sz w:val="20"/>
                <w:lang w:val="lv-LV"/>
              </w:rPr>
              <w:t xml:space="preserve">Veikta investīciju nepietiekamības </w:t>
            </w:r>
            <w:proofErr w:type="spellStart"/>
            <w:r w:rsidRPr="00550D35">
              <w:rPr>
                <w:iCs/>
                <w:sz w:val="20"/>
                <w:lang w:val="lv-LV"/>
              </w:rPr>
              <w:t>izvērtējuma</w:t>
            </w:r>
            <w:proofErr w:type="spellEnd"/>
            <w:r w:rsidRPr="00550D35">
              <w:rPr>
                <w:iCs/>
                <w:sz w:val="20"/>
                <w:lang w:val="lv-LV"/>
              </w:rPr>
              <w:t xml:space="preserve"> aktualizācija platjoslas attīstībai. (Līdz 30.06.2024). 2. Iesniegts MK informatīvais ziņojums par risinājumiem nepieciešamā iztrūkstošā finansējuma piesaistei platjoslas attīstībai. (Līdz 31.12.2024.).</w:t>
            </w:r>
          </w:p>
          <w:p w14:paraId="3E066F44" w14:textId="77777777" w:rsidR="00D7475E" w:rsidRPr="00550D35" w:rsidRDefault="00D7475E" w:rsidP="00BA62A0">
            <w:pPr>
              <w:spacing w:line="252" w:lineRule="auto"/>
              <w:ind w:firstLine="0"/>
              <w:rPr>
                <w:iCs/>
                <w:noProof/>
                <w:color w:val="000000" w:themeColor="text1"/>
                <w:sz w:val="20"/>
                <w:lang w:val="lv-LV"/>
              </w:rPr>
            </w:pPr>
            <w:r w:rsidRPr="00550D35">
              <w:rPr>
                <w:iCs/>
                <w:noProof/>
                <w:color w:val="000000" w:themeColor="text1"/>
                <w:sz w:val="20"/>
                <w:lang w:val="lv-LV"/>
              </w:rPr>
              <w:t xml:space="preserve">Ņemot vērā iepriekš minēto, ir sagaidāms, ka šis pasākums dos tiešu ieguldījumu Savienojamības mērķa sasniegšanā. </w:t>
            </w:r>
          </w:p>
        </w:tc>
      </w:tr>
      <w:tr w:rsidR="00D7475E" w:rsidRPr="00550D35" w14:paraId="7A1383B3" w14:textId="77777777" w:rsidTr="00BA62A0">
        <w:tc>
          <w:tcPr>
            <w:tcW w:w="1547" w:type="pct"/>
            <w:shd w:val="clear" w:color="auto" w:fill="auto"/>
          </w:tcPr>
          <w:p w14:paraId="238EDD10" w14:textId="36F5D9E3" w:rsidR="00D7475E" w:rsidRPr="00550D35" w:rsidRDefault="00D7475E" w:rsidP="00BA62A0">
            <w:pPr>
              <w:ind w:firstLine="0"/>
              <w:rPr>
                <w:b/>
                <w:bCs/>
                <w:sz w:val="20"/>
                <w:lang w:val="lv-LV"/>
              </w:rPr>
            </w:pPr>
            <w:r w:rsidRPr="00550D35">
              <w:rPr>
                <w:b/>
                <w:bCs/>
                <w:sz w:val="20"/>
                <w:lang w:val="lv-LV"/>
              </w:rPr>
              <w:t>Piešķirtais vai plānotais budžets un, ja atbilstoši, citi resursi</w:t>
            </w:r>
          </w:p>
        </w:tc>
        <w:tc>
          <w:tcPr>
            <w:tcW w:w="3453" w:type="pct"/>
            <w:shd w:val="clear" w:color="auto" w:fill="auto"/>
          </w:tcPr>
          <w:p w14:paraId="3AC386B4" w14:textId="77777777" w:rsidR="00D7475E" w:rsidRPr="00550D35" w:rsidRDefault="00D7475E" w:rsidP="00BA62A0">
            <w:pPr>
              <w:ind w:firstLine="0"/>
              <w:rPr>
                <w:iCs/>
                <w:sz w:val="20"/>
                <w:lang w:val="lv-LV"/>
              </w:rPr>
            </w:pPr>
            <w:r w:rsidRPr="00550D35">
              <w:rPr>
                <w:iCs/>
                <w:sz w:val="20"/>
                <w:lang w:val="lv-LV"/>
              </w:rPr>
              <w:t>Pasākumam netiek plānots budžets.</w:t>
            </w:r>
          </w:p>
        </w:tc>
      </w:tr>
      <w:tr w:rsidR="00D7475E" w:rsidRPr="00550D35" w14:paraId="29FF1051" w14:textId="77777777" w:rsidTr="00BA62A0">
        <w:tc>
          <w:tcPr>
            <w:tcW w:w="1547" w:type="pct"/>
          </w:tcPr>
          <w:p w14:paraId="59B061D6" w14:textId="77777777" w:rsidR="00D7475E" w:rsidRPr="00550D35" w:rsidRDefault="00D7475E" w:rsidP="00BA62A0">
            <w:pPr>
              <w:ind w:firstLine="0"/>
              <w:rPr>
                <w:b/>
                <w:bCs/>
                <w:sz w:val="20"/>
                <w:lang w:val="lv-LV"/>
              </w:rPr>
            </w:pPr>
            <w:r w:rsidRPr="00550D35">
              <w:rPr>
                <w:b/>
                <w:bCs/>
                <w:sz w:val="20"/>
                <w:lang w:val="lv-LV"/>
              </w:rPr>
              <w:t xml:space="preserve">Sagaidāmā ietekme un laika ietvars: </w:t>
            </w:r>
          </w:p>
        </w:tc>
        <w:tc>
          <w:tcPr>
            <w:tcW w:w="3453" w:type="pct"/>
          </w:tcPr>
          <w:p w14:paraId="5EA639AA" w14:textId="77777777" w:rsidR="00D7475E" w:rsidRPr="00550D35" w:rsidRDefault="00D7475E" w:rsidP="00BA62A0">
            <w:pPr>
              <w:ind w:firstLine="0"/>
              <w:rPr>
                <w:iCs/>
                <w:sz w:val="20"/>
                <w:lang w:val="lv-LV"/>
              </w:rPr>
            </w:pPr>
            <w:r w:rsidRPr="00550D35">
              <w:rPr>
                <w:iCs/>
                <w:sz w:val="20"/>
                <w:lang w:val="lv-LV"/>
              </w:rPr>
              <w:t xml:space="preserve">1. Veikta investīciju nepietiekamības </w:t>
            </w:r>
            <w:proofErr w:type="spellStart"/>
            <w:r w:rsidRPr="00550D35">
              <w:rPr>
                <w:iCs/>
                <w:sz w:val="20"/>
                <w:lang w:val="lv-LV"/>
              </w:rPr>
              <w:t>izvērtējuma</w:t>
            </w:r>
            <w:proofErr w:type="spellEnd"/>
            <w:r w:rsidRPr="00550D35">
              <w:rPr>
                <w:iCs/>
                <w:sz w:val="20"/>
                <w:lang w:val="lv-LV"/>
              </w:rPr>
              <w:t xml:space="preserve"> aktualizācija platjoslas attīstībai. (Līdz 30.06.2024).</w:t>
            </w:r>
            <w:r w:rsidRPr="00550D35">
              <w:rPr>
                <w:iCs/>
                <w:sz w:val="20"/>
                <w:lang w:val="lv-LV"/>
              </w:rPr>
              <w:br/>
              <w:t>2. Iesniegts MK informatīvais ziņojums par risinājumiem nepieciešamā iztrūkstošā finansējuma piesaistei platjoslas attīstībai. (Līdz 31.12.2024.)</w:t>
            </w:r>
          </w:p>
        </w:tc>
      </w:tr>
    </w:tbl>
    <w:p w14:paraId="3921B9EF" w14:textId="77777777" w:rsidR="00D7475E" w:rsidRPr="00550D35" w:rsidRDefault="00D7475E" w:rsidP="00D7475E">
      <w:pPr>
        <w:rPr>
          <w:i/>
          <w:iCs/>
          <w:sz w:val="20"/>
          <w:lang w:val="lv-LV"/>
        </w:rPr>
      </w:pPr>
    </w:p>
    <w:tbl>
      <w:tblPr>
        <w:tblStyle w:val="TableGrid"/>
        <w:tblW w:w="5000" w:type="pct"/>
        <w:tblLook w:val="04A0" w:firstRow="1" w:lastRow="0" w:firstColumn="1" w:lastColumn="0" w:noHBand="0" w:noVBand="1"/>
      </w:tblPr>
      <w:tblGrid>
        <w:gridCol w:w="2663"/>
        <w:gridCol w:w="5944"/>
      </w:tblGrid>
      <w:tr w:rsidR="00D7475E" w:rsidRPr="003B2E9A" w14:paraId="7CAF3378" w14:textId="77777777" w:rsidTr="00BA62A0">
        <w:tc>
          <w:tcPr>
            <w:tcW w:w="5000" w:type="pct"/>
            <w:gridSpan w:val="2"/>
          </w:tcPr>
          <w:p w14:paraId="5DE6DCBD" w14:textId="77777777" w:rsidR="00D7475E" w:rsidRPr="00550D35" w:rsidRDefault="00D7475E" w:rsidP="00BA62A0">
            <w:pPr>
              <w:ind w:firstLine="0"/>
              <w:contextualSpacing/>
              <w:rPr>
                <w:rFonts w:eastAsia="Wingdings 2"/>
                <w:b/>
                <w:bCs/>
                <w:sz w:val="20"/>
                <w:lang w:val="lv-LV"/>
              </w:rPr>
            </w:pPr>
            <w:r w:rsidRPr="00550D35">
              <w:rPr>
                <w:b/>
                <w:bCs/>
                <w:sz w:val="20"/>
                <w:lang w:val="lv-LV"/>
              </w:rPr>
              <w:t>Pasākums Nr.6 – Elektronisko sakaru tīklu būvniecības procesa atvieglošana</w:t>
            </w:r>
            <w:r w:rsidRPr="00550D35">
              <w:rPr>
                <w:b/>
                <w:bCs/>
                <w:sz w:val="20"/>
                <w:lang w:val="lv-LV"/>
              </w:rPr>
              <w:br/>
              <w:t>– 1. Veiktas izmaiņas nacionālajā regulējumā atbilstoši Gigabitu infrastruktūras aktam; 2. Informatīvais ziņojums</w:t>
            </w:r>
          </w:p>
        </w:tc>
      </w:tr>
      <w:tr w:rsidR="00D7475E" w:rsidRPr="00550D35" w14:paraId="5CDE7FD1" w14:textId="77777777" w:rsidTr="00BA62A0">
        <w:tc>
          <w:tcPr>
            <w:tcW w:w="1547" w:type="pct"/>
          </w:tcPr>
          <w:p w14:paraId="6856899D" w14:textId="77777777" w:rsidR="00D7475E" w:rsidRPr="00550D35" w:rsidRDefault="00D7475E" w:rsidP="00BA62A0">
            <w:pPr>
              <w:rPr>
                <w:b/>
                <w:bCs/>
                <w:sz w:val="20"/>
                <w:lang w:val="lv-LV"/>
              </w:rPr>
            </w:pPr>
            <w:r w:rsidRPr="00550D35">
              <w:rPr>
                <w:b/>
                <w:bCs/>
                <w:sz w:val="20"/>
                <w:lang w:val="lv-LV"/>
              </w:rPr>
              <w:t>Jauns pasākums</w:t>
            </w:r>
          </w:p>
        </w:tc>
        <w:tc>
          <w:tcPr>
            <w:tcW w:w="3453" w:type="pct"/>
          </w:tcPr>
          <w:p w14:paraId="5AEA3229" w14:textId="77777777" w:rsidR="00D7475E" w:rsidRPr="00550D35" w:rsidRDefault="00AC141D" w:rsidP="00BA62A0">
            <w:pPr>
              <w:spacing w:before="0" w:after="120"/>
              <w:ind w:firstLine="0"/>
              <w:contextualSpacing/>
              <w:jc w:val="left"/>
              <w:rPr>
                <w:rFonts w:eastAsia="MS Minngs"/>
                <w:sz w:val="20"/>
                <w:lang w:val="lv-LV"/>
              </w:rPr>
            </w:pPr>
            <w:sdt>
              <w:sdtPr>
                <w:rPr>
                  <w:rFonts w:ascii="Wingdings 2" w:eastAsia="Wingdings 2" w:hAnsi="Wingdings 2" w:cs="Wingdings 2"/>
                  <w:sz w:val="20"/>
                  <w:lang w:val="lv-LV"/>
                </w:rPr>
                <w:id w:val="741836453"/>
                <w14:checkbox>
                  <w14:checked w14:val="0"/>
                  <w14:checkedState w14:val="2612" w14:font="MS Gothic"/>
                  <w14:uncheckedState w14:val="2610" w14:font="MS Gothic"/>
                </w14:checkbox>
              </w:sdtPr>
              <w:sdtEndPr/>
              <w:sdtContent>
                <w:r w:rsidR="00D7475E" w:rsidRPr="00550D35">
                  <w:rPr>
                    <w:rFonts w:ascii="MS Gothic" w:eastAsia="MS Gothic" w:hAnsi="MS Gothic" w:cs="Wingdings 2"/>
                    <w:sz w:val="20"/>
                    <w:lang w:val="lv-LV"/>
                  </w:rPr>
                  <w:t>☐</w:t>
                </w:r>
              </w:sdtContent>
            </w:sdt>
            <w:r w:rsidR="00D7475E" w:rsidRPr="00550D35">
              <w:rPr>
                <w:rFonts w:eastAsia="MS Minngs"/>
                <w:sz w:val="20"/>
                <w:lang w:val="lv-LV"/>
              </w:rPr>
              <w:t xml:space="preserve"> jā</w:t>
            </w:r>
          </w:p>
          <w:p w14:paraId="65933ED6" w14:textId="77777777" w:rsidR="00D7475E" w:rsidRPr="00550D35" w:rsidRDefault="00AC141D" w:rsidP="00BA62A0">
            <w:pPr>
              <w:spacing w:before="0" w:after="120"/>
              <w:ind w:firstLine="0"/>
              <w:contextualSpacing/>
              <w:jc w:val="left"/>
              <w:rPr>
                <w:sz w:val="20"/>
                <w:lang w:val="lv-LV"/>
              </w:rPr>
            </w:pPr>
            <w:sdt>
              <w:sdtPr>
                <w:rPr>
                  <w:rFonts w:ascii="Wingdings 2" w:eastAsia="Wingdings 2" w:hAnsi="Wingdings 2" w:cs="Wingdings 2"/>
                  <w:sz w:val="20"/>
                  <w:lang w:val="lv-LV"/>
                </w:rPr>
                <w:id w:val="-1093087153"/>
                <w14:checkbox>
                  <w14:checked w14:val="1"/>
                  <w14:checkedState w14:val="2612" w14:font="MS Gothic"/>
                  <w14:uncheckedState w14:val="2610" w14:font="MS Gothic"/>
                </w14:checkbox>
              </w:sdtPr>
              <w:sdtEndPr/>
              <w:sdtContent>
                <w:r w:rsidR="00D7475E" w:rsidRPr="00550D35">
                  <w:rPr>
                    <w:rFonts w:ascii="MS Gothic" w:eastAsia="MS Gothic" w:hAnsi="MS Gothic" w:cs="Wingdings 2"/>
                    <w:sz w:val="20"/>
                    <w:lang w:val="lv-LV"/>
                  </w:rPr>
                  <w:t>☒</w:t>
                </w:r>
              </w:sdtContent>
            </w:sdt>
            <w:r w:rsidR="00D7475E" w:rsidRPr="00550D35">
              <w:rPr>
                <w:rFonts w:eastAsia="MS Minngs"/>
                <w:sz w:val="20"/>
                <w:lang w:val="lv-LV"/>
              </w:rPr>
              <w:t xml:space="preserve"> nē</w:t>
            </w:r>
          </w:p>
        </w:tc>
      </w:tr>
      <w:tr w:rsidR="00D7475E" w:rsidRPr="003B2E9A" w14:paraId="6E3480CB" w14:textId="77777777" w:rsidTr="00BA62A0">
        <w:tc>
          <w:tcPr>
            <w:tcW w:w="1547" w:type="pct"/>
          </w:tcPr>
          <w:p w14:paraId="5EDA5A3A" w14:textId="77777777" w:rsidR="00D7475E" w:rsidRPr="00550D35" w:rsidRDefault="00D7475E" w:rsidP="00BA62A0">
            <w:pPr>
              <w:ind w:firstLine="0"/>
              <w:rPr>
                <w:b/>
                <w:bCs/>
                <w:sz w:val="20"/>
                <w:lang w:val="lv-LV"/>
              </w:rPr>
            </w:pPr>
            <w:r w:rsidRPr="00550D35">
              <w:rPr>
                <w:b/>
                <w:bCs/>
                <w:sz w:val="20"/>
                <w:lang w:val="lv-LV"/>
              </w:rPr>
              <w:t>Īss pasākuma apraksts</w:t>
            </w:r>
          </w:p>
        </w:tc>
        <w:tc>
          <w:tcPr>
            <w:tcW w:w="3453" w:type="pct"/>
          </w:tcPr>
          <w:p w14:paraId="79C45316" w14:textId="77777777" w:rsidR="00D7475E" w:rsidRPr="00550D35" w:rsidRDefault="00D7475E" w:rsidP="00BA62A0">
            <w:pPr>
              <w:pStyle w:val="ListParagraph"/>
              <w:numPr>
                <w:ilvl w:val="0"/>
                <w:numId w:val="27"/>
              </w:numPr>
              <w:spacing w:before="0"/>
              <w:ind w:left="386"/>
              <w:contextualSpacing/>
              <w:rPr>
                <w:rFonts w:cs="Times New Roman"/>
                <w:iCs/>
                <w:sz w:val="20"/>
                <w:szCs w:val="20"/>
                <w:lang w:val="lv-LV"/>
              </w:rPr>
            </w:pPr>
            <w:r w:rsidRPr="00550D35">
              <w:rPr>
                <w:rFonts w:cs="Times New Roman"/>
                <w:iCs/>
                <w:sz w:val="20"/>
                <w:szCs w:val="20"/>
                <w:lang w:val="lv-LV"/>
              </w:rPr>
              <w:t>Iesniegti priekšlikumi grozījumiem MK 2014. gada 19. augusta noteikumos Nr.501 "Elektronisko sakaru tīklu ierīkošanas, būvniecības un uzraudzības kārtība", iekļaujot tajos atviegloto regulējumu elektronisko sakaru inženiertīklu būvniecībai un ierīkošanai, ievērojot Vispārīgajos būvnoteikumos noteikto elektronisko sakaru inženierbūvju iedalījumu grupās. (Līdz 31.12.2027.)</w:t>
            </w:r>
          </w:p>
          <w:p w14:paraId="7BB46208" w14:textId="77777777" w:rsidR="00D7475E" w:rsidRPr="00550D35" w:rsidRDefault="00D7475E" w:rsidP="00BA62A0">
            <w:pPr>
              <w:pStyle w:val="ListParagraph"/>
              <w:numPr>
                <w:ilvl w:val="0"/>
                <w:numId w:val="27"/>
              </w:numPr>
              <w:spacing w:before="0"/>
              <w:ind w:left="386"/>
              <w:contextualSpacing/>
              <w:rPr>
                <w:rFonts w:cs="Times New Roman"/>
                <w:iCs/>
                <w:sz w:val="20"/>
                <w:szCs w:val="20"/>
                <w:lang w:val="lv-LV"/>
              </w:rPr>
            </w:pPr>
            <w:r w:rsidRPr="00550D35">
              <w:rPr>
                <w:rFonts w:cs="Times New Roman"/>
                <w:iCs/>
                <w:sz w:val="20"/>
                <w:szCs w:val="20"/>
                <w:lang w:val="lv-LV"/>
              </w:rPr>
              <w:t>Pēc Gigabitu infrastruktūras akta stāšanās spēkā nodrošināt tajā noteikto pasākumu ieviešanu Latvijā, veicot atbilstošus grozījumus nacionālajā regulējumā, tostarp Ātrdarbīga elektronisko sakaru tīkla likumā. (Līdz 31.12.2027.)</w:t>
            </w:r>
          </w:p>
          <w:p w14:paraId="5221D49A" w14:textId="77777777" w:rsidR="00D7475E" w:rsidRPr="00550D35" w:rsidRDefault="00D7475E" w:rsidP="00BA62A0">
            <w:pPr>
              <w:pStyle w:val="ListParagraph"/>
              <w:numPr>
                <w:ilvl w:val="0"/>
                <w:numId w:val="27"/>
              </w:numPr>
              <w:spacing w:before="0"/>
              <w:ind w:left="386"/>
              <w:contextualSpacing/>
              <w:rPr>
                <w:rFonts w:cs="Times New Roman"/>
                <w:iCs/>
                <w:sz w:val="20"/>
                <w:szCs w:val="20"/>
                <w:lang w:val="lv-LV"/>
              </w:rPr>
            </w:pPr>
            <w:r w:rsidRPr="00550D35">
              <w:rPr>
                <w:rFonts w:cs="Times New Roman"/>
                <w:iCs/>
                <w:sz w:val="20"/>
                <w:szCs w:val="20"/>
                <w:lang w:val="lv-LV"/>
              </w:rPr>
              <w:t>Iesniegts MK informatīvais ziņojums par nepieciešamajiem grozījumiem normatīvajos aktos administratīvā sloga samazināšanai elektronisko sakaru tīkla attīstībai. (Līdz 31.12.2023.)</w:t>
            </w:r>
          </w:p>
          <w:p w14:paraId="76E5EFFC" w14:textId="77777777" w:rsidR="00D7475E" w:rsidRPr="00550D35" w:rsidRDefault="00D7475E" w:rsidP="00BA62A0">
            <w:pPr>
              <w:spacing w:line="252" w:lineRule="auto"/>
              <w:ind w:left="386" w:firstLine="0"/>
              <w:rPr>
                <w:iCs/>
                <w:noProof/>
                <w:color w:val="000000" w:themeColor="text1"/>
                <w:sz w:val="20"/>
                <w:lang w:val="lv-LV"/>
              </w:rPr>
            </w:pPr>
            <w:r w:rsidRPr="00550D35">
              <w:rPr>
                <w:iCs/>
                <w:noProof/>
                <w:color w:val="000000" w:themeColor="text1"/>
                <w:sz w:val="20"/>
                <w:lang w:val="lv-LV"/>
              </w:rPr>
              <w:t xml:space="preserve">Ņemot vērā iepriekš minēto, ir sagaidāms, ka šis pasākums dos tiešu ieguldījumu Savienojamības mērķa sasniegšanā. </w:t>
            </w:r>
          </w:p>
        </w:tc>
      </w:tr>
      <w:tr w:rsidR="00D7475E" w:rsidRPr="00550D35" w14:paraId="697215AA" w14:textId="77777777" w:rsidTr="00BA62A0">
        <w:tc>
          <w:tcPr>
            <w:tcW w:w="1547" w:type="pct"/>
            <w:shd w:val="clear" w:color="auto" w:fill="auto"/>
          </w:tcPr>
          <w:p w14:paraId="6F3DDB76" w14:textId="7B7E34FA" w:rsidR="00D7475E" w:rsidRPr="00550D35" w:rsidRDefault="00D7475E" w:rsidP="00BA62A0">
            <w:pPr>
              <w:ind w:firstLine="0"/>
              <w:rPr>
                <w:b/>
                <w:bCs/>
                <w:sz w:val="20"/>
                <w:lang w:val="lv-LV"/>
              </w:rPr>
            </w:pPr>
            <w:r w:rsidRPr="00550D35">
              <w:rPr>
                <w:b/>
                <w:bCs/>
                <w:sz w:val="20"/>
                <w:lang w:val="lv-LV"/>
              </w:rPr>
              <w:t>Piešķirtais vai plānotais budžets un, ja atbilstoši, citi resursi</w:t>
            </w:r>
          </w:p>
        </w:tc>
        <w:tc>
          <w:tcPr>
            <w:tcW w:w="3453" w:type="pct"/>
            <w:shd w:val="clear" w:color="auto" w:fill="auto"/>
          </w:tcPr>
          <w:p w14:paraId="3319377A" w14:textId="77777777" w:rsidR="00D7475E" w:rsidRPr="00550D35" w:rsidRDefault="00D7475E" w:rsidP="00BA62A0">
            <w:pPr>
              <w:ind w:firstLine="0"/>
              <w:rPr>
                <w:iCs/>
                <w:sz w:val="20"/>
                <w:lang w:val="lv-LV"/>
              </w:rPr>
            </w:pPr>
            <w:r w:rsidRPr="00550D35">
              <w:rPr>
                <w:iCs/>
                <w:sz w:val="20"/>
                <w:lang w:val="lv-LV"/>
              </w:rPr>
              <w:t>Pasākumam netiek plānots budžets.</w:t>
            </w:r>
          </w:p>
        </w:tc>
      </w:tr>
      <w:tr w:rsidR="00D7475E" w:rsidRPr="00550D35" w14:paraId="372B8120" w14:textId="77777777" w:rsidTr="00BA62A0">
        <w:tc>
          <w:tcPr>
            <w:tcW w:w="1547" w:type="pct"/>
          </w:tcPr>
          <w:p w14:paraId="58B60C7F" w14:textId="77777777" w:rsidR="00D7475E" w:rsidRPr="00550D35" w:rsidRDefault="00D7475E" w:rsidP="00BA62A0">
            <w:pPr>
              <w:ind w:firstLine="0"/>
              <w:rPr>
                <w:b/>
                <w:bCs/>
                <w:sz w:val="20"/>
                <w:lang w:val="lv-LV"/>
              </w:rPr>
            </w:pPr>
            <w:r w:rsidRPr="00550D35">
              <w:rPr>
                <w:b/>
                <w:bCs/>
                <w:sz w:val="20"/>
                <w:lang w:val="lv-LV"/>
              </w:rPr>
              <w:t xml:space="preserve">Sagaidāmā ietekme un laika ietvars: </w:t>
            </w:r>
          </w:p>
        </w:tc>
        <w:tc>
          <w:tcPr>
            <w:tcW w:w="3453" w:type="pct"/>
          </w:tcPr>
          <w:p w14:paraId="5B0A59FF" w14:textId="77777777" w:rsidR="00D7475E" w:rsidRPr="00550D35" w:rsidRDefault="00D7475E" w:rsidP="00BA62A0">
            <w:pPr>
              <w:ind w:firstLine="0"/>
              <w:rPr>
                <w:i/>
                <w:iCs/>
                <w:sz w:val="20"/>
                <w:lang w:val="lv-LV"/>
              </w:rPr>
            </w:pPr>
            <w:r w:rsidRPr="00550D35">
              <w:rPr>
                <w:rFonts w:eastAsiaTheme="minorHAnsi"/>
                <w:color w:val="000000" w:themeColor="text1"/>
                <w:sz w:val="20"/>
                <w:lang w:val="lv-LV" w:eastAsia="en-US"/>
              </w:rPr>
              <w:t>Skat. augstāk minētos termiņus</w:t>
            </w:r>
          </w:p>
        </w:tc>
      </w:tr>
    </w:tbl>
    <w:p w14:paraId="1B057B46" w14:textId="77777777" w:rsidR="00D7475E" w:rsidRPr="00550D35" w:rsidRDefault="00D7475E" w:rsidP="00D7475E">
      <w:pPr>
        <w:rPr>
          <w:i/>
          <w:iCs/>
          <w:sz w:val="20"/>
          <w:lang w:val="lv-LV"/>
        </w:rPr>
      </w:pPr>
    </w:p>
    <w:tbl>
      <w:tblPr>
        <w:tblStyle w:val="TableGrid"/>
        <w:tblW w:w="5000" w:type="pct"/>
        <w:tblLook w:val="04A0" w:firstRow="1" w:lastRow="0" w:firstColumn="1" w:lastColumn="0" w:noHBand="0" w:noVBand="1"/>
      </w:tblPr>
      <w:tblGrid>
        <w:gridCol w:w="2663"/>
        <w:gridCol w:w="5944"/>
      </w:tblGrid>
      <w:tr w:rsidR="00D7475E" w:rsidRPr="00550D35" w14:paraId="6DDB21CD" w14:textId="77777777" w:rsidTr="00BA62A0">
        <w:tc>
          <w:tcPr>
            <w:tcW w:w="5000" w:type="pct"/>
            <w:gridSpan w:val="2"/>
          </w:tcPr>
          <w:p w14:paraId="3C56ED51" w14:textId="77777777" w:rsidR="00D7475E" w:rsidRPr="00550D35" w:rsidRDefault="00D7475E" w:rsidP="00BA62A0">
            <w:pPr>
              <w:ind w:firstLine="0"/>
              <w:contextualSpacing/>
              <w:rPr>
                <w:rFonts w:eastAsia="Wingdings 2"/>
                <w:sz w:val="20"/>
                <w:lang w:val="lv-LV"/>
              </w:rPr>
            </w:pPr>
            <w:r w:rsidRPr="00550D35">
              <w:rPr>
                <w:b/>
                <w:bCs/>
                <w:sz w:val="20"/>
                <w:lang w:val="lv-LV"/>
              </w:rPr>
              <w:lastRenderedPageBreak/>
              <w:t xml:space="preserve">Pasākums Nr.7 – Sadarbības veicināšana elektronisko sakaru tīklu, būvniecībā, piekļuvē, koplietošanā un citos jautājumos </w:t>
            </w:r>
            <w:r w:rsidRPr="00550D35">
              <w:rPr>
                <w:sz w:val="20"/>
                <w:lang w:val="lv-LV"/>
              </w:rPr>
              <w:t>– 1. Izstrādātas un publicētas vadlīnijas;       2. Organizēti semināri; 3. MK Iesniegti priekšlikumi.</w:t>
            </w:r>
          </w:p>
        </w:tc>
      </w:tr>
      <w:tr w:rsidR="00D7475E" w:rsidRPr="00550D35" w14:paraId="3D68670A" w14:textId="77777777" w:rsidTr="00BA62A0">
        <w:tc>
          <w:tcPr>
            <w:tcW w:w="1547" w:type="pct"/>
          </w:tcPr>
          <w:p w14:paraId="0AACAC76" w14:textId="77777777" w:rsidR="00D7475E" w:rsidRPr="00550D35" w:rsidRDefault="00D7475E" w:rsidP="00BA62A0">
            <w:pPr>
              <w:ind w:firstLine="0"/>
              <w:rPr>
                <w:b/>
                <w:bCs/>
                <w:sz w:val="20"/>
                <w:lang w:val="lv-LV"/>
              </w:rPr>
            </w:pPr>
            <w:r w:rsidRPr="00550D35">
              <w:rPr>
                <w:b/>
                <w:bCs/>
                <w:sz w:val="20"/>
                <w:lang w:val="lv-LV"/>
              </w:rPr>
              <w:t>Jauns pasākums</w:t>
            </w:r>
          </w:p>
        </w:tc>
        <w:tc>
          <w:tcPr>
            <w:tcW w:w="3453" w:type="pct"/>
          </w:tcPr>
          <w:p w14:paraId="1D60EF6E" w14:textId="77777777" w:rsidR="00D7475E" w:rsidRPr="00550D35" w:rsidRDefault="00AC141D" w:rsidP="00BA62A0">
            <w:pPr>
              <w:spacing w:before="0" w:after="120"/>
              <w:ind w:firstLine="0"/>
              <w:contextualSpacing/>
              <w:rPr>
                <w:sz w:val="20"/>
                <w:lang w:val="lv-LV"/>
              </w:rPr>
            </w:pPr>
            <w:sdt>
              <w:sdtPr>
                <w:rPr>
                  <w:sz w:val="20"/>
                  <w:lang w:val="lv-LV"/>
                </w:rPr>
                <w:id w:val="-1101022788"/>
                <w14:checkbox>
                  <w14:checked w14:val="0"/>
                  <w14:checkedState w14:val="2612" w14:font="MS Gothic"/>
                  <w14:uncheckedState w14:val="2610" w14:font="MS Gothic"/>
                </w14:checkbox>
              </w:sdtPr>
              <w:sdtEndPr/>
              <w:sdtContent>
                <w:r w:rsidR="00D7475E" w:rsidRPr="00550D35">
                  <w:rPr>
                    <w:rFonts w:ascii="MS Gothic" w:eastAsia="MS Gothic" w:hAnsi="MS Gothic"/>
                    <w:sz w:val="20"/>
                    <w:lang w:val="lv-LV"/>
                  </w:rPr>
                  <w:t>☐</w:t>
                </w:r>
              </w:sdtContent>
            </w:sdt>
            <w:r w:rsidR="00D7475E" w:rsidRPr="00550D35">
              <w:rPr>
                <w:sz w:val="20"/>
                <w:lang w:val="lv-LV"/>
              </w:rPr>
              <w:t>jā</w:t>
            </w:r>
          </w:p>
          <w:p w14:paraId="2ACE0A28" w14:textId="77777777" w:rsidR="00D7475E" w:rsidRPr="00550D35" w:rsidRDefault="00AC141D" w:rsidP="00BA62A0">
            <w:pPr>
              <w:spacing w:before="0" w:after="120"/>
              <w:ind w:firstLine="0"/>
              <w:contextualSpacing/>
              <w:rPr>
                <w:sz w:val="20"/>
                <w:lang w:val="lv-LV"/>
              </w:rPr>
            </w:pPr>
            <w:sdt>
              <w:sdtPr>
                <w:rPr>
                  <w:sz w:val="20"/>
                  <w:lang w:val="lv-LV"/>
                </w:rPr>
                <w:id w:val="-1213030617"/>
                <w14:checkbox>
                  <w14:checked w14:val="1"/>
                  <w14:checkedState w14:val="2612" w14:font="MS Gothic"/>
                  <w14:uncheckedState w14:val="2610" w14:font="MS Gothic"/>
                </w14:checkbox>
              </w:sdtPr>
              <w:sdtEndPr/>
              <w:sdtContent>
                <w:r w:rsidR="00D7475E" w:rsidRPr="00550D35">
                  <w:rPr>
                    <w:rFonts w:ascii="MS Gothic" w:eastAsia="MS Gothic" w:hAnsi="MS Gothic"/>
                    <w:sz w:val="20"/>
                    <w:lang w:val="lv-LV"/>
                  </w:rPr>
                  <w:t>☒</w:t>
                </w:r>
              </w:sdtContent>
            </w:sdt>
            <w:r w:rsidR="00D7475E" w:rsidRPr="00550D35">
              <w:rPr>
                <w:rFonts w:eastAsia="MS Minngs"/>
                <w:sz w:val="20"/>
                <w:lang w:val="lv-LV"/>
              </w:rPr>
              <w:t xml:space="preserve"> </w:t>
            </w:r>
            <w:r w:rsidR="00D7475E" w:rsidRPr="00550D35">
              <w:rPr>
                <w:sz w:val="20"/>
                <w:lang w:val="lv-LV"/>
              </w:rPr>
              <w:t>nē</w:t>
            </w:r>
          </w:p>
        </w:tc>
      </w:tr>
      <w:tr w:rsidR="00D7475E" w:rsidRPr="003B2E9A" w14:paraId="341F168B" w14:textId="77777777" w:rsidTr="00BA62A0">
        <w:tc>
          <w:tcPr>
            <w:tcW w:w="1547" w:type="pct"/>
          </w:tcPr>
          <w:p w14:paraId="6945C18C" w14:textId="77777777" w:rsidR="00D7475E" w:rsidRPr="00550D35" w:rsidRDefault="00D7475E" w:rsidP="00BA62A0">
            <w:pPr>
              <w:ind w:firstLine="0"/>
              <w:rPr>
                <w:b/>
                <w:bCs/>
                <w:sz w:val="20"/>
                <w:lang w:val="lv-LV"/>
              </w:rPr>
            </w:pPr>
            <w:r w:rsidRPr="00550D35">
              <w:rPr>
                <w:b/>
                <w:bCs/>
                <w:sz w:val="20"/>
                <w:lang w:val="lv-LV"/>
              </w:rPr>
              <w:t>Īss pasākuma apraksts</w:t>
            </w:r>
          </w:p>
          <w:p w14:paraId="341F0CAC" w14:textId="77777777" w:rsidR="00D7475E" w:rsidRPr="00550D35" w:rsidRDefault="00D7475E" w:rsidP="00BA62A0">
            <w:pPr>
              <w:rPr>
                <w:b/>
                <w:sz w:val="20"/>
                <w:lang w:val="lv-LV"/>
              </w:rPr>
            </w:pPr>
          </w:p>
        </w:tc>
        <w:tc>
          <w:tcPr>
            <w:tcW w:w="3453" w:type="pct"/>
          </w:tcPr>
          <w:p w14:paraId="26360325" w14:textId="77777777" w:rsidR="00D7475E" w:rsidRPr="00550D35" w:rsidRDefault="00D7475E" w:rsidP="00BA62A0">
            <w:pPr>
              <w:pStyle w:val="ListParagraph"/>
              <w:numPr>
                <w:ilvl w:val="0"/>
                <w:numId w:val="28"/>
              </w:numPr>
              <w:spacing w:before="0"/>
              <w:ind w:left="339" w:hanging="284"/>
              <w:contextualSpacing/>
              <w:rPr>
                <w:rFonts w:cs="Times New Roman"/>
                <w:color w:val="000000" w:themeColor="text1"/>
                <w:sz w:val="20"/>
                <w:szCs w:val="20"/>
                <w:lang w:val="lv-LV"/>
              </w:rPr>
            </w:pPr>
            <w:r w:rsidRPr="00550D35">
              <w:rPr>
                <w:rFonts w:cs="Times New Roman"/>
                <w:color w:val="000000" w:themeColor="text1"/>
                <w:sz w:val="20"/>
                <w:szCs w:val="20"/>
                <w:lang w:val="lv-LV"/>
              </w:rPr>
              <w:t>SM organizēt seminārus un sagatavot materiālus: a. jauno ēku projektu attīstītājiem, lai veicinātu nediskriminējošu pieeju attiecībā uz elektronisko sakaru tīklu būvniecību. b. pašvaldībām un elektronisko sakaru būvniekiem ar mērķi atvieglot elektronisko sakaru tīklu ierīkošanu.</w:t>
            </w:r>
          </w:p>
          <w:p w14:paraId="0123620F" w14:textId="77777777" w:rsidR="00D7475E" w:rsidRPr="00550D35" w:rsidRDefault="00D7475E" w:rsidP="00BA62A0">
            <w:pPr>
              <w:pStyle w:val="ListParagraph"/>
              <w:numPr>
                <w:ilvl w:val="0"/>
                <w:numId w:val="28"/>
              </w:numPr>
              <w:spacing w:before="0"/>
              <w:ind w:left="339" w:hanging="284"/>
              <w:contextualSpacing/>
              <w:rPr>
                <w:rFonts w:cs="Times New Roman"/>
                <w:color w:val="000000" w:themeColor="text1"/>
                <w:sz w:val="20"/>
                <w:szCs w:val="20"/>
                <w:lang w:val="lv-LV"/>
              </w:rPr>
            </w:pPr>
            <w:r w:rsidRPr="00550D35">
              <w:rPr>
                <w:rFonts w:cs="Times New Roman"/>
                <w:color w:val="000000" w:themeColor="text1"/>
                <w:sz w:val="20"/>
                <w:szCs w:val="20"/>
                <w:shd w:val="clear" w:color="auto" w:fill="FFFFFF"/>
                <w:lang w:val="lv-LV"/>
              </w:rPr>
              <w:t>SM sadarbībā ar sakaru nozares asociācijām un pašvaldībām izveidot darba grupu un izstrādāt vadlīnijas pašvaldībām par elektronisko sakaru tīklu būvniecību un ierīkošanu.</w:t>
            </w:r>
          </w:p>
          <w:p w14:paraId="45759518" w14:textId="77777777" w:rsidR="00D7475E" w:rsidRPr="00550D35" w:rsidRDefault="00D7475E" w:rsidP="00BA62A0">
            <w:pPr>
              <w:pStyle w:val="ListParagraph"/>
              <w:numPr>
                <w:ilvl w:val="0"/>
                <w:numId w:val="28"/>
              </w:numPr>
              <w:spacing w:before="0"/>
              <w:ind w:left="339" w:hanging="284"/>
              <w:contextualSpacing/>
              <w:rPr>
                <w:rFonts w:cs="Times New Roman"/>
                <w:color w:val="000000" w:themeColor="text1"/>
                <w:sz w:val="20"/>
                <w:szCs w:val="20"/>
                <w:lang w:val="lv-LV"/>
              </w:rPr>
            </w:pPr>
            <w:r w:rsidRPr="00550D35">
              <w:rPr>
                <w:rFonts w:cs="Times New Roman"/>
                <w:color w:val="000000" w:themeColor="text1"/>
                <w:sz w:val="20"/>
                <w:szCs w:val="20"/>
                <w:shd w:val="clear" w:color="auto" w:fill="FFFFFF"/>
                <w:lang w:val="lv-LV"/>
              </w:rPr>
              <w:t>Turpināt virzīt pieņemšanai Saeimā likumprojektu "Grozījumi Dzīvokļu īpašuma likumā", kas paredz, ka elektronisko sakaru komersanti aptaujas veidā noskaidro dzīvokļu īpašnieku kopības lēmumu par elektronisko sakaru tīklu būvniecību vai ierīkošanu.</w:t>
            </w:r>
          </w:p>
          <w:p w14:paraId="4AE583AC" w14:textId="77777777" w:rsidR="00D7475E" w:rsidRPr="00550D35" w:rsidRDefault="00D7475E" w:rsidP="00BA62A0">
            <w:pPr>
              <w:pStyle w:val="ListParagraph"/>
              <w:numPr>
                <w:ilvl w:val="0"/>
                <w:numId w:val="28"/>
              </w:numPr>
              <w:spacing w:before="0"/>
              <w:ind w:left="339" w:hanging="284"/>
              <w:contextualSpacing/>
              <w:rPr>
                <w:rFonts w:cs="Times New Roman"/>
                <w:sz w:val="20"/>
                <w:szCs w:val="20"/>
                <w:lang w:val="lv-LV"/>
              </w:rPr>
            </w:pPr>
            <w:r w:rsidRPr="00550D35">
              <w:rPr>
                <w:rFonts w:cs="Times New Roman"/>
                <w:sz w:val="20"/>
                <w:szCs w:val="20"/>
                <w:lang w:val="lv-LV"/>
              </w:rPr>
              <w:t xml:space="preserve">Elektronisko sakaru nozares attīstības plāna 2021.-2027. gadam izpildei izveidotās darba grupas ietvaros izstrādāts informatīvais ziņojums "Par pasākumiem administratīvā sloga mazināšanai elektronisko sakaru tīkla attīstībai." </w:t>
            </w:r>
          </w:p>
          <w:p w14:paraId="61F94D80" w14:textId="77777777" w:rsidR="00D7475E" w:rsidRPr="00550D35" w:rsidRDefault="00D7475E" w:rsidP="00BA62A0">
            <w:pPr>
              <w:spacing w:line="252" w:lineRule="auto"/>
              <w:ind w:left="168" w:firstLine="0"/>
              <w:rPr>
                <w:noProof/>
                <w:color w:val="000000" w:themeColor="text1"/>
                <w:sz w:val="20"/>
                <w:lang w:val="lv-LV"/>
              </w:rPr>
            </w:pPr>
            <w:r w:rsidRPr="00550D35">
              <w:rPr>
                <w:noProof/>
                <w:color w:val="000000" w:themeColor="text1"/>
                <w:sz w:val="20"/>
                <w:lang w:val="lv-LV"/>
              </w:rPr>
              <w:t xml:space="preserve">Ņemot vērā iepriekš minēto, ir sagaidāms, ka šis pasākums dos tiešu ieguldījumu Savienojamības mērķa sasniegšanā. </w:t>
            </w:r>
          </w:p>
        </w:tc>
      </w:tr>
      <w:tr w:rsidR="00D7475E" w:rsidRPr="00550D35" w14:paraId="67E5E3AE" w14:textId="77777777" w:rsidTr="00BA62A0">
        <w:tc>
          <w:tcPr>
            <w:tcW w:w="1547" w:type="pct"/>
            <w:shd w:val="clear" w:color="auto" w:fill="auto"/>
          </w:tcPr>
          <w:p w14:paraId="27B0B3AE" w14:textId="65B92742" w:rsidR="00D7475E" w:rsidRPr="00550D35" w:rsidRDefault="00D7475E" w:rsidP="00BA62A0">
            <w:pPr>
              <w:ind w:firstLine="0"/>
              <w:rPr>
                <w:b/>
                <w:bCs/>
                <w:sz w:val="20"/>
                <w:lang w:val="lv-LV"/>
              </w:rPr>
            </w:pPr>
            <w:r w:rsidRPr="00550D35">
              <w:rPr>
                <w:b/>
                <w:bCs/>
                <w:sz w:val="20"/>
                <w:lang w:val="lv-LV"/>
              </w:rPr>
              <w:t>Piešķirtais vai plānotais budžets un, ja atbilstoši, citi resursi</w:t>
            </w:r>
          </w:p>
        </w:tc>
        <w:tc>
          <w:tcPr>
            <w:tcW w:w="3453" w:type="pct"/>
            <w:shd w:val="clear" w:color="auto" w:fill="auto"/>
          </w:tcPr>
          <w:p w14:paraId="40E9E43E" w14:textId="77777777" w:rsidR="00D7475E" w:rsidRPr="00550D35" w:rsidRDefault="00D7475E" w:rsidP="00BA62A0">
            <w:pPr>
              <w:ind w:firstLine="0"/>
              <w:rPr>
                <w:sz w:val="20"/>
                <w:lang w:val="lv-LV"/>
              </w:rPr>
            </w:pPr>
            <w:r w:rsidRPr="00550D35">
              <w:rPr>
                <w:sz w:val="20"/>
                <w:lang w:val="lv-LV"/>
              </w:rPr>
              <w:t>Nav attiecināms</w:t>
            </w:r>
          </w:p>
        </w:tc>
      </w:tr>
      <w:tr w:rsidR="00D7475E" w:rsidRPr="00550D35" w14:paraId="0A144588" w14:textId="77777777" w:rsidTr="00BA62A0">
        <w:tc>
          <w:tcPr>
            <w:tcW w:w="1547" w:type="pct"/>
          </w:tcPr>
          <w:p w14:paraId="795C7D26" w14:textId="77777777" w:rsidR="00D7475E" w:rsidRPr="00550D35" w:rsidRDefault="00D7475E" w:rsidP="00BA62A0">
            <w:pPr>
              <w:ind w:firstLine="0"/>
              <w:rPr>
                <w:b/>
                <w:bCs/>
                <w:sz w:val="20"/>
                <w:lang w:val="lv-LV"/>
              </w:rPr>
            </w:pPr>
            <w:r w:rsidRPr="00550D35">
              <w:rPr>
                <w:b/>
                <w:bCs/>
                <w:sz w:val="20"/>
                <w:lang w:val="lv-LV"/>
              </w:rPr>
              <w:t xml:space="preserve">Sagaidāmā ietekme un laika ietvars: </w:t>
            </w:r>
          </w:p>
        </w:tc>
        <w:tc>
          <w:tcPr>
            <w:tcW w:w="3453" w:type="pct"/>
          </w:tcPr>
          <w:p w14:paraId="6C3A0D11" w14:textId="77777777" w:rsidR="00D7475E" w:rsidRPr="00550D35" w:rsidRDefault="00D7475E" w:rsidP="00BA62A0">
            <w:pPr>
              <w:ind w:firstLine="0"/>
              <w:rPr>
                <w:sz w:val="20"/>
                <w:lang w:val="lv-LV"/>
              </w:rPr>
            </w:pPr>
            <w:r w:rsidRPr="00550D35">
              <w:rPr>
                <w:sz w:val="20"/>
                <w:lang w:val="lv-LV"/>
              </w:rPr>
              <w:t xml:space="preserve">Skat. augstāk minēto. </w:t>
            </w:r>
          </w:p>
        </w:tc>
      </w:tr>
    </w:tbl>
    <w:p w14:paraId="46BC2BBA" w14:textId="77777777" w:rsidR="00D7475E" w:rsidRPr="00550D35" w:rsidRDefault="00D7475E" w:rsidP="00B52E9B">
      <w:pPr>
        <w:pStyle w:val="Bulletpoint"/>
        <w:numPr>
          <w:ilvl w:val="0"/>
          <w:numId w:val="0"/>
        </w:numPr>
      </w:pPr>
    </w:p>
    <w:p w14:paraId="3BE656B0" w14:textId="77777777" w:rsidR="00D7475E" w:rsidRPr="00550D35" w:rsidRDefault="00D7475E" w:rsidP="00D7475E">
      <w:pPr>
        <w:pStyle w:val="Heading2"/>
        <w:rPr>
          <w:lang w:val="lv-LV"/>
        </w:rPr>
      </w:pPr>
      <w:r w:rsidRPr="00550D35">
        <w:rPr>
          <w:lang w:val="lv-LV"/>
        </w:rPr>
        <w:t xml:space="preserve"> Galvenā politika, pasākumi un darbības, kas paredzēti, lai palīdzētu sasniegt vispārīgos mērķus</w:t>
      </w:r>
    </w:p>
    <w:p w14:paraId="0E9868CB" w14:textId="77777777" w:rsidR="00D7475E" w:rsidRPr="00550D35" w:rsidRDefault="00D7475E" w:rsidP="00D7475E">
      <w:pPr>
        <w:rPr>
          <w:lang w:val="lv-LV"/>
        </w:rPr>
      </w:pPr>
      <w:r w:rsidRPr="00550D35">
        <w:rPr>
          <w:lang w:val="lv-LV"/>
        </w:rPr>
        <w:t>Īstenojamā politika, pasākumi un darbības KPI “Gigabitu savienojamība un 5G pārklājums” jomās sniedz ieguldījumu iedzīvotāju piekļuves nodrošināšanā digitālajām tehnoloģijām, kā arī veicinās līderību un suverenitāti, nodrošinot drošas un pieejamas digitālās un datu infrastruktūras, veicinot tehnoloģiju attīstību, atbalstot ES ekonomikas un īpaši MVU konkurētspēju.</w:t>
      </w:r>
    </w:p>
    <w:p w14:paraId="07F8F8D5" w14:textId="77777777" w:rsidR="00D7475E" w:rsidRPr="00550D35" w:rsidRDefault="00D7475E" w:rsidP="00D7475E">
      <w:pPr>
        <w:rPr>
          <w:lang w:val="lv-LV"/>
        </w:rPr>
      </w:pPr>
      <w:r w:rsidRPr="00550D35">
        <w:rPr>
          <w:lang w:val="lv-LV"/>
        </w:rPr>
        <w:t>Minēto atbalstīs Elektronisko sakaru nozares attīstības plānā 2021.-2027. gadam noteiktie divi rīcības virzieni: 1) Savienojamības paziņojumam</w:t>
      </w:r>
      <w:r w:rsidRPr="00550D35">
        <w:rPr>
          <w:vertAlign w:val="superscript"/>
          <w:lang w:val="lv-LV"/>
        </w:rPr>
        <w:footnoteReference w:id="42"/>
      </w:r>
      <w:r w:rsidRPr="00550D35">
        <w:rPr>
          <w:lang w:val="lv-LV"/>
        </w:rPr>
        <w:t xml:space="preserve"> atbilstošas platjoslas elektronisko sakaru infrastruktūras attīstīšana; 2) Elektronisko sakaru tīklu izvēršanas atvieglošana un izmaksu samazināšana un pasākumi KPI “Gigabitu savienojamība un 5G pārklājums” ES </w:t>
      </w:r>
      <w:proofErr w:type="spellStart"/>
      <w:r w:rsidRPr="00550D35">
        <w:rPr>
          <w:lang w:val="lv-LV"/>
        </w:rPr>
        <w:t>mērķrādītāju</w:t>
      </w:r>
      <w:proofErr w:type="spellEnd"/>
      <w:r w:rsidRPr="00550D35">
        <w:rPr>
          <w:lang w:val="lv-LV"/>
        </w:rPr>
        <w:t xml:space="preserve"> sasniegšanai, kas aprakstīti ceļveža Latvijai 4.3.2.punktā.</w:t>
      </w:r>
    </w:p>
    <w:p w14:paraId="756EC8FC" w14:textId="77777777" w:rsidR="00D7475E" w:rsidRPr="00550D35" w:rsidRDefault="00D7475E" w:rsidP="00D7475E">
      <w:pPr>
        <w:rPr>
          <w:lang w:val="lv-LV"/>
        </w:rPr>
      </w:pPr>
      <w:r w:rsidRPr="00550D35">
        <w:rPr>
          <w:lang w:val="lv-LV"/>
        </w:rPr>
        <w:t xml:space="preserve">5G infrastruktūras izbūve, </w:t>
      </w:r>
      <w:proofErr w:type="spellStart"/>
      <w:r w:rsidRPr="00550D35">
        <w:rPr>
          <w:lang w:val="lv-LV"/>
        </w:rPr>
        <w:t>Via</w:t>
      </w:r>
      <w:proofErr w:type="spellEnd"/>
      <w:r w:rsidRPr="00550D35">
        <w:rPr>
          <w:lang w:val="lv-LV"/>
        </w:rPr>
        <w:t xml:space="preserve"> </w:t>
      </w:r>
      <w:proofErr w:type="spellStart"/>
      <w:r w:rsidRPr="00550D35">
        <w:rPr>
          <w:lang w:val="lv-LV"/>
        </w:rPr>
        <w:t>Baltica</w:t>
      </w:r>
      <w:proofErr w:type="spellEnd"/>
      <w:r w:rsidRPr="00550D35">
        <w:rPr>
          <w:lang w:val="lv-LV"/>
        </w:rPr>
        <w:t xml:space="preserve"> un Rail </w:t>
      </w:r>
      <w:proofErr w:type="spellStart"/>
      <w:r w:rsidRPr="00550D35">
        <w:rPr>
          <w:lang w:val="lv-LV"/>
        </w:rPr>
        <w:t>Baltica</w:t>
      </w:r>
      <w:proofErr w:type="spellEnd"/>
      <w:r w:rsidRPr="00550D35">
        <w:rPr>
          <w:lang w:val="lv-LV"/>
        </w:rPr>
        <w:t xml:space="preserve"> projektos tiks izveidota elektronisko sakaru infrastruktūra, kas atbalstīs nepārtraukta mobilo sakaru tīkla 5G pārklājuma nodrošināšanu autoceļā </w:t>
      </w:r>
      <w:proofErr w:type="spellStart"/>
      <w:r w:rsidRPr="00550D35">
        <w:rPr>
          <w:lang w:val="lv-LV"/>
        </w:rPr>
        <w:t>Via</w:t>
      </w:r>
      <w:proofErr w:type="spellEnd"/>
      <w:r w:rsidRPr="00550D35">
        <w:rPr>
          <w:lang w:val="lv-LV"/>
        </w:rPr>
        <w:t xml:space="preserve"> </w:t>
      </w:r>
      <w:proofErr w:type="spellStart"/>
      <w:r w:rsidRPr="00550D35">
        <w:rPr>
          <w:lang w:val="lv-LV"/>
        </w:rPr>
        <w:t>Baltica</w:t>
      </w:r>
      <w:proofErr w:type="spellEnd"/>
      <w:r w:rsidRPr="00550D35">
        <w:rPr>
          <w:lang w:val="lv-LV"/>
        </w:rPr>
        <w:t xml:space="preserve"> un Rail </w:t>
      </w:r>
      <w:proofErr w:type="spellStart"/>
      <w:r w:rsidRPr="00550D35">
        <w:rPr>
          <w:lang w:val="lv-LV"/>
        </w:rPr>
        <w:t>Baltica</w:t>
      </w:r>
      <w:proofErr w:type="spellEnd"/>
      <w:r w:rsidRPr="00550D35">
        <w:rPr>
          <w:lang w:val="lv-LV"/>
        </w:rPr>
        <w:t>, sniedzot ieguldījumu  drošas un pieejamas digitālās un datu infrastruktūras attīstīšanā.</w:t>
      </w:r>
    </w:p>
    <w:p w14:paraId="362161EF" w14:textId="77777777" w:rsidR="00D7475E" w:rsidRPr="00550D35" w:rsidRDefault="00D7475E" w:rsidP="00D7475E">
      <w:pPr>
        <w:pStyle w:val="Text2"/>
        <w:rPr>
          <w:lang w:val="lv-LV"/>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2562"/>
        <w:gridCol w:w="4554"/>
      </w:tblGrid>
      <w:tr w:rsidR="00D7475E" w:rsidRPr="003B2E9A" w14:paraId="37A9511C" w14:textId="77777777" w:rsidTr="00BA62A0">
        <w:trPr>
          <w:trHeight w:val="566"/>
        </w:trPr>
        <w:tc>
          <w:tcPr>
            <w:tcW w:w="1702" w:type="dxa"/>
            <w:tcMar>
              <w:top w:w="0" w:type="dxa"/>
              <w:left w:w="108" w:type="dxa"/>
              <w:bottom w:w="0" w:type="dxa"/>
              <w:right w:w="108" w:type="dxa"/>
            </w:tcMar>
            <w:vAlign w:val="center"/>
          </w:tcPr>
          <w:p w14:paraId="39B6E75D" w14:textId="77777777" w:rsidR="00D7475E" w:rsidRPr="003E3488" w:rsidRDefault="00D7475E" w:rsidP="00BA62A0">
            <w:pPr>
              <w:spacing w:after="120"/>
              <w:ind w:left="221" w:firstLine="0"/>
              <w:rPr>
                <w:b/>
                <w:iCs/>
                <w:sz w:val="20"/>
                <w:lang w:val="lv-LV"/>
              </w:rPr>
            </w:pPr>
          </w:p>
        </w:tc>
        <w:tc>
          <w:tcPr>
            <w:tcW w:w="2562" w:type="dxa"/>
            <w:tcMar>
              <w:top w:w="0" w:type="dxa"/>
              <w:left w:w="108" w:type="dxa"/>
              <w:bottom w:w="0" w:type="dxa"/>
              <w:right w:w="108" w:type="dxa"/>
            </w:tcMar>
            <w:vAlign w:val="center"/>
          </w:tcPr>
          <w:p w14:paraId="38D6B6F3" w14:textId="77777777" w:rsidR="00D7475E" w:rsidRPr="00550D35" w:rsidRDefault="00D7475E" w:rsidP="00BA62A0">
            <w:pPr>
              <w:pStyle w:val="ListParagraph"/>
              <w:spacing w:before="40" w:after="40"/>
              <w:ind w:left="221" w:firstLine="0"/>
              <w:rPr>
                <w:rFonts w:cs="Times New Roman"/>
                <w:iCs/>
                <w:sz w:val="20"/>
                <w:szCs w:val="20"/>
                <w:lang w:val="lv-LV"/>
              </w:rPr>
            </w:pPr>
            <w:r w:rsidRPr="00550D35">
              <w:rPr>
                <w:b/>
                <w:iCs/>
                <w:sz w:val="20"/>
                <w:lang w:val="lv-LV"/>
              </w:rPr>
              <w:t>Vispārīgie mērķi</w:t>
            </w:r>
          </w:p>
        </w:tc>
        <w:tc>
          <w:tcPr>
            <w:tcW w:w="4554" w:type="dxa"/>
          </w:tcPr>
          <w:p w14:paraId="20354BCA" w14:textId="77777777" w:rsidR="00D7475E" w:rsidRPr="00550D35" w:rsidRDefault="00D7475E" w:rsidP="00BA62A0">
            <w:pPr>
              <w:spacing w:before="160"/>
              <w:ind w:left="221" w:firstLine="0"/>
              <w:rPr>
                <w:iCs/>
                <w:sz w:val="20"/>
                <w:lang w:val="lv-LV"/>
              </w:rPr>
            </w:pPr>
            <w:r w:rsidRPr="003E3488">
              <w:rPr>
                <w:rFonts w:eastAsiaTheme="minorHAnsi" w:cs="Calibri"/>
                <w:b/>
                <w:iCs/>
                <w:sz w:val="20"/>
                <w:szCs w:val="22"/>
                <w:lang w:val="lv-LV" w:eastAsia="en-US"/>
              </w:rPr>
              <w:t>Dalībvalsts iespējamā ieguldījuma jomu piemēri</w:t>
            </w:r>
          </w:p>
        </w:tc>
      </w:tr>
      <w:tr w:rsidR="00D7475E" w:rsidRPr="003B2E9A" w14:paraId="6A35B066" w14:textId="77777777" w:rsidTr="00BA62A0">
        <w:trPr>
          <w:trHeight w:val="1401"/>
        </w:trPr>
        <w:tc>
          <w:tcPr>
            <w:tcW w:w="1702" w:type="dxa"/>
            <w:tcMar>
              <w:top w:w="0" w:type="dxa"/>
              <w:left w:w="108" w:type="dxa"/>
              <w:bottom w:w="0" w:type="dxa"/>
              <w:right w:w="108" w:type="dxa"/>
            </w:tcMar>
            <w:vAlign w:val="center"/>
            <w:hideMark/>
          </w:tcPr>
          <w:p w14:paraId="75997902" w14:textId="77777777" w:rsidR="00D7475E" w:rsidRPr="00550D35" w:rsidRDefault="00D7475E" w:rsidP="00BA62A0">
            <w:pPr>
              <w:pStyle w:val="ListParagraph"/>
              <w:spacing w:after="120"/>
              <w:ind w:left="221" w:firstLine="0"/>
              <w:rPr>
                <w:rFonts w:cs="Times New Roman"/>
                <w:b/>
                <w:bCs/>
                <w:iCs/>
                <w:sz w:val="20"/>
                <w:szCs w:val="20"/>
                <w:lang w:val="lv-LV"/>
              </w:rPr>
            </w:pPr>
            <w:r w:rsidRPr="00550D35">
              <w:rPr>
                <w:rFonts w:cs="Times New Roman"/>
                <w:b/>
                <w:iCs/>
                <w:sz w:val="20"/>
                <w:szCs w:val="20"/>
                <w:lang w:val="lv-LV"/>
              </w:rPr>
              <w:lastRenderedPageBreak/>
              <w:t>Veicināt iedzīvotāju piekļuvi digitālajām tehnoloģijām</w:t>
            </w:r>
          </w:p>
        </w:tc>
        <w:tc>
          <w:tcPr>
            <w:tcW w:w="2562" w:type="dxa"/>
            <w:tcMar>
              <w:top w:w="0" w:type="dxa"/>
              <w:left w:w="108" w:type="dxa"/>
              <w:bottom w:w="0" w:type="dxa"/>
              <w:right w:w="108" w:type="dxa"/>
            </w:tcMar>
            <w:vAlign w:val="center"/>
          </w:tcPr>
          <w:p w14:paraId="1BC439C4" w14:textId="77777777" w:rsidR="00D7475E" w:rsidRPr="00550D35" w:rsidRDefault="00D7475E" w:rsidP="00BA62A0">
            <w:pPr>
              <w:pStyle w:val="ListParagraph"/>
              <w:spacing w:after="120"/>
              <w:ind w:left="142" w:right="142" w:firstLine="0"/>
              <w:rPr>
                <w:rFonts w:cs="Times New Roman"/>
                <w:iCs/>
                <w:sz w:val="20"/>
                <w:szCs w:val="20"/>
                <w:lang w:val="lv-LV"/>
              </w:rPr>
            </w:pPr>
            <w:r w:rsidRPr="00550D35">
              <w:rPr>
                <w:rFonts w:cs="Times New Roman"/>
                <w:iCs/>
                <w:sz w:val="20"/>
                <w:szCs w:val="20"/>
                <w:lang w:val="lv-LV"/>
              </w:rPr>
              <w:t>Atsaucoties uz mērķiem, kas minēti Dekādes programmas 3.panta 1.daļas (a), (b), (e) un (g) punktā</w:t>
            </w:r>
          </w:p>
        </w:tc>
        <w:tc>
          <w:tcPr>
            <w:tcW w:w="4554" w:type="dxa"/>
          </w:tcPr>
          <w:p w14:paraId="51E8C761" w14:textId="77777777" w:rsidR="00D7475E" w:rsidRPr="00550D35" w:rsidRDefault="00D7475E" w:rsidP="00BA62A0">
            <w:pPr>
              <w:ind w:left="142" w:right="142" w:firstLine="0"/>
              <w:rPr>
                <w:iCs/>
                <w:sz w:val="20"/>
                <w:lang w:val="lv-LV"/>
              </w:rPr>
            </w:pPr>
            <w:r w:rsidRPr="00550D35">
              <w:rPr>
                <w:iCs/>
                <w:sz w:val="20"/>
                <w:lang w:val="lv-LV"/>
              </w:rPr>
              <w:t>Elektronisko sakaru nozares attīstības plānā 2021.-2027. gadam noteikti 2 rīcības virzieni: 1)</w:t>
            </w:r>
            <w:r>
              <w:rPr>
                <w:iCs/>
                <w:sz w:val="20"/>
                <w:lang w:val="lv-LV"/>
              </w:rPr>
              <w:t> </w:t>
            </w:r>
            <w:r w:rsidRPr="00550D35">
              <w:rPr>
                <w:iCs/>
                <w:sz w:val="20"/>
                <w:lang w:val="lv-LV"/>
              </w:rPr>
              <w:t>Savienojamības paziņojumam</w:t>
            </w:r>
            <w:r w:rsidRPr="00550D35">
              <w:rPr>
                <w:rStyle w:val="FootnoteReference"/>
                <w:iCs/>
                <w:sz w:val="20"/>
                <w:lang w:val="lv-LV"/>
              </w:rPr>
              <w:footnoteReference w:id="43"/>
            </w:r>
            <w:r w:rsidRPr="00550D35">
              <w:rPr>
                <w:iCs/>
                <w:sz w:val="20"/>
                <w:lang w:val="lv-LV"/>
              </w:rPr>
              <w:t xml:space="preserve"> atbilstošas platjoslas elektronisko sakaru infrastruktūras attīstīšana; 2) Elektronisko sakaru tīklu izvēršanas atvieglošana un izmaksu samazināšana.</w:t>
            </w:r>
          </w:p>
        </w:tc>
      </w:tr>
      <w:tr w:rsidR="00D7475E" w:rsidRPr="003B2E9A" w14:paraId="692B8D8A" w14:textId="77777777" w:rsidTr="00BA62A0">
        <w:trPr>
          <w:trHeight w:val="1096"/>
        </w:trPr>
        <w:tc>
          <w:tcPr>
            <w:tcW w:w="1702" w:type="dxa"/>
            <w:tcMar>
              <w:top w:w="0" w:type="dxa"/>
              <w:left w:w="108" w:type="dxa"/>
              <w:bottom w:w="0" w:type="dxa"/>
              <w:right w:w="108" w:type="dxa"/>
            </w:tcMar>
            <w:vAlign w:val="center"/>
            <w:hideMark/>
          </w:tcPr>
          <w:p w14:paraId="28BD22EE" w14:textId="77777777" w:rsidR="00D7475E" w:rsidRPr="00550D35" w:rsidRDefault="00D7475E" w:rsidP="00BA62A0">
            <w:pPr>
              <w:pStyle w:val="ListParagraph"/>
              <w:spacing w:after="120"/>
              <w:ind w:left="221" w:firstLine="0"/>
              <w:rPr>
                <w:rFonts w:cs="Times New Roman"/>
                <w:b/>
                <w:iCs/>
                <w:sz w:val="20"/>
                <w:szCs w:val="20"/>
                <w:lang w:val="lv-LV"/>
              </w:rPr>
            </w:pPr>
            <w:r w:rsidRPr="00550D35">
              <w:rPr>
                <w:rFonts w:cs="Times New Roman"/>
                <w:b/>
                <w:iCs/>
                <w:sz w:val="20"/>
                <w:szCs w:val="20"/>
                <w:lang w:val="lv-LV"/>
              </w:rPr>
              <w:t>Veicināt līderību un suverenitāti</w:t>
            </w:r>
          </w:p>
        </w:tc>
        <w:tc>
          <w:tcPr>
            <w:tcW w:w="2562" w:type="dxa"/>
            <w:tcMar>
              <w:top w:w="0" w:type="dxa"/>
              <w:left w:w="108" w:type="dxa"/>
              <w:bottom w:w="0" w:type="dxa"/>
              <w:right w:w="108" w:type="dxa"/>
            </w:tcMar>
            <w:vAlign w:val="center"/>
            <w:hideMark/>
          </w:tcPr>
          <w:p w14:paraId="7AF1D12F" w14:textId="77777777" w:rsidR="00D7475E" w:rsidRPr="00550D35" w:rsidRDefault="00D7475E" w:rsidP="00BA62A0">
            <w:pPr>
              <w:pStyle w:val="ListParagraph"/>
              <w:spacing w:after="120"/>
              <w:ind w:left="142" w:right="142" w:firstLine="0"/>
              <w:rPr>
                <w:rFonts w:cs="Times New Roman"/>
                <w:iCs/>
                <w:sz w:val="20"/>
                <w:szCs w:val="20"/>
                <w:lang w:val="lv-LV"/>
              </w:rPr>
            </w:pPr>
            <w:r w:rsidRPr="00550D35">
              <w:rPr>
                <w:rFonts w:cs="Times New Roman"/>
                <w:iCs/>
                <w:sz w:val="20"/>
                <w:szCs w:val="20"/>
                <w:lang w:val="lv-LV"/>
              </w:rPr>
              <w:t>Atsaucoties uz mērķiem, kas minēti Dekādes programmas 3.panta 1.daļas (c), (d), (</w:t>
            </w:r>
            <w:proofErr w:type="spellStart"/>
            <w:r w:rsidRPr="00550D35">
              <w:rPr>
                <w:rFonts w:cs="Times New Roman"/>
                <w:iCs/>
                <w:sz w:val="20"/>
                <w:szCs w:val="20"/>
                <w:lang w:val="lv-LV"/>
              </w:rPr>
              <w:t>da</w:t>
            </w:r>
            <w:proofErr w:type="spellEnd"/>
            <w:r w:rsidRPr="00550D35">
              <w:rPr>
                <w:rFonts w:cs="Times New Roman"/>
                <w:iCs/>
                <w:sz w:val="20"/>
                <w:szCs w:val="20"/>
                <w:lang w:val="lv-LV"/>
              </w:rPr>
              <w:t>), (ha) un  (</w:t>
            </w:r>
            <w:proofErr w:type="spellStart"/>
            <w:r w:rsidRPr="00550D35">
              <w:rPr>
                <w:rFonts w:cs="Times New Roman"/>
                <w:iCs/>
                <w:sz w:val="20"/>
                <w:szCs w:val="20"/>
                <w:lang w:val="lv-LV"/>
              </w:rPr>
              <w:t>db</w:t>
            </w:r>
            <w:proofErr w:type="spellEnd"/>
            <w:r w:rsidRPr="00550D35">
              <w:rPr>
                <w:rFonts w:cs="Times New Roman"/>
                <w:iCs/>
                <w:sz w:val="20"/>
                <w:szCs w:val="20"/>
                <w:lang w:val="lv-LV"/>
              </w:rPr>
              <w:t>) punktā</w:t>
            </w:r>
          </w:p>
        </w:tc>
        <w:tc>
          <w:tcPr>
            <w:tcW w:w="4554" w:type="dxa"/>
          </w:tcPr>
          <w:p w14:paraId="29F2F847" w14:textId="77777777" w:rsidR="00D7475E" w:rsidRPr="00550D35" w:rsidRDefault="00D7475E" w:rsidP="00BA62A0">
            <w:pPr>
              <w:ind w:left="142" w:right="142" w:firstLine="0"/>
              <w:rPr>
                <w:lang w:val="lv-LV"/>
              </w:rPr>
            </w:pPr>
            <w:r w:rsidRPr="00550D35">
              <w:rPr>
                <w:sz w:val="20"/>
                <w:lang w:val="lv-LV"/>
              </w:rPr>
              <w:t xml:space="preserve">Pasākums 5G infrastruktūras izbūve, </w:t>
            </w:r>
            <w:proofErr w:type="spellStart"/>
            <w:r w:rsidRPr="00550D35">
              <w:rPr>
                <w:sz w:val="20"/>
                <w:lang w:val="lv-LV"/>
              </w:rPr>
              <w:t>Via</w:t>
            </w:r>
            <w:proofErr w:type="spellEnd"/>
            <w:r w:rsidRPr="00550D35">
              <w:rPr>
                <w:sz w:val="20"/>
                <w:lang w:val="lv-LV"/>
              </w:rPr>
              <w:t xml:space="preserve"> </w:t>
            </w:r>
            <w:proofErr w:type="spellStart"/>
            <w:r w:rsidRPr="00550D35">
              <w:rPr>
                <w:sz w:val="20"/>
                <w:lang w:val="lv-LV"/>
              </w:rPr>
              <w:t>Baltica</w:t>
            </w:r>
            <w:proofErr w:type="spellEnd"/>
            <w:r w:rsidRPr="00550D35">
              <w:rPr>
                <w:sz w:val="20"/>
                <w:lang w:val="lv-LV"/>
              </w:rPr>
              <w:t xml:space="preserve"> un Rail </w:t>
            </w:r>
            <w:proofErr w:type="spellStart"/>
            <w:r w:rsidRPr="00550D35">
              <w:rPr>
                <w:sz w:val="20"/>
                <w:lang w:val="lv-LV"/>
              </w:rPr>
              <w:t>Baltica</w:t>
            </w:r>
            <w:proofErr w:type="spellEnd"/>
            <w:r w:rsidRPr="00550D35" w:rsidDel="007E331A">
              <w:rPr>
                <w:sz w:val="20"/>
                <w:lang w:val="lv-LV"/>
              </w:rPr>
              <w:t xml:space="preserve"> </w:t>
            </w:r>
            <w:r w:rsidRPr="00550D35">
              <w:rPr>
                <w:sz w:val="20"/>
                <w:lang w:val="lv-LV"/>
              </w:rPr>
              <w:t xml:space="preserve">– projektos tiks izveidota elektronisko sakaru infrastruktūra, kas atbalstīs nepārtraukta mobilo sakaru tīkla  5G pārklājuma nodrošināšanu autoceļā </w:t>
            </w:r>
            <w:proofErr w:type="spellStart"/>
            <w:r w:rsidRPr="00550D35">
              <w:rPr>
                <w:sz w:val="20"/>
                <w:lang w:val="lv-LV"/>
              </w:rPr>
              <w:t>Via</w:t>
            </w:r>
            <w:proofErr w:type="spellEnd"/>
            <w:r w:rsidRPr="00550D35">
              <w:rPr>
                <w:sz w:val="20"/>
                <w:lang w:val="lv-LV"/>
              </w:rPr>
              <w:t xml:space="preserve"> </w:t>
            </w:r>
            <w:proofErr w:type="spellStart"/>
            <w:r w:rsidRPr="00550D35">
              <w:rPr>
                <w:sz w:val="20"/>
                <w:lang w:val="lv-LV"/>
              </w:rPr>
              <w:t>Baltica</w:t>
            </w:r>
            <w:proofErr w:type="spellEnd"/>
            <w:r w:rsidRPr="00550D35">
              <w:rPr>
                <w:sz w:val="20"/>
                <w:lang w:val="lv-LV"/>
              </w:rPr>
              <w:t xml:space="preserve"> un Rail </w:t>
            </w:r>
            <w:proofErr w:type="spellStart"/>
            <w:r w:rsidRPr="00550D35">
              <w:rPr>
                <w:sz w:val="20"/>
                <w:lang w:val="lv-LV"/>
              </w:rPr>
              <w:t>Baltica</w:t>
            </w:r>
            <w:proofErr w:type="spellEnd"/>
            <w:r w:rsidRPr="00550D35">
              <w:rPr>
                <w:sz w:val="20"/>
                <w:lang w:val="lv-LV"/>
              </w:rPr>
              <w:t>.</w:t>
            </w:r>
          </w:p>
        </w:tc>
      </w:tr>
      <w:tr w:rsidR="00D7475E" w:rsidRPr="00550D35" w14:paraId="6F82CA1A" w14:textId="77777777" w:rsidTr="00BA62A0">
        <w:trPr>
          <w:trHeight w:val="1120"/>
        </w:trPr>
        <w:tc>
          <w:tcPr>
            <w:tcW w:w="1702" w:type="dxa"/>
            <w:tcMar>
              <w:top w:w="0" w:type="dxa"/>
              <w:left w:w="108" w:type="dxa"/>
              <w:bottom w:w="0" w:type="dxa"/>
              <w:right w:w="108" w:type="dxa"/>
            </w:tcMar>
            <w:vAlign w:val="center"/>
          </w:tcPr>
          <w:p w14:paraId="46E1C77E" w14:textId="77777777" w:rsidR="00D7475E" w:rsidRPr="00550D35" w:rsidRDefault="00D7475E" w:rsidP="00BA62A0">
            <w:pPr>
              <w:pStyle w:val="ListParagraph"/>
              <w:spacing w:after="120"/>
              <w:ind w:left="221" w:firstLine="0"/>
              <w:rPr>
                <w:rFonts w:cs="Times New Roman"/>
                <w:b/>
                <w:iCs/>
                <w:sz w:val="20"/>
                <w:szCs w:val="20"/>
                <w:lang w:val="lv-LV"/>
              </w:rPr>
            </w:pPr>
            <w:r w:rsidRPr="00550D35">
              <w:rPr>
                <w:rFonts w:cs="Times New Roman"/>
                <w:b/>
                <w:iCs/>
                <w:sz w:val="20"/>
                <w:szCs w:val="20"/>
                <w:lang w:val="lv-LV"/>
              </w:rPr>
              <w:t>Veicināt zaļo pārveidi</w:t>
            </w:r>
          </w:p>
        </w:tc>
        <w:tc>
          <w:tcPr>
            <w:tcW w:w="2562" w:type="dxa"/>
            <w:tcMar>
              <w:top w:w="0" w:type="dxa"/>
              <w:left w:w="108" w:type="dxa"/>
              <w:bottom w:w="0" w:type="dxa"/>
              <w:right w:w="108" w:type="dxa"/>
            </w:tcMar>
            <w:vAlign w:val="center"/>
          </w:tcPr>
          <w:p w14:paraId="5EAEF6E0" w14:textId="77777777" w:rsidR="00D7475E" w:rsidRPr="00550D35" w:rsidRDefault="00D7475E" w:rsidP="00BA62A0">
            <w:pPr>
              <w:pStyle w:val="ListParagraph"/>
              <w:spacing w:after="120"/>
              <w:ind w:left="142" w:right="142" w:firstLine="0"/>
              <w:rPr>
                <w:rFonts w:cs="Times New Roman"/>
                <w:iCs/>
                <w:sz w:val="20"/>
                <w:szCs w:val="20"/>
                <w:lang w:val="lv-LV"/>
              </w:rPr>
            </w:pPr>
            <w:r w:rsidRPr="00550D35">
              <w:rPr>
                <w:rFonts w:cs="Times New Roman"/>
                <w:iCs/>
                <w:sz w:val="20"/>
                <w:szCs w:val="20"/>
                <w:lang w:val="lv-LV"/>
              </w:rPr>
              <w:t>Atsaucoties uz mērķiem, kas minēti Dekādes programmas</w:t>
            </w:r>
            <w:r w:rsidRPr="00550D35">
              <w:rPr>
                <w:rFonts w:cs="Times New Roman"/>
                <w:iCs/>
                <w:sz w:val="20"/>
                <w:szCs w:val="20"/>
                <w:lang w:val="lv-LV"/>
              </w:rPr>
              <w:br/>
              <w:t>3. panta 1.daļas (f) punktā</w:t>
            </w:r>
          </w:p>
        </w:tc>
        <w:tc>
          <w:tcPr>
            <w:tcW w:w="4554" w:type="dxa"/>
          </w:tcPr>
          <w:p w14:paraId="7941E1DD" w14:textId="77777777" w:rsidR="00D7475E" w:rsidRPr="00550D35" w:rsidRDefault="00D7475E" w:rsidP="00BA62A0">
            <w:pPr>
              <w:spacing w:after="120"/>
              <w:ind w:left="142" w:right="142" w:firstLine="0"/>
              <w:rPr>
                <w:iCs/>
                <w:sz w:val="20"/>
                <w:lang w:val="lv-LV"/>
              </w:rPr>
            </w:pPr>
            <w:r w:rsidRPr="00550D35">
              <w:rPr>
                <w:bCs/>
                <w:iCs/>
                <w:sz w:val="20"/>
                <w:lang w:val="lv-LV"/>
              </w:rPr>
              <w:t>Nav attiecināms</w:t>
            </w:r>
          </w:p>
        </w:tc>
      </w:tr>
    </w:tbl>
    <w:p w14:paraId="07903A2A" w14:textId="77777777" w:rsidR="00D7475E" w:rsidRPr="00550D35" w:rsidRDefault="00D7475E" w:rsidP="00D7475E">
      <w:pPr>
        <w:rPr>
          <w:b/>
          <w:bCs/>
          <w:lang w:val="lv-LV"/>
        </w:rPr>
      </w:pPr>
    </w:p>
    <w:p w14:paraId="43141455" w14:textId="77777777" w:rsidR="00D7475E" w:rsidRPr="00550D35" w:rsidRDefault="00D7475E" w:rsidP="00D7475E">
      <w:pPr>
        <w:pStyle w:val="Heading2"/>
        <w:rPr>
          <w:lang w:val="lv-LV"/>
        </w:rPr>
      </w:pPr>
      <w:r w:rsidRPr="00550D35">
        <w:rPr>
          <w:lang w:val="lv-LV"/>
        </w:rPr>
        <w:t>ES līmeņa sadarbība</w:t>
      </w:r>
    </w:p>
    <w:p w14:paraId="745CC7C2" w14:textId="77777777" w:rsidR="00D7475E" w:rsidRPr="00550D35" w:rsidRDefault="00D7475E" w:rsidP="00D7475E">
      <w:pPr>
        <w:pStyle w:val="Heading3"/>
        <w:rPr>
          <w:lang w:val="lv-LV"/>
        </w:rPr>
      </w:pPr>
      <w:r w:rsidRPr="00550D35">
        <w:rPr>
          <w:lang w:val="lv-LV"/>
        </w:rPr>
        <w:t xml:space="preserve">Daudzvalstu projekti </w:t>
      </w:r>
    </w:p>
    <w:p w14:paraId="2668573D" w14:textId="77777777" w:rsidR="00D7475E" w:rsidRPr="00550D35" w:rsidRDefault="00D7475E" w:rsidP="00D7475E">
      <w:pPr>
        <w:rPr>
          <w:b/>
          <w:bCs/>
          <w:lang w:val="lv-LV"/>
        </w:rPr>
      </w:pPr>
      <w:r w:rsidRPr="00550D35">
        <w:rPr>
          <w:b/>
          <w:bCs/>
          <w:lang w:val="lv-LV"/>
        </w:rPr>
        <w:t>Pārskats 1) a. – Daudzvalstu projekti, kas ir iekļauti Dekādes programmas lēmuma pielikumā minēto darbības jomu sarakstā, kuros dalībvalsts iesaistās vai plāno iesaistīties.</w:t>
      </w:r>
    </w:p>
    <w:tbl>
      <w:tblPr>
        <w:tblStyle w:val="TableGrid"/>
        <w:tblW w:w="5000" w:type="pct"/>
        <w:tblLook w:val="04A0" w:firstRow="1" w:lastRow="0" w:firstColumn="1" w:lastColumn="0" w:noHBand="0" w:noVBand="1"/>
      </w:tblPr>
      <w:tblGrid>
        <w:gridCol w:w="2663"/>
        <w:gridCol w:w="5944"/>
      </w:tblGrid>
      <w:tr w:rsidR="00D7475E" w:rsidRPr="003B2E9A" w14:paraId="2E393773" w14:textId="77777777" w:rsidTr="00BA62A0">
        <w:tc>
          <w:tcPr>
            <w:tcW w:w="1547" w:type="pct"/>
          </w:tcPr>
          <w:p w14:paraId="0BE77915" w14:textId="77777777" w:rsidR="00D7475E" w:rsidRPr="00550D35" w:rsidRDefault="00D7475E" w:rsidP="00BA62A0">
            <w:pPr>
              <w:spacing w:before="0"/>
              <w:ind w:firstLine="0"/>
              <w:rPr>
                <w:sz w:val="20"/>
                <w:lang w:val="lv-LV"/>
              </w:rPr>
            </w:pPr>
            <w:r w:rsidRPr="00550D35">
              <w:rPr>
                <w:sz w:val="20"/>
                <w:lang w:val="lv-LV"/>
              </w:rPr>
              <w:t xml:space="preserve">Eiropas infrastruktūras savienošanas instrumenta (EISI) projekts -1 </w:t>
            </w:r>
          </w:p>
          <w:p w14:paraId="4A1CDDC4" w14:textId="77777777" w:rsidR="00D7475E" w:rsidRPr="00550D35" w:rsidRDefault="00D7475E" w:rsidP="00BA62A0">
            <w:pPr>
              <w:spacing w:before="0"/>
              <w:ind w:firstLine="0"/>
              <w:rPr>
                <w:sz w:val="20"/>
                <w:lang w:val="lv-LV"/>
              </w:rPr>
            </w:pPr>
            <w:r w:rsidRPr="00550D35">
              <w:rPr>
                <w:b/>
                <w:bCs/>
                <w:sz w:val="20"/>
                <w:lang w:val="lv-LV"/>
              </w:rPr>
              <w:t xml:space="preserve">“5G </w:t>
            </w:r>
            <w:proofErr w:type="spellStart"/>
            <w:r w:rsidRPr="00550D35">
              <w:rPr>
                <w:b/>
                <w:bCs/>
                <w:sz w:val="20"/>
                <w:lang w:val="lv-LV"/>
              </w:rPr>
              <w:t>Northern</w:t>
            </w:r>
            <w:proofErr w:type="spellEnd"/>
            <w:r w:rsidRPr="00550D35">
              <w:rPr>
                <w:b/>
                <w:bCs/>
                <w:sz w:val="20"/>
                <w:lang w:val="lv-LV"/>
              </w:rPr>
              <w:t xml:space="preserve"> </w:t>
            </w:r>
            <w:proofErr w:type="spellStart"/>
            <w:r w:rsidRPr="00550D35">
              <w:rPr>
                <w:b/>
                <w:sz w:val="20"/>
                <w:lang w:val="lv-LV"/>
              </w:rPr>
              <w:t>Euro</w:t>
            </w:r>
            <w:r w:rsidRPr="00550D35">
              <w:rPr>
                <w:b/>
                <w:bCs/>
                <w:sz w:val="20"/>
                <w:lang w:val="lv-LV"/>
              </w:rPr>
              <w:t>pe</w:t>
            </w:r>
            <w:proofErr w:type="spellEnd"/>
            <w:r w:rsidRPr="00550D35">
              <w:rPr>
                <w:b/>
                <w:bCs/>
                <w:sz w:val="20"/>
                <w:lang w:val="lv-LV"/>
              </w:rPr>
              <w:t xml:space="preserve"> Transport </w:t>
            </w:r>
            <w:proofErr w:type="spellStart"/>
            <w:r w:rsidRPr="00550D35">
              <w:rPr>
                <w:b/>
                <w:bCs/>
                <w:sz w:val="20"/>
                <w:lang w:val="lv-LV"/>
              </w:rPr>
              <w:t>Corridors</w:t>
            </w:r>
            <w:proofErr w:type="spellEnd"/>
            <w:r w:rsidRPr="00550D35">
              <w:rPr>
                <w:sz w:val="20"/>
                <w:lang w:val="lv-LV"/>
              </w:rPr>
              <w:t xml:space="preserve">” </w:t>
            </w:r>
          </w:p>
        </w:tc>
        <w:tc>
          <w:tcPr>
            <w:tcW w:w="3453" w:type="pct"/>
          </w:tcPr>
          <w:p w14:paraId="50747873" w14:textId="77777777" w:rsidR="00D7475E" w:rsidRPr="00550D35" w:rsidRDefault="00D7475E" w:rsidP="00BA62A0">
            <w:pPr>
              <w:spacing w:before="0" w:after="0"/>
              <w:ind w:firstLine="0"/>
              <w:rPr>
                <w:sz w:val="20"/>
                <w:lang w:val="lv-LV"/>
              </w:rPr>
            </w:pPr>
            <w:r w:rsidRPr="00550D35">
              <w:rPr>
                <w:b/>
                <w:bCs/>
                <w:sz w:val="20"/>
                <w:lang w:val="lv-LV"/>
              </w:rPr>
              <w:t xml:space="preserve">Mērķis: </w:t>
            </w:r>
            <w:r w:rsidRPr="00550D35">
              <w:rPr>
                <w:sz w:val="20"/>
                <w:lang w:val="lv-LV"/>
              </w:rPr>
              <w:t>5G aktīvās infrastruktūras ierīkošana “TEN-T” automaģistrālē, “</w:t>
            </w:r>
            <w:proofErr w:type="spellStart"/>
            <w:r w:rsidRPr="00550D35">
              <w:rPr>
                <w:sz w:val="20"/>
                <w:lang w:val="lv-LV"/>
              </w:rPr>
              <w:t>Via</w:t>
            </w:r>
            <w:proofErr w:type="spellEnd"/>
            <w:r w:rsidRPr="00550D35">
              <w:rPr>
                <w:sz w:val="20"/>
                <w:lang w:val="lv-LV"/>
              </w:rPr>
              <w:t xml:space="preserve"> </w:t>
            </w:r>
            <w:proofErr w:type="spellStart"/>
            <w:r w:rsidRPr="00550D35">
              <w:rPr>
                <w:sz w:val="20"/>
                <w:lang w:val="lv-LV"/>
              </w:rPr>
              <w:t>Baltica</w:t>
            </w:r>
            <w:proofErr w:type="spellEnd"/>
            <w:r w:rsidRPr="00550D35">
              <w:rPr>
                <w:sz w:val="20"/>
                <w:lang w:val="lv-LV"/>
              </w:rPr>
              <w:t xml:space="preserve">” un “Rail </w:t>
            </w:r>
            <w:proofErr w:type="spellStart"/>
            <w:r w:rsidRPr="00550D35">
              <w:rPr>
                <w:sz w:val="20"/>
                <w:lang w:val="lv-LV"/>
              </w:rPr>
              <w:t>Baltica</w:t>
            </w:r>
            <w:proofErr w:type="spellEnd"/>
            <w:r w:rsidRPr="00550D35">
              <w:rPr>
                <w:sz w:val="20"/>
                <w:lang w:val="lv-LV"/>
              </w:rPr>
              <w:t>” transporta koridoros.</w:t>
            </w:r>
          </w:p>
          <w:p w14:paraId="1F3DC239" w14:textId="77777777" w:rsidR="00D7475E" w:rsidRPr="00550D35" w:rsidRDefault="00D7475E" w:rsidP="00BA62A0">
            <w:pPr>
              <w:spacing w:before="0" w:after="0"/>
              <w:ind w:firstLine="0"/>
              <w:rPr>
                <w:sz w:val="20"/>
                <w:lang w:val="lv-LV"/>
              </w:rPr>
            </w:pPr>
            <w:r w:rsidRPr="00550D35">
              <w:rPr>
                <w:b/>
                <w:bCs/>
                <w:sz w:val="20"/>
                <w:lang w:val="lv-LV"/>
              </w:rPr>
              <w:t>Iesaistītās puses:</w:t>
            </w:r>
            <w:r w:rsidRPr="00550D35">
              <w:rPr>
                <w:sz w:val="20"/>
                <w:lang w:val="lv-LV"/>
              </w:rPr>
              <w:t xml:space="preserve"> “</w:t>
            </w:r>
            <w:proofErr w:type="spellStart"/>
            <w:r w:rsidRPr="00550D35">
              <w:rPr>
                <w:sz w:val="20"/>
                <w:lang w:val="lv-LV"/>
              </w:rPr>
              <w:t>Telia</w:t>
            </w:r>
            <w:proofErr w:type="spellEnd"/>
            <w:r w:rsidRPr="00550D35">
              <w:rPr>
                <w:sz w:val="20"/>
                <w:lang w:val="lv-LV"/>
              </w:rPr>
              <w:t xml:space="preserve"> </w:t>
            </w:r>
            <w:proofErr w:type="spellStart"/>
            <w:r w:rsidRPr="00550D35">
              <w:rPr>
                <w:sz w:val="20"/>
                <w:lang w:val="lv-LV"/>
              </w:rPr>
              <w:t>Sverige</w:t>
            </w:r>
            <w:proofErr w:type="spellEnd"/>
            <w:r w:rsidRPr="00550D35">
              <w:rPr>
                <w:sz w:val="20"/>
                <w:lang w:val="lv-LV"/>
              </w:rPr>
              <w:t>”, “</w:t>
            </w:r>
            <w:proofErr w:type="spellStart"/>
            <w:r w:rsidRPr="00550D35">
              <w:rPr>
                <w:sz w:val="20"/>
                <w:lang w:val="lv-LV"/>
              </w:rPr>
              <w:t>Telia</w:t>
            </w:r>
            <w:proofErr w:type="spellEnd"/>
            <w:r w:rsidRPr="00550D35">
              <w:rPr>
                <w:sz w:val="20"/>
                <w:lang w:val="lv-LV"/>
              </w:rPr>
              <w:t xml:space="preserve"> </w:t>
            </w:r>
            <w:proofErr w:type="spellStart"/>
            <w:r w:rsidRPr="00550D35">
              <w:rPr>
                <w:sz w:val="20"/>
                <w:lang w:val="lv-LV"/>
              </w:rPr>
              <w:t>Finland</w:t>
            </w:r>
            <w:proofErr w:type="spellEnd"/>
            <w:r w:rsidRPr="00550D35">
              <w:rPr>
                <w:sz w:val="20"/>
                <w:lang w:val="lv-LV"/>
              </w:rPr>
              <w:t>” un SIA “Latvijas Mobilais Telefons”.</w:t>
            </w:r>
          </w:p>
          <w:p w14:paraId="1F50D482" w14:textId="77777777" w:rsidR="00D7475E" w:rsidRPr="00550D35" w:rsidRDefault="00D7475E" w:rsidP="00BA62A0">
            <w:pPr>
              <w:spacing w:before="0" w:after="0"/>
              <w:ind w:firstLine="0"/>
              <w:rPr>
                <w:sz w:val="20"/>
                <w:lang w:val="lv-LV"/>
              </w:rPr>
            </w:pPr>
            <w:r w:rsidRPr="00550D35">
              <w:rPr>
                <w:b/>
                <w:bCs/>
                <w:sz w:val="20"/>
                <w:lang w:val="lv-LV"/>
              </w:rPr>
              <w:t>EISI finansējums:</w:t>
            </w:r>
            <w:r w:rsidRPr="00550D35">
              <w:rPr>
                <w:sz w:val="20"/>
                <w:lang w:val="lv-LV"/>
              </w:rPr>
              <w:t xml:space="preserve"> 15,5 milj.  </w:t>
            </w:r>
            <w:proofErr w:type="spellStart"/>
            <w:r w:rsidRPr="00550D35">
              <w:rPr>
                <w:i/>
                <w:sz w:val="20"/>
                <w:lang w:val="lv-LV"/>
              </w:rPr>
              <w:t>euro</w:t>
            </w:r>
            <w:proofErr w:type="spellEnd"/>
          </w:p>
          <w:p w14:paraId="7AF543DC" w14:textId="77777777" w:rsidR="00D7475E" w:rsidRPr="00550D35" w:rsidRDefault="00D7475E" w:rsidP="00BA62A0">
            <w:pPr>
              <w:spacing w:before="0" w:after="0"/>
              <w:ind w:firstLine="0"/>
              <w:rPr>
                <w:sz w:val="20"/>
                <w:lang w:val="lv-LV"/>
              </w:rPr>
            </w:pPr>
            <w:r w:rsidRPr="00550D35">
              <w:rPr>
                <w:b/>
                <w:bCs/>
                <w:sz w:val="20"/>
                <w:lang w:val="lv-LV"/>
              </w:rPr>
              <w:t>Laika ietvars:</w:t>
            </w:r>
            <w:r w:rsidRPr="00550D35">
              <w:rPr>
                <w:sz w:val="20"/>
                <w:lang w:val="lv-LV"/>
              </w:rPr>
              <w:t xml:space="preserve"> 2022.-2025.gads.</w:t>
            </w:r>
          </w:p>
        </w:tc>
      </w:tr>
      <w:tr w:rsidR="00D7475E" w:rsidRPr="003B2E9A" w14:paraId="5B1627B0" w14:textId="77777777" w:rsidTr="00BA62A0">
        <w:tc>
          <w:tcPr>
            <w:tcW w:w="1547" w:type="pct"/>
          </w:tcPr>
          <w:p w14:paraId="6410F93D" w14:textId="77777777" w:rsidR="00D7475E" w:rsidRPr="00550D35" w:rsidRDefault="00D7475E" w:rsidP="00BA62A0">
            <w:pPr>
              <w:spacing w:before="0"/>
              <w:ind w:firstLine="0"/>
              <w:rPr>
                <w:sz w:val="20"/>
                <w:lang w:val="lv-LV"/>
              </w:rPr>
            </w:pPr>
            <w:r w:rsidRPr="00550D35">
              <w:rPr>
                <w:sz w:val="20"/>
                <w:lang w:val="lv-LV"/>
              </w:rPr>
              <w:t xml:space="preserve">Eiropas infrastruktūras savienošanas instrumenta (EISI) -2 </w:t>
            </w:r>
          </w:p>
          <w:p w14:paraId="7A36776B" w14:textId="77777777" w:rsidR="00D7475E" w:rsidRPr="00550D35" w:rsidRDefault="00D7475E" w:rsidP="00BA62A0">
            <w:pPr>
              <w:spacing w:before="0"/>
              <w:ind w:firstLine="0"/>
              <w:rPr>
                <w:b/>
                <w:bCs/>
                <w:sz w:val="20"/>
                <w:lang w:val="lv-LV"/>
              </w:rPr>
            </w:pPr>
            <w:r w:rsidRPr="00550D35">
              <w:rPr>
                <w:b/>
                <w:bCs/>
                <w:sz w:val="20"/>
                <w:lang w:val="lv-LV"/>
              </w:rPr>
              <w:t xml:space="preserve">“5G </w:t>
            </w:r>
            <w:proofErr w:type="spellStart"/>
            <w:r w:rsidRPr="00550D35">
              <w:rPr>
                <w:b/>
                <w:bCs/>
                <w:sz w:val="20"/>
                <w:lang w:val="lv-LV"/>
              </w:rPr>
              <w:t>Corridor</w:t>
            </w:r>
            <w:proofErr w:type="spellEnd"/>
            <w:r w:rsidRPr="00550D35">
              <w:rPr>
                <w:b/>
                <w:bCs/>
                <w:sz w:val="20"/>
                <w:lang w:val="lv-LV"/>
              </w:rPr>
              <w:t xml:space="preserve"> </w:t>
            </w:r>
            <w:proofErr w:type="spellStart"/>
            <w:r w:rsidRPr="00550D35">
              <w:rPr>
                <w:b/>
                <w:bCs/>
                <w:sz w:val="20"/>
                <w:lang w:val="lv-LV"/>
              </w:rPr>
              <w:t>Study</w:t>
            </w:r>
            <w:proofErr w:type="spellEnd"/>
            <w:r w:rsidRPr="00550D35">
              <w:rPr>
                <w:b/>
                <w:bCs/>
                <w:sz w:val="20"/>
                <w:lang w:val="lv-LV"/>
              </w:rPr>
              <w:t xml:space="preserve"> </w:t>
            </w:r>
            <w:proofErr w:type="spellStart"/>
            <w:r w:rsidRPr="00550D35">
              <w:rPr>
                <w:b/>
                <w:bCs/>
                <w:sz w:val="20"/>
                <w:lang w:val="lv-LV"/>
              </w:rPr>
              <w:t>for</w:t>
            </w:r>
            <w:proofErr w:type="spellEnd"/>
            <w:r w:rsidRPr="00550D35">
              <w:rPr>
                <w:b/>
                <w:bCs/>
                <w:sz w:val="20"/>
                <w:lang w:val="lv-LV"/>
              </w:rPr>
              <w:t xml:space="preserve"> Latvia, </w:t>
            </w:r>
            <w:proofErr w:type="spellStart"/>
            <w:r w:rsidRPr="00550D35">
              <w:rPr>
                <w:b/>
                <w:bCs/>
                <w:sz w:val="20"/>
                <w:lang w:val="lv-LV"/>
              </w:rPr>
              <w:t>Estonia</w:t>
            </w:r>
            <w:proofErr w:type="spellEnd"/>
            <w:r w:rsidRPr="00550D35">
              <w:rPr>
                <w:b/>
                <w:bCs/>
                <w:sz w:val="20"/>
                <w:lang w:val="lv-LV"/>
              </w:rPr>
              <w:t xml:space="preserve"> </w:t>
            </w:r>
            <w:proofErr w:type="spellStart"/>
            <w:r w:rsidRPr="00550D35">
              <w:rPr>
                <w:b/>
                <w:bCs/>
                <w:sz w:val="20"/>
                <w:lang w:val="lv-LV"/>
              </w:rPr>
              <w:t>and</w:t>
            </w:r>
            <w:proofErr w:type="spellEnd"/>
            <w:r w:rsidRPr="00550D35">
              <w:rPr>
                <w:b/>
                <w:bCs/>
                <w:sz w:val="20"/>
                <w:lang w:val="lv-LV"/>
              </w:rPr>
              <w:t xml:space="preserve"> </w:t>
            </w:r>
            <w:proofErr w:type="spellStart"/>
            <w:r w:rsidRPr="00550D35">
              <w:rPr>
                <w:b/>
                <w:bCs/>
                <w:sz w:val="20"/>
                <w:lang w:val="lv-LV"/>
              </w:rPr>
              <w:t>Lithuania</w:t>
            </w:r>
            <w:proofErr w:type="spellEnd"/>
            <w:r w:rsidRPr="00550D35">
              <w:rPr>
                <w:b/>
                <w:bCs/>
                <w:sz w:val="20"/>
                <w:lang w:val="lv-LV"/>
              </w:rPr>
              <w:t xml:space="preserve">” </w:t>
            </w:r>
          </w:p>
          <w:p w14:paraId="1690310B" w14:textId="77777777" w:rsidR="00D7475E" w:rsidRPr="00550D35" w:rsidRDefault="00D7475E" w:rsidP="00BA62A0">
            <w:pPr>
              <w:rPr>
                <w:b/>
                <w:sz w:val="20"/>
                <w:lang w:val="lv-LV"/>
              </w:rPr>
            </w:pPr>
          </w:p>
        </w:tc>
        <w:tc>
          <w:tcPr>
            <w:tcW w:w="3453" w:type="pct"/>
          </w:tcPr>
          <w:p w14:paraId="34B63F80" w14:textId="77777777" w:rsidR="00D7475E" w:rsidRPr="00550D35" w:rsidRDefault="00D7475E" w:rsidP="00BA62A0">
            <w:pPr>
              <w:spacing w:before="0" w:after="0"/>
              <w:ind w:firstLine="0"/>
              <w:rPr>
                <w:sz w:val="20"/>
                <w:lang w:val="lv-LV"/>
              </w:rPr>
            </w:pPr>
            <w:r w:rsidRPr="00550D35">
              <w:rPr>
                <w:b/>
                <w:bCs/>
                <w:sz w:val="20"/>
                <w:lang w:val="lv-LV"/>
              </w:rPr>
              <w:t>Mērķis:</w:t>
            </w:r>
            <w:r w:rsidRPr="00550D35">
              <w:rPr>
                <w:sz w:val="20"/>
                <w:lang w:val="lv-LV"/>
              </w:rPr>
              <w:t xml:space="preserve"> veikt pētījumu, kurā ietverts tehniskais risinājums un finanšu modelis nepieciešamajai 5G izvēršanas infrastruktūrai “</w:t>
            </w:r>
            <w:proofErr w:type="spellStart"/>
            <w:r w:rsidRPr="00550D35">
              <w:rPr>
                <w:sz w:val="20"/>
                <w:lang w:val="lv-LV"/>
              </w:rPr>
              <w:t>Via</w:t>
            </w:r>
            <w:proofErr w:type="spellEnd"/>
            <w:r w:rsidRPr="00550D35">
              <w:rPr>
                <w:sz w:val="20"/>
                <w:lang w:val="lv-LV"/>
              </w:rPr>
              <w:t xml:space="preserve"> </w:t>
            </w:r>
            <w:proofErr w:type="spellStart"/>
            <w:r w:rsidRPr="00550D35">
              <w:rPr>
                <w:sz w:val="20"/>
                <w:lang w:val="lv-LV"/>
              </w:rPr>
              <w:t>Baltica</w:t>
            </w:r>
            <w:proofErr w:type="spellEnd"/>
            <w:r w:rsidRPr="00550D35">
              <w:rPr>
                <w:sz w:val="20"/>
                <w:lang w:val="lv-LV"/>
              </w:rPr>
              <w:t xml:space="preserve">” un “Rail </w:t>
            </w:r>
            <w:proofErr w:type="spellStart"/>
            <w:r w:rsidRPr="00550D35">
              <w:rPr>
                <w:sz w:val="20"/>
                <w:lang w:val="lv-LV"/>
              </w:rPr>
              <w:t>Baltica</w:t>
            </w:r>
            <w:proofErr w:type="spellEnd"/>
            <w:r w:rsidRPr="00550D35">
              <w:rPr>
                <w:sz w:val="20"/>
                <w:lang w:val="lv-LV"/>
              </w:rPr>
              <w:t>” transporta koridoros Igaunijā un Latvijā, ar spēju nodrošināt 5G pārklājumu un tehniskos risinājumus pārejai bez sakaru kvalitātes zuduma uz kaimiņvalsts sakaru tīklu arī robežu šķērsojošos punktos.</w:t>
            </w:r>
            <w:r w:rsidRPr="00550D35">
              <w:rPr>
                <w:sz w:val="20"/>
                <w:lang w:val="lv-LV"/>
              </w:rPr>
              <w:br/>
            </w:r>
            <w:r w:rsidRPr="00550D35">
              <w:rPr>
                <w:b/>
                <w:bCs/>
                <w:sz w:val="20"/>
                <w:lang w:val="lv-LV"/>
              </w:rPr>
              <w:t xml:space="preserve">Iesaistītās puses: </w:t>
            </w:r>
            <w:r w:rsidRPr="00550D35">
              <w:rPr>
                <w:sz w:val="20"/>
                <w:lang w:val="lv-LV"/>
              </w:rPr>
              <w:t>VASES, SIA “LMT”, Tallinas Tehniskā universitāte, biedrība “</w:t>
            </w:r>
            <w:proofErr w:type="spellStart"/>
            <w:r w:rsidRPr="00550D35">
              <w:rPr>
                <w:sz w:val="20"/>
                <w:lang w:val="lv-LV"/>
              </w:rPr>
              <w:t>Eesti</w:t>
            </w:r>
            <w:proofErr w:type="spellEnd"/>
            <w:r w:rsidRPr="00550D35">
              <w:rPr>
                <w:sz w:val="20"/>
                <w:lang w:val="lv-LV"/>
              </w:rPr>
              <w:t xml:space="preserve"> </w:t>
            </w:r>
            <w:proofErr w:type="spellStart"/>
            <w:r w:rsidRPr="00550D35">
              <w:rPr>
                <w:sz w:val="20"/>
                <w:lang w:val="lv-LV"/>
              </w:rPr>
              <w:t>Lairiba</w:t>
            </w:r>
            <w:proofErr w:type="spellEnd"/>
            <w:r w:rsidRPr="00550D35">
              <w:rPr>
                <w:sz w:val="20"/>
                <w:lang w:val="lv-LV"/>
              </w:rPr>
              <w:t xml:space="preserve"> </w:t>
            </w:r>
            <w:proofErr w:type="spellStart"/>
            <w:r w:rsidRPr="00550D35">
              <w:rPr>
                <w:sz w:val="20"/>
                <w:lang w:val="lv-LV"/>
              </w:rPr>
              <w:t>Arenduse</w:t>
            </w:r>
            <w:proofErr w:type="spellEnd"/>
            <w:r w:rsidRPr="00550D35">
              <w:rPr>
                <w:sz w:val="20"/>
                <w:lang w:val="lv-LV"/>
              </w:rPr>
              <w:t xml:space="preserve"> </w:t>
            </w:r>
            <w:proofErr w:type="spellStart"/>
            <w:r w:rsidRPr="00550D35">
              <w:rPr>
                <w:sz w:val="20"/>
                <w:lang w:val="lv-LV"/>
              </w:rPr>
              <w:t>Sihtasutus</w:t>
            </w:r>
            <w:proofErr w:type="spellEnd"/>
            <w:r w:rsidRPr="00550D35">
              <w:rPr>
                <w:sz w:val="20"/>
                <w:lang w:val="lv-LV"/>
              </w:rPr>
              <w:t>”, “</w:t>
            </w:r>
            <w:proofErr w:type="spellStart"/>
            <w:r w:rsidRPr="00550D35">
              <w:rPr>
                <w:sz w:val="20"/>
                <w:lang w:val="lv-LV"/>
              </w:rPr>
              <w:t>Telia</w:t>
            </w:r>
            <w:proofErr w:type="spellEnd"/>
            <w:r w:rsidRPr="00550D35">
              <w:rPr>
                <w:sz w:val="20"/>
                <w:lang w:val="lv-LV"/>
              </w:rPr>
              <w:t xml:space="preserve"> </w:t>
            </w:r>
            <w:proofErr w:type="spellStart"/>
            <w:r w:rsidRPr="00550D35">
              <w:rPr>
                <w:sz w:val="20"/>
                <w:lang w:val="lv-LV"/>
              </w:rPr>
              <w:t>Eesti</w:t>
            </w:r>
            <w:proofErr w:type="spellEnd"/>
            <w:r w:rsidRPr="00550D35">
              <w:rPr>
                <w:sz w:val="20"/>
                <w:lang w:val="lv-LV"/>
              </w:rPr>
              <w:t>” un “</w:t>
            </w:r>
            <w:proofErr w:type="spellStart"/>
            <w:r w:rsidRPr="00550D35">
              <w:rPr>
                <w:sz w:val="20"/>
                <w:lang w:val="lv-LV"/>
              </w:rPr>
              <w:t>Elisa</w:t>
            </w:r>
            <w:proofErr w:type="spellEnd"/>
            <w:r w:rsidRPr="00550D35">
              <w:rPr>
                <w:sz w:val="20"/>
                <w:lang w:val="lv-LV"/>
              </w:rPr>
              <w:t xml:space="preserve"> </w:t>
            </w:r>
            <w:proofErr w:type="spellStart"/>
            <w:r w:rsidRPr="00550D35">
              <w:rPr>
                <w:sz w:val="20"/>
                <w:lang w:val="lv-LV"/>
              </w:rPr>
              <w:t>Eesti</w:t>
            </w:r>
            <w:proofErr w:type="spellEnd"/>
            <w:r w:rsidRPr="00550D35">
              <w:rPr>
                <w:sz w:val="20"/>
                <w:lang w:val="lv-LV"/>
              </w:rPr>
              <w:t xml:space="preserve">”. </w:t>
            </w:r>
          </w:p>
          <w:p w14:paraId="4EAED66F" w14:textId="77777777" w:rsidR="00D7475E" w:rsidRPr="00550D35" w:rsidRDefault="00D7475E" w:rsidP="00BA62A0">
            <w:pPr>
              <w:spacing w:before="0" w:after="0"/>
              <w:ind w:firstLine="0"/>
              <w:rPr>
                <w:sz w:val="20"/>
                <w:lang w:val="lv-LV"/>
              </w:rPr>
            </w:pPr>
            <w:r w:rsidRPr="00550D35">
              <w:rPr>
                <w:b/>
                <w:bCs/>
                <w:sz w:val="20"/>
                <w:lang w:val="lv-LV"/>
              </w:rPr>
              <w:t>EISI finansējums:</w:t>
            </w:r>
            <w:r w:rsidRPr="00550D35">
              <w:rPr>
                <w:sz w:val="20"/>
                <w:lang w:val="lv-LV"/>
              </w:rPr>
              <w:t xml:space="preserve"> 249 tūkst. </w:t>
            </w:r>
            <w:proofErr w:type="spellStart"/>
            <w:r w:rsidRPr="00550D35">
              <w:rPr>
                <w:i/>
                <w:sz w:val="20"/>
                <w:lang w:val="lv-LV"/>
              </w:rPr>
              <w:t>euro</w:t>
            </w:r>
            <w:proofErr w:type="spellEnd"/>
            <w:r w:rsidRPr="00550D35">
              <w:rPr>
                <w:i/>
                <w:sz w:val="20"/>
                <w:lang w:val="lv-LV"/>
              </w:rPr>
              <w:t>.</w:t>
            </w:r>
          </w:p>
          <w:p w14:paraId="24653E5C" w14:textId="77777777" w:rsidR="00D7475E" w:rsidRPr="00550D35" w:rsidRDefault="00D7475E" w:rsidP="00BA62A0">
            <w:pPr>
              <w:spacing w:before="0" w:after="0"/>
              <w:ind w:firstLine="0"/>
              <w:rPr>
                <w:sz w:val="20"/>
                <w:lang w:val="lv-LV"/>
              </w:rPr>
            </w:pPr>
            <w:r w:rsidRPr="00550D35">
              <w:rPr>
                <w:b/>
                <w:bCs/>
                <w:sz w:val="20"/>
                <w:lang w:val="lv-LV"/>
              </w:rPr>
              <w:t>Laika ietvars:</w:t>
            </w:r>
            <w:r w:rsidRPr="00550D35">
              <w:rPr>
                <w:sz w:val="20"/>
                <w:lang w:val="lv-LV"/>
              </w:rPr>
              <w:t xml:space="preserve"> 01.2023. - 07.2023.</w:t>
            </w:r>
          </w:p>
        </w:tc>
      </w:tr>
      <w:tr w:rsidR="00D7475E" w:rsidRPr="003B2E9A" w14:paraId="5DB6ED63" w14:textId="77777777" w:rsidTr="00BA62A0">
        <w:tc>
          <w:tcPr>
            <w:tcW w:w="1547" w:type="pct"/>
          </w:tcPr>
          <w:p w14:paraId="7BFD63B9" w14:textId="77777777" w:rsidR="00D7475E" w:rsidRPr="00550D35" w:rsidRDefault="00D7475E" w:rsidP="00BA62A0">
            <w:pPr>
              <w:ind w:firstLine="0"/>
              <w:rPr>
                <w:sz w:val="20"/>
                <w:lang w:val="lv-LV"/>
              </w:rPr>
            </w:pPr>
            <w:r w:rsidRPr="00550D35">
              <w:rPr>
                <w:sz w:val="20"/>
                <w:lang w:val="lv-LV"/>
              </w:rPr>
              <w:t xml:space="preserve">Eiropas infrastruktūras savienošanas instrumenta (EISI) projekts - 3 </w:t>
            </w:r>
          </w:p>
          <w:p w14:paraId="42E7B9C7" w14:textId="77777777" w:rsidR="00D7475E" w:rsidRPr="00550D35" w:rsidRDefault="00D7475E" w:rsidP="00BA62A0">
            <w:pPr>
              <w:spacing w:before="0" w:after="0"/>
              <w:ind w:firstLine="0"/>
              <w:rPr>
                <w:b/>
                <w:bCs/>
                <w:sz w:val="20"/>
                <w:lang w:val="lv-LV"/>
              </w:rPr>
            </w:pPr>
            <w:r w:rsidRPr="00550D35">
              <w:rPr>
                <w:b/>
                <w:bCs/>
                <w:sz w:val="20"/>
                <w:lang w:val="lv-LV"/>
              </w:rPr>
              <w:t xml:space="preserve">“5G </w:t>
            </w:r>
            <w:proofErr w:type="spellStart"/>
            <w:r w:rsidRPr="00550D35">
              <w:rPr>
                <w:b/>
                <w:bCs/>
                <w:sz w:val="20"/>
                <w:lang w:val="lv-LV"/>
              </w:rPr>
              <w:t>for</w:t>
            </w:r>
            <w:proofErr w:type="spellEnd"/>
            <w:r w:rsidRPr="00550D35">
              <w:rPr>
                <w:b/>
                <w:bCs/>
                <w:sz w:val="20"/>
                <w:lang w:val="lv-LV"/>
              </w:rPr>
              <w:t xml:space="preserve"> </w:t>
            </w:r>
            <w:proofErr w:type="spellStart"/>
            <w:r w:rsidRPr="00550D35">
              <w:rPr>
                <w:b/>
                <w:bCs/>
                <w:sz w:val="20"/>
                <w:lang w:val="lv-LV"/>
              </w:rPr>
              <w:t>Protection</w:t>
            </w:r>
            <w:proofErr w:type="spellEnd"/>
            <w:r w:rsidRPr="00550D35">
              <w:rPr>
                <w:b/>
                <w:bCs/>
                <w:sz w:val="20"/>
                <w:lang w:val="lv-LV"/>
              </w:rPr>
              <w:t xml:space="preserve"> </w:t>
            </w:r>
            <w:proofErr w:type="spellStart"/>
            <w:r w:rsidRPr="00550D35">
              <w:rPr>
                <w:b/>
                <w:bCs/>
                <w:sz w:val="20"/>
                <w:lang w:val="lv-LV"/>
              </w:rPr>
              <w:t>of</w:t>
            </w:r>
            <w:proofErr w:type="spellEnd"/>
            <w:r w:rsidRPr="00550D35">
              <w:rPr>
                <w:b/>
                <w:bCs/>
                <w:sz w:val="20"/>
                <w:lang w:val="lv-LV"/>
              </w:rPr>
              <w:t xml:space="preserve"> </w:t>
            </w:r>
            <w:proofErr w:type="spellStart"/>
            <w:r w:rsidRPr="00550D35">
              <w:rPr>
                <w:b/>
                <w:bCs/>
                <w:sz w:val="20"/>
                <w:lang w:val="lv-LV"/>
              </w:rPr>
              <w:t>Lives</w:t>
            </w:r>
            <w:proofErr w:type="spellEnd"/>
            <w:r w:rsidRPr="00550D35">
              <w:rPr>
                <w:b/>
                <w:bCs/>
                <w:sz w:val="20"/>
                <w:lang w:val="lv-LV"/>
              </w:rPr>
              <w:t xml:space="preserve"> </w:t>
            </w:r>
            <w:proofErr w:type="spellStart"/>
            <w:r w:rsidRPr="00550D35">
              <w:rPr>
                <w:b/>
                <w:bCs/>
                <w:sz w:val="20"/>
                <w:lang w:val="lv-LV"/>
              </w:rPr>
              <w:t>and</w:t>
            </w:r>
            <w:proofErr w:type="spellEnd"/>
            <w:r w:rsidRPr="00550D35">
              <w:rPr>
                <w:b/>
                <w:bCs/>
                <w:sz w:val="20"/>
                <w:lang w:val="lv-LV"/>
              </w:rPr>
              <w:t xml:space="preserve"> </w:t>
            </w:r>
            <w:proofErr w:type="spellStart"/>
            <w:r w:rsidRPr="00550D35">
              <w:rPr>
                <w:b/>
                <w:bCs/>
                <w:sz w:val="20"/>
                <w:lang w:val="lv-LV"/>
              </w:rPr>
              <w:t>Public</w:t>
            </w:r>
            <w:proofErr w:type="spellEnd"/>
            <w:r w:rsidRPr="00550D35">
              <w:rPr>
                <w:b/>
                <w:bCs/>
                <w:sz w:val="20"/>
                <w:lang w:val="lv-LV"/>
              </w:rPr>
              <w:t xml:space="preserve"> Health </w:t>
            </w:r>
            <w:proofErr w:type="spellStart"/>
            <w:r w:rsidRPr="00550D35">
              <w:rPr>
                <w:b/>
                <w:bCs/>
                <w:sz w:val="20"/>
                <w:lang w:val="lv-LV"/>
              </w:rPr>
              <w:t>in</w:t>
            </w:r>
            <w:proofErr w:type="spellEnd"/>
            <w:r w:rsidRPr="00550D35">
              <w:rPr>
                <w:b/>
                <w:bCs/>
                <w:sz w:val="20"/>
                <w:lang w:val="lv-LV"/>
              </w:rPr>
              <w:t xml:space="preserve"> Riga”</w:t>
            </w:r>
          </w:p>
        </w:tc>
        <w:tc>
          <w:tcPr>
            <w:tcW w:w="3453" w:type="pct"/>
          </w:tcPr>
          <w:p w14:paraId="4ECECDA6" w14:textId="77777777" w:rsidR="00D7475E" w:rsidRPr="00550D35" w:rsidRDefault="00D7475E" w:rsidP="00BA62A0">
            <w:pPr>
              <w:spacing w:before="0" w:after="0"/>
              <w:ind w:firstLine="0"/>
              <w:rPr>
                <w:sz w:val="20"/>
                <w:lang w:val="lv-LV"/>
              </w:rPr>
            </w:pPr>
            <w:r w:rsidRPr="00550D35">
              <w:rPr>
                <w:b/>
                <w:bCs/>
                <w:sz w:val="20"/>
                <w:lang w:val="lv-LV"/>
              </w:rPr>
              <w:t>Mērķis:</w:t>
            </w:r>
            <w:r w:rsidRPr="00550D35">
              <w:rPr>
                <w:sz w:val="20"/>
                <w:lang w:val="lv-LV"/>
              </w:rPr>
              <w:t xml:space="preserve"> Rīgas pašvaldības policijas inovatīvu 5G risinājumu izstrāde bezpilota lidaparātu jomā sabiedrības aizsardzības veicināšanai.</w:t>
            </w:r>
          </w:p>
          <w:p w14:paraId="6EB448A5" w14:textId="77777777" w:rsidR="00D7475E" w:rsidRPr="00550D35" w:rsidRDefault="00D7475E" w:rsidP="00BA62A0">
            <w:pPr>
              <w:spacing w:before="0" w:after="0"/>
              <w:ind w:firstLine="0"/>
              <w:rPr>
                <w:sz w:val="20"/>
                <w:lang w:val="lv-LV"/>
              </w:rPr>
            </w:pPr>
            <w:r w:rsidRPr="00550D35">
              <w:rPr>
                <w:b/>
                <w:bCs/>
                <w:sz w:val="20"/>
                <w:lang w:val="lv-LV"/>
              </w:rPr>
              <w:t xml:space="preserve">Iesaistītās puses: </w:t>
            </w:r>
            <w:r w:rsidRPr="00550D35">
              <w:rPr>
                <w:sz w:val="20"/>
                <w:lang w:val="lv-LV"/>
              </w:rPr>
              <w:t>Rīgas dome, SIA “LMT”, Civilās aviācijas aģentūra, biedrība “VEFRESH”.</w:t>
            </w:r>
          </w:p>
          <w:p w14:paraId="1553DF00" w14:textId="77777777" w:rsidR="00D7475E" w:rsidRPr="00550D35" w:rsidRDefault="00D7475E" w:rsidP="00BA62A0">
            <w:pPr>
              <w:spacing w:before="0" w:after="0"/>
              <w:ind w:firstLine="0"/>
              <w:rPr>
                <w:sz w:val="20"/>
                <w:lang w:val="lv-LV"/>
              </w:rPr>
            </w:pPr>
            <w:r w:rsidRPr="00550D35">
              <w:rPr>
                <w:b/>
                <w:bCs/>
                <w:sz w:val="20"/>
                <w:lang w:val="lv-LV"/>
              </w:rPr>
              <w:t>EISI finansējums:</w:t>
            </w:r>
            <w:r w:rsidRPr="00550D35">
              <w:rPr>
                <w:sz w:val="20"/>
                <w:lang w:val="lv-LV"/>
              </w:rPr>
              <w:t xml:space="preserve"> 5,0 milj. </w:t>
            </w:r>
            <w:proofErr w:type="spellStart"/>
            <w:r w:rsidRPr="00550D35">
              <w:rPr>
                <w:i/>
                <w:sz w:val="20"/>
                <w:lang w:val="lv-LV"/>
              </w:rPr>
              <w:t>euro</w:t>
            </w:r>
            <w:proofErr w:type="spellEnd"/>
            <w:r w:rsidRPr="00550D35">
              <w:rPr>
                <w:i/>
                <w:sz w:val="20"/>
                <w:lang w:val="lv-LV"/>
              </w:rPr>
              <w:t>.</w:t>
            </w:r>
          </w:p>
          <w:p w14:paraId="4D9EBC9F" w14:textId="77777777" w:rsidR="00D7475E" w:rsidRPr="00550D35" w:rsidRDefault="00D7475E" w:rsidP="00BA62A0">
            <w:pPr>
              <w:spacing w:before="0" w:after="0"/>
              <w:ind w:firstLine="0"/>
              <w:rPr>
                <w:sz w:val="20"/>
                <w:lang w:val="lv-LV"/>
              </w:rPr>
            </w:pPr>
            <w:r w:rsidRPr="00550D35">
              <w:rPr>
                <w:b/>
                <w:bCs/>
                <w:sz w:val="20"/>
                <w:lang w:val="lv-LV"/>
              </w:rPr>
              <w:t>Laika ietvars:</w:t>
            </w:r>
            <w:r w:rsidRPr="00550D35">
              <w:rPr>
                <w:sz w:val="20"/>
                <w:lang w:val="lv-LV"/>
              </w:rPr>
              <w:t xml:space="preserve"> 2023.-2026. gads</w:t>
            </w:r>
          </w:p>
        </w:tc>
      </w:tr>
      <w:tr w:rsidR="00D7475E" w:rsidRPr="003B2E9A" w14:paraId="044A2F30" w14:textId="77777777" w:rsidTr="00BA62A0">
        <w:tc>
          <w:tcPr>
            <w:tcW w:w="1547" w:type="pct"/>
          </w:tcPr>
          <w:p w14:paraId="4DBDCFB2" w14:textId="77777777" w:rsidR="00D7475E" w:rsidRPr="00550D35" w:rsidRDefault="00D7475E" w:rsidP="00BA62A0">
            <w:pPr>
              <w:ind w:firstLine="0"/>
              <w:rPr>
                <w:sz w:val="20"/>
                <w:lang w:val="lv-LV"/>
              </w:rPr>
            </w:pPr>
            <w:r w:rsidRPr="00550D35">
              <w:rPr>
                <w:sz w:val="20"/>
                <w:lang w:val="lv-LV"/>
              </w:rPr>
              <w:t xml:space="preserve">Eiropas infrastruktūras savienošanas instrumenta (EISI) projekts- 4 </w:t>
            </w:r>
          </w:p>
          <w:p w14:paraId="05D5CC9D" w14:textId="77777777" w:rsidR="00D7475E" w:rsidRPr="00550D35" w:rsidRDefault="00D7475E" w:rsidP="00BA62A0">
            <w:pPr>
              <w:ind w:firstLine="0"/>
              <w:rPr>
                <w:b/>
                <w:bCs/>
                <w:sz w:val="20"/>
                <w:lang w:val="lv-LV"/>
              </w:rPr>
            </w:pPr>
            <w:r w:rsidRPr="00550D35">
              <w:rPr>
                <w:b/>
                <w:bCs/>
                <w:sz w:val="20"/>
                <w:lang w:val="lv-LV"/>
              </w:rPr>
              <w:t>“</w:t>
            </w:r>
            <w:proofErr w:type="spellStart"/>
            <w:r w:rsidRPr="00550D35">
              <w:rPr>
                <w:b/>
                <w:bCs/>
                <w:sz w:val="20"/>
                <w:lang w:val="lv-LV"/>
              </w:rPr>
              <w:t>Baltic</w:t>
            </w:r>
            <w:proofErr w:type="spellEnd"/>
            <w:r w:rsidRPr="00550D35">
              <w:rPr>
                <w:b/>
                <w:bCs/>
                <w:sz w:val="20"/>
                <w:lang w:val="lv-LV"/>
              </w:rPr>
              <w:t xml:space="preserve"> Ring” </w:t>
            </w:r>
          </w:p>
          <w:p w14:paraId="76175A8E" w14:textId="77777777" w:rsidR="00D7475E" w:rsidRPr="00550D35" w:rsidRDefault="00D7475E" w:rsidP="00BA62A0">
            <w:pPr>
              <w:rPr>
                <w:b/>
                <w:sz w:val="20"/>
                <w:lang w:val="lv-LV"/>
              </w:rPr>
            </w:pPr>
          </w:p>
        </w:tc>
        <w:tc>
          <w:tcPr>
            <w:tcW w:w="3453" w:type="pct"/>
          </w:tcPr>
          <w:p w14:paraId="78F9EA46" w14:textId="77777777" w:rsidR="00D7475E" w:rsidRPr="00550D35" w:rsidRDefault="00D7475E" w:rsidP="00BA62A0">
            <w:pPr>
              <w:spacing w:before="0" w:after="0"/>
              <w:ind w:firstLine="0"/>
              <w:rPr>
                <w:sz w:val="20"/>
                <w:lang w:val="lv-LV"/>
              </w:rPr>
            </w:pPr>
            <w:r w:rsidRPr="00550D35">
              <w:rPr>
                <w:b/>
                <w:bCs/>
                <w:sz w:val="20"/>
                <w:lang w:val="lv-LV"/>
              </w:rPr>
              <w:t>Mērķis:</w:t>
            </w:r>
            <w:r w:rsidRPr="00550D35">
              <w:rPr>
                <w:sz w:val="20"/>
                <w:lang w:val="lv-LV"/>
              </w:rPr>
              <w:t xml:space="preserve"> Savienot Zviedriju un Somiju, izmantojot jaunu optiskās šķiedras trasi caur Baltijas valstīm uz Eiropu caur Varšavu, izmantojot sauszemes šķiedru no Tallinas caur Rīgu un Kauņu, un piedāvā jaunu, unikālu un daudzveidīgu iespēju izveidot savienojumu ar globālajiem mākoņiem, digitālajiem pakalpojumiem un </w:t>
            </w:r>
            <w:proofErr w:type="spellStart"/>
            <w:r w:rsidRPr="00550D35">
              <w:rPr>
                <w:sz w:val="20"/>
                <w:lang w:val="lv-LV"/>
              </w:rPr>
              <w:t>starpsavienojumu</w:t>
            </w:r>
            <w:proofErr w:type="spellEnd"/>
            <w:r w:rsidRPr="00550D35">
              <w:rPr>
                <w:sz w:val="20"/>
                <w:lang w:val="lv-LV"/>
              </w:rPr>
              <w:t xml:space="preserve"> centriem Eiropā un visā pasaulē.</w:t>
            </w:r>
          </w:p>
          <w:p w14:paraId="269D86D4" w14:textId="77777777" w:rsidR="00D7475E" w:rsidRPr="00550D35" w:rsidRDefault="00D7475E" w:rsidP="00BA62A0">
            <w:pPr>
              <w:spacing w:before="0" w:after="0"/>
              <w:ind w:firstLine="0"/>
              <w:rPr>
                <w:sz w:val="20"/>
                <w:lang w:val="lv-LV"/>
              </w:rPr>
            </w:pPr>
            <w:r w:rsidRPr="00550D35">
              <w:rPr>
                <w:b/>
                <w:bCs/>
                <w:sz w:val="20"/>
                <w:lang w:val="lv-LV"/>
              </w:rPr>
              <w:t>Iesaistītās puses:</w:t>
            </w:r>
            <w:r w:rsidRPr="00550D35">
              <w:rPr>
                <w:sz w:val="20"/>
                <w:lang w:val="lv-LV"/>
              </w:rPr>
              <w:t xml:space="preserve"> </w:t>
            </w:r>
            <w:r w:rsidRPr="00870B9F">
              <w:rPr>
                <w:i/>
                <w:iCs/>
                <w:sz w:val="20"/>
                <w:lang w:val="lv-LV"/>
              </w:rPr>
              <w:t>“</w:t>
            </w:r>
            <w:proofErr w:type="spellStart"/>
            <w:r w:rsidRPr="00870B9F">
              <w:rPr>
                <w:i/>
                <w:iCs/>
                <w:sz w:val="20"/>
                <w:lang w:val="lv-LV"/>
              </w:rPr>
              <w:t>Arelion</w:t>
            </w:r>
            <w:proofErr w:type="spellEnd"/>
            <w:r w:rsidRPr="00870B9F">
              <w:rPr>
                <w:i/>
                <w:iCs/>
                <w:sz w:val="20"/>
                <w:lang w:val="lv-LV"/>
              </w:rPr>
              <w:t xml:space="preserve"> </w:t>
            </w:r>
            <w:proofErr w:type="spellStart"/>
            <w:r w:rsidRPr="00870B9F">
              <w:rPr>
                <w:i/>
                <w:iCs/>
                <w:sz w:val="20"/>
                <w:lang w:val="lv-LV"/>
              </w:rPr>
              <w:t>Sweden</w:t>
            </w:r>
            <w:proofErr w:type="spellEnd"/>
            <w:r w:rsidRPr="00870B9F">
              <w:rPr>
                <w:i/>
                <w:iCs/>
                <w:sz w:val="20"/>
                <w:lang w:val="lv-LV"/>
              </w:rPr>
              <w:t>”</w:t>
            </w:r>
            <w:r w:rsidRPr="00550D35">
              <w:rPr>
                <w:sz w:val="20"/>
                <w:lang w:val="lv-LV"/>
              </w:rPr>
              <w:t xml:space="preserve"> (koordinators), </w:t>
            </w:r>
            <w:r w:rsidRPr="00870B9F">
              <w:rPr>
                <w:i/>
                <w:iCs/>
                <w:sz w:val="20"/>
                <w:lang w:val="lv-LV"/>
              </w:rPr>
              <w:t>“</w:t>
            </w:r>
            <w:proofErr w:type="spellStart"/>
            <w:r w:rsidRPr="00870B9F">
              <w:rPr>
                <w:i/>
                <w:iCs/>
                <w:sz w:val="20"/>
                <w:lang w:val="lv-LV"/>
              </w:rPr>
              <w:t>Telia</w:t>
            </w:r>
            <w:proofErr w:type="spellEnd"/>
            <w:r w:rsidRPr="00870B9F">
              <w:rPr>
                <w:i/>
                <w:iCs/>
                <w:sz w:val="20"/>
                <w:lang w:val="lv-LV"/>
              </w:rPr>
              <w:t xml:space="preserve"> </w:t>
            </w:r>
            <w:proofErr w:type="spellStart"/>
            <w:r w:rsidRPr="00870B9F">
              <w:rPr>
                <w:i/>
                <w:iCs/>
                <w:sz w:val="20"/>
                <w:lang w:val="lv-LV"/>
              </w:rPr>
              <w:t>Carrier</w:t>
            </w:r>
            <w:proofErr w:type="spellEnd"/>
            <w:r w:rsidRPr="00870B9F">
              <w:rPr>
                <w:i/>
                <w:iCs/>
                <w:sz w:val="20"/>
                <w:lang w:val="lv-LV"/>
              </w:rPr>
              <w:t xml:space="preserve"> </w:t>
            </w:r>
            <w:proofErr w:type="spellStart"/>
            <w:r w:rsidRPr="00870B9F">
              <w:rPr>
                <w:i/>
                <w:iCs/>
                <w:sz w:val="20"/>
                <w:lang w:val="lv-LV"/>
              </w:rPr>
              <w:t>Finland</w:t>
            </w:r>
            <w:proofErr w:type="spellEnd"/>
            <w:r w:rsidRPr="00870B9F">
              <w:rPr>
                <w:i/>
                <w:iCs/>
                <w:sz w:val="20"/>
                <w:lang w:val="lv-LV"/>
              </w:rPr>
              <w:t>”</w:t>
            </w:r>
            <w:r w:rsidRPr="00550D35">
              <w:rPr>
                <w:sz w:val="20"/>
                <w:lang w:val="lv-LV"/>
              </w:rPr>
              <w:t xml:space="preserve">, </w:t>
            </w:r>
            <w:r w:rsidRPr="00870B9F">
              <w:rPr>
                <w:i/>
                <w:iCs/>
                <w:sz w:val="20"/>
                <w:lang w:val="lv-LV"/>
              </w:rPr>
              <w:t>“</w:t>
            </w:r>
            <w:proofErr w:type="spellStart"/>
            <w:r w:rsidRPr="00870B9F">
              <w:rPr>
                <w:i/>
                <w:iCs/>
                <w:sz w:val="20"/>
                <w:lang w:val="lv-LV"/>
              </w:rPr>
              <w:t>Telia</w:t>
            </w:r>
            <w:proofErr w:type="spellEnd"/>
            <w:r w:rsidRPr="00870B9F">
              <w:rPr>
                <w:i/>
                <w:iCs/>
                <w:sz w:val="20"/>
                <w:lang w:val="lv-LV"/>
              </w:rPr>
              <w:t xml:space="preserve"> </w:t>
            </w:r>
            <w:proofErr w:type="spellStart"/>
            <w:r w:rsidRPr="00870B9F">
              <w:rPr>
                <w:i/>
                <w:iCs/>
                <w:sz w:val="20"/>
                <w:lang w:val="lv-LV"/>
              </w:rPr>
              <w:t>Carrier</w:t>
            </w:r>
            <w:proofErr w:type="spellEnd"/>
            <w:r w:rsidRPr="00870B9F">
              <w:rPr>
                <w:i/>
                <w:iCs/>
                <w:sz w:val="20"/>
                <w:lang w:val="lv-LV"/>
              </w:rPr>
              <w:t xml:space="preserve"> </w:t>
            </w:r>
            <w:proofErr w:type="spellStart"/>
            <w:r w:rsidRPr="00870B9F">
              <w:rPr>
                <w:i/>
                <w:iCs/>
                <w:sz w:val="20"/>
                <w:lang w:val="lv-LV"/>
              </w:rPr>
              <w:t>Estonia</w:t>
            </w:r>
            <w:proofErr w:type="spellEnd"/>
            <w:r w:rsidRPr="00870B9F">
              <w:rPr>
                <w:i/>
                <w:iCs/>
                <w:sz w:val="20"/>
                <w:lang w:val="lv-LV"/>
              </w:rPr>
              <w:t>”</w:t>
            </w:r>
            <w:r w:rsidRPr="00550D35">
              <w:rPr>
                <w:sz w:val="20"/>
                <w:lang w:val="lv-LV"/>
              </w:rPr>
              <w:t xml:space="preserve">, SIA </w:t>
            </w:r>
            <w:r w:rsidRPr="00870B9F">
              <w:rPr>
                <w:i/>
                <w:iCs/>
                <w:sz w:val="20"/>
                <w:lang w:val="lv-LV"/>
              </w:rPr>
              <w:t>“</w:t>
            </w:r>
            <w:proofErr w:type="spellStart"/>
            <w:r w:rsidRPr="00870B9F">
              <w:rPr>
                <w:i/>
                <w:iCs/>
                <w:sz w:val="20"/>
                <w:lang w:val="lv-LV"/>
              </w:rPr>
              <w:t>Telia</w:t>
            </w:r>
            <w:proofErr w:type="spellEnd"/>
            <w:r w:rsidRPr="00870B9F">
              <w:rPr>
                <w:i/>
                <w:iCs/>
                <w:sz w:val="20"/>
                <w:lang w:val="lv-LV"/>
              </w:rPr>
              <w:t xml:space="preserve"> </w:t>
            </w:r>
            <w:proofErr w:type="spellStart"/>
            <w:r w:rsidRPr="00870B9F">
              <w:rPr>
                <w:i/>
                <w:iCs/>
                <w:sz w:val="20"/>
                <w:lang w:val="lv-LV"/>
              </w:rPr>
              <w:t>Carrier</w:t>
            </w:r>
            <w:proofErr w:type="spellEnd"/>
            <w:r w:rsidRPr="00870B9F">
              <w:rPr>
                <w:i/>
                <w:iCs/>
                <w:sz w:val="20"/>
                <w:lang w:val="lv-LV"/>
              </w:rPr>
              <w:t xml:space="preserve"> Latvia”</w:t>
            </w:r>
            <w:r w:rsidRPr="00550D35">
              <w:rPr>
                <w:sz w:val="20"/>
                <w:lang w:val="lv-LV"/>
              </w:rPr>
              <w:t xml:space="preserve">, </w:t>
            </w:r>
            <w:r w:rsidRPr="00870B9F">
              <w:rPr>
                <w:i/>
                <w:iCs/>
                <w:sz w:val="20"/>
                <w:lang w:val="lv-LV"/>
              </w:rPr>
              <w:t>“</w:t>
            </w:r>
            <w:proofErr w:type="spellStart"/>
            <w:r w:rsidRPr="00870B9F">
              <w:rPr>
                <w:i/>
                <w:iCs/>
                <w:sz w:val="20"/>
                <w:lang w:val="lv-LV"/>
              </w:rPr>
              <w:t>Telia</w:t>
            </w:r>
            <w:proofErr w:type="spellEnd"/>
            <w:r w:rsidRPr="00870B9F">
              <w:rPr>
                <w:i/>
                <w:iCs/>
                <w:sz w:val="20"/>
                <w:lang w:val="lv-LV"/>
              </w:rPr>
              <w:t xml:space="preserve"> </w:t>
            </w:r>
            <w:proofErr w:type="spellStart"/>
            <w:r w:rsidRPr="00870B9F">
              <w:rPr>
                <w:i/>
                <w:iCs/>
                <w:sz w:val="20"/>
                <w:lang w:val="lv-LV"/>
              </w:rPr>
              <w:lastRenderedPageBreak/>
              <w:t>Carrier</w:t>
            </w:r>
            <w:proofErr w:type="spellEnd"/>
            <w:r w:rsidRPr="00870B9F">
              <w:rPr>
                <w:i/>
                <w:iCs/>
                <w:sz w:val="20"/>
                <w:lang w:val="lv-LV"/>
              </w:rPr>
              <w:t xml:space="preserve"> </w:t>
            </w:r>
            <w:proofErr w:type="spellStart"/>
            <w:r w:rsidRPr="00870B9F">
              <w:rPr>
                <w:i/>
                <w:iCs/>
                <w:sz w:val="20"/>
                <w:lang w:val="lv-LV"/>
              </w:rPr>
              <w:t>Lithuania</w:t>
            </w:r>
            <w:proofErr w:type="spellEnd"/>
            <w:r w:rsidRPr="00870B9F">
              <w:rPr>
                <w:i/>
                <w:iCs/>
                <w:sz w:val="20"/>
                <w:lang w:val="lv-LV"/>
              </w:rPr>
              <w:t>”</w:t>
            </w:r>
            <w:r w:rsidRPr="00550D35">
              <w:rPr>
                <w:sz w:val="20"/>
                <w:lang w:val="lv-LV"/>
              </w:rPr>
              <w:t xml:space="preserve">, </w:t>
            </w:r>
            <w:r w:rsidRPr="00870B9F">
              <w:rPr>
                <w:i/>
                <w:iCs/>
                <w:sz w:val="20"/>
                <w:lang w:val="lv-LV"/>
              </w:rPr>
              <w:t>“</w:t>
            </w:r>
            <w:proofErr w:type="spellStart"/>
            <w:r w:rsidRPr="00870B9F">
              <w:rPr>
                <w:i/>
                <w:iCs/>
                <w:sz w:val="20"/>
                <w:lang w:val="lv-LV"/>
              </w:rPr>
              <w:t>Telia</w:t>
            </w:r>
            <w:proofErr w:type="spellEnd"/>
            <w:r w:rsidRPr="00870B9F">
              <w:rPr>
                <w:i/>
                <w:iCs/>
                <w:sz w:val="20"/>
                <w:lang w:val="lv-LV"/>
              </w:rPr>
              <w:t xml:space="preserve"> </w:t>
            </w:r>
            <w:proofErr w:type="spellStart"/>
            <w:r w:rsidRPr="00870B9F">
              <w:rPr>
                <w:i/>
                <w:iCs/>
                <w:sz w:val="20"/>
                <w:lang w:val="lv-LV"/>
              </w:rPr>
              <w:t>Carrier</w:t>
            </w:r>
            <w:proofErr w:type="spellEnd"/>
            <w:r w:rsidRPr="00870B9F">
              <w:rPr>
                <w:i/>
                <w:iCs/>
                <w:sz w:val="20"/>
                <w:lang w:val="lv-LV"/>
              </w:rPr>
              <w:t xml:space="preserve"> </w:t>
            </w:r>
            <w:proofErr w:type="spellStart"/>
            <w:r w:rsidRPr="00870B9F">
              <w:rPr>
                <w:i/>
                <w:iCs/>
                <w:sz w:val="20"/>
                <w:lang w:val="lv-LV"/>
              </w:rPr>
              <w:t>Poland</w:t>
            </w:r>
            <w:proofErr w:type="spellEnd"/>
            <w:r w:rsidRPr="00870B9F">
              <w:rPr>
                <w:i/>
                <w:iCs/>
                <w:sz w:val="20"/>
                <w:lang w:val="lv-LV"/>
              </w:rPr>
              <w:t>”.</w:t>
            </w:r>
            <w:r w:rsidRPr="00550D35">
              <w:rPr>
                <w:sz w:val="20"/>
                <w:lang w:val="lv-LV"/>
              </w:rPr>
              <w:br/>
            </w:r>
            <w:r w:rsidRPr="00550D35">
              <w:rPr>
                <w:b/>
                <w:bCs/>
                <w:sz w:val="20"/>
                <w:lang w:val="lv-LV"/>
              </w:rPr>
              <w:t>EISI finansējums</w:t>
            </w:r>
            <w:r w:rsidRPr="00550D35">
              <w:rPr>
                <w:sz w:val="20"/>
                <w:lang w:val="lv-LV"/>
              </w:rPr>
              <w:t>: paredzēts 30-50%, indikatīvais Latvijas līdzfinansējums ~10 tūkst. </w:t>
            </w:r>
            <w:proofErr w:type="spellStart"/>
            <w:r w:rsidRPr="00550D35">
              <w:rPr>
                <w:i/>
                <w:sz w:val="20"/>
                <w:lang w:val="lv-LV"/>
              </w:rPr>
              <w:t>euro</w:t>
            </w:r>
            <w:proofErr w:type="spellEnd"/>
            <w:r w:rsidRPr="00550D35">
              <w:rPr>
                <w:i/>
                <w:sz w:val="20"/>
                <w:lang w:val="lv-LV"/>
              </w:rPr>
              <w:t>.</w:t>
            </w:r>
            <w:r w:rsidRPr="00550D35">
              <w:rPr>
                <w:sz w:val="20"/>
                <w:lang w:val="lv-LV"/>
              </w:rPr>
              <w:br/>
            </w:r>
            <w:r w:rsidRPr="00550D35">
              <w:rPr>
                <w:b/>
                <w:bCs/>
                <w:sz w:val="20"/>
                <w:lang w:val="lv-LV"/>
              </w:rPr>
              <w:t>Laika ietvars:</w:t>
            </w:r>
            <w:r w:rsidRPr="00550D35">
              <w:rPr>
                <w:sz w:val="20"/>
                <w:lang w:val="lv-LV"/>
              </w:rPr>
              <w:t xml:space="preserve"> 2023.-2024. gads.</w:t>
            </w:r>
          </w:p>
        </w:tc>
      </w:tr>
    </w:tbl>
    <w:p w14:paraId="2D00F272" w14:textId="77777777" w:rsidR="00D7475E" w:rsidRPr="00550D35" w:rsidRDefault="00D7475E" w:rsidP="00D7475E">
      <w:pPr>
        <w:ind w:firstLine="0"/>
        <w:rPr>
          <w:b/>
          <w:i/>
          <w:lang w:val="lv-LV"/>
        </w:rPr>
      </w:pPr>
    </w:p>
    <w:p w14:paraId="1861C720" w14:textId="77777777" w:rsidR="00D7475E" w:rsidRPr="00550D35" w:rsidRDefault="00D7475E" w:rsidP="00D7475E">
      <w:pPr>
        <w:rPr>
          <w:bCs/>
          <w:i/>
          <w:lang w:val="lv-LV"/>
        </w:rPr>
      </w:pPr>
      <w:r w:rsidRPr="00550D35">
        <w:rPr>
          <w:bCs/>
          <w:lang w:val="lv-LV"/>
        </w:rPr>
        <w:t>Pārskats 1) b. – Ceļveža Latvijai izstrādes laikā nav identificēti iespējamie jaunie daudzvalstu projekti, kuri vēl nav iekļauti Dekādes programmas lēmuma pielikumā minēto darbības jomu sarakstā, bet kuras  Dalībvalsts uzskata par nepieciešamām. Kopīgas apņemšanās, kurās Dalībvalsts piedalās vai plāno iesaistīties.</w:t>
      </w:r>
    </w:p>
    <w:p w14:paraId="7A20C394" w14:textId="77777777" w:rsidR="00D7475E" w:rsidRPr="00550D35" w:rsidRDefault="00D7475E" w:rsidP="00D7475E">
      <w:pPr>
        <w:ind w:firstLine="0"/>
        <w:rPr>
          <w:b/>
          <w:i/>
          <w:lang w:val="lv-LV"/>
        </w:rPr>
      </w:pPr>
    </w:p>
    <w:p w14:paraId="55FC045E" w14:textId="77777777" w:rsidR="00D7475E" w:rsidRPr="00550D35" w:rsidRDefault="00D7475E" w:rsidP="00D7475E">
      <w:pPr>
        <w:pStyle w:val="Heading3"/>
        <w:rPr>
          <w:lang w:val="lv-LV"/>
        </w:rPr>
      </w:pPr>
      <w:r w:rsidRPr="00550D35">
        <w:rPr>
          <w:lang w:val="lv-LV"/>
        </w:rPr>
        <w:t>Veicinošie faktori ES līmenī</w:t>
      </w:r>
    </w:p>
    <w:p w14:paraId="404070E0" w14:textId="77777777" w:rsidR="00D7475E" w:rsidRPr="00550D35" w:rsidRDefault="00D7475E" w:rsidP="00D7475E">
      <w:pPr>
        <w:pStyle w:val="Text3"/>
        <w:ind w:left="0" w:firstLine="0"/>
        <w:rPr>
          <w:lang w:val="lv-LV"/>
        </w:rPr>
      </w:pPr>
      <w:r w:rsidRPr="00550D35">
        <w:rPr>
          <w:szCs w:val="24"/>
          <w:lang w:val="lv-LV"/>
        </w:rPr>
        <w:t>Informācija tiks papildināta ceļveža pārskatīšanas gaitā.</w:t>
      </w:r>
    </w:p>
    <w:p w14:paraId="03371C58" w14:textId="77777777" w:rsidR="00D7475E" w:rsidRPr="00550D35" w:rsidRDefault="00D7475E" w:rsidP="00D7475E">
      <w:pPr>
        <w:pStyle w:val="Heading2"/>
        <w:rPr>
          <w:lang w:val="lv-LV"/>
        </w:rPr>
      </w:pPr>
      <w:r w:rsidRPr="00550D35">
        <w:rPr>
          <w:lang w:val="lv-LV"/>
        </w:rPr>
        <w:t xml:space="preserve"> Ieinteresēto personu atsauksmes</w:t>
      </w:r>
    </w:p>
    <w:p w14:paraId="7446FCB6" w14:textId="3C54CD3E" w:rsidR="00D7475E" w:rsidRPr="00550D35" w:rsidRDefault="00D7475E" w:rsidP="00D7475E">
      <w:pPr>
        <w:rPr>
          <w:lang w:val="lv-LV"/>
        </w:rPr>
      </w:pPr>
      <w:r w:rsidRPr="00550D35">
        <w:rPr>
          <w:lang w:val="lv-LV"/>
        </w:rPr>
        <w:t>Ceļvedī Latvijai ir ņemta vērā SIA “</w:t>
      </w:r>
      <w:proofErr w:type="spellStart"/>
      <w:r w:rsidRPr="00550D35">
        <w:rPr>
          <w:lang w:val="lv-LV"/>
        </w:rPr>
        <w:t>Tet</w:t>
      </w:r>
      <w:proofErr w:type="spellEnd"/>
      <w:r w:rsidRPr="00550D35">
        <w:rPr>
          <w:lang w:val="lv-LV"/>
        </w:rPr>
        <w:t xml:space="preserve">” atsauksme, ceļvedī Latvijai veikti atbilstoši precizējumi, atbilstoši </w:t>
      </w:r>
      <w:r w:rsidRPr="00550D35">
        <w:rPr>
          <w:lang w:val="lv-LV" w:eastAsia="en-US"/>
        </w:rPr>
        <w:t>EK izstrādātajās ceļvežu izstrādes vadlīnijās ieteiktajam saturam</w:t>
      </w:r>
      <w:r w:rsidRPr="00550D35">
        <w:rPr>
          <w:lang w:val="lv-LV"/>
        </w:rPr>
        <w:t>.</w:t>
      </w:r>
    </w:p>
    <w:p w14:paraId="6259BA6B" w14:textId="77777777" w:rsidR="00D7475E" w:rsidRPr="00550D35" w:rsidRDefault="00D7475E" w:rsidP="00D7475E">
      <w:pPr>
        <w:rPr>
          <w:rFonts w:cstheme="minorHAnsi"/>
          <w:iCs/>
          <w:szCs w:val="24"/>
          <w:lang w:val="lv-LV"/>
        </w:rPr>
      </w:pPr>
      <w:r w:rsidRPr="00550D35">
        <w:rPr>
          <w:rFonts w:cstheme="minorHAnsi"/>
          <w:iCs/>
          <w:szCs w:val="24"/>
          <w:lang w:val="lv-LV"/>
        </w:rPr>
        <w:t xml:space="preserve">Pasākumi ir iekļauti Elektronisko sakaru nozares attīstības plānā 2021.-2027.gadam un to izstrādes laikā tika nodrošināta sabiedrības līdzdalība, t.i. notika publiska apspriešanās ar visām iesaistītajām organizācijām.   </w:t>
      </w:r>
    </w:p>
    <w:p w14:paraId="275185CC" w14:textId="77777777" w:rsidR="00D7475E" w:rsidRPr="00550D35" w:rsidRDefault="00D7475E" w:rsidP="00D7475E">
      <w:pPr>
        <w:rPr>
          <w:rFonts w:cstheme="minorHAnsi"/>
          <w:iCs/>
          <w:szCs w:val="24"/>
          <w:lang w:val="lv-LV"/>
        </w:rPr>
      </w:pPr>
      <w:r w:rsidRPr="00550D35">
        <w:rPr>
          <w:rFonts w:cstheme="minorHAnsi"/>
          <w:iCs/>
          <w:szCs w:val="24"/>
          <w:lang w:val="lv-LV"/>
        </w:rPr>
        <w:t>Arī pasākumu ieviešanā ir iesaistītas visas ieinteresētās puses, kas ir iekļautas darba grupās:</w:t>
      </w:r>
    </w:p>
    <w:p w14:paraId="7D869E4D" w14:textId="77777777" w:rsidR="00D7475E" w:rsidRPr="00550D35" w:rsidRDefault="00D7475E" w:rsidP="00D7475E">
      <w:pPr>
        <w:pStyle w:val="ListParagraph"/>
        <w:numPr>
          <w:ilvl w:val="0"/>
          <w:numId w:val="45"/>
        </w:numPr>
        <w:ind w:left="360"/>
        <w:rPr>
          <w:rFonts w:cstheme="minorHAnsi"/>
          <w:iCs/>
          <w:sz w:val="24"/>
          <w:szCs w:val="24"/>
          <w:lang w:val="lv-LV"/>
        </w:rPr>
      </w:pPr>
      <w:r w:rsidRPr="00550D35">
        <w:rPr>
          <w:rFonts w:cstheme="minorHAnsi"/>
          <w:iCs/>
          <w:sz w:val="24"/>
          <w:szCs w:val="24"/>
          <w:lang w:val="lv-LV"/>
        </w:rPr>
        <w:t>ar SM 2021.gada 26.novembra rīkojumu Nr.01-03/213 izveidotajā darba grupā elektronisko sakaru tīklu būvniecības procesa atvieglošanai.</w:t>
      </w:r>
    </w:p>
    <w:p w14:paraId="3073DCD8" w14:textId="77777777" w:rsidR="00D7475E" w:rsidRPr="00550D35" w:rsidRDefault="00D7475E" w:rsidP="00D7475E">
      <w:pPr>
        <w:pStyle w:val="ListParagraph"/>
        <w:numPr>
          <w:ilvl w:val="0"/>
          <w:numId w:val="45"/>
        </w:numPr>
        <w:ind w:left="360"/>
        <w:rPr>
          <w:rFonts w:cstheme="minorHAnsi"/>
          <w:iCs/>
          <w:sz w:val="24"/>
          <w:szCs w:val="24"/>
          <w:lang w:val="lv-LV"/>
        </w:rPr>
      </w:pPr>
      <w:r w:rsidRPr="00550D35">
        <w:rPr>
          <w:rFonts w:cstheme="minorHAnsi"/>
          <w:iCs/>
          <w:sz w:val="24"/>
          <w:szCs w:val="24"/>
          <w:lang w:val="lv-LV"/>
        </w:rPr>
        <w:t>ar  SM 2021.gada 27.decembra rīkojumu Nr. 01-03/244 izveidotajā  darba grupā valsts atbalsta programmu nosacījumu izstrādei, īstenošanai un uzraudzībai elektronisko sakaru tīklu, tostarp “pēdējās jūdzes” infrastruktūras attīstībai.</w:t>
      </w:r>
    </w:p>
    <w:p w14:paraId="67EC2175" w14:textId="77777777" w:rsidR="00D7475E" w:rsidRPr="00550D35" w:rsidRDefault="00D7475E" w:rsidP="00D7475E">
      <w:pPr>
        <w:pStyle w:val="ListParagraph"/>
        <w:numPr>
          <w:ilvl w:val="0"/>
          <w:numId w:val="45"/>
        </w:numPr>
        <w:ind w:left="360"/>
        <w:rPr>
          <w:rFonts w:cstheme="minorHAnsi"/>
          <w:iCs/>
          <w:sz w:val="24"/>
          <w:szCs w:val="24"/>
          <w:lang w:val="lv-LV"/>
        </w:rPr>
      </w:pPr>
      <w:r w:rsidRPr="00550D35">
        <w:rPr>
          <w:rFonts w:cstheme="minorHAnsi"/>
          <w:iCs/>
          <w:sz w:val="24"/>
          <w:szCs w:val="24"/>
          <w:lang w:val="lv-LV"/>
        </w:rPr>
        <w:t>ar SM 2023.gada 10.janvāra rīkojumu Nr.01-03/9 izveidotajā darba grupā par sakaru nozares aktuālajiem jautājumiem.</w:t>
      </w:r>
    </w:p>
    <w:p w14:paraId="68CC8149" w14:textId="77777777" w:rsidR="00D7475E" w:rsidRPr="00550D35" w:rsidRDefault="00D7475E" w:rsidP="00D7475E">
      <w:pPr>
        <w:ind w:firstLine="426"/>
        <w:rPr>
          <w:rFonts w:cstheme="minorHAnsi"/>
          <w:iCs/>
          <w:szCs w:val="24"/>
          <w:lang w:val="lv-LV"/>
        </w:rPr>
      </w:pPr>
      <w:r w:rsidRPr="00550D35">
        <w:rPr>
          <w:lang w:val="lv-LV"/>
        </w:rPr>
        <w:t>2023. gada 6. oktobrī tikšanās laikā ar nozares pārstāvjiem ņemti vērā izteiktie priekšlikumi attiecībā uz izaicinājumu sadaļas papildināšanu</w:t>
      </w:r>
      <w:r w:rsidRPr="00550D35">
        <w:rPr>
          <w:rFonts w:cstheme="minorHAnsi"/>
          <w:iCs/>
          <w:szCs w:val="24"/>
          <w:lang w:val="lv-LV"/>
        </w:rPr>
        <w:t>.</w:t>
      </w:r>
    </w:p>
    <w:p w14:paraId="0888AA0F" w14:textId="77777777" w:rsidR="00D7475E" w:rsidRPr="00550D35" w:rsidRDefault="00D7475E" w:rsidP="00D7475E">
      <w:pPr>
        <w:ind w:left="1080" w:firstLine="0"/>
        <w:rPr>
          <w:rFonts w:cstheme="minorHAnsi"/>
          <w:iCs/>
          <w:szCs w:val="24"/>
          <w:lang w:val="lv-LV"/>
        </w:rPr>
      </w:pPr>
    </w:p>
    <w:p w14:paraId="7DF0C16F" w14:textId="77777777" w:rsidR="00D7475E" w:rsidRPr="00550D35" w:rsidRDefault="00D7475E" w:rsidP="00D7475E">
      <w:pPr>
        <w:pStyle w:val="Heading2"/>
        <w:rPr>
          <w:szCs w:val="24"/>
          <w:lang w:val="lv-LV"/>
        </w:rPr>
      </w:pPr>
      <w:r w:rsidRPr="00550D35">
        <w:rPr>
          <w:szCs w:val="24"/>
          <w:lang w:val="lv-LV"/>
        </w:rPr>
        <w:t>Vispārējā ietekme un secinājumi</w:t>
      </w:r>
    </w:p>
    <w:p w14:paraId="1839C42D" w14:textId="77777777" w:rsidR="00D7475E" w:rsidRPr="00550D35" w:rsidRDefault="00D7475E" w:rsidP="00D7475E">
      <w:pPr>
        <w:rPr>
          <w:szCs w:val="24"/>
          <w:lang w:val="lv-LV"/>
        </w:rPr>
      </w:pPr>
      <w:r w:rsidRPr="00550D35">
        <w:rPr>
          <w:lang w:val="lv-LV"/>
        </w:rPr>
        <w:t>Plānotās investīcijas savienojamības jomā papildina un ir ciešā sinerģijā ar VARAM plānotajām darbībām un investīcijām Darbības programmā Latvijai 2021.-2027. gadam</w:t>
      </w:r>
      <w:r w:rsidRPr="00550D35">
        <w:rPr>
          <w:rStyle w:val="FootnoteReference"/>
          <w:lang w:val="lv-LV"/>
        </w:rPr>
        <w:footnoteReference w:id="44"/>
      </w:r>
      <w:r w:rsidRPr="00550D35">
        <w:rPr>
          <w:lang w:val="lv-LV"/>
        </w:rPr>
        <w:t xml:space="preserve"> 1.3.1. specifiskā atbalsta mērķi “Izmantot </w:t>
      </w:r>
      <w:proofErr w:type="spellStart"/>
      <w:r w:rsidRPr="00550D35">
        <w:rPr>
          <w:lang w:val="lv-LV"/>
        </w:rPr>
        <w:t>digitalizācijas</w:t>
      </w:r>
      <w:proofErr w:type="spellEnd"/>
      <w:r w:rsidRPr="00550D35">
        <w:rPr>
          <w:lang w:val="lv-LV"/>
        </w:rPr>
        <w:t xml:space="preserve"> priekšrocības pilsoņiem, uzņēmumiem un valdībām”, kura ietvaros plānota publisko informācijas sistēmu atvēršana izmantošanai privātajam sektoram, kā arī pakalpojumu sniegšanas procesu pārveide u.c. pasākumi. Latvijas plānotās investīcijas elektronisko sakaru infrastruktūras attīstībā nodrošinās pieejamību VARAM izveidotajiem pakalpojumiem, datiem utt. </w:t>
      </w:r>
    </w:p>
    <w:p w14:paraId="7B27A7C5" w14:textId="6E454EC3" w:rsidR="00D7475E" w:rsidRPr="00550D35" w:rsidRDefault="00D7475E" w:rsidP="00D7475E">
      <w:pPr>
        <w:rPr>
          <w:lang w:val="lv-LV"/>
        </w:rPr>
      </w:pPr>
      <w:r w:rsidRPr="00550D35">
        <w:rPr>
          <w:lang w:val="lv-LV"/>
        </w:rPr>
        <w:lastRenderedPageBreak/>
        <w:t>Valsts atbalsta pasākumi ir saskaņā ar savienojamības mērķiem ''Paziņojumā par Gigabitu sabiedrību''</w:t>
      </w:r>
      <w:r w:rsidRPr="00550D35">
        <w:rPr>
          <w:rStyle w:val="FootnoteReference"/>
          <w:lang w:val="lv-LV"/>
        </w:rPr>
        <w:footnoteReference w:id="45"/>
      </w:r>
      <w:r w:rsidRPr="00550D35">
        <w:rPr>
          <w:lang w:val="lv-LV"/>
        </w:rPr>
        <w:t>, paziņojumā ''Eiropas digitālās nākotnes veidošana''</w:t>
      </w:r>
      <w:r w:rsidRPr="00550D35">
        <w:rPr>
          <w:rStyle w:val="FootnoteReference"/>
          <w:lang w:val="lv-LV"/>
        </w:rPr>
        <w:footnoteReference w:id="46"/>
      </w:r>
      <w:r w:rsidRPr="00550D35">
        <w:rPr>
          <w:lang w:val="lv-LV"/>
        </w:rPr>
        <w:t>, paziņojumā par ''digitālo kompasu''</w:t>
      </w:r>
      <w:r w:rsidRPr="00550D35">
        <w:rPr>
          <w:rStyle w:val="FootnoteReference"/>
          <w:lang w:val="lv-LV"/>
        </w:rPr>
        <w:footnoteReference w:id="47"/>
      </w:r>
      <w:r w:rsidRPr="00550D35">
        <w:rPr>
          <w:lang w:val="lv-LV"/>
        </w:rPr>
        <w:t xml:space="preserve"> un Dekādes programmā, tieši vērsts uz ES stratēģisko mērķu sasniegšanu 2025. gadam un 2030. gadam, kas paredz visām Eiropas mājsaimniecībām piekļuvi interneta savienojamībai, kas nodrošina vismaz 100 </w:t>
      </w:r>
      <w:proofErr w:type="spellStart"/>
      <w:r w:rsidRPr="00550D35">
        <w:rPr>
          <w:lang w:val="lv-LV"/>
        </w:rPr>
        <w:t>Mb</w:t>
      </w:r>
      <w:proofErr w:type="spellEnd"/>
      <w:r w:rsidRPr="00550D35">
        <w:rPr>
          <w:lang w:val="lv-LV"/>
        </w:rPr>
        <w:t xml:space="preserve">/s, kā arī gigabitu savienojamību visiem galvenajiem sociālekonomiskajiem virzītājspēkiem, piemēram, izglītības iestādēm, transporta tīkliem un galvenajiem </w:t>
      </w:r>
      <w:r w:rsidR="00481982">
        <w:rPr>
          <w:lang w:val="lv-LV"/>
        </w:rPr>
        <w:t>publ</w:t>
      </w:r>
      <w:r w:rsidRPr="00550D35">
        <w:rPr>
          <w:lang w:val="lv-LV"/>
        </w:rPr>
        <w:t>isko pakalpojumu sniedzējiem, kā arī uzņēmumiem, kas intensīvi izmanto digitālos resursus; papildus visām nozīmīgajām sauszemes transporta maģistrālēm būtu jānodrošina nepārtraukts 5G pārklājums.</w:t>
      </w:r>
    </w:p>
    <w:p w14:paraId="03B19B9B" w14:textId="6BAC0340" w:rsidR="001D08DE" w:rsidRDefault="00D7475E" w:rsidP="00F76C8C">
      <w:pPr>
        <w:rPr>
          <w:lang w:val="lv-LV"/>
        </w:rPr>
      </w:pPr>
      <w:r w:rsidRPr="00550D35">
        <w:rPr>
          <w:lang w:val="lv-LV"/>
        </w:rPr>
        <w:t>Nodaļā KPI “Gigabitu savienojamība un 5G pārklājums” minēt</w:t>
      </w:r>
      <w:r>
        <w:rPr>
          <w:lang w:val="lv-LV"/>
        </w:rPr>
        <w:t>o</w:t>
      </w:r>
      <w:r w:rsidRPr="00550D35">
        <w:rPr>
          <w:lang w:val="lv-LV"/>
        </w:rPr>
        <w:t xml:space="preserve"> pasākum</w:t>
      </w:r>
      <w:r>
        <w:rPr>
          <w:lang w:val="lv-LV"/>
        </w:rPr>
        <w:t>u</w:t>
      </w:r>
      <w:r w:rsidRPr="00550D35">
        <w:rPr>
          <w:lang w:val="lv-LV"/>
        </w:rPr>
        <w:t xml:space="preserve"> </w:t>
      </w:r>
      <w:r w:rsidRPr="001923D0">
        <w:rPr>
          <w:lang w:val="lv-LV"/>
        </w:rPr>
        <w:t>izstrādē un īstenošanā ņemtas vērā EK rekomendācijas, piemēram, attiecībā uz 5G attīstības veicināšanu tieši vērsti administratīvā sloga mazināšanas pasākumi. Vērtējot kopējo pasākumu ietekmi mērķu sasniegšanas kontekstā, jāsecina, ka tie visi vērsti uz mērķu sasniegšanas veicināšanu un paredz atbalstu gan tieša publiska finansējuma veidā (pasākumi Nr.1.-</w:t>
      </w:r>
      <w:r>
        <w:rPr>
          <w:lang w:val="lv-LV"/>
        </w:rPr>
        <w:t xml:space="preserve"> </w:t>
      </w:r>
      <w:r w:rsidRPr="001923D0">
        <w:rPr>
          <w:lang w:val="lv-LV"/>
        </w:rPr>
        <w:t>4.), gan administratīvā sloga mazināšanas veidā (pasākumi Nr.6</w:t>
      </w:r>
      <w:r>
        <w:rPr>
          <w:lang w:val="lv-LV"/>
        </w:rPr>
        <w:t>.</w:t>
      </w:r>
      <w:r w:rsidRPr="001923D0">
        <w:rPr>
          <w:lang w:val="lv-LV"/>
        </w:rPr>
        <w:t>, 7.), gan ieplānojot darbības (pasākums Nr.5), lai novērstu investīciju nepietiekamību</w:t>
      </w:r>
      <w:r w:rsidR="004C26DB">
        <w:rPr>
          <w:lang w:val="lv-LV"/>
        </w:rPr>
        <w:t xml:space="preserve">, </w:t>
      </w:r>
      <w:r w:rsidR="00F73234">
        <w:rPr>
          <w:lang w:val="lv-LV"/>
        </w:rPr>
        <w:t xml:space="preserve">tāpat arī </w:t>
      </w:r>
      <w:r w:rsidRPr="00550D35">
        <w:rPr>
          <w:lang w:val="lv-LV"/>
        </w:rPr>
        <w:t>sniegs ieguldījumu paātrinot centienus savienojamības infrastruktūras jomā, t.sk., palielinot centienus 5G savienojamības izvēršanā un īstenojot ANM plānā ietvertos pasākumus, kā tas norādīts EK ieteikumā Digitālās dekādes 2023.gada ziņojumā par Latviju.</w:t>
      </w:r>
    </w:p>
    <w:p w14:paraId="2D9587C3" w14:textId="31DF31B2" w:rsidR="003F11CD" w:rsidRPr="00550D35" w:rsidRDefault="00BB3159" w:rsidP="00B52E9B">
      <w:pPr>
        <w:pStyle w:val="Heading1"/>
      </w:pPr>
      <w:bookmarkStart w:id="16" w:name="_Toc135226564"/>
      <w:bookmarkStart w:id="17" w:name="_Toc155952337"/>
      <w:r w:rsidRPr="00550D35">
        <w:t>P</w:t>
      </w:r>
      <w:r w:rsidR="008C0152" w:rsidRPr="00550D35">
        <w:t>usvadītāj</w:t>
      </w:r>
      <w:r w:rsidR="002B3356" w:rsidRPr="00550D35">
        <w:t>i</w:t>
      </w:r>
      <w:bookmarkEnd w:id="16"/>
      <w:bookmarkEnd w:id="17"/>
    </w:p>
    <w:p w14:paraId="09D52257" w14:textId="6C52DD34" w:rsidR="00707A6D" w:rsidRPr="00550D35" w:rsidRDefault="008C0152" w:rsidP="0091193F">
      <w:pPr>
        <w:ind w:firstLine="0"/>
        <w:rPr>
          <w:b/>
          <w:bCs/>
          <w:i/>
          <w:iCs/>
          <w:szCs w:val="24"/>
          <w:lang w:val="lv-LV"/>
        </w:rPr>
      </w:pPr>
      <w:r w:rsidRPr="00550D35">
        <w:rPr>
          <w:b/>
          <w:bCs/>
          <w:i/>
          <w:iCs/>
          <w:szCs w:val="24"/>
          <w:lang w:val="lv-LV"/>
        </w:rPr>
        <w:t>Pusvadītāj</w:t>
      </w:r>
      <w:r w:rsidR="00214E56" w:rsidRPr="00550D35">
        <w:rPr>
          <w:b/>
          <w:bCs/>
          <w:i/>
          <w:iCs/>
          <w:szCs w:val="24"/>
          <w:lang w:val="lv-LV"/>
        </w:rPr>
        <w:t>i,</w:t>
      </w:r>
      <w:r w:rsidR="00552045" w:rsidRPr="00550D35">
        <w:rPr>
          <w:i/>
          <w:iCs/>
          <w:szCs w:val="24"/>
          <w:lang w:val="lv-LV"/>
        </w:rPr>
        <w:t xml:space="preserve"> ko </w:t>
      </w:r>
      <w:r w:rsidR="00E90AEE" w:rsidRPr="00550D35">
        <w:rPr>
          <w:i/>
          <w:iCs/>
          <w:szCs w:val="24"/>
          <w:lang w:val="lv-LV"/>
        </w:rPr>
        <w:t xml:space="preserve">nosaka, izmērot, ko pusvadītāju darbības </w:t>
      </w:r>
      <w:r w:rsidR="001F32E1" w:rsidRPr="00550D35">
        <w:rPr>
          <w:i/>
          <w:iCs/>
          <w:szCs w:val="24"/>
          <w:lang w:val="lv-LV"/>
        </w:rPr>
        <w:t>ES</w:t>
      </w:r>
      <w:r w:rsidR="00E90AEE" w:rsidRPr="00550D35">
        <w:rPr>
          <w:i/>
          <w:iCs/>
          <w:szCs w:val="24"/>
          <w:lang w:val="lv-LV"/>
        </w:rPr>
        <w:t xml:space="preserve"> rada ieņēmumu izteiksmē visos vērtības ķēdes posmos attiecībā pret vērtību pasaules tirgū. Pirmajā gadā ziņošana notiks, pamatojoties uz šīm darbībām Eiropā</w:t>
      </w:r>
      <w:r w:rsidR="00552045" w:rsidRPr="00550D35">
        <w:rPr>
          <w:i/>
          <w:iCs/>
          <w:szCs w:val="24"/>
          <w:lang w:val="lv-LV"/>
        </w:rPr>
        <w:t>.</w:t>
      </w:r>
    </w:p>
    <w:p w14:paraId="54D38BFB" w14:textId="3D2D1CB8" w:rsidR="00552045" w:rsidRPr="00550D35" w:rsidRDefault="00451149" w:rsidP="00EA7722">
      <w:pPr>
        <w:pStyle w:val="Heading2"/>
        <w:rPr>
          <w:lang w:val="lv-LV"/>
        </w:rPr>
      </w:pPr>
      <w:r w:rsidRPr="00550D35">
        <w:rPr>
          <w:lang w:val="lv-LV"/>
        </w:rPr>
        <w:t>Analīze par pašreizējo stāvokli digitālās pārveides jomā dalībvalsts kontekstā</w:t>
      </w:r>
    </w:p>
    <w:p w14:paraId="0495B640" w14:textId="77777777" w:rsidR="006F3AD3" w:rsidRPr="00550D35" w:rsidRDefault="006F3AD3" w:rsidP="006F3AD3">
      <w:pPr>
        <w:rPr>
          <w:lang w:val="lv-LV"/>
        </w:rPr>
      </w:pPr>
      <w:r w:rsidRPr="00550D35">
        <w:rPr>
          <w:lang w:val="lv-LV"/>
        </w:rPr>
        <w:t>KPI “Pusvadītāji” ir jauns rādītājs, Digitālās dekādes 2023.gada ziņojumā par Latviju nav atspoguļota tā attīstība kvantitatīvā izteiksmē.</w:t>
      </w:r>
    </w:p>
    <w:p w14:paraId="7E7D765C" w14:textId="77777777" w:rsidR="006F3AD3" w:rsidRPr="00550D35" w:rsidRDefault="006F3AD3" w:rsidP="006F3AD3">
      <w:pPr>
        <w:rPr>
          <w:lang w:val="lv-LV"/>
        </w:rPr>
      </w:pPr>
      <w:r w:rsidRPr="00550D35">
        <w:rPr>
          <w:lang w:val="lv-LV"/>
        </w:rPr>
        <w:t>Digitālās dekādes 2023.gada ziņojumā par Latviju EK iesaka Latvijai paātrināt centienus savienojamības infrastruktūras jomā. Proti, Latvijai jāturpina Latvijas centieni pusvadītāju jomā, lai palīdzētu ES kļūt par spēcīgu tirgus dalībnieku šajā jomā.</w:t>
      </w:r>
    </w:p>
    <w:p w14:paraId="2E32A1B5" w14:textId="77777777" w:rsidR="006F3AD3" w:rsidRPr="00550D35" w:rsidRDefault="006F3AD3" w:rsidP="006F3AD3">
      <w:pPr>
        <w:rPr>
          <w:lang w:val="lv-LV"/>
        </w:rPr>
      </w:pPr>
      <w:r w:rsidRPr="59906329">
        <w:rPr>
          <w:lang w:val="lv-LV"/>
        </w:rPr>
        <w:t>Pusvadītāju mikroshēmas ir digitālās ekonomikas centrālais elements, ko izmanto dažādos digitālos produktos, kurus lietojam ikdienā – viedtālruņos, datoros, dažādās mājsaimniecības ierīcēs, dzīvības glābšanas medicīniskajās iekārtās, sakaru, enerģētikas un ražošanas automatizācijas jomā. Pusvadītāju mikroshēmas ir būtisks virzītājspēks nākotnes tehnoloģiju attīstībai, tostarp mākslīgajam intelektam un 5G/6G saziņai.</w:t>
      </w:r>
    </w:p>
    <w:p w14:paraId="67726103" w14:textId="02D6EE19" w:rsidR="006F3AD3" w:rsidRPr="007D6336" w:rsidRDefault="006F3AD3" w:rsidP="006F3AD3">
      <w:pPr>
        <w:spacing w:after="120"/>
        <w:rPr>
          <w:sz w:val="28"/>
          <w:szCs w:val="28"/>
          <w:lang w:val="lv-LV"/>
        </w:rPr>
      </w:pPr>
      <w:r w:rsidRPr="007D6336">
        <w:rPr>
          <w:rFonts w:eastAsia="Arial"/>
          <w:color w:val="000000" w:themeColor="text1"/>
          <w:szCs w:val="24"/>
          <w:lang w:val="lv-LV"/>
        </w:rPr>
        <w:lastRenderedPageBreak/>
        <w:t>Elektronisko un optisko iekārtu ražošanas nozare kopš 2010. gada ir visstraujāk augošā apstrādes rūpniecības nozare Latvijā, kuras īpatsvars kopējā apstrādes rūpniecības izlaidē ir palielinājies no 3,7 % 2009. gadā līdz 9,8 % 2023. gada trīs ceturkšņos. Ražošanas apjomi kopš 2016. gada ir dubultojušies, darba vietu skaits ir pieaudzis par 60 %. Neskatoties uz ražotāju cenu svārstībām, stabili pieaug arī elektronisko un optisko iekārtu ražošanas nozares realizācijas apjomi. Nozares attīstība ir cieši saistīta ar ārējo pieprasījumu -  gandrīz  90 % no visas nozarē saražotās produkcijas tiek eksportēta. 2023.</w:t>
      </w:r>
      <w:r w:rsidR="003535A0">
        <w:rPr>
          <w:rFonts w:eastAsia="Arial"/>
          <w:color w:val="000000" w:themeColor="text1"/>
          <w:szCs w:val="24"/>
          <w:lang w:val="lv-LV"/>
        </w:rPr>
        <w:t> </w:t>
      </w:r>
      <w:r w:rsidRPr="007D6336">
        <w:rPr>
          <w:rFonts w:eastAsia="Arial"/>
          <w:color w:val="000000" w:themeColor="text1"/>
          <w:szCs w:val="24"/>
          <w:lang w:val="lv-LV"/>
        </w:rPr>
        <w:t xml:space="preserve">gada trīs ceturkšņos, salīdzinot ar 2019. gadu, produkcijas realizācija </w:t>
      </w:r>
      <w:r w:rsidR="00031556" w:rsidRPr="007D6336">
        <w:rPr>
          <w:rFonts w:eastAsia="Arial"/>
          <w:color w:val="000000" w:themeColor="text1"/>
          <w:szCs w:val="24"/>
          <w:lang w:val="lv-LV"/>
        </w:rPr>
        <w:t xml:space="preserve">arī </w:t>
      </w:r>
      <w:r w:rsidRPr="007D6336">
        <w:rPr>
          <w:rFonts w:eastAsia="Arial"/>
          <w:color w:val="000000" w:themeColor="text1"/>
          <w:szCs w:val="24"/>
          <w:lang w:val="lv-LV"/>
        </w:rPr>
        <w:t>vietējā tirgū ir pieaugusi</w:t>
      </w:r>
      <w:r w:rsidR="003535A0">
        <w:rPr>
          <w:rFonts w:eastAsia="Arial"/>
          <w:color w:val="000000" w:themeColor="text1"/>
          <w:szCs w:val="24"/>
          <w:lang w:val="lv-LV"/>
        </w:rPr>
        <w:t xml:space="preserve"> </w:t>
      </w:r>
      <w:r w:rsidRPr="007D6336">
        <w:rPr>
          <w:rFonts w:eastAsia="Arial"/>
          <w:color w:val="000000" w:themeColor="text1"/>
          <w:szCs w:val="24"/>
          <w:lang w:val="lv-LV"/>
        </w:rPr>
        <w:t>divas reizes. Strauji augot nozares izlaidei, jaudu izmantošanas līmenis saglabājas salīdzinoši augsts. Šie dati parāda, ka Latvijas elektronisko un optisko iekārtu ražošanas nozare attīstās, kas norāda arī uz pieaugošo mikroshēmu nozīmi turpmākajā nozares izaugsmē.</w:t>
      </w:r>
    </w:p>
    <w:p w14:paraId="2A009C23" w14:textId="77777777" w:rsidR="006F3AD3" w:rsidRPr="00550D35" w:rsidRDefault="006F3AD3" w:rsidP="006F3AD3">
      <w:pPr>
        <w:rPr>
          <w:lang w:val="lv-LV"/>
        </w:rPr>
      </w:pPr>
      <w:r w:rsidRPr="00550D35">
        <w:rPr>
          <w:lang w:val="lv-LV"/>
        </w:rPr>
        <w:t>Saskaņā ar Eiropas Mikroshēmu akta regulas priekšlikumā</w:t>
      </w:r>
      <w:r w:rsidRPr="00550D35">
        <w:rPr>
          <w:rStyle w:val="FootnoteReference"/>
          <w:lang w:val="lv-LV"/>
        </w:rPr>
        <w:footnoteReference w:id="48"/>
      </w:r>
      <w:r w:rsidRPr="00550D35">
        <w:rPr>
          <w:lang w:val="lv-LV"/>
        </w:rPr>
        <w:t xml:space="preserve"> noteikto, Latvijā plānots atlasīt kompetences centru, kas varētu iekļauties Eiropas kompetences centru tīklā pusvadītāju jomā. Plānots arī izvēlēties vienu nacionālo kontaktpunktu, kura pienākumos ietilptu pusvadītāju jomas uzraudzība un prognozēšana, informācijas vākšana un brīdināšana. </w:t>
      </w:r>
    </w:p>
    <w:p w14:paraId="7472C1B4" w14:textId="77777777" w:rsidR="006F3AD3" w:rsidRPr="00550D35" w:rsidRDefault="006F3AD3" w:rsidP="006F3AD3">
      <w:pPr>
        <w:rPr>
          <w:lang w:val="lv-LV"/>
        </w:rPr>
      </w:pPr>
      <w:r w:rsidRPr="00550D35">
        <w:rPr>
          <w:lang w:val="lv-LV"/>
        </w:rPr>
        <w:t xml:space="preserve">Latvija plāno atbalstīt drošas, izturīgas, </w:t>
      </w:r>
      <w:proofErr w:type="spellStart"/>
      <w:r w:rsidRPr="00550D35">
        <w:rPr>
          <w:lang w:val="lv-LV"/>
        </w:rPr>
        <w:t>veiktspējīgas</w:t>
      </w:r>
      <w:proofErr w:type="spellEnd"/>
      <w:r w:rsidRPr="00550D35">
        <w:rPr>
          <w:lang w:val="lv-LV"/>
        </w:rPr>
        <w:t xml:space="preserve"> un ilgtspējīgas digitālās infrastruktūras - spēcīgas zināšanu bāzes veidošanu un sinerģijas uzlabošanu P&amp;I  pusvadītāju jomā un izstrādē kā piegādes ķēdes daļā, lai līdz 2030. gadam stiprinātu ES kā globālu dalībnieku pusvadītāju tehnoloģijās un to lietojumu jomā ar pieaugošu globālo daļu (vismaz 20%) ražošanā.</w:t>
      </w:r>
    </w:p>
    <w:p w14:paraId="717E122B" w14:textId="77777777" w:rsidR="006F3AD3" w:rsidRPr="00550D35" w:rsidRDefault="006F3AD3" w:rsidP="006F3AD3">
      <w:pPr>
        <w:rPr>
          <w:lang w:val="lv-LV"/>
        </w:rPr>
      </w:pPr>
      <w:r w:rsidRPr="0028453D">
        <w:rPr>
          <w:b/>
          <w:bCs/>
          <w:lang w:val="lv-LV"/>
        </w:rPr>
        <w:t>Galvenais identificētais izaicinājums</w:t>
      </w:r>
      <w:r w:rsidRPr="00550D35">
        <w:rPr>
          <w:lang w:val="lv-LV"/>
        </w:rPr>
        <w:t xml:space="preserve"> </w:t>
      </w:r>
      <w:r>
        <w:rPr>
          <w:lang w:val="lv-LV"/>
        </w:rPr>
        <w:t>–</w:t>
      </w:r>
      <w:r w:rsidRPr="00550D35">
        <w:rPr>
          <w:lang w:val="lv-LV"/>
        </w:rPr>
        <w:t xml:space="preserve"> ierobežots pieejamā finansējuma apmērs pasākumiem </w:t>
      </w:r>
      <w:proofErr w:type="spellStart"/>
      <w:r w:rsidRPr="00550D35">
        <w:rPr>
          <w:lang w:val="lv-LV"/>
        </w:rPr>
        <w:t>mērķrādītāja</w:t>
      </w:r>
      <w:proofErr w:type="spellEnd"/>
      <w:r w:rsidRPr="00550D35">
        <w:rPr>
          <w:lang w:val="lv-LV"/>
        </w:rPr>
        <w:t xml:space="preserve"> jomas attīstīšanai un </w:t>
      </w:r>
      <w:proofErr w:type="spellStart"/>
      <w:r w:rsidRPr="00550D35">
        <w:rPr>
          <w:lang w:val="lv-LV"/>
        </w:rPr>
        <w:t>mērķrādītāja</w:t>
      </w:r>
      <w:proofErr w:type="spellEnd"/>
      <w:r w:rsidRPr="00550D35">
        <w:rPr>
          <w:lang w:val="lv-LV"/>
        </w:rPr>
        <w:t xml:space="preserve"> ES mērķa vērtības sasniegšanai.</w:t>
      </w:r>
      <w:r>
        <w:rPr>
          <w:rStyle w:val="FootnoteReference"/>
          <w:lang w:val="lv-LV"/>
        </w:rPr>
        <w:footnoteReference w:id="49"/>
      </w:r>
    </w:p>
    <w:p w14:paraId="0C8BFE86" w14:textId="77777777" w:rsidR="006F3AD3" w:rsidRPr="00550D35" w:rsidRDefault="006F3AD3" w:rsidP="006F3AD3">
      <w:pPr>
        <w:ind w:firstLine="0"/>
        <w:rPr>
          <w:lang w:val="lv-LV"/>
        </w:rPr>
      </w:pPr>
      <w:r w:rsidRPr="00550D35">
        <w:rPr>
          <w:lang w:val="lv-LV"/>
        </w:rPr>
        <w:t>Identificētie pasākumi pusvadītāju jomā līdz 2030. gadam:</w:t>
      </w:r>
    </w:p>
    <w:p w14:paraId="71B01ABE" w14:textId="77777777" w:rsidR="006F3AD3" w:rsidRPr="00550D35" w:rsidRDefault="006F3AD3" w:rsidP="006F3AD3">
      <w:pPr>
        <w:ind w:left="709" w:hanging="283"/>
        <w:rPr>
          <w:lang w:val="lv-LV"/>
        </w:rPr>
      </w:pPr>
      <w:r w:rsidRPr="59906329">
        <w:rPr>
          <w:lang w:val="lv-LV"/>
        </w:rPr>
        <w:t>1)</w:t>
      </w:r>
      <w:r w:rsidRPr="007D6336">
        <w:rPr>
          <w:lang w:val="pl-PL"/>
        </w:rPr>
        <w:tab/>
      </w:r>
      <w:r w:rsidRPr="59906329">
        <w:rPr>
          <w:lang w:val="lv-LV"/>
        </w:rPr>
        <w:t>izveidot Kompetenču centru (balstoties uz Mikroshēmu aktu);</w:t>
      </w:r>
    </w:p>
    <w:p w14:paraId="0BFED07B" w14:textId="5AAEAF46" w:rsidR="006F3AD3" w:rsidRPr="00550D35" w:rsidRDefault="006F3AD3" w:rsidP="006F3AD3">
      <w:pPr>
        <w:ind w:left="709" w:hanging="283"/>
        <w:rPr>
          <w:lang w:val="lv-LV"/>
        </w:rPr>
      </w:pPr>
      <w:r w:rsidRPr="00550D35">
        <w:rPr>
          <w:lang w:val="lv-LV"/>
        </w:rPr>
        <w:t>2)</w:t>
      </w:r>
      <w:r w:rsidRPr="00550D35">
        <w:rPr>
          <w:lang w:val="lv-LV"/>
        </w:rPr>
        <w:tab/>
        <w:t>Izveidot vienas pieturas aģentūr</w:t>
      </w:r>
      <w:r w:rsidR="002B14AE">
        <w:rPr>
          <w:lang w:val="lv-LV"/>
        </w:rPr>
        <w:t>u</w:t>
      </w:r>
      <w:r w:rsidRPr="00550D35">
        <w:rPr>
          <w:lang w:val="lv-LV"/>
        </w:rPr>
        <w:t xml:space="preserve"> pusvadītāju industrijas </w:t>
      </w:r>
      <w:proofErr w:type="spellStart"/>
      <w:r w:rsidRPr="00550D35">
        <w:rPr>
          <w:lang w:val="lv-LV"/>
        </w:rPr>
        <w:t>monitorēšanai</w:t>
      </w:r>
      <w:proofErr w:type="spellEnd"/>
      <w:r w:rsidRPr="00550D35">
        <w:rPr>
          <w:lang w:val="lv-LV"/>
        </w:rPr>
        <w:t xml:space="preserve"> un ziņošanai</w:t>
      </w:r>
      <w:r>
        <w:rPr>
          <w:lang w:val="lv-LV"/>
        </w:rPr>
        <w:t xml:space="preserve"> </w:t>
      </w:r>
      <w:r w:rsidRPr="59906329">
        <w:rPr>
          <w:lang w:val="lv-LV"/>
        </w:rPr>
        <w:t>(balstoties uz Mikroshēmu aktu)</w:t>
      </w:r>
      <w:r w:rsidRPr="00550D35">
        <w:rPr>
          <w:lang w:val="lv-LV"/>
        </w:rPr>
        <w:t>;</w:t>
      </w:r>
    </w:p>
    <w:p w14:paraId="4990B010" w14:textId="36FB3669" w:rsidR="006F3AD3" w:rsidRPr="00550D35" w:rsidRDefault="006F3AD3" w:rsidP="006F3AD3">
      <w:pPr>
        <w:ind w:left="709" w:hanging="283"/>
        <w:rPr>
          <w:lang w:val="lv-LV"/>
        </w:rPr>
      </w:pPr>
      <w:r w:rsidRPr="00550D35">
        <w:rPr>
          <w:lang w:val="lv-LV"/>
        </w:rPr>
        <w:t>3)</w:t>
      </w:r>
      <w:r w:rsidRPr="00550D35">
        <w:rPr>
          <w:lang w:val="lv-LV"/>
        </w:rPr>
        <w:tab/>
        <w:t>Izveidot un realizēt jaunas maģistra un doktora līmeņa studiju programmas un kursus pusvadītāju tematikā (pusvadītāju testēšana, dizains, u</w:t>
      </w:r>
      <w:r w:rsidR="00977D34">
        <w:rPr>
          <w:lang w:val="lv-LV"/>
        </w:rPr>
        <w:t>.c</w:t>
      </w:r>
      <w:r w:rsidRPr="00550D35">
        <w:rPr>
          <w:lang w:val="lv-LV"/>
        </w:rPr>
        <w:t>.);</w:t>
      </w:r>
    </w:p>
    <w:p w14:paraId="4EBF2430" w14:textId="77777777" w:rsidR="006F3AD3" w:rsidRPr="00550D35" w:rsidRDefault="006F3AD3" w:rsidP="006F3AD3">
      <w:pPr>
        <w:ind w:left="709" w:hanging="283"/>
        <w:rPr>
          <w:lang w:val="lv-LV"/>
        </w:rPr>
      </w:pPr>
      <w:r w:rsidRPr="00550D35">
        <w:rPr>
          <w:lang w:val="lv-LV"/>
        </w:rPr>
        <w:t>4)</w:t>
      </w:r>
      <w:r w:rsidRPr="00550D35">
        <w:rPr>
          <w:lang w:val="lv-LV"/>
        </w:rPr>
        <w:tab/>
        <w:t xml:space="preserve">izveidot pusvadītāju dizaina fabriku (virtuāla laboratorija, kurā ar specializētas lietojumprogrammas palīdzību ir iespējams veidot “digitālus pusvadītāju dvīņus”); </w:t>
      </w:r>
    </w:p>
    <w:p w14:paraId="15DC1F21" w14:textId="77777777" w:rsidR="006F3AD3" w:rsidRPr="00550D35" w:rsidRDefault="006F3AD3" w:rsidP="006F3AD3">
      <w:pPr>
        <w:ind w:left="709" w:hanging="283"/>
        <w:rPr>
          <w:lang w:val="lv-LV"/>
        </w:rPr>
      </w:pPr>
      <w:r w:rsidRPr="00550D35">
        <w:rPr>
          <w:lang w:val="lv-LV"/>
        </w:rPr>
        <w:t>5)</w:t>
      </w:r>
      <w:r w:rsidRPr="00550D35">
        <w:rPr>
          <w:lang w:val="lv-LV"/>
        </w:rPr>
        <w:tab/>
        <w:t xml:space="preserve">izveidot testēšanas laboratoriju, izbūvējot </w:t>
      </w:r>
      <w:proofErr w:type="spellStart"/>
      <w:r w:rsidRPr="00550D35">
        <w:rPr>
          <w:lang w:val="lv-LV"/>
        </w:rPr>
        <w:t>tīrtelpu</w:t>
      </w:r>
      <w:proofErr w:type="spellEnd"/>
      <w:r w:rsidRPr="00550D35">
        <w:rPr>
          <w:lang w:val="lv-LV"/>
        </w:rPr>
        <w:t xml:space="preserve"> ar nepieciešamo materiāltehnisko nodrošinājumu; papildināt pusvadītāju testēšanas laboratoriju ar nepieciešamajām iekārtām un speciālistiem pusvadītāju iepakošanai;</w:t>
      </w:r>
    </w:p>
    <w:p w14:paraId="38A2F8B9" w14:textId="77777777" w:rsidR="006F3AD3" w:rsidRPr="00550D35" w:rsidRDefault="006F3AD3" w:rsidP="006F3AD3">
      <w:pPr>
        <w:ind w:left="709" w:hanging="283"/>
        <w:rPr>
          <w:lang w:val="lv-LV"/>
        </w:rPr>
      </w:pPr>
      <w:r w:rsidRPr="00550D35">
        <w:rPr>
          <w:lang w:val="lv-LV"/>
        </w:rPr>
        <w:t>6)</w:t>
      </w:r>
      <w:r w:rsidRPr="00550D35">
        <w:rPr>
          <w:lang w:val="lv-LV"/>
        </w:rPr>
        <w:tab/>
        <w:t xml:space="preserve">izveidot polimēru </w:t>
      </w:r>
      <w:proofErr w:type="spellStart"/>
      <w:r w:rsidRPr="00550D35">
        <w:rPr>
          <w:lang w:val="lv-LV"/>
        </w:rPr>
        <w:t>fotonikas</w:t>
      </w:r>
      <w:proofErr w:type="spellEnd"/>
      <w:r w:rsidRPr="00550D35">
        <w:rPr>
          <w:lang w:val="lv-LV"/>
        </w:rPr>
        <w:t xml:space="preserve"> </w:t>
      </w:r>
      <w:proofErr w:type="spellStart"/>
      <w:r w:rsidRPr="00550D35">
        <w:rPr>
          <w:lang w:val="lv-LV"/>
        </w:rPr>
        <w:t>pilotlīnijas</w:t>
      </w:r>
      <w:proofErr w:type="spellEnd"/>
      <w:r w:rsidRPr="00550D35">
        <w:rPr>
          <w:lang w:val="lv-LV"/>
        </w:rPr>
        <w:t xml:space="preserve"> laboratoriju, izbūvējot </w:t>
      </w:r>
      <w:proofErr w:type="spellStart"/>
      <w:r w:rsidRPr="00550D35">
        <w:rPr>
          <w:lang w:val="lv-LV"/>
        </w:rPr>
        <w:t>tīrtelpas</w:t>
      </w:r>
      <w:proofErr w:type="spellEnd"/>
      <w:r w:rsidRPr="00550D35">
        <w:rPr>
          <w:lang w:val="lv-LV"/>
        </w:rPr>
        <w:t xml:space="preserve"> un iegādājoties atbilstošo ekipējumu;</w:t>
      </w:r>
    </w:p>
    <w:p w14:paraId="5F2CB2D6" w14:textId="77777777" w:rsidR="006F3AD3" w:rsidRPr="00550D35" w:rsidRDefault="006F3AD3" w:rsidP="006F3AD3">
      <w:pPr>
        <w:ind w:left="709" w:hanging="283"/>
        <w:rPr>
          <w:lang w:val="lv-LV"/>
        </w:rPr>
      </w:pPr>
      <w:r w:rsidRPr="00550D35">
        <w:rPr>
          <w:lang w:val="lv-LV"/>
        </w:rPr>
        <w:t>7)</w:t>
      </w:r>
      <w:r w:rsidRPr="00550D35">
        <w:rPr>
          <w:lang w:val="lv-LV"/>
        </w:rPr>
        <w:tab/>
        <w:t xml:space="preserve">uzbūvēt pusvadītāju </w:t>
      </w:r>
      <w:proofErr w:type="spellStart"/>
      <w:r w:rsidRPr="00550D35">
        <w:rPr>
          <w:lang w:val="lv-LV"/>
        </w:rPr>
        <w:t>prototipēšanas</w:t>
      </w:r>
      <w:proofErr w:type="spellEnd"/>
      <w:r w:rsidRPr="00550D35">
        <w:rPr>
          <w:lang w:val="lv-LV"/>
        </w:rPr>
        <w:t xml:space="preserve"> laboratoriju;</w:t>
      </w:r>
    </w:p>
    <w:p w14:paraId="50D5AF95" w14:textId="77777777" w:rsidR="006F3AD3" w:rsidRPr="00550D35" w:rsidRDefault="006F3AD3" w:rsidP="006F3AD3">
      <w:pPr>
        <w:ind w:left="709" w:hanging="283"/>
        <w:rPr>
          <w:lang w:val="lv-LV"/>
        </w:rPr>
      </w:pPr>
      <w:r w:rsidRPr="00550D35">
        <w:rPr>
          <w:lang w:val="lv-LV"/>
        </w:rPr>
        <w:t>8)</w:t>
      </w:r>
      <w:r w:rsidRPr="00550D35">
        <w:rPr>
          <w:lang w:val="lv-LV"/>
        </w:rPr>
        <w:tab/>
        <w:t>radīt pusvadītāju ražotni Latvijā.</w:t>
      </w:r>
    </w:p>
    <w:p w14:paraId="30BDB9ED" w14:textId="77777777" w:rsidR="006F3AD3" w:rsidRPr="00550D35" w:rsidRDefault="006F3AD3" w:rsidP="006F3AD3">
      <w:pPr>
        <w:ind w:left="142" w:hanging="284"/>
        <w:rPr>
          <w:lang w:val="lv-LV"/>
        </w:rPr>
      </w:pPr>
      <w:r w:rsidRPr="59906329">
        <w:rPr>
          <w:lang w:val="lv-LV"/>
        </w:rPr>
        <w:t>Tāpat būtiski ir piesaistīt IZM, SM, VM un VARAM plānotās aktivitātes un sniegumu.</w:t>
      </w:r>
    </w:p>
    <w:p w14:paraId="03F4AB4D" w14:textId="638360F4" w:rsidR="00040578" w:rsidRPr="00550D35" w:rsidRDefault="006F3AD3" w:rsidP="0055281A">
      <w:pPr>
        <w:rPr>
          <w:lang w:val="lv-LV"/>
        </w:rPr>
      </w:pPr>
      <w:r>
        <w:rPr>
          <w:lang w:val="lv-LV"/>
        </w:rPr>
        <w:lastRenderedPageBreak/>
        <w:t>P</w:t>
      </w:r>
      <w:r w:rsidRPr="004655D9">
        <w:rPr>
          <w:lang w:val="lv-LV"/>
        </w:rPr>
        <w:t xml:space="preserve">apildu jau identificētajiem pasākumiem, sadarbībā ar </w:t>
      </w:r>
      <w:r>
        <w:rPr>
          <w:lang w:val="lv-LV"/>
        </w:rPr>
        <w:t>uzņēmējus pārstāvošajām organizācijām</w:t>
      </w:r>
      <w:r w:rsidRPr="004655D9">
        <w:rPr>
          <w:lang w:val="lv-LV"/>
        </w:rPr>
        <w:t xml:space="preserve"> tiks turpināts darbs pie </w:t>
      </w:r>
      <w:r>
        <w:rPr>
          <w:lang w:val="lv-LV"/>
        </w:rPr>
        <w:t xml:space="preserve">pusvadītāju </w:t>
      </w:r>
      <w:r w:rsidRPr="004655D9">
        <w:rPr>
          <w:lang w:val="lv-LV"/>
        </w:rPr>
        <w:t xml:space="preserve">risinājumu </w:t>
      </w:r>
      <w:r>
        <w:rPr>
          <w:lang w:val="lv-LV"/>
        </w:rPr>
        <w:t xml:space="preserve">un tehnoloģiju attīstībai </w:t>
      </w:r>
      <w:r w:rsidRPr="004655D9">
        <w:rPr>
          <w:lang w:val="lv-LV"/>
        </w:rPr>
        <w:t>nepieciešamās normatīvās vides pilnveidošanas, īstenotas informēšanas aktivitāt</w:t>
      </w:r>
      <w:r>
        <w:rPr>
          <w:lang w:val="lv-LV"/>
        </w:rPr>
        <w:t>es</w:t>
      </w:r>
      <w:r w:rsidRPr="004655D9">
        <w:rPr>
          <w:lang w:val="lv-LV"/>
        </w:rPr>
        <w:t xml:space="preserve">, kā arī īstenoti citi pasākumi, kas var sekmēt </w:t>
      </w:r>
      <w:r>
        <w:rPr>
          <w:lang w:val="lv-LV"/>
        </w:rPr>
        <w:t xml:space="preserve">pusvadītāju risinājumu un tehnoloģiju izpēti, izstrādi un ieviešanu, lai līdz 2030. gadam sasniegtu </w:t>
      </w:r>
      <w:r w:rsidR="001F6206">
        <w:rPr>
          <w:lang w:val="lv-LV"/>
        </w:rPr>
        <w:t>ES noteikto mērķa vērtību.</w:t>
      </w:r>
    </w:p>
    <w:p w14:paraId="4AED9775" w14:textId="4D32E65A" w:rsidR="00CD3B46" w:rsidRPr="00550D35" w:rsidRDefault="00F01208" w:rsidP="00BA62A0">
      <w:pPr>
        <w:pStyle w:val="Heading2"/>
        <w:rPr>
          <w:lang w:val="lv-LV"/>
        </w:rPr>
      </w:pPr>
      <w:r w:rsidRPr="00F81CC5">
        <w:rPr>
          <w:lang w:val="lv-LV"/>
        </w:rPr>
        <w:t>KPI “Pusvadītāji” v</w:t>
      </w:r>
      <w:r w:rsidR="002864F1" w:rsidRPr="00F81CC5">
        <w:rPr>
          <w:lang w:val="lv-LV"/>
        </w:rPr>
        <w:t>alsts prognozētā trajektorija</w:t>
      </w:r>
      <w:r w:rsidR="00B4122B" w:rsidRPr="00F81CC5">
        <w:rPr>
          <w:lang w:val="lv-LV"/>
        </w:rPr>
        <w:t xml:space="preserve"> un </w:t>
      </w:r>
      <w:proofErr w:type="spellStart"/>
      <w:r w:rsidR="00B4122B" w:rsidRPr="00F81CC5">
        <w:rPr>
          <w:lang w:val="lv-LV"/>
        </w:rPr>
        <w:t>mērķrādītāj</w:t>
      </w:r>
      <w:r w:rsidRPr="00F81CC5">
        <w:rPr>
          <w:lang w:val="lv-LV"/>
        </w:rPr>
        <w:t>s</w:t>
      </w:r>
      <w:proofErr w:type="spellEnd"/>
      <w:r w:rsidR="00B4122B" w:rsidRPr="00F81CC5">
        <w:rPr>
          <w:lang w:val="lv-LV"/>
        </w:rPr>
        <w:t>, kas paredzēt</w:t>
      </w:r>
      <w:r w:rsidRPr="00F81CC5">
        <w:rPr>
          <w:lang w:val="lv-LV"/>
        </w:rPr>
        <w:t>s</w:t>
      </w:r>
      <w:r w:rsidR="00B4122B" w:rsidRPr="00F81CC5">
        <w:rPr>
          <w:lang w:val="lv-LV"/>
        </w:rPr>
        <w:t xml:space="preserve">, lai palīdzētu sasniegt ES digitālo </w:t>
      </w:r>
      <w:proofErr w:type="spellStart"/>
      <w:r w:rsidR="00B4122B" w:rsidRPr="00F81CC5">
        <w:rPr>
          <w:lang w:val="lv-LV"/>
        </w:rPr>
        <w:t>mērķrādītāju</w:t>
      </w:r>
      <w:proofErr w:type="spellEnd"/>
      <w:r w:rsidR="00F91AFF" w:rsidRPr="00F81CC5">
        <w:rPr>
          <w:lang w:val="lv-LV"/>
        </w:rPr>
        <w:t xml:space="preserve"> </w:t>
      </w:r>
    </w:p>
    <w:p w14:paraId="789061AC" w14:textId="77777777" w:rsidR="00C14B06" w:rsidRPr="00F81CC5" w:rsidRDefault="00C14B06" w:rsidP="00BA62A0">
      <w:pPr>
        <w:pStyle w:val="Text2"/>
        <w:rPr>
          <w:lang w:val="lv-LV"/>
        </w:rPr>
      </w:pPr>
    </w:p>
    <w:p w14:paraId="0F8BD2AB" w14:textId="77777777" w:rsidR="00D703DA" w:rsidRDefault="00D703DA" w:rsidP="00D703DA">
      <w:pPr>
        <w:pBdr>
          <w:top w:val="single" w:sz="4" w:space="1" w:color="auto"/>
          <w:left w:val="single" w:sz="4" w:space="4" w:color="auto"/>
          <w:bottom w:val="single" w:sz="4" w:space="1" w:color="auto"/>
          <w:right w:val="single" w:sz="4" w:space="4" w:color="auto"/>
        </w:pBdr>
        <w:spacing w:before="0" w:after="160" w:line="259" w:lineRule="auto"/>
        <w:ind w:firstLine="0"/>
        <w:contextualSpacing/>
        <w:rPr>
          <w:rFonts w:ascii="Times New Roman Bold" w:hAnsi="Times New Roman Bold"/>
          <w:b/>
          <w:bCs/>
          <w:spacing w:val="-4"/>
          <w:szCs w:val="24"/>
          <w:lang w:val="lv-LV"/>
        </w:rPr>
      </w:pPr>
      <w:r w:rsidRPr="00550D35">
        <w:rPr>
          <w:rFonts w:ascii="Times New Roman Bold" w:hAnsi="Times New Roman Bold"/>
          <w:b/>
          <w:bCs/>
          <w:spacing w:val="-4"/>
          <w:szCs w:val="24"/>
          <w:lang w:val="lv-LV"/>
        </w:rPr>
        <w:t xml:space="preserve">Nacionālā bāzes vērtība (2023) </w:t>
      </w:r>
      <w:r>
        <w:rPr>
          <w:rFonts w:ascii="Times New Roman Bold" w:hAnsi="Times New Roman Bold"/>
          <w:b/>
          <w:bCs/>
          <w:spacing w:val="-4"/>
          <w:szCs w:val="24"/>
          <w:lang w:val="lv-LV"/>
        </w:rPr>
        <w:t>–</w:t>
      </w:r>
      <w:r w:rsidRPr="00550D35">
        <w:rPr>
          <w:rFonts w:ascii="Times New Roman Bold" w:hAnsi="Times New Roman Bold"/>
          <w:b/>
          <w:bCs/>
          <w:spacing w:val="-4"/>
          <w:szCs w:val="24"/>
          <w:lang w:val="lv-LV"/>
        </w:rPr>
        <w:t xml:space="preserve"> </w:t>
      </w:r>
      <w:r w:rsidRPr="001F6F28">
        <w:rPr>
          <w:lang w:val="lv-LV"/>
        </w:rPr>
        <w:t>noslēgts saprašanās memorands starp industrijas, pētniecības un valsts sektora pārstāvjiem par Latvijas spēju attīstīšanu pusvadītāju jomā</w:t>
      </w:r>
      <w:r w:rsidRPr="00550D35">
        <w:rPr>
          <w:rFonts w:ascii="Times New Roman Bold" w:hAnsi="Times New Roman Bold"/>
          <w:b/>
          <w:bCs/>
          <w:spacing w:val="-4"/>
          <w:szCs w:val="24"/>
          <w:lang w:val="lv-LV"/>
        </w:rPr>
        <w:t>;</w:t>
      </w:r>
    </w:p>
    <w:p w14:paraId="021DB3A1" w14:textId="6EA17B06" w:rsidR="00D703DA" w:rsidRPr="00550D35" w:rsidRDefault="00D703DA" w:rsidP="00D703DA">
      <w:pPr>
        <w:pBdr>
          <w:top w:val="single" w:sz="4" w:space="1" w:color="auto"/>
          <w:left w:val="single" w:sz="4" w:space="4" w:color="auto"/>
          <w:bottom w:val="single" w:sz="4" w:space="1" w:color="auto"/>
          <w:right w:val="single" w:sz="4" w:space="4" w:color="auto"/>
        </w:pBdr>
        <w:spacing w:before="0" w:after="160" w:line="259" w:lineRule="auto"/>
        <w:ind w:firstLine="0"/>
        <w:contextualSpacing/>
        <w:rPr>
          <w:rFonts w:ascii="Times New Roman Bold" w:hAnsi="Times New Roman Bold"/>
          <w:b/>
          <w:bCs/>
          <w:spacing w:val="-4"/>
          <w:szCs w:val="24"/>
          <w:lang w:val="lv-LV"/>
        </w:rPr>
      </w:pPr>
      <w:r w:rsidRPr="00550D35">
        <w:rPr>
          <w:rFonts w:ascii="Times New Roman Bold" w:hAnsi="Times New Roman Bold"/>
          <w:b/>
          <w:bCs/>
          <w:spacing w:val="-4"/>
          <w:szCs w:val="24"/>
          <w:lang w:val="lv-LV"/>
        </w:rPr>
        <w:t>ES bāzes vērtība (2023)  ~</w:t>
      </w:r>
      <w:r w:rsidRPr="00550D35">
        <w:rPr>
          <w:b/>
          <w:bCs/>
          <w:lang w:val="lv-LV"/>
        </w:rPr>
        <w:t>10 % pasaules ražošanas apjoma</w:t>
      </w:r>
      <w:r w:rsidRPr="00550D35">
        <w:rPr>
          <w:rFonts w:ascii="Times New Roman Bold" w:hAnsi="Times New Roman Bold"/>
          <w:b/>
          <w:bCs/>
          <w:spacing w:val="-4"/>
          <w:szCs w:val="24"/>
          <w:lang w:val="lv-LV"/>
        </w:rPr>
        <w:t>;</w:t>
      </w:r>
    </w:p>
    <w:p w14:paraId="4880E23B" w14:textId="77777777" w:rsidR="00D703DA" w:rsidRPr="00550D35" w:rsidRDefault="00D703DA" w:rsidP="00D703DA">
      <w:pPr>
        <w:pBdr>
          <w:top w:val="single" w:sz="4" w:space="1" w:color="auto"/>
          <w:left w:val="single" w:sz="4" w:space="4" w:color="auto"/>
          <w:bottom w:val="single" w:sz="4" w:space="1" w:color="auto"/>
          <w:right w:val="single" w:sz="4" w:space="4" w:color="auto"/>
        </w:pBdr>
        <w:spacing w:before="0" w:after="160" w:line="259" w:lineRule="auto"/>
        <w:ind w:firstLine="0"/>
        <w:contextualSpacing/>
        <w:rPr>
          <w:b/>
          <w:bCs/>
          <w:lang w:val="lv-LV"/>
        </w:rPr>
      </w:pPr>
      <w:r w:rsidRPr="59906329">
        <w:rPr>
          <w:b/>
          <w:bCs/>
          <w:lang w:val="lv-LV"/>
        </w:rPr>
        <w:t xml:space="preserve">Nacionālais </w:t>
      </w:r>
      <w:proofErr w:type="spellStart"/>
      <w:r w:rsidRPr="59906329">
        <w:rPr>
          <w:b/>
          <w:bCs/>
          <w:lang w:val="lv-LV"/>
        </w:rPr>
        <w:t>mērķrādītājs</w:t>
      </w:r>
      <w:proofErr w:type="spellEnd"/>
      <w:r w:rsidRPr="59906329">
        <w:rPr>
          <w:b/>
          <w:bCs/>
          <w:lang w:val="lv-LV"/>
        </w:rPr>
        <w:t xml:space="preserve"> (2030) </w:t>
      </w:r>
      <w:r>
        <w:rPr>
          <w:b/>
          <w:bCs/>
          <w:lang w:val="lv-LV"/>
        </w:rPr>
        <w:t xml:space="preserve">– </w:t>
      </w:r>
      <w:r w:rsidRPr="00313405">
        <w:rPr>
          <w:lang w:val="lv-LV"/>
        </w:rPr>
        <w:t>(1)</w:t>
      </w:r>
      <w:r>
        <w:rPr>
          <w:b/>
          <w:bCs/>
          <w:lang w:val="lv-LV"/>
        </w:rPr>
        <w:t xml:space="preserve"> </w:t>
      </w:r>
      <w:r w:rsidRPr="59906329">
        <w:rPr>
          <w:lang w:val="lv-LV"/>
        </w:rPr>
        <w:t xml:space="preserve">izveidota vismaz viena maģistratūras un vismaz viena doktorantūras studiju programma vai specializācija pusvadītāju jomā; (2) izveidota vienas pieturas aģentūra pusvadītāju industrijas </w:t>
      </w:r>
      <w:proofErr w:type="spellStart"/>
      <w:r w:rsidRPr="59906329">
        <w:rPr>
          <w:lang w:val="lv-LV"/>
        </w:rPr>
        <w:t>monitorēšanai</w:t>
      </w:r>
      <w:proofErr w:type="spellEnd"/>
      <w:r w:rsidRPr="59906329">
        <w:rPr>
          <w:lang w:val="lv-LV"/>
        </w:rPr>
        <w:t xml:space="preserve"> un ziņošanai; (3) izveidota vismaz viena pusvadītāju testēšanas un dizaina laboratorija vai </w:t>
      </w:r>
      <w:proofErr w:type="spellStart"/>
      <w:r w:rsidRPr="59906329">
        <w:rPr>
          <w:lang w:val="lv-LV"/>
        </w:rPr>
        <w:t>pilotlīnija</w:t>
      </w:r>
      <w:proofErr w:type="spellEnd"/>
      <w:r w:rsidRPr="59906329">
        <w:rPr>
          <w:lang w:val="lv-LV"/>
        </w:rPr>
        <w:t>;</w:t>
      </w:r>
      <w:r w:rsidRPr="00313405">
        <w:rPr>
          <w:lang w:val="lv-LV"/>
        </w:rPr>
        <w:br/>
      </w:r>
      <w:r w:rsidRPr="59906329">
        <w:rPr>
          <w:b/>
          <w:bCs/>
          <w:lang w:val="lv-LV"/>
        </w:rPr>
        <w:t xml:space="preserve">ES </w:t>
      </w:r>
      <w:proofErr w:type="spellStart"/>
      <w:r w:rsidRPr="59906329">
        <w:rPr>
          <w:b/>
          <w:bCs/>
          <w:lang w:val="lv-LV"/>
        </w:rPr>
        <w:t>mērķrādītājs</w:t>
      </w:r>
      <w:proofErr w:type="spellEnd"/>
      <w:r w:rsidRPr="59906329">
        <w:rPr>
          <w:b/>
          <w:bCs/>
          <w:lang w:val="lv-LV"/>
        </w:rPr>
        <w:t xml:space="preserve"> (2030) </w:t>
      </w:r>
      <w:r>
        <w:rPr>
          <w:b/>
          <w:bCs/>
          <w:lang w:val="lv-LV"/>
        </w:rPr>
        <w:t xml:space="preserve">– </w:t>
      </w:r>
      <w:r w:rsidRPr="59906329">
        <w:rPr>
          <w:b/>
          <w:bCs/>
          <w:lang w:val="lv-LV"/>
        </w:rPr>
        <w:t>vismaz 20 % pasaules ražošanas apjoma</w:t>
      </w:r>
    </w:p>
    <w:p w14:paraId="1373DADD" w14:textId="77777777" w:rsidR="00D703DA" w:rsidRPr="00550D35" w:rsidRDefault="00D703DA" w:rsidP="00D703DA">
      <w:pPr>
        <w:pBdr>
          <w:top w:val="single" w:sz="4" w:space="1" w:color="auto"/>
          <w:left w:val="single" w:sz="4" w:space="4" w:color="auto"/>
          <w:bottom w:val="single" w:sz="4" w:space="1" w:color="auto"/>
          <w:right w:val="single" w:sz="4" w:space="4" w:color="auto"/>
        </w:pBdr>
        <w:spacing w:before="0" w:after="160" w:line="259" w:lineRule="auto"/>
        <w:ind w:firstLine="0"/>
        <w:contextualSpacing/>
        <w:rPr>
          <w:i/>
          <w:iCs/>
          <w:szCs w:val="24"/>
          <w:lang w:val="lv-LV"/>
        </w:rPr>
      </w:pPr>
      <w:r w:rsidRPr="00550D35">
        <w:rPr>
          <w:i/>
          <w:iCs/>
          <w:szCs w:val="24"/>
          <w:lang w:val="lv-LV"/>
        </w:rPr>
        <w:t>Avots: Digitālās dekādes 2023.gada ziņojums par Latviju</w:t>
      </w:r>
    </w:p>
    <w:p w14:paraId="4FB13C8D" w14:textId="77777777" w:rsidR="00613370" w:rsidRDefault="0083413E" w:rsidP="00613370">
      <w:pPr>
        <w:rPr>
          <w:lang w:val="lv-LV"/>
        </w:rPr>
      </w:pPr>
      <w:r w:rsidRPr="00550D35">
        <w:rPr>
          <w:lang w:val="lv-LV"/>
        </w:rPr>
        <w:t>Informācija par Latvijas nacionālo trajektoriju 2023.- 2030.gadam precizējama ceļveža pārskatīšanas gaitā</w:t>
      </w:r>
      <w:r w:rsidR="003819D4" w:rsidRPr="00550D35">
        <w:rPr>
          <w:lang w:val="lv-LV"/>
        </w:rPr>
        <w:t>.</w:t>
      </w:r>
    </w:p>
    <w:p w14:paraId="7293D0D9" w14:textId="77777777" w:rsidR="00852C3A" w:rsidRPr="00550D35" w:rsidRDefault="00852C3A" w:rsidP="00852C3A">
      <w:pPr>
        <w:pStyle w:val="Heading2"/>
        <w:rPr>
          <w:lang w:val="lv-LV"/>
        </w:rPr>
      </w:pPr>
      <w:r w:rsidRPr="00550D35">
        <w:rPr>
          <w:lang w:val="lv-LV"/>
        </w:rPr>
        <w:t xml:space="preserve">Politika, pasākumi un darbības digitālā </w:t>
      </w:r>
      <w:proofErr w:type="spellStart"/>
      <w:r w:rsidRPr="00550D35">
        <w:rPr>
          <w:lang w:val="lv-LV"/>
        </w:rPr>
        <w:t>mērķrādītāja</w:t>
      </w:r>
      <w:proofErr w:type="spellEnd"/>
      <w:r w:rsidRPr="00550D35">
        <w:rPr>
          <w:lang w:val="lv-LV"/>
        </w:rPr>
        <w:t xml:space="preserve"> sasniegšanai</w:t>
      </w:r>
    </w:p>
    <w:p w14:paraId="2BC019D5" w14:textId="77777777" w:rsidR="00852C3A" w:rsidRPr="00550D35" w:rsidRDefault="00852C3A" w:rsidP="00852C3A">
      <w:pPr>
        <w:shd w:val="clear" w:color="auto" w:fill="FFFFFF" w:themeFill="background1"/>
        <w:ind w:firstLine="426"/>
        <w:rPr>
          <w:lang w:val="lv-LV"/>
        </w:rPr>
      </w:pPr>
      <w:r w:rsidRPr="00550D35">
        <w:rPr>
          <w:lang w:val="lv-LV"/>
        </w:rPr>
        <w:t>LU MII, LU CFI, IZM, EM, VASES, SIA “</w:t>
      </w:r>
      <w:proofErr w:type="spellStart"/>
      <w:r w:rsidRPr="00550D35">
        <w:rPr>
          <w:lang w:val="lv-LV"/>
        </w:rPr>
        <w:t>Tet</w:t>
      </w:r>
      <w:proofErr w:type="spellEnd"/>
      <w:r w:rsidRPr="00550D35">
        <w:rPr>
          <w:lang w:val="lv-LV"/>
        </w:rPr>
        <w:t>”, SIA “</w:t>
      </w:r>
      <w:proofErr w:type="spellStart"/>
      <w:r w:rsidRPr="00550D35">
        <w:rPr>
          <w:lang w:val="lv-LV"/>
        </w:rPr>
        <w:t>MikroTik</w:t>
      </w:r>
      <w:proofErr w:type="spellEnd"/>
      <w:r w:rsidRPr="00550D35">
        <w:rPr>
          <w:lang w:val="lv-LV"/>
        </w:rPr>
        <w:t>”, Latvijas Darba devēju konfederācija, RTU, Liepājas speciālās ekonomiskās zonas pārvalde un SIA “LMT” 2022. gadā parakstīja saprašanās memorandu Latvijas spēju attīstībai elektronikai nepieciešamo mikroshēmu ražošanai. Ar Memorandu nosaka sadarbību, ko paredzēts īstenot trīs galvenajos virzienos: 1) pusvadītāju ekosistēmas attīstībā, 2) izglītības un pētniecības iespēju attīstībā, 3) kā arī mikroshēmu izstrādes attīstīšanā un ražošanā Latvijā.</w:t>
      </w:r>
    </w:p>
    <w:p w14:paraId="03ABC3BE" w14:textId="77777777" w:rsidR="00852C3A" w:rsidRPr="00550D35" w:rsidRDefault="00852C3A" w:rsidP="00852C3A">
      <w:pPr>
        <w:shd w:val="clear" w:color="auto" w:fill="FFFFFF" w:themeFill="background1"/>
        <w:ind w:firstLine="426"/>
        <w:rPr>
          <w:lang w:val="lv-LV"/>
        </w:rPr>
      </w:pPr>
      <w:r w:rsidRPr="00550D35">
        <w:rPr>
          <w:lang w:val="lv-LV"/>
        </w:rPr>
        <w:t>NAP2027 un NIP2027 paredz, ka valstij ir jāveido viedās industrializācijas procesi un jāatjauno augstas pievienotās vērtības tehnoloģiju ražotnes.</w:t>
      </w:r>
    </w:p>
    <w:p w14:paraId="6F810ED0" w14:textId="77777777" w:rsidR="00852C3A" w:rsidRPr="00550D35" w:rsidRDefault="00852C3A" w:rsidP="00852C3A">
      <w:pPr>
        <w:shd w:val="clear" w:color="auto" w:fill="FFFFFF" w:themeFill="background1"/>
        <w:ind w:firstLine="426"/>
        <w:rPr>
          <w:lang w:val="lv-LV"/>
        </w:rPr>
      </w:pPr>
      <w:r w:rsidRPr="00550D35">
        <w:rPr>
          <w:lang w:val="lv-LV"/>
        </w:rPr>
        <w:t xml:space="preserve">NIP2027, kurās definētas nākamo septiņu gadu tautsaimniecības attīstības prioritātes, t.sk. inovāciju jomā, tostarp definējot Latvijas Viedās specializācijas stratēģijas jomas un viedās specializācijas stratēģijas ieviešanas modeli. NIP2027 mērķis ir palielināt eksporta apjomu līdz 22 mljrd. </w:t>
      </w:r>
      <w:proofErr w:type="spellStart"/>
      <w:r w:rsidRPr="00550D35">
        <w:rPr>
          <w:i/>
          <w:lang w:val="lv-LV"/>
        </w:rPr>
        <w:t>euro</w:t>
      </w:r>
      <w:proofErr w:type="spellEnd"/>
      <w:r w:rsidRPr="00550D35">
        <w:rPr>
          <w:lang w:val="lv-LV"/>
        </w:rPr>
        <w:t xml:space="preserve"> 2023. gadā un līdz 27 mljrd. </w:t>
      </w:r>
      <w:proofErr w:type="spellStart"/>
      <w:r w:rsidRPr="00550D35">
        <w:rPr>
          <w:i/>
          <w:lang w:val="lv-LV"/>
        </w:rPr>
        <w:t>euro</w:t>
      </w:r>
      <w:proofErr w:type="spellEnd"/>
      <w:r w:rsidRPr="00550D35">
        <w:rPr>
          <w:lang w:val="lv-LV"/>
        </w:rPr>
        <w:t xml:space="preserve"> 2027. gadā un </w:t>
      </w:r>
      <w:proofErr w:type="spellStart"/>
      <w:r w:rsidRPr="00550D35">
        <w:rPr>
          <w:lang w:val="lv-LV"/>
        </w:rPr>
        <w:t>apakšmērķis</w:t>
      </w:r>
      <w:proofErr w:type="spellEnd"/>
      <w:r w:rsidRPr="00550D35">
        <w:rPr>
          <w:lang w:val="lv-LV"/>
        </w:rPr>
        <w:t xml:space="preserve"> – palielināt izdevumu apjomu pētniecībai un attīstībai līdz 300,0 milj. </w:t>
      </w:r>
      <w:proofErr w:type="spellStart"/>
      <w:r w:rsidRPr="00550D35">
        <w:rPr>
          <w:i/>
          <w:lang w:val="lv-LV"/>
        </w:rPr>
        <w:t>euro</w:t>
      </w:r>
      <w:proofErr w:type="spellEnd"/>
      <w:r w:rsidRPr="00550D35">
        <w:rPr>
          <w:lang w:val="lv-LV"/>
        </w:rPr>
        <w:t xml:space="preserve"> 2023. gadā un līdz 600,0 milj. </w:t>
      </w:r>
      <w:proofErr w:type="spellStart"/>
      <w:r w:rsidRPr="00550D35">
        <w:rPr>
          <w:i/>
          <w:lang w:val="lv-LV"/>
        </w:rPr>
        <w:t>euro</w:t>
      </w:r>
      <w:proofErr w:type="spellEnd"/>
      <w:r w:rsidRPr="00550D35">
        <w:rPr>
          <w:lang w:val="lv-LV"/>
        </w:rPr>
        <w:t xml:space="preserve"> 2027. gadā. NIP2027 ietver rīcības virzienu “Inovācijas” (jauni produkti, tehnoloģijas, t.sk. kuru darbībā svarīgi ir pusvadītāji un mikroshēmas.</w:t>
      </w:r>
    </w:p>
    <w:p w14:paraId="452223A5" w14:textId="77777777" w:rsidR="00852C3A" w:rsidRPr="00550D35" w:rsidRDefault="00852C3A" w:rsidP="00852C3A">
      <w:pPr>
        <w:shd w:val="clear" w:color="auto" w:fill="FFFFFF" w:themeFill="background1"/>
        <w:ind w:firstLine="426"/>
        <w:rPr>
          <w:lang w:val="lv-LV"/>
        </w:rPr>
      </w:pPr>
      <w:r w:rsidRPr="00550D35">
        <w:rPr>
          <w:lang w:val="lv-LV"/>
        </w:rPr>
        <w:t>Viedās specializācijas stratēģija ir nacionāla mēroga pētniecības un inovācijas stratēģija tautsaimniecības transformācijai uz augstāku pievienoto vērtību un lielāku resursu izmantošanas efektivitāti, tā ietver jomas – “</w:t>
      </w:r>
      <w:proofErr w:type="spellStart"/>
      <w:r w:rsidRPr="00550D35">
        <w:rPr>
          <w:lang w:val="lv-LV"/>
        </w:rPr>
        <w:t>Fotonika</w:t>
      </w:r>
      <w:proofErr w:type="spellEnd"/>
      <w:r w:rsidRPr="00550D35">
        <w:rPr>
          <w:lang w:val="lv-LV"/>
        </w:rPr>
        <w:t xml:space="preserve"> un viedie materiāli, tehnoloģijas un </w:t>
      </w:r>
      <w:proofErr w:type="spellStart"/>
      <w:r w:rsidRPr="00550D35">
        <w:rPr>
          <w:lang w:val="lv-LV"/>
        </w:rPr>
        <w:t>inženiersistēmas</w:t>
      </w:r>
      <w:proofErr w:type="spellEnd"/>
      <w:r w:rsidRPr="00550D35">
        <w:rPr>
          <w:lang w:val="lv-LV"/>
        </w:rPr>
        <w:t>” un “Informācijas un komunikācijas tehnoloģijas”, kas ir cieši saistītas ar Latvijas konkurētspējas priekšrocību radīšanu mikroshēmu, pusvadītāju un elektronisko integrālo shēmu attīstīšanā.</w:t>
      </w:r>
    </w:p>
    <w:p w14:paraId="49BE41F0" w14:textId="77777777" w:rsidR="00852C3A" w:rsidRPr="00550D35" w:rsidRDefault="00852C3A" w:rsidP="00852C3A">
      <w:pPr>
        <w:shd w:val="clear" w:color="auto" w:fill="FFFFFF" w:themeFill="background1"/>
        <w:ind w:firstLine="426"/>
        <w:rPr>
          <w:lang w:val="lv-LV"/>
        </w:rPr>
      </w:pPr>
      <w:r w:rsidRPr="00550D35">
        <w:rPr>
          <w:lang w:val="lv-LV"/>
        </w:rPr>
        <w:t xml:space="preserve">Latvijā ir izstrādāts Inovatīvas uzņēmējdarbības un prioritāro investīciju atbalsta likumprojekts ar mērķi palielināt ilgtspējīgu un sociāli atbildīgu investīciju piesaisti un eksportspēju prioritārajās jomās, veicinot tautsaimniecības konkurētspēju. Likumprojekts paredz, ka tiesiskais regulējums attieksies uz prioritāro investīciju projektiem, kas veicina investīciju piesaisti, eksportspēju vai inovāciju attīstību jomās, kas tiek īstenotas attīstības </w:t>
      </w:r>
      <w:r w:rsidRPr="00550D35">
        <w:rPr>
          <w:lang w:val="lv-LV"/>
        </w:rPr>
        <w:lastRenderedPageBreak/>
        <w:t>plānošanas dokumentos, nacionālās industriālās politikas vai digitālās transformācijas politikas ietvarā noteikto mērķu sasniegšanai.</w:t>
      </w:r>
    </w:p>
    <w:p w14:paraId="5224CC3E" w14:textId="5FFF113D" w:rsidR="00AF2CE7" w:rsidRDefault="00852C3A" w:rsidP="00AF2CE7">
      <w:pPr>
        <w:shd w:val="clear" w:color="auto" w:fill="FFFFFF" w:themeFill="background1"/>
        <w:ind w:firstLine="426"/>
        <w:rPr>
          <w:rStyle w:val="ui-provider"/>
          <w:lang w:val="lv-LV"/>
        </w:rPr>
      </w:pPr>
      <w:r w:rsidRPr="00550D35">
        <w:rPr>
          <w:lang w:val="lv-LV"/>
        </w:rPr>
        <w:t xml:space="preserve">Saistībā ar iepriekš minēto Latvijā ir izstrādāti “Noteikumi par aizdevumiem ar kapitāla atlaidi investīciju projektiem komersantiem konkurētspējas veicināšanai”, lai uzlabotu Latvijas konkurētspējas priekšrocību radīšanu mikroshēmu, pusvadītāju un elektronisko integrālo shēmu attīstīšanā un sniegtu ieguldījumu </w:t>
      </w:r>
      <w:r w:rsidR="00CA0081" w:rsidRPr="00550D35">
        <w:rPr>
          <w:lang w:val="lv-LV"/>
        </w:rPr>
        <w:t>Digitālās</w:t>
      </w:r>
      <w:r w:rsidRPr="00550D35">
        <w:rPr>
          <w:lang w:val="lv-LV"/>
        </w:rPr>
        <w:t xml:space="preserve"> dekādes mērķa sasniegšanā attiecībā uz </w:t>
      </w:r>
      <w:proofErr w:type="spellStart"/>
      <w:r w:rsidRPr="00550D35">
        <w:rPr>
          <w:lang w:val="lv-LV"/>
        </w:rPr>
        <w:t>mērķrādītāju</w:t>
      </w:r>
      <w:proofErr w:type="spellEnd"/>
      <w:r w:rsidRPr="00550D35">
        <w:rPr>
          <w:lang w:val="lv-LV"/>
        </w:rPr>
        <w:t xml:space="preserve"> “pusvadītāji”.</w:t>
      </w:r>
    </w:p>
    <w:p w14:paraId="600EE545" w14:textId="1DE2C858" w:rsidR="00AF2CE7" w:rsidRPr="00550D35" w:rsidRDefault="00AF2CE7" w:rsidP="00832C5F">
      <w:pPr>
        <w:shd w:val="clear" w:color="auto" w:fill="FFFFFF" w:themeFill="background1"/>
        <w:ind w:firstLine="426"/>
        <w:rPr>
          <w:lang w:val="lv-LV"/>
        </w:rPr>
      </w:pPr>
      <w:r w:rsidRPr="007D6336">
        <w:rPr>
          <w:rStyle w:val="ui-provider"/>
          <w:lang w:val="lv-LV"/>
        </w:rPr>
        <w:t xml:space="preserve">Ar nolūku nodrošināt Latvijas iespēju paaugstināšana pusvadītāju tehnoloģiju attīstības jomā, stiprinot inovācijas, investīcijas, zinātni un pētniecību, t.sk. pētniecības infrastruktūru, augsti kvalificētu speciālistu pieejamību pusvadītāju jomā un veicinot sadarbību starp valsts, zinātnes un uzņēmējdarbības sektoriem, </w:t>
      </w:r>
      <w:r w:rsidR="00832C5F">
        <w:rPr>
          <w:rStyle w:val="ui-provider"/>
          <w:lang w:val="lv-LV"/>
        </w:rPr>
        <w:t>EM</w:t>
      </w:r>
      <w:r w:rsidRPr="007D6336">
        <w:rPr>
          <w:rStyle w:val="ui-provider"/>
          <w:lang w:val="lv-LV"/>
        </w:rPr>
        <w:t xml:space="preserve"> līdz 2024. gada 1.</w:t>
      </w:r>
      <w:r w:rsidR="00832C5F">
        <w:rPr>
          <w:rStyle w:val="ui-provider"/>
          <w:lang w:val="lv-LV"/>
        </w:rPr>
        <w:t> </w:t>
      </w:r>
      <w:r w:rsidRPr="007D6336">
        <w:rPr>
          <w:rStyle w:val="ui-provider"/>
          <w:lang w:val="lv-LV"/>
        </w:rPr>
        <w:t xml:space="preserve">jūlijam sagatavos un iesniegs </w:t>
      </w:r>
      <w:r w:rsidR="00BD6167">
        <w:rPr>
          <w:rStyle w:val="ui-provider"/>
          <w:lang w:val="lv-LV"/>
        </w:rPr>
        <w:t xml:space="preserve">MK </w:t>
      </w:r>
      <w:r w:rsidRPr="007D6336">
        <w:rPr>
          <w:rStyle w:val="ui-provider"/>
          <w:lang w:val="lv-LV"/>
        </w:rPr>
        <w:t xml:space="preserve">ar ieinteresētajām pusēm saskaņotu ziņojumu. Ziņojums apkopos Latvijas ekonomiskos un konkurētspējas ieguvumus no Latvijas iesaistes pusvadītāju aktivitātēs un identificēs pasākumu kopumu Latvijas iespējām pusvadītāju jomā vidējā termiņā, tai skaitā iekļaujot pārskatu par augsti kvalificētu ekspertu pieejamību, infrastruktūras ietekmi uz inovatīvo produktu attīstību, investīcijām, kā arī identificējot finansējuma avotus pusvadītāju piegādes/vērtību ķēdes pasākumu realizācijai vismaz 5 gadu periodā. Tāpat ziņojumā tiktu iekļauti konkrēti pasākumi sadarbības paplašināšanai pusvadītāju jomā bilateriālās un </w:t>
      </w:r>
      <w:proofErr w:type="spellStart"/>
      <w:r w:rsidRPr="007D6336">
        <w:rPr>
          <w:rStyle w:val="ui-provider"/>
          <w:lang w:val="lv-LV"/>
        </w:rPr>
        <w:t>multilateriālās</w:t>
      </w:r>
      <w:proofErr w:type="spellEnd"/>
      <w:r w:rsidRPr="007D6336">
        <w:rPr>
          <w:rStyle w:val="ui-provider"/>
          <w:lang w:val="lv-LV"/>
        </w:rPr>
        <w:t xml:space="preserve"> pētniecības programmās ar pasaules vadošajām valstīm pusvadītāju augsto tehnoloģiju jomā.</w:t>
      </w:r>
    </w:p>
    <w:p w14:paraId="18361CCF" w14:textId="77777777" w:rsidR="00852C3A" w:rsidRPr="00550D35" w:rsidRDefault="00852C3A" w:rsidP="00852C3A">
      <w:pPr>
        <w:pStyle w:val="Text2"/>
        <w:rPr>
          <w:lang w:val="lv-LV"/>
        </w:rPr>
      </w:pPr>
    </w:p>
    <w:p w14:paraId="6EFBF994" w14:textId="77777777" w:rsidR="00852C3A" w:rsidRPr="00550D35" w:rsidRDefault="00852C3A" w:rsidP="00852C3A">
      <w:pPr>
        <w:pStyle w:val="Heading3"/>
        <w:ind w:left="0" w:firstLine="0"/>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53A28E70" w14:textId="77777777" w:rsidR="00852C3A" w:rsidRPr="00D857FC" w:rsidRDefault="00852C3A" w:rsidP="00852C3A">
      <w:pPr>
        <w:spacing w:before="0" w:after="160" w:line="259" w:lineRule="auto"/>
        <w:ind w:firstLine="0"/>
        <w:contextualSpacing/>
        <w:jc w:val="left"/>
        <w:rPr>
          <w:b/>
          <w:bCs/>
          <w:lang w:val="lv-LV"/>
        </w:rPr>
      </w:pPr>
      <w:r w:rsidRPr="00D857FC">
        <w:rPr>
          <w:b/>
          <w:bCs/>
          <w:lang w:val="lv-LV"/>
        </w:rPr>
        <w:t>Kopējais laika ietvars:</w:t>
      </w:r>
    </w:p>
    <w:tbl>
      <w:tblPr>
        <w:tblStyle w:val="TableGrid"/>
        <w:tblW w:w="5000" w:type="pct"/>
        <w:tblLook w:val="04A0" w:firstRow="1" w:lastRow="0" w:firstColumn="1" w:lastColumn="0" w:noHBand="0" w:noVBand="1"/>
      </w:tblPr>
      <w:tblGrid>
        <w:gridCol w:w="2264"/>
        <w:gridCol w:w="916"/>
        <w:gridCol w:w="816"/>
        <w:gridCol w:w="678"/>
        <w:gridCol w:w="678"/>
        <w:gridCol w:w="807"/>
        <w:gridCol w:w="678"/>
        <w:gridCol w:w="1095"/>
        <w:gridCol w:w="675"/>
      </w:tblGrid>
      <w:tr w:rsidR="00852C3A" w:rsidRPr="00550D35" w14:paraId="75143E82" w14:textId="77777777" w:rsidTr="00BA62A0">
        <w:tc>
          <w:tcPr>
            <w:tcW w:w="1315" w:type="pct"/>
            <w:shd w:val="clear" w:color="auto" w:fill="auto"/>
          </w:tcPr>
          <w:p w14:paraId="1E3F3947" w14:textId="77777777" w:rsidR="00852C3A" w:rsidRPr="00550D35" w:rsidRDefault="00852C3A" w:rsidP="00BA62A0">
            <w:pPr>
              <w:spacing w:before="0" w:after="0"/>
              <w:ind w:firstLine="0"/>
              <w:jc w:val="left"/>
              <w:rPr>
                <w:sz w:val="20"/>
                <w:lang w:val="lv-LV"/>
              </w:rPr>
            </w:pPr>
          </w:p>
        </w:tc>
        <w:tc>
          <w:tcPr>
            <w:tcW w:w="532" w:type="pct"/>
          </w:tcPr>
          <w:p w14:paraId="7A85236B" w14:textId="77777777" w:rsidR="00852C3A" w:rsidRPr="00550D35" w:rsidRDefault="00852C3A" w:rsidP="00BA62A0">
            <w:pPr>
              <w:spacing w:before="0" w:after="0"/>
              <w:ind w:firstLine="0"/>
              <w:rPr>
                <w:sz w:val="20"/>
                <w:lang w:val="lv-LV"/>
              </w:rPr>
            </w:pPr>
            <w:r w:rsidRPr="00550D35">
              <w:rPr>
                <w:sz w:val="20"/>
                <w:lang w:val="lv-LV"/>
              </w:rPr>
              <w:t>2023</w:t>
            </w:r>
          </w:p>
        </w:tc>
        <w:tc>
          <w:tcPr>
            <w:tcW w:w="474" w:type="pct"/>
          </w:tcPr>
          <w:p w14:paraId="60ACBCC6" w14:textId="77777777" w:rsidR="00852C3A" w:rsidRPr="00550D35" w:rsidRDefault="00852C3A" w:rsidP="00BA62A0">
            <w:pPr>
              <w:spacing w:before="0" w:after="0"/>
              <w:ind w:firstLine="0"/>
              <w:rPr>
                <w:sz w:val="20"/>
                <w:lang w:val="lv-LV"/>
              </w:rPr>
            </w:pPr>
            <w:r w:rsidRPr="00550D35">
              <w:rPr>
                <w:sz w:val="20"/>
                <w:lang w:val="lv-LV"/>
              </w:rPr>
              <w:t>2024</w:t>
            </w:r>
          </w:p>
        </w:tc>
        <w:tc>
          <w:tcPr>
            <w:tcW w:w="394" w:type="pct"/>
          </w:tcPr>
          <w:p w14:paraId="5DD2F057" w14:textId="77777777" w:rsidR="00852C3A" w:rsidRPr="00550D35" w:rsidRDefault="00852C3A" w:rsidP="00BA62A0">
            <w:pPr>
              <w:spacing w:before="0" w:after="0"/>
              <w:ind w:firstLine="0"/>
              <w:rPr>
                <w:sz w:val="20"/>
                <w:lang w:val="lv-LV"/>
              </w:rPr>
            </w:pPr>
            <w:r w:rsidRPr="00550D35">
              <w:rPr>
                <w:sz w:val="20"/>
                <w:lang w:val="lv-LV"/>
              </w:rPr>
              <w:t>2025</w:t>
            </w:r>
          </w:p>
        </w:tc>
        <w:tc>
          <w:tcPr>
            <w:tcW w:w="394" w:type="pct"/>
          </w:tcPr>
          <w:p w14:paraId="005B0F7A" w14:textId="77777777" w:rsidR="00852C3A" w:rsidRPr="00550D35" w:rsidRDefault="00852C3A" w:rsidP="00BA62A0">
            <w:pPr>
              <w:spacing w:before="0" w:after="0"/>
              <w:ind w:firstLine="0"/>
              <w:rPr>
                <w:sz w:val="20"/>
                <w:lang w:val="lv-LV"/>
              </w:rPr>
            </w:pPr>
            <w:r w:rsidRPr="00550D35">
              <w:rPr>
                <w:sz w:val="20"/>
                <w:lang w:val="lv-LV"/>
              </w:rPr>
              <w:t>2026</w:t>
            </w:r>
          </w:p>
        </w:tc>
        <w:tc>
          <w:tcPr>
            <w:tcW w:w="469" w:type="pct"/>
          </w:tcPr>
          <w:p w14:paraId="406D74F1" w14:textId="77777777" w:rsidR="00852C3A" w:rsidRPr="00550D35" w:rsidRDefault="00852C3A" w:rsidP="00BA62A0">
            <w:pPr>
              <w:spacing w:before="0" w:after="0"/>
              <w:ind w:firstLine="0"/>
              <w:rPr>
                <w:sz w:val="20"/>
                <w:lang w:val="lv-LV"/>
              </w:rPr>
            </w:pPr>
            <w:r w:rsidRPr="00550D35">
              <w:rPr>
                <w:sz w:val="20"/>
                <w:lang w:val="lv-LV"/>
              </w:rPr>
              <w:t>2027</w:t>
            </w:r>
          </w:p>
        </w:tc>
        <w:tc>
          <w:tcPr>
            <w:tcW w:w="394" w:type="pct"/>
          </w:tcPr>
          <w:p w14:paraId="422C0F2E" w14:textId="77777777" w:rsidR="00852C3A" w:rsidRPr="00550D35" w:rsidRDefault="00852C3A" w:rsidP="00BA62A0">
            <w:pPr>
              <w:spacing w:before="0" w:after="0"/>
              <w:ind w:firstLine="0"/>
              <w:rPr>
                <w:sz w:val="20"/>
                <w:lang w:val="lv-LV"/>
              </w:rPr>
            </w:pPr>
            <w:r w:rsidRPr="00550D35">
              <w:rPr>
                <w:sz w:val="20"/>
                <w:lang w:val="lv-LV"/>
              </w:rPr>
              <w:t>2028</w:t>
            </w:r>
          </w:p>
        </w:tc>
        <w:tc>
          <w:tcPr>
            <w:tcW w:w="636" w:type="pct"/>
          </w:tcPr>
          <w:p w14:paraId="2F4F2078" w14:textId="77777777" w:rsidR="00852C3A" w:rsidRPr="00550D35" w:rsidRDefault="00852C3A" w:rsidP="00BA62A0">
            <w:pPr>
              <w:spacing w:before="0" w:after="0"/>
              <w:ind w:firstLine="0"/>
              <w:rPr>
                <w:sz w:val="20"/>
                <w:lang w:val="lv-LV"/>
              </w:rPr>
            </w:pPr>
            <w:r w:rsidRPr="00550D35">
              <w:rPr>
                <w:sz w:val="20"/>
                <w:lang w:val="lv-LV"/>
              </w:rPr>
              <w:t>2029</w:t>
            </w:r>
          </w:p>
        </w:tc>
        <w:tc>
          <w:tcPr>
            <w:tcW w:w="392" w:type="pct"/>
          </w:tcPr>
          <w:p w14:paraId="099D5D62" w14:textId="77777777" w:rsidR="00852C3A" w:rsidRPr="00550D35" w:rsidRDefault="00852C3A" w:rsidP="00BA62A0">
            <w:pPr>
              <w:spacing w:before="0" w:after="0"/>
              <w:ind w:firstLine="0"/>
              <w:rPr>
                <w:sz w:val="20"/>
                <w:lang w:val="lv-LV"/>
              </w:rPr>
            </w:pPr>
            <w:r w:rsidRPr="00550D35">
              <w:rPr>
                <w:sz w:val="20"/>
                <w:lang w:val="lv-LV"/>
              </w:rPr>
              <w:t>2030</w:t>
            </w:r>
          </w:p>
        </w:tc>
      </w:tr>
      <w:tr w:rsidR="00852C3A" w:rsidRPr="00550D35" w14:paraId="65CBADAE" w14:textId="77777777" w:rsidTr="00BA62A0">
        <w:tc>
          <w:tcPr>
            <w:tcW w:w="5000" w:type="pct"/>
            <w:gridSpan w:val="9"/>
            <w:shd w:val="clear" w:color="auto" w:fill="BFBFBF" w:themeFill="background1" w:themeFillShade="BF"/>
          </w:tcPr>
          <w:p w14:paraId="24AEED20" w14:textId="77777777" w:rsidR="00852C3A" w:rsidRPr="00550D35" w:rsidRDefault="00852C3A" w:rsidP="00BA62A0">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852C3A" w:rsidRPr="008A1BF8" w14:paraId="2E71A46A" w14:textId="77777777" w:rsidTr="00BA62A0">
        <w:tc>
          <w:tcPr>
            <w:tcW w:w="1315" w:type="pct"/>
          </w:tcPr>
          <w:p w14:paraId="51D2C9DF" w14:textId="77777777" w:rsidR="00852C3A" w:rsidRPr="00550D35" w:rsidRDefault="00852C3A" w:rsidP="00BA62A0">
            <w:pPr>
              <w:ind w:firstLine="0"/>
              <w:rPr>
                <w:sz w:val="20"/>
                <w:lang w:val="lv-LV"/>
              </w:rPr>
            </w:pPr>
            <w:r w:rsidRPr="00550D35">
              <w:rPr>
                <w:sz w:val="20"/>
                <w:lang w:val="lv-LV"/>
              </w:rPr>
              <w:t xml:space="preserve">Pasākums Nr.1 </w:t>
            </w:r>
          </w:p>
          <w:p w14:paraId="1E974BCD" w14:textId="77777777" w:rsidR="00852C3A" w:rsidRPr="008D400A" w:rsidRDefault="00852C3A" w:rsidP="00BA62A0">
            <w:pPr>
              <w:ind w:firstLine="0"/>
              <w:rPr>
                <w:b/>
                <w:bCs/>
                <w:sz w:val="20"/>
                <w:lang w:val="lv-LV"/>
              </w:rPr>
            </w:pPr>
            <w:r w:rsidRPr="008D400A">
              <w:rPr>
                <w:b/>
                <w:bCs/>
                <w:sz w:val="20"/>
                <w:lang w:val="lv-LV"/>
              </w:rPr>
              <w:t>Saprašanās memorands Latvijas spēju attīstībai elektronikas ražošanai nepieciešamo mikroshēmu piegādes ķēdē, rīcības virzienu attīstīšana</w:t>
            </w:r>
          </w:p>
          <w:p w14:paraId="2D43BE82" w14:textId="77777777" w:rsidR="00852C3A" w:rsidRPr="00550D35" w:rsidRDefault="00852C3A" w:rsidP="00BA62A0">
            <w:pPr>
              <w:ind w:firstLine="0"/>
              <w:rPr>
                <w:sz w:val="20"/>
                <w:lang w:val="lv-LV"/>
              </w:rPr>
            </w:pPr>
            <w:r w:rsidRPr="00582188">
              <w:rPr>
                <w:sz w:val="20"/>
                <w:lang w:val="lv-LV"/>
              </w:rPr>
              <w:t>Finansējuma avots:</w:t>
            </w:r>
            <w:r w:rsidRPr="004927B8">
              <w:rPr>
                <w:sz w:val="20"/>
                <w:lang w:val="lv-LV"/>
              </w:rPr>
              <w:t xml:space="preserve"> </w:t>
            </w:r>
            <w:r w:rsidRPr="009467E3">
              <w:rPr>
                <w:sz w:val="20"/>
                <w:lang w:val="lv-LV"/>
              </w:rPr>
              <w:t>Finansējums nav p</w:t>
            </w:r>
            <w:r>
              <w:rPr>
                <w:sz w:val="20"/>
                <w:lang w:val="lv-LV"/>
              </w:rPr>
              <w:t>lāno</w:t>
            </w:r>
            <w:r w:rsidRPr="009467E3">
              <w:rPr>
                <w:sz w:val="20"/>
                <w:lang w:val="lv-LV"/>
              </w:rPr>
              <w:t>ts</w:t>
            </w:r>
            <w:r w:rsidRPr="00550D35">
              <w:rPr>
                <w:sz w:val="20"/>
                <w:lang w:val="lv-LV"/>
              </w:rPr>
              <w:t xml:space="preserve"> </w:t>
            </w:r>
          </w:p>
        </w:tc>
        <w:tc>
          <w:tcPr>
            <w:tcW w:w="532" w:type="pct"/>
            <w:shd w:val="clear" w:color="auto" w:fill="70AD47" w:themeFill="accent6"/>
          </w:tcPr>
          <w:p w14:paraId="1AF03C33" w14:textId="77777777" w:rsidR="00852C3A" w:rsidRPr="00550D35" w:rsidRDefault="00852C3A" w:rsidP="00BA62A0">
            <w:pPr>
              <w:spacing w:before="0" w:after="0"/>
              <w:rPr>
                <w:sz w:val="20"/>
                <w:lang w:val="lv-LV"/>
              </w:rPr>
            </w:pPr>
          </w:p>
        </w:tc>
        <w:tc>
          <w:tcPr>
            <w:tcW w:w="474" w:type="pct"/>
            <w:shd w:val="clear" w:color="auto" w:fill="70AD47" w:themeFill="accent6"/>
          </w:tcPr>
          <w:p w14:paraId="0D422222" w14:textId="77777777" w:rsidR="00852C3A" w:rsidRPr="00550D35" w:rsidRDefault="00852C3A" w:rsidP="00BA62A0">
            <w:pPr>
              <w:spacing w:before="0" w:after="0"/>
              <w:rPr>
                <w:sz w:val="20"/>
                <w:lang w:val="lv-LV"/>
              </w:rPr>
            </w:pPr>
          </w:p>
        </w:tc>
        <w:tc>
          <w:tcPr>
            <w:tcW w:w="394" w:type="pct"/>
            <w:shd w:val="clear" w:color="auto" w:fill="70AD47" w:themeFill="accent6"/>
          </w:tcPr>
          <w:p w14:paraId="3D242F45" w14:textId="77777777" w:rsidR="00852C3A" w:rsidRPr="00550D35" w:rsidRDefault="00852C3A" w:rsidP="00BA62A0">
            <w:pPr>
              <w:spacing w:before="0" w:after="0"/>
              <w:rPr>
                <w:sz w:val="20"/>
                <w:lang w:val="lv-LV"/>
              </w:rPr>
            </w:pPr>
          </w:p>
        </w:tc>
        <w:tc>
          <w:tcPr>
            <w:tcW w:w="394" w:type="pct"/>
            <w:shd w:val="clear" w:color="auto" w:fill="70AD47" w:themeFill="accent6"/>
          </w:tcPr>
          <w:p w14:paraId="30363765" w14:textId="77777777" w:rsidR="00852C3A" w:rsidRPr="00550D35" w:rsidRDefault="00852C3A" w:rsidP="00BA62A0">
            <w:pPr>
              <w:spacing w:before="0" w:after="0"/>
              <w:rPr>
                <w:sz w:val="20"/>
                <w:lang w:val="lv-LV"/>
              </w:rPr>
            </w:pPr>
          </w:p>
        </w:tc>
        <w:tc>
          <w:tcPr>
            <w:tcW w:w="469" w:type="pct"/>
            <w:shd w:val="clear" w:color="auto" w:fill="70AD47" w:themeFill="accent6"/>
          </w:tcPr>
          <w:p w14:paraId="2AF7E28D" w14:textId="77777777" w:rsidR="00852C3A" w:rsidRPr="00550D35" w:rsidRDefault="00852C3A" w:rsidP="00BA62A0">
            <w:pPr>
              <w:spacing w:before="0" w:after="0"/>
              <w:rPr>
                <w:sz w:val="20"/>
                <w:lang w:val="lv-LV"/>
              </w:rPr>
            </w:pPr>
          </w:p>
        </w:tc>
        <w:tc>
          <w:tcPr>
            <w:tcW w:w="394" w:type="pct"/>
            <w:shd w:val="clear" w:color="auto" w:fill="70AD47" w:themeFill="accent6"/>
          </w:tcPr>
          <w:p w14:paraId="02BB124B" w14:textId="77777777" w:rsidR="00852C3A" w:rsidRPr="00550D35" w:rsidRDefault="00852C3A" w:rsidP="00BA62A0">
            <w:pPr>
              <w:spacing w:before="0" w:after="0"/>
              <w:rPr>
                <w:sz w:val="20"/>
                <w:lang w:val="lv-LV"/>
              </w:rPr>
            </w:pPr>
          </w:p>
        </w:tc>
        <w:tc>
          <w:tcPr>
            <w:tcW w:w="636" w:type="pct"/>
            <w:shd w:val="clear" w:color="auto" w:fill="70AD47" w:themeFill="accent6"/>
          </w:tcPr>
          <w:p w14:paraId="5DB97D45" w14:textId="77777777" w:rsidR="00852C3A" w:rsidRPr="00550D35" w:rsidRDefault="00852C3A" w:rsidP="00BA62A0">
            <w:pPr>
              <w:spacing w:before="0" w:after="0"/>
              <w:rPr>
                <w:sz w:val="20"/>
                <w:lang w:val="lv-LV"/>
              </w:rPr>
            </w:pPr>
          </w:p>
        </w:tc>
        <w:tc>
          <w:tcPr>
            <w:tcW w:w="392" w:type="pct"/>
            <w:shd w:val="clear" w:color="auto" w:fill="70AD47" w:themeFill="accent6"/>
          </w:tcPr>
          <w:p w14:paraId="3007987C" w14:textId="77777777" w:rsidR="00852C3A" w:rsidRPr="00550D35" w:rsidRDefault="00852C3A" w:rsidP="00BA62A0">
            <w:pPr>
              <w:spacing w:before="0" w:after="0"/>
              <w:rPr>
                <w:sz w:val="20"/>
                <w:lang w:val="lv-LV"/>
              </w:rPr>
            </w:pPr>
          </w:p>
        </w:tc>
      </w:tr>
      <w:tr w:rsidR="00852C3A" w:rsidRPr="008A1BF8" w14:paraId="2DD3524C" w14:textId="77777777" w:rsidTr="00BA62A0">
        <w:tc>
          <w:tcPr>
            <w:tcW w:w="1315" w:type="pct"/>
          </w:tcPr>
          <w:p w14:paraId="58BD4867" w14:textId="77777777" w:rsidR="00852C3A" w:rsidRPr="00550D35" w:rsidRDefault="00852C3A" w:rsidP="00BA62A0">
            <w:pPr>
              <w:ind w:firstLine="0"/>
              <w:rPr>
                <w:sz w:val="20"/>
                <w:lang w:val="lv-LV"/>
              </w:rPr>
            </w:pPr>
            <w:r w:rsidRPr="00550D35">
              <w:rPr>
                <w:sz w:val="20"/>
                <w:lang w:val="lv-LV"/>
              </w:rPr>
              <w:t>Pasākums Nr.</w:t>
            </w:r>
            <w:r>
              <w:rPr>
                <w:sz w:val="20"/>
                <w:lang w:val="lv-LV"/>
              </w:rPr>
              <w:t>2</w:t>
            </w:r>
          </w:p>
          <w:p w14:paraId="708F85B6" w14:textId="77777777" w:rsidR="00852C3A" w:rsidRPr="008D400A" w:rsidRDefault="00852C3A" w:rsidP="00BA62A0">
            <w:pPr>
              <w:ind w:firstLine="0"/>
              <w:rPr>
                <w:b/>
                <w:bCs/>
                <w:sz w:val="20"/>
                <w:lang w:val="lv-LV"/>
              </w:rPr>
            </w:pPr>
            <w:r w:rsidRPr="008D400A">
              <w:rPr>
                <w:b/>
                <w:bCs/>
                <w:sz w:val="20"/>
                <w:lang w:val="lv-LV"/>
              </w:rPr>
              <w:t>Aizdevumi ar kapitāla atlaidi investīciju projektiem komersantiem konkurētspējas veicināšanai</w:t>
            </w:r>
          </w:p>
          <w:p w14:paraId="4D097F58" w14:textId="77777777" w:rsidR="00852C3A" w:rsidRPr="00550D35" w:rsidRDefault="00852C3A" w:rsidP="00BA62A0">
            <w:pPr>
              <w:ind w:firstLine="0"/>
              <w:rPr>
                <w:sz w:val="20"/>
                <w:lang w:val="lv-LV"/>
              </w:rPr>
            </w:pPr>
            <w:r w:rsidRPr="000A6E43">
              <w:rPr>
                <w:sz w:val="20"/>
                <w:lang w:val="lv-LV"/>
              </w:rPr>
              <w:t>Finansējuma avots:</w:t>
            </w:r>
            <w:r w:rsidRPr="004927B8">
              <w:rPr>
                <w:sz w:val="20"/>
                <w:lang w:val="lv-LV"/>
              </w:rPr>
              <w:t xml:space="preserve"> </w:t>
            </w:r>
            <w:r w:rsidRPr="00550D35">
              <w:rPr>
                <w:sz w:val="20"/>
                <w:lang w:val="lv-LV"/>
              </w:rPr>
              <w:t>Valsts budžet</w:t>
            </w:r>
            <w:r>
              <w:rPr>
                <w:sz w:val="20"/>
                <w:lang w:val="lv-LV"/>
              </w:rPr>
              <w:t>s</w:t>
            </w:r>
          </w:p>
        </w:tc>
        <w:tc>
          <w:tcPr>
            <w:tcW w:w="532" w:type="pct"/>
            <w:shd w:val="clear" w:color="auto" w:fill="70AD47" w:themeFill="accent6"/>
          </w:tcPr>
          <w:p w14:paraId="00671FED" w14:textId="77777777" w:rsidR="00852C3A" w:rsidRPr="00550D35" w:rsidRDefault="00852C3A" w:rsidP="00BA62A0">
            <w:pPr>
              <w:spacing w:before="0" w:after="0"/>
              <w:rPr>
                <w:sz w:val="20"/>
                <w:lang w:val="lv-LV"/>
              </w:rPr>
            </w:pPr>
          </w:p>
        </w:tc>
        <w:tc>
          <w:tcPr>
            <w:tcW w:w="474" w:type="pct"/>
            <w:shd w:val="clear" w:color="auto" w:fill="70AD47" w:themeFill="accent6"/>
          </w:tcPr>
          <w:p w14:paraId="0F40691E" w14:textId="77777777" w:rsidR="00852C3A" w:rsidRPr="00550D35" w:rsidRDefault="00852C3A" w:rsidP="00BA62A0">
            <w:pPr>
              <w:spacing w:before="0" w:after="0"/>
              <w:rPr>
                <w:sz w:val="20"/>
                <w:lang w:val="lv-LV"/>
              </w:rPr>
            </w:pPr>
          </w:p>
        </w:tc>
        <w:tc>
          <w:tcPr>
            <w:tcW w:w="394" w:type="pct"/>
            <w:shd w:val="clear" w:color="auto" w:fill="70AD47" w:themeFill="accent6"/>
          </w:tcPr>
          <w:p w14:paraId="350D6936" w14:textId="77777777" w:rsidR="00852C3A" w:rsidRPr="00550D35" w:rsidRDefault="00852C3A" w:rsidP="00BA62A0">
            <w:pPr>
              <w:spacing w:before="0" w:after="0"/>
              <w:rPr>
                <w:sz w:val="20"/>
                <w:lang w:val="lv-LV"/>
              </w:rPr>
            </w:pPr>
          </w:p>
        </w:tc>
        <w:tc>
          <w:tcPr>
            <w:tcW w:w="394" w:type="pct"/>
            <w:shd w:val="clear" w:color="auto" w:fill="70AD47" w:themeFill="accent6"/>
          </w:tcPr>
          <w:p w14:paraId="5E89FF22" w14:textId="77777777" w:rsidR="00852C3A" w:rsidRPr="00550D35" w:rsidRDefault="00852C3A" w:rsidP="00BA62A0">
            <w:pPr>
              <w:spacing w:before="0" w:after="0"/>
              <w:rPr>
                <w:sz w:val="20"/>
                <w:lang w:val="lv-LV"/>
              </w:rPr>
            </w:pPr>
          </w:p>
        </w:tc>
        <w:tc>
          <w:tcPr>
            <w:tcW w:w="469" w:type="pct"/>
            <w:shd w:val="clear" w:color="auto" w:fill="70AD47" w:themeFill="accent6"/>
          </w:tcPr>
          <w:p w14:paraId="6F0DA872" w14:textId="77777777" w:rsidR="00852C3A" w:rsidRPr="00550D35" w:rsidRDefault="00852C3A" w:rsidP="00BA62A0">
            <w:pPr>
              <w:spacing w:before="0" w:after="0"/>
              <w:rPr>
                <w:sz w:val="20"/>
                <w:lang w:val="lv-LV"/>
              </w:rPr>
            </w:pPr>
          </w:p>
        </w:tc>
        <w:tc>
          <w:tcPr>
            <w:tcW w:w="394" w:type="pct"/>
            <w:shd w:val="clear" w:color="auto" w:fill="70AD47" w:themeFill="accent6"/>
          </w:tcPr>
          <w:p w14:paraId="7A04093C" w14:textId="77777777" w:rsidR="00852C3A" w:rsidRPr="00550D35" w:rsidRDefault="00852C3A" w:rsidP="00BA62A0">
            <w:pPr>
              <w:spacing w:before="0" w:after="0"/>
              <w:rPr>
                <w:sz w:val="20"/>
                <w:lang w:val="lv-LV"/>
              </w:rPr>
            </w:pPr>
          </w:p>
        </w:tc>
        <w:tc>
          <w:tcPr>
            <w:tcW w:w="636" w:type="pct"/>
            <w:shd w:val="clear" w:color="auto" w:fill="70AD47" w:themeFill="accent6"/>
          </w:tcPr>
          <w:p w14:paraId="07E32B53" w14:textId="77777777" w:rsidR="00852C3A" w:rsidRPr="00550D35" w:rsidRDefault="00852C3A" w:rsidP="00BA62A0">
            <w:pPr>
              <w:spacing w:before="0" w:after="0"/>
              <w:rPr>
                <w:sz w:val="20"/>
                <w:lang w:val="lv-LV"/>
              </w:rPr>
            </w:pPr>
          </w:p>
        </w:tc>
        <w:tc>
          <w:tcPr>
            <w:tcW w:w="392" w:type="pct"/>
            <w:shd w:val="clear" w:color="auto" w:fill="70AD47" w:themeFill="accent6"/>
          </w:tcPr>
          <w:p w14:paraId="3101D19D" w14:textId="77777777" w:rsidR="00852C3A" w:rsidRPr="00550D35" w:rsidRDefault="00852C3A" w:rsidP="00BA62A0">
            <w:pPr>
              <w:spacing w:before="0" w:after="0"/>
              <w:rPr>
                <w:sz w:val="20"/>
                <w:lang w:val="lv-LV"/>
              </w:rPr>
            </w:pPr>
          </w:p>
        </w:tc>
      </w:tr>
      <w:tr w:rsidR="00852C3A" w:rsidRPr="008A1BF8" w14:paraId="7997B1CA" w14:textId="77777777" w:rsidTr="00BA62A0">
        <w:tc>
          <w:tcPr>
            <w:tcW w:w="1315" w:type="pct"/>
          </w:tcPr>
          <w:p w14:paraId="1F08F46B" w14:textId="77777777" w:rsidR="00852C3A" w:rsidRPr="00550D35" w:rsidRDefault="00852C3A" w:rsidP="00BA62A0">
            <w:pPr>
              <w:ind w:firstLine="0"/>
              <w:rPr>
                <w:sz w:val="20"/>
                <w:lang w:val="lv-LV"/>
              </w:rPr>
            </w:pPr>
            <w:r w:rsidRPr="00550D35">
              <w:rPr>
                <w:sz w:val="20"/>
                <w:lang w:val="lv-LV"/>
              </w:rPr>
              <w:t>Pasākums Nr.</w:t>
            </w:r>
            <w:r>
              <w:rPr>
                <w:sz w:val="20"/>
                <w:lang w:val="lv-LV"/>
              </w:rPr>
              <w:t>3</w:t>
            </w:r>
          </w:p>
          <w:p w14:paraId="3595794D" w14:textId="1390335B" w:rsidR="00852C3A" w:rsidRPr="008D400A" w:rsidRDefault="00852C3A" w:rsidP="00BA62A0">
            <w:pPr>
              <w:ind w:firstLine="0"/>
              <w:rPr>
                <w:b/>
                <w:bCs/>
                <w:sz w:val="20"/>
                <w:lang w:val="lv-LV"/>
              </w:rPr>
            </w:pPr>
            <w:r w:rsidRPr="008D400A">
              <w:rPr>
                <w:b/>
                <w:bCs/>
                <w:sz w:val="20"/>
                <w:lang w:val="lv-LV"/>
              </w:rPr>
              <w:t>Normatīvo aktu pielāgošana Eiropas Mikroshēmu akta regulas</w:t>
            </w:r>
            <w:r w:rsidRPr="008D400A">
              <w:rPr>
                <w:rStyle w:val="FootnoteReference"/>
                <w:b/>
                <w:bCs/>
                <w:sz w:val="20"/>
                <w:lang w:val="lv-LV"/>
              </w:rPr>
              <w:footnoteReference w:id="50"/>
            </w:r>
            <w:r w:rsidRPr="008D400A">
              <w:rPr>
                <w:b/>
                <w:bCs/>
                <w:sz w:val="20"/>
                <w:lang w:val="lv-LV"/>
              </w:rPr>
              <w:t xml:space="preserve"> ieviešanai Latvijā, </w:t>
            </w:r>
            <w:r w:rsidR="009C3DFC" w:rsidRPr="59906329">
              <w:rPr>
                <w:b/>
                <w:bCs/>
                <w:sz w:val="20"/>
                <w:lang w:val="lv-LV"/>
              </w:rPr>
              <w:t xml:space="preserve">deleģējot kompetenču centru </w:t>
            </w:r>
            <w:r w:rsidR="009C3DFC" w:rsidRPr="59906329">
              <w:rPr>
                <w:b/>
                <w:bCs/>
                <w:sz w:val="20"/>
                <w:lang w:val="lv-LV"/>
              </w:rPr>
              <w:lastRenderedPageBreak/>
              <w:t xml:space="preserve">kopuzņēmumam, </w:t>
            </w:r>
            <w:r w:rsidRPr="008D400A">
              <w:rPr>
                <w:b/>
                <w:bCs/>
                <w:sz w:val="20"/>
                <w:lang w:val="lv-LV"/>
              </w:rPr>
              <w:t>nosakot vienoto kontaktpunktu ziņošanai, monitoringam, brīdināšanai, ekosistēmas datubāzes veidošanas un papildināšanai, kā arī dalībai augsta līmeņa pusvadītāju ekspertu grupā.</w:t>
            </w:r>
          </w:p>
          <w:p w14:paraId="425B3CF0" w14:textId="77777777" w:rsidR="00852C3A" w:rsidRPr="00550D35" w:rsidRDefault="00852C3A" w:rsidP="00BA62A0">
            <w:pPr>
              <w:ind w:firstLine="0"/>
              <w:rPr>
                <w:sz w:val="20"/>
                <w:lang w:val="lv-LV"/>
              </w:rPr>
            </w:pPr>
            <w:r w:rsidRPr="000A6E43">
              <w:rPr>
                <w:sz w:val="20"/>
                <w:lang w:val="lv-LV"/>
              </w:rPr>
              <w:t>Finansējuma avots:</w:t>
            </w:r>
            <w:r w:rsidRPr="004927B8">
              <w:rPr>
                <w:sz w:val="20"/>
                <w:lang w:val="lv-LV"/>
              </w:rPr>
              <w:t xml:space="preserve"> </w:t>
            </w:r>
            <w:r w:rsidRPr="009467E3">
              <w:rPr>
                <w:sz w:val="20"/>
                <w:lang w:val="lv-LV"/>
              </w:rPr>
              <w:t>Finansējums nav p</w:t>
            </w:r>
            <w:r>
              <w:rPr>
                <w:sz w:val="20"/>
                <w:lang w:val="lv-LV"/>
              </w:rPr>
              <w:t>lāno</w:t>
            </w:r>
            <w:r w:rsidRPr="009467E3">
              <w:rPr>
                <w:sz w:val="20"/>
                <w:lang w:val="lv-LV"/>
              </w:rPr>
              <w:t>ts</w:t>
            </w:r>
          </w:p>
        </w:tc>
        <w:tc>
          <w:tcPr>
            <w:tcW w:w="532" w:type="pct"/>
            <w:shd w:val="clear" w:color="auto" w:fill="70AD47" w:themeFill="accent6"/>
          </w:tcPr>
          <w:p w14:paraId="413DA558" w14:textId="77777777" w:rsidR="00852C3A" w:rsidRPr="00550D35" w:rsidRDefault="00852C3A" w:rsidP="00BA62A0">
            <w:pPr>
              <w:spacing w:before="0" w:after="0"/>
              <w:rPr>
                <w:sz w:val="20"/>
                <w:lang w:val="lv-LV"/>
              </w:rPr>
            </w:pPr>
          </w:p>
        </w:tc>
        <w:tc>
          <w:tcPr>
            <w:tcW w:w="474" w:type="pct"/>
            <w:shd w:val="clear" w:color="auto" w:fill="FFFFFF" w:themeFill="background1"/>
          </w:tcPr>
          <w:p w14:paraId="74FCF8DB" w14:textId="77777777" w:rsidR="00852C3A" w:rsidRPr="00550D35" w:rsidRDefault="00852C3A" w:rsidP="00BA62A0">
            <w:pPr>
              <w:spacing w:before="0" w:after="0"/>
              <w:rPr>
                <w:sz w:val="20"/>
                <w:lang w:val="lv-LV"/>
              </w:rPr>
            </w:pPr>
          </w:p>
        </w:tc>
        <w:tc>
          <w:tcPr>
            <w:tcW w:w="394" w:type="pct"/>
            <w:shd w:val="clear" w:color="auto" w:fill="FFFFFF" w:themeFill="background1"/>
          </w:tcPr>
          <w:p w14:paraId="27E3EC3C" w14:textId="77777777" w:rsidR="00852C3A" w:rsidRPr="00550D35" w:rsidRDefault="00852C3A" w:rsidP="00BA62A0">
            <w:pPr>
              <w:spacing w:before="0" w:after="0"/>
              <w:rPr>
                <w:sz w:val="20"/>
                <w:lang w:val="lv-LV"/>
              </w:rPr>
            </w:pPr>
          </w:p>
        </w:tc>
        <w:tc>
          <w:tcPr>
            <w:tcW w:w="394" w:type="pct"/>
            <w:shd w:val="clear" w:color="auto" w:fill="FFFFFF" w:themeFill="background1"/>
          </w:tcPr>
          <w:p w14:paraId="6DEA8B3E" w14:textId="77777777" w:rsidR="00852C3A" w:rsidRPr="00550D35" w:rsidRDefault="00852C3A" w:rsidP="00BA62A0">
            <w:pPr>
              <w:spacing w:before="0" w:after="0"/>
              <w:rPr>
                <w:sz w:val="20"/>
                <w:lang w:val="lv-LV"/>
              </w:rPr>
            </w:pPr>
          </w:p>
        </w:tc>
        <w:tc>
          <w:tcPr>
            <w:tcW w:w="469" w:type="pct"/>
            <w:shd w:val="clear" w:color="auto" w:fill="FFFFFF" w:themeFill="background1"/>
          </w:tcPr>
          <w:p w14:paraId="59ECB45F" w14:textId="77777777" w:rsidR="00852C3A" w:rsidRPr="00550D35" w:rsidRDefault="00852C3A" w:rsidP="00BA62A0">
            <w:pPr>
              <w:spacing w:before="0" w:after="0"/>
              <w:rPr>
                <w:sz w:val="20"/>
                <w:lang w:val="lv-LV"/>
              </w:rPr>
            </w:pPr>
          </w:p>
        </w:tc>
        <w:tc>
          <w:tcPr>
            <w:tcW w:w="394" w:type="pct"/>
            <w:shd w:val="clear" w:color="auto" w:fill="FFFFFF" w:themeFill="background1"/>
          </w:tcPr>
          <w:p w14:paraId="68D07B3F" w14:textId="77777777" w:rsidR="00852C3A" w:rsidRPr="00550D35" w:rsidRDefault="00852C3A" w:rsidP="00BA62A0">
            <w:pPr>
              <w:spacing w:before="0" w:after="0"/>
              <w:rPr>
                <w:sz w:val="20"/>
                <w:lang w:val="lv-LV"/>
              </w:rPr>
            </w:pPr>
          </w:p>
        </w:tc>
        <w:tc>
          <w:tcPr>
            <w:tcW w:w="636" w:type="pct"/>
            <w:shd w:val="clear" w:color="auto" w:fill="FFFFFF" w:themeFill="background1"/>
          </w:tcPr>
          <w:p w14:paraId="21151ED1" w14:textId="77777777" w:rsidR="00852C3A" w:rsidRPr="00550D35" w:rsidRDefault="00852C3A" w:rsidP="00BA62A0">
            <w:pPr>
              <w:spacing w:before="0" w:after="0"/>
              <w:rPr>
                <w:sz w:val="20"/>
                <w:lang w:val="lv-LV"/>
              </w:rPr>
            </w:pPr>
          </w:p>
        </w:tc>
        <w:tc>
          <w:tcPr>
            <w:tcW w:w="392" w:type="pct"/>
            <w:shd w:val="clear" w:color="auto" w:fill="FFFFFF" w:themeFill="background1"/>
          </w:tcPr>
          <w:p w14:paraId="424C063A" w14:textId="77777777" w:rsidR="00852C3A" w:rsidRPr="00550D35" w:rsidRDefault="00852C3A" w:rsidP="00BA62A0">
            <w:pPr>
              <w:spacing w:before="0" w:after="0"/>
              <w:rPr>
                <w:sz w:val="20"/>
                <w:lang w:val="lv-LV"/>
              </w:rPr>
            </w:pPr>
          </w:p>
        </w:tc>
      </w:tr>
    </w:tbl>
    <w:p w14:paraId="4B8C809A" w14:textId="77777777" w:rsidR="00852C3A" w:rsidRDefault="00852C3A" w:rsidP="00852C3A">
      <w:pPr>
        <w:spacing w:before="0" w:after="160" w:line="259" w:lineRule="auto"/>
        <w:ind w:firstLine="0"/>
        <w:contextualSpacing/>
        <w:jc w:val="left"/>
        <w:rPr>
          <w:b/>
          <w:noProof/>
          <w:szCs w:val="24"/>
          <w:lang w:val="lv-LV"/>
        </w:rPr>
      </w:pPr>
    </w:p>
    <w:p w14:paraId="682E7546" w14:textId="77777777" w:rsidR="00852C3A" w:rsidRPr="002168E1" w:rsidRDefault="00852C3A" w:rsidP="00852C3A">
      <w:pPr>
        <w:spacing w:before="0" w:after="160" w:line="259" w:lineRule="auto"/>
        <w:ind w:firstLine="0"/>
        <w:contextualSpacing/>
        <w:jc w:val="left"/>
        <w:rPr>
          <w:szCs w:val="24"/>
          <w:lang w:val="lv-LV"/>
        </w:rPr>
      </w:pPr>
      <w:r w:rsidRPr="00707D93">
        <w:rPr>
          <w:b/>
          <w:noProof/>
          <w:szCs w:val="24"/>
          <w:lang w:val="lv-LV"/>
        </w:rPr>
        <w:t xml:space="preserve">Visu to pasākumu budžets, kurus var attiecināt uz mērķrādītāju </w:t>
      </w:r>
    </w:p>
    <w:p w14:paraId="5955FCC2" w14:textId="77777777" w:rsidR="00852C3A" w:rsidRPr="00550D35" w:rsidRDefault="00852C3A" w:rsidP="00852C3A">
      <w:pPr>
        <w:ind w:firstLine="1276"/>
        <w:rPr>
          <w:lang w:val="lv-LV"/>
        </w:rPr>
      </w:pPr>
      <w:r w:rsidRPr="00550D35">
        <w:rPr>
          <w:lang w:val="lv-LV"/>
        </w:rPr>
        <w:t xml:space="preserve">Publiskās investīcijas 3. pasākumam: </w:t>
      </w:r>
    </w:p>
    <w:p w14:paraId="52CE81C1" w14:textId="77777777" w:rsidR="00852C3A" w:rsidRPr="00550D35" w:rsidRDefault="00852C3A" w:rsidP="00852C3A">
      <w:pPr>
        <w:numPr>
          <w:ilvl w:val="4"/>
          <w:numId w:val="23"/>
        </w:numPr>
        <w:ind w:left="567" w:firstLine="142"/>
        <w:rPr>
          <w:i/>
          <w:iCs/>
          <w:lang w:val="lv-LV"/>
        </w:rPr>
      </w:pPr>
      <w:r w:rsidRPr="00550D35">
        <w:rPr>
          <w:lang w:val="lv-LV"/>
        </w:rPr>
        <w:t xml:space="preserve">piešķirtas – </w:t>
      </w:r>
      <w:r w:rsidRPr="00550D35">
        <w:rPr>
          <w:iCs/>
          <w:lang w:val="lv-LV"/>
        </w:rPr>
        <w:t>152 065 000 </w:t>
      </w:r>
      <w:proofErr w:type="spellStart"/>
      <w:r w:rsidRPr="00550D35">
        <w:rPr>
          <w:i/>
          <w:lang w:val="lv-LV"/>
        </w:rPr>
        <w:t>euro</w:t>
      </w:r>
      <w:proofErr w:type="spellEnd"/>
      <w:r w:rsidRPr="00550D35">
        <w:rPr>
          <w:iCs/>
          <w:lang w:val="lv-LV"/>
        </w:rPr>
        <w:t>;</w:t>
      </w:r>
    </w:p>
    <w:p w14:paraId="5754BCCD" w14:textId="77777777" w:rsidR="00852C3A" w:rsidRPr="00550D35" w:rsidRDefault="00852C3A" w:rsidP="00852C3A">
      <w:pPr>
        <w:ind w:left="1440" w:firstLine="0"/>
        <w:rPr>
          <w:lang w:val="lv-LV"/>
        </w:rPr>
      </w:pPr>
      <w:r w:rsidRPr="00550D35">
        <w:rPr>
          <w:lang w:val="lv-LV"/>
        </w:rPr>
        <w:t xml:space="preserve">No tām piešķirtas no valsts avotiem: </w:t>
      </w:r>
    </w:p>
    <w:p w14:paraId="68DBEFB1" w14:textId="0AF6C0F9" w:rsidR="00852C3A" w:rsidRPr="00550D35" w:rsidRDefault="00852C3A" w:rsidP="00852C3A">
      <w:pPr>
        <w:numPr>
          <w:ilvl w:val="4"/>
          <w:numId w:val="23"/>
        </w:numPr>
        <w:ind w:left="567" w:firstLine="142"/>
        <w:rPr>
          <w:lang w:val="lv-LV"/>
        </w:rPr>
      </w:pPr>
      <w:r w:rsidRPr="00550D35">
        <w:rPr>
          <w:lang w:val="lv-LV"/>
        </w:rPr>
        <w:t xml:space="preserve">piešķirtas – </w:t>
      </w:r>
      <w:r w:rsidRPr="00550D35">
        <w:rPr>
          <w:iCs/>
          <w:lang w:val="lv-LV"/>
        </w:rPr>
        <w:t>152 065 000</w:t>
      </w:r>
      <w:r w:rsidRPr="00550D35">
        <w:rPr>
          <w:lang w:val="lv-LV"/>
        </w:rPr>
        <w:t> </w:t>
      </w:r>
      <w:proofErr w:type="spellStart"/>
      <w:r w:rsidRPr="00331119">
        <w:rPr>
          <w:i/>
          <w:iCs/>
          <w:lang w:val="lv-LV"/>
        </w:rPr>
        <w:t>e</w:t>
      </w:r>
      <w:r w:rsidR="00331119">
        <w:rPr>
          <w:i/>
          <w:iCs/>
          <w:lang w:val="lv-LV"/>
        </w:rPr>
        <w:t>u</w:t>
      </w:r>
      <w:r w:rsidRPr="00331119">
        <w:rPr>
          <w:i/>
          <w:iCs/>
          <w:lang w:val="lv-LV"/>
        </w:rPr>
        <w:t>ro</w:t>
      </w:r>
      <w:proofErr w:type="spellEnd"/>
      <w:r w:rsidRPr="00550D35">
        <w:rPr>
          <w:lang w:val="lv-LV"/>
        </w:rPr>
        <w:t xml:space="preserve">; </w:t>
      </w:r>
    </w:p>
    <w:p w14:paraId="588756BB" w14:textId="77777777" w:rsidR="00852C3A" w:rsidRPr="00550D35" w:rsidRDefault="00852C3A" w:rsidP="00852C3A">
      <w:pPr>
        <w:ind w:left="567" w:firstLine="709"/>
        <w:rPr>
          <w:lang w:val="lv-LV"/>
        </w:rPr>
      </w:pPr>
      <w:r w:rsidRPr="00550D35">
        <w:rPr>
          <w:lang w:val="lv-LV"/>
        </w:rPr>
        <w:t>Privātās investīcijas 3.  pasākumam:</w:t>
      </w:r>
    </w:p>
    <w:p w14:paraId="5B172052" w14:textId="77777777" w:rsidR="00852C3A" w:rsidRPr="00F60A7F" w:rsidRDefault="00852C3A" w:rsidP="00852C3A">
      <w:pPr>
        <w:ind w:left="1276" w:firstLine="0"/>
        <w:rPr>
          <w:lang w:val="lv-LV"/>
        </w:rPr>
      </w:pPr>
      <w:r w:rsidRPr="00F60A7F">
        <w:rPr>
          <w:lang w:val="lv-LV"/>
        </w:rPr>
        <w:t>nav plānotas</w:t>
      </w:r>
    </w:p>
    <w:p w14:paraId="213FC235" w14:textId="77777777" w:rsidR="00852C3A" w:rsidRPr="00550D35" w:rsidRDefault="00852C3A" w:rsidP="00852C3A">
      <w:pPr>
        <w:rPr>
          <w:lang w:val="lv-LV"/>
        </w:rPr>
      </w:pPr>
    </w:p>
    <w:p w14:paraId="260A2B9F" w14:textId="77777777" w:rsidR="00852C3A" w:rsidRPr="00331119" w:rsidRDefault="00852C3A" w:rsidP="00331119">
      <w:pPr>
        <w:rPr>
          <w:lang w:val="lv-LV"/>
        </w:rPr>
      </w:pPr>
      <w:r w:rsidRPr="00331119">
        <w:rPr>
          <w:lang w:val="lv-LV"/>
        </w:rPr>
        <w:t>Pārējiem pasākumiem, kas sniedz ieguldījumu mērķa sasniegšanā, nav ieplānots vai piešķirts budžets.</w:t>
      </w:r>
    </w:p>
    <w:p w14:paraId="6F38275C" w14:textId="77777777" w:rsidR="00852C3A" w:rsidRPr="00550D35" w:rsidRDefault="00852C3A" w:rsidP="00852C3A">
      <w:pPr>
        <w:spacing w:before="0" w:after="160" w:line="259" w:lineRule="auto"/>
        <w:ind w:left="567" w:firstLine="0"/>
        <w:contextualSpacing/>
        <w:jc w:val="left"/>
        <w:rPr>
          <w:lang w:val="lv-LV"/>
        </w:rPr>
      </w:pPr>
    </w:p>
    <w:p w14:paraId="584AE1E4" w14:textId="77777777" w:rsidR="00852C3A" w:rsidRPr="00550D35" w:rsidRDefault="00852C3A" w:rsidP="00852C3A">
      <w:pPr>
        <w:pStyle w:val="Heading3"/>
        <w:ind w:left="1134" w:firstLine="0"/>
        <w:rPr>
          <w:lang w:val="lv-LV"/>
        </w:rPr>
      </w:pPr>
      <w:r w:rsidRPr="00550D35">
        <w:rPr>
          <w:lang w:val="lv-LV"/>
        </w:rPr>
        <w:t>Pasākumu apraksts</w:t>
      </w:r>
    </w:p>
    <w:tbl>
      <w:tblPr>
        <w:tblStyle w:val="TableGrid"/>
        <w:tblW w:w="9209" w:type="dxa"/>
        <w:tblLook w:val="04A0" w:firstRow="1" w:lastRow="0" w:firstColumn="1" w:lastColumn="0" w:noHBand="0" w:noVBand="1"/>
      </w:tblPr>
      <w:tblGrid>
        <w:gridCol w:w="3192"/>
        <w:gridCol w:w="6017"/>
      </w:tblGrid>
      <w:tr w:rsidR="00852C3A" w:rsidRPr="003B2E9A" w14:paraId="71E835B3" w14:textId="77777777" w:rsidTr="00BA62A0">
        <w:tc>
          <w:tcPr>
            <w:tcW w:w="9209" w:type="dxa"/>
            <w:gridSpan w:val="2"/>
          </w:tcPr>
          <w:p w14:paraId="4BC8D034" w14:textId="77777777" w:rsidR="00852C3A" w:rsidRPr="00550D35" w:rsidRDefault="00852C3A" w:rsidP="00BA62A0">
            <w:pPr>
              <w:spacing w:before="0" w:after="120"/>
              <w:ind w:firstLine="0"/>
              <w:contextualSpacing/>
              <w:jc w:val="left"/>
              <w:rPr>
                <w:rFonts w:ascii="Wingdings 2" w:eastAsia="Wingdings 2" w:hAnsi="Wingdings 2" w:cs="Wingdings 2"/>
                <w:b/>
                <w:bCs/>
                <w:sz w:val="22"/>
                <w:szCs w:val="22"/>
                <w:lang w:val="lv-LV"/>
              </w:rPr>
            </w:pPr>
            <w:r w:rsidRPr="00550D35">
              <w:rPr>
                <w:b/>
                <w:bCs/>
                <w:sz w:val="20"/>
                <w:lang w:val="lv-LV"/>
              </w:rPr>
              <w:t>Pasākums Nr.1 Saprašanās memorands Latvijas spēju attīstībai elektronikas ražošanai nepieciešamo mikroshēmu piegādes ķēdē</w:t>
            </w:r>
          </w:p>
        </w:tc>
      </w:tr>
      <w:tr w:rsidR="00852C3A" w:rsidRPr="00550D35" w14:paraId="4D72D1EC" w14:textId="77777777" w:rsidTr="00BA62A0">
        <w:tc>
          <w:tcPr>
            <w:tcW w:w="3192" w:type="dxa"/>
          </w:tcPr>
          <w:p w14:paraId="746119EC" w14:textId="77777777" w:rsidR="00852C3A" w:rsidRPr="00550D35" w:rsidRDefault="00852C3A" w:rsidP="00BA62A0">
            <w:pPr>
              <w:spacing w:before="120" w:after="120"/>
              <w:ind w:firstLine="0"/>
              <w:jc w:val="left"/>
              <w:rPr>
                <w:b/>
                <w:bCs/>
                <w:sz w:val="22"/>
                <w:szCs w:val="22"/>
                <w:lang w:val="lv-LV"/>
              </w:rPr>
            </w:pPr>
            <w:r w:rsidRPr="00550D35">
              <w:rPr>
                <w:b/>
                <w:bCs/>
                <w:sz w:val="22"/>
                <w:szCs w:val="22"/>
                <w:lang w:val="lv-LV"/>
              </w:rPr>
              <w:t>Jauns pasākums</w:t>
            </w:r>
          </w:p>
        </w:tc>
        <w:tc>
          <w:tcPr>
            <w:tcW w:w="6017" w:type="dxa"/>
          </w:tcPr>
          <w:p w14:paraId="4C2C635A" w14:textId="77777777" w:rsidR="00852C3A" w:rsidRPr="00550D35" w:rsidRDefault="00AC141D" w:rsidP="00BA62A0">
            <w:pPr>
              <w:spacing w:before="0"/>
              <w:ind w:firstLine="0"/>
              <w:contextualSpacing/>
              <w:jc w:val="left"/>
              <w:rPr>
                <w:sz w:val="22"/>
                <w:szCs w:val="22"/>
                <w:lang w:val="lv-LV"/>
              </w:rPr>
            </w:pPr>
            <w:sdt>
              <w:sdtPr>
                <w:rPr>
                  <w:sz w:val="22"/>
                  <w:szCs w:val="22"/>
                  <w:lang w:val="lv-LV"/>
                </w:rPr>
                <w:id w:val="-96711607"/>
                <w:placeholder>
                  <w:docPart w:val="0DBF7E5CCFF64B549631AC5B15D99207"/>
                </w:placeholder>
                <w14:checkbox>
                  <w14:checked w14:val="1"/>
                  <w14:checkedState w14:val="2612" w14:font="MS Gothic"/>
                  <w14:uncheckedState w14:val="2610" w14:font="MS Gothic"/>
                </w14:checkbox>
              </w:sdtPr>
              <w:sdtEndPr/>
              <w:sdtContent>
                <w:r w:rsidR="00852C3A" w:rsidRPr="00550D35">
                  <w:rPr>
                    <w:rFonts w:ascii="MS Gothic" w:eastAsia="MS Gothic" w:hAnsi="MS Gothic"/>
                    <w:sz w:val="22"/>
                    <w:szCs w:val="22"/>
                    <w:lang w:val="lv-LV"/>
                  </w:rPr>
                  <w:t>☒</w:t>
                </w:r>
              </w:sdtContent>
            </w:sdt>
            <w:r w:rsidR="00852C3A" w:rsidRPr="00550D35">
              <w:rPr>
                <w:sz w:val="22"/>
                <w:szCs w:val="22"/>
                <w:lang w:val="lv-LV"/>
              </w:rPr>
              <w:t xml:space="preserve"> jā</w:t>
            </w:r>
          </w:p>
          <w:p w14:paraId="5DEC4DD5" w14:textId="77777777" w:rsidR="00852C3A" w:rsidRPr="00550D35" w:rsidRDefault="00852C3A" w:rsidP="00BA62A0">
            <w:pPr>
              <w:spacing w:before="0" w:after="120"/>
              <w:ind w:firstLine="0"/>
              <w:contextualSpacing/>
              <w:jc w:val="left"/>
              <w:rPr>
                <w:rFonts w:eastAsiaTheme="minorHAnsi" w:cs="Calibri"/>
                <w:sz w:val="22"/>
                <w:szCs w:val="22"/>
                <w:highlight w:val="yellow"/>
                <w:lang w:val="lv-LV" w:eastAsia="en-US"/>
              </w:rPr>
            </w:pPr>
            <w:r w:rsidRPr="00550D35">
              <w:rPr>
                <w:rFonts w:ascii="Wingdings 2" w:eastAsia="Wingdings 2" w:hAnsi="Wingdings 2" w:cs="Wingdings 2"/>
                <w:sz w:val="22"/>
                <w:szCs w:val="22"/>
                <w:lang w:val="lv-LV"/>
              </w:rPr>
              <w:t></w:t>
            </w:r>
            <w:r w:rsidRPr="00550D35">
              <w:rPr>
                <w:rFonts w:eastAsia="MS Minngs"/>
                <w:sz w:val="22"/>
                <w:szCs w:val="22"/>
                <w:lang w:val="lv-LV"/>
              </w:rPr>
              <w:t xml:space="preserve">  </w:t>
            </w:r>
            <w:r w:rsidRPr="00550D35">
              <w:rPr>
                <w:sz w:val="22"/>
                <w:szCs w:val="22"/>
                <w:lang w:val="lv-LV"/>
              </w:rPr>
              <w:t>nē</w:t>
            </w:r>
          </w:p>
        </w:tc>
      </w:tr>
      <w:tr w:rsidR="00852C3A" w:rsidRPr="003B2E9A" w14:paraId="4C4186CB" w14:textId="77777777" w:rsidTr="00BA62A0">
        <w:tc>
          <w:tcPr>
            <w:tcW w:w="3192" w:type="dxa"/>
          </w:tcPr>
          <w:p w14:paraId="48EC3A01" w14:textId="77777777" w:rsidR="00852C3A" w:rsidRPr="00550D35" w:rsidRDefault="00852C3A" w:rsidP="00BA62A0">
            <w:pPr>
              <w:spacing w:before="120" w:after="120"/>
              <w:ind w:firstLine="0"/>
              <w:rPr>
                <w:b/>
                <w:bCs/>
                <w:sz w:val="20"/>
                <w:lang w:val="lv-LV"/>
              </w:rPr>
            </w:pPr>
            <w:r w:rsidRPr="00550D35">
              <w:rPr>
                <w:b/>
                <w:bCs/>
                <w:sz w:val="20"/>
                <w:lang w:val="lv-LV"/>
              </w:rPr>
              <w:t>Īss pasākuma apraksts</w:t>
            </w:r>
          </w:p>
          <w:p w14:paraId="297A0817" w14:textId="77777777" w:rsidR="00852C3A" w:rsidRPr="00550D35" w:rsidRDefault="00852C3A" w:rsidP="00BA62A0">
            <w:pPr>
              <w:spacing w:before="120" w:after="120"/>
              <w:ind w:firstLine="0"/>
              <w:rPr>
                <w:b/>
                <w:sz w:val="22"/>
                <w:szCs w:val="22"/>
                <w:lang w:val="lv-LV"/>
              </w:rPr>
            </w:pPr>
          </w:p>
        </w:tc>
        <w:tc>
          <w:tcPr>
            <w:tcW w:w="6017" w:type="dxa"/>
          </w:tcPr>
          <w:p w14:paraId="49951805" w14:textId="77777777" w:rsidR="00852C3A" w:rsidRPr="00550D35" w:rsidRDefault="00852C3A" w:rsidP="00BA62A0">
            <w:pPr>
              <w:spacing w:before="0"/>
              <w:ind w:firstLine="0"/>
              <w:contextualSpacing/>
              <w:rPr>
                <w:sz w:val="20"/>
                <w:lang w:val="lv-LV"/>
              </w:rPr>
            </w:pPr>
            <w:r w:rsidRPr="00550D35">
              <w:rPr>
                <w:sz w:val="20"/>
                <w:lang w:val="lv-LV"/>
              </w:rPr>
              <w:t>2022. gada 29. novembrī tika parakstīts saprašanās memorands Latvijas spēju attīstībai elektronikas ražošanai nepieciešamo mikroshēmu piegādes ķēdē. Memorandu parakstīja LU MII, LU CFI, LU, IZM, EM, VASES, SIA “</w:t>
            </w:r>
            <w:proofErr w:type="spellStart"/>
            <w:r w:rsidRPr="00550D35">
              <w:rPr>
                <w:sz w:val="20"/>
                <w:lang w:val="lv-LV"/>
              </w:rPr>
              <w:t>Tet</w:t>
            </w:r>
            <w:proofErr w:type="spellEnd"/>
            <w:r w:rsidRPr="00550D35">
              <w:rPr>
                <w:sz w:val="20"/>
                <w:lang w:val="lv-LV"/>
              </w:rPr>
              <w:t xml:space="preserve">”, SIA “Mikrotīkls”, Latvijas Darba devēju konfederācija, RTU, Liepājas speciālās ekonomiskās zonas pārvalde un SIA “LMT”. Memoranda  mērķis ir iesaistītajiem partneriem vienoties par kopēju redzējumu un darba plānu, kas noteiktu  Latvijas lomu un ekosistēmas attīstību mikroshēmu piegādes ķēdē. Memorands ietver trīs galvenos darbības virzienus: </w:t>
            </w:r>
          </w:p>
          <w:p w14:paraId="77C76476" w14:textId="77777777" w:rsidR="00852C3A" w:rsidRPr="00550D35" w:rsidRDefault="00852C3A" w:rsidP="00BA62A0">
            <w:pPr>
              <w:numPr>
                <w:ilvl w:val="0"/>
                <w:numId w:val="34"/>
              </w:numPr>
              <w:spacing w:before="0"/>
              <w:contextualSpacing/>
              <w:rPr>
                <w:sz w:val="20"/>
                <w:lang w:val="lv-LV"/>
              </w:rPr>
            </w:pPr>
            <w:r w:rsidRPr="00550D35">
              <w:rPr>
                <w:sz w:val="20"/>
                <w:lang w:val="lv-LV"/>
              </w:rPr>
              <w:t>veicināt mikroshēmu ekosistēmas attīstību Latvijā;</w:t>
            </w:r>
          </w:p>
          <w:p w14:paraId="3765EB3E" w14:textId="77777777" w:rsidR="00852C3A" w:rsidRPr="00550D35" w:rsidRDefault="00852C3A" w:rsidP="00BA62A0">
            <w:pPr>
              <w:numPr>
                <w:ilvl w:val="0"/>
                <w:numId w:val="34"/>
              </w:numPr>
              <w:spacing w:before="0"/>
              <w:contextualSpacing/>
              <w:rPr>
                <w:sz w:val="20"/>
                <w:lang w:val="lv-LV"/>
              </w:rPr>
            </w:pPr>
            <w:r w:rsidRPr="00550D35">
              <w:rPr>
                <w:sz w:val="20"/>
                <w:lang w:val="lv-LV"/>
              </w:rPr>
              <w:t>attīstīt Latvijā izglītības iespējas un pētniecību mikroshēmu jomā;</w:t>
            </w:r>
          </w:p>
          <w:p w14:paraId="5BFE8469" w14:textId="77777777" w:rsidR="00852C3A" w:rsidRPr="00550D35" w:rsidRDefault="00852C3A" w:rsidP="00BA62A0">
            <w:pPr>
              <w:numPr>
                <w:ilvl w:val="0"/>
                <w:numId w:val="34"/>
              </w:numPr>
              <w:spacing w:before="0"/>
              <w:contextualSpacing/>
              <w:rPr>
                <w:sz w:val="20"/>
                <w:lang w:val="lv-LV"/>
              </w:rPr>
            </w:pPr>
            <w:r w:rsidRPr="00550D35">
              <w:rPr>
                <w:sz w:val="20"/>
                <w:lang w:val="lv-LV"/>
              </w:rPr>
              <w:t>attīstīt Latvijā izstrādes un ražošanas spējas mikroshēmu piegādes ķēdē;</w:t>
            </w:r>
          </w:p>
          <w:p w14:paraId="4E2A96A5" w14:textId="77777777" w:rsidR="00852C3A" w:rsidRPr="00550D35" w:rsidRDefault="00852C3A" w:rsidP="00BA62A0">
            <w:pPr>
              <w:spacing w:before="0"/>
              <w:contextualSpacing/>
              <w:rPr>
                <w:sz w:val="20"/>
                <w:lang w:val="lv-LV"/>
              </w:rPr>
            </w:pPr>
            <w:r w:rsidRPr="00550D35">
              <w:rPr>
                <w:sz w:val="20"/>
                <w:lang w:val="lv-LV"/>
              </w:rPr>
              <w:t>Parakstot memorandu, partneri apņemas veicināt mikroshēmu iekārtu un nozares attīstību, jo īpaši – pētniecību, projektēšanu, ražošanu un testēšanu, izvirzot to kā ilgtermiņa misiju Latvijai. Memorands tika noslēgts uz desmit gadiem ar iespēju to pagarināt vēl par desmit gadiem (kopumā nepārsniedzot divdesmit gadus).</w:t>
            </w:r>
          </w:p>
          <w:p w14:paraId="52E2245D" w14:textId="77777777" w:rsidR="00852C3A" w:rsidRPr="00550D35" w:rsidRDefault="00852C3A" w:rsidP="00BA62A0">
            <w:pPr>
              <w:spacing w:before="0"/>
              <w:contextualSpacing/>
              <w:rPr>
                <w:sz w:val="20"/>
                <w:lang w:val="lv-LV"/>
              </w:rPr>
            </w:pPr>
            <w:r w:rsidRPr="00550D35">
              <w:rPr>
                <w:sz w:val="20"/>
                <w:lang w:val="lv-LV"/>
              </w:rPr>
              <w:t>Atbilstoši Eiropas Mikroshēmu akta regulas priekšlikumam, tiek plānots īstenot divas aktivitātes:</w:t>
            </w:r>
          </w:p>
          <w:p w14:paraId="4899D741" w14:textId="77777777" w:rsidR="00852C3A" w:rsidRPr="00550D35" w:rsidRDefault="00852C3A" w:rsidP="00BA62A0">
            <w:pPr>
              <w:numPr>
                <w:ilvl w:val="0"/>
                <w:numId w:val="35"/>
              </w:numPr>
              <w:spacing w:before="0"/>
              <w:contextualSpacing/>
              <w:rPr>
                <w:sz w:val="20"/>
                <w:lang w:val="lv-LV"/>
              </w:rPr>
            </w:pPr>
            <w:r w:rsidRPr="00550D35">
              <w:rPr>
                <w:sz w:val="20"/>
                <w:lang w:val="lv-LV"/>
              </w:rPr>
              <w:t xml:space="preserve">Izsludināt atvērtu konkursu, kurā tiks sniegta iespēja pieteikties nacionālā kompetenču centra statusam. Nacionālā kompetenču centra mērķis ir sadarbībā ar MVU un vidējas kapitalizācijas </w:t>
            </w:r>
            <w:r w:rsidRPr="00550D35">
              <w:rPr>
                <w:sz w:val="20"/>
                <w:lang w:val="lv-LV"/>
              </w:rPr>
              <w:lastRenderedPageBreak/>
              <w:t>sabiedrībām, pētniecības un tehnoloģiju organizācijām, universitātēm un publisko sektoru īstenot 11. panta 2.punktā minētās darbības. Vietējā mēroga atlases uzvarētājs tiks deleģēts dalībai kopuzņēmumā "Mikroshēmas". Kopuzņēmums, izvērtējot deleģēto kandidātu nacionālā kompetenču centra statusam, lems par   tā iekļaušanu Eiropas kompetenču centru tīklā;</w:t>
            </w:r>
          </w:p>
          <w:p w14:paraId="50E3BFCA" w14:textId="77777777" w:rsidR="00852C3A" w:rsidRPr="00550D35" w:rsidRDefault="00852C3A" w:rsidP="00BA62A0">
            <w:pPr>
              <w:numPr>
                <w:ilvl w:val="0"/>
                <w:numId w:val="35"/>
              </w:numPr>
              <w:spacing w:before="0"/>
              <w:contextualSpacing/>
              <w:rPr>
                <w:sz w:val="20"/>
                <w:lang w:val="lv-LV"/>
              </w:rPr>
            </w:pPr>
            <w:r w:rsidRPr="00550D35">
              <w:rPr>
                <w:sz w:val="20"/>
                <w:lang w:val="lv-LV"/>
              </w:rPr>
              <w:t>Tiks veikti grozījumi MK 2012. gada 11. decembra noteikumos Nr. 857 "Latvijas Investīciju un attīstības aģentūras nolikums" (</w:t>
            </w:r>
            <w:hyperlink r:id="rId15" w:history="1">
              <w:r w:rsidRPr="00550D35">
                <w:rPr>
                  <w:rStyle w:val="Hyperlink"/>
                  <w:sz w:val="20"/>
                  <w:lang w:val="lv-LV"/>
                </w:rPr>
                <w:t>https://likumi.lv/ta/id/253494</w:t>
              </w:r>
            </w:hyperlink>
            <w:r w:rsidRPr="00550D35">
              <w:rPr>
                <w:sz w:val="20"/>
                <w:lang w:val="lv-LV"/>
              </w:rPr>
              <w:t>), nosakot Latvijas Investīciju un attīstības aģentūras pienākumu identificēt un apkopot informāciju par galvenajiem tirgus dalībniekiem pusvadītāju piegādes ķēdēs, nodrošināt dalību Eiropas Pusvadītāju padomē un nodrošināt valsts vienotā kontaktpunkta funkcijas koordinācijai un sadarbībai pusvadītāju ekosistēmas ietvaros (atbilstoši 20.-25. pantam).</w:t>
            </w:r>
          </w:p>
        </w:tc>
      </w:tr>
      <w:tr w:rsidR="00852C3A" w:rsidRPr="00A613D2" w14:paraId="0D27DFBF" w14:textId="77777777" w:rsidTr="00BA62A0">
        <w:tc>
          <w:tcPr>
            <w:tcW w:w="3192" w:type="dxa"/>
            <w:shd w:val="clear" w:color="auto" w:fill="auto"/>
          </w:tcPr>
          <w:p w14:paraId="08DCEE7E" w14:textId="3227A842" w:rsidR="00852C3A" w:rsidRPr="00550D35" w:rsidRDefault="00852C3A" w:rsidP="00BA62A0">
            <w:pPr>
              <w:spacing w:before="120" w:after="120"/>
              <w:ind w:firstLine="0"/>
              <w:rPr>
                <w:b/>
                <w:bCs/>
                <w:sz w:val="22"/>
                <w:szCs w:val="22"/>
                <w:lang w:val="lv-LV"/>
              </w:rPr>
            </w:pPr>
            <w:r w:rsidRPr="00550D35">
              <w:rPr>
                <w:b/>
                <w:bCs/>
                <w:sz w:val="20"/>
                <w:lang w:val="lv-LV"/>
              </w:rPr>
              <w:lastRenderedPageBreak/>
              <w:t>Piešķirtais vai plānotais budžets un, ja atbilstoši, citi resursi</w:t>
            </w:r>
          </w:p>
        </w:tc>
        <w:tc>
          <w:tcPr>
            <w:tcW w:w="6017" w:type="dxa"/>
            <w:shd w:val="clear" w:color="auto" w:fill="auto"/>
          </w:tcPr>
          <w:p w14:paraId="1EB61BF6" w14:textId="77777777" w:rsidR="00852C3A" w:rsidRDefault="00852C3A" w:rsidP="00BA62A0">
            <w:pPr>
              <w:spacing w:before="0" w:after="120"/>
              <w:ind w:firstLine="0"/>
              <w:contextualSpacing/>
              <w:jc w:val="left"/>
              <w:rPr>
                <w:sz w:val="20"/>
                <w:lang w:val="lv-LV"/>
              </w:rPr>
            </w:pPr>
          </w:p>
          <w:p w14:paraId="4B5B6B15" w14:textId="77777777" w:rsidR="00852C3A" w:rsidRPr="003C1358" w:rsidRDefault="00852C3A" w:rsidP="00BA62A0">
            <w:pPr>
              <w:spacing w:before="0" w:after="120"/>
              <w:ind w:firstLine="0"/>
              <w:contextualSpacing/>
              <w:jc w:val="left"/>
              <w:rPr>
                <w:lang w:val="lv-LV"/>
              </w:rPr>
            </w:pPr>
            <w:r w:rsidRPr="005E7609">
              <w:rPr>
                <w:sz w:val="20"/>
                <w:lang w:val="lv-LV"/>
              </w:rPr>
              <w:t>Pasākumam budžets nav plānots</w:t>
            </w:r>
          </w:p>
        </w:tc>
      </w:tr>
      <w:tr w:rsidR="00852C3A" w:rsidRPr="00550D35" w14:paraId="241183F1" w14:textId="77777777" w:rsidTr="00BA62A0">
        <w:tc>
          <w:tcPr>
            <w:tcW w:w="3192" w:type="dxa"/>
          </w:tcPr>
          <w:p w14:paraId="4DBF5111" w14:textId="77777777" w:rsidR="00852C3A" w:rsidRPr="00550D35" w:rsidRDefault="00852C3A" w:rsidP="00BA62A0">
            <w:pPr>
              <w:spacing w:before="120" w:after="120"/>
              <w:ind w:firstLine="0"/>
              <w:rPr>
                <w:b/>
                <w:bCs/>
                <w:sz w:val="22"/>
                <w:szCs w:val="22"/>
                <w:lang w:val="lv-LV"/>
              </w:rPr>
            </w:pPr>
            <w:r w:rsidRPr="00550D35">
              <w:rPr>
                <w:b/>
                <w:bCs/>
                <w:sz w:val="20"/>
                <w:lang w:val="lv-LV"/>
              </w:rPr>
              <w:t>Sagaidāmā ietekme un laika ietvars</w:t>
            </w:r>
          </w:p>
        </w:tc>
        <w:tc>
          <w:tcPr>
            <w:tcW w:w="6017" w:type="dxa"/>
          </w:tcPr>
          <w:p w14:paraId="3F95D93C" w14:textId="77777777" w:rsidR="00852C3A" w:rsidRPr="00550D35" w:rsidRDefault="00852C3A" w:rsidP="00BA62A0">
            <w:pPr>
              <w:ind w:firstLine="0"/>
              <w:rPr>
                <w:sz w:val="20"/>
                <w:lang w:val="lv-LV"/>
              </w:rPr>
            </w:pPr>
            <w:r w:rsidRPr="00550D35">
              <w:rPr>
                <w:sz w:val="20"/>
                <w:lang w:val="lv-LV"/>
              </w:rPr>
              <w:t>Tiks nodrošināta dalība Eiropas Pusvadītāju padomē un nodrošinātas valsts vienotā kontaktpunkta funkcijas koordinācijai un sadarbībai pusvadītāju ekosistēmas ietvaros.</w:t>
            </w:r>
          </w:p>
          <w:p w14:paraId="72BBA763" w14:textId="77777777" w:rsidR="00852C3A" w:rsidRPr="00550D35" w:rsidRDefault="00852C3A" w:rsidP="00BA62A0">
            <w:pPr>
              <w:ind w:firstLine="0"/>
              <w:rPr>
                <w:rFonts w:eastAsiaTheme="minorEastAsia"/>
                <w:i/>
                <w:lang w:val="lv-LV"/>
              </w:rPr>
            </w:pPr>
            <w:r w:rsidRPr="00550D35">
              <w:rPr>
                <w:sz w:val="20"/>
                <w:lang w:val="lv-LV"/>
              </w:rPr>
              <w:t>Memoranda darbības laika ietvars 2022.-2031.gads</w:t>
            </w:r>
          </w:p>
        </w:tc>
      </w:tr>
    </w:tbl>
    <w:p w14:paraId="4EFF7B82" w14:textId="77777777" w:rsidR="00852C3A" w:rsidRPr="00550D35" w:rsidRDefault="00852C3A" w:rsidP="00852C3A">
      <w:pPr>
        <w:pStyle w:val="Text3"/>
        <w:ind w:left="0" w:firstLine="0"/>
        <w:rPr>
          <w:lang w:val="lv-LV"/>
        </w:rPr>
      </w:pPr>
    </w:p>
    <w:tbl>
      <w:tblPr>
        <w:tblStyle w:val="TableGrid"/>
        <w:tblW w:w="9209" w:type="dxa"/>
        <w:tblLook w:val="04A0" w:firstRow="1" w:lastRow="0" w:firstColumn="1" w:lastColumn="0" w:noHBand="0" w:noVBand="1"/>
      </w:tblPr>
      <w:tblGrid>
        <w:gridCol w:w="3192"/>
        <w:gridCol w:w="6017"/>
      </w:tblGrid>
      <w:tr w:rsidR="00852C3A" w:rsidRPr="003B2E9A" w14:paraId="2BE6F0F2" w14:textId="77777777" w:rsidTr="00BA62A0">
        <w:tc>
          <w:tcPr>
            <w:tcW w:w="9209" w:type="dxa"/>
            <w:gridSpan w:val="2"/>
          </w:tcPr>
          <w:p w14:paraId="3A320497" w14:textId="77777777" w:rsidR="00852C3A" w:rsidRPr="00FD3927" w:rsidRDefault="00852C3A" w:rsidP="00BA62A0">
            <w:pPr>
              <w:spacing w:before="0" w:after="120"/>
              <w:ind w:firstLine="0"/>
              <w:contextualSpacing/>
              <w:jc w:val="left"/>
              <w:rPr>
                <w:rFonts w:ascii="Wingdings 2" w:eastAsia="Wingdings 2" w:hAnsi="Wingdings 2" w:cs="Wingdings 2"/>
                <w:sz w:val="22"/>
                <w:szCs w:val="22"/>
                <w:lang w:val="lv-LV"/>
              </w:rPr>
            </w:pPr>
            <w:r w:rsidRPr="00550D35">
              <w:rPr>
                <w:b/>
                <w:bCs/>
                <w:sz w:val="20"/>
                <w:lang w:val="lv-LV"/>
              </w:rPr>
              <w:t xml:space="preserve">Pasākums Nr.2 </w:t>
            </w:r>
            <w:r w:rsidRPr="00550D35">
              <w:rPr>
                <w:b/>
                <w:sz w:val="20"/>
                <w:lang w:val="lv-LV"/>
              </w:rPr>
              <w:t xml:space="preserve">Aizdevumi ar kapitāla atlaidi investīciju projektiem komersantiem konkurētspējas veicināšanai </w:t>
            </w:r>
          </w:p>
        </w:tc>
      </w:tr>
      <w:tr w:rsidR="00852C3A" w:rsidRPr="00550D35" w14:paraId="04697EFE" w14:textId="77777777" w:rsidTr="00BA62A0">
        <w:tc>
          <w:tcPr>
            <w:tcW w:w="3192" w:type="dxa"/>
          </w:tcPr>
          <w:p w14:paraId="55B63075" w14:textId="77777777" w:rsidR="00852C3A" w:rsidRPr="00550D35" w:rsidRDefault="00852C3A" w:rsidP="00BA62A0">
            <w:pPr>
              <w:spacing w:before="120" w:after="120"/>
              <w:ind w:firstLine="0"/>
              <w:jc w:val="left"/>
              <w:rPr>
                <w:b/>
                <w:bCs/>
                <w:sz w:val="22"/>
                <w:szCs w:val="22"/>
                <w:lang w:val="lv-LV"/>
              </w:rPr>
            </w:pPr>
            <w:r w:rsidRPr="00550D35">
              <w:rPr>
                <w:b/>
                <w:bCs/>
                <w:sz w:val="22"/>
                <w:szCs w:val="22"/>
                <w:lang w:val="lv-LV"/>
              </w:rPr>
              <w:t>Jauns pasākums</w:t>
            </w:r>
          </w:p>
        </w:tc>
        <w:tc>
          <w:tcPr>
            <w:tcW w:w="6017" w:type="dxa"/>
          </w:tcPr>
          <w:p w14:paraId="496DC95A" w14:textId="77777777" w:rsidR="00852C3A" w:rsidRPr="00550D35" w:rsidRDefault="00AC141D" w:rsidP="00BA62A0">
            <w:pPr>
              <w:spacing w:before="0"/>
              <w:ind w:firstLine="0"/>
              <w:contextualSpacing/>
              <w:jc w:val="left"/>
              <w:rPr>
                <w:sz w:val="22"/>
                <w:szCs w:val="22"/>
                <w:lang w:val="lv-LV"/>
              </w:rPr>
            </w:pPr>
            <w:sdt>
              <w:sdtPr>
                <w:rPr>
                  <w:sz w:val="22"/>
                  <w:szCs w:val="22"/>
                  <w:lang w:val="lv-LV"/>
                </w:rPr>
                <w:id w:val="-696781712"/>
                <w:placeholder>
                  <w:docPart w:val="DE446AF687B945CE944B4209FB051FE9"/>
                </w:placeholder>
                <w14:checkbox>
                  <w14:checked w14:val="1"/>
                  <w14:checkedState w14:val="2612" w14:font="MS Gothic"/>
                  <w14:uncheckedState w14:val="2610" w14:font="MS Gothic"/>
                </w14:checkbox>
              </w:sdtPr>
              <w:sdtEndPr/>
              <w:sdtContent>
                <w:r w:rsidR="00852C3A" w:rsidRPr="00550D35">
                  <w:rPr>
                    <w:rFonts w:ascii="MS Gothic" w:eastAsia="MS Gothic" w:hAnsi="MS Gothic"/>
                    <w:sz w:val="22"/>
                    <w:szCs w:val="22"/>
                    <w:lang w:val="lv-LV"/>
                  </w:rPr>
                  <w:t>☒</w:t>
                </w:r>
              </w:sdtContent>
            </w:sdt>
            <w:r w:rsidR="00852C3A" w:rsidRPr="00550D35">
              <w:rPr>
                <w:sz w:val="22"/>
                <w:szCs w:val="22"/>
                <w:lang w:val="lv-LV"/>
              </w:rPr>
              <w:t xml:space="preserve"> jā</w:t>
            </w:r>
          </w:p>
          <w:p w14:paraId="13D25B2A" w14:textId="77777777" w:rsidR="00852C3A" w:rsidRPr="00550D35" w:rsidRDefault="00852C3A" w:rsidP="00BA62A0">
            <w:pPr>
              <w:spacing w:before="0" w:after="120"/>
              <w:ind w:firstLine="0"/>
              <w:contextualSpacing/>
              <w:jc w:val="left"/>
              <w:rPr>
                <w:sz w:val="22"/>
                <w:szCs w:val="22"/>
                <w:lang w:val="lv-LV"/>
              </w:rPr>
            </w:pPr>
            <w:r w:rsidRPr="00550D35">
              <w:rPr>
                <w:rFonts w:ascii="Wingdings 2" w:eastAsia="Wingdings 2" w:hAnsi="Wingdings 2" w:cs="Wingdings 2"/>
                <w:sz w:val="22"/>
                <w:szCs w:val="22"/>
                <w:lang w:val="lv-LV"/>
              </w:rPr>
              <w:t></w:t>
            </w:r>
            <w:r w:rsidRPr="00550D35">
              <w:rPr>
                <w:rFonts w:eastAsia="MS Minngs"/>
                <w:sz w:val="22"/>
                <w:szCs w:val="22"/>
                <w:lang w:val="lv-LV"/>
              </w:rPr>
              <w:t xml:space="preserve">  </w:t>
            </w:r>
            <w:r w:rsidRPr="00550D35">
              <w:rPr>
                <w:sz w:val="22"/>
                <w:szCs w:val="22"/>
                <w:lang w:val="lv-LV"/>
              </w:rPr>
              <w:t>nē</w:t>
            </w:r>
          </w:p>
          <w:p w14:paraId="08000917" w14:textId="77777777" w:rsidR="00852C3A" w:rsidRPr="00550D35" w:rsidRDefault="00852C3A" w:rsidP="00BA62A0">
            <w:pPr>
              <w:spacing w:before="0" w:after="0"/>
              <w:ind w:left="720" w:firstLine="0"/>
              <w:contextualSpacing/>
              <w:jc w:val="left"/>
              <w:rPr>
                <w:rFonts w:eastAsiaTheme="minorHAnsi" w:cs="Calibri"/>
                <w:sz w:val="22"/>
                <w:szCs w:val="22"/>
                <w:highlight w:val="yellow"/>
                <w:lang w:val="lv-LV" w:eastAsia="en-US"/>
              </w:rPr>
            </w:pPr>
          </w:p>
        </w:tc>
      </w:tr>
      <w:tr w:rsidR="00852C3A" w:rsidRPr="003B2E9A" w14:paraId="25866032" w14:textId="77777777" w:rsidTr="00BA62A0">
        <w:tc>
          <w:tcPr>
            <w:tcW w:w="3192" w:type="dxa"/>
          </w:tcPr>
          <w:p w14:paraId="5E397C43" w14:textId="77777777" w:rsidR="00852C3A" w:rsidRPr="00550D35" w:rsidRDefault="00852C3A" w:rsidP="00BA62A0">
            <w:pPr>
              <w:spacing w:before="120" w:after="120"/>
              <w:ind w:firstLine="0"/>
              <w:rPr>
                <w:b/>
                <w:bCs/>
                <w:sz w:val="20"/>
                <w:lang w:val="lv-LV"/>
              </w:rPr>
            </w:pPr>
            <w:r w:rsidRPr="00550D35">
              <w:rPr>
                <w:b/>
                <w:bCs/>
                <w:sz w:val="20"/>
                <w:lang w:val="lv-LV"/>
              </w:rPr>
              <w:t>Īss pasākuma apraksts</w:t>
            </w:r>
          </w:p>
          <w:p w14:paraId="5E60F3B3" w14:textId="77777777" w:rsidR="00852C3A" w:rsidRPr="00550D35" w:rsidRDefault="00852C3A" w:rsidP="00BA62A0">
            <w:pPr>
              <w:spacing w:before="120" w:after="120"/>
              <w:ind w:firstLine="0"/>
              <w:rPr>
                <w:b/>
                <w:sz w:val="22"/>
                <w:szCs w:val="22"/>
                <w:lang w:val="lv-LV"/>
              </w:rPr>
            </w:pPr>
          </w:p>
        </w:tc>
        <w:tc>
          <w:tcPr>
            <w:tcW w:w="6017" w:type="dxa"/>
          </w:tcPr>
          <w:p w14:paraId="4872004E" w14:textId="77777777" w:rsidR="00852C3A" w:rsidRPr="00550D35" w:rsidRDefault="00852C3A" w:rsidP="00BA62A0">
            <w:pPr>
              <w:spacing w:before="0"/>
              <w:ind w:firstLine="0"/>
              <w:contextualSpacing/>
              <w:rPr>
                <w:sz w:val="20"/>
                <w:lang w:val="lv-LV"/>
              </w:rPr>
            </w:pPr>
            <w:r w:rsidRPr="00550D35">
              <w:rPr>
                <w:sz w:val="20"/>
                <w:lang w:val="lv-LV"/>
              </w:rPr>
              <w:t>Projekta mērķis ir sniegt komersantiem atbalstu dzīvotspējīgu uzņēmējdarbības projektu īstenošanai, veicinot komersantu attīstību, konkurētspēju, eksporta apjoma palielināšanu un nodrošinot finansējumu tādu investīciju projektu īstenošanai, kuri ir vērsti uz jaunu iekārtu un tehnoloģisko procesu ieviešanu.</w:t>
            </w:r>
          </w:p>
          <w:p w14:paraId="588287DA" w14:textId="77777777" w:rsidR="00852C3A" w:rsidRPr="00550D35" w:rsidRDefault="00852C3A" w:rsidP="00BA62A0">
            <w:pPr>
              <w:spacing w:before="120" w:after="120"/>
              <w:ind w:firstLine="0"/>
              <w:contextualSpacing/>
              <w:rPr>
                <w:sz w:val="20"/>
                <w:lang w:val="lv-LV"/>
              </w:rPr>
            </w:pPr>
            <w:r w:rsidRPr="00550D35">
              <w:rPr>
                <w:sz w:val="20"/>
                <w:lang w:val="lv-LV"/>
              </w:rPr>
              <w:t>Pasākumu ietvars ir iekļauts MK 2021.gada 6.jūlija noteikumos Nr.503 “Noteikumi par aizdevumiem ar kapitāla atlaidi investīciju projektiem komersantiem konkurētspējas veicināšanai”.</w:t>
            </w:r>
          </w:p>
          <w:p w14:paraId="22A29608" w14:textId="77777777" w:rsidR="00852C3A" w:rsidRPr="00550D35" w:rsidRDefault="00852C3A" w:rsidP="00BA62A0">
            <w:pPr>
              <w:spacing w:before="120" w:after="120"/>
              <w:ind w:firstLine="0"/>
              <w:contextualSpacing/>
              <w:rPr>
                <w:sz w:val="20"/>
                <w:lang w:val="lv-LV"/>
              </w:rPr>
            </w:pPr>
            <w:r w:rsidRPr="00550D35">
              <w:rPr>
                <w:sz w:val="20"/>
                <w:lang w:val="lv-LV"/>
              </w:rPr>
              <w:t>Lai veicinātu jaunu investīciju veikšanu uzņēmējdarbības paplašināšanā kā arī dotu stimulu uzņēmējiem veikt jaunas investīcijas tādējādi pārvarot  Covid-19 izraisīto krīzi, 2021.gada 21.aprīļa Covid krīzes vadības grupā uzņēmējdarbības veicināšanai ir pieņemts konceptuāls lēmums izveidot atbalsta instrumentu uzņēmēju investīciju veicināšanai, lai nodrošinātu vienmērīgu pāreju no Covid 19 izraisītās krīzes uz normālu uzņēmējdarbību. Konceptuāli tika atbalstīta finanšu instrumenta izveide – aizdevums ar kapitāla atlaidi, kur izpildoties noteiktiem rezultatīvajiem kritērijiem, komersantam ir iespēja saņemt kapitāla atlaidi par tā apjomu samazinot aizdevuma pamatsummu.</w:t>
            </w:r>
          </w:p>
          <w:p w14:paraId="52627098" w14:textId="77777777" w:rsidR="00852C3A" w:rsidRPr="00550D35" w:rsidRDefault="00852C3A" w:rsidP="00BA62A0">
            <w:pPr>
              <w:spacing w:before="0"/>
              <w:ind w:firstLine="0"/>
              <w:contextualSpacing/>
              <w:rPr>
                <w:sz w:val="20"/>
                <w:lang w:val="lv-LV"/>
              </w:rPr>
            </w:pPr>
            <w:r w:rsidRPr="00550D35">
              <w:rPr>
                <w:sz w:val="20"/>
                <w:lang w:val="lv-LV"/>
              </w:rPr>
              <w:t xml:space="preserve">Aizdevumu programmas ietvaros aizdevumus izsniedz un kapitāla atlaidi piešķir un piemēro akciju sabiedrība "Attīstības finanšu institūcija </w:t>
            </w:r>
            <w:proofErr w:type="spellStart"/>
            <w:r w:rsidRPr="00550D35">
              <w:rPr>
                <w:sz w:val="20"/>
                <w:lang w:val="lv-LV"/>
              </w:rPr>
              <w:t>Altum</w:t>
            </w:r>
            <w:proofErr w:type="spellEnd"/>
            <w:r w:rsidRPr="00550D35">
              <w:rPr>
                <w:sz w:val="20"/>
                <w:lang w:val="lv-LV"/>
              </w:rPr>
              <w:t>" (turpmāk – sabiedrība "</w:t>
            </w:r>
            <w:proofErr w:type="spellStart"/>
            <w:r w:rsidRPr="00550D35">
              <w:rPr>
                <w:sz w:val="20"/>
                <w:lang w:val="lv-LV"/>
              </w:rPr>
              <w:t>Altum</w:t>
            </w:r>
            <w:proofErr w:type="spellEnd"/>
            <w:r w:rsidRPr="00550D35">
              <w:rPr>
                <w:sz w:val="20"/>
                <w:lang w:val="lv-LV"/>
              </w:rPr>
              <w:t xml:space="preserve">") ar komersantu noslēgta līguma (turpmāk – aizdevuma līgums) ietvaros, kurā cita starpā iekļauti kapitāla atlaides piemērošanas nosacījumi, </w:t>
            </w:r>
            <w:proofErr w:type="spellStart"/>
            <w:r w:rsidRPr="00550D35">
              <w:rPr>
                <w:sz w:val="20"/>
                <w:lang w:val="lv-LV"/>
              </w:rPr>
              <w:t>pēcuzraudzības</w:t>
            </w:r>
            <w:proofErr w:type="spellEnd"/>
            <w:r w:rsidRPr="00550D35">
              <w:rPr>
                <w:sz w:val="20"/>
                <w:lang w:val="lv-LV"/>
              </w:rPr>
              <w:t xml:space="preserve"> kārtība un sekas. Sabiedrība "</w:t>
            </w:r>
            <w:proofErr w:type="spellStart"/>
            <w:r w:rsidRPr="00550D35">
              <w:rPr>
                <w:sz w:val="20"/>
                <w:lang w:val="lv-LV"/>
              </w:rPr>
              <w:t>Altum</w:t>
            </w:r>
            <w:proofErr w:type="spellEnd"/>
            <w:r w:rsidRPr="00550D35">
              <w:rPr>
                <w:sz w:val="20"/>
                <w:lang w:val="lv-LV"/>
              </w:rPr>
              <w:t>" aizdevumu var izsniegt vienīgi kopā ar cita finansētāja (starptautiska finanšu institūcija, privāts ieguldījumu fonds vai kredītiestāde) aizdevumu. Aizdevumu programmas ietvaros kapitāla atlaide ir sabiedrības "</w:t>
            </w:r>
            <w:proofErr w:type="spellStart"/>
            <w:r w:rsidRPr="00550D35">
              <w:rPr>
                <w:sz w:val="20"/>
                <w:lang w:val="lv-LV"/>
              </w:rPr>
              <w:t>Altum</w:t>
            </w:r>
            <w:proofErr w:type="spellEnd"/>
            <w:r w:rsidRPr="00550D35">
              <w:rPr>
                <w:sz w:val="20"/>
                <w:lang w:val="lv-LV"/>
              </w:rPr>
              <w:t>" izsniegtā aizdevuma pamatsummas pilnīgs vai daļējs samazinājums, kas tiek piemērots, ja ir izpildīti konkrēti nosacījumi vai kritēriju kopa.</w:t>
            </w:r>
          </w:p>
        </w:tc>
      </w:tr>
      <w:tr w:rsidR="00852C3A" w:rsidRPr="003B2E9A" w14:paraId="26F7C1EA" w14:textId="77777777" w:rsidTr="00BA62A0">
        <w:tc>
          <w:tcPr>
            <w:tcW w:w="3192" w:type="dxa"/>
            <w:shd w:val="clear" w:color="auto" w:fill="auto"/>
          </w:tcPr>
          <w:p w14:paraId="2F252400" w14:textId="366EAE84" w:rsidR="00852C3A" w:rsidRPr="00550D35" w:rsidRDefault="00852C3A" w:rsidP="00BA62A0">
            <w:pPr>
              <w:spacing w:before="120" w:after="120"/>
              <w:ind w:firstLine="0"/>
              <w:rPr>
                <w:b/>
                <w:bCs/>
                <w:sz w:val="22"/>
                <w:szCs w:val="22"/>
                <w:lang w:val="lv-LV"/>
              </w:rPr>
            </w:pPr>
            <w:r w:rsidRPr="00550D35">
              <w:rPr>
                <w:b/>
                <w:bCs/>
                <w:sz w:val="20"/>
                <w:lang w:val="lv-LV"/>
              </w:rPr>
              <w:t>Piešķirtais vai plānotais budžets un, ja atbilstoši, citi resursi</w:t>
            </w:r>
          </w:p>
        </w:tc>
        <w:tc>
          <w:tcPr>
            <w:tcW w:w="6017" w:type="dxa"/>
            <w:shd w:val="clear" w:color="auto" w:fill="auto"/>
          </w:tcPr>
          <w:p w14:paraId="3EE2D291" w14:textId="77777777" w:rsidR="00852C3A" w:rsidRPr="00550D35" w:rsidRDefault="00852C3A" w:rsidP="00BA62A0">
            <w:pPr>
              <w:spacing w:before="0" w:after="120"/>
              <w:ind w:firstLine="237"/>
              <w:contextualSpacing/>
              <w:jc w:val="left"/>
              <w:rPr>
                <w:sz w:val="20"/>
                <w:szCs w:val="16"/>
                <w:lang w:val="lv-LV"/>
              </w:rPr>
            </w:pPr>
            <w:r w:rsidRPr="00550D35">
              <w:rPr>
                <w:sz w:val="20"/>
                <w:szCs w:val="16"/>
                <w:lang w:val="lv-LV"/>
              </w:rPr>
              <w:t>Aizdevumu programmas īstenošanai pieejamo finansējumu veido valsts budžeta finansējums 234 565 000 </w:t>
            </w:r>
            <w:proofErr w:type="spellStart"/>
            <w:r w:rsidRPr="00550D35">
              <w:rPr>
                <w:i/>
                <w:iCs/>
                <w:sz w:val="20"/>
                <w:szCs w:val="16"/>
                <w:lang w:val="lv-LV"/>
              </w:rPr>
              <w:t>euro</w:t>
            </w:r>
            <w:proofErr w:type="spellEnd"/>
            <w:r w:rsidRPr="00550D35">
              <w:rPr>
                <w:sz w:val="20"/>
                <w:szCs w:val="16"/>
                <w:lang w:val="lv-LV"/>
              </w:rPr>
              <w:t> apmērā, tai skaitā:</w:t>
            </w:r>
          </w:p>
          <w:p w14:paraId="1EB4D1DB" w14:textId="77777777" w:rsidR="00852C3A" w:rsidRPr="00550D35" w:rsidRDefault="00852C3A" w:rsidP="00BA62A0">
            <w:pPr>
              <w:spacing w:before="0" w:after="120"/>
              <w:ind w:firstLine="237"/>
              <w:contextualSpacing/>
              <w:jc w:val="left"/>
              <w:rPr>
                <w:sz w:val="20"/>
                <w:szCs w:val="16"/>
                <w:lang w:val="lv-LV"/>
              </w:rPr>
            </w:pPr>
            <w:r w:rsidRPr="00550D35">
              <w:rPr>
                <w:sz w:val="20"/>
                <w:szCs w:val="16"/>
                <w:lang w:val="lv-LV"/>
              </w:rPr>
              <w:t>1. pirmajai atlases kārtai – 99 565 000 </w:t>
            </w:r>
            <w:proofErr w:type="spellStart"/>
            <w:r w:rsidRPr="00550D35">
              <w:rPr>
                <w:i/>
                <w:iCs/>
                <w:sz w:val="20"/>
                <w:szCs w:val="16"/>
                <w:lang w:val="lv-LV"/>
              </w:rPr>
              <w:t>euro</w:t>
            </w:r>
            <w:proofErr w:type="spellEnd"/>
            <w:r w:rsidRPr="00550D35">
              <w:rPr>
                <w:sz w:val="20"/>
                <w:szCs w:val="16"/>
                <w:lang w:val="lv-LV"/>
              </w:rPr>
              <w:t>;</w:t>
            </w:r>
          </w:p>
          <w:p w14:paraId="19E3757C" w14:textId="77777777" w:rsidR="00852C3A" w:rsidRPr="00550D35" w:rsidRDefault="00852C3A" w:rsidP="00BA62A0">
            <w:pPr>
              <w:spacing w:before="0" w:after="120"/>
              <w:ind w:firstLine="237"/>
              <w:contextualSpacing/>
              <w:jc w:val="left"/>
              <w:rPr>
                <w:sz w:val="20"/>
                <w:szCs w:val="16"/>
                <w:lang w:val="lv-LV"/>
              </w:rPr>
            </w:pPr>
            <w:r w:rsidRPr="00550D35">
              <w:rPr>
                <w:sz w:val="20"/>
                <w:szCs w:val="16"/>
                <w:lang w:val="lv-LV"/>
              </w:rPr>
              <w:lastRenderedPageBreak/>
              <w:t>2. slēgtajai atlases kārtai – 52 500 000 </w:t>
            </w:r>
            <w:proofErr w:type="spellStart"/>
            <w:r w:rsidRPr="00550D35">
              <w:rPr>
                <w:i/>
                <w:iCs/>
                <w:sz w:val="20"/>
                <w:szCs w:val="16"/>
                <w:lang w:val="lv-LV"/>
              </w:rPr>
              <w:t>euro</w:t>
            </w:r>
            <w:proofErr w:type="spellEnd"/>
            <w:r w:rsidRPr="00550D35">
              <w:rPr>
                <w:sz w:val="20"/>
                <w:szCs w:val="16"/>
                <w:lang w:val="lv-LV"/>
              </w:rPr>
              <w:t> un summa, kas paliek no pirmās atlases kārtas.</w:t>
            </w:r>
          </w:p>
          <w:p w14:paraId="461ECEFE" w14:textId="77777777" w:rsidR="00852C3A" w:rsidRPr="00550D35" w:rsidRDefault="00852C3A" w:rsidP="00BA62A0">
            <w:pPr>
              <w:spacing w:before="0" w:after="120"/>
              <w:ind w:firstLine="237"/>
              <w:contextualSpacing/>
              <w:jc w:val="left"/>
              <w:rPr>
                <w:sz w:val="20"/>
                <w:szCs w:val="16"/>
                <w:lang w:val="lv-LV"/>
              </w:rPr>
            </w:pPr>
            <w:r w:rsidRPr="00550D35">
              <w:rPr>
                <w:sz w:val="20"/>
                <w:szCs w:val="16"/>
                <w:lang w:val="lv-LV"/>
              </w:rPr>
              <w:t>3. trešajai atlases kārtai – 82 500 000 </w:t>
            </w:r>
            <w:proofErr w:type="spellStart"/>
            <w:r w:rsidRPr="00550D35">
              <w:rPr>
                <w:i/>
                <w:iCs/>
                <w:sz w:val="20"/>
                <w:szCs w:val="16"/>
                <w:lang w:val="lv-LV"/>
              </w:rPr>
              <w:t>euro</w:t>
            </w:r>
            <w:proofErr w:type="spellEnd"/>
            <w:r w:rsidRPr="00550D35">
              <w:rPr>
                <w:sz w:val="20"/>
                <w:szCs w:val="16"/>
                <w:lang w:val="lv-LV"/>
              </w:rPr>
              <w:t> un summa, kas paliek no 2. punktā minētā finansējuma.</w:t>
            </w:r>
          </w:p>
        </w:tc>
      </w:tr>
      <w:tr w:rsidR="00852C3A" w:rsidRPr="003B2E9A" w14:paraId="0818023C" w14:textId="77777777" w:rsidTr="00BA62A0">
        <w:tc>
          <w:tcPr>
            <w:tcW w:w="3192" w:type="dxa"/>
          </w:tcPr>
          <w:p w14:paraId="09D6E71B" w14:textId="77777777" w:rsidR="00852C3A" w:rsidRPr="00550D35" w:rsidRDefault="00852C3A" w:rsidP="00BA62A0">
            <w:pPr>
              <w:spacing w:before="120" w:after="120"/>
              <w:ind w:firstLine="0"/>
              <w:rPr>
                <w:b/>
                <w:bCs/>
                <w:sz w:val="22"/>
                <w:szCs w:val="22"/>
                <w:lang w:val="lv-LV"/>
              </w:rPr>
            </w:pPr>
            <w:r w:rsidRPr="00550D35">
              <w:rPr>
                <w:b/>
                <w:bCs/>
                <w:sz w:val="20"/>
                <w:lang w:val="lv-LV"/>
              </w:rPr>
              <w:lastRenderedPageBreak/>
              <w:t>Sagaidāmā ietekme un laika ietvars</w:t>
            </w:r>
          </w:p>
        </w:tc>
        <w:tc>
          <w:tcPr>
            <w:tcW w:w="6017" w:type="dxa"/>
          </w:tcPr>
          <w:p w14:paraId="146CBA06" w14:textId="77777777" w:rsidR="00852C3A" w:rsidRPr="00550D35" w:rsidRDefault="00852C3A" w:rsidP="00BA62A0">
            <w:pPr>
              <w:ind w:firstLine="0"/>
              <w:rPr>
                <w:rFonts w:eastAsiaTheme="minorEastAsia"/>
                <w:iCs/>
                <w:sz w:val="20"/>
                <w:szCs w:val="16"/>
                <w:lang w:val="lv-LV"/>
              </w:rPr>
            </w:pPr>
            <w:r w:rsidRPr="00550D35">
              <w:rPr>
                <w:rFonts w:eastAsiaTheme="minorEastAsia"/>
                <w:iCs/>
                <w:sz w:val="20"/>
                <w:szCs w:val="16"/>
                <w:lang w:val="lv-LV"/>
              </w:rPr>
              <w:t xml:space="preserve">Plānots apstiprināt vismaz 12 lielu investīciju projektus par aptuveno  kopējo investīciju projekta attiecināmo izmaksu summu 252 milj. </w:t>
            </w:r>
            <w:proofErr w:type="spellStart"/>
            <w:r w:rsidRPr="00550D35">
              <w:rPr>
                <w:rFonts w:eastAsiaTheme="minorEastAsia"/>
                <w:i/>
                <w:sz w:val="20"/>
                <w:szCs w:val="16"/>
                <w:lang w:val="lv-LV"/>
              </w:rPr>
              <w:t>euro</w:t>
            </w:r>
            <w:proofErr w:type="spellEnd"/>
            <w:r w:rsidRPr="00550D35">
              <w:rPr>
                <w:rFonts w:eastAsiaTheme="minorEastAsia"/>
                <w:iCs/>
                <w:sz w:val="20"/>
                <w:szCs w:val="16"/>
                <w:lang w:val="lv-LV"/>
              </w:rPr>
              <w:t xml:space="preserve">, un iespējamo kapitāla atlaidi 73 milj. </w:t>
            </w:r>
            <w:proofErr w:type="spellStart"/>
            <w:r w:rsidRPr="00550D35">
              <w:rPr>
                <w:rFonts w:eastAsiaTheme="minorEastAsia"/>
                <w:i/>
                <w:sz w:val="20"/>
                <w:szCs w:val="16"/>
                <w:lang w:val="lv-LV"/>
              </w:rPr>
              <w:t>euro</w:t>
            </w:r>
            <w:proofErr w:type="spellEnd"/>
            <w:r w:rsidRPr="00550D35">
              <w:rPr>
                <w:rFonts w:eastAsiaTheme="minorEastAsia"/>
                <w:iCs/>
                <w:sz w:val="20"/>
                <w:szCs w:val="16"/>
                <w:lang w:val="lv-LV"/>
              </w:rPr>
              <w:t xml:space="preserve"> apmērā.</w:t>
            </w:r>
          </w:p>
          <w:p w14:paraId="2A292909" w14:textId="76260023" w:rsidR="00852C3A" w:rsidRPr="00550D35" w:rsidRDefault="00852C3A" w:rsidP="00BA62A0">
            <w:pPr>
              <w:ind w:firstLine="0"/>
              <w:rPr>
                <w:rFonts w:eastAsiaTheme="minorEastAsia"/>
                <w:iCs/>
                <w:lang w:val="lv-LV"/>
              </w:rPr>
            </w:pPr>
            <w:r w:rsidRPr="00550D35">
              <w:rPr>
                <w:rFonts w:eastAsiaTheme="minorEastAsia"/>
                <w:iCs/>
                <w:sz w:val="20"/>
                <w:szCs w:val="16"/>
                <w:lang w:val="lv-LV"/>
              </w:rPr>
              <w:t xml:space="preserve">Lēmumu par atbalsta pieteikšanu pieņem </w:t>
            </w:r>
            <w:r>
              <w:rPr>
                <w:rFonts w:eastAsiaTheme="minorEastAsia"/>
                <w:iCs/>
                <w:sz w:val="20"/>
                <w:szCs w:val="16"/>
                <w:lang w:val="lv-LV"/>
              </w:rPr>
              <w:t xml:space="preserve">atbilstoši </w:t>
            </w:r>
            <w:r w:rsidR="00C73A5D">
              <w:rPr>
                <w:rFonts w:eastAsiaTheme="minorEastAsia"/>
                <w:iCs/>
                <w:sz w:val="20"/>
                <w:szCs w:val="16"/>
                <w:lang w:val="lv-LV"/>
              </w:rPr>
              <w:t>EK</w:t>
            </w:r>
            <w:r w:rsidRPr="00550D35">
              <w:rPr>
                <w:rFonts w:eastAsiaTheme="minorEastAsia"/>
                <w:iCs/>
                <w:sz w:val="20"/>
                <w:szCs w:val="16"/>
                <w:lang w:val="lv-LV"/>
              </w:rPr>
              <w:t xml:space="preserve"> regulas Nr.</w:t>
            </w:r>
            <w:r>
              <w:rPr>
                <w:rFonts w:eastAsiaTheme="minorEastAsia"/>
                <w:iCs/>
                <w:sz w:val="20"/>
                <w:szCs w:val="16"/>
                <w:lang w:val="lv-LV"/>
              </w:rPr>
              <w:t> </w:t>
            </w:r>
            <w:r w:rsidRPr="00550D35">
              <w:rPr>
                <w:rFonts w:eastAsiaTheme="minorEastAsia"/>
                <w:iCs/>
                <w:sz w:val="20"/>
                <w:szCs w:val="16"/>
                <w:lang w:val="lv-LV"/>
              </w:rPr>
              <w:t xml:space="preserve">651/2014 darbības noteiktajam termiņam. </w:t>
            </w:r>
          </w:p>
        </w:tc>
      </w:tr>
    </w:tbl>
    <w:p w14:paraId="1C1A619C" w14:textId="77777777" w:rsidR="00852C3A" w:rsidRPr="00550D35" w:rsidRDefault="00852C3A" w:rsidP="00852C3A">
      <w:pPr>
        <w:pStyle w:val="Text3"/>
        <w:ind w:left="0" w:firstLine="0"/>
        <w:rPr>
          <w:lang w:val="lv-LV"/>
        </w:rPr>
      </w:pPr>
    </w:p>
    <w:p w14:paraId="3B1F5EC9" w14:textId="77777777" w:rsidR="00852C3A" w:rsidRPr="00550D35" w:rsidRDefault="00852C3A" w:rsidP="00852C3A">
      <w:pPr>
        <w:pStyle w:val="Heading2"/>
        <w:rPr>
          <w:lang w:val="lv-LV"/>
        </w:rPr>
      </w:pPr>
      <w:r w:rsidRPr="00550D35">
        <w:rPr>
          <w:lang w:val="lv-LV"/>
        </w:rPr>
        <w:t>Galvenā politika, pasākumi un darbības, kas paredzēti, lai palīdzētu sasniegt vispārīgos mērķus</w:t>
      </w:r>
    </w:p>
    <w:p w14:paraId="3D8418F1" w14:textId="77777777" w:rsidR="00852C3A" w:rsidRPr="00550D35" w:rsidRDefault="00852C3A" w:rsidP="00852C3A">
      <w:pPr>
        <w:shd w:val="clear" w:color="auto" w:fill="FFFFFF" w:themeFill="background1"/>
        <w:ind w:firstLine="426"/>
        <w:rPr>
          <w:lang w:val="lv-LV"/>
        </w:rPr>
      </w:pPr>
    </w:p>
    <w:p w14:paraId="0FBD99D0" w14:textId="77777777" w:rsidR="00852C3A" w:rsidRPr="00550D35" w:rsidRDefault="00852C3A" w:rsidP="00852C3A">
      <w:pPr>
        <w:shd w:val="clear" w:color="auto" w:fill="FFFFFF" w:themeFill="background1"/>
        <w:ind w:firstLine="426"/>
        <w:rPr>
          <w:lang w:val="lv-LV"/>
        </w:rPr>
      </w:pPr>
      <w:r w:rsidRPr="00550D35">
        <w:rPr>
          <w:lang w:val="lv-LV"/>
        </w:rPr>
        <w:t>Īstenojamie pasākumi un darbības KPI “Pusvadītāji” jomā sniedz ieguldījumu ES līderības un suverenitātes veicināšanā.</w:t>
      </w:r>
    </w:p>
    <w:p w14:paraId="77C2863E" w14:textId="77777777" w:rsidR="00852C3A" w:rsidRPr="00550D35" w:rsidRDefault="00852C3A" w:rsidP="00852C3A">
      <w:pPr>
        <w:shd w:val="clear" w:color="auto" w:fill="FFFFFF" w:themeFill="background1"/>
        <w:ind w:firstLine="426"/>
        <w:rPr>
          <w:lang w:val="lv-LV"/>
        </w:rPr>
      </w:pPr>
      <w:r w:rsidRPr="00550D35">
        <w:rPr>
          <w:lang w:val="lv-LV"/>
        </w:rPr>
        <w:t>NAP2027 un NIP2027 paredz veicināt viedās industrializācijas procesus un atjaunot augstas pievienotās vērtības tehnoloģiju ražotnes.</w:t>
      </w:r>
    </w:p>
    <w:p w14:paraId="7CA4F5E0" w14:textId="77777777" w:rsidR="00852C3A" w:rsidRPr="00550D35" w:rsidRDefault="00852C3A" w:rsidP="00852C3A">
      <w:pPr>
        <w:shd w:val="clear" w:color="auto" w:fill="FFFFFF" w:themeFill="background1"/>
        <w:ind w:firstLine="426"/>
        <w:rPr>
          <w:lang w:val="lv-LV"/>
        </w:rPr>
      </w:pPr>
      <w:r w:rsidRPr="00550D35">
        <w:rPr>
          <w:lang w:val="lv-LV"/>
        </w:rPr>
        <w:t>NIP2027, kurās definētas nākamo septiņu gadu tautsaimniecības attīstības prioritātes, t.sk. inovāciju jomā, paredz palielināt izdevumu apjomu pētniecībai un attīstībai, savukārt, Viedās specializācijas stratēģija kā nacionāla mēroga pētniecības un inovācijas stratēģija tautsaimniecības transformācijai uz augstāku pievienoto vērtību un lielāku resursu izmantošanas efektivitāti, paredz Latvijas konkurētspējas priekšrocību radīšanu mikroshēmu, pusvadītāju un elektronisko integrālo shēmu attīstīšanā.</w:t>
      </w:r>
    </w:p>
    <w:p w14:paraId="5F798E3B" w14:textId="77777777" w:rsidR="00852C3A" w:rsidRPr="00550D35" w:rsidRDefault="00852C3A" w:rsidP="00852C3A">
      <w:pPr>
        <w:shd w:val="clear" w:color="auto" w:fill="FFFFFF" w:themeFill="background1"/>
        <w:ind w:firstLine="426"/>
        <w:rPr>
          <w:lang w:val="lv-LV"/>
        </w:rPr>
      </w:pPr>
      <w:r w:rsidRPr="00550D35">
        <w:rPr>
          <w:lang w:val="lv-LV"/>
        </w:rPr>
        <w:t>Inovatīvas uzņēmējdarbības un prioritāro investīciju atbalsta likumprojekts paredz veicināt investīciju piesaisti, eksportspēju vai inovāciju attīstību jomās, kas tiek īstenotas attīstības plānošanas dokumentos, nacionālās industriālās politikas vai digitālās transformācijas politikas ietvarā noteikto mērķu sasniegšanai.</w:t>
      </w:r>
    </w:p>
    <w:p w14:paraId="55525103" w14:textId="77777777" w:rsidR="00852C3A" w:rsidRPr="00550D35" w:rsidRDefault="00852C3A" w:rsidP="00852C3A">
      <w:pPr>
        <w:shd w:val="clear" w:color="auto" w:fill="FFFFFF" w:themeFill="background1"/>
        <w:ind w:firstLine="0"/>
        <w:rPr>
          <w:lang w:val="lv-LV"/>
        </w:rPr>
      </w:pPr>
      <w:r w:rsidRPr="00550D35">
        <w:rPr>
          <w:lang w:val="lv-LV"/>
        </w:rPr>
        <w:t>Saprašanās memorandam Latvijas spēju attīstībai elektronikai nepieciešamo mikroshēmu ražošanai, tostarp pusvadītāju ekosistēmas attīstīšanai, izglītības un pētniecības iespēju attīstīšanai, kā arī mikroshēmu izstrādes attīstīšanai un ražošanai Latvijā 2022.gadā pievienojušies LU MII, LU CFI, IZM, EM, VASES, SIA “</w:t>
      </w:r>
      <w:proofErr w:type="spellStart"/>
      <w:r w:rsidRPr="00550D35">
        <w:rPr>
          <w:lang w:val="lv-LV"/>
        </w:rPr>
        <w:t>Tet</w:t>
      </w:r>
      <w:proofErr w:type="spellEnd"/>
      <w:r w:rsidRPr="00550D35">
        <w:rPr>
          <w:lang w:val="lv-LV"/>
        </w:rPr>
        <w:t>”, SIA “</w:t>
      </w:r>
      <w:proofErr w:type="spellStart"/>
      <w:r w:rsidRPr="00550D35">
        <w:rPr>
          <w:lang w:val="lv-LV"/>
        </w:rPr>
        <w:t>MikroTik</w:t>
      </w:r>
      <w:proofErr w:type="spellEnd"/>
      <w:r w:rsidRPr="00550D35">
        <w:rPr>
          <w:lang w:val="lv-LV"/>
        </w:rPr>
        <w:t xml:space="preserve">”, Latvijas Darba devēju konfederācija, RTU, Liepājas speciālās ekonomiskās zonas pārvaldi un SIA “LMT”. </w:t>
      </w:r>
    </w:p>
    <w:p w14:paraId="51FAC94A" w14:textId="77777777" w:rsidR="00852C3A" w:rsidRPr="00550D35" w:rsidRDefault="00852C3A" w:rsidP="00852C3A">
      <w:pPr>
        <w:pStyle w:val="Heading2"/>
        <w:rPr>
          <w:lang w:val="lv-LV"/>
        </w:rPr>
      </w:pPr>
      <w:r w:rsidRPr="00550D35">
        <w:rPr>
          <w:lang w:val="lv-LV"/>
        </w:rPr>
        <w:t>ES līmeņa sadarbība</w:t>
      </w:r>
    </w:p>
    <w:p w14:paraId="1D08F6A0" w14:textId="77777777" w:rsidR="00852C3A" w:rsidRPr="00550D35" w:rsidRDefault="00852C3A" w:rsidP="00852C3A">
      <w:pPr>
        <w:pStyle w:val="Heading3"/>
        <w:rPr>
          <w:lang w:val="lv-LV"/>
        </w:rPr>
      </w:pPr>
      <w:r w:rsidRPr="00550D35">
        <w:rPr>
          <w:lang w:val="lv-LV"/>
        </w:rPr>
        <w:t>Daudzvalstu projekti</w:t>
      </w:r>
    </w:p>
    <w:p w14:paraId="7BEA0A53" w14:textId="77777777" w:rsidR="00852C3A" w:rsidRPr="00550D35" w:rsidRDefault="00852C3A" w:rsidP="00852C3A">
      <w:pPr>
        <w:rPr>
          <w:lang w:val="lv-LV"/>
        </w:rPr>
      </w:pPr>
      <w:r w:rsidRPr="00550D35">
        <w:rPr>
          <w:lang w:val="lv-LV"/>
        </w:rPr>
        <w:t xml:space="preserve">Ceļveža sagatavošanas laikā nav identificēti 1) </w:t>
      </w:r>
      <w:r w:rsidRPr="00550D35">
        <w:rPr>
          <w:noProof/>
          <w:lang w:val="lv-LV"/>
        </w:rPr>
        <w:t xml:space="preserve">daudzvalstu projekti, kas iekļauti pielikumā norādīto </w:t>
      </w:r>
      <w:r w:rsidRPr="00550D35">
        <w:rPr>
          <w:i/>
          <w:noProof/>
          <w:lang w:val="lv-LV"/>
        </w:rPr>
        <w:t>daudzvalstu</w:t>
      </w:r>
      <w:r w:rsidRPr="00550D35">
        <w:rPr>
          <w:noProof/>
          <w:lang w:val="lv-LV"/>
        </w:rPr>
        <w:t xml:space="preserve"> projektu jomu sarakstā vai dalībvalsts apņemas vai plāno uzņemties nākotnē;</w:t>
      </w:r>
      <w:r w:rsidRPr="00550D35">
        <w:rPr>
          <w:lang w:val="lv-LV"/>
        </w:rPr>
        <w:t xml:space="preserve"> 2) iespējamie jaunie daudzvalstu projekti, kuri vēl nav iekļauti Dekādes programmas lēmuma pielikumā minēto darbības jomu sarakstā, bet kuras  dalībvalsts uzskata par nepieciešamām; 3) Kopīgas apņemšanās, kurās dalībvalsts piedalās vai plāno iesaistīties.</w:t>
      </w:r>
    </w:p>
    <w:p w14:paraId="5C9B06D0" w14:textId="77777777" w:rsidR="00852C3A" w:rsidRPr="00550D35" w:rsidRDefault="00852C3A" w:rsidP="00852C3A">
      <w:pPr>
        <w:pStyle w:val="Text3"/>
        <w:rPr>
          <w:lang w:val="lv-LV"/>
        </w:rPr>
      </w:pPr>
    </w:p>
    <w:p w14:paraId="426152B9" w14:textId="77777777" w:rsidR="00852C3A" w:rsidRPr="00550D35" w:rsidRDefault="00852C3A" w:rsidP="00852C3A">
      <w:pPr>
        <w:pStyle w:val="Heading3"/>
        <w:rPr>
          <w:lang w:val="lv-LV"/>
        </w:rPr>
      </w:pPr>
      <w:r w:rsidRPr="00550D35">
        <w:rPr>
          <w:lang w:val="lv-LV"/>
        </w:rPr>
        <w:t>Veicinošie faktori ES līmenī</w:t>
      </w:r>
    </w:p>
    <w:p w14:paraId="3E345161" w14:textId="3D8B1550" w:rsidR="00803799" w:rsidRPr="00550D35" w:rsidRDefault="00803799" w:rsidP="00B84E44">
      <w:pPr>
        <w:rPr>
          <w:color w:val="000000"/>
          <w:shd w:val="clear" w:color="auto" w:fill="FFFFFF"/>
          <w:lang w:val="lv-LV"/>
        </w:rPr>
      </w:pPr>
      <w:r w:rsidRPr="00550D35">
        <w:rPr>
          <w:noProof/>
          <w:lang w:val="lv-LV"/>
        </w:rPr>
        <w:t>Kā galven</w:t>
      </w:r>
      <w:r>
        <w:rPr>
          <w:noProof/>
          <w:lang w:val="lv-LV"/>
        </w:rPr>
        <w:t>ais</w:t>
      </w:r>
      <w:r w:rsidRPr="00550D35">
        <w:rPr>
          <w:noProof/>
          <w:lang w:val="lv-LV"/>
        </w:rPr>
        <w:t xml:space="preserve"> veicinoš</w:t>
      </w:r>
      <w:r>
        <w:rPr>
          <w:noProof/>
          <w:lang w:val="lv-LV"/>
        </w:rPr>
        <w:t>ais</w:t>
      </w:r>
      <w:r w:rsidRPr="00550D35">
        <w:rPr>
          <w:noProof/>
          <w:lang w:val="lv-LV"/>
        </w:rPr>
        <w:t xml:space="preserve"> faktor</w:t>
      </w:r>
      <w:r>
        <w:rPr>
          <w:noProof/>
          <w:lang w:val="lv-LV"/>
        </w:rPr>
        <w:t>s</w:t>
      </w:r>
      <w:r w:rsidRPr="00550D35">
        <w:rPr>
          <w:noProof/>
          <w:lang w:val="lv-LV"/>
        </w:rPr>
        <w:t xml:space="preserve"> ES līmenī </w:t>
      </w:r>
      <w:r>
        <w:rPr>
          <w:noProof/>
          <w:lang w:val="lv-LV"/>
        </w:rPr>
        <w:t>vērtējams</w:t>
      </w:r>
      <w:r w:rsidRPr="00550D35">
        <w:rPr>
          <w:noProof/>
          <w:lang w:val="lv-LV"/>
        </w:rPr>
        <w:t xml:space="preserve"> Eiropas Mikroshēmu akta regulas priekšlikum</w:t>
      </w:r>
      <w:r>
        <w:rPr>
          <w:noProof/>
          <w:lang w:val="lv-LV"/>
        </w:rPr>
        <w:t>s</w:t>
      </w:r>
      <w:r w:rsidRPr="00550D35">
        <w:rPr>
          <w:rStyle w:val="FootnoteReference"/>
          <w:noProof/>
          <w:lang w:val="lv-LV"/>
        </w:rPr>
        <w:footnoteReference w:id="51"/>
      </w:r>
      <w:r w:rsidRPr="00550D35">
        <w:rPr>
          <w:color w:val="000000"/>
          <w:shd w:val="clear" w:color="auto" w:fill="FFFFFF"/>
          <w:lang w:val="lv-LV"/>
        </w:rPr>
        <w:t xml:space="preserve">, kura mērķis ir </w:t>
      </w:r>
      <w:r>
        <w:rPr>
          <w:color w:val="000000"/>
          <w:shd w:val="clear" w:color="auto" w:fill="FFFFFF"/>
          <w:lang w:val="lv-LV"/>
        </w:rPr>
        <w:t xml:space="preserve">kāpināt ES </w:t>
      </w:r>
      <w:r w:rsidRPr="00550D35">
        <w:rPr>
          <w:color w:val="000000"/>
          <w:shd w:val="clear" w:color="auto" w:fill="FFFFFF"/>
          <w:lang w:val="lv-LV"/>
        </w:rPr>
        <w:t>inovācij</w:t>
      </w:r>
      <w:r>
        <w:rPr>
          <w:color w:val="000000"/>
          <w:shd w:val="clear" w:color="auto" w:fill="FFFFFF"/>
          <w:lang w:val="lv-LV"/>
        </w:rPr>
        <w:t>u</w:t>
      </w:r>
      <w:r w:rsidRPr="00550D35">
        <w:rPr>
          <w:color w:val="000000"/>
          <w:shd w:val="clear" w:color="auto" w:fill="FFFFFF"/>
          <w:lang w:val="lv-LV"/>
        </w:rPr>
        <w:t xml:space="preserve"> un atbilstošas tehnoloģiskās </w:t>
      </w:r>
      <w:r w:rsidRPr="00550D35">
        <w:rPr>
          <w:color w:val="000000"/>
          <w:shd w:val="clear" w:color="auto" w:fill="FFFFFF"/>
          <w:lang w:val="lv-LV"/>
        </w:rPr>
        <w:lastRenderedPageBreak/>
        <w:t xml:space="preserve">spējas pusvadītāju nozarē, palielināt ES noturību un piegādes drošību pusvadītāju tehnoloģiju jomā, atbalstot un koordinējot ieguldījumus modernā pusvadītāju ražošanā, kā arī nodrošinātu koordinētu uzraudzību un reaģēšanu krīzes situācijās. </w:t>
      </w:r>
      <w:r w:rsidRPr="00550D35">
        <w:rPr>
          <w:noProof/>
          <w:lang w:val="lv-LV"/>
        </w:rPr>
        <w:t xml:space="preserve">Minēto vispilnīgāk var īstenot ES līmenī, ņemot vērā nepieciešamo ieguldījumu apjomu un  ražošanas pozitīvo ietekmi uz ekosistēmu. Papildus minētajam, sadarbība ES līmenī, t.sk., lēmumu pieņemšanā Eiropas Pusvadītāju padomē Eiropas Mikroshēmu akta ietvaros, palīdzēs </w:t>
      </w:r>
      <w:r w:rsidRPr="00550D35">
        <w:rPr>
          <w:color w:val="000000"/>
          <w:shd w:val="clear" w:color="auto" w:fill="FFFFFF"/>
          <w:lang w:val="lv-LV"/>
        </w:rPr>
        <w:t>nodrošināt koordinētu uzraudzību un reaģēšanu krīzes situācijās.</w:t>
      </w:r>
    </w:p>
    <w:p w14:paraId="22EADA0B" w14:textId="77777777" w:rsidR="00852C3A" w:rsidRPr="00550D35" w:rsidRDefault="00852C3A" w:rsidP="00852C3A">
      <w:pPr>
        <w:rPr>
          <w:lang w:val="lv-LV"/>
        </w:rPr>
      </w:pPr>
      <w:r w:rsidRPr="00550D35">
        <w:rPr>
          <w:lang w:val="lv-LV"/>
        </w:rPr>
        <w:t xml:space="preserve">Kā būtisks veicinošais faktors ES līmenī ir minama papildus specifiskā mērķa “Pusvadītāji” iekļaušana DEP, ar kuru atbalsta uzņēmumus un MVU, arī veicot ieguldījumus digitālo prasmju jomā. 70% uzņēmumu norāda, ka investīcijām šķērslis ir darbinieku trūkums ar atbilstošām digitālajām prasmēm DEP pamata darba programmā 2023.-2024.gadam iekļautie konkursu temati veicinās  ieguldījumus prasmju pilnveidē, lai nodrošinātu darbaspēku tādām progresīvām digitālām tehnoloģijām kā MI, </w:t>
      </w:r>
      <w:proofErr w:type="spellStart"/>
      <w:r w:rsidRPr="00550D35">
        <w:rPr>
          <w:lang w:val="lv-LV"/>
        </w:rPr>
        <w:t>kiberdrošība</w:t>
      </w:r>
      <w:proofErr w:type="spellEnd"/>
      <w:r w:rsidRPr="00550D35">
        <w:rPr>
          <w:lang w:val="lv-LV"/>
        </w:rPr>
        <w:t xml:space="preserve"> un datu infrastruktūra. Tāpat tiks risināti jauni pasākumi potenciālo darbinieku ar īpašām zināšanām pusvadītāju jomā trūkums ar holistisku pieeju, lai palielinātu nozares pievilcību, vienlaikus uzsākot jaunas iniciatīvas, lai piesaistītu gan tehniķus, gan absolventus un mazinātu plaisu starp izglītību un tirgus pieprasījumu.</w:t>
      </w:r>
    </w:p>
    <w:p w14:paraId="26BBA95F" w14:textId="77777777" w:rsidR="00852C3A" w:rsidRPr="00550D35" w:rsidRDefault="00852C3A" w:rsidP="00852C3A">
      <w:pPr>
        <w:rPr>
          <w:noProof/>
          <w:lang w:val="lv-LV"/>
        </w:rPr>
      </w:pPr>
    </w:p>
    <w:p w14:paraId="085D5F08" w14:textId="77777777" w:rsidR="00852C3A" w:rsidRPr="00550D35" w:rsidRDefault="00852C3A" w:rsidP="00852C3A">
      <w:pPr>
        <w:pStyle w:val="Heading2"/>
        <w:rPr>
          <w:lang w:val="lv-LV"/>
        </w:rPr>
      </w:pPr>
      <w:r w:rsidRPr="00550D35">
        <w:rPr>
          <w:lang w:val="lv-LV"/>
        </w:rPr>
        <w:t>Ieinteresēto personu atsauksmes</w:t>
      </w:r>
    </w:p>
    <w:p w14:paraId="35F0156C" w14:textId="5426D539" w:rsidR="005F1587" w:rsidRPr="004A1E5B" w:rsidRDefault="00852C3A" w:rsidP="004A1E5B">
      <w:pPr>
        <w:rPr>
          <w:lang w:val="lv-LV"/>
        </w:rPr>
      </w:pPr>
      <w:r w:rsidRPr="00550D35">
        <w:rPr>
          <w:lang w:val="lv-LV"/>
        </w:rPr>
        <w:t xml:space="preserve">Par KPI “Pusvadītāji” </w:t>
      </w:r>
      <w:r w:rsidR="005F1587">
        <w:rPr>
          <w:lang w:val="lv-LV"/>
        </w:rPr>
        <w:t xml:space="preserve">saņemta VASES </w:t>
      </w:r>
      <w:r w:rsidRPr="00550D35">
        <w:rPr>
          <w:lang w:val="lv-LV"/>
        </w:rPr>
        <w:t>atsauksme</w:t>
      </w:r>
      <w:r w:rsidR="004A1E5B">
        <w:rPr>
          <w:lang w:val="lv-LV"/>
        </w:rPr>
        <w:t xml:space="preserve">, </w:t>
      </w:r>
      <w:r w:rsidR="009C14C2">
        <w:rPr>
          <w:lang w:val="lv-LV"/>
        </w:rPr>
        <w:t xml:space="preserve">ar </w:t>
      </w:r>
      <w:r w:rsidR="004A1E5B">
        <w:rPr>
          <w:lang w:val="lv-LV"/>
        </w:rPr>
        <w:t>kur</w:t>
      </w:r>
      <w:r w:rsidR="009C14C2">
        <w:rPr>
          <w:lang w:val="lv-LV"/>
        </w:rPr>
        <w:t>u</w:t>
      </w:r>
      <w:r w:rsidR="000C4DD9">
        <w:rPr>
          <w:lang w:val="lv-LV"/>
        </w:rPr>
        <w:t xml:space="preserve"> </w:t>
      </w:r>
      <w:r w:rsidR="009C14C2">
        <w:rPr>
          <w:lang w:val="lv-LV"/>
        </w:rPr>
        <w:t>VASES</w:t>
      </w:r>
      <w:r w:rsidR="000C4DD9">
        <w:rPr>
          <w:lang w:val="lv-LV"/>
        </w:rPr>
        <w:t xml:space="preserve"> atbalsta ceļveža Latvijai sadaļā </w:t>
      </w:r>
      <w:r w:rsidR="009C14C2">
        <w:rPr>
          <w:lang w:val="lv-LV"/>
        </w:rPr>
        <w:t xml:space="preserve">“Pusvadītāji” </w:t>
      </w:r>
      <w:r w:rsidR="000C4DD9">
        <w:rPr>
          <w:lang w:val="lv-LV"/>
        </w:rPr>
        <w:t>iekļauto informāciju</w:t>
      </w:r>
      <w:r w:rsidR="00891A8C">
        <w:rPr>
          <w:lang w:val="lv-LV"/>
        </w:rPr>
        <w:t>:</w:t>
      </w:r>
      <w:r w:rsidR="00492792">
        <w:rPr>
          <w:lang w:val="lv-LV"/>
        </w:rPr>
        <w:t xml:space="preserve"> </w:t>
      </w:r>
      <w:r w:rsidR="00891A8C">
        <w:rPr>
          <w:lang w:val="lv-LV"/>
        </w:rPr>
        <w:t>“</w:t>
      </w:r>
      <w:r w:rsidR="005F1587" w:rsidRPr="004A1E5B">
        <w:rPr>
          <w:lang w:val="lv-LV"/>
        </w:rPr>
        <w:t xml:space="preserve">Pēdējās desmitgadēs aizvien straujāk pieaug nepieciešamība pēc piekļuves elektronisko sakaru satura pakalpojumiem ar interneta starpniecību, lai nodrošinātu tādus komerciālus pakalpojumus kā izklaide, tiešsaistes navigācijas datu nodrošināšana, liela apjoma foto un video pārsūtīšana u.c.  Interneta piekļuves pakalpojums nodrošina piekļuvi un pārraidi publiskajā interneta vidē pieejamajai informācijai, saturam un datu apmaiņai, kas kļūst īpaši būtiski </w:t>
      </w:r>
      <w:proofErr w:type="spellStart"/>
      <w:r w:rsidR="005F1587" w:rsidRPr="004A1E5B">
        <w:rPr>
          <w:lang w:val="lv-LV"/>
        </w:rPr>
        <w:t>starpierīču</w:t>
      </w:r>
      <w:proofErr w:type="spellEnd"/>
      <w:r w:rsidR="005F1587" w:rsidRPr="004A1E5B">
        <w:rPr>
          <w:lang w:val="lv-LV"/>
        </w:rPr>
        <w:t xml:space="preserve"> saziņas (</w:t>
      </w:r>
      <w:r w:rsidR="005F1587" w:rsidRPr="004A1E5B">
        <w:rPr>
          <w:i/>
          <w:iCs/>
          <w:lang w:val="lv-LV"/>
        </w:rPr>
        <w:t>M2M</w:t>
      </w:r>
      <w:r w:rsidR="005F1587" w:rsidRPr="004A1E5B">
        <w:rPr>
          <w:lang w:val="lv-LV"/>
        </w:rPr>
        <w:t>) un lietu interneta (</w:t>
      </w:r>
      <w:proofErr w:type="spellStart"/>
      <w:r w:rsidR="005F1587" w:rsidRPr="004A1E5B">
        <w:rPr>
          <w:i/>
          <w:iCs/>
          <w:lang w:val="lv-LV"/>
        </w:rPr>
        <w:t>IoT</w:t>
      </w:r>
      <w:proofErr w:type="spellEnd"/>
      <w:r w:rsidR="005F1587" w:rsidRPr="004A1E5B">
        <w:rPr>
          <w:lang w:val="lv-LV"/>
        </w:rPr>
        <w:t>) risinājumos, tādēļ ļoti būtisku lomu spēlē platjoslas interneta kvalitāte un pieejamība. Lai apmierinātu šīs augošās prasības, nepieciešamas ātrdarbīgas elektroniskās un optiskās sakaru iekārtas, un pusvadītāji kļūst par šo iekārtu pamattehnoloģiju. Eiropas pusvadītāju ražošanas iniciatīvas mērķis ir līdz 2030.</w:t>
      </w:r>
      <w:r w:rsidR="00952663">
        <w:rPr>
          <w:lang w:val="lv-LV"/>
        </w:rPr>
        <w:t> </w:t>
      </w:r>
      <w:r w:rsidR="005F1587" w:rsidRPr="004A1E5B">
        <w:rPr>
          <w:lang w:val="lv-LV"/>
        </w:rPr>
        <w:t xml:space="preserve">gadam palielināt pusvadītāju piedāvājumu līdz </w:t>
      </w:r>
      <w:r w:rsidR="004A1E5B">
        <w:rPr>
          <w:lang w:val="lv-LV"/>
        </w:rPr>
        <w:t>2</w:t>
      </w:r>
      <w:r w:rsidR="005F1587" w:rsidRPr="004A1E5B">
        <w:rPr>
          <w:lang w:val="lv-LV"/>
        </w:rPr>
        <w:t>0</w:t>
      </w:r>
      <w:r w:rsidR="00952663">
        <w:rPr>
          <w:lang w:val="lv-LV"/>
        </w:rPr>
        <w:t> </w:t>
      </w:r>
      <w:r w:rsidR="005F1587" w:rsidRPr="004A1E5B">
        <w:rPr>
          <w:lang w:val="lv-LV"/>
        </w:rPr>
        <w:t>% no kopējā pasaules piedāvājuma, un šajā kontekstā Latvijai ir iespējas piedāvāt savas zināšanas un prasmes pusvadītāju  attīstībai.</w:t>
      </w:r>
    </w:p>
    <w:p w14:paraId="5672A760" w14:textId="40385406" w:rsidR="005F1587" w:rsidRPr="004A1E5B" w:rsidRDefault="005F1587" w:rsidP="004A1E5B">
      <w:pPr>
        <w:rPr>
          <w:lang w:val="lv-LV"/>
        </w:rPr>
      </w:pPr>
      <w:r w:rsidRPr="004A1E5B">
        <w:rPr>
          <w:lang w:val="lv-LV"/>
        </w:rPr>
        <w:t xml:space="preserve">VASES ir aktīvs elektronisko sakaru tirgus dalībnieks un tās misija ir nodrošināt valsts ierobežoto resursu, radiofrekvenču spektra un numerācijas, efektīvu pārvaldību, radot priekšnosacījumus elektronisko sakaru tirgus attīstībai atbilstoši sabiedrības un valsts interesēm. Kā viena no būtiskām VASES lomām ir radioiekārtu elektromagnētiskās saderības novērtējums, kas ir ciešā </w:t>
      </w:r>
      <w:proofErr w:type="spellStart"/>
      <w:r w:rsidRPr="004A1E5B">
        <w:rPr>
          <w:lang w:val="lv-LV"/>
        </w:rPr>
        <w:t>sazobē</w:t>
      </w:r>
      <w:proofErr w:type="spellEnd"/>
      <w:r w:rsidRPr="004A1E5B">
        <w:rPr>
          <w:lang w:val="lv-LV"/>
        </w:rPr>
        <w:t xml:space="preserve"> ar ātrdarbīgo sakaru iekārtu darbības efektivitātes un drošuma uzlabošanu.</w:t>
      </w:r>
    </w:p>
    <w:p w14:paraId="078BF13C" w14:textId="66EEF6F6" w:rsidR="005F1587" w:rsidRDefault="005F1587" w:rsidP="005F1587">
      <w:pPr>
        <w:rPr>
          <w:lang w:val="lv-LV"/>
        </w:rPr>
      </w:pPr>
      <w:r w:rsidRPr="004A1E5B">
        <w:rPr>
          <w:lang w:val="lv-LV"/>
        </w:rPr>
        <w:t>VASES atbalsta pusvadītāju sadaļu “Digitālās dekādes ceļvedī Latvijai līdz 2030.</w:t>
      </w:r>
      <w:r w:rsidR="00952663">
        <w:rPr>
          <w:lang w:val="lv-LV"/>
        </w:rPr>
        <w:t> </w:t>
      </w:r>
      <w:r w:rsidRPr="004A1E5B">
        <w:rPr>
          <w:lang w:val="lv-LV"/>
        </w:rPr>
        <w:t xml:space="preserve">gadam” pusvadītāju izstrādes, ražošanas un testēšanas attīstībā, un saredz savu </w:t>
      </w:r>
      <w:r w:rsidR="00AE569A">
        <w:rPr>
          <w:lang w:val="lv-LV"/>
        </w:rPr>
        <w:t>lomu</w:t>
      </w:r>
      <w:r w:rsidR="00AE569A" w:rsidRPr="004A1E5B">
        <w:rPr>
          <w:lang w:val="lv-LV"/>
        </w:rPr>
        <w:t xml:space="preserve"> </w:t>
      </w:r>
      <w:r w:rsidRPr="004A1E5B">
        <w:rPr>
          <w:lang w:val="lv-LV"/>
        </w:rPr>
        <w:t xml:space="preserve">šajā procesā gan Latvijā, gan </w:t>
      </w:r>
      <w:r w:rsidR="00492792">
        <w:rPr>
          <w:lang w:val="lv-LV"/>
        </w:rPr>
        <w:t>p</w:t>
      </w:r>
      <w:r w:rsidRPr="004A1E5B">
        <w:rPr>
          <w:lang w:val="lv-LV"/>
        </w:rPr>
        <w:t>asaulē.</w:t>
      </w:r>
    </w:p>
    <w:p w14:paraId="01136E42" w14:textId="1614E267" w:rsidR="00852C3A" w:rsidRPr="00550D35" w:rsidRDefault="00B51410" w:rsidP="00047DB6">
      <w:pPr>
        <w:ind w:firstLine="0"/>
        <w:rPr>
          <w:b/>
          <w:bCs/>
          <w:lang w:val="lv-LV"/>
        </w:rPr>
      </w:pPr>
      <w:r>
        <w:rPr>
          <w:lang w:val="lv-LV"/>
        </w:rPr>
        <w:t xml:space="preserve">Pusvadītāju </w:t>
      </w:r>
      <w:proofErr w:type="spellStart"/>
      <w:r>
        <w:rPr>
          <w:lang w:val="lv-LV"/>
        </w:rPr>
        <w:t>mērķrādītājs</w:t>
      </w:r>
      <w:proofErr w:type="spellEnd"/>
      <w:r>
        <w:rPr>
          <w:lang w:val="lv-LV"/>
        </w:rPr>
        <w:t xml:space="preserve"> 2030. gadam saskaņots ar </w:t>
      </w:r>
      <w:r w:rsidR="004D3F7D">
        <w:rPr>
          <w:lang w:val="lv-LV"/>
        </w:rPr>
        <w:t>RTU,</w:t>
      </w:r>
      <w:r>
        <w:rPr>
          <w:lang w:val="lv-LV"/>
        </w:rPr>
        <w:t xml:space="preserve"> kuras koordinētā vadībā Latvijā tiek organizēta pusvadītāju ieinteresēto pušu sadarbības un padomdevēju grupa, kurā ietilpst pārstāvji no publiskā, privātā un akadēmiskā sektora.</w:t>
      </w:r>
    </w:p>
    <w:p w14:paraId="61797DDE" w14:textId="77777777" w:rsidR="00852C3A" w:rsidRPr="00550D35" w:rsidRDefault="00852C3A" w:rsidP="00852C3A">
      <w:pPr>
        <w:pStyle w:val="Heading2"/>
        <w:rPr>
          <w:lang w:val="lv-LV"/>
        </w:rPr>
      </w:pPr>
      <w:r w:rsidRPr="00550D35">
        <w:rPr>
          <w:lang w:val="lv-LV"/>
        </w:rPr>
        <w:t>Vispārējā ietekme un secinājumi</w:t>
      </w:r>
    </w:p>
    <w:p w14:paraId="0CDE87B8" w14:textId="77777777" w:rsidR="00852C3A" w:rsidRPr="00550D35" w:rsidRDefault="00852C3A" w:rsidP="008F0BF8">
      <w:pPr>
        <w:rPr>
          <w:lang w:val="lv-LV"/>
        </w:rPr>
      </w:pPr>
      <w:r w:rsidRPr="00550D35">
        <w:rPr>
          <w:rStyle w:val="normaltextrun"/>
          <w:color w:val="000000"/>
          <w:shd w:val="clear" w:color="auto" w:fill="FFFFFF"/>
          <w:lang w:val="lv-LV"/>
        </w:rPr>
        <w:t xml:space="preserve">ES kopējā šī brīža pusvadītāju tirgus daļa ir 10 % no kopējās saražoto pusvadītāju vērtības pasaulē, kas ir krietni mazāka par ES kopējo globālo ekonomisko nozīmi. Neskatoties uz spēcīgo pozīciju materiālu un iekārtu ražošanā, ES ir atkarīga no trešo </w:t>
      </w:r>
      <w:r w:rsidRPr="00550D35">
        <w:rPr>
          <w:rStyle w:val="normaltextrun"/>
          <w:color w:val="000000"/>
          <w:shd w:val="clear" w:color="auto" w:fill="FFFFFF"/>
          <w:lang w:val="lv-LV"/>
        </w:rPr>
        <w:lastRenderedPageBreak/>
        <w:t>valstu piegādātājiem mikroshēmu projektēšanas, ražošanas, iepakošanas, testēšanas un montāžas jomā. </w:t>
      </w:r>
      <w:r w:rsidRPr="00550D35">
        <w:rPr>
          <w:rStyle w:val="eop"/>
          <w:color w:val="000000"/>
          <w:shd w:val="clear" w:color="auto" w:fill="FFFFFF"/>
          <w:lang w:val="lv-LV"/>
        </w:rPr>
        <w:t> </w:t>
      </w:r>
    </w:p>
    <w:p w14:paraId="50094328" w14:textId="77777777" w:rsidR="00852C3A" w:rsidRPr="00550D35" w:rsidRDefault="00852C3A" w:rsidP="008F0BF8">
      <w:pPr>
        <w:rPr>
          <w:lang w:val="lv-LV"/>
        </w:rPr>
      </w:pPr>
      <w:r w:rsidRPr="00550D35">
        <w:rPr>
          <w:lang w:val="lv-LV"/>
        </w:rPr>
        <w:t xml:space="preserve">Latvijai pusvadītāju ekosistēma ir īpaši svarīga, ņemot vērā, ka Latvijā strauji attīstās industrija, kas strādā pie nākamās paaudzes IKT produktu izstrādes un ieviešanas, kuros būtiska loma ir pusvadītājiem. Attiecīgi, Dekādes programmā ietvertā ambīcija attiecībā uz KPI “pusvadītāji” kalpos par stimulu pusvadītāju izstrādes un ražošanas attīstībai Latvijā, atbalstot ES konkurētspējas celšanu globālā mērogā un digitālās dekādes </w:t>
      </w:r>
      <w:proofErr w:type="spellStart"/>
      <w:r w:rsidRPr="00550D35">
        <w:rPr>
          <w:lang w:val="lv-LV"/>
        </w:rPr>
        <w:t>mērķrādītāja</w:t>
      </w:r>
      <w:proofErr w:type="spellEnd"/>
      <w:r w:rsidRPr="00550D35">
        <w:rPr>
          <w:lang w:val="lv-LV"/>
        </w:rPr>
        <w:t xml:space="preserve"> ES mērķa vērtības sasniegšanu.</w:t>
      </w:r>
    </w:p>
    <w:p w14:paraId="0E6240E8" w14:textId="77777777" w:rsidR="00852C3A" w:rsidRPr="00550D35" w:rsidRDefault="00852C3A" w:rsidP="008F0BF8">
      <w:pPr>
        <w:rPr>
          <w:lang w:val="lv-LV"/>
        </w:rPr>
      </w:pPr>
      <w:r w:rsidRPr="00550D35">
        <w:rPr>
          <w:rStyle w:val="normaltextrun"/>
          <w:color w:val="000000"/>
          <w:shd w:val="clear" w:color="auto" w:fill="FFFFFF"/>
          <w:lang w:val="lv-LV"/>
        </w:rPr>
        <w:t xml:space="preserve">Latvijā pusvadītāju ekosistēmā ietilpst vairāk kā 100 dažāda veida institūcijas, organizācijas, uzņēmumi, pētniecības un pielietojumu centri. </w:t>
      </w:r>
      <w:r w:rsidRPr="00550D35">
        <w:rPr>
          <w:lang w:val="lv-LV"/>
        </w:rPr>
        <w:t xml:space="preserve">Latvijā jau šobrīd ir iespējams nodrošināt pusvadītāju agrīno pētniecību un izstrādi. Pusvadītāju  memoranda parakstīšana starp izglītības, pētniecības, uzņēmējus pārstāvošo organizāciju, privāto un valsts sektoru ir svarīgs solis vietējās pusvadītāju ražošanas ekosistēmas nostiprināšanā, tai skaitā kopējās ES mēroga neatkarības veicināšanā. </w:t>
      </w:r>
    </w:p>
    <w:p w14:paraId="6A60C2EB" w14:textId="4350B812" w:rsidR="00852C3A" w:rsidRPr="00550D35" w:rsidRDefault="00852C3A" w:rsidP="008F0BF8">
      <w:pPr>
        <w:rPr>
          <w:lang w:val="lv-LV"/>
        </w:rPr>
      </w:pPr>
      <w:r w:rsidRPr="00550D35">
        <w:rPr>
          <w:lang w:val="lv-LV"/>
        </w:rPr>
        <w:t xml:space="preserve">Latvijā ir plānots atbalstīt drošas, izturīgas, </w:t>
      </w:r>
      <w:proofErr w:type="spellStart"/>
      <w:r w:rsidRPr="00550D35">
        <w:rPr>
          <w:lang w:val="lv-LV"/>
        </w:rPr>
        <w:t>veiktspējīgas</w:t>
      </w:r>
      <w:proofErr w:type="spellEnd"/>
      <w:r w:rsidRPr="00550D35">
        <w:rPr>
          <w:lang w:val="lv-LV"/>
        </w:rPr>
        <w:t xml:space="preserve"> un ilgtspējīgas digitālās infrastruktūras</w:t>
      </w:r>
      <w:r w:rsidR="008F0BF8" w:rsidRPr="00550D35">
        <w:rPr>
          <w:lang w:val="lv-LV"/>
        </w:rPr>
        <w:t xml:space="preserve"> </w:t>
      </w:r>
      <w:r w:rsidR="008F0BF8">
        <w:rPr>
          <w:lang w:val="lv-LV"/>
        </w:rPr>
        <w:t>–</w:t>
      </w:r>
      <w:r w:rsidR="008F0BF8" w:rsidRPr="00550D35">
        <w:rPr>
          <w:lang w:val="lv-LV"/>
        </w:rPr>
        <w:t xml:space="preserve"> </w:t>
      </w:r>
      <w:r w:rsidRPr="00550D35">
        <w:rPr>
          <w:lang w:val="lv-LV"/>
        </w:rPr>
        <w:t>spēcīgas zināšanu bāzes veidošanu un sinerģijas uzlabošanu P&amp;I  pusvadītāju jomā un izstrādē kā piegādes ķēdes daļā, lai līdz 2030. gadam stiprinātu ES kā globālu dalībnieku pusvadītāju tehnoloģijās un to lietojumu jomā ar pieaugošu globālo daļu (vismaz 20%) ražošanā.</w:t>
      </w:r>
    </w:p>
    <w:p w14:paraId="5628AFE7" w14:textId="4314F048" w:rsidR="00852C3A" w:rsidRPr="00550D35" w:rsidRDefault="00852C3A" w:rsidP="00F76C8C">
      <w:pPr>
        <w:rPr>
          <w:lang w:val="lv-LV"/>
        </w:rPr>
      </w:pPr>
      <w:r w:rsidRPr="00550D35">
        <w:rPr>
          <w:lang w:val="lv-LV"/>
        </w:rPr>
        <w:t>Nodaļā KPI “Pusvadītāji” minētā politika un pasākumi sniegs ieguldījumu paātrinot centienus savienojamības infrastruktūras attīstīšanā, t.sk., sniegs ieguldījumu, lai palīdzētu ES kļūt par spēcīgu tirgus dalībnieku pusvadītāju jomā, kā tas norādīts EK ieteikumā Digitālās dekādes 2023.gada ziņojumā par Latviju.</w:t>
      </w:r>
    </w:p>
    <w:p w14:paraId="71F11099" w14:textId="77777777" w:rsidR="00852C3A" w:rsidRPr="00550D35" w:rsidRDefault="00852C3A" w:rsidP="00B52E9B">
      <w:pPr>
        <w:pStyle w:val="Heading1"/>
      </w:pPr>
      <w:bookmarkStart w:id="18" w:name="_Toc152674522"/>
      <w:bookmarkStart w:id="19" w:name="_Toc155952338"/>
      <w:r w:rsidRPr="00550D35">
        <w:t>Perifērijas mezgli</w:t>
      </w:r>
      <w:bookmarkEnd w:id="18"/>
      <w:bookmarkEnd w:id="19"/>
    </w:p>
    <w:p w14:paraId="4816BC10" w14:textId="77777777" w:rsidR="00852C3A" w:rsidRPr="00550D35" w:rsidRDefault="00852C3A" w:rsidP="00852C3A">
      <w:pPr>
        <w:spacing w:before="0" w:line="259" w:lineRule="auto"/>
        <w:contextualSpacing/>
        <w:rPr>
          <w:i/>
          <w:iCs/>
          <w:szCs w:val="24"/>
          <w:lang w:val="lv-LV"/>
        </w:rPr>
      </w:pPr>
      <w:r w:rsidRPr="00550D35">
        <w:rPr>
          <w:b/>
          <w:bCs/>
          <w:i/>
          <w:iCs/>
          <w:szCs w:val="24"/>
          <w:lang w:val="lv-LV"/>
        </w:rPr>
        <w:t xml:space="preserve">Perifērijas mezgli, </w:t>
      </w:r>
      <w:r w:rsidRPr="00550D35">
        <w:rPr>
          <w:i/>
          <w:iCs/>
          <w:szCs w:val="24"/>
          <w:lang w:val="lv-LV"/>
        </w:rPr>
        <w:t xml:space="preserve">kas </w:t>
      </w:r>
      <w:r w:rsidRPr="00550D35">
        <w:rPr>
          <w:rStyle w:val="word"/>
          <w:i/>
          <w:iCs/>
          <w:szCs w:val="24"/>
          <w:lang w:val="lv-LV"/>
        </w:rPr>
        <w:t xml:space="preserve">tiek mērīti </w:t>
      </w:r>
      <w:r w:rsidRPr="00550D35">
        <w:rPr>
          <w:i/>
          <w:iCs/>
          <w:szCs w:val="24"/>
          <w:lang w:val="lv-LV"/>
        </w:rPr>
        <w:t xml:space="preserve">pēc to </w:t>
      </w:r>
      <w:proofErr w:type="spellStart"/>
      <w:r w:rsidRPr="00550D35">
        <w:rPr>
          <w:i/>
          <w:iCs/>
          <w:szCs w:val="24"/>
          <w:lang w:val="lv-LV"/>
        </w:rPr>
        <w:t>datošanas</w:t>
      </w:r>
      <w:proofErr w:type="spellEnd"/>
      <w:r w:rsidRPr="00550D35">
        <w:rPr>
          <w:i/>
          <w:iCs/>
          <w:szCs w:val="24"/>
          <w:lang w:val="lv-LV"/>
        </w:rPr>
        <w:t xml:space="preserve"> mezglu skaita, kuru latentums ir mazāks par 20 </w:t>
      </w:r>
      <w:proofErr w:type="spellStart"/>
      <w:r w:rsidRPr="00550D35">
        <w:rPr>
          <w:i/>
          <w:iCs/>
          <w:szCs w:val="24"/>
          <w:lang w:val="lv-LV"/>
        </w:rPr>
        <w:t>milisekundēm</w:t>
      </w:r>
      <w:proofErr w:type="spellEnd"/>
      <w:r w:rsidRPr="00550D35">
        <w:rPr>
          <w:i/>
          <w:iCs/>
          <w:szCs w:val="24"/>
          <w:lang w:val="lv-LV"/>
        </w:rPr>
        <w:t xml:space="preserve">; piemēram, atsevišķs serveris vai cits savienotu </w:t>
      </w:r>
      <w:proofErr w:type="spellStart"/>
      <w:r w:rsidRPr="00550D35">
        <w:rPr>
          <w:i/>
          <w:iCs/>
          <w:szCs w:val="24"/>
          <w:lang w:val="lv-LV"/>
        </w:rPr>
        <w:t>datošanas</w:t>
      </w:r>
      <w:proofErr w:type="spellEnd"/>
      <w:r w:rsidRPr="00550D35">
        <w:rPr>
          <w:i/>
          <w:iCs/>
          <w:szCs w:val="24"/>
          <w:lang w:val="lv-LV"/>
        </w:rPr>
        <w:t xml:space="preserve"> resursu kopums, ko ekspluatē kā daļu no </w:t>
      </w:r>
      <w:proofErr w:type="spellStart"/>
      <w:r w:rsidRPr="00550D35">
        <w:rPr>
          <w:i/>
          <w:iCs/>
          <w:szCs w:val="24"/>
          <w:lang w:val="lv-LV"/>
        </w:rPr>
        <w:t>perifēras</w:t>
      </w:r>
      <w:proofErr w:type="spellEnd"/>
      <w:r w:rsidRPr="00550D35">
        <w:rPr>
          <w:i/>
          <w:iCs/>
          <w:szCs w:val="24"/>
          <w:lang w:val="lv-LV"/>
        </w:rPr>
        <w:t xml:space="preserve"> </w:t>
      </w:r>
      <w:proofErr w:type="spellStart"/>
      <w:r w:rsidRPr="00550D35">
        <w:rPr>
          <w:i/>
          <w:iCs/>
          <w:szCs w:val="24"/>
          <w:lang w:val="lv-LV"/>
        </w:rPr>
        <w:t>datošanas</w:t>
      </w:r>
      <w:proofErr w:type="spellEnd"/>
      <w:r w:rsidRPr="00550D35">
        <w:rPr>
          <w:i/>
          <w:iCs/>
          <w:szCs w:val="24"/>
          <w:lang w:val="lv-LV"/>
        </w:rPr>
        <w:t xml:space="preserve"> infrastruktūras (kas parasti atrodas perifērijas datu centrā, kurš darbojas infrastruktūras perifērijā) un tādējādi fiziski tuvāk tā paredzētajiem lietotājiem nekā </w:t>
      </w:r>
      <w:proofErr w:type="spellStart"/>
      <w:r w:rsidRPr="00550D35">
        <w:rPr>
          <w:i/>
          <w:iCs/>
          <w:szCs w:val="24"/>
          <w:lang w:val="lv-LV"/>
        </w:rPr>
        <w:t>mākoņdatošanas</w:t>
      </w:r>
      <w:proofErr w:type="spellEnd"/>
      <w:r w:rsidRPr="00550D35">
        <w:rPr>
          <w:i/>
          <w:iCs/>
          <w:szCs w:val="24"/>
          <w:lang w:val="lv-LV"/>
        </w:rPr>
        <w:t xml:space="preserve"> mezgls centralizētā datu centrā</w:t>
      </w:r>
      <w:r w:rsidRPr="00550D35">
        <w:rPr>
          <w:rStyle w:val="word"/>
          <w:i/>
          <w:iCs/>
          <w:szCs w:val="24"/>
          <w:lang w:val="lv-LV"/>
        </w:rPr>
        <w:t>.</w:t>
      </w:r>
    </w:p>
    <w:p w14:paraId="2B397CAB" w14:textId="77777777" w:rsidR="00852C3A" w:rsidRPr="00550D35" w:rsidRDefault="00852C3A" w:rsidP="00852C3A">
      <w:pPr>
        <w:rPr>
          <w:lang w:val="lv-LV"/>
        </w:rPr>
      </w:pPr>
    </w:p>
    <w:p w14:paraId="57707134" w14:textId="77777777" w:rsidR="00852C3A" w:rsidRPr="00550D35" w:rsidRDefault="00852C3A" w:rsidP="00852C3A">
      <w:pPr>
        <w:rPr>
          <w:lang w:val="lv-LV"/>
        </w:rPr>
      </w:pPr>
      <w:r w:rsidRPr="00550D35">
        <w:rPr>
          <w:lang w:val="lv-LV"/>
        </w:rPr>
        <w:t xml:space="preserve">KPI “Perifērijas mezgli” ir viens no </w:t>
      </w:r>
      <w:proofErr w:type="spellStart"/>
      <w:r w:rsidRPr="00550D35">
        <w:rPr>
          <w:lang w:val="lv-LV"/>
        </w:rPr>
        <w:t>jaunieviestiem</w:t>
      </w:r>
      <w:proofErr w:type="spellEnd"/>
      <w:r w:rsidRPr="00550D35">
        <w:rPr>
          <w:lang w:val="lv-LV"/>
        </w:rPr>
        <w:t xml:space="preserve"> indikatoriem ES digitālās attīstības novērtēšanai līdz 2030.gadam, Digitālās dekādes 2023.gada ziņojumā par Latviju nav atspoguļota tā attīstība kvantitatīvā izteiksmē.</w:t>
      </w:r>
    </w:p>
    <w:p w14:paraId="411A503C" w14:textId="58893E68" w:rsidR="00D4733F" w:rsidRPr="00D4733F" w:rsidRDefault="00852C3A" w:rsidP="00F76C8C">
      <w:pPr>
        <w:rPr>
          <w:lang w:val="lv-LV"/>
        </w:rPr>
      </w:pPr>
      <w:r w:rsidRPr="005D5D72">
        <w:rPr>
          <w:lang w:val="lv-LV"/>
        </w:rPr>
        <w:t xml:space="preserve">Atbilstoši biznesa vajadzībām to attīsta telekomunikāciju nozares uzņēmumi.  Latvijā līdz šim nav veidota politika minētā KPI jomas attīstīšanai. Tāpēc ceļvedī Latvijai tā sākotnējā izstrādes posmā nav iespējams sniegt informāciju atbilstoši EK norādēm par valstu ceļvežu sagatavošanu, tostarp nav identificējama KPI bāzes vērtība. Turpmākajos gados plānots veikt Latvijas potenciāla un vajadzību apzināšanu </w:t>
      </w:r>
      <w:proofErr w:type="spellStart"/>
      <w:r w:rsidRPr="005D5D72">
        <w:rPr>
          <w:lang w:val="lv-LV"/>
        </w:rPr>
        <w:t>perifēro</w:t>
      </w:r>
      <w:proofErr w:type="spellEnd"/>
      <w:r w:rsidRPr="005D5D72">
        <w:rPr>
          <w:lang w:val="lv-LV"/>
        </w:rPr>
        <w:t xml:space="preserve"> mezglu attīstībā un atbilstoša informācija par šo KPI tiks sniegta ceļveža pārskatīšanas gaitā.</w:t>
      </w:r>
    </w:p>
    <w:p w14:paraId="067DA9C3" w14:textId="068C0E26" w:rsidR="00AB45AD" w:rsidRPr="00550D35" w:rsidRDefault="005D2823" w:rsidP="00B52E9B">
      <w:pPr>
        <w:pStyle w:val="Heading1"/>
      </w:pPr>
      <w:bookmarkStart w:id="20" w:name="_Toc135226588"/>
      <w:bookmarkStart w:id="21" w:name="_Toc155952339"/>
      <w:r w:rsidRPr="00550D35">
        <w:t>Kvantiska datošana</w:t>
      </w:r>
      <w:bookmarkEnd w:id="20"/>
      <w:bookmarkEnd w:id="21"/>
    </w:p>
    <w:p w14:paraId="2F7CC699" w14:textId="73A023F3" w:rsidR="00981332" w:rsidRPr="00550D35" w:rsidRDefault="00981332" w:rsidP="00981332">
      <w:pPr>
        <w:pStyle w:val="Text1"/>
        <w:ind w:firstLine="0"/>
        <w:rPr>
          <w:i/>
          <w:iCs/>
          <w:lang w:val="lv-LV"/>
        </w:rPr>
      </w:pPr>
      <w:proofErr w:type="spellStart"/>
      <w:r w:rsidRPr="00550D35">
        <w:rPr>
          <w:b/>
          <w:bCs/>
          <w:i/>
          <w:iCs/>
          <w:lang w:val="lv-LV"/>
        </w:rPr>
        <w:t>Kvantiska</w:t>
      </w:r>
      <w:proofErr w:type="spellEnd"/>
      <w:r w:rsidRPr="00550D35">
        <w:rPr>
          <w:b/>
          <w:bCs/>
          <w:i/>
          <w:iCs/>
          <w:lang w:val="lv-LV"/>
        </w:rPr>
        <w:t xml:space="preserve"> </w:t>
      </w:r>
      <w:proofErr w:type="spellStart"/>
      <w:r w:rsidRPr="00550D35">
        <w:rPr>
          <w:b/>
          <w:bCs/>
          <w:i/>
          <w:iCs/>
          <w:lang w:val="lv-LV"/>
        </w:rPr>
        <w:t>datošana</w:t>
      </w:r>
      <w:proofErr w:type="spellEnd"/>
      <w:r w:rsidRPr="00550D35">
        <w:rPr>
          <w:i/>
          <w:iCs/>
          <w:lang w:val="lv-LV"/>
        </w:rPr>
        <w:t xml:space="preserve">, ko mēra pēc ekspluatācijā esošo </w:t>
      </w:r>
      <w:proofErr w:type="spellStart"/>
      <w:r w:rsidRPr="00550D35">
        <w:rPr>
          <w:i/>
          <w:iCs/>
          <w:lang w:val="lv-LV"/>
        </w:rPr>
        <w:t>kvantisko</w:t>
      </w:r>
      <w:proofErr w:type="spellEnd"/>
      <w:r w:rsidRPr="00550D35">
        <w:rPr>
          <w:i/>
          <w:iCs/>
          <w:lang w:val="lv-LV"/>
        </w:rPr>
        <w:t xml:space="preserve"> datoru vai </w:t>
      </w:r>
      <w:proofErr w:type="spellStart"/>
      <w:r w:rsidRPr="00550D35">
        <w:rPr>
          <w:i/>
          <w:iCs/>
          <w:lang w:val="lv-LV"/>
        </w:rPr>
        <w:t>kvantisko</w:t>
      </w:r>
      <w:proofErr w:type="spellEnd"/>
      <w:r w:rsidRPr="00550D35">
        <w:rPr>
          <w:i/>
          <w:iCs/>
          <w:lang w:val="lv-LV"/>
        </w:rPr>
        <w:t xml:space="preserve"> </w:t>
      </w:r>
      <w:proofErr w:type="spellStart"/>
      <w:r w:rsidRPr="00550D35">
        <w:rPr>
          <w:i/>
          <w:iCs/>
          <w:lang w:val="lv-LV"/>
        </w:rPr>
        <w:t>simulatoru</w:t>
      </w:r>
      <w:proofErr w:type="spellEnd"/>
      <w:r w:rsidRPr="00550D35">
        <w:rPr>
          <w:i/>
          <w:iCs/>
          <w:lang w:val="lv-LV"/>
        </w:rPr>
        <w:t xml:space="preserve">, arī augstas veiktspējas </w:t>
      </w:r>
      <w:proofErr w:type="spellStart"/>
      <w:r w:rsidRPr="00550D35">
        <w:rPr>
          <w:i/>
          <w:iCs/>
          <w:lang w:val="lv-LV"/>
        </w:rPr>
        <w:t>datošanas</w:t>
      </w:r>
      <w:proofErr w:type="spellEnd"/>
      <w:r w:rsidRPr="00550D35">
        <w:rPr>
          <w:i/>
          <w:iCs/>
          <w:lang w:val="lv-LV"/>
        </w:rPr>
        <w:t xml:space="preserve"> superdatoru paātrinātāju, skaita, kas ieviesti un pieejami lietotāju kopienām.</w:t>
      </w:r>
    </w:p>
    <w:p w14:paraId="29058B2F" w14:textId="7E28B9B2" w:rsidR="00400CD6" w:rsidRPr="00550D35" w:rsidRDefault="00451149">
      <w:pPr>
        <w:pStyle w:val="Heading2"/>
        <w:rPr>
          <w:lang w:val="lv-LV"/>
        </w:rPr>
      </w:pPr>
      <w:r w:rsidRPr="00550D35">
        <w:rPr>
          <w:lang w:val="lv-LV"/>
        </w:rPr>
        <w:lastRenderedPageBreak/>
        <w:t>Analīze par pašreizējo stāvokli digitālās pārveides jomā dalībvalsts kontekstā</w:t>
      </w:r>
    </w:p>
    <w:p w14:paraId="595D553F" w14:textId="77777777" w:rsidR="00A93B56" w:rsidRPr="00550D35" w:rsidRDefault="00A93B56" w:rsidP="00A93B56">
      <w:pPr>
        <w:pStyle w:val="ListParagraph"/>
        <w:spacing w:before="0"/>
        <w:ind w:firstLine="0"/>
        <w:rPr>
          <w:b/>
          <w:bCs/>
          <w:lang w:val="lv-LV"/>
        </w:rPr>
      </w:pPr>
    </w:p>
    <w:p w14:paraId="48E0A9D8" w14:textId="695C8536" w:rsidR="00164F56" w:rsidRPr="00550D35" w:rsidRDefault="00164F56" w:rsidP="003C2DB3">
      <w:pPr>
        <w:rPr>
          <w:rStyle w:val="Strong"/>
          <w:b w:val="0"/>
          <w:bCs w:val="0"/>
          <w:lang w:val="lv-LV"/>
        </w:rPr>
      </w:pPr>
      <w:r w:rsidRPr="00550D35">
        <w:rPr>
          <w:lang w:val="lv-LV"/>
        </w:rPr>
        <w:t>KPI “</w:t>
      </w:r>
      <w:proofErr w:type="spellStart"/>
      <w:r w:rsidRPr="00550D35">
        <w:rPr>
          <w:lang w:val="lv-LV"/>
        </w:rPr>
        <w:t>Kvantiska</w:t>
      </w:r>
      <w:proofErr w:type="spellEnd"/>
      <w:r w:rsidR="00544451" w:rsidRPr="00550D35">
        <w:rPr>
          <w:lang w:val="lv-LV"/>
        </w:rPr>
        <w:t xml:space="preserve"> </w:t>
      </w:r>
      <w:proofErr w:type="spellStart"/>
      <w:r w:rsidR="00544451" w:rsidRPr="00550D35">
        <w:rPr>
          <w:lang w:val="lv-LV"/>
        </w:rPr>
        <w:t>datošana</w:t>
      </w:r>
      <w:proofErr w:type="spellEnd"/>
      <w:r w:rsidRPr="00550D35">
        <w:rPr>
          <w:lang w:val="lv-LV"/>
        </w:rPr>
        <w:t>” ir jauns rādītājs, Digitālās dekādes 2023.gada ziņojumā par Latviju nav atspoguļota tā attīstība kvantitatīvā izteiksmē.</w:t>
      </w:r>
      <w:r w:rsidR="00E74D34" w:rsidRPr="00550D35">
        <w:rPr>
          <w:lang w:val="lv-LV"/>
        </w:rPr>
        <w:t xml:space="preserve"> Digitālās dekādes 2023.gada ziņojumā par Latviju EK iesaka Latvijai paātrināt centienus savienojamības infrastruktūras jomā. Proti, Latvijai jāturpina </w:t>
      </w:r>
      <w:r w:rsidR="00F8580F" w:rsidRPr="00550D35">
        <w:rPr>
          <w:lang w:val="lv-LV"/>
        </w:rPr>
        <w:t>centieni kvantu jomā, lai palīdzētu ES kļūt par spēcīgu tirgus dalībnieku šajā jomā.</w:t>
      </w:r>
      <w:r w:rsidR="00E74D34" w:rsidRPr="00550D35">
        <w:rPr>
          <w:lang w:val="lv-LV"/>
        </w:rPr>
        <w:t xml:space="preserve"> </w:t>
      </w:r>
    </w:p>
    <w:p w14:paraId="1F3745FA" w14:textId="0414E945" w:rsidR="003D66C7" w:rsidRPr="00550D35" w:rsidRDefault="009D2341" w:rsidP="000B7EE7">
      <w:pPr>
        <w:rPr>
          <w:color w:val="212529"/>
          <w:szCs w:val="24"/>
          <w:lang w:val="lv-LV"/>
        </w:rPr>
      </w:pPr>
      <w:r w:rsidRPr="00550D35">
        <w:rPr>
          <w:rStyle w:val="Strong"/>
          <w:b w:val="0"/>
          <w:bCs w:val="0"/>
          <w:color w:val="1C1C1C"/>
          <w:szCs w:val="24"/>
          <w:lang w:val="lv-LV"/>
        </w:rPr>
        <w:t xml:space="preserve">2023.gada 7. martā tika </w:t>
      </w:r>
      <w:r w:rsidR="005437B3" w:rsidRPr="00550D35">
        <w:rPr>
          <w:rStyle w:val="Strong"/>
          <w:b w:val="0"/>
          <w:bCs w:val="0"/>
          <w:color w:val="1C1C1C"/>
          <w:szCs w:val="24"/>
          <w:lang w:val="lv-LV"/>
        </w:rPr>
        <w:t>uzsākts</w:t>
      </w:r>
      <w:r w:rsidRPr="00550D35">
        <w:rPr>
          <w:rStyle w:val="Strong"/>
          <w:b w:val="0"/>
          <w:bCs w:val="0"/>
          <w:color w:val="1C1C1C"/>
          <w:szCs w:val="24"/>
          <w:lang w:val="lv-LV"/>
        </w:rPr>
        <w:t xml:space="preserve"> </w:t>
      </w:r>
      <w:r w:rsidR="00C56B72">
        <w:rPr>
          <w:rStyle w:val="Strong"/>
          <w:b w:val="0"/>
          <w:bCs w:val="0"/>
          <w:color w:val="1C1C1C"/>
          <w:szCs w:val="24"/>
          <w:lang w:val="lv-LV"/>
        </w:rPr>
        <w:t xml:space="preserve">ar </w:t>
      </w:r>
      <w:r w:rsidR="00095052" w:rsidRPr="00550D35">
        <w:rPr>
          <w:rStyle w:val="Strong"/>
          <w:b w:val="0"/>
          <w:bCs w:val="0"/>
          <w:color w:val="1C1C1C"/>
          <w:szCs w:val="24"/>
          <w:lang w:val="lv-LV"/>
        </w:rPr>
        <w:t xml:space="preserve">ANM </w:t>
      </w:r>
      <w:r w:rsidR="00F44AA9">
        <w:rPr>
          <w:rStyle w:val="Strong"/>
          <w:b w:val="0"/>
          <w:bCs w:val="0"/>
          <w:color w:val="1C1C1C"/>
          <w:szCs w:val="24"/>
          <w:lang w:val="lv-LV"/>
        </w:rPr>
        <w:t xml:space="preserve">plāna </w:t>
      </w:r>
      <w:r w:rsidR="002A0B6B" w:rsidRPr="00061502">
        <w:rPr>
          <w:rStyle w:val="Strong"/>
          <w:b w:val="0"/>
          <w:bCs w:val="0"/>
          <w:color w:val="1C1C1C"/>
          <w:szCs w:val="24"/>
          <w:lang w:val="lv-LV"/>
        </w:rPr>
        <w:t>investīcij</w:t>
      </w:r>
      <w:r w:rsidR="0043769B" w:rsidRPr="00061502">
        <w:rPr>
          <w:rStyle w:val="Strong"/>
          <w:b w:val="0"/>
          <w:bCs w:val="0"/>
          <w:color w:val="1C1C1C"/>
          <w:szCs w:val="24"/>
          <w:lang w:val="lv-LV"/>
        </w:rPr>
        <w:t>u</w:t>
      </w:r>
      <w:r w:rsidR="002A0B6B" w:rsidRPr="00061502">
        <w:rPr>
          <w:rStyle w:val="Strong"/>
          <w:b w:val="0"/>
          <w:bCs w:val="0"/>
          <w:color w:val="1C1C1C"/>
          <w:szCs w:val="24"/>
          <w:lang w:val="lv-LV"/>
        </w:rPr>
        <w:t xml:space="preserve"> 2.3.1.1.i. </w:t>
      </w:r>
      <w:r w:rsidRPr="00550D35">
        <w:rPr>
          <w:rStyle w:val="Strong"/>
          <w:b w:val="0"/>
          <w:bCs w:val="0"/>
          <w:color w:val="1C1C1C"/>
          <w:szCs w:val="24"/>
          <w:lang w:val="lv-LV"/>
        </w:rPr>
        <w:t>finansēt</w:t>
      </w:r>
      <w:r w:rsidR="00095052" w:rsidRPr="00550D35">
        <w:rPr>
          <w:rStyle w:val="Strong"/>
          <w:b w:val="0"/>
          <w:bCs w:val="0"/>
          <w:color w:val="1C1C1C"/>
          <w:szCs w:val="24"/>
          <w:lang w:val="lv-LV"/>
        </w:rPr>
        <w:t>s</w:t>
      </w:r>
      <w:r w:rsidRPr="00550D35">
        <w:rPr>
          <w:rStyle w:val="Strong"/>
          <w:b w:val="0"/>
          <w:bCs w:val="0"/>
          <w:color w:val="1C1C1C"/>
          <w:szCs w:val="24"/>
          <w:lang w:val="lv-LV"/>
        </w:rPr>
        <w:t xml:space="preserve"> projekt</w:t>
      </w:r>
      <w:r w:rsidR="00095052" w:rsidRPr="00550D35">
        <w:rPr>
          <w:rStyle w:val="Strong"/>
          <w:b w:val="0"/>
          <w:bCs w:val="0"/>
          <w:color w:val="1C1C1C"/>
          <w:szCs w:val="24"/>
          <w:lang w:val="lv-LV"/>
        </w:rPr>
        <w:t>s</w:t>
      </w:r>
      <w:r w:rsidRPr="00550D35">
        <w:rPr>
          <w:rStyle w:val="Strong"/>
          <w:b w:val="0"/>
          <w:bCs w:val="0"/>
          <w:color w:val="1C1C1C"/>
          <w:szCs w:val="24"/>
          <w:lang w:val="lv-LV"/>
        </w:rPr>
        <w:t xml:space="preserve"> </w:t>
      </w:r>
      <w:r w:rsidRPr="00550D35">
        <w:rPr>
          <w:rStyle w:val="Strong"/>
          <w:color w:val="1C1C1C"/>
          <w:szCs w:val="24"/>
          <w:lang w:val="lv-LV"/>
        </w:rPr>
        <w:t>“Kvantu tehnoloģiju iniciatīva”</w:t>
      </w:r>
      <w:r w:rsidR="007F1F07" w:rsidRPr="00550D35">
        <w:rPr>
          <w:rStyle w:val="FootnoteReference"/>
          <w:color w:val="1C1C1C"/>
          <w:szCs w:val="24"/>
          <w:lang w:val="lv-LV"/>
        </w:rPr>
        <w:footnoteReference w:id="52"/>
      </w:r>
      <w:r w:rsidR="00F2297B" w:rsidRPr="00550D35">
        <w:rPr>
          <w:rStyle w:val="Strong"/>
          <w:b w:val="0"/>
          <w:bCs w:val="0"/>
          <w:color w:val="1C1C1C"/>
          <w:szCs w:val="24"/>
          <w:lang w:val="lv-LV"/>
        </w:rPr>
        <w:t xml:space="preserve">, kurā piedalās LU, RTU, </w:t>
      </w:r>
      <w:r w:rsidR="00467BFF" w:rsidRPr="00550D35">
        <w:rPr>
          <w:rStyle w:val="Strong"/>
          <w:b w:val="0"/>
          <w:bCs w:val="0"/>
          <w:color w:val="1C1C1C"/>
          <w:szCs w:val="24"/>
          <w:lang w:val="lv-LV"/>
        </w:rPr>
        <w:t>LU CFI, LU MII</w:t>
      </w:r>
      <w:r w:rsidR="00A736B0" w:rsidRPr="00550D35">
        <w:rPr>
          <w:szCs w:val="24"/>
          <w:lang w:val="lv-LV"/>
        </w:rPr>
        <w:t xml:space="preserve">, lai veidotu </w:t>
      </w:r>
      <w:r w:rsidR="00A736B0" w:rsidRPr="00550D35">
        <w:rPr>
          <w:color w:val="212529"/>
          <w:szCs w:val="24"/>
          <w:lang w:val="lv-LV"/>
        </w:rPr>
        <w:t>apvienību, kas palīdzēs veiksmīgāk pārraudzīt un koordinēt ar kvantu tehnoloģijām saistītās aktivitātes Latvijā</w:t>
      </w:r>
      <w:r w:rsidR="00183FCD" w:rsidRPr="00550D35">
        <w:rPr>
          <w:color w:val="212529"/>
          <w:szCs w:val="24"/>
          <w:lang w:val="lv-LV"/>
        </w:rPr>
        <w:t xml:space="preserve"> ar </w:t>
      </w:r>
      <w:r w:rsidRPr="00550D35">
        <w:rPr>
          <w:color w:val="212529"/>
          <w:szCs w:val="24"/>
          <w:lang w:val="lv-LV"/>
        </w:rPr>
        <w:t>mērķi stiprināt Latvijas konkurētspēju kvantu tehnoloģiju jomā, piesaistot un sagatavojot augsta līmeņa speciālistus un attīstot zināšanu bāzi un prasmes augsto tehnoloģiju jomā, lai sekmīgāk iesaistītos Eiropas un starptautiskajā pētniecības telpā, īstenotu augsta līmeņa pētniecību un veicinātu augstākās izglītības, zinātnes un industrijas sinerģiju inovāciju virzienā.</w:t>
      </w:r>
    </w:p>
    <w:p w14:paraId="22431330" w14:textId="7C20996E" w:rsidR="000B014E" w:rsidRPr="00550D35" w:rsidRDefault="00964EF5" w:rsidP="005B5F3D">
      <w:pPr>
        <w:rPr>
          <w:szCs w:val="24"/>
          <w:lang w:val="lv-LV"/>
        </w:rPr>
      </w:pPr>
      <w:r w:rsidRPr="00550D35">
        <w:rPr>
          <w:lang w:val="lv-LV"/>
        </w:rPr>
        <w:t>Projekts</w:t>
      </w:r>
      <w:r w:rsidR="00A736B0" w:rsidRPr="00550D35">
        <w:rPr>
          <w:lang w:val="lv-LV"/>
        </w:rPr>
        <w:t xml:space="preserve"> sniegs nozīmīgu ieguldījumu kvantu tehnoloģiju pētniecībā un izglītībā </w:t>
      </w:r>
      <w:r w:rsidR="00A736B0" w:rsidRPr="00550D35">
        <w:rPr>
          <w:szCs w:val="24"/>
          <w:lang w:val="lv-LV"/>
        </w:rPr>
        <w:t>Latvijā un veicinās nākotnes darba tirgum noderīgu augsta līmeņa digitālo prasmju apguvi.</w:t>
      </w:r>
      <w:r w:rsidRPr="00550D35">
        <w:rPr>
          <w:szCs w:val="24"/>
          <w:lang w:val="lv-LV"/>
        </w:rPr>
        <w:t xml:space="preserve"> ANM </w:t>
      </w:r>
      <w:r w:rsidR="00134C92">
        <w:rPr>
          <w:szCs w:val="24"/>
          <w:lang w:val="lv-LV"/>
        </w:rPr>
        <w:t xml:space="preserve">plāna </w:t>
      </w:r>
      <w:r w:rsidR="006E153F">
        <w:rPr>
          <w:szCs w:val="24"/>
          <w:lang w:val="lv-LV"/>
        </w:rPr>
        <w:t xml:space="preserve">investīcijas </w:t>
      </w:r>
      <w:r w:rsidR="006E153F" w:rsidRPr="00B51D47">
        <w:rPr>
          <w:szCs w:val="24"/>
          <w:lang w:val="lv-LV"/>
        </w:rPr>
        <w:t>2.3.1.1.i. “Augsta līmeņa digitālo prasmju apguve”</w:t>
      </w:r>
      <w:r w:rsidR="006E153F">
        <w:rPr>
          <w:sz w:val="20"/>
          <w:lang w:val="lv-LV"/>
        </w:rPr>
        <w:t xml:space="preserve"> </w:t>
      </w:r>
      <w:r w:rsidR="006E153F" w:rsidRPr="00550D35">
        <w:rPr>
          <w:sz w:val="20"/>
          <w:lang w:val="lv-LV"/>
        </w:rPr>
        <w:t xml:space="preserve"> </w:t>
      </w:r>
      <w:r w:rsidR="00B51D47">
        <w:rPr>
          <w:szCs w:val="24"/>
          <w:lang w:val="lv-LV"/>
        </w:rPr>
        <w:t>finansējums</w:t>
      </w:r>
      <w:r w:rsidR="00B51D47" w:rsidRPr="00550D35">
        <w:rPr>
          <w:szCs w:val="24"/>
          <w:lang w:val="lv-LV"/>
        </w:rPr>
        <w:t xml:space="preserve"> </w:t>
      </w:r>
      <w:r w:rsidRPr="00550D35">
        <w:rPr>
          <w:szCs w:val="24"/>
          <w:lang w:val="lv-LV"/>
        </w:rPr>
        <w:t>17</w:t>
      </w:r>
      <w:r w:rsidR="00D96E85" w:rsidRPr="00550D35">
        <w:rPr>
          <w:szCs w:val="24"/>
          <w:lang w:val="lv-LV"/>
        </w:rPr>
        <w:t>,0</w:t>
      </w:r>
      <w:r w:rsidR="009D45C6" w:rsidRPr="00550D35">
        <w:rPr>
          <w:szCs w:val="24"/>
          <w:lang w:val="lv-LV"/>
        </w:rPr>
        <w:t> </w:t>
      </w:r>
      <w:r w:rsidRPr="00550D35">
        <w:rPr>
          <w:szCs w:val="24"/>
          <w:lang w:val="lv-LV"/>
        </w:rPr>
        <w:t>milj.</w:t>
      </w:r>
      <w:r w:rsidR="009D45C6" w:rsidRPr="00550D35">
        <w:rPr>
          <w:szCs w:val="24"/>
          <w:lang w:val="lv-LV"/>
        </w:rPr>
        <w:t> </w:t>
      </w:r>
      <w:proofErr w:type="spellStart"/>
      <w:r w:rsidR="00221010" w:rsidRPr="00550D35">
        <w:rPr>
          <w:i/>
          <w:szCs w:val="24"/>
          <w:lang w:val="lv-LV"/>
        </w:rPr>
        <w:t>euro</w:t>
      </w:r>
      <w:proofErr w:type="spellEnd"/>
      <w:r w:rsidRPr="00550D35">
        <w:rPr>
          <w:szCs w:val="24"/>
          <w:lang w:val="lv-LV"/>
        </w:rPr>
        <w:t xml:space="preserve"> apmērā</w:t>
      </w:r>
      <w:r w:rsidR="005D15B7" w:rsidRPr="00550D35">
        <w:rPr>
          <w:szCs w:val="24"/>
          <w:lang w:val="lv-LV"/>
        </w:rPr>
        <w:t xml:space="preserve"> </w:t>
      </w:r>
      <w:r w:rsidR="00A736B0" w:rsidRPr="00550D35">
        <w:rPr>
          <w:szCs w:val="24"/>
          <w:lang w:val="lv-LV"/>
        </w:rPr>
        <w:t>ir piešķirts kopā trim augsta līmeņa digitālo prasmju apguves nodrošināšanas projektiem: 1) Kvantu tehnoloģiju iniciatīva (LU), 2) Valodu tehnoloģiju iniciatīva (LU), 3) Augsta līmeņa digitālo prasmju apguve Latvijā augstas veiktspējas skaitļošanas tehnoloģiju jomā (RTU).</w:t>
      </w:r>
      <w:r w:rsidR="007D51DA" w:rsidRPr="00550D35">
        <w:rPr>
          <w:szCs w:val="24"/>
          <w:lang w:val="lv-LV"/>
        </w:rPr>
        <w:t xml:space="preserve"> </w:t>
      </w:r>
      <w:r w:rsidR="00A736B0" w:rsidRPr="00550D35">
        <w:rPr>
          <w:szCs w:val="24"/>
          <w:lang w:val="lv-LV"/>
        </w:rPr>
        <w:t>P</w:t>
      </w:r>
      <w:r w:rsidR="009D2341" w:rsidRPr="00550D35">
        <w:rPr>
          <w:szCs w:val="24"/>
          <w:lang w:val="lv-LV"/>
        </w:rPr>
        <w:t>rojektā plānota</w:t>
      </w:r>
      <w:r w:rsidR="00A736B0" w:rsidRPr="00550D35">
        <w:rPr>
          <w:szCs w:val="24"/>
          <w:lang w:val="lv-LV"/>
        </w:rPr>
        <w:t>s</w:t>
      </w:r>
      <w:r w:rsidR="009D2341" w:rsidRPr="00550D35">
        <w:rPr>
          <w:szCs w:val="24"/>
          <w:lang w:val="lv-LV"/>
        </w:rPr>
        <w:t xml:space="preserve"> aktivitāt</w:t>
      </w:r>
      <w:r w:rsidR="00A736B0" w:rsidRPr="00550D35">
        <w:rPr>
          <w:szCs w:val="24"/>
          <w:lang w:val="lv-LV"/>
        </w:rPr>
        <w:t>es</w:t>
      </w:r>
      <w:r w:rsidR="009D2341" w:rsidRPr="00550D35">
        <w:rPr>
          <w:szCs w:val="24"/>
          <w:lang w:val="lv-LV"/>
        </w:rPr>
        <w:t xml:space="preserve"> – studiju moduļu izstrād</w:t>
      </w:r>
      <w:r w:rsidR="00A736B0" w:rsidRPr="00550D35">
        <w:rPr>
          <w:szCs w:val="24"/>
          <w:lang w:val="lv-LV"/>
        </w:rPr>
        <w:t xml:space="preserve">e </w:t>
      </w:r>
      <w:r w:rsidR="009D2341" w:rsidRPr="00550D35">
        <w:rPr>
          <w:szCs w:val="24"/>
          <w:lang w:val="lv-LV"/>
        </w:rPr>
        <w:t>un pētniecīb</w:t>
      </w:r>
      <w:r w:rsidR="00A736B0" w:rsidRPr="00550D35">
        <w:rPr>
          <w:szCs w:val="24"/>
          <w:lang w:val="lv-LV"/>
        </w:rPr>
        <w:t>a</w:t>
      </w:r>
      <w:r w:rsidR="007D51DA" w:rsidRPr="00550D35">
        <w:rPr>
          <w:szCs w:val="24"/>
          <w:lang w:val="lv-LV"/>
        </w:rPr>
        <w:t>.</w:t>
      </w:r>
    </w:p>
    <w:p w14:paraId="3A79F4E5" w14:textId="413F4BBD" w:rsidR="005B5F3D" w:rsidRPr="00550D35" w:rsidRDefault="005B5F3D" w:rsidP="00902893">
      <w:pPr>
        <w:rPr>
          <w:color w:val="1B1B1B"/>
          <w:szCs w:val="24"/>
          <w:lang w:val="lv-LV"/>
        </w:rPr>
      </w:pPr>
      <w:r w:rsidRPr="00550D35">
        <w:rPr>
          <w:color w:val="1B1B1B"/>
          <w:szCs w:val="24"/>
          <w:lang w:val="lv-LV"/>
        </w:rPr>
        <w:t xml:space="preserve">LU Kvantu datorzinātnes centrs ir viens no vadošajiem kvantu skaitļošanas pētniecības centriem Eiropā, kur norisinās pasaules līmeņa pētījumi kvantu skaitļošanā un kvantu algoritmos. Centra pētniecisko grupu veido 20 pētnieki no Latvijas un citām valstīm. Kopš centra izveides uz Rīgu darboties </w:t>
      </w:r>
      <w:r w:rsidR="00902893" w:rsidRPr="00550D35">
        <w:rPr>
          <w:color w:val="1B1B1B"/>
          <w:szCs w:val="24"/>
          <w:lang w:val="lv-LV"/>
        </w:rPr>
        <w:t>profesora</w:t>
      </w:r>
      <w:r w:rsidRPr="00550D35">
        <w:rPr>
          <w:color w:val="1B1B1B"/>
          <w:szCs w:val="24"/>
          <w:lang w:val="lv-LV"/>
        </w:rPr>
        <w:t xml:space="preserve"> Ambaiņa vadītajā pētnieciskajā grupā braukuši pētnieki no Amerikas, Brazīlijas, Francijas, Turcijas, Polijas, Indijas, Beļģijas, Itālijas</w:t>
      </w:r>
      <w:r w:rsidR="00BC39A5" w:rsidRPr="00550D35">
        <w:rPr>
          <w:color w:val="1B1B1B"/>
          <w:szCs w:val="24"/>
          <w:lang w:val="lv-LV"/>
        </w:rPr>
        <w:t>,</w:t>
      </w:r>
      <w:r w:rsidRPr="00550D35">
        <w:rPr>
          <w:color w:val="1B1B1B"/>
          <w:szCs w:val="24"/>
          <w:lang w:val="lv-LV"/>
        </w:rPr>
        <w:t xml:space="preserve"> u.c. valstīm.</w:t>
      </w:r>
      <w:r w:rsidR="00E06523" w:rsidRPr="00550D35">
        <w:rPr>
          <w:color w:val="1B1B1B"/>
          <w:szCs w:val="24"/>
          <w:lang w:val="lv-LV"/>
        </w:rPr>
        <w:t xml:space="preserve"> </w:t>
      </w:r>
      <w:r w:rsidRPr="00550D35">
        <w:rPr>
          <w:color w:val="1B1B1B"/>
          <w:szCs w:val="24"/>
          <w:lang w:val="lv-LV"/>
        </w:rPr>
        <w:t>LU Kvantu datorzinātnes centra pētnieki pēta, kur kvantu datori ir labāki par tradicionālajiem datoriem praktiski svarīgu skaitļošanas uzdevumu risināšanā. Pētnieki strādā gan pie jaunu kvantu algoritmu izstrādes, gan kvantu skaitļošanas robežu noteikšanas, gan izstrādā eksperimentus kvantu skaitļošanai un meklē kvantu skaitļošanas saiknes ar klasisko datorzinātni un matemātiku, lai izprastu, vai šīs saiknes ir iespējams izmantot problēmu risināšanā.</w:t>
      </w:r>
      <w:r w:rsidR="00F52857" w:rsidRPr="00550D35">
        <w:rPr>
          <w:color w:val="1B1B1B"/>
          <w:szCs w:val="24"/>
          <w:lang w:val="lv-LV"/>
        </w:rPr>
        <w:t xml:space="preserve"> </w:t>
      </w:r>
      <w:r w:rsidRPr="00550D35">
        <w:rPr>
          <w:color w:val="1B1B1B"/>
          <w:szCs w:val="24"/>
          <w:lang w:val="lv-LV"/>
        </w:rPr>
        <w:t>LU Kvantu datorzinātnes centrs ir viens no </w:t>
      </w:r>
      <w:hyperlink r:id="rId16" w:tgtFrame="_blank" w:history="1">
        <w:r w:rsidRPr="00550D35">
          <w:rPr>
            <w:color w:val="1B1B1B"/>
            <w:lang w:val="lv-LV"/>
          </w:rPr>
          <w:t>Latvijas Kvantu iniciatīvas</w:t>
        </w:r>
      </w:hyperlink>
      <w:r w:rsidRPr="00550D35">
        <w:rPr>
          <w:color w:val="1B1B1B"/>
          <w:szCs w:val="24"/>
          <w:lang w:val="lv-LV"/>
        </w:rPr>
        <w:t> partneriem.</w:t>
      </w:r>
    </w:p>
    <w:p w14:paraId="14DF4D00" w14:textId="2AF8C6CF" w:rsidR="00B250E0" w:rsidRPr="00550D35" w:rsidRDefault="672BD72B" w:rsidP="00B250E0">
      <w:pPr>
        <w:rPr>
          <w:lang w:val="lv-LV"/>
        </w:rPr>
      </w:pPr>
      <w:r w:rsidRPr="00550D35">
        <w:rPr>
          <w:lang w:val="lv-LV"/>
        </w:rPr>
        <w:t xml:space="preserve">2023.gada 19.oktobrī starptautiskā foruma “5G </w:t>
      </w:r>
      <w:proofErr w:type="spellStart"/>
      <w:r w:rsidRPr="00550D35">
        <w:rPr>
          <w:lang w:val="lv-LV"/>
        </w:rPr>
        <w:t>Techritory</w:t>
      </w:r>
      <w:proofErr w:type="spellEnd"/>
      <w:r w:rsidRPr="00550D35">
        <w:rPr>
          <w:lang w:val="lv-LV"/>
        </w:rPr>
        <w:t xml:space="preserve">” laikā tika  parakstīts sadarbības memorands, lai veicinātu kvantu tehnoloģiju attīstību Latvijā. Memorandam </w:t>
      </w:r>
      <w:r w:rsidR="69C51D44" w:rsidRPr="00550D35">
        <w:rPr>
          <w:lang w:val="lv-LV"/>
        </w:rPr>
        <w:t>pievienojās</w:t>
      </w:r>
      <w:r w:rsidRPr="00550D35">
        <w:rPr>
          <w:lang w:val="lv-LV"/>
        </w:rPr>
        <w:t xml:space="preserve"> LVRTV, VASES, LU, LU CFI, RTU, SIA “LMT”, SIA “TET”, SIA “Mikrotīkls”, </w:t>
      </w:r>
      <w:proofErr w:type="spellStart"/>
      <w:r w:rsidRPr="00550D35">
        <w:rPr>
          <w:lang w:val="lv-LV"/>
        </w:rPr>
        <w:t>AiM</w:t>
      </w:r>
      <w:proofErr w:type="spellEnd"/>
      <w:r w:rsidRPr="00550D35">
        <w:rPr>
          <w:lang w:val="lv-LV"/>
        </w:rPr>
        <w:t>, SM un VARAM.</w:t>
      </w:r>
    </w:p>
    <w:p w14:paraId="370E7C0A" w14:textId="77777777" w:rsidR="00B250E0" w:rsidRPr="00550D35" w:rsidRDefault="00B250E0" w:rsidP="00B250E0">
      <w:pPr>
        <w:rPr>
          <w:lang w:val="lv-LV"/>
        </w:rPr>
      </w:pPr>
      <w:r w:rsidRPr="00550D35">
        <w:rPr>
          <w:lang w:val="lv-LV"/>
        </w:rPr>
        <w:t>Ņemot vērā, ka viens no būtiskākajiem kvantu tehnoloģiju attīstības virzieniem ir drošība, pētnieki intensīvi veido jaunus datu kodēšanas algoritmus un pielāgo sakaru kanālus kvantu fotonu plūsmām. Arī Latvijā šobrīd tiek veidota kvantu tīklu infrastruktūra, ko nākotnē varēs izmantot ne vien tās veidotāji, bet arī IKT nozares pārstāvji. Paredzēts, ka kvantu tīkls Latvijā drošu pakalpojumu izmantošanai gan publiskā sektora institūcijām, gan arī komersantiem un privātpersonām būs pieejams jau 2025. gada nogalē.</w:t>
      </w:r>
    </w:p>
    <w:p w14:paraId="52213551" w14:textId="131C12EB" w:rsidR="00294EEC" w:rsidRPr="00550D35" w:rsidRDefault="00294EEC" w:rsidP="00B250E0">
      <w:pPr>
        <w:rPr>
          <w:color w:val="212529"/>
          <w:szCs w:val="24"/>
          <w:lang w:val="lv-LV"/>
        </w:rPr>
      </w:pPr>
      <w:r w:rsidRPr="00550D35">
        <w:rPr>
          <w:color w:val="212529"/>
          <w:szCs w:val="24"/>
          <w:lang w:val="lv-LV"/>
        </w:rPr>
        <w:lastRenderedPageBreak/>
        <w:t>2021.gada jūlijā LVRTC un LU</w:t>
      </w:r>
      <w:r w:rsidR="00D733B5" w:rsidRPr="00550D35">
        <w:rPr>
          <w:color w:val="212529"/>
          <w:szCs w:val="24"/>
          <w:lang w:val="lv-LV"/>
        </w:rPr>
        <w:t xml:space="preserve"> </w:t>
      </w:r>
      <w:r w:rsidRPr="00550D35">
        <w:rPr>
          <w:color w:val="212529"/>
          <w:szCs w:val="24"/>
          <w:lang w:val="lv-LV"/>
        </w:rPr>
        <w:t>MII parakstīja memorandu par sadarbību kvantu datu pārraides tehnoloģiju iespēju izpētē un testēšanā.</w:t>
      </w:r>
      <w:r w:rsidR="00D733B5" w:rsidRPr="00550D35">
        <w:rPr>
          <w:color w:val="212529"/>
          <w:szCs w:val="24"/>
          <w:lang w:val="lv-LV"/>
        </w:rPr>
        <w:t xml:space="preserve"> </w:t>
      </w:r>
      <w:r w:rsidRPr="00550D35">
        <w:rPr>
          <w:color w:val="212529"/>
          <w:szCs w:val="24"/>
          <w:lang w:val="lv-LV"/>
        </w:rPr>
        <w:t xml:space="preserve">Paredzēts, ka sadarbības laikā, izmantojot LVRTC platjoslas optiskā tīkla trasi ārpus Rīgas un LVRTC jaunākā un jaudīgākā datu centra skaitļošanas jaudas, tiks veidots kvantu datu pārraides tīkla </w:t>
      </w:r>
      <w:proofErr w:type="spellStart"/>
      <w:r w:rsidRPr="00550D35">
        <w:rPr>
          <w:color w:val="212529"/>
          <w:szCs w:val="24"/>
          <w:lang w:val="lv-LV"/>
        </w:rPr>
        <w:t>pilotpoligons</w:t>
      </w:r>
      <w:proofErr w:type="spellEnd"/>
      <w:r w:rsidRPr="00550D35">
        <w:rPr>
          <w:color w:val="212529"/>
          <w:szCs w:val="24"/>
          <w:lang w:val="lv-LV"/>
        </w:rPr>
        <w:t xml:space="preserve"> 50km garumā, kurā tiks testēta </w:t>
      </w:r>
      <w:proofErr w:type="spellStart"/>
      <w:r w:rsidRPr="00550D35">
        <w:rPr>
          <w:color w:val="212529"/>
          <w:szCs w:val="24"/>
          <w:lang w:val="lv-LV"/>
        </w:rPr>
        <w:t>Kvantiska</w:t>
      </w:r>
      <w:proofErr w:type="spellEnd"/>
      <w:r w:rsidRPr="00550D35">
        <w:rPr>
          <w:color w:val="212529"/>
          <w:szCs w:val="24"/>
          <w:lang w:val="lv-LV"/>
        </w:rPr>
        <w:t xml:space="preserve"> atslēgu sadales  tehnoloģija, kas nodrošina, ka pārraidīto informāciju nevarēs atšifrēt pat ar kvantu datoriem.</w:t>
      </w:r>
    </w:p>
    <w:p w14:paraId="539A291A" w14:textId="77777777" w:rsidR="001F0FC0" w:rsidRPr="00550D35" w:rsidRDefault="00294EEC" w:rsidP="000B7EE7">
      <w:pPr>
        <w:rPr>
          <w:color w:val="212529"/>
          <w:szCs w:val="24"/>
          <w:lang w:val="lv-LV"/>
        </w:rPr>
      </w:pPr>
      <w:r w:rsidRPr="00550D35">
        <w:rPr>
          <w:color w:val="212529"/>
          <w:szCs w:val="24"/>
          <w:lang w:val="lv-LV"/>
        </w:rPr>
        <w:t>Lai veicinātu mērķtiecīgu digitālo transformāciju, arī Latvijā tiek plānots veidot kvantu sakaru tīklu, kas darbotos gan kā drošs datu apmaiņas mehānisms starp dažām organizācijām, gan palīdzētu ieviest un piemērot kvantu tehnoloģijas, nodrošinot piekļuvi tehniskajām kompetencēm un radot vidi risinājuma testēšanai pirms šo tehnoloģiju ieviešanas plašā mērogā.</w:t>
      </w:r>
    </w:p>
    <w:p w14:paraId="0243EACA" w14:textId="71152786" w:rsidR="000B014E" w:rsidRPr="00550D35" w:rsidRDefault="000B014E" w:rsidP="000B7EE7">
      <w:pPr>
        <w:rPr>
          <w:rStyle w:val="Strong"/>
          <w:color w:val="1C1C1C"/>
          <w:szCs w:val="24"/>
          <w:lang w:val="lv-LV"/>
        </w:rPr>
      </w:pPr>
      <w:r w:rsidRPr="00550D35">
        <w:rPr>
          <w:color w:val="212529"/>
          <w:szCs w:val="24"/>
          <w:lang w:val="lv-LV"/>
        </w:rPr>
        <w:t xml:space="preserve">Sekmīgi attīstās arī </w:t>
      </w:r>
      <w:r w:rsidR="00030812" w:rsidRPr="00550D35">
        <w:rPr>
          <w:color w:val="212529"/>
          <w:szCs w:val="24"/>
          <w:lang w:val="lv-LV"/>
        </w:rPr>
        <w:t>komersant</w:t>
      </w:r>
      <w:r w:rsidRPr="00550D35">
        <w:rPr>
          <w:color w:val="212529"/>
          <w:szCs w:val="24"/>
          <w:lang w:val="lv-LV"/>
        </w:rPr>
        <w:t>u piem.,</w:t>
      </w:r>
      <w:r w:rsidR="008C2C1E" w:rsidRPr="00550D35">
        <w:rPr>
          <w:color w:val="212529"/>
          <w:szCs w:val="24"/>
          <w:lang w:val="lv-LV"/>
        </w:rPr>
        <w:t xml:space="preserve"> ārvalstu komersanta filiāle</w:t>
      </w:r>
      <w:r w:rsidRPr="00550D35">
        <w:rPr>
          <w:color w:val="212529"/>
          <w:szCs w:val="24"/>
          <w:lang w:val="lv-LV"/>
        </w:rPr>
        <w:t xml:space="preserve"> “Accenture Baltics”, esošā sadarbība ar pētniekiem kvantu algoritmu pielietojumu meklējumos medicīnas jomā </w:t>
      </w:r>
      <w:r w:rsidR="00247FE8" w:rsidRPr="00550D35">
        <w:rPr>
          <w:color w:val="212529"/>
          <w:szCs w:val="24"/>
          <w:lang w:val="lv-LV"/>
        </w:rPr>
        <w:t xml:space="preserve">SIA </w:t>
      </w:r>
      <w:r w:rsidRPr="00550D35">
        <w:rPr>
          <w:szCs w:val="24"/>
          <w:lang w:val="lv-LV"/>
        </w:rPr>
        <w:t>“Tilde” pēta kvantu tehnoloģiju izmantošanu valodas apstrādē,</w:t>
      </w:r>
      <w:r w:rsidRPr="00550D35">
        <w:rPr>
          <w:rStyle w:val="Strong"/>
          <w:color w:val="1C1C1C"/>
          <w:szCs w:val="24"/>
          <w:lang w:val="lv-LV"/>
        </w:rPr>
        <w:t xml:space="preserve"> </w:t>
      </w:r>
      <w:r w:rsidRPr="00550D35">
        <w:rPr>
          <w:szCs w:val="24"/>
          <w:lang w:val="lv-LV"/>
        </w:rPr>
        <w:t>bet “</w:t>
      </w:r>
      <w:proofErr w:type="spellStart"/>
      <w:r w:rsidRPr="00550D35">
        <w:rPr>
          <w:szCs w:val="24"/>
          <w:lang w:val="lv-LV"/>
        </w:rPr>
        <w:t>EvenTech</w:t>
      </w:r>
      <w:proofErr w:type="spellEnd"/>
      <w:r w:rsidRPr="00550D35">
        <w:rPr>
          <w:szCs w:val="24"/>
          <w:lang w:val="lv-LV"/>
        </w:rPr>
        <w:t>” precīzās laika mērīšanas ierīces izmanto kvantu šifrēšanas eksperimentos caur satelītiem</w:t>
      </w:r>
      <w:r w:rsidR="00B4363E" w:rsidRPr="00550D35">
        <w:rPr>
          <w:szCs w:val="24"/>
          <w:lang w:val="lv-LV"/>
        </w:rPr>
        <w:t xml:space="preserve"> (</w:t>
      </w:r>
      <w:hyperlink r:id="rId17" w:history="1">
        <w:r w:rsidR="008E11F2" w:rsidRPr="00550D35">
          <w:rPr>
            <w:rStyle w:val="Hyperlink"/>
            <w:szCs w:val="24"/>
            <w:lang w:val="lv-LV"/>
          </w:rPr>
          <w:t>https://labsoflatvia.com/aktuali/apvienojas-latvijas-kvantu-iniciativa</w:t>
        </w:r>
      </w:hyperlink>
      <w:r w:rsidR="00B4363E" w:rsidRPr="00550D35">
        <w:rPr>
          <w:szCs w:val="24"/>
          <w:lang w:val="lv-LV"/>
        </w:rPr>
        <w:t xml:space="preserve">) </w:t>
      </w:r>
      <w:r w:rsidRPr="00550D35">
        <w:rPr>
          <w:rStyle w:val="Strong"/>
          <w:color w:val="1C1C1C"/>
          <w:szCs w:val="24"/>
          <w:lang w:val="lv-LV"/>
        </w:rPr>
        <w:t>.</w:t>
      </w:r>
    </w:p>
    <w:p w14:paraId="0FF049B8" w14:textId="3D950F94" w:rsidR="00A075E7" w:rsidRPr="00550D35" w:rsidRDefault="00E94F8E" w:rsidP="000B7EE7">
      <w:pPr>
        <w:rPr>
          <w:szCs w:val="24"/>
          <w:lang w:val="lv-LV"/>
        </w:rPr>
      </w:pPr>
      <w:r w:rsidRPr="00550D35">
        <w:rPr>
          <w:rFonts w:eastAsiaTheme="majorEastAsia" w:cstheme="majorBidi"/>
          <w:szCs w:val="24"/>
          <w:lang w:val="lv-LV"/>
        </w:rPr>
        <w:t>ANM plāna i</w:t>
      </w:r>
      <w:r w:rsidR="00057E5E" w:rsidRPr="00550D35">
        <w:rPr>
          <w:rFonts w:eastAsiaTheme="majorEastAsia" w:cstheme="majorBidi"/>
          <w:szCs w:val="24"/>
          <w:lang w:val="lv-LV"/>
        </w:rPr>
        <w:t>nvestīcija 2.3.1.1.i.</w:t>
      </w:r>
      <w:r w:rsidR="00B51D47">
        <w:rPr>
          <w:rFonts w:eastAsiaTheme="majorEastAsia" w:cstheme="majorBidi"/>
          <w:szCs w:val="24"/>
          <w:lang w:val="lv-LV"/>
        </w:rPr>
        <w:t>“</w:t>
      </w:r>
      <w:r w:rsidR="00057E5E" w:rsidRPr="00550D35">
        <w:rPr>
          <w:rFonts w:eastAsiaTheme="majorEastAsia" w:cstheme="majorBidi"/>
          <w:szCs w:val="24"/>
          <w:lang w:val="lv-LV"/>
        </w:rPr>
        <w:t>Augsta līmeņa digitālo prasmju apguves nodrošināšana</w:t>
      </w:r>
      <w:r w:rsidR="00B51D47">
        <w:rPr>
          <w:rFonts w:eastAsiaTheme="majorEastAsia" w:cstheme="majorBidi"/>
          <w:szCs w:val="24"/>
          <w:lang w:val="lv-LV"/>
        </w:rPr>
        <w:t>”</w:t>
      </w:r>
      <w:r w:rsidRPr="00550D35">
        <w:rPr>
          <w:rFonts w:eastAsiaTheme="majorEastAsia" w:cstheme="majorBidi"/>
          <w:szCs w:val="24"/>
          <w:lang w:val="lv-LV"/>
        </w:rPr>
        <w:t xml:space="preserve"> </w:t>
      </w:r>
      <w:r w:rsidR="001C1E40" w:rsidRPr="00550D35">
        <w:rPr>
          <w:rFonts w:eastAsiaTheme="majorEastAsia" w:cstheme="majorBidi"/>
          <w:szCs w:val="24"/>
          <w:lang w:val="lv-LV"/>
        </w:rPr>
        <w:t xml:space="preserve">paredz </w:t>
      </w:r>
      <w:r w:rsidR="001C1E40" w:rsidRPr="00550D35">
        <w:rPr>
          <w:szCs w:val="24"/>
          <w:lang w:val="lv-LV"/>
        </w:rPr>
        <w:t>investīcijas</w:t>
      </w:r>
      <w:r w:rsidR="00BF1F40" w:rsidRPr="00550D35">
        <w:rPr>
          <w:szCs w:val="24"/>
          <w:lang w:val="lv-LV"/>
        </w:rPr>
        <w:t xml:space="preserve"> ar</w:t>
      </w:r>
      <w:r w:rsidR="001C1E40" w:rsidRPr="00550D35">
        <w:rPr>
          <w:szCs w:val="24"/>
          <w:lang w:val="lv-LV"/>
        </w:rPr>
        <w:t xml:space="preserve"> mērķi turpmākajos sešos gados ievērojami palielināt speciālistu skaitu ar augsta līmeņa digitālajām prasmēm (DESI 3.-5.līmenis), kas spēj pielietot augstās tehnoloģijas zināšanu un tehnoloģiju ietilpīgu jaunu produktu un pakalpojumu attīstībai dažādās nozarēs, tādējādi sekmējot Latvijas viedās specializācijas stratēģijas īstenošanu un industriālo pāreju, t.sk. ekonomikas izaugsmi </w:t>
      </w:r>
      <w:proofErr w:type="spellStart"/>
      <w:r w:rsidR="001C1E40" w:rsidRPr="00550D35">
        <w:rPr>
          <w:szCs w:val="24"/>
          <w:lang w:val="lv-LV"/>
        </w:rPr>
        <w:t>pēckrīzes</w:t>
      </w:r>
      <w:proofErr w:type="spellEnd"/>
      <w:r w:rsidR="001C1E40" w:rsidRPr="00550D35">
        <w:rPr>
          <w:szCs w:val="24"/>
          <w:lang w:val="lv-LV"/>
        </w:rPr>
        <w:t xml:space="preserve"> situācijā, kā arī sekmējot Latvijas lomas nostiprināšanos reģionā augsta līmeņa IKT speciālistu sagatavošanā.</w:t>
      </w:r>
      <w:r w:rsidR="00C0329B" w:rsidRPr="00550D35">
        <w:rPr>
          <w:szCs w:val="24"/>
          <w:lang w:val="lv-LV"/>
        </w:rPr>
        <w:t xml:space="preserve"> R</w:t>
      </w:r>
      <w:r w:rsidR="00A4254F" w:rsidRPr="00550D35">
        <w:rPr>
          <w:szCs w:val="24"/>
          <w:lang w:val="lv-LV"/>
        </w:rPr>
        <w:t>eformas īstenošanai plānotas i</w:t>
      </w:r>
      <w:r w:rsidR="00E50B8B" w:rsidRPr="00550D35">
        <w:rPr>
          <w:szCs w:val="24"/>
          <w:lang w:val="lv-LV"/>
        </w:rPr>
        <w:t xml:space="preserve">nvestīcijas augsta līmeņa digitālo prasmju mācību moduļu/kursu izstrādei un īstenošanai, kā arī  saistīto </w:t>
      </w:r>
      <w:r w:rsidR="00733485" w:rsidRPr="00550D35">
        <w:rPr>
          <w:szCs w:val="24"/>
          <w:lang w:val="lv-LV"/>
        </w:rPr>
        <w:t>P&amp;A</w:t>
      </w:r>
      <w:r w:rsidR="00E50B8B" w:rsidRPr="00550D35">
        <w:rPr>
          <w:szCs w:val="24"/>
          <w:lang w:val="lv-LV"/>
        </w:rPr>
        <w:t xml:space="preserve"> aktivitāšu īstenošanai jomās ar augstu </w:t>
      </w:r>
      <w:proofErr w:type="spellStart"/>
      <w:r w:rsidR="00E50B8B" w:rsidRPr="00550D35">
        <w:rPr>
          <w:szCs w:val="24"/>
          <w:lang w:val="lv-LV"/>
        </w:rPr>
        <w:t>komercializācijas</w:t>
      </w:r>
      <w:proofErr w:type="spellEnd"/>
      <w:r w:rsidR="00E50B8B" w:rsidRPr="00550D35">
        <w:rPr>
          <w:szCs w:val="24"/>
          <w:lang w:val="lv-LV"/>
        </w:rPr>
        <w:t xml:space="preserve"> un eksporta potenciālu augsto tehnoloģiju vērtību ķēdēs</w:t>
      </w:r>
      <w:r w:rsidR="009C6789" w:rsidRPr="00550D35">
        <w:rPr>
          <w:szCs w:val="24"/>
          <w:lang w:val="lv-LV"/>
        </w:rPr>
        <w:t xml:space="preserve">. </w:t>
      </w:r>
      <w:r w:rsidR="00CA69F4" w:rsidRPr="00550D35">
        <w:rPr>
          <w:szCs w:val="24"/>
          <w:lang w:val="lv-LV"/>
        </w:rPr>
        <w:t>Minētās investīcijas ietvarā p</w:t>
      </w:r>
      <w:r w:rsidR="009C6789" w:rsidRPr="00550D35">
        <w:rPr>
          <w:szCs w:val="24"/>
          <w:lang w:val="lv-LV"/>
        </w:rPr>
        <w:t xml:space="preserve">lānots </w:t>
      </w:r>
      <w:r w:rsidR="001D76A8" w:rsidRPr="00550D35">
        <w:rPr>
          <w:szCs w:val="24"/>
          <w:lang w:val="lv-LV"/>
        </w:rPr>
        <w:t xml:space="preserve">izveidot </w:t>
      </w:r>
      <w:r w:rsidR="00CA69F4" w:rsidRPr="00550D35">
        <w:rPr>
          <w:szCs w:val="24"/>
          <w:lang w:val="lv-LV"/>
        </w:rPr>
        <w:t xml:space="preserve">arī </w:t>
      </w:r>
      <w:r w:rsidR="001D76A8" w:rsidRPr="00550D35">
        <w:rPr>
          <w:szCs w:val="24"/>
          <w:lang w:val="lv-LV"/>
        </w:rPr>
        <w:t>i</w:t>
      </w:r>
      <w:r w:rsidR="009C6789" w:rsidRPr="00550D35">
        <w:rPr>
          <w:szCs w:val="24"/>
          <w:lang w:val="lv-LV"/>
        </w:rPr>
        <w:t>n</w:t>
      </w:r>
      <w:r w:rsidR="00E50B8B" w:rsidRPr="00550D35">
        <w:rPr>
          <w:szCs w:val="24"/>
          <w:lang w:val="lv-LV"/>
        </w:rPr>
        <w:t>tegrēt</w:t>
      </w:r>
      <w:r w:rsidR="001D76A8" w:rsidRPr="00550D35">
        <w:rPr>
          <w:szCs w:val="24"/>
          <w:lang w:val="lv-LV"/>
        </w:rPr>
        <w:t>u</w:t>
      </w:r>
      <w:r w:rsidR="00E50B8B" w:rsidRPr="00550D35">
        <w:rPr>
          <w:szCs w:val="24"/>
          <w:lang w:val="lv-LV"/>
        </w:rPr>
        <w:t xml:space="preserve"> mācību un pētniecības programm</w:t>
      </w:r>
      <w:r w:rsidR="001D76A8" w:rsidRPr="00550D35">
        <w:rPr>
          <w:szCs w:val="24"/>
          <w:lang w:val="lv-LV"/>
        </w:rPr>
        <w:t>u, kas</w:t>
      </w:r>
      <w:r w:rsidR="00E50B8B" w:rsidRPr="00550D35">
        <w:rPr>
          <w:szCs w:val="24"/>
          <w:lang w:val="lv-LV"/>
        </w:rPr>
        <w:t xml:space="preserve"> sniegtu būtisku ieguldījumu Kvantu IKT ekselences centra, HPC ekselences centra un Valodu tehnoloģiju ekselences centra izveidē.</w:t>
      </w:r>
    </w:p>
    <w:p w14:paraId="67C0B57F" w14:textId="61EBFDE0" w:rsidR="00A075E7" w:rsidRPr="00550D35" w:rsidRDefault="00A075E7" w:rsidP="000B7EE7">
      <w:pPr>
        <w:rPr>
          <w:szCs w:val="24"/>
          <w:lang w:val="lv-LV"/>
        </w:rPr>
      </w:pPr>
      <w:r w:rsidRPr="00550D35">
        <w:rPr>
          <w:szCs w:val="24"/>
          <w:lang w:val="lv-LV"/>
        </w:rPr>
        <w:t xml:space="preserve">Investīcijas augsta līmeņa prasmēs plānotas integrēti ar investīcijām pētniecībā un inovācijās, jo pētniecība veido pamatu prasmēm un izcilībai. Investīcijas plānots novirzīt ierobežotas projektu atlases veidā augstākās izglītības institūciju un zinātnisko institūciju kopprojektiem, nodrošinot gan atbilstošu mācību piedāvājumu, gan pētniecības komponentes īstenošanu kvantu tehnoloģijās, augstas veiktspējas skaitļošanā un valodu tehnoloģijās. Investīciju projektu īstenošanai tiks izvirzītas augstākās izglītības un zinātniskās institūcijas, kurās ir uzkrāta un attīstīta atbilstoša pētniecības izcilības un zināšanu bāze, tai skaitā sadarbība ar industriju un starptautiska sadarbība pētniecībā, minētajās jomās. </w:t>
      </w:r>
      <w:r w:rsidRPr="00550D35">
        <w:rPr>
          <w:szCs w:val="24"/>
          <w:lang w:val="lv-LV" w:eastAsia="lv-LV"/>
        </w:rPr>
        <w:t>Atbalsts būs pieejams arī bezpeļņas sektoram - biedrībām, nodibinājumiem un sociālajiem uzņēmumiem sociālo pakalpojumu attīstībai</w:t>
      </w:r>
      <w:r w:rsidR="007F4220" w:rsidRPr="00550D35">
        <w:rPr>
          <w:szCs w:val="24"/>
          <w:lang w:val="lv-LV" w:eastAsia="lv-LV"/>
        </w:rPr>
        <w:t>.</w:t>
      </w:r>
    </w:p>
    <w:p w14:paraId="3BC183C1" w14:textId="1E3C6FE0" w:rsidR="00E21BEF" w:rsidRPr="00550D35" w:rsidRDefault="00690D11" w:rsidP="3E3A6E1E">
      <w:pPr>
        <w:rPr>
          <w:lang w:val="lv-LV"/>
        </w:rPr>
      </w:pPr>
      <w:r w:rsidRPr="00550D35">
        <w:rPr>
          <w:lang w:val="lv-LV"/>
        </w:rPr>
        <w:t>Investīcijas mācību un saistīto P&amp;A aktivitāšu, tai skaitā saistītās pētniecības infrastruktūras izveidei plānotas trīs jomās - kvantu tehnoloģijās, augstas veiktspējas skaitļošanā un valodu tehnoloģijās, par kopējo finansējumu 17,5</w:t>
      </w:r>
      <w:r w:rsidR="009D45C6" w:rsidRPr="00550D35">
        <w:rPr>
          <w:lang w:val="lv-LV"/>
        </w:rPr>
        <w:t> </w:t>
      </w:r>
      <w:r w:rsidRPr="00550D35">
        <w:rPr>
          <w:lang w:val="lv-LV"/>
        </w:rPr>
        <w:t>milj.</w:t>
      </w:r>
      <w:r w:rsidR="00CB43E9" w:rsidRPr="00550D35">
        <w:rPr>
          <w:lang w:val="lv-LV"/>
        </w:rPr>
        <w:t> </w:t>
      </w:r>
      <w:proofErr w:type="spellStart"/>
      <w:r w:rsidR="00221010" w:rsidRPr="00550D35">
        <w:rPr>
          <w:i/>
          <w:lang w:val="lv-LV"/>
        </w:rPr>
        <w:t>euro</w:t>
      </w:r>
      <w:proofErr w:type="spellEnd"/>
      <w:r w:rsidRPr="00550D35">
        <w:rPr>
          <w:lang w:val="lv-LV"/>
        </w:rPr>
        <w:t>. Finansējums paredzēts mācību moduļu izstrādei, kas apvieno klātienes mācības un tiešsaistes vidi, pasniedzēju sagatavošanai, mācību materiālu, resursu, rīku un digitālo platformu izveidei vai iegādei, inovāciju attīstības pasākumu un mācību īstenošanai, tostarp starptautiskiem darbsemināriem, vasaras skolām, starpnozaru mobilitātei, kā arī investīcijas saistīto P&amp;A aktivitāšu īstenošanai, tostarp piesaistot ārvalstu speciālistus un zinātniekus. Pētniecības rezultāti veidos studiju moduļu saturisko bāzi, tai skaitā materiālus studiju moduļu sagatavošanai, piemēram, valodu tehn</w:t>
      </w:r>
      <w:r w:rsidR="176E4E69" w:rsidRPr="00550D35">
        <w:rPr>
          <w:lang w:val="lv-LV"/>
        </w:rPr>
        <w:t>o</w:t>
      </w:r>
      <w:r w:rsidRPr="00550D35">
        <w:rPr>
          <w:lang w:val="lv-LV"/>
        </w:rPr>
        <w:t xml:space="preserve">loģijās tekstu un runas korpusus, valodas resursus un rīkus. Studiju moduļi ir paredzēti iekļaušanai bakalaura, maģistra, doktora līmeņa studiju programmās visās izglītības tematiskajās grupās, kā arī pieaugušo izglītības </w:t>
      </w:r>
      <w:r w:rsidRPr="00550D35">
        <w:rPr>
          <w:lang w:val="lv-LV"/>
        </w:rPr>
        <w:lastRenderedPageBreak/>
        <w:t>programmās uzņēmumos nodarbinātajiem speciālistiem un citiem interesentiem ar atbilstošu zināšanu bāzi.</w:t>
      </w:r>
      <w:r w:rsidR="0063314F" w:rsidRPr="00550D35">
        <w:rPr>
          <w:lang w:val="lv-LV"/>
        </w:rPr>
        <w:t xml:space="preserve"> </w:t>
      </w:r>
      <w:r w:rsidR="0063314F" w:rsidRPr="00550D35">
        <w:rPr>
          <w:color w:val="000000" w:themeColor="text1"/>
          <w:lang w:val="lv-LV"/>
        </w:rPr>
        <w:t>K</w:t>
      </w:r>
      <w:r w:rsidR="00BA560C" w:rsidRPr="00550D35">
        <w:rPr>
          <w:color w:val="000000" w:themeColor="text1"/>
          <w:lang w:val="lv-LV"/>
        </w:rPr>
        <w:t xml:space="preserve">vantu tehnoloģiju prasmju programma nodrošinās </w:t>
      </w:r>
      <w:r w:rsidR="00BA560C" w:rsidRPr="00550D35">
        <w:rPr>
          <w:lang w:val="lv-LV"/>
        </w:rPr>
        <w:t>zināšanas par to, kā tiek veidotas kvantu kriptogrāfijas iekārtas, lai radītu industrijai pamatu šādu iekārtu un to komponenšu ražošanai un inovācijām</w:t>
      </w:r>
      <w:r w:rsidR="005C38AF" w:rsidRPr="00550D35">
        <w:rPr>
          <w:lang w:val="lv-LV"/>
        </w:rPr>
        <w:t>.</w:t>
      </w:r>
      <w:bookmarkStart w:id="22" w:name="_Toc135226590"/>
    </w:p>
    <w:p w14:paraId="1C0CA1DC" w14:textId="06F2222D" w:rsidR="00674468" w:rsidRPr="00550D35" w:rsidRDefault="00E21BEF" w:rsidP="00240C36">
      <w:pPr>
        <w:rPr>
          <w:szCs w:val="24"/>
          <w:lang w:val="lv-LV"/>
        </w:rPr>
      </w:pPr>
      <w:r w:rsidRPr="00550D35">
        <w:rPr>
          <w:color w:val="000000"/>
          <w:szCs w:val="24"/>
          <w:lang w:val="lv-LV"/>
        </w:rPr>
        <w:t>Augsta līmeņa digitālo prasmju attīstībā nozīmīga loma ir starptautiskajai dimensijai, kas ir viens no priekšnosacījumiem investīciju projektu izvirzīšanā, gan arī īstenošanā, piemēram, jau esošas pārrobežu sadarbības minētajās jomās, dalība programmā “Apvārsnis 2020”, starptautiskos pētniecības projektos un partnerībās, mērķtiecīga un labai starptautiskai praksei atbilstoša institūcijas virzība uz pētniecības datu atvēršanu un Latvijas iekļaušanos Eiropas Atvērtajā zinātnes mākonī</w:t>
      </w:r>
      <w:r w:rsidRPr="00550D35">
        <w:rPr>
          <w:szCs w:val="24"/>
          <w:lang w:val="lv-LV"/>
        </w:rPr>
        <w:t xml:space="preserve"> u.c. Investīcijas rezultātā tiks piesaistīti un sagatavoti pasniedzēji, sagatavoti mācību moduļi/ kursi un infrastruktūra progresīva līmeņa digitālo prasmju pasniegšanai, tiks veikta apmācība, lai palielinātu šīs prasmes un kompetences apguvušo speciālistu skaitu un sekmētu šo prasmju pielietojumu, tai skaitā iesaistoties jaunās partnerībās un attīstot starptautisko pētniecību, kā arī piesaistot augsta līmeņa ārvalstu speciālistus gan kā mācībspēkus, gan pētniekus. Investīcija veicinās Latvijas iekļaušanos Eiropas Vienotajā izglītības un zinātnes telpā.</w:t>
      </w:r>
    </w:p>
    <w:p w14:paraId="305DE9D4" w14:textId="3E30FBC9" w:rsidR="00400CD6" w:rsidRPr="00550D35" w:rsidRDefault="00E878AA" w:rsidP="00C30931">
      <w:pPr>
        <w:pStyle w:val="Heading2"/>
        <w:rPr>
          <w:lang w:val="lv-LV"/>
        </w:rPr>
      </w:pPr>
      <w:r>
        <w:rPr>
          <w:lang w:val="lv-LV"/>
        </w:rPr>
        <w:t>KPI “</w:t>
      </w:r>
      <w:proofErr w:type="spellStart"/>
      <w:r>
        <w:rPr>
          <w:lang w:val="lv-LV"/>
        </w:rPr>
        <w:t>Kvantiska</w:t>
      </w:r>
      <w:proofErr w:type="spellEnd"/>
      <w:r>
        <w:rPr>
          <w:lang w:val="lv-LV"/>
        </w:rPr>
        <w:t xml:space="preserve"> </w:t>
      </w:r>
      <w:proofErr w:type="spellStart"/>
      <w:r>
        <w:rPr>
          <w:lang w:val="lv-LV"/>
        </w:rPr>
        <w:t>datošana</w:t>
      </w:r>
      <w:proofErr w:type="spellEnd"/>
      <w:r>
        <w:rPr>
          <w:lang w:val="lv-LV"/>
        </w:rPr>
        <w:t>” v</w:t>
      </w:r>
      <w:r w:rsidR="002864F1" w:rsidRPr="00550D35">
        <w:rPr>
          <w:lang w:val="lv-LV"/>
        </w:rPr>
        <w:t>alsts prognozētā trajektorija</w:t>
      </w:r>
      <w:r w:rsidR="00B4122B" w:rsidRPr="00550D35">
        <w:rPr>
          <w:lang w:val="lv-LV"/>
        </w:rPr>
        <w:t xml:space="preserve"> un </w:t>
      </w:r>
      <w:proofErr w:type="spellStart"/>
      <w:r w:rsidR="00B4122B" w:rsidRPr="00550D35">
        <w:rPr>
          <w:lang w:val="lv-LV"/>
        </w:rPr>
        <w:t>mērķrādītāj</w:t>
      </w:r>
      <w:r w:rsidR="00C109AA">
        <w:rPr>
          <w:lang w:val="lv-LV"/>
        </w:rPr>
        <w:t>s</w:t>
      </w:r>
      <w:proofErr w:type="spellEnd"/>
      <w:r w:rsidR="00B4122B" w:rsidRPr="00550D35">
        <w:rPr>
          <w:lang w:val="lv-LV"/>
        </w:rPr>
        <w:t xml:space="preserve">, kas paredzēti, lai palīdzētu sasniegt ES digitālo </w:t>
      </w:r>
      <w:proofErr w:type="spellStart"/>
      <w:r w:rsidR="00B4122B" w:rsidRPr="00550D35">
        <w:rPr>
          <w:lang w:val="lv-LV"/>
        </w:rPr>
        <w:t>mērķrādītāju</w:t>
      </w:r>
      <w:bookmarkEnd w:id="22"/>
      <w:proofErr w:type="spellEnd"/>
    </w:p>
    <w:p w14:paraId="7F4BE9AE" w14:textId="6EA13119" w:rsidR="00AB1C4A" w:rsidRPr="00550D35" w:rsidRDefault="00202897" w:rsidP="00AB1C4A">
      <w:pPr>
        <w:rPr>
          <w:lang w:val="lv-LV"/>
        </w:rPr>
      </w:pPr>
      <w:bookmarkStart w:id="23" w:name="_Toc135226591"/>
      <w:r w:rsidRPr="00550D35">
        <w:rPr>
          <w:lang w:val="lv-LV"/>
        </w:rPr>
        <w:t xml:space="preserve">Ceļveža Latvijai izstrādes </w:t>
      </w:r>
      <w:r w:rsidR="00631E08" w:rsidRPr="00550D35">
        <w:rPr>
          <w:lang w:val="lv-LV"/>
        </w:rPr>
        <w:t>laikā</w:t>
      </w:r>
      <w:r w:rsidRPr="00550D35">
        <w:rPr>
          <w:lang w:val="lv-LV"/>
        </w:rPr>
        <w:t xml:space="preserve"> nav iespējams definēt </w:t>
      </w:r>
      <w:r w:rsidR="0093231B" w:rsidRPr="00550D35">
        <w:rPr>
          <w:lang w:val="lv-LV"/>
        </w:rPr>
        <w:t>Latvijas prognozēt</w:t>
      </w:r>
      <w:r w:rsidRPr="00550D35">
        <w:rPr>
          <w:lang w:val="lv-LV"/>
        </w:rPr>
        <w:t>o</w:t>
      </w:r>
      <w:r w:rsidR="0093231B" w:rsidRPr="00550D35">
        <w:rPr>
          <w:lang w:val="lv-LV"/>
        </w:rPr>
        <w:t xml:space="preserve"> trajektorij</w:t>
      </w:r>
      <w:r w:rsidRPr="00550D35">
        <w:rPr>
          <w:lang w:val="lv-LV"/>
        </w:rPr>
        <w:t>u</w:t>
      </w:r>
      <w:r w:rsidR="00760A4A" w:rsidRPr="00550D35">
        <w:rPr>
          <w:lang w:val="lv-LV"/>
        </w:rPr>
        <w:t xml:space="preserve">, </w:t>
      </w:r>
      <w:r w:rsidR="00F56D4D" w:rsidRPr="00550D35">
        <w:rPr>
          <w:lang w:val="lv-LV"/>
        </w:rPr>
        <w:t xml:space="preserve">lai palīdzētu sasniegt ES digitālos </w:t>
      </w:r>
      <w:proofErr w:type="spellStart"/>
      <w:r w:rsidR="00F56D4D" w:rsidRPr="00550D35">
        <w:rPr>
          <w:lang w:val="lv-LV"/>
        </w:rPr>
        <w:t>mērķrādītājus</w:t>
      </w:r>
      <w:proofErr w:type="spellEnd"/>
      <w:r w:rsidR="00631E08" w:rsidRPr="00550D35">
        <w:rPr>
          <w:lang w:val="lv-LV"/>
        </w:rPr>
        <w:t>. I</w:t>
      </w:r>
      <w:r w:rsidR="00BD79BC" w:rsidRPr="00550D35">
        <w:rPr>
          <w:lang w:val="lv-LV"/>
        </w:rPr>
        <w:t xml:space="preserve">nformācija </w:t>
      </w:r>
      <w:r w:rsidR="00AB1C4A" w:rsidRPr="00550D35">
        <w:rPr>
          <w:lang w:val="lv-LV"/>
        </w:rPr>
        <w:t>tiks precizēta ceļveža pārskatīšanas gaitā</w:t>
      </w:r>
      <w:r w:rsidR="00BD79BC" w:rsidRPr="00550D35">
        <w:rPr>
          <w:lang w:val="lv-LV"/>
        </w:rPr>
        <w:t>. V</w:t>
      </w:r>
      <w:r w:rsidRPr="00550D35">
        <w:rPr>
          <w:lang w:val="lv-LV"/>
        </w:rPr>
        <w:t xml:space="preserve">ienlaikus, </w:t>
      </w:r>
      <w:r w:rsidR="00631E08" w:rsidRPr="00550D35">
        <w:rPr>
          <w:lang w:val="lv-LV"/>
        </w:rPr>
        <w:t xml:space="preserve">ceļvedī </w:t>
      </w:r>
      <w:r w:rsidRPr="00550D35">
        <w:rPr>
          <w:lang w:val="lv-LV"/>
        </w:rPr>
        <w:t>Latvij</w:t>
      </w:r>
      <w:r w:rsidR="00631E08" w:rsidRPr="00550D35">
        <w:rPr>
          <w:lang w:val="lv-LV"/>
        </w:rPr>
        <w:t>ai tiek sniegta informācija</w:t>
      </w:r>
      <w:r w:rsidR="00C162C6" w:rsidRPr="00550D35">
        <w:rPr>
          <w:lang w:val="lv-LV"/>
        </w:rPr>
        <w:t xml:space="preserve"> par</w:t>
      </w:r>
      <w:r w:rsidRPr="00550D35">
        <w:rPr>
          <w:lang w:val="lv-LV"/>
        </w:rPr>
        <w:t xml:space="preserve"> veicamie</w:t>
      </w:r>
      <w:r w:rsidR="00C162C6" w:rsidRPr="00550D35">
        <w:rPr>
          <w:lang w:val="lv-LV"/>
        </w:rPr>
        <w:t>m</w:t>
      </w:r>
      <w:r w:rsidRPr="00550D35">
        <w:rPr>
          <w:lang w:val="lv-LV"/>
        </w:rPr>
        <w:t xml:space="preserve"> pasākumi</w:t>
      </w:r>
      <w:r w:rsidR="00C162C6" w:rsidRPr="00550D35">
        <w:rPr>
          <w:lang w:val="lv-LV"/>
        </w:rPr>
        <w:t>em, kas</w:t>
      </w:r>
      <w:r w:rsidRPr="00550D35">
        <w:rPr>
          <w:lang w:val="lv-LV"/>
        </w:rPr>
        <w:t xml:space="preserve"> sniegs ieguldījumu ES </w:t>
      </w:r>
      <w:proofErr w:type="spellStart"/>
      <w:r w:rsidRPr="00550D35">
        <w:rPr>
          <w:lang w:val="lv-LV"/>
        </w:rPr>
        <w:t>mērķrādītāja</w:t>
      </w:r>
      <w:proofErr w:type="spellEnd"/>
      <w:r w:rsidRPr="00550D35">
        <w:rPr>
          <w:lang w:val="lv-LV"/>
        </w:rPr>
        <w:t xml:space="preserve"> “</w:t>
      </w:r>
      <w:proofErr w:type="spellStart"/>
      <w:r w:rsidRPr="00550D35">
        <w:rPr>
          <w:lang w:val="lv-LV"/>
        </w:rPr>
        <w:t>Kvantiska</w:t>
      </w:r>
      <w:proofErr w:type="spellEnd"/>
      <w:r w:rsidRPr="00550D35">
        <w:rPr>
          <w:lang w:val="lv-LV"/>
        </w:rPr>
        <w:t xml:space="preserve"> </w:t>
      </w:r>
      <w:proofErr w:type="spellStart"/>
      <w:r w:rsidRPr="00550D35">
        <w:rPr>
          <w:lang w:val="lv-LV"/>
        </w:rPr>
        <w:t>datošana</w:t>
      </w:r>
      <w:proofErr w:type="spellEnd"/>
      <w:r w:rsidRPr="00550D35">
        <w:rPr>
          <w:lang w:val="lv-LV"/>
        </w:rPr>
        <w:t xml:space="preserve">” sasniegšanā. </w:t>
      </w:r>
    </w:p>
    <w:p w14:paraId="1F75A159" w14:textId="77777777" w:rsidR="00F714BE" w:rsidRPr="00550D35" w:rsidRDefault="00F714BE" w:rsidP="00F714BE">
      <w:pPr>
        <w:pStyle w:val="Heading2"/>
        <w:rPr>
          <w:lang w:val="lv-LV"/>
        </w:rPr>
      </w:pPr>
      <w:r w:rsidRPr="00550D35">
        <w:rPr>
          <w:lang w:val="lv-LV"/>
        </w:rPr>
        <w:t xml:space="preserve">Politika, pasākumi un darbības digitālā </w:t>
      </w:r>
      <w:proofErr w:type="spellStart"/>
      <w:r w:rsidRPr="00550D35">
        <w:rPr>
          <w:lang w:val="lv-LV"/>
        </w:rPr>
        <w:t>mērķrādītāja</w:t>
      </w:r>
      <w:proofErr w:type="spellEnd"/>
      <w:r w:rsidRPr="00550D35">
        <w:rPr>
          <w:lang w:val="lv-LV"/>
        </w:rPr>
        <w:t xml:space="preserve"> sasniegšanai </w:t>
      </w:r>
    </w:p>
    <w:p w14:paraId="7EBB9830" w14:textId="77777777" w:rsidR="00F714BE" w:rsidRPr="00550D35" w:rsidRDefault="00F714BE" w:rsidP="00F714BE">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7DCA66DD" w14:textId="77777777" w:rsidR="00F714BE" w:rsidRPr="00550D35" w:rsidRDefault="00F714BE" w:rsidP="00844F29">
      <w:pPr>
        <w:rPr>
          <w:b/>
          <w:bCs/>
          <w:lang w:val="lv-LV"/>
        </w:rPr>
      </w:pPr>
      <w:r w:rsidRPr="00550D35">
        <w:rPr>
          <w:b/>
          <w:bCs/>
          <w:lang w:val="lv-LV"/>
        </w:rPr>
        <w:t>Kopējais laika ietvars:</w:t>
      </w:r>
    </w:p>
    <w:tbl>
      <w:tblPr>
        <w:tblStyle w:val="TableGrid"/>
        <w:tblW w:w="5000" w:type="pct"/>
        <w:tblLayout w:type="fixed"/>
        <w:tblLook w:val="04A0" w:firstRow="1" w:lastRow="0" w:firstColumn="1" w:lastColumn="0" w:noHBand="0" w:noVBand="1"/>
      </w:tblPr>
      <w:tblGrid>
        <w:gridCol w:w="2261"/>
        <w:gridCol w:w="858"/>
        <w:gridCol w:w="850"/>
        <w:gridCol w:w="850"/>
        <w:gridCol w:w="709"/>
        <w:gridCol w:w="707"/>
        <w:gridCol w:w="709"/>
        <w:gridCol w:w="850"/>
        <w:gridCol w:w="813"/>
      </w:tblGrid>
      <w:tr w:rsidR="00F714BE" w:rsidRPr="00550D35" w14:paraId="0068E923" w14:textId="77777777" w:rsidTr="00BA62A0">
        <w:tc>
          <w:tcPr>
            <w:tcW w:w="1313" w:type="pct"/>
            <w:shd w:val="clear" w:color="auto" w:fill="auto"/>
          </w:tcPr>
          <w:p w14:paraId="58D92F2F" w14:textId="77777777" w:rsidR="00F714BE" w:rsidRPr="00550D35" w:rsidRDefault="00F714BE" w:rsidP="00BA62A0">
            <w:pPr>
              <w:spacing w:before="0" w:after="0"/>
              <w:ind w:firstLine="0"/>
              <w:jc w:val="left"/>
              <w:rPr>
                <w:sz w:val="20"/>
                <w:lang w:val="lv-LV"/>
              </w:rPr>
            </w:pPr>
          </w:p>
        </w:tc>
        <w:tc>
          <w:tcPr>
            <w:tcW w:w="498" w:type="pct"/>
          </w:tcPr>
          <w:p w14:paraId="1EF40481" w14:textId="77777777" w:rsidR="00F714BE" w:rsidRPr="00550D35" w:rsidRDefault="00F714BE" w:rsidP="00BA62A0">
            <w:pPr>
              <w:spacing w:before="0" w:after="0"/>
              <w:ind w:firstLine="0"/>
              <w:rPr>
                <w:sz w:val="20"/>
                <w:lang w:val="lv-LV"/>
              </w:rPr>
            </w:pPr>
            <w:r w:rsidRPr="00550D35">
              <w:rPr>
                <w:sz w:val="20"/>
                <w:lang w:val="lv-LV"/>
              </w:rPr>
              <w:t>2023</w:t>
            </w:r>
          </w:p>
        </w:tc>
        <w:tc>
          <w:tcPr>
            <w:tcW w:w="494" w:type="pct"/>
          </w:tcPr>
          <w:p w14:paraId="125D87F5" w14:textId="77777777" w:rsidR="00F714BE" w:rsidRPr="00550D35" w:rsidRDefault="00F714BE" w:rsidP="00BA62A0">
            <w:pPr>
              <w:spacing w:before="0" w:after="0"/>
              <w:ind w:firstLine="0"/>
              <w:rPr>
                <w:sz w:val="20"/>
                <w:lang w:val="lv-LV"/>
              </w:rPr>
            </w:pPr>
            <w:r w:rsidRPr="00550D35">
              <w:rPr>
                <w:sz w:val="20"/>
                <w:lang w:val="lv-LV"/>
              </w:rPr>
              <w:t>2024</w:t>
            </w:r>
          </w:p>
        </w:tc>
        <w:tc>
          <w:tcPr>
            <w:tcW w:w="494" w:type="pct"/>
          </w:tcPr>
          <w:p w14:paraId="2935733C" w14:textId="77777777" w:rsidR="00F714BE" w:rsidRPr="00550D35" w:rsidRDefault="00F714BE" w:rsidP="00BA62A0">
            <w:pPr>
              <w:spacing w:before="0" w:after="0"/>
              <w:ind w:firstLine="0"/>
              <w:rPr>
                <w:sz w:val="20"/>
                <w:lang w:val="lv-LV"/>
              </w:rPr>
            </w:pPr>
            <w:r w:rsidRPr="00550D35">
              <w:rPr>
                <w:sz w:val="20"/>
                <w:lang w:val="lv-LV"/>
              </w:rPr>
              <w:t>2025</w:t>
            </w:r>
          </w:p>
        </w:tc>
        <w:tc>
          <w:tcPr>
            <w:tcW w:w="412" w:type="pct"/>
          </w:tcPr>
          <w:p w14:paraId="0292853D" w14:textId="77777777" w:rsidR="00F714BE" w:rsidRPr="00550D35" w:rsidRDefault="00F714BE" w:rsidP="00BA62A0">
            <w:pPr>
              <w:spacing w:before="0" w:after="0"/>
              <w:ind w:firstLine="0"/>
              <w:rPr>
                <w:sz w:val="20"/>
                <w:lang w:val="lv-LV"/>
              </w:rPr>
            </w:pPr>
            <w:r w:rsidRPr="00550D35">
              <w:rPr>
                <w:sz w:val="20"/>
                <w:lang w:val="lv-LV"/>
              </w:rPr>
              <w:t>2026</w:t>
            </w:r>
          </w:p>
        </w:tc>
        <w:tc>
          <w:tcPr>
            <w:tcW w:w="411" w:type="pct"/>
          </w:tcPr>
          <w:p w14:paraId="4A0E30BA" w14:textId="77777777" w:rsidR="00F714BE" w:rsidRPr="00550D35" w:rsidRDefault="00F714BE" w:rsidP="00BA62A0">
            <w:pPr>
              <w:spacing w:before="0" w:after="0"/>
              <w:ind w:firstLine="0"/>
              <w:rPr>
                <w:sz w:val="20"/>
                <w:lang w:val="lv-LV"/>
              </w:rPr>
            </w:pPr>
            <w:r w:rsidRPr="00550D35">
              <w:rPr>
                <w:sz w:val="20"/>
                <w:lang w:val="lv-LV"/>
              </w:rPr>
              <w:t>2027</w:t>
            </w:r>
          </w:p>
        </w:tc>
        <w:tc>
          <w:tcPr>
            <w:tcW w:w="412" w:type="pct"/>
          </w:tcPr>
          <w:p w14:paraId="1D7038ED" w14:textId="77777777" w:rsidR="00F714BE" w:rsidRPr="00550D35" w:rsidRDefault="00F714BE" w:rsidP="00BA62A0">
            <w:pPr>
              <w:spacing w:before="0" w:after="0"/>
              <w:ind w:firstLine="0"/>
              <w:rPr>
                <w:sz w:val="20"/>
                <w:lang w:val="lv-LV"/>
              </w:rPr>
            </w:pPr>
            <w:r w:rsidRPr="00550D35">
              <w:rPr>
                <w:sz w:val="20"/>
                <w:lang w:val="lv-LV"/>
              </w:rPr>
              <w:t>2028</w:t>
            </w:r>
          </w:p>
        </w:tc>
        <w:tc>
          <w:tcPr>
            <w:tcW w:w="494" w:type="pct"/>
          </w:tcPr>
          <w:p w14:paraId="75448F0C" w14:textId="77777777" w:rsidR="00F714BE" w:rsidRPr="00550D35" w:rsidRDefault="00F714BE" w:rsidP="00BA62A0">
            <w:pPr>
              <w:spacing w:before="0" w:after="0"/>
              <w:ind w:firstLine="0"/>
              <w:rPr>
                <w:sz w:val="20"/>
                <w:lang w:val="lv-LV"/>
              </w:rPr>
            </w:pPr>
            <w:r w:rsidRPr="00550D35">
              <w:rPr>
                <w:sz w:val="20"/>
                <w:lang w:val="lv-LV"/>
              </w:rPr>
              <w:t>2029</w:t>
            </w:r>
          </w:p>
        </w:tc>
        <w:tc>
          <w:tcPr>
            <w:tcW w:w="472" w:type="pct"/>
          </w:tcPr>
          <w:p w14:paraId="6230ACFA" w14:textId="77777777" w:rsidR="00F714BE" w:rsidRPr="00550D35" w:rsidRDefault="00F714BE" w:rsidP="00BA62A0">
            <w:pPr>
              <w:spacing w:before="0" w:after="0"/>
              <w:ind w:firstLine="0"/>
              <w:rPr>
                <w:sz w:val="20"/>
                <w:lang w:val="lv-LV"/>
              </w:rPr>
            </w:pPr>
            <w:r w:rsidRPr="00550D35">
              <w:rPr>
                <w:sz w:val="20"/>
                <w:lang w:val="lv-LV"/>
              </w:rPr>
              <w:t>2030</w:t>
            </w:r>
          </w:p>
        </w:tc>
      </w:tr>
      <w:tr w:rsidR="00F714BE" w:rsidRPr="00550D35" w14:paraId="36D23105" w14:textId="77777777" w:rsidTr="00BA62A0">
        <w:tc>
          <w:tcPr>
            <w:tcW w:w="5000" w:type="pct"/>
            <w:gridSpan w:val="9"/>
            <w:shd w:val="clear" w:color="auto" w:fill="BFBFBF" w:themeFill="background1" w:themeFillShade="BF"/>
          </w:tcPr>
          <w:p w14:paraId="53C48FEC" w14:textId="77777777" w:rsidR="00F714BE" w:rsidRPr="00550D35" w:rsidRDefault="00F714BE" w:rsidP="00BA62A0">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F714BE" w:rsidRPr="00550D35" w14:paraId="1C067450" w14:textId="77777777" w:rsidTr="00BA62A0">
        <w:tc>
          <w:tcPr>
            <w:tcW w:w="1313" w:type="pct"/>
          </w:tcPr>
          <w:p w14:paraId="38AF5E57" w14:textId="77777777" w:rsidR="00F714BE" w:rsidRDefault="00F714BE" w:rsidP="00BA62A0">
            <w:pPr>
              <w:ind w:firstLine="0"/>
              <w:rPr>
                <w:sz w:val="20"/>
                <w:lang w:val="lv-LV"/>
              </w:rPr>
            </w:pPr>
            <w:r w:rsidRPr="00550D35">
              <w:rPr>
                <w:sz w:val="20"/>
                <w:lang w:val="lv-LV"/>
              </w:rPr>
              <w:t>Pasākums Nr.1 -</w:t>
            </w:r>
            <w:r w:rsidRPr="00550D35">
              <w:rPr>
                <w:sz w:val="20"/>
                <w:lang w:val="lv-LV"/>
              </w:rPr>
              <w:br/>
            </w:r>
            <w:r w:rsidRPr="008655BB">
              <w:rPr>
                <w:b/>
                <w:bCs/>
                <w:sz w:val="20"/>
                <w:lang w:val="lv-LV"/>
              </w:rPr>
              <w:t>“Nacionāla līmeņa kvantu komunikācijas infrastruktūras sistēmu un tīklu izveide” (DEP konkurss)</w:t>
            </w:r>
          </w:p>
          <w:p w14:paraId="3AC2FB0F" w14:textId="77777777" w:rsidR="00F714BE" w:rsidRPr="005D5D72" w:rsidRDefault="00F714BE" w:rsidP="00BA62A0">
            <w:pPr>
              <w:ind w:firstLine="0"/>
              <w:rPr>
                <w:sz w:val="20"/>
                <w:lang w:val="lv-LV"/>
              </w:rPr>
            </w:pPr>
            <w:r w:rsidRPr="005D5D72">
              <w:rPr>
                <w:sz w:val="20"/>
                <w:lang w:val="lv-LV"/>
              </w:rPr>
              <w:t>Finansējuma avots:</w:t>
            </w:r>
            <w:r w:rsidRPr="004927B8">
              <w:rPr>
                <w:sz w:val="20"/>
                <w:lang w:val="lv-LV"/>
              </w:rPr>
              <w:t xml:space="preserve"> </w:t>
            </w:r>
            <w:r>
              <w:rPr>
                <w:sz w:val="20"/>
                <w:lang w:val="lv-LV"/>
              </w:rPr>
              <w:t>Valsts budžets, DEP finansējums</w:t>
            </w:r>
          </w:p>
        </w:tc>
        <w:tc>
          <w:tcPr>
            <w:tcW w:w="498" w:type="pct"/>
            <w:shd w:val="clear" w:color="auto" w:fill="70AD47" w:themeFill="accent6"/>
          </w:tcPr>
          <w:p w14:paraId="652644EA" w14:textId="77777777" w:rsidR="00F714BE" w:rsidRPr="00550D35" w:rsidRDefault="00F714BE" w:rsidP="00BA62A0">
            <w:pPr>
              <w:spacing w:before="0" w:after="0"/>
              <w:rPr>
                <w:sz w:val="20"/>
                <w:highlight w:val="darkGray"/>
                <w:lang w:val="lv-LV"/>
              </w:rPr>
            </w:pPr>
          </w:p>
        </w:tc>
        <w:tc>
          <w:tcPr>
            <w:tcW w:w="494" w:type="pct"/>
            <w:shd w:val="clear" w:color="auto" w:fill="70AD47" w:themeFill="accent6"/>
          </w:tcPr>
          <w:p w14:paraId="082EB661" w14:textId="77777777" w:rsidR="00F714BE" w:rsidRPr="00550D35" w:rsidRDefault="00F714BE" w:rsidP="00BA62A0">
            <w:pPr>
              <w:spacing w:before="0" w:after="0"/>
              <w:rPr>
                <w:sz w:val="20"/>
                <w:highlight w:val="darkGray"/>
                <w:lang w:val="lv-LV"/>
              </w:rPr>
            </w:pPr>
          </w:p>
        </w:tc>
        <w:tc>
          <w:tcPr>
            <w:tcW w:w="494" w:type="pct"/>
            <w:shd w:val="clear" w:color="auto" w:fill="70AD47" w:themeFill="accent6"/>
          </w:tcPr>
          <w:p w14:paraId="031753E6" w14:textId="77777777" w:rsidR="00F714BE" w:rsidRPr="00550D35" w:rsidRDefault="00F714BE" w:rsidP="00BA62A0">
            <w:pPr>
              <w:spacing w:before="0" w:after="0"/>
              <w:rPr>
                <w:sz w:val="20"/>
                <w:highlight w:val="darkGray"/>
                <w:lang w:val="lv-LV"/>
              </w:rPr>
            </w:pPr>
          </w:p>
        </w:tc>
        <w:tc>
          <w:tcPr>
            <w:tcW w:w="412" w:type="pct"/>
          </w:tcPr>
          <w:p w14:paraId="30FA5BEC" w14:textId="77777777" w:rsidR="00F714BE" w:rsidRPr="00550D35" w:rsidRDefault="00F714BE" w:rsidP="00BA62A0">
            <w:pPr>
              <w:spacing w:before="0" w:after="0"/>
              <w:rPr>
                <w:sz w:val="20"/>
                <w:lang w:val="lv-LV"/>
              </w:rPr>
            </w:pPr>
          </w:p>
        </w:tc>
        <w:tc>
          <w:tcPr>
            <w:tcW w:w="411" w:type="pct"/>
          </w:tcPr>
          <w:p w14:paraId="0FA53D83" w14:textId="77777777" w:rsidR="00F714BE" w:rsidRPr="00550D35" w:rsidRDefault="00F714BE" w:rsidP="00BA62A0">
            <w:pPr>
              <w:spacing w:before="0" w:after="0"/>
              <w:rPr>
                <w:sz w:val="20"/>
                <w:lang w:val="lv-LV"/>
              </w:rPr>
            </w:pPr>
          </w:p>
        </w:tc>
        <w:tc>
          <w:tcPr>
            <w:tcW w:w="412" w:type="pct"/>
          </w:tcPr>
          <w:p w14:paraId="51358DBA" w14:textId="77777777" w:rsidR="00F714BE" w:rsidRPr="00550D35" w:rsidRDefault="00F714BE" w:rsidP="00BA62A0">
            <w:pPr>
              <w:spacing w:before="0" w:after="0"/>
              <w:rPr>
                <w:sz w:val="20"/>
                <w:lang w:val="lv-LV"/>
              </w:rPr>
            </w:pPr>
          </w:p>
        </w:tc>
        <w:tc>
          <w:tcPr>
            <w:tcW w:w="494" w:type="pct"/>
          </w:tcPr>
          <w:p w14:paraId="0E8AE8D2" w14:textId="77777777" w:rsidR="00F714BE" w:rsidRPr="00550D35" w:rsidRDefault="00F714BE" w:rsidP="00BA62A0">
            <w:pPr>
              <w:spacing w:before="0" w:after="0"/>
              <w:rPr>
                <w:sz w:val="20"/>
                <w:lang w:val="lv-LV"/>
              </w:rPr>
            </w:pPr>
          </w:p>
        </w:tc>
        <w:tc>
          <w:tcPr>
            <w:tcW w:w="472" w:type="pct"/>
          </w:tcPr>
          <w:p w14:paraId="02128860" w14:textId="77777777" w:rsidR="00F714BE" w:rsidRPr="00550D35" w:rsidRDefault="00F714BE" w:rsidP="00BA62A0">
            <w:pPr>
              <w:spacing w:before="0" w:after="0"/>
              <w:rPr>
                <w:sz w:val="20"/>
                <w:lang w:val="lv-LV"/>
              </w:rPr>
            </w:pPr>
          </w:p>
        </w:tc>
      </w:tr>
      <w:tr w:rsidR="00F714BE" w:rsidRPr="00B51D47" w14:paraId="72B5D06F" w14:textId="77777777" w:rsidTr="00BA62A0">
        <w:tc>
          <w:tcPr>
            <w:tcW w:w="1313" w:type="pct"/>
          </w:tcPr>
          <w:p w14:paraId="3EA8E5B3" w14:textId="77777777" w:rsidR="00F714BE" w:rsidRPr="00550D35" w:rsidRDefault="00F714BE" w:rsidP="00BA62A0">
            <w:pPr>
              <w:ind w:firstLine="0"/>
              <w:jc w:val="left"/>
              <w:rPr>
                <w:sz w:val="20"/>
                <w:lang w:val="lv-LV"/>
              </w:rPr>
            </w:pPr>
            <w:r w:rsidRPr="00550D35">
              <w:rPr>
                <w:sz w:val="20"/>
                <w:lang w:val="lv-LV"/>
              </w:rPr>
              <w:t>Pasākums Nr.2</w:t>
            </w:r>
          </w:p>
          <w:p w14:paraId="7080DD30" w14:textId="77777777" w:rsidR="00F714BE" w:rsidRPr="008655BB" w:rsidRDefault="00F714BE" w:rsidP="00BA62A0">
            <w:pPr>
              <w:ind w:firstLine="0"/>
              <w:jc w:val="left"/>
              <w:rPr>
                <w:b/>
                <w:bCs/>
                <w:sz w:val="20"/>
                <w:lang w:val="lv-LV"/>
              </w:rPr>
            </w:pPr>
            <w:r w:rsidRPr="008655BB">
              <w:rPr>
                <w:b/>
                <w:bCs/>
                <w:sz w:val="20"/>
                <w:lang w:val="lv-LV"/>
              </w:rPr>
              <w:t xml:space="preserve"> “Kvantu tehnoloģiju iniciatīva”</w:t>
            </w:r>
          </w:p>
          <w:p w14:paraId="1AB2807D" w14:textId="77777777" w:rsidR="00F714BE" w:rsidRPr="00550D35" w:rsidRDefault="00F714BE" w:rsidP="00BA62A0">
            <w:pPr>
              <w:ind w:firstLine="0"/>
              <w:jc w:val="left"/>
              <w:rPr>
                <w:sz w:val="20"/>
                <w:lang w:val="lv-LV"/>
              </w:rPr>
            </w:pPr>
            <w:r w:rsidRPr="005D5D72">
              <w:rPr>
                <w:sz w:val="20"/>
                <w:lang w:val="lv-LV"/>
              </w:rPr>
              <w:t>Finansējuma avots:</w:t>
            </w:r>
            <w:r w:rsidRPr="004927B8">
              <w:rPr>
                <w:sz w:val="20"/>
                <w:lang w:val="lv-LV"/>
              </w:rPr>
              <w:t xml:space="preserve"> </w:t>
            </w:r>
            <w:r w:rsidRPr="00550D35">
              <w:rPr>
                <w:sz w:val="20"/>
                <w:lang w:val="lv-LV"/>
              </w:rPr>
              <w:t xml:space="preserve">ANM </w:t>
            </w:r>
            <w:r>
              <w:rPr>
                <w:sz w:val="20"/>
                <w:lang w:val="lv-LV"/>
              </w:rPr>
              <w:t xml:space="preserve">plāna </w:t>
            </w:r>
            <w:r w:rsidRPr="00550D35">
              <w:rPr>
                <w:sz w:val="20"/>
                <w:lang w:val="lv-LV"/>
              </w:rPr>
              <w:t>investīcija 2.3.1.1.i.</w:t>
            </w:r>
          </w:p>
        </w:tc>
        <w:tc>
          <w:tcPr>
            <w:tcW w:w="498" w:type="pct"/>
            <w:shd w:val="clear" w:color="auto" w:fill="70AD47" w:themeFill="accent6"/>
          </w:tcPr>
          <w:p w14:paraId="4CF7ED3D" w14:textId="77777777" w:rsidR="00F714BE" w:rsidRPr="00550D35" w:rsidRDefault="00F714BE" w:rsidP="00BA62A0">
            <w:pPr>
              <w:spacing w:before="0" w:after="0"/>
              <w:rPr>
                <w:sz w:val="20"/>
                <w:lang w:val="lv-LV"/>
              </w:rPr>
            </w:pPr>
          </w:p>
        </w:tc>
        <w:tc>
          <w:tcPr>
            <w:tcW w:w="494" w:type="pct"/>
            <w:shd w:val="clear" w:color="auto" w:fill="70AD47" w:themeFill="accent6"/>
          </w:tcPr>
          <w:p w14:paraId="5E550EFB" w14:textId="77777777" w:rsidR="00F714BE" w:rsidRPr="00550D35" w:rsidRDefault="00F714BE" w:rsidP="00BA62A0">
            <w:pPr>
              <w:spacing w:before="0" w:after="0"/>
              <w:rPr>
                <w:sz w:val="20"/>
                <w:lang w:val="lv-LV"/>
              </w:rPr>
            </w:pPr>
          </w:p>
        </w:tc>
        <w:tc>
          <w:tcPr>
            <w:tcW w:w="494" w:type="pct"/>
            <w:shd w:val="clear" w:color="auto" w:fill="70AD47" w:themeFill="accent6"/>
          </w:tcPr>
          <w:p w14:paraId="002C9A84" w14:textId="77777777" w:rsidR="00F714BE" w:rsidRPr="00550D35" w:rsidRDefault="00F714BE" w:rsidP="00BA62A0">
            <w:pPr>
              <w:spacing w:before="0" w:after="0"/>
              <w:rPr>
                <w:sz w:val="20"/>
                <w:lang w:val="lv-LV"/>
              </w:rPr>
            </w:pPr>
          </w:p>
        </w:tc>
        <w:tc>
          <w:tcPr>
            <w:tcW w:w="412" w:type="pct"/>
            <w:shd w:val="clear" w:color="auto" w:fill="70AD47" w:themeFill="accent6"/>
          </w:tcPr>
          <w:p w14:paraId="4A305993" w14:textId="77777777" w:rsidR="00F714BE" w:rsidRPr="00550D35" w:rsidRDefault="00F714BE" w:rsidP="00BA62A0">
            <w:pPr>
              <w:spacing w:before="0" w:after="0"/>
              <w:rPr>
                <w:sz w:val="20"/>
                <w:lang w:val="lv-LV"/>
              </w:rPr>
            </w:pPr>
          </w:p>
        </w:tc>
        <w:tc>
          <w:tcPr>
            <w:tcW w:w="411" w:type="pct"/>
            <w:shd w:val="clear" w:color="auto" w:fill="auto"/>
          </w:tcPr>
          <w:p w14:paraId="3BE928E8" w14:textId="77777777" w:rsidR="00F714BE" w:rsidRPr="00550D35" w:rsidRDefault="00F714BE" w:rsidP="00BA62A0">
            <w:pPr>
              <w:spacing w:before="0" w:after="0"/>
              <w:rPr>
                <w:sz w:val="20"/>
                <w:lang w:val="lv-LV"/>
              </w:rPr>
            </w:pPr>
          </w:p>
        </w:tc>
        <w:tc>
          <w:tcPr>
            <w:tcW w:w="412" w:type="pct"/>
            <w:shd w:val="clear" w:color="auto" w:fill="auto"/>
          </w:tcPr>
          <w:p w14:paraId="7AD31F99" w14:textId="77777777" w:rsidR="00F714BE" w:rsidRPr="00550D35" w:rsidRDefault="00F714BE" w:rsidP="00BA62A0">
            <w:pPr>
              <w:spacing w:before="0" w:after="0"/>
              <w:rPr>
                <w:sz w:val="20"/>
                <w:lang w:val="lv-LV"/>
              </w:rPr>
            </w:pPr>
          </w:p>
        </w:tc>
        <w:tc>
          <w:tcPr>
            <w:tcW w:w="494" w:type="pct"/>
            <w:shd w:val="clear" w:color="auto" w:fill="auto"/>
          </w:tcPr>
          <w:p w14:paraId="10703030" w14:textId="77777777" w:rsidR="00F714BE" w:rsidRPr="00550D35" w:rsidRDefault="00F714BE" w:rsidP="00BA62A0">
            <w:pPr>
              <w:spacing w:before="0" w:after="0"/>
              <w:rPr>
                <w:sz w:val="20"/>
                <w:lang w:val="lv-LV"/>
              </w:rPr>
            </w:pPr>
          </w:p>
        </w:tc>
        <w:tc>
          <w:tcPr>
            <w:tcW w:w="472" w:type="pct"/>
            <w:shd w:val="clear" w:color="auto" w:fill="auto"/>
          </w:tcPr>
          <w:p w14:paraId="3AF561CD" w14:textId="77777777" w:rsidR="00F714BE" w:rsidRPr="00550D35" w:rsidRDefault="00F714BE" w:rsidP="00BA62A0">
            <w:pPr>
              <w:spacing w:before="0" w:after="0"/>
              <w:rPr>
                <w:sz w:val="20"/>
                <w:lang w:val="lv-LV"/>
              </w:rPr>
            </w:pPr>
          </w:p>
        </w:tc>
      </w:tr>
    </w:tbl>
    <w:p w14:paraId="440A1FCB" w14:textId="77777777" w:rsidR="00F714BE" w:rsidRDefault="00F714BE" w:rsidP="00F714BE">
      <w:pPr>
        <w:spacing w:before="0" w:after="160" w:line="259" w:lineRule="auto"/>
        <w:ind w:firstLine="0"/>
        <w:contextualSpacing/>
        <w:jc w:val="left"/>
        <w:rPr>
          <w:b/>
          <w:noProof/>
          <w:szCs w:val="24"/>
          <w:lang w:val="lv-LV"/>
        </w:rPr>
      </w:pPr>
    </w:p>
    <w:p w14:paraId="5372971F" w14:textId="77777777" w:rsidR="00F714BE" w:rsidRPr="00D857FC" w:rsidRDefault="00F714BE" w:rsidP="00844F29">
      <w:pPr>
        <w:spacing w:before="0" w:after="160" w:line="259" w:lineRule="auto"/>
        <w:ind w:firstLine="567"/>
        <w:contextualSpacing/>
        <w:jc w:val="left"/>
        <w:rPr>
          <w:noProof/>
          <w:szCs w:val="24"/>
          <w:lang w:val="lv-LV"/>
        </w:rPr>
      </w:pPr>
      <w:r w:rsidRPr="00D857FC">
        <w:rPr>
          <w:b/>
          <w:noProof/>
          <w:szCs w:val="24"/>
          <w:lang w:val="lv-LV"/>
        </w:rPr>
        <w:t>Visu to pasākumu budžets, kurus var attiecināt uz mērķrādītāju</w:t>
      </w:r>
    </w:p>
    <w:p w14:paraId="6E1C5B13" w14:textId="77777777" w:rsidR="00F714BE" w:rsidRPr="00550D35" w:rsidRDefault="00F714BE" w:rsidP="00F714BE">
      <w:pPr>
        <w:spacing w:before="0" w:after="160" w:line="259" w:lineRule="auto"/>
        <w:ind w:left="567" w:firstLine="0"/>
        <w:contextualSpacing/>
        <w:jc w:val="left"/>
        <w:rPr>
          <w:noProof/>
          <w:lang w:val="lv-LV"/>
        </w:rPr>
      </w:pPr>
      <w:r w:rsidRPr="00550D35">
        <w:rPr>
          <w:noProof/>
          <w:lang w:val="lv-LV"/>
        </w:rPr>
        <w:t xml:space="preserve">Publiskās investīcijas: </w:t>
      </w:r>
    </w:p>
    <w:p w14:paraId="50DEC76F" w14:textId="77777777" w:rsidR="00F714BE" w:rsidRPr="00550D35" w:rsidRDefault="00F714BE" w:rsidP="00F714BE">
      <w:pPr>
        <w:pStyle w:val="ListParagraph"/>
        <w:numPr>
          <w:ilvl w:val="4"/>
          <w:numId w:val="23"/>
        </w:numPr>
        <w:spacing w:before="0" w:after="160" w:line="259" w:lineRule="auto"/>
        <w:ind w:left="2268" w:hanging="567"/>
        <w:contextualSpacing/>
        <w:jc w:val="left"/>
        <w:rPr>
          <w:i/>
          <w:iCs/>
          <w:noProof/>
          <w:lang w:val="lv-LV"/>
        </w:rPr>
      </w:pPr>
      <w:r w:rsidRPr="00550D35">
        <w:rPr>
          <w:noProof/>
          <w:lang w:val="lv-LV"/>
        </w:rPr>
        <w:t xml:space="preserve">piešķirtas – </w:t>
      </w:r>
      <w:r w:rsidRPr="00550D35">
        <w:rPr>
          <w:iCs/>
          <w:noProof/>
          <w:lang w:val="lv-LV"/>
        </w:rPr>
        <w:t>13,2 milj. </w:t>
      </w:r>
      <w:r w:rsidRPr="00550D35">
        <w:rPr>
          <w:i/>
          <w:iCs/>
          <w:noProof/>
          <w:lang w:val="lv-LV"/>
        </w:rPr>
        <w:t>euro</w:t>
      </w:r>
      <w:r w:rsidRPr="00550D35">
        <w:rPr>
          <w:iCs/>
          <w:noProof/>
          <w:lang w:val="lv-LV"/>
        </w:rPr>
        <w:t>;</w:t>
      </w:r>
    </w:p>
    <w:p w14:paraId="0D95DDF2" w14:textId="77777777" w:rsidR="00F714BE" w:rsidRPr="00550D35" w:rsidRDefault="00F714BE" w:rsidP="00F714BE">
      <w:pPr>
        <w:pStyle w:val="ListParagraph"/>
        <w:numPr>
          <w:ilvl w:val="3"/>
          <w:numId w:val="23"/>
        </w:numPr>
        <w:spacing w:before="0" w:after="160" w:line="259" w:lineRule="auto"/>
        <w:ind w:left="1134" w:firstLine="0"/>
        <w:contextualSpacing/>
        <w:jc w:val="left"/>
        <w:rPr>
          <w:lang w:val="lv-LV"/>
        </w:rPr>
      </w:pPr>
      <w:r w:rsidRPr="00550D35">
        <w:rPr>
          <w:lang w:val="lv-LV"/>
        </w:rPr>
        <w:t xml:space="preserve">No tām piešķirtas no valsts avotiem: </w:t>
      </w:r>
    </w:p>
    <w:p w14:paraId="4970409D" w14:textId="77777777" w:rsidR="00F714BE" w:rsidRPr="00550D35" w:rsidRDefault="00F714BE" w:rsidP="00F714BE">
      <w:pPr>
        <w:pStyle w:val="ListParagraph"/>
        <w:numPr>
          <w:ilvl w:val="4"/>
          <w:numId w:val="23"/>
        </w:numPr>
        <w:spacing w:before="0" w:after="160" w:line="259" w:lineRule="auto"/>
        <w:ind w:left="2694" w:hanging="426"/>
        <w:contextualSpacing/>
        <w:jc w:val="left"/>
        <w:rPr>
          <w:noProof/>
          <w:lang w:val="lv-LV"/>
        </w:rPr>
      </w:pPr>
      <w:r w:rsidRPr="00550D35">
        <w:rPr>
          <w:noProof/>
          <w:lang w:val="lv-LV"/>
        </w:rPr>
        <w:t>piešķirtas – 2,9 milj. </w:t>
      </w:r>
      <w:r w:rsidRPr="00550D35">
        <w:rPr>
          <w:i/>
          <w:noProof/>
          <w:lang w:val="lv-LV"/>
        </w:rPr>
        <w:t>euro</w:t>
      </w:r>
      <w:r w:rsidRPr="00550D35">
        <w:rPr>
          <w:noProof/>
          <w:lang w:val="lv-LV"/>
        </w:rPr>
        <w:t xml:space="preserve">; </w:t>
      </w:r>
    </w:p>
    <w:p w14:paraId="726BAD9C" w14:textId="77777777" w:rsidR="00F714BE" w:rsidRPr="00550D35" w:rsidRDefault="00F714BE" w:rsidP="00F714BE">
      <w:pPr>
        <w:pStyle w:val="ListParagraph"/>
        <w:numPr>
          <w:ilvl w:val="1"/>
          <w:numId w:val="23"/>
        </w:numPr>
        <w:spacing w:before="0" w:after="160" w:line="259" w:lineRule="auto"/>
        <w:contextualSpacing/>
        <w:jc w:val="left"/>
        <w:rPr>
          <w:lang w:val="lv-LV"/>
        </w:rPr>
      </w:pPr>
      <w:r w:rsidRPr="00550D35">
        <w:rPr>
          <w:lang w:val="lv-LV"/>
        </w:rPr>
        <w:lastRenderedPageBreak/>
        <w:t xml:space="preserve">No tām piešķirtas no ES avotiem: </w:t>
      </w:r>
    </w:p>
    <w:p w14:paraId="27F02D10" w14:textId="77777777" w:rsidR="00F714BE" w:rsidRPr="00550D35" w:rsidRDefault="00F714BE" w:rsidP="00F714BE">
      <w:pPr>
        <w:pStyle w:val="ListParagraph"/>
        <w:numPr>
          <w:ilvl w:val="4"/>
          <w:numId w:val="23"/>
        </w:numPr>
        <w:spacing w:before="0" w:after="160" w:line="259" w:lineRule="auto"/>
        <w:ind w:left="2694" w:hanging="426"/>
        <w:contextualSpacing/>
        <w:jc w:val="left"/>
        <w:rPr>
          <w:noProof/>
          <w:lang w:val="lv-LV"/>
        </w:rPr>
      </w:pPr>
      <w:r w:rsidRPr="00550D35">
        <w:rPr>
          <w:noProof/>
          <w:lang w:val="lv-LV"/>
        </w:rPr>
        <w:t>piešķirtas – 10,2 milj. </w:t>
      </w:r>
      <w:r w:rsidRPr="00550D35">
        <w:rPr>
          <w:i/>
          <w:noProof/>
          <w:lang w:val="lv-LV"/>
        </w:rPr>
        <w:t>euro</w:t>
      </w:r>
      <w:r w:rsidRPr="00550D35">
        <w:rPr>
          <w:noProof/>
          <w:lang w:val="lv-LV"/>
        </w:rPr>
        <w:t>;</w:t>
      </w:r>
    </w:p>
    <w:p w14:paraId="43FD8E29" w14:textId="77777777" w:rsidR="00F714BE" w:rsidRPr="00550D35" w:rsidRDefault="00F714BE" w:rsidP="00F714BE">
      <w:pPr>
        <w:spacing w:before="0" w:after="160" w:line="259" w:lineRule="auto"/>
        <w:ind w:left="567" w:firstLine="0"/>
        <w:contextualSpacing/>
        <w:jc w:val="left"/>
        <w:rPr>
          <w:noProof/>
          <w:lang w:val="lv-LV"/>
        </w:rPr>
      </w:pPr>
      <w:r w:rsidRPr="00550D35">
        <w:rPr>
          <w:noProof/>
          <w:lang w:val="lv-LV"/>
        </w:rPr>
        <w:t>Privātās investīcijas:</w:t>
      </w:r>
    </w:p>
    <w:p w14:paraId="7143A271" w14:textId="77777777" w:rsidR="00F714BE" w:rsidRPr="00550D35" w:rsidRDefault="00F714BE" w:rsidP="00F714BE">
      <w:pPr>
        <w:pStyle w:val="ListParagraph"/>
        <w:numPr>
          <w:ilvl w:val="4"/>
          <w:numId w:val="23"/>
        </w:numPr>
        <w:spacing w:before="0" w:after="160" w:line="259" w:lineRule="auto"/>
        <w:ind w:left="2268" w:hanging="708"/>
        <w:contextualSpacing/>
        <w:jc w:val="left"/>
        <w:rPr>
          <w:noProof/>
          <w:lang w:val="lv-LV"/>
        </w:rPr>
      </w:pPr>
      <w:r w:rsidRPr="00550D35">
        <w:rPr>
          <w:noProof/>
          <w:lang w:val="lv-LV"/>
        </w:rPr>
        <w:t>1.  pasākumam -  1,3 milj. </w:t>
      </w:r>
      <w:r w:rsidRPr="00550D35">
        <w:rPr>
          <w:i/>
          <w:noProof/>
          <w:lang w:val="lv-LV"/>
        </w:rPr>
        <w:t>euro;</w:t>
      </w:r>
    </w:p>
    <w:p w14:paraId="4ABBCA4D" w14:textId="77777777" w:rsidR="00F714BE" w:rsidRPr="00550D35" w:rsidRDefault="00F714BE" w:rsidP="00F714BE">
      <w:pPr>
        <w:pStyle w:val="ListParagraph"/>
        <w:numPr>
          <w:ilvl w:val="4"/>
          <w:numId w:val="23"/>
        </w:numPr>
        <w:spacing w:before="0" w:after="160" w:line="259" w:lineRule="auto"/>
        <w:ind w:left="2268" w:hanging="708"/>
        <w:contextualSpacing/>
        <w:jc w:val="left"/>
        <w:rPr>
          <w:noProof/>
          <w:lang w:val="lv-LV"/>
        </w:rPr>
      </w:pPr>
      <w:r w:rsidRPr="00550D35">
        <w:rPr>
          <w:noProof/>
          <w:lang w:val="lv-LV"/>
        </w:rPr>
        <w:t>2.  pasākumam – nav plānotas</w:t>
      </w:r>
    </w:p>
    <w:p w14:paraId="214CD28D" w14:textId="77777777" w:rsidR="00F714BE" w:rsidRPr="00550D35" w:rsidRDefault="00F714BE" w:rsidP="00F714BE">
      <w:pPr>
        <w:pStyle w:val="Text2"/>
        <w:ind w:left="0" w:firstLine="0"/>
        <w:rPr>
          <w:rFonts w:eastAsia="Calibri" w:cs="Calibri"/>
          <w:b/>
          <w:bCs/>
          <w:lang w:val="lv-LV"/>
        </w:rPr>
      </w:pPr>
    </w:p>
    <w:p w14:paraId="1B363840" w14:textId="77777777" w:rsidR="00F714BE" w:rsidRPr="00550D35" w:rsidRDefault="00F714BE" w:rsidP="00F714BE">
      <w:pPr>
        <w:pStyle w:val="Heading3"/>
        <w:rPr>
          <w:lang w:val="lv-LV"/>
        </w:rPr>
      </w:pPr>
      <w:r w:rsidRPr="00550D35">
        <w:rPr>
          <w:lang w:val="lv-LV"/>
        </w:rPr>
        <w:t>Pasākumu apraksts</w:t>
      </w:r>
    </w:p>
    <w:tbl>
      <w:tblPr>
        <w:tblStyle w:val="TableGrid"/>
        <w:tblW w:w="0" w:type="auto"/>
        <w:tblLook w:val="04A0" w:firstRow="1" w:lastRow="0" w:firstColumn="1" w:lastColumn="0" w:noHBand="0" w:noVBand="1"/>
      </w:tblPr>
      <w:tblGrid>
        <w:gridCol w:w="3149"/>
        <w:gridCol w:w="5458"/>
      </w:tblGrid>
      <w:tr w:rsidR="00F714BE" w:rsidRPr="003B2E9A" w14:paraId="7254DB21" w14:textId="77777777" w:rsidTr="00BA62A0">
        <w:trPr>
          <w:trHeight w:val="300"/>
        </w:trPr>
        <w:tc>
          <w:tcPr>
            <w:tcW w:w="8607" w:type="dxa"/>
            <w:gridSpan w:val="2"/>
          </w:tcPr>
          <w:p w14:paraId="0A18BE9A" w14:textId="77777777" w:rsidR="00F714BE" w:rsidRPr="00550D35" w:rsidRDefault="00F714BE" w:rsidP="00BA62A0">
            <w:pPr>
              <w:spacing w:after="0" w:line="259" w:lineRule="auto"/>
              <w:ind w:firstLine="0"/>
              <w:rPr>
                <w:sz w:val="20"/>
                <w:lang w:val="lv-LV"/>
              </w:rPr>
            </w:pPr>
            <w:r w:rsidRPr="00550D35">
              <w:rPr>
                <w:b/>
                <w:bCs/>
                <w:sz w:val="20"/>
                <w:lang w:val="lv-LV"/>
              </w:rPr>
              <w:t xml:space="preserve">Pasākums Nr.1 </w:t>
            </w:r>
            <w:r w:rsidRPr="00550D35">
              <w:rPr>
                <w:b/>
                <w:sz w:val="20"/>
                <w:lang w:val="lv-LV"/>
              </w:rPr>
              <w:t xml:space="preserve">Nacionāla līmeņa kvantu komunikācijas infrastruktūras sistēmu un tīklu izveide </w:t>
            </w:r>
            <w:r w:rsidRPr="00AB5F4B">
              <w:rPr>
                <w:b/>
                <w:i/>
                <w:sz w:val="20"/>
                <w:lang w:val="lv-LV"/>
              </w:rPr>
              <w:t>(</w:t>
            </w:r>
            <w:proofErr w:type="spellStart"/>
            <w:r w:rsidRPr="00AB5F4B">
              <w:rPr>
                <w:b/>
                <w:i/>
                <w:sz w:val="20"/>
                <w:lang w:val="lv-LV"/>
              </w:rPr>
              <w:t>Deploying</w:t>
            </w:r>
            <w:proofErr w:type="spellEnd"/>
            <w:r w:rsidRPr="00AB5F4B">
              <w:rPr>
                <w:b/>
                <w:i/>
                <w:sz w:val="20"/>
                <w:lang w:val="lv-LV"/>
              </w:rPr>
              <w:t xml:space="preserve"> </w:t>
            </w:r>
            <w:proofErr w:type="spellStart"/>
            <w:r w:rsidRPr="00AB5F4B">
              <w:rPr>
                <w:b/>
                <w:i/>
                <w:sz w:val="20"/>
                <w:lang w:val="lv-LV"/>
              </w:rPr>
              <w:t>advanced</w:t>
            </w:r>
            <w:proofErr w:type="spellEnd"/>
            <w:r w:rsidRPr="00AB5F4B">
              <w:rPr>
                <w:b/>
                <w:i/>
                <w:sz w:val="20"/>
                <w:lang w:val="lv-LV"/>
              </w:rPr>
              <w:t xml:space="preserve"> </w:t>
            </w:r>
            <w:proofErr w:type="spellStart"/>
            <w:r w:rsidRPr="00AB5F4B">
              <w:rPr>
                <w:b/>
                <w:i/>
                <w:sz w:val="20"/>
                <w:lang w:val="lv-LV"/>
              </w:rPr>
              <w:t>national</w:t>
            </w:r>
            <w:proofErr w:type="spellEnd"/>
            <w:r w:rsidRPr="00AB5F4B">
              <w:rPr>
                <w:b/>
                <w:i/>
                <w:sz w:val="20"/>
                <w:lang w:val="lv-LV"/>
              </w:rPr>
              <w:t xml:space="preserve"> QCI </w:t>
            </w:r>
            <w:proofErr w:type="spellStart"/>
            <w:r w:rsidRPr="00AB5F4B">
              <w:rPr>
                <w:b/>
                <w:i/>
                <w:sz w:val="20"/>
                <w:lang w:val="lv-LV"/>
              </w:rPr>
              <w:t>systems</w:t>
            </w:r>
            <w:proofErr w:type="spellEnd"/>
            <w:r w:rsidRPr="00AB5F4B">
              <w:rPr>
                <w:b/>
                <w:i/>
                <w:sz w:val="20"/>
                <w:lang w:val="lv-LV"/>
              </w:rPr>
              <w:t xml:space="preserve"> </w:t>
            </w:r>
            <w:proofErr w:type="spellStart"/>
            <w:r w:rsidRPr="00AB5F4B">
              <w:rPr>
                <w:b/>
                <w:i/>
                <w:sz w:val="20"/>
                <w:lang w:val="lv-LV"/>
              </w:rPr>
              <w:t>and</w:t>
            </w:r>
            <w:proofErr w:type="spellEnd"/>
            <w:r w:rsidRPr="00AB5F4B">
              <w:rPr>
                <w:b/>
                <w:i/>
                <w:sz w:val="20"/>
                <w:lang w:val="lv-LV"/>
              </w:rPr>
              <w:t xml:space="preserve"> </w:t>
            </w:r>
            <w:proofErr w:type="spellStart"/>
            <w:r w:rsidRPr="00AB5F4B">
              <w:rPr>
                <w:b/>
                <w:i/>
                <w:sz w:val="20"/>
                <w:lang w:val="lv-LV"/>
              </w:rPr>
              <w:t>networks</w:t>
            </w:r>
            <w:proofErr w:type="spellEnd"/>
            <w:r w:rsidRPr="00AB5F4B">
              <w:rPr>
                <w:b/>
                <w:i/>
                <w:sz w:val="20"/>
                <w:lang w:val="lv-LV"/>
              </w:rPr>
              <w:t>)</w:t>
            </w:r>
            <w:r w:rsidRPr="00550D35">
              <w:rPr>
                <w:b/>
                <w:i/>
                <w:sz w:val="20"/>
                <w:lang w:val="lv-LV"/>
              </w:rPr>
              <w:t xml:space="preserve"> </w:t>
            </w:r>
          </w:p>
        </w:tc>
      </w:tr>
      <w:tr w:rsidR="00F714BE" w:rsidRPr="00550D35" w14:paraId="44F6D649" w14:textId="77777777" w:rsidTr="00BA62A0">
        <w:trPr>
          <w:trHeight w:val="300"/>
        </w:trPr>
        <w:tc>
          <w:tcPr>
            <w:tcW w:w="3149" w:type="dxa"/>
          </w:tcPr>
          <w:p w14:paraId="3C67823D" w14:textId="77777777" w:rsidR="00F714BE" w:rsidRPr="00550D35" w:rsidRDefault="00F714BE" w:rsidP="00BA62A0">
            <w:pPr>
              <w:jc w:val="left"/>
              <w:rPr>
                <w:b/>
                <w:bCs/>
                <w:sz w:val="20"/>
                <w:lang w:val="lv-LV"/>
              </w:rPr>
            </w:pPr>
            <w:r w:rsidRPr="00550D35">
              <w:rPr>
                <w:b/>
                <w:bCs/>
                <w:sz w:val="20"/>
                <w:lang w:val="lv-LV"/>
              </w:rPr>
              <w:t>Jauns pasākums</w:t>
            </w:r>
          </w:p>
        </w:tc>
        <w:tc>
          <w:tcPr>
            <w:tcW w:w="5458" w:type="dxa"/>
          </w:tcPr>
          <w:p w14:paraId="69FC44BC" w14:textId="77777777" w:rsidR="00F714BE" w:rsidRPr="00550D35" w:rsidRDefault="00AC141D" w:rsidP="00BA62A0">
            <w:pPr>
              <w:spacing w:before="0" w:after="120"/>
              <w:ind w:firstLine="0"/>
              <w:contextualSpacing/>
              <w:jc w:val="left"/>
              <w:rPr>
                <w:sz w:val="22"/>
                <w:szCs w:val="22"/>
                <w:lang w:val="lv-LV"/>
              </w:rPr>
            </w:pPr>
            <w:sdt>
              <w:sdtPr>
                <w:rPr>
                  <w:sz w:val="22"/>
                  <w:szCs w:val="22"/>
                  <w:lang w:val="lv-LV"/>
                </w:rPr>
                <w:id w:val="1022757427"/>
                <w14:checkbox>
                  <w14:checked w14:val="1"/>
                  <w14:checkedState w14:val="2612" w14:font="MS Gothic"/>
                  <w14:uncheckedState w14:val="2610" w14:font="MS Gothic"/>
                </w14:checkbox>
              </w:sdtPr>
              <w:sdtEndPr/>
              <w:sdtContent>
                <w:r w:rsidR="00F714BE" w:rsidRPr="00550D35">
                  <w:rPr>
                    <w:rFonts w:ascii="MS Gothic" w:eastAsia="MS Gothic" w:hAnsi="MS Gothic"/>
                    <w:sz w:val="22"/>
                    <w:szCs w:val="22"/>
                    <w:lang w:val="lv-LV"/>
                  </w:rPr>
                  <w:t>☒</w:t>
                </w:r>
              </w:sdtContent>
            </w:sdt>
            <w:r w:rsidR="00F714BE" w:rsidRPr="00550D35">
              <w:rPr>
                <w:sz w:val="22"/>
                <w:szCs w:val="22"/>
                <w:lang w:val="lv-LV"/>
              </w:rPr>
              <w:t>jā</w:t>
            </w:r>
          </w:p>
          <w:p w14:paraId="0DE5D3B1" w14:textId="77777777" w:rsidR="00F714BE" w:rsidRPr="00550D35" w:rsidRDefault="00AC141D" w:rsidP="00BA62A0">
            <w:pPr>
              <w:spacing w:before="0" w:after="120"/>
              <w:ind w:firstLine="0"/>
              <w:contextualSpacing/>
              <w:jc w:val="left"/>
              <w:rPr>
                <w:sz w:val="22"/>
                <w:szCs w:val="22"/>
                <w:lang w:val="lv-LV"/>
              </w:rPr>
            </w:pPr>
            <w:sdt>
              <w:sdtPr>
                <w:rPr>
                  <w:sz w:val="22"/>
                  <w:szCs w:val="22"/>
                  <w:lang w:val="lv-LV"/>
                </w:rPr>
                <w:id w:val="-2139635543"/>
                <w14:checkbox>
                  <w14:checked w14:val="0"/>
                  <w14:checkedState w14:val="2612" w14:font="MS Gothic"/>
                  <w14:uncheckedState w14:val="2610" w14:font="MS Gothic"/>
                </w14:checkbox>
              </w:sdtPr>
              <w:sdtEndPr/>
              <w:sdtContent>
                <w:r w:rsidR="00F714BE" w:rsidRPr="00550D35">
                  <w:rPr>
                    <w:rFonts w:ascii="MS Gothic" w:eastAsia="MS Gothic" w:hAnsi="MS Gothic"/>
                    <w:sz w:val="22"/>
                    <w:szCs w:val="22"/>
                    <w:lang w:val="lv-LV"/>
                  </w:rPr>
                  <w:t>☐</w:t>
                </w:r>
              </w:sdtContent>
            </w:sdt>
            <w:r w:rsidR="00F714BE" w:rsidRPr="00550D35">
              <w:rPr>
                <w:rFonts w:eastAsia="MS Minngs"/>
                <w:sz w:val="22"/>
                <w:szCs w:val="22"/>
                <w:lang w:val="lv-LV"/>
              </w:rPr>
              <w:t xml:space="preserve"> </w:t>
            </w:r>
            <w:r w:rsidR="00F714BE" w:rsidRPr="00550D35">
              <w:rPr>
                <w:sz w:val="22"/>
                <w:szCs w:val="22"/>
                <w:lang w:val="lv-LV"/>
              </w:rPr>
              <w:t>nē</w:t>
            </w:r>
          </w:p>
        </w:tc>
      </w:tr>
      <w:tr w:rsidR="00F714BE" w:rsidRPr="003B2E9A" w14:paraId="39519A56" w14:textId="77777777" w:rsidTr="00BA62A0">
        <w:trPr>
          <w:trHeight w:val="300"/>
        </w:trPr>
        <w:tc>
          <w:tcPr>
            <w:tcW w:w="3149" w:type="dxa"/>
          </w:tcPr>
          <w:p w14:paraId="4C879612" w14:textId="77777777" w:rsidR="00F714BE" w:rsidRPr="00550D35" w:rsidRDefault="00F714BE" w:rsidP="00BA62A0">
            <w:pPr>
              <w:ind w:firstLine="0"/>
              <w:rPr>
                <w:b/>
                <w:bCs/>
                <w:sz w:val="20"/>
                <w:lang w:val="lv-LV"/>
              </w:rPr>
            </w:pPr>
            <w:r w:rsidRPr="00550D35">
              <w:rPr>
                <w:b/>
                <w:bCs/>
                <w:sz w:val="20"/>
                <w:lang w:val="lv-LV"/>
              </w:rPr>
              <w:t>Īss pasākuma apraksts</w:t>
            </w:r>
            <w:r w:rsidRPr="00550D35" w:rsidDel="00A700FA">
              <w:rPr>
                <w:sz w:val="20"/>
                <w:lang w:val="lv-LV"/>
              </w:rPr>
              <w:t xml:space="preserve"> </w:t>
            </w:r>
          </w:p>
        </w:tc>
        <w:tc>
          <w:tcPr>
            <w:tcW w:w="5458" w:type="dxa"/>
          </w:tcPr>
          <w:p w14:paraId="08950B6E" w14:textId="77777777" w:rsidR="00F714BE" w:rsidRDefault="00F714BE" w:rsidP="00BA62A0">
            <w:pPr>
              <w:suppressAutoHyphens/>
              <w:autoSpaceDN w:val="0"/>
              <w:spacing w:before="0" w:after="0"/>
              <w:ind w:firstLine="0"/>
              <w:rPr>
                <w:sz w:val="20"/>
                <w:lang w:val="lv-LV"/>
              </w:rPr>
            </w:pPr>
            <w:r w:rsidRPr="00550D35">
              <w:rPr>
                <w:sz w:val="20"/>
                <w:lang w:val="lv-LV"/>
              </w:rPr>
              <w:t>Projekta mērķis ir testēt kvantu sakarus un izveidot infrastruktūru drošai saziņai starp valsts iestādēm ārkārtas situāciju valsts elektronisko sakaru tīklā slēgtās daļas aktivitāšu īstenošanai, kas tiks izmantots kā ārkārtas situāciju valsts elektronisko sakaru tīkls.</w:t>
            </w:r>
          </w:p>
          <w:p w14:paraId="58E43B19" w14:textId="77777777" w:rsidR="00F714BE" w:rsidRPr="00422A3A" w:rsidRDefault="00F714BE" w:rsidP="00BA62A0">
            <w:pPr>
              <w:suppressAutoHyphens/>
              <w:autoSpaceDN w:val="0"/>
              <w:spacing w:before="0" w:after="0"/>
              <w:ind w:firstLine="0"/>
              <w:rPr>
                <w:sz w:val="20"/>
                <w:lang w:val="lv-LV"/>
              </w:rPr>
            </w:pPr>
            <w:r w:rsidRPr="00550D35">
              <w:rPr>
                <w:rFonts w:eastAsia="Calibri"/>
                <w:sz w:val="20"/>
                <w:lang w:val="lv-LV" w:eastAsia="en-US"/>
              </w:rPr>
              <w:t>Projekta ietvaros paredzēts izveidot nacionāla (Latvijas) līmeņa eksperimentālu kvantu komunikācijas sistēmu un tīklu, to integrējot esošajos komunikāciju tīklos (optiskie tīkli) un veikt kvantu komunikāciju tehnoloģiju darbības testēšanu, kā arī izveidoto tīklu izmantot uz specifiskām nacionālo kvantu komunikāciju infrastruktūras (QCI) iniciatīvām attiecināmu lietošanas gadījumu (Aizsardzības joma, Veselības joma, Finanšu joma, Sakaru joma, 5G, u.c.) izstrādei un testēšanai, nodrošinot ieguldījumu Eiropas tehnoloģiskās autonomijas attīstībā kvantu komunikācijas tehnoloģiju jomā.</w:t>
            </w:r>
          </w:p>
          <w:p w14:paraId="46BC1A81" w14:textId="77777777" w:rsidR="00F714BE" w:rsidRPr="00550D35" w:rsidRDefault="00F714BE" w:rsidP="00BA62A0">
            <w:pPr>
              <w:suppressAutoHyphens/>
              <w:autoSpaceDN w:val="0"/>
              <w:spacing w:before="0" w:after="0"/>
              <w:ind w:firstLine="0"/>
              <w:rPr>
                <w:rFonts w:eastAsia="Calibri"/>
                <w:sz w:val="20"/>
                <w:lang w:val="lv-LV" w:eastAsia="en-US"/>
              </w:rPr>
            </w:pPr>
            <w:r w:rsidRPr="00550D35">
              <w:rPr>
                <w:rFonts w:eastAsia="Calibri"/>
                <w:sz w:val="20"/>
                <w:lang w:val="lv-LV" w:eastAsia="en-US"/>
              </w:rPr>
              <w:t>LVRTC projekta mērķu sasniegšanai veido konsorciju ar LU  MII, elektronisko sakaru komersantu SIA “</w:t>
            </w:r>
            <w:proofErr w:type="spellStart"/>
            <w:r w:rsidRPr="00550D35">
              <w:rPr>
                <w:rFonts w:eastAsia="Calibri"/>
                <w:sz w:val="20"/>
                <w:lang w:val="lv-LV" w:eastAsia="en-US"/>
              </w:rPr>
              <w:t>Tet</w:t>
            </w:r>
            <w:proofErr w:type="spellEnd"/>
            <w:r w:rsidRPr="00550D35">
              <w:rPr>
                <w:rFonts w:eastAsia="Calibri"/>
                <w:sz w:val="20"/>
                <w:lang w:val="lv-LV" w:eastAsia="en-US"/>
              </w:rPr>
              <w:t>” un VASES.</w:t>
            </w:r>
          </w:p>
        </w:tc>
      </w:tr>
      <w:tr w:rsidR="00F714BE" w:rsidRPr="003B2E9A" w14:paraId="5ED3B179" w14:textId="77777777" w:rsidTr="00BA62A0">
        <w:trPr>
          <w:trHeight w:val="300"/>
        </w:trPr>
        <w:tc>
          <w:tcPr>
            <w:tcW w:w="3149" w:type="dxa"/>
            <w:shd w:val="clear" w:color="auto" w:fill="auto"/>
          </w:tcPr>
          <w:p w14:paraId="0A9A960F" w14:textId="0F3D86FB" w:rsidR="00F714BE" w:rsidRPr="00550D35" w:rsidRDefault="00F714BE" w:rsidP="00BA62A0">
            <w:pPr>
              <w:rPr>
                <w:b/>
                <w:bCs/>
                <w:sz w:val="20"/>
                <w:lang w:val="lv-LV"/>
              </w:rPr>
            </w:pPr>
            <w:r w:rsidRPr="00550D35">
              <w:rPr>
                <w:b/>
                <w:bCs/>
                <w:sz w:val="20"/>
                <w:lang w:val="lv-LV"/>
              </w:rPr>
              <w:t>Piešķirtais vai plānotais budžets un, ja atbilstoši, citi resursi</w:t>
            </w:r>
          </w:p>
        </w:tc>
        <w:tc>
          <w:tcPr>
            <w:tcW w:w="5458" w:type="dxa"/>
            <w:shd w:val="clear" w:color="auto" w:fill="auto"/>
          </w:tcPr>
          <w:p w14:paraId="677B757E" w14:textId="77777777" w:rsidR="00F714BE" w:rsidRPr="00550D35" w:rsidRDefault="00F714BE" w:rsidP="00BA62A0">
            <w:pPr>
              <w:spacing w:before="0"/>
              <w:ind w:firstLine="0"/>
              <w:rPr>
                <w:rFonts w:eastAsia="Calibri"/>
                <w:sz w:val="20"/>
                <w:lang w:val="lv-LV" w:eastAsia="en-US"/>
              </w:rPr>
            </w:pPr>
            <w:r w:rsidRPr="00550D35">
              <w:rPr>
                <w:rFonts w:eastAsia="Calibri"/>
                <w:sz w:val="20"/>
                <w:lang w:val="lv-LV" w:eastAsia="en-US"/>
              </w:rPr>
              <w:t>Projekta pieteikuma kopējās attiecināmās izmaksas plānotas 8 061 380  </w:t>
            </w:r>
            <w:proofErr w:type="spellStart"/>
            <w:r w:rsidRPr="00550D35">
              <w:rPr>
                <w:rFonts w:eastAsia="Calibri"/>
                <w:i/>
                <w:sz w:val="20"/>
                <w:lang w:val="lv-LV" w:eastAsia="en-US"/>
              </w:rPr>
              <w:t>euro</w:t>
            </w:r>
            <w:proofErr w:type="spellEnd"/>
            <w:r w:rsidRPr="00550D35">
              <w:rPr>
                <w:rFonts w:eastAsia="Calibri"/>
                <w:sz w:val="20"/>
                <w:lang w:val="lv-LV" w:eastAsia="en-US"/>
              </w:rPr>
              <w:t xml:space="preserve"> apmērā, no tām EK finansējums (maksimāli 50% no attiecināmajām izmaksām) – 4 030 690 </w:t>
            </w:r>
            <w:proofErr w:type="spellStart"/>
            <w:r w:rsidRPr="00550D35">
              <w:rPr>
                <w:rFonts w:eastAsia="Calibri"/>
                <w:i/>
                <w:sz w:val="20"/>
                <w:lang w:val="lv-LV" w:eastAsia="en-US"/>
              </w:rPr>
              <w:t>euro</w:t>
            </w:r>
            <w:proofErr w:type="spellEnd"/>
            <w:r w:rsidRPr="00550D35">
              <w:rPr>
                <w:rFonts w:eastAsia="Calibri"/>
                <w:sz w:val="20"/>
                <w:lang w:val="lv-LV" w:eastAsia="en-US"/>
              </w:rPr>
              <w:t>. Savukārt, līdzfinansējums 50 % (kas dalās starp konsorcija pašu līdzekļiem un valsts līdzfinansējumu) apmērā jānodrošina Latvijas pusei, atbilstoši plānoto aktivitāšu sadalījumam:</w:t>
            </w:r>
          </w:p>
          <w:p w14:paraId="06575DE2" w14:textId="77777777" w:rsidR="00F714BE" w:rsidRPr="00550D35" w:rsidRDefault="00F714BE" w:rsidP="00BA62A0">
            <w:pPr>
              <w:ind w:firstLine="0"/>
              <w:contextualSpacing/>
              <w:rPr>
                <w:iCs/>
                <w:sz w:val="20"/>
                <w:u w:val="single"/>
                <w:lang w:val="lv-LV"/>
              </w:rPr>
            </w:pPr>
            <w:r w:rsidRPr="00550D35">
              <w:rPr>
                <w:iCs/>
                <w:sz w:val="20"/>
                <w:u w:val="single"/>
                <w:lang w:val="lv-LV"/>
              </w:rPr>
              <w:t xml:space="preserve">Publiskā sektora ieguldījumi: </w:t>
            </w:r>
          </w:p>
          <w:p w14:paraId="60B96B49" w14:textId="77777777" w:rsidR="00F714BE" w:rsidRPr="00550D35" w:rsidRDefault="00F714BE" w:rsidP="00BA62A0">
            <w:pPr>
              <w:ind w:left="720" w:firstLine="0"/>
              <w:contextualSpacing/>
              <w:rPr>
                <w:iCs/>
                <w:sz w:val="20"/>
                <w:lang w:val="lv-LV"/>
              </w:rPr>
            </w:pPr>
            <w:r w:rsidRPr="00550D35">
              <w:rPr>
                <w:iCs/>
                <w:sz w:val="20"/>
                <w:lang w:val="lv-LV"/>
              </w:rPr>
              <w:t>piešķirts: 6 767 130 </w:t>
            </w:r>
            <w:proofErr w:type="spellStart"/>
            <w:r w:rsidRPr="00550D35">
              <w:rPr>
                <w:i/>
                <w:iCs/>
                <w:sz w:val="20"/>
                <w:lang w:val="lv-LV"/>
              </w:rPr>
              <w:t>euro</w:t>
            </w:r>
            <w:proofErr w:type="spellEnd"/>
            <w:r w:rsidRPr="00550D35">
              <w:rPr>
                <w:iCs/>
                <w:sz w:val="20"/>
                <w:lang w:val="lv-LV"/>
              </w:rPr>
              <w:t>;</w:t>
            </w:r>
          </w:p>
          <w:p w14:paraId="4455B499" w14:textId="77777777" w:rsidR="00F714BE" w:rsidRPr="00550D35" w:rsidRDefault="00F714BE" w:rsidP="00BA62A0">
            <w:pPr>
              <w:ind w:firstLine="0"/>
              <w:contextualSpacing/>
              <w:rPr>
                <w:iCs/>
                <w:sz w:val="20"/>
                <w:lang w:val="lv-LV"/>
              </w:rPr>
            </w:pPr>
            <w:r w:rsidRPr="00550D35">
              <w:rPr>
                <w:iCs/>
                <w:sz w:val="20"/>
                <w:lang w:val="lv-LV"/>
              </w:rPr>
              <w:t xml:space="preserve">t.sk. no nacionālajiem finansēšanas avotiem: </w:t>
            </w:r>
          </w:p>
          <w:p w14:paraId="26FE2CB2" w14:textId="77777777" w:rsidR="00F714BE" w:rsidRPr="00550D35" w:rsidRDefault="00F714BE" w:rsidP="00BA62A0">
            <w:pPr>
              <w:ind w:left="720" w:firstLine="0"/>
              <w:contextualSpacing/>
              <w:rPr>
                <w:iCs/>
                <w:sz w:val="20"/>
                <w:lang w:val="lv-LV"/>
              </w:rPr>
            </w:pPr>
            <w:r w:rsidRPr="00550D35">
              <w:rPr>
                <w:iCs/>
                <w:sz w:val="20"/>
                <w:lang w:val="lv-LV"/>
              </w:rPr>
              <w:t>piešķirts:</w:t>
            </w:r>
            <w:r w:rsidRPr="00550D35">
              <w:rPr>
                <w:sz w:val="20"/>
                <w:lang w:val="lv-LV"/>
              </w:rPr>
              <w:t xml:space="preserve"> </w:t>
            </w:r>
            <w:r w:rsidRPr="00550D35">
              <w:rPr>
                <w:rFonts w:eastAsia="Calibri"/>
                <w:sz w:val="20"/>
                <w:lang w:val="lv-LV" w:eastAsia="lv-LV"/>
              </w:rPr>
              <w:t>2 736 440 </w:t>
            </w:r>
            <w:proofErr w:type="spellStart"/>
            <w:r w:rsidRPr="00550D35">
              <w:rPr>
                <w:rFonts w:eastAsia="Calibri"/>
                <w:i/>
                <w:sz w:val="20"/>
                <w:lang w:val="lv-LV" w:eastAsia="lv-LV"/>
              </w:rPr>
              <w:t>euro</w:t>
            </w:r>
            <w:proofErr w:type="spellEnd"/>
            <w:r w:rsidRPr="00550D35">
              <w:rPr>
                <w:rFonts w:eastAsia="Calibri"/>
                <w:sz w:val="20"/>
                <w:lang w:val="lv-LV" w:eastAsia="lv-LV"/>
              </w:rPr>
              <w:t>;</w:t>
            </w:r>
          </w:p>
          <w:p w14:paraId="00057DB6" w14:textId="77777777" w:rsidR="00F714BE" w:rsidRPr="00550D35" w:rsidRDefault="00F714BE" w:rsidP="00BA62A0">
            <w:pPr>
              <w:ind w:firstLine="0"/>
              <w:contextualSpacing/>
              <w:rPr>
                <w:iCs/>
                <w:sz w:val="20"/>
                <w:lang w:val="lv-LV"/>
              </w:rPr>
            </w:pPr>
            <w:r w:rsidRPr="00550D35">
              <w:rPr>
                <w:iCs/>
                <w:sz w:val="20"/>
                <w:lang w:val="lv-LV"/>
              </w:rPr>
              <w:t xml:space="preserve">t.sk. no ES finansēšanas avotiem: </w:t>
            </w:r>
          </w:p>
          <w:p w14:paraId="6DB468CF" w14:textId="77777777" w:rsidR="00F714BE" w:rsidRPr="00550D35" w:rsidRDefault="00F714BE" w:rsidP="00BA62A0">
            <w:pPr>
              <w:ind w:left="720" w:firstLine="0"/>
              <w:contextualSpacing/>
              <w:rPr>
                <w:sz w:val="20"/>
                <w:lang w:val="lv-LV"/>
              </w:rPr>
            </w:pPr>
            <w:r w:rsidRPr="00550D35">
              <w:rPr>
                <w:iCs/>
                <w:sz w:val="20"/>
                <w:lang w:val="lv-LV"/>
              </w:rPr>
              <w:t>piešķirts:</w:t>
            </w:r>
            <w:r w:rsidRPr="00550D35">
              <w:rPr>
                <w:sz w:val="20"/>
                <w:lang w:val="lv-LV"/>
              </w:rPr>
              <w:t xml:space="preserve"> 4 030 690 </w:t>
            </w:r>
            <w:proofErr w:type="spellStart"/>
            <w:r w:rsidRPr="00550D35">
              <w:rPr>
                <w:i/>
                <w:sz w:val="20"/>
                <w:lang w:val="lv-LV"/>
              </w:rPr>
              <w:t>euro</w:t>
            </w:r>
            <w:proofErr w:type="spellEnd"/>
            <w:r w:rsidRPr="00550D35">
              <w:rPr>
                <w:sz w:val="20"/>
                <w:lang w:val="lv-LV"/>
              </w:rPr>
              <w:t>;</w:t>
            </w:r>
          </w:p>
          <w:p w14:paraId="3D25C829" w14:textId="77777777" w:rsidR="00F714BE" w:rsidRPr="00550D35" w:rsidRDefault="00F714BE" w:rsidP="00BA62A0">
            <w:pPr>
              <w:ind w:firstLine="0"/>
              <w:contextualSpacing/>
              <w:rPr>
                <w:iCs/>
                <w:sz w:val="20"/>
                <w:u w:val="single"/>
                <w:lang w:val="lv-LV"/>
              </w:rPr>
            </w:pPr>
            <w:r w:rsidRPr="00550D35">
              <w:rPr>
                <w:iCs/>
                <w:sz w:val="20"/>
                <w:u w:val="single"/>
                <w:lang w:val="lv-LV"/>
              </w:rPr>
              <w:t>Privātā sektora ieguldījumi:</w:t>
            </w:r>
          </w:p>
          <w:p w14:paraId="6D7C9100" w14:textId="77777777" w:rsidR="00F714BE" w:rsidRPr="00550D35" w:rsidRDefault="00F714BE" w:rsidP="00BA62A0">
            <w:pPr>
              <w:ind w:left="720" w:firstLine="0"/>
              <w:contextualSpacing/>
              <w:rPr>
                <w:iCs/>
                <w:sz w:val="20"/>
                <w:lang w:val="lv-LV"/>
              </w:rPr>
            </w:pPr>
            <w:r w:rsidRPr="00550D35">
              <w:rPr>
                <w:iCs/>
                <w:sz w:val="20"/>
                <w:lang w:val="lv-LV"/>
              </w:rPr>
              <w:t>piešķirts:</w:t>
            </w:r>
            <w:r w:rsidRPr="00550D35">
              <w:rPr>
                <w:sz w:val="20"/>
                <w:lang w:val="lv-LV"/>
              </w:rPr>
              <w:t xml:space="preserve"> </w:t>
            </w:r>
            <w:r w:rsidRPr="00550D35">
              <w:rPr>
                <w:rFonts w:eastAsia="Calibri"/>
                <w:sz w:val="20"/>
                <w:lang w:val="lv-LV" w:eastAsia="lv-LV"/>
              </w:rPr>
              <w:t>1 294 250 </w:t>
            </w:r>
            <w:proofErr w:type="spellStart"/>
            <w:r w:rsidRPr="00550D35">
              <w:rPr>
                <w:rFonts w:eastAsia="Calibri"/>
                <w:i/>
                <w:sz w:val="20"/>
                <w:lang w:val="lv-LV" w:eastAsia="lv-LV"/>
              </w:rPr>
              <w:t>euro</w:t>
            </w:r>
            <w:proofErr w:type="spellEnd"/>
            <w:r w:rsidRPr="00550D35">
              <w:rPr>
                <w:rFonts w:eastAsia="Calibri"/>
                <w:sz w:val="20"/>
                <w:lang w:val="lv-LV" w:eastAsia="lv-LV"/>
              </w:rPr>
              <w:t xml:space="preserve"> (</w:t>
            </w:r>
            <w:r w:rsidRPr="00550D35">
              <w:rPr>
                <w:sz w:val="20"/>
                <w:lang w:val="lv-LV"/>
              </w:rPr>
              <w:t>(</w:t>
            </w:r>
            <w:r w:rsidRPr="00550D35">
              <w:rPr>
                <w:rFonts w:eastAsia="Calibri"/>
                <w:sz w:val="20"/>
                <w:lang w:val="lv-LV" w:eastAsia="lv-LV"/>
              </w:rPr>
              <w:t>konsorcija dalībnieku līdzfinansējums</w:t>
            </w:r>
            <w:r w:rsidRPr="00550D35">
              <w:rPr>
                <w:sz w:val="20"/>
                <w:lang w:val="lv-LV"/>
              </w:rPr>
              <w:t>)</w:t>
            </w:r>
          </w:p>
        </w:tc>
      </w:tr>
      <w:tr w:rsidR="00F714BE" w:rsidRPr="00550D35" w14:paraId="457A5B46" w14:textId="77777777" w:rsidTr="00BA62A0">
        <w:trPr>
          <w:trHeight w:val="300"/>
        </w:trPr>
        <w:tc>
          <w:tcPr>
            <w:tcW w:w="3149" w:type="dxa"/>
          </w:tcPr>
          <w:p w14:paraId="7A4C4E30" w14:textId="77777777" w:rsidR="00F714BE" w:rsidRPr="00550D35" w:rsidRDefault="00F714BE" w:rsidP="00BA62A0">
            <w:pPr>
              <w:ind w:firstLine="0"/>
              <w:rPr>
                <w:b/>
                <w:bCs/>
                <w:sz w:val="20"/>
                <w:lang w:val="lv-LV"/>
              </w:rPr>
            </w:pPr>
            <w:r w:rsidRPr="00550D35">
              <w:rPr>
                <w:b/>
                <w:bCs/>
                <w:sz w:val="20"/>
                <w:lang w:val="lv-LV"/>
              </w:rPr>
              <w:t>Sagaidāmā ietekme un laika ietvars</w:t>
            </w:r>
          </w:p>
        </w:tc>
        <w:tc>
          <w:tcPr>
            <w:tcW w:w="5458" w:type="dxa"/>
          </w:tcPr>
          <w:p w14:paraId="5C608278" w14:textId="77777777" w:rsidR="00F714BE" w:rsidRPr="00550D35" w:rsidRDefault="00F714BE" w:rsidP="00BA62A0">
            <w:pPr>
              <w:pStyle w:val="ListParagraph"/>
              <w:ind w:left="0" w:firstLine="0"/>
              <w:rPr>
                <w:rFonts w:eastAsia="Calibri"/>
                <w:sz w:val="20"/>
                <w:szCs w:val="20"/>
                <w:lang w:val="lv-LV"/>
              </w:rPr>
            </w:pPr>
            <w:r w:rsidRPr="00550D35">
              <w:rPr>
                <w:sz w:val="20"/>
                <w:szCs w:val="20"/>
                <w:lang w:val="lv-LV"/>
              </w:rPr>
              <w:t xml:space="preserve">Projekts </w:t>
            </w:r>
            <w:r w:rsidRPr="00550D35">
              <w:rPr>
                <w:rFonts w:eastAsia="Calibri"/>
                <w:sz w:val="20"/>
                <w:szCs w:val="20"/>
                <w:lang w:val="lv-LV"/>
              </w:rPr>
              <w:t xml:space="preserve">sekmēs Latvijas digitālo transformāciju un DTP2027 politisko uzstādījumu sasniegšanu, tostarp 4.2.1. rīcības virziena “Digitālās drošības politika” īstenošanu. </w:t>
            </w:r>
          </w:p>
          <w:p w14:paraId="7D7A1952" w14:textId="47F7A373" w:rsidR="00F714BE" w:rsidRPr="00550D35" w:rsidRDefault="00F714BE" w:rsidP="00BA62A0">
            <w:pPr>
              <w:suppressAutoHyphens/>
              <w:autoSpaceDN w:val="0"/>
              <w:spacing w:before="0" w:after="0"/>
              <w:ind w:firstLine="567"/>
              <w:rPr>
                <w:rFonts w:eastAsia="Calibri"/>
                <w:sz w:val="20"/>
                <w:lang w:val="lv-LV" w:eastAsia="en-US"/>
              </w:rPr>
            </w:pPr>
            <w:r w:rsidRPr="00550D35">
              <w:rPr>
                <w:rFonts w:eastAsia="Calibri"/>
                <w:sz w:val="20"/>
                <w:lang w:val="lv-LV" w:eastAsia="en-US"/>
              </w:rPr>
              <w:t xml:space="preserve">Projektā veiktās darbības sniegs ieguldījumu gan </w:t>
            </w:r>
            <w:r w:rsidR="00FB00D5">
              <w:rPr>
                <w:rFonts w:eastAsia="Calibri"/>
                <w:sz w:val="20"/>
                <w:lang w:val="lv-LV" w:eastAsia="en-US"/>
              </w:rPr>
              <w:t>DEP,</w:t>
            </w:r>
            <w:r w:rsidRPr="00550D35">
              <w:rPr>
                <w:rFonts w:eastAsia="Calibri"/>
                <w:sz w:val="20"/>
                <w:lang w:val="lv-LV" w:eastAsia="en-US"/>
              </w:rPr>
              <w:t xml:space="preserve"> gan Dekādes programmas kvantu </w:t>
            </w:r>
            <w:proofErr w:type="spellStart"/>
            <w:r w:rsidRPr="00550D35">
              <w:rPr>
                <w:rFonts w:eastAsia="Calibri"/>
                <w:sz w:val="20"/>
                <w:lang w:val="lv-LV" w:eastAsia="en-US"/>
              </w:rPr>
              <w:t>mērķrādītāja</w:t>
            </w:r>
            <w:proofErr w:type="spellEnd"/>
            <w:r w:rsidRPr="00550D35">
              <w:rPr>
                <w:rFonts w:eastAsia="Calibri"/>
                <w:sz w:val="20"/>
                <w:lang w:val="lv-LV" w:eastAsia="en-US"/>
              </w:rPr>
              <w:t xml:space="preserve"> sasniegšanā, jo Kvantu tīkls varēs tikt izmantots, lai nodrošinātu drošu pakalpojumu izmantošanu gan publiskā sektora institūciju, gan arī komersantu un privātpersonu vajadzībām. Projekts attiecināms uz </w:t>
            </w:r>
            <w:proofErr w:type="spellStart"/>
            <w:r w:rsidRPr="00550D35">
              <w:rPr>
                <w:rFonts w:eastAsia="Calibri"/>
                <w:sz w:val="20"/>
                <w:lang w:val="lv-LV" w:eastAsia="en-US"/>
              </w:rPr>
              <w:t>kiberdrošības</w:t>
            </w:r>
            <w:proofErr w:type="spellEnd"/>
            <w:r w:rsidRPr="00550D35">
              <w:rPr>
                <w:rFonts w:eastAsia="Calibri"/>
                <w:sz w:val="20"/>
                <w:lang w:val="lv-LV" w:eastAsia="en-US"/>
              </w:rPr>
              <w:t xml:space="preserve"> jomu, kas ir viena no </w:t>
            </w:r>
            <w:r w:rsidR="00FB00D5">
              <w:rPr>
                <w:rFonts w:eastAsia="Calibri"/>
                <w:sz w:val="20"/>
                <w:lang w:val="lv-LV" w:eastAsia="en-US"/>
              </w:rPr>
              <w:t>DEP</w:t>
            </w:r>
            <w:r w:rsidRPr="00550D35">
              <w:rPr>
                <w:rFonts w:eastAsia="Calibri"/>
                <w:sz w:val="20"/>
                <w:lang w:val="lv-LV" w:eastAsia="en-US"/>
              </w:rPr>
              <w:t xml:space="preserve"> jomām. </w:t>
            </w:r>
          </w:p>
          <w:p w14:paraId="502A55ED" w14:textId="22638609" w:rsidR="00F714BE" w:rsidRPr="00550D35" w:rsidRDefault="00F714BE" w:rsidP="00BA62A0">
            <w:pPr>
              <w:suppressAutoHyphens/>
              <w:autoSpaceDN w:val="0"/>
              <w:spacing w:before="0" w:after="0"/>
              <w:ind w:firstLine="0"/>
              <w:rPr>
                <w:rFonts w:eastAsia="Calibri"/>
                <w:sz w:val="20"/>
                <w:lang w:val="lv-LV" w:eastAsia="en-US"/>
              </w:rPr>
            </w:pPr>
            <w:r w:rsidRPr="00550D35">
              <w:rPr>
                <w:rFonts w:eastAsia="Calibri"/>
                <w:sz w:val="20"/>
                <w:lang w:val="lv-LV" w:eastAsia="en-US"/>
              </w:rPr>
              <w:t xml:space="preserve">Projekts tieši ir saistīts ar </w:t>
            </w:r>
            <w:r w:rsidR="00FB00D5">
              <w:rPr>
                <w:rFonts w:eastAsia="Calibri"/>
                <w:sz w:val="20"/>
                <w:lang w:val="lv-LV" w:eastAsia="en-US"/>
              </w:rPr>
              <w:t>DEP</w:t>
            </w:r>
            <w:r w:rsidRPr="00550D35">
              <w:rPr>
                <w:rFonts w:eastAsia="Calibri"/>
                <w:sz w:val="20"/>
                <w:lang w:val="lv-LV" w:eastAsia="en-US"/>
              </w:rPr>
              <w:t xml:space="preserve"> mērķi Nr.3 “</w:t>
            </w:r>
            <w:proofErr w:type="spellStart"/>
            <w:r w:rsidRPr="00550D35">
              <w:rPr>
                <w:rFonts w:eastAsia="Calibri"/>
                <w:sz w:val="20"/>
                <w:lang w:val="lv-LV" w:eastAsia="en-US"/>
              </w:rPr>
              <w:t>Kiberdrošība</w:t>
            </w:r>
            <w:proofErr w:type="spellEnd"/>
            <w:r w:rsidRPr="00550D35">
              <w:rPr>
                <w:rFonts w:eastAsia="Calibri"/>
                <w:sz w:val="20"/>
                <w:lang w:val="lv-LV" w:eastAsia="en-US"/>
              </w:rPr>
              <w:t xml:space="preserve"> un uzticamība”, jo tā ietvaros tiks veiktas investīcijas progresīvā </w:t>
            </w:r>
            <w:proofErr w:type="spellStart"/>
            <w:r w:rsidRPr="00550D35">
              <w:rPr>
                <w:rFonts w:eastAsia="Calibri"/>
                <w:sz w:val="20"/>
                <w:lang w:val="lv-LV" w:eastAsia="en-US"/>
              </w:rPr>
              <w:t>kiberdrošības</w:t>
            </w:r>
            <w:proofErr w:type="spellEnd"/>
            <w:r w:rsidRPr="00550D35">
              <w:rPr>
                <w:rFonts w:eastAsia="Calibri"/>
                <w:sz w:val="20"/>
                <w:lang w:val="lv-LV" w:eastAsia="en-US"/>
              </w:rPr>
              <w:t xml:space="preserve"> aprīkojumā, infrastruktūrās un zinātnē, kas ir būtiski, lai aizsargātu kritiskās infrastruktūras un digitālo vienoto tirgu kopumā. Projekts daļēji attieksies uz </w:t>
            </w:r>
            <w:r w:rsidR="00FB00D5">
              <w:rPr>
                <w:rFonts w:eastAsia="Calibri"/>
                <w:sz w:val="20"/>
                <w:lang w:val="lv-LV" w:eastAsia="en-US"/>
              </w:rPr>
              <w:t xml:space="preserve">DEP </w:t>
            </w:r>
            <w:r w:rsidRPr="00550D35">
              <w:rPr>
                <w:rFonts w:eastAsia="Calibri"/>
                <w:sz w:val="20"/>
                <w:lang w:val="lv-LV" w:eastAsia="en-US"/>
              </w:rPr>
              <w:t xml:space="preserve">mērķi Nr.4 “Padziļinātas digitālās prasmes”, jo Projekta ietvaros tiks veikta </w:t>
            </w:r>
            <w:r w:rsidRPr="00550D35">
              <w:rPr>
                <w:rFonts w:eastAsia="Calibri"/>
                <w:sz w:val="20"/>
                <w:lang w:val="lv-LV" w:eastAsia="en-US"/>
              </w:rPr>
              <w:lastRenderedPageBreak/>
              <w:t xml:space="preserve">lietotāju apmācība kvantu tehnoloģiju izmantošanā </w:t>
            </w:r>
            <w:proofErr w:type="spellStart"/>
            <w:r w:rsidRPr="00550D35">
              <w:rPr>
                <w:rFonts w:eastAsia="Calibri"/>
                <w:sz w:val="20"/>
                <w:lang w:val="lv-LV" w:eastAsia="en-US"/>
              </w:rPr>
              <w:t>kiberdrošības</w:t>
            </w:r>
            <w:proofErr w:type="spellEnd"/>
            <w:r w:rsidRPr="00550D35">
              <w:rPr>
                <w:rFonts w:eastAsia="Calibri"/>
                <w:sz w:val="20"/>
                <w:lang w:val="lv-LV" w:eastAsia="en-US"/>
              </w:rPr>
              <w:t xml:space="preserve"> jomā. Projekta mērķis un paredzamie rezultāti tieši attieksies uz </w:t>
            </w:r>
            <w:r w:rsidR="00FB00D5">
              <w:rPr>
                <w:rFonts w:eastAsia="Calibri"/>
                <w:sz w:val="20"/>
                <w:lang w:val="lv-LV" w:eastAsia="en-US"/>
              </w:rPr>
              <w:t>DEP</w:t>
            </w:r>
            <w:r w:rsidRPr="00550D35">
              <w:rPr>
                <w:rFonts w:eastAsia="Calibri"/>
                <w:sz w:val="20"/>
                <w:lang w:val="lv-LV" w:eastAsia="en-US"/>
              </w:rPr>
              <w:t xml:space="preserve">  prioritāti – Eiropas publiskās pārvaldes iestāžu modernizāciju, jo Projekta rezultāti varēs tikt izmantoti, lai nodrošinātu uz jaunākajām tehnoloģijām un zinātnes atziņām balstītu publisko pakalpojumu jomu.</w:t>
            </w:r>
          </w:p>
          <w:p w14:paraId="032F37BF" w14:textId="77777777" w:rsidR="00F714BE" w:rsidRPr="00550D35" w:rsidRDefault="00F714BE" w:rsidP="00BA62A0">
            <w:pPr>
              <w:autoSpaceDE w:val="0"/>
              <w:autoSpaceDN w:val="0"/>
              <w:adjustRightInd w:val="0"/>
              <w:spacing w:before="0" w:after="0"/>
              <w:ind w:firstLine="0"/>
              <w:jc w:val="left"/>
              <w:rPr>
                <w:sz w:val="20"/>
                <w:lang w:val="lv-LV"/>
              </w:rPr>
            </w:pPr>
            <w:r w:rsidRPr="00550D35">
              <w:rPr>
                <w:sz w:val="20"/>
                <w:lang w:val="lv-LV"/>
              </w:rPr>
              <w:t>Projekta laika ietvars: 01.01.2023. – 30.06.2025.</w:t>
            </w:r>
          </w:p>
        </w:tc>
      </w:tr>
    </w:tbl>
    <w:p w14:paraId="020C71D0" w14:textId="77777777" w:rsidR="00F714BE" w:rsidRPr="00550D35" w:rsidRDefault="00F714BE" w:rsidP="00F714BE">
      <w:pPr>
        <w:rPr>
          <w:lang w:val="lv-LV"/>
        </w:rPr>
      </w:pPr>
    </w:p>
    <w:tbl>
      <w:tblPr>
        <w:tblStyle w:val="TableGrid"/>
        <w:tblW w:w="8642" w:type="dxa"/>
        <w:tblLook w:val="04A0" w:firstRow="1" w:lastRow="0" w:firstColumn="1" w:lastColumn="0" w:noHBand="0" w:noVBand="1"/>
      </w:tblPr>
      <w:tblGrid>
        <w:gridCol w:w="3192"/>
        <w:gridCol w:w="5450"/>
      </w:tblGrid>
      <w:tr w:rsidR="00F714BE" w:rsidRPr="003B2E9A" w14:paraId="195AF584" w14:textId="77777777" w:rsidTr="00BA62A0">
        <w:tc>
          <w:tcPr>
            <w:tcW w:w="8642" w:type="dxa"/>
            <w:gridSpan w:val="2"/>
            <w:shd w:val="clear" w:color="auto" w:fill="FFFFFF" w:themeFill="background1"/>
          </w:tcPr>
          <w:p w14:paraId="3276F9D4" w14:textId="77777777" w:rsidR="00F714BE" w:rsidRPr="00550D35" w:rsidRDefault="00F714BE" w:rsidP="00BA62A0">
            <w:pPr>
              <w:ind w:firstLine="0"/>
              <w:contextualSpacing/>
              <w:rPr>
                <w:rFonts w:eastAsia="MS Minngs"/>
                <w:sz w:val="20"/>
                <w:lang w:val="lv-LV"/>
              </w:rPr>
            </w:pPr>
            <w:r w:rsidRPr="00550D35">
              <w:rPr>
                <w:b/>
                <w:bCs/>
                <w:sz w:val="20"/>
                <w:lang w:val="lv-LV"/>
              </w:rPr>
              <w:t xml:space="preserve">Pasākums Nr.2 – ANM plāna investīcija </w:t>
            </w:r>
            <w:r w:rsidRPr="00B51D47">
              <w:rPr>
                <w:b/>
                <w:bCs/>
                <w:sz w:val="20"/>
                <w:lang w:val="lv-LV"/>
              </w:rPr>
              <w:t xml:space="preserve">2.3.1.1.i. </w:t>
            </w:r>
            <w:r w:rsidRPr="00550D35">
              <w:rPr>
                <w:b/>
                <w:bCs/>
                <w:sz w:val="20"/>
                <w:lang w:val="lv-LV"/>
              </w:rPr>
              <w:t>“</w:t>
            </w:r>
            <w:r w:rsidRPr="00B51D47">
              <w:rPr>
                <w:b/>
                <w:bCs/>
                <w:sz w:val="20"/>
                <w:lang w:val="lv-LV"/>
              </w:rPr>
              <w:t>Kvantu tehnoloģiju</w:t>
            </w:r>
            <w:r w:rsidRPr="00550D35">
              <w:rPr>
                <w:b/>
                <w:bCs/>
                <w:color w:val="212529"/>
                <w:sz w:val="20"/>
                <w:shd w:val="clear" w:color="auto" w:fill="FFFFFF"/>
                <w:lang w:val="lv-LV"/>
              </w:rPr>
              <w:t xml:space="preserve"> iniciatīva”</w:t>
            </w:r>
          </w:p>
        </w:tc>
      </w:tr>
      <w:tr w:rsidR="00F714BE" w:rsidRPr="00550D35" w14:paraId="619C174C" w14:textId="77777777" w:rsidTr="00BA62A0">
        <w:tc>
          <w:tcPr>
            <w:tcW w:w="3192" w:type="dxa"/>
            <w:shd w:val="clear" w:color="auto" w:fill="FFFFFF" w:themeFill="background1"/>
          </w:tcPr>
          <w:p w14:paraId="5189759C" w14:textId="77777777" w:rsidR="00F714BE" w:rsidRPr="00550D35" w:rsidRDefault="00F714BE" w:rsidP="00BA62A0">
            <w:pPr>
              <w:ind w:firstLine="0"/>
              <w:rPr>
                <w:b/>
                <w:bCs/>
                <w:sz w:val="20"/>
                <w:lang w:val="lv-LV"/>
              </w:rPr>
            </w:pPr>
            <w:r w:rsidRPr="00550D35">
              <w:rPr>
                <w:b/>
                <w:bCs/>
                <w:sz w:val="20"/>
                <w:lang w:val="lv-LV"/>
              </w:rPr>
              <w:t>Jauns pasākums</w:t>
            </w:r>
          </w:p>
        </w:tc>
        <w:tc>
          <w:tcPr>
            <w:tcW w:w="5450" w:type="dxa"/>
            <w:shd w:val="clear" w:color="auto" w:fill="FFFFFF" w:themeFill="background1"/>
          </w:tcPr>
          <w:p w14:paraId="2171C567" w14:textId="77777777" w:rsidR="00F714BE" w:rsidRPr="00550D35" w:rsidRDefault="00AC141D" w:rsidP="00BA62A0">
            <w:pPr>
              <w:spacing w:before="0" w:after="120"/>
              <w:ind w:firstLine="0"/>
              <w:contextualSpacing/>
              <w:jc w:val="left"/>
              <w:rPr>
                <w:sz w:val="20"/>
                <w:lang w:val="lv-LV"/>
              </w:rPr>
            </w:pPr>
            <w:sdt>
              <w:sdtPr>
                <w:rPr>
                  <w:sz w:val="20"/>
                  <w:lang w:val="lv-LV"/>
                </w:rPr>
                <w:id w:val="1972480405"/>
                <w14:checkbox>
                  <w14:checked w14:val="1"/>
                  <w14:checkedState w14:val="2612" w14:font="MS Gothic"/>
                  <w14:uncheckedState w14:val="2610" w14:font="MS Gothic"/>
                </w14:checkbox>
              </w:sdtPr>
              <w:sdtEndPr/>
              <w:sdtContent>
                <w:r w:rsidR="00F714BE" w:rsidRPr="00550D35">
                  <w:rPr>
                    <w:rFonts w:ascii="Segoe UI Symbol" w:eastAsia="MS Gothic" w:hAnsi="Segoe UI Symbol" w:cs="Segoe UI Symbol"/>
                    <w:sz w:val="20"/>
                    <w:lang w:val="lv-LV"/>
                  </w:rPr>
                  <w:t>☒</w:t>
                </w:r>
              </w:sdtContent>
            </w:sdt>
            <w:r w:rsidR="00F714BE" w:rsidRPr="00550D35">
              <w:rPr>
                <w:sz w:val="20"/>
                <w:lang w:val="lv-LV"/>
              </w:rPr>
              <w:t>jā</w:t>
            </w:r>
          </w:p>
          <w:p w14:paraId="24AED131" w14:textId="77777777" w:rsidR="00F714BE" w:rsidRPr="00550D35" w:rsidRDefault="00AC141D" w:rsidP="00BA62A0">
            <w:pPr>
              <w:spacing w:before="0" w:after="120"/>
              <w:ind w:firstLine="0"/>
              <w:contextualSpacing/>
              <w:jc w:val="left"/>
              <w:rPr>
                <w:sz w:val="20"/>
                <w:lang w:val="lv-LV"/>
              </w:rPr>
            </w:pPr>
            <w:sdt>
              <w:sdtPr>
                <w:rPr>
                  <w:sz w:val="20"/>
                  <w:lang w:val="lv-LV"/>
                </w:rPr>
                <w:id w:val="224419200"/>
                <w14:checkbox>
                  <w14:checked w14:val="0"/>
                  <w14:checkedState w14:val="2612" w14:font="MS Gothic"/>
                  <w14:uncheckedState w14:val="2610" w14:font="MS Gothic"/>
                </w14:checkbox>
              </w:sdtPr>
              <w:sdtEndPr/>
              <w:sdtContent>
                <w:r w:rsidR="00F714BE" w:rsidRPr="00550D35">
                  <w:rPr>
                    <w:rFonts w:ascii="Segoe UI Symbol" w:eastAsia="MS Gothic" w:hAnsi="Segoe UI Symbol" w:cs="Segoe UI Symbol"/>
                    <w:sz w:val="20"/>
                    <w:lang w:val="lv-LV"/>
                  </w:rPr>
                  <w:t>☐</w:t>
                </w:r>
              </w:sdtContent>
            </w:sdt>
            <w:r w:rsidR="00F714BE" w:rsidRPr="00550D35">
              <w:rPr>
                <w:rFonts w:eastAsia="MS Minngs"/>
                <w:sz w:val="20"/>
                <w:lang w:val="lv-LV"/>
              </w:rPr>
              <w:t xml:space="preserve"> </w:t>
            </w:r>
            <w:r w:rsidR="00F714BE" w:rsidRPr="00550D35">
              <w:rPr>
                <w:sz w:val="20"/>
                <w:lang w:val="lv-LV"/>
              </w:rPr>
              <w:t>nē</w:t>
            </w:r>
          </w:p>
        </w:tc>
      </w:tr>
      <w:tr w:rsidR="00F714BE" w:rsidRPr="003B2E9A" w14:paraId="0A39B721" w14:textId="77777777" w:rsidTr="00BA62A0">
        <w:tc>
          <w:tcPr>
            <w:tcW w:w="3192" w:type="dxa"/>
            <w:shd w:val="clear" w:color="auto" w:fill="FFFFFF" w:themeFill="background1"/>
          </w:tcPr>
          <w:p w14:paraId="3C3697ED" w14:textId="77777777" w:rsidR="00F714BE" w:rsidRPr="00550D35" w:rsidRDefault="00F714BE" w:rsidP="00BA62A0">
            <w:pPr>
              <w:ind w:firstLine="0"/>
              <w:rPr>
                <w:sz w:val="20"/>
                <w:lang w:val="lv-LV"/>
              </w:rPr>
            </w:pPr>
            <w:r w:rsidRPr="00550D35">
              <w:rPr>
                <w:b/>
                <w:bCs/>
                <w:sz w:val="20"/>
                <w:lang w:val="lv-LV"/>
              </w:rPr>
              <w:t>Īss pasākuma apraksts</w:t>
            </w:r>
          </w:p>
        </w:tc>
        <w:tc>
          <w:tcPr>
            <w:tcW w:w="5450" w:type="dxa"/>
            <w:shd w:val="clear" w:color="auto" w:fill="FFFFFF" w:themeFill="background1"/>
          </w:tcPr>
          <w:p w14:paraId="156F265B" w14:textId="77777777" w:rsidR="00F714BE" w:rsidRPr="00550D35" w:rsidRDefault="00F714BE" w:rsidP="00BA62A0">
            <w:pPr>
              <w:spacing w:before="100" w:beforeAutospacing="1" w:after="100" w:afterAutospacing="1"/>
              <w:ind w:firstLine="0"/>
              <w:rPr>
                <w:sz w:val="20"/>
                <w:lang w:val="lv-LV"/>
              </w:rPr>
            </w:pPr>
            <w:r w:rsidRPr="00550D35">
              <w:rPr>
                <w:sz w:val="20"/>
                <w:lang w:val="lv-LV"/>
              </w:rPr>
              <w:t>Latvijas vadošie zinātnieki un mācībspēki no LU, RTU, LU Cietvielu fizikas institūta un LU MII ir apvienojuši spēkus Latvijas “Kvantu tehnoloģiju iniciatīvā” - apvienībā, kas palīdzēs veiksmīgāk pārraudzīt un koordinēt ar kvantu tehnoloģijām saistītās aktivitātes Latvijā. Iniciatīvas mērķis ir stiprināt Latvijas konkurētspēju kvantu tehnoloģiju jomā, piesaistot un sagatavojot augsta līmeņa speciālistus un attīstot zināšanu bāzi un prasmes augsto tehnoloģiju jomā, lai sekmīgāk iesaistītos Eiropas un starptautiskajā pētniecības telpā, īstenotu augsta līmeņa pētniecību un veicinātu augstākās izglītības, zinātnes un industrijas sinerģiju inovāciju virzienā.</w:t>
            </w:r>
          </w:p>
          <w:p w14:paraId="641F40EE" w14:textId="77777777" w:rsidR="00F714BE" w:rsidRPr="00550D35" w:rsidRDefault="00F714BE" w:rsidP="00BA62A0">
            <w:pPr>
              <w:spacing w:before="100" w:beforeAutospacing="1" w:after="100" w:afterAutospacing="1"/>
              <w:ind w:firstLine="0"/>
              <w:rPr>
                <w:sz w:val="20"/>
                <w:lang w:val="lv-LV"/>
              </w:rPr>
            </w:pPr>
            <w:r>
              <w:rPr>
                <w:sz w:val="20"/>
                <w:lang w:val="lv-LV"/>
              </w:rPr>
              <w:t>P</w:t>
            </w:r>
            <w:r w:rsidRPr="00550D35">
              <w:rPr>
                <w:sz w:val="20"/>
                <w:lang w:val="lv-LV"/>
              </w:rPr>
              <w:t>rojekt</w:t>
            </w:r>
            <w:r>
              <w:rPr>
                <w:sz w:val="20"/>
                <w:lang w:val="lv-LV"/>
              </w:rPr>
              <w:t>u</w:t>
            </w:r>
            <w:r w:rsidRPr="00550D35">
              <w:rPr>
                <w:sz w:val="20"/>
                <w:lang w:val="lv-LV"/>
              </w:rPr>
              <w:t xml:space="preserve"> “Kvantu tehnoloģiju iniciatīva” realizēs apvienībā iesaistītie partneri, sniegs nozīmīgu ieguldījumu kvantu tehnoloģiju pētniecībā un izglītībā Latvijā, kā arī veicinās nākotnes darba tirgum noderīgu augsta līmeņa digitālo prasmju apguvi.</w:t>
            </w:r>
          </w:p>
          <w:p w14:paraId="1E0ADC6E" w14:textId="77777777" w:rsidR="00F714BE" w:rsidRPr="00550D35" w:rsidRDefault="00F714BE" w:rsidP="00BA62A0">
            <w:pPr>
              <w:spacing w:before="100" w:beforeAutospacing="1" w:after="100" w:afterAutospacing="1"/>
              <w:ind w:firstLine="0"/>
              <w:rPr>
                <w:sz w:val="20"/>
                <w:lang w:val="lv-LV"/>
              </w:rPr>
            </w:pPr>
            <w:r w:rsidRPr="00550D35">
              <w:rPr>
                <w:sz w:val="20"/>
                <w:lang w:val="lv-LV"/>
              </w:rPr>
              <w:t>Projekta ietvaros no 2023. gada 1. ceturksnī ir uzsākta programma “Progresīvu digitālo prasmju attīstīšana”, tās īstenošanas  laikā tiks izstrādāti trīs izcilības centri progresīvu digitālo prasmju attīstībai Latvijā – kvantu skaitļošanā, augstas veiktspējas skaitļošanā un valodu tehnoloģijās. Katrs izcilības centrs ir daļa no zinātnes universitāšu, rūpniecības un zinātnisko institūtu konsorcija.</w:t>
            </w:r>
          </w:p>
          <w:p w14:paraId="21B72601" w14:textId="77777777" w:rsidR="00F714BE" w:rsidRPr="00550D35" w:rsidRDefault="00F714BE" w:rsidP="00BA62A0">
            <w:pPr>
              <w:spacing w:before="100" w:beforeAutospacing="1" w:after="100" w:afterAutospacing="1"/>
              <w:ind w:firstLine="0"/>
              <w:rPr>
                <w:sz w:val="20"/>
                <w:lang w:val="lv-LV"/>
              </w:rPr>
            </w:pPr>
            <w:r w:rsidRPr="00550D35">
              <w:rPr>
                <w:sz w:val="20"/>
                <w:lang w:val="lv-LV"/>
              </w:rPr>
              <w:t xml:space="preserve">Kvantu skaitļošanas jomā paredzēts izstrādāt četrus mācību moduļus. LU izstrādās trīs moduļus – “Kvantu skaitļošanas pamati”, “Kvantu algoritmi un programmēšana” un “Kvantu tehnoloģiju fizika”, bet RTU – “Kvantu komunikācijas tehnoloģijas”. Iniciatīvas ietvaros trīs gadu laikā paredzēts sagatavot 180 speciālistus kvantu jomā. Projektā plānota aktīva sadarbība ar projekta partneriem - LU MII pētīs, kā paaugstināt autentifikācijas un pārraides drošības līmeni, papildinot klasiskos kriptogrāfiskos risinājumus ar jauniem, LU un CFI pētīs un jaunas kvantu </w:t>
            </w:r>
            <w:proofErr w:type="spellStart"/>
            <w:r w:rsidRPr="00550D35">
              <w:rPr>
                <w:sz w:val="20"/>
                <w:lang w:val="lv-LV"/>
              </w:rPr>
              <w:t>nanoelektronikas</w:t>
            </w:r>
            <w:proofErr w:type="spellEnd"/>
            <w:r w:rsidRPr="00550D35">
              <w:rPr>
                <w:sz w:val="20"/>
                <w:lang w:val="lv-LV"/>
              </w:rPr>
              <w:t xml:space="preserve"> un </w:t>
            </w:r>
            <w:proofErr w:type="spellStart"/>
            <w:r w:rsidRPr="00550D35">
              <w:rPr>
                <w:sz w:val="20"/>
                <w:lang w:val="lv-LV"/>
              </w:rPr>
              <w:t>fotonikas</w:t>
            </w:r>
            <w:proofErr w:type="spellEnd"/>
            <w:r w:rsidRPr="00550D35">
              <w:rPr>
                <w:sz w:val="20"/>
                <w:lang w:val="lv-LV"/>
              </w:rPr>
              <w:t xml:space="preserve"> ierīces, un, iespējams, tas ļaus izveidot </w:t>
            </w:r>
            <w:proofErr w:type="spellStart"/>
            <w:r w:rsidRPr="00550D35">
              <w:rPr>
                <w:sz w:val="20"/>
                <w:lang w:val="lv-LV"/>
              </w:rPr>
              <w:t>pilotražotni</w:t>
            </w:r>
            <w:proofErr w:type="spellEnd"/>
            <w:r w:rsidRPr="00550D35">
              <w:rPr>
                <w:sz w:val="20"/>
                <w:lang w:val="lv-LV"/>
              </w:rPr>
              <w:t xml:space="preserve"> un nodarboties ar šo ierīču testēšanu un aprobāciju, savukārt LU DF un LU MII izstrādās jaunas skaitļošanas metodes kvantu datoriem. RTU speciālisti ir iecerējuši izstrādāt ne vien studiju moduli kvantu sakaru tehnoloģiju jomā, bet arī izveidot jaunus tehnoloģiskus risinājumus kvantu sakaru sistēmām, pielietojot kombinētas </w:t>
            </w:r>
            <w:proofErr w:type="spellStart"/>
            <w:r w:rsidRPr="00550D35">
              <w:rPr>
                <w:sz w:val="20"/>
                <w:lang w:val="lv-LV"/>
              </w:rPr>
              <w:t>telpdales</w:t>
            </w:r>
            <w:proofErr w:type="spellEnd"/>
            <w:r w:rsidRPr="00550D35">
              <w:rPr>
                <w:sz w:val="20"/>
                <w:lang w:val="lv-LV"/>
              </w:rPr>
              <w:t xml:space="preserve"> un </w:t>
            </w:r>
            <w:proofErr w:type="spellStart"/>
            <w:r w:rsidRPr="00550D35">
              <w:rPr>
                <w:sz w:val="20"/>
                <w:lang w:val="lv-LV"/>
              </w:rPr>
              <w:t>viļņgarumdales</w:t>
            </w:r>
            <w:proofErr w:type="spellEnd"/>
            <w:r w:rsidRPr="00550D35">
              <w:rPr>
                <w:sz w:val="20"/>
                <w:lang w:val="lv-LV"/>
              </w:rPr>
              <w:t xml:space="preserve"> blīvēšanas tehnoloģijas.</w:t>
            </w:r>
          </w:p>
        </w:tc>
      </w:tr>
      <w:tr w:rsidR="00F714BE" w:rsidRPr="003B2E9A" w14:paraId="02797581" w14:textId="77777777" w:rsidTr="00BA62A0">
        <w:tc>
          <w:tcPr>
            <w:tcW w:w="3192" w:type="dxa"/>
            <w:shd w:val="clear" w:color="auto" w:fill="FFFFFF" w:themeFill="background1"/>
          </w:tcPr>
          <w:p w14:paraId="63331A65" w14:textId="466FF19F" w:rsidR="00F714BE" w:rsidRPr="00550D35" w:rsidRDefault="00F714BE" w:rsidP="00BA62A0">
            <w:pPr>
              <w:ind w:firstLine="0"/>
              <w:rPr>
                <w:b/>
                <w:bCs/>
                <w:sz w:val="20"/>
                <w:lang w:val="lv-LV"/>
              </w:rPr>
            </w:pPr>
            <w:r w:rsidRPr="00550D35">
              <w:rPr>
                <w:b/>
                <w:bCs/>
                <w:sz w:val="20"/>
                <w:lang w:val="lv-LV"/>
              </w:rPr>
              <w:t>Piešķirtais vai plānotais budžets un, ja atbilstoši, citi resursi</w:t>
            </w:r>
          </w:p>
        </w:tc>
        <w:tc>
          <w:tcPr>
            <w:tcW w:w="5450" w:type="dxa"/>
            <w:shd w:val="clear" w:color="auto" w:fill="FFFFFF" w:themeFill="background1"/>
          </w:tcPr>
          <w:p w14:paraId="3A887161" w14:textId="77777777" w:rsidR="00F714BE" w:rsidRPr="00550D35" w:rsidRDefault="00F714BE" w:rsidP="00BA62A0">
            <w:pPr>
              <w:spacing w:before="0" w:after="100" w:afterAutospacing="1"/>
              <w:ind w:firstLine="0"/>
              <w:jc w:val="left"/>
              <w:rPr>
                <w:sz w:val="20"/>
                <w:lang w:val="lv-LV"/>
              </w:rPr>
            </w:pPr>
            <w:r w:rsidRPr="00550D35">
              <w:rPr>
                <w:sz w:val="20"/>
                <w:lang w:val="lv-LV"/>
              </w:rPr>
              <w:t>ANM investīcija 6,2 milj. </w:t>
            </w:r>
            <w:proofErr w:type="spellStart"/>
            <w:r w:rsidRPr="00550D35">
              <w:rPr>
                <w:i/>
                <w:sz w:val="20"/>
                <w:lang w:val="lv-LV"/>
              </w:rPr>
              <w:t>euro</w:t>
            </w:r>
            <w:proofErr w:type="spellEnd"/>
            <w:r w:rsidRPr="00550D35">
              <w:rPr>
                <w:sz w:val="20"/>
                <w:lang w:val="lv-LV"/>
              </w:rPr>
              <w:t xml:space="preserve"> un valsts budžeta finansējums 190,0 tūkst. </w:t>
            </w:r>
            <w:proofErr w:type="spellStart"/>
            <w:r w:rsidRPr="00550D35">
              <w:rPr>
                <w:i/>
                <w:sz w:val="20"/>
                <w:lang w:val="lv-LV"/>
              </w:rPr>
              <w:t>euro</w:t>
            </w:r>
            <w:proofErr w:type="spellEnd"/>
            <w:r w:rsidRPr="00550D35">
              <w:rPr>
                <w:sz w:val="20"/>
                <w:lang w:val="lv-LV"/>
              </w:rPr>
              <w:t>.</w:t>
            </w:r>
          </w:p>
          <w:p w14:paraId="1F72642B" w14:textId="77777777" w:rsidR="00F714BE" w:rsidRPr="00550D35" w:rsidRDefault="00F714BE" w:rsidP="00BA62A0">
            <w:pPr>
              <w:spacing w:before="0" w:after="100" w:afterAutospacing="1"/>
              <w:ind w:firstLine="0"/>
              <w:jc w:val="left"/>
              <w:rPr>
                <w:sz w:val="20"/>
                <w:lang w:val="lv-LV" w:eastAsia="lv-LV"/>
              </w:rPr>
            </w:pPr>
          </w:p>
        </w:tc>
      </w:tr>
      <w:tr w:rsidR="00F714BE" w:rsidRPr="00550D35" w14:paraId="26742E5A" w14:textId="77777777" w:rsidTr="00BA62A0">
        <w:tc>
          <w:tcPr>
            <w:tcW w:w="3192" w:type="dxa"/>
            <w:shd w:val="clear" w:color="auto" w:fill="FFFFFF" w:themeFill="background1"/>
          </w:tcPr>
          <w:p w14:paraId="089D8BF7" w14:textId="77777777" w:rsidR="00F714BE" w:rsidRPr="00550D35" w:rsidRDefault="00F714BE" w:rsidP="00BA62A0">
            <w:pPr>
              <w:ind w:firstLine="0"/>
              <w:rPr>
                <w:b/>
                <w:bCs/>
                <w:sz w:val="20"/>
                <w:lang w:val="lv-LV"/>
              </w:rPr>
            </w:pPr>
            <w:r w:rsidRPr="00550D35">
              <w:rPr>
                <w:b/>
                <w:bCs/>
                <w:sz w:val="20"/>
                <w:lang w:val="lv-LV"/>
              </w:rPr>
              <w:t>Sagaidāmā ietekme un laika ietvars</w:t>
            </w:r>
          </w:p>
        </w:tc>
        <w:tc>
          <w:tcPr>
            <w:tcW w:w="5450" w:type="dxa"/>
            <w:shd w:val="clear" w:color="auto" w:fill="FFFFFF" w:themeFill="background1"/>
          </w:tcPr>
          <w:p w14:paraId="1F0F3BC1" w14:textId="77777777" w:rsidR="00F714BE" w:rsidRPr="00550D35" w:rsidRDefault="00F714BE" w:rsidP="00BA62A0">
            <w:pPr>
              <w:spacing w:before="100" w:beforeAutospacing="1" w:after="100" w:afterAutospacing="1"/>
              <w:ind w:firstLine="0"/>
              <w:rPr>
                <w:sz w:val="20"/>
                <w:lang w:val="lv-LV"/>
              </w:rPr>
            </w:pPr>
            <w:r w:rsidRPr="00550D35">
              <w:rPr>
                <w:sz w:val="20"/>
                <w:lang w:val="lv-LV"/>
              </w:rPr>
              <w:t xml:space="preserve">Sagaidāmā ietekme: apmācīti 180 speciālisti kvantu tehnoloģijas jomā, izstrādāti 12 jauni studiju moduļi progresīvu digitālo prasmju attīstībai kvantu tehnoloģijā un izstrādātas 45 zinātniskas </w:t>
            </w:r>
            <w:r w:rsidRPr="00550D35">
              <w:rPr>
                <w:sz w:val="20"/>
                <w:lang w:val="lv-LV"/>
              </w:rPr>
              <w:lastRenderedPageBreak/>
              <w:t>publikācijas kvantu tehnoloģijas jomā.</w:t>
            </w:r>
            <w:r w:rsidRPr="00550D35">
              <w:rPr>
                <w:sz w:val="20"/>
                <w:lang w:val="lv-LV"/>
              </w:rPr>
              <w:br/>
              <w:t>Projekts laika ietvars 01.01.2023. – 30.06.2026.</w:t>
            </w:r>
          </w:p>
        </w:tc>
      </w:tr>
    </w:tbl>
    <w:p w14:paraId="5222F5B8" w14:textId="77777777" w:rsidR="00F714BE" w:rsidRPr="00550D35" w:rsidRDefault="00F714BE" w:rsidP="00F714BE">
      <w:pPr>
        <w:pStyle w:val="Heading2"/>
        <w:rPr>
          <w:lang w:val="lv-LV"/>
        </w:rPr>
      </w:pPr>
      <w:r w:rsidRPr="00550D35">
        <w:rPr>
          <w:lang w:val="lv-LV"/>
        </w:rPr>
        <w:lastRenderedPageBreak/>
        <w:t>Galvenā politika, pasākumi un darbības, kas paredzēti, lai palīdzētu sasniegt vispārīgos mērķus</w:t>
      </w:r>
    </w:p>
    <w:p w14:paraId="22396CD3" w14:textId="77777777" w:rsidR="00F714BE" w:rsidRPr="00550D35" w:rsidRDefault="00F714BE" w:rsidP="00F714BE">
      <w:pPr>
        <w:shd w:val="clear" w:color="auto" w:fill="FFFFFF" w:themeFill="background1"/>
        <w:ind w:firstLine="426"/>
        <w:rPr>
          <w:lang w:val="lv-LV"/>
        </w:rPr>
      </w:pPr>
      <w:r w:rsidRPr="00550D35">
        <w:rPr>
          <w:lang w:val="lv-LV"/>
        </w:rPr>
        <w:t>Īstenojamā politika, pasākumi un darbības KPI “</w:t>
      </w:r>
      <w:proofErr w:type="spellStart"/>
      <w:r w:rsidRPr="00550D35">
        <w:rPr>
          <w:lang w:val="lv-LV"/>
        </w:rPr>
        <w:t>Kvantiska</w:t>
      </w:r>
      <w:proofErr w:type="spellEnd"/>
      <w:r w:rsidRPr="00550D35">
        <w:rPr>
          <w:lang w:val="lv-LV"/>
        </w:rPr>
        <w:t xml:space="preserve"> </w:t>
      </w:r>
      <w:proofErr w:type="spellStart"/>
      <w:r w:rsidRPr="00550D35">
        <w:rPr>
          <w:lang w:val="lv-LV"/>
        </w:rPr>
        <w:t>datošana</w:t>
      </w:r>
      <w:proofErr w:type="spellEnd"/>
      <w:r w:rsidRPr="00550D35">
        <w:rPr>
          <w:lang w:val="lv-LV"/>
        </w:rPr>
        <w:t>” jomā sniedz ieguldījumu ES līderības un suverenitātes veicināšanā.</w:t>
      </w:r>
    </w:p>
    <w:p w14:paraId="101095B3" w14:textId="77777777" w:rsidR="00F714BE" w:rsidRPr="00550D35" w:rsidRDefault="00F714BE" w:rsidP="00F714BE">
      <w:pPr>
        <w:rPr>
          <w:lang w:val="lv-LV"/>
        </w:rPr>
      </w:pPr>
      <w:r w:rsidRPr="00550D35">
        <w:rPr>
          <w:lang w:val="lv-LV"/>
        </w:rPr>
        <w:t>Kvantu skaitļošana Latvijā tiek attīstīta zinātnes, tehnoloģijas attīstības un inovāciju jomas politikas ietvarā, kura definēta ZTAIP</w:t>
      </w:r>
      <w:r w:rsidRPr="00550D35">
        <w:rPr>
          <w:rStyle w:val="FootnoteReference"/>
          <w:lang w:val="lv-LV"/>
        </w:rPr>
        <w:footnoteReference w:id="53"/>
      </w:r>
      <w:r w:rsidRPr="00550D35">
        <w:rPr>
          <w:lang w:val="lv-LV"/>
        </w:rPr>
        <w:t>, ar kuru nosaka stratēģiskos mērķus, kas Latvijā sasniedzami līdz 2027. gadam, iezīmē zinātnes un tehnoloģijas attīstības politikas rīcības virzienus un galvenās reformas, kā arī publisko investīciju virzienus ieguldījumiem P&amp;A sistēmas attīstībai.</w:t>
      </w:r>
    </w:p>
    <w:p w14:paraId="674BAC99" w14:textId="77777777" w:rsidR="00F714BE" w:rsidRPr="00550D35" w:rsidRDefault="00F714BE" w:rsidP="00F714BE">
      <w:pPr>
        <w:shd w:val="clear" w:color="auto" w:fill="FFFFFF" w:themeFill="background1"/>
        <w:ind w:firstLine="426"/>
        <w:rPr>
          <w:lang w:val="lv-LV"/>
        </w:rPr>
      </w:pPr>
      <w:r w:rsidRPr="00550D35">
        <w:rPr>
          <w:lang w:val="lv-LV"/>
        </w:rPr>
        <w:t>Inovatīvas uzņēmējdarbības un prioritāro investīciju atbalsta likumprojekta mērķis ir palielināt ilgtspējīgu un sociāli atbildīgu investīciju piesaisti un eksportspēju prioritārajās jomās, veicinot tautsaimniecības konkurētspēju. Likumprojekts paredz, ka tiesiskais regulējums attieksies uz prioritāro investīciju projektiem, kas veicina investīciju piesaisti, eksportspēju vai inovāciju attīstību jomās, kā arī ir attiecināms uz prioritāro investīciju ekosistēmu veidošanu un esošo ekosistēmu attīstību un paplašināšanu, tai skaitā – inovāciju zonām un regulatīvām smilškastēm.</w:t>
      </w:r>
    </w:p>
    <w:p w14:paraId="5D2948BD" w14:textId="77777777" w:rsidR="00F714BE" w:rsidRPr="00550D35" w:rsidRDefault="00F714BE" w:rsidP="00F714BE">
      <w:pPr>
        <w:rPr>
          <w:szCs w:val="24"/>
          <w:lang w:val="lv-LV"/>
        </w:rPr>
      </w:pPr>
      <w:r w:rsidRPr="00550D35">
        <w:rPr>
          <w:rFonts w:eastAsiaTheme="majorEastAsia" w:cstheme="majorBidi"/>
          <w:szCs w:val="24"/>
          <w:lang w:val="lv-LV"/>
        </w:rPr>
        <w:t>ANM plāna investīcija 2.3.1.1.i.</w:t>
      </w:r>
      <w:r>
        <w:rPr>
          <w:rFonts w:eastAsiaTheme="majorEastAsia" w:cstheme="majorBidi"/>
          <w:szCs w:val="24"/>
          <w:lang w:val="lv-LV"/>
        </w:rPr>
        <w:t>“</w:t>
      </w:r>
      <w:r w:rsidRPr="00550D35">
        <w:rPr>
          <w:rFonts w:eastAsiaTheme="majorEastAsia" w:cstheme="majorBidi"/>
          <w:szCs w:val="24"/>
          <w:lang w:val="lv-LV"/>
        </w:rPr>
        <w:t>Augsta līmeņa digitālo prasmju apguves nodrošināšana</w:t>
      </w:r>
      <w:r>
        <w:rPr>
          <w:rFonts w:eastAsiaTheme="majorEastAsia" w:cstheme="majorBidi"/>
          <w:szCs w:val="24"/>
          <w:lang w:val="lv-LV"/>
        </w:rPr>
        <w:t>”</w:t>
      </w:r>
      <w:r w:rsidRPr="00550D35">
        <w:rPr>
          <w:rFonts w:eastAsiaTheme="majorEastAsia" w:cstheme="majorBidi"/>
          <w:szCs w:val="24"/>
          <w:lang w:val="lv-LV"/>
        </w:rPr>
        <w:t xml:space="preserve"> paredz </w:t>
      </w:r>
      <w:r w:rsidRPr="00550D35">
        <w:rPr>
          <w:szCs w:val="24"/>
          <w:lang w:val="lv-LV"/>
        </w:rPr>
        <w:t>investīcijas ar mērķi turpmākajos sešos gados ievērojami palielināt speciālistu skaitu ar augsta līmeņa digitālajām prasmēm (DESI 3.-5.līmenis), kas spēj pielietot augstās tehnoloģijas zināšanu un tehnoloģiju ietilpīgu jaunu produktu un pakalpojumu attīstībai dažādās nozarēs. Minētās investīcijas ietvarā plānots izveidot arī integrētu mācību un pētniecības programmu, kas sniegtu būtisku ieguldījumu Kvantu IKT ekselences centra, HPC ekselences centra un Valodu tehnoloģiju ekselences centra izveidē.</w:t>
      </w:r>
    </w:p>
    <w:p w14:paraId="13D86EBA" w14:textId="77777777" w:rsidR="00F714BE" w:rsidRPr="00550D35" w:rsidRDefault="00F714BE" w:rsidP="00F714BE">
      <w:pPr>
        <w:shd w:val="clear" w:color="auto" w:fill="FFFFFF" w:themeFill="background1"/>
        <w:ind w:firstLine="426"/>
        <w:rPr>
          <w:lang w:val="lv-LV"/>
        </w:rPr>
      </w:pPr>
    </w:p>
    <w:p w14:paraId="711C96E8" w14:textId="77777777" w:rsidR="00F714BE" w:rsidRPr="00550D35" w:rsidRDefault="00F714BE" w:rsidP="00F714BE">
      <w:pPr>
        <w:pStyle w:val="Heading2"/>
        <w:rPr>
          <w:lang w:val="lv-LV"/>
        </w:rPr>
      </w:pPr>
      <w:r w:rsidRPr="00550D35">
        <w:rPr>
          <w:lang w:val="lv-LV"/>
        </w:rPr>
        <w:t>ES līmeņa sadarbība</w:t>
      </w:r>
    </w:p>
    <w:p w14:paraId="70D62B1A" w14:textId="77777777" w:rsidR="00F714BE" w:rsidRPr="00550D35" w:rsidRDefault="00F714BE" w:rsidP="00F714BE">
      <w:pPr>
        <w:pStyle w:val="Heading3"/>
        <w:rPr>
          <w:lang w:val="lv-LV"/>
        </w:rPr>
      </w:pPr>
      <w:r w:rsidRPr="00550D35">
        <w:rPr>
          <w:lang w:val="lv-LV"/>
        </w:rPr>
        <w:t>Daudzvalstu projekti</w:t>
      </w:r>
    </w:p>
    <w:p w14:paraId="63408924" w14:textId="77777777" w:rsidR="00F714BE" w:rsidRPr="00550D35" w:rsidRDefault="00F714BE" w:rsidP="00F714BE">
      <w:pPr>
        <w:rPr>
          <w:lang w:val="lv-LV"/>
        </w:rPr>
      </w:pPr>
      <w:r w:rsidRPr="00550D35">
        <w:rPr>
          <w:lang w:val="lv-LV"/>
        </w:rPr>
        <w:t xml:space="preserve">Ceļveža sagatavošanas laikā nav identificēti 1) </w:t>
      </w:r>
      <w:r w:rsidRPr="00550D35">
        <w:rPr>
          <w:noProof/>
          <w:lang w:val="lv-LV"/>
        </w:rPr>
        <w:t>daudzvalstu projekti, kas iekļauti pielikumā norādīto daudzvalstu projektu jomu sarakstā vai dalībvalsts apņemas vai plāno uzņemties nākotnē;</w:t>
      </w:r>
      <w:r w:rsidRPr="00550D35">
        <w:rPr>
          <w:lang w:val="lv-LV"/>
        </w:rPr>
        <w:t xml:space="preserve"> 2) iespējamie jaunie daudzvalstu projekti, kuri vēl nav iekļauti Dekādes programmas lēmuma pielikumā minēto darbības jomu sarakstā, bet kuras  dalībvalsts uzskata par nepieciešamām; 3) Kopīgas apņemšanās, kurās dalībvalsts piedalās vai plāno iesaistīties.</w:t>
      </w:r>
    </w:p>
    <w:p w14:paraId="3DDA1E4B" w14:textId="77777777" w:rsidR="00F714BE" w:rsidRPr="00550D35" w:rsidRDefault="00F714BE" w:rsidP="00F714BE">
      <w:pPr>
        <w:pStyle w:val="Text3"/>
        <w:rPr>
          <w:lang w:val="lv-LV"/>
        </w:rPr>
      </w:pPr>
    </w:p>
    <w:p w14:paraId="73C8F284" w14:textId="77777777" w:rsidR="00F714BE" w:rsidRPr="00550D35" w:rsidRDefault="00F714BE" w:rsidP="00F714BE">
      <w:pPr>
        <w:pStyle w:val="Heading3"/>
        <w:rPr>
          <w:lang w:val="lv-LV"/>
        </w:rPr>
      </w:pPr>
      <w:r w:rsidRPr="00550D35">
        <w:rPr>
          <w:lang w:val="lv-LV"/>
        </w:rPr>
        <w:t>Veicinošie faktori ES līmenī</w:t>
      </w:r>
    </w:p>
    <w:p w14:paraId="7F0CB8E5" w14:textId="77777777" w:rsidR="00F714BE" w:rsidRPr="00550D35" w:rsidRDefault="00F714BE" w:rsidP="00F714BE">
      <w:pPr>
        <w:rPr>
          <w:lang w:val="lv-LV"/>
        </w:rPr>
      </w:pPr>
      <w:r w:rsidRPr="00550D35">
        <w:rPr>
          <w:lang w:val="lv-LV"/>
        </w:rPr>
        <w:t>Jāuzsver ANM investīciju nozīmi Latvijas kvantu skaitļošanas  attīstības kontekstā, jo ANM plāna investīcijas ir paredzētas attīstības pasākumiem kvantu skaitļošanas jomā, kas sniegs nozīmīgu ieguldījumu kvantu tehnoloģiju pētniecībā un izglītībā Latvijā un veicinās nākotnes darba tirgum noderīgu augsta līmeņa digitālo prasmju apguvi.</w:t>
      </w:r>
    </w:p>
    <w:p w14:paraId="261E2EA4" w14:textId="77777777" w:rsidR="00F714BE" w:rsidRPr="00550D35" w:rsidRDefault="00F714BE" w:rsidP="00F714BE">
      <w:pPr>
        <w:rPr>
          <w:lang w:val="lv-LV"/>
        </w:rPr>
      </w:pPr>
      <w:r w:rsidRPr="00550D35">
        <w:rPr>
          <w:lang w:val="lv-LV"/>
        </w:rPr>
        <w:t xml:space="preserve">Būtisku ieguldījumu kvantu skaitļošanas KPI sniedz DEP, kurā specifiskā mērķa “Augstas veiktspējas </w:t>
      </w:r>
      <w:proofErr w:type="spellStart"/>
      <w:r w:rsidRPr="00550D35">
        <w:rPr>
          <w:lang w:val="lv-LV"/>
        </w:rPr>
        <w:t>datošana</w:t>
      </w:r>
      <w:proofErr w:type="spellEnd"/>
      <w:r w:rsidRPr="00550D35">
        <w:rPr>
          <w:lang w:val="lv-LV"/>
        </w:rPr>
        <w:t xml:space="preserve">” īstenošanai tiks  izvērsta un ekspluatēta </w:t>
      </w:r>
      <w:proofErr w:type="spellStart"/>
      <w:r w:rsidRPr="00550D35">
        <w:rPr>
          <w:lang w:val="lv-LV"/>
        </w:rPr>
        <w:t>pēceksalīmeņa</w:t>
      </w:r>
      <w:proofErr w:type="spellEnd"/>
      <w:r w:rsidRPr="00550D35">
        <w:rPr>
          <w:lang w:val="lv-LV"/>
        </w:rPr>
        <w:t xml:space="preserve"> infrastruktūra, tai skaitā integrēta kvantu </w:t>
      </w:r>
      <w:proofErr w:type="spellStart"/>
      <w:r w:rsidRPr="00550D35">
        <w:rPr>
          <w:lang w:val="lv-LV"/>
        </w:rPr>
        <w:t>datošanas</w:t>
      </w:r>
      <w:proofErr w:type="spellEnd"/>
      <w:r w:rsidRPr="00550D35">
        <w:rPr>
          <w:lang w:val="lv-LV"/>
        </w:rPr>
        <w:t xml:space="preserve"> tehnoloģijas un pētniecības infrastruktūras informātikas zinātnei, un sekmēta šādai izvēršanai nepieciešamās </w:t>
      </w:r>
      <w:r w:rsidRPr="00550D35">
        <w:rPr>
          <w:lang w:val="lv-LV"/>
        </w:rPr>
        <w:lastRenderedPageBreak/>
        <w:t>aparatūras un programmatūras izstrāde ES un turpmāk sniegs ES Drošas savienojamības iniciatīva</w:t>
      </w:r>
      <w:r w:rsidRPr="00550D35">
        <w:rPr>
          <w:rStyle w:val="FootnoteReference"/>
          <w:lang w:val="lv-LV"/>
        </w:rPr>
        <w:footnoteReference w:id="54"/>
      </w:r>
      <w:r w:rsidRPr="00550D35">
        <w:rPr>
          <w:lang w:val="lv-LV"/>
        </w:rPr>
        <w:t>.</w:t>
      </w:r>
    </w:p>
    <w:p w14:paraId="6EF01062" w14:textId="77777777" w:rsidR="00F714BE" w:rsidRPr="00550D35" w:rsidRDefault="00F714BE" w:rsidP="00F714BE">
      <w:pPr>
        <w:pStyle w:val="Heading2"/>
        <w:rPr>
          <w:lang w:val="lv-LV"/>
        </w:rPr>
      </w:pPr>
      <w:r w:rsidRPr="00550D35">
        <w:rPr>
          <w:lang w:val="lv-LV"/>
        </w:rPr>
        <w:t>Ieinteresēto personu atsauksmes</w:t>
      </w:r>
    </w:p>
    <w:p w14:paraId="0AB17265" w14:textId="77777777" w:rsidR="00F714BE" w:rsidRPr="00550D35" w:rsidRDefault="00F714BE" w:rsidP="00F714BE">
      <w:pPr>
        <w:rPr>
          <w:lang w:val="lv-LV"/>
        </w:rPr>
      </w:pPr>
      <w:r w:rsidRPr="00550D35">
        <w:rPr>
          <w:lang w:val="lv-LV"/>
        </w:rPr>
        <w:t>Ceļvedī Latvijai ir ņemta vērā Latvijas Informācijas un komunikāciju tehnoloģijas asociācijas biedres SIA “</w:t>
      </w:r>
      <w:proofErr w:type="spellStart"/>
      <w:r w:rsidRPr="00550D35">
        <w:rPr>
          <w:lang w:val="lv-LV"/>
        </w:rPr>
        <w:t>Tet</w:t>
      </w:r>
      <w:proofErr w:type="spellEnd"/>
      <w:r w:rsidRPr="00550D35">
        <w:rPr>
          <w:lang w:val="lv-LV"/>
        </w:rPr>
        <w:t>” sniegtā atsauksme par KPI “</w:t>
      </w:r>
      <w:proofErr w:type="spellStart"/>
      <w:r w:rsidRPr="00550D35">
        <w:rPr>
          <w:lang w:val="lv-LV"/>
        </w:rPr>
        <w:t>kvantiskā</w:t>
      </w:r>
      <w:proofErr w:type="spellEnd"/>
      <w:r w:rsidRPr="00550D35">
        <w:rPr>
          <w:lang w:val="lv-LV"/>
        </w:rPr>
        <w:t xml:space="preserve"> </w:t>
      </w:r>
      <w:proofErr w:type="spellStart"/>
      <w:r w:rsidRPr="00550D35">
        <w:rPr>
          <w:lang w:val="lv-LV"/>
        </w:rPr>
        <w:t>datošana</w:t>
      </w:r>
      <w:proofErr w:type="spellEnd"/>
      <w:r w:rsidRPr="00550D35">
        <w:rPr>
          <w:lang w:val="lv-LV"/>
        </w:rPr>
        <w:t>”, ar kuru tā ir aicinājusi papildināt 8.sadaļu “Kvanti” precizēt aktivitātes kvantu komunikācijas tīkla izveidei: 1) Kvantu tehnoloģiju izglītības programmas Latvijas augstskolās (gan kvantu tehnoloģijas, gan kvantu datoru programmēšana) un 2) Atbalsts kvantu datoru izstrādē un ieviešanā.</w:t>
      </w:r>
    </w:p>
    <w:p w14:paraId="547E4AA8" w14:textId="77777777" w:rsidR="00F714BE" w:rsidRPr="00550D35" w:rsidRDefault="00F714BE" w:rsidP="00F714BE">
      <w:pPr>
        <w:pStyle w:val="Heading2"/>
        <w:rPr>
          <w:lang w:val="lv-LV"/>
        </w:rPr>
      </w:pPr>
      <w:r w:rsidRPr="00550D35">
        <w:rPr>
          <w:lang w:val="lv-LV"/>
        </w:rPr>
        <w:t>Vispārējā ietekme un secinājumi</w:t>
      </w:r>
    </w:p>
    <w:p w14:paraId="0C02F131" w14:textId="77777777" w:rsidR="00F714BE" w:rsidRPr="00550D35" w:rsidRDefault="00F714BE" w:rsidP="00F714BE">
      <w:pPr>
        <w:rPr>
          <w:lang w:val="lv-LV"/>
        </w:rPr>
      </w:pPr>
      <w:r w:rsidRPr="00550D35">
        <w:rPr>
          <w:lang w:val="lv-LV"/>
        </w:rPr>
        <w:t>KPI “</w:t>
      </w:r>
      <w:proofErr w:type="spellStart"/>
      <w:r w:rsidRPr="00550D35">
        <w:rPr>
          <w:lang w:val="lv-LV"/>
        </w:rPr>
        <w:t>kvantiska</w:t>
      </w:r>
      <w:proofErr w:type="spellEnd"/>
      <w:r w:rsidRPr="00550D35">
        <w:rPr>
          <w:lang w:val="lv-LV"/>
        </w:rPr>
        <w:t xml:space="preserve"> </w:t>
      </w:r>
      <w:proofErr w:type="spellStart"/>
      <w:r w:rsidRPr="00550D35">
        <w:rPr>
          <w:lang w:val="lv-LV"/>
        </w:rPr>
        <w:t>datošana</w:t>
      </w:r>
      <w:proofErr w:type="spellEnd"/>
      <w:r w:rsidRPr="00550D35">
        <w:rPr>
          <w:lang w:val="lv-LV"/>
        </w:rPr>
        <w:t xml:space="preserve">” iekļaušana Dekādes programmas </w:t>
      </w:r>
      <w:proofErr w:type="spellStart"/>
      <w:r w:rsidRPr="00550D35">
        <w:rPr>
          <w:lang w:val="lv-LV"/>
        </w:rPr>
        <w:t>mērķrādītājos</w:t>
      </w:r>
      <w:proofErr w:type="spellEnd"/>
      <w:r w:rsidRPr="00550D35">
        <w:rPr>
          <w:lang w:val="lv-LV"/>
        </w:rPr>
        <w:t xml:space="preserve"> veicinās kvantu skaitļošanas jomas pasākumu attīstīšanu, stiprinot Latvijas konkurētspēju kvantu tehnoloģiju jomā, piesaistot un sagatavojot augsta līmeņa speciālistus un attīstot zināšanu bāzi un prasmes augsto tehnoloģiju jomā, lai sekmīgāk iesaistītos Eiropas un starptautiskajā pētniecības telpā, īstenotu augsta līmeņa pētniecību un veicinātu augstākās izglītības, zinātnes un industrijas sinerģiju inovāciju virzienā, kā arī sniegs ieguldījumu 2030.gadam izvirzītā mērķa sasniegšanu KPI “</w:t>
      </w:r>
      <w:proofErr w:type="spellStart"/>
      <w:r w:rsidRPr="00550D35">
        <w:rPr>
          <w:lang w:val="lv-LV"/>
        </w:rPr>
        <w:t>kvantiska</w:t>
      </w:r>
      <w:proofErr w:type="spellEnd"/>
      <w:r w:rsidRPr="00550D35">
        <w:rPr>
          <w:lang w:val="lv-LV"/>
        </w:rPr>
        <w:t xml:space="preserve"> </w:t>
      </w:r>
      <w:proofErr w:type="spellStart"/>
      <w:r w:rsidRPr="00550D35">
        <w:rPr>
          <w:lang w:val="lv-LV"/>
        </w:rPr>
        <w:t>datošana</w:t>
      </w:r>
      <w:proofErr w:type="spellEnd"/>
      <w:r w:rsidRPr="00550D35">
        <w:rPr>
          <w:lang w:val="lv-LV"/>
        </w:rPr>
        <w:t>” jomā.</w:t>
      </w:r>
    </w:p>
    <w:p w14:paraId="0C263877" w14:textId="4044F550" w:rsidR="005B1F1F" w:rsidRPr="00550D35" w:rsidRDefault="00F714BE" w:rsidP="00E3564C">
      <w:pPr>
        <w:rPr>
          <w:lang w:val="lv-LV"/>
        </w:rPr>
      </w:pPr>
      <w:r w:rsidRPr="00550D35">
        <w:rPr>
          <w:lang w:val="lv-LV"/>
        </w:rPr>
        <w:t>Nodaļā KPI “</w:t>
      </w:r>
      <w:proofErr w:type="spellStart"/>
      <w:r w:rsidRPr="00550D35">
        <w:rPr>
          <w:lang w:val="lv-LV"/>
        </w:rPr>
        <w:t>Kvantiska</w:t>
      </w:r>
      <w:proofErr w:type="spellEnd"/>
      <w:r w:rsidRPr="00550D35">
        <w:rPr>
          <w:lang w:val="lv-LV"/>
        </w:rPr>
        <w:t xml:space="preserve"> </w:t>
      </w:r>
      <w:proofErr w:type="spellStart"/>
      <w:r w:rsidRPr="00550D35">
        <w:rPr>
          <w:lang w:val="lv-LV"/>
        </w:rPr>
        <w:t>datošana</w:t>
      </w:r>
      <w:proofErr w:type="spellEnd"/>
      <w:r w:rsidRPr="00550D35">
        <w:rPr>
          <w:lang w:val="lv-LV"/>
        </w:rPr>
        <w:t xml:space="preserve">” minētā politika un pasākumi sniegs ieguldījumu paātrinot centienus savienojamības infrastruktūras attīstīšanā, t.sk., sniegs ieguldījumu, lai palīdzētu ES kļūt par spēcīgu tirgus dalībnieku kvantu </w:t>
      </w:r>
      <w:proofErr w:type="spellStart"/>
      <w:r w:rsidRPr="00550D35">
        <w:rPr>
          <w:lang w:val="lv-LV"/>
        </w:rPr>
        <w:t>datošanas</w:t>
      </w:r>
      <w:proofErr w:type="spellEnd"/>
      <w:r w:rsidRPr="00550D35">
        <w:rPr>
          <w:lang w:val="lv-LV"/>
        </w:rPr>
        <w:t xml:space="preserve"> jomā, kā tas norādīts EK ieteikumā Digitālās dekādes 2023.gada ziņojumā par Latviju.</w:t>
      </w:r>
      <w:bookmarkEnd w:id="23"/>
    </w:p>
    <w:p w14:paraId="04322A59" w14:textId="20C3029C" w:rsidR="002D569D" w:rsidRPr="00550D35" w:rsidRDefault="002D569D" w:rsidP="00B52E9B">
      <w:pPr>
        <w:pStyle w:val="Heading1"/>
      </w:pPr>
      <w:bookmarkStart w:id="24" w:name="_Toc135226600"/>
      <w:bookmarkStart w:id="25" w:name="_Toc155952340"/>
      <w:r w:rsidRPr="00550D35">
        <w:t>Mākoņ</w:t>
      </w:r>
      <w:r w:rsidR="00EE619C" w:rsidRPr="00550D35">
        <w:t>dat</w:t>
      </w:r>
      <w:r w:rsidRPr="00550D35">
        <w:t>ošana</w:t>
      </w:r>
      <w:bookmarkEnd w:id="24"/>
      <w:bookmarkEnd w:id="25"/>
    </w:p>
    <w:p w14:paraId="30DB4A24" w14:textId="7447E513" w:rsidR="006E3C4D" w:rsidRPr="00550D35" w:rsidRDefault="00F169AE" w:rsidP="00CE18D6">
      <w:pPr>
        <w:pStyle w:val="mt-translation"/>
        <w:jc w:val="both"/>
        <w:rPr>
          <w:b/>
          <w:bCs/>
          <w:i/>
          <w:iCs/>
        </w:rPr>
      </w:pPr>
      <w:proofErr w:type="spellStart"/>
      <w:r w:rsidRPr="00550D35">
        <w:rPr>
          <w:b/>
          <w:bCs/>
          <w:i/>
          <w:iCs/>
        </w:rPr>
        <w:t>Mākoņ</w:t>
      </w:r>
      <w:r w:rsidR="008572BA" w:rsidRPr="00550D35">
        <w:rPr>
          <w:b/>
          <w:bCs/>
          <w:i/>
          <w:iCs/>
        </w:rPr>
        <w:t>dat</w:t>
      </w:r>
      <w:r w:rsidRPr="00550D35">
        <w:rPr>
          <w:b/>
          <w:bCs/>
          <w:i/>
          <w:iCs/>
        </w:rPr>
        <w:t>ošana</w:t>
      </w:r>
      <w:proofErr w:type="spellEnd"/>
      <w:r w:rsidRPr="00550D35">
        <w:rPr>
          <w:b/>
          <w:bCs/>
          <w:i/>
          <w:iCs/>
        </w:rPr>
        <w:t xml:space="preserve">, </w:t>
      </w:r>
      <w:r w:rsidRPr="00550D35">
        <w:rPr>
          <w:i/>
          <w:iCs/>
        </w:rPr>
        <w:t>ko</w:t>
      </w:r>
      <w:r w:rsidR="00CE18D6" w:rsidRPr="00550D35">
        <w:rPr>
          <w:i/>
          <w:iCs/>
        </w:rPr>
        <w:t xml:space="preserve"> </w:t>
      </w:r>
      <w:r w:rsidR="008572BA" w:rsidRPr="00550D35">
        <w:rPr>
          <w:i/>
          <w:iCs/>
        </w:rPr>
        <w:t xml:space="preserve">mēra kā to uzņēmumu procentu, kuri izmanto vismaz vienu no šādiem </w:t>
      </w:r>
      <w:proofErr w:type="spellStart"/>
      <w:r w:rsidR="008572BA" w:rsidRPr="00550D35">
        <w:rPr>
          <w:i/>
          <w:iCs/>
        </w:rPr>
        <w:t>mākoņdatošanas</w:t>
      </w:r>
      <w:proofErr w:type="spellEnd"/>
      <w:r w:rsidR="008572BA" w:rsidRPr="00550D35">
        <w:rPr>
          <w:i/>
          <w:iCs/>
        </w:rPr>
        <w:t xml:space="preserve"> pakalpojumiem: finanšu vai grāmatvedības programmatūra, uzņēmuma resursu plānošanas (ERP jeb Enterprise </w:t>
      </w:r>
      <w:proofErr w:type="spellStart"/>
      <w:r w:rsidR="008572BA" w:rsidRPr="00550D35">
        <w:rPr>
          <w:i/>
          <w:iCs/>
        </w:rPr>
        <w:t>Resource</w:t>
      </w:r>
      <w:proofErr w:type="spellEnd"/>
      <w:r w:rsidR="008572BA" w:rsidRPr="00550D35">
        <w:rPr>
          <w:i/>
          <w:iCs/>
        </w:rPr>
        <w:t xml:space="preserve"> </w:t>
      </w:r>
      <w:proofErr w:type="spellStart"/>
      <w:r w:rsidR="008572BA" w:rsidRPr="00550D35">
        <w:rPr>
          <w:i/>
          <w:iCs/>
        </w:rPr>
        <w:t>Planning</w:t>
      </w:r>
      <w:proofErr w:type="spellEnd"/>
      <w:r w:rsidR="008572BA" w:rsidRPr="00550D35">
        <w:rPr>
          <w:i/>
          <w:iCs/>
        </w:rPr>
        <w:t xml:space="preserve">) programmatūra, klientu attiecību pārvaldības (CRM jeb </w:t>
      </w:r>
      <w:proofErr w:type="spellStart"/>
      <w:r w:rsidR="008572BA" w:rsidRPr="00550D35">
        <w:rPr>
          <w:i/>
          <w:iCs/>
        </w:rPr>
        <w:t>customer</w:t>
      </w:r>
      <w:proofErr w:type="spellEnd"/>
      <w:r w:rsidR="008572BA" w:rsidRPr="00550D35">
        <w:rPr>
          <w:i/>
          <w:iCs/>
        </w:rPr>
        <w:t xml:space="preserve"> </w:t>
      </w:r>
      <w:proofErr w:type="spellStart"/>
      <w:r w:rsidR="008572BA" w:rsidRPr="00550D35">
        <w:rPr>
          <w:i/>
          <w:iCs/>
        </w:rPr>
        <w:t>relationship</w:t>
      </w:r>
      <w:proofErr w:type="spellEnd"/>
      <w:r w:rsidR="008572BA" w:rsidRPr="00550D35">
        <w:rPr>
          <w:i/>
          <w:iCs/>
        </w:rPr>
        <w:t xml:space="preserve"> </w:t>
      </w:r>
      <w:proofErr w:type="spellStart"/>
      <w:r w:rsidR="008572BA" w:rsidRPr="00550D35">
        <w:rPr>
          <w:i/>
          <w:iCs/>
        </w:rPr>
        <w:t>management</w:t>
      </w:r>
      <w:proofErr w:type="spellEnd"/>
      <w:r w:rsidR="008572BA" w:rsidRPr="00550D35">
        <w:rPr>
          <w:i/>
          <w:iCs/>
        </w:rPr>
        <w:t xml:space="preserve">) programmatūra, drošības programmatūra, uzņēmuma datubāzes(-u) mitināšana un </w:t>
      </w:r>
      <w:proofErr w:type="spellStart"/>
      <w:r w:rsidR="008572BA" w:rsidRPr="00550D35">
        <w:rPr>
          <w:i/>
          <w:iCs/>
        </w:rPr>
        <w:t>datošanas</w:t>
      </w:r>
      <w:proofErr w:type="spellEnd"/>
      <w:r w:rsidR="008572BA" w:rsidRPr="00550D35">
        <w:rPr>
          <w:i/>
          <w:iCs/>
        </w:rPr>
        <w:t xml:space="preserve"> platforma, kas nodrošina mitinātu vidi lietojumprogrammu izstrādei, testēšanai vai izvēršanai</w:t>
      </w:r>
      <w:r w:rsidR="00150293" w:rsidRPr="00550D35">
        <w:rPr>
          <w:i/>
          <w:iCs/>
        </w:rPr>
        <w:t>.</w:t>
      </w:r>
      <w:r w:rsidR="00A06C54" w:rsidRPr="00550D35">
        <w:rPr>
          <w:rStyle w:val="FootnoteReference"/>
          <w:i/>
          <w:iCs/>
        </w:rPr>
        <w:footnoteReference w:id="55"/>
      </w:r>
    </w:p>
    <w:p w14:paraId="52888481" w14:textId="44054E68" w:rsidR="00B7387C" w:rsidRPr="00550D35" w:rsidRDefault="00451149" w:rsidP="00143878">
      <w:pPr>
        <w:pStyle w:val="Heading2"/>
        <w:rPr>
          <w:lang w:val="lv-LV"/>
        </w:rPr>
      </w:pPr>
      <w:r w:rsidRPr="00550D35">
        <w:rPr>
          <w:lang w:val="lv-LV"/>
        </w:rPr>
        <w:t>Analīze par pašreizējo stāvokli digitālās pārveides jomā dalībvalsts kontekstā</w:t>
      </w:r>
    </w:p>
    <w:p w14:paraId="1B85B791" w14:textId="50E9C4AE" w:rsidR="00B7387C" w:rsidRPr="00550D35" w:rsidRDefault="00B7387C" w:rsidP="00C64361">
      <w:pPr>
        <w:rPr>
          <w:lang w:val="lv-LV"/>
        </w:rPr>
      </w:pPr>
      <w:r w:rsidRPr="00550D35">
        <w:rPr>
          <w:lang w:val="lv-LV"/>
        </w:rPr>
        <w:t xml:space="preserve">Attiecībā uz digitālo tehnoloģiju integrāciju uzņēmumos </w:t>
      </w:r>
      <w:r w:rsidR="00AF3947" w:rsidRPr="00550D35">
        <w:rPr>
          <w:lang w:val="lv-LV"/>
        </w:rPr>
        <w:t>s</w:t>
      </w:r>
      <w:r w:rsidR="002B52A4" w:rsidRPr="00550D35">
        <w:rPr>
          <w:lang w:val="lv-LV"/>
        </w:rPr>
        <w:t xml:space="preserve">askaņā ar Digitālās dekādes 2023.gada ziņojumu par </w:t>
      </w:r>
      <w:r w:rsidR="0033416F" w:rsidRPr="00550D35">
        <w:rPr>
          <w:lang w:val="lv-LV"/>
        </w:rPr>
        <w:t xml:space="preserve">Latvijas veikums uzņēmumu </w:t>
      </w:r>
      <w:proofErr w:type="spellStart"/>
      <w:r w:rsidR="0033416F" w:rsidRPr="00550D35">
        <w:rPr>
          <w:lang w:val="lv-LV"/>
        </w:rPr>
        <w:t>digitalizācijas</w:t>
      </w:r>
      <w:proofErr w:type="spellEnd"/>
      <w:r w:rsidR="0033416F" w:rsidRPr="00550D35">
        <w:rPr>
          <w:lang w:val="lv-LV"/>
        </w:rPr>
        <w:t xml:space="preserve"> jomā joprojām </w:t>
      </w:r>
      <w:r w:rsidR="00F409A5" w:rsidRPr="00550D35">
        <w:rPr>
          <w:lang w:val="lv-LV"/>
        </w:rPr>
        <w:t>nav pietiekams, lai sasniegtu</w:t>
      </w:r>
      <w:r w:rsidR="0033416F" w:rsidRPr="00550D35">
        <w:rPr>
          <w:lang w:val="lv-LV"/>
        </w:rPr>
        <w:t xml:space="preserve"> Digitālās desmitgades mērķus un parāda ievērojamu uzlabojumu iespēju. </w:t>
      </w:r>
      <w:r w:rsidR="00C64361" w:rsidRPr="00C64361">
        <w:rPr>
          <w:lang w:val="lv-LV"/>
        </w:rPr>
        <w:t xml:space="preserve">Latvijas uzņēmumu īpatsvars, kas 2021. gadā izmantoja </w:t>
      </w:r>
      <w:proofErr w:type="spellStart"/>
      <w:r w:rsidR="00C64361" w:rsidRPr="00C64361">
        <w:rPr>
          <w:lang w:val="lv-LV"/>
        </w:rPr>
        <w:t>mākoņpakalpojumus</w:t>
      </w:r>
      <w:proofErr w:type="spellEnd"/>
      <w:r w:rsidR="00C64361" w:rsidRPr="00C64361">
        <w:rPr>
          <w:lang w:val="lv-LV"/>
        </w:rPr>
        <w:t xml:space="preserve"> (22%), </w:t>
      </w:r>
      <w:r w:rsidR="00C64361">
        <w:rPr>
          <w:lang w:val="lv-LV"/>
        </w:rPr>
        <w:t>atpaliek no</w:t>
      </w:r>
      <w:r w:rsidR="00C64361" w:rsidRPr="00C64361">
        <w:rPr>
          <w:lang w:val="lv-LV"/>
        </w:rPr>
        <w:t xml:space="preserve"> ES vidēj</w:t>
      </w:r>
      <w:r w:rsidR="00C64361">
        <w:rPr>
          <w:lang w:val="lv-LV"/>
        </w:rPr>
        <w:t>ā</w:t>
      </w:r>
      <w:r w:rsidR="00C64361" w:rsidRPr="00C64361">
        <w:rPr>
          <w:lang w:val="lv-LV"/>
        </w:rPr>
        <w:t xml:space="preserve"> rādītāj</w:t>
      </w:r>
      <w:r w:rsidR="00C64361">
        <w:rPr>
          <w:lang w:val="lv-LV"/>
        </w:rPr>
        <w:t>a</w:t>
      </w:r>
      <w:r w:rsidR="00C64361" w:rsidRPr="00C64361">
        <w:rPr>
          <w:lang w:val="lv-LV"/>
        </w:rPr>
        <w:t xml:space="preserve"> (34%)</w:t>
      </w:r>
      <w:r w:rsidR="00C64361">
        <w:rPr>
          <w:lang w:val="lv-LV"/>
        </w:rPr>
        <w:t xml:space="preserve">. </w:t>
      </w:r>
      <w:r w:rsidR="0033416F" w:rsidRPr="00550D35">
        <w:rPr>
          <w:lang w:val="lv-LV"/>
        </w:rPr>
        <w:t xml:space="preserve">Turpmākajos gados būs </w:t>
      </w:r>
      <w:r w:rsidR="0033416F" w:rsidRPr="00550D35">
        <w:rPr>
          <w:lang w:val="lv-LV"/>
        </w:rPr>
        <w:lastRenderedPageBreak/>
        <w:t>jāpieliek ievērojamas pūles, lai sasniegtu ES mērķ</w:t>
      </w:r>
      <w:r w:rsidR="0014589B" w:rsidRPr="00550D35">
        <w:rPr>
          <w:lang w:val="lv-LV"/>
        </w:rPr>
        <w:t>i</w:t>
      </w:r>
      <w:r w:rsidR="00702ED0" w:rsidRPr="00550D35">
        <w:rPr>
          <w:lang w:val="lv-LV"/>
        </w:rPr>
        <w:t xml:space="preserve"> 2030.gadam</w:t>
      </w:r>
      <w:r w:rsidR="0014589B" w:rsidRPr="00550D35">
        <w:rPr>
          <w:lang w:val="lv-LV"/>
        </w:rPr>
        <w:t>, kas paredz, ka</w:t>
      </w:r>
      <w:r w:rsidR="0033416F" w:rsidRPr="00550D35">
        <w:rPr>
          <w:lang w:val="lv-LV"/>
        </w:rPr>
        <w:t xml:space="preserve"> </w:t>
      </w:r>
      <w:r w:rsidR="0014589B" w:rsidRPr="00550D35">
        <w:rPr>
          <w:lang w:val="lv-LV"/>
        </w:rPr>
        <w:t>7</w:t>
      </w:r>
      <w:r w:rsidR="0033416F" w:rsidRPr="00550D35">
        <w:rPr>
          <w:lang w:val="lv-LV"/>
        </w:rPr>
        <w:t xml:space="preserve">5% </w:t>
      </w:r>
      <w:r w:rsidR="0014589B" w:rsidRPr="00550D35">
        <w:rPr>
          <w:lang w:val="lv-LV"/>
        </w:rPr>
        <w:t>MVU</w:t>
      </w:r>
      <w:r w:rsidR="0033416F" w:rsidRPr="00550D35">
        <w:rPr>
          <w:lang w:val="lv-LV"/>
        </w:rPr>
        <w:t xml:space="preserve"> izmanto </w:t>
      </w:r>
      <w:proofErr w:type="spellStart"/>
      <w:r w:rsidR="0033416F" w:rsidRPr="00550D35">
        <w:rPr>
          <w:lang w:val="lv-LV"/>
        </w:rPr>
        <w:t>māko</w:t>
      </w:r>
      <w:r w:rsidR="00A34A75" w:rsidRPr="00550D35">
        <w:rPr>
          <w:lang w:val="lv-LV"/>
        </w:rPr>
        <w:t>ņdatošanu</w:t>
      </w:r>
      <w:proofErr w:type="spellEnd"/>
      <w:r w:rsidR="0033416F" w:rsidRPr="00550D35">
        <w:rPr>
          <w:lang w:val="lv-LV"/>
        </w:rPr>
        <w:t>.</w:t>
      </w:r>
    </w:p>
    <w:p w14:paraId="54A7B953" w14:textId="0C15D62C" w:rsidR="00945EBD" w:rsidRPr="00550D35" w:rsidRDefault="00945EBD" w:rsidP="00945EBD">
      <w:pPr>
        <w:rPr>
          <w:lang w:val="lv-LV" w:eastAsia="lv-LV"/>
        </w:rPr>
      </w:pPr>
      <w:r w:rsidRPr="00550D35">
        <w:rPr>
          <w:lang w:val="lv-LV"/>
        </w:rPr>
        <w:t xml:space="preserve">Digitālās dekādes 2023.gada ziņojumu par Latviju EK iesaka Latvijai ievērojami pastiprināt centienus uzņēmumu </w:t>
      </w:r>
      <w:proofErr w:type="spellStart"/>
      <w:r w:rsidRPr="00550D35">
        <w:rPr>
          <w:lang w:val="lv-LV"/>
        </w:rPr>
        <w:t>digitalizācijas</w:t>
      </w:r>
      <w:proofErr w:type="spellEnd"/>
      <w:r w:rsidRPr="00550D35">
        <w:rPr>
          <w:lang w:val="lv-LV"/>
        </w:rPr>
        <w:t xml:space="preserve"> jomā. Proti, Latvijai būtu jāstiprina digitālo tehnoloģiju izplatīšanas un izmantošanas centieni un gan valsts, gan privāto dalībnieku kopīgi izstrādāto stratēģiju īstenošana, lai būtiski veicinātu jaunu progresīvu </w:t>
      </w:r>
      <w:proofErr w:type="spellStart"/>
      <w:r w:rsidR="007C7AB1">
        <w:rPr>
          <w:lang w:val="lv-LV"/>
        </w:rPr>
        <w:t>mākoņdatošanas</w:t>
      </w:r>
      <w:proofErr w:type="spellEnd"/>
      <w:r w:rsidR="007C7AB1">
        <w:rPr>
          <w:lang w:val="lv-LV"/>
        </w:rPr>
        <w:t xml:space="preserve"> </w:t>
      </w:r>
      <w:r w:rsidRPr="00550D35">
        <w:rPr>
          <w:lang w:val="lv-LV"/>
        </w:rPr>
        <w:t xml:space="preserve">risinājumu izmantošanu MVU ekosistēmās. </w:t>
      </w:r>
    </w:p>
    <w:p w14:paraId="73DFE853" w14:textId="556881F9" w:rsidR="00B7387C" w:rsidRPr="00550D35" w:rsidRDefault="47EE9C6B" w:rsidP="00642BD3">
      <w:pPr>
        <w:rPr>
          <w:lang w:val="lv-LV"/>
        </w:rPr>
      </w:pPr>
      <w:r w:rsidRPr="00550D35">
        <w:rPr>
          <w:lang w:val="lv-LV"/>
        </w:rPr>
        <w:t xml:space="preserve">Latvijas ekonomikas transformācija galvenokārt saistīta ar nozaru spēju uzņemties tehnoloģisko modernizāciju un inovācijas, </w:t>
      </w:r>
      <w:proofErr w:type="spellStart"/>
      <w:r w:rsidRPr="00550D35">
        <w:rPr>
          <w:lang w:val="lv-LV"/>
        </w:rPr>
        <w:t>cilvēkkapitāla</w:t>
      </w:r>
      <w:proofErr w:type="spellEnd"/>
      <w:r w:rsidRPr="00550D35">
        <w:rPr>
          <w:lang w:val="lv-LV"/>
        </w:rPr>
        <w:t xml:space="preserve"> attīstību un vispārējās produktivitātes sekmēšanu. Lai veicinātu ekonomikas transformāciju, </w:t>
      </w:r>
      <w:r w:rsidR="3946223E" w:rsidRPr="00550D35">
        <w:rPr>
          <w:lang w:val="lv-LV"/>
        </w:rPr>
        <w:t xml:space="preserve">Latvija </w:t>
      </w:r>
      <w:r w:rsidRPr="00550D35">
        <w:rPr>
          <w:lang w:val="lv-LV"/>
        </w:rPr>
        <w:t xml:space="preserve">strādā pie pasākumiem, kas vērsti uz finanšu pieejamību, investīciju nodrošināšanu, uzņēmumu iespēju paplašināšanu ieguldījumiem pētniecībā, attīstībā un inovācijās, kā arī atbalstiem uzņēmumu </w:t>
      </w:r>
      <w:proofErr w:type="spellStart"/>
      <w:r w:rsidRPr="00550D35">
        <w:rPr>
          <w:lang w:val="lv-LV"/>
        </w:rPr>
        <w:t>digitalizācijai</w:t>
      </w:r>
      <w:proofErr w:type="spellEnd"/>
      <w:r w:rsidRPr="00550D35">
        <w:rPr>
          <w:lang w:val="lv-LV"/>
        </w:rPr>
        <w:t>.</w:t>
      </w:r>
      <w:r w:rsidR="19DD7A5B" w:rsidRPr="00550D35">
        <w:rPr>
          <w:lang w:val="lv-LV"/>
        </w:rPr>
        <w:t xml:space="preserve"> </w:t>
      </w:r>
      <w:r w:rsidRPr="00550D35">
        <w:rPr>
          <w:lang w:val="lv-LV"/>
        </w:rPr>
        <w:t>Jaunu, inovatīvu produktu, pakalpojumu un tehnoloģiju izstrādei, pētniecības aktivitātēm, kā arī dzīvotspējīgu projektu īstenošanai un apgrozāmajiem līdzekļiem ar mērķi veicināt šo uzņēmumu tehnoloģiskās kapacitātes pilnveidošanu attīstību un produktivitāti, atbalsta programmu īstenošanai ir paredzēti vairāk kā 400</w:t>
      </w:r>
      <w:r w:rsidR="7BFF4BE1" w:rsidRPr="00550D35">
        <w:rPr>
          <w:lang w:val="lv-LV"/>
        </w:rPr>
        <w:t>,0</w:t>
      </w:r>
      <w:r w:rsidR="5325FCC6" w:rsidRPr="00550D35">
        <w:rPr>
          <w:lang w:val="lv-LV"/>
        </w:rPr>
        <w:t> </w:t>
      </w:r>
      <w:r w:rsidRPr="00550D35">
        <w:rPr>
          <w:lang w:val="lv-LV"/>
        </w:rPr>
        <w:t xml:space="preserve">milj. </w:t>
      </w:r>
      <w:r w:rsidR="42C2430E" w:rsidRPr="00550D35">
        <w:rPr>
          <w:lang w:val="lv-LV"/>
        </w:rPr>
        <w:t> </w:t>
      </w:r>
      <w:proofErr w:type="spellStart"/>
      <w:r w:rsidR="00221010" w:rsidRPr="00550D35">
        <w:rPr>
          <w:i/>
          <w:lang w:val="lv-LV"/>
        </w:rPr>
        <w:t>euro</w:t>
      </w:r>
      <w:proofErr w:type="spellEnd"/>
      <w:r w:rsidRPr="00550D35">
        <w:rPr>
          <w:lang w:val="lv-LV"/>
        </w:rPr>
        <w:t xml:space="preserve">, kur atbalstu paredz sniegt </w:t>
      </w:r>
      <w:proofErr w:type="spellStart"/>
      <w:r w:rsidRPr="00550D35">
        <w:rPr>
          <w:lang w:val="lv-LV"/>
        </w:rPr>
        <w:t>grantu</w:t>
      </w:r>
      <w:proofErr w:type="spellEnd"/>
      <w:r w:rsidRPr="00550D35">
        <w:rPr>
          <w:lang w:val="lv-LV"/>
        </w:rPr>
        <w:t xml:space="preserve"> un finanšu instrumentu veidā. </w:t>
      </w:r>
    </w:p>
    <w:p w14:paraId="6FE0B043" w14:textId="2BDB7252" w:rsidR="00B7387C" w:rsidRPr="00550D35" w:rsidRDefault="00B7387C" w:rsidP="00642BD3">
      <w:pPr>
        <w:rPr>
          <w:lang w:val="lv-LV"/>
        </w:rPr>
      </w:pPr>
      <w:r w:rsidRPr="00E11991">
        <w:rPr>
          <w:lang w:val="lv-LV"/>
        </w:rPr>
        <w:t xml:space="preserve">Atbalsta instrumenti būs pieejami pārsvarā visa veida uzņēmumiem visā Latvijā. Tos piedāvās reģionālajos kontaktpunktos, ko izveidojuši EDIC. EDIC nodrošinās arī </w:t>
      </w:r>
      <w:proofErr w:type="spellStart"/>
      <w:r w:rsidRPr="00E11991">
        <w:rPr>
          <w:lang w:val="lv-LV"/>
        </w:rPr>
        <w:t>mentoringa</w:t>
      </w:r>
      <w:proofErr w:type="spellEnd"/>
      <w:r w:rsidRPr="00E11991">
        <w:rPr>
          <w:lang w:val="lv-LV"/>
        </w:rPr>
        <w:t xml:space="preserve"> pakalpojumus inovatīvu risinājumu testēšanai. Tie būs saistīti ar </w:t>
      </w:r>
      <w:proofErr w:type="spellStart"/>
      <w:r w:rsidRPr="00E11991">
        <w:rPr>
          <w:lang w:val="lv-LV"/>
        </w:rPr>
        <w:t>blokķēdi</w:t>
      </w:r>
      <w:proofErr w:type="spellEnd"/>
      <w:r w:rsidRPr="00E11991">
        <w:rPr>
          <w:lang w:val="lv-LV"/>
        </w:rPr>
        <w:t xml:space="preserve">, mākslīgo intelektu, lietu internetu un citiem populārākajiem </w:t>
      </w:r>
      <w:proofErr w:type="spellStart"/>
      <w:r w:rsidRPr="00E11991">
        <w:rPr>
          <w:lang w:val="lv-LV"/>
        </w:rPr>
        <w:t>digitalizācijas</w:t>
      </w:r>
      <w:proofErr w:type="spellEnd"/>
      <w:r w:rsidRPr="00E11991">
        <w:rPr>
          <w:lang w:val="lv-LV"/>
        </w:rPr>
        <w:t xml:space="preserve"> rīkiem.</w:t>
      </w:r>
    </w:p>
    <w:p w14:paraId="19D6DAC6" w14:textId="315A8FC8" w:rsidR="00B7387C" w:rsidRPr="00550D35" w:rsidRDefault="00B7387C" w:rsidP="00A43125">
      <w:pPr>
        <w:rPr>
          <w:lang w:val="lv-LV"/>
        </w:rPr>
      </w:pPr>
      <w:r w:rsidRPr="00550D35">
        <w:rPr>
          <w:lang w:val="lv-LV"/>
        </w:rPr>
        <w:t>Lai uzņēmums noskaidrotu sav</w:t>
      </w:r>
      <w:r w:rsidR="00DF2A07">
        <w:rPr>
          <w:lang w:val="lv-LV"/>
        </w:rPr>
        <w:t>a</w:t>
      </w:r>
      <w:r w:rsidRPr="00550D35">
        <w:rPr>
          <w:lang w:val="lv-LV"/>
        </w:rPr>
        <w:t xml:space="preserve"> </w:t>
      </w:r>
      <w:r w:rsidR="00DF2A07">
        <w:rPr>
          <w:lang w:val="lv-LV"/>
        </w:rPr>
        <w:t>uzņēmuma</w:t>
      </w:r>
      <w:r w:rsidRPr="00550D35">
        <w:rPr>
          <w:lang w:val="lv-LV"/>
        </w:rPr>
        <w:t xml:space="preserve"> esošo digitālo briedumu, tam jāvēršas EDIC, lai veiktu digitālā brieduma testu pēc</w:t>
      </w:r>
      <w:r w:rsidR="006E5BEC">
        <w:rPr>
          <w:lang w:val="lv-LV"/>
        </w:rPr>
        <w:t>,</w:t>
      </w:r>
      <w:r w:rsidRPr="00550D35">
        <w:rPr>
          <w:lang w:val="lv-LV"/>
        </w:rPr>
        <w:t xml:space="preserve"> tam EDIC izstrādā digitālās attīstības ceļa karti</w:t>
      </w:r>
      <w:r w:rsidR="006E5BEC">
        <w:rPr>
          <w:lang w:val="lv-LV"/>
        </w:rPr>
        <w:t>, kurā</w:t>
      </w:r>
      <w:r w:rsidRPr="00550D35">
        <w:rPr>
          <w:lang w:val="lv-LV"/>
        </w:rPr>
        <w:t xml:space="preserve"> kā iespējam</w:t>
      </w:r>
      <w:r w:rsidR="00DF2A07">
        <w:rPr>
          <w:lang w:val="lv-LV"/>
        </w:rPr>
        <w:t>ie</w:t>
      </w:r>
      <w:r w:rsidRPr="00550D35">
        <w:rPr>
          <w:lang w:val="lv-LV"/>
        </w:rPr>
        <w:t xml:space="preserve"> galven</w:t>
      </w:r>
      <w:r w:rsidR="00DF2A07">
        <w:rPr>
          <w:lang w:val="lv-LV"/>
        </w:rPr>
        <w:t>ie</w:t>
      </w:r>
      <w:r w:rsidRPr="00550D35">
        <w:rPr>
          <w:lang w:val="lv-LV"/>
        </w:rPr>
        <w:t xml:space="preserve"> darbības rādītāji, atkarībā uzņēmuma plānotajiem digitālās transformācijas uzlabojumiem, iespējami </w:t>
      </w:r>
      <w:r w:rsidR="006E5BEC">
        <w:rPr>
          <w:lang w:val="lv-LV"/>
        </w:rPr>
        <w:t xml:space="preserve">gan </w:t>
      </w:r>
      <w:r w:rsidRPr="00550D35">
        <w:rPr>
          <w:lang w:val="lv-LV"/>
        </w:rPr>
        <w:t>industrijas 4.0 risinājumu (automatizētas iekārtas, robotu risinājumi, sensoru tīkli un sakaru tehnoloģijas, MI risinājumu tehnoloģijas un citi investīcijas mērķim atbilstoši risinājumi, izmantojot IKT) iegād</w:t>
      </w:r>
      <w:r w:rsidR="00222A97">
        <w:rPr>
          <w:lang w:val="lv-LV"/>
        </w:rPr>
        <w:t>e</w:t>
      </w:r>
      <w:r w:rsidRPr="00550D35">
        <w:rPr>
          <w:lang w:val="lv-LV"/>
        </w:rPr>
        <w:t xml:space="preserve"> un ieviešan</w:t>
      </w:r>
      <w:r w:rsidR="00222A97">
        <w:rPr>
          <w:lang w:val="lv-LV"/>
        </w:rPr>
        <w:t>a</w:t>
      </w:r>
      <w:r w:rsidRPr="00550D35">
        <w:rPr>
          <w:lang w:val="lv-LV"/>
        </w:rPr>
        <w:t xml:space="preserve">, </w:t>
      </w:r>
      <w:r w:rsidR="00222A97">
        <w:rPr>
          <w:lang w:val="lv-LV"/>
        </w:rPr>
        <w:t>kas ietver</w:t>
      </w:r>
      <w:r w:rsidRPr="00550D35">
        <w:rPr>
          <w:lang w:val="lv-LV"/>
        </w:rPr>
        <w:t xml:space="preserve"> gan nepieciešamās iekārtas, gan programmatūras komponent</w:t>
      </w:r>
      <w:r w:rsidR="00DF2A07">
        <w:rPr>
          <w:lang w:val="lv-LV"/>
        </w:rPr>
        <w:t>es</w:t>
      </w:r>
      <w:r w:rsidRPr="00550D35">
        <w:rPr>
          <w:lang w:val="lv-LV"/>
        </w:rPr>
        <w:t xml:space="preserve"> atbilstoši komersanta pamatdarbības specifikai.</w:t>
      </w:r>
    </w:p>
    <w:p w14:paraId="1ABB6770" w14:textId="65F427F7" w:rsidR="006C0089" w:rsidRPr="00550D35" w:rsidRDefault="00B7387C" w:rsidP="00B5429C">
      <w:pPr>
        <w:rPr>
          <w:rFonts w:eastAsiaTheme="minorEastAsia"/>
          <w:lang w:val="lv-LV"/>
        </w:rPr>
      </w:pPr>
      <w:r w:rsidRPr="00862F9E">
        <w:rPr>
          <w:rFonts w:eastAsiaTheme="minorEastAsia"/>
          <w:lang w:val="lv-LV"/>
        </w:rPr>
        <w:t xml:space="preserve">ANM ietvaros </w:t>
      </w:r>
      <w:r w:rsidR="00290379" w:rsidRPr="00862F9E">
        <w:rPr>
          <w:rFonts w:eastAsiaTheme="minorEastAsia"/>
          <w:lang w:val="lv-LV"/>
        </w:rPr>
        <w:t xml:space="preserve">Latvija </w:t>
      </w:r>
      <w:r w:rsidRPr="00862F9E">
        <w:rPr>
          <w:rFonts w:eastAsiaTheme="minorEastAsia"/>
          <w:lang w:val="lv-LV"/>
        </w:rPr>
        <w:t xml:space="preserve">iesaistās Eiropai svarīgo kopīgo interešu projektu (IPCEI) darba grupās </w:t>
      </w:r>
      <w:proofErr w:type="spellStart"/>
      <w:r w:rsidRPr="00862F9E">
        <w:rPr>
          <w:rFonts w:eastAsiaTheme="minorEastAsia"/>
          <w:lang w:val="lv-LV"/>
        </w:rPr>
        <w:t>Mākoņdatu</w:t>
      </w:r>
      <w:proofErr w:type="spellEnd"/>
      <w:r w:rsidRPr="00862F9E">
        <w:rPr>
          <w:rFonts w:eastAsiaTheme="minorEastAsia"/>
          <w:lang w:val="lv-LV"/>
        </w:rPr>
        <w:t xml:space="preserve"> IPCEI, Mikroelektronikas IPCEI un Veselības IPCEI, kas ir vērsti uz inovatīvām nākotnes galvenajām tehnoloģijām un sniedz nozīmīgu ieguldījumu digitālo un zaļo mērķu sasniegšanā. </w:t>
      </w:r>
      <w:r w:rsidR="005944AD" w:rsidRPr="00862F9E">
        <w:rPr>
          <w:rFonts w:eastAsiaTheme="minorEastAsia"/>
          <w:lang w:val="lv-LV"/>
        </w:rPr>
        <w:t>EM</w:t>
      </w:r>
      <w:r w:rsidRPr="00862F9E">
        <w:rPr>
          <w:rFonts w:eastAsiaTheme="minorEastAsia"/>
          <w:lang w:val="lv-LV"/>
        </w:rPr>
        <w:t xml:space="preserve"> IPCEI iniciatīvām no </w:t>
      </w:r>
      <w:r w:rsidR="00BF3980" w:rsidRPr="00862F9E">
        <w:rPr>
          <w:rFonts w:eastAsiaTheme="minorEastAsia"/>
          <w:lang w:val="lv-LV"/>
        </w:rPr>
        <w:t>ANM</w:t>
      </w:r>
      <w:r w:rsidRPr="00862F9E">
        <w:rPr>
          <w:rFonts w:eastAsiaTheme="minorEastAsia"/>
          <w:lang w:val="lv-LV"/>
        </w:rPr>
        <w:t xml:space="preserve"> finansējuma atvēlēs 31</w:t>
      </w:r>
      <w:r w:rsidR="00D96E85" w:rsidRPr="00862F9E">
        <w:rPr>
          <w:rFonts w:eastAsiaTheme="minorEastAsia"/>
          <w:lang w:val="lv-LV"/>
        </w:rPr>
        <w:t>,0</w:t>
      </w:r>
      <w:r w:rsidR="00BF3980" w:rsidRPr="00862F9E">
        <w:rPr>
          <w:rFonts w:eastAsiaTheme="minorEastAsia"/>
          <w:lang w:val="lv-LV"/>
        </w:rPr>
        <w:t> </w:t>
      </w:r>
      <w:r w:rsidRPr="00862F9E">
        <w:rPr>
          <w:rFonts w:eastAsiaTheme="minorEastAsia"/>
          <w:lang w:val="lv-LV"/>
        </w:rPr>
        <w:t>milj.</w:t>
      </w:r>
      <w:r w:rsidR="00163019" w:rsidRPr="00862F9E">
        <w:rPr>
          <w:rFonts w:eastAsiaTheme="minorEastAsia"/>
          <w:lang w:val="lv-LV"/>
        </w:rPr>
        <w:t> </w:t>
      </w:r>
      <w:proofErr w:type="spellStart"/>
      <w:r w:rsidR="00221010" w:rsidRPr="00862F9E">
        <w:rPr>
          <w:rFonts w:eastAsiaTheme="minorEastAsia"/>
          <w:i/>
          <w:lang w:val="lv-LV"/>
        </w:rPr>
        <w:t>euro</w:t>
      </w:r>
      <w:proofErr w:type="spellEnd"/>
      <w:r w:rsidRPr="00862F9E">
        <w:rPr>
          <w:rFonts w:eastAsiaTheme="minorEastAsia"/>
          <w:lang w:val="lv-LV"/>
        </w:rPr>
        <w:t xml:space="preserve"> un plānots, ka atbalsts būs pieejams no 2024.gada.</w:t>
      </w:r>
    </w:p>
    <w:p w14:paraId="6293AF13" w14:textId="01A012D2" w:rsidR="00B7387C" w:rsidRPr="00550D35" w:rsidRDefault="009203FE" w:rsidP="00B5429C">
      <w:pPr>
        <w:rPr>
          <w:szCs w:val="24"/>
          <w:lang w:val="lv-LV"/>
        </w:rPr>
      </w:pPr>
      <w:r w:rsidRPr="00550D35">
        <w:rPr>
          <w:szCs w:val="24"/>
          <w:lang w:val="lv-LV"/>
        </w:rPr>
        <w:t xml:space="preserve">Latvija 2016.gadā ir pievienojusies </w:t>
      </w:r>
      <w:r w:rsidR="002A5AD9" w:rsidRPr="00550D35">
        <w:rPr>
          <w:szCs w:val="24"/>
          <w:lang w:val="lv-LV"/>
        </w:rPr>
        <w:t xml:space="preserve">ES dalībvalstu kopīgajai deklarācijai “Nākamās paaudzes </w:t>
      </w:r>
      <w:proofErr w:type="spellStart"/>
      <w:r w:rsidR="002A5AD9" w:rsidRPr="00550D35">
        <w:rPr>
          <w:szCs w:val="24"/>
          <w:lang w:val="lv-LV"/>
        </w:rPr>
        <w:t>mākoņdatošanas</w:t>
      </w:r>
      <w:proofErr w:type="spellEnd"/>
      <w:r w:rsidR="002A5AD9" w:rsidRPr="00550D35">
        <w:rPr>
          <w:szCs w:val="24"/>
          <w:lang w:val="lv-LV"/>
        </w:rPr>
        <w:t xml:space="preserve"> izveide </w:t>
      </w:r>
      <w:r w:rsidR="00030812" w:rsidRPr="00550D35">
        <w:rPr>
          <w:szCs w:val="24"/>
          <w:lang w:val="lv-LV"/>
        </w:rPr>
        <w:t>komercdarbīb</w:t>
      </w:r>
      <w:r w:rsidR="002A5AD9" w:rsidRPr="00550D35">
        <w:rPr>
          <w:szCs w:val="24"/>
          <w:lang w:val="lv-LV"/>
        </w:rPr>
        <w:t>ai un publiskajam sektoram ES” (</w:t>
      </w:r>
      <w:r w:rsidR="002A5AD9" w:rsidRPr="00AB5F4B">
        <w:rPr>
          <w:i/>
          <w:szCs w:val="24"/>
          <w:lang w:val="lv-LV"/>
        </w:rPr>
        <w:t xml:space="preserve">Building </w:t>
      </w:r>
      <w:proofErr w:type="spellStart"/>
      <w:r w:rsidR="002A5AD9" w:rsidRPr="00AB5F4B">
        <w:rPr>
          <w:i/>
          <w:szCs w:val="24"/>
          <w:lang w:val="lv-LV"/>
        </w:rPr>
        <w:t>the</w:t>
      </w:r>
      <w:proofErr w:type="spellEnd"/>
      <w:r w:rsidR="002A5AD9" w:rsidRPr="00AB5F4B">
        <w:rPr>
          <w:i/>
          <w:szCs w:val="24"/>
          <w:lang w:val="lv-LV"/>
        </w:rPr>
        <w:t xml:space="preserve"> </w:t>
      </w:r>
      <w:proofErr w:type="spellStart"/>
      <w:r w:rsidR="002A5AD9" w:rsidRPr="00AB5F4B">
        <w:rPr>
          <w:i/>
          <w:szCs w:val="24"/>
          <w:lang w:val="lv-LV"/>
        </w:rPr>
        <w:t>next</w:t>
      </w:r>
      <w:proofErr w:type="spellEnd"/>
      <w:r w:rsidR="002A5AD9" w:rsidRPr="00AB5F4B">
        <w:rPr>
          <w:i/>
          <w:szCs w:val="24"/>
          <w:lang w:val="lv-LV"/>
        </w:rPr>
        <w:t xml:space="preserve"> </w:t>
      </w:r>
      <w:proofErr w:type="spellStart"/>
      <w:r w:rsidR="002A5AD9" w:rsidRPr="00AB5F4B">
        <w:rPr>
          <w:i/>
          <w:szCs w:val="24"/>
          <w:lang w:val="lv-LV"/>
        </w:rPr>
        <w:t>generation</w:t>
      </w:r>
      <w:proofErr w:type="spellEnd"/>
      <w:r w:rsidR="002A5AD9" w:rsidRPr="00AB5F4B">
        <w:rPr>
          <w:i/>
          <w:szCs w:val="24"/>
          <w:lang w:val="lv-LV"/>
        </w:rPr>
        <w:t xml:space="preserve"> </w:t>
      </w:r>
      <w:proofErr w:type="spellStart"/>
      <w:r w:rsidR="002A5AD9" w:rsidRPr="00AB5F4B">
        <w:rPr>
          <w:i/>
          <w:szCs w:val="24"/>
          <w:lang w:val="lv-LV"/>
        </w:rPr>
        <w:t>cloud</w:t>
      </w:r>
      <w:proofErr w:type="spellEnd"/>
      <w:r w:rsidR="002A5AD9" w:rsidRPr="00AB5F4B">
        <w:rPr>
          <w:i/>
          <w:szCs w:val="24"/>
          <w:lang w:val="lv-LV"/>
        </w:rPr>
        <w:t xml:space="preserve"> </w:t>
      </w:r>
      <w:proofErr w:type="spellStart"/>
      <w:r w:rsidR="002A5AD9" w:rsidRPr="00AB5F4B">
        <w:rPr>
          <w:i/>
          <w:szCs w:val="24"/>
          <w:lang w:val="lv-LV"/>
        </w:rPr>
        <w:t>for</w:t>
      </w:r>
      <w:proofErr w:type="spellEnd"/>
      <w:r w:rsidR="002A5AD9" w:rsidRPr="00AB5F4B">
        <w:rPr>
          <w:i/>
          <w:szCs w:val="24"/>
          <w:lang w:val="lv-LV"/>
        </w:rPr>
        <w:t xml:space="preserve"> </w:t>
      </w:r>
      <w:proofErr w:type="spellStart"/>
      <w:r w:rsidR="002A5AD9" w:rsidRPr="00AB5F4B">
        <w:rPr>
          <w:i/>
          <w:szCs w:val="24"/>
          <w:lang w:val="lv-LV"/>
        </w:rPr>
        <w:t>businesses</w:t>
      </w:r>
      <w:proofErr w:type="spellEnd"/>
      <w:r w:rsidR="002A5AD9" w:rsidRPr="00AB5F4B">
        <w:rPr>
          <w:i/>
          <w:szCs w:val="24"/>
          <w:lang w:val="lv-LV"/>
        </w:rPr>
        <w:t xml:space="preserve"> </w:t>
      </w:r>
      <w:proofErr w:type="spellStart"/>
      <w:r w:rsidR="002A5AD9" w:rsidRPr="00AB5F4B">
        <w:rPr>
          <w:i/>
          <w:szCs w:val="24"/>
          <w:lang w:val="lv-LV"/>
        </w:rPr>
        <w:t>and</w:t>
      </w:r>
      <w:proofErr w:type="spellEnd"/>
      <w:r w:rsidR="002A5AD9" w:rsidRPr="00AB5F4B">
        <w:rPr>
          <w:i/>
          <w:szCs w:val="24"/>
          <w:lang w:val="lv-LV"/>
        </w:rPr>
        <w:t xml:space="preserve"> </w:t>
      </w:r>
      <w:proofErr w:type="spellStart"/>
      <w:r w:rsidR="002A5AD9" w:rsidRPr="00AB5F4B">
        <w:rPr>
          <w:i/>
          <w:szCs w:val="24"/>
          <w:lang w:val="lv-LV"/>
        </w:rPr>
        <w:t>the</w:t>
      </w:r>
      <w:proofErr w:type="spellEnd"/>
      <w:r w:rsidR="002A5AD9" w:rsidRPr="00AB5F4B">
        <w:rPr>
          <w:i/>
          <w:szCs w:val="24"/>
          <w:lang w:val="lv-LV"/>
        </w:rPr>
        <w:t xml:space="preserve"> </w:t>
      </w:r>
      <w:proofErr w:type="spellStart"/>
      <w:r w:rsidR="002A5AD9" w:rsidRPr="00AB5F4B">
        <w:rPr>
          <w:i/>
          <w:szCs w:val="24"/>
          <w:lang w:val="lv-LV"/>
        </w:rPr>
        <w:t>public</w:t>
      </w:r>
      <w:proofErr w:type="spellEnd"/>
      <w:r w:rsidR="002A5AD9" w:rsidRPr="00AB5F4B">
        <w:rPr>
          <w:i/>
          <w:szCs w:val="24"/>
          <w:lang w:val="lv-LV"/>
        </w:rPr>
        <w:t xml:space="preserve"> </w:t>
      </w:r>
      <w:proofErr w:type="spellStart"/>
      <w:r w:rsidR="002A5AD9" w:rsidRPr="00AB5F4B">
        <w:rPr>
          <w:i/>
          <w:szCs w:val="24"/>
          <w:lang w:val="lv-LV"/>
        </w:rPr>
        <w:t>sector</w:t>
      </w:r>
      <w:proofErr w:type="spellEnd"/>
      <w:r w:rsidR="002A5AD9" w:rsidRPr="00AB5F4B">
        <w:rPr>
          <w:i/>
          <w:szCs w:val="24"/>
          <w:lang w:val="lv-LV"/>
        </w:rPr>
        <w:t xml:space="preserve"> </w:t>
      </w:r>
      <w:proofErr w:type="spellStart"/>
      <w:r w:rsidR="002A5AD9" w:rsidRPr="00AB5F4B">
        <w:rPr>
          <w:i/>
          <w:szCs w:val="24"/>
          <w:lang w:val="lv-LV"/>
        </w:rPr>
        <w:t>in</w:t>
      </w:r>
      <w:proofErr w:type="spellEnd"/>
      <w:r w:rsidR="002A5AD9" w:rsidRPr="00AB5F4B">
        <w:rPr>
          <w:i/>
          <w:szCs w:val="24"/>
          <w:lang w:val="lv-LV"/>
        </w:rPr>
        <w:t xml:space="preserve"> </w:t>
      </w:r>
      <w:proofErr w:type="spellStart"/>
      <w:r w:rsidR="002A5AD9" w:rsidRPr="00AB5F4B">
        <w:rPr>
          <w:i/>
          <w:szCs w:val="24"/>
          <w:lang w:val="lv-LV"/>
        </w:rPr>
        <w:t>the</w:t>
      </w:r>
      <w:proofErr w:type="spellEnd"/>
      <w:r w:rsidR="002A5AD9" w:rsidRPr="00AB5F4B">
        <w:rPr>
          <w:i/>
          <w:szCs w:val="24"/>
          <w:lang w:val="lv-LV"/>
        </w:rPr>
        <w:t xml:space="preserve"> EU</w:t>
      </w:r>
      <w:r w:rsidR="002A5AD9" w:rsidRPr="00550D35">
        <w:rPr>
          <w:szCs w:val="24"/>
          <w:lang w:val="lv-LV"/>
        </w:rPr>
        <w:t>)</w:t>
      </w:r>
      <w:r w:rsidR="005F5B0B" w:rsidRPr="00550D35">
        <w:rPr>
          <w:rStyle w:val="FootnoteReference"/>
          <w:szCs w:val="24"/>
          <w:lang w:val="lv-LV"/>
        </w:rPr>
        <w:footnoteReference w:id="56"/>
      </w:r>
      <w:r w:rsidRPr="00550D35">
        <w:rPr>
          <w:szCs w:val="24"/>
          <w:lang w:val="lv-LV"/>
        </w:rPr>
        <w:t>,</w:t>
      </w:r>
      <w:r w:rsidR="002A5AD9" w:rsidRPr="00550D35">
        <w:rPr>
          <w:szCs w:val="24"/>
          <w:lang w:val="lv-LV"/>
        </w:rPr>
        <w:t xml:space="preserve"> </w:t>
      </w:r>
      <w:r w:rsidRPr="00550D35">
        <w:rPr>
          <w:szCs w:val="24"/>
          <w:lang w:val="lv-LV"/>
        </w:rPr>
        <w:t>apņemoties</w:t>
      </w:r>
      <w:r w:rsidR="002A5AD9" w:rsidRPr="00550D35">
        <w:rPr>
          <w:szCs w:val="24"/>
          <w:lang w:val="lv-LV"/>
        </w:rPr>
        <w:t xml:space="preserve"> ciešā sadarbībā ar </w:t>
      </w:r>
      <w:r w:rsidR="006438C4" w:rsidRPr="00550D35">
        <w:rPr>
          <w:szCs w:val="24"/>
          <w:lang w:val="lv-LV"/>
        </w:rPr>
        <w:t>EK</w:t>
      </w:r>
      <w:r w:rsidRPr="00550D35">
        <w:rPr>
          <w:szCs w:val="24"/>
          <w:lang w:val="lv-LV"/>
        </w:rPr>
        <w:t>,</w:t>
      </w:r>
      <w:r w:rsidR="002A5AD9" w:rsidRPr="00550D35">
        <w:rPr>
          <w:szCs w:val="24"/>
          <w:lang w:val="lv-LV"/>
        </w:rPr>
        <w:t xml:space="preserve"> uzņēmumiem un publisk</w:t>
      </w:r>
      <w:r w:rsidRPr="00550D35">
        <w:rPr>
          <w:szCs w:val="24"/>
          <w:lang w:val="lv-LV"/>
        </w:rPr>
        <w:t>o</w:t>
      </w:r>
      <w:r w:rsidR="002A5AD9" w:rsidRPr="00550D35">
        <w:rPr>
          <w:szCs w:val="24"/>
          <w:lang w:val="lv-LV"/>
        </w:rPr>
        <w:t xml:space="preserve"> sektor</w:t>
      </w:r>
      <w:r w:rsidRPr="00550D35">
        <w:rPr>
          <w:szCs w:val="24"/>
          <w:lang w:val="lv-LV"/>
        </w:rPr>
        <w:t>u</w:t>
      </w:r>
      <w:r w:rsidR="002A5AD9" w:rsidRPr="00550D35">
        <w:rPr>
          <w:szCs w:val="24"/>
          <w:lang w:val="lv-LV"/>
        </w:rPr>
        <w:t xml:space="preserve"> nodrošinā</w:t>
      </w:r>
      <w:r w:rsidRPr="00550D35">
        <w:rPr>
          <w:szCs w:val="24"/>
          <w:lang w:val="lv-LV"/>
        </w:rPr>
        <w:t>t</w:t>
      </w:r>
      <w:r w:rsidR="002A5AD9" w:rsidRPr="00550D35">
        <w:rPr>
          <w:szCs w:val="24"/>
          <w:lang w:val="lv-LV"/>
        </w:rPr>
        <w:t xml:space="preserve"> nākamās paaudzes </w:t>
      </w:r>
      <w:proofErr w:type="spellStart"/>
      <w:r w:rsidR="002A5AD9" w:rsidRPr="00550D35">
        <w:rPr>
          <w:szCs w:val="24"/>
          <w:lang w:val="lv-LV"/>
        </w:rPr>
        <w:t>mākoņdatošanas</w:t>
      </w:r>
      <w:proofErr w:type="spellEnd"/>
      <w:r w:rsidR="002A5AD9" w:rsidRPr="00550D35">
        <w:rPr>
          <w:szCs w:val="24"/>
          <w:lang w:val="lv-LV"/>
        </w:rPr>
        <w:t xml:space="preserve"> piedāvājumu</w:t>
      </w:r>
      <w:r w:rsidR="00733002" w:rsidRPr="00550D35">
        <w:rPr>
          <w:szCs w:val="24"/>
          <w:lang w:val="lv-LV"/>
        </w:rPr>
        <w:t xml:space="preserve"> ar</w:t>
      </w:r>
      <w:r w:rsidR="002A5AD9" w:rsidRPr="00550D35">
        <w:rPr>
          <w:szCs w:val="24"/>
          <w:lang w:val="lv-LV"/>
        </w:rPr>
        <w:t xml:space="preserve"> augstu ES digitālās un datu suverenitātes līmeni,</w:t>
      </w:r>
      <w:r w:rsidR="00733002" w:rsidRPr="00550D35">
        <w:rPr>
          <w:szCs w:val="24"/>
          <w:lang w:val="lv-LV"/>
        </w:rPr>
        <w:t xml:space="preserve"> un</w:t>
      </w:r>
      <w:r w:rsidR="002A5AD9" w:rsidRPr="00550D35">
        <w:rPr>
          <w:szCs w:val="24"/>
          <w:lang w:val="lv-LV"/>
        </w:rPr>
        <w:t xml:space="preserve"> izveidojot Eiropas </w:t>
      </w:r>
      <w:proofErr w:type="spellStart"/>
      <w:r w:rsidR="002A5AD9" w:rsidRPr="00550D35">
        <w:rPr>
          <w:szCs w:val="24"/>
          <w:lang w:val="lv-LV"/>
        </w:rPr>
        <w:t>mākoņdatošanas</w:t>
      </w:r>
      <w:proofErr w:type="spellEnd"/>
      <w:r w:rsidR="002A5AD9" w:rsidRPr="00550D35">
        <w:rPr>
          <w:szCs w:val="24"/>
          <w:lang w:val="lv-LV"/>
        </w:rPr>
        <w:t xml:space="preserve"> federāciju.</w:t>
      </w:r>
      <w:r w:rsidR="00733002" w:rsidRPr="00550D35">
        <w:rPr>
          <w:szCs w:val="24"/>
          <w:lang w:val="lv-LV"/>
        </w:rPr>
        <w:t xml:space="preserve"> </w:t>
      </w:r>
      <w:r w:rsidR="002A5AD9" w:rsidRPr="00550D35">
        <w:rPr>
          <w:szCs w:val="24"/>
          <w:lang w:val="lv-LV"/>
        </w:rPr>
        <w:t xml:space="preserve">Ņemot vērā jau esošo Latvijas virzību uz </w:t>
      </w:r>
      <w:proofErr w:type="spellStart"/>
      <w:r w:rsidR="002A5AD9" w:rsidRPr="00550D35">
        <w:rPr>
          <w:szCs w:val="24"/>
          <w:lang w:val="lv-LV"/>
        </w:rPr>
        <w:t>mākoņdatošanas</w:t>
      </w:r>
      <w:proofErr w:type="spellEnd"/>
      <w:r w:rsidR="002A5AD9" w:rsidRPr="00550D35">
        <w:rPr>
          <w:szCs w:val="24"/>
          <w:lang w:val="lv-LV"/>
        </w:rPr>
        <w:t xml:space="preserve"> pakalpojumu attīstību un to integrēšanu valsts pārvaldē, kā arī plānotajiem pasākumiem vienotas pārvaldības standartu izstrādē, pievienošanās Eiropas iniciatīvai par </w:t>
      </w:r>
      <w:proofErr w:type="spellStart"/>
      <w:r w:rsidR="002A5AD9" w:rsidRPr="00550D35">
        <w:rPr>
          <w:szCs w:val="24"/>
          <w:lang w:val="lv-LV"/>
        </w:rPr>
        <w:t>mākoņdatošanas</w:t>
      </w:r>
      <w:proofErr w:type="spellEnd"/>
      <w:r w:rsidR="002A5AD9" w:rsidRPr="00550D35">
        <w:rPr>
          <w:szCs w:val="24"/>
          <w:lang w:val="lv-LV"/>
        </w:rPr>
        <w:t xml:space="preserve"> federāciju ir uzskatāma par vienu no Latvijas digitālās transformācijas būtiskām sastāvdaļām.</w:t>
      </w:r>
    </w:p>
    <w:p w14:paraId="3460EEC9" w14:textId="231F648F" w:rsidR="00733002" w:rsidRDefault="00414E96" w:rsidP="00B5429C">
      <w:pPr>
        <w:rPr>
          <w:rStyle w:val="normaltextrun"/>
          <w:lang w:val="lv-LV"/>
        </w:rPr>
      </w:pPr>
      <w:r w:rsidRPr="00550D35">
        <w:rPr>
          <w:lang w:val="lv-LV"/>
        </w:rPr>
        <w:t xml:space="preserve">DTP2027 </w:t>
      </w:r>
      <w:r w:rsidR="00ED12B0" w:rsidRPr="00550D35">
        <w:rPr>
          <w:lang w:val="lv-LV"/>
        </w:rPr>
        <w:t>r</w:t>
      </w:r>
      <w:r w:rsidRPr="00550D35">
        <w:rPr>
          <w:lang w:val="lv-LV"/>
        </w:rPr>
        <w:t xml:space="preserve">īcības virziens 4.1.3. “Pakalpojumu un sistēmu veidošana, pakalpojumu sniegšana” </w:t>
      </w:r>
      <w:r w:rsidR="005D638D" w:rsidRPr="00550D35">
        <w:rPr>
          <w:lang w:val="lv-LV"/>
        </w:rPr>
        <w:t xml:space="preserve">paredz </w:t>
      </w:r>
      <w:r w:rsidR="00152F48" w:rsidRPr="00550D35">
        <w:rPr>
          <w:lang w:val="lv-LV"/>
        </w:rPr>
        <w:t xml:space="preserve">veicināt komersantu vadības prasmes, kas nepieciešamas darbam digitālās transformācijas apstākļos, t.sk., ikdienas darba procesu pārveidi, atbilstoši </w:t>
      </w:r>
      <w:r w:rsidR="00152F48" w:rsidRPr="00550D35">
        <w:rPr>
          <w:lang w:val="lv-LV"/>
        </w:rPr>
        <w:lastRenderedPageBreak/>
        <w:t xml:space="preserve">digitālas ekonomikas iespējām, mudinot </w:t>
      </w:r>
      <w:r w:rsidR="00030812" w:rsidRPr="00550D35">
        <w:rPr>
          <w:lang w:val="lv-LV"/>
        </w:rPr>
        <w:t>komercdarbīb</w:t>
      </w:r>
      <w:r w:rsidR="00152F48" w:rsidRPr="00550D35">
        <w:rPr>
          <w:lang w:val="lv-LV"/>
        </w:rPr>
        <w:t xml:space="preserve">ā izmantot mākslīgā intelekta, lielo datu un </w:t>
      </w:r>
      <w:proofErr w:type="spellStart"/>
      <w:r w:rsidR="00152F48" w:rsidRPr="00550D35">
        <w:rPr>
          <w:lang w:val="lv-LV"/>
        </w:rPr>
        <w:t>mākoņdatošanas</w:t>
      </w:r>
      <w:proofErr w:type="spellEnd"/>
      <w:r w:rsidR="00152F48" w:rsidRPr="00550D35">
        <w:rPr>
          <w:lang w:val="lv-LV"/>
        </w:rPr>
        <w:t xml:space="preserve"> risinājumus, digitālo mārketingu un sociālos medijus, izmantojot iespējas organizēt darbu attālināti.</w:t>
      </w:r>
      <w:r w:rsidR="001F7B12" w:rsidRPr="00550D35">
        <w:rPr>
          <w:lang w:val="lv-LV"/>
        </w:rPr>
        <w:t xml:space="preserve"> </w:t>
      </w:r>
      <w:r w:rsidR="00ED12B0" w:rsidRPr="00550D35">
        <w:rPr>
          <w:lang w:val="lv-LV"/>
        </w:rPr>
        <w:t>DTP2027 r</w:t>
      </w:r>
      <w:r w:rsidR="001F7B12" w:rsidRPr="00550D35">
        <w:rPr>
          <w:lang w:val="lv-LV"/>
        </w:rPr>
        <w:t xml:space="preserve">īcības </w:t>
      </w:r>
      <w:proofErr w:type="spellStart"/>
      <w:r w:rsidR="001F7B12" w:rsidRPr="00550D35">
        <w:rPr>
          <w:lang w:val="lv-LV"/>
        </w:rPr>
        <w:t>apakšvirziena</w:t>
      </w:r>
      <w:proofErr w:type="spellEnd"/>
      <w:r w:rsidR="001F7B12" w:rsidRPr="00550D35">
        <w:rPr>
          <w:lang w:val="lv-LV"/>
        </w:rPr>
        <w:t xml:space="preserve"> 4.4.10.3. “Infrastruktūra” vīzija paredz skaitļošanas un datu glabāšanas resursu koplietošanu, veidojot Latvijas </w:t>
      </w:r>
      <w:proofErr w:type="spellStart"/>
      <w:r w:rsidR="001F7B12" w:rsidRPr="00550D35">
        <w:rPr>
          <w:lang w:val="lv-LV"/>
        </w:rPr>
        <w:t>mākoņdatošanas</w:t>
      </w:r>
      <w:proofErr w:type="spellEnd"/>
      <w:r w:rsidR="001F7B12" w:rsidRPr="00550D35">
        <w:rPr>
          <w:lang w:val="lv-LV"/>
        </w:rPr>
        <w:t xml:space="preserve"> </w:t>
      </w:r>
      <w:proofErr w:type="spellStart"/>
      <w:r w:rsidR="001F7B12" w:rsidRPr="00550D35">
        <w:rPr>
          <w:lang w:val="lv-LV"/>
        </w:rPr>
        <w:t>federēto</w:t>
      </w:r>
      <w:proofErr w:type="spellEnd"/>
      <w:r w:rsidR="001F7B12" w:rsidRPr="00550D35">
        <w:rPr>
          <w:lang w:val="lv-LV"/>
        </w:rPr>
        <w:t xml:space="preserve"> infrastruktūru, kas būtu ES </w:t>
      </w:r>
      <w:proofErr w:type="spellStart"/>
      <w:r w:rsidR="001F7B12" w:rsidRPr="00550D35">
        <w:rPr>
          <w:lang w:val="lv-LV"/>
        </w:rPr>
        <w:t>mākoņdatošanas</w:t>
      </w:r>
      <w:proofErr w:type="spellEnd"/>
      <w:r w:rsidR="001F7B12" w:rsidRPr="00550D35">
        <w:rPr>
          <w:lang w:val="lv-LV"/>
        </w:rPr>
        <w:t xml:space="preserve"> </w:t>
      </w:r>
      <w:proofErr w:type="spellStart"/>
      <w:r w:rsidR="001F7B12" w:rsidRPr="00550D35">
        <w:rPr>
          <w:lang w:val="lv-LV"/>
        </w:rPr>
        <w:t>federētās</w:t>
      </w:r>
      <w:proofErr w:type="spellEnd"/>
      <w:r w:rsidR="001F7B12" w:rsidRPr="00550D35">
        <w:rPr>
          <w:lang w:val="lv-LV"/>
        </w:rPr>
        <w:t xml:space="preserve"> infrastruktūras būtisks dalībnieks.</w:t>
      </w:r>
      <w:r w:rsidR="008E0304" w:rsidRPr="00550D35">
        <w:rPr>
          <w:lang w:val="lv-LV"/>
        </w:rPr>
        <w:t xml:space="preserve"> </w:t>
      </w:r>
      <w:r w:rsidR="00F62C18" w:rsidRPr="00550D35">
        <w:rPr>
          <w:lang w:val="lv-LV"/>
        </w:rPr>
        <w:t xml:space="preserve">Vīzijas īstenošanai plānots </w:t>
      </w:r>
      <w:r w:rsidR="00ED12B0" w:rsidRPr="00550D35">
        <w:rPr>
          <w:lang w:val="lv-LV"/>
        </w:rPr>
        <w:t>līdz 2026.gadam i</w:t>
      </w:r>
      <w:r w:rsidR="0081382E" w:rsidRPr="00550D35">
        <w:rPr>
          <w:lang w:val="lv-LV"/>
        </w:rPr>
        <w:t xml:space="preserve">zveidot </w:t>
      </w:r>
      <w:r w:rsidR="0081382E" w:rsidRPr="00550D35">
        <w:rPr>
          <w:rStyle w:val="normaltextrun"/>
          <w:lang w:val="lv-LV"/>
        </w:rPr>
        <w:t xml:space="preserve">Latvijas valsts </w:t>
      </w:r>
      <w:proofErr w:type="spellStart"/>
      <w:r w:rsidR="0081382E" w:rsidRPr="00550D35">
        <w:rPr>
          <w:lang w:val="lv-LV"/>
        </w:rPr>
        <w:t>mākoņdatošanas</w:t>
      </w:r>
      <w:proofErr w:type="spellEnd"/>
      <w:r w:rsidR="0081382E" w:rsidRPr="00550D35">
        <w:rPr>
          <w:lang w:val="lv-LV"/>
        </w:rPr>
        <w:t xml:space="preserve"> </w:t>
      </w:r>
      <w:proofErr w:type="spellStart"/>
      <w:r w:rsidR="0081382E" w:rsidRPr="00550D35">
        <w:rPr>
          <w:lang w:val="lv-LV"/>
        </w:rPr>
        <w:t>federēto</w:t>
      </w:r>
      <w:proofErr w:type="spellEnd"/>
      <w:r w:rsidR="0081382E" w:rsidRPr="00550D35">
        <w:rPr>
          <w:lang w:val="lv-LV"/>
        </w:rPr>
        <w:t xml:space="preserve"> infrastruktūru</w:t>
      </w:r>
      <w:r w:rsidR="0081382E" w:rsidRPr="00550D35">
        <w:rPr>
          <w:rStyle w:val="normaltextrun"/>
          <w:lang w:val="lv-LV"/>
        </w:rPr>
        <w:t xml:space="preserve"> un ieviest ar to saistītos pakalpojumus, vismaz 10 valsts platformām un </w:t>
      </w:r>
      <w:r w:rsidR="00ED12B0" w:rsidRPr="00550D35">
        <w:rPr>
          <w:rStyle w:val="normaltextrun"/>
          <w:lang w:val="lv-LV"/>
        </w:rPr>
        <w:t>informācijas sistēmām</w:t>
      </w:r>
      <w:r w:rsidR="0081382E" w:rsidRPr="00550D35">
        <w:rPr>
          <w:rStyle w:val="normaltextrun"/>
          <w:lang w:val="lv-LV"/>
        </w:rPr>
        <w:t xml:space="preserve"> pārejot uz šo pakalpojumu pilnvērtīgu un efektīvu izmantošanu.</w:t>
      </w:r>
    </w:p>
    <w:p w14:paraId="3FC44445" w14:textId="19AA44CD" w:rsidR="003D53D9" w:rsidRPr="00550D35" w:rsidRDefault="003160CE" w:rsidP="00B5429C">
      <w:pPr>
        <w:rPr>
          <w:rStyle w:val="normaltextrun"/>
          <w:lang w:val="lv-LV"/>
        </w:rPr>
      </w:pPr>
      <w:r>
        <w:rPr>
          <w:lang w:val="lv-LV"/>
        </w:rPr>
        <w:t>P</w:t>
      </w:r>
      <w:r w:rsidRPr="004655D9">
        <w:rPr>
          <w:lang w:val="lv-LV"/>
        </w:rPr>
        <w:t>apildu</w:t>
      </w:r>
      <w:r>
        <w:rPr>
          <w:lang w:val="lv-LV"/>
        </w:rPr>
        <w:t>s</w:t>
      </w:r>
      <w:r w:rsidRPr="004655D9">
        <w:rPr>
          <w:lang w:val="lv-LV"/>
        </w:rPr>
        <w:t xml:space="preserve"> jau identificētajiem pasākumiem, sadarbībā ar </w:t>
      </w:r>
      <w:r>
        <w:rPr>
          <w:lang w:val="lv-LV"/>
        </w:rPr>
        <w:t>LIKTA</w:t>
      </w:r>
      <w:r w:rsidRPr="004655D9">
        <w:rPr>
          <w:lang w:val="lv-LV"/>
        </w:rPr>
        <w:t xml:space="preserve"> tiks turpināts darbs pie digitālo risinājumu ieviešanai nepieciešamās normatīvās vides pilnveidošanas, īstenotas informēšanas, iedrošināšanas un motivēšanas aktivitāt</w:t>
      </w:r>
      <w:r>
        <w:rPr>
          <w:lang w:val="lv-LV"/>
        </w:rPr>
        <w:t>ēm</w:t>
      </w:r>
      <w:r w:rsidRPr="004655D9">
        <w:rPr>
          <w:lang w:val="lv-LV"/>
        </w:rPr>
        <w:t xml:space="preserve">, kā arī īstenoti citi pasākumi, kas var sekmēt </w:t>
      </w:r>
      <w:proofErr w:type="spellStart"/>
      <w:r>
        <w:rPr>
          <w:lang w:val="lv-LV"/>
        </w:rPr>
        <w:t>mākoņdatošanas</w:t>
      </w:r>
      <w:proofErr w:type="spellEnd"/>
      <w:r>
        <w:rPr>
          <w:lang w:val="lv-LV"/>
        </w:rPr>
        <w:t xml:space="preserve"> pakalpojumu izmantošanu uzņēmējdarbībā, lai līdz 2030. gadam sasniegtu ES noteikt</w:t>
      </w:r>
      <w:r w:rsidR="001F6206">
        <w:rPr>
          <w:lang w:val="lv-LV"/>
        </w:rPr>
        <w:t>o</w:t>
      </w:r>
      <w:r>
        <w:rPr>
          <w:lang w:val="lv-LV"/>
        </w:rPr>
        <w:t xml:space="preserve"> mērķa vērtību.</w:t>
      </w:r>
    </w:p>
    <w:p w14:paraId="1918057A" w14:textId="30DF8A08" w:rsidR="00A66F60" w:rsidRPr="00550D35" w:rsidRDefault="007B727A" w:rsidP="00A66F60">
      <w:pPr>
        <w:rPr>
          <w:lang w:val="lv-LV"/>
        </w:rPr>
      </w:pPr>
      <w:proofErr w:type="spellStart"/>
      <w:r>
        <w:rPr>
          <w:lang w:val="lv-LV"/>
        </w:rPr>
        <w:t>Mākoņ</w:t>
      </w:r>
      <w:r w:rsidR="00050E01">
        <w:rPr>
          <w:lang w:val="lv-LV"/>
        </w:rPr>
        <w:t>dat</w:t>
      </w:r>
      <w:r>
        <w:rPr>
          <w:lang w:val="lv-LV"/>
        </w:rPr>
        <w:t>ošanas</w:t>
      </w:r>
      <w:proofErr w:type="spellEnd"/>
      <w:r w:rsidR="00120CD5" w:rsidRPr="00550D35">
        <w:rPr>
          <w:lang w:val="lv-LV"/>
        </w:rPr>
        <w:t xml:space="preserve"> jomā i</w:t>
      </w:r>
      <w:r w:rsidR="00A66F60" w:rsidRPr="00550D35">
        <w:rPr>
          <w:lang w:val="lv-LV"/>
        </w:rPr>
        <w:t xml:space="preserve">r identificēti </w:t>
      </w:r>
      <w:r w:rsidR="00D46D28" w:rsidRPr="00550D35">
        <w:rPr>
          <w:lang w:val="lv-LV"/>
        </w:rPr>
        <w:t xml:space="preserve">šādi </w:t>
      </w:r>
      <w:r w:rsidR="00A66F60" w:rsidRPr="00550D35">
        <w:rPr>
          <w:lang w:val="lv-LV"/>
        </w:rPr>
        <w:t>galvenie izaicinājumi:</w:t>
      </w:r>
    </w:p>
    <w:p w14:paraId="3AB1CBBD" w14:textId="693AD760" w:rsidR="00D46D28" w:rsidRPr="00550D35" w:rsidRDefault="00A66F60" w:rsidP="00120CD5">
      <w:pPr>
        <w:spacing w:after="140"/>
        <w:ind w:firstLine="567"/>
        <w:rPr>
          <w:lang w:val="lv-LV"/>
        </w:rPr>
      </w:pPr>
      <w:r w:rsidRPr="0028453D">
        <w:rPr>
          <w:b/>
          <w:bCs/>
          <w:lang w:val="lv-LV"/>
        </w:rPr>
        <w:t xml:space="preserve">Izaicinājums </w:t>
      </w:r>
      <w:r w:rsidR="007346DD">
        <w:rPr>
          <w:b/>
          <w:bCs/>
          <w:lang w:val="lv-LV"/>
        </w:rPr>
        <w:t>Nr.</w:t>
      </w:r>
      <w:r w:rsidRPr="0028453D">
        <w:rPr>
          <w:b/>
          <w:bCs/>
          <w:lang w:val="lv-LV"/>
        </w:rPr>
        <w:t>1</w:t>
      </w:r>
      <w:r w:rsidRPr="00550D35">
        <w:rPr>
          <w:lang w:val="lv-LV"/>
        </w:rPr>
        <w:t xml:space="preserve"> – Pieejamā publiskā finansējuma ierobežotais apmērs.</w:t>
      </w:r>
      <w:r w:rsidR="00120CD5" w:rsidRPr="00550D35">
        <w:rPr>
          <w:lang w:val="lv-LV"/>
        </w:rPr>
        <w:t xml:space="preserve"> </w:t>
      </w:r>
      <w:r w:rsidRPr="00550D35">
        <w:rPr>
          <w:lang w:val="lv-LV"/>
        </w:rPr>
        <w:t>Lai arī jau šobrīd pieejams ES finansējums digitālās attīstības veicināšanai komersantu saimnieciskajā darbībā, norādītās EM ANM</w:t>
      </w:r>
      <w:r w:rsidR="00550077" w:rsidRPr="00550D35">
        <w:rPr>
          <w:lang w:val="lv-LV"/>
        </w:rPr>
        <w:t xml:space="preserve"> plāna</w:t>
      </w:r>
      <w:r w:rsidRPr="00550D35">
        <w:rPr>
          <w:lang w:val="lv-LV"/>
        </w:rPr>
        <w:t xml:space="preserve"> un </w:t>
      </w:r>
      <w:r w:rsidR="00550077" w:rsidRPr="00550D35">
        <w:rPr>
          <w:lang w:val="lv-LV"/>
        </w:rPr>
        <w:t>ERAF</w:t>
      </w:r>
      <w:r w:rsidRPr="00550D35">
        <w:rPr>
          <w:lang w:val="lv-LV"/>
        </w:rPr>
        <w:t xml:space="preserve"> ietvaros īstenojamās programmas, kas veicinā</w:t>
      </w:r>
      <w:r w:rsidR="00550077" w:rsidRPr="00550D35">
        <w:rPr>
          <w:lang w:val="lv-LV"/>
        </w:rPr>
        <w:t>s</w:t>
      </w:r>
      <w:r w:rsidRPr="00550D35">
        <w:rPr>
          <w:lang w:val="lv-LV"/>
        </w:rPr>
        <w:t xml:space="preserve"> </w:t>
      </w:r>
      <w:r w:rsidR="00550077" w:rsidRPr="00550D35">
        <w:rPr>
          <w:lang w:val="lv-LV"/>
        </w:rPr>
        <w:t>ES</w:t>
      </w:r>
      <w:r w:rsidRPr="00550D35">
        <w:rPr>
          <w:lang w:val="lv-LV"/>
        </w:rPr>
        <w:t xml:space="preserve"> noteiktā </w:t>
      </w:r>
      <w:proofErr w:type="spellStart"/>
      <w:r w:rsidRPr="00550D35">
        <w:rPr>
          <w:lang w:val="lv-LV"/>
        </w:rPr>
        <w:t>mērķrādītāja</w:t>
      </w:r>
      <w:proofErr w:type="spellEnd"/>
      <w:r w:rsidRPr="00550D35">
        <w:rPr>
          <w:lang w:val="lv-LV"/>
        </w:rPr>
        <w:t xml:space="preserve"> līmeņa sasniegšanu, paredz atbalstu ne tikai </w:t>
      </w:r>
      <w:proofErr w:type="spellStart"/>
      <w:r w:rsidRPr="00550D35">
        <w:rPr>
          <w:lang w:val="lv-LV"/>
        </w:rPr>
        <w:t>mākoņdatošanas</w:t>
      </w:r>
      <w:proofErr w:type="spellEnd"/>
      <w:r w:rsidRPr="00550D35">
        <w:rPr>
          <w:lang w:val="lv-LV"/>
        </w:rPr>
        <w:t xml:space="preserve"> pakalpojumu izmantošanas veicināšanai.</w:t>
      </w:r>
    </w:p>
    <w:p w14:paraId="4C831DBF" w14:textId="51DD30B1" w:rsidR="00E05DC2" w:rsidRPr="00550D35" w:rsidRDefault="00FE7A07" w:rsidP="003C107E">
      <w:pPr>
        <w:spacing w:after="140"/>
        <w:ind w:firstLine="567"/>
        <w:rPr>
          <w:lang w:val="lv-LV"/>
        </w:rPr>
      </w:pPr>
      <w:r>
        <w:rPr>
          <w:lang w:val="lv-LV"/>
        </w:rPr>
        <w:t xml:space="preserve">Ar šobrīd identificētajām atbalsta programmām ir iespējams sasniegt </w:t>
      </w:r>
      <w:proofErr w:type="spellStart"/>
      <w:r w:rsidR="003C60ED">
        <w:rPr>
          <w:lang w:val="lv-LV"/>
        </w:rPr>
        <w:t>mērķrādītāju</w:t>
      </w:r>
      <w:proofErr w:type="spellEnd"/>
      <w:r w:rsidR="003C60ED">
        <w:rPr>
          <w:lang w:val="lv-LV"/>
        </w:rPr>
        <w:t xml:space="preserve"> </w:t>
      </w:r>
      <w:r>
        <w:rPr>
          <w:lang w:val="lv-LV"/>
        </w:rPr>
        <w:t xml:space="preserve">tikai 32 % apmērā. </w:t>
      </w:r>
      <w:r w:rsidR="00A66F60" w:rsidRPr="00550D35">
        <w:rPr>
          <w:lang w:val="lv-LV"/>
        </w:rPr>
        <w:t xml:space="preserve">Izstrādātās atbalsta programmas nav </w:t>
      </w:r>
      <w:r w:rsidR="00550077" w:rsidRPr="00550D35">
        <w:rPr>
          <w:lang w:val="lv-LV"/>
        </w:rPr>
        <w:t>orient</w:t>
      </w:r>
      <w:r w:rsidR="00A66F60" w:rsidRPr="00550D35">
        <w:rPr>
          <w:lang w:val="lv-LV"/>
        </w:rPr>
        <w:t xml:space="preserve">ētas tikai uz </w:t>
      </w:r>
      <w:proofErr w:type="spellStart"/>
      <w:r w:rsidR="00A66F60" w:rsidRPr="00550D35">
        <w:rPr>
          <w:lang w:val="lv-LV"/>
        </w:rPr>
        <w:t>mākoņdatošanas</w:t>
      </w:r>
      <w:proofErr w:type="spellEnd"/>
      <w:r w:rsidR="00A66F60" w:rsidRPr="00550D35">
        <w:rPr>
          <w:lang w:val="lv-LV"/>
        </w:rPr>
        <w:t xml:space="preserve"> pakalpojuma lietošanas veicināšanu uzņēmumiem, bet tas ir tikai kā viens no uzņēmuma kopējās saimnieciskās darbības digitālās transformācijas KPI jeb sasniedzamajiem rādītājiem. Ņemot vērā pieejamā publiskā finansējuma ierobežoto apmēru attiecībā uz konkrēto </w:t>
      </w:r>
      <w:proofErr w:type="spellStart"/>
      <w:r w:rsidR="00A66F60" w:rsidRPr="00550D35">
        <w:rPr>
          <w:lang w:val="lv-LV"/>
        </w:rPr>
        <w:t>mērķrādītāju</w:t>
      </w:r>
      <w:proofErr w:type="spellEnd"/>
      <w:r w:rsidR="00A66F60" w:rsidRPr="00550D35">
        <w:rPr>
          <w:lang w:val="lv-LV"/>
        </w:rPr>
        <w:t xml:space="preserve"> secin</w:t>
      </w:r>
      <w:r w:rsidR="00754E92" w:rsidRPr="00550D35">
        <w:rPr>
          <w:lang w:val="lv-LV"/>
        </w:rPr>
        <w:t>āms</w:t>
      </w:r>
      <w:r w:rsidR="00A66F60" w:rsidRPr="00550D35">
        <w:rPr>
          <w:lang w:val="lv-LV"/>
        </w:rPr>
        <w:t>, ka, lai nacionāli līmenī no 22% šobrīd līdz 2030. gadam sasniegtu ES līmeņa mērķi 75 %, nepieciešams četrkāršot finansējumu (nepieciešams papildu finansējums 592</w:t>
      </w:r>
      <w:r w:rsidR="00D46D28" w:rsidRPr="00550D35">
        <w:rPr>
          <w:lang w:val="lv-LV"/>
        </w:rPr>
        <w:t>,0</w:t>
      </w:r>
      <w:r w:rsidR="00A66F60" w:rsidRPr="00550D35">
        <w:rPr>
          <w:lang w:val="lv-LV"/>
        </w:rPr>
        <w:t xml:space="preserve"> milj. </w:t>
      </w:r>
      <w:proofErr w:type="spellStart"/>
      <w:r w:rsidR="00221010" w:rsidRPr="00550D35">
        <w:rPr>
          <w:i/>
          <w:iCs/>
          <w:lang w:val="lv-LV"/>
        </w:rPr>
        <w:t>euro</w:t>
      </w:r>
      <w:proofErr w:type="spellEnd"/>
      <w:r w:rsidR="00A66F60" w:rsidRPr="00550D35">
        <w:rPr>
          <w:lang w:val="lv-LV"/>
        </w:rPr>
        <w:t xml:space="preserve"> apmērā), </w:t>
      </w:r>
      <w:r w:rsidR="00F709DE" w:rsidRPr="00550D35">
        <w:rPr>
          <w:lang w:val="lv-LV"/>
        </w:rPr>
        <w:t>ES</w:t>
      </w:r>
      <w:r w:rsidR="00A66F60" w:rsidRPr="00550D35">
        <w:rPr>
          <w:lang w:val="lv-LV"/>
        </w:rPr>
        <w:t xml:space="preserve"> un nacionālā līmenī ir jāizvērtē iespējas jaunu atbalsta instrumentu izveidei. Tāpat būtiski ir piesaistīt </w:t>
      </w:r>
      <w:r w:rsidR="00F709DE" w:rsidRPr="00550D35">
        <w:rPr>
          <w:lang w:val="lv-LV"/>
        </w:rPr>
        <w:t>IZM</w:t>
      </w:r>
      <w:r w:rsidR="00A66F60" w:rsidRPr="00550D35">
        <w:rPr>
          <w:lang w:val="lv-LV"/>
        </w:rPr>
        <w:t xml:space="preserve">, </w:t>
      </w:r>
      <w:r w:rsidR="00F709DE" w:rsidRPr="00550D35">
        <w:rPr>
          <w:lang w:val="lv-LV"/>
        </w:rPr>
        <w:t>SM</w:t>
      </w:r>
      <w:r w:rsidR="00A66F60" w:rsidRPr="00550D35">
        <w:rPr>
          <w:lang w:val="lv-LV"/>
        </w:rPr>
        <w:t xml:space="preserve">, </w:t>
      </w:r>
      <w:r w:rsidR="00F709DE" w:rsidRPr="00550D35">
        <w:rPr>
          <w:lang w:val="lv-LV"/>
        </w:rPr>
        <w:t>VM</w:t>
      </w:r>
      <w:r w:rsidR="00A66F60" w:rsidRPr="00550D35">
        <w:rPr>
          <w:lang w:val="lv-LV"/>
        </w:rPr>
        <w:t xml:space="preserve">, </w:t>
      </w:r>
      <w:proofErr w:type="spellStart"/>
      <w:r w:rsidR="00F709DE" w:rsidRPr="00550D35">
        <w:rPr>
          <w:lang w:val="lv-LV"/>
        </w:rPr>
        <w:t>AiM</w:t>
      </w:r>
      <w:proofErr w:type="spellEnd"/>
      <w:r w:rsidR="00A66F60" w:rsidRPr="00550D35">
        <w:rPr>
          <w:lang w:val="lv-LV"/>
        </w:rPr>
        <w:t xml:space="preserve"> un </w:t>
      </w:r>
      <w:r w:rsidR="00F709DE" w:rsidRPr="00550D35">
        <w:rPr>
          <w:lang w:val="lv-LV"/>
        </w:rPr>
        <w:t>VARAM</w:t>
      </w:r>
      <w:r w:rsidR="00A66F60" w:rsidRPr="00550D35">
        <w:rPr>
          <w:lang w:val="lv-LV"/>
        </w:rPr>
        <w:t xml:space="preserve"> plānotās aktivitātes un sniegumu.</w:t>
      </w:r>
    </w:p>
    <w:p w14:paraId="48B15D78" w14:textId="7BD35DCB" w:rsidR="00A66F60" w:rsidRPr="00550D35" w:rsidRDefault="00A66F60" w:rsidP="00527F8A">
      <w:pPr>
        <w:rPr>
          <w:lang w:val="lv-LV"/>
        </w:rPr>
      </w:pPr>
      <w:r w:rsidRPr="0028453D">
        <w:rPr>
          <w:b/>
          <w:bCs/>
          <w:lang w:val="lv-LV"/>
        </w:rPr>
        <w:t xml:space="preserve">Izaicinājums </w:t>
      </w:r>
      <w:r w:rsidR="007346DD">
        <w:rPr>
          <w:b/>
          <w:bCs/>
          <w:lang w:val="lv-LV"/>
        </w:rPr>
        <w:t>Nr.</w:t>
      </w:r>
      <w:r w:rsidRPr="0028453D">
        <w:rPr>
          <w:b/>
          <w:bCs/>
          <w:lang w:val="lv-LV"/>
        </w:rPr>
        <w:t>2</w:t>
      </w:r>
      <w:r w:rsidRPr="00550D35">
        <w:rPr>
          <w:lang w:val="lv-LV"/>
        </w:rPr>
        <w:t xml:space="preserve"> -  Statisti</w:t>
      </w:r>
      <w:r w:rsidR="005378CA" w:rsidRPr="00550D35">
        <w:rPr>
          <w:lang w:val="lv-LV"/>
        </w:rPr>
        <w:t>kas datu ievākšanas</w:t>
      </w:r>
      <w:r w:rsidRPr="00550D35">
        <w:rPr>
          <w:lang w:val="lv-LV"/>
        </w:rPr>
        <w:t xml:space="preserve"> metodoloģijas pārskatīšana. Nepieciešams </w:t>
      </w:r>
      <w:r w:rsidR="00D46D28" w:rsidRPr="00550D35">
        <w:rPr>
          <w:lang w:val="lv-LV"/>
        </w:rPr>
        <w:t>ES</w:t>
      </w:r>
      <w:r w:rsidRPr="00550D35">
        <w:rPr>
          <w:lang w:val="lv-LV"/>
        </w:rPr>
        <w:t xml:space="preserve"> un nacionālā līmenī vienoties par skaidri saprotamu un pēc līdzīgiem principiem veidotu statistikas datu apkopošanu, novēršot iespēju, ka datos tiek uzskaitītas dažādas mērķa grupas vai tiek iegūta nepilnīga informācija par patieso situāciju, tai skaitā motivējot </w:t>
      </w:r>
      <w:r w:rsidR="00D46D28" w:rsidRPr="00550D35">
        <w:rPr>
          <w:lang w:val="lv-LV"/>
        </w:rPr>
        <w:t xml:space="preserve">mērķa grupu </w:t>
      </w:r>
      <w:r w:rsidRPr="00550D35">
        <w:rPr>
          <w:lang w:val="lv-LV"/>
        </w:rPr>
        <w:t xml:space="preserve">sniegt pilnu informāciju. </w:t>
      </w:r>
    </w:p>
    <w:p w14:paraId="72FCA8A1" w14:textId="76A45310" w:rsidR="00400CD6" w:rsidRPr="00550D35" w:rsidRDefault="00055BC0">
      <w:pPr>
        <w:pStyle w:val="Heading2"/>
        <w:rPr>
          <w:lang w:val="lv-LV"/>
        </w:rPr>
      </w:pPr>
      <w:bookmarkStart w:id="26" w:name="_Toc135226602"/>
      <w:r w:rsidRPr="00550D35">
        <w:rPr>
          <w:lang w:val="lv-LV"/>
        </w:rPr>
        <w:t>KPI “</w:t>
      </w:r>
      <w:proofErr w:type="spellStart"/>
      <w:r w:rsidRPr="00550D35">
        <w:rPr>
          <w:lang w:val="lv-LV"/>
        </w:rPr>
        <w:t>Mākoņdatošana</w:t>
      </w:r>
      <w:proofErr w:type="spellEnd"/>
      <w:r w:rsidRPr="00550D35">
        <w:rPr>
          <w:lang w:val="lv-LV"/>
        </w:rPr>
        <w:t>” v</w:t>
      </w:r>
      <w:r w:rsidR="002864F1" w:rsidRPr="00550D35">
        <w:rPr>
          <w:lang w:val="lv-LV"/>
        </w:rPr>
        <w:t>alsts prognozētā trajektorija</w:t>
      </w:r>
      <w:r w:rsidR="00B4122B" w:rsidRPr="00550D35">
        <w:rPr>
          <w:lang w:val="lv-LV"/>
        </w:rPr>
        <w:t xml:space="preserve"> un </w:t>
      </w:r>
      <w:proofErr w:type="spellStart"/>
      <w:r w:rsidR="00B4122B" w:rsidRPr="00550D35">
        <w:rPr>
          <w:lang w:val="lv-LV"/>
        </w:rPr>
        <w:t>mērķrādītāj</w:t>
      </w:r>
      <w:r w:rsidRPr="00550D35">
        <w:rPr>
          <w:lang w:val="lv-LV"/>
        </w:rPr>
        <w:t>s</w:t>
      </w:r>
      <w:proofErr w:type="spellEnd"/>
      <w:r w:rsidR="00B4122B" w:rsidRPr="00550D35">
        <w:rPr>
          <w:lang w:val="lv-LV"/>
        </w:rPr>
        <w:t>, kas paredzēt</w:t>
      </w:r>
      <w:r w:rsidRPr="00550D35">
        <w:rPr>
          <w:lang w:val="lv-LV"/>
        </w:rPr>
        <w:t>s</w:t>
      </w:r>
      <w:r w:rsidR="00B4122B" w:rsidRPr="00550D35">
        <w:rPr>
          <w:lang w:val="lv-LV"/>
        </w:rPr>
        <w:t xml:space="preserve">, lai palīdzētu sasniegt ES digitālo </w:t>
      </w:r>
      <w:proofErr w:type="spellStart"/>
      <w:r w:rsidR="00B4122B" w:rsidRPr="00550D35">
        <w:rPr>
          <w:lang w:val="lv-LV"/>
        </w:rPr>
        <w:t>mērķrādītāju</w:t>
      </w:r>
      <w:bookmarkEnd w:id="26"/>
      <w:proofErr w:type="spellEnd"/>
    </w:p>
    <w:p w14:paraId="47DB9879" w14:textId="740D713E" w:rsidR="00BA7CA0" w:rsidRPr="00550D35" w:rsidRDefault="00282A0B" w:rsidP="003109C6">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bCs/>
          <w:lang w:val="lv-LV"/>
        </w:rPr>
      </w:pPr>
      <w:r w:rsidRPr="00550D35">
        <w:rPr>
          <w:b/>
          <w:bCs/>
          <w:lang w:val="lv-LV"/>
        </w:rPr>
        <w:t>Nacionālā bāzes vērtība (2023)</w:t>
      </w:r>
      <w:r w:rsidR="00B31A5E" w:rsidRPr="00550D35">
        <w:rPr>
          <w:b/>
          <w:bCs/>
          <w:lang w:val="lv-LV"/>
        </w:rPr>
        <w:t xml:space="preserve"> </w:t>
      </w:r>
      <w:r w:rsidR="00CA2FAB" w:rsidRPr="00550D35">
        <w:rPr>
          <w:b/>
          <w:bCs/>
          <w:lang w:val="lv-LV"/>
        </w:rPr>
        <w:t xml:space="preserve">   </w:t>
      </w:r>
      <w:r w:rsidR="00AF22C7" w:rsidRPr="00550D35">
        <w:rPr>
          <w:b/>
          <w:bCs/>
          <w:lang w:val="lv-LV"/>
        </w:rPr>
        <w:t>22</w:t>
      </w:r>
      <w:r w:rsidRPr="00550D35">
        <w:rPr>
          <w:b/>
          <w:bCs/>
          <w:lang w:val="lv-LV"/>
        </w:rPr>
        <w:t xml:space="preserve"> %; </w:t>
      </w:r>
      <w:r w:rsidR="00B31A5E" w:rsidRPr="00550D35">
        <w:rPr>
          <w:b/>
          <w:bCs/>
          <w:lang w:val="lv-LV"/>
        </w:rPr>
        <w:t xml:space="preserve">   </w:t>
      </w:r>
      <w:r w:rsidRPr="00550D35">
        <w:rPr>
          <w:b/>
          <w:bCs/>
          <w:lang w:val="lv-LV"/>
        </w:rPr>
        <w:t xml:space="preserve">ES bāzes vērtība (2023) </w:t>
      </w:r>
      <w:r w:rsidR="00FA3D48" w:rsidRPr="00550D35">
        <w:rPr>
          <w:b/>
          <w:bCs/>
          <w:lang w:val="lv-LV"/>
        </w:rPr>
        <w:t>34</w:t>
      </w:r>
      <w:r w:rsidRPr="00550D35">
        <w:rPr>
          <w:b/>
          <w:bCs/>
          <w:lang w:val="lv-LV"/>
        </w:rPr>
        <w:t xml:space="preserve"> %</w:t>
      </w:r>
    </w:p>
    <w:p w14:paraId="255FE827" w14:textId="58A8B8BD" w:rsidR="00880C7A" w:rsidRPr="00550D35" w:rsidRDefault="00BA7CA0" w:rsidP="00B82489">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bCs/>
          <w:lang w:val="lv-LV"/>
        </w:rPr>
      </w:pPr>
      <w:r w:rsidRPr="00550D35">
        <w:rPr>
          <w:b/>
          <w:bCs/>
          <w:lang w:val="lv-LV"/>
        </w:rPr>
        <w:t>Nacionāl</w:t>
      </w:r>
      <w:r w:rsidR="00FF52A4" w:rsidRPr="00550D35">
        <w:rPr>
          <w:b/>
          <w:bCs/>
          <w:lang w:val="lv-LV"/>
        </w:rPr>
        <w:t>ais</w:t>
      </w:r>
      <w:r w:rsidRPr="00550D35">
        <w:rPr>
          <w:b/>
          <w:bCs/>
          <w:lang w:val="lv-LV"/>
        </w:rPr>
        <w:t xml:space="preserve"> </w:t>
      </w:r>
      <w:proofErr w:type="spellStart"/>
      <w:r w:rsidRPr="00550D35">
        <w:rPr>
          <w:b/>
          <w:bCs/>
          <w:lang w:val="lv-LV"/>
        </w:rPr>
        <w:t>mērķ</w:t>
      </w:r>
      <w:r w:rsidR="00FF52A4" w:rsidRPr="00550D35">
        <w:rPr>
          <w:b/>
          <w:bCs/>
          <w:lang w:val="lv-LV"/>
        </w:rPr>
        <w:t>rādītājs</w:t>
      </w:r>
      <w:proofErr w:type="spellEnd"/>
      <w:r w:rsidRPr="00550D35">
        <w:rPr>
          <w:b/>
          <w:bCs/>
          <w:lang w:val="lv-LV"/>
        </w:rPr>
        <w:t xml:space="preserve"> </w:t>
      </w:r>
      <w:r w:rsidR="00880C7A" w:rsidRPr="00550D35">
        <w:rPr>
          <w:b/>
          <w:bCs/>
          <w:lang w:val="lv-LV"/>
        </w:rPr>
        <w:t>(</w:t>
      </w:r>
      <w:r w:rsidRPr="00550D35">
        <w:rPr>
          <w:b/>
          <w:bCs/>
          <w:lang w:val="lv-LV"/>
        </w:rPr>
        <w:t>2030</w:t>
      </w:r>
      <w:r w:rsidR="00880C7A" w:rsidRPr="00550D35">
        <w:rPr>
          <w:b/>
          <w:bCs/>
          <w:lang w:val="lv-LV"/>
        </w:rPr>
        <w:t>)</w:t>
      </w:r>
      <w:r w:rsidR="00BD4F79" w:rsidRPr="00550D35">
        <w:rPr>
          <w:b/>
          <w:bCs/>
          <w:lang w:val="lv-LV"/>
        </w:rPr>
        <w:t xml:space="preserve"> </w:t>
      </w:r>
      <w:r w:rsidR="001C1897">
        <w:rPr>
          <w:b/>
          <w:bCs/>
          <w:lang w:val="lv-LV"/>
        </w:rPr>
        <w:t xml:space="preserve"> </w:t>
      </w:r>
      <w:r w:rsidR="0025245F">
        <w:rPr>
          <w:b/>
          <w:bCs/>
          <w:lang w:val="lv-LV"/>
        </w:rPr>
        <w:t>75</w:t>
      </w:r>
      <w:r w:rsidR="00880C7A" w:rsidRPr="00550D35">
        <w:rPr>
          <w:b/>
          <w:bCs/>
          <w:lang w:val="lv-LV"/>
        </w:rPr>
        <w:t> </w:t>
      </w:r>
      <w:r w:rsidR="00FA1A24" w:rsidRPr="00550D35">
        <w:rPr>
          <w:b/>
          <w:bCs/>
          <w:lang w:val="lv-LV"/>
        </w:rPr>
        <w:t>%</w:t>
      </w:r>
      <w:r w:rsidR="003109C6" w:rsidRPr="00550D35">
        <w:rPr>
          <w:b/>
          <w:bCs/>
          <w:lang w:val="lv-LV"/>
        </w:rPr>
        <w:t>;</w:t>
      </w:r>
      <w:r w:rsidRPr="00550D35">
        <w:rPr>
          <w:b/>
          <w:bCs/>
          <w:lang w:val="lv-LV"/>
        </w:rPr>
        <w:t xml:space="preserve"> </w:t>
      </w:r>
      <w:r w:rsidR="003D1492" w:rsidRPr="00550D35">
        <w:rPr>
          <w:b/>
          <w:bCs/>
          <w:lang w:val="lv-LV"/>
        </w:rPr>
        <w:t xml:space="preserve"> </w:t>
      </w:r>
      <w:r w:rsidR="00880C7A" w:rsidRPr="00550D35">
        <w:rPr>
          <w:b/>
          <w:bCs/>
          <w:lang w:val="lv-LV"/>
        </w:rPr>
        <w:t xml:space="preserve"> ES </w:t>
      </w:r>
      <w:proofErr w:type="spellStart"/>
      <w:r w:rsidR="00880C7A" w:rsidRPr="00550D35">
        <w:rPr>
          <w:b/>
          <w:bCs/>
          <w:lang w:val="lv-LV"/>
        </w:rPr>
        <w:t>mērķrādītājs</w:t>
      </w:r>
      <w:proofErr w:type="spellEnd"/>
      <w:r w:rsidR="00880C7A" w:rsidRPr="00550D35">
        <w:rPr>
          <w:b/>
          <w:bCs/>
          <w:lang w:val="lv-LV"/>
        </w:rPr>
        <w:t xml:space="preserve"> (2030)</w:t>
      </w:r>
      <w:r w:rsidR="001C1897">
        <w:rPr>
          <w:b/>
          <w:bCs/>
          <w:lang w:val="lv-LV"/>
        </w:rPr>
        <w:t xml:space="preserve">  </w:t>
      </w:r>
      <w:r w:rsidR="00880C7A" w:rsidRPr="00550D35">
        <w:rPr>
          <w:b/>
          <w:bCs/>
          <w:lang w:val="lv-LV"/>
        </w:rPr>
        <w:t>75 %</w:t>
      </w:r>
    </w:p>
    <w:p w14:paraId="4C6DCE0F" w14:textId="2BC024C3" w:rsidR="00B82489" w:rsidRPr="00550D35" w:rsidRDefault="00B82489" w:rsidP="003109C6">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i/>
          <w:iCs/>
          <w:lang w:val="lv-LV"/>
        </w:rPr>
      </w:pPr>
      <w:r w:rsidRPr="00550D35">
        <w:rPr>
          <w:i/>
          <w:iCs/>
          <w:lang w:val="lv-LV"/>
        </w:rPr>
        <w:t>Avots: Digitālās dekādes 2023.gada ziņojums par Latviju</w:t>
      </w:r>
    </w:p>
    <w:p w14:paraId="14FA8E0E" w14:textId="77777777" w:rsidR="00880C7A" w:rsidRPr="00550D35" w:rsidRDefault="00880C7A" w:rsidP="00633105">
      <w:pPr>
        <w:rPr>
          <w:b/>
          <w:bCs/>
          <w:lang w:val="lv-LV"/>
        </w:rPr>
      </w:pPr>
    </w:p>
    <w:p w14:paraId="43A55588" w14:textId="04498EDE" w:rsidR="001346C8" w:rsidRPr="00550D35" w:rsidRDefault="001850FC" w:rsidP="00633105">
      <w:pPr>
        <w:rPr>
          <w:lang w:val="lv-LV"/>
        </w:rPr>
      </w:pPr>
      <w:r w:rsidRPr="00550D35">
        <w:rPr>
          <w:lang w:val="lv-LV"/>
        </w:rPr>
        <w:t>P</w:t>
      </w:r>
      <w:r w:rsidR="00D853CA" w:rsidRPr="00550D35">
        <w:rPr>
          <w:lang w:val="lv-LV"/>
        </w:rPr>
        <w:t>ro</w:t>
      </w:r>
      <w:r w:rsidR="00056FFF" w:rsidRPr="00550D35">
        <w:rPr>
          <w:lang w:val="lv-LV"/>
        </w:rPr>
        <w:t>vizoriski p</w:t>
      </w:r>
      <w:r w:rsidRPr="00550D35">
        <w:rPr>
          <w:lang w:val="lv-LV"/>
        </w:rPr>
        <w:t xml:space="preserve">aredzams, ka </w:t>
      </w:r>
      <w:r w:rsidR="00056FFF" w:rsidRPr="00550D35">
        <w:rPr>
          <w:lang w:val="lv-LV"/>
        </w:rPr>
        <w:t xml:space="preserve">Latvija </w:t>
      </w:r>
      <w:r w:rsidR="003F3B9C" w:rsidRPr="00550D35">
        <w:rPr>
          <w:lang w:val="lv-LV"/>
        </w:rPr>
        <w:t>ne</w:t>
      </w:r>
      <w:r w:rsidRPr="00550D35">
        <w:rPr>
          <w:lang w:val="lv-LV"/>
        </w:rPr>
        <w:t>var sasniegt ES prognozēt</w:t>
      </w:r>
      <w:r w:rsidR="00056FFF" w:rsidRPr="00550D35">
        <w:rPr>
          <w:lang w:val="lv-LV"/>
        </w:rPr>
        <w:t>o trajektoriju</w:t>
      </w:r>
      <w:r w:rsidRPr="00550D35">
        <w:rPr>
          <w:lang w:val="lv-LV"/>
        </w:rPr>
        <w:t xml:space="preserve"> </w:t>
      </w:r>
      <w:r w:rsidR="00056FFF" w:rsidRPr="00550D35">
        <w:rPr>
          <w:lang w:val="lv-LV"/>
        </w:rPr>
        <w:t xml:space="preserve">līdz 2030. gadam  attiecībā uz </w:t>
      </w:r>
      <w:proofErr w:type="spellStart"/>
      <w:r w:rsidR="005B6E47" w:rsidRPr="00550D35">
        <w:rPr>
          <w:lang w:val="lv-LV"/>
        </w:rPr>
        <w:t>mākoņdatošanas</w:t>
      </w:r>
      <w:proofErr w:type="spellEnd"/>
      <w:r w:rsidR="005B6E47" w:rsidRPr="00550D35">
        <w:rPr>
          <w:lang w:val="lv-LV"/>
        </w:rPr>
        <w:t xml:space="preserve"> </w:t>
      </w:r>
      <w:r w:rsidR="00056FFF" w:rsidRPr="00550D35">
        <w:rPr>
          <w:lang w:val="lv-LV"/>
        </w:rPr>
        <w:t>izmantošanu uzņēmumos</w:t>
      </w:r>
      <w:r w:rsidR="00633105" w:rsidRPr="00550D35">
        <w:rPr>
          <w:lang w:val="lv-LV"/>
        </w:rPr>
        <w:t xml:space="preserve">, </w:t>
      </w:r>
      <w:r w:rsidR="00814EBF" w:rsidRPr="00550D35">
        <w:rPr>
          <w:lang w:val="lv-LV"/>
        </w:rPr>
        <w:t>informācija par Latvijas nacionālo trajektoriju 2023.- 2030.gadam tiks precizēta ceļveža pārskatīšanas gaitā.</w:t>
      </w:r>
    </w:p>
    <w:tbl>
      <w:tblPr>
        <w:tblStyle w:val="TableGrid"/>
        <w:tblW w:w="5000" w:type="pct"/>
        <w:tblLook w:val="04A0" w:firstRow="1" w:lastRow="0" w:firstColumn="1" w:lastColumn="0" w:noHBand="0" w:noVBand="1"/>
      </w:tblPr>
      <w:tblGrid>
        <w:gridCol w:w="1129"/>
        <w:gridCol w:w="993"/>
        <w:gridCol w:w="992"/>
        <w:gridCol w:w="1222"/>
        <w:gridCol w:w="782"/>
        <w:gridCol w:w="795"/>
        <w:gridCol w:w="795"/>
        <w:gridCol w:w="1899"/>
      </w:tblGrid>
      <w:tr w:rsidR="00BA1394" w:rsidRPr="00550D35" w14:paraId="4FCC1CC3" w14:textId="77777777" w:rsidTr="001346C8">
        <w:tc>
          <w:tcPr>
            <w:tcW w:w="656" w:type="pct"/>
          </w:tcPr>
          <w:p w14:paraId="38CF1846" w14:textId="2A39AD49" w:rsidR="00BA1394" w:rsidRPr="00550D35" w:rsidRDefault="00BA1394" w:rsidP="00BA1394">
            <w:pPr>
              <w:pStyle w:val="Text2"/>
              <w:ind w:left="0" w:firstLine="0"/>
              <w:rPr>
                <w:sz w:val="20"/>
                <w:lang w:val="lv-LV"/>
              </w:rPr>
            </w:pPr>
            <w:r w:rsidRPr="00550D35">
              <w:rPr>
                <w:sz w:val="20"/>
                <w:lang w:val="lv-LV"/>
              </w:rPr>
              <w:t>2023</w:t>
            </w:r>
          </w:p>
        </w:tc>
        <w:tc>
          <w:tcPr>
            <w:tcW w:w="577" w:type="pct"/>
          </w:tcPr>
          <w:p w14:paraId="7BE31569" w14:textId="45AC40E9" w:rsidR="00BA1394" w:rsidRPr="00550D35" w:rsidRDefault="00BA1394" w:rsidP="00BA1394">
            <w:pPr>
              <w:pStyle w:val="Text2"/>
              <w:ind w:left="0" w:firstLine="0"/>
              <w:rPr>
                <w:sz w:val="20"/>
                <w:lang w:val="lv-LV"/>
              </w:rPr>
            </w:pPr>
            <w:r w:rsidRPr="00550D35">
              <w:rPr>
                <w:sz w:val="20"/>
                <w:lang w:val="lv-LV"/>
              </w:rPr>
              <w:t>2024</w:t>
            </w:r>
          </w:p>
        </w:tc>
        <w:tc>
          <w:tcPr>
            <w:tcW w:w="576" w:type="pct"/>
          </w:tcPr>
          <w:p w14:paraId="51B95122" w14:textId="3157FA00" w:rsidR="00BA1394" w:rsidRPr="00550D35" w:rsidRDefault="00BA1394" w:rsidP="00BA1394">
            <w:pPr>
              <w:pStyle w:val="Text2"/>
              <w:ind w:left="0" w:firstLine="0"/>
              <w:rPr>
                <w:sz w:val="20"/>
                <w:lang w:val="lv-LV"/>
              </w:rPr>
            </w:pPr>
            <w:r w:rsidRPr="00550D35">
              <w:rPr>
                <w:sz w:val="20"/>
                <w:lang w:val="lv-LV"/>
              </w:rPr>
              <w:t>2025</w:t>
            </w:r>
          </w:p>
        </w:tc>
        <w:tc>
          <w:tcPr>
            <w:tcW w:w="710" w:type="pct"/>
          </w:tcPr>
          <w:p w14:paraId="4D6A6615" w14:textId="0C91015A" w:rsidR="00BA1394" w:rsidRPr="00550D35" w:rsidRDefault="00BA1394" w:rsidP="00BA1394">
            <w:pPr>
              <w:pStyle w:val="Text2"/>
              <w:ind w:left="0" w:firstLine="0"/>
              <w:rPr>
                <w:sz w:val="20"/>
                <w:lang w:val="lv-LV"/>
              </w:rPr>
            </w:pPr>
            <w:r w:rsidRPr="00550D35">
              <w:rPr>
                <w:sz w:val="20"/>
                <w:lang w:val="lv-LV"/>
              </w:rPr>
              <w:t>2026</w:t>
            </w:r>
          </w:p>
        </w:tc>
        <w:tc>
          <w:tcPr>
            <w:tcW w:w="454" w:type="pct"/>
          </w:tcPr>
          <w:p w14:paraId="05DB2094" w14:textId="03980847" w:rsidR="00BA1394" w:rsidRPr="00550D35" w:rsidRDefault="00BA1394" w:rsidP="00BA1394">
            <w:pPr>
              <w:pStyle w:val="Text2"/>
              <w:ind w:left="0" w:firstLine="0"/>
              <w:rPr>
                <w:sz w:val="20"/>
                <w:lang w:val="lv-LV"/>
              </w:rPr>
            </w:pPr>
            <w:r w:rsidRPr="00550D35">
              <w:rPr>
                <w:sz w:val="20"/>
                <w:lang w:val="lv-LV"/>
              </w:rPr>
              <w:t>2027</w:t>
            </w:r>
          </w:p>
        </w:tc>
        <w:tc>
          <w:tcPr>
            <w:tcW w:w="462" w:type="pct"/>
          </w:tcPr>
          <w:p w14:paraId="427D854A" w14:textId="722F46D2" w:rsidR="00BA1394" w:rsidRPr="00550D35" w:rsidRDefault="00BA1394" w:rsidP="00BA1394">
            <w:pPr>
              <w:pStyle w:val="Text2"/>
              <w:ind w:left="0" w:firstLine="0"/>
              <w:rPr>
                <w:sz w:val="20"/>
                <w:lang w:val="lv-LV"/>
              </w:rPr>
            </w:pPr>
            <w:r w:rsidRPr="00550D35">
              <w:rPr>
                <w:sz w:val="20"/>
                <w:lang w:val="lv-LV"/>
              </w:rPr>
              <w:t>2028</w:t>
            </w:r>
          </w:p>
        </w:tc>
        <w:tc>
          <w:tcPr>
            <w:tcW w:w="462" w:type="pct"/>
          </w:tcPr>
          <w:p w14:paraId="646F3236" w14:textId="5B5947BA" w:rsidR="00BA1394" w:rsidRPr="00550D35" w:rsidRDefault="00BA1394" w:rsidP="00BA1394">
            <w:pPr>
              <w:pStyle w:val="Text2"/>
              <w:ind w:left="0" w:firstLine="0"/>
              <w:rPr>
                <w:sz w:val="20"/>
                <w:lang w:val="lv-LV"/>
              </w:rPr>
            </w:pPr>
            <w:r w:rsidRPr="00550D35">
              <w:rPr>
                <w:sz w:val="20"/>
                <w:lang w:val="lv-LV"/>
              </w:rPr>
              <w:t>2029</w:t>
            </w:r>
          </w:p>
        </w:tc>
        <w:tc>
          <w:tcPr>
            <w:tcW w:w="1103" w:type="pct"/>
          </w:tcPr>
          <w:p w14:paraId="18E622A7" w14:textId="21C18C39" w:rsidR="00BA1394" w:rsidRPr="00550D35" w:rsidRDefault="00BA1394" w:rsidP="00BA1394">
            <w:pPr>
              <w:pStyle w:val="Text2"/>
              <w:ind w:left="0" w:firstLine="0"/>
              <w:rPr>
                <w:sz w:val="20"/>
                <w:lang w:val="lv-LV"/>
              </w:rPr>
            </w:pPr>
            <w:r w:rsidRPr="00550D35">
              <w:rPr>
                <w:sz w:val="20"/>
                <w:lang w:val="lv-LV"/>
              </w:rPr>
              <w:t>2030</w:t>
            </w:r>
          </w:p>
        </w:tc>
      </w:tr>
      <w:tr w:rsidR="008F57EE" w:rsidRPr="00550D35" w14:paraId="71D2A077" w14:textId="77777777" w:rsidTr="001346C8">
        <w:tc>
          <w:tcPr>
            <w:tcW w:w="656" w:type="pct"/>
          </w:tcPr>
          <w:p w14:paraId="6478323D" w14:textId="729A2B83" w:rsidR="008F57EE" w:rsidRPr="00550D35" w:rsidRDefault="008F57EE" w:rsidP="008F57EE">
            <w:pPr>
              <w:pStyle w:val="Text2"/>
              <w:ind w:left="0" w:firstLine="0"/>
              <w:rPr>
                <w:sz w:val="20"/>
                <w:lang w:val="lv-LV"/>
              </w:rPr>
            </w:pPr>
            <w:r w:rsidRPr="00550D35">
              <w:rPr>
                <w:sz w:val="20"/>
                <w:lang w:val="lv-LV"/>
              </w:rPr>
              <w:lastRenderedPageBreak/>
              <w:t>22,0%</w:t>
            </w:r>
          </w:p>
        </w:tc>
        <w:tc>
          <w:tcPr>
            <w:tcW w:w="577" w:type="pct"/>
            <w:shd w:val="clear" w:color="auto" w:fill="auto"/>
          </w:tcPr>
          <w:p w14:paraId="722C4059" w14:textId="1D72BAB4" w:rsidR="008F57EE" w:rsidRPr="00550D35" w:rsidRDefault="008F57EE" w:rsidP="008F57EE">
            <w:pPr>
              <w:pStyle w:val="Text2"/>
              <w:ind w:left="0" w:firstLine="0"/>
              <w:rPr>
                <w:sz w:val="20"/>
                <w:lang w:val="lv-LV"/>
              </w:rPr>
            </w:pPr>
            <w:r>
              <w:rPr>
                <w:sz w:val="20"/>
                <w:lang w:val="lv-LV"/>
              </w:rPr>
              <w:t>31</w:t>
            </w:r>
            <w:r w:rsidRPr="00550D35">
              <w:rPr>
                <w:sz w:val="20"/>
                <w:lang w:val="lv-LV"/>
              </w:rPr>
              <w:t>,0%</w:t>
            </w:r>
          </w:p>
        </w:tc>
        <w:tc>
          <w:tcPr>
            <w:tcW w:w="576" w:type="pct"/>
            <w:shd w:val="clear" w:color="auto" w:fill="auto"/>
          </w:tcPr>
          <w:p w14:paraId="26AD8FA5" w14:textId="55715C89" w:rsidR="008F57EE" w:rsidRPr="00550D35" w:rsidRDefault="008F57EE" w:rsidP="008F57EE">
            <w:pPr>
              <w:pStyle w:val="Text2"/>
              <w:ind w:left="0" w:firstLine="0"/>
              <w:rPr>
                <w:sz w:val="20"/>
                <w:lang w:val="lv-LV"/>
              </w:rPr>
            </w:pPr>
            <w:r>
              <w:rPr>
                <w:sz w:val="20"/>
                <w:lang w:val="lv-LV"/>
              </w:rPr>
              <w:t>40</w:t>
            </w:r>
            <w:r w:rsidRPr="00550D35">
              <w:rPr>
                <w:sz w:val="20"/>
                <w:lang w:val="lv-LV"/>
              </w:rPr>
              <w:t>,0%</w:t>
            </w:r>
          </w:p>
        </w:tc>
        <w:tc>
          <w:tcPr>
            <w:tcW w:w="710" w:type="pct"/>
            <w:shd w:val="clear" w:color="auto" w:fill="auto"/>
          </w:tcPr>
          <w:p w14:paraId="6B6C6369" w14:textId="78F7E91B" w:rsidR="008F57EE" w:rsidRPr="00550D35" w:rsidRDefault="008F57EE" w:rsidP="008F57EE">
            <w:pPr>
              <w:pStyle w:val="Text2"/>
              <w:ind w:left="0" w:firstLine="0"/>
              <w:rPr>
                <w:sz w:val="20"/>
                <w:lang w:val="lv-LV"/>
              </w:rPr>
            </w:pPr>
            <w:r>
              <w:rPr>
                <w:sz w:val="20"/>
                <w:lang w:val="lv-LV"/>
              </w:rPr>
              <w:t>49</w:t>
            </w:r>
            <w:r w:rsidRPr="00550D35">
              <w:rPr>
                <w:sz w:val="20"/>
                <w:lang w:val="lv-LV"/>
              </w:rPr>
              <w:t>,0%</w:t>
            </w:r>
          </w:p>
        </w:tc>
        <w:tc>
          <w:tcPr>
            <w:tcW w:w="454" w:type="pct"/>
            <w:shd w:val="clear" w:color="auto" w:fill="auto"/>
          </w:tcPr>
          <w:p w14:paraId="382EB55F" w14:textId="59B69BE1" w:rsidR="008F57EE" w:rsidRPr="00550D35" w:rsidRDefault="008F57EE" w:rsidP="008F57EE">
            <w:pPr>
              <w:pStyle w:val="Text2"/>
              <w:ind w:left="0" w:firstLine="0"/>
              <w:rPr>
                <w:sz w:val="20"/>
                <w:lang w:val="lv-LV"/>
              </w:rPr>
            </w:pPr>
            <w:r>
              <w:rPr>
                <w:sz w:val="20"/>
                <w:lang w:val="lv-LV"/>
              </w:rPr>
              <w:t>55,5</w:t>
            </w:r>
            <w:r w:rsidRPr="00550D35">
              <w:rPr>
                <w:sz w:val="20"/>
                <w:lang w:val="lv-LV"/>
              </w:rPr>
              <w:t>%</w:t>
            </w:r>
          </w:p>
        </w:tc>
        <w:tc>
          <w:tcPr>
            <w:tcW w:w="462" w:type="pct"/>
            <w:shd w:val="clear" w:color="auto" w:fill="auto"/>
          </w:tcPr>
          <w:p w14:paraId="72F0CBA9" w14:textId="4D86F64E" w:rsidR="008F57EE" w:rsidRPr="00550D35" w:rsidRDefault="008F57EE" w:rsidP="008F57EE">
            <w:pPr>
              <w:pStyle w:val="Text2"/>
              <w:ind w:left="0" w:firstLine="0"/>
              <w:rPr>
                <w:sz w:val="20"/>
                <w:lang w:val="lv-LV"/>
              </w:rPr>
            </w:pPr>
            <w:r>
              <w:rPr>
                <w:sz w:val="20"/>
                <w:lang w:val="lv-LV"/>
              </w:rPr>
              <w:t>62</w:t>
            </w:r>
            <w:r w:rsidRPr="00550D35">
              <w:rPr>
                <w:sz w:val="20"/>
                <w:lang w:val="lv-LV"/>
              </w:rPr>
              <w:t>%</w:t>
            </w:r>
          </w:p>
        </w:tc>
        <w:tc>
          <w:tcPr>
            <w:tcW w:w="462" w:type="pct"/>
            <w:shd w:val="clear" w:color="auto" w:fill="auto"/>
          </w:tcPr>
          <w:p w14:paraId="1AC1FD8B" w14:textId="4DA3F9EF" w:rsidR="008F57EE" w:rsidRPr="00550D35" w:rsidRDefault="008F57EE" w:rsidP="008F57EE">
            <w:pPr>
              <w:pStyle w:val="Text2"/>
              <w:ind w:left="0" w:firstLine="0"/>
              <w:rPr>
                <w:sz w:val="20"/>
                <w:lang w:val="lv-LV"/>
              </w:rPr>
            </w:pPr>
            <w:r>
              <w:rPr>
                <w:sz w:val="20"/>
                <w:lang w:val="lv-LV"/>
              </w:rPr>
              <w:t>68,5</w:t>
            </w:r>
            <w:r w:rsidRPr="00550D35">
              <w:rPr>
                <w:sz w:val="20"/>
                <w:lang w:val="lv-LV"/>
              </w:rPr>
              <w:t>%</w:t>
            </w:r>
          </w:p>
        </w:tc>
        <w:tc>
          <w:tcPr>
            <w:tcW w:w="1103" w:type="pct"/>
            <w:shd w:val="clear" w:color="auto" w:fill="auto"/>
          </w:tcPr>
          <w:p w14:paraId="1F288DBF" w14:textId="26B8195F" w:rsidR="008F57EE" w:rsidRPr="00550D35" w:rsidRDefault="008F57EE" w:rsidP="008F57EE">
            <w:pPr>
              <w:pStyle w:val="Text2"/>
              <w:ind w:left="0" w:firstLine="0"/>
              <w:rPr>
                <w:sz w:val="20"/>
                <w:lang w:val="lv-LV"/>
              </w:rPr>
            </w:pPr>
            <w:r>
              <w:rPr>
                <w:sz w:val="20"/>
                <w:lang w:val="lv-LV"/>
              </w:rPr>
              <w:t>75</w:t>
            </w:r>
            <w:r w:rsidRPr="00550D35">
              <w:rPr>
                <w:sz w:val="20"/>
                <w:lang w:val="lv-LV"/>
              </w:rPr>
              <w:t>%</w:t>
            </w:r>
            <w:r w:rsidRPr="00550D35">
              <w:rPr>
                <w:sz w:val="20"/>
                <w:lang w:val="lv-LV"/>
              </w:rPr>
              <w:br/>
              <w:t>(ES mērķis 75 %)</w:t>
            </w:r>
          </w:p>
        </w:tc>
      </w:tr>
    </w:tbl>
    <w:p w14:paraId="640F0590" w14:textId="77777777" w:rsidR="00282A0B" w:rsidRPr="00550D35" w:rsidRDefault="00282A0B" w:rsidP="00282A0B">
      <w:pPr>
        <w:pStyle w:val="Text2"/>
        <w:rPr>
          <w:lang w:val="lv-LV"/>
        </w:rPr>
      </w:pPr>
    </w:p>
    <w:p w14:paraId="0FB49479" w14:textId="77777777" w:rsidR="00D536C9" w:rsidRPr="00550D35" w:rsidRDefault="00D536C9" w:rsidP="00D536C9">
      <w:pPr>
        <w:pStyle w:val="Heading2"/>
        <w:rPr>
          <w:lang w:val="lv-LV"/>
        </w:rPr>
      </w:pPr>
      <w:r w:rsidRPr="00550D35">
        <w:rPr>
          <w:lang w:val="lv-LV"/>
        </w:rPr>
        <w:t xml:space="preserve">Politika, pasākumi un darbības digitālā </w:t>
      </w:r>
      <w:proofErr w:type="spellStart"/>
      <w:r w:rsidRPr="00550D35">
        <w:rPr>
          <w:lang w:val="lv-LV"/>
        </w:rPr>
        <w:t>mērķrādītāja</w:t>
      </w:r>
      <w:proofErr w:type="spellEnd"/>
      <w:r w:rsidRPr="00550D35">
        <w:rPr>
          <w:lang w:val="lv-LV"/>
        </w:rPr>
        <w:t xml:space="preserve"> sasniegšanai </w:t>
      </w:r>
    </w:p>
    <w:p w14:paraId="1DB08E7F" w14:textId="77777777" w:rsidR="00D536C9" w:rsidRPr="00550D35" w:rsidRDefault="00D536C9" w:rsidP="00D536C9">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19575BE1" w14:textId="77777777" w:rsidR="00D536C9" w:rsidRPr="00550D35" w:rsidRDefault="00D536C9" w:rsidP="00D536C9">
      <w:pPr>
        <w:pStyle w:val="Text3"/>
        <w:ind w:left="0" w:firstLine="0"/>
        <w:rPr>
          <w:szCs w:val="24"/>
          <w:lang w:val="lv-LV"/>
        </w:rPr>
      </w:pPr>
      <w:r w:rsidRPr="00550D35">
        <w:rPr>
          <w:szCs w:val="24"/>
          <w:lang w:val="lv-LV"/>
        </w:rPr>
        <w:tab/>
        <w:t xml:space="preserve">Digitālo tehnoloģiju integrācija Latvijas uzņēmumiem var pavērt jaunas izdevības uzlabot savu konkurētspēju. Saskaņā ar NIP2027 MVU nepieciešams celt digitālās attīstības līmeni, tostarp aktīvāk izmantot </w:t>
      </w:r>
      <w:proofErr w:type="spellStart"/>
      <w:r w:rsidRPr="00550D35">
        <w:rPr>
          <w:szCs w:val="24"/>
          <w:lang w:val="lv-LV"/>
        </w:rPr>
        <w:t>mākoņpakalpojumus</w:t>
      </w:r>
      <w:proofErr w:type="spellEnd"/>
      <w:r w:rsidRPr="00550D35">
        <w:rPr>
          <w:szCs w:val="24"/>
          <w:lang w:val="lv-LV"/>
        </w:rPr>
        <w:t xml:space="preserve">, lai tuvinātos ES vidējiem rādītajiem digitālo tehnoloģiju integrācijā. </w:t>
      </w:r>
    </w:p>
    <w:p w14:paraId="476C93FD" w14:textId="77777777" w:rsidR="00D536C9" w:rsidRPr="00550D35" w:rsidRDefault="00D536C9" w:rsidP="00D536C9">
      <w:pPr>
        <w:pStyle w:val="Text3"/>
        <w:ind w:left="0" w:firstLine="0"/>
        <w:rPr>
          <w:b/>
          <w:bCs/>
          <w:lang w:val="lv-LV"/>
        </w:rPr>
      </w:pPr>
      <w:r w:rsidRPr="00550D35">
        <w:rPr>
          <w:b/>
          <w:bCs/>
          <w:lang w:val="lv-LV"/>
        </w:rPr>
        <w:t xml:space="preserve">Kopējais laika ietvars: </w:t>
      </w:r>
    </w:p>
    <w:tbl>
      <w:tblPr>
        <w:tblStyle w:val="TableGrid"/>
        <w:tblW w:w="5000" w:type="pct"/>
        <w:tblLook w:val="04A0" w:firstRow="1" w:lastRow="0" w:firstColumn="1" w:lastColumn="0" w:noHBand="0" w:noVBand="1"/>
      </w:tblPr>
      <w:tblGrid>
        <w:gridCol w:w="2061"/>
        <w:gridCol w:w="1117"/>
        <w:gridCol w:w="797"/>
        <w:gridCol w:w="690"/>
        <w:gridCol w:w="691"/>
        <w:gridCol w:w="790"/>
        <w:gridCol w:w="691"/>
        <w:gridCol w:w="815"/>
        <w:gridCol w:w="955"/>
      </w:tblGrid>
      <w:tr w:rsidR="00D536C9" w:rsidRPr="00550D35" w14:paraId="2060D479" w14:textId="77777777" w:rsidTr="00BA62A0">
        <w:tc>
          <w:tcPr>
            <w:tcW w:w="1176" w:type="pct"/>
            <w:shd w:val="clear" w:color="auto" w:fill="auto"/>
          </w:tcPr>
          <w:p w14:paraId="2B76352A" w14:textId="77777777" w:rsidR="00D536C9" w:rsidRPr="00550D35" w:rsidRDefault="00D536C9" w:rsidP="00BA62A0">
            <w:pPr>
              <w:spacing w:before="0" w:after="0"/>
              <w:ind w:firstLine="0"/>
              <w:jc w:val="left"/>
              <w:rPr>
                <w:sz w:val="20"/>
                <w:lang w:val="lv-LV"/>
              </w:rPr>
            </w:pPr>
          </w:p>
        </w:tc>
        <w:tc>
          <w:tcPr>
            <w:tcW w:w="652" w:type="pct"/>
          </w:tcPr>
          <w:p w14:paraId="70E26771" w14:textId="77777777" w:rsidR="00D536C9" w:rsidRPr="00550D35" w:rsidRDefault="00D536C9" w:rsidP="00BA62A0">
            <w:pPr>
              <w:spacing w:before="0" w:after="0"/>
              <w:ind w:firstLine="0"/>
              <w:rPr>
                <w:sz w:val="20"/>
                <w:lang w:val="lv-LV"/>
              </w:rPr>
            </w:pPr>
            <w:r w:rsidRPr="00550D35">
              <w:rPr>
                <w:sz w:val="20"/>
                <w:lang w:val="lv-LV"/>
              </w:rPr>
              <w:t>2023</w:t>
            </w:r>
          </w:p>
        </w:tc>
        <w:tc>
          <w:tcPr>
            <w:tcW w:w="466" w:type="pct"/>
          </w:tcPr>
          <w:p w14:paraId="38A75C6D" w14:textId="77777777" w:rsidR="00D536C9" w:rsidRPr="00550D35" w:rsidRDefault="00D536C9" w:rsidP="00BA62A0">
            <w:pPr>
              <w:spacing w:before="0" w:after="0"/>
              <w:ind w:firstLine="0"/>
              <w:rPr>
                <w:sz w:val="20"/>
                <w:lang w:val="lv-LV"/>
              </w:rPr>
            </w:pPr>
            <w:r w:rsidRPr="00550D35">
              <w:rPr>
                <w:sz w:val="20"/>
                <w:lang w:val="lv-LV"/>
              </w:rPr>
              <w:t>2024</w:t>
            </w:r>
          </w:p>
        </w:tc>
        <w:tc>
          <w:tcPr>
            <w:tcW w:w="404" w:type="pct"/>
          </w:tcPr>
          <w:p w14:paraId="07919D8A" w14:textId="77777777" w:rsidR="00D536C9" w:rsidRPr="00550D35" w:rsidRDefault="00D536C9" w:rsidP="00BA62A0">
            <w:pPr>
              <w:spacing w:before="0" w:after="0"/>
              <w:ind w:firstLine="0"/>
              <w:rPr>
                <w:sz w:val="20"/>
                <w:lang w:val="lv-LV"/>
              </w:rPr>
            </w:pPr>
            <w:r w:rsidRPr="00550D35">
              <w:rPr>
                <w:sz w:val="20"/>
                <w:lang w:val="lv-LV"/>
              </w:rPr>
              <w:t>2025</w:t>
            </w:r>
          </w:p>
        </w:tc>
        <w:tc>
          <w:tcPr>
            <w:tcW w:w="404" w:type="pct"/>
          </w:tcPr>
          <w:p w14:paraId="785565BC" w14:textId="77777777" w:rsidR="00D536C9" w:rsidRPr="00550D35" w:rsidRDefault="00D536C9" w:rsidP="00BA62A0">
            <w:pPr>
              <w:spacing w:before="0" w:after="0"/>
              <w:ind w:firstLine="0"/>
              <w:rPr>
                <w:sz w:val="20"/>
                <w:lang w:val="lv-LV"/>
              </w:rPr>
            </w:pPr>
            <w:r w:rsidRPr="00550D35">
              <w:rPr>
                <w:sz w:val="20"/>
                <w:lang w:val="lv-LV"/>
              </w:rPr>
              <w:t>2026</w:t>
            </w:r>
          </w:p>
        </w:tc>
        <w:tc>
          <w:tcPr>
            <w:tcW w:w="461" w:type="pct"/>
          </w:tcPr>
          <w:p w14:paraId="7F2CDCBF" w14:textId="77777777" w:rsidR="00D536C9" w:rsidRPr="00550D35" w:rsidRDefault="00D536C9" w:rsidP="00BA62A0">
            <w:pPr>
              <w:spacing w:before="0" w:after="0"/>
              <w:ind w:firstLine="0"/>
              <w:rPr>
                <w:sz w:val="20"/>
                <w:lang w:val="lv-LV"/>
              </w:rPr>
            </w:pPr>
            <w:r w:rsidRPr="00550D35">
              <w:rPr>
                <w:sz w:val="20"/>
                <w:lang w:val="lv-LV"/>
              </w:rPr>
              <w:t>2027</w:t>
            </w:r>
          </w:p>
        </w:tc>
        <w:tc>
          <w:tcPr>
            <w:tcW w:w="404" w:type="pct"/>
          </w:tcPr>
          <w:p w14:paraId="771D8A89" w14:textId="77777777" w:rsidR="00D536C9" w:rsidRPr="00550D35" w:rsidRDefault="00D536C9" w:rsidP="00BA62A0">
            <w:pPr>
              <w:spacing w:before="0" w:after="0"/>
              <w:ind w:firstLine="0"/>
              <w:rPr>
                <w:sz w:val="20"/>
                <w:lang w:val="lv-LV"/>
              </w:rPr>
            </w:pPr>
            <w:r w:rsidRPr="00550D35">
              <w:rPr>
                <w:sz w:val="20"/>
                <w:lang w:val="lv-LV"/>
              </w:rPr>
              <w:t>2028</w:t>
            </w:r>
          </w:p>
        </w:tc>
        <w:tc>
          <w:tcPr>
            <w:tcW w:w="476" w:type="pct"/>
          </w:tcPr>
          <w:p w14:paraId="4358B36A" w14:textId="77777777" w:rsidR="00D536C9" w:rsidRPr="00550D35" w:rsidRDefault="00D536C9" w:rsidP="00BA62A0">
            <w:pPr>
              <w:spacing w:before="0" w:after="0"/>
              <w:ind w:firstLine="0"/>
              <w:rPr>
                <w:sz w:val="20"/>
                <w:lang w:val="lv-LV"/>
              </w:rPr>
            </w:pPr>
            <w:r w:rsidRPr="00550D35">
              <w:rPr>
                <w:sz w:val="20"/>
                <w:lang w:val="lv-LV"/>
              </w:rPr>
              <w:t>2029</w:t>
            </w:r>
          </w:p>
        </w:tc>
        <w:tc>
          <w:tcPr>
            <w:tcW w:w="557" w:type="pct"/>
          </w:tcPr>
          <w:p w14:paraId="3CE7B6E9" w14:textId="77777777" w:rsidR="00D536C9" w:rsidRPr="00550D35" w:rsidRDefault="00D536C9" w:rsidP="00BA62A0">
            <w:pPr>
              <w:spacing w:before="0" w:after="0"/>
              <w:ind w:firstLine="0"/>
              <w:rPr>
                <w:sz w:val="20"/>
                <w:lang w:val="lv-LV"/>
              </w:rPr>
            </w:pPr>
            <w:r w:rsidRPr="00550D35">
              <w:rPr>
                <w:sz w:val="20"/>
                <w:lang w:val="lv-LV"/>
              </w:rPr>
              <w:t>2030</w:t>
            </w:r>
          </w:p>
        </w:tc>
      </w:tr>
      <w:tr w:rsidR="00D536C9" w:rsidRPr="00550D35" w14:paraId="223092AE" w14:textId="77777777" w:rsidTr="00BA62A0">
        <w:tc>
          <w:tcPr>
            <w:tcW w:w="5000" w:type="pct"/>
            <w:gridSpan w:val="9"/>
            <w:shd w:val="clear" w:color="auto" w:fill="BFBFBF" w:themeFill="background1" w:themeFillShade="BF"/>
          </w:tcPr>
          <w:p w14:paraId="3DC3F8E7" w14:textId="77777777" w:rsidR="00D536C9" w:rsidRPr="00550D35" w:rsidRDefault="00D536C9" w:rsidP="00BA62A0">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D536C9" w:rsidRPr="00550D35" w14:paraId="48C42A5A" w14:textId="77777777" w:rsidTr="00BA62A0">
        <w:tc>
          <w:tcPr>
            <w:tcW w:w="1176" w:type="pct"/>
            <w:shd w:val="clear" w:color="auto" w:fill="FFFFFF" w:themeFill="background1"/>
          </w:tcPr>
          <w:p w14:paraId="3C77F21B" w14:textId="77777777" w:rsidR="00D536C9" w:rsidRPr="007A3465" w:rsidRDefault="00D536C9" w:rsidP="00BA62A0">
            <w:pPr>
              <w:ind w:firstLine="0"/>
              <w:jc w:val="left"/>
              <w:rPr>
                <w:sz w:val="20"/>
                <w:lang w:val="lv-LV"/>
              </w:rPr>
            </w:pPr>
            <w:r w:rsidRPr="007A3465">
              <w:rPr>
                <w:sz w:val="20"/>
                <w:lang w:val="lv-LV"/>
              </w:rPr>
              <w:t xml:space="preserve">Pasākums Nr.1 - </w:t>
            </w:r>
          </w:p>
          <w:p w14:paraId="608FC7EE" w14:textId="77777777" w:rsidR="00D536C9" w:rsidRPr="006C484A" w:rsidRDefault="00D536C9" w:rsidP="00BA62A0">
            <w:pPr>
              <w:spacing w:before="0"/>
              <w:ind w:firstLine="22"/>
              <w:jc w:val="left"/>
              <w:rPr>
                <w:b/>
                <w:bCs/>
                <w:noProof/>
                <w:sz w:val="20"/>
                <w:lang w:val="lv-LV"/>
              </w:rPr>
            </w:pPr>
            <w:r w:rsidRPr="006C484A">
              <w:rPr>
                <w:b/>
                <w:bCs/>
                <w:noProof/>
                <w:sz w:val="20"/>
                <w:lang w:val="lv-LV"/>
              </w:rPr>
              <w:t xml:space="preserve"> “Atbalsts Digitālo inovāciju centru un reģionālo kontaktpunktu izveidei”</w:t>
            </w:r>
          </w:p>
          <w:p w14:paraId="06F5D24D" w14:textId="0C525635" w:rsidR="00D536C9" w:rsidRPr="007A3465" w:rsidRDefault="00D536C9" w:rsidP="00BA62A0">
            <w:pPr>
              <w:spacing w:before="0"/>
              <w:ind w:firstLine="22"/>
              <w:jc w:val="left"/>
              <w:rPr>
                <w:sz w:val="20"/>
                <w:lang w:val="lv-LV"/>
              </w:rPr>
            </w:pPr>
            <w:r w:rsidRPr="007A3465">
              <w:rPr>
                <w:sz w:val="20"/>
                <w:lang w:val="lv-LV"/>
              </w:rPr>
              <w:t>Finansējuma avots: ANM plāna investīcija 2.2.1.1.i.</w:t>
            </w:r>
          </w:p>
          <w:p w14:paraId="1F918979" w14:textId="77777777" w:rsidR="00D536C9" w:rsidRPr="007A3465" w:rsidRDefault="00D536C9" w:rsidP="00BA62A0">
            <w:pPr>
              <w:ind w:firstLine="0"/>
              <w:jc w:val="left"/>
              <w:rPr>
                <w:sz w:val="20"/>
                <w:lang w:val="lv-LV"/>
              </w:rPr>
            </w:pPr>
            <w:r w:rsidRPr="007A3465">
              <w:rPr>
                <w:sz w:val="20"/>
                <w:lang w:val="lv-LV"/>
              </w:rPr>
              <w:t>un</w:t>
            </w:r>
          </w:p>
          <w:p w14:paraId="2D53B4F5" w14:textId="77777777" w:rsidR="00D536C9" w:rsidRPr="006C484A" w:rsidRDefault="00D536C9" w:rsidP="00BA62A0">
            <w:pPr>
              <w:ind w:firstLine="0"/>
              <w:jc w:val="left"/>
              <w:rPr>
                <w:b/>
                <w:bCs/>
                <w:sz w:val="20"/>
                <w:lang w:val="lv-LV"/>
              </w:rPr>
            </w:pPr>
            <w:r w:rsidRPr="006C484A">
              <w:rPr>
                <w:b/>
                <w:bCs/>
                <w:sz w:val="20"/>
                <w:lang w:val="lv-LV"/>
              </w:rPr>
              <w:t xml:space="preserve">“Atbalsts procesu </w:t>
            </w:r>
            <w:proofErr w:type="spellStart"/>
            <w:r w:rsidRPr="006C484A">
              <w:rPr>
                <w:b/>
                <w:bCs/>
                <w:sz w:val="20"/>
                <w:lang w:val="lv-LV"/>
              </w:rPr>
              <w:t>digitalizācijai</w:t>
            </w:r>
            <w:proofErr w:type="spellEnd"/>
            <w:r w:rsidRPr="006C484A">
              <w:rPr>
                <w:b/>
                <w:bCs/>
                <w:noProof/>
                <w:sz w:val="20"/>
                <w:lang w:val="lv-LV"/>
              </w:rPr>
              <w:t xml:space="preserve"> </w:t>
            </w:r>
            <w:r w:rsidRPr="006C484A">
              <w:rPr>
                <w:b/>
                <w:bCs/>
                <w:sz w:val="20"/>
                <w:lang w:val="lv-LV"/>
              </w:rPr>
              <w:t>komercdarbībā”</w:t>
            </w:r>
          </w:p>
          <w:p w14:paraId="7F51F836" w14:textId="77777777" w:rsidR="00D536C9" w:rsidRPr="007A3465" w:rsidRDefault="00D536C9" w:rsidP="00BA62A0">
            <w:pPr>
              <w:ind w:firstLine="0"/>
              <w:jc w:val="left"/>
              <w:rPr>
                <w:noProof/>
                <w:sz w:val="20"/>
                <w:lang w:val="lv-LV"/>
              </w:rPr>
            </w:pPr>
            <w:r w:rsidRPr="007A3465">
              <w:rPr>
                <w:sz w:val="20"/>
                <w:lang w:val="lv-LV"/>
              </w:rPr>
              <w:t>Finansējuma avots: ERAF 1.2.2.1.</w:t>
            </w:r>
            <w:r w:rsidRPr="007A3465">
              <w:rPr>
                <w:noProof/>
                <w:sz w:val="20"/>
                <w:lang w:val="lv-LV"/>
              </w:rPr>
              <w:t xml:space="preserve"> </w:t>
            </w:r>
            <w:r>
              <w:rPr>
                <w:sz w:val="20"/>
                <w:lang w:val="lv-LV"/>
              </w:rPr>
              <w:t>pasākums</w:t>
            </w:r>
          </w:p>
        </w:tc>
        <w:tc>
          <w:tcPr>
            <w:tcW w:w="652" w:type="pct"/>
            <w:shd w:val="clear" w:color="auto" w:fill="70AD47" w:themeFill="accent6"/>
          </w:tcPr>
          <w:p w14:paraId="06AC2E53" w14:textId="77777777" w:rsidR="00D536C9" w:rsidRPr="00550D35" w:rsidRDefault="00D536C9" w:rsidP="00BA62A0">
            <w:pPr>
              <w:spacing w:before="0" w:after="0"/>
              <w:rPr>
                <w:sz w:val="20"/>
                <w:lang w:val="lv-LV"/>
              </w:rPr>
            </w:pPr>
          </w:p>
        </w:tc>
        <w:tc>
          <w:tcPr>
            <w:tcW w:w="466" w:type="pct"/>
            <w:shd w:val="clear" w:color="auto" w:fill="70AD47" w:themeFill="accent6"/>
          </w:tcPr>
          <w:p w14:paraId="1679DFA0" w14:textId="77777777" w:rsidR="00D536C9" w:rsidRPr="00550D35" w:rsidRDefault="00D536C9" w:rsidP="00BA62A0">
            <w:pPr>
              <w:spacing w:before="0" w:after="0"/>
              <w:rPr>
                <w:sz w:val="20"/>
                <w:lang w:val="lv-LV"/>
              </w:rPr>
            </w:pPr>
          </w:p>
        </w:tc>
        <w:tc>
          <w:tcPr>
            <w:tcW w:w="404" w:type="pct"/>
            <w:shd w:val="clear" w:color="auto" w:fill="70AD47" w:themeFill="accent6"/>
          </w:tcPr>
          <w:p w14:paraId="5C84BCD0" w14:textId="77777777" w:rsidR="00D536C9" w:rsidRPr="00550D35" w:rsidRDefault="00D536C9" w:rsidP="00BA62A0">
            <w:pPr>
              <w:spacing w:before="0" w:after="0"/>
              <w:rPr>
                <w:sz w:val="20"/>
                <w:lang w:val="lv-LV"/>
              </w:rPr>
            </w:pPr>
          </w:p>
        </w:tc>
        <w:tc>
          <w:tcPr>
            <w:tcW w:w="404" w:type="pct"/>
            <w:shd w:val="clear" w:color="auto" w:fill="70AD47" w:themeFill="accent6"/>
          </w:tcPr>
          <w:p w14:paraId="6B4C6089" w14:textId="77777777" w:rsidR="00D536C9" w:rsidRPr="00550D35" w:rsidRDefault="00D536C9" w:rsidP="00BA62A0">
            <w:pPr>
              <w:spacing w:before="0" w:after="0"/>
              <w:rPr>
                <w:sz w:val="20"/>
                <w:lang w:val="lv-LV"/>
              </w:rPr>
            </w:pPr>
          </w:p>
        </w:tc>
        <w:tc>
          <w:tcPr>
            <w:tcW w:w="461" w:type="pct"/>
            <w:shd w:val="clear" w:color="auto" w:fill="70AD47" w:themeFill="accent6"/>
          </w:tcPr>
          <w:p w14:paraId="6C2053F7" w14:textId="77777777" w:rsidR="00D536C9" w:rsidRPr="00550D35" w:rsidRDefault="00D536C9" w:rsidP="00BA62A0">
            <w:pPr>
              <w:spacing w:before="0" w:after="0"/>
              <w:rPr>
                <w:sz w:val="20"/>
                <w:lang w:val="lv-LV"/>
              </w:rPr>
            </w:pPr>
          </w:p>
        </w:tc>
        <w:tc>
          <w:tcPr>
            <w:tcW w:w="404" w:type="pct"/>
            <w:shd w:val="clear" w:color="auto" w:fill="70AD47" w:themeFill="accent6"/>
          </w:tcPr>
          <w:p w14:paraId="2F420FA9" w14:textId="77777777" w:rsidR="00D536C9" w:rsidRPr="00550D35" w:rsidRDefault="00D536C9" w:rsidP="00BA62A0">
            <w:pPr>
              <w:spacing w:before="0" w:after="0"/>
              <w:rPr>
                <w:sz w:val="20"/>
                <w:lang w:val="lv-LV"/>
              </w:rPr>
            </w:pPr>
          </w:p>
        </w:tc>
        <w:tc>
          <w:tcPr>
            <w:tcW w:w="476" w:type="pct"/>
            <w:shd w:val="clear" w:color="auto" w:fill="70AD47" w:themeFill="accent6"/>
          </w:tcPr>
          <w:p w14:paraId="145F93A6" w14:textId="77777777" w:rsidR="00D536C9" w:rsidRPr="00550D35" w:rsidRDefault="00D536C9" w:rsidP="00BA62A0">
            <w:pPr>
              <w:spacing w:before="0" w:after="0"/>
              <w:rPr>
                <w:sz w:val="20"/>
                <w:lang w:val="lv-LV"/>
              </w:rPr>
            </w:pPr>
          </w:p>
        </w:tc>
        <w:tc>
          <w:tcPr>
            <w:tcW w:w="557" w:type="pct"/>
          </w:tcPr>
          <w:p w14:paraId="31B00532" w14:textId="77777777" w:rsidR="00D536C9" w:rsidRPr="00550D35" w:rsidRDefault="00D536C9" w:rsidP="00BA62A0">
            <w:pPr>
              <w:spacing w:before="0" w:after="0"/>
              <w:rPr>
                <w:sz w:val="20"/>
                <w:lang w:val="lv-LV"/>
              </w:rPr>
            </w:pPr>
          </w:p>
        </w:tc>
      </w:tr>
      <w:tr w:rsidR="00D536C9" w:rsidRPr="001C3663" w14:paraId="1D393343" w14:textId="77777777" w:rsidTr="00BA62A0">
        <w:tc>
          <w:tcPr>
            <w:tcW w:w="1176" w:type="pct"/>
            <w:shd w:val="clear" w:color="auto" w:fill="FFFFFF" w:themeFill="background1"/>
          </w:tcPr>
          <w:p w14:paraId="28999AB6" w14:textId="77777777" w:rsidR="00D536C9" w:rsidRPr="007A3465" w:rsidRDefault="00D536C9" w:rsidP="00BA62A0">
            <w:pPr>
              <w:ind w:firstLine="0"/>
              <w:jc w:val="left"/>
              <w:rPr>
                <w:sz w:val="20"/>
                <w:lang w:val="lv-LV"/>
              </w:rPr>
            </w:pPr>
            <w:r w:rsidRPr="007A3465">
              <w:rPr>
                <w:sz w:val="20"/>
                <w:lang w:val="lv-LV"/>
              </w:rPr>
              <w:t xml:space="preserve">Pasākums Nr.2 - </w:t>
            </w:r>
          </w:p>
          <w:p w14:paraId="27D0EDB1" w14:textId="77777777" w:rsidR="00D536C9" w:rsidRPr="006C484A" w:rsidRDefault="00D536C9" w:rsidP="00BA62A0">
            <w:pPr>
              <w:ind w:firstLine="0"/>
              <w:jc w:val="left"/>
              <w:rPr>
                <w:b/>
                <w:bCs/>
                <w:sz w:val="20"/>
                <w:lang w:val="lv-LV"/>
              </w:rPr>
            </w:pPr>
            <w:r w:rsidRPr="007A3465">
              <w:rPr>
                <w:sz w:val="20"/>
                <w:lang w:val="lv-LV"/>
              </w:rPr>
              <w:t xml:space="preserve"> </w:t>
            </w:r>
            <w:r w:rsidRPr="006C484A">
              <w:rPr>
                <w:b/>
                <w:bCs/>
                <w:sz w:val="20"/>
                <w:lang w:val="lv-LV"/>
              </w:rPr>
              <w:t xml:space="preserve">“Atbalsts procesu </w:t>
            </w:r>
            <w:proofErr w:type="spellStart"/>
            <w:r w:rsidRPr="006C484A">
              <w:rPr>
                <w:b/>
                <w:bCs/>
                <w:sz w:val="20"/>
                <w:lang w:val="lv-LV"/>
              </w:rPr>
              <w:t>digitalizācijai</w:t>
            </w:r>
            <w:proofErr w:type="spellEnd"/>
            <w:r w:rsidRPr="006C484A">
              <w:rPr>
                <w:b/>
                <w:bCs/>
                <w:sz w:val="20"/>
                <w:lang w:val="lv-LV"/>
              </w:rPr>
              <w:t xml:space="preserve"> komercdarbībā”</w:t>
            </w:r>
          </w:p>
          <w:p w14:paraId="153B7446" w14:textId="77777777" w:rsidR="00D536C9" w:rsidRPr="007A3465" w:rsidRDefault="00D536C9" w:rsidP="00BA62A0">
            <w:pPr>
              <w:ind w:firstLine="0"/>
              <w:jc w:val="left"/>
              <w:rPr>
                <w:sz w:val="20"/>
                <w:lang w:val="lv-LV"/>
              </w:rPr>
            </w:pPr>
            <w:r w:rsidRPr="007A3465">
              <w:rPr>
                <w:color w:val="525252"/>
                <w:sz w:val="20"/>
                <w:shd w:val="clear" w:color="auto" w:fill="FFFFFF" w:themeFill="background1"/>
                <w:lang w:val="lv-LV"/>
              </w:rPr>
              <w:t>F</w:t>
            </w:r>
            <w:r w:rsidRPr="007A3465">
              <w:rPr>
                <w:sz w:val="20"/>
                <w:shd w:val="clear" w:color="auto" w:fill="FFFFFF" w:themeFill="background1"/>
                <w:lang w:val="lv-LV"/>
              </w:rPr>
              <w:t>inansējuma avots</w:t>
            </w:r>
            <w:r w:rsidRPr="007A3465">
              <w:rPr>
                <w:sz w:val="20"/>
                <w:lang w:val="lv-LV"/>
              </w:rPr>
              <w:t>: ANM plāna investīcija 2.2.1.2.i</w:t>
            </w:r>
          </w:p>
        </w:tc>
        <w:tc>
          <w:tcPr>
            <w:tcW w:w="652" w:type="pct"/>
            <w:shd w:val="clear" w:color="auto" w:fill="70AD47" w:themeFill="accent6"/>
          </w:tcPr>
          <w:p w14:paraId="24E85428" w14:textId="77777777" w:rsidR="00D536C9" w:rsidRPr="00550D35" w:rsidRDefault="00D536C9" w:rsidP="00BA62A0">
            <w:pPr>
              <w:spacing w:before="0" w:after="0"/>
              <w:rPr>
                <w:sz w:val="20"/>
                <w:lang w:val="lv-LV"/>
              </w:rPr>
            </w:pPr>
          </w:p>
        </w:tc>
        <w:tc>
          <w:tcPr>
            <w:tcW w:w="466" w:type="pct"/>
            <w:shd w:val="clear" w:color="auto" w:fill="70AD47" w:themeFill="accent6"/>
          </w:tcPr>
          <w:p w14:paraId="7FF15B3E" w14:textId="77777777" w:rsidR="00D536C9" w:rsidRPr="00550D35" w:rsidRDefault="00D536C9" w:rsidP="00BA62A0">
            <w:pPr>
              <w:spacing w:before="0" w:after="0"/>
              <w:rPr>
                <w:sz w:val="20"/>
                <w:lang w:val="lv-LV"/>
              </w:rPr>
            </w:pPr>
          </w:p>
        </w:tc>
        <w:tc>
          <w:tcPr>
            <w:tcW w:w="404" w:type="pct"/>
            <w:shd w:val="clear" w:color="auto" w:fill="70AD47" w:themeFill="accent6"/>
          </w:tcPr>
          <w:p w14:paraId="69465C1F" w14:textId="77777777" w:rsidR="00D536C9" w:rsidRPr="00550D35" w:rsidRDefault="00D536C9" w:rsidP="00BA62A0">
            <w:pPr>
              <w:spacing w:before="0" w:after="0"/>
              <w:rPr>
                <w:sz w:val="20"/>
                <w:lang w:val="lv-LV"/>
              </w:rPr>
            </w:pPr>
          </w:p>
        </w:tc>
        <w:tc>
          <w:tcPr>
            <w:tcW w:w="404" w:type="pct"/>
            <w:shd w:val="clear" w:color="auto" w:fill="70AD47" w:themeFill="accent6"/>
          </w:tcPr>
          <w:p w14:paraId="4B49022E" w14:textId="77777777" w:rsidR="00D536C9" w:rsidRPr="00550D35" w:rsidRDefault="00D536C9" w:rsidP="00BA62A0">
            <w:pPr>
              <w:spacing w:before="0" w:after="0"/>
              <w:rPr>
                <w:sz w:val="20"/>
                <w:lang w:val="lv-LV"/>
              </w:rPr>
            </w:pPr>
          </w:p>
        </w:tc>
        <w:tc>
          <w:tcPr>
            <w:tcW w:w="461" w:type="pct"/>
          </w:tcPr>
          <w:p w14:paraId="4AE56E49" w14:textId="77777777" w:rsidR="00D536C9" w:rsidRPr="00550D35" w:rsidRDefault="00D536C9" w:rsidP="00BA62A0">
            <w:pPr>
              <w:spacing w:before="0" w:after="0"/>
              <w:rPr>
                <w:sz w:val="20"/>
                <w:lang w:val="lv-LV"/>
              </w:rPr>
            </w:pPr>
          </w:p>
        </w:tc>
        <w:tc>
          <w:tcPr>
            <w:tcW w:w="404" w:type="pct"/>
          </w:tcPr>
          <w:p w14:paraId="5EC4BC9C" w14:textId="77777777" w:rsidR="00D536C9" w:rsidRPr="00550D35" w:rsidRDefault="00D536C9" w:rsidP="00BA62A0">
            <w:pPr>
              <w:spacing w:before="0" w:after="0"/>
              <w:rPr>
                <w:sz w:val="20"/>
                <w:lang w:val="lv-LV"/>
              </w:rPr>
            </w:pPr>
          </w:p>
        </w:tc>
        <w:tc>
          <w:tcPr>
            <w:tcW w:w="476" w:type="pct"/>
          </w:tcPr>
          <w:p w14:paraId="3C84A18F" w14:textId="77777777" w:rsidR="00D536C9" w:rsidRPr="00550D35" w:rsidRDefault="00D536C9" w:rsidP="00BA62A0">
            <w:pPr>
              <w:spacing w:before="0" w:after="0"/>
              <w:rPr>
                <w:sz w:val="20"/>
                <w:lang w:val="lv-LV"/>
              </w:rPr>
            </w:pPr>
          </w:p>
        </w:tc>
        <w:tc>
          <w:tcPr>
            <w:tcW w:w="557" w:type="pct"/>
          </w:tcPr>
          <w:p w14:paraId="4736D293" w14:textId="77777777" w:rsidR="00D536C9" w:rsidRPr="00550D35" w:rsidRDefault="00D536C9" w:rsidP="00BA62A0">
            <w:pPr>
              <w:spacing w:before="0" w:after="0"/>
              <w:rPr>
                <w:sz w:val="20"/>
                <w:lang w:val="lv-LV"/>
              </w:rPr>
            </w:pPr>
          </w:p>
        </w:tc>
      </w:tr>
      <w:tr w:rsidR="00D536C9" w:rsidRPr="001F7F45" w14:paraId="1CDB7E2B" w14:textId="77777777" w:rsidTr="00BA62A0">
        <w:tc>
          <w:tcPr>
            <w:tcW w:w="1176" w:type="pct"/>
            <w:shd w:val="clear" w:color="auto" w:fill="FFFFFF" w:themeFill="background1"/>
          </w:tcPr>
          <w:p w14:paraId="36704D5C" w14:textId="77777777" w:rsidR="00D536C9" w:rsidRPr="007A3465" w:rsidRDefault="00D536C9" w:rsidP="00BA62A0">
            <w:pPr>
              <w:ind w:firstLine="0"/>
              <w:jc w:val="left"/>
              <w:rPr>
                <w:sz w:val="20"/>
                <w:lang w:val="lv-LV"/>
              </w:rPr>
            </w:pPr>
            <w:r w:rsidRPr="007A3465">
              <w:rPr>
                <w:sz w:val="20"/>
                <w:lang w:val="lv-LV"/>
              </w:rPr>
              <w:t xml:space="preserve">Pasākums Nr. 3 - </w:t>
            </w:r>
          </w:p>
          <w:p w14:paraId="0D5488DC" w14:textId="77777777" w:rsidR="00D536C9" w:rsidRPr="00EC7F36" w:rsidRDefault="00D536C9" w:rsidP="00BA62A0">
            <w:pPr>
              <w:ind w:firstLine="0"/>
              <w:rPr>
                <w:b/>
                <w:bCs/>
                <w:sz w:val="20"/>
                <w:lang w:val="lv-LV"/>
              </w:rPr>
            </w:pPr>
            <w:r w:rsidRPr="00EC7F36">
              <w:rPr>
                <w:b/>
                <w:bCs/>
                <w:sz w:val="20"/>
                <w:lang w:val="lv-LV"/>
              </w:rPr>
              <w:t>“Atbalsts jaunu produktu un pakalpojumu ieviešanai komercdarbībā”</w:t>
            </w:r>
          </w:p>
          <w:p w14:paraId="7F130981" w14:textId="77777777" w:rsidR="00D536C9" w:rsidRPr="007A3465" w:rsidRDefault="00D536C9" w:rsidP="00BA62A0">
            <w:pPr>
              <w:ind w:firstLine="0"/>
              <w:rPr>
                <w:sz w:val="20"/>
                <w:lang w:val="lv-LV"/>
              </w:rPr>
            </w:pPr>
            <w:r w:rsidRPr="007A3465">
              <w:rPr>
                <w:sz w:val="20"/>
                <w:lang w:val="lv-LV"/>
              </w:rPr>
              <w:t>Finansējuma avots: ANM plāna investīcija 2.2.1.3.i</w:t>
            </w:r>
          </w:p>
          <w:p w14:paraId="186092CD" w14:textId="77777777" w:rsidR="00D536C9" w:rsidRPr="007A3465" w:rsidRDefault="00D536C9" w:rsidP="00BA62A0">
            <w:pPr>
              <w:ind w:firstLine="0"/>
              <w:rPr>
                <w:sz w:val="20"/>
                <w:lang w:val="lv-LV"/>
              </w:rPr>
            </w:pPr>
            <w:r w:rsidRPr="007A3465">
              <w:rPr>
                <w:sz w:val="20"/>
                <w:lang w:val="lv-LV"/>
              </w:rPr>
              <w:t>un</w:t>
            </w:r>
            <w:r w:rsidRPr="007A3465">
              <w:rPr>
                <w:sz w:val="20"/>
                <w:lang w:val="lv-LV"/>
              </w:rPr>
              <w:br/>
            </w:r>
            <w:r w:rsidRPr="00EC7F36">
              <w:rPr>
                <w:b/>
                <w:bCs/>
                <w:sz w:val="20"/>
                <w:lang w:val="lv-LV"/>
              </w:rPr>
              <w:t>“Atbalsts jaunu produktu attīstībai un internacionalizācijai”</w:t>
            </w:r>
          </w:p>
          <w:p w14:paraId="4BEC7C8B" w14:textId="509B5460" w:rsidR="00D536C9" w:rsidRPr="007A3465" w:rsidRDefault="00D536C9" w:rsidP="00BA62A0">
            <w:pPr>
              <w:ind w:firstLine="0"/>
              <w:rPr>
                <w:sz w:val="20"/>
                <w:lang w:val="lv-LV"/>
              </w:rPr>
            </w:pPr>
            <w:r w:rsidRPr="007A3465">
              <w:rPr>
                <w:sz w:val="20"/>
                <w:lang w:val="lv-LV"/>
              </w:rPr>
              <w:t>Finansējuma avots: ERAF</w:t>
            </w:r>
            <w:r w:rsidR="0096774F">
              <w:rPr>
                <w:sz w:val="20"/>
                <w:lang w:val="lv-LV"/>
              </w:rPr>
              <w:br/>
            </w:r>
            <w:r w:rsidRPr="007A3465">
              <w:rPr>
                <w:sz w:val="20"/>
                <w:lang w:val="lv-LV"/>
              </w:rPr>
              <w:t>1.2.1.1.</w:t>
            </w:r>
            <w:r>
              <w:rPr>
                <w:sz w:val="20"/>
                <w:lang w:val="lv-LV"/>
              </w:rPr>
              <w:t xml:space="preserve"> pasākums</w:t>
            </w:r>
          </w:p>
        </w:tc>
        <w:tc>
          <w:tcPr>
            <w:tcW w:w="652" w:type="pct"/>
            <w:shd w:val="clear" w:color="auto" w:fill="70AD47" w:themeFill="accent6"/>
          </w:tcPr>
          <w:p w14:paraId="4A72B191" w14:textId="77777777" w:rsidR="00D536C9" w:rsidRPr="00550D35" w:rsidRDefault="00D536C9" w:rsidP="00BA62A0">
            <w:pPr>
              <w:spacing w:before="0" w:after="0"/>
              <w:rPr>
                <w:sz w:val="20"/>
                <w:lang w:val="lv-LV"/>
              </w:rPr>
            </w:pPr>
          </w:p>
        </w:tc>
        <w:tc>
          <w:tcPr>
            <w:tcW w:w="466" w:type="pct"/>
            <w:shd w:val="clear" w:color="auto" w:fill="70AD47" w:themeFill="accent6"/>
          </w:tcPr>
          <w:p w14:paraId="2D12F60C" w14:textId="77777777" w:rsidR="00D536C9" w:rsidRPr="00550D35" w:rsidRDefault="00D536C9" w:rsidP="00BA62A0">
            <w:pPr>
              <w:spacing w:before="0" w:after="0"/>
              <w:rPr>
                <w:sz w:val="20"/>
                <w:lang w:val="lv-LV"/>
              </w:rPr>
            </w:pPr>
          </w:p>
        </w:tc>
        <w:tc>
          <w:tcPr>
            <w:tcW w:w="404" w:type="pct"/>
            <w:shd w:val="clear" w:color="auto" w:fill="70AD47" w:themeFill="accent6"/>
          </w:tcPr>
          <w:p w14:paraId="4B75F330" w14:textId="77777777" w:rsidR="00D536C9" w:rsidRPr="00550D35" w:rsidRDefault="00D536C9" w:rsidP="00BA62A0">
            <w:pPr>
              <w:spacing w:before="0" w:after="0"/>
              <w:rPr>
                <w:sz w:val="20"/>
                <w:lang w:val="lv-LV"/>
              </w:rPr>
            </w:pPr>
          </w:p>
        </w:tc>
        <w:tc>
          <w:tcPr>
            <w:tcW w:w="404" w:type="pct"/>
            <w:shd w:val="clear" w:color="auto" w:fill="70AD47" w:themeFill="accent6"/>
          </w:tcPr>
          <w:p w14:paraId="06FF678F" w14:textId="77777777" w:rsidR="00D536C9" w:rsidRPr="00550D35" w:rsidRDefault="00D536C9" w:rsidP="00BA62A0">
            <w:pPr>
              <w:spacing w:before="0" w:after="0"/>
              <w:rPr>
                <w:sz w:val="20"/>
                <w:lang w:val="lv-LV"/>
              </w:rPr>
            </w:pPr>
          </w:p>
        </w:tc>
        <w:tc>
          <w:tcPr>
            <w:tcW w:w="461" w:type="pct"/>
            <w:shd w:val="clear" w:color="auto" w:fill="70AD47" w:themeFill="accent6"/>
          </w:tcPr>
          <w:p w14:paraId="0F349ABD" w14:textId="77777777" w:rsidR="00D536C9" w:rsidRPr="00550D35" w:rsidRDefault="00D536C9" w:rsidP="00BA62A0">
            <w:pPr>
              <w:spacing w:before="0" w:after="0"/>
              <w:rPr>
                <w:sz w:val="20"/>
                <w:lang w:val="lv-LV"/>
              </w:rPr>
            </w:pPr>
          </w:p>
        </w:tc>
        <w:tc>
          <w:tcPr>
            <w:tcW w:w="404" w:type="pct"/>
            <w:shd w:val="clear" w:color="auto" w:fill="70AD47" w:themeFill="accent6"/>
          </w:tcPr>
          <w:p w14:paraId="70210A91" w14:textId="77777777" w:rsidR="00D536C9" w:rsidRPr="00550D35" w:rsidRDefault="00D536C9" w:rsidP="00BA62A0">
            <w:pPr>
              <w:spacing w:before="0" w:after="0"/>
              <w:rPr>
                <w:sz w:val="20"/>
                <w:lang w:val="lv-LV"/>
              </w:rPr>
            </w:pPr>
          </w:p>
        </w:tc>
        <w:tc>
          <w:tcPr>
            <w:tcW w:w="476" w:type="pct"/>
            <w:shd w:val="clear" w:color="auto" w:fill="70AD47" w:themeFill="accent6"/>
          </w:tcPr>
          <w:p w14:paraId="3E9F4893" w14:textId="77777777" w:rsidR="00D536C9" w:rsidRPr="00550D35" w:rsidRDefault="00D536C9" w:rsidP="00BA62A0">
            <w:pPr>
              <w:spacing w:before="0" w:after="0"/>
              <w:rPr>
                <w:sz w:val="20"/>
                <w:lang w:val="lv-LV"/>
              </w:rPr>
            </w:pPr>
          </w:p>
        </w:tc>
        <w:tc>
          <w:tcPr>
            <w:tcW w:w="557" w:type="pct"/>
            <w:shd w:val="clear" w:color="auto" w:fill="FFFFFF" w:themeFill="background1"/>
          </w:tcPr>
          <w:p w14:paraId="7FAFF874" w14:textId="77777777" w:rsidR="00D536C9" w:rsidRPr="00550D35" w:rsidRDefault="00D536C9" w:rsidP="00BA62A0">
            <w:pPr>
              <w:spacing w:before="0" w:after="0"/>
              <w:rPr>
                <w:sz w:val="20"/>
                <w:lang w:val="lv-LV"/>
              </w:rPr>
            </w:pPr>
          </w:p>
        </w:tc>
      </w:tr>
      <w:tr w:rsidR="00D536C9" w:rsidRPr="001C3663" w14:paraId="0347E3A6" w14:textId="77777777" w:rsidTr="00BA62A0">
        <w:tc>
          <w:tcPr>
            <w:tcW w:w="1176" w:type="pct"/>
          </w:tcPr>
          <w:p w14:paraId="2B83ED32" w14:textId="77777777" w:rsidR="00D536C9" w:rsidRPr="007A3465" w:rsidRDefault="00D536C9" w:rsidP="00BA62A0">
            <w:pPr>
              <w:ind w:firstLine="0"/>
              <w:jc w:val="left"/>
              <w:rPr>
                <w:sz w:val="20"/>
                <w:lang w:val="lv-LV"/>
              </w:rPr>
            </w:pPr>
            <w:r w:rsidRPr="007A3465">
              <w:rPr>
                <w:sz w:val="20"/>
                <w:lang w:val="lv-LV"/>
              </w:rPr>
              <w:t xml:space="preserve">Pasākums Nr. 4 - </w:t>
            </w:r>
          </w:p>
          <w:p w14:paraId="7F2F6C21" w14:textId="77777777" w:rsidR="00D536C9" w:rsidRPr="00EC7F36" w:rsidRDefault="00D536C9" w:rsidP="00BA62A0">
            <w:pPr>
              <w:ind w:firstLine="0"/>
              <w:jc w:val="left"/>
              <w:rPr>
                <w:b/>
                <w:bCs/>
                <w:sz w:val="20"/>
                <w:lang w:val="lv-LV"/>
              </w:rPr>
            </w:pPr>
            <w:r w:rsidRPr="00EC7F36">
              <w:rPr>
                <w:b/>
                <w:bCs/>
                <w:sz w:val="20"/>
                <w:lang w:val="lv-LV"/>
              </w:rPr>
              <w:lastRenderedPageBreak/>
              <w:t xml:space="preserve"> “Finanšu instrumenti komersantu digitālās transformācijas veicināšanai”</w:t>
            </w:r>
          </w:p>
          <w:p w14:paraId="59542D71" w14:textId="77777777" w:rsidR="00D536C9" w:rsidRPr="007A3465" w:rsidRDefault="00D536C9" w:rsidP="00BA62A0">
            <w:pPr>
              <w:ind w:firstLine="0"/>
              <w:jc w:val="left"/>
              <w:rPr>
                <w:sz w:val="20"/>
                <w:lang w:val="lv-LV"/>
              </w:rPr>
            </w:pPr>
            <w:r w:rsidRPr="007A3465">
              <w:rPr>
                <w:sz w:val="20"/>
                <w:lang w:val="lv-LV"/>
              </w:rPr>
              <w:t>Finansējuma avots: ANM plāna investīcija 2</w:t>
            </w:r>
            <w:r w:rsidRPr="007A3465">
              <w:rPr>
                <w:noProof/>
                <w:sz w:val="20"/>
                <w:lang w:val="lv-LV"/>
              </w:rPr>
              <w:t>.2.1.4.i</w:t>
            </w:r>
          </w:p>
        </w:tc>
        <w:tc>
          <w:tcPr>
            <w:tcW w:w="652" w:type="pct"/>
            <w:shd w:val="clear" w:color="auto" w:fill="70AD47" w:themeFill="accent6"/>
          </w:tcPr>
          <w:p w14:paraId="0D6020D8" w14:textId="77777777" w:rsidR="00D536C9" w:rsidRPr="00550D35" w:rsidRDefault="00D536C9" w:rsidP="00BA62A0">
            <w:pPr>
              <w:spacing w:before="0" w:after="0"/>
              <w:rPr>
                <w:sz w:val="20"/>
                <w:lang w:val="lv-LV"/>
              </w:rPr>
            </w:pPr>
          </w:p>
        </w:tc>
        <w:tc>
          <w:tcPr>
            <w:tcW w:w="466" w:type="pct"/>
            <w:shd w:val="clear" w:color="auto" w:fill="70AD47" w:themeFill="accent6"/>
          </w:tcPr>
          <w:p w14:paraId="3BD8BB50" w14:textId="77777777" w:rsidR="00D536C9" w:rsidRPr="00550D35" w:rsidRDefault="00D536C9" w:rsidP="00BA62A0">
            <w:pPr>
              <w:spacing w:before="0" w:after="0"/>
              <w:rPr>
                <w:sz w:val="20"/>
                <w:lang w:val="lv-LV"/>
              </w:rPr>
            </w:pPr>
          </w:p>
        </w:tc>
        <w:tc>
          <w:tcPr>
            <w:tcW w:w="404" w:type="pct"/>
            <w:shd w:val="clear" w:color="auto" w:fill="70AD47" w:themeFill="accent6"/>
          </w:tcPr>
          <w:p w14:paraId="0496B26D" w14:textId="77777777" w:rsidR="00D536C9" w:rsidRPr="00550D35" w:rsidRDefault="00D536C9" w:rsidP="00BA62A0">
            <w:pPr>
              <w:spacing w:before="0" w:after="0"/>
              <w:rPr>
                <w:sz w:val="20"/>
                <w:lang w:val="lv-LV"/>
              </w:rPr>
            </w:pPr>
          </w:p>
        </w:tc>
        <w:tc>
          <w:tcPr>
            <w:tcW w:w="404" w:type="pct"/>
            <w:shd w:val="clear" w:color="auto" w:fill="70AD47" w:themeFill="accent6"/>
          </w:tcPr>
          <w:p w14:paraId="2447A237" w14:textId="77777777" w:rsidR="00D536C9" w:rsidRPr="00550D35" w:rsidRDefault="00D536C9" w:rsidP="00BA62A0">
            <w:pPr>
              <w:spacing w:before="0" w:after="0"/>
              <w:rPr>
                <w:sz w:val="20"/>
                <w:lang w:val="lv-LV"/>
              </w:rPr>
            </w:pPr>
          </w:p>
        </w:tc>
        <w:tc>
          <w:tcPr>
            <w:tcW w:w="461" w:type="pct"/>
            <w:shd w:val="clear" w:color="auto" w:fill="auto"/>
          </w:tcPr>
          <w:p w14:paraId="6B26EEAC" w14:textId="77777777" w:rsidR="00D536C9" w:rsidRPr="00550D35" w:rsidRDefault="00D536C9" w:rsidP="00BA62A0">
            <w:pPr>
              <w:spacing w:before="0" w:after="0"/>
              <w:rPr>
                <w:sz w:val="20"/>
                <w:lang w:val="lv-LV"/>
              </w:rPr>
            </w:pPr>
          </w:p>
        </w:tc>
        <w:tc>
          <w:tcPr>
            <w:tcW w:w="404" w:type="pct"/>
            <w:shd w:val="clear" w:color="auto" w:fill="auto"/>
          </w:tcPr>
          <w:p w14:paraId="4F9F1C64" w14:textId="77777777" w:rsidR="00D536C9" w:rsidRPr="00550D35" w:rsidRDefault="00D536C9" w:rsidP="00BA62A0">
            <w:pPr>
              <w:spacing w:before="0" w:after="0"/>
              <w:rPr>
                <w:sz w:val="20"/>
                <w:lang w:val="lv-LV"/>
              </w:rPr>
            </w:pPr>
          </w:p>
        </w:tc>
        <w:tc>
          <w:tcPr>
            <w:tcW w:w="476" w:type="pct"/>
            <w:shd w:val="clear" w:color="auto" w:fill="auto"/>
          </w:tcPr>
          <w:p w14:paraId="2611155A" w14:textId="77777777" w:rsidR="00D536C9" w:rsidRPr="00550D35" w:rsidRDefault="00D536C9" w:rsidP="00BA62A0">
            <w:pPr>
              <w:spacing w:before="0" w:after="0"/>
              <w:rPr>
                <w:sz w:val="20"/>
                <w:lang w:val="lv-LV"/>
              </w:rPr>
            </w:pPr>
          </w:p>
        </w:tc>
        <w:tc>
          <w:tcPr>
            <w:tcW w:w="557" w:type="pct"/>
            <w:shd w:val="clear" w:color="auto" w:fill="auto"/>
          </w:tcPr>
          <w:p w14:paraId="786CDC2F" w14:textId="77777777" w:rsidR="00D536C9" w:rsidRPr="00550D35" w:rsidRDefault="00D536C9" w:rsidP="00BA62A0">
            <w:pPr>
              <w:spacing w:before="0" w:after="0"/>
              <w:rPr>
                <w:sz w:val="20"/>
                <w:lang w:val="lv-LV"/>
              </w:rPr>
            </w:pPr>
          </w:p>
        </w:tc>
      </w:tr>
    </w:tbl>
    <w:p w14:paraId="77F5126C" w14:textId="77777777" w:rsidR="00D536C9" w:rsidRDefault="00D536C9" w:rsidP="00D536C9">
      <w:pPr>
        <w:spacing w:before="0" w:line="259" w:lineRule="auto"/>
        <w:ind w:firstLine="0"/>
        <w:contextualSpacing/>
        <w:jc w:val="left"/>
        <w:rPr>
          <w:lang w:val="lv-LV"/>
        </w:rPr>
      </w:pPr>
    </w:p>
    <w:p w14:paraId="0FD09F24" w14:textId="77777777" w:rsidR="00D536C9" w:rsidRPr="00D857FC" w:rsidRDefault="00D536C9" w:rsidP="00D536C9">
      <w:pPr>
        <w:spacing w:before="0" w:line="259" w:lineRule="auto"/>
        <w:ind w:firstLine="0"/>
        <w:contextualSpacing/>
        <w:jc w:val="left"/>
        <w:rPr>
          <w:b/>
          <w:bCs/>
          <w:lang w:val="lv-LV"/>
        </w:rPr>
      </w:pPr>
      <w:r w:rsidRPr="00D857FC">
        <w:rPr>
          <w:b/>
          <w:bCs/>
          <w:lang w:val="lv-LV"/>
        </w:rPr>
        <w:t xml:space="preserve">Visu to pasākumu budžets, kurus var attiecināt uz </w:t>
      </w:r>
      <w:proofErr w:type="spellStart"/>
      <w:r w:rsidRPr="00D857FC">
        <w:rPr>
          <w:b/>
          <w:bCs/>
          <w:lang w:val="lv-LV"/>
        </w:rPr>
        <w:t>mērķrādītāju</w:t>
      </w:r>
      <w:proofErr w:type="spellEnd"/>
    </w:p>
    <w:p w14:paraId="5175F3D4" w14:textId="77777777" w:rsidR="00D536C9" w:rsidRPr="00550D35" w:rsidRDefault="00D536C9" w:rsidP="00D536C9">
      <w:pPr>
        <w:pStyle w:val="ListParagraph"/>
        <w:spacing w:before="0" w:line="259" w:lineRule="auto"/>
        <w:ind w:left="1134" w:firstLine="306"/>
        <w:contextualSpacing/>
        <w:jc w:val="left"/>
        <w:rPr>
          <w:noProof/>
          <w:lang w:val="lv-LV"/>
        </w:rPr>
      </w:pPr>
      <w:r w:rsidRPr="00550D35">
        <w:rPr>
          <w:noProof/>
          <w:lang w:val="lv-LV"/>
        </w:rPr>
        <w:t xml:space="preserve">Publiskās investīcijas: </w:t>
      </w:r>
    </w:p>
    <w:p w14:paraId="3517FE5B" w14:textId="7797D81B" w:rsidR="00D536C9" w:rsidRPr="00550D35" w:rsidRDefault="00D536C9" w:rsidP="00D536C9">
      <w:pPr>
        <w:pStyle w:val="ListParagraph"/>
        <w:numPr>
          <w:ilvl w:val="4"/>
          <w:numId w:val="23"/>
        </w:numPr>
        <w:spacing w:before="0" w:line="259" w:lineRule="auto"/>
        <w:ind w:left="2268" w:hanging="567"/>
        <w:contextualSpacing/>
        <w:jc w:val="left"/>
        <w:rPr>
          <w:noProof/>
          <w:lang w:val="lv-LV"/>
        </w:rPr>
      </w:pPr>
      <w:r w:rsidRPr="00550D35">
        <w:rPr>
          <w:noProof/>
          <w:lang w:val="lv-LV"/>
        </w:rPr>
        <w:t>plānotas – 1</w:t>
      </w:r>
      <w:r w:rsidR="00B74FED">
        <w:rPr>
          <w:noProof/>
          <w:lang w:val="lv-LV"/>
        </w:rPr>
        <w:t>65,09</w:t>
      </w:r>
      <w:r w:rsidRPr="00550D35">
        <w:rPr>
          <w:noProof/>
          <w:lang w:val="lv-LV"/>
        </w:rPr>
        <w:t> milj. </w:t>
      </w:r>
      <w:r w:rsidRPr="00550D35">
        <w:rPr>
          <w:i/>
          <w:iCs/>
          <w:noProof/>
          <w:lang w:val="lv-LV"/>
        </w:rPr>
        <w:t>euro</w:t>
      </w:r>
      <w:r w:rsidRPr="00550D35">
        <w:rPr>
          <w:noProof/>
          <w:lang w:val="lv-LV"/>
        </w:rPr>
        <w:t>.</w:t>
      </w:r>
    </w:p>
    <w:p w14:paraId="7485C9F0" w14:textId="77777777" w:rsidR="00D536C9" w:rsidRPr="00550D35" w:rsidRDefault="00D536C9" w:rsidP="00D536C9">
      <w:pPr>
        <w:pStyle w:val="ListParagraph"/>
        <w:numPr>
          <w:ilvl w:val="3"/>
          <w:numId w:val="23"/>
        </w:numPr>
        <w:spacing w:before="0" w:line="259" w:lineRule="auto"/>
        <w:ind w:left="1134" w:firstLine="0"/>
        <w:contextualSpacing/>
        <w:jc w:val="left"/>
        <w:rPr>
          <w:noProof/>
          <w:lang w:val="lv-LV"/>
        </w:rPr>
      </w:pPr>
      <w:r w:rsidRPr="00550D35">
        <w:rPr>
          <w:lang w:val="lv-LV"/>
        </w:rPr>
        <w:t xml:space="preserve">No tām piešķirtas no valsts avotiem: </w:t>
      </w:r>
    </w:p>
    <w:p w14:paraId="4BA0F712" w14:textId="77777777" w:rsidR="00D536C9" w:rsidRPr="00550D35" w:rsidRDefault="00D536C9" w:rsidP="00D536C9">
      <w:pPr>
        <w:pStyle w:val="ListParagraph"/>
        <w:numPr>
          <w:ilvl w:val="4"/>
          <w:numId w:val="23"/>
        </w:numPr>
        <w:spacing w:before="0" w:line="259" w:lineRule="auto"/>
        <w:ind w:left="2694" w:hanging="426"/>
        <w:contextualSpacing/>
        <w:jc w:val="left"/>
        <w:rPr>
          <w:noProof/>
          <w:lang w:val="lv-LV"/>
        </w:rPr>
      </w:pPr>
      <w:r w:rsidRPr="00550D35">
        <w:rPr>
          <w:noProof/>
          <w:lang w:val="lv-LV"/>
        </w:rPr>
        <w:t>plānotas – 140,0 tūkst. </w:t>
      </w:r>
      <w:r w:rsidRPr="00550D35">
        <w:rPr>
          <w:i/>
          <w:iCs/>
          <w:noProof/>
          <w:lang w:val="lv-LV"/>
        </w:rPr>
        <w:t>euro</w:t>
      </w:r>
      <w:r w:rsidRPr="00550D35">
        <w:rPr>
          <w:noProof/>
          <w:lang w:val="lv-LV"/>
        </w:rPr>
        <w:t xml:space="preserve">. </w:t>
      </w:r>
    </w:p>
    <w:p w14:paraId="7933432E" w14:textId="77777777" w:rsidR="00D536C9" w:rsidRPr="00550D35" w:rsidRDefault="00D536C9" w:rsidP="00D536C9">
      <w:pPr>
        <w:pStyle w:val="ListParagraph"/>
        <w:numPr>
          <w:ilvl w:val="1"/>
          <w:numId w:val="23"/>
        </w:numPr>
        <w:spacing w:before="0" w:line="259" w:lineRule="auto"/>
        <w:contextualSpacing/>
        <w:jc w:val="left"/>
        <w:rPr>
          <w:lang w:val="lv-LV"/>
        </w:rPr>
      </w:pPr>
      <w:r w:rsidRPr="00550D35">
        <w:rPr>
          <w:lang w:val="lv-LV"/>
        </w:rPr>
        <w:t xml:space="preserve">No tām piešķirtas no ES avotiem: </w:t>
      </w:r>
    </w:p>
    <w:p w14:paraId="3EA52D27" w14:textId="77802561" w:rsidR="00D536C9" w:rsidRPr="00550D35" w:rsidRDefault="00D536C9" w:rsidP="00D536C9">
      <w:pPr>
        <w:pStyle w:val="ListParagraph"/>
        <w:numPr>
          <w:ilvl w:val="4"/>
          <w:numId w:val="23"/>
        </w:numPr>
        <w:spacing w:before="0" w:line="259" w:lineRule="auto"/>
        <w:ind w:left="2694" w:hanging="426"/>
        <w:contextualSpacing/>
        <w:jc w:val="left"/>
        <w:rPr>
          <w:noProof/>
          <w:lang w:val="lv-LV"/>
        </w:rPr>
      </w:pPr>
      <w:r w:rsidRPr="00550D35">
        <w:rPr>
          <w:noProof/>
          <w:lang w:val="lv-LV"/>
        </w:rPr>
        <w:t>plānotas – 1</w:t>
      </w:r>
      <w:r w:rsidR="00CE3782">
        <w:rPr>
          <w:noProof/>
          <w:lang w:val="lv-LV"/>
        </w:rPr>
        <w:t>64</w:t>
      </w:r>
      <w:r w:rsidR="005E5026">
        <w:rPr>
          <w:noProof/>
          <w:lang w:val="lv-LV"/>
        </w:rPr>
        <w:t>,95</w:t>
      </w:r>
      <w:r w:rsidRPr="00550D35">
        <w:rPr>
          <w:noProof/>
          <w:lang w:val="lv-LV"/>
        </w:rPr>
        <w:t> milj. </w:t>
      </w:r>
      <w:r w:rsidRPr="00550D35">
        <w:rPr>
          <w:i/>
          <w:iCs/>
          <w:noProof/>
          <w:lang w:val="lv-LV"/>
        </w:rPr>
        <w:t>euro</w:t>
      </w:r>
      <w:r w:rsidRPr="00550D35">
        <w:rPr>
          <w:noProof/>
          <w:lang w:val="lv-LV"/>
        </w:rPr>
        <w:t>.</w:t>
      </w:r>
    </w:p>
    <w:p w14:paraId="61C20B4E" w14:textId="77777777" w:rsidR="00D536C9" w:rsidRPr="00550D35" w:rsidRDefault="00D536C9" w:rsidP="00D536C9">
      <w:pPr>
        <w:spacing w:before="0" w:after="0"/>
        <w:ind w:left="1287" w:firstLine="153"/>
        <w:contextualSpacing/>
        <w:jc w:val="left"/>
        <w:rPr>
          <w:noProof/>
          <w:sz w:val="22"/>
          <w:szCs w:val="22"/>
          <w:lang w:val="lv-LV"/>
        </w:rPr>
      </w:pPr>
      <w:r w:rsidRPr="00550D35">
        <w:rPr>
          <w:rFonts w:eastAsiaTheme="minorHAnsi"/>
          <w:noProof/>
          <w:sz w:val="22"/>
          <w:szCs w:val="22"/>
          <w:lang w:val="lv-LV"/>
        </w:rPr>
        <w:t>Privātās investīcijas (</w:t>
      </w:r>
      <w:r w:rsidRPr="00550D35">
        <w:rPr>
          <w:noProof/>
          <w:sz w:val="22"/>
          <w:szCs w:val="22"/>
          <w:lang w:val="lv-LV"/>
        </w:rPr>
        <w:t>4. pasākumam):</w:t>
      </w:r>
    </w:p>
    <w:p w14:paraId="6C389CE1" w14:textId="77777777" w:rsidR="00D536C9" w:rsidRPr="00550D35" w:rsidRDefault="00D536C9" w:rsidP="00D536C9">
      <w:pPr>
        <w:pStyle w:val="ListParagraph"/>
        <w:numPr>
          <w:ilvl w:val="0"/>
          <w:numId w:val="44"/>
        </w:numPr>
        <w:spacing w:before="0" w:line="259" w:lineRule="auto"/>
        <w:contextualSpacing/>
        <w:jc w:val="left"/>
        <w:rPr>
          <w:noProof/>
          <w:lang w:val="lv-LV"/>
        </w:rPr>
      </w:pPr>
      <w:r w:rsidRPr="00550D35">
        <w:rPr>
          <w:noProof/>
          <w:lang w:val="lv-LV"/>
        </w:rPr>
        <w:t>plānotas – 37,0 milj. </w:t>
      </w:r>
      <w:r w:rsidRPr="00550D35">
        <w:rPr>
          <w:i/>
          <w:iCs/>
          <w:noProof/>
          <w:lang w:val="lv-LV"/>
        </w:rPr>
        <w:t>euro</w:t>
      </w:r>
      <w:r w:rsidRPr="00550D35">
        <w:rPr>
          <w:noProof/>
          <w:lang w:val="lv-LV"/>
        </w:rPr>
        <w:t>.</w:t>
      </w:r>
    </w:p>
    <w:p w14:paraId="52E75302" w14:textId="77777777" w:rsidR="00D536C9" w:rsidRPr="00550D35" w:rsidRDefault="00D536C9" w:rsidP="00D536C9">
      <w:pPr>
        <w:pStyle w:val="Text3"/>
        <w:rPr>
          <w:lang w:val="lv-LV"/>
        </w:rPr>
      </w:pPr>
    </w:p>
    <w:p w14:paraId="0F684387" w14:textId="77777777" w:rsidR="00D536C9" w:rsidRPr="00550D35" w:rsidRDefault="00D536C9" w:rsidP="00D536C9">
      <w:pPr>
        <w:pStyle w:val="Heading3"/>
        <w:rPr>
          <w:lang w:val="lv-LV"/>
        </w:rPr>
      </w:pPr>
      <w:r w:rsidRPr="00550D35">
        <w:rPr>
          <w:lang w:val="lv-LV"/>
        </w:rPr>
        <w:t>Pasākumu apraksts</w:t>
      </w:r>
    </w:p>
    <w:tbl>
      <w:tblPr>
        <w:tblStyle w:val="TableGrid"/>
        <w:tblW w:w="8642" w:type="dxa"/>
        <w:tblLook w:val="04A0" w:firstRow="1" w:lastRow="0" w:firstColumn="1" w:lastColumn="0" w:noHBand="0" w:noVBand="1"/>
      </w:tblPr>
      <w:tblGrid>
        <w:gridCol w:w="3192"/>
        <w:gridCol w:w="5450"/>
      </w:tblGrid>
      <w:tr w:rsidR="00D536C9" w:rsidRPr="003B2E9A" w14:paraId="6B51135F" w14:textId="77777777" w:rsidTr="00BA62A0">
        <w:trPr>
          <w:trHeight w:val="300"/>
        </w:trPr>
        <w:tc>
          <w:tcPr>
            <w:tcW w:w="8642" w:type="dxa"/>
            <w:gridSpan w:val="2"/>
          </w:tcPr>
          <w:p w14:paraId="2DF356AE" w14:textId="6BB837FA" w:rsidR="00D536C9" w:rsidRPr="00550D35" w:rsidRDefault="00D536C9" w:rsidP="00BA62A0">
            <w:pPr>
              <w:spacing w:before="0" w:after="120"/>
              <w:ind w:firstLine="0"/>
              <w:contextualSpacing/>
              <w:jc w:val="left"/>
              <w:rPr>
                <w:b/>
                <w:bCs/>
                <w:sz w:val="20"/>
                <w:lang w:val="lv-LV"/>
              </w:rPr>
            </w:pPr>
            <w:r w:rsidRPr="00550D35">
              <w:rPr>
                <w:b/>
                <w:bCs/>
                <w:sz w:val="20"/>
                <w:lang w:val="lv-LV"/>
              </w:rPr>
              <w:t xml:space="preserve">1. pasākums - </w:t>
            </w:r>
            <w:r w:rsidRPr="00550D35">
              <w:rPr>
                <w:b/>
                <w:bCs/>
                <w:noProof/>
                <w:sz w:val="20"/>
                <w:lang w:val="lv-LV"/>
              </w:rPr>
              <w:t xml:space="preserve">ANM </w:t>
            </w:r>
            <w:r>
              <w:rPr>
                <w:b/>
                <w:bCs/>
                <w:noProof/>
                <w:sz w:val="20"/>
                <w:lang w:val="lv-LV"/>
              </w:rPr>
              <w:t xml:space="preserve">plāna </w:t>
            </w:r>
            <w:r w:rsidRPr="00550D35">
              <w:rPr>
                <w:b/>
                <w:bCs/>
                <w:noProof/>
                <w:sz w:val="20"/>
                <w:lang w:val="lv-LV"/>
              </w:rPr>
              <w:t xml:space="preserve">investīcija 2.2.1.1.i. “Atbalsts Digitālo inovāciju centru un reģionālo kontaktpunktu izveidei”; ERAF 1.2.2.1. </w:t>
            </w:r>
            <w:r>
              <w:rPr>
                <w:b/>
                <w:bCs/>
                <w:noProof/>
                <w:sz w:val="20"/>
                <w:lang w:val="lv-LV"/>
              </w:rPr>
              <w:t>pasākums</w:t>
            </w:r>
            <w:r w:rsidRPr="00550D35">
              <w:rPr>
                <w:b/>
                <w:bCs/>
                <w:noProof/>
                <w:sz w:val="20"/>
                <w:lang w:val="lv-LV"/>
              </w:rPr>
              <w:t xml:space="preserve"> “</w:t>
            </w:r>
            <w:r w:rsidRPr="00550D35">
              <w:rPr>
                <w:b/>
                <w:color w:val="000000"/>
                <w:sz w:val="20"/>
                <w:lang w:val="lv-LV" w:eastAsia="lv-LV"/>
              </w:rPr>
              <w:t xml:space="preserve">Atbalsts procesu </w:t>
            </w:r>
            <w:proofErr w:type="spellStart"/>
            <w:r w:rsidRPr="00550D35">
              <w:rPr>
                <w:b/>
                <w:color w:val="000000"/>
                <w:sz w:val="20"/>
                <w:lang w:val="lv-LV" w:eastAsia="lv-LV"/>
              </w:rPr>
              <w:t>digitalizācijai</w:t>
            </w:r>
            <w:proofErr w:type="spellEnd"/>
            <w:r w:rsidRPr="00550D35">
              <w:rPr>
                <w:b/>
                <w:color w:val="000000"/>
                <w:sz w:val="20"/>
                <w:lang w:val="lv-LV" w:eastAsia="lv-LV"/>
              </w:rPr>
              <w:t xml:space="preserve"> komercdarbībā</w:t>
            </w:r>
            <w:r w:rsidR="0030328A">
              <w:rPr>
                <w:b/>
                <w:color w:val="000000"/>
                <w:sz w:val="20"/>
                <w:lang w:val="lv-LV" w:eastAsia="lv-LV"/>
              </w:rPr>
              <w:t>”</w:t>
            </w:r>
          </w:p>
        </w:tc>
      </w:tr>
      <w:tr w:rsidR="00D536C9" w:rsidRPr="00550D35" w14:paraId="340DAA7E" w14:textId="77777777" w:rsidTr="00BA62A0">
        <w:trPr>
          <w:trHeight w:val="300"/>
        </w:trPr>
        <w:tc>
          <w:tcPr>
            <w:tcW w:w="3192" w:type="dxa"/>
          </w:tcPr>
          <w:p w14:paraId="20610C44" w14:textId="77777777" w:rsidR="00D536C9" w:rsidRPr="00550D35" w:rsidRDefault="00D536C9" w:rsidP="00BA62A0">
            <w:pPr>
              <w:spacing w:before="120" w:after="120"/>
              <w:ind w:firstLine="0"/>
              <w:jc w:val="left"/>
              <w:rPr>
                <w:b/>
                <w:bCs/>
                <w:sz w:val="20"/>
                <w:lang w:val="lv-LV"/>
              </w:rPr>
            </w:pPr>
            <w:r w:rsidRPr="00550D35">
              <w:rPr>
                <w:b/>
                <w:bCs/>
                <w:sz w:val="20"/>
                <w:lang w:val="lv-LV"/>
              </w:rPr>
              <w:t>Jauns pasākums</w:t>
            </w:r>
          </w:p>
        </w:tc>
        <w:tc>
          <w:tcPr>
            <w:tcW w:w="5450" w:type="dxa"/>
            <w:shd w:val="clear" w:color="auto" w:fill="auto"/>
          </w:tcPr>
          <w:p w14:paraId="46203DC8" w14:textId="77777777" w:rsidR="00D536C9" w:rsidRPr="00550D35" w:rsidRDefault="00AC141D" w:rsidP="00BA62A0">
            <w:pPr>
              <w:spacing w:before="0" w:after="120"/>
              <w:ind w:firstLine="0"/>
              <w:contextualSpacing/>
              <w:jc w:val="left"/>
              <w:rPr>
                <w:sz w:val="20"/>
                <w:lang w:val="lv-LV"/>
              </w:rPr>
            </w:pPr>
            <w:sdt>
              <w:sdtPr>
                <w:rPr>
                  <w:sz w:val="20"/>
                  <w:lang w:val="lv-LV"/>
                </w:rPr>
                <w:id w:val="1245831743"/>
                <w14:checkbox>
                  <w14:checked w14:val="1"/>
                  <w14:checkedState w14:val="2612" w14:font="MS Gothic"/>
                  <w14:uncheckedState w14:val="2610" w14:font="MS Gothic"/>
                </w14:checkbox>
              </w:sdtPr>
              <w:sdtEndPr/>
              <w:sdtContent>
                <w:r w:rsidR="00D536C9" w:rsidRPr="00550D35">
                  <w:rPr>
                    <w:rFonts w:ascii="Segoe UI Symbol" w:eastAsia="MS Gothic" w:hAnsi="Segoe UI Symbol" w:cs="Segoe UI Symbol"/>
                    <w:sz w:val="20"/>
                    <w:lang w:val="lv-LV"/>
                  </w:rPr>
                  <w:t>☒</w:t>
                </w:r>
              </w:sdtContent>
            </w:sdt>
            <w:r w:rsidR="00D536C9" w:rsidRPr="00550D35">
              <w:rPr>
                <w:sz w:val="20"/>
                <w:lang w:val="lv-LV"/>
              </w:rPr>
              <w:t>jā</w:t>
            </w:r>
          </w:p>
          <w:p w14:paraId="5DEEFA85" w14:textId="77777777" w:rsidR="00D536C9" w:rsidRPr="00550D35" w:rsidRDefault="00D536C9" w:rsidP="00BA62A0">
            <w:pPr>
              <w:spacing w:before="0" w:after="120"/>
              <w:ind w:firstLine="0"/>
              <w:contextualSpacing/>
              <w:jc w:val="left"/>
              <w:rPr>
                <w:sz w:val="20"/>
                <w:lang w:val="lv-LV"/>
              </w:rPr>
            </w:pPr>
            <w:r w:rsidRPr="00550D35">
              <w:rPr>
                <w:rFonts w:eastAsia="Wingdings 2"/>
                <w:sz w:val="20"/>
                <w:lang w:val="lv-LV"/>
              </w:rPr>
              <w:t></w:t>
            </w:r>
            <w:r w:rsidRPr="00550D35">
              <w:rPr>
                <w:rFonts w:eastAsia="MS Minngs"/>
                <w:sz w:val="20"/>
                <w:lang w:val="lv-LV"/>
              </w:rPr>
              <w:t xml:space="preserve"> </w:t>
            </w:r>
            <w:r w:rsidRPr="00550D35">
              <w:rPr>
                <w:sz w:val="20"/>
                <w:lang w:val="lv-LV"/>
              </w:rPr>
              <w:t>nē</w:t>
            </w:r>
          </w:p>
        </w:tc>
      </w:tr>
      <w:tr w:rsidR="00D536C9" w:rsidRPr="003B2E9A" w14:paraId="78DDAC37" w14:textId="77777777" w:rsidTr="00BA62A0">
        <w:trPr>
          <w:trHeight w:val="300"/>
        </w:trPr>
        <w:tc>
          <w:tcPr>
            <w:tcW w:w="3192" w:type="dxa"/>
          </w:tcPr>
          <w:p w14:paraId="0B526603" w14:textId="77777777" w:rsidR="00D536C9" w:rsidRPr="00550D35" w:rsidRDefault="00D536C9" w:rsidP="00BA62A0">
            <w:pPr>
              <w:spacing w:before="120" w:after="120"/>
              <w:ind w:firstLine="0"/>
              <w:rPr>
                <w:b/>
                <w:bCs/>
                <w:sz w:val="20"/>
                <w:lang w:val="lv-LV"/>
              </w:rPr>
            </w:pPr>
            <w:r w:rsidRPr="00550D35">
              <w:rPr>
                <w:b/>
                <w:bCs/>
                <w:sz w:val="20"/>
                <w:lang w:val="lv-LV"/>
              </w:rPr>
              <w:t>Īss pasākuma apraksts</w:t>
            </w:r>
          </w:p>
          <w:p w14:paraId="73204A71" w14:textId="77777777" w:rsidR="00D536C9" w:rsidRPr="00550D35" w:rsidRDefault="00D536C9" w:rsidP="00BA62A0">
            <w:pPr>
              <w:spacing w:before="120" w:after="120"/>
              <w:ind w:firstLine="0"/>
              <w:rPr>
                <w:b/>
                <w:sz w:val="20"/>
                <w:lang w:val="lv-LV"/>
              </w:rPr>
            </w:pPr>
          </w:p>
        </w:tc>
        <w:tc>
          <w:tcPr>
            <w:tcW w:w="5450" w:type="dxa"/>
          </w:tcPr>
          <w:p w14:paraId="38D4CA96" w14:textId="77777777" w:rsidR="00D536C9" w:rsidRPr="00550D35" w:rsidRDefault="00D536C9" w:rsidP="00BA62A0">
            <w:pPr>
              <w:spacing w:before="120" w:after="120"/>
              <w:ind w:firstLine="0"/>
              <w:contextualSpacing/>
              <w:rPr>
                <w:sz w:val="20"/>
                <w:lang w:val="lv-LV"/>
              </w:rPr>
            </w:pPr>
            <w:r w:rsidRPr="00550D35">
              <w:rPr>
                <w:sz w:val="20"/>
                <w:lang w:val="lv-LV"/>
              </w:rPr>
              <w:t xml:space="preserve">Investīcijas ietvaros EK  apstiprinātiem Latvijas EDIC tiek piešķirti granti pakalpojumu sniegšanai, piem., sākotnējam digitālā brieduma testam, digitālās attīstības ceļa kartes izstrādei, atzinuma sagatavošanai, otrreizējam digitālā brieduma testam, </w:t>
            </w:r>
            <w:proofErr w:type="spellStart"/>
            <w:r w:rsidRPr="00550D35">
              <w:rPr>
                <w:sz w:val="20"/>
                <w:lang w:val="lv-LV"/>
              </w:rPr>
              <w:t>mentoringam</w:t>
            </w:r>
            <w:proofErr w:type="spellEnd"/>
            <w:r w:rsidRPr="00550D35">
              <w:rPr>
                <w:sz w:val="20"/>
                <w:lang w:val="lv-LV"/>
              </w:rPr>
              <w:t xml:space="preserve">, testēšanai pirms investēšanas utt. kā nefinansiāls atbalsts MVU, lielajiem komersantiem, NVO, valsts iestādēm, pētniecības un zināšanu izplatīšanas organizācijām, zemnieku saimniecībām un kooperatīvām sabiedrībām. </w:t>
            </w:r>
          </w:p>
          <w:p w14:paraId="566CA7F2" w14:textId="77777777" w:rsidR="00D536C9" w:rsidRPr="00550D35" w:rsidRDefault="00D536C9" w:rsidP="00BA62A0">
            <w:pPr>
              <w:spacing w:before="120" w:after="120"/>
              <w:ind w:firstLine="0"/>
              <w:contextualSpacing/>
              <w:rPr>
                <w:sz w:val="20"/>
                <w:lang w:val="lv-LV"/>
              </w:rPr>
            </w:pPr>
          </w:p>
          <w:p w14:paraId="2173C562" w14:textId="77777777" w:rsidR="00D536C9" w:rsidRPr="00550D35" w:rsidRDefault="00D536C9" w:rsidP="00BA62A0">
            <w:pPr>
              <w:spacing w:before="120" w:after="120"/>
              <w:ind w:firstLine="0"/>
              <w:contextualSpacing/>
              <w:rPr>
                <w:sz w:val="20"/>
                <w:lang w:val="lv-LV"/>
              </w:rPr>
            </w:pPr>
            <w:r w:rsidRPr="00550D35">
              <w:rPr>
                <w:sz w:val="20"/>
                <w:lang w:val="lv-LV"/>
              </w:rPr>
              <w:t xml:space="preserve">Investīcijas mērķis ir ar digitālo tehnoloģiju ieviešanas palīdzību veicināt komersantu konkurētspēju, kā arī digitālu un inovatīvu publisko pārvaldi, kurā tiek izmantotas tikpat modernas tehnoloģijas kā privātajā sektorā, veicināt risinājumu ieviešanu sasaistē ar viedās specializācijas stratēģiju, paaugstināt komersantu izpratni par digitālo tehnoloģiju sniegtajām priekšrocībām, kā arī nodrošināt </w:t>
            </w:r>
            <w:proofErr w:type="spellStart"/>
            <w:r w:rsidRPr="00550D35">
              <w:rPr>
                <w:sz w:val="20"/>
                <w:lang w:val="lv-LV"/>
              </w:rPr>
              <w:t>piekļūstamību</w:t>
            </w:r>
            <w:proofErr w:type="spellEnd"/>
            <w:r w:rsidRPr="00550D35">
              <w:rPr>
                <w:sz w:val="20"/>
                <w:lang w:val="lv-LV"/>
              </w:rPr>
              <w:t xml:space="preserve"> digitālās transformācijas procesu atbalstam visā Latvijas Republikas teritorijā un nodrošināt Latvijas pilntiesīgu iesaisti kopējā EDIC tīklā.</w:t>
            </w:r>
          </w:p>
          <w:p w14:paraId="71680B9A" w14:textId="77777777" w:rsidR="00D536C9" w:rsidRPr="00550D35" w:rsidRDefault="00D536C9" w:rsidP="00BA62A0">
            <w:pPr>
              <w:spacing w:before="120" w:after="120"/>
              <w:ind w:firstLine="0"/>
              <w:contextualSpacing/>
              <w:rPr>
                <w:sz w:val="20"/>
                <w:lang w:val="lv-LV"/>
              </w:rPr>
            </w:pPr>
          </w:p>
          <w:p w14:paraId="3F920C54" w14:textId="77777777" w:rsidR="00D536C9" w:rsidRPr="00550D35" w:rsidRDefault="00D536C9" w:rsidP="00BA62A0">
            <w:pPr>
              <w:spacing w:before="0" w:after="120"/>
              <w:ind w:firstLine="0"/>
              <w:contextualSpacing/>
              <w:rPr>
                <w:sz w:val="20"/>
                <w:lang w:val="lv-LV"/>
              </w:rPr>
            </w:pPr>
            <w:r w:rsidRPr="00550D35">
              <w:rPr>
                <w:sz w:val="20"/>
                <w:lang w:val="lv-LV"/>
              </w:rPr>
              <w:t>EDIC sniedz pakalpojumus šādās specializācijas jomās:</w:t>
            </w:r>
          </w:p>
          <w:p w14:paraId="60EFD63E" w14:textId="77777777" w:rsidR="00D536C9" w:rsidRPr="00550D35" w:rsidRDefault="00D536C9" w:rsidP="00BA62A0">
            <w:pPr>
              <w:spacing w:before="0" w:after="120"/>
              <w:ind w:firstLine="0"/>
              <w:contextualSpacing/>
              <w:rPr>
                <w:sz w:val="20"/>
                <w:lang w:val="lv-LV"/>
              </w:rPr>
            </w:pPr>
            <w:r w:rsidRPr="00550D35">
              <w:rPr>
                <w:sz w:val="20"/>
                <w:lang w:val="lv-LV"/>
              </w:rPr>
              <w:t xml:space="preserve">- atbalsts procesu, mārketinga un organizatoriskām inovācijām esošo tehnoloģiju testēšanai un ieviešanai, lai sniegtu atbalstu tirgū pieejamu inovatīvu </w:t>
            </w:r>
            <w:proofErr w:type="spellStart"/>
            <w:r w:rsidRPr="00550D35">
              <w:rPr>
                <w:sz w:val="20"/>
                <w:lang w:val="lv-LV"/>
              </w:rPr>
              <w:t>digitalizācijas</w:t>
            </w:r>
            <w:proofErr w:type="spellEnd"/>
            <w:r w:rsidRPr="00550D35">
              <w:rPr>
                <w:sz w:val="20"/>
                <w:lang w:val="lv-LV"/>
              </w:rPr>
              <w:t xml:space="preserve"> un e-komercijas risinājumu ieviešanai un esošo risinājumu pilnveidei ar jauniem produktiem un pakalpojumiem;</w:t>
            </w:r>
          </w:p>
          <w:p w14:paraId="6BFAFFA8" w14:textId="77777777" w:rsidR="00D536C9" w:rsidRPr="00550D35" w:rsidRDefault="00D536C9" w:rsidP="00BA62A0">
            <w:pPr>
              <w:spacing w:before="0" w:after="120"/>
              <w:ind w:firstLine="0"/>
              <w:contextualSpacing/>
              <w:rPr>
                <w:sz w:val="20"/>
                <w:lang w:val="lv-LV"/>
              </w:rPr>
            </w:pPr>
            <w:r w:rsidRPr="00550D35">
              <w:rPr>
                <w:sz w:val="20"/>
                <w:lang w:val="lv-LV"/>
              </w:rPr>
              <w:t xml:space="preserve">- atbalsts produktu inovācijām, lai sniegtu atbalstu jaunu digitālo platformu, preču un pakalpojumu dizainam, </w:t>
            </w:r>
            <w:proofErr w:type="spellStart"/>
            <w:r w:rsidRPr="00550D35">
              <w:rPr>
                <w:sz w:val="20"/>
                <w:lang w:val="lv-LV"/>
              </w:rPr>
              <w:t>prototipēšanai</w:t>
            </w:r>
            <w:proofErr w:type="spellEnd"/>
            <w:r w:rsidRPr="00550D35">
              <w:rPr>
                <w:sz w:val="20"/>
                <w:lang w:val="lv-LV"/>
              </w:rPr>
              <w:t>, testēšanai un ieviešanai ražošanā vai lietošanā.</w:t>
            </w:r>
          </w:p>
          <w:p w14:paraId="172EC8E5" w14:textId="77777777" w:rsidR="00D536C9" w:rsidRPr="00550D35" w:rsidRDefault="00D536C9" w:rsidP="00BA62A0">
            <w:pPr>
              <w:spacing w:before="0" w:after="120"/>
              <w:ind w:firstLine="0"/>
              <w:contextualSpacing/>
              <w:rPr>
                <w:rFonts w:eastAsiaTheme="minorEastAsia"/>
                <w:iCs/>
                <w:sz w:val="20"/>
                <w:lang w:val="lv-LV" w:eastAsia="en-US"/>
              </w:rPr>
            </w:pPr>
          </w:p>
        </w:tc>
      </w:tr>
      <w:tr w:rsidR="00D536C9" w:rsidRPr="003B2E9A" w14:paraId="10801BA4" w14:textId="77777777" w:rsidTr="00BA62A0">
        <w:trPr>
          <w:trHeight w:val="300"/>
        </w:trPr>
        <w:tc>
          <w:tcPr>
            <w:tcW w:w="3192" w:type="dxa"/>
            <w:shd w:val="clear" w:color="auto" w:fill="auto"/>
          </w:tcPr>
          <w:p w14:paraId="6B24AE91" w14:textId="2C014B97" w:rsidR="00D536C9" w:rsidRPr="00550D35" w:rsidRDefault="00D536C9" w:rsidP="00BA62A0">
            <w:pPr>
              <w:spacing w:before="120" w:after="120"/>
              <w:ind w:firstLine="0"/>
              <w:rPr>
                <w:b/>
                <w:bCs/>
                <w:sz w:val="20"/>
                <w:lang w:val="lv-LV"/>
              </w:rPr>
            </w:pPr>
            <w:r w:rsidRPr="00550D35">
              <w:rPr>
                <w:b/>
                <w:bCs/>
                <w:sz w:val="20"/>
                <w:lang w:val="lv-LV"/>
              </w:rPr>
              <w:t>Piešķirtais vai plānotais budžets un, ja atbilstoši, citi resursi</w:t>
            </w:r>
          </w:p>
        </w:tc>
        <w:tc>
          <w:tcPr>
            <w:tcW w:w="5450" w:type="dxa"/>
            <w:shd w:val="clear" w:color="auto" w:fill="auto"/>
          </w:tcPr>
          <w:p w14:paraId="7949E2CA" w14:textId="033B8F46" w:rsidR="00D536C9" w:rsidRPr="00550D35" w:rsidRDefault="00D536C9" w:rsidP="00BA62A0">
            <w:pPr>
              <w:spacing w:before="60" w:after="0"/>
              <w:ind w:firstLine="0"/>
              <w:contextualSpacing/>
              <w:rPr>
                <w:rFonts w:eastAsiaTheme="minorEastAsia" w:cs="Calibri"/>
                <w:sz w:val="20"/>
                <w:lang w:val="lv-LV" w:eastAsia="en-US"/>
              </w:rPr>
            </w:pPr>
            <w:r w:rsidRPr="00550D35">
              <w:rPr>
                <w:rFonts w:eastAsiaTheme="minorEastAsia" w:cs="Calibri"/>
                <w:sz w:val="20"/>
                <w:lang w:val="lv-LV" w:eastAsia="en-US"/>
              </w:rPr>
              <w:t xml:space="preserve">Plānotais budžets kopā </w:t>
            </w:r>
            <w:r w:rsidR="00D905EB">
              <w:rPr>
                <w:rFonts w:eastAsiaTheme="minorEastAsia" w:cs="Calibri"/>
                <w:sz w:val="20"/>
                <w:lang w:val="lv-LV" w:eastAsia="en-US"/>
              </w:rPr>
              <w:t>34</w:t>
            </w:r>
            <w:r w:rsidR="00214AB5">
              <w:rPr>
                <w:rFonts w:eastAsiaTheme="minorEastAsia" w:cs="Calibri"/>
                <w:sz w:val="20"/>
                <w:lang w:val="lv-LV" w:eastAsia="en-US"/>
              </w:rPr>
              <w:t>,65</w:t>
            </w:r>
            <w:r w:rsidRPr="00550D35">
              <w:rPr>
                <w:rFonts w:eastAsiaTheme="minorEastAsia" w:cs="Calibri"/>
                <w:sz w:val="20"/>
                <w:lang w:val="lv-LV" w:eastAsia="en-US"/>
              </w:rPr>
              <w:t xml:space="preserve"> milj. </w:t>
            </w:r>
            <w:proofErr w:type="spellStart"/>
            <w:r w:rsidRPr="00550D35">
              <w:rPr>
                <w:rFonts w:eastAsiaTheme="minorEastAsia" w:cs="Calibri"/>
                <w:i/>
                <w:sz w:val="20"/>
                <w:lang w:val="lv-LV" w:eastAsia="en-US"/>
              </w:rPr>
              <w:t>euro</w:t>
            </w:r>
            <w:proofErr w:type="spellEnd"/>
            <w:r w:rsidRPr="00550D35">
              <w:rPr>
                <w:rFonts w:eastAsiaTheme="minorEastAsia" w:cs="Calibri"/>
                <w:sz w:val="20"/>
                <w:lang w:val="lv-LV" w:eastAsia="en-US"/>
              </w:rPr>
              <w:t>, t.sk.,:</w:t>
            </w:r>
          </w:p>
          <w:p w14:paraId="228E51CD" w14:textId="77777777" w:rsidR="00D536C9" w:rsidRPr="00550D35" w:rsidRDefault="00D536C9" w:rsidP="00BA62A0">
            <w:pPr>
              <w:spacing w:before="60" w:after="0"/>
              <w:ind w:firstLine="0"/>
              <w:contextualSpacing/>
              <w:rPr>
                <w:rFonts w:eastAsiaTheme="minorEastAsia" w:cs="Calibri"/>
                <w:sz w:val="20"/>
                <w:lang w:val="lv-LV" w:eastAsia="en-US"/>
              </w:rPr>
            </w:pPr>
            <w:r w:rsidRPr="00550D35">
              <w:rPr>
                <w:rFonts w:eastAsiaTheme="minorEastAsia" w:cs="Calibri"/>
                <w:sz w:val="20"/>
                <w:lang w:val="lv-LV" w:eastAsia="en-US"/>
              </w:rPr>
              <w:t>ANM finansējums -  10,0 milj. </w:t>
            </w:r>
            <w:proofErr w:type="spellStart"/>
            <w:r w:rsidRPr="00550D35">
              <w:rPr>
                <w:rFonts w:eastAsiaTheme="minorEastAsia" w:cs="Calibri"/>
                <w:i/>
                <w:sz w:val="20"/>
                <w:lang w:val="lv-LV" w:eastAsia="en-US"/>
              </w:rPr>
              <w:t>euro</w:t>
            </w:r>
            <w:proofErr w:type="spellEnd"/>
            <w:r w:rsidRPr="00550D35">
              <w:rPr>
                <w:rFonts w:eastAsiaTheme="minorEastAsia" w:cs="Calibri"/>
                <w:sz w:val="20"/>
                <w:lang w:val="lv-LV" w:eastAsia="en-US"/>
              </w:rPr>
              <w:t>;</w:t>
            </w:r>
          </w:p>
          <w:p w14:paraId="48E4E709" w14:textId="68AE48C6" w:rsidR="0073664E" w:rsidRPr="008D5101" w:rsidRDefault="00D536C9" w:rsidP="00BA62A0">
            <w:pPr>
              <w:ind w:firstLine="0"/>
              <w:contextualSpacing/>
              <w:rPr>
                <w:rFonts w:eastAsiaTheme="minorEastAsia" w:cs="Calibri"/>
                <w:sz w:val="20"/>
                <w:lang w:val="lv-LV" w:eastAsia="en-US"/>
              </w:rPr>
            </w:pPr>
            <w:r w:rsidRPr="00550D35">
              <w:rPr>
                <w:rFonts w:eastAsiaTheme="minorEastAsia"/>
                <w:sz w:val="20"/>
                <w:lang w:val="lv-LV"/>
              </w:rPr>
              <w:t xml:space="preserve">ERAF finansējums -  </w:t>
            </w:r>
            <w:r w:rsidR="00214AB5">
              <w:rPr>
                <w:rFonts w:eastAsiaTheme="minorEastAsia"/>
                <w:sz w:val="20"/>
                <w:lang w:val="lv-LV"/>
              </w:rPr>
              <w:t>24,65</w:t>
            </w:r>
            <w:r w:rsidRPr="00550D35">
              <w:rPr>
                <w:rFonts w:eastAsiaTheme="minorEastAsia"/>
                <w:sz w:val="20"/>
                <w:lang w:val="lv-LV"/>
              </w:rPr>
              <w:t> </w:t>
            </w:r>
            <w:r w:rsidRPr="00550D35">
              <w:rPr>
                <w:rFonts w:eastAsiaTheme="minorEastAsia" w:cs="Calibri"/>
                <w:sz w:val="20"/>
                <w:lang w:val="lv-LV" w:eastAsia="en-US"/>
              </w:rPr>
              <w:t>milj. </w:t>
            </w:r>
            <w:proofErr w:type="spellStart"/>
            <w:r w:rsidRPr="00550D35">
              <w:rPr>
                <w:rFonts w:eastAsiaTheme="minorEastAsia" w:cs="Calibri"/>
                <w:i/>
                <w:sz w:val="20"/>
                <w:lang w:val="lv-LV" w:eastAsia="en-US"/>
              </w:rPr>
              <w:t>euro</w:t>
            </w:r>
            <w:proofErr w:type="spellEnd"/>
            <w:r w:rsidRPr="00550D35">
              <w:rPr>
                <w:rFonts w:eastAsiaTheme="minorEastAsia" w:cs="Calibri"/>
                <w:sz w:val="20"/>
                <w:lang w:val="lv-LV" w:eastAsia="en-US"/>
              </w:rPr>
              <w:t>.</w:t>
            </w:r>
          </w:p>
        </w:tc>
      </w:tr>
      <w:tr w:rsidR="00D536C9" w:rsidRPr="0051273D" w14:paraId="7744D32B" w14:textId="77777777" w:rsidTr="00BA62A0">
        <w:trPr>
          <w:trHeight w:val="300"/>
        </w:trPr>
        <w:tc>
          <w:tcPr>
            <w:tcW w:w="3192" w:type="dxa"/>
          </w:tcPr>
          <w:p w14:paraId="1DB10E1D" w14:textId="77777777" w:rsidR="00D536C9" w:rsidRPr="00550D35" w:rsidRDefault="00D536C9" w:rsidP="00BA62A0">
            <w:pPr>
              <w:spacing w:before="120" w:after="120"/>
              <w:ind w:firstLine="0"/>
              <w:rPr>
                <w:b/>
                <w:bCs/>
                <w:sz w:val="20"/>
                <w:lang w:val="lv-LV"/>
              </w:rPr>
            </w:pPr>
            <w:r w:rsidRPr="00550D35">
              <w:rPr>
                <w:b/>
                <w:bCs/>
                <w:sz w:val="20"/>
                <w:lang w:val="lv-LV"/>
              </w:rPr>
              <w:lastRenderedPageBreak/>
              <w:t>Sagaidāmā ietekme un laika ietvars</w:t>
            </w:r>
          </w:p>
        </w:tc>
        <w:tc>
          <w:tcPr>
            <w:tcW w:w="5450" w:type="dxa"/>
          </w:tcPr>
          <w:p w14:paraId="5069BC10" w14:textId="44CB2F5B" w:rsidR="001B05EA" w:rsidRDefault="001B05EA" w:rsidP="00BA62A0">
            <w:pPr>
              <w:spacing w:before="0" w:after="120"/>
              <w:ind w:firstLine="0"/>
              <w:contextualSpacing/>
              <w:rPr>
                <w:rFonts w:eastAsiaTheme="minorEastAsia" w:cs="Calibri"/>
                <w:sz w:val="20"/>
                <w:lang w:val="lv-LV" w:eastAsia="en-US"/>
              </w:rPr>
            </w:pPr>
            <w:r w:rsidRPr="00F44C1A">
              <w:rPr>
                <w:rFonts w:eastAsiaTheme="minorEastAsia" w:cs="Calibri"/>
                <w:sz w:val="20"/>
                <w:lang w:val="lv-LV" w:eastAsia="en-US"/>
              </w:rPr>
              <w:t>Plānots, ka līdz 2026.</w:t>
            </w:r>
            <w:r w:rsidR="009811BD">
              <w:rPr>
                <w:rFonts w:eastAsiaTheme="minorEastAsia" w:cs="Calibri"/>
                <w:sz w:val="20"/>
                <w:lang w:val="lv-LV" w:eastAsia="en-US"/>
              </w:rPr>
              <w:t>gada</w:t>
            </w:r>
            <w:r w:rsidRPr="00F44C1A">
              <w:rPr>
                <w:rFonts w:eastAsiaTheme="minorEastAsia" w:cs="Calibri"/>
                <w:sz w:val="20"/>
                <w:lang w:val="lv-LV" w:eastAsia="en-US"/>
              </w:rPr>
              <w:t xml:space="preserve"> 30.jūnijam EDIC izstrādās </w:t>
            </w:r>
            <w:r w:rsidR="003F2EEB" w:rsidRPr="00F44C1A">
              <w:rPr>
                <w:rFonts w:eastAsiaTheme="minorEastAsia" w:cs="Calibri"/>
                <w:sz w:val="20"/>
                <w:lang w:val="lv-LV" w:eastAsia="en-US"/>
              </w:rPr>
              <w:t xml:space="preserve">100 </w:t>
            </w:r>
            <w:r w:rsidRPr="00F44C1A">
              <w:rPr>
                <w:rFonts w:eastAsiaTheme="minorEastAsia" w:cs="Calibri"/>
                <w:sz w:val="20"/>
                <w:lang w:val="lv-LV" w:eastAsia="en-US"/>
              </w:rPr>
              <w:t xml:space="preserve">digitālās attīstības </w:t>
            </w:r>
            <w:r w:rsidR="003F2EEB" w:rsidRPr="00F44C1A">
              <w:rPr>
                <w:rFonts w:eastAsiaTheme="minorEastAsia" w:cs="Calibri"/>
                <w:sz w:val="20"/>
                <w:lang w:val="lv-LV" w:eastAsia="en-US"/>
              </w:rPr>
              <w:t>ceļa kar</w:t>
            </w:r>
            <w:r w:rsidRPr="00F44C1A">
              <w:rPr>
                <w:rFonts w:eastAsiaTheme="minorEastAsia" w:cs="Calibri"/>
                <w:sz w:val="20"/>
                <w:lang w:val="lv-LV" w:eastAsia="en-US"/>
              </w:rPr>
              <w:t>tes</w:t>
            </w:r>
            <w:r w:rsidR="00F44C1A" w:rsidRPr="00F44C1A">
              <w:rPr>
                <w:rFonts w:eastAsiaTheme="minorEastAsia" w:cs="Calibri"/>
                <w:sz w:val="20"/>
                <w:lang w:val="lv-LV" w:eastAsia="en-US"/>
              </w:rPr>
              <w:t>.</w:t>
            </w:r>
          </w:p>
          <w:p w14:paraId="225323F3" w14:textId="77777777" w:rsidR="00C55242" w:rsidRDefault="00C55242" w:rsidP="00BA62A0">
            <w:pPr>
              <w:spacing w:before="0" w:after="120"/>
              <w:ind w:firstLine="0"/>
              <w:contextualSpacing/>
              <w:rPr>
                <w:rFonts w:eastAsiaTheme="minorEastAsia" w:cs="Calibri"/>
                <w:sz w:val="20"/>
                <w:lang w:val="lv-LV" w:eastAsia="en-US"/>
              </w:rPr>
            </w:pPr>
            <w:r>
              <w:rPr>
                <w:rFonts w:eastAsiaTheme="minorEastAsia" w:cs="Calibri"/>
                <w:sz w:val="20"/>
                <w:lang w:val="lv-LV" w:eastAsia="en-US"/>
              </w:rPr>
              <w:t>D</w:t>
            </w:r>
            <w:r w:rsidR="000043B6" w:rsidRPr="00C619F6">
              <w:rPr>
                <w:rFonts w:eastAsiaTheme="minorEastAsia" w:cs="Calibri"/>
                <w:sz w:val="20"/>
                <w:lang w:val="lv-LV" w:eastAsia="en-US"/>
              </w:rPr>
              <w:t xml:space="preserve">igitālās transformācijas ceļvežu skaits, ko EDIC izdevis vienībām, kas nav </w:t>
            </w:r>
            <w:r>
              <w:rPr>
                <w:rFonts w:eastAsiaTheme="minorEastAsia" w:cs="Calibri"/>
                <w:sz w:val="20"/>
                <w:lang w:val="lv-LV" w:eastAsia="en-US"/>
              </w:rPr>
              <w:t>MVU</w:t>
            </w:r>
            <w:r w:rsidR="000043B6" w:rsidRPr="00C619F6">
              <w:rPr>
                <w:rFonts w:eastAsiaTheme="minorEastAsia" w:cs="Calibri"/>
                <w:sz w:val="20"/>
                <w:lang w:val="lv-LV" w:eastAsia="en-US"/>
              </w:rPr>
              <w:t>, vidējas kapitalizācijas sabiedrības un publiskais sektors:</w:t>
            </w:r>
          </w:p>
          <w:p w14:paraId="73071D05" w14:textId="77777777" w:rsidR="00936C95" w:rsidRDefault="000043B6" w:rsidP="00936C95">
            <w:pPr>
              <w:pStyle w:val="ListParagraph"/>
              <w:numPr>
                <w:ilvl w:val="0"/>
                <w:numId w:val="58"/>
              </w:numPr>
              <w:spacing w:before="0" w:after="120"/>
              <w:contextualSpacing/>
              <w:rPr>
                <w:rFonts w:eastAsiaTheme="minorEastAsia"/>
                <w:sz w:val="20"/>
                <w:lang w:val="lv-LV"/>
              </w:rPr>
            </w:pPr>
            <w:r w:rsidRPr="00936C95">
              <w:rPr>
                <w:rFonts w:eastAsiaTheme="minorEastAsia"/>
                <w:sz w:val="20"/>
                <w:lang w:val="lv-LV"/>
              </w:rPr>
              <w:t xml:space="preserve">līdz 2024.gada 30.jūnijam </w:t>
            </w:r>
            <w:r w:rsidR="007F3890" w:rsidRPr="00936C95">
              <w:rPr>
                <w:rFonts w:eastAsiaTheme="minorEastAsia"/>
                <w:sz w:val="20"/>
                <w:lang w:val="lv-LV"/>
              </w:rPr>
              <w:t>– 50;</w:t>
            </w:r>
          </w:p>
          <w:p w14:paraId="5D97BAA5" w14:textId="12EEED02" w:rsidR="009811BD" w:rsidRPr="00936C95" w:rsidRDefault="000043B6" w:rsidP="00936C95">
            <w:pPr>
              <w:pStyle w:val="ListParagraph"/>
              <w:numPr>
                <w:ilvl w:val="0"/>
                <w:numId w:val="58"/>
              </w:numPr>
              <w:spacing w:before="0" w:after="120"/>
              <w:contextualSpacing/>
              <w:rPr>
                <w:rFonts w:eastAsiaTheme="minorEastAsia"/>
                <w:sz w:val="20"/>
                <w:lang w:val="lv-LV"/>
              </w:rPr>
            </w:pPr>
            <w:r w:rsidRPr="00936C95">
              <w:rPr>
                <w:rFonts w:eastAsiaTheme="minorEastAsia"/>
                <w:sz w:val="20"/>
                <w:lang w:val="lv-LV"/>
              </w:rPr>
              <w:t>līdz 2026.gada 30.jūnijam</w:t>
            </w:r>
            <w:r w:rsidR="007F3890" w:rsidRPr="00936C95">
              <w:rPr>
                <w:rFonts w:eastAsiaTheme="minorEastAsia"/>
                <w:sz w:val="20"/>
                <w:lang w:val="lv-LV"/>
              </w:rPr>
              <w:t xml:space="preserve"> </w:t>
            </w:r>
            <w:r w:rsidR="00C55242" w:rsidRPr="00936C95">
              <w:rPr>
                <w:rFonts w:eastAsiaTheme="minorEastAsia"/>
                <w:sz w:val="20"/>
                <w:lang w:val="lv-LV"/>
              </w:rPr>
              <w:t xml:space="preserve">– </w:t>
            </w:r>
            <w:r w:rsidR="007F3890" w:rsidRPr="00936C95">
              <w:rPr>
                <w:rFonts w:eastAsiaTheme="minorEastAsia"/>
                <w:sz w:val="20"/>
                <w:lang w:val="lv-LV"/>
              </w:rPr>
              <w:t>100</w:t>
            </w:r>
            <w:r w:rsidRPr="00936C95">
              <w:rPr>
                <w:rFonts w:eastAsiaTheme="minorEastAsia"/>
                <w:sz w:val="20"/>
                <w:lang w:val="lv-LV"/>
              </w:rPr>
              <w:t>.</w:t>
            </w:r>
          </w:p>
          <w:p w14:paraId="74715B74" w14:textId="48250CD2" w:rsidR="00D536C9" w:rsidRPr="00550D35" w:rsidRDefault="00D536C9" w:rsidP="00BA62A0">
            <w:pPr>
              <w:spacing w:before="0" w:after="120"/>
              <w:ind w:firstLine="0"/>
              <w:contextualSpacing/>
              <w:rPr>
                <w:rFonts w:eastAsiaTheme="minorEastAsia" w:cs="Calibri"/>
                <w:sz w:val="20"/>
                <w:lang w:val="lv-LV" w:eastAsia="en-US"/>
              </w:rPr>
            </w:pPr>
            <w:r w:rsidRPr="00550D35">
              <w:rPr>
                <w:rFonts w:eastAsiaTheme="minorEastAsia" w:cs="Calibri"/>
                <w:sz w:val="20"/>
                <w:lang w:val="lv-LV" w:eastAsia="en-US"/>
              </w:rPr>
              <w:t>Provizoriskais laika ietvars:</w:t>
            </w:r>
          </w:p>
          <w:p w14:paraId="3BCE6462" w14:textId="77777777" w:rsidR="00D536C9" w:rsidRPr="00550D35" w:rsidRDefault="00D536C9" w:rsidP="00BA62A0">
            <w:pPr>
              <w:spacing w:before="0" w:after="120"/>
              <w:ind w:firstLine="0"/>
              <w:contextualSpacing/>
              <w:rPr>
                <w:rFonts w:eastAsiaTheme="minorEastAsia" w:cs="Calibri"/>
                <w:sz w:val="20"/>
                <w:lang w:val="lv-LV" w:eastAsia="en-US"/>
              </w:rPr>
            </w:pPr>
            <w:r w:rsidRPr="00550D35">
              <w:rPr>
                <w:rFonts w:eastAsiaTheme="minorEastAsia" w:cs="Calibri"/>
                <w:sz w:val="20"/>
                <w:lang w:val="lv-LV" w:eastAsia="en-US"/>
              </w:rPr>
              <w:t>Programma ar ANM atbalstu 02.2023.- 06.2026.</w:t>
            </w:r>
          </w:p>
          <w:p w14:paraId="77EDC529" w14:textId="77777777" w:rsidR="00D536C9" w:rsidRPr="00550D35" w:rsidRDefault="00D536C9" w:rsidP="00BA62A0">
            <w:pPr>
              <w:spacing w:before="60" w:after="0"/>
              <w:ind w:firstLine="0"/>
              <w:contextualSpacing/>
              <w:rPr>
                <w:rFonts w:eastAsiaTheme="minorEastAsia" w:cs="Calibri"/>
                <w:sz w:val="20"/>
                <w:lang w:val="lv-LV" w:eastAsia="en-US"/>
              </w:rPr>
            </w:pPr>
            <w:r w:rsidRPr="00550D35">
              <w:rPr>
                <w:rFonts w:eastAsiaTheme="minorEastAsia" w:cs="Calibri"/>
                <w:sz w:val="20"/>
                <w:lang w:val="lv-LV" w:eastAsia="en-US"/>
              </w:rPr>
              <w:t>Programma ar ERAF atbalstu (izstrādē) 2024. - 2029.gads.</w:t>
            </w:r>
          </w:p>
          <w:p w14:paraId="77B1B39F" w14:textId="2175A3D8" w:rsidR="0051273D" w:rsidRPr="0051273D" w:rsidRDefault="00D536C9" w:rsidP="00BA62A0">
            <w:pPr>
              <w:spacing w:before="60" w:after="0"/>
              <w:ind w:firstLine="0"/>
              <w:contextualSpacing/>
              <w:rPr>
                <w:rFonts w:eastAsiaTheme="minorEastAsia" w:cs="Calibri"/>
                <w:sz w:val="20"/>
                <w:lang w:val="lv-LV" w:eastAsia="en-US"/>
              </w:rPr>
            </w:pPr>
            <w:r w:rsidRPr="00550D35">
              <w:rPr>
                <w:rFonts w:eastAsiaTheme="minorEastAsia" w:cs="Calibri"/>
                <w:sz w:val="20"/>
                <w:lang w:val="lv-LV" w:eastAsia="en-US"/>
              </w:rPr>
              <w:t>Kopējais laika ietvars</w:t>
            </w:r>
            <w:r>
              <w:rPr>
                <w:rFonts w:eastAsiaTheme="minorEastAsia" w:cs="Calibri"/>
                <w:sz w:val="20"/>
                <w:lang w:val="lv-LV" w:eastAsia="en-US"/>
              </w:rPr>
              <w:t xml:space="preserve">: </w:t>
            </w:r>
            <w:r w:rsidRPr="00550D35">
              <w:rPr>
                <w:rFonts w:eastAsiaTheme="minorEastAsia" w:cs="Calibri"/>
                <w:sz w:val="20"/>
                <w:lang w:val="lv-LV" w:eastAsia="en-US"/>
              </w:rPr>
              <w:t>2023. – 2029. gads.</w:t>
            </w:r>
          </w:p>
        </w:tc>
      </w:tr>
    </w:tbl>
    <w:p w14:paraId="266614EE" w14:textId="77777777" w:rsidR="00D536C9" w:rsidRPr="00550D35" w:rsidRDefault="00D536C9" w:rsidP="00D536C9">
      <w:pPr>
        <w:spacing w:before="120" w:after="120"/>
        <w:ind w:firstLine="0"/>
        <w:rPr>
          <w:b/>
          <w:bCs/>
          <w:sz w:val="20"/>
          <w:lang w:val="lv-LV"/>
        </w:rPr>
      </w:pPr>
    </w:p>
    <w:tbl>
      <w:tblPr>
        <w:tblStyle w:val="TableGrid"/>
        <w:tblW w:w="8642" w:type="dxa"/>
        <w:tblLook w:val="04A0" w:firstRow="1" w:lastRow="0" w:firstColumn="1" w:lastColumn="0" w:noHBand="0" w:noVBand="1"/>
      </w:tblPr>
      <w:tblGrid>
        <w:gridCol w:w="3192"/>
        <w:gridCol w:w="5450"/>
      </w:tblGrid>
      <w:tr w:rsidR="00D536C9" w:rsidRPr="003B2E9A" w14:paraId="1A742F1A" w14:textId="77777777" w:rsidTr="00BA62A0">
        <w:trPr>
          <w:trHeight w:val="300"/>
        </w:trPr>
        <w:tc>
          <w:tcPr>
            <w:tcW w:w="8642" w:type="dxa"/>
            <w:gridSpan w:val="2"/>
          </w:tcPr>
          <w:p w14:paraId="353DAF20" w14:textId="77777777" w:rsidR="00D536C9" w:rsidRPr="00550D35" w:rsidRDefault="00D536C9" w:rsidP="00BA62A0">
            <w:pPr>
              <w:spacing w:before="0" w:after="120"/>
              <w:ind w:firstLine="0"/>
              <w:contextualSpacing/>
              <w:jc w:val="left"/>
              <w:rPr>
                <w:rFonts w:eastAsia="Wingdings 2"/>
                <w:b/>
                <w:bCs/>
                <w:sz w:val="20"/>
                <w:lang w:val="lv-LV"/>
              </w:rPr>
            </w:pPr>
            <w:r w:rsidRPr="00550D35">
              <w:rPr>
                <w:b/>
                <w:bCs/>
                <w:sz w:val="20"/>
                <w:lang w:val="lv-LV"/>
              </w:rPr>
              <w:t xml:space="preserve">2. pasākums ANM </w:t>
            </w:r>
            <w:r>
              <w:rPr>
                <w:b/>
                <w:bCs/>
                <w:sz w:val="20"/>
                <w:lang w:val="lv-LV"/>
              </w:rPr>
              <w:t xml:space="preserve">plāna </w:t>
            </w:r>
            <w:r w:rsidRPr="00550D35">
              <w:rPr>
                <w:b/>
                <w:bCs/>
                <w:sz w:val="20"/>
                <w:lang w:val="lv-LV"/>
              </w:rPr>
              <w:t xml:space="preserve">investīcija 2.2.1.2.i. “Atbalsts procesu </w:t>
            </w:r>
            <w:proofErr w:type="spellStart"/>
            <w:r w:rsidRPr="00550D35">
              <w:rPr>
                <w:b/>
                <w:bCs/>
                <w:sz w:val="20"/>
                <w:lang w:val="lv-LV"/>
              </w:rPr>
              <w:t>digitalizācijai</w:t>
            </w:r>
            <w:proofErr w:type="spellEnd"/>
            <w:r w:rsidRPr="00550D35">
              <w:rPr>
                <w:b/>
                <w:bCs/>
                <w:sz w:val="20"/>
                <w:lang w:val="lv-LV"/>
              </w:rPr>
              <w:t xml:space="preserve"> komercdarbībā”</w:t>
            </w:r>
          </w:p>
        </w:tc>
      </w:tr>
      <w:tr w:rsidR="00D536C9" w:rsidRPr="00550D35" w14:paraId="31C51FBA" w14:textId="77777777" w:rsidTr="00BA62A0">
        <w:trPr>
          <w:trHeight w:val="300"/>
        </w:trPr>
        <w:tc>
          <w:tcPr>
            <w:tcW w:w="3192" w:type="dxa"/>
          </w:tcPr>
          <w:p w14:paraId="763FAF11" w14:textId="77777777" w:rsidR="00D536C9" w:rsidRPr="00550D35" w:rsidRDefault="00D536C9" w:rsidP="00BA62A0">
            <w:pPr>
              <w:spacing w:before="120" w:after="120"/>
              <w:ind w:firstLine="0"/>
              <w:rPr>
                <w:b/>
                <w:bCs/>
                <w:sz w:val="20"/>
                <w:lang w:val="lv-LV"/>
              </w:rPr>
            </w:pPr>
            <w:r w:rsidRPr="00550D35">
              <w:rPr>
                <w:b/>
                <w:bCs/>
                <w:sz w:val="20"/>
                <w:lang w:val="lv-LV"/>
              </w:rPr>
              <w:t>Jauns pasākums</w:t>
            </w:r>
          </w:p>
        </w:tc>
        <w:tc>
          <w:tcPr>
            <w:tcW w:w="5450" w:type="dxa"/>
          </w:tcPr>
          <w:p w14:paraId="042C08FA" w14:textId="77777777" w:rsidR="00D536C9" w:rsidRPr="00550D35" w:rsidRDefault="00AC141D" w:rsidP="00BA62A0">
            <w:pPr>
              <w:spacing w:before="0" w:after="120"/>
              <w:ind w:firstLine="0"/>
              <w:contextualSpacing/>
              <w:jc w:val="left"/>
              <w:rPr>
                <w:sz w:val="20"/>
                <w:lang w:val="lv-LV"/>
              </w:rPr>
            </w:pPr>
            <w:sdt>
              <w:sdtPr>
                <w:rPr>
                  <w:rFonts w:eastAsia="Wingdings 2"/>
                  <w:sz w:val="20"/>
                  <w:lang w:val="lv-LV"/>
                </w:rPr>
                <w:id w:val="129141891"/>
                <w14:checkbox>
                  <w14:checked w14:val="1"/>
                  <w14:checkedState w14:val="2612" w14:font="MS Gothic"/>
                  <w14:uncheckedState w14:val="2610" w14:font="MS Gothic"/>
                </w14:checkbox>
              </w:sdtPr>
              <w:sdtEndPr/>
              <w:sdtContent>
                <w:r w:rsidR="00D536C9" w:rsidRPr="00550D35">
                  <w:rPr>
                    <w:rFonts w:ascii="Segoe UI Symbol" w:eastAsia="MS Gothic" w:hAnsi="Segoe UI Symbol" w:cs="Segoe UI Symbol"/>
                    <w:sz w:val="20"/>
                    <w:lang w:val="lv-LV"/>
                  </w:rPr>
                  <w:t>☒</w:t>
                </w:r>
              </w:sdtContent>
            </w:sdt>
            <w:r w:rsidR="00D536C9" w:rsidRPr="00550D35">
              <w:rPr>
                <w:rFonts w:eastAsia="MS Minngs"/>
                <w:sz w:val="20"/>
                <w:lang w:val="lv-LV"/>
              </w:rPr>
              <w:t xml:space="preserve"> </w:t>
            </w:r>
            <w:r w:rsidR="00D536C9" w:rsidRPr="00550D35">
              <w:rPr>
                <w:sz w:val="20"/>
                <w:lang w:val="lv-LV"/>
              </w:rPr>
              <w:t>jā</w:t>
            </w:r>
          </w:p>
          <w:p w14:paraId="28612495" w14:textId="77777777" w:rsidR="00D536C9" w:rsidRPr="00550D35" w:rsidRDefault="00D536C9" w:rsidP="00BA62A0">
            <w:pPr>
              <w:spacing w:before="0" w:after="120"/>
              <w:ind w:firstLine="0"/>
              <w:contextualSpacing/>
              <w:jc w:val="left"/>
              <w:rPr>
                <w:sz w:val="20"/>
                <w:lang w:val="lv-LV"/>
              </w:rPr>
            </w:pPr>
            <w:r w:rsidRPr="00550D35">
              <w:rPr>
                <w:rFonts w:eastAsia="Wingdings 2"/>
                <w:sz w:val="20"/>
                <w:lang w:val="lv-LV"/>
              </w:rPr>
              <w:t></w:t>
            </w:r>
            <w:r w:rsidRPr="00550D35">
              <w:rPr>
                <w:rFonts w:eastAsia="MS Minngs"/>
                <w:sz w:val="20"/>
                <w:lang w:val="lv-LV"/>
              </w:rPr>
              <w:t xml:space="preserve">  </w:t>
            </w:r>
            <w:r w:rsidRPr="00550D35">
              <w:rPr>
                <w:sz w:val="20"/>
                <w:lang w:val="lv-LV"/>
              </w:rPr>
              <w:t>nē</w:t>
            </w:r>
          </w:p>
        </w:tc>
      </w:tr>
      <w:tr w:rsidR="00D536C9" w:rsidRPr="00550D35" w14:paraId="0A6AC8F7" w14:textId="77777777" w:rsidTr="00BA62A0">
        <w:trPr>
          <w:trHeight w:val="300"/>
        </w:trPr>
        <w:tc>
          <w:tcPr>
            <w:tcW w:w="3192" w:type="dxa"/>
          </w:tcPr>
          <w:p w14:paraId="725EF3DD" w14:textId="77777777" w:rsidR="00D536C9" w:rsidRPr="00550D35" w:rsidRDefault="00D536C9" w:rsidP="00BA62A0">
            <w:pPr>
              <w:spacing w:before="120" w:after="120"/>
              <w:ind w:firstLine="0"/>
              <w:rPr>
                <w:b/>
                <w:bCs/>
                <w:sz w:val="20"/>
                <w:lang w:val="lv-LV"/>
              </w:rPr>
            </w:pPr>
            <w:r w:rsidRPr="00550D35">
              <w:rPr>
                <w:b/>
                <w:bCs/>
                <w:sz w:val="20"/>
                <w:lang w:val="lv-LV"/>
              </w:rPr>
              <w:t>Īss pasākuma apraksts</w:t>
            </w:r>
          </w:p>
          <w:p w14:paraId="3FBE688F" w14:textId="77777777" w:rsidR="00D536C9" w:rsidRPr="00550D35" w:rsidRDefault="00D536C9" w:rsidP="00BA62A0">
            <w:pPr>
              <w:spacing w:before="120" w:after="120"/>
              <w:ind w:firstLine="0"/>
              <w:rPr>
                <w:b/>
                <w:sz w:val="20"/>
                <w:lang w:val="lv-LV"/>
              </w:rPr>
            </w:pPr>
          </w:p>
        </w:tc>
        <w:tc>
          <w:tcPr>
            <w:tcW w:w="5450" w:type="dxa"/>
          </w:tcPr>
          <w:p w14:paraId="06BE18C9" w14:textId="77777777" w:rsidR="00D536C9" w:rsidRPr="00550D35" w:rsidRDefault="00D536C9" w:rsidP="00BA62A0">
            <w:pPr>
              <w:spacing w:before="0" w:after="120"/>
              <w:ind w:firstLine="0"/>
              <w:contextualSpacing/>
              <w:rPr>
                <w:iCs/>
                <w:sz w:val="20"/>
                <w:lang w:val="lv-LV"/>
              </w:rPr>
            </w:pPr>
            <w:r w:rsidRPr="00550D35">
              <w:rPr>
                <w:iCs/>
                <w:sz w:val="20"/>
                <w:lang w:val="lv-LV"/>
              </w:rPr>
              <w:t xml:space="preserve">Investīcijas mērķis ir veicināt procesu </w:t>
            </w:r>
            <w:proofErr w:type="spellStart"/>
            <w:r w:rsidRPr="00550D35">
              <w:rPr>
                <w:iCs/>
                <w:sz w:val="20"/>
                <w:lang w:val="lv-LV"/>
              </w:rPr>
              <w:t>digitalizāciju</w:t>
            </w:r>
            <w:proofErr w:type="spellEnd"/>
            <w:r w:rsidRPr="00550D35">
              <w:rPr>
                <w:iCs/>
                <w:sz w:val="20"/>
                <w:lang w:val="lv-LV"/>
              </w:rPr>
              <w:t xml:space="preserve"> komercdarbībā un produktivitātes paaugstināšanu ar mērķtiecīgu resursu ieguldīšanu augstākas pievienotās vērtības radīšanai komersantu darbības procesos, kas veicinātu Latvijas konkurētspējas priekšrocības.</w:t>
            </w:r>
          </w:p>
          <w:p w14:paraId="45C97A89"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Gala labuma guvējs var veikt ieguldījumus šādu komercdarbības procesu uzlabošanā:</w:t>
            </w:r>
          </w:p>
          <w:p w14:paraId="5D6EB75A"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administratīvie procesi – finanses un grāmatvedība, administrācija, dokumentu vadība, projektu vadība, kopdarbība, sistēmu savietojamība;</w:t>
            </w:r>
          </w:p>
          <w:p w14:paraId="7B7CF2E0"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personāla vadības procesi – cilvēku resursu vadība, darba laika uzskaite, darba deleģēšana, personāla iesaiste, novērtēšana un motivācija;</w:t>
            </w:r>
          </w:p>
          <w:p w14:paraId="037E6CE5" w14:textId="37818579"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pārdošanas procesi – klientu piesaiste un darījumu vadības automatizācija, pārdošana un darījumu atsekošana, e-komercija, digitālais mārketings, digitālie risinājumi mazumtirdzniecībai, klientu attiecību pārvaldība (</w:t>
            </w:r>
            <w:proofErr w:type="spellStart"/>
            <w:r w:rsidRPr="0096774F">
              <w:rPr>
                <w:rFonts w:eastAsiaTheme="minorEastAsia"/>
                <w:i/>
                <w:sz w:val="20"/>
                <w:lang w:val="lv-LV" w:eastAsia="en-US"/>
              </w:rPr>
              <w:t>Customer</w:t>
            </w:r>
            <w:proofErr w:type="spellEnd"/>
            <w:r w:rsidRPr="0096774F">
              <w:rPr>
                <w:rFonts w:eastAsiaTheme="minorEastAsia"/>
                <w:i/>
                <w:sz w:val="20"/>
                <w:lang w:val="lv-LV" w:eastAsia="en-US"/>
              </w:rPr>
              <w:t xml:space="preserve"> </w:t>
            </w:r>
            <w:proofErr w:type="spellStart"/>
            <w:r w:rsidRPr="0096774F">
              <w:rPr>
                <w:rFonts w:eastAsiaTheme="minorEastAsia"/>
                <w:i/>
                <w:sz w:val="20"/>
                <w:lang w:val="lv-LV" w:eastAsia="en-US"/>
              </w:rPr>
              <w:t>relationship</w:t>
            </w:r>
            <w:proofErr w:type="spellEnd"/>
            <w:r w:rsidRPr="0096774F">
              <w:rPr>
                <w:rFonts w:eastAsiaTheme="minorEastAsia"/>
                <w:i/>
                <w:sz w:val="20"/>
                <w:lang w:val="lv-LV" w:eastAsia="en-US"/>
              </w:rPr>
              <w:t xml:space="preserve"> </w:t>
            </w:r>
            <w:proofErr w:type="spellStart"/>
            <w:r w:rsidRPr="0096774F">
              <w:rPr>
                <w:rFonts w:eastAsiaTheme="minorEastAsia"/>
                <w:i/>
                <w:sz w:val="20"/>
                <w:lang w:val="lv-LV" w:eastAsia="en-US"/>
              </w:rPr>
              <w:t>management</w:t>
            </w:r>
            <w:proofErr w:type="spellEnd"/>
            <w:r w:rsidRPr="00550D35">
              <w:rPr>
                <w:rFonts w:eastAsiaTheme="minorEastAsia"/>
                <w:iCs/>
                <w:sz w:val="20"/>
                <w:lang w:val="lv-LV" w:eastAsia="en-US"/>
              </w:rPr>
              <w:t>);</w:t>
            </w:r>
          </w:p>
          <w:p w14:paraId="242447DD"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resursu pārvaldības procesi – resursu vadība (</w:t>
            </w:r>
            <w:r w:rsidRPr="0096774F">
              <w:rPr>
                <w:rFonts w:eastAsiaTheme="minorEastAsia"/>
                <w:i/>
                <w:sz w:val="20"/>
                <w:lang w:val="lv-LV" w:eastAsia="en-US"/>
              </w:rPr>
              <w:t xml:space="preserve">Enterprise </w:t>
            </w:r>
            <w:proofErr w:type="spellStart"/>
            <w:r w:rsidRPr="0096774F">
              <w:rPr>
                <w:rFonts w:eastAsiaTheme="minorEastAsia"/>
                <w:i/>
                <w:sz w:val="20"/>
                <w:lang w:val="lv-LV" w:eastAsia="en-US"/>
              </w:rPr>
              <w:t>resource</w:t>
            </w:r>
            <w:proofErr w:type="spellEnd"/>
            <w:r w:rsidRPr="0096774F">
              <w:rPr>
                <w:rFonts w:eastAsiaTheme="minorEastAsia"/>
                <w:i/>
                <w:sz w:val="20"/>
                <w:lang w:val="lv-LV" w:eastAsia="en-US"/>
              </w:rPr>
              <w:t xml:space="preserve"> </w:t>
            </w:r>
            <w:proofErr w:type="spellStart"/>
            <w:r w:rsidRPr="0096774F">
              <w:rPr>
                <w:rFonts w:eastAsiaTheme="minorEastAsia"/>
                <w:i/>
                <w:sz w:val="20"/>
                <w:lang w:val="lv-LV" w:eastAsia="en-US"/>
              </w:rPr>
              <w:t>planning</w:t>
            </w:r>
            <w:proofErr w:type="spellEnd"/>
            <w:r w:rsidRPr="0096774F">
              <w:rPr>
                <w:rFonts w:eastAsiaTheme="minorEastAsia"/>
                <w:i/>
                <w:sz w:val="20"/>
                <w:lang w:val="lv-LV" w:eastAsia="en-US"/>
              </w:rPr>
              <w:t> </w:t>
            </w:r>
            <w:r w:rsidRPr="00550D35">
              <w:rPr>
                <w:rFonts w:eastAsiaTheme="minorEastAsia"/>
                <w:iCs/>
                <w:sz w:val="20"/>
                <w:lang w:val="lv-LV" w:eastAsia="en-US"/>
              </w:rPr>
              <w:t>– ERP, noliktavu pārvaldības sistēmas), energoresursu pārvaldība, efektīvāka izmantošana;</w:t>
            </w:r>
          </w:p>
          <w:p w14:paraId="1EE5A561"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datu pārvaldības procesi – datu drošība, datu glabāšana, komunikācijas infrastruktūra;</w:t>
            </w:r>
          </w:p>
          <w:p w14:paraId="6B0647A3"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transports un loģistikas procesi – lietu internets, viedie mobilitātes risinājumi, uztveres sistēmas, satiksmes monitorings;</w:t>
            </w:r>
          </w:p>
          <w:p w14:paraId="6AF72A67"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ražošanas un kvalitātes kontroles procesi –  ražošanas un biznesa procesu vadības un automatizācijas, kvalitātes kontroles sistēmas, datu sinhronizācija, datu analītika;</w:t>
            </w:r>
          </w:p>
          <w:p w14:paraId="2722AABB"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operatīvās vadības procesi – biznesa vadība, biznesa analītika, lielo datu analītika, risinājumi vadības lēmumu pieņemšanai, datu automatizācija, sinhronizācija;</w:t>
            </w:r>
          </w:p>
          <w:p w14:paraId="77FC7E67"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xml:space="preserve">- stratēģiskā vadība – </w:t>
            </w:r>
            <w:proofErr w:type="spellStart"/>
            <w:r w:rsidRPr="00550D35">
              <w:rPr>
                <w:rFonts w:eastAsiaTheme="minorEastAsia"/>
                <w:iCs/>
                <w:sz w:val="20"/>
                <w:lang w:val="lv-LV" w:eastAsia="en-US"/>
              </w:rPr>
              <w:t>digitalizācijas</w:t>
            </w:r>
            <w:proofErr w:type="spellEnd"/>
            <w:r w:rsidRPr="00550D35">
              <w:rPr>
                <w:rFonts w:eastAsiaTheme="minorEastAsia"/>
                <w:iCs/>
                <w:sz w:val="20"/>
                <w:lang w:val="lv-LV" w:eastAsia="en-US"/>
              </w:rPr>
              <w:t xml:space="preserve"> (procesu un produktu) un inovāciju attīstības stratēģija;</w:t>
            </w:r>
          </w:p>
          <w:p w14:paraId="2C8A37A5"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 citu ar informācijas un komunikācijas tehnoloģiju produktiem, tehnoloģijām, drošību vai procesiem saistītu uzlabojumu veikšana.</w:t>
            </w:r>
          </w:p>
          <w:p w14:paraId="4D858317"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Provizoriskā laika skala:</w:t>
            </w:r>
          </w:p>
          <w:p w14:paraId="1602F481" w14:textId="77777777" w:rsidR="00D536C9" w:rsidRPr="00550D35" w:rsidRDefault="00D536C9" w:rsidP="00BA62A0">
            <w:pPr>
              <w:spacing w:before="0" w:after="120"/>
              <w:ind w:firstLine="0"/>
              <w:contextualSpacing/>
              <w:rPr>
                <w:rFonts w:eastAsiaTheme="minorEastAsia"/>
                <w:iCs/>
                <w:sz w:val="20"/>
                <w:lang w:val="lv-LV" w:eastAsia="en-US"/>
              </w:rPr>
            </w:pPr>
            <w:r w:rsidRPr="00550D35">
              <w:rPr>
                <w:rFonts w:eastAsiaTheme="minorEastAsia"/>
                <w:iCs/>
                <w:sz w:val="20"/>
                <w:lang w:val="lv-LV" w:eastAsia="en-US"/>
              </w:rPr>
              <w:t>ANM programma tika uzsākta 2023. gada februārī, un programmas nosacījumu pārskatīšana notiks 2024. gada otrajā ceturksnī. Paredzams, ka programma būs pieejama līdz 2026. gada jūnijam.</w:t>
            </w:r>
          </w:p>
        </w:tc>
      </w:tr>
      <w:tr w:rsidR="00D536C9" w:rsidRPr="003B2E9A" w14:paraId="1B673BE3" w14:textId="77777777" w:rsidTr="00BA62A0">
        <w:trPr>
          <w:trHeight w:val="300"/>
        </w:trPr>
        <w:tc>
          <w:tcPr>
            <w:tcW w:w="3192" w:type="dxa"/>
            <w:shd w:val="clear" w:color="auto" w:fill="auto"/>
          </w:tcPr>
          <w:p w14:paraId="3DAC65E0" w14:textId="48BDB99F" w:rsidR="00D536C9" w:rsidRPr="00550D35" w:rsidRDefault="00D536C9" w:rsidP="00BA62A0">
            <w:pPr>
              <w:spacing w:before="120" w:after="120"/>
              <w:ind w:firstLine="0"/>
              <w:rPr>
                <w:b/>
                <w:bCs/>
                <w:sz w:val="20"/>
                <w:lang w:val="lv-LV"/>
              </w:rPr>
            </w:pPr>
            <w:r w:rsidRPr="00550D35">
              <w:rPr>
                <w:b/>
                <w:bCs/>
                <w:sz w:val="20"/>
                <w:lang w:val="lv-LV"/>
              </w:rPr>
              <w:t>Piešķirtais vai plānotais budžets un, ja atbilstoši, citi resursi</w:t>
            </w:r>
          </w:p>
        </w:tc>
        <w:tc>
          <w:tcPr>
            <w:tcW w:w="5450" w:type="dxa"/>
            <w:shd w:val="clear" w:color="auto" w:fill="auto"/>
          </w:tcPr>
          <w:p w14:paraId="19CD1A6B" w14:textId="77777777" w:rsidR="00D536C9" w:rsidRPr="00550D35" w:rsidRDefault="00D536C9" w:rsidP="00BA62A0">
            <w:pPr>
              <w:spacing w:before="0" w:after="0"/>
              <w:ind w:firstLine="0"/>
              <w:contextualSpacing/>
              <w:jc w:val="left"/>
              <w:rPr>
                <w:rFonts w:eastAsiaTheme="minorEastAsia"/>
                <w:iCs/>
                <w:sz w:val="20"/>
                <w:lang w:val="lv-LV" w:eastAsia="en-US"/>
              </w:rPr>
            </w:pPr>
            <w:r w:rsidRPr="00550D35">
              <w:rPr>
                <w:rFonts w:eastAsiaTheme="minorEastAsia"/>
                <w:iCs/>
                <w:sz w:val="20"/>
                <w:lang w:val="lv-LV" w:eastAsia="en-US"/>
              </w:rPr>
              <w:t xml:space="preserve">Plānotais budžets kopā: 40,14 milj. </w:t>
            </w:r>
            <w:proofErr w:type="spellStart"/>
            <w:r w:rsidRPr="00550D35">
              <w:rPr>
                <w:rFonts w:eastAsiaTheme="minorEastAsia"/>
                <w:i/>
                <w:iCs/>
                <w:sz w:val="20"/>
                <w:lang w:val="lv-LV" w:eastAsia="en-US"/>
              </w:rPr>
              <w:t>euro</w:t>
            </w:r>
            <w:proofErr w:type="spellEnd"/>
            <w:r w:rsidRPr="00550D35">
              <w:rPr>
                <w:rFonts w:eastAsiaTheme="minorEastAsia"/>
                <w:iCs/>
                <w:sz w:val="20"/>
                <w:lang w:val="lv-LV" w:eastAsia="en-US"/>
              </w:rPr>
              <w:t>, t.sk.:</w:t>
            </w:r>
          </w:p>
          <w:p w14:paraId="6C7B3EC1" w14:textId="77777777" w:rsidR="00D536C9" w:rsidRPr="00550D35" w:rsidRDefault="00D536C9" w:rsidP="00BA62A0">
            <w:pPr>
              <w:spacing w:before="0" w:after="0"/>
              <w:ind w:firstLine="0"/>
              <w:contextualSpacing/>
              <w:jc w:val="left"/>
              <w:rPr>
                <w:rFonts w:eastAsiaTheme="minorEastAsia"/>
                <w:iCs/>
                <w:sz w:val="20"/>
                <w:lang w:val="lv-LV" w:eastAsia="en-US"/>
              </w:rPr>
            </w:pPr>
            <w:r w:rsidRPr="00550D35">
              <w:rPr>
                <w:rFonts w:eastAsiaTheme="minorEastAsia"/>
                <w:iCs/>
                <w:sz w:val="20"/>
                <w:lang w:val="lv-LV" w:eastAsia="en-US"/>
              </w:rPr>
              <w:t xml:space="preserve">ANM finansējums -  40,0 milj. </w:t>
            </w:r>
            <w:proofErr w:type="spellStart"/>
            <w:r w:rsidRPr="00550D35">
              <w:rPr>
                <w:rFonts w:eastAsiaTheme="minorEastAsia"/>
                <w:i/>
                <w:sz w:val="20"/>
                <w:lang w:val="lv-LV" w:eastAsia="en-US"/>
              </w:rPr>
              <w:t>euro</w:t>
            </w:r>
            <w:proofErr w:type="spellEnd"/>
            <w:r w:rsidRPr="00550D35">
              <w:rPr>
                <w:rFonts w:eastAsiaTheme="minorEastAsia"/>
                <w:sz w:val="20"/>
                <w:lang w:val="lv-LV" w:eastAsia="en-US"/>
              </w:rPr>
              <w:t>;</w:t>
            </w:r>
          </w:p>
          <w:p w14:paraId="4F2361AE" w14:textId="5BD78F2B" w:rsidR="00D536C9" w:rsidRPr="00550D35" w:rsidRDefault="00D536C9" w:rsidP="00BA62A0">
            <w:pPr>
              <w:spacing w:before="0" w:after="0"/>
              <w:ind w:firstLine="0"/>
              <w:contextualSpacing/>
              <w:jc w:val="left"/>
              <w:rPr>
                <w:rFonts w:eastAsiaTheme="minorEastAsia"/>
                <w:sz w:val="20"/>
                <w:lang w:val="lv-LV" w:eastAsia="en-US"/>
              </w:rPr>
            </w:pPr>
            <w:r w:rsidRPr="00550D35">
              <w:rPr>
                <w:rFonts w:eastAsiaTheme="minorEastAsia"/>
                <w:iCs/>
                <w:sz w:val="20"/>
                <w:lang w:val="lv-LV" w:eastAsia="en-US"/>
              </w:rPr>
              <w:t>Valsts budžeta fi</w:t>
            </w:r>
            <w:r w:rsidR="00C15A2E">
              <w:rPr>
                <w:rFonts w:eastAsiaTheme="minorEastAsia"/>
                <w:iCs/>
                <w:sz w:val="20"/>
                <w:lang w:val="lv-LV" w:eastAsia="en-US"/>
              </w:rPr>
              <w:t>n</w:t>
            </w:r>
            <w:r w:rsidRPr="00550D35">
              <w:rPr>
                <w:rFonts w:eastAsiaTheme="minorEastAsia"/>
                <w:iCs/>
                <w:sz w:val="20"/>
                <w:lang w:val="lv-LV" w:eastAsia="en-US"/>
              </w:rPr>
              <w:t>ansējums: 140 tūkst. </w:t>
            </w:r>
            <w:proofErr w:type="spellStart"/>
            <w:r w:rsidRPr="00550D35">
              <w:rPr>
                <w:rFonts w:eastAsiaTheme="minorEastAsia"/>
                <w:i/>
                <w:sz w:val="20"/>
                <w:lang w:val="lv-LV" w:eastAsia="en-US"/>
              </w:rPr>
              <w:t>euro</w:t>
            </w:r>
            <w:proofErr w:type="spellEnd"/>
            <w:r w:rsidRPr="00550D35">
              <w:rPr>
                <w:rFonts w:eastAsiaTheme="minorEastAsia"/>
                <w:i/>
                <w:sz w:val="20"/>
                <w:lang w:val="lv-LV" w:eastAsia="en-US"/>
              </w:rPr>
              <w:t>.</w:t>
            </w:r>
          </w:p>
        </w:tc>
      </w:tr>
      <w:tr w:rsidR="00D536C9" w:rsidRPr="00550D35" w14:paraId="2B211822" w14:textId="77777777" w:rsidTr="00BA62A0">
        <w:trPr>
          <w:trHeight w:val="300"/>
        </w:trPr>
        <w:tc>
          <w:tcPr>
            <w:tcW w:w="3192" w:type="dxa"/>
          </w:tcPr>
          <w:p w14:paraId="6271279D" w14:textId="77777777" w:rsidR="00D536C9" w:rsidRPr="00550D35" w:rsidRDefault="00D536C9" w:rsidP="00BA62A0">
            <w:pPr>
              <w:spacing w:before="120" w:after="120"/>
              <w:ind w:firstLine="0"/>
              <w:rPr>
                <w:b/>
                <w:bCs/>
                <w:sz w:val="20"/>
                <w:lang w:val="lv-LV"/>
              </w:rPr>
            </w:pPr>
            <w:r w:rsidRPr="00550D35">
              <w:rPr>
                <w:b/>
                <w:bCs/>
                <w:sz w:val="20"/>
                <w:lang w:val="lv-LV"/>
              </w:rPr>
              <w:lastRenderedPageBreak/>
              <w:t>Sagaidāmā ietekme un laika ietvars</w:t>
            </w:r>
          </w:p>
        </w:tc>
        <w:tc>
          <w:tcPr>
            <w:tcW w:w="5450" w:type="dxa"/>
          </w:tcPr>
          <w:p w14:paraId="2A099C0F" w14:textId="77777777" w:rsidR="00D536C9" w:rsidRPr="00550D35" w:rsidRDefault="00D536C9" w:rsidP="00BA62A0">
            <w:pPr>
              <w:spacing w:before="60" w:after="0"/>
              <w:ind w:firstLine="0"/>
              <w:rPr>
                <w:rFonts w:eastAsiaTheme="minorEastAsia"/>
                <w:iCs/>
                <w:sz w:val="20"/>
                <w:lang w:val="lv-LV" w:eastAsia="en-US"/>
              </w:rPr>
            </w:pPr>
            <w:r w:rsidRPr="00550D35">
              <w:rPr>
                <w:rFonts w:eastAsiaTheme="minorEastAsia"/>
                <w:iCs/>
                <w:sz w:val="20"/>
                <w:lang w:val="lv-LV" w:eastAsia="en-US"/>
              </w:rPr>
              <w:t>80 gala labuma guvēji saņem atbalstu līdz 2024. gada jūnijam, 200 gala labuma guvēji saņem atbalstu līdz 2026. gada jūnijam.</w:t>
            </w:r>
          </w:p>
          <w:p w14:paraId="4DB4C61D" w14:textId="77777777" w:rsidR="00D536C9" w:rsidRPr="00550D35" w:rsidRDefault="00D536C9" w:rsidP="00BA62A0">
            <w:pPr>
              <w:spacing w:before="60" w:after="0"/>
              <w:ind w:firstLine="0"/>
              <w:rPr>
                <w:rFonts w:eastAsiaTheme="minorEastAsia"/>
                <w:iCs/>
                <w:sz w:val="20"/>
                <w:lang w:val="lv-LV" w:eastAsia="en-US"/>
              </w:rPr>
            </w:pPr>
            <w:r w:rsidRPr="00550D35">
              <w:rPr>
                <w:rFonts w:eastAsiaTheme="minorEastAsia"/>
                <w:iCs/>
                <w:sz w:val="20"/>
                <w:lang w:val="lv-LV" w:eastAsia="en-US"/>
              </w:rPr>
              <w:t>Programmas laika ietvars: 02.2023. – 06.2026.</w:t>
            </w:r>
          </w:p>
        </w:tc>
      </w:tr>
    </w:tbl>
    <w:p w14:paraId="2FA7A2C6" w14:textId="77777777" w:rsidR="00D536C9" w:rsidRPr="00550D35" w:rsidRDefault="00D536C9" w:rsidP="00D536C9">
      <w:pPr>
        <w:pStyle w:val="Text3"/>
        <w:rPr>
          <w:sz w:val="20"/>
          <w:lang w:val="lv-LV"/>
        </w:rPr>
      </w:pPr>
    </w:p>
    <w:tbl>
      <w:tblPr>
        <w:tblStyle w:val="TableGrid"/>
        <w:tblW w:w="8642" w:type="dxa"/>
        <w:tblLook w:val="04A0" w:firstRow="1" w:lastRow="0" w:firstColumn="1" w:lastColumn="0" w:noHBand="0" w:noVBand="1"/>
      </w:tblPr>
      <w:tblGrid>
        <w:gridCol w:w="3242"/>
        <w:gridCol w:w="5400"/>
      </w:tblGrid>
      <w:tr w:rsidR="00D536C9" w:rsidRPr="003B2E9A" w14:paraId="5373672C" w14:textId="77777777" w:rsidTr="00BA62A0">
        <w:tc>
          <w:tcPr>
            <w:tcW w:w="8642" w:type="dxa"/>
            <w:gridSpan w:val="2"/>
          </w:tcPr>
          <w:p w14:paraId="4D1C5847" w14:textId="77777777" w:rsidR="00D536C9" w:rsidRPr="0084229A" w:rsidRDefault="00D536C9" w:rsidP="00BA62A0">
            <w:pPr>
              <w:ind w:firstLine="0"/>
              <w:rPr>
                <w:rFonts w:ascii="Wingdings 2" w:eastAsia="Wingdings 2" w:hAnsi="Wingdings 2" w:cs="Wingdings 2"/>
                <w:b/>
                <w:bCs/>
                <w:sz w:val="20"/>
                <w:lang w:val="lv-LV"/>
              </w:rPr>
            </w:pPr>
            <w:r w:rsidRPr="00ED4292">
              <w:rPr>
                <w:b/>
                <w:bCs/>
                <w:sz w:val="20"/>
                <w:lang w:val="lv-LV"/>
              </w:rPr>
              <w:t xml:space="preserve">Pasākums Nr. 3 - ANM plāna investīcija </w:t>
            </w:r>
            <w:r w:rsidRPr="00ED4292">
              <w:rPr>
                <w:b/>
                <w:bCs/>
                <w:noProof/>
                <w:sz w:val="20"/>
                <w:lang w:val="lv-LV"/>
              </w:rPr>
              <w:t xml:space="preserve">2.2.1.3.i </w:t>
            </w:r>
            <w:r w:rsidRPr="00ED4292">
              <w:rPr>
                <w:b/>
                <w:bCs/>
                <w:sz w:val="20"/>
                <w:lang w:val="lv-LV"/>
              </w:rPr>
              <w:t>“Atbalsts jaunu produktu un pakalpojumu ieviešanai komercdarbībā”</w:t>
            </w:r>
            <w:r>
              <w:rPr>
                <w:b/>
                <w:bCs/>
                <w:sz w:val="20"/>
                <w:lang w:val="lv-LV"/>
              </w:rPr>
              <w:t xml:space="preserve"> </w:t>
            </w:r>
            <w:r w:rsidRPr="00ED4292">
              <w:rPr>
                <w:b/>
                <w:bCs/>
                <w:sz w:val="20"/>
                <w:lang w:val="lv-LV"/>
              </w:rPr>
              <w:t xml:space="preserve">un ERAF 1.2.1.1. </w:t>
            </w:r>
            <w:r>
              <w:rPr>
                <w:b/>
                <w:bCs/>
                <w:sz w:val="20"/>
                <w:lang w:val="lv-LV"/>
              </w:rPr>
              <w:t>pasākums</w:t>
            </w:r>
            <w:r w:rsidRPr="00ED4292">
              <w:rPr>
                <w:b/>
                <w:bCs/>
                <w:sz w:val="20"/>
                <w:lang w:val="lv-LV"/>
              </w:rPr>
              <w:t xml:space="preserve"> “Atbalsts jaunu produktu attīstībai un internacionalizācijai”</w:t>
            </w:r>
          </w:p>
        </w:tc>
      </w:tr>
      <w:tr w:rsidR="00D536C9" w:rsidRPr="00550D35" w14:paraId="6BE927BD" w14:textId="77777777" w:rsidTr="00BA62A0">
        <w:tc>
          <w:tcPr>
            <w:tcW w:w="3242" w:type="dxa"/>
          </w:tcPr>
          <w:p w14:paraId="0D49D27D" w14:textId="77777777" w:rsidR="00D536C9" w:rsidRPr="00550D35" w:rsidRDefault="00D536C9" w:rsidP="00BA62A0">
            <w:pPr>
              <w:spacing w:before="120" w:after="120"/>
              <w:ind w:firstLine="0"/>
              <w:jc w:val="left"/>
              <w:rPr>
                <w:b/>
                <w:bCs/>
                <w:sz w:val="20"/>
                <w:lang w:val="lv-LV"/>
              </w:rPr>
            </w:pPr>
            <w:r w:rsidRPr="00550D35">
              <w:rPr>
                <w:b/>
                <w:bCs/>
                <w:sz w:val="20"/>
                <w:lang w:val="lv-LV"/>
              </w:rPr>
              <w:t>Jauns pasākums</w:t>
            </w:r>
          </w:p>
        </w:tc>
        <w:tc>
          <w:tcPr>
            <w:tcW w:w="5400" w:type="dxa"/>
          </w:tcPr>
          <w:p w14:paraId="641CAE2B" w14:textId="77777777" w:rsidR="00D536C9" w:rsidRPr="00550D35" w:rsidRDefault="00AC141D" w:rsidP="00BA62A0">
            <w:pPr>
              <w:spacing w:before="0" w:after="120"/>
              <w:ind w:firstLine="0"/>
              <w:contextualSpacing/>
              <w:jc w:val="left"/>
              <w:rPr>
                <w:sz w:val="20"/>
                <w:lang w:val="lv-LV"/>
              </w:rPr>
            </w:pPr>
            <w:sdt>
              <w:sdtPr>
                <w:rPr>
                  <w:rFonts w:ascii="Wingdings 2" w:eastAsia="Wingdings 2" w:hAnsi="Wingdings 2" w:cs="Wingdings 2"/>
                  <w:sz w:val="20"/>
                  <w:lang w:val="lv-LV"/>
                </w:rPr>
                <w:id w:val="-892967498"/>
                <w14:checkbox>
                  <w14:checked w14:val="1"/>
                  <w14:checkedState w14:val="2612" w14:font="MS Gothic"/>
                  <w14:uncheckedState w14:val="2610" w14:font="MS Gothic"/>
                </w14:checkbox>
              </w:sdtPr>
              <w:sdtEndPr/>
              <w:sdtContent>
                <w:r w:rsidR="00D536C9" w:rsidRPr="00550D35">
                  <w:rPr>
                    <w:rFonts w:ascii="MS Gothic" w:eastAsia="MS Gothic" w:hAnsi="MS Gothic" w:cs="Wingdings 2"/>
                    <w:sz w:val="20"/>
                    <w:lang w:val="lv-LV"/>
                  </w:rPr>
                  <w:t>☒</w:t>
                </w:r>
              </w:sdtContent>
            </w:sdt>
            <w:r w:rsidR="00D536C9" w:rsidRPr="00550D35">
              <w:rPr>
                <w:rFonts w:eastAsia="MS Minngs"/>
                <w:sz w:val="20"/>
                <w:lang w:val="lv-LV"/>
              </w:rPr>
              <w:t xml:space="preserve"> </w:t>
            </w:r>
            <w:r w:rsidR="00D536C9" w:rsidRPr="00550D35">
              <w:rPr>
                <w:sz w:val="20"/>
                <w:lang w:val="lv-LV"/>
              </w:rPr>
              <w:t>jā</w:t>
            </w:r>
          </w:p>
          <w:p w14:paraId="3B52A0A2" w14:textId="77777777" w:rsidR="00D536C9" w:rsidRPr="00550D35" w:rsidRDefault="00D536C9" w:rsidP="00BA62A0">
            <w:pPr>
              <w:spacing w:before="0" w:after="120"/>
              <w:ind w:firstLine="0"/>
              <w:contextualSpacing/>
              <w:jc w:val="left"/>
              <w:rPr>
                <w:sz w:val="20"/>
                <w:lang w:val="lv-LV"/>
              </w:rPr>
            </w:pPr>
            <w:r w:rsidRPr="00550D35">
              <w:rPr>
                <w:rFonts w:ascii="Wingdings 2" w:eastAsia="Wingdings 2" w:hAnsi="Wingdings 2" w:cs="Wingdings 2"/>
                <w:sz w:val="20"/>
                <w:lang w:val="lv-LV"/>
              </w:rPr>
              <w:t></w:t>
            </w:r>
            <w:r w:rsidRPr="00550D35">
              <w:rPr>
                <w:rFonts w:eastAsia="MS Minngs"/>
                <w:sz w:val="20"/>
                <w:lang w:val="lv-LV"/>
              </w:rPr>
              <w:t xml:space="preserve">  </w:t>
            </w:r>
            <w:r w:rsidRPr="00550D35">
              <w:rPr>
                <w:sz w:val="20"/>
                <w:lang w:val="lv-LV"/>
              </w:rPr>
              <w:t>nē</w:t>
            </w:r>
          </w:p>
        </w:tc>
      </w:tr>
      <w:tr w:rsidR="00D536C9" w:rsidRPr="00550D35" w14:paraId="3F8E8D15" w14:textId="77777777" w:rsidTr="00BA62A0">
        <w:tc>
          <w:tcPr>
            <w:tcW w:w="3242" w:type="dxa"/>
          </w:tcPr>
          <w:p w14:paraId="6AA66309" w14:textId="77777777" w:rsidR="00D536C9" w:rsidRPr="00550D35" w:rsidRDefault="00D536C9" w:rsidP="00BA62A0">
            <w:pPr>
              <w:spacing w:before="120" w:after="120"/>
              <w:ind w:firstLine="0"/>
              <w:rPr>
                <w:b/>
                <w:bCs/>
                <w:sz w:val="20"/>
                <w:lang w:val="lv-LV"/>
              </w:rPr>
            </w:pPr>
            <w:r w:rsidRPr="00550D35">
              <w:rPr>
                <w:b/>
                <w:bCs/>
                <w:sz w:val="20"/>
                <w:lang w:val="lv-LV"/>
              </w:rPr>
              <w:t>Īss pasākuma apraksts</w:t>
            </w:r>
          </w:p>
          <w:p w14:paraId="0C324756" w14:textId="77777777" w:rsidR="00D536C9" w:rsidRPr="00550D35" w:rsidRDefault="00D536C9" w:rsidP="00BA62A0">
            <w:pPr>
              <w:spacing w:before="120" w:after="120"/>
              <w:ind w:firstLine="0"/>
              <w:rPr>
                <w:b/>
                <w:sz w:val="20"/>
                <w:lang w:val="lv-LV"/>
              </w:rPr>
            </w:pPr>
          </w:p>
        </w:tc>
        <w:tc>
          <w:tcPr>
            <w:tcW w:w="5400" w:type="dxa"/>
          </w:tcPr>
          <w:p w14:paraId="7FE75367" w14:textId="77777777" w:rsidR="00D536C9" w:rsidRPr="00550D35" w:rsidRDefault="00D536C9" w:rsidP="00BA62A0">
            <w:pPr>
              <w:spacing w:before="0"/>
              <w:ind w:firstLine="0"/>
              <w:contextualSpacing/>
              <w:rPr>
                <w:sz w:val="20"/>
                <w:lang w:val="lv-LV"/>
              </w:rPr>
            </w:pPr>
            <w:r w:rsidRPr="00550D35">
              <w:rPr>
                <w:sz w:val="20"/>
                <w:lang w:val="lv-LV"/>
              </w:rPr>
              <w:t>Investīcijas mērķis ir veicināt jaunu digitālu produktu un pakalpojumu radīšanu, kas palīdzētu Latvijas ekonomikai atgūties no krīzes un veicinātu konkurētspēju nākotnē ar modernu automatizācijas, robotizācijas un darba kontroles rīku ieviešanu ražotnēs, kā arī atbalstot uzņēmuma specifikai personalizētu e-komercijas risinājumu ieviešanu pārdošanas procesos.</w:t>
            </w:r>
          </w:p>
          <w:p w14:paraId="68779A37" w14:textId="77777777" w:rsidR="00D536C9" w:rsidRPr="00550D35" w:rsidRDefault="00D536C9" w:rsidP="00BA62A0">
            <w:pPr>
              <w:spacing w:before="0"/>
              <w:ind w:firstLine="0"/>
              <w:contextualSpacing/>
              <w:rPr>
                <w:sz w:val="20"/>
                <w:lang w:val="lv-LV"/>
              </w:rPr>
            </w:pPr>
            <w:r w:rsidRPr="00550D35">
              <w:rPr>
                <w:sz w:val="20"/>
                <w:lang w:val="lv-LV"/>
              </w:rPr>
              <w:t xml:space="preserve">Atkarībā no uzņēmuma individuālajām vajadzībām tiktu atbalstīta arī zinātniskā izpēte ar nolūku būtiski uzlabot, virzīt vai attīstīt pilnīgi jaunus produktus un pakalpojumus, kuru neatņemama sastāvdaļa ir </w:t>
            </w:r>
            <w:proofErr w:type="spellStart"/>
            <w:r w:rsidRPr="00550D35">
              <w:rPr>
                <w:sz w:val="20"/>
                <w:lang w:val="lv-LV"/>
              </w:rPr>
              <w:t>digitalizācija</w:t>
            </w:r>
            <w:proofErr w:type="spellEnd"/>
            <w:r w:rsidRPr="00550D35">
              <w:rPr>
                <w:sz w:val="20"/>
                <w:lang w:val="lv-LV"/>
              </w:rPr>
              <w:t>. Investīciju mērķa grupa ir MVU un lielie komersanti, t.sk. valsts kapitālsabiedrības un pētniecības un zināšanu izplatīšanas organizācijas, kas izstrādā produktus un tehnoloģijas Viedās specializācijas jomās.</w:t>
            </w:r>
          </w:p>
          <w:p w14:paraId="4F641D4D" w14:textId="64D881D8" w:rsidR="00D536C9" w:rsidRPr="00550D35" w:rsidRDefault="0091391F" w:rsidP="00BA62A0">
            <w:pPr>
              <w:spacing w:before="0"/>
              <w:ind w:firstLine="0"/>
              <w:contextualSpacing/>
              <w:rPr>
                <w:sz w:val="20"/>
                <w:lang w:val="lv-LV"/>
              </w:rPr>
            </w:pPr>
            <w:r w:rsidRPr="00AC41E7">
              <w:rPr>
                <w:sz w:val="20"/>
                <w:lang w:val="lv-LV"/>
              </w:rPr>
              <w:t>Finansējuma saņēmējs ir juridiska personas, kas atbilst MK noteikumu par projekta īstenošanu noteiktajām prasībām un veic pētniecības projektus, piesaistot sadarbības partnerus - uzņēmumus</w:t>
            </w:r>
            <w:r w:rsidR="00D536C9" w:rsidRPr="00550D35">
              <w:rPr>
                <w:sz w:val="20"/>
                <w:lang w:val="lv-LV"/>
              </w:rPr>
              <w:t>. Pirms pētniecības projekta uzsākšanas sadarbības partneris veic sākotnējo digitālās brieduma testu un izstrādā digitālās attīstības ceļa karti.</w:t>
            </w:r>
            <w:r w:rsidR="00D536C9" w:rsidRPr="00550D35" w:rsidDel="00D7212E">
              <w:rPr>
                <w:sz w:val="20"/>
                <w:lang w:val="lv-LV"/>
              </w:rPr>
              <w:t xml:space="preserve"> </w:t>
            </w:r>
            <w:r w:rsidR="00D536C9" w:rsidRPr="00550D35">
              <w:rPr>
                <w:sz w:val="20"/>
                <w:lang w:val="lv-LV"/>
              </w:rPr>
              <w:t xml:space="preserve">Investīcijas ietvaros tiks sniegts atbalsts saskaņā ar GBER regulas 25.pantu, kas pieļauj maksimālo atbalsta intensitāti rūpnieciskajiem pētījumiem no 50% līdz 80%, eksperimentālajai izstrādei no 25% līdz 60% vai tehniski-ekonomiskai </w:t>
            </w:r>
            <w:proofErr w:type="spellStart"/>
            <w:r w:rsidR="00D536C9" w:rsidRPr="00550D35">
              <w:rPr>
                <w:sz w:val="20"/>
                <w:lang w:val="lv-LV"/>
              </w:rPr>
              <w:t>priekšizpētei</w:t>
            </w:r>
            <w:proofErr w:type="spellEnd"/>
            <w:r w:rsidR="00D536C9" w:rsidRPr="00550D35">
              <w:rPr>
                <w:sz w:val="20"/>
                <w:lang w:val="lv-LV"/>
              </w:rPr>
              <w:t xml:space="preserve"> no 50% līdz 70% atkarībā no uzņēmuma lieluma.</w:t>
            </w:r>
          </w:p>
          <w:p w14:paraId="4EC4ED56" w14:textId="60FA1ED2" w:rsidR="00D536C9" w:rsidRPr="00550D35" w:rsidRDefault="00D536C9" w:rsidP="00BA62A0">
            <w:pPr>
              <w:spacing w:before="0"/>
              <w:ind w:firstLine="0"/>
              <w:contextualSpacing/>
              <w:rPr>
                <w:rFonts w:eastAsiaTheme="minorEastAsia" w:cs="Calibri"/>
                <w:sz w:val="20"/>
                <w:lang w:val="lv-LV" w:eastAsia="en-US"/>
              </w:rPr>
            </w:pPr>
            <w:r w:rsidRPr="00550D35">
              <w:rPr>
                <w:sz w:val="20"/>
                <w:lang w:val="lv-LV"/>
              </w:rPr>
              <w:t xml:space="preserve">Maksimāli pieejamais atbalsts viena projekta ietvaros ir 3,03 milj.  </w:t>
            </w:r>
            <w:proofErr w:type="spellStart"/>
            <w:r w:rsidRPr="00550D35">
              <w:rPr>
                <w:i/>
                <w:iCs/>
                <w:sz w:val="20"/>
                <w:lang w:val="lv-LV"/>
              </w:rPr>
              <w:t>euro</w:t>
            </w:r>
            <w:proofErr w:type="spellEnd"/>
            <w:r w:rsidRPr="00550D35">
              <w:rPr>
                <w:sz w:val="20"/>
                <w:lang w:val="lv-LV"/>
              </w:rPr>
              <w:t xml:space="preserve">, </w:t>
            </w:r>
            <w:r w:rsidR="00393232">
              <w:rPr>
                <w:sz w:val="20"/>
                <w:lang w:val="lv-LV"/>
              </w:rPr>
              <w:t xml:space="preserve">savukārt, </w:t>
            </w:r>
            <w:r w:rsidRPr="00550D35">
              <w:rPr>
                <w:sz w:val="20"/>
                <w:lang w:val="lv-LV"/>
              </w:rPr>
              <w:t xml:space="preserve">pētniecības projektu īstenošanā ne vairāk kā </w:t>
            </w:r>
            <w:r>
              <w:rPr>
                <w:sz w:val="20"/>
                <w:lang w:val="lv-LV"/>
              </w:rPr>
              <w:t>1 milj. </w:t>
            </w:r>
            <w:proofErr w:type="spellStart"/>
            <w:r>
              <w:rPr>
                <w:i/>
                <w:iCs/>
                <w:sz w:val="20"/>
                <w:lang w:val="lv-LV"/>
              </w:rPr>
              <w:t>euro</w:t>
            </w:r>
            <w:proofErr w:type="spellEnd"/>
            <w:r w:rsidRPr="00550D35">
              <w:rPr>
                <w:sz w:val="20"/>
                <w:lang w:val="lv-LV"/>
              </w:rPr>
              <w:t xml:space="preserve"> no finansējuma saņēmējam apstiprinātā </w:t>
            </w:r>
            <w:r>
              <w:rPr>
                <w:sz w:val="20"/>
                <w:lang w:val="lv-LV"/>
              </w:rPr>
              <w:t>ANM plāna</w:t>
            </w:r>
            <w:r w:rsidRPr="00550D35">
              <w:rPr>
                <w:sz w:val="20"/>
                <w:lang w:val="lv-LV"/>
              </w:rPr>
              <w:t xml:space="preserve"> finansējuma apmēra</w:t>
            </w:r>
            <w:r w:rsidR="00393232">
              <w:rPr>
                <w:sz w:val="20"/>
                <w:lang w:val="lv-LV"/>
              </w:rPr>
              <w:t>.</w:t>
            </w:r>
            <w:r w:rsidRPr="00550D35" w:rsidDel="000E5178">
              <w:rPr>
                <w:sz w:val="20"/>
                <w:lang w:val="lv-LV"/>
              </w:rPr>
              <w:t xml:space="preserve"> </w:t>
            </w:r>
            <w:r w:rsidRPr="00550D35">
              <w:rPr>
                <w:rFonts w:eastAsiaTheme="minorEastAsia" w:cs="Calibri"/>
                <w:sz w:val="20"/>
                <w:lang w:val="lv-LV" w:eastAsia="en-US"/>
              </w:rPr>
              <w:t>Investīcijas mērķa grupā ietilpst dažādi subjekti, kas aptver dažādus komercdarbības līmeņus un veicina zināšanu un pieredzes līmeņa paaugstināšanu. Atbilstoši uzņēmuma kompetencei, digitālā brieduma un digitālās attīstības ceļa kartei uzņēmumam ir iespējas padarīt ražošanu efektīvāku, radot preces ar augstu pievienoto vērtību un veicinot digitālo transformāciju.</w:t>
            </w:r>
          </w:p>
          <w:p w14:paraId="73D1D854" w14:textId="77777777" w:rsidR="00D536C9" w:rsidRPr="00550D35" w:rsidRDefault="00D536C9" w:rsidP="00BA62A0">
            <w:pPr>
              <w:spacing w:before="0"/>
              <w:ind w:firstLine="0"/>
              <w:contextualSpacing/>
              <w:rPr>
                <w:sz w:val="20"/>
                <w:lang w:val="lv-LV"/>
              </w:rPr>
            </w:pPr>
            <w:r w:rsidRPr="00550D35">
              <w:rPr>
                <w:sz w:val="20"/>
                <w:lang w:val="lv-LV"/>
              </w:rPr>
              <w:t xml:space="preserve">Investīcijas ir sadalītas divos posmos, pirmā posma ietvaros finansējumu varēs saņemt ANM </w:t>
            </w:r>
            <w:r>
              <w:rPr>
                <w:sz w:val="20"/>
                <w:lang w:val="lv-LV"/>
              </w:rPr>
              <w:t xml:space="preserve">plāna </w:t>
            </w:r>
            <w:r w:rsidRPr="00550D35">
              <w:rPr>
                <w:sz w:val="20"/>
                <w:lang w:val="lv-LV"/>
              </w:rPr>
              <w:t>ietvaros, savukārt otrā posma ietvaros ERAF ietvaros. Pirmā posma ietvaros pašlaik tiek izstrādāti noteikumi.</w:t>
            </w:r>
          </w:p>
          <w:p w14:paraId="5464F16C" w14:textId="77777777" w:rsidR="00D536C9" w:rsidRPr="00550D35" w:rsidRDefault="00D536C9" w:rsidP="00BA62A0">
            <w:pPr>
              <w:spacing w:before="0"/>
              <w:ind w:firstLine="0"/>
              <w:contextualSpacing/>
              <w:rPr>
                <w:sz w:val="20"/>
                <w:lang w:val="lv-LV"/>
              </w:rPr>
            </w:pPr>
            <w:r w:rsidRPr="00550D35">
              <w:rPr>
                <w:rFonts w:eastAsiaTheme="minorEastAsia" w:cs="Calibri"/>
                <w:sz w:val="20"/>
                <w:lang w:val="lv-LV" w:eastAsia="en-US"/>
              </w:rPr>
              <w:t>Programmas pirmais posms sāksies 2023. gada 4. ceturksnī, un atbalsts būs pieejams 2024. gada 1. ceturksnī. Paredzams, ka programma būs pieejama vismaz līdz 2026. gada jūnijam. Programmas turpinājums plānots 1.2.1.1.pasākuma ietvaros, kas būs pieejams 2025. gada 1. ceturksnī. Paredzams, ka programma būs pieejama vismaz līdz 2029. gada decembrim.</w:t>
            </w:r>
          </w:p>
        </w:tc>
      </w:tr>
      <w:tr w:rsidR="00D536C9" w:rsidRPr="003B2E9A" w14:paraId="4E8D7BD3" w14:textId="77777777" w:rsidTr="00BA62A0">
        <w:tc>
          <w:tcPr>
            <w:tcW w:w="3242" w:type="dxa"/>
            <w:shd w:val="clear" w:color="auto" w:fill="auto"/>
          </w:tcPr>
          <w:p w14:paraId="5AC73818" w14:textId="1C6B59BE" w:rsidR="00D536C9" w:rsidRPr="00550D35" w:rsidRDefault="00D536C9" w:rsidP="00BA62A0">
            <w:pPr>
              <w:spacing w:before="120" w:after="120"/>
              <w:ind w:firstLine="0"/>
              <w:rPr>
                <w:b/>
                <w:bCs/>
                <w:sz w:val="20"/>
                <w:lang w:val="lv-LV"/>
              </w:rPr>
            </w:pPr>
            <w:r w:rsidRPr="00550D35">
              <w:rPr>
                <w:b/>
                <w:bCs/>
                <w:sz w:val="20"/>
                <w:lang w:val="lv-LV"/>
              </w:rPr>
              <w:t>Piešķirtais vai plānotais budžets un, ja atbilstoši, citi resursi</w:t>
            </w:r>
          </w:p>
        </w:tc>
        <w:tc>
          <w:tcPr>
            <w:tcW w:w="5400" w:type="dxa"/>
            <w:shd w:val="clear" w:color="auto" w:fill="auto"/>
          </w:tcPr>
          <w:p w14:paraId="27BFC5EA" w14:textId="77777777" w:rsidR="00D536C9" w:rsidRPr="00550D35" w:rsidRDefault="00D536C9" w:rsidP="00BA62A0">
            <w:pPr>
              <w:spacing w:before="0" w:after="120"/>
              <w:ind w:firstLine="0"/>
              <w:contextualSpacing/>
              <w:jc w:val="left"/>
              <w:rPr>
                <w:sz w:val="20"/>
                <w:lang w:val="lv-LV"/>
              </w:rPr>
            </w:pPr>
            <w:r w:rsidRPr="00550D35">
              <w:rPr>
                <w:sz w:val="20"/>
                <w:lang w:val="lv-LV"/>
              </w:rPr>
              <w:t xml:space="preserve">Plānotais budžets kopā 45,2 milj. </w:t>
            </w:r>
            <w:proofErr w:type="spellStart"/>
            <w:r w:rsidRPr="00550D35">
              <w:rPr>
                <w:i/>
                <w:sz w:val="20"/>
                <w:lang w:val="lv-LV"/>
              </w:rPr>
              <w:t>euro</w:t>
            </w:r>
            <w:proofErr w:type="spellEnd"/>
            <w:r w:rsidRPr="00550D35">
              <w:rPr>
                <w:sz w:val="20"/>
                <w:lang w:val="lv-LV"/>
              </w:rPr>
              <w:t xml:space="preserve">, t.sk.: </w:t>
            </w:r>
          </w:p>
          <w:p w14:paraId="031869A5" w14:textId="77777777" w:rsidR="00D536C9" w:rsidRPr="00550D35" w:rsidRDefault="00D536C9" w:rsidP="00BA62A0">
            <w:pPr>
              <w:spacing w:before="0" w:after="120"/>
              <w:ind w:firstLine="0"/>
              <w:contextualSpacing/>
              <w:jc w:val="left"/>
              <w:rPr>
                <w:sz w:val="20"/>
                <w:lang w:val="lv-LV"/>
              </w:rPr>
            </w:pPr>
            <w:r w:rsidRPr="00550D35">
              <w:rPr>
                <w:sz w:val="20"/>
                <w:lang w:val="lv-LV"/>
              </w:rPr>
              <w:t>ANM finansējums: 24,3 milj. </w:t>
            </w:r>
            <w:proofErr w:type="spellStart"/>
            <w:r w:rsidRPr="00550D35">
              <w:rPr>
                <w:i/>
                <w:sz w:val="20"/>
                <w:lang w:val="lv-LV"/>
              </w:rPr>
              <w:t>euro</w:t>
            </w:r>
            <w:proofErr w:type="spellEnd"/>
            <w:r w:rsidRPr="00550D35">
              <w:rPr>
                <w:sz w:val="20"/>
                <w:lang w:val="lv-LV"/>
              </w:rPr>
              <w:t>;</w:t>
            </w:r>
          </w:p>
          <w:p w14:paraId="5A9984EE" w14:textId="77777777" w:rsidR="00D536C9" w:rsidRPr="00550D35" w:rsidRDefault="00D536C9" w:rsidP="00BA62A0">
            <w:pPr>
              <w:spacing w:before="0" w:after="120"/>
              <w:ind w:firstLine="0"/>
              <w:contextualSpacing/>
              <w:jc w:val="left"/>
              <w:rPr>
                <w:sz w:val="20"/>
                <w:lang w:val="lv-LV"/>
              </w:rPr>
            </w:pPr>
            <w:r w:rsidRPr="00550D35">
              <w:rPr>
                <w:sz w:val="20"/>
                <w:lang w:val="lv-LV"/>
              </w:rPr>
              <w:t>ERAF finansējums: 20,9 milj. </w:t>
            </w:r>
            <w:proofErr w:type="spellStart"/>
            <w:r w:rsidRPr="00550D35">
              <w:rPr>
                <w:i/>
                <w:sz w:val="20"/>
                <w:lang w:val="lv-LV"/>
              </w:rPr>
              <w:t>euro</w:t>
            </w:r>
            <w:proofErr w:type="spellEnd"/>
            <w:r w:rsidRPr="00550D35">
              <w:rPr>
                <w:sz w:val="20"/>
                <w:lang w:val="lv-LV"/>
              </w:rPr>
              <w:t xml:space="preserve">. </w:t>
            </w:r>
          </w:p>
        </w:tc>
      </w:tr>
      <w:tr w:rsidR="00D536C9" w:rsidRPr="003B2E9A" w14:paraId="6D61C615" w14:textId="77777777" w:rsidTr="00BA62A0">
        <w:tc>
          <w:tcPr>
            <w:tcW w:w="3242" w:type="dxa"/>
          </w:tcPr>
          <w:p w14:paraId="24D42492" w14:textId="77777777" w:rsidR="00D536C9" w:rsidRPr="00550D35" w:rsidRDefault="00D536C9" w:rsidP="00BA62A0">
            <w:pPr>
              <w:spacing w:before="120" w:after="120"/>
              <w:ind w:firstLine="0"/>
              <w:rPr>
                <w:b/>
                <w:bCs/>
                <w:sz w:val="20"/>
                <w:lang w:val="lv-LV"/>
              </w:rPr>
            </w:pPr>
            <w:r w:rsidRPr="00550D35">
              <w:rPr>
                <w:b/>
                <w:bCs/>
                <w:sz w:val="20"/>
                <w:lang w:val="lv-LV"/>
              </w:rPr>
              <w:t>Sagaidāmā ietekme un laika ietvars</w:t>
            </w:r>
          </w:p>
        </w:tc>
        <w:tc>
          <w:tcPr>
            <w:tcW w:w="5400" w:type="dxa"/>
          </w:tcPr>
          <w:p w14:paraId="798BC37C" w14:textId="77777777" w:rsidR="00D536C9" w:rsidRPr="00550D35" w:rsidRDefault="00D536C9" w:rsidP="00BA62A0">
            <w:pPr>
              <w:ind w:firstLine="0"/>
              <w:rPr>
                <w:sz w:val="20"/>
                <w:lang w:val="lv-LV"/>
              </w:rPr>
            </w:pPr>
            <w:r w:rsidRPr="00550D35">
              <w:rPr>
                <w:sz w:val="20"/>
                <w:lang w:val="lv-LV"/>
              </w:rPr>
              <w:t>Investīcijas ietvaros plānots:</w:t>
            </w:r>
          </w:p>
          <w:p w14:paraId="01D77312" w14:textId="77777777" w:rsidR="00D536C9" w:rsidRPr="00550D35" w:rsidRDefault="00D536C9" w:rsidP="00BA62A0">
            <w:pPr>
              <w:ind w:firstLine="0"/>
              <w:rPr>
                <w:sz w:val="20"/>
                <w:lang w:val="lv-LV"/>
              </w:rPr>
            </w:pPr>
            <w:r w:rsidRPr="00550D35">
              <w:rPr>
                <w:sz w:val="20"/>
                <w:lang w:val="lv-LV"/>
              </w:rPr>
              <w:t>līdz 30.06.2024. atbalstīt 14 projektus pētniecības īstenošanai</w:t>
            </w:r>
            <w:r w:rsidRPr="00550D35" w:rsidDel="00BB3EF0">
              <w:rPr>
                <w:sz w:val="20"/>
                <w:lang w:val="lv-LV"/>
              </w:rPr>
              <w:t xml:space="preserve"> </w:t>
            </w:r>
            <w:r w:rsidRPr="00550D35">
              <w:rPr>
                <w:sz w:val="20"/>
                <w:lang w:val="lv-LV"/>
              </w:rPr>
              <w:t xml:space="preserve"> un paaugstināt </w:t>
            </w:r>
            <w:proofErr w:type="spellStart"/>
            <w:r w:rsidRPr="00550D35">
              <w:rPr>
                <w:sz w:val="20"/>
                <w:lang w:val="lv-LV"/>
              </w:rPr>
              <w:t>digitalizācijas</w:t>
            </w:r>
            <w:proofErr w:type="spellEnd"/>
            <w:r w:rsidRPr="00550D35">
              <w:rPr>
                <w:sz w:val="20"/>
                <w:lang w:val="lv-LV"/>
              </w:rPr>
              <w:t xml:space="preserve"> līmeni;</w:t>
            </w:r>
          </w:p>
          <w:p w14:paraId="4166394E" w14:textId="77777777" w:rsidR="00D536C9" w:rsidRPr="00550D35" w:rsidRDefault="00D536C9" w:rsidP="00BA62A0">
            <w:pPr>
              <w:ind w:firstLine="0"/>
              <w:rPr>
                <w:sz w:val="20"/>
                <w:lang w:val="lv-LV"/>
              </w:rPr>
            </w:pPr>
            <w:r w:rsidRPr="00550D35">
              <w:rPr>
                <w:sz w:val="20"/>
                <w:lang w:val="lv-LV"/>
              </w:rPr>
              <w:lastRenderedPageBreak/>
              <w:t xml:space="preserve">līdz 30.06.2026. atbalstīt 43 projektus pētniecības īstenošanai un paaugstināt </w:t>
            </w:r>
            <w:proofErr w:type="spellStart"/>
            <w:r w:rsidRPr="00550D35">
              <w:rPr>
                <w:sz w:val="20"/>
                <w:lang w:val="lv-LV"/>
              </w:rPr>
              <w:t>digitalizācijas</w:t>
            </w:r>
            <w:proofErr w:type="spellEnd"/>
            <w:r w:rsidRPr="00550D35">
              <w:rPr>
                <w:sz w:val="20"/>
                <w:lang w:val="lv-LV"/>
              </w:rPr>
              <w:t xml:space="preserve"> līmeni.</w:t>
            </w:r>
          </w:p>
          <w:p w14:paraId="09B12EEC" w14:textId="77777777" w:rsidR="00D536C9" w:rsidRPr="00550D35" w:rsidRDefault="00D536C9" w:rsidP="00BA62A0">
            <w:pPr>
              <w:ind w:firstLine="0"/>
              <w:rPr>
                <w:sz w:val="20"/>
                <w:lang w:val="lv-LV"/>
              </w:rPr>
            </w:pPr>
            <w:r w:rsidRPr="00550D35">
              <w:rPr>
                <w:sz w:val="20"/>
                <w:lang w:val="lv-LV"/>
              </w:rPr>
              <w:t>Projekta laika ietvars – 2023.gada 4. cet. – 2029.gada decembris.</w:t>
            </w:r>
          </w:p>
        </w:tc>
      </w:tr>
    </w:tbl>
    <w:p w14:paraId="5AF9163A" w14:textId="77777777" w:rsidR="00D536C9" w:rsidRPr="00550D35" w:rsidRDefault="00D536C9" w:rsidP="00D536C9">
      <w:pPr>
        <w:pStyle w:val="Text3"/>
        <w:rPr>
          <w:sz w:val="20"/>
          <w:lang w:val="lv-LV"/>
        </w:rPr>
      </w:pPr>
    </w:p>
    <w:tbl>
      <w:tblPr>
        <w:tblStyle w:val="TableGrid"/>
        <w:tblW w:w="8642" w:type="dxa"/>
        <w:tblLook w:val="04A0" w:firstRow="1" w:lastRow="0" w:firstColumn="1" w:lastColumn="0" w:noHBand="0" w:noVBand="1"/>
      </w:tblPr>
      <w:tblGrid>
        <w:gridCol w:w="3192"/>
        <w:gridCol w:w="5450"/>
      </w:tblGrid>
      <w:tr w:rsidR="00D536C9" w:rsidRPr="003B2E9A" w14:paraId="64C47C7B" w14:textId="77777777" w:rsidTr="00BA62A0">
        <w:trPr>
          <w:trHeight w:val="300"/>
        </w:trPr>
        <w:tc>
          <w:tcPr>
            <w:tcW w:w="8642" w:type="dxa"/>
            <w:gridSpan w:val="2"/>
          </w:tcPr>
          <w:p w14:paraId="20D69FFD" w14:textId="77777777" w:rsidR="00D536C9" w:rsidRPr="00550D35" w:rsidRDefault="00D536C9" w:rsidP="00BA62A0">
            <w:pPr>
              <w:spacing w:before="0" w:after="120"/>
              <w:ind w:firstLine="0"/>
              <w:contextualSpacing/>
              <w:jc w:val="left"/>
              <w:rPr>
                <w:rFonts w:ascii="Wingdings 2" w:eastAsia="Wingdings 2" w:hAnsi="Wingdings 2" w:cs="Wingdings 2"/>
                <w:b/>
                <w:bCs/>
                <w:sz w:val="20"/>
                <w:lang w:val="lv-LV"/>
              </w:rPr>
            </w:pPr>
            <w:r w:rsidRPr="00550D35">
              <w:rPr>
                <w:b/>
                <w:bCs/>
                <w:sz w:val="20"/>
                <w:lang w:val="lv-LV"/>
              </w:rPr>
              <w:t xml:space="preserve">4. pasākums – ANM </w:t>
            </w:r>
            <w:r>
              <w:rPr>
                <w:b/>
                <w:bCs/>
                <w:sz w:val="20"/>
                <w:lang w:val="lv-LV"/>
              </w:rPr>
              <w:t xml:space="preserve">plāna </w:t>
            </w:r>
            <w:r w:rsidRPr="00550D35">
              <w:rPr>
                <w:b/>
                <w:bCs/>
                <w:sz w:val="20"/>
                <w:lang w:val="lv-LV"/>
              </w:rPr>
              <w:t>investīcija 2.2.1.4.i. “</w:t>
            </w:r>
            <w:r w:rsidRPr="00550D35">
              <w:rPr>
                <w:rFonts w:eastAsia="Calibri"/>
                <w:b/>
                <w:bCs/>
                <w:sz w:val="20"/>
                <w:lang w:val="lv-LV"/>
              </w:rPr>
              <w:t>Finanšu instrumenti komersantu digitālās</w:t>
            </w:r>
            <w:r w:rsidRPr="00550D35">
              <w:rPr>
                <w:rFonts w:ascii="Verdana" w:hAnsi="Verdana"/>
                <w:b/>
                <w:bCs/>
                <w:color w:val="525252"/>
                <w:sz w:val="20"/>
                <w:shd w:val="clear" w:color="auto" w:fill="FFFFFF"/>
                <w:lang w:val="lv-LV"/>
              </w:rPr>
              <w:t xml:space="preserve"> </w:t>
            </w:r>
            <w:r w:rsidRPr="00550D35">
              <w:rPr>
                <w:rFonts w:eastAsia="Calibri"/>
                <w:b/>
                <w:bCs/>
                <w:sz w:val="20"/>
                <w:lang w:val="lv-LV"/>
              </w:rPr>
              <w:t>transformācijas veicināšanai”</w:t>
            </w:r>
          </w:p>
        </w:tc>
      </w:tr>
      <w:tr w:rsidR="00D536C9" w:rsidRPr="00550D35" w14:paraId="22EA4FE6" w14:textId="77777777" w:rsidTr="00BA62A0">
        <w:trPr>
          <w:trHeight w:val="300"/>
        </w:trPr>
        <w:tc>
          <w:tcPr>
            <w:tcW w:w="3192" w:type="dxa"/>
          </w:tcPr>
          <w:p w14:paraId="60E87723" w14:textId="77777777" w:rsidR="00D536C9" w:rsidRPr="00550D35" w:rsidRDefault="00D536C9" w:rsidP="00BA62A0">
            <w:pPr>
              <w:spacing w:before="120" w:after="120"/>
              <w:ind w:firstLine="0"/>
              <w:jc w:val="left"/>
              <w:rPr>
                <w:b/>
                <w:bCs/>
                <w:sz w:val="20"/>
                <w:lang w:val="lv-LV"/>
              </w:rPr>
            </w:pPr>
            <w:r w:rsidRPr="00550D35">
              <w:rPr>
                <w:b/>
                <w:bCs/>
                <w:sz w:val="20"/>
                <w:lang w:val="lv-LV"/>
              </w:rPr>
              <w:t>Jauns pasākums</w:t>
            </w:r>
          </w:p>
        </w:tc>
        <w:tc>
          <w:tcPr>
            <w:tcW w:w="5450" w:type="dxa"/>
          </w:tcPr>
          <w:p w14:paraId="512F6E9A" w14:textId="77777777" w:rsidR="00D536C9" w:rsidRPr="00550D35" w:rsidRDefault="00AC141D" w:rsidP="00BA62A0">
            <w:pPr>
              <w:spacing w:before="0" w:after="120"/>
              <w:ind w:firstLine="0"/>
              <w:contextualSpacing/>
              <w:jc w:val="left"/>
              <w:rPr>
                <w:sz w:val="20"/>
                <w:lang w:val="lv-LV"/>
              </w:rPr>
            </w:pPr>
            <w:sdt>
              <w:sdtPr>
                <w:rPr>
                  <w:rFonts w:ascii="Wingdings 2" w:eastAsia="Wingdings 2" w:hAnsi="Wingdings 2" w:cs="Wingdings 2"/>
                  <w:sz w:val="20"/>
                  <w:lang w:val="lv-LV"/>
                </w:rPr>
                <w:id w:val="1437019175"/>
                <w14:checkbox>
                  <w14:checked w14:val="1"/>
                  <w14:checkedState w14:val="2612" w14:font="MS Gothic"/>
                  <w14:uncheckedState w14:val="2610" w14:font="MS Gothic"/>
                </w14:checkbox>
              </w:sdtPr>
              <w:sdtEndPr/>
              <w:sdtContent>
                <w:r w:rsidR="00D536C9" w:rsidRPr="00550D35">
                  <w:rPr>
                    <w:rFonts w:ascii="MS Gothic" w:eastAsia="MS Gothic" w:hAnsi="MS Gothic" w:cs="Wingdings 2"/>
                    <w:sz w:val="20"/>
                    <w:lang w:val="lv-LV"/>
                  </w:rPr>
                  <w:t>☒</w:t>
                </w:r>
              </w:sdtContent>
            </w:sdt>
            <w:r w:rsidR="00D536C9" w:rsidRPr="00550D35">
              <w:rPr>
                <w:rFonts w:eastAsia="MS Minngs"/>
                <w:sz w:val="20"/>
                <w:lang w:val="lv-LV"/>
              </w:rPr>
              <w:t xml:space="preserve"> </w:t>
            </w:r>
            <w:r w:rsidR="00D536C9" w:rsidRPr="00550D35">
              <w:rPr>
                <w:sz w:val="20"/>
                <w:lang w:val="lv-LV"/>
              </w:rPr>
              <w:t>jā</w:t>
            </w:r>
          </w:p>
          <w:p w14:paraId="23B2F193" w14:textId="77777777" w:rsidR="00D536C9" w:rsidRPr="00550D35" w:rsidRDefault="00D536C9" w:rsidP="00BA62A0">
            <w:pPr>
              <w:spacing w:before="0" w:after="120"/>
              <w:ind w:firstLine="0"/>
              <w:contextualSpacing/>
              <w:jc w:val="left"/>
              <w:rPr>
                <w:sz w:val="20"/>
                <w:lang w:val="lv-LV"/>
              </w:rPr>
            </w:pPr>
            <w:r w:rsidRPr="00550D35">
              <w:rPr>
                <w:rFonts w:ascii="Wingdings 2" w:eastAsia="Wingdings 2" w:hAnsi="Wingdings 2" w:cs="Wingdings 2"/>
                <w:sz w:val="20"/>
                <w:lang w:val="lv-LV"/>
              </w:rPr>
              <w:t></w:t>
            </w:r>
            <w:r w:rsidRPr="00550D35">
              <w:rPr>
                <w:rFonts w:eastAsia="MS Minngs"/>
                <w:sz w:val="20"/>
                <w:lang w:val="lv-LV"/>
              </w:rPr>
              <w:t xml:space="preserve">  </w:t>
            </w:r>
            <w:r w:rsidRPr="00550D35">
              <w:rPr>
                <w:sz w:val="20"/>
                <w:lang w:val="lv-LV"/>
              </w:rPr>
              <w:t>nē</w:t>
            </w:r>
          </w:p>
        </w:tc>
      </w:tr>
      <w:tr w:rsidR="00D536C9" w:rsidRPr="00550D35" w14:paraId="7B14DD4B" w14:textId="77777777" w:rsidTr="00BA62A0">
        <w:trPr>
          <w:trHeight w:val="300"/>
        </w:trPr>
        <w:tc>
          <w:tcPr>
            <w:tcW w:w="3192" w:type="dxa"/>
          </w:tcPr>
          <w:p w14:paraId="1207E693" w14:textId="77777777" w:rsidR="00D536C9" w:rsidRPr="00550D35" w:rsidRDefault="00D536C9" w:rsidP="00BA62A0">
            <w:pPr>
              <w:spacing w:before="120" w:after="120"/>
              <w:ind w:firstLine="0"/>
              <w:rPr>
                <w:b/>
                <w:bCs/>
                <w:sz w:val="20"/>
                <w:lang w:val="lv-LV"/>
              </w:rPr>
            </w:pPr>
            <w:r w:rsidRPr="00550D35">
              <w:rPr>
                <w:b/>
                <w:bCs/>
                <w:sz w:val="20"/>
                <w:lang w:val="lv-LV"/>
              </w:rPr>
              <w:t>Īss pasākuma apraksts</w:t>
            </w:r>
          </w:p>
          <w:p w14:paraId="54255BD6" w14:textId="77777777" w:rsidR="00D536C9" w:rsidRPr="00550D35" w:rsidRDefault="00D536C9" w:rsidP="00BA62A0">
            <w:pPr>
              <w:spacing w:before="120" w:after="120"/>
              <w:ind w:firstLine="0"/>
              <w:rPr>
                <w:b/>
                <w:sz w:val="20"/>
                <w:lang w:val="lv-LV"/>
              </w:rPr>
            </w:pPr>
          </w:p>
        </w:tc>
        <w:tc>
          <w:tcPr>
            <w:tcW w:w="5450" w:type="dxa"/>
          </w:tcPr>
          <w:p w14:paraId="3840F0B1" w14:textId="77777777" w:rsidR="00D536C9" w:rsidRPr="00550D35" w:rsidRDefault="00D536C9" w:rsidP="00BA62A0">
            <w:pPr>
              <w:ind w:firstLine="0"/>
              <w:rPr>
                <w:rFonts w:eastAsia="Calibri"/>
                <w:sz w:val="20"/>
                <w:lang w:val="lv-LV"/>
              </w:rPr>
            </w:pPr>
            <w:r w:rsidRPr="00550D35">
              <w:rPr>
                <w:rFonts w:eastAsia="Calibri"/>
                <w:sz w:val="20"/>
                <w:lang w:val="lv-LV"/>
              </w:rPr>
              <w:t>Investīcijas mērķis ir sniegt atbalstu kombinēta finanšu instrumenta veidā, lai rosinātu komersantus mainīt esošo darbības sistēmu, veicinātu saimnieciskās darbības veicēju digitālo transformāciju, saimnieciskās darbības veicēju attīstību un apgrozījuma pieaugumu, atbalstot lielas un uz produktivitāti vērstas investīcijas digitālā biznesa transformācijas ieviešanā, kas veicinātu 4.0 industriālās revolūcijas risinājumu ieviešanu tradicionālo biznesa funkciju procesos un robotu vai robotu funkciju veikšanā.</w:t>
            </w:r>
          </w:p>
          <w:p w14:paraId="2E5E88E0" w14:textId="77777777" w:rsidR="00D536C9" w:rsidRPr="00550D35" w:rsidRDefault="00D536C9" w:rsidP="00BA62A0">
            <w:pPr>
              <w:ind w:firstLine="0"/>
              <w:rPr>
                <w:rFonts w:eastAsia="Calibri"/>
                <w:sz w:val="20"/>
                <w:lang w:val="lv-LV"/>
              </w:rPr>
            </w:pPr>
            <w:r w:rsidRPr="00550D35">
              <w:rPr>
                <w:rFonts w:eastAsia="Calibri"/>
                <w:sz w:val="20"/>
                <w:lang w:val="lv-LV"/>
              </w:rPr>
              <w:t>Investīciju ietvaros komersantiem tiek dota iespēja pieteikties aizdevumam vai paralēlam aizdevumam ar kapitāla atlaidi pamatsummas dzēšanai, lai īstenotu digitālās transformācijas projektu. Atbalsta mērķis ir veicināt ieguldījumus, kas palīdz komersantiem pāriet no tradicionāliem vai novecojušiem procesiem uz vispārēju automatizāciju un robotizāciju, izmantojot digitālos risinājumus, tostarp jaunu produktu vai pakalpojumu radīšanā.</w:t>
            </w:r>
          </w:p>
          <w:p w14:paraId="7BB5B34B" w14:textId="77777777" w:rsidR="00D536C9" w:rsidRPr="00550D35" w:rsidRDefault="00D536C9" w:rsidP="00BA62A0">
            <w:pPr>
              <w:ind w:firstLine="0"/>
              <w:rPr>
                <w:rFonts w:eastAsia="Calibri"/>
                <w:sz w:val="20"/>
                <w:lang w:val="lv-LV"/>
              </w:rPr>
            </w:pPr>
            <w:r w:rsidRPr="00550D35">
              <w:rPr>
                <w:rFonts w:eastAsia="Calibri"/>
                <w:sz w:val="20"/>
                <w:lang w:val="lv-LV"/>
              </w:rPr>
              <w:t>Investīciju mērķis ir līdz 2026. gada 30. jūnijam izsniegto aizdevumu skaits – 133 aizdevumi un piesaistītais privātais finansējums – 37,0 milj. </w:t>
            </w:r>
            <w:proofErr w:type="spellStart"/>
            <w:r w:rsidRPr="00550D35">
              <w:rPr>
                <w:rFonts w:eastAsia="Calibri"/>
                <w:i/>
                <w:sz w:val="20"/>
                <w:lang w:val="lv-LV"/>
              </w:rPr>
              <w:t>euro</w:t>
            </w:r>
            <w:proofErr w:type="spellEnd"/>
            <w:r w:rsidRPr="00550D35">
              <w:rPr>
                <w:rFonts w:eastAsia="Calibri"/>
                <w:sz w:val="20"/>
                <w:lang w:val="lv-LV"/>
              </w:rPr>
              <w:t>.</w:t>
            </w:r>
          </w:p>
          <w:p w14:paraId="04AC2DC0" w14:textId="77777777" w:rsidR="00D536C9" w:rsidRPr="00550D35" w:rsidRDefault="00D536C9" w:rsidP="00BA62A0">
            <w:pPr>
              <w:ind w:firstLine="0"/>
              <w:rPr>
                <w:rFonts w:eastAsia="Calibri"/>
                <w:sz w:val="20"/>
                <w:lang w:val="lv-LV"/>
              </w:rPr>
            </w:pPr>
            <w:r w:rsidRPr="00550D35">
              <w:rPr>
                <w:rFonts w:eastAsia="Calibri"/>
                <w:sz w:val="20"/>
                <w:lang w:val="lv-LV"/>
              </w:rPr>
              <w:t xml:space="preserve">Pasākums ir vērsts uz MVU, kas ir </w:t>
            </w:r>
            <w:proofErr w:type="spellStart"/>
            <w:r w:rsidRPr="00550D35">
              <w:rPr>
                <w:rFonts w:eastAsia="Calibri"/>
                <w:sz w:val="20"/>
                <w:lang w:val="lv-LV"/>
              </w:rPr>
              <w:t>digitalizācijas</w:t>
            </w:r>
            <w:proofErr w:type="spellEnd"/>
            <w:r w:rsidRPr="00550D35">
              <w:rPr>
                <w:rFonts w:eastAsia="Calibri"/>
                <w:sz w:val="20"/>
                <w:lang w:val="lv-LV"/>
              </w:rPr>
              <w:t xml:space="preserve"> procesa sākumā, un īpaši atbalsta to pamata </w:t>
            </w:r>
            <w:proofErr w:type="spellStart"/>
            <w:r w:rsidRPr="00550D35">
              <w:rPr>
                <w:rFonts w:eastAsia="Calibri"/>
                <w:sz w:val="20"/>
                <w:lang w:val="lv-LV"/>
              </w:rPr>
              <w:t>digitalizācijas</w:t>
            </w:r>
            <w:proofErr w:type="spellEnd"/>
            <w:r w:rsidRPr="00550D35">
              <w:rPr>
                <w:rFonts w:eastAsia="Calibri"/>
                <w:sz w:val="20"/>
                <w:lang w:val="lv-LV"/>
              </w:rPr>
              <w:t xml:space="preserve"> vajadzību attīstību. Tā kā pasākums attiecas uz visām komercdarbības nozarēm, kurām ir dažādas vajadzības, pielietojuma jomas atšķiras, bet ietver daudzus pasākumus, kas attiecas uz KPI par digitālajām lietotnēm (piemēram, 5G ieviešana, e-komercijas attīstība). Tāpēc ir sagaidāms, ka šis pasākums tieši veicinās digitālo transformāciju uzņēmumu digitālo mērķa sasniegšanu.</w:t>
            </w:r>
          </w:p>
          <w:p w14:paraId="5C63C8A2" w14:textId="77777777" w:rsidR="00D536C9" w:rsidRPr="00550D35" w:rsidRDefault="00D536C9" w:rsidP="00BA62A0">
            <w:pPr>
              <w:ind w:firstLine="0"/>
              <w:rPr>
                <w:rFonts w:eastAsia="Calibri"/>
                <w:sz w:val="20"/>
                <w:lang w:val="lv-LV"/>
              </w:rPr>
            </w:pPr>
            <w:r w:rsidRPr="00550D35">
              <w:rPr>
                <w:rFonts w:eastAsia="Calibri"/>
                <w:sz w:val="20"/>
                <w:lang w:val="lv-LV"/>
              </w:rPr>
              <w:t>Programma sākās 2022. gada jūlijā, un programmas nosacījumu pārskatīšana notiks 2023. gada 1. ceturkšņa sākumā (grozījumi būs pieejami no 2023. gada 3. ceturkšņa beigās). Paredzams, ka programma būs pieejama līdz 2026. gada 30.jūnijam.</w:t>
            </w:r>
          </w:p>
        </w:tc>
      </w:tr>
      <w:tr w:rsidR="00D536C9" w:rsidRPr="00550D35" w14:paraId="356FEC58" w14:textId="77777777" w:rsidTr="00BA62A0">
        <w:trPr>
          <w:trHeight w:val="300"/>
        </w:trPr>
        <w:tc>
          <w:tcPr>
            <w:tcW w:w="3192" w:type="dxa"/>
            <w:shd w:val="clear" w:color="auto" w:fill="auto"/>
          </w:tcPr>
          <w:p w14:paraId="6A7A7C68" w14:textId="5D5E9BDF" w:rsidR="00D536C9" w:rsidRPr="00550D35" w:rsidRDefault="00D536C9" w:rsidP="00BA62A0">
            <w:pPr>
              <w:spacing w:before="120" w:after="120"/>
              <w:ind w:firstLine="0"/>
              <w:rPr>
                <w:b/>
                <w:bCs/>
                <w:sz w:val="20"/>
                <w:lang w:val="lv-LV"/>
              </w:rPr>
            </w:pPr>
            <w:r w:rsidRPr="00550D35">
              <w:rPr>
                <w:b/>
                <w:bCs/>
                <w:sz w:val="20"/>
                <w:lang w:val="lv-LV"/>
              </w:rPr>
              <w:t>Piešķirtais vai plānotais budžets un, ja atbilstoši, citi resursi</w:t>
            </w:r>
          </w:p>
        </w:tc>
        <w:tc>
          <w:tcPr>
            <w:tcW w:w="5450" w:type="dxa"/>
            <w:shd w:val="clear" w:color="auto" w:fill="auto"/>
          </w:tcPr>
          <w:p w14:paraId="78038CDA" w14:textId="77777777" w:rsidR="00D536C9" w:rsidRPr="00550D35" w:rsidRDefault="00D536C9" w:rsidP="00BA62A0">
            <w:pPr>
              <w:spacing w:before="0" w:after="120"/>
              <w:ind w:firstLine="0"/>
              <w:contextualSpacing/>
              <w:jc w:val="left"/>
              <w:rPr>
                <w:sz w:val="20"/>
                <w:lang w:val="lv-LV"/>
              </w:rPr>
            </w:pPr>
            <w:r w:rsidRPr="00550D35">
              <w:rPr>
                <w:sz w:val="20"/>
                <w:lang w:val="lv-LV"/>
              </w:rPr>
              <w:t>Plānotais budžets kopā 82,143 milj. </w:t>
            </w:r>
            <w:proofErr w:type="spellStart"/>
            <w:r w:rsidRPr="00550D35">
              <w:rPr>
                <w:i/>
                <w:sz w:val="20"/>
                <w:lang w:val="lv-LV"/>
              </w:rPr>
              <w:t>euro</w:t>
            </w:r>
            <w:proofErr w:type="spellEnd"/>
            <w:r w:rsidRPr="00550D35">
              <w:rPr>
                <w:sz w:val="20"/>
                <w:lang w:val="lv-LV"/>
              </w:rPr>
              <w:t>, t.sk.:</w:t>
            </w:r>
          </w:p>
          <w:p w14:paraId="3B3F76B0" w14:textId="77777777" w:rsidR="00D536C9" w:rsidRPr="00550D35" w:rsidRDefault="00D536C9" w:rsidP="00BA62A0">
            <w:pPr>
              <w:spacing w:before="0" w:after="120"/>
              <w:ind w:firstLine="0"/>
              <w:contextualSpacing/>
              <w:jc w:val="left"/>
              <w:rPr>
                <w:sz w:val="20"/>
                <w:lang w:val="lv-LV"/>
              </w:rPr>
            </w:pPr>
            <w:r w:rsidRPr="00550D35">
              <w:rPr>
                <w:sz w:val="20"/>
                <w:lang w:val="lv-LV"/>
              </w:rPr>
              <w:t xml:space="preserve">ANM finansējums: </w:t>
            </w:r>
            <w:r w:rsidRPr="00550D35">
              <w:rPr>
                <w:rFonts w:eastAsia="Calibri"/>
                <w:sz w:val="20"/>
                <w:lang w:val="lv-LV"/>
              </w:rPr>
              <w:t xml:space="preserve"> 45,1  milj. </w:t>
            </w:r>
            <w:proofErr w:type="spellStart"/>
            <w:r w:rsidRPr="00550D35">
              <w:rPr>
                <w:rFonts w:eastAsia="Calibri"/>
                <w:i/>
                <w:sz w:val="20"/>
                <w:lang w:val="lv-LV"/>
              </w:rPr>
              <w:t>euro</w:t>
            </w:r>
            <w:proofErr w:type="spellEnd"/>
            <w:r w:rsidRPr="00550D35">
              <w:rPr>
                <w:rFonts w:eastAsia="Calibri"/>
                <w:sz w:val="20"/>
                <w:lang w:val="lv-LV"/>
              </w:rPr>
              <w:t>;</w:t>
            </w:r>
          </w:p>
          <w:p w14:paraId="0CB92292" w14:textId="77777777" w:rsidR="00D536C9" w:rsidRPr="00550D35" w:rsidRDefault="00D536C9" w:rsidP="00BA62A0">
            <w:pPr>
              <w:spacing w:before="0" w:after="120"/>
              <w:ind w:firstLine="0"/>
              <w:contextualSpacing/>
              <w:jc w:val="left"/>
              <w:rPr>
                <w:sz w:val="20"/>
                <w:lang w:val="lv-LV"/>
              </w:rPr>
            </w:pPr>
            <w:r w:rsidRPr="00550D35">
              <w:rPr>
                <w:sz w:val="20"/>
                <w:lang w:val="lv-LV"/>
              </w:rPr>
              <w:t xml:space="preserve">Privātais finansējums: </w:t>
            </w:r>
            <w:r w:rsidRPr="00550D35">
              <w:rPr>
                <w:rFonts w:eastAsia="Calibri"/>
                <w:sz w:val="20"/>
                <w:lang w:val="lv-LV"/>
              </w:rPr>
              <w:t>37,0 milj. </w:t>
            </w:r>
            <w:proofErr w:type="spellStart"/>
            <w:r w:rsidRPr="00550D35">
              <w:rPr>
                <w:rFonts w:eastAsia="Calibri"/>
                <w:i/>
                <w:sz w:val="20"/>
                <w:lang w:val="lv-LV"/>
              </w:rPr>
              <w:t>euro</w:t>
            </w:r>
            <w:proofErr w:type="spellEnd"/>
            <w:r w:rsidRPr="00550D35">
              <w:rPr>
                <w:rFonts w:eastAsia="Calibri"/>
                <w:i/>
                <w:sz w:val="20"/>
                <w:lang w:val="lv-LV"/>
              </w:rPr>
              <w:t>.</w:t>
            </w:r>
          </w:p>
        </w:tc>
      </w:tr>
      <w:tr w:rsidR="00D536C9" w:rsidRPr="003B2E9A" w14:paraId="7BF4BED6" w14:textId="77777777" w:rsidTr="00BA62A0">
        <w:trPr>
          <w:trHeight w:val="300"/>
        </w:trPr>
        <w:tc>
          <w:tcPr>
            <w:tcW w:w="3192" w:type="dxa"/>
          </w:tcPr>
          <w:p w14:paraId="21CAB361" w14:textId="77777777" w:rsidR="00D536C9" w:rsidRPr="00550D35" w:rsidRDefault="00D536C9" w:rsidP="00BA62A0">
            <w:pPr>
              <w:spacing w:before="120" w:after="120"/>
              <w:ind w:firstLine="0"/>
              <w:rPr>
                <w:b/>
                <w:bCs/>
                <w:sz w:val="20"/>
                <w:lang w:val="lv-LV"/>
              </w:rPr>
            </w:pPr>
            <w:r w:rsidRPr="00550D35">
              <w:rPr>
                <w:b/>
                <w:bCs/>
                <w:sz w:val="20"/>
                <w:lang w:val="lv-LV"/>
              </w:rPr>
              <w:t>Sagaidāmā ietekme un laika ietvars</w:t>
            </w:r>
          </w:p>
        </w:tc>
        <w:tc>
          <w:tcPr>
            <w:tcW w:w="5450" w:type="dxa"/>
          </w:tcPr>
          <w:p w14:paraId="785047AF" w14:textId="77777777" w:rsidR="00D536C9" w:rsidRPr="0084229A" w:rsidRDefault="00D536C9" w:rsidP="00BA62A0">
            <w:pPr>
              <w:spacing w:after="160" w:line="257" w:lineRule="auto"/>
              <w:ind w:firstLine="0"/>
              <w:contextualSpacing/>
              <w:rPr>
                <w:sz w:val="20"/>
                <w:lang w:val="lv-LV"/>
              </w:rPr>
            </w:pPr>
            <w:r w:rsidRPr="0084229A">
              <w:rPr>
                <w:sz w:val="20"/>
                <w:lang w:val="lv-LV"/>
              </w:rPr>
              <w:t>Līdz 2024. gada 30. jūnijam tiks izsniegts 51 aizdevums;</w:t>
            </w:r>
          </w:p>
          <w:p w14:paraId="3ADAEE4C" w14:textId="77777777" w:rsidR="00D536C9" w:rsidRPr="001F48B0" w:rsidRDefault="00D536C9" w:rsidP="00BA62A0">
            <w:pPr>
              <w:spacing w:after="160" w:line="257" w:lineRule="auto"/>
              <w:ind w:firstLine="0"/>
              <w:contextualSpacing/>
              <w:rPr>
                <w:rFonts w:eastAsia="Calibri"/>
                <w:sz w:val="20"/>
                <w:lang w:val="lv-LV"/>
              </w:rPr>
            </w:pPr>
            <w:r w:rsidRPr="0084229A">
              <w:rPr>
                <w:sz w:val="20"/>
                <w:lang w:val="lv-LV"/>
              </w:rPr>
              <w:t>Līdz 2026. gada 30. jūnijam tiks izsniegti 133 aizdevumi.</w:t>
            </w:r>
          </w:p>
        </w:tc>
      </w:tr>
    </w:tbl>
    <w:p w14:paraId="774A00CA" w14:textId="77777777" w:rsidR="00D536C9" w:rsidRPr="00550D35" w:rsidRDefault="00D536C9" w:rsidP="00D536C9">
      <w:pPr>
        <w:pStyle w:val="Heading2"/>
        <w:rPr>
          <w:lang w:val="lv-LV"/>
        </w:rPr>
      </w:pPr>
      <w:r w:rsidRPr="00550D35">
        <w:rPr>
          <w:lang w:val="lv-LV"/>
        </w:rPr>
        <w:t>Galvenā politika, pasākumi un darbības, kas paredzēti, lai palīdzētu sasniegt vispārīgos mērķus</w:t>
      </w:r>
    </w:p>
    <w:p w14:paraId="6D0D38B2" w14:textId="77777777" w:rsidR="00D536C9" w:rsidRPr="00550D35" w:rsidRDefault="00D536C9" w:rsidP="00D536C9">
      <w:pPr>
        <w:pStyle w:val="Text2"/>
        <w:ind w:left="0"/>
        <w:rPr>
          <w:lang w:val="lv-LV"/>
        </w:rPr>
      </w:pPr>
    </w:p>
    <w:p w14:paraId="2F44F37C" w14:textId="77777777" w:rsidR="00D536C9" w:rsidRPr="00550D35" w:rsidRDefault="00D536C9" w:rsidP="00D536C9">
      <w:pPr>
        <w:shd w:val="clear" w:color="auto" w:fill="FFFFFF" w:themeFill="background1"/>
        <w:ind w:firstLine="426"/>
        <w:rPr>
          <w:lang w:val="lv-LV"/>
        </w:rPr>
      </w:pPr>
      <w:r w:rsidRPr="00550D35">
        <w:rPr>
          <w:lang w:val="lv-LV"/>
        </w:rPr>
        <w:t>Īstenojamā politika, pasākumi un darbības KPI “</w:t>
      </w:r>
      <w:proofErr w:type="spellStart"/>
      <w:r w:rsidRPr="00550D35">
        <w:rPr>
          <w:lang w:val="lv-LV"/>
        </w:rPr>
        <w:t>Mākoņdatošana</w:t>
      </w:r>
      <w:proofErr w:type="spellEnd"/>
      <w:r w:rsidRPr="00550D35">
        <w:rPr>
          <w:lang w:val="lv-LV"/>
        </w:rPr>
        <w:t xml:space="preserve">” jomā sniedz ieguldījumu nodrošinot piekļuvi digitālajām tehnoloģijām, veicina digitālo spēju izvēršanu un izmantošanu nolūkā piekļuvi digitālajām tehnoloģijām un datiem, lai panāktu augstu digitālās intensitātes un inovācijas līmeni ES uzņēmumos, jo īpaši </w:t>
      </w:r>
      <w:proofErr w:type="spellStart"/>
      <w:r w:rsidRPr="00550D35">
        <w:rPr>
          <w:lang w:val="lv-LV"/>
        </w:rPr>
        <w:t>jaunuzņēmumos</w:t>
      </w:r>
      <w:proofErr w:type="spellEnd"/>
      <w:r w:rsidRPr="00550D35">
        <w:rPr>
          <w:lang w:val="lv-LV"/>
        </w:rPr>
        <w:t xml:space="preserve"> un MVU. Tāpat arī  ES līderības un suverenitātes veicināšanā, atbalstot ES rūpniecības un ekonomikas, jo īpaši MVU, konkurētspēju un ilgtspēju.</w:t>
      </w:r>
    </w:p>
    <w:p w14:paraId="033DA867" w14:textId="77777777" w:rsidR="00D536C9" w:rsidRPr="00550D35" w:rsidRDefault="00D536C9" w:rsidP="00D536C9">
      <w:pPr>
        <w:pStyle w:val="Text2"/>
        <w:ind w:left="0"/>
        <w:rPr>
          <w:lang w:val="lv-LV"/>
        </w:rPr>
      </w:pPr>
      <w:r w:rsidRPr="00550D35">
        <w:rPr>
          <w:lang w:val="lv-LV"/>
        </w:rPr>
        <w:lastRenderedPageBreak/>
        <w:t>NAP2027 uzsvērts, ka digitālā transformācija ir būtisks priekšnosacījums produktivitātes, ekonomiskās izaugsmes, indivīda un sabiedrības labklājības īstenošanai, tā ir būtiska gan sabiedrībai, gan inovācijām, gan uzņēmumiem, īpaši integrētai nozaru ekonomikas attīstībai. Digitālā transformācija nozīme ir izcelta prioritātes “Uzņēmumu konkurētspēja un materiālā labklājība” rīcības virzienā “Produktivitāte, inovācija un eksports”, kā arī ir prioritātes “Kvalitatīva dzīves vide un teritoriju attīstība” viens no mērķiem.</w:t>
      </w:r>
    </w:p>
    <w:p w14:paraId="6F722E6A" w14:textId="77777777" w:rsidR="00D536C9" w:rsidRPr="00550D35" w:rsidRDefault="00D536C9" w:rsidP="00D536C9">
      <w:pPr>
        <w:pStyle w:val="Text2"/>
        <w:ind w:left="0"/>
        <w:rPr>
          <w:lang w:val="lv-LV"/>
        </w:rPr>
      </w:pPr>
      <w:r w:rsidRPr="00550D35">
        <w:rPr>
          <w:lang w:val="lv-LV"/>
        </w:rPr>
        <w:t xml:space="preserve">DTP2027 rīcības virziens Nr.4.1.3. “Pakalpojumu un sistēmu veidošana, pakalpojumu sniegšana” paredz būtiski veicināt komersantu vadības prasmes, kas nepieciešamas darbam digitālās transformācijas apstākļos, t.sk., ikdienas darba procesu pārveidei atbilstoši digitālas ekonomikas iespējām, mudinot uzņēmējdarbībā izmantot mākslīgā intelekta, lielo datu un </w:t>
      </w:r>
      <w:proofErr w:type="spellStart"/>
      <w:r w:rsidRPr="00550D35">
        <w:rPr>
          <w:lang w:val="lv-LV"/>
        </w:rPr>
        <w:t>mākoņdatošanas</w:t>
      </w:r>
      <w:proofErr w:type="spellEnd"/>
      <w:r w:rsidRPr="00550D35">
        <w:rPr>
          <w:lang w:val="lv-LV"/>
        </w:rPr>
        <w:t xml:space="preserve"> risinājumus, digitālo mārketingu un sociālos medijus, izmantot iespējas organizēt darbu attālināti.</w:t>
      </w:r>
    </w:p>
    <w:p w14:paraId="0A6B7ECA" w14:textId="77777777" w:rsidR="00D536C9" w:rsidRPr="00550D35" w:rsidRDefault="00D536C9" w:rsidP="00D536C9">
      <w:pPr>
        <w:pStyle w:val="Text2"/>
        <w:ind w:left="0"/>
        <w:rPr>
          <w:lang w:val="lv-LV"/>
        </w:rPr>
      </w:pPr>
      <w:r w:rsidRPr="00550D35">
        <w:rPr>
          <w:lang w:val="lv-LV"/>
        </w:rPr>
        <w:t xml:space="preserve">Privātajā sektorā nodarbinātajiem un valsts pārvaldes darbiniekiem ir plaši pieejamas iespējas vidēja un augsta līmeņa tehnoloģiju prasmju attīstīšanai, privātais sektors ir prasmīgs ieviest digitālās tehnoloģijas ražošanā un pakalpojumu sniegšanā (tajā skaitā mākslīgo intelektu, datu analītiku, automatizāciju), lai paaugstinātu konkurētspēju uzlabojot esošos un veidojot jaunus produktus un pakalpojumus. Katrā nozarē ir attīstītas spējas pielietot un ieviest digitālos risinājumus, lai transformētu darbības procesus un pilnveidotu produktus un pakalpojumus. Šādā veidā tiek veicināta arī komersantu radīta inovācija un konkurētspēja caur dažādām aktivitātēm. Lai veicinātu šī </w:t>
      </w:r>
      <w:proofErr w:type="spellStart"/>
      <w:r w:rsidRPr="00550D35">
        <w:rPr>
          <w:lang w:val="lv-LV"/>
        </w:rPr>
        <w:t>mērķrādītāja</w:t>
      </w:r>
      <w:proofErr w:type="spellEnd"/>
      <w:r w:rsidRPr="00550D35">
        <w:rPr>
          <w:lang w:val="lv-LV"/>
        </w:rPr>
        <w:t xml:space="preserve"> izpildi, EM līdz 2027. gadam plāno izveidot un īstenot programmu </w:t>
      </w:r>
      <w:proofErr w:type="spellStart"/>
      <w:r w:rsidRPr="00550D35">
        <w:rPr>
          <w:lang w:val="lv-LV"/>
        </w:rPr>
        <w:t>digitalizācijas</w:t>
      </w:r>
      <w:proofErr w:type="spellEnd"/>
      <w:r w:rsidRPr="00550D35">
        <w:rPr>
          <w:lang w:val="lv-LV"/>
        </w:rPr>
        <w:t xml:space="preserve"> un vispārējo digitālo prasmju stiprināšanai komersantiem.</w:t>
      </w:r>
    </w:p>
    <w:p w14:paraId="58EBD38A" w14:textId="0D92AEA5" w:rsidR="00D536C9" w:rsidRPr="00550D35" w:rsidRDefault="00D536C9" w:rsidP="00D536C9">
      <w:pPr>
        <w:shd w:val="clear" w:color="auto" w:fill="FFFFFF" w:themeFill="background1"/>
        <w:ind w:firstLine="426"/>
        <w:rPr>
          <w:lang w:val="lv-LV"/>
        </w:rPr>
      </w:pPr>
      <w:r w:rsidRPr="00550D35">
        <w:rPr>
          <w:lang w:val="lv-LV"/>
        </w:rPr>
        <w:t>Inovatīvas uzņēmējdarbības un prioritāro investīciju atbalsta likumprojekt</w:t>
      </w:r>
      <w:r w:rsidR="009F2572">
        <w:rPr>
          <w:lang w:val="lv-LV"/>
        </w:rPr>
        <w:t xml:space="preserve">s ir izstrādāts </w:t>
      </w:r>
      <w:r w:rsidRPr="00550D35">
        <w:rPr>
          <w:lang w:val="lv-LV"/>
        </w:rPr>
        <w:t xml:space="preserve"> ar mērķi palielināt ilgtspējīgu un sociāli atbildīgu investīciju piesaisti un eksportspēju prioritārajās jomās, veicinot tautsaimniecības konkurētspēju. Likumprojekts paredz, ka tiesiskais regulējums attieksies uz prioritāro investīciju projektiem, kas veicina investīciju piesaisti, eksportspēju vai inovāciju attīstību jomās, kas tiek īstenotas attīstības plānošanas dokumentos, nacionālās industriālās politikas vai digitālās transformācijas politikas ietvarā noteikto mērķu sasniegšanai, kā arī ir attiecināms uz prioritāro investīciju ekosistēmu veidošanu un esošo ekosistēmu attīstību un paplašināšanu, tai skaitā – inovāciju zonām un regulatīvām smilškastēm.</w:t>
      </w:r>
    </w:p>
    <w:p w14:paraId="6A1F2BE6" w14:textId="1B95CC93" w:rsidR="00D536C9" w:rsidRPr="00550D35" w:rsidRDefault="00D536C9" w:rsidP="00D536C9">
      <w:pPr>
        <w:pStyle w:val="Text2"/>
        <w:ind w:left="0"/>
        <w:rPr>
          <w:lang w:val="lv-LV"/>
        </w:rPr>
      </w:pPr>
      <w:r w:rsidRPr="00550D35">
        <w:rPr>
          <w:lang w:val="lv-LV"/>
        </w:rPr>
        <w:t>Saistībā ar iepriekš minēto</w:t>
      </w:r>
      <w:r w:rsidR="003E4244">
        <w:rPr>
          <w:lang w:val="lv-LV"/>
        </w:rPr>
        <w:t>,</w:t>
      </w:r>
      <w:r w:rsidRPr="00550D35">
        <w:rPr>
          <w:lang w:val="lv-LV"/>
        </w:rPr>
        <w:t xml:space="preserve"> </w:t>
      </w:r>
      <w:r w:rsidR="003E4244">
        <w:rPr>
          <w:lang w:val="lv-LV"/>
        </w:rPr>
        <w:t>īstenojot</w:t>
      </w:r>
      <w:r w:rsidRPr="00550D35">
        <w:rPr>
          <w:lang w:val="lv-LV"/>
        </w:rPr>
        <w:t xml:space="preserve"> ANM plāna un ERAF atbalsta programm</w:t>
      </w:r>
      <w:r w:rsidR="003E4244">
        <w:rPr>
          <w:lang w:val="lv-LV"/>
        </w:rPr>
        <w:t>a</w:t>
      </w:r>
      <w:r w:rsidRPr="00550D35">
        <w:rPr>
          <w:lang w:val="lv-LV"/>
        </w:rPr>
        <w:t>s</w:t>
      </w:r>
      <w:r w:rsidR="003E4244">
        <w:rPr>
          <w:lang w:val="lv-LV"/>
        </w:rPr>
        <w:t>,</w:t>
      </w:r>
      <w:r w:rsidRPr="00550D35">
        <w:rPr>
          <w:lang w:val="lv-LV"/>
        </w:rPr>
        <w:t xml:space="preserve"> plānots sniegt ieguldījumu vispārīgo mērķu sasniegšanā attiecībā uz </w:t>
      </w:r>
      <w:proofErr w:type="spellStart"/>
      <w:r w:rsidRPr="00550D35">
        <w:rPr>
          <w:lang w:val="lv-LV"/>
        </w:rPr>
        <w:t>mākoņdatošanas</w:t>
      </w:r>
      <w:proofErr w:type="spellEnd"/>
      <w:r w:rsidRPr="00550D35">
        <w:rPr>
          <w:lang w:val="lv-LV"/>
        </w:rPr>
        <w:t xml:space="preserve"> rādītāju, kas paredz palielināt to uzņēmumu skaitu, kuri izmanto vismaz vienu no </w:t>
      </w:r>
      <w:proofErr w:type="spellStart"/>
      <w:r w:rsidRPr="00550D35">
        <w:rPr>
          <w:lang w:val="lv-LV"/>
        </w:rPr>
        <w:t>mākoņdatošanas</w:t>
      </w:r>
      <w:proofErr w:type="spellEnd"/>
      <w:r w:rsidRPr="00550D35">
        <w:rPr>
          <w:lang w:val="lv-LV"/>
        </w:rPr>
        <w:t xml:space="preserve"> pakalpojumiem.</w:t>
      </w:r>
    </w:p>
    <w:p w14:paraId="48E3FD6E" w14:textId="77777777" w:rsidR="00D536C9" w:rsidRPr="00550D35" w:rsidRDefault="00D536C9" w:rsidP="00D536C9">
      <w:pPr>
        <w:pStyle w:val="Heading2"/>
        <w:rPr>
          <w:lang w:val="lv-LV"/>
        </w:rPr>
      </w:pPr>
      <w:r w:rsidRPr="00550D35">
        <w:rPr>
          <w:lang w:val="lv-LV"/>
        </w:rPr>
        <w:t>ES līmeņa sadarbība</w:t>
      </w:r>
    </w:p>
    <w:p w14:paraId="6D7E4DDC" w14:textId="77777777" w:rsidR="00D536C9" w:rsidRPr="00550D35" w:rsidRDefault="00D536C9" w:rsidP="00D536C9">
      <w:pPr>
        <w:pStyle w:val="Heading3"/>
        <w:rPr>
          <w:lang w:val="lv-LV"/>
        </w:rPr>
      </w:pPr>
      <w:r w:rsidRPr="00550D35">
        <w:rPr>
          <w:lang w:val="lv-LV"/>
        </w:rPr>
        <w:t>Daudzvalstu projekti</w:t>
      </w:r>
    </w:p>
    <w:p w14:paraId="217DD627" w14:textId="77777777" w:rsidR="00D536C9" w:rsidRPr="00550D35" w:rsidRDefault="00D536C9" w:rsidP="00D536C9">
      <w:pPr>
        <w:rPr>
          <w:lang w:val="lv-LV"/>
        </w:rPr>
      </w:pPr>
      <w:r w:rsidRPr="00550D35">
        <w:rPr>
          <w:lang w:val="lv-LV"/>
        </w:rPr>
        <w:t xml:space="preserve">Latvijas eksperti piedalās </w:t>
      </w:r>
      <w:proofErr w:type="spellStart"/>
      <w:r w:rsidRPr="00550D35">
        <w:rPr>
          <w:lang w:val="lv-LV"/>
        </w:rPr>
        <w:t>mākoņdatu</w:t>
      </w:r>
      <w:proofErr w:type="spellEnd"/>
      <w:r w:rsidRPr="00550D35">
        <w:rPr>
          <w:lang w:val="lv-LV"/>
        </w:rPr>
        <w:t xml:space="preserve"> IPCEI darba grupās, kā ietvaros interesi par iesaisti projektos ir izrādījuši divi komersanti, kuri šobrīd izvērtē iespēju iesaistei projektu īstenošanā.</w:t>
      </w:r>
    </w:p>
    <w:p w14:paraId="738D58ED" w14:textId="77777777" w:rsidR="00D536C9" w:rsidRPr="00550D35" w:rsidRDefault="00D536C9" w:rsidP="00D536C9">
      <w:pPr>
        <w:pStyle w:val="Heading3"/>
        <w:rPr>
          <w:lang w:val="lv-LV"/>
        </w:rPr>
      </w:pPr>
      <w:r w:rsidRPr="00550D35">
        <w:rPr>
          <w:lang w:val="lv-LV"/>
        </w:rPr>
        <w:t>Veicinošie faktori ES līmenī</w:t>
      </w:r>
    </w:p>
    <w:p w14:paraId="1099763C" w14:textId="265E1E19" w:rsidR="00D536C9" w:rsidRPr="00550D35" w:rsidRDefault="00D536C9" w:rsidP="00D536C9">
      <w:pPr>
        <w:rPr>
          <w:lang w:val="lv-LV"/>
        </w:rPr>
      </w:pPr>
      <w:r w:rsidRPr="00550D35">
        <w:rPr>
          <w:lang w:val="lv-LV"/>
        </w:rPr>
        <w:t xml:space="preserve">Darbības šī KPI ES mērķa sasniegšanai ir tieši saistītas ar EDIC un to tīklu, kuri izveidoti īstenojot </w:t>
      </w:r>
      <w:r w:rsidR="00FB00D5">
        <w:rPr>
          <w:lang w:val="lv-LV"/>
        </w:rPr>
        <w:t>DEP</w:t>
      </w:r>
      <w:r w:rsidRPr="00550D35">
        <w:rPr>
          <w:lang w:val="lv-LV"/>
        </w:rPr>
        <w:t xml:space="preserve"> ar mērķi palīdzēt uzņēmumiem un citiem saimnieciskās darbības veicējiem komercdarbībā ieviest digitālos risinājumus, t.sk., nodrošinot nepieciešamo apmācību un veicinot </w:t>
      </w:r>
      <w:proofErr w:type="spellStart"/>
      <w:r w:rsidRPr="00550D35">
        <w:rPr>
          <w:lang w:val="lv-LV"/>
        </w:rPr>
        <w:t>mākoņdatošanas</w:t>
      </w:r>
      <w:proofErr w:type="spellEnd"/>
      <w:r w:rsidRPr="00550D35">
        <w:rPr>
          <w:lang w:val="lv-LV"/>
        </w:rPr>
        <w:t xml:space="preserve"> pakalpojumu plašāku izmantošanā komercdarbībā. Ieviešot pasākumus šī KPI jomā, tiks veicināta </w:t>
      </w:r>
      <w:proofErr w:type="spellStart"/>
      <w:r w:rsidRPr="00550D35">
        <w:rPr>
          <w:lang w:val="lv-LV"/>
        </w:rPr>
        <w:t>mākoņdatošanas</w:t>
      </w:r>
      <w:proofErr w:type="spellEnd"/>
      <w:r w:rsidRPr="00550D35">
        <w:rPr>
          <w:lang w:val="lv-LV"/>
        </w:rPr>
        <w:t xml:space="preserve"> pakalpojumu izmantošana un celta komercdarbības efektivitāte, sniedzot ieguldījumu digitālās desmitgades rādītāju sasniegšanā </w:t>
      </w:r>
      <w:proofErr w:type="spellStart"/>
      <w:r w:rsidRPr="00550D35">
        <w:rPr>
          <w:lang w:val="lv-LV"/>
        </w:rPr>
        <w:t>mākoņdatošanas</w:t>
      </w:r>
      <w:proofErr w:type="spellEnd"/>
      <w:r w:rsidRPr="00550D35">
        <w:rPr>
          <w:lang w:val="lv-LV"/>
        </w:rPr>
        <w:t xml:space="preserve"> jomā. </w:t>
      </w:r>
    </w:p>
    <w:p w14:paraId="6A599244" w14:textId="77777777" w:rsidR="00D536C9" w:rsidRPr="00550D35" w:rsidRDefault="00D536C9" w:rsidP="00D536C9">
      <w:pPr>
        <w:pStyle w:val="Heading2"/>
        <w:rPr>
          <w:lang w:val="lv-LV"/>
        </w:rPr>
      </w:pPr>
      <w:r w:rsidRPr="00550D35">
        <w:rPr>
          <w:lang w:val="lv-LV"/>
        </w:rPr>
        <w:lastRenderedPageBreak/>
        <w:t>Ieinteresēto personu atsauksmes</w:t>
      </w:r>
    </w:p>
    <w:p w14:paraId="07AA1BC3" w14:textId="6F801A34" w:rsidR="00342AB9" w:rsidRPr="00550D35" w:rsidRDefault="00342AB9" w:rsidP="00342AB9">
      <w:pPr>
        <w:rPr>
          <w:b/>
          <w:bCs/>
          <w:lang w:val="lv-LV"/>
        </w:rPr>
      </w:pPr>
      <w:r w:rsidRPr="00550D35">
        <w:rPr>
          <w:lang w:val="lv-LV"/>
        </w:rPr>
        <w:t>KPI “</w:t>
      </w:r>
      <w:proofErr w:type="spellStart"/>
      <w:r w:rsidRPr="00550D35">
        <w:rPr>
          <w:lang w:val="lv-LV"/>
        </w:rPr>
        <w:t>Mākoņdatošana</w:t>
      </w:r>
      <w:proofErr w:type="spellEnd"/>
      <w:r w:rsidRPr="00550D35">
        <w:rPr>
          <w:lang w:val="lv-LV"/>
        </w:rPr>
        <w:t xml:space="preserve">” </w:t>
      </w:r>
      <w:r>
        <w:rPr>
          <w:lang w:val="lv-LV"/>
        </w:rPr>
        <w:t xml:space="preserve">sadaļā norādītais vispārējās ietekmes </w:t>
      </w:r>
      <w:proofErr w:type="spellStart"/>
      <w:r>
        <w:rPr>
          <w:lang w:val="lv-LV"/>
        </w:rPr>
        <w:t>izvērtējums</w:t>
      </w:r>
      <w:proofErr w:type="spellEnd"/>
      <w:r>
        <w:rPr>
          <w:lang w:val="lv-LV"/>
        </w:rPr>
        <w:t xml:space="preserve"> un secinājumi, </w:t>
      </w:r>
      <w:proofErr w:type="spellStart"/>
      <w:r>
        <w:rPr>
          <w:lang w:val="lv-LV"/>
        </w:rPr>
        <w:t>mērķrādītāja</w:t>
      </w:r>
      <w:proofErr w:type="spellEnd"/>
      <w:r>
        <w:rPr>
          <w:lang w:val="lv-LV"/>
        </w:rPr>
        <w:t xml:space="preserve"> prognozes līdz 2030. gadam, identificētie izaicinājumi, g</w:t>
      </w:r>
      <w:r w:rsidRPr="009C24BC">
        <w:rPr>
          <w:lang w:val="lv-LV"/>
        </w:rPr>
        <w:t>alvenā</w:t>
      </w:r>
      <w:r>
        <w:rPr>
          <w:lang w:val="lv-LV"/>
        </w:rPr>
        <w:t>s</w:t>
      </w:r>
      <w:r w:rsidRPr="009C24BC">
        <w:rPr>
          <w:lang w:val="lv-LV"/>
        </w:rPr>
        <w:t xml:space="preserve"> politika</w:t>
      </w:r>
      <w:r>
        <w:rPr>
          <w:lang w:val="lv-LV"/>
        </w:rPr>
        <w:t>s</w:t>
      </w:r>
      <w:r w:rsidRPr="009C24BC">
        <w:rPr>
          <w:lang w:val="lv-LV"/>
        </w:rPr>
        <w:t>, pasākum</w:t>
      </w:r>
      <w:r>
        <w:rPr>
          <w:lang w:val="lv-LV"/>
        </w:rPr>
        <w:t>u</w:t>
      </w:r>
      <w:r w:rsidRPr="009C24BC">
        <w:rPr>
          <w:lang w:val="lv-LV"/>
        </w:rPr>
        <w:t xml:space="preserve"> un darbīb</w:t>
      </w:r>
      <w:r>
        <w:rPr>
          <w:lang w:val="lv-LV"/>
        </w:rPr>
        <w:t>u</w:t>
      </w:r>
      <w:r w:rsidRPr="009C24BC">
        <w:rPr>
          <w:lang w:val="lv-LV"/>
        </w:rPr>
        <w:t>, kas paredzēt</w:t>
      </w:r>
      <w:r>
        <w:rPr>
          <w:lang w:val="lv-LV"/>
        </w:rPr>
        <w:t>as</w:t>
      </w:r>
      <w:r w:rsidRPr="009C24BC">
        <w:rPr>
          <w:lang w:val="lv-LV"/>
        </w:rPr>
        <w:t>, lai palīdzētu sasniegt vispārīgos mērķus</w:t>
      </w:r>
      <w:r>
        <w:rPr>
          <w:lang w:val="lv-LV"/>
        </w:rPr>
        <w:t>, apraksts</w:t>
      </w:r>
      <w:r w:rsidR="00E4566E">
        <w:rPr>
          <w:lang w:val="lv-LV"/>
        </w:rPr>
        <w:t>,</w:t>
      </w:r>
      <w:r>
        <w:rPr>
          <w:lang w:val="lv-LV"/>
        </w:rPr>
        <w:t xml:space="preserve"> u.c. saskaņots ar LIKTA. </w:t>
      </w:r>
    </w:p>
    <w:p w14:paraId="73274475" w14:textId="77777777" w:rsidR="00D536C9" w:rsidRPr="00550D35" w:rsidRDefault="00D536C9" w:rsidP="00D536C9">
      <w:pPr>
        <w:pStyle w:val="Heading2"/>
        <w:rPr>
          <w:lang w:val="lv-LV"/>
        </w:rPr>
      </w:pPr>
      <w:r w:rsidRPr="00550D35">
        <w:rPr>
          <w:lang w:val="lv-LV"/>
        </w:rPr>
        <w:t>Vispārējā ietekme un secinājumi</w:t>
      </w:r>
    </w:p>
    <w:p w14:paraId="447A4014" w14:textId="77777777" w:rsidR="00D536C9" w:rsidRPr="00550D35" w:rsidRDefault="00D536C9" w:rsidP="00D536C9">
      <w:pPr>
        <w:rPr>
          <w:lang w:val="lv-LV"/>
        </w:rPr>
      </w:pPr>
      <w:r w:rsidRPr="00550D35">
        <w:rPr>
          <w:lang w:val="lv-LV"/>
        </w:rPr>
        <w:t xml:space="preserve">Plānotie pasākumi palielinās valsts pārvaldes un privātpersonu komercdarbības efektivitāti, efektīvi izmantojot </w:t>
      </w:r>
      <w:proofErr w:type="spellStart"/>
      <w:r w:rsidRPr="00550D35">
        <w:rPr>
          <w:lang w:val="lv-LV"/>
        </w:rPr>
        <w:t>mākoņdatošanas</w:t>
      </w:r>
      <w:proofErr w:type="spellEnd"/>
      <w:r w:rsidRPr="00550D35">
        <w:rPr>
          <w:lang w:val="lv-LV"/>
        </w:rPr>
        <w:t xml:space="preserve"> pakalpojumus, samazinot administratīvo slogu un radot uzņēmējiem, t.sk. MVU, labvēlīgāku darbības vidi. Palielinātas  komersantu vadības prasmes, kas nepieciešamas darbam digitālās transformācijas apstākļos, ļaus pārveidot ikdienas darba procesus atbilstoši digitālas ekonomikas iespējām, mudinot uzņēmējdarbībā izmantot </w:t>
      </w:r>
      <w:proofErr w:type="spellStart"/>
      <w:r w:rsidRPr="00550D35">
        <w:rPr>
          <w:lang w:val="lv-LV"/>
        </w:rPr>
        <w:t>mākoņdatošanas</w:t>
      </w:r>
      <w:proofErr w:type="spellEnd"/>
      <w:r w:rsidRPr="00550D35">
        <w:rPr>
          <w:lang w:val="lv-LV"/>
        </w:rPr>
        <w:t xml:space="preserve"> risinājumus un kopumā ceļot uzņēmumu produktivitāti. Īstenojot atbalsta programmas, tiks veicināts digitālās pārkārtošanās process, kas savukārt veicinās dinamiskas, resursu ziņā efektīva un taisnīgas ekonomikas un sabiedrības ES izveidi, vienlaikus veicinot komercdarbības ilgtspēju starptautiskajā dimensijā.</w:t>
      </w:r>
    </w:p>
    <w:p w14:paraId="6EEDAB6B" w14:textId="6107E30E" w:rsidR="009000F2" w:rsidRPr="00550D35" w:rsidRDefault="00D536C9" w:rsidP="00653C41">
      <w:pPr>
        <w:rPr>
          <w:lang w:val="lv-LV"/>
        </w:rPr>
      </w:pPr>
      <w:r w:rsidRPr="00550D35">
        <w:rPr>
          <w:lang w:val="lv-LV"/>
        </w:rPr>
        <w:t>Nodaļā minētā politika un pasākumi KPI “</w:t>
      </w:r>
      <w:proofErr w:type="spellStart"/>
      <w:r w:rsidRPr="00550D35">
        <w:rPr>
          <w:lang w:val="lv-LV"/>
        </w:rPr>
        <w:t>Mākoņskaitļošana</w:t>
      </w:r>
      <w:proofErr w:type="spellEnd"/>
      <w:r w:rsidRPr="00550D35">
        <w:rPr>
          <w:lang w:val="lv-LV"/>
        </w:rPr>
        <w:t xml:space="preserve">” īstenošanai sniegs ieguldījumu uzņēmumu </w:t>
      </w:r>
      <w:proofErr w:type="spellStart"/>
      <w:r w:rsidRPr="00550D35">
        <w:rPr>
          <w:lang w:val="lv-LV"/>
        </w:rPr>
        <w:t>digitalizācijas</w:t>
      </w:r>
      <w:proofErr w:type="spellEnd"/>
      <w:r w:rsidRPr="00550D35">
        <w:rPr>
          <w:lang w:val="lv-LV"/>
        </w:rPr>
        <w:t xml:space="preserve"> jomā, tai skaitā stiprinās digitālo tehnoloģiju izplatīšanas un izmantošanas centienus un īstenos stratēģijas, lai būtiski veicinātu jaunu progresīvu risinājumu izmantošanu MVU ekosistēmās, kā tas norādīts EK ieteikumā Digitālās dekādes 2023.gada ziņojumā par Latviju.</w:t>
      </w:r>
      <w:bookmarkStart w:id="27" w:name="_Hlk142935741"/>
      <w:bookmarkStart w:id="28" w:name="_Toc135226612"/>
    </w:p>
    <w:p w14:paraId="2FC9FCE9" w14:textId="7180ED85" w:rsidR="002D569D" w:rsidRPr="00550D35" w:rsidRDefault="002D569D" w:rsidP="00B52E9B">
      <w:pPr>
        <w:pStyle w:val="Heading1"/>
      </w:pPr>
      <w:bookmarkStart w:id="29" w:name="_Toc155952341"/>
      <w:bookmarkEnd w:id="27"/>
      <w:r w:rsidRPr="00550D35">
        <w:t>Lielie dati</w:t>
      </w:r>
      <w:bookmarkEnd w:id="28"/>
      <w:bookmarkEnd w:id="29"/>
    </w:p>
    <w:p w14:paraId="1E51F094" w14:textId="3EA25F98" w:rsidR="005C5D74" w:rsidRPr="00550D35" w:rsidRDefault="00BB30B5" w:rsidP="00BB30B5">
      <w:pPr>
        <w:spacing w:before="0" w:line="259" w:lineRule="auto"/>
        <w:contextualSpacing/>
        <w:rPr>
          <w:i/>
          <w:iCs/>
          <w:szCs w:val="24"/>
          <w:lang w:val="lv-LV"/>
        </w:rPr>
      </w:pPr>
      <w:r w:rsidRPr="00550D35">
        <w:rPr>
          <w:b/>
          <w:bCs/>
          <w:i/>
          <w:iCs/>
          <w:szCs w:val="24"/>
          <w:lang w:val="lv-LV"/>
        </w:rPr>
        <w:t xml:space="preserve">Lielie dati, </w:t>
      </w:r>
      <w:r w:rsidRPr="00550D35">
        <w:rPr>
          <w:i/>
          <w:iCs/>
          <w:szCs w:val="24"/>
          <w:lang w:val="lv-LV"/>
        </w:rPr>
        <w:t>ko</w:t>
      </w:r>
      <w:r w:rsidR="00E97A4F" w:rsidRPr="00550D35">
        <w:rPr>
          <w:b/>
          <w:bCs/>
          <w:i/>
          <w:iCs/>
          <w:szCs w:val="24"/>
          <w:lang w:val="lv-LV"/>
        </w:rPr>
        <w:t xml:space="preserve"> </w:t>
      </w:r>
      <w:r w:rsidR="00C77FA0" w:rsidRPr="00550D35">
        <w:rPr>
          <w:rStyle w:val="word"/>
          <w:i/>
          <w:iCs/>
          <w:szCs w:val="24"/>
          <w:lang w:val="lv-LV"/>
        </w:rPr>
        <w:t>mēra</w:t>
      </w:r>
      <w:r w:rsidR="00C77FA0" w:rsidRPr="00550D35">
        <w:rPr>
          <w:rStyle w:val="phrase"/>
          <w:i/>
          <w:iCs/>
          <w:szCs w:val="24"/>
          <w:lang w:val="lv-LV"/>
        </w:rPr>
        <w:t xml:space="preserve"> </w:t>
      </w:r>
      <w:r w:rsidR="00C77FA0" w:rsidRPr="00550D35">
        <w:rPr>
          <w:rStyle w:val="word"/>
          <w:i/>
          <w:iCs/>
          <w:szCs w:val="24"/>
          <w:lang w:val="lv-LV"/>
        </w:rPr>
        <w:t>kā</w:t>
      </w:r>
      <w:r w:rsidR="00F74A1D" w:rsidRPr="00550D35">
        <w:rPr>
          <w:i/>
          <w:iCs/>
          <w:szCs w:val="24"/>
          <w:lang w:val="lv-LV"/>
        </w:rPr>
        <w:t xml:space="preserve"> to uzņēmumu procentu, kuri analizē lielos datus no jebkura datu avota (iekšēja vai ārēja)</w:t>
      </w:r>
      <w:r w:rsidR="00F74A1D" w:rsidRPr="00550D35">
        <w:rPr>
          <w:rStyle w:val="FootnoteReference"/>
          <w:i/>
          <w:iCs/>
          <w:szCs w:val="24"/>
          <w:lang w:val="lv-LV"/>
        </w:rPr>
        <w:footnoteReference w:id="57"/>
      </w:r>
      <w:r w:rsidR="00F74A1D" w:rsidRPr="00550D35">
        <w:rPr>
          <w:i/>
          <w:iCs/>
          <w:szCs w:val="24"/>
          <w:lang w:val="lv-LV"/>
        </w:rPr>
        <w:t xml:space="preserve"> . Sākot ar 2024. gada ziņojumu, lielie dati tiks mērīti kā to uzņēmumu procents, kuri veic datu analītiku (iekšēji vai ārēji).</w:t>
      </w:r>
    </w:p>
    <w:p w14:paraId="4D1ABFC8" w14:textId="02CD4677" w:rsidR="00400CD6" w:rsidRPr="00550D35" w:rsidRDefault="00451149">
      <w:pPr>
        <w:pStyle w:val="Heading2"/>
        <w:rPr>
          <w:lang w:val="lv-LV"/>
        </w:rPr>
      </w:pPr>
      <w:r w:rsidRPr="00550D35">
        <w:rPr>
          <w:lang w:val="lv-LV"/>
        </w:rPr>
        <w:t>Analīze par pašreizējo stāvokli digitālās pārveides jomā dalībvalsts kontekstā</w:t>
      </w:r>
    </w:p>
    <w:p w14:paraId="032FE9C9" w14:textId="25D9A87E" w:rsidR="006C5B54" w:rsidRPr="00550D35" w:rsidRDefault="002665E6" w:rsidP="00B7387C">
      <w:pPr>
        <w:rPr>
          <w:lang w:val="lv-LV"/>
        </w:rPr>
      </w:pPr>
      <w:r w:rsidRPr="00550D35">
        <w:rPr>
          <w:lang w:val="lv-LV"/>
        </w:rPr>
        <w:t>Saskaņā ar Digitālās dekādes 2023.gada ziņojumu Latvijas</w:t>
      </w:r>
      <w:r w:rsidR="006C5B54" w:rsidRPr="00550D35">
        <w:rPr>
          <w:rFonts w:eastAsiaTheme="minorEastAsia"/>
          <w:lang w:val="lv-LV"/>
        </w:rPr>
        <w:t xml:space="preserve"> </w:t>
      </w:r>
      <w:r w:rsidR="00DD3EEF" w:rsidRPr="00550D35">
        <w:rPr>
          <w:lang w:val="lv-LV"/>
        </w:rPr>
        <w:t>veikums</w:t>
      </w:r>
      <w:r w:rsidR="00DD3EEF" w:rsidRPr="00550D35">
        <w:rPr>
          <w:rFonts w:eastAsiaTheme="minorEastAsia"/>
          <w:lang w:val="lv-LV"/>
        </w:rPr>
        <w:t xml:space="preserve"> </w:t>
      </w:r>
      <w:r w:rsidR="006C5B54" w:rsidRPr="00550D35">
        <w:rPr>
          <w:rFonts w:eastAsiaTheme="minorEastAsia"/>
          <w:lang w:val="lv-LV"/>
        </w:rPr>
        <w:t>digitālo tehnoloģiju integrācij</w:t>
      </w:r>
      <w:r w:rsidR="00DD3EEF" w:rsidRPr="00550D35">
        <w:rPr>
          <w:rFonts w:eastAsiaTheme="minorEastAsia"/>
          <w:lang w:val="lv-LV"/>
        </w:rPr>
        <w:t>ā</w:t>
      </w:r>
      <w:r w:rsidR="006C5B54" w:rsidRPr="00550D35">
        <w:rPr>
          <w:rFonts w:eastAsiaTheme="minorEastAsia"/>
          <w:lang w:val="lv-LV"/>
        </w:rPr>
        <w:t xml:space="preserve"> uzņēmumos </w:t>
      </w:r>
      <w:r w:rsidRPr="00550D35">
        <w:rPr>
          <w:lang w:val="lv-LV"/>
        </w:rPr>
        <w:t>joprojām nav pietiekams, lai sasniegtu Digitālās desmitgades mērķus un parāda ievērojamu uzlabojumu iespēju. Lai gan dažās jomās Latvija ir uzlabojusi rādītājus, tie joprojām ir zemāki par ES vidējiem rādītājiem kopumā. Lielos datus 2021. gadā izmantoja tikai 9% uzņēmumu, Turpmākajos gados būs jāpieliek ievērojamas pūles, lai sasniegtu ES mērķus 2030.gadam - 75%</w:t>
      </w:r>
      <w:r w:rsidR="0014589B" w:rsidRPr="00550D35">
        <w:rPr>
          <w:lang w:val="lv-LV"/>
        </w:rPr>
        <w:t> </w:t>
      </w:r>
      <w:r w:rsidRPr="00550D35">
        <w:rPr>
          <w:lang w:val="lv-LV"/>
        </w:rPr>
        <w:t>uzņēmumu, kas izmanto lielos datus</w:t>
      </w:r>
      <w:r w:rsidR="0014589B" w:rsidRPr="00550D35">
        <w:rPr>
          <w:lang w:val="lv-LV"/>
        </w:rPr>
        <w:t>.</w:t>
      </w:r>
    </w:p>
    <w:p w14:paraId="670668EC" w14:textId="799218B5" w:rsidR="00AF798A" w:rsidRPr="00550D35" w:rsidRDefault="00AF798A" w:rsidP="00AF798A">
      <w:pPr>
        <w:rPr>
          <w:lang w:val="lv-LV"/>
        </w:rPr>
      </w:pPr>
      <w:r w:rsidRPr="00550D35">
        <w:rPr>
          <w:lang w:val="lv-LV"/>
        </w:rPr>
        <w:t xml:space="preserve">Digitālās dekādes 2023.gada ziņojumā par Latviju EK iesaka valstij ievērojami pastiprināt centienus uzņēmumu </w:t>
      </w:r>
      <w:proofErr w:type="spellStart"/>
      <w:r w:rsidRPr="00550D35">
        <w:rPr>
          <w:lang w:val="lv-LV"/>
        </w:rPr>
        <w:t>digitalizācijas</w:t>
      </w:r>
      <w:proofErr w:type="spellEnd"/>
      <w:r w:rsidRPr="00550D35">
        <w:rPr>
          <w:lang w:val="lv-LV"/>
        </w:rPr>
        <w:t xml:space="preserve"> jomā. Proti, Latvijai būtu jāstiprina digitālo tehnoloģiju izplatīšanas un izmantošanas centieni un gan valsts, gan privāto dalībnieku kopīgi izstrādāto stratēģiju īstenošana, lai būtiski veicinātu jaunu progresīvu risinājumu izmantošanu MVU ekosistēmās.</w:t>
      </w:r>
    </w:p>
    <w:p w14:paraId="3B0A94B6" w14:textId="34584DC4" w:rsidR="004A330C" w:rsidRPr="00550D35" w:rsidRDefault="004A330C" w:rsidP="004A330C">
      <w:pPr>
        <w:rPr>
          <w:lang w:val="lv-LV"/>
        </w:rPr>
      </w:pPr>
      <w:r w:rsidRPr="00550D35">
        <w:rPr>
          <w:rFonts w:eastAsiaTheme="minorEastAsia"/>
          <w:lang w:val="lv-LV"/>
        </w:rPr>
        <w:t xml:space="preserve">EM cieši sadarbojas ar citām ministrijām, lai virzītu </w:t>
      </w:r>
      <w:proofErr w:type="spellStart"/>
      <w:r w:rsidRPr="00550D35">
        <w:rPr>
          <w:rFonts w:eastAsiaTheme="minorEastAsia"/>
          <w:lang w:val="lv-LV"/>
        </w:rPr>
        <w:t>digitalizāciju</w:t>
      </w:r>
      <w:proofErr w:type="spellEnd"/>
      <w:r w:rsidRPr="00550D35">
        <w:rPr>
          <w:rFonts w:eastAsiaTheme="minorEastAsia"/>
          <w:lang w:val="lv-LV"/>
        </w:rPr>
        <w:t xml:space="preserve"> no dažādām perspektīvām un mērķētu uz dažādām ekonomikas un sabiedrības nozarēm. Plašāks </w:t>
      </w:r>
      <w:r w:rsidRPr="00550D35">
        <w:rPr>
          <w:lang w:val="lv-LV"/>
        </w:rPr>
        <w:t>apraksts 8.1. apakšpunktā sadaļā “</w:t>
      </w:r>
      <w:proofErr w:type="spellStart"/>
      <w:r w:rsidRPr="00550D35">
        <w:rPr>
          <w:lang w:val="lv-LV"/>
        </w:rPr>
        <w:t>Mākoņdatošana</w:t>
      </w:r>
      <w:proofErr w:type="spellEnd"/>
      <w:r w:rsidRPr="00550D35">
        <w:rPr>
          <w:lang w:val="lv-LV"/>
        </w:rPr>
        <w:t>”.</w:t>
      </w:r>
    </w:p>
    <w:p w14:paraId="0593222B" w14:textId="7A62D0BB" w:rsidR="009E6BCA" w:rsidRPr="00550D35" w:rsidRDefault="009E6BCA" w:rsidP="009E6BCA">
      <w:pPr>
        <w:pStyle w:val="Text3"/>
        <w:ind w:left="0"/>
        <w:rPr>
          <w:lang w:val="lv-LV"/>
        </w:rPr>
      </w:pPr>
      <w:r w:rsidRPr="00550D35">
        <w:rPr>
          <w:lang w:val="lv-LV"/>
        </w:rPr>
        <w:lastRenderedPageBreak/>
        <w:t>Saskaņā ar NIP2027 MVU nepieciešams attīstīt digitālās attīstības līmeni, tostarp veicināt lielo datu pakalpojumu izmantošanu, lai tuvinātos ES vidējiem rādītajiem digitālo tehnoloģiju integrācijā.</w:t>
      </w:r>
    </w:p>
    <w:p w14:paraId="68350D22" w14:textId="136C1935" w:rsidR="004A330C" w:rsidRDefault="009E6BCA" w:rsidP="00A31DC7">
      <w:pPr>
        <w:pStyle w:val="Text3"/>
        <w:ind w:left="0"/>
        <w:rPr>
          <w:lang w:val="lv-LV"/>
        </w:rPr>
      </w:pPr>
      <w:r w:rsidRPr="00550D35">
        <w:rPr>
          <w:lang w:val="lv-LV"/>
        </w:rPr>
        <w:t>Saskaņā ar DTP2027 viens no rīcības virzieniem sabiedrības digitālo prasmju attīstībā izglītības procesā ir Latvijas kā Eiropas mēroga IT profesionāļu sagatavošanas centra attīstību, t.sk. balstoties uz uzbūvētās RTU, R</w:t>
      </w:r>
      <w:r w:rsidR="00A31DC7" w:rsidRPr="00550D35">
        <w:rPr>
          <w:lang w:val="lv-LV"/>
        </w:rPr>
        <w:t xml:space="preserve">īgas </w:t>
      </w:r>
      <w:r w:rsidRPr="00550D35">
        <w:rPr>
          <w:lang w:val="lv-LV"/>
        </w:rPr>
        <w:t>B</w:t>
      </w:r>
      <w:r w:rsidR="00A31DC7" w:rsidRPr="00550D35">
        <w:rPr>
          <w:lang w:val="lv-LV"/>
        </w:rPr>
        <w:t>iznesa skola</w:t>
      </w:r>
      <w:r w:rsidR="00291CF2" w:rsidRPr="00550D35">
        <w:rPr>
          <w:lang w:val="lv-LV"/>
        </w:rPr>
        <w:t>s</w:t>
      </w:r>
      <w:r w:rsidRPr="00550D35">
        <w:rPr>
          <w:lang w:val="lv-LV"/>
        </w:rPr>
        <w:t>, LU</w:t>
      </w:r>
      <w:r w:rsidR="00291CF2" w:rsidRPr="00550D35">
        <w:rPr>
          <w:lang w:val="lv-LV"/>
        </w:rPr>
        <w:t xml:space="preserve"> un</w:t>
      </w:r>
      <w:r w:rsidRPr="00550D35">
        <w:rPr>
          <w:lang w:val="lv-LV"/>
        </w:rPr>
        <w:t xml:space="preserve"> Bufalo</w:t>
      </w:r>
      <w:r w:rsidR="00291CF2" w:rsidRPr="00550D35">
        <w:rPr>
          <w:lang w:val="lv-LV"/>
        </w:rPr>
        <w:t xml:space="preserve"> (ASV)</w:t>
      </w:r>
      <w:r w:rsidRPr="00550D35">
        <w:rPr>
          <w:lang w:val="lv-LV"/>
        </w:rPr>
        <w:t xml:space="preserve"> universitātes studiju programmas "Datorzinātne un organizāciju tehnoloģijas" pamatiem, paplašinot augstākā līmeņa digitālo prasmju apguves piedāvājumu un tā mērogu, tostarp lielo datu jomā, kā arī nostiprinot mācību programmās HPC lietojuma prasmes, kvantu fizikas un matemātikas speciālistu sagatavošanu, kas drīzumā būs nepieciešami, piemēram, IT drošības sektorā, kā arī </w:t>
      </w:r>
      <w:r w:rsidR="3F4ECB7D" w:rsidRPr="00550D35">
        <w:rPr>
          <w:lang w:val="lv-LV"/>
        </w:rPr>
        <w:t>a</w:t>
      </w:r>
      <w:r w:rsidR="1792D6FA" w:rsidRPr="00550D35">
        <w:rPr>
          <w:lang w:val="lv-LV"/>
        </w:rPr>
        <w:t>ttīstīt</w:t>
      </w:r>
      <w:r w:rsidRPr="00550D35">
        <w:rPr>
          <w:lang w:val="lv-LV"/>
        </w:rPr>
        <w:t xml:space="preserve"> augsta līmeņa digitālās prasmes kā caurviju prasmes profesionālās izglītības un augstākās izglītības satura ietvaros, t.sk. </w:t>
      </w:r>
      <w:proofErr w:type="spellStart"/>
      <w:r w:rsidRPr="00550D35">
        <w:rPr>
          <w:lang w:val="lv-LV"/>
        </w:rPr>
        <w:t>kiberdrošība</w:t>
      </w:r>
      <w:proofErr w:type="spellEnd"/>
      <w:r w:rsidRPr="00550D35">
        <w:rPr>
          <w:lang w:val="lv-LV"/>
        </w:rPr>
        <w:t>, darbs ar lielajiem datiem, nozares digitālo tehnoloģiju apguve, publiskos pārvaldes pakalpojumus u.c.</w:t>
      </w:r>
    </w:p>
    <w:p w14:paraId="0F70FA77" w14:textId="37B23774" w:rsidR="00134035" w:rsidRPr="00550D35" w:rsidRDefault="00134035" w:rsidP="00134035">
      <w:pPr>
        <w:pStyle w:val="Text3"/>
        <w:ind w:left="0"/>
        <w:rPr>
          <w:lang w:val="lv-LV"/>
        </w:rPr>
      </w:pPr>
      <w:r w:rsidRPr="002E6F56">
        <w:rPr>
          <w:lang w:val="lv-LV"/>
        </w:rPr>
        <w:t xml:space="preserve">Papildu jau identificētajiem pasākumiem, sadarbībā ar LIKTA tiks turpināts darbs pie digitālo risinājumu ieviešanai nepieciešamās normatīvās vides pilnveidošanas, īstenotas informēšanas, iedrošināšanas un motivēšanas aktivitātēm, kā arī īstenoti citi pasākumi, kas var sekmēt </w:t>
      </w:r>
      <w:r>
        <w:rPr>
          <w:lang w:val="lv-LV"/>
        </w:rPr>
        <w:t>lielo datu</w:t>
      </w:r>
      <w:r w:rsidRPr="002E6F56">
        <w:rPr>
          <w:lang w:val="lv-LV"/>
        </w:rPr>
        <w:t xml:space="preserve"> pakalpojumu izmantošanu uzņēmējdarbībā, lai līdz 2030. gadam sasniegtu ES noteikto </w:t>
      </w:r>
      <w:r w:rsidR="000825C8">
        <w:rPr>
          <w:lang w:val="lv-LV"/>
        </w:rPr>
        <w:t>mērķa vērtību</w:t>
      </w:r>
      <w:r w:rsidRPr="002E6F56">
        <w:rPr>
          <w:lang w:val="lv-LV"/>
        </w:rPr>
        <w:t>.</w:t>
      </w:r>
    </w:p>
    <w:p w14:paraId="5230BD67" w14:textId="4DE4E5EC" w:rsidR="00CF3238" w:rsidRPr="00550D35" w:rsidRDefault="00CF3238" w:rsidP="00CF3238">
      <w:pPr>
        <w:rPr>
          <w:lang w:val="lv-LV"/>
        </w:rPr>
      </w:pPr>
      <w:r w:rsidRPr="00550D35">
        <w:rPr>
          <w:lang w:val="lv-LV"/>
        </w:rPr>
        <w:t>Ir identificēti šādi galvenie izaicinājumi:</w:t>
      </w:r>
    </w:p>
    <w:p w14:paraId="702D405C" w14:textId="27EAB5BD" w:rsidR="0013407D" w:rsidRPr="00550D35" w:rsidRDefault="00CF3238" w:rsidP="00CF3238">
      <w:pPr>
        <w:spacing w:after="140"/>
        <w:ind w:firstLine="567"/>
        <w:rPr>
          <w:lang w:val="lv-LV"/>
        </w:rPr>
      </w:pPr>
      <w:r w:rsidRPr="0028453D">
        <w:rPr>
          <w:b/>
          <w:bCs/>
          <w:lang w:val="lv-LV"/>
        </w:rPr>
        <w:t xml:space="preserve">Izaicinājums </w:t>
      </w:r>
      <w:r w:rsidR="007346DD">
        <w:rPr>
          <w:b/>
          <w:bCs/>
          <w:lang w:val="lv-LV"/>
        </w:rPr>
        <w:t>Nr.</w:t>
      </w:r>
      <w:r w:rsidRPr="0028453D">
        <w:rPr>
          <w:b/>
          <w:bCs/>
          <w:lang w:val="lv-LV"/>
        </w:rPr>
        <w:t>1</w:t>
      </w:r>
      <w:r w:rsidRPr="00550D35">
        <w:rPr>
          <w:lang w:val="lv-LV"/>
        </w:rPr>
        <w:t xml:space="preserve"> –</w:t>
      </w:r>
      <w:r w:rsidR="0013407D" w:rsidRPr="00550D35">
        <w:rPr>
          <w:lang w:val="lv-LV"/>
        </w:rPr>
        <w:t xml:space="preserve">Pieejamā publiskā finansējuma ierobežotais apmērs. Lai arī jau šobrīd pieejams ES finansējums digitālās attīstības veicināšanai komersantu saimnieciskajā darbībā, norādītās EM ANM plāna un ERAF ietvaros īstenojamās programmas, kas veicinās ES noteiktā </w:t>
      </w:r>
      <w:proofErr w:type="spellStart"/>
      <w:r w:rsidR="0013407D" w:rsidRPr="00550D35">
        <w:rPr>
          <w:lang w:val="lv-LV"/>
        </w:rPr>
        <w:t>mērķrādītāja</w:t>
      </w:r>
      <w:proofErr w:type="spellEnd"/>
      <w:r w:rsidR="0013407D" w:rsidRPr="00550D35">
        <w:rPr>
          <w:lang w:val="lv-LV"/>
        </w:rPr>
        <w:t xml:space="preserve"> līmeņa sasniegšanu, paredz atbalstu ne tikai </w:t>
      </w:r>
      <w:r w:rsidRPr="00550D35">
        <w:rPr>
          <w:lang w:val="lv-LV"/>
        </w:rPr>
        <w:t>lielo datu analītikas risinājumu izmantošanas veicināšanai.</w:t>
      </w:r>
    </w:p>
    <w:p w14:paraId="3534F77C" w14:textId="675B3F87" w:rsidR="00D35E31" w:rsidRPr="00550D35" w:rsidRDefault="00EE0A43" w:rsidP="00D35E31">
      <w:pPr>
        <w:spacing w:after="140"/>
        <w:ind w:firstLine="567"/>
        <w:rPr>
          <w:lang w:val="lv-LV"/>
        </w:rPr>
      </w:pPr>
      <w:r w:rsidRPr="006C2C48">
        <w:rPr>
          <w:lang w:val="lv-LV"/>
        </w:rPr>
        <w:t xml:space="preserve">Ar šobrīd identificētajām atbalsta programmām ir iespējams sasniegt </w:t>
      </w:r>
      <w:proofErr w:type="spellStart"/>
      <w:r w:rsidRPr="006C2C48">
        <w:rPr>
          <w:lang w:val="lv-LV"/>
        </w:rPr>
        <w:t>mērķrādītāju</w:t>
      </w:r>
      <w:proofErr w:type="spellEnd"/>
      <w:r w:rsidRPr="006C2C48">
        <w:rPr>
          <w:lang w:val="lv-LV"/>
        </w:rPr>
        <w:t xml:space="preserve"> tikai 16 % apmērā. </w:t>
      </w:r>
      <w:r w:rsidR="00CF3238" w:rsidRPr="00550D35">
        <w:rPr>
          <w:lang w:val="lv-LV"/>
        </w:rPr>
        <w:t>Izstrādātās atbalsta programmas nav tendētas tikai uz lielo datu analītikas risinājumu lietošanas veicināšanu uzņēmumiem, bet tas ir tikai kā viens no uzņēmuma kopējās saimnieciskās darbības digitālās transformācijas KPI jeb sasniedzamajiem rādītājiem.</w:t>
      </w:r>
    </w:p>
    <w:p w14:paraId="50FAE31F" w14:textId="50680930" w:rsidR="0013407D" w:rsidRPr="00550D35" w:rsidRDefault="00CF3238" w:rsidP="00D35E31">
      <w:pPr>
        <w:spacing w:after="140"/>
        <w:ind w:firstLine="567"/>
        <w:rPr>
          <w:lang w:val="lv-LV"/>
        </w:rPr>
      </w:pPr>
      <w:r w:rsidRPr="00550D35">
        <w:rPr>
          <w:lang w:val="lv-LV"/>
        </w:rPr>
        <w:t xml:space="preserve">Ņemot vērā pieejamā publiskā finansējuma ierobežoto apmēru attiecībā uz konkrēto </w:t>
      </w:r>
      <w:proofErr w:type="spellStart"/>
      <w:r w:rsidRPr="00550D35">
        <w:rPr>
          <w:lang w:val="lv-LV"/>
        </w:rPr>
        <w:t>mērķrādītāju</w:t>
      </w:r>
      <w:proofErr w:type="spellEnd"/>
      <w:r w:rsidRPr="00550D35">
        <w:rPr>
          <w:lang w:val="lv-LV"/>
        </w:rPr>
        <w:t xml:space="preserve"> Ekonomikas ministrija secina, ka, lai nacionāli līmenī no 9% šobrīd līdz 2030. gadam sasniegtu ES līmeņa mērķi 75 %, nepieciešams </w:t>
      </w:r>
      <w:proofErr w:type="spellStart"/>
      <w:r w:rsidRPr="00550D35">
        <w:rPr>
          <w:lang w:val="lv-LV"/>
        </w:rPr>
        <w:t>septiņkāršot</w:t>
      </w:r>
      <w:proofErr w:type="spellEnd"/>
      <w:r w:rsidRPr="00550D35">
        <w:rPr>
          <w:lang w:val="lv-LV"/>
        </w:rPr>
        <w:t xml:space="preserve"> finansējumu (nepieciešams </w:t>
      </w:r>
      <w:r w:rsidRPr="00837297">
        <w:rPr>
          <w:lang w:val="lv-LV"/>
        </w:rPr>
        <w:t xml:space="preserve">papildu finansējums 1 036 </w:t>
      </w:r>
      <w:r w:rsidR="00837297" w:rsidRPr="00837297">
        <w:rPr>
          <w:lang w:val="lv-LV"/>
        </w:rPr>
        <w:t>mljrd</w:t>
      </w:r>
      <w:r w:rsidRPr="00837297">
        <w:rPr>
          <w:lang w:val="lv-LV"/>
        </w:rPr>
        <w:t xml:space="preserve">. </w:t>
      </w:r>
      <w:proofErr w:type="spellStart"/>
      <w:r w:rsidR="00221010" w:rsidRPr="00837297">
        <w:rPr>
          <w:i/>
          <w:iCs/>
          <w:lang w:val="lv-LV"/>
        </w:rPr>
        <w:t>euro</w:t>
      </w:r>
      <w:proofErr w:type="spellEnd"/>
      <w:r w:rsidRPr="00837297">
        <w:rPr>
          <w:lang w:val="lv-LV"/>
        </w:rPr>
        <w:t xml:space="preserve"> apmērā</w:t>
      </w:r>
      <w:r w:rsidRPr="00550D35">
        <w:rPr>
          <w:lang w:val="lv-LV"/>
        </w:rPr>
        <w:t xml:space="preserve">), </w:t>
      </w:r>
      <w:r w:rsidR="00BC6127" w:rsidRPr="00550D35">
        <w:rPr>
          <w:lang w:val="lv-LV"/>
        </w:rPr>
        <w:t>ES</w:t>
      </w:r>
      <w:r w:rsidRPr="00550D35">
        <w:rPr>
          <w:lang w:val="lv-LV"/>
        </w:rPr>
        <w:t xml:space="preserve"> un nacionālā līmenī ir jāizvērtē iespējas jaunu atbalsta instrumentu izveidei. </w:t>
      </w:r>
      <w:r w:rsidR="00F859FB" w:rsidRPr="00550D35">
        <w:rPr>
          <w:lang w:val="lv-LV"/>
        </w:rPr>
        <w:t xml:space="preserve">Tāpat būtiski ir piesaistīt IZM, SM, VM, </w:t>
      </w:r>
      <w:proofErr w:type="spellStart"/>
      <w:r w:rsidR="00F859FB" w:rsidRPr="00550D35">
        <w:rPr>
          <w:lang w:val="lv-LV"/>
        </w:rPr>
        <w:t>AiM</w:t>
      </w:r>
      <w:proofErr w:type="spellEnd"/>
      <w:r w:rsidR="00F859FB" w:rsidRPr="00550D35">
        <w:rPr>
          <w:lang w:val="lv-LV"/>
        </w:rPr>
        <w:t xml:space="preserve"> un VARAM plānotās aktivitātes un sniegumu.</w:t>
      </w:r>
    </w:p>
    <w:p w14:paraId="5B7AD181" w14:textId="6B52ACDE" w:rsidR="0052562F" w:rsidRPr="00550D35" w:rsidRDefault="0052562F" w:rsidP="0052562F">
      <w:pPr>
        <w:rPr>
          <w:lang w:val="lv-LV"/>
        </w:rPr>
      </w:pPr>
      <w:r w:rsidRPr="0028453D">
        <w:rPr>
          <w:b/>
          <w:bCs/>
          <w:lang w:val="lv-LV"/>
        </w:rPr>
        <w:t xml:space="preserve">Izaicinājums </w:t>
      </w:r>
      <w:r w:rsidR="007346DD">
        <w:rPr>
          <w:b/>
          <w:bCs/>
          <w:lang w:val="lv-LV"/>
        </w:rPr>
        <w:t>Nr.</w:t>
      </w:r>
      <w:r w:rsidRPr="0028453D">
        <w:rPr>
          <w:b/>
          <w:bCs/>
          <w:lang w:val="lv-LV"/>
        </w:rPr>
        <w:t>2</w:t>
      </w:r>
      <w:r w:rsidRPr="00550D35">
        <w:rPr>
          <w:lang w:val="lv-LV"/>
        </w:rPr>
        <w:t xml:space="preserve"> -  Statistikas datu ievākšanas metodoloģijas pārskatīšana. Nepieciešams ES un nacionālā līmenī vienoties par skaidri saprotamu un pēc līdzīgiem principiem veidotu statistikas datu apkopošanu, novēršot iespēju, ka datos tiek uzskaitītas dažādas mērķa grupas vai tiek iegūta nepilnīga informācija par patieso situāciju, tai skaitā motivējot mērķa grupu sniegt pilnu informāciju. </w:t>
      </w:r>
    </w:p>
    <w:p w14:paraId="4F4A6F80" w14:textId="77777777" w:rsidR="0052562F" w:rsidRPr="00550D35" w:rsidRDefault="0052562F" w:rsidP="00CF3238">
      <w:pPr>
        <w:pStyle w:val="Text3"/>
        <w:ind w:left="0"/>
        <w:rPr>
          <w:lang w:val="lv-LV"/>
        </w:rPr>
      </w:pPr>
    </w:p>
    <w:p w14:paraId="4B348AB6" w14:textId="5D06BBF3" w:rsidR="002864F1" w:rsidRPr="00550D35" w:rsidRDefault="002B0C1C" w:rsidP="002864F1">
      <w:pPr>
        <w:pStyle w:val="Heading2"/>
        <w:rPr>
          <w:lang w:val="lv-LV"/>
        </w:rPr>
      </w:pPr>
      <w:r w:rsidRPr="00550D35">
        <w:rPr>
          <w:lang w:val="lv-LV"/>
        </w:rPr>
        <w:t>KPI “Lielie dati” v</w:t>
      </w:r>
      <w:r w:rsidR="002864F1" w:rsidRPr="00550D35">
        <w:rPr>
          <w:lang w:val="lv-LV"/>
        </w:rPr>
        <w:t xml:space="preserve">alsts prognozētā trajektorija un </w:t>
      </w:r>
      <w:proofErr w:type="spellStart"/>
      <w:r w:rsidR="002864F1" w:rsidRPr="00550D35">
        <w:rPr>
          <w:lang w:val="lv-LV"/>
        </w:rPr>
        <w:t>mērķrādītāj</w:t>
      </w:r>
      <w:r w:rsidRPr="00550D35">
        <w:rPr>
          <w:lang w:val="lv-LV"/>
        </w:rPr>
        <w:t>s</w:t>
      </w:r>
      <w:proofErr w:type="spellEnd"/>
      <w:r w:rsidR="002864F1" w:rsidRPr="00550D35">
        <w:rPr>
          <w:lang w:val="lv-LV"/>
        </w:rPr>
        <w:t>, kas paredzēt</w:t>
      </w:r>
      <w:r w:rsidRPr="00550D35">
        <w:rPr>
          <w:lang w:val="lv-LV"/>
        </w:rPr>
        <w:t>s</w:t>
      </w:r>
      <w:r w:rsidR="002864F1" w:rsidRPr="00550D35">
        <w:rPr>
          <w:lang w:val="lv-LV"/>
        </w:rPr>
        <w:t xml:space="preserve">, lai palīdzētu sasniegt ES digitālo </w:t>
      </w:r>
      <w:proofErr w:type="spellStart"/>
      <w:r w:rsidR="002864F1" w:rsidRPr="00550D35">
        <w:rPr>
          <w:lang w:val="lv-LV"/>
        </w:rPr>
        <w:t>mērķrādītāju</w:t>
      </w:r>
      <w:proofErr w:type="spellEnd"/>
    </w:p>
    <w:p w14:paraId="49797016" w14:textId="62B5B9D1" w:rsidR="00C965A3" w:rsidRPr="00550D35" w:rsidRDefault="00C965A3" w:rsidP="009C57B4">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b/>
          <w:bCs/>
          <w:szCs w:val="24"/>
          <w:lang w:val="lv-LV"/>
        </w:rPr>
      </w:pPr>
      <w:r w:rsidRPr="00550D35">
        <w:rPr>
          <w:b/>
          <w:bCs/>
          <w:szCs w:val="24"/>
          <w:lang w:val="lv-LV"/>
        </w:rPr>
        <w:t xml:space="preserve">Nacionālā bāzes vērtība (2023) </w:t>
      </w:r>
      <w:r w:rsidR="00666E7D" w:rsidRPr="00550D35">
        <w:rPr>
          <w:b/>
          <w:bCs/>
          <w:szCs w:val="24"/>
          <w:lang w:val="lv-LV"/>
        </w:rPr>
        <w:t xml:space="preserve">    </w:t>
      </w:r>
      <w:r w:rsidRPr="00550D35">
        <w:rPr>
          <w:b/>
          <w:bCs/>
          <w:szCs w:val="24"/>
          <w:lang w:val="lv-LV"/>
        </w:rPr>
        <w:t>9 %; ES bāzes vērtība (2023) 14 %</w:t>
      </w:r>
    </w:p>
    <w:p w14:paraId="52CDDCF3" w14:textId="0AFF47E6" w:rsidR="00C965A3" w:rsidRPr="00550D35" w:rsidRDefault="00C965A3" w:rsidP="009C57B4">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b/>
          <w:bCs/>
          <w:szCs w:val="24"/>
          <w:lang w:val="lv-LV"/>
        </w:rPr>
      </w:pPr>
      <w:r w:rsidRPr="00550D35">
        <w:rPr>
          <w:b/>
          <w:bCs/>
          <w:szCs w:val="24"/>
          <w:lang w:val="lv-LV"/>
        </w:rPr>
        <w:t>Nacionāl</w:t>
      </w:r>
      <w:r w:rsidR="009C57B4" w:rsidRPr="00550D35">
        <w:rPr>
          <w:b/>
          <w:bCs/>
          <w:szCs w:val="24"/>
          <w:lang w:val="lv-LV"/>
        </w:rPr>
        <w:t>ais</w:t>
      </w:r>
      <w:r w:rsidRPr="00550D35">
        <w:rPr>
          <w:b/>
          <w:bCs/>
          <w:szCs w:val="24"/>
          <w:lang w:val="lv-LV"/>
        </w:rPr>
        <w:t xml:space="preserve"> </w:t>
      </w:r>
      <w:proofErr w:type="spellStart"/>
      <w:r w:rsidRPr="00550D35">
        <w:rPr>
          <w:b/>
          <w:bCs/>
          <w:szCs w:val="24"/>
          <w:lang w:val="lv-LV"/>
        </w:rPr>
        <w:t>mērķ</w:t>
      </w:r>
      <w:r w:rsidR="009C57B4" w:rsidRPr="00550D35">
        <w:rPr>
          <w:b/>
          <w:bCs/>
          <w:szCs w:val="24"/>
          <w:lang w:val="lv-LV"/>
        </w:rPr>
        <w:t>rādītājs</w:t>
      </w:r>
      <w:proofErr w:type="spellEnd"/>
      <w:r w:rsidRPr="00550D35">
        <w:rPr>
          <w:b/>
          <w:bCs/>
          <w:szCs w:val="24"/>
          <w:lang w:val="lv-LV"/>
        </w:rPr>
        <w:t xml:space="preserve"> </w:t>
      </w:r>
      <w:r w:rsidR="009C57B4" w:rsidRPr="00550D35">
        <w:rPr>
          <w:b/>
          <w:bCs/>
          <w:szCs w:val="24"/>
          <w:lang w:val="lv-LV"/>
        </w:rPr>
        <w:t>(</w:t>
      </w:r>
      <w:r w:rsidRPr="00550D35">
        <w:rPr>
          <w:b/>
          <w:bCs/>
          <w:szCs w:val="24"/>
          <w:lang w:val="lv-LV"/>
        </w:rPr>
        <w:t>2030</w:t>
      </w:r>
      <w:r w:rsidR="009C57B4" w:rsidRPr="00550D35">
        <w:rPr>
          <w:b/>
          <w:bCs/>
          <w:szCs w:val="24"/>
          <w:lang w:val="lv-LV"/>
        </w:rPr>
        <w:t>)</w:t>
      </w:r>
      <w:r w:rsidR="00746243" w:rsidRPr="00550D35">
        <w:rPr>
          <w:b/>
          <w:bCs/>
          <w:szCs w:val="24"/>
          <w:lang w:val="lv-LV"/>
        </w:rPr>
        <w:t xml:space="preserve">  </w:t>
      </w:r>
      <w:r w:rsidR="006B5D43">
        <w:rPr>
          <w:b/>
          <w:bCs/>
          <w:szCs w:val="24"/>
          <w:lang w:val="lv-LV"/>
        </w:rPr>
        <w:t>75</w:t>
      </w:r>
      <w:r w:rsidR="00746243" w:rsidRPr="00550D35">
        <w:rPr>
          <w:b/>
          <w:bCs/>
          <w:szCs w:val="24"/>
          <w:lang w:val="lv-LV"/>
        </w:rPr>
        <w:t xml:space="preserve"> </w:t>
      </w:r>
      <w:r w:rsidRPr="00550D35">
        <w:rPr>
          <w:b/>
          <w:bCs/>
          <w:szCs w:val="24"/>
          <w:lang w:val="lv-LV"/>
        </w:rPr>
        <w:t>%</w:t>
      </w:r>
      <w:r w:rsidR="009C57B4" w:rsidRPr="00550D35">
        <w:rPr>
          <w:b/>
          <w:bCs/>
          <w:szCs w:val="24"/>
          <w:lang w:val="lv-LV"/>
        </w:rPr>
        <w:t xml:space="preserve"> ES </w:t>
      </w:r>
      <w:proofErr w:type="spellStart"/>
      <w:r w:rsidR="009C57B4" w:rsidRPr="00550D35">
        <w:rPr>
          <w:b/>
          <w:bCs/>
          <w:szCs w:val="24"/>
          <w:lang w:val="lv-LV"/>
        </w:rPr>
        <w:t>mērķrādītājs</w:t>
      </w:r>
      <w:proofErr w:type="spellEnd"/>
      <w:r w:rsidR="00666E7D" w:rsidRPr="00550D35">
        <w:rPr>
          <w:b/>
          <w:bCs/>
          <w:szCs w:val="24"/>
          <w:lang w:val="lv-LV"/>
        </w:rPr>
        <w:t xml:space="preserve"> (2030) 75 %</w:t>
      </w:r>
    </w:p>
    <w:p w14:paraId="0874525C" w14:textId="41FF1E6B" w:rsidR="00B82489" w:rsidRPr="00550D35" w:rsidRDefault="00B82489" w:rsidP="009C57B4">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i/>
          <w:iCs/>
          <w:szCs w:val="24"/>
          <w:lang w:val="lv-LV"/>
        </w:rPr>
      </w:pPr>
      <w:r w:rsidRPr="00550D35">
        <w:rPr>
          <w:i/>
          <w:iCs/>
          <w:szCs w:val="24"/>
          <w:lang w:val="lv-LV"/>
        </w:rPr>
        <w:t>Avots: Digitālās dekādes 2023.gada ziņojums par Latviju</w:t>
      </w:r>
    </w:p>
    <w:p w14:paraId="3EA231C4" w14:textId="77777777" w:rsidR="00C965A3" w:rsidRPr="00550D35" w:rsidRDefault="00C965A3" w:rsidP="00C965A3">
      <w:pPr>
        <w:pStyle w:val="Text2"/>
        <w:ind w:left="0" w:firstLine="0"/>
        <w:rPr>
          <w:szCs w:val="24"/>
          <w:lang w:val="lv-LV"/>
        </w:rPr>
      </w:pPr>
    </w:p>
    <w:p w14:paraId="6F5BFDB9" w14:textId="583A5075" w:rsidR="00C965A3" w:rsidRPr="00550D35" w:rsidRDefault="00922014" w:rsidP="00C965A3">
      <w:pPr>
        <w:rPr>
          <w:lang w:val="lv-LV"/>
        </w:rPr>
      </w:pPr>
      <w:r w:rsidRPr="00550D35">
        <w:rPr>
          <w:lang w:val="lv-LV"/>
        </w:rPr>
        <w:t xml:space="preserve">Ieviešot </w:t>
      </w:r>
      <w:r w:rsidR="00AC1C10" w:rsidRPr="00550D35">
        <w:rPr>
          <w:lang w:val="lv-LV"/>
        </w:rPr>
        <w:t>EM</w:t>
      </w:r>
      <w:r w:rsidRPr="00550D35">
        <w:rPr>
          <w:lang w:val="lv-LV"/>
        </w:rPr>
        <w:t xml:space="preserve"> realizējamos</w:t>
      </w:r>
      <w:r w:rsidR="00AC1C10" w:rsidRPr="00550D35">
        <w:rPr>
          <w:lang w:val="lv-LV"/>
        </w:rPr>
        <w:t xml:space="preserve"> </w:t>
      </w:r>
      <w:r w:rsidR="00C965A3" w:rsidRPr="00550D35">
        <w:rPr>
          <w:lang w:val="lv-LV"/>
        </w:rPr>
        <w:t>atbalsta pasākum</w:t>
      </w:r>
      <w:r w:rsidRPr="00550D35">
        <w:rPr>
          <w:lang w:val="lv-LV"/>
        </w:rPr>
        <w:t>us</w:t>
      </w:r>
      <w:r w:rsidR="00C965A3" w:rsidRPr="00550D35">
        <w:rPr>
          <w:lang w:val="lv-LV"/>
        </w:rPr>
        <w:t xml:space="preserve"> paredzams, ka </w:t>
      </w:r>
      <w:r w:rsidRPr="00550D35">
        <w:rPr>
          <w:lang w:val="lv-LV"/>
        </w:rPr>
        <w:t xml:space="preserve">to uzņēmumu īpatsvars, kas izmanto lielo datu pakalpojumus </w:t>
      </w:r>
      <w:r w:rsidR="00C965A3" w:rsidRPr="00550D35">
        <w:rPr>
          <w:lang w:val="lv-LV"/>
        </w:rPr>
        <w:t>līdz 2030. gadam tiks paaugstināts līdz 1</w:t>
      </w:r>
      <w:r w:rsidR="00DE7CB3" w:rsidRPr="00550D35">
        <w:rPr>
          <w:lang w:val="lv-LV"/>
        </w:rPr>
        <w:t>6</w:t>
      </w:r>
      <w:r w:rsidR="00C965A3" w:rsidRPr="00550D35">
        <w:rPr>
          <w:lang w:val="lv-LV"/>
        </w:rPr>
        <w:t>%.</w:t>
      </w:r>
    </w:p>
    <w:p w14:paraId="37219406" w14:textId="77777777" w:rsidR="00C965A3" w:rsidRPr="00550D35" w:rsidRDefault="00C965A3" w:rsidP="00C965A3">
      <w:pPr>
        <w:rPr>
          <w:lang w:val="lv-LV"/>
        </w:rPr>
      </w:pPr>
      <w:r w:rsidRPr="00550D35">
        <w:rPr>
          <w:lang w:val="lv-LV"/>
        </w:rPr>
        <w:t xml:space="preserve">Ņemot vērā, ka Latvijas attīstības plānošanas dokumentos minētais </w:t>
      </w:r>
      <w:proofErr w:type="spellStart"/>
      <w:r w:rsidRPr="00550D35">
        <w:rPr>
          <w:lang w:val="lv-LV"/>
        </w:rPr>
        <w:t>mērķrādītājs</w:t>
      </w:r>
      <w:proofErr w:type="spellEnd"/>
      <w:r w:rsidRPr="00550D35">
        <w:rPr>
          <w:lang w:val="lv-LV"/>
        </w:rPr>
        <w:t xml:space="preserve"> nav definēts, ceļvedī Latvijai tiek sniegta provizoriska informācija par Latvijas nacionālo trajektoriju 2028.- 2030.gadam, tā tiks precizēta ceļveža pārskatīšanas gaitā.</w:t>
      </w:r>
    </w:p>
    <w:tbl>
      <w:tblPr>
        <w:tblStyle w:val="TableGrid"/>
        <w:tblW w:w="0" w:type="auto"/>
        <w:tblInd w:w="-34" w:type="dxa"/>
        <w:tblLook w:val="04A0" w:firstRow="1" w:lastRow="0" w:firstColumn="1" w:lastColumn="0" w:noHBand="0" w:noVBand="1"/>
      </w:tblPr>
      <w:tblGrid>
        <w:gridCol w:w="1970"/>
        <w:gridCol w:w="784"/>
        <w:gridCol w:w="798"/>
        <w:gridCol w:w="798"/>
        <w:gridCol w:w="784"/>
        <w:gridCol w:w="798"/>
        <w:gridCol w:w="798"/>
        <w:gridCol w:w="1911"/>
      </w:tblGrid>
      <w:tr w:rsidR="00C965A3" w:rsidRPr="00550D35" w14:paraId="3EC69EBD" w14:textId="77777777" w:rsidTr="0054219E">
        <w:tc>
          <w:tcPr>
            <w:tcW w:w="1970" w:type="dxa"/>
          </w:tcPr>
          <w:p w14:paraId="1E3880B9" w14:textId="77777777" w:rsidR="00C965A3" w:rsidRPr="00550D35" w:rsidRDefault="00C965A3" w:rsidP="0054219E">
            <w:pPr>
              <w:pStyle w:val="Text2"/>
              <w:ind w:left="0" w:firstLine="0"/>
              <w:rPr>
                <w:sz w:val="20"/>
                <w:lang w:val="lv-LV"/>
              </w:rPr>
            </w:pPr>
            <w:r w:rsidRPr="00550D35">
              <w:rPr>
                <w:sz w:val="20"/>
                <w:lang w:val="lv-LV"/>
              </w:rPr>
              <w:t>2023</w:t>
            </w:r>
          </w:p>
        </w:tc>
        <w:tc>
          <w:tcPr>
            <w:tcW w:w="784" w:type="dxa"/>
          </w:tcPr>
          <w:p w14:paraId="78AF0B2D" w14:textId="77777777" w:rsidR="00C965A3" w:rsidRPr="00550D35" w:rsidRDefault="00C965A3" w:rsidP="0054219E">
            <w:pPr>
              <w:pStyle w:val="Text2"/>
              <w:ind w:left="0" w:firstLine="0"/>
              <w:rPr>
                <w:sz w:val="20"/>
                <w:lang w:val="lv-LV"/>
              </w:rPr>
            </w:pPr>
            <w:r w:rsidRPr="00550D35">
              <w:rPr>
                <w:sz w:val="20"/>
                <w:lang w:val="lv-LV"/>
              </w:rPr>
              <w:t>2024</w:t>
            </w:r>
          </w:p>
        </w:tc>
        <w:tc>
          <w:tcPr>
            <w:tcW w:w="798" w:type="dxa"/>
          </w:tcPr>
          <w:p w14:paraId="6E4CB29C" w14:textId="77777777" w:rsidR="00C965A3" w:rsidRPr="00550D35" w:rsidRDefault="00C965A3" w:rsidP="0054219E">
            <w:pPr>
              <w:pStyle w:val="Text2"/>
              <w:ind w:left="0" w:firstLine="0"/>
              <w:rPr>
                <w:sz w:val="20"/>
                <w:lang w:val="lv-LV"/>
              </w:rPr>
            </w:pPr>
            <w:r w:rsidRPr="00550D35">
              <w:rPr>
                <w:sz w:val="20"/>
                <w:lang w:val="lv-LV"/>
              </w:rPr>
              <w:t>2025</w:t>
            </w:r>
          </w:p>
        </w:tc>
        <w:tc>
          <w:tcPr>
            <w:tcW w:w="798" w:type="dxa"/>
          </w:tcPr>
          <w:p w14:paraId="0F6CEEDB" w14:textId="77777777" w:rsidR="00C965A3" w:rsidRPr="00550D35" w:rsidRDefault="00C965A3" w:rsidP="0054219E">
            <w:pPr>
              <w:pStyle w:val="Text2"/>
              <w:ind w:left="0" w:firstLine="0"/>
              <w:rPr>
                <w:sz w:val="20"/>
                <w:lang w:val="lv-LV"/>
              </w:rPr>
            </w:pPr>
            <w:r w:rsidRPr="00550D35">
              <w:rPr>
                <w:sz w:val="20"/>
                <w:lang w:val="lv-LV"/>
              </w:rPr>
              <w:t>2026</w:t>
            </w:r>
          </w:p>
        </w:tc>
        <w:tc>
          <w:tcPr>
            <w:tcW w:w="784" w:type="dxa"/>
          </w:tcPr>
          <w:p w14:paraId="6113F57D" w14:textId="77777777" w:rsidR="00C965A3" w:rsidRPr="00550D35" w:rsidRDefault="00C965A3" w:rsidP="0054219E">
            <w:pPr>
              <w:pStyle w:val="Text2"/>
              <w:ind w:left="0" w:firstLine="0"/>
              <w:rPr>
                <w:sz w:val="20"/>
                <w:lang w:val="lv-LV"/>
              </w:rPr>
            </w:pPr>
            <w:r w:rsidRPr="00550D35">
              <w:rPr>
                <w:sz w:val="20"/>
                <w:lang w:val="lv-LV"/>
              </w:rPr>
              <w:t>2027</w:t>
            </w:r>
          </w:p>
        </w:tc>
        <w:tc>
          <w:tcPr>
            <w:tcW w:w="798" w:type="dxa"/>
          </w:tcPr>
          <w:p w14:paraId="55BDA383" w14:textId="77777777" w:rsidR="00C965A3" w:rsidRPr="00550D35" w:rsidRDefault="00C965A3" w:rsidP="0054219E">
            <w:pPr>
              <w:pStyle w:val="Text2"/>
              <w:ind w:left="0" w:firstLine="0"/>
              <w:rPr>
                <w:sz w:val="20"/>
                <w:lang w:val="lv-LV"/>
              </w:rPr>
            </w:pPr>
            <w:r w:rsidRPr="00550D35">
              <w:rPr>
                <w:sz w:val="20"/>
                <w:lang w:val="lv-LV"/>
              </w:rPr>
              <w:t>2028</w:t>
            </w:r>
          </w:p>
        </w:tc>
        <w:tc>
          <w:tcPr>
            <w:tcW w:w="798" w:type="dxa"/>
          </w:tcPr>
          <w:p w14:paraId="6736B007" w14:textId="77777777" w:rsidR="00C965A3" w:rsidRPr="00550D35" w:rsidRDefault="00C965A3" w:rsidP="0054219E">
            <w:pPr>
              <w:pStyle w:val="Text2"/>
              <w:ind w:left="0" w:firstLine="0"/>
              <w:rPr>
                <w:sz w:val="20"/>
                <w:lang w:val="lv-LV"/>
              </w:rPr>
            </w:pPr>
            <w:r w:rsidRPr="00550D35">
              <w:rPr>
                <w:sz w:val="20"/>
                <w:lang w:val="lv-LV"/>
              </w:rPr>
              <w:t>2029</w:t>
            </w:r>
          </w:p>
        </w:tc>
        <w:tc>
          <w:tcPr>
            <w:tcW w:w="1911" w:type="dxa"/>
          </w:tcPr>
          <w:p w14:paraId="380BFBC6" w14:textId="77777777" w:rsidR="00C965A3" w:rsidRPr="00550D35" w:rsidRDefault="00C965A3" w:rsidP="0054219E">
            <w:pPr>
              <w:pStyle w:val="Text2"/>
              <w:ind w:left="0" w:firstLine="0"/>
              <w:rPr>
                <w:sz w:val="20"/>
                <w:lang w:val="lv-LV"/>
              </w:rPr>
            </w:pPr>
            <w:r w:rsidRPr="00550D35">
              <w:rPr>
                <w:sz w:val="20"/>
                <w:lang w:val="lv-LV"/>
              </w:rPr>
              <w:t>2030</w:t>
            </w:r>
          </w:p>
        </w:tc>
      </w:tr>
      <w:tr w:rsidR="0035238E" w:rsidRPr="00550D35" w14:paraId="5743BD18" w14:textId="77777777" w:rsidTr="00B0728D">
        <w:tc>
          <w:tcPr>
            <w:tcW w:w="1970" w:type="dxa"/>
            <w:shd w:val="clear" w:color="auto" w:fill="auto"/>
          </w:tcPr>
          <w:p w14:paraId="64C4A142" w14:textId="77777777" w:rsidR="0035238E" w:rsidRPr="00550D35" w:rsidRDefault="0035238E" w:rsidP="0035238E">
            <w:pPr>
              <w:pStyle w:val="Text2"/>
              <w:ind w:left="0" w:firstLine="0"/>
              <w:rPr>
                <w:sz w:val="20"/>
                <w:lang w:val="lv-LV"/>
              </w:rPr>
            </w:pPr>
            <w:r w:rsidRPr="00550D35">
              <w:rPr>
                <w:sz w:val="20"/>
                <w:lang w:val="lv-LV"/>
              </w:rPr>
              <w:t>9,0%</w:t>
            </w:r>
          </w:p>
        </w:tc>
        <w:tc>
          <w:tcPr>
            <w:tcW w:w="784" w:type="dxa"/>
            <w:shd w:val="clear" w:color="auto" w:fill="auto"/>
          </w:tcPr>
          <w:p w14:paraId="666B50B1" w14:textId="0F202893" w:rsidR="0035238E" w:rsidRPr="00550D35" w:rsidRDefault="0035238E" w:rsidP="0035238E">
            <w:pPr>
              <w:pStyle w:val="Text2"/>
              <w:ind w:left="0" w:firstLine="0"/>
              <w:rPr>
                <w:sz w:val="20"/>
                <w:lang w:val="lv-LV"/>
              </w:rPr>
            </w:pPr>
            <w:r w:rsidRPr="00550D35">
              <w:rPr>
                <w:sz w:val="20"/>
                <w:lang w:val="lv-LV"/>
              </w:rPr>
              <w:t>1</w:t>
            </w:r>
            <w:r>
              <w:rPr>
                <w:sz w:val="20"/>
                <w:lang w:val="lv-LV"/>
              </w:rPr>
              <w:t>9</w:t>
            </w:r>
            <w:r w:rsidRPr="00550D35">
              <w:rPr>
                <w:sz w:val="20"/>
                <w:lang w:val="lv-LV"/>
              </w:rPr>
              <w:t>,0%</w:t>
            </w:r>
          </w:p>
        </w:tc>
        <w:tc>
          <w:tcPr>
            <w:tcW w:w="798" w:type="dxa"/>
            <w:shd w:val="clear" w:color="auto" w:fill="auto"/>
          </w:tcPr>
          <w:p w14:paraId="3E038FD6" w14:textId="5FC15709" w:rsidR="0035238E" w:rsidRPr="00550D35" w:rsidRDefault="0035238E" w:rsidP="0035238E">
            <w:pPr>
              <w:pStyle w:val="Text2"/>
              <w:ind w:left="0" w:firstLine="0"/>
              <w:rPr>
                <w:sz w:val="20"/>
                <w:lang w:val="lv-LV"/>
              </w:rPr>
            </w:pPr>
            <w:r>
              <w:rPr>
                <w:sz w:val="20"/>
                <w:lang w:val="lv-LV"/>
              </w:rPr>
              <w:t>29</w:t>
            </w:r>
            <w:r w:rsidRPr="00550D35">
              <w:rPr>
                <w:sz w:val="20"/>
                <w:lang w:val="lv-LV"/>
              </w:rPr>
              <w:t>,0%</w:t>
            </w:r>
          </w:p>
        </w:tc>
        <w:tc>
          <w:tcPr>
            <w:tcW w:w="798" w:type="dxa"/>
            <w:shd w:val="clear" w:color="auto" w:fill="auto"/>
          </w:tcPr>
          <w:p w14:paraId="29B1D00C" w14:textId="1734CC20" w:rsidR="0035238E" w:rsidRPr="00550D35" w:rsidRDefault="0035238E" w:rsidP="0035238E">
            <w:pPr>
              <w:pStyle w:val="Text2"/>
              <w:ind w:left="0" w:firstLine="0"/>
              <w:rPr>
                <w:sz w:val="20"/>
                <w:lang w:val="lv-LV"/>
              </w:rPr>
            </w:pPr>
            <w:r>
              <w:rPr>
                <w:sz w:val="20"/>
                <w:lang w:val="lv-LV"/>
              </w:rPr>
              <w:t>38</w:t>
            </w:r>
            <w:r w:rsidRPr="00550D35">
              <w:rPr>
                <w:sz w:val="20"/>
                <w:lang w:val="lv-LV"/>
              </w:rPr>
              <w:t>,0%</w:t>
            </w:r>
          </w:p>
        </w:tc>
        <w:tc>
          <w:tcPr>
            <w:tcW w:w="784" w:type="dxa"/>
            <w:shd w:val="clear" w:color="auto" w:fill="auto"/>
          </w:tcPr>
          <w:p w14:paraId="258724E4" w14:textId="5F87AD4F" w:rsidR="0035238E" w:rsidRPr="00550D35" w:rsidRDefault="0035238E" w:rsidP="0035238E">
            <w:pPr>
              <w:pStyle w:val="Text2"/>
              <w:ind w:left="0" w:firstLine="0"/>
              <w:rPr>
                <w:sz w:val="20"/>
                <w:lang w:val="lv-LV"/>
              </w:rPr>
            </w:pPr>
            <w:r>
              <w:rPr>
                <w:sz w:val="20"/>
                <w:lang w:val="lv-LV"/>
              </w:rPr>
              <w:t>47</w:t>
            </w:r>
            <w:r w:rsidRPr="00550D35">
              <w:rPr>
                <w:sz w:val="20"/>
                <w:lang w:val="lv-LV"/>
              </w:rPr>
              <w:t>,0%</w:t>
            </w:r>
          </w:p>
        </w:tc>
        <w:tc>
          <w:tcPr>
            <w:tcW w:w="798" w:type="dxa"/>
            <w:shd w:val="clear" w:color="auto" w:fill="auto"/>
          </w:tcPr>
          <w:p w14:paraId="4C9F1213" w14:textId="731086B0" w:rsidR="0035238E" w:rsidRPr="00550D35" w:rsidRDefault="0035238E" w:rsidP="0035238E">
            <w:pPr>
              <w:pStyle w:val="Text2"/>
              <w:ind w:left="0" w:firstLine="0"/>
              <w:rPr>
                <w:sz w:val="20"/>
                <w:lang w:val="lv-LV"/>
              </w:rPr>
            </w:pPr>
            <w:r>
              <w:rPr>
                <w:sz w:val="20"/>
                <w:lang w:val="lv-LV"/>
              </w:rPr>
              <w:t>56,5</w:t>
            </w:r>
            <w:r w:rsidRPr="00550D35">
              <w:rPr>
                <w:sz w:val="20"/>
                <w:lang w:val="lv-LV"/>
              </w:rPr>
              <w:t>%</w:t>
            </w:r>
          </w:p>
        </w:tc>
        <w:tc>
          <w:tcPr>
            <w:tcW w:w="798" w:type="dxa"/>
            <w:shd w:val="clear" w:color="auto" w:fill="auto"/>
          </w:tcPr>
          <w:p w14:paraId="0D85352D" w14:textId="5C0C09B8" w:rsidR="0035238E" w:rsidRPr="00550D35" w:rsidRDefault="0035238E" w:rsidP="0035238E">
            <w:pPr>
              <w:pStyle w:val="Text2"/>
              <w:ind w:left="0" w:firstLine="0"/>
              <w:rPr>
                <w:sz w:val="20"/>
                <w:lang w:val="lv-LV"/>
              </w:rPr>
            </w:pPr>
            <w:r>
              <w:rPr>
                <w:sz w:val="20"/>
                <w:lang w:val="lv-LV"/>
              </w:rPr>
              <w:t>66</w:t>
            </w:r>
            <w:r w:rsidRPr="00550D35">
              <w:rPr>
                <w:sz w:val="20"/>
                <w:lang w:val="lv-LV"/>
              </w:rPr>
              <w:t>,0%</w:t>
            </w:r>
          </w:p>
        </w:tc>
        <w:tc>
          <w:tcPr>
            <w:tcW w:w="1911" w:type="dxa"/>
            <w:shd w:val="clear" w:color="auto" w:fill="auto"/>
          </w:tcPr>
          <w:p w14:paraId="4A55C3C2" w14:textId="7FCE10D9" w:rsidR="0035238E" w:rsidRPr="00550D35" w:rsidRDefault="0035238E" w:rsidP="0035238E">
            <w:pPr>
              <w:pStyle w:val="Text2"/>
              <w:ind w:left="0" w:firstLine="0"/>
              <w:rPr>
                <w:sz w:val="20"/>
                <w:lang w:val="lv-LV"/>
              </w:rPr>
            </w:pPr>
            <w:r>
              <w:rPr>
                <w:sz w:val="20"/>
                <w:lang w:val="lv-LV"/>
              </w:rPr>
              <w:t>75</w:t>
            </w:r>
            <w:r w:rsidRPr="00550D35">
              <w:rPr>
                <w:sz w:val="20"/>
                <w:lang w:val="lv-LV"/>
              </w:rPr>
              <w:t>%</w:t>
            </w:r>
            <w:r w:rsidRPr="00550D35">
              <w:rPr>
                <w:sz w:val="20"/>
                <w:lang w:val="lv-LV"/>
              </w:rPr>
              <w:br/>
              <w:t>(ES mērķis 75%)</w:t>
            </w:r>
          </w:p>
        </w:tc>
      </w:tr>
    </w:tbl>
    <w:p w14:paraId="2AC61C7E" w14:textId="77777777" w:rsidR="001D363E" w:rsidRPr="00550D35" w:rsidRDefault="001D363E" w:rsidP="001D363E">
      <w:pPr>
        <w:pStyle w:val="Heading2"/>
        <w:rPr>
          <w:lang w:val="lv-LV"/>
        </w:rPr>
      </w:pPr>
      <w:r w:rsidRPr="00550D35">
        <w:rPr>
          <w:lang w:val="lv-LV"/>
        </w:rPr>
        <w:t xml:space="preserve">Politika, pasākumi un darbības digitālā </w:t>
      </w:r>
      <w:proofErr w:type="spellStart"/>
      <w:r w:rsidRPr="00550D35">
        <w:rPr>
          <w:lang w:val="lv-LV"/>
        </w:rPr>
        <w:t>mērķrādītāja</w:t>
      </w:r>
      <w:proofErr w:type="spellEnd"/>
      <w:r w:rsidRPr="00550D35">
        <w:rPr>
          <w:lang w:val="lv-LV"/>
        </w:rPr>
        <w:t xml:space="preserve"> sasniegšanai </w:t>
      </w:r>
    </w:p>
    <w:p w14:paraId="0D3FDA81" w14:textId="77777777" w:rsidR="001D363E" w:rsidRPr="00550D35" w:rsidRDefault="001D363E" w:rsidP="001D363E">
      <w:pPr>
        <w:pStyle w:val="Heading3"/>
        <w:ind w:left="0" w:firstLine="0"/>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05D4DDA6" w14:textId="77777777" w:rsidR="001D363E" w:rsidRDefault="001D363E" w:rsidP="001D363E">
      <w:pPr>
        <w:spacing w:before="0" w:after="160" w:line="259" w:lineRule="auto"/>
        <w:ind w:firstLine="0"/>
        <w:contextualSpacing/>
        <w:jc w:val="left"/>
        <w:rPr>
          <w:b/>
          <w:bCs/>
          <w:lang w:val="lv-LV"/>
        </w:rPr>
      </w:pPr>
    </w:p>
    <w:p w14:paraId="65AE3A56" w14:textId="3132D2FC" w:rsidR="001D363E" w:rsidRPr="00835F16" w:rsidRDefault="001D363E" w:rsidP="001D363E">
      <w:pPr>
        <w:spacing w:before="0" w:after="160" w:line="259" w:lineRule="auto"/>
        <w:contextualSpacing/>
        <w:jc w:val="left"/>
        <w:rPr>
          <w:b/>
          <w:bCs/>
          <w:lang w:val="lv-LV"/>
        </w:rPr>
      </w:pPr>
      <w:r w:rsidRPr="00835F16">
        <w:rPr>
          <w:b/>
          <w:bCs/>
          <w:lang w:val="lv-LV"/>
        </w:rPr>
        <w:t>Kopējais laika ietvars:</w:t>
      </w:r>
    </w:p>
    <w:tbl>
      <w:tblPr>
        <w:tblStyle w:val="TableGrid"/>
        <w:tblW w:w="5000" w:type="pct"/>
        <w:tblLook w:val="04A0" w:firstRow="1" w:lastRow="0" w:firstColumn="1" w:lastColumn="0" w:noHBand="0" w:noVBand="1"/>
      </w:tblPr>
      <w:tblGrid>
        <w:gridCol w:w="2061"/>
        <w:gridCol w:w="1135"/>
        <w:gridCol w:w="813"/>
        <w:gridCol w:w="675"/>
        <w:gridCol w:w="675"/>
        <w:gridCol w:w="804"/>
        <w:gridCol w:w="676"/>
        <w:gridCol w:w="1093"/>
        <w:gridCol w:w="675"/>
      </w:tblGrid>
      <w:tr w:rsidR="001D363E" w:rsidRPr="00550D35" w14:paraId="4721CD85" w14:textId="77777777" w:rsidTr="00BA62A0">
        <w:tc>
          <w:tcPr>
            <w:tcW w:w="1185" w:type="pct"/>
            <w:shd w:val="clear" w:color="auto" w:fill="auto"/>
          </w:tcPr>
          <w:p w14:paraId="6800ED46" w14:textId="77777777" w:rsidR="001D363E" w:rsidRPr="00550D35" w:rsidRDefault="001D363E" w:rsidP="00BA62A0">
            <w:pPr>
              <w:spacing w:before="0" w:after="0"/>
              <w:ind w:firstLine="0"/>
              <w:jc w:val="left"/>
              <w:rPr>
                <w:sz w:val="20"/>
                <w:lang w:val="lv-LV"/>
              </w:rPr>
            </w:pPr>
          </w:p>
        </w:tc>
        <w:tc>
          <w:tcPr>
            <w:tcW w:w="661" w:type="pct"/>
          </w:tcPr>
          <w:p w14:paraId="069B9630" w14:textId="77777777" w:rsidR="001D363E" w:rsidRPr="00550D35" w:rsidRDefault="001D363E" w:rsidP="00BA62A0">
            <w:pPr>
              <w:spacing w:before="0" w:after="0"/>
              <w:ind w:firstLine="0"/>
              <w:rPr>
                <w:sz w:val="20"/>
                <w:lang w:val="lv-LV"/>
              </w:rPr>
            </w:pPr>
            <w:r w:rsidRPr="00550D35">
              <w:rPr>
                <w:sz w:val="20"/>
                <w:lang w:val="lv-LV"/>
              </w:rPr>
              <w:t>2023</w:t>
            </w:r>
          </w:p>
        </w:tc>
        <w:tc>
          <w:tcPr>
            <w:tcW w:w="474" w:type="pct"/>
          </w:tcPr>
          <w:p w14:paraId="19DD574D" w14:textId="77777777" w:rsidR="001D363E" w:rsidRPr="00550D35" w:rsidRDefault="001D363E" w:rsidP="00BA62A0">
            <w:pPr>
              <w:spacing w:before="0" w:after="0"/>
              <w:ind w:firstLine="0"/>
              <w:rPr>
                <w:sz w:val="20"/>
                <w:lang w:val="lv-LV"/>
              </w:rPr>
            </w:pPr>
            <w:r w:rsidRPr="00550D35">
              <w:rPr>
                <w:sz w:val="20"/>
                <w:lang w:val="lv-LV"/>
              </w:rPr>
              <w:t>2024</w:t>
            </w:r>
          </w:p>
        </w:tc>
        <w:tc>
          <w:tcPr>
            <w:tcW w:w="394" w:type="pct"/>
          </w:tcPr>
          <w:p w14:paraId="5B6AF0B9" w14:textId="77777777" w:rsidR="001D363E" w:rsidRPr="00550D35" w:rsidRDefault="001D363E" w:rsidP="00BA62A0">
            <w:pPr>
              <w:spacing w:before="0" w:after="0"/>
              <w:ind w:firstLine="0"/>
              <w:rPr>
                <w:sz w:val="20"/>
                <w:lang w:val="lv-LV"/>
              </w:rPr>
            </w:pPr>
            <w:r w:rsidRPr="00550D35">
              <w:rPr>
                <w:sz w:val="20"/>
                <w:lang w:val="lv-LV"/>
              </w:rPr>
              <w:t>2025</w:t>
            </w:r>
          </w:p>
        </w:tc>
        <w:tc>
          <w:tcPr>
            <w:tcW w:w="394" w:type="pct"/>
          </w:tcPr>
          <w:p w14:paraId="30A1DB8D" w14:textId="77777777" w:rsidR="001D363E" w:rsidRPr="00550D35" w:rsidRDefault="001D363E" w:rsidP="00BA62A0">
            <w:pPr>
              <w:spacing w:before="0" w:after="0"/>
              <w:ind w:firstLine="0"/>
              <w:rPr>
                <w:sz w:val="20"/>
                <w:lang w:val="lv-LV"/>
              </w:rPr>
            </w:pPr>
            <w:r w:rsidRPr="00550D35">
              <w:rPr>
                <w:sz w:val="20"/>
                <w:lang w:val="lv-LV"/>
              </w:rPr>
              <w:t>2026</w:t>
            </w:r>
          </w:p>
        </w:tc>
        <w:tc>
          <w:tcPr>
            <w:tcW w:w="469" w:type="pct"/>
          </w:tcPr>
          <w:p w14:paraId="4C706ABE" w14:textId="77777777" w:rsidR="001D363E" w:rsidRPr="00550D35" w:rsidRDefault="001D363E" w:rsidP="00BA62A0">
            <w:pPr>
              <w:spacing w:before="0" w:after="0"/>
              <w:ind w:firstLine="0"/>
              <w:rPr>
                <w:sz w:val="20"/>
                <w:lang w:val="lv-LV"/>
              </w:rPr>
            </w:pPr>
            <w:r w:rsidRPr="00550D35">
              <w:rPr>
                <w:sz w:val="20"/>
                <w:lang w:val="lv-LV"/>
              </w:rPr>
              <w:t>2027</w:t>
            </w:r>
          </w:p>
        </w:tc>
        <w:tc>
          <w:tcPr>
            <w:tcW w:w="394" w:type="pct"/>
          </w:tcPr>
          <w:p w14:paraId="0FBBCF8C" w14:textId="77777777" w:rsidR="001D363E" w:rsidRPr="00550D35" w:rsidRDefault="001D363E" w:rsidP="00BA62A0">
            <w:pPr>
              <w:spacing w:before="0" w:after="0"/>
              <w:ind w:firstLine="0"/>
              <w:rPr>
                <w:sz w:val="20"/>
                <w:lang w:val="lv-LV"/>
              </w:rPr>
            </w:pPr>
            <w:r w:rsidRPr="00550D35">
              <w:rPr>
                <w:sz w:val="20"/>
                <w:lang w:val="lv-LV"/>
              </w:rPr>
              <w:t>2028</w:t>
            </w:r>
          </w:p>
        </w:tc>
        <w:tc>
          <w:tcPr>
            <w:tcW w:w="636" w:type="pct"/>
          </w:tcPr>
          <w:p w14:paraId="3315DD24" w14:textId="77777777" w:rsidR="001D363E" w:rsidRPr="00550D35" w:rsidRDefault="001D363E" w:rsidP="00BA62A0">
            <w:pPr>
              <w:spacing w:before="0" w:after="0"/>
              <w:ind w:firstLine="0"/>
              <w:rPr>
                <w:sz w:val="20"/>
                <w:lang w:val="lv-LV"/>
              </w:rPr>
            </w:pPr>
            <w:r w:rsidRPr="00550D35">
              <w:rPr>
                <w:sz w:val="20"/>
                <w:lang w:val="lv-LV"/>
              </w:rPr>
              <w:t>2029</w:t>
            </w:r>
          </w:p>
        </w:tc>
        <w:tc>
          <w:tcPr>
            <w:tcW w:w="393" w:type="pct"/>
          </w:tcPr>
          <w:p w14:paraId="68D17927" w14:textId="77777777" w:rsidR="001D363E" w:rsidRPr="00550D35" w:rsidRDefault="001D363E" w:rsidP="00BA62A0">
            <w:pPr>
              <w:spacing w:before="0" w:after="0"/>
              <w:ind w:firstLine="0"/>
              <w:rPr>
                <w:sz w:val="20"/>
                <w:lang w:val="lv-LV"/>
              </w:rPr>
            </w:pPr>
            <w:r w:rsidRPr="00550D35">
              <w:rPr>
                <w:sz w:val="20"/>
                <w:lang w:val="lv-LV"/>
              </w:rPr>
              <w:t>2030</w:t>
            </w:r>
          </w:p>
        </w:tc>
      </w:tr>
      <w:tr w:rsidR="001D363E" w:rsidRPr="00550D35" w14:paraId="156BC33F" w14:textId="77777777" w:rsidTr="00BA62A0">
        <w:tc>
          <w:tcPr>
            <w:tcW w:w="5000" w:type="pct"/>
            <w:gridSpan w:val="9"/>
            <w:shd w:val="clear" w:color="auto" w:fill="BFBFBF" w:themeFill="background1" w:themeFillShade="BF"/>
          </w:tcPr>
          <w:p w14:paraId="76D646EC" w14:textId="77777777" w:rsidR="001D363E" w:rsidRPr="00550D35" w:rsidRDefault="001D363E" w:rsidP="00BA62A0">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1D363E" w:rsidRPr="003B2E9A" w14:paraId="7354A123" w14:textId="77777777" w:rsidTr="00BA62A0">
        <w:tc>
          <w:tcPr>
            <w:tcW w:w="1185" w:type="pct"/>
          </w:tcPr>
          <w:p w14:paraId="622E16EF" w14:textId="77777777" w:rsidR="001D363E" w:rsidRPr="00550D35" w:rsidRDefault="001D363E" w:rsidP="00BA62A0">
            <w:pPr>
              <w:ind w:firstLine="0"/>
              <w:jc w:val="left"/>
              <w:rPr>
                <w:sz w:val="20"/>
                <w:lang w:val="lv-LV"/>
              </w:rPr>
            </w:pPr>
            <w:r w:rsidRPr="00550D35">
              <w:rPr>
                <w:sz w:val="20"/>
                <w:lang w:val="lv-LV"/>
              </w:rPr>
              <w:t xml:space="preserve">Pasākums Nr.1 </w:t>
            </w:r>
          </w:p>
          <w:p w14:paraId="1D32C0DE" w14:textId="77777777" w:rsidR="001D363E" w:rsidRPr="005E1635" w:rsidRDefault="001D363E" w:rsidP="00BA62A0">
            <w:pPr>
              <w:shd w:val="clear" w:color="auto" w:fill="FFFFFF" w:themeFill="background1"/>
              <w:spacing w:before="0"/>
              <w:ind w:firstLine="22"/>
              <w:rPr>
                <w:b/>
                <w:bCs/>
                <w:noProof/>
                <w:sz w:val="20"/>
                <w:lang w:val="lv-LV"/>
              </w:rPr>
            </w:pPr>
            <w:r w:rsidRPr="005E1635">
              <w:rPr>
                <w:b/>
                <w:bCs/>
                <w:noProof/>
                <w:sz w:val="20"/>
                <w:lang w:val="lv-LV"/>
              </w:rPr>
              <w:t>“Atbalsts Digitālo inovāciju centru un reģionālo kontaktpunktu izveidei”</w:t>
            </w:r>
          </w:p>
          <w:p w14:paraId="3F1DC9A8" w14:textId="77777777" w:rsidR="001D363E" w:rsidRPr="00501DF4" w:rsidRDefault="001D363E" w:rsidP="00BA62A0">
            <w:pPr>
              <w:shd w:val="clear" w:color="auto" w:fill="FFFFFF" w:themeFill="background1"/>
              <w:spacing w:before="0"/>
              <w:ind w:firstLine="22"/>
              <w:rPr>
                <w:noProof/>
                <w:sz w:val="20"/>
                <w:lang w:val="lv-LV"/>
              </w:rPr>
            </w:pPr>
            <w:r w:rsidRPr="0084229A">
              <w:rPr>
                <w:sz w:val="20"/>
                <w:shd w:val="clear" w:color="auto" w:fill="FFFFFF" w:themeFill="background1"/>
                <w:lang w:val="lv-LV"/>
              </w:rPr>
              <w:t>Finansējuma avots:</w:t>
            </w:r>
            <w:r w:rsidRPr="00501DF4">
              <w:rPr>
                <w:sz w:val="20"/>
                <w:lang w:val="lv-LV"/>
              </w:rPr>
              <w:t xml:space="preserve"> </w:t>
            </w:r>
            <w:r w:rsidRPr="00501DF4">
              <w:rPr>
                <w:noProof/>
                <w:sz w:val="20"/>
                <w:lang w:val="lv-LV"/>
              </w:rPr>
              <w:t>ANM plāna investīcija 2.2.1.1.i.</w:t>
            </w:r>
          </w:p>
          <w:p w14:paraId="74CE1708" w14:textId="77777777" w:rsidR="001D363E" w:rsidRPr="00550D35" w:rsidRDefault="001D363E" w:rsidP="00BA62A0">
            <w:pPr>
              <w:spacing w:before="0"/>
              <w:ind w:firstLine="22"/>
              <w:rPr>
                <w:noProof/>
                <w:sz w:val="20"/>
                <w:lang w:val="lv-LV"/>
              </w:rPr>
            </w:pPr>
            <w:r>
              <w:rPr>
                <w:noProof/>
                <w:sz w:val="20"/>
                <w:lang w:val="lv-LV"/>
              </w:rPr>
              <w:t>un</w:t>
            </w:r>
          </w:p>
          <w:p w14:paraId="2156886B" w14:textId="42676B0D" w:rsidR="001D363E" w:rsidRPr="0084229A" w:rsidRDefault="001D363E" w:rsidP="00BA62A0">
            <w:pPr>
              <w:ind w:firstLine="0"/>
              <w:rPr>
                <w:noProof/>
                <w:sz w:val="20"/>
                <w:lang w:val="lv-LV"/>
              </w:rPr>
            </w:pPr>
            <w:r w:rsidRPr="005E1635">
              <w:rPr>
                <w:b/>
                <w:bCs/>
                <w:noProof/>
                <w:sz w:val="20"/>
                <w:lang w:val="lv-LV"/>
              </w:rPr>
              <w:t xml:space="preserve"> “Atbalsts procesu digitalizācijai komercdarbībā”</w:t>
            </w:r>
            <w:r w:rsidRPr="00550D35">
              <w:rPr>
                <w:noProof/>
                <w:sz w:val="20"/>
                <w:lang w:val="lv-LV"/>
              </w:rPr>
              <w:t xml:space="preserve"> </w:t>
            </w:r>
            <w:r w:rsidRPr="00317908">
              <w:rPr>
                <w:sz w:val="20"/>
                <w:shd w:val="clear" w:color="auto" w:fill="FFFFFF" w:themeFill="background1"/>
                <w:lang w:val="lv-LV"/>
              </w:rPr>
              <w:t>Finansējuma avots:</w:t>
            </w:r>
            <w:r w:rsidRPr="00501DF4">
              <w:rPr>
                <w:sz w:val="20"/>
                <w:shd w:val="clear" w:color="auto" w:fill="FFFFFF" w:themeFill="background1"/>
                <w:lang w:val="lv-LV"/>
              </w:rPr>
              <w:t xml:space="preserve"> </w:t>
            </w:r>
            <w:r w:rsidRPr="00E65F69">
              <w:rPr>
                <w:noProof/>
                <w:sz w:val="20"/>
                <w:shd w:val="clear" w:color="auto" w:fill="FFFFFF" w:themeFill="background1"/>
                <w:lang w:val="lv-LV"/>
              </w:rPr>
              <w:t>ERAF</w:t>
            </w:r>
            <w:r>
              <w:rPr>
                <w:noProof/>
                <w:sz w:val="20"/>
                <w:shd w:val="clear" w:color="auto" w:fill="FFFFFF" w:themeFill="background1"/>
                <w:lang w:val="lv-LV"/>
              </w:rPr>
              <w:t xml:space="preserve"> </w:t>
            </w:r>
            <w:r w:rsidRPr="00E65F69">
              <w:rPr>
                <w:noProof/>
                <w:sz w:val="20"/>
                <w:shd w:val="clear" w:color="auto" w:fill="FFFFFF" w:themeFill="background1"/>
                <w:lang w:val="lv-LV"/>
              </w:rPr>
              <w:t xml:space="preserve"> 1.2.2.1.</w:t>
            </w:r>
            <w:r w:rsidR="005045C7">
              <w:rPr>
                <w:noProof/>
                <w:sz w:val="20"/>
                <w:shd w:val="clear" w:color="auto" w:fill="FFFFFF" w:themeFill="background1"/>
                <w:lang w:val="lv-LV"/>
              </w:rPr>
              <w:t>pasākums</w:t>
            </w:r>
          </w:p>
        </w:tc>
        <w:tc>
          <w:tcPr>
            <w:tcW w:w="661" w:type="pct"/>
            <w:shd w:val="clear" w:color="auto" w:fill="70AD47" w:themeFill="accent6"/>
          </w:tcPr>
          <w:p w14:paraId="0FBC23C0" w14:textId="77777777" w:rsidR="001D363E" w:rsidRPr="00550D35" w:rsidRDefault="001D363E" w:rsidP="00BA62A0">
            <w:pPr>
              <w:spacing w:before="0" w:after="0"/>
              <w:rPr>
                <w:sz w:val="20"/>
                <w:lang w:val="lv-LV"/>
              </w:rPr>
            </w:pPr>
          </w:p>
        </w:tc>
        <w:tc>
          <w:tcPr>
            <w:tcW w:w="474" w:type="pct"/>
            <w:shd w:val="clear" w:color="auto" w:fill="70AD47" w:themeFill="accent6"/>
          </w:tcPr>
          <w:p w14:paraId="3FB43D0A" w14:textId="77777777" w:rsidR="001D363E" w:rsidRPr="00550D35" w:rsidRDefault="001D363E" w:rsidP="00BA62A0">
            <w:pPr>
              <w:spacing w:before="0" w:after="0"/>
              <w:rPr>
                <w:sz w:val="20"/>
                <w:lang w:val="lv-LV"/>
              </w:rPr>
            </w:pPr>
          </w:p>
        </w:tc>
        <w:tc>
          <w:tcPr>
            <w:tcW w:w="394" w:type="pct"/>
            <w:shd w:val="clear" w:color="auto" w:fill="70AD47" w:themeFill="accent6"/>
          </w:tcPr>
          <w:p w14:paraId="00967CA2" w14:textId="77777777" w:rsidR="001D363E" w:rsidRPr="00550D35" w:rsidRDefault="001D363E" w:rsidP="00BA62A0">
            <w:pPr>
              <w:spacing w:before="0" w:after="0"/>
              <w:rPr>
                <w:sz w:val="20"/>
                <w:lang w:val="lv-LV"/>
              </w:rPr>
            </w:pPr>
          </w:p>
        </w:tc>
        <w:tc>
          <w:tcPr>
            <w:tcW w:w="394" w:type="pct"/>
            <w:shd w:val="clear" w:color="auto" w:fill="70AD47" w:themeFill="accent6"/>
          </w:tcPr>
          <w:p w14:paraId="2837F7B8" w14:textId="77777777" w:rsidR="001D363E" w:rsidRPr="00550D35" w:rsidRDefault="001D363E" w:rsidP="00BA62A0">
            <w:pPr>
              <w:spacing w:before="0" w:after="0"/>
              <w:rPr>
                <w:sz w:val="20"/>
                <w:lang w:val="lv-LV"/>
              </w:rPr>
            </w:pPr>
          </w:p>
        </w:tc>
        <w:tc>
          <w:tcPr>
            <w:tcW w:w="469" w:type="pct"/>
            <w:shd w:val="clear" w:color="auto" w:fill="70AD47" w:themeFill="accent6"/>
          </w:tcPr>
          <w:p w14:paraId="06270F69" w14:textId="77777777" w:rsidR="001D363E" w:rsidRPr="00550D35" w:rsidRDefault="001D363E" w:rsidP="00BA62A0">
            <w:pPr>
              <w:spacing w:before="0" w:after="0"/>
              <w:rPr>
                <w:sz w:val="20"/>
                <w:lang w:val="lv-LV"/>
              </w:rPr>
            </w:pPr>
          </w:p>
        </w:tc>
        <w:tc>
          <w:tcPr>
            <w:tcW w:w="394" w:type="pct"/>
            <w:shd w:val="clear" w:color="auto" w:fill="70AD47" w:themeFill="accent6"/>
          </w:tcPr>
          <w:p w14:paraId="2386EBA7" w14:textId="77777777" w:rsidR="001D363E" w:rsidRPr="00550D35" w:rsidRDefault="001D363E" w:rsidP="00BA62A0">
            <w:pPr>
              <w:spacing w:before="0" w:after="0"/>
              <w:rPr>
                <w:sz w:val="20"/>
                <w:lang w:val="lv-LV"/>
              </w:rPr>
            </w:pPr>
          </w:p>
        </w:tc>
        <w:tc>
          <w:tcPr>
            <w:tcW w:w="636" w:type="pct"/>
            <w:shd w:val="clear" w:color="auto" w:fill="70AD47" w:themeFill="accent6"/>
          </w:tcPr>
          <w:p w14:paraId="0A0B1FDA" w14:textId="77777777" w:rsidR="001D363E" w:rsidRPr="00550D35" w:rsidRDefault="001D363E" w:rsidP="00BA62A0">
            <w:pPr>
              <w:spacing w:before="0" w:after="0"/>
              <w:rPr>
                <w:sz w:val="20"/>
                <w:lang w:val="lv-LV"/>
              </w:rPr>
            </w:pPr>
          </w:p>
        </w:tc>
        <w:tc>
          <w:tcPr>
            <w:tcW w:w="393" w:type="pct"/>
          </w:tcPr>
          <w:p w14:paraId="67D1B689" w14:textId="77777777" w:rsidR="001D363E" w:rsidRPr="00550D35" w:rsidRDefault="001D363E" w:rsidP="00BA62A0">
            <w:pPr>
              <w:spacing w:before="0" w:after="0"/>
              <w:rPr>
                <w:sz w:val="20"/>
                <w:lang w:val="lv-LV"/>
              </w:rPr>
            </w:pPr>
          </w:p>
        </w:tc>
      </w:tr>
      <w:tr w:rsidR="001D363E" w:rsidRPr="0051183C" w14:paraId="564D32D8" w14:textId="77777777" w:rsidTr="00BA62A0">
        <w:tc>
          <w:tcPr>
            <w:tcW w:w="1185" w:type="pct"/>
          </w:tcPr>
          <w:p w14:paraId="10B6AB83" w14:textId="77777777" w:rsidR="001D363E" w:rsidRPr="00550D35" w:rsidRDefault="001D363E" w:rsidP="00BA62A0">
            <w:pPr>
              <w:ind w:firstLine="0"/>
              <w:jc w:val="left"/>
              <w:rPr>
                <w:sz w:val="20"/>
                <w:lang w:val="lv-LV"/>
              </w:rPr>
            </w:pPr>
            <w:r w:rsidRPr="00550D35">
              <w:rPr>
                <w:sz w:val="20"/>
                <w:lang w:val="lv-LV"/>
              </w:rPr>
              <w:t>Pasākums Nr.2</w:t>
            </w:r>
          </w:p>
          <w:p w14:paraId="4ADE745D" w14:textId="77777777" w:rsidR="001D363E" w:rsidRPr="005E1635" w:rsidRDefault="001D363E" w:rsidP="00BA62A0">
            <w:pPr>
              <w:ind w:firstLine="0"/>
              <w:jc w:val="left"/>
              <w:rPr>
                <w:b/>
                <w:bCs/>
                <w:sz w:val="20"/>
                <w:lang w:val="lv-LV"/>
              </w:rPr>
            </w:pPr>
            <w:r w:rsidRPr="005E1635">
              <w:rPr>
                <w:b/>
                <w:bCs/>
                <w:sz w:val="20"/>
                <w:lang w:val="lv-LV"/>
              </w:rPr>
              <w:t xml:space="preserve">“Atbalsts procesu </w:t>
            </w:r>
            <w:proofErr w:type="spellStart"/>
            <w:r w:rsidRPr="005E1635">
              <w:rPr>
                <w:b/>
                <w:bCs/>
                <w:sz w:val="20"/>
                <w:lang w:val="lv-LV"/>
              </w:rPr>
              <w:t>digitalizācijai</w:t>
            </w:r>
            <w:proofErr w:type="spellEnd"/>
            <w:r w:rsidRPr="005E1635">
              <w:rPr>
                <w:b/>
                <w:bCs/>
                <w:sz w:val="20"/>
                <w:lang w:val="lv-LV"/>
              </w:rPr>
              <w:t xml:space="preserve"> komercdarbībā”</w:t>
            </w:r>
          </w:p>
          <w:p w14:paraId="53230154" w14:textId="77777777" w:rsidR="001D363E" w:rsidRPr="00550D35" w:rsidRDefault="001D363E" w:rsidP="00BA62A0">
            <w:pPr>
              <w:ind w:firstLine="0"/>
              <w:jc w:val="left"/>
              <w:rPr>
                <w:sz w:val="20"/>
                <w:lang w:val="lv-LV"/>
              </w:rPr>
            </w:pPr>
            <w:r w:rsidRPr="0084229A">
              <w:rPr>
                <w:sz w:val="20"/>
                <w:shd w:val="clear" w:color="auto" w:fill="FFFFFF" w:themeFill="background1"/>
                <w:lang w:val="lv-LV"/>
              </w:rPr>
              <w:t>Finansējuma avots:</w:t>
            </w:r>
            <w:r w:rsidRPr="00CE2E33">
              <w:rPr>
                <w:sz w:val="20"/>
                <w:lang w:val="lv-LV"/>
              </w:rPr>
              <w:t xml:space="preserve"> </w:t>
            </w:r>
            <w:r w:rsidRPr="00550D35">
              <w:rPr>
                <w:sz w:val="20"/>
                <w:lang w:val="lv-LV"/>
              </w:rPr>
              <w:t xml:space="preserve">ANM </w:t>
            </w:r>
            <w:r>
              <w:rPr>
                <w:sz w:val="20"/>
                <w:lang w:val="lv-LV"/>
              </w:rPr>
              <w:t xml:space="preserve">plāna </w:t>
            </w:r>
            <w:r w:rsidRPr="00550D35">
              <w:rPr>
                <w:sz w:val="20"/>
                <w:lang w:val="lv-LV"/>
              </w:rPr>
              <w:t xml:space="preserve">investīcija </w:t>
            </w:r>
            <w:r w:rsidRPr="00550D35">
              <w:rPr>
                <w:noProof/>
                <w:sz w:val="20"/>
                <w:lang w:val="lv-LV"/>
              </w:rPr>
              <w:t>2.2.1.</w:t>
            </w:r>
            <w:r>
              <w:rPr>
                <w:noProof/>
                <w:sz w:val="20"/>
                <w:lang w:val="lv-LV"/>
              </w:rPr>
              <w:t>2</w:t>
            </w:r>
            <w:r w:rsidRPr="00550D35">
              <w:rPr>
                <w:noProof/>
                <w:sz w:val="20"/>
                <w:lang w:val="lv-LV"/>
              </w:rPr>
              <w:t>.</w:t>
            </w:r>
            <w:r>
              <w:rPr>
                <w:noProof/>
                <w:sz w:val="20"/>
                <w:lang w:val="lv-LV"/>
              </w:rPr>
              <w:t>i</w:t>
            </w:r>
          </w:p>
        </w:tc>
        <w:tc>
          <w:tcPr>
            <w:tcW w:w="661" w:type="pct"/>
            <w:shd w:val="clear" w:color="auto" w:fill="70AD47" w:themeFill="accent6"/>
          </w:tcPr>
          <w:p w14:paraId="00F6E2CA" w14:textId="77777777" w:rsidR="001D363E" w:rsidRPr="00550D35" w:rsidRDefault="001D363E" w:rsidP="00BA62A0">
            <w:pPr>
              <w:spacing w:before="0" w:after="0"/>
              <w:rPr>
                <w:sz w:val="20"/>
                <w:lang w:val="lv-LV"/>
              </w:rPr>
            </w:pPr>
          </w:p>
        </w:tc>
        <w:tc>
          <w:tcPr>
            <w:tcW w:w="474" w:type="pct"/>
            <w:shd w:val="clear" w:color="auto" w:fill="70AD47" w:themeFill="accent6"/>
          </w:tcPr>
          <w:p w14:paraId="1A6708BF" w14:textId="77777777" w:rsidR="001D363E" w:rsidRPr="00550D35" w:rsidRDefault="001D363E" w:rsidP="00BA62A0">
            <w:pPr>
              <w:spacing w:before="0" w:after="0"/>
              <w:rPr>
                <w:sz w:val="20"/>
                <w:lang w:val="lv-LV"/>
              </w:rPr>
            </w:pPr>
          </w:p>
        </w:tc>
        <w:tc>
          <w:tcPr>
            <w:tcW w:w="394" w:type="pct"/>
            <w:shd w:val="clear" w:color="auto" w:fill="70AD47" w:themeFill="accent6"/>
          </w:tcPr>
          <w:p w14:paraId="7DC7450D" w14:textId="77777777" w:rsidR="001D363E" w:rsidRPr="00550D35" w:rsidRDefault="001D363E" w:rsidP="00BA62A0">
            <w:pPr>
              <w:spacing w:before="0" w:after="0"/>
              <w:rPr>
                <w:sz w:val="20"/>
                <w:lang w:val="lv-LV"/>
              </w:rPr>
            </w:pPr>
          </w:p>
        </w:tc>
        <w:tc>
          <w:tcPr>
            <w:tcW w:w="394" w:type="pct"/>
            <w:shd w:val="clear" w:color="auto" w:fill="70AD47" w:themeFill="accent6"/>
          </w:tcPr>
          <w:p w14:paraId="60B0FBDE" w14:textId="77777777" w:rsidR="001D363E" w:rsidRPr="00550D35" w:rsidRDefault="001D363E" w:rsidP="00BA62A0">
            <w:pPr>
              <w:spacing w:before="0" w:after="0"/>
              <w:rPr>
                <w:sz w:val="20"/>
                <w:lang w:val="lv-LV"/>
              </w:rPr>
            </w:pPr>
          </w:p>
        </w:tc>
        <w:tc>
          <w:tcPr>
            <w:tcW w:w="469" w:type="pct"/>
          </w:tcPr>
          <w:p w14:paraId="00BB6AB7" w14:textId="77777777" w:rsidR="001D363E" w:rsidRPr="00550D35" w:rsidRDefault="001D363E" w:rsidP="00BA62A0">
            <w:pPr>
              <w:spacing w:before="0" w:after="0"/>
              <w:rPr>
                <w:sz w:val="20"/>
                <w:lang w:val="lv-LV"/>
              </w:rPr>
            </w:pPr>
          </w:p>
        </w:tc>
        <w:tc>
          <w:tcPr>
            <w:tcW w:w="394" w:type="pct"/>
          </w:tcPr>
          <w:p w14:paraId="30F993A5" w14:textId="77777777" w:rsidR="001D363E" w:rsidRPr="00550D35" w:rsidRDefault="001D363E" w:rsidP="00BA62A0">
            <w:pPr>
              <w:spacing w:before="0" w:after="0"/>
              <w:rPr>
                <w:sz w:val="20"/>
                <w:lang w:val="lv-LV"/>
              </w:rPr>
            </w:pPr>
          </w:p>
        </w:tc>
        <w:tc>
          <w:tcPr>
            <w:tcW w:w="636" w:type="pct"/>
          </w:tcPr>
          <w:p w14:paraId="71A1FE60" w14:textId="77777777" w:rsidR="001D363E" w:rsidRPr="00550D35" w:rsidRDefault="001D363E" w:rsidP="00BA62A0">
            <w:pPr>
              <w:spacing w:before="0" w:after="0"/>
              <w:rPr>
                <w:sz w:val="20"/>
                <w:lang w:val="lv-LV"/>
              </w:rPr>
            </w:pPr>
          </w:p>
        </w:tc>
        <w:tc>
          <w:tcPr>
            <w:tcW w:w="393" w:type="pct"/>
          </w:tcPr>
          <w:p w14:paraId="6EA8A19F" w14:textId="77777777" w:rsidR="001D363E" w:rsidRPr="00550D35" w:rsidRDefault="001D363E" w:rsidP="00BA62A0">
            <w:pPr>
              <w:spacing w:before="0" w:after="0"/>
              <w:rPr>
                <w:sz w:val="20"/>
                <w:lang w:val="lv-LV"/>
              </w:rPr>
            </w:pPr>
          </w:p>
        </w:tc>
      </w:tr>
      <w:tr w:rsidR="001D363E" w:rsidRPr="003B2E9A" w14:paraId="6BBD09D8" w14:textId="77777777" w:rsidTr="00BA62A0">
        <w:tc>
          <w:tcPr>
            <w:tcW w:w="1185" w:type="pct"/>
          </w:tcPr>
          <w:p w14:paraId="6AA45977" w14:textId="77777777" w:rsidR="001D363E" w:rsidRPr="00550D35" w:rsidRDefault="001D363E" w:rsidP="00BA62A0">
            <w:pPr>
              <w:ind w:firstLine="0"/>
              <w:jc w:val="left"/>
              <w:rPr>
                <w:sz w:val="20"/>
                <w:lang w:val="lv-LV"/>
              </w:rPr>
            </w:pPr>
            <w:r w:rsidRPr="00550D35">
              <w:rPr>
                <w:sz w:val="20"/>
                <w:lang w:val="lv-LV"/>
              </w:rPr>
              <w:t>Pasākums Nr.3</w:t>
            </w:r>
          </w:p>
          <w:p w14:paraId="3E0911A2" w14:textId="77777777" w:rsidR="001D363E" w:rsidRPr="005E1635" w:rsidRDefault="001D363E" w:rsidP="00BA62A0">
            <w:pPr>
              <w:ind w:firstLine="0"/>
              <w:jc w:val="left"/>
              <w:rPr>
                <w:b/>
                <w:bCs/>
                <w:sz w:val="20"/>
                <w:lang w:val="lv-LV"/>
              </w:rPr>
            </w:pPr>
            <w:r w:rsidRPr="00550D35">
              <w:rPr>
                <w:sz w:val="20"/>
                <w:lang w:val="lv-LV"/>
              </w:rPr>
              <w:t xml:space="preserve"> </w:t>
            </w:r>
            <w:r w:rsidRPr="005E1635">
              <w:rPr>
                <w:b/>
                <w:bCs/>
                <w:sz w:val="20"/>
                <w:lang w:val="lv-LV"/>
              </w:rPr>
              <w:t>“Atbalsts jaunu produktu un pakalpojumu ieviešanai komercdarbībā”</w:t>
            </w:r>
          </w:p>
          <w:p w14:paraId="7CF640CD" w14:textId="77777777" w:rsidR="001D363E" w:rsidRDefault="001D363E" w:rsidP="00BA62A0">
            <w:pPr>
              <w:ind w:firstLine="0"/>
              <w:jc w:val="left"/>
              <w:rPr>
                <w:sz w:val="20"/>
                <w:lang w:val="lv-LV"/>
              </w:rPr>
            </w:pPr>
            <w:r w:rsidRPr="00FB319F">
              <w:rPr>
                <w:sz w:val="20"/>
                <w:lang w:val="lv-LV"/>
              </w:rPr>
              <w:t>Finansējuma avots:</w:t>
            </w:r>
            <w:r w:rsidRPr="004927B8">
              <w:rPr>
                <w:sz w:val="20"/>
                <w:lang w:val="lv-LV"/>
              </w:rPr>
              <w:t xml:space="preserve"> </w:t>
            </w:r>
            <w:r w:rsidRPr="00550D35">
              <w:rPr>
                <w:sz w:val="20"/>
                <w:lang w:val="lv-LV"/>
              </w:rPr>
              <w:t xml:space="preserve">ANM </w:t>
            </w:r>
            <w:r>
              <w:rPr>
                <w:sz w:val="20"/>
                <w:lang w:val="lv-LV"/>
              </w:rPr>
              <w:t xml:space="preserve">plāna </w:t>
            </w:r>
            <w:r w:rsidRPr="00550D35">
              <w:rPr>
                <w:sz w:val="20"/>
                <w:lang w:val="lv-LV"/>
              </w:rPr>
              <w:t>investīcija 2.2.1.3.i.</w:t>
            </w:r>
          </w:p>
          <w:p w14:paraId="0E20E738" w14:textId="77777777" w:rsidR="001D363E" w:rsidRPr="00550D35" w:rsidRDefault="001D363E" w:rsidP="00BA62A0">
            <w:pPr>
              <w:ind w:firstLine="0"/>
              <w:rPr>
                <w:sz w:val="20"/>
                <w:lang w:val="lv-LV"/>
              </w:rPr>
            </w:pPr>
            <w:r w:rsidRPr="00550D35">
              <w:rPr>
                <w:sz w:val="20"/>
                <w:lang w:val="lv-LV"/>
              </w:rPr>
              <w:t xml:space="preserve">un </w:t>
            </w:r>
            <w:r w:rsidRPr="005E1635">
              <w:rPr>
                <w:b/>
                <w:bCs/>
                <w:sz w:val="20"/>
                <w:lang w:val="lv-LV"/>
              </w:rPr>
              <w:t xml:space="preserve">“Atbalsts jaunu produktu attīstībai un internacionalizācijai” </w:t>
            </w:r>
            <w:r w:rsidRPr="0063021F">
              <w:rPr>
                <w:sz w:val="20"/>
                <w:lang w:val="lv-LV"/>
              </w:rPr>
              <w:t>Finansējuma avots:</w:t>
            </w:r>
            <w:r w:rsidRPr="004927B8">
              <w:rPr>
                <w:sz w:val="20"/>
                <w:lang w:val="lv-LV"/>
              </w:rPr>
              <w:t xml:space="preserve"> </w:t>
            </w:r>
            <w:r w:rsidRPr="00550D35">
              <w:rPr>
                <w:sz w:val="20"/>
                <w:lang w:val="lv-LV"/>
              </w:rPr>
              <w:lastRenderedPageBreak/>
              <w:t>ERAF 1.2.1.1.</w:t>
            </w:r>
            <w:r>
              <w:rPr>
                <w:sz w:val="20"/>
                <w:lang w:val="lv-LV"/>
              </w:rPr>
              <w:t xml:space="preserve"> pasākums</w:t>
            </w:r>
          </w:p>
        </w:tc>
        <w:tc>
          <w:tcPr>
            <w:tcW w:w="661" w:type="pct"/>
            <w:shd w:val="clear" w:color="auto" w:fill="70AD47" w:themeFill="accent6"/>
          </w:tcPr>
          <w:p w14:paraId="1F5314CE" w14:textId="77777777" w:rsidR="001D363E" w:rsidRPr="00550D35" w:rsidRDefault="001D363E" w:rsidP="00BA62A0">
            <w:pPr>
              <w:spacing w:before="0" w:after="0"/>
              <w:rPr>
                <w:sz w:val="20"/>
                <w:lang w:val="lv-LV"/>
              </w:rPr>
            </w:pPr>
          </w:p>
        </w:tc>
        <w:tc>
          <w:tcPr>
            <w:tcW w:w="474" w:type="pct"/>
            <w:shd w:val="clear" w:color="auto" w:fill="70AD47" w:themeFill="accent6"/>
          </w:tcPr>
          <w:p w14:paraId="5151E4EC" w14:textId="77777777" w:rsidR="001D363E" w:rsidRPr="00550D35" w:rsidRDefault="001D363E" w:rsidP="00BA62A0">
            <w:pPr>
              <w:spacing w:before="0" w:after="0"/>
              <w:rPr>
                <w:sz w:val="20"/>
                <w:lang w:val="lv-LV"/>
              </w:rPr>
            </w:pPr>
          </w:p>
        </w:tc>
        <w:tc>
          <w:tcPr>
            <w:tcW w:w="394" w:type="pct"/>
            <w:shd w:val="clear" w:color="auto" w:fill="70AD47" w:themeFill="accent6"/>
          </w:tcPr>
          <w:p w14:paraId="4DC81384" w14:textId="77777777" w:rsidR="001D363E" w:rsidRPr="00550D35" w:rsidRDefault="001D363E" w:rsidP="00BA62A0">
            <w:pPr>
              <w:spacing w:before="0" w:after="0"/>
              <w:rPr>
                <w:sz w:val="20"/>
                <w:lang w:val="lv-LV"/>
              </w:rPr>
            </w:pPr>
          </w:p>
        </w:tc>
        <w:tc>
          <w:tcPr>
            <w:tcW w:w="394" w:type="pct"/>
            <w:shd w:val="clear" w:color="auto" w:fill="70AD47" w:themeFill="accent6"/>
          </w:tcPr>
          <w:p w14:paraId="0FA18A5E" w14:textId="77777777" w:rsidR="001D363E" w:rsidRPr="00550D35" w:rsidRDefault="001D363E" w:rsidP="00BA62A0">
            <w:pPr>
              <w:spacing w:before="0" w:after="0"/>
              <w:rPr>
                <w:sz w:val="20"/>
                <w:lang w:val="lv-LV"/>
              </w:rPr>
            </w:pPr>
          </w:p>
        </w:tc>
        <w:tc>
          <w:tcPr>
            <w:tcW w:w="469" w:type="pct"/>
            <w:shd w:val="clear" w:color="auto" w:fill="70AD47" w:themeFill="accent6"/>
          </w:tcPr>
          <w:p w14:paraId="434602B4" w14:textId="77777777" w:rsidR="001D363E" w:rsidRPr="00550D35" w:rsidRDefault="001D363E" w:rsidP="00BA62A0">
            <w:pPr>
              <w:spacing w:before="0" w:after="0"/>
              <w:rPr>
                <w:sz w:val="20"/>
                <w:lang w:val="lv-LV"/>
              </w:rPr>
            </w:pPr>
          </w:p>
        </w:tc>
        <w:tc>
          <w:tcPr>
            <w:tcW w:w="394" w:type="pct"/>
            <w:shd w:val="clear" w:color="auto" w:fill="70AD47" w:themeFill="accent6"/>
          </w:tcPr>
          <w:p w14:paraId="6FE282F6" w14:textId="77777777" w:rsidR="001D363E" w:rsidRPr="00550D35" w:rsidRDefault="001D363E" w:rsidP="00BA62A0">
            <w:pPr>
              <w:spacing w:before="0" w:after="0"/>
              <w:rPr>
                <w:sz w:val="20"/>
                <w:lang w:val="lv-LV"/>
              </w:rPr>
            </w:pPr>
          </w:p>
        </w:tc>
        <w:tc>
          <w:tcPr>
            <w:tcW w:w="636" w:type="pct"/>
            <w:shd w:val="clear" w:color="auto" w:fill="70AD47" w:themeFill="accent6"/>
          </w:tcPr>
          <w:p w14:paraId="5FC713D2" w14:textId="77777777" w:rsidR="001D363E" w:rsidRPr="00550D35" w:rsidRDefault="001D363E" w:rsidP="00BA62A0">
            <w:pPr>
              <w:spacing w:before="0" w:after="0"/>
              <w:rPr>
                <w:sz w:val="20"/>
                <w:lang w:val="lv-LV"/>
              </w:rPr>
            </w:pPr>
          </w:p>
        </w:tc>
        <w:tc>
          <w:tcPr>
            <w:tcW w:w="393" w:type="pct"/>
            <w:shd w:val="clear" w:color="auto" w:fill="FFFFFF" w:themeFill="background1"/>
          </w:tcPr>
          <w:p w14:paraId="73505440" w14:textId="77777777" w:rsidR="001D363E" w:rsidRPr="00550D35" w:rsidRDefault="001D363E" w:rsidP="00BA62A0">
            <w:pPr>
              <w:spacing w:before="0" w:after="0"/>
              <w:rPr>
                <w:sz w:val="20"/>
                <w:lang w:val="lv-LV"/>
              </w:rPr>
            </w:pPr>
          </w:p>
        </w:tc>
      </w:tr>
      <w:tr w:rsidR="001D363E" w:rsidRPr="00A1679E" w14:paraId="79F2BA45" w14:textId="77777777" w:rsidTr="00BA62A0">
        <w:tc>
          <w:tcPr>
            <w:tcW w:w="1185" w:type="pct"/>
          </w:tcPr>
          <w:p w14:paraId="4E2F8134" w14:textId="77777777" w:rsidR="001D363E" w:rsidRPr="00550D35" w:rsidRDefault="001D363E" w:rsidP="00BA62A0">
            <w:pPr>
              <w:ind w:firstLine="0"/>
              <w:jc w:val="left"/>
              <w:rPr>
                <w:sz w:val="20"/>
                <w:lang w:val="lv-LV"/>
              </w:rPr>
            </w:pPr>
            <w:r w:rsidRPr="00550D35">
              <w:rPr>
                <w:sz w:val="20"/>
                <w:lang w:val="lv-LV"/>
              </w:rPr>
              <w:t>Pasākums Nr.4</w:t>
            </w:r>
          </w:p>
          <w:p w14:paraId="0F7C8AB9" w14:textId="77777777" w:rsidR="001D363E" w:rsidRPr="005E1635" w:rsidRDefault="001D363E" w:rsidP="00BA62A0">
            <w:pPr>
              <w:ind w:firstLine="0"/>
              <w:jc w:val="left"/>
              <w:rPr>
                <w:b/>
                <w:bCs/>
                <w:sz w:val="20"/>
                <w:lang w:val="lv-LV"/>
              </w:rPr>
            </w:pPr>
            <w:r w:rsidRPr="005E1635">
              <w:rPr>
                <w:b/>
                <w:bCs/>
                <w:sz w:val="20"/>
                <w:lang w:val="lv-LV"/>
              </w:rPr>
              <w:t>“Finanšu instrumenti komersantu digitālās transformācijas veicināšanai”</w:t>
            </w:r>
          </w:p>
          <w:p w14:paraId="37E2A516" w14:textId="77777777" w:rsidR="001D363E" w:rsidRPr="00550D35" w:rsidRDefault="001D363E" w:rsidP="00BA62A0">
            <w:pPr>
              <w:ind w:firstLine="0"/>
              <w:jc w:val="left"/>
              <w:rPr>
                <w:sz w:val="20"/>
                <w:lang w:val="lv-LV"/>
              </w:rPr>
            </w:pPr>
            <w:r w:rsidRPr="007B36B3">
              <w:rPr>
                <w:sz w:val="20"/>
                <w:shd w:val="clear" w:color="auto" w:fill="FFFFFF" w:themeFill="background1"/>
                <w:lang w:val="lv-LV"/>
              </w:rPr>
              <w:t>Finansējuma avots:</w:t>
            </w:r>
            <w:r w:rsidRPr="00317908">
              <w:rPr>
                <w:sz w:val="20"/>
                <w:lang w:val="lv-LV"/>
              </w:rPr>
              <w:t xml:space="preserve"> </w:t>
            </w:r>
            <w:r w:rsidRPr="00550D35">
              <w:rPr>
                <w:sz w:val="20"/>
                <w:lang w:val="lv-LV"/>
              </w:rPr>
              <w:t xml:space="preserve">ANM </w:t>
            </w:r>
            <w:r>
              <w:rPr>
                <w:sz w:val="20"/>
                <w:lang w:val="lv-LV"/>
              </w:rPr>
              <w:t xml:space="preserve">plāna </w:t>
            </w:r>
            <w:r w:rsidRPr="00550D35">
              <w:rPr>
                <w:sz w:val="20"/>
                <w:lang w:val="lv-LV"/>
              </w:rPr>
              <w:t xml:space="preserve">investīcija </w:t>
            </w:r>
            <w:r w:rsidRPr="00550D35">
              <w:rPr>
                <w:noProof/>
                <w:sz w:val="20"/>
                <w:lang w:val="lv-LV"/>
              </w:rPr>
              <w:t>2.2.1.</w:t>
            </w:r>
            <w:r>
              <w:rPr>
                <w:noProof/>
                <w:sz w:val="20"/>
                <w:lang w:val="lv-LV"/>
              </w:rPr>
              <w:t>4</w:t>
            </w:r>
            <w:r w:rsidRPr="00550D35">
              <w:rPr>
                <w:noProof/>
                <w:sz w:val="20"/>
                <w:lang w:val="lv-LV"/>
              </w:rPr>
              <w:t>.</w:t>
            </w:r>
            <w:r>
              <w:rPr>
                <w:noProof/>
                <w:sz w:val="20"/>
                <w:lang w:val="lv-LV"/>
              </w:rPr>
              <w:t>i</w:t>
            </w:r>
          </w:p>
        </w:tc>
        <w:tc>
          <w:tcPr>
            <w:tcW w:w="661" w:type="pct"/>
            <w:shd w:val="clear" w:color="auto" w:fill="70AD47" w:themeFill="accent6"/>
          </w:tcPr>
          <w:p w14:paraId="0CE41A95" w14:textId="77777777" w:rsidR="001D363E" w:rsidRPr="00550D35" w:rsidRDefault="001D363E" w:rsidP="00BA62A0">
            <w:pPr>
              <w:spacing w:before="0" w:after="0"/>
              <w:rPr>
                <w:sz w:val="20"/>
                <w:lang w:val="lv-LV"/>
              </w:rPr>
            </w:pPr>
          </w:p>
        </w:tc>
        <w:tc>
          <w:tcPr>
            <w:tcW w:w="474" w:type="pct"/>
            <w:shd w:val="clear" w:color="auto" w:fill="70AD47" w:themeFill="accent6"/>
          </w:tcPr>
          <w:p w14:paraId="25DC7496" w14:textId="77777777" w:rsidR="001D363E" w:rsidRPr="00550D35" w:rsidRDefault="001D363E" w:rsidP="00BA62A0">
            <w:pPr>
              <w:spacing w:before="0" w:after="0"/>
              <w:rPr>
                <w:sz w:val="20"/>
                <w:lang w:val="lv-LV"/>
              </w:rPr>
            </w:pPr>
          </w:p>
        </w:tc>
        <w:tc>
          <w:tcPr>
            <w:tcW w:w="394" w:type="pct"/>
            <w:shd w:val="clear" w:color="auto" w:fill="70AD47" w:themeFill="accent6"/>
          </w:tcPr>
          <w:p w14:paraId="157169A6" w14:textId="77777777" w:rsidR="001D363E" w:rsidRPr="00550D35" w:rsidRDefault="001D363E" w:rsidP="00BA62A0">
            <w:pPr>
              <w:spacing w:before="0" w:after="0"/>
              <w:rPr>
                <w:sz w:val="20"/>
                <w:lang w:val="lv-LV"/>
              </w:rPr>
            </w:pPr>
          </w:p>
        </w:tc>
        <w:tc>
          <w:tcPr>
            <w:tcW w:w="394" w:type="pct"/>
            <w:shd w:val="clear" w:color="auto" w:fill="70AD47" w:themeFill="accent6"/>
          </w:tcPr>
          <w:p w14:paraId="3AEEBFE6" w14:textId="77777777" w:rsidR="001D363E" w:rsidRPr="00550D35" w:rsidRDefault="001D363E" w:rsidP="00BA62A0">
            <w:pPr>
              <w:spacing w:before="0" w:after="0"/>
              <w:rPr>
                <w:sz w:val="20"/>
                <w:lang w:val="lv-LV"/>
              </w:rPr>
            </w:pPr>
          </w:p>
        </w:tc>
        <w:tc>
          <w:tcPr>
            <w:tcW w:w="469" w:type="pct"/>
            <w:shd w:val="clear" w:color="auto" w:fill="auto"/>
          </w:tcPr>
          <w:p w14:paraId="7444B60A" w14:textId="77777777" w:rsidR="001D363E" w:rsidRPr="00550D35" w:rsidRDefault="001D363E" w:rsidP="00BA62A0">
            <w:pPr>
              <w:spacing w:before="0" w:after="0"/>
              <w:rPr>
                <w:sz w:val="20"/>
                <w:lang w:val="lv-LV"/>
              </w:rPr>
            </w:pPr>
          </w:p>
        </w:tc>
        <w:tc>
          <w:tcPr>
            <w:tcW w:w="394" w:type="pct"/>
            <w:shd w:val="clear" w:color="auto" w:fill="auto"/>
          </w:tcPr>
          <w:p w14:paraId="0B089586" w14:textId="77777777" w:rsidR="001D363E" w:rsidRPr="00550D35" w:rsidRDefault="001D363E" w:rsidP="00BA62A0">
            <w:pPr>
              <w:spacing w:before="0" w:after="0"/>
              <w:rPr>
                <w:sz w:val="20"/>
                <w:lang w:val="lv-LV"/>
              </w:rPr>
            </w:pPr>
          </w:p>
        </w:tc>
        <w:tc>
          <w:tcPr>
            <w:tcW w:w="636" w:type="pct"/>
            <w:shd w:val="clear" w:color="auto" w:fill="auto"/>
          </w:tcPr>
          <w:p w14:paraId="635CDAC4" w14:textId="77777777" w:rsidR="001D363E" w:rsidRPr="00550D35" w:rsidRDefault="001D363E" w:rsidP="00BA62A0">
            <w:pPr>
              <w:spacing w:before="0" w:after="0"/>
              <w:rPr>
                <w:sz w:val="20"/>
                <w:lang w:val="lv-LV"/>
              </w:rPr>
            </w:pPr>
          </w:p>
        </w:tc>
        <w:tc>
          <w:tcPr>
            <w:tcW w:w="393" w:type="pct"/>
          </w:tcPr>
          <w:p w14:paraId="7C418E08" w14:textId="77777777" w:rsidR="001D363E" w:rsidRPr="00550D35" w:rsidRDefault="001D363E" w:rsidP="00BA62A0">
            <w:pPr>
              <w:spacing w:before="0" w:after="0"/>
              <w:rPr>
                <w:sz w:val="20"/>
                <w:lang w:val="lv-LV"/>
              </w:rPr>
            </w:pPr>
          </w:p>
        </w:tc>
      </w:tr>
    </w:tbl>
    <w:p w14:paraId="6FE0E286" w14:textId="77777777" w:rsidR="001D363E" w:rsidRDefault="001D363E" w:rsidP="001D363E">
      <w:pPr>
        <w:spacing w:before="0" w:after="100" w:afterAutospacing="1" w:line="259" w:lineRule="auto"/>
        <w:ind w:firstLine="0"/>
        <w:contextualSpacing/>
        <w:jc w:val="left"/>
        <w:rPr>
          <w:lang w:val="lv-LV"/>
        </w:rPr>
      </w:pPr>
    </w:p>
    <w:p w14:paraId="30E37760" w14:textId="77777777" w:rsidR="002C799A" w:rsidRPr="00D857FC" w:rsidRDefault="002C799A" w:rsidP="002C799A">
      <w:pPr>
        <w:spacing w:before="0" w:line="259" w:lineRule="auto"/>
        <w:ind w:firstLine="0"/>
        <w:contextualSpacing/>
        <w:jc w:val="left"/>
        <w:rPr>
          <w:b/>
          <w:bCs/>
          <w:lang w:val="lv-LV"/>
        </w:rPr>
      </w:pPr>
      <w:r w:rsidRPr="00D857FC">
        <w:rPr>
          <w:b/>
          <w:bCs/>
          <w:lang w:val="lv-LV"/>
        </w:rPr>
        <w:t xml:space="preserve">Visu to pasākumu budžets, kurus var attiecināt uz </w:t>
      </w:r>
      <w:proofErr w:type="spellStart"/>
      <w:r w:rsidRPr="00D857FC">
        <w:rPr>
          <w:b/>
          <w:bCs/>
          <w:lang w:val="lv-LV"/>
        </w:rPr>
        <w:t>mērķrādītāju</w:t>
      </w:r>
      <w:proofErr w:type="spellEnd"/>
    </w:p>
    <w:p w14:paraId="21675F84" w14:textId="77777777" w:rsidR="002C799A" w:rsidRPr="00550D35" w:rsidRDefault="002C799A" w:rsidP="002C799A">
      <w:pPr>
        <w:pStyle w:val="ListParagraph"/>
        <w:spacing w:before="0" w:line="259" w:lineRule="auto"/>
        <w:ind w:left="1134" w:firstLine="306"/>
        <w:contextualSpacing/>
        <w:jc w:val="left"/>
        <w:rPr>
          <w:noProof/>
          <w:lang w:val="lv-LV"/>
        </w:rPr>
      </w:pPr>
      <w:r w:rsidRPr="00550D35">
        <w:rPr>
          <w:noProof/>
          <w:lang w:val="lv-LV"/>
        </w:rPr>
        <w:t xml:space="preserve">Publiskās investīcijas: </w:t>
      </w:r>
    </w:p>
    <w:p w14:paraId="15C802ED" w14:textId="77777777" w:rsidR="002C799A" w:rsidRPr="00550D35" w:rsidRDefault="002C799A" w:rsidP="002C799A">
      <w:pPr>
        <w:pStyle w:val="ListParagraph"/>
        <w:numPr>
          <w:ilvl w:val="4"/>
          <w:numId w:val="23"/>
        </w:numPr>
        <w:spacing w:before="0" w:line="259" w:lineRule="auto"/>
        <w:ind w:left="2268" w:hanging="567"/>
        <w:contextualSpacing/>
        <w:jc w:val="left"/>
        <w:rPr>
          <w:noProof/>
          <w:lang w:val="lv-LV"/>
        </w:rPr>
      </w:pPr>
      <w:r w:rsidRPr="00550D35">
        <w:rPr>
          <w:noProof/>
          <w:lang w:val="lv-LV"/>
        </w:rPr>
        <w:t>plānotas – 1</w:t>
      </w:r>
      <w:r>
        <w:rPr>
          <w:noProof/>
          <w:lang w:val="lv-LV"/>
        </w:rPr>
        <w:t>65,09</w:t>
      </w:r>
      <w:r w:rsidRPr="00550D35">
        <w:rPr>
          <w:noProof/>
          <w:lang w:val="lv-LV"/>
        </w:rPr>
        <w:t> milj. </w:t>
      </w:r>
      <w:r w:rsidRPr="00550D35">
        <w:rPr>
          <w:i/>
          <w:iCs/>
          <w:noProof/>
          <w:lang w:val="lv-LV"/>
        </w:rPr>
        <w:t>euro</w:t>
      </w:r>
      <w:r w:rsidRPr="00550D35">
        <w:rPr>
          <w:noProof/>
          <w:lang w:val="lv-LV"/>
        </w:rPr>
        <w:t>.</w:t>
      </w:r>
    </w:p>
    <w:p w14:paraId="35250BE0" w14:textId="77777777" w:rsidR="002C799A" w:rsidRPr="00550D35" w:rsidRDefault="002C799A" w:rsidP="002C799A">
      <w:pPr>
        <w:pStyle w:val="ListParagraph"/>
        <w:numPr>
          <w:ilvl w:val="3"/>
          <w:numId w:val="23"/>
        </w:numPr>
        <w:spacing w:before="0" w:line="259" w:lineRule="auto"/>
        <w:ind w:left="1134" w:firstLine="0"/>
        <w:contextualSpacing/>
        <w:jc w:val="left"/>
        <w:rPr>
          <w:noProof/>
          <w:lang w:val="lv-LV"/>
        </w:rPr>
      </w:pPr>
      <w:r w:rsidRPr="00550D35">
        <w:rPr>
          <w:lang w:val="lv-LV"/>
        </w:rPr>
        <w:t xml:space="preserve">No tām piešķirtas no valsts avotiem: </w:t>
      </w:r>
    </w:p>
    <w:p w14:paraId="694558AE" w14:textId="77777777" w:rsidR="002C799A" w:rsidRPr="00550D35" w:rsidRDefault="002C799A" w:rsidP="002C799A">
      <w:pPr>
        <w:pStyle w:val="ListParagraph"/>
        <w:numPr>
          <w:ilvl w:val="4"/>
          <w:numId w:val="23"/>
        </w:numPr>
        <w:spacing w:before="0" w:line="259" w:lineRule="auto"/>
        <w:ind w:left="2694" w:hanging="426"/>
        <w:contextualSpacing/>
        <w:jc w:val="left"/>
        <w:rPr>
          <w:noProof/>
          <w:lang w:val="lv-LV"/>
        </w:rPr>
      </w:pPr>
      <w:r w:rsidRPr="00550D35">
        <w:rPr>
          <w:noProof/>
          <w:lang w:val="lv-LV"/>
        </w:rPr>
        <w:t>plānotas – 140,0 tūkst. </w:t>
      </w:r>
      <w:r w:rsidRPr="00550D35">
        <w:rPr>
          <w:i/>
          <w:iCs/>
          <w:noProof/>
          <w:lang w:val="lv-LV"/>
        </w:rPr>
        <w:t>euro</w:t>
      </w:r>
      <w:r w:rsidRPr="00550D35">
        <w:rPr>
          <w:noProof/>
          <w:lang w:val="lv-LV"/>
        </w:rPr>
        <w:t xml:space="preserve">. </w:t>
      </w:r>
    </w:p>
    <w:p w14:paraId="2467EFEB" w14:textId="77777777" w:rsidR="002C799A" w:rsidRPr="00550D35" w:rsidRDefault="002C799A" w:rsidP="002C799A">
      <w:pPr>
        <w:pStyle w:val="ListParagraph"/>
        <w:numPr>
          <w:ilvl w:val="1"/>
          <w:numId w:val="23"/>
        </w:numPr>
        <w:spacing w:before="0" w:line="259" w:lineRule="auto"/>
        <w:contextualSpacing/>
        <w:jc w:val="left"/>
        <w:rPr>
          <w:lang w:val="lv-LV"/>
        </w:rPr>
      </w:pPr>
      <w:r w:rsidRPr="00550D35">
        <w:rPr>
          <w:lang w:val="lv-LV"/>
        </w:rPr>
        <w:t xml:space="preserve">No tām piešķirtas no ES avotiem: </w:t>
      </w:r>
    </w:p>
    <w:p w14:paraId="426BC2A4" w14:textId="77777777" w:rsidR="002C799A" w:rsidRPr="00550D35" w:rsidRDefault="002C799A" w:rsidP="002C799A">
      <w:pPr>
        <w:pStyle w:val="ListParagraph"/>
        <w:numPr>
          <w:ilvl w:val="4"/>
          <w:numId w:val="23"/>
        </w:numPr>
        <w:spacing w:before="0" w:line="259" w:lineRule="auto"/>
        <w:ind w:left="2694" w:hanging="426"/>
        <w:contextualSpacing/>
        <w:jc w:val="left"/>
        <w:rPr>
          <w:noProof/>
          <w:lang w:val="lv-LV"/>
        </w:rPr>
      </w:pPr>
      <w:r w:rsidRPr="00550D35">
        <w:rPr>
          <w:noProof/>
          <w:lang w:val="lv-LV"/>
        </w:rPr>
        <w:t>plānotas – 1</w:t>
      </w:r>
      <w:r>
        <w:rPr>
          <w:noProof/>
          <w:lang w:val="lv-LV"/>
        </w:rPr>
        <w:t>64,95</w:t>
      </w:r>
      <w:r w:rsidRPr="00550D35">
        <w:rPr>
          <w:noProof/>
          <w:lang w:val="lv-LV"/>
        </w:rPr>
        <w:t> milj. </w:t>
      </w:r>
      <w:r w:rsidRPr="00550D35">
        <w:rPr>
          <w:i/>
          <w:iCs/>
          <w:noProof/>
          <w:lang w:val="lv-LV"/>
        </w:rPr>
        <w:t>euro</w:t>
      </w:r>
      <w:r w:rsidRPr="00550D35">
        <w:rPr>
          <w:noProof/>
          <w:lang w:val="lv-LV"/>
        </w:rPr>
        <w:t>.</w:t>
      </w:r>
    </w:p>
    <w:p w14:paraId="3B16F73A" w14:textId="77777777" w:rsidR="002C799A" w:rsidRPr="00550D35" w:rsidRDefault="002C799A" w:rsidP="002C799A">
      <w:pPr>
        <w:spacing w:before="0" w:after="0"/>
        <w:ind w:left="1287" w:firstLine="153"/>
        <w:contextualSpacing/>
        <w:jc w:val="left"/>
        <w:rPr>
          <w:noProof/>
          <w:sz w:val="22"/>
          <w:szCs w:val="22"/>
          <w:lang w:val="lv-LV"/>
        </w:rPr>
      </w:pPr>
      <w:r w:rsidRPr="00550D35">
        <w:rPr>
          <w:rFonts w:eastAsiaTheme="minorHAnsi"/>
          <w:noProof/>
          <w:sz w:val="22"/>
          <w:szCs w:val="22"/>
          <w:lang w:val="lv-LV"/>
        </w:rPr>
        <w:t>Privātās investīcijas (</w:t>
      </w:r>
      <w:r w:rsidRPr="00550D35">
        <w:rPr>
          <w:noProof/>
          <w:sz w:val="22"/>
          <w:szCs w:val="22"/>
          <w:lang w:val="lv-LV"/>
        </w:rPr>
        <w:t>4. pasākumam):</w:t>
      </w:r>
    </w:p>
    <w:p w14:paraId="7B174A40" w14:textId="77777777" w:rsidR="002C799A" w:rsidRPr="00550D35" w:rsidRDefault="002C799A" w:rsidP="002C799A">
      <w:pPr>
        <w:pStyle w:val="ListParagraph"/>
        <w:numPr>
          <w:ilvl w:val="0"/>
          <w:numId w:val="44"/>
        </w:numPr>
        <w:spacing w:before="0" w:line="259" w:lineRule="auto"/>
        <w:contextualSpacing/>
        <w:jc w:val="left"/>
        <w:rPr>
          <w:noProof/>
          <w:lang w:val="lv-LV"/>
        </w:rPr>
      </w:pPr>
      <w:r w:rsidRPr="00550D35">
        <w:rPr>
          <w:noProof/>
          <w:lang w:val="lv-LV"/>
        </w:rPr>
        <w:t>plānotas – 37,0 milj. </w:t>
      </w:r>
      <w:r w:rsidRPr="00550D35">
        <w:rPr>
          <w:i/>
          <w:iCs/>
          <w:noProof/>
          <w:lang w:val="lv-LV"/>
        </w:rPr>
        <w:t>euro</w:t>
      </w:r>
      <w:r w:rsidRPr="00550D35">
        <w:rPr>
          <w:noProof/>
          <w:lang w:val="lv-LV"/>
        </w:rPr>
        <w:t>.</w:t>
      </w:r>
    </w:p>
    <w:p w14:paraId="6E344B6A" w14:textId="77777777" w:rsidR="00A31695" w:rsidRDefault="00A31695" w:rsidP="0026613E">
      <w:pPr>
        <w:spacing w:before="0" w:after="100" w:afterAutospacing="1" w:line="259" w:lineRule="auto"/>
        <w:ind w:firstLine="0"/>
        <w:contextualSpacing/>
        <w:jc w:val="left"/>
        <w:rPr>
          <w:lang w:val="lv-LV"/>
        </w:rPr>
      </w:pPr>
    </w:p>
    <w:p w14:paraId="7B93A1D0" w14:textId="77777777" w:rsidR="001D363E" w:rsidRPr="00550D35" w:rsidRDefault="001D363E" w:rsidP="001D363E">
      <w:pPr>
        <w:pStyle w:val="Heading3"/>
        <w:rPr>
          <w:lang w:val="lv-LV"/>
        </w:rPr>
      </w:pPr>
      <w:r w:rsidRPr="00550D35">
        <w:rPr>
          <w:lang w:val="lv-LV"/>
        </w:rPr>
        <w:t>Pasākumu apraksts</w:t>
      </w:r>
    </w:p>
    <w:p w14:paraId="69B3A11F" w14:textId="77777777" w:rsidR="001D363E" w:rsidRPr="00550D35" w:rsidRDefault="001D363E" w:rsidP="001D363E">
      <w:pPr>
        <w:rPr>
          <w:lang w:val="lv-LV"/>
        </w:rPr>
      </w:pPr>
      <w:r w:rsidRPr="00550D35">
        <w:rPr>
          <w:lang w:val="lv-LV"/>
        </w:rPr>
        <w:t>Sakrīt ar pasākumu aprakstu punktā 8.3., t.sk.:</w:t>
      </w:r>
    </w:p>
    <w:p w14:paraId="2B390625" w14:textId="77777777" w:rsidR="001D363E" w:rsidRPr="00550D35" w:rsidRDefault="001D363E" w:rsidP="001D363E">
      <w:pPr>
        <w:rPr>
          <w:lang w:val="lv-LV"/>
        </w:rPr>
      </w:pPr>
      <w:r w:rsidRPr="00550D35">
        <w:rPr>
          <w:lang w:val="lv-LV"/>
        </w:rPr>
        <w:t xml:space="preserve">1. pasākums - </w:t>
      </w:r>
      <w:r w:rsidRPr="00550D35">
        <w:rPr>
          <w:noProof/>
          <w:lang w:val="lv-LV"/>
        </w:rPr>
        <w:t xml:space="preserve">ANM </w:t>
      </w:r>
      <w:r>
        <w:rPr>
          <w:noProof/>
          <w:lang w:val="lv-LV"/>
        </w:rPr>
        <w:t xml:space="preserve">plāna </w:t>
      </w:r>
      <w:r w:rsidRPr="00550D35">
        <w:rPr>
          <w:noProof/>
          <w:lang w:val="lv-LV"/>
        </w:rPr>
        <w:t xml:space="preserve">investīcija 2.2.1.1.i. “Atbalsts Digitālo inovāciju centru un reģionālo kontaktpunktu izveidei” un ERAF 1.2.2.1. </w:t>
      </w:r>
      <w:r>
        <w:rPr>
          <w:noProof/>
          <w:lang w:val="lv-LV"/>
        </w:rPr>
        <w:t>pasākums</w:t>
      </w:r>
      <w:r w:rsidRPr="00550D35">
        <w:rPr>
          <w:noProof/>
          <w:lang w:val="lv-LV"/>
        </w:rPr>
        <w:t xml:space="preserve"> “Atbalsts procesu digitalizācijai komercdarbībā”</w:t>
      </w:r>
      <w:r w:rsidRPr="00550D35">
        <w:rPr>
          <w:lang w:val="lv-LV"/>
        </w:rPr>
        <w:t xml:space="preserve"> (Skat. aprakstu pie 1. pasākuma 8.3.2. apakšpunktā);</w:t>
      </w:r>
    </w:p>
    <w:p w14:paraId="45AD71CA" w14:textId="77777777" w:rsidR="001D363E" w:rsidRPr="00550D35" w:rsidRDefault="001D363E" w:rsidP="001D363E">
      <w:pPr>
        <w:rPr>
          <w:rFonts w:eastAsiaTheme="minorEastAsia"/>
          <w:lang w:val="lv-LV" w:eastAsia="en-US"/>
        </w:rPr>
      </w:pPr>
      <w:r w:rsidRPr="00550D35">
        <w:rPr>
          <w:lang w:val="lv-LV"/>
        </w:rPr>
        <w:t xml:space="preserve">2. pasākums - ANM </w:t>
      </w:r>
      <w:r>
        <w:rPr>
          <w:lang w:val="lv-LV"/>
        </w:rPr>
        <w:t xml:space="preserve">plāna </w:t>
      </w:r>
      <w:r w:rsidRPr="00550D35">
        <w:rPr>
          <w:lang w:val="lv-LV"/>
        </w:rPr>
        <w:t xml:space="preserve">investīcija 2.2.1.2.i. “Atbalsts procesu </w:t>
      </w:r>
      <w:proofErr w:type="spellStart"/>
      <w:r w:rsidRPr="00550D35">
        <w:rPr>
          <w:lang w:val="lv-LV"/>
        </w:rPr>
        <w:t>digitalizācijai</w:t>
      </w:r>
      <w:proofErr w:type="spellEnd"/>
      <w:r w:rsidRPr="00550D35">
        <w:rPr>
          <w:lang w:val="lv-LV"/>
        </w:rPr>
        <w:t xml:space="preserve"> komercdarbībā”</w:t>
      </w:r>
      <w:r w:rsidRPr="00550D35">
        <w:rPr>
          <w:i/>
          <w:lang w:val="lv-LV"/>
        </w:rPr>
        <w:t xml:space="preserve"> (</w:t>
      </w:r>
      <w:r w:rsidRPr="00550D35">
        <w:rPr>
          <w:lang w:val="lv-LV"/>
        </w:rPr>
        <w:t>Skat. aprakstu pie 2. pasākuma 8.3.2. apakšpunktā);</w:t>
      </w:r>
    </w:p>
    <w:p w14:paraId="29F31CA3" w14:textId="77777777" w:rsidR="001D363E" w:rsidRPr="00550D35" w:rsidRDefault="001D363E" w:rsidP="001D363E">
      <w:pPr>
        <w:rPr>
          <w:rFonts w:eastAsiaTheme="minorEastAsia"/>
          <w:lang w:val="lv-LV" w:eastAsia="en-US"/>
        </w:rPr>
      </w:pPr>
      <w:r w:rsidRPr="00550D35">
        <w:rPr>
          <w:lang w:val="lv-LV"/>
        </w:rPr>
        <w:t xml:space="preserve">3.  pasākums - ANM </w:t>
      </w:r>
      <w:r>
        <w:rPr>
          <w:lang w:val="lv-LV"/>
        </w:rPr>
        <w:t xml:space="preserve">plāna </w:t>
      </w:r>
      <w:r w:rsidRPr="00550D35">
        <w:rPr>
          <w:lang w:val="lv-LV"/>
        </w:rPr>
        <w:t xml:space="preserve">investīcija 2.2.1.3.i. “Atbalsts jaunu produktu un pakalpojumu ieviešanai komercdarbībā” un ERAF 1.2.1.1. “Atbalsts jaunu produktu attīstībai un internacionalizācijai” (Skat. aprakstu pie </w:t>
      </w:r>
      <w:r>
        <w:rPr>
          <w:noProof/>
          <w:lang w:val="lv-LV"/>
        </w:rPr>
        <w:t>pasākums</w:t>
      </w:r>
      <w:r w:rsidRPr="00550D35">
        <w:rPr>
          <w:lang w:val="lv-LV"/>
        </w:rPr>
        <w:t xml:space="preserve"> 3. pasākuma 8.3.2. apakšpunktā);</w:t>
      </w:r>
    </w:p>
    <w:p w14:paraId="6E9E7347" w14:textId="32D00FC3" w:rsidR="001D363E" w:rsidRPr="00550D35" w:rsidRDefault="001D363E" w:rsidP="001D363E">
      <w:pPr>
        <w:rPr>
          <w:rFonts w:eastAsiaTheme="minorEastAsia"/>
          <w:lang w:val="lv-LV" w:eastAsia="en-US"/>
        </w:rPr>
      </w:pPr>
      <w:r w:rsidRPr="00550D35">
        <w:rPr>
          <w:lang w:val="lv-LV"/>
        </w:rPr>
        <w:t xml:space="preserve">4. pasākums - ANM </w:t>
      </w:r>
      <w:r>
        <w:rPr>
          <w:lang w:val="lv-LV"/>
        </w:rPr>
        <w:t xml:space="preserve">plāna </w:t>
      </w:r>
      <w:r w:rsidRPr="00550D35">
        <w:rPr>
          <w:lang w:val="lv-LV"/>
        </w:rPr>
        <w:t>investīcija 2.2.1.4.i. “Finanšu instrumenti komersantu digitālās transformācijas veicināšanai” (Skat. aprakstu pie 4.</w:t>
      </w:r>
      <w:r w:rsidR="00C038D2">
        <w:rPr>
          <w:lang w:val="lv-LV"/>
        </w:rPr>
        <w:t> </w:t>
      </w:r>
      <w:r w:rsidRPr="00550D35">
        <w:rPr>
          <w:lang w:val="lv-LV"/>
        </w:rPr>
        <w:t>pasākuma 8.3.2. apakšpunktā).</w:t>
      </w:r>
    </w:p>
    <w:p w14:paraId="4FB9515F" w14:textId="77777777" w:rsidR="001D363E" w:rsidRPr="00550D35" w:rsidRDefault="001D363E" w:rsidP="001D363E">
      <w:pPr>
        <w:pStyle w:val="Heading2"/>
        <w:rPr>
          <w:lang w:val="lv-LV"/>
        </w:rPr>
      </w:pPr>
      <w:r w:rsidRPr="00550D35">
        <w:rPr>
          <w:lang w:val="lv-LV"/>
        </w:rPr>
        <w:t>Galvenā politika, pasākumi un darbības, kas paredzēti, lai palīdzētu sasniegt vispārīgos mērķus</w:t>
      </w:r>
    </w:p>
    <w:p w14:paraId="1373769E" w14:textId="77777777" w:rsidR="001D363E" w:rsidRPr="00550D35" w:rsidRDefault="001D363E" w:rsidP="001D363E">
      <w:pPr>
        <w:shd w:val="clear" w:color="auto" w:fill="FFFFFF" w:themeFill="background1"/>
        <w:ind w:firstLine="426"/>
        <w:rPr>
          <w:lang w:val="lv-LV"/>
        </w:rPr>
      </w:pPr>
      <w:r w:rsidRPr="00550D35">
        <w:rPr>
          <w:lang w:val="lv-LV"/>
        </w:rPr>
        <w:t xml:space="preserve">Īstenojamā politika, pasākumi un darbības KPI “Lielie dati” jomā sniedz ieguldījumu nodrošinot piekļuvi digitālajām tehnoloģijām, veicina digitālo spēju izvēršanu un izmantošanu nolūkā piekļuvi digitālajām tehnoloģijām un datiem, lai panāktu augstu digitālās intensitātes un inovācijas līmeni ES uzņēmumos, jo īpaši </w:t>
      </w:r>
      <w:proofErr w:type="spellStart"/>
      <w:r w:rsidRPr="00550D35">
        <w:rPr>
          <w:lang w:val="lv-LV"/>
        </w:rPr>
        <w:t>jaunuzņēmumos</w:t>
      </w:r>
      <w:proofErr w:type="spellEnd"/>
      <w:r w:rsidRPr="00550D35">
        <w:rPr>
          <w:lang w:val="lv-LV"/>
        </w:rPr>
        <w:t xml:space="preserve"> un MVU. Tāpat arī  ES līderības un suverenitātes veicināšanā, atbalstot ES rūpniecības un ekonomikas, jo īpaši MVU, konkurētspēju un ilgtspēju.</w:t>
      </w:r>
    </w:p>
    <w:p w14:paraId="4F9A3B5A" w14:textId="77777777" w:rsidR="001D363E" w:rsidRPr="00550D35" w:rsidRDefault="001D363E" w:rsidP="001D363E">
      <w:pPr>
        <w:pStyle w:val="Text2"/>
        <w:shd w:val="clear" w:color="auto" w:fill="FFFFFF" w:themeFill="background1"/>
        <w:ind w:left="0"/>
        <w:rPr>
          <w:lang w:val="lv-LV"/>
        </w:rPr>
      </w:pPr>
      <w:r w:rsidRPr="00550D35">
        <w:rPr>
          <w:lang w:val="lv-LV"/>
        </w:rPr>
        <w:t xml:space="preserve">Ņemot vērā, ka ģeotelpiskās analītikas nozīme arvien vairāk pieaug attīstoties </w:t>
      </w:r>
      <w:proofErr w:type="spellStart"/>
      <w:r w:rsidRPr="00550D35">
        <w:rPr>
          <w:lang w:val="lv-LV"/>
        </w:rPr>
        <w:t>IoT</w:t>
      </w:r>
      <w:proofErr w:type="spellEnd"/>
      <w:r w:rsidRPr="00550D35">
        <w:rPr>
          <w:lang w:val="lv-LV"/>
        </w:rPr>
        <w:t xml:space="preserve">, t.sk. sensoru tīkliem, mākslīgajam intelektam un lielajiem datiem, ģeotelpiskās IS arvien plašāk integrēsies ar biznesa analītikas rīkiem, iegūstot arvien plašāku pielietojumu prognozēšanā un modelēšanā, sniedzot daudz pilnīgāku veidu kā analizēt sakarības, tendences un scenārijus. Saistībā ar iepriekš minēto EM izstrādātajās ANM plāna un ERAF </w:t>
      </w:r>
      <w:r w:rsidRPr="00550D35">
        <w:rPr>
          <w:lang w:val="lv-LV"/>
        </w:rPr>
        <w:lastRenderedPageBreak/>
        <w:t>atbalsta programmās plānots sniegt ieguldījumu vispārīgo mērķu sasniegšanā attiecībā uz lielo datu rādītāju, kas paredz palielināt to uzņēmumu skaitu, kuri veic datu analītiku.</w:t>
      </w:r>
    </w:p>
    <w:p w14:paraId="408DD9E3" w14:textId="7F5B7351" w:rsidR="001D363E" w:rsidRPr="00550D35" w:rsidRDefault="001D363E" w:rsidP="00D701C2">
      <w:pPr>
        <w:rPr>
          <w:lang w:val="lv-LV"/>
        </w:rPr>
      </w:pPr>
      <w:r w:rsidRPr="00550D35">
        <w:rPr>
          <w:shd w:val="clear" w:color="auto" w:fill="FFFFFF"/>
          <w:lang w:val="lv-LV"/>
        </w:rPr>
        <w:t xml:space="preserve">Sabiedrība, īpaši valsts pārvalde, datus uztver kā vērtīgu resursu un atbilstoši pārvalda, t.sk. to kopīgi izmantojot un radot jaunu vērtību. Izmanto datus analītikā, automatizācijā, robotizētu sistēmu veidošanā, </w:t>
      </w:r>
      <w:proofErr w:type="spellStart"/>
      <w:r w:rsidRPr="00550D35">
        <w:rPr>
          <w:shd w:val="clear" w:color="auto" w:fill="FFFFFF"/>
          <w:lang w:val="lv-LV"/>
        </w:rPr>
        <w:t>mašīnmācīšanas</w:t>
      </w:r>
      <w:proofErr w:type="spellEnd"/>
      <w:r w:rsidRPr="00550D35">
        <w:rPr>
          <w:shd w:val="clear" w:color="auto" w:fill="FFFFFF"/>
          <w:lang w:val="lv-LV"/>
        </w:rPr>
        <w:t xml:space="preserve"> pielietošanā, spēj pieņemt datos balstītus lēmumus. Personas dati primāri ir datu subjekta īpašums. Valsts pārvalde spēj pilnvērtīgi funkcionēt, t.sk. veidot politiku un sniegt valsts pakalpojumus, mijiedarbojoties ar fizisko realitāti vien pastarpināti - balstoties uz pārvaldāmo jomu vides, fiziskās infrastruktūras, resursu, personu, mantisko vērtību, norišu un parādību "digitālajiem dvīņiem". Plānots attīstīt valsts pārvaldes visaptverošu datu pārvaldības tiesisko un organizatorisko ietvaru un ieviest datu pārvaldības praksi, kurā vienveidīgi, profesionāli un mērķtiecīgi tiek īstenoti datu pārvaldības procesi, lai valsts pārvaldē uzturētiem datiem nodrošinātu augstu vērtību, kvalitāti un </w:t>
      </w:r>
      <w:proofErr w:type="spellStart"/>
      <w:r w:rsidRPr="00550D35">
        <w:rPr>
          <w:shd w:val="clear" w:color="auto" w:fill="FFFFFF"/>
          <w:lang w:val="lv-LV"/>
        </w:rPr>
        <w:t>izmantojamību</w:t>
      </w:r>
      <w:proofErr w:type="spellEnd"/>
      <w:r w:rsidRPr="00550D35">
        <w:rPr>
          <w:shd w:val="clear" w:color="auto" w:fill="FFFFFF"/>
          <w:lang w:val="lv-LV"/>
        </w:rPr>
        <w:t xml:space="preserve"> tautsaimniecībā. Viens no uzdevumiem ir izveidot un ieviest datu pārvaldības politiku un normatīvo regulējumu, kas d</w:t>
      </w:r>
      <w:r w:rsidRPr="00550D35">
        <w:rPr>
          <w:lang w:val="lv-LV" w:eastAsia="lv-LV"/>
        </w:rPr>
        <w:t xml:space="preserve">efinētu datu pārvaldības jēdzienu un principus, ieviest vienotu datu pārvaldības modeli (mehānismu), ko iestādes pārņem savos iekšējos datu pārvaldības procesos, noteikt kompetento organizāciju (struktūrvienību) par vienotas datu pārvaldības ieviešanu valsts pārvaldē, nodrošināt tiesisko ietvaru vienotai valsts pārvaldes datu pārvaldībai, veicināt valsts pārvaldes darbinieku izpratni par datu pārvaldību un </w:t>
      </w:r>
      <w:proofErr w:type="spellStart"/>
      <w:r w:rsidRPr="00550D35">
        <w:rPr>
          <w:lang w:val="lv-LV" w:eastAsia="lv-LV"/>
        </w:rPr>
        <w:t>lietotprasmi</w:t>
      </w:r>
      <w:proofErr w:type="spellEnd"/>
      <w:r w:rsidRPr="00550D35">
        <w:rPr>
          <w:lang w:val="lv-LV" w:eastAsia="lv-LV"/>
        </w:rPr>
        <w:t>, integrēties ES izveidotajās datu telpās</w:t>
      </w:r>
      <w:r w:rsidRPr="00550D35">
        <w:rPr>
          <w:vertAlign w:val="superscript"/>
          <w:lang w:val="lv-LV" w:eastAsia="lv-LV"/>
        </w:rPr>
        <w:t>33</w:t>
      </w:r>
      <w:r w:rsidRPr="00550D35">
        <w:rPr>
          <w:lang w:val="lv-LV" w:eastAsia="lv-LV"/>
        </w:rPr>
        <w:t>, pēc nepieciešamības organizējot starptautisku datu apmaiņu ar citām datu kategorijām. Normatīvie akti, kas noteiks tiesisko ietvaru datu pārvaldībai, noteiks arī ietvaru tiesiskai personas datu apstrādei.</w:t>
      </w:r>
    </w:p>
    <w:p w14:paraId="1CECBC99" w14:textId="78137CF7" w:rsidR="001D363E" w:rsidRPr="00550D35" w:rsidRDefault="006259D7" w:rsidP="001D363E">
      <w:pPr>
        <w:pStyle w:val="Text2"/>
        <w:shd w:val="clear" w:color="auto" w:fill="FFFFFF" w:themeFill="background1"/>
        <w:ind w:left="0"/>
        <w:rPr>
          <w:lang w:val="lv-LV"/>
        </w:rPr>
      </w:pPr>
      <w:r>
        <w:rPr>
          <w:lang w:val="lv-LV"/>
        </w:rPr>
        <w:t xml:space="preserve"> </w:t>
      </w:r>
      <w:r w:rsidR="0089672E">
        <w:rPr>
          <w:lang w:val="lv-LV"/>
        </w:rPr>
        <w:t>Papildus minētajam, s</w:t>
      </w:r>
      <w:r w:rsidR="001D363E" w:rsidRPr="00550D35">
        <w:rPr>
          <w:lang w:val="lv-LV"/>
        </w:rPr>
        <w:t>adaļ</w:t>
      </w:r>
      <w:r>
        <w:rPr>
          <w:lang w:val="lv-LV"/>
        </w:rPr>
        <w:t>as</w:t>
      </w:r>
      <w:r w:rsidR="001D363E" w:rsidRPr="00550D35">
        <w:rPr>
          <w:lang w:val="lv-LV"/>
        </w:rPr>
        <w:t xml:space="preserve"> “</w:t>
      </w:r>
      <w:proofErr w:type="spellStart"/>
      <w:r w:rsidR="001D363E" w:rsidRPr="00550D35">
        <w:rPr>
          <w:lang w:val="lv-LV"/>
        </w:rPr>
        <w:t>Mākoņdatošana</w:t>
      </w:r>
      <w:proofErr w:type="spellEnd"/>
      <w:r w:rsidR="001D363E" w:rsidRPr="00550D35">
        <w:rPr>
          <w:lang w:val="lv-LV"/>
        </w:rPr>
        <w:t>” 8.4. apakšpunktā</w:t>
      </w:r>
      <w:r w:rsidR="0047265D">
        <w:rPr>
          <w:lang w:val="lv-LV"/>
        </w:rPr>
        <w:t xml:space="preserve"> </w:t>
      </w:r>
      <w:r>
        <w:rPr>
          <w:lang w:val="lv-LV"/>
        </w:rPr>
        <w:t>sniegtā informācija ir attiecināma arī uz KPI “Lielie dati”.</w:t>
      </w:r>
    </w:p>
    <w:p w14:paraId="410BF8F9" w14:textId="77777777" w:rsidR="001D363E" w:rsidRPr="00550D35" w:rsidRDefault="001D363E" w:rsidP="001D363E">
      <w:pPr>
        <w:pStyle w:val="Heading2"/>
        <w:rPr>
          <w:lang w:val="lv-LV"/>
        </w:rPr>
      </w:pPr>
      <w:r w:rsidRPr="00550D35">
        <w:rPr>
          <w:lang w:val="lv-LV"/>
        </w:rPr>
        <w:t>ES līmeņa sadarbība</w:t>
      </w:r>
    </w:p>
    <w:p w14:paraId="035B3590" w14:textId="77777777" w:rsidR="001D363E" w:rsidRPr="00550D35" w:rsidRDefault="001D363E" w:rsidP="001D363E">
      <w:pPr>
        <w:pStyle w:val="Heading3"/>
        <w:rPr>
          <w:lang w:val="lv-LV"/>
        </w:rPr>
      </w:pPr>
      <w:r w:rsidRPr="00550D35">
        <w:rPr>
          <w:lang w:val="lv-LV"/>
        </w:rPr>
        <w:t>Daudzvalstu projekti</w:t>
      </w:r>
    </w:p>
    <w:p w14:paraId="5D228544" w14:textId="77777777" w:rsidR="001D363E" w:rsidRPr="00550D35" w:rsidRDefault="001D363E" w:rsidP="001D363E">
      <w:pPr>
        <w:rPr>
          <w:lang w:val="lv-LV"/>
        </w:rPr>
      </w:pPr>
      <w:r w:rsidRPr="00550D35">
        <w:rPr>
          <w:lang w:val="lv-LV"/>
        </w:rPr>
        <w:t xml:space="preserve">Ceļveža sagatavošanas laikā nav identificēti 1) </w:t>
      </w:r>
      <w:r w:rsidRPr="00550D35">
        <w:rPr>
          <w:noProof/>
          <w:lang w:val="lv-LV"/>
        </w:rPr>
        <w:t xml:space="preserve">daudzvalstu projekti, kas iekļauti pielikumā norādīto </w:t>
      </w:r>
      <w:r w:rsidRPr="00550D35">
        <w:rPr>
          <w:i/>
          <w:noProof/>
          <w:lang w:val="lv-LV"/>
        </w:rPr>
        <w:t>daudzvalstu</w:t>
      </w:r>
      <w:r w:rsidRPr="00550D35">
        <w:rPr>
          <w:noProof/>
          <w:lang w:val="lv-LV"/>
        </w:rPr>
        <w:t xml:space="preserve"> projektu jomu sarakstā vai dalībvalsts apņemas vai plāno uzņemties nākotnē;</w:t>
      </w:r>
      <w:r w:rsidRPr="00550D35">
        <w:rPr>
          <w:lang w:val="lv-LV"/>
        </w:rPr>
        <w:t xml:space="preserve"> 2) iespējamie jaunie daudzvalstu projekti, kuri vēl nav iekļauti Dekādes programmas lēmuma pielikumā minēto darbības jomu sarakstā, bet kuras  dalībvalsts uzskata par nepieciešamām; 3) Kopīgas apņemšanās, kurās dalībvalsts piedalās vai plāno iesaistīties.</w:t>
      </w:r>
    </w:p>
    <w:p w14:paraId="105F6523" w14:textId="77777777" w:rsidR="001D363E" w:rsidRPr="00550D35" w:rsidRDefault="001D363E" w:rsidP="001D363E">
      <w:pPr>
        <w:pStyle w:val="Text3"/>
        <w:rPr>
          <w:lang w:val="lv-LV"/>
        </w:rPr>
      </w:pPr>
    </w:p>
    <w:p w14:paraId="36B7A49D" w14:textId="77777777" w:rsidR="001D363E" w:rsidRPr="00550D35" w:rsidRDefault="001D363E" w:rsidP="001D363E">
      <w:pPr>
        <w:pStyle w:val="Heading3"/>
        <w:rPr>
          <w:lang w:val="lv-LV"/>
        </w:rPr>
      </w:pPr>
      <w:r w:rsidRPr="00550D35">
        <w:rPr>
          <w:lang w:val="lv-LV"/>
        </w:rPr>
        <w:t>Veicinošie faktori ES līmenī</w:t>
      </w:r>
    </w:p>
    <w:p w14:paraId="3E32FE04" w14:textId="77777777" w:rsidR="001D363E" w:rsidRPr="00550D35" w:rsidRDefault="001D363E" w:rsidP="001D363E">
      <w:pPr>
        <w:rPr>
          <w:lang w:val="lv-LV"/>
        </w:rPr>
      </w:pPr>
      <w:r w:rsidRPr="00550D35">
        <w:rPr>
          <w:lang w:val="lv-LV"/>
        </w:rPr>
        <w:t>Īpaši jāuzsver ANM investīciju nozīmi Latvijas uzņēmumu digitālajā transformācijā, attīstot uzņēmumu digitālās spējas, investējot darbinieku digitālo prasmju uzlabošanā.</w:t>
      </w:r>
    </w:p>
    <w:p w14:paraId="4547B745" w14:textId="637043F1" w:rsidR="001D363E" w:rsidRPr="00550D35" w:rsidRDefault="001D363E" w:rsidP="001D363E">
      <w:pPr>
        <w:rPr>
          <w:lang w:val="lv-LV"/>
        </w:rPr>
      </w:pPr>
      <w:r w:rsidRPr="00550D35">
        <w:rPr>
          <w:lang w:val="lv-LV"/>
        </w:rPr>
        <w:t xml:space="preserve">Darbības šī KPI ES mērķa sasniegšanai ir tieši saistītas ar EDIC un to tīklu, kuri izveidoti īstenojot </w:t>
      </w:r>
      <w:r w:rsidR="00FB00D5">
        <w:rPr>
          <w:lang w:val="lv-LV"/>
        </w:rPr>
        <w:t xml:space="preserve">DEP </w:t>
      </w:r>
      <w:r w:rsidRPr="00550D35">
        <w:rPr>
          <w:lang w:val="lv-LV"/>
        </w:rPr>
        <w:t>ar mērķi palīdzēt uzņēmumiem un citiem saimnieciskās darbības veicējiem komercdarbībā ieviest digitālos risinājumus, t.sk., nodrošinot nepieciešamo apmācību un veicinot lielo datu sniegto iespēju plašāku izmantošanā komercdarbībā.</w:t>
      </w:r>
    </w:p>
    <w:p w14:paraId="6B4EA768" w14:textId="77777777" w:rsidR="001D363E" w:rsidRPr="00550D35" w:rsidRDefault="001D363E" w:rsidP="001D363E">
      <w:pPr>
        <w:rPr>
          <w:lang w:val="lv-LV"/>
        </w:rPr>
      </w:pPr>
      <w:r w:rsidRPr="00550D35">
        <w:rPr>
          <w:lang w:val="lv-LV"/>
        </w:rPr>
        <w:t>Ieviešot minētos pasākumus, tiks veicināta lielo datu risinājumu izmantošana komercdarbībā nacionālā līmenī, tādējādi veicinot komercdarbības digitālo izaugsmi, sniedzot ietekmi digitālās desmitgades rādītāju sasniegšanā lielo datu jomā.</w:t>
      </w:r>
    </w:p>
    <w:p w14:paraId="43793CB6" w14:textId="77777777" w:rsidR="001D363E" w:rsidRPr="00550D35" w:rsidRDefault="001D363E" w:rsidP="001D363E">
      <w:pPr>
        <w:pStyle w:val="Heading2"/>
        <w:rPr>
          <w:lang w:val="lv-LV"/>
        </w:rPr>
      </w:pPr>
      <w:r w:rsidRPr="00550D35">
        <w:rPr>
          <w:lang w:val="lv-LV"/>
        </w:rPr>
        <w:t>Ieinteresēto personu atsauksmes</w:t>
      </w:r>
    </w:p>
    <w:p w14:paraId="4125170F" w14:textId="77777777" w:rsidR="00C2183E" w:rsidRPr="00550D35" w:rsidRDefault="00C2183E" w:rsidP="00C2183E">
      <w:pPr>
        <w:rPr>
          <w:b/>
          <w:bCs/>
          <w:lang w:val="lv-LV"/>
        </w:rPr>
      </w:pPr>
      <w:r w:rsidRPr="00550D35">
        <w:rPr>
          <w:lang w:val="lv-LV"/>
        </w:rPr>
        <w:t xml:space="preserve">Par KPI “Lielie dati” </w:t>
      </w:r>
      <w:r w:rsidRPr="009C24BC">
        <w:rPr>
          <w:lang w:val="lv-LV"/>
        </w:rPr>
        <w:t xml:space="preserve">sadaļā norādītais vispārējās ietekmes </w:t>
      </w:r>
      <w:proofErr w:type="spellStart"/>
      <w:r w:rsidRPr="009C24BC">
        <w:rPr>
          <w:lang w:val="lv-LV"/>
        </w:rPr>
        <w:t>izvērtējums</w:t>
      </w:r>
      <w:proofErr w:type="spellEnd"/>
      <w:r w:rsidRPr="009C24BC">
        <w:rPr>
          <w:lang w:val="lv-LV"/>
        </w:rPr>
        <w:t xml:space="preserve"> un secinājumi, </w:t>
      </w:r>
      <w:proofErr w:type="spellStart"/>
      <w:r w:rsidRPr="009C24BC">
        <w:rPr>
          <w:lang w:val="lv-LV"/>
        </w:rPr>
        <w:t>mērķrādītāja</w:t>
      </w:r>
      <w:proofErr w:type="spellEnd"/>
      <w:r w:rsidRPr="009C24BC">
        <w:rPr>
          <w:lang w:val="lv-LV"/>
        </w:rPr>
        <w:t xml:space="preserve"> prognozes līdz 2030. gadam, identificētie izaicinājumi, galvenās </w:t>
      </w:r>
      <w:r w:rsidRPr="009C24BC">
        <w:rPr>
          <w:lang w:val="lv-LV"/>
        </w:rPr>
        <w:lastRenderedPageBreak/>
        <w:t>politikas, pasākumu un darbību, kas paredzētas, lai palīdzētu sasniegt vispārīgos mērķus, apraksts</w:t>
      </w:r>
      <w:r>
        <w:rPr>
          <w:lang w:val="lv-LV"/>
        </w:rPr>
        <w:t xml:space="preserve"> u.c.</w:t>
      </w:r>
      <w:r w:rsidRPr="009C24BC">
        <w:rPr>
          <w:lang w:val="lv-LV"/>
        </w:rPr>
        <w:t xml:space="preserve"> saskaņots ar LIKTA.</w:t>
      </w:r>
    </w:p>
    <w:p w14:paraId="2F5ECAB5" w14:textId="77777777" w:rsidR="001D363E" w:rsidRPr="00550D35" w:rsidRDefault="001D363E" w:rsidP="001D363E">
      <w:pPr>
        <w:pStyle w:val="Heading2"/>
        <w:rPr>
          <w:lang w:val="lv-LV"/>
        </w:rPr>
      </w:pPr>
      <w:r w:rsidRPr="00550D35">
        <w:rPr>
          <w:lang w:val="lv-LV"/>
        </w:rPr>
        <w:t>Vispārējā ietekme un secinājumi</w:t>
      </w:r>
    </w:p>
    <w:p w14:paraId="629358BE" w14:textId="77777777" w:rsidR="001D363E" w:rsidRPr="00550D35" w:rsidRDefault="001D363E" w:rsidP="001D363E">
      <w:pPr>
        <w:rPr>
          <w:lang w:val="lv-LV"/>
        </w:rPr>
      </w:pPr>
      <w:r w:rsidRPr="00550D35">
        <w:rPr>
          <w:lang w:val="lv-LV"/>
        </w:rPr>
        <w:t xml:space="preserve">Tiek veikti turpmāki pasākumi ar mērķi palielināt valsts pārvaldes un privātpersonu komercdarbības efektivitāti, efektīvi izmantojot </w:t>
      </w:r>
      <w:proofErr w:type="spellStart"/>
      <w:r w:rsidRPr="00550D35">
        <w:rPr>
          <w:lang w:val="lv-LV"/>
        </w:rPr>
        <w:t>mākoņdatošanas</w:t>
      </w:r>
      <w:proofErr w:type="spellEnd"/>
      <w:r w:rsidRPr="00550D35">
        <w:rPr>
          <w:lang w:val="lv-LV"/>
        </w:rPr>
        <w:t xml:space="preserve"> pakalpojumus, lai samazinātu administratīvo slogu un radītu komersantiem, t.sk. MVU, labvēlīgāku darbības vidi. Tiks veicinātas komersantu vadības prasmju, kas nepieciešamas darbam digitālās transformācijas apstākļos, t.sk., ikdienas darba procesu pārveide, atbilstoši digitālas ekonomikas iespējām, mudinot komercdarbībā izmantot lielo datu analītikas risinājumus.</w:t>
      </w:r>
    </w:p>
    <w:p w14:paraId="62188B66" w14:textId="1361CD3B" w:rsidR="00FF3326" w:rsidRPr="00550D35" w:rsidRDefault="001D363E" w:rsidP="00F76C8C">
      <w:pPr>
        <w:rPr>
          <w:lang w:val="lv-LV"/>
        </w:rPr>
      </w:pPr>
      <w:r w:rsidRPr="00550D35">
        <w:rPr>
          <w:lang w:val="lv-LV"/>
        </w:rPr>
        <w:t xml:space="preserve">Nodaļā KPI “Lielie dati” minētā politika un pasākumi sniegs ieguldījumu uzņēmumu </w:t>
      </w:r>
      <w:proofErr w:type="spellStart"/>
      <w:r w:rsidRPr="00550D35">
        <w:rPr>
          <w:lang w:val="lv-LV"/>
        </w:rPr>
        <w:t>digitalizācijas</w:t>
      </w:r>
      <w:proofErr w:type="spellEnd"/>
      <w:r w:rsidRPr="00550D35">
        <w:rPr>
          <w:lang w:val="lv-LV"/>
        </w:rPr>
        <w:t xml:space="preserve"> jomā, tai skaitā stiprinās digitālo tehnoloģiju izplatīšanas un izmantošanas centienus un īstenos stratēģijas, lai būtiski veicinātu jaunu progresīvu risinājumu izmantošanu MVU ekosistēmās, kā tas norādīts EK ieteikumā Digitālās dekādes 2023.gada ziņojumā par Latviju.</w:t>
      </w:r>
      <w:bookmarkStart w:id="30" w:name="_Toc135226624"/>
    </w:p>
    <w:p w14:paraId="7B20E5D4" w14:textId="67A63C6B" w:rsidR="002D569D" w:rsidRPr="00550D35" w:rsidRDefault="002D569D" w:rsidP="00B52E9B">
      <w:pPr>
        <w:pStyle w:val="Heading1"/>
      </w:pPr>
      <w:bookmarkStart w:id="31" w:name="_Toc155952342"/>
      <w:r w:rsidRPr="00550D35">
        <w:t>Mākslīgais intelekts</w:t>
      </w:r>
      <w:bookmarkEnd w:id="30"/>
      <w:bookmarkEnd w:id="31"/>
    </w:p>
    <w:p w14:paraId="48870EC5" w14:textId="15CBB16E" w:rsidR="005C5D74" w:rsidRPr="00550D35" w:rsidRDefault="00B87C78" w:rsidP="00C77FA0">
      <w:pPr>
        <w:pStyle w:val="mt-translation"/>
        <w:rPr>
          <w:i/>
          <w:iCs/>
        </w:rPr>
      </w:pPr>
      <w:r w:rsidRPr="00550D35">
        <w:rPr>
          <w:b/>
          <w:bCs/>
          <w:i/>
          <w:iCs/>
        </w:rPr>
        <w:t xml:space="preserve">Mākslīgais intelekts, </w:t>
      </w:r>
      <w:r w:rsidRPr="00550D35">
        <w:rPr>
          <w:i/>
          <w:iCs/>
        </w:rPr>
        <w:t>kas</w:t>
      </w:r>
      <w:r w:rsidR="00E97A4F" w:rsidRPr="00550D35">
        <w:rPr>
          <w:i/>
          <w:iCs/>
        </w:rPr>
        <w:t xml:space="preserve"> </w:t>
      </w:r>
      <w:r w:rsidR="002B3A0F" w:rsidRPr="00550D35">
        <w:rPr>
          <w:i/>
          <w:iCs/>
        </w:rPr>
        <w:t xml:space="preserve">tiek mērīts kā </w:t>
      </w:r>
      <w:r w:rsidR="00952BD3" w:rsidRPr="00550D35">
        <w:rPr>
          <w:i/>
          <w:iCs/>
        </w:rPr>
        <w:t>to uzņēmumu procentu, kuri izmanto vismaz vienu mākslīgā intelekta tehnoloģiju.</w:t>
      </w:r>
    </w:p>
    <w:p w14:paraId="5924253F" w14:textId="79C1B2F9" w:rsidR="00400CD6" w:rsidRPr="00550D35" w:rsidRDefault="00451149">
      <w:pPr>
        <w:pStyle w:val="Heading2"/>
        <w:rPr>
          <w:lang w:val="lv-LV"/>
        </w:rPr>
      </w:pPr>
      <w:r w:rsidRPr="00550D35">
        <w:rPr>
          <w:lang w:val="lv-LV"/>
        </w:rPr>
        <w:t>Analīze par pašreizē</w:t>
      </w:r>
      <w:r w:rsidR="00825973" w:rsidRPr="00550D35">
        <w:rPr>
          <w:lang w:val="lv-LV"/>
        </w:rPr>
        <w:t>j</w:t>
      </w:r>
      <w:r w:rsidRPr="00550D35">
        <w:rPr>
          <w:lang w:val="lv-LV"/>
        </w:rPr>
        <w:t>o stāvokli digitālās pārveides jomā dalībvalsts kontekstā</w:t>
      </w:r>
    </w:p>
    <w:p w14:paraId="48BEB8EE" w14:textId="46B9C701" w:rsidR="000C112C" w:rsidRPr="00550D35" w:rsidRDefault="0014589B" w:rsidP="007D47AD">
      <w:pPr>
        <w:rPr>
          <w:lang w:val="lv-LV"/>
        </w:rPr>
      </w:pPr>
      <w:r w:rsidRPr="00550D35">
        <w:rPr>
          <w:lang w:val="lv-LV"/>
        </w:rPr>
        <w:t>Saskaņā ar Digitālās dekādes 2023.gada ziņojumu par Latvij</w:t>
      </w:r>
      <w:r w:rsidR="009C3E81" w:rsidRPr="00550D35">
        <w:rPr>
          <w:lang w:val="lv-LV"/>
        </w:rPr>
        <w:t>u</w:t>
      </w:r>
      <w:r w:rsidRPr="00550D35">
        <w:rPr>
          <w:lang w:val="lv-LV"/>
        </w:rPr>
        <w:t xml:space="preserve"> veikums uzņēmumu </w:t>
      </w:r>
      <w:proofErr w:type="spellStart"/>
      <w:r w:rsidRPr="00550D35">
        <w:rPr>
          <w:lang w:val="lv-LV"/>
        </w:rPr>
        <w:t>digitalizācijas</w:t>
      </w:r>
      <w:proofErr w:type="spellEnd"/>
      <w:r w:rsidRPr="00550D35">
        <w:rPr>
          <w:lang w:val="lv-LV"/>
        </w:rPr>
        <w:t xml:space="preserve"> jomā </w:t>
      </w:r>
      <w:r w:rsidR="009C3E81" w:rsidRPr="00550D35">
        <w:rPr>
          <w:lang w:val="lv-LV"/>
        </w:rPr>
        <w:t xml:space="preserve">Latvijā </w:t>
      </w:r>
      <w:r w:rsidRPr="00550D35">
        <w:rPr>
          <w:lang w:val="lv-LV"/>
        </w:rPr>
        <w:t xml:space="preserve">joprojām nav pietiekams, lai sasniegtu Digitālās desmitgades mērķus un parāda ievērojamu uzlabojumu iespēju. Lai gan dažās jomās Latvija ir uzlabojusi rādītājus, </w:t>
      </w:r>
      <w:r w:rsidR="00DD3EEF" w:rsidRPr="00550D35">
        <w:rPr>
          <w:lang w:val="lv-LV"/>
        </w:rPr>
        <w:t xml:space="preserve">mākslīgo </w:t>
      </w:r>
      <w:r w:rsidR="008C4FF9" w:rsidRPr="00550D35">
        <w:rPr>
          <w:lang w:val="lv-LV"/>
        </w:rPr>
        <w:t xml:space="preserve">intelektu </w:t>
      </w:r>
      <w:r w:rsidRPr="00550D35">
        <w:rPr>
          <w:lang w:val="lv-LV"/>
        </w:rPr>
        <w:t xml:space="preserve">2021. gadā izmantoja tikai </w:t>
      </w:r>
      <w:r w:rsidR="008C4FF9" w:rsidRPr="00550D35">
        <w:rPr>
          <w:lang w:val="lv-LV"/>
        </w:rPr>
        <w:t>4</w:t>
      </w:r>
      <w:r w:rsidRPr="00550D35">
        <w:rPr>
          <w:lang w:val="lv-LV"/>
        </w:rPr>
        <w:t xml:space="preserve">% uzņēmumu, </w:t>
      </w:r>
      <w:r w:rsidR="008C4FF9" w:rsidRPr="00550D35">
        <w:rPr>
          <w:lang w:val="lv-LV"/>
        </w:rPr>
        <w:t xml:space="preserve">kas ir </w:t>
      </w:r>
      <w:r w:rsidRPr="00550D35">
        <w:rPr>
          <w:lang w:val="lv-LV"/>
        </w:rPr>
        <w:t>krietni zem ES vidēj</w:t>
      </w:r>
      <w:r w:rsidR="008C4FF9" w:rsidRPr="00550D35">
        <w:rPr>
          <w:lang w:val="lv-LV"/>
        </w:rPr>
        <w:t>ā</w:t>
      </w:r>
      <w:r w:rsidRPr="00550D35">
        <w:rPr>
          <w:lang w:val="lv-LV"/>
        </w:rPr>
        <w:t xml:space="preserve"> rādītāj</w:t>
      </w:r>
      <w:r w:rsidR="008C4FF9" w:rsidRPr="00550D35">
        <w:rPr>
          <w:lang w:val="lv-LV"/>
        </w:rPr>
        <w:t>a</w:t>
      </w:r>
      <w:r w:rsidRPr="00550D35">
        <w:rPr>
          <w:lang w:val="lv-LV"/>
        </w:rPr>
        <w:t>. Turpmākajos gados būs jāpieliek ievērojamas pūles, lai sasniegtu ES mērķus 2030.gadam - 75% uzņēmumu, kas izmanto mākslīgo intelektu</w:t>
      </w:r>
      <w:r w:rsidR="008C4FF9" w:rsidRPr="00550D35">
        <w:rPr>
          <w:lang w:val="lv-LV"/>
        </w:rPr>
        <w:t>.</w:t>
      </w:r>
    </w:p>
    <w:p w14:paraId="7485F4D1" w14:textId="75C9B953" w:rsidR="00AF798A" w:rsidRPr="00550D35" w:rsidRDefault="00AF798A" w:rsidP="00AF798A">
      <w:pPr>
        <w:rPr>
          <w:lang w:val="lv-LV" w:eastAsia="lv-LV"/>
        </w:rPr>
      </w:pPr>
      <w:r w:rsidRPr="00550D35">
        <w:rPr>
          <w:lang w:val="lv-LV"/>
        </w:rPr>
        <w:t xml:space="preserve">Digitālās dekādes 2023.gada ziņojumā par Latviju EK iesaka valstij ievērojami pastiprināt centienus uzņēmumu </w:t>
      </w:r>
      <w:proofErr w:type="spellStart"/>
      <w:r w:rsidRPr="00550D35">
        <w:rPr>
          <w:lang w:val="lv-LV"/>
        </w:rPr>
        <w:t>digitalizācijas</w:t>
      </w:r>
      <w:proofErr w:type="spellEnd"/>
      <w:r w:rsidRPr="00550D35">
        <w:rPr>
          <w:lang w:val="lv-LV"/>
        </w:rPr>
        <w:t xml:space="preserve"> jomā. Proti, Latvijai būtu jāstiprina digitālo tehnoloģiju izplatīšanas un izmantošanas centieni un gan valsts, gan privāto dalībnieku kopīgi izstrādāto stratēģiju īstenošana, lai būtiski veicinātu jaunu progresīvu risinājumu izmantošanu MVU ekosistēmās. </w:t>
      </w:r>
    </w:p>
    <w:p w14:paraId="1D275A6F" w14:textId="38C384B6" w:rsidR="007D47AD" w:rsidRPr="00550D35" w:rsidRDefault="007D47AD" w:rsidP="007D47AD">
      <w:pPr>
        <w:rPr>
          <w:rFonts w:eastAsiaTheme="minorHAnsi"/>
          <w:szCs w:val="24"/>
          <w:lang w:val="lv-LV"/>
        </w:rPr>
      </w:pPr>
      <w:r w:rsidRPr="00550D35">
        <w:rPr>
          <w:rFonts w:eastAsiaTheme="minorHAnsi"/>
          <w:szCs w:val="24"/>
          <w:lang w:val="lv-LV"/>
        </w:rPr>
        <w:t xml:space="preserve">IT ir izšķiroša loma visās tautsaimniecības nozarēs, tāpēc Latvija saskata šo nozari ar spēcīgu horizontālu ietekmi uz sabiedrību, nozari un </w:t>
      </w:r>
      <w:r w:rsidR="00030812" w:rsidRPr="00550D35">
        <w:rPr>
          <w:rFonts w:eastAsiaTheme="minorHAnsi"/>
          <w:szCs w:val="24"/>
          <w:lang w:val="lv-LV"/>
        </w:rPr>
        <w:t>komercdarbīb</w:t>
      </w:r>
      <w:r w:rsidRPr="00550D35">
        <w:rPr>
          <w:rFonts w:eastAsiaTheme="minorHAnsi"/>
          <w:szCs w:val="24"/>
          <w:lang w:val="lv-LV"/>
        </w:rPr>
        <w:t>as vidi. Latvijā ir vēsturiski spēcīga IT izglītības un biznesa ekosistēma, kas pēdējos gados ir būtiski augusi.</w:t>
      </w:r>
    </w:p>
    <w:p w14:paraId="5F1F6607" w14:textId="605FF4C5" w:rsidR="007D47AD" w:rsidRPr="00550D35" w:rsidRDefault="007D47AD" w:rsidP="00A97F8F">
      <w:pPr>
        <w:rPr>
          <w:rFonts w:eastAsiaTheme="minorHAnsi"/>
          <w:szCs w:val="24"/>
          <w:lang w:val="lv-LV"/>
        </w:rPr>
      </w:pPr>
      <w:r w:rsidRPr="00550D35">
        <w:rPr>
          <w:rFonts w:eastAsiaTheme="minorHAnsi"/>
          <w:szCs w:val="24"/>
          <w:lang w:val="lv-LV"/>
        </w:rPr>
        <w:t xml:space="preserve">Latvija ir globāli konkurētspējīga </w:t>
      </w:r>
      <w:proofErr w:type="spellStart"/>
      <w:r w:rsidRPr="00550D35">
        <w:rPr>
          <w:rFonts w:eastAsiaTheme="minorHAnsi"/>
          <w:szCs w:val="24"/>
          <w:lang w:val="lv-LV"/>
        </w:rPr>
        <w:t>daudzvalodu</w:t>
      </w:r>
      <w:proofErr w:type="spellEnd"/>
      <w:r w:rsidRPr="00550D35">
        <w:rPr>
          <w:rFonts w:eastAsiaTheme="minorHAnsi"/>
          <w:szCs w:val="24"/>
          <w:lang w:val="lv-LV"/>
        </w:rPr>
        <w:t xml:space="preserve"> mākslīgā intelekta risinājumos. </w:t>
      </w:r>
      <w:r w:rsidR="002B7B3B">
        <w:rPr>
          <w:rFonts w:eastAsiaTheme="minorHAnsi"/>
          <w:szCs w:val="24"/>
          <w:lang w:val="lv-LV"/>
        </w:rPr>
        <w:t>Kā p</w:t>
      </w:r>
      <w:r w:rsidRPr="00550D35">
        <w:rPr>
          <w:rFonts w:eastAsiaTheme="minorHAnsi"/>
          <w:szCs w:val="24"/>
          <w:lang w:val="lv-LV"/>
        </w:rPr>
        <w:t>iemēri</w:t>
      </w:r>
      <w:r w:rsidR="002B7B3B">
        <w:rPr>
          <w:rFonts w:eastAsiaTheme="minorHAnsi"/>
          <w:szCs w:val="24"/>
          <w:lang w:val="lv-LV"/>
        </w:rPr>
        <w:t xml:space="preserve"> minami</w:t>
      </w:r>
      <w:r w:rsidRPr="00550D35">
        <w:rPr>
          <w:rFonts w:eastAsiaTheme="minorHAnsi"/>
          <w:szCs w:val="24"/>
          <w:lang w:val="lv-LV"/>
        </w:rPr>
        <w:t xml:space="preserve"> </w:t>
      </w:r>
      <w:r w:rsidR="0082506C">
        <w:rPr>
          <w:rFonts w:eastAsiaTheme="minorHAnsi"/>
          <w:szCs w:val="24"/>
          <w:lang w:val="lv-LV"/>
        </w:rPr>
        <w:t>uzņēmum</w:t>
      </w:r>
      <w:r w:rsidR="005E07A3">
        <w:rPr>
          <w:rFonts w:eastAsiaTheme="minorHAnsi"/>
          <w:szCs w:val="24"/>
          <w:lang w:val="lv-LV"/>
        </w:rPr>
        <w:t>a</w:t>
      </w:r>
      <w:r w:rsidR="0082506C">
        <w:rPr>
          <w:rFonts w:eastAsiaTheme="minorHAnsi"/>
          <w:szCs w:val="24"/>
          <w:lang w:val="lv-LV"/>
        </w:rPr>
        <w:t xml:space="preserve"> “Tilde” </w:t>
      </w:r>
      <w:r w:rsidR="009F3944" w:rsidRPr="00550D35">
        <w:rPr>
          <w:lang w:val="lv-LV"/>
        </w:rPr>
        <w:t>valodu tehnoloģija</w:t>
      </w:r>
      <w:r w:rsidR="009F3944">
        <w:rPr>
          <w:lang w:val="lv-LV"/>
        </w:rPr>
        <w:t>s risinājumi, t.sk.,</w:t>
      </w:r>
      <w:r w:rsidR="009F3944" w:rsidRPr="00DD0FA1">
        <w:rPr>
          <w:rFonts w:eastAsiaTheme="minorHAnsi"/>
          <w:szCs w:val="24"/>
          <w:lang w:val="lv-LV"/>
        </w:rPr>
        <w:t xml:space="preserve"> </w:t>
      </w:r>
      <w:r w:rsidR="00DD0FA1" w:rsidRPr="00DD0FA1">
        <w:rPr>
          <w:rFonts w:eastAsiaTheme="minorHAnsi"/>
          <w:szCs w:val="24"/>
          <w:lang w:val="lv-LV"/>
        </w:rPr>
        <w:t>mākslīgā intelekta platforma</w:t>
      </w:r>
      <w:r w:rsidR="00DD0FA1" w:rsidRPr="00550D35">
        <w:rPr>
          <w:lang w:val="lv-LV"/>
        </w:rPr>
        <w:t xml:space="preserve"> </w:t>
      </w:r>
      <w:r w:rsidR="00DD0FA1">
        <w:rPr>
          <w:lang w:val="lv-LV"/>
        </w:rPr>
        <w:t>“</w:t>
      </w:r>
      <w:r w:rsidRPr="00550D35">
        <w:rPr>
          <w:lang w:val="lv-LV"/>
        </w:rPr>
        <w:t>Tilde.ai</w:t>
      </w:r>
      <w:r w:rsidR="00DD0FA1">
        <w:rPr>
          <w:lang w:val="lv-LV"/>
        </w:rPr>
        <w:t>”</w:t>
      </w:r>
      <w:r w:rsidRPr="00550D35">
        <w:rPr>
          <w:lang w:val="lv-LV"/>
        </w:rPr>
        <w:t xml:space="preserve"> un </w:t>
      </w:r>
      <w:proofErr w:type="spellStart"/>
      <w:r w:rsidR="009F3944">
        <w:rPr>
          <w:lang w:val="lv-LV"/>
        </w:rPr>
        <w:t>mašīntulkošanas</w:t>
      </w:r>
      <w:proofErr w:type="spellEnd"/>
      <w:r w:rsidR="009F3944">
        <w:rPr>
          <w:lang w:val="lv-LV"/>
        </w:rPr>
        <w:t xml:space="preserve"> platforma “</w:t>
      </w:r>
      <w:r w:rsidRPr="00550D35">
        <w:rPr>
          <w:lang w:val="lv-LV"/>
        </w:rPr>
        <w:t>Tilde MT</w:t>
      </w:r>
      <w:r w:rsidR="009F3944">
        <w:rPr>
          <w:lang w:val="lv-LV"/>
        </w:rPr>
        <w:t>”, ko</w:t>
      </w:r>
      <w:r w:rsidRPr="00550D35">
        <w:rPr>
          <w:lang w:val="lv-LV"/>
        </w:rPr>
        <w:t xml:space="preserve"> izmantoj</w:t>
      </w:r>
      <w:r w:rsidR="009F3944">
        <w:rPr>
          <w:lang w:val="lv-LV"/>
        </w:rPr>
        <w:t>ušas</w:t>
      </w:r>
      <w:r w:rsidRPr="00550D35">
        <w:rPr>
          <w:lang w:val="lv-LV"/>
        </w:rPr>
        <w:t xml:space="preserve"> </w:t>
      </w:r>
      <w:r w:rsidR="0C7A1B45" w:rsidRPr="00550D35">
        <w:rPr>
          <w:lang w:val="lv-LV"/>
        </w:rPr>
        <w:t>vairākas</w:t>
      </w:r>
      <w:r w:rsidR="63C0F68F" w:rsidRPr="00550D35">
        <w:rPr>
          <w:lang w:val="lv-LV"/>
        </w:rPr>
        <w:t xml:space="preserve"> prezidentūra</w:t>
      </w:r>
      <w:r w:rsidR="5FA850D3" w:rsidRPr="00550D35">
        <w:rPr>
          <w:lang w:val="lv-LV"/>
        </w:rPr>
        <w:t>s</w:t>
      </w:r>
      <w:r w:rsidRPr="00550D35">
        <w:rPr>
          <w:lang w:val="lv-LV"/>
        </w:rPr>
        <w:t xml:space="preserve"> ES</w:t>
      </w:r>
      <w:r w:rsidR="00FF2A38">
        <w:rPr>
          <w:lang w:val="lv-LV"/>
        </w:rPr>
        <w:t xml:space="preserve"> Padomē</w:t>
      </w:r>
      <w:r w:rsidRPr="00550D35">
        <w:rPr>
          <w:lang w:val="lv-LV"/>
        </w:rPr>
        <w:t xml:space="preserve">, kā arī to plāno izmantot Maltas, Somijas un citas valdības. </w:t>
      </w:r>
      <w:r w:rsidR="00EF77F4">
        <w:rPr>
          <w:lang w:val="lv-LV"/>
        </w:rPr>
        <w:t xml:space="preserve">Uzņēmums </w:t>
      </w:r>
      <w:proofErr w:type="spellStart"/>
      <w:r w:rsidRPr="00FF2A38">
        <w:rPr>
          <w:i/>
          <w:iCs/>
          <w:szCs w:val="24"/>
          <w:lang w:val="lv-LV"/>
        </w:rPr>
        <w:t>Smart</w:t>
      </w:r>
      <w:r w:rsidR="00EF77F4">
        <w:rPr>
          <w:i/>
          <w:iCs/>
          <w:szCs w:val="24"/>
          <w:lang w:val="lv-LV"/>
        </w:rPr>
        <w:t>O</w:t>
      </w:r>
      <w:r w:rsidRPr="00FF2A38">
        <w:rPr>
          <w:i/>
          <w:iCs/>
          <w:szCs w:val="24"/>
          <w:lang w:val="lv-LV"/>
        </w:rPr>
        <w:t>mica</w:t>
      </w:r>
      <w:proofErr w:type="spellEnd"/>
      <w:r w:rsidR="00F95A06">
        <w:rPr>
          <w:i/>
          <w:iCs/>
          <w:szCs w:val="24"/>
          <w:lang w:val="lv-LV"/>
        </w:rPr>
        <w:t xml:space="preserve"> </w:t>
      </w:r>
      <w:r w:rsidR="00F95A06" w:rsidRPr="00D828E9">
        <w:rPr>
          <w:szCs w:val="24"/>
          <w:lang w:val="lv-LV"/>
        </w:rPr>
        <w:t>piedāvā personalizēt</w:t>
      </w:r>
      <w:r w:rsidR="00D828E9" w:rsidRPr="00D828E9">
        <w:rPr>
          <w:szCs w:val="24"/>
          <w:lang w:val="lv-LV"/>
        </w:rPr>
        <w:t>ās medicīnas</w:t>
      </w:r>
      <w:r w:rsidR="00D828E9">
        <w:rPr>
          <w:i/>
          <w:iCs/>
          <w:szCs w:val="24"/>
          <w:lang w:val="lv-LV"/>
        </w:rPr>
        <w:t xml:space="preserve"> </w:t>
      </w:r>
      <w:r w:rsidR="00D828E9" w:rsidRPr="00D828E9">
        <w:rPr>
          <w:szCs w:val="24"/>
          <w:lang w:val="lv-LV"/>
        </w:rPr>
        <w:t>risinājumus</w:t>
      </w:r>
      <w:r w:rsidR="00D828E9">
        <w:rPr>
          <w:szCs w:val="24"/>
          <w:lang w:val="lv-LV"/>
        </w:rPr>
        <w:t xml:space="preserve">, t.sk., </w:t>
      </w:r>
      <w:r w:rsidR="00F95A06">
        <w:rPr>
          <w:szCs w:val="24"/>
          <w:lang w:val="lv-LV"/>
        </w:rPr>
        <w:t>M</w:t>
      </w:r>
      <w:r w:rsidRPr="00550D35">
        <w:rPr>
          <w:szCs w:val="24"/>
          <w:lang w:val="lv-LV"/>
        </w:rPr>
        <w:t xml:space="preserve">I </w:t>
      </w:r>
      <w:r w:rsidR="00F95A06">
        <w:rPr>
          <w:szCs w:val="24"/>
          <w:lang w:val="lv-LV"/>
        </w:rPr>
        <w:t>risinājumu izmantošanu</w:t>
      </w:r>
      <w:r w:rsidR="00D828E9">
        <w:rPr>
          <w:szCs w:val="24"/>
          <w:lang w:val="lv-LV"/>
        </w:rPr>
        <w:t xml:space="preserve"> </w:t>
      </w:r>
      <w:r w:rsidRPr="00550D35">
        <w:rPr>
          <w:szCs w:val="24"/>
          <w:lang w:val="lv-LV"/>
        </w:rPr>
        <w:t>onkoloģi</w:t>
      </w:r>
      <w:r w:rsidR="00D828E9">
        <w:rPr>
          <w:szCs w:val="24"/>
          <w:lang w:val="lv-LV"/>
        </w:rPr>
        <w:t>sko slimību</w:t>
      </w:r>
      <w:r w:rsidRPr="00550D35">
        <w:rPr>
          <w:szCs w:val="24"/>
          <w:lang w:val="lv-LV"/>
        </w:rPr>
        <w:t xml:space="preserve"> ārstēšanā</w:t>
      </w:r>
      <w:r w:rsidR="009864BC">
        <w:rPr>
          <w:szCs w:val="24"/>
          <w:lang w:val="lv-LV"/>
        </w:rPr>
        <w:t>.</w:t>
      </w:r>
      <w:r w:rsidR="002B6BEC" w:rsidRPr="00550D35">
        <w:rPr>
          <w:szCs w:val="24"/>
          <w:lang w:val="lv-LV"/>
        </w:rPr>
        <w:t xml:space="preserve"> </w:t>
      </w:r>
      <w:r w:rsidR="00D828E9">
        <w:rPr>
          <w:szCs w:val="24"/>
          <w:lang w:val="lv-LV"/>
        </w:rPr>
        <w:t>Uzņēmums “</w:t>
      </w:r>
      <w:proofErr w:type="spellStart"/>
      <w:r w:rsidRPr="00FF2A38">
        <w:rPr>
          <w:i/>
          <w:iCs/>
          <w:szCs w:val="24"/>
          <w:lang w:val="lv-LV"/>
        </w:rPr>
        <w:t>WeAreDots</w:t>
      </w:r>
      <w:proofErr w:type="spellEnd"/>
      <w:r w:rsidR="00D828E9">
        <w:rPr>
          <w:szCs w:val="24"/>
          <w:lang w:val="lv-LV"/>
        </w:rPr>
        <w:t>”</w:t>
      </w:r>
      <w:r w:rsidRPr="00550D35">
        <w:rPr>
          <w:szCs w:val="24"/>
          <w:lang w:val="lv-LV"/>
        </w:rPr>
        <w:t xml:space="preserve"> </w:t>
      </w:r>
      <w:r w:rsidR="009864BC">
        <w:rPr>
          <w:szCs w:val="24"/>
          <w:lang w:val="lv-LV"/>
        </w:rPr>
        <w:t xml:space="preserve">ir </w:t>
      </w:r>
      <w:r w:rsidR="00D828E9">
        <w:rPr>
          <w:szCs w:val="24"/>
          <w:lang w:val="lv-LV"/>
        </w:rPr>
        <w:t xml:space="preserve">izstrādājis </w:t>
      </w:r>
      <w:r w:rsidRPr="00550D35">
        <w:rPr>
          <w:szCs w:val="24"/>
          <w:lang w:val="lv-LV"/>
        </w:rPr>
        <w:t>integrēt</w:t>
      </w:r>
      <w:r w:rsidR="00D828E9">
        <w:rPr>
          <w:szCs w:val="24"/>
          <w:lang w:val="lv-LV"/>
        </w:rPr>
        <w:t>u</w:t>
      </w:r>
      <w:r w:rsidRPr="00550D35">
        <w:rPr>
          <w:szCs w:val="24"/>
          <w:lang w:val="lv-LV"/>
        </w:rPr>
        <w:t xml:space="preserve"> GPT-4 (</w:t>
      </w:r>
      <w:r w:rsidR="00D828E9">
        <w:rPr>
          <w:szCs w:val="24"/>
          <w:lang w:val="lv-LV"/>
        </w:rPr>
        <w:t>M</w:t>
      </w:r>
      <w:r w:rsidRPr="00550D35">
        <w:rPr>
          <w:szCs w:val="24"/>
          <w:lang w:val="lv-LV"/>
        </w:rPr>
        <w:t xml:space="preserve">I) valodas modeli ar mācību palīgu </w:t>
      </w:r>
      <w:proofErr w:type="spellStart"/>
      <w:r w:rsidRPr="00EC0975">
        <w:rPr>
          <w:i/>
          <w:iCs/>
          <w:szCs w:val="24"/>
          <w:lang w:val="lv-LV"/>
        </w:rPr>
        <w:t>Intervy</w:t>
      </w:r>
      <w:proofErr w:type="spellEnd"/>
      <w:r w:rsidR="0064001F">
        <w:rPr>
          <w:szCs w:val="24"/>
          <w:lang w:val="lv-LV"/>
        </w:rPr>
        <w:t>. Uzņēmum</w:t>
      </w:r>
      <w:r w:rsidR="002E6CF2">
        <w:rPr>
          <w:szCs w:val="24"/>
          <w:lang w:val="lv-LV"/>
        </w:rPr>
        <w:t>s</w:t>
      </w:r>
      <w:r w:rsidR="0064001F">
        <w:rPr>
          <w:szCs w:val="24"/>
          <w:lang w:val="lv-LV"/>
        </w:rPr>
        <w:t xml:space="preserve"> “</w:t>
      </w:r>
      <w:proofErr w:type="spellStart"/>
      <w:r w:rsidRPr="00FF2A38">
        <w:rPr>
          <w:i/>
          <w:iCs/>
          <w:szCs w:val="24"/>
          <w:lang w:val="lv-LV"/>
        </w:rPr>
        <w:t>Waterson</w:t>
      </w:r>
      <w:proofErr w:type="spellEnd"/>
      <w:r w:rsidRPr="00FF2A38">
        <w:rPr>
          <w:i/>
          <w:iCs/>
          <w:szCs w:val="24"/>
          <w:lang w:val="lv-LV"/>
        </w:rPr>
        <w:t xml:space="preserve"> Technologies</w:t>
      </w:r>
      <w:r w:rsidR="0064001F">
        <w:rPr>
          <w:i/>
          <w:iCs/>
          <w:szCs w:val="24"/>
          <w:lang w:val="lv-LV"/>
        </w:rPr>
        <w:t>”</w:t>
      </w:r>
      <w:r w:rsidR="0064001F">
        <w:rPr>
          <w:szCs w:val="24"/>
          <w:lang w:val="lv-LV"/>
        </w:rPr>
        <w:t xml:space="preserve"> izstrādā </w:t>
      </w:r>
      <w:r w:rsidR="00FF2A38">
        <w:rPr>
          <w:szCs w:val="24"/>
          <w:lang w:val="lv-LV"/>
        </w:rPr>
        <w:t>M</w:t>
      </w:r>
      <w:r w:rsidRPr="00550D35">
        <w:rPr>
          <w:szCs w:val="24"/>
          <w:lang w:val="lv-LV"/>
        </w:rPr>
        <w:t>I</w:t>
      </w:r>
      <w:r w:rsidR="0064001F">
        <w:rPr>
          <w:szCs w:val="24"/>
          <w:lang w:val="lv-LV"/>
        </w:rPr>
        <w:t xml:space="preserve"> risinājumus </w:t>
      </w:r>
      <w:r w:rsidRPr="00550D35">
        <w:rPr>
          <w:szCs w:val="24"/>
          <w:lang w:val="lv-LV"/>
        </w:rPr>
        <w:t>ūdens kvalitāt</w:t>
      </w:r>
      <w:r w:rsidR="0064001F">
        <w:rPr>
          <w:szCs w:val="24"/>
          <w:lang w:val="lv-LV"/>
        </w:rPr>
        <w:t>es</w:t>
      </w:r>
      <w:r w:rsidR="0064001F" w:rsidRPr="0064001F">
        <w:rPr>
          <w:szCs w:val="24"/>
          <w:lang w:val="lv-LV"/>
        </w:rPr>
        <w:t xml:space="preserve"> </w:t>
      </w:r>
      <w:r w:rsidR="0064001F" w:rsidRPr="00550D35">
        <w:rPr>
          <w:szCs w:val="24"/>
          <w:lang w:val="lv-LV"/>
        </w:rPr>
        <w:t>uzraudz</w:t>
      </w:r>
      <w:r w:rsidR="0064001F">
        <w:rPr>
          <w:szCs w:val="24"/>
          <w:lang w:val="lv-LV"/>
        </w:rPr>
        <w:t>īšanai.</w:t>
      </w:r>
      <w:r w:rsidR="002B6BEC" w:rsidRPr="00550D35">
        <w:rPr>
          <w:szCs w:val="24"/>
          <w:lang w:val="lv-LV"/>
        </w:rPr>
        <w:t xml:space="preserve"> </w:t>
      </w:r>
      <w:r w:rsidR="0064001F">
        <w:rPr>
          <w:szCs w:val="24"/>
          <w:lang w:val="lv-LV"/>
        </w:rPr>
        <w:t>Uzņēmums “</w:t>
      </w:r>
      <w:proofErr w:type="spellStart"/>
      <w:r w:rsidRPr="00FF2A38">
        <w:rPr>
          <w:i/>
          <w:iCs/>
          <w:szCs w:val="24"/>
          <w:lang w:val="lv-LV"/>
        </w:rPr>
        <w:t>Fyma</w:t>
      </w:r>
      <w:proofErr w:type="spellEnd"/>
      <w:r w:rsidR="0064001F">
        <w:rPr>
          <w:i/>
          <w:iCs/>
          <w:szCs w:val="24"/>
          <w:lang w:val="lv-LV"/>
        </w:rPr>
        <w:t>”</w:t>
      </w:r>
      <w:r w:rsidRPr="00550D35">
        <w:rPr>
          <w:szCs w:val="24"/>
          <w:lang w:val="lv-LV"/>
        </w:rPr>
        <w:t xml:space="preserve"> un </w:t>
      </w:r>
      <w:r w:rsidR="00EC38CC" w:rsidRPr="00550D35">
        <w:rPr>
          <w:szCs w:val="24"/>
          <w:lang w:val="lv-LV"/>
        </w:rPr>
        <w:t>SIA “</w:t>
      </w:r>
      <w:r w:rsidRPr="00550D35">
        <w:rPr>
          <w:szCs w:val="24"/>
          <w:lang w:val="lv-LV"/>
        </w:rPr>
        <w:t>LMT</w:t>
      </w:r>
      <w:r w:rsidR="00EC38CC" w:rsidRPr="00550D35">
        <w:rPr>
          <w:szCs w:val="24"/>
          <w:lang w:val="lv-LV"/>
        </w:rPr>
        <w:t>”</w:t>
      </w:r>
      <w:r w:rsidR="0064001F">
        <w:rPr>
          <w:szCs w:val="24"/>
          <w:lang w:val="lv-LV"/>
        </w:rPr>
        <w:t xml:space="preserve"> </w:t>
      </w:r>
      <w:r w:rsidRPr="00550D35">
        <w:rPr>
          <w:szCs w:val="24"/>
          <w:lang w:val="lv-LV"/>
        </w:rPr>
        <w:t xml:space="preserve"> </w:t>
      </w:r>
      <w:r w:rsidR="003D04D1">
        <w:rPr>
          <w:szCs w:val="24"/>
          <w:lang w:val="lv-LV"/>
        </w:rPr>
        <w:t xml:space="preserve">piedāvā </w:t>
      </w:r>
      <w:r w:rsidR="00FF2A38">
        <w:rPr>
          <w:szCs w:val="24"/>
          <w:lang w:val="lv-LV"/>
        </w:rPr>
        <w:t>MI</w:t>
      </w:r>
      <w:r w:rsidRPr="00550D35">
        <w:rPr>
          <w:szCs w:val="24"/>
          <w:lang w:val="lv-LV"/>
        </w:rPr>
        <w:t xml:space="preserve"> balstīt</w:t>
      </w:r>
      <w:r w:rsidR="003D04D1">
        <w:rPr>
          <w:szCs w:val="24"/>
          <w:lang w:val="lv-LV"/>
        </w:rPr>
        <w:t>u</w:t>
      </w:r>
      <w:r w:rsidR="00B336B1">
        <w:rPr>
          <w:szCs w:val="24"/>
          <w:lang w:val="lv-LV"/>
        </w:rPr>
        <w:t xml:space="preserve"> </w:t>
      </w:r>
      <w:r w:rsidR="00B95D30">
        <w:rPr>
          <w:szCs w:val="24"/>
          <w:lang w:val="lv-LV"/>
        </w:rPr>
        <w:t>satiksmes intensitātes</w:t>
      </w:r>
      <w:r w:rsidRPr="00550D35">
        <w:rPr>
          <w:szCs w:val="24"/>
          <w:lang w:val="lv-LV"/>
        </w:rPr>
        <w:t xml:space="preserve"> analīze</w:t>
      </w:r>
      <w:r w:rsidR="00B336B1">
        <w:rPr>
          <w:szCs w:val="24"/>
          <w:lang w:val="lv-LV"/>
        </w:rPr>
        <w:t>s platformu</w:t>
      </w:r>
      <w:r w:rsidR="009B2B4B">
        <w:rPr>
          <w:szCs w:val="24"/>
          <w:lang w:val="lv-LV"/>
        </w:rPr>
        <w:t>.</w:t>
      </w:r>
      <w:r w:rsidR="002B6BEC" w:rsidRPr="00550D35">
        <w:rPr>
          <w:szCs w:val="24"/>
          <w:lang w:val="lv-LV"/>
        </w:rPr>
        <w:t xml:space="preserve"> </w:t>
      </w:r>
      <w:r w:rsidR="009B2B4B">
        <w:rPr>
          <w:szCs w:val="24"/>
          <w:lang w:val="lv-LV"/>
        </w:rPr>
        <w:t>Uzņēmums</w:t>
      </w:r>
      <w:r w:rsidR="00B95D30">
        <w:rPr>
          <w:szCs w:val="24"/>
          <w:lang w:val="lv-LV"/>
        </w:rPr>
        <w:t xml:space="preserve"> </w:t>
      </w:r>
      <w:r w:rsidR="003C46EE">
        <w:rPr>
          <w:szCs w:val="24"/>
          <w:lang w:val="lv-LV"/>
        </w:rPr>
        <w:t>“</w:t>
      </w:r>
      <w:r w:rsidRPr="003E46C4">
        <w:rPr>
          <w:i/>
          <w:iCs/>
          <w:szCs w:val="24"/>
          <w:lang w:val="lv-LV"/>
        </w:rPr>
        <w:t>CopyMonkey.ai</w:t>
      </w:r>
      <w:r w:rsidR="003C46EE">
        <w:rPr>
          <w:i/>
          <w:iCs/>
          <w:szCs w:val="24"/>
          <w:lang w:val="lv-LV"/>
        </w:rPr>
        <w:t>”</w:t>
      </w:r>
      <w:r w:rsidR="009864BC">
        <w:rPr>
          <w:szCs w:val="24"/>
          <w:lang w:val="lv-LV"/>
        </w:rPr>
        <w:t>, “</w:t>
      </w:r>
      <w:proofErr w:type="spellStart"/>
      <w:r w:rsidR="009864BC" w:rsidRPr="009864BC">
        <w:rPr>
          <w:i/>
          <w:iCs/>
          <w:szCs w:val="24"/>
          <w:lang w:val="lv-LV"/>
        </w:rPr>
        <w:t>Emerge</w:t>
      </w:r>
      <w:proofErr w:type="spellEnd"/>
      <w:r w:rsidR="009864BC">
        <w:rPr>
          <w:i/>
          <w:iCs/>
          <w:szCs w:val="24"/>
          <w:lang w:val="lv-LV"/>
        </w:rPr>
        <w:t>”</w:t>
      </w:r>
      <w:r w:rsidR="009864BC" w:rsidRPr="00550D35">
        <w:rPr>
          <w:szCs w:val="24"/>
          <w:lang w:val="lv-LV"/>
        </w:rPr>
        <w:t xml:space="preserve"> konferences izaicinājuma uzvarētājs</w:t>
      </w:r>
      <w:r w:rsidR="009864BC">
        <w:rPr>
          <w:szCs w:val="24"/>
          <w:lang w:val="lv-LV"/>
        </w:rPr>
        <w:t xml:space="preserve">, piedāvā </w:t>
      </w:r>
      <w:r w:rsidR="003E46C4">
        <w:rPr>
          <w:szCs w:val="24"/>
          <w:lang w:val="lv-LV"/>
        </w:rPr>
        <w:t>M</w:t>
      </w:r>
      <w:r w:rsidRPr="00550D35">
        <w:rPr>
          <w:szCs w:val="24"/>
          <w:lang w:val="lv-LV"/>
        </w:rPr>
        <w:t xml:space="preserve">I </w:t>
      </w:r>
      <w:r w:rsidR="009864BC">
        <w:rPr>
          <w:szCs w:val="24"/>
          <w:lang w:val="lv-LV"/>
        </w:rPr>
        <w:t xml:space="preserve">risinājumus </w:t>
      </w:r>
      <w:r w:rsidRPr="00550D35">
        <w:rPr>
          <w:szCs w:val="24"/>
          <w:lang w:val="lv-LV"/>
        </w:rPr>
        <w:t>satura ģenerēšanai e-komercijā</w:t>
      </w:r>
      <w:r w:rsidR="009864BC">
        <w:rPr>
          <w:szCs w:val="24"/>
          <w:lang w:val="lv-LV"/>
        </w:rPr>
        <w:t>. Uzņēmum</w:t>
      </w:r>
      <w:r w:rsidR="002E6CF2">
        <w:rPr>
          <w:szCs w:val="24"/>
          <w:lang w:val="lv-LV"/>
        </w:rPr>
        <w:t>s</w:t>
      </w:r>
      <w:r w:rsidR="009864BC">
        <w:rPr>
          <w:szCs w:val="24"/>
          <w:lang w:val="lv-LV"/>
        </w:rPr>
        <w:t xml:space="preserve"> “</w:t>
      </w:r>
      <w:proofErr w:type="spellStart"/>
      <w:r w:rsidRPr="003E46C4">
        <w:rPr>
          <w:i/>
          <w:iCs/>
          <w:szCs w:val="24"/>
          <w:lang w:val="lv-LV"/>
        </w:rPr>
        <w:t>eStepControl</w:t>
      </w:r>
      <w:proofErr w:type="spellEnd"/>
      <w:r w:rsidR="009864BC">
        <w:rPr>
          <w:szCs w:val="24"/>
          <w:lang w:val="lv-LV"/>
        </w:rPr>
        <w:t>”</w:t>
      </w:r>
      <w:r w:rsidRPr="00550D35">
        <w:rPr>
          <w:szCs w:val="24"/>
          <w:lang w:val="lv-LV"/>
        </w:rPr>
        <w:t xml:space="preserve"> </w:t>
      </w:r>
      <w:r w:rsidR="0032724D">
        <w:rPr>
          <w:szCs w:val="24"/>
          <w:lang w:val="lv-LV"/>
        </w:rPr>
        <w:t xml:space="preserve">piedāvā </w:t>
      </w:r>
      <w:r w:rsidR="009864BC">
        <w:rPr>
          <w:szCs w:val="24"/>
          <w:lang w:val="lv-LV"/>
        </w:rPr>
        <w:t>MI risinājum</w:t>
      </w:r>
      <w:r w:rsidR="0032724D">
        <w:rPr>
          <w:szCs w:val="24"/>
          <w:lang w:val="lv-LV"/>
        </w:rPr>
        <w:t>us</w:t>
      </w:r>
      <w:r w:rsidR="009864BC">
        <w:rPr>
          <w:szCs w:val="24"/>
          <w:lang w:val="lv-LV"/>
        </w:rPr>
        <w:t xml:space="preserve"> </w:t>
      </w:r>
      <w:r w:rsidRPr="00550D35">
        <w:rPr>
          <w:szCs w:val="24"/>
          <w:lang w:val="lv-LV"/>
        </w:rPr>
        <w:t>informācijas sistēmas lietotāju aizdomīgu darbību identificēšana</w:t>
      </w:r>
      <w:r w:rsidR="0032724D">
        <w:rPr>
          <w:szCs w:val="24"/>
          <w:lang w:val="lv-LV"/>
        </w:rPr>
        <w:t>i.</w:t>
      </w:r>
      <w:r w:rsidR="002B6BEC" w:rsidRPr="00550D35">
        <w:rPr>
          <w:szCs w:val="24"/>
          <w:lang w:val="lv-LV"/>
        </w:rPr>
        <w:t xml:space="preserve"> </w:t>
      </w:r>
      <w:r w:rsidR="0032724D">
        <w:rPr>
          <w:szCs w:val="24"/>
          <w:lang w:val="lv-LV"/>
        </w:rPr>
        <w:t>Uzņēmum</w:t>
      </w:r>
      <w:r w:rsidR="002E6CF2">
        <w:rPr>
          <w:szCs w:val="24"/>
          <w:lang w:val="lv-LV"/>
        </w:rPr>
        <w:t>s</w:t>
      </w:r>
      <w:r w:rsidR="0032724D">
        <w:rPr>
          <w:szCs w:val="24"/>
          <w:lang w:val="lv-LV"/>
        </w:rPr>
        <w:t xml:space="preserve"> “</w:t>
      </w:r>
      <w:proofErr w:type="spellStart"/>
      <w:r w:rsidRPr="003E46C4">
        <w:rPr>
          <w:i/>
          <w:iCs/>
          <w:szCs w:val="24"/>
          <w:lang w:val="lv-LV"/>
        </w:rPr>
        <w:t>SMARTRetail</w:t>
      </w:r>
      <w:proofErr w:type="spellEnd"/>
      <w:r w:rsidR="0032724D">
        <w:rPr>
          <w:szCs w:val="24"/>
          <w:lang w:val="lv-LV"/>
        </w:rPr>
        <w:t>”</w:t>
      </w:r>
      <w:r w:rsidRPr="00550D35">
        <w:rPr>
          <w:szCs w:val="24"/>
          <w:lang w:val="lv-LV"/>
        </w:rPr>
        <w:t xml:space="preserve"> </w:t>
      </w:r>
      <w:r w:rsidR="002E6CF2">
        <w:rPr>
          <w:szCs w:val="24"/>
          <w:lang w:val="lv-LV"/>
        </w:rPr>
        <w:t xml:space="preserve">nodrošina risinājumus </w:t>
      </w:r>
      <w:r w:rsidRPr="00550D35">
        <w:rPr>
          <w:szCs w:val="24"/>
          <w:lang w:val="lv-LV"/>
        </w:rPr>
        <w:t xml:space="preserve">mazumtirdzniecības drošības </w:t>
      </w:r>
      <w:r w:rsidRPr="00550D35">
        <w:rPr>
          <w:szCs w:val="24"/>
          <w:lang w:val="lv-LV"/>
        </w:rPr>
        <w:lastRenderedPageBreak/>
        <w:t>automatizācij</w:t>
      </w:r>
      <w:r w:rsidR="002E6CF2">
        <w:rPr>
          <w:szCs w:val="24"/>
          <w:lang w:val="lv-LV"/>
        </w:rPr>
        <w:t>ai</w:t>
      </w:r>
      <w:r w:rsidRPr="00550D35">
        <w:rPr>
          <w:szCs w:val="24"/>
          <w:lang w:val="lv-LV"/>
        </w:rPr>
        <w:t xml:space="preserve"> (zādzību atklāšana</w:t>
      </w:r>
      <w:r w:rsidR="002E6CF2">
        <w:rPr>
          <w:szCs w:val="24"/>
          <w:lang w:val="lv-LV"/>
        </w:rPr>
        <w:t>i</w:t>
      </w:r>
      <w:r w:rsidRPr="00550D35">
        <w:rPr>
          <w:szCs w:val="24"/>
          <w:lang w:val="lv-LV"/>
        </w:rPr>
        <w:t>, vērtīgu īpašumu aizsardzība</w:t>
      </w:r>
      <w:r w:rsidR="002E6CF2">
        <w:rPr>
          <w:szCs w:val="24"/>
          <w:lang w:val="lv-LV"/>
        </w:rPr>
        <w:t>i</w:t>
      </w:r>
      <w:r w:rsidRPr="00550D35">
        <w:rPr>
          <w:szCs w:val="24"/>
          <w:lang w:val="lv-LV"/>
        </w:rPr>
        <w:t>)</w:t>
      </w:r>
      <w:r w:rsidR="002B6BEC" w:rsidRPr="00550D35">
        <w:rPr>
          <w:szCs w:val="24"/>
          <w:lang w:val="lv-LV"/>
        </w:rPr>
        <w:t xml:space="preserve">; </w:t>
      </w:r>
      <w:r w:rsidR="008D7C4E">
        <w:rPr>
          <w:szCs w:val="24"/>
          <w:lang w:val="lv-LV"/>
        </w:rPr>
        <w:t>Uzņēmums “</w:t>
      </w:r>
      <w:proofErr w:type="spellStart"/>
      <w:r w:rsidR="002D1A85">
        <w:rPr>
          <w:szCs w:val="24"/>
          <w:lang w:val="lv-LV"/>
        </w:rPr>
        <w:t>Kleintech</w:t>
      </w:r>
      <w:proofErr w:type="spellEnd"/>
      <w:r w:rsidR="002D1A85">
        <w:rPr>
          <w:szCs w:val="24"/>
          <w:lang w:val="lv-LV"/>
        </w:rPr>
        <w:t xml:space="preserve"> Services” piedāvā</w:t>
      </w:r>
      <w:r w:rsidR="008D7C4E">
        <w:rPr>
          <w:szCs w:val="24"/>
          <w:lang w:val="lv-LV"/>
        </w:rPr>
        <w:t xml:space="preserve"> </w:t>
      </w:r>
      <w:r w:rsidR="002D1A85">
        <w:rPr>
          <w:szCs w:val="24"/>
          <w:lang w:val="lv-LV"/>
        </w:rPr>
        <w:t xml:space="preserve"> </w:t>
      </w:r>
      <w:r w:rsidR="002D1A85" w:rsidRPr="00550D35">
        <w:rPr>
          <w:szCs w:val="24"/>
          <w:lang w:val="lv-LV"/>
        </w:rPr>
        <w:t>vilcienu un kravu pārbaudes sistēm</w:t>
      </w:r>
      <w:r w:rsidR="00B44A7F">
        <w:rPr>
          <w:szCs w:val="24"/>
          <w:lang w:val="lv-LV"/>
        </w:rPr>
        <w:t xml:space="preserve">u </w:t>
      </w:r>
      <w:r w:rsidR="008D7C4E">
        <w:rPr>
          <w:szCs w:val="24"/>
          <w:lang w:val="lv-LV"/>
        </w:rPr>
        <w:t>“</w:t>
      </w:r>
      <w:proofErr w:type="spellStart"/>
      <w:r w:rsidRPr="003E46C4">
        <w:rPr>
          <w:i/>
          <w:iCs/>
          <w:szCs w:val="24"/>
          <w:lang w:val="lv-LV"/>
        </w:rPr>
        <w:t>TrainINSPECT</w:t>
      </w:r>
      <w:proofErr w:type="spellEnd"/>
      <w:r w:rsidRPr="003E46C4">
        <w:rPr>
          <w:i/>
          <w:iCs/>
          <w:szCs w:val="24"/>
          <w:lang w:val="lv-LV"/>
        </w:rPr>
        <w:t xml:space="preserve"> &amp; </w:t>
      </w:r>
      <w:proofErr w:type="spellStart"/>
      <w:r w:rsidRPr="003E46C4">
        <w:rPr>
          <w:i/>
          <w:iCs/>
          <w:szCs w:val="24"/>
          <w:lang w:val="lv-LV"/>
        </w:rPr>
        <w:t>VehicleINSPECT</w:t>
      </w:r>
      <w:proofErr w:type="spellEnd"/>
      <w:r w:rsidR="00A97F8F" w:rsidRPr="00550D35">
        <w:rPr>
          <w:szCs w:val="24"/>
          <w:lang w:val="lv-LV"/>
        </w:rPr>
        <w:t xml:space="preserve">; </w:t>
      </w:r>
      <w:r w:rsidR="00F77D63">
        <w:rPr>
          <w:szCs w:val="24"/>
          <w:lang w:val="lv-LV"/>
        </w:rPr>
        <w:t>Uzņēmum</w:t>
      </w:r>
      <w:r w:rsidR="00B44A7F">
        <w:rPr>
          <w:szCs w:val="24"/>
          <w:lang w:val="lv-LV"/>
        </w:rPr>
        <w:t>a</w:t>
      </w:r>
      <w:r w:rsidR="00F77D63">
        <w:rPr>
          <w:szCs w:val="24"/>
          <w:lang w:val="lv-LV"/>
        </w:rPr>
        <w:t xml:space="preserve"> “</w:t>
      </w:r>
      <w:proofErr w:type="spellStart"/>
      <w:r w:rsidRPr="003E46C4">
        <w:rPr>
          <w:i/>
          <w:iCs/>
          <w:szCs w:val="24"/>
          <w:lang w:val="lv-LV"/>
        </w:rPr>
        <w:t>Squalio</w:t>
      </w:r>
      <w:proofErr w:type="spellEnd"/>
      <w:r w:rsidR="00F77D63">
        <w:rPr>
          <w:i/>
          <w:iCs/>
          <w:szCs w:val="24"/>
          <w:lang w:val="lv-LV"/>
        </w:rPr>
        <w:t>”</w:t>
      </w:r>
      <w:r w:rsidRPr="003E46C4">
        <w:rPr>
          <w:i/>
          <w:iCs/>
          <w:szCs w:val="24"/>
          <w:lang w:val="lv-LV"/>
        </w:rPr>
        <w:t xml:space="preserve"> (</w:t>
      </w:r>
      <w:proofErr w:type="spellStart"/>
      <w:r w:rsidRPr="003E46C4">
        <w:rPr>
          <w:i/>
          <w:iCs/>
          <w:szCs w:val="24"/>
          <w:lang w:val="lv-LV"/>
        </w:rPr>
        <w:t>ex</w:t>
      </w:r>
      <w:proofErr w:type="spellEnd"/>
      <w:r w:rsidRPr="003E46C4">
        <w:rPr>
          <w:i/>
          <w:iCs/>
          <w:szCs w:val="24"/>
          <w:lang w:val="lv-LV"/>
        </w:rPr>
        <w:t>-DOTS)</w:t>
      </w:r>
      <w:r w:rsidR="00F77D63">
        <w:rPr>
          <w:szCs w:val="24"/>
          <w:lang w:val="lv-LV"/>
        </w:rPr>
        <w:t xml:space="preserve"> nākotnes </w:t>
      </w:r>
      <w:r w:rsidR="008F6272">
        <w:rPr>
          <w:szCs w:val="24"/>
          <w:lang w:val="lv-LV"/>
        </w:rPr>
        <w:t>inteliģento transporta sistēmas risinājumu (</w:t>
      </w:r>
      <w:proofErr w:type="spellStart"/>
      <w:r w:rsidRPr="003E46C4">
        <w:rPr>
          <w:i/>
          <w:iCs/>
          <w:szCs w:val="24"/>
          <w:lang w:val="lv-LV"/>
        </w:rPr>
        <w:t>Future</w:t>
      </w:r>
      <w:proofErr w:type="spellEnd"/>
      <w:r w:rsidRPr="003E46C4">
        <w:rPr>
          <w:i/>
          <w:iCs/>
          <w:szCs w:val="24"/>
          <w:lang w:val="lv-LV"/>
        </w:rPr>
        <w:t xml:space="preserve"> </w:t>
      </w:r>
      <w:proofErr w:type="spellStart"/>
      <w:r w:rsidRPr="003E46C4">
        <w:rPr>
          <w:i/>
          <w:iCs/>
          <w:szCs w:val="24"/>
          <w:lang w:val="lv-LV"/>
        </w:rPr>
        <w:t>Intelligent</w:t>
      </w:r>
      <w:proofErr w:type="spellEnd"/>
      <w:r w:rsidRPr="003E46C4">
        <w:rPr>
          <w:i/>
          <w:iCs/>
          <w:szCs w:val="24"/>
          <w:lang w:val="lv-LV"/>
        </w:rPr>
        <w:t xml:space="preserve"> </w:t>
      </w:r>
      <w:proofErr w:type="spellStart"/>
      <w:r w:rsidRPr="003E46C4">
        <w:rPr>
          <w:i/>
          <w:iCs/>
          <w:szCs w:val="24"/>
          <w:lang w:val="lv-LV"/>
        </w:rPr>
        <w:t>Transportation</w:t>
      </w:r>
      <w:proofErr w:type="spellEnd"/>
      <w:r w:rsidRPr="003E46C4">
        <w:rPr>
          <w:i/>
          <w:iCs/>
          <w:szCs w:val="24"/>
          <w:lang w:val="lv-LV"/>
        </w:rPr>
        <w:t xml:space="preserve"> </w:t>
      </w:r>
      <w:proofErr w:type="spellStart"/>
      <w:r w:rsidRPr="003E46C4">
        <w:rPr>
          <w:i/>
          <w:iCs/>
          <w:szCs w:val="24"/>
          <w:lang w:val="lv-LV"/>
        </w:rPr>
        <w:t>System</w:t>
      </w:r>
      <w:proofErr w:type="spellEnd"/>
      <w:r w:rsidRPr="003E46C4">
        <w:rPr>
          <w:i/>
          <w:iCs/>
          <w:szCs w:val="24"/>
          <w:lang w:val="lv-LV"/>
        </w:rPr>
        <w:t>,</w:t>
      </w:r>
      <w:r w:rsidRPr="00550D35">
        <w:rPr>
          <w:szCs w:val="24"/>
          <w:lang w:val="lv-LV"/>
        </w:rPr>
        <w:t xml:space="preserve"> FITS</w:t>
      </w:r>
      <w:r w:rsidR="008F6272">
        <w:rPr>
          <w:szCs w:val="24"/>
          <w:lang w:val="lv-LV"/>
        </w:rPr>
        <w:t>) izmanto</w:t>
      </w:r>
      <w:r w:rsidRPr="00550D35">
        <w:rPr>
          <w:szCs w:val="24"/>
          <w:lang w:val="lv-LV"/>
        </w:rPr>
        <w:t xml:space="preserve"> Ceļu satiksmes drošības direkcija. </w:t>
      </w:r>
      <w:r w:rsidR="008F6272">
        <w:rPr>
          <w:szCs w:val="24"/>
          <w:lang w:val="lv-LV"/>
        </w:rPr>
        <w:t>Uzņēmum</w:t>
      </w:r>
      <w:r w:rsidR="00B44A7F">
        <w:rPr>
          <w:szCs w:val="24"/>
          <w:lang w:val="lv-LV"/>
        </w:rPr>
        <w:t>a</w:t>
      </w:r>
      <w:r w:rsidR="008F6272">
        <w:rPr>
          <w:szCs w:val="24"/>
          <w:lang w:val="lv-LV"/>
        </w:rPr>
        <w:t xml:space="preserve"> “</w:t>
      </w:r>
      <w:proofErr w:type="spellStart"/>
      <w:r w:rsidRPr="00550D35">
        <w:rPr>
          <w:szCs w:val="24"/>
          <w:lang w:val="lv-LV"/>
        </w:rPr>
        <w:t>Emergn</w:t>
      </w:r>
      <w:proofErr w:type="spellEnd"/>
      <w:r w:rsidRPr="00550D35">
        <w:rPr>
          <w:szCs w:val="24"/>
          <w:lang w:val="lv-LV"/>
        </w:rPr>
        <w:t xml:space="preserve"> Latvija</w:t>
      </w:r>
      <w:r w:rsidR="008F6272">
        <w:rPr>
          <w:szCs w:val="24"/>
          <w:lang w:val="lv-LV"/>
        </w:rPr>
        <w:t>” piedāvājamo risinājumu lokā ir</w:t>
      </w:r>
      <w:r w:rsidR="00110ED5">
        <w:rPr>
          <w:szCs w:val="24"/>
          <w:lang w:val="lv-LV"/>
        </w:rPr>
        <w:t xml:space="preserve"> </w:t>
      </w:r>
      <w:r w:rsidR="008F6272">
        <w:rPr>
          <w:szCs w:val="24"/>
          <w:lang w:val="lv-LV"/>
        </w:rPr>
        <w:t xml:space="preserve">MI balstīti </w:t>
      </w:r>
      <w:proofErr w:type="spellStart"/>
      <w:r w:rsidR="00110ED5">
        <w:rPr>
          <w:szCs w:val="24"/>
          <w:lang w:val="lv-LV"/>
        </w:rPr>
        <w:t>mašīnmācīšanās</w:t>
      </w:r>
      <w:proofErr w:type="spellEnd"/>
      <w:r w:rsidR="00110ED5">
        <w:rPr>
          <w:szCs w:val="24"/>
          <w:lang w:val="lv-LV"/>
        </w:rPr>
        <w:t xml:space="preserve"> </w:t>
      </w:r>
      <w:r w:rsidR="008F6272">
        <w:rPr>
          <w:szCs w:val="24"/>
          <w:lang w:val="lv-LV"/>
        </w:rPr>
        <w:t>risinājumi,</w:t>
      </w:r>
      <w:r w:rsidR="00A97F8F" w:rsidRPr="00550D35">
        <w:rPr>
          <w:szCs w:val="24"/>
          <w:lang w:val="lv-LV"/>
        </w:rPr>
        <w:t xml:space="preserve"> t.sk., </w:t>
      </w:r>
      <w:r w:rsidR="008F6272">
        <w:rPr>
          <w:szCs w:val="24"/>
          <w:lang w:val="lv-LV"/>
        </w:rPr>
        <w:t>“</w:t>
      </w:r>
      <w:proofErr w:type="spellStart"/>
      <w:r w:rsidRPr="003E46C4">
        <w:rPr>
          <w:i/>
          <w:iCs/>
          <w:szCs w:val="24"/>
          <w:lang w:val="lv-LV"/>
        </w:rPr>
        <w:t>Emergn’s</w:t>
      </w:r>
      <w:proofErr w:type="spellEnd"/>
      <w:r w:rsidRPr="003E46C4">
        <w:rPr>
          <w:i/>
          <w:iCs/>
          <w:szCs w:val="24"/>
          <w:lang w:val="lv-LV"/>
        </w:rPr>
        <w:t xml:space="preserve"> </w:t>
      </w:r>
      <w:proofErr w:type="spellStart"/>
      <w:r w:rsidRPr="003E46C4">
        <w:rPr>
          <w:i/>
          <w:iCs/>
          <w:szCs w:val="24"/>
          <w:lang w:val="lv-LV"/>
        </w:rPr>
        <w:t>Machine</w:t>
      </w:r>
      <w:proofErr w:type="spellEnd"/>
      <w:r w:rsidRPr="003E46C4">
        <w:rPr>
          <w:i/>
          <w:iCs/>
          <w:szCs w:val="24"/>
          <w:lang w:val="lv-LV"/>
        </w:rPr>
        <w:t xml:space="preserve"> </w:t>
      </w:r>
      <w:proofErr w:type="spellStart"/>
      <w:r w:rsidRPr="003E46C4">
        <w:rPr>
          <w:i/>
          <w:iCs/>
          <w:szCs w:val="24"/>
          <w:lang w:val="lv-LV"/>
        </w:rPr>
        <w:t>Learning</w:t>
      </w:r>
      <w:proofErr w:type="spellEnd"/>
      <w:r w:rsidRPr="003E46C4">
        <w:rPr>
          <w:i/>
          <w:iCs/>
          <w:szCs w:val="24"/>
          <w:lang w:val="lv-LV"/>
        </w:rPr>
        <w:t xml:space="preserve"> </w:t>
      </w:r>
      <w:proofErr w:type="spellStart"/>
      <w:r w:rsidRPr="003E46C4">
        <w:rPr>
          <w:i/>
          <w:iCs/>
          <w:szCs w:val="24"/>
          <w:lang w:val="lv-LV"/>
        </w:rPr>
        <w:t>Lab</w:t>
      </w:r>
      <w:proofErr w:type="spellEnd"/>
      <w:r w:rsidR="008F6272">
        <w:rPr>
          <w:i/>
          <w:iCs/>
          <w:szCs w:val="24"/>
          <w:lang w:val="lv-LV"/>
        </w:rPr>
        <w:t>”</w:t>
      </w:r>
      <w:r w:rsidRPr="00550D35">
        <w:rPr>
          <w:szCs w:val="24"/>
          <w:lang w:val="lv-LV"/>
        </w:rPr>
        <w:t>, dokumentu apstrāde</w:t>
      </w:r>
      <w:r w:rsidR="008F6272">
        <w:rPr>
          <w:szCs w:val="24"/>
          <w:lang w:val="lv-LV"/>
        </w:rPr>
        <w:t>s risinājumi</w:t>
      </w:r>
      <w:r w:rsidR="00B44A7F">
        <w:rPr>
          <w:szCs w:val="24"/>
          <w:lang w:val="lv-LV"/>
        </w:rPr>
        <w:t>.</w:t>
      </w:r>
    </w:p>
    <w:p w14:paraId="45B93546" w14:textId="3422DE2E" w:rsidR="00EA2D31" w:rsidRDefault="007D47AD" w:rsidP="005B6A2D">
      <w:pPr>
        <w:rPr>
          <w:rFonts w:eastAsiaTheme="minorEastAsia"/>
          <w:lang w:val="lv-LV"/>
        </w:rPr>
      </w:pPr>
      <w:r w:rsidRPr="00550D35">
        <w:rPr>
          <w:rFonts w:eastAsiaTheme="minorEastAsia"/>
          <w:lang w:val="lv-LV"/>
        </w:rPr>
        <w:t xml:space="preserve">Latvija piedalās vairākās ES digitālo tehnoloģiju iniciatīvās. Tā ir Eiropas augstas veiktspējas </w:t>
      </w:r>
      <w:proofErr w:type="spellStart"/>
      <w:r w:rsidRPr="00550D35">
        <w:rPr>
          <w:rFonts w:eastAsiaTheme="minorEastAsia"/>
          <w:lang w:val="lv-LV"/>
        </w:rPr>
        <w:t>datošanas</w:t>
      </w:r>
      <w:proofErr w:type="spellEnd"/>
      <w:r w:rsidRPr="00550D35">
        <w:rPr>
          <w:rFonts w:eastAsiaTheme="minorEastAsia"/>
          <w:lang w:val="lv-LV"/>
        </w:rPr>
        <w:t xml:space="preserve"> (</w:t>
      </w:r>
      <w:proofErr w:type="spellStart"/>
      <w:r w:rsidR="004A7CD0" w:rsidRPr="00550D35">
        <w:rPr>
          <w:rFonts w:eastAsiaTheme="minorEastAsia"/>
          <w:lang w:val="lv-LV"/>
        </w:rPr>
        <w:t>Eiro</w:t>
      </w:r>
      <w:r w:rsidRPr="00550D35">
        <w:rPr>
          <w:rFonts w:eastAsiaTheme="minorEastAsia"/>
          <w:lang w:val="lv-LV"/>
        </w:rPr>
        <w:t>HPC</w:t>
      </w:r>
      <w:proofErr w:type="spellEnd"/>
      <w:r w:rsidRPr="00550D35">
        <w:rPr>
          <w:rFonts w:eastAsiaTheme="minorEastAsia"/>
          <w:lang w:val="lv-LV"/>
        </w:rPr>
        <w:t xml:space="preserve">) kopuzņēmuma dalībniece, </w:t>
      </w:r>
      <w:r w:rsidR="008A2A6D">
        <w:rPr>
          <w:rFonts w:eastAsiaTheme="minorEastAsia"/>
          <w:lang w:val="lv-LV"/>
        </w:rPr>
        <w:t>ir</w:t>
      </w:r>
      <w:r w:rsidR="008A2A6D" w:rsidRPr="00550D35">
        <w:rPr>
          <w:rFonts w:eastAsiaTheme="minorEastAsia"/>
          <w:lang w:val="lv-LV"/>
        </w:rPr>
        <w:t xml:space="preserve"> </w:t>
      </w:r>
      <w:r w:rsidRPr="00550D35">
        <w:rPr>
          <w:rFonts w:eastAsiaTheme="minorEastAsia"/>
          <w:lang w:val="lv-LV"/>
        </w:rPr>
        <w:t xml:space="preserve">parakstījusi Deklarāciju par Eiropas </w:t>
      </w:r>
      <w:proofErr w:type="spellStart"/>
      <w:r w:rsidRPr="00550D35">
        <w:rPr>
          <w:rFonts w:eastAsiaTheme="minorEastAsia"/>
          <w:lang w:val="lv-LV"/>
        </w:rPr>
        <w:t>blokķēdes</w:t>
      </w:r>
      <w:proofErr w:type="spellEnd"/>
      <w:r w:rsidRPr="00550D35">
        <w:rPr>
          <w:rFonts w:eastAsiaTheme="minorEastAsia"/>
          <w:lang w:val="lv-LV"/>
        </w:rPr>
        <w:t xml:space="preserve"> partnerību un ES Sadarbības deklarāciju mākslīgā intelekta jomā</w:t>
      </w:r>
      <w:r w:rsidR="00296F6A" w:rsidRPr="00550D35">
        <w:rPr>
          <w:rStyle w:val="FootnoteReference"/>
          <w:rFonts w:eastAsiaTheme="minorEastAsia"/>
          <w:lang w:val="lv-LV"/>
        </w:rPr>
        <w:footnoteReference w:id="58"/>
      </w:r>
      <w:r w:rsidRPr="00550D35">
        <w:rPr>
          <w:rFonts w:eastAsiaTheme="minorEastAsia"/>
          <w:lang w:val="lv-LV"/>
        </w:rPr>
        <w:t>.</w:t>
      </w:r>
    </w:p>
    <w:p w14:paraId="233E3BB1" w14:textId="30F49F70" w:rsidR="00EB3B3C" w:rsidRPr="00550D35" w:rsidRDefault="00EB3B3C" w:rsidP="00EB3B3C">
      <w:pPr>
        <w:rPr>
          <w:rFonts w:eastAsiaTheme="minorEastAsia"/>
          <w:lang w:val="lv-LV"/>
        </w:rPr>
      </w:pPr>
      <w:r w:rsidRPr="00AC7949">
        <w:rPr>
          <w:rFonts w:eastAsiaTheme="minorEastAsia"/>
          <w:lang w:val="lv-LV"/>
        </w:rPr>
        <w:t>Papildu</w:t>
      </w:r>
      <w:r w:rsidR="009B2B90">
        <w:rPr>
          <w:rFonts w:eastAsiaTheme="minorEastAsia"/>
          <w:lang w:val="lv-LV"/>
        </w:rPr>
        <w:t>s</w:t>
      </w:r>
      <w:r w:rsidRPr="00AC7949">
        <w:rPr>
          <w:rFonts w:eastAsiaTheme="minorEastAsia"/>
          <w:lang w:val="lv-LV"/>
        </w:rPr>
        <w:t xml:space="preserve"> jau identificētajiem pasākumiem, sadarbībā ar LIKTA tiks turpināts darbs pie digitālo risinājumu ieviešanai nepieciešamās normatīvās vides pilnveidošanas, īstenotas informēšanas, iedrošināšanas un motivēšanas aktivitātēm, kā arī īstenoti citi pasākumi, kas var sekmēt </w:t>
      </w:r>
      <w:r>
        <w:rPr>
          <w:rFonts w:eastAsiaTheme="minorEastAsia"/>
          <w:lang w:val="lv-LV"/>
        </w:rPr>
        <w:t>mākslīgā intelekta</w:t>
      </w:r>
      <w:r w:rsidRPr="00AC7949">
        <w:rPr>
          <w:rFonts w:eastAsiaTheme="minorEastAsia"/>
          <w:lang w:val="lv-LV"/>
        </w:rPr>
        <w:t xml:space="preserve"> pakalpojumu izmantošanu uzņēmējdarbībā, lai līdz 2030. gadam sasniegtu ES noteikto </w:t>
      </w:r>
      <w:r w:rsidR="001F6206">
        <w:rPr>
          <w:lang w:val="lv-LV"/>
        </w:rPr>
        <w:t>mērķa vērtību</w:t>
      </w:r>
      <w:r w:rsidRPr="00AC7949">
        <w:rPr>
          <w:rFonts w:eastAsiaTheme="minorEastAsia"/>
          <w:lang w:val="lv-LV"/>
        </w:rPr>
        <w:t>.</w:t>
      </w:r>
    </w:p>
    <w:p w14:paraId="15DCBFB7" w14:textId="77777777" w:rsidR="00825B21" w:rsidRPr="00550D35" w:rsidRDefault="00825B21" w:rsidP="00825B21">
      <w:pPr>
        <w:rPr>
          <w:lang w:val="lv-LV"/>
        </w:rPr>
      </w:pPr>
      <w:r w:rsidRPr="00550D35">
        <w:rPr>
          <w:lang w:val="lv-LV"/>
        </w:rPr>
        <w:t>Ir identificēti šādi galvenie izaicinājumi:</w:t>
      </w:r>
    </w:p>
    <w:p w14:paraId="50B3984F" w14:textId="5CAE04E9" w:rsidR="00825B21" w:rsidRPr="00550D35" w:rsidRDefault="00825B21" w:rsidP="00825B21">
      <w:pPr>
        <w:spacing w:after="140"/>
        <w:ind w:firstLine="567"/>
        <w:rPr>
          <w:lang w:val="lv-LV"/>
        </w:rPr>
      </w:pPr>
      <w:r w:rsidRPr="0028453D">
        <w:rPr>
          <w:b/>
          <w:bCs/>
          <w:lang w:val="lv-LV"/>
        </w:rPr>
        <w:t xml:space="preserve">Izaicinājums </w:t>
      </w:r>
      <w:r w:rsidR="007346DD">
        <w:rPr>
          <w:b/>
          <w:bCs/>
          <w:lang w:val="lv-LV"/>
        </w:rPr>
        <w:t>Nr.</w:t>
      </w:r>
      <w:r w:rsidRPr="0028453D">
        <w:rPr>
          <w:b/>
          <w:bCs/>
          <w:lang w:val="lv-LV"/>
        </w:rPr>
        <w:t>1</w:t>
      </w:r>
      <w:r w:rsidRPr="0028453D">
        <w:rPr>
          <w:lang w:val="lv-LV"/>
        </w:rPr>
        <w:t xml:space="preserve"> </w:t>
      </w:r>
      <w:r w:rsidRPr="00550D35">
        <w:rPr>
          <w:lang w:val="lv-LV"/>
        </w:rPr>
        <w:t xml:space="preserve">–Pieejamā publiskā finansējuma ierobežotais apmērs. Lai arī jau šobrīd pieejams ES finansējums digitālās attīstības veicināšanai komersantu saimnieciskajā darbībā, norādītās EM ANM plāna un ERAF ietvaros īstenojamās programmas, kas veicinās ES noteiktā </w:t>
      </w:r>
      <w:proofErr w:type="spellStart"/>
      <w:r w:rsidRPr="00550D35">
        <w:rPr>
          <w:lang w:val="lv-LV"/>
        </w:rPr>
        <w:t>mērķrādītāja</w:t>
      </w:r>
      <w:proofErr w:type="spellEnd"/>
      <w:r w:rsidRPr="00550D35">
        <w:rPr>
          <w:lang w:val="lv-LV"/>
        </w:rPr>
        <w:t xml:space="preserve"> līmeņa sasniegšanu, paredz atbalstu ne tikai </w:t>
      </w:r>
      <w:r w:rsidR="006272D3" w:rsidRPr="00550D35">
        <w:rPr>
          <w:lang w:val="lv-LV"/>
        </w:rPr>
        <w:t>mākslīgā intelekta</w:t>
      </w:r>
      <w:r w:rsidRPr="00550D35">
        <w:rPr>
          <w:lang w:val="lv-LV"/>
        </w:rPr>
        <w:t xml:space="preserve"> risinājumu izmantošanas veicināšanai.</w:t>
      </w:r>
    </w:p>
    <w:p w14:paraId="14E6FDD2" w14:textId="30A96B14" w:rsidR="00825B21" w:rsidRPr="00550D35" w:rsidRDefault="00CF43C3" w:rsidP="00825B21">
      <w:pPr>
        <w:spacing w:after="140"/>
        <w:ind w:firstLine="567"/>
        <w:rPr>
          <w:lang w:val="lv-LV"/>
        </w:rPr>
      </w:pPr>
      <w:r w:rsidRPr="001F200D">
        <w:rPr>
          <w:lang w:val="lv-LV"/>
        </w:rPr>
        <w:t xml:space="preserve">Ar šobrīd identificētajām atbalsta programmām ir iespējams sasniegt </w:t>
      </w:r>
      <w:proofErr w:type="spellStart"/>
      <w:r w:rsidRPr="001F200D">
        <w:rPr>
          <w:lang w:val="lv-LV"/>
        </w:rPr>
        <w:t>mērķrādītāju</w:t>
      </w:r>
      <w:proofErr w:type="spellEnd"/>
      <w:r w:rsidRPr="001F200D">
        <w:rPr>
          <w:lang w:val="lv-LV"/>
        </w:rPr>
        <w:t xml:space="preserve"> tikai </w:t>
      </w:r>
      <w:r>
        <w:rPr>
          <w:lang w:val="lv-LV"/>
        </w:rPr>
        <w:t>10</w:t>
      </w:r>
      <w:r w:rsidRPr="001F200D">
        <w:rPr>
          <w:lang w:val="lv-LV"/>
        </w:rPr>
        <w:t xml:space="preserve"> % apmērā. </w:t>
      </w:r>
      <w:r w:rsidR="00825B21" w:rsidRPr="00550D35">
        <w:rPr>
          <w:lang w:val="lv-LV"/>
        </w:rPr>
        <w:t xml:space="preserve">Izstrādātās atbalsta programmas nav </w:t>
      </w:r>
      <w:r>
        <w:rPr>
          <w:lang w:val="lv-LV"/>
        </w:rPr>
        <w:t>orien</w:t>
      </w:r>
      <w:r w:rsidR="00657ABC">
        <w:rPr>
          <w:lang w:val="lv-LV"/>
        </w:rPr>
        <w:t>t</w:t>
      </w:r>
      <w:r w:rsidRPr="00550D35">
        <w:rPr>
          <w:lang w:val="lv-LV"/>
        </w:rPr>
        <w:t xml:space="preserve">ētas </w:t>
      </w:r>
      <w:r w:rsidR="00825B21" w:rsidRPr="00550D35">
        <w:rPr>
          <w:lang w:val="lv-LV"/>
        </w:rPr>
        <w:t xml:space="preserve">tikai uz </w:t>
      </w:r>
      <w:r w:rsidR="0031329F" w:rsidRPr="00550D35">
        <w:rPr>
          <w:lang w:val="lv-LV"/>
        </w:rPr>
        <w:t>mākslīgā intelekta</w:t>
      </w:r>
      <w:r w:rsidR="00825B21" w:rsidRPr="00550D35">
        <w:rPr>
          <w:lang w:val="lv-LV"/>
        </w:rPr>
        <w:t xml:space="preserve"> risinājumu lietošanas veicināšanu uzņēmumiem, bet tas ir tikai kā viens no uzņēmuma kopējās saimnieciskās darbības digitālās transformācijas KPI jeb sasniedzamajiem rādītājiem.</w:t>
      </w:r>
    </w:p>
    <w:p w14:paraId="7CA42313" w14:textId="0A8F14D6" w:rsidR="00825B21" w:rsidRPr="00550D35" w:rsidRDefault="00825B21" w:rsidP="00825B21">
      <w:pPr>
        <w:spacing w:after="140"/>
        <w:ind w:firstLine="567"/>
        <w:rPr>
          <w:lang w:val="lv-LV"/>
        </w:rPr>
      </w:pPr>
      <w:r w:rsidRPr="00550D35">
        <w:rPr>
          <w:lang w:val="lv-LV"/>
        </w:rPr>
        <w:t xml:space="preserve">Ņemot vērā pieejamā publiskā finansējuma ierobežoto apmēru attiecībā uz konkrēto </w:t>
      </w:r>
      <w:proofErr w:type="spellStart"/>
      <w:r w:rsidRPr="00550D35">
        <w:rPr>
          <w:lang w:val="lv-LV"/>
        </w:rPr>
        <w:t>mērķrādītāju</w:t>
      </w:r>
      <w:proofErr w:type="spellEnd"/>
      <w:r w:rsidRPr="00550D35">
        <w:rPr>
          <w:lang w:val="lv-LV"/>
        </w:rPr>
        <w:t xml:space="preserve"> secin</w:t>
      </w:r>
      <w:r w:rsidR="0055041C" w:rsidRPr="00550D35">
        <w:rPr>
          <w:lang w:val="lv-LV"/>
        </w:rPr>
        <w:t>āms</w:t>
      </w:r>
      <w:r w:rsidRPr="00550D35">
        <w:rPr>
          <w:lang w:val="lv-LV"/>
        </w:rPr>
        <w:t xml:space="preserve">, ka, lai nacionāli līmenī no </w:t>
      </w:r>
      <w:r w:rsidR="0055041C" w:rsidRPr="00550D35">
        <w:rPr>
          <w:lang w:val="lv-LV"/>
        </w:rPr>
        <w:t>4</w:t>
      </w:r>
      <w:r w:rsidRPr="00550D35">
        <w:rPr>
          <w:lang w:val="lv-LV"/>
        </w:rPr>
        <w:t xml:space="preserve">% šobrīd līdz 2030. gadam sasniegtu ES līmeņa mērķi 75 %, nepieciešams </w:t>
      </w:r>
      <w:proofErr w:type="spellStart"/>
      <w:r w:rsidRPr="00550D35">
        <w:rPr>
          <w:lang w:val="lv-LV"/>
        </w:rPr>
        <w:t>septiņkāršot</w:t>
      </w:r>
      <w:proofErr w:type="spellEnd"/>
      <w:r w:rsidRPr="00550D35">
        <w:rPr>
          <w:lang w:val="lv-LV"/>
        </w:rPr>
        <w:t xml:space="preserve"> finansējumu (nepieciešams papildu finansējums 1 036 mljr</w:t>
      </w:r>
      <w:r w:rsidR="00C60A0A">
        <w:rPr>
          <w:lang w:val="lv-LV"/>
        </w:rPr>
        <w:t>d</w:t>
      </w:r>
      <w:r w:rsidRPr="00550D35">
        <w:rPr>
          <w:lang w:val="lv-LV"/>
        </w:rPr>
        <w:t>.</w:t>
      </w:r>
      <w:r w:rsidR="00C60A0A">
        <w:rPr>
          <w:lang w:val="lv-LV"/>
        </w:rPr>
        <w:t> </w:t>
      </w:r>
      <w:proofErr w:type="spellStart"/>
      <w:r w:rsidR="00221010" w:rsidRPr="00550D35">
        <w:rPr>
          <w:i/>
          <w:iCs/>
          <w:lang w:val="lv-LV"/>
        </w:rPr>
        <w:t>euro</w:t>
      </w:r>
      <w:proofErr w:type="spellEnd"/>
      <w:r w:rsidRPr="00550D35">
        <w:rPr>
          <w:lang w:val="lv-LV"/>
        </w:rPr>
        <w:t xml:space="preserve"> apmērā), ES un nacionālā līmenī ir jāizvērtē iespējas jaunu atbalsta instrumentu izveidei. Tāpat būtiski ir piesaistīt IZM, SM, VM, </w:t>
      </w:r>
      <w:proofErr w:type="spellStart"/>
      <w:r w:rsidRPr="00550D35">
        <w:rPr>
          <w:lang w:val="lv-LV"/>
        </w:rPr>
        <w:t>AiM</w:t>
      </w:r>
      <w:proofErr w:type="spellEnd"/>
      <w:r w:rsidRPr="00550D35">
        <w:rPr>
          <w:lang w:val="lv-LV"/>
        </w:rPr>
        <w:t xml:space="preserve"> un VARAM plānotās aktivitātes un sniegumu.</w:t>
      </w:r>
    </w:p>
    <w:p w14:paraId="3EDC3AE2" w14:textId="1CBE976E" w:rsidR="00EA2D31" w:rsidRPr="00550D35" w:rsidRDefault="00EA2D31" w:rsidP="00EA2D31">
      <w:pPr>
        <w:rPr>
          <w:lang w:val="lv-LV"/>
        </w:rPr>
      </w:pPr>
      <w:r w:rsidRPr="0028453D">
        <w:rPr>
          <w:b/>
          <w:bCs/>
          <w:lang w:val="lv-LV"/>
        </w:rPr>
        <w:t xml:space="preserve">Izaicinājums </w:t>
      </w:r>
      <w:r w:rsidR="007346DD">
        <w:rPr>
          <w:b/>
          <w:bCs/>
          <w:lang w:val="lv-LV"/>
        </w:rPr>
        <w:t>Nr.</w:t>
      </w:r>
      <w:r w:rsidRPr="0028453D">
        <w:rPr>
          <w:b/>
          <w:bCs/>
          <w:lang w:val="lv-LV"/>
        </w:rPr>
        <w:t>2</w:t>
      </w:r>
      <w:r w:rsidRPr="00550D35">
        <w:rPr>
          <w:lang w:val="lv-LV"/>
        </w:rPr>
        <w:t xml:space="preserve"> -  </w:t>
      </w:r>
      <w:r w:rsidR="0066547B" w:rsidRPr="00550D35">
        <w:rPr>
          <w:lang w:val="lv-LV"/>
        </w:rPr>
        <w:t>Statistikas datu ievākšanas metodoloģijas pārskatīšana. Nepieciešams ES un nacionālā līmenī vienoties par skaidri saprotamu un pēc līdzīgiem principiem veidotu statistikas datu apkopošanu, novēršot iespēju, ka datos tiek uzskaitītas dažādas mērķa grupas vai tiek iegūta nepilnīga informācija par patieso situāciju, tai skaitā motivējot mērķa grupu sniegt pilnu informāciju.</w:t>
      </w:r>
    </w:p>
    <w:p w14:paraId="50979030" w14:textId="78A3F9F5" w:rsidR="00566349" w:rsidRPr="00550D35" w:rsidRDefault="007D47AD" w:rsidP="005B6A2D">
      <w:pPr>
        <w:rPr>
          <w:rFonts w:eastAsiaTheme="minorEastAsia"/>
          <w:lang w:val="lv-LV"/>
        </w:rPr>
      </w:pPr>
      <w:r w:rsidRPr="00550D35">
        <w:rPr>
          <w:rFonts w:eastAsiaTheme="minorEastAsia"/>
          <w:lang w:val="lv-LV"/>
        </w:rPr>
        <w:t xml:space="preserve"> </w:t>
      </w:r>
    </w:p>
    <w:p w14:paraId="04CD793D" w14:textId="335FDF77" w:rsidR="00400CD6" w:rsidRPr="00550D35" w:rsidRDefault="008B7B83" w:rsidP="007607A2">
      <w:pPr>
        <w:pStyle w:val="Heading2"/>
        <w:rPr>
          <w:lang w:val="lv-LV"/>
        </w:rPr>
      </w:pPr>
      <w:r>
        <w:rPr>
          <w:lang w:val="lv-LV"/>
        </w:rPr>
        <w:t>KPI “Mākslīgais intelekts” v</w:t>
      </w:r>
      <w:r w:rsidR="002864F1" w:rsidRPr="007607A2">
        <w:rPr>
          <w:lang w:val="lv-LV"/>
        </w:rPr>
        <w:t>alsts prognozētā trajektorija</w:t>
      </w:r>
      <w:r w:rsidR="00B4122B" w:rsidRPr="007607A2">
        <w:rPr>
          <w:lang w:val="lv-LV"/>
        </w:rPr>
        <w:t xml:space="preserve"> un </w:t>
      </w:r>
      <w:proofErr w:type="spellStart"/>
      <w:r w:rsidR="00B4122B" w:rsidRPr="007607A2">
        <w:rPr>
          <w:lang w:val="lv-LV"/>
        </w:rPr>
        <w:t>mērķrādītāj</w:t>
      </w:r>
      <w:r w:rsidR="002A2CEE" w:rsidRPr="007607A2">
        <w:rPr>
          <w:lang w:val="lv-LV"/>
        </w:rPr>
        <w:t>s</w:t>
      </w:r>
      <w:proofErr w:type="spellEnd"/>
      <w:r w:rsidR="00B4122B" w:rsidRPr="007607A2">
        <w:rPr>
          <w:lang w:val="lv-LV"/>
        </w:rPr>
        <w:t xml:space="preserve">, kas paredzēti, lai palīdzētu sasniegt ES digitālo </w:t>
      </w:r>
      <w:proofErr w:type="spellStart"/>
      <w:r w:rsidR="00B4122B" w:rsidRPr="007607A2">
        <w:rPr>
          <w:lang w:val="lv-LV"/>
        </w:rPr>
        <w:t>mērķrādītāju</w:t>
      </w:r>
      <w:proofErr w:type="spellEnd"/>
      <w:r w:rsidR="00FE1486" w:rsidRPr="007607A2">
        <w:rPr>
          <w:lang w:val="lv-LV"/>
        </w:rPr>
        <w:t xml:space="preserve"> </w:t>
      </w:r>
    </w:p>
    <w:p w14:paraId="3F13DA31" w14:textId="77777777" w:rsidR="002859A0" w:rsidRPr="007607A2" w:rsidRDefault="002859A0" w:rsidP="007607A2">
      <w:pPr>
        <w:pStyle w:val="Text3"/>
        <w:ind w:left="0" w:firstLine="0"/>
        <w:rPr>
          <w:lang w:val="lv-LV"/>
        </w:rPr>
      </w:pPr>
    </w:p>
    <w:p w14:paraId="4CB7309F" w14:textId="10B93229" w:rsidR="002859A0" w:rsidRPr="00550D35" w:rsidRDefault="002859A0" w:rsidP="002859A0">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bCs/>
          <w:szCs w:val="24"/>
          <w:lang w:val="lv-LV"/>
        </w:rPr>
      </w:pPr>
      <w:r w:rsidRPr="00550D35">
        <w:rPr>
          <w:b/>
          <w:bCs/>
          <w:szCs w:val="24"/>
          <w:lang w:val="lv-LV"/>
        </w:rPr>
        <w:t xml:space="preserve">Nacionālā bāzes vērtība (2023)    </w:t>
      </w:r>
      <w:r w:rsidR="00482694">
        <w:rPr>
          <w:b/>
          <w:bCs/>
          <w:szCs w:val="24"/>
          <w:lang w:val="lv-LV"/>
        </w:rPr>
        <w:t xml:space="preserve"> </w:t>
      </w:r>
      <w:r w:rsidRPr="00550D35">
        <w:rPr>
          <w:b/>
          <w:bCs/>
          <w:szCs w:val="24"/>
          <w:lang w:val="lv-LV"/>
        </w:rPr>
        <w:t xml:space="preserve">4 %    </w:t>
      </w:r>
      <w:r w:rsidRPr="00550D35">
        <w:rPr>
          <w:b/>
          <w:bCs/>
          <w:szCs w:val="24"/>
          <w:lang w:val="lv-LV"/>
        </w:rPr>
        <w:tab/>
      </w:r>
      <w:r w:rsidR="00746243" w:rsidRPr="00550D35">
        <w:rPr>
          <w:b/>
          <w:bCs/>
          <w:szCs w:val="24"/>
          <w:lang w:val="lv-LV"/>
        </w:rPr>
        <w:tab/>
      </w:r>
      <w:r w:rsidRPr="00550D35">
        <w:rPr>
          <w:b/>
          <w:bCs/>
          <w:szCs w:val="24"/>
          <w:lang w:val="lv-LV"/>
        </w:rPr>
        <w:t xml:space="preserve">ES bāzes vērtība (2023)  </w:t>
      </w:r>
      <w:r w:rsidR="00482694">
        <w:rPr>
          <w:b/>
          <w:bCs/>
          <w:szCs w:val="24"/>
          <w:lang w:val="lv-LV"/>
        </w:rPr>
        <w:t xml:space="preserve">  </w:t>
      </w:r>
      <w:r w:rsidRPr="00550D35">
        <w:rPr>
          <w:b/>
          <w:bCs/>
          <w:szCs w:val="24"/>
          <w:lang w:val="lv-LV"/>
        </w:rPr>
        <w:t>8 %</w:t>
      </w:r>
    </w:p>
    <w:p w14:paraId="2AD1288B" w14:textId="649DFBF8" w:rsidR="002859A0" w:rsidRPr="00550D35" w:rsidRDefault="002859A0" w:rsidP="002859A0">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bCs/>
          <w:szCs w:val="24"/>
          <w:lang w:val="lv-LV"/>
        </w:rPr>
      </w:pPr>
      <w:r w:rsidRPr="00550D35">
        <w:rPr>
          <w:b/>
          <w:bCs/>
          <w:szCs w:val="24"/>
          <w:lang w:val="lv-LV"/>
        </w:rPr>
        <w:t xml:space="preserve">Nacionālais </w:t>
      </w:r>
      <w:proofErr w:type="spellStart"/>
      <w:r w:rsidRPr="00550D35">
        <w:rPr>
          <w:b/>
          <w:bCs/>
          <w:szCs w:val="24"/>
          <w:lang w:val="lv-LV"/>
        </w:rPr>
        <w:t>mērķrādītājs</w:t>
      </w:r>
      <w:proofErr w:type="spellEnd"/>
      <w:r w:rsidRPr="00550D35">
        <w:rPr>
          <w:b/>
          <w:bCs/>
          <w:szCs w:val="24"/>
          <w:lang w:val="lv-LV"/>
        </w:rPr>
        <w:t xml:space="preserve"> (2030) </w:t>
      </w:r>
      <w:r w:rsidR="009A3048">
        <w:rPr>
          <w:b/>
          <w:bCs/>
          <w:szCs w:val="24"/>
          <w:lang w:val="lv-LV"/>
        </w:rPr>
        <w:t>75</w:t>
      </w:r>
      <w:r w:rsidRPr="00550D35">
        <w:rPr>
          <w:b/>
          <w:bCs/>
          <w:szCs w:val="24"/>
          <w:lang w:val="lv-LV"/>
        </w:rPr>
        <w:t> %</w:t>
      </w:r>
      <w:r w:rsidRPr="00550D35">
        <w:rPr>
          <w:b/>
          <w:bCs/>
          <w:szCs w:val="24"/>
          <w:lang w:val="lv-LV"/>
        </w:rPr>
        <w:tab/>
      </w:r>
      <w:r w:rsidRPr="00550D35">
        <w:rPr>
          <w:b/>
          <w:bCs/>
          <w:szCs w:val="24"/>
          <w:lang w:val="lv-LV"/>
        </w:rPr>
        <w:tab/>
        <w:t xml:space="preserve">ES </w:t>
      </w:r>
      <w:proofErr w:type="spellStart"/>
      <w:r w:rsidRPr="00550D35">
        <w:rPr>
          <w:b/>
          <w:bCs/>
          <w:szCs w:val="24"/>
          <w:lang w:val="lv-LV"/>
        </w:rPr>
        <w:t>mērķrādītājs</w:t>
      </w:r>
      <w:proofErr w:type="spellEnd"/>
      <w:r w:rsidRPr="00550D35">
        <w:rPr>
          <w:b/>
          <w:bCs/>
          <w:szCs w:val="24"/>
          <w:lang w:val="lv-LV"/>
        </w:rPr>
        <w:t xml:space="preserve"> (2030)  75 %</w:t>
      </w:r>
    </w:p>
    <w:p w14:paraId="6CC3E9D1" w14:textId="30EFC275" w:rsidR="00B82489" w:rsidRPr="00550D35" w:rsidRDefault="00B82489" w:rsidP="002859A0">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i/>
          <w:iCs/>
          <w:szCs w:val="24"/>
          <w:lang w:val="lv-LV"/>
        </w:rPr>
      </w:pPr>
      <w:r w:rsidRPr="00550D35">
        <w:rPr>
          <w:i/>
          <w:iCs/>
          <w:szCs w:val="24"/>
          <w:lang w:val="lv-LV"/>
        </w:rPr>
        <w:lastRenderedPageBreak/>
        <w:t>Avots: Digitālās dekādes 2023.gada ziņojums par Latviju</w:t>
      </w:r>
    </w:p>
    <w:p w14:paraId="0BF86545" w14:textId="77777777" w:rsidR="00940899" w:rsidRPr="00550D35" w:rsidRDefault="00940899" w:rsidP="00D546F5">
      <w:pPr>
        <w:pStyle w:val="Text3"/>
        <w:ind w:left="0" w:firstLine="0"/>
        <w:rPr>
          <w:lang w:val="lv-LV"/>
        </w:rPr>
      </w:pPr>
    </w:p>
    <w:p w14:paraId="6829CBAA" w14:textId="4989B52B" w:rsidR="00940899" w:rsidRPr="00550D35" w:rsidRDefault="00940899" w:rsidP="00940899">
      <w:pPr>
        <w:rPr>
          <w:lang w:val="lv-LV"/>
        </w:rPr>
      </w:pPr>
      <w:r w:rsidRPr="00550D35">
        <w:rPr>
          <w:lang w:val="lv-LV"/>
        </w:rPr>
        <w:t xml:space="preserve">Ar </w:t>
      </w:r>
      <w:r w:rsidR="002859A0" w:rsidRPr="00550D35">
        <w:rPr>
          <w:lang w:val="lv-LV"/>
        </w:rPr>
        <w:t>Latvijas plānotajiem</w:t>
      </w:r>
      <w:r w:rsidRPr="00550D35">
        <w:rPr>
          <w:lang w:val="lv-LV"/>
        </w:rPr>
        <w:t xml:space="preserve"> atbalsta pasākumiem paredzams, ka uzņēmumu īpatsvars, kas izmanto mākslīgā intelekta risinājumus</w:t>
      </w:r>
      <w:r w:rsidR="002859A0" w:rsidRPr="00550D35">
        <w:rPr>
          <w:lang w:val="lv-LV"/>
        </w:rPr>
        <w:t xml:space="preserve"> </w:t>
      </w:r>
      <w:r w:rsidR="00834D80" w:rsidRPr="00550D35">
        <w:rPr>
          <w:lang w:val="lv-LV"/>
        </w:rPr>
        <w:t>līdz 2030. </w:t>
      </w:r>
      <w:r w:rsidR="002859A0" w:rsidRPr="00550D35">
        <w:rPr>
          <w:lang w:val="lv-LV"/>
        </w:rPr>
        <w:t>gadam tiks paaugstināts līdz 10%</w:t>
      </w:r>
      <w:r w:rsidRPr="00550D35">
        <w:rPr>
          <w:lang w:val="lv-LV"/>
        </w:rPr>
        <w:t>.</w:t>
      </w:r>
    </w:p>
    <w:p w14:paraId="267731EB" w14:textId="77777777" w:rsidR="00940899" w:rsidRPr="00550D35" w:rsidRDefault="00940899" w:rsidP="00940899">
      <w:pPr>
        <w:rPr>
          <w:lang w:val="lv-LV"/>
        </w:rPr>
      </w:pPr>
      <w:r w:rsidRPr="00550D35">
        <w:rPr>
          <w:lang w:val="lv-LV"/>
        </w:rPr>
        <w:t xml:space="preserve">Ņemot vērā, ka Latvijas attīstības plānošanas dokumentos minētais </w:t>
      </w:r>
      <w:proofErr w:type="spellStart"/>
      <w:r w:rsidRPr="00550D35">
        <w:rPr>
          <w:lang w:val="lv-LV"/>
        </w:rPr>
        <w:t>mērķrādītājs</w:t>
      </w:r>
      <w:proofErr w:type="spellEnd"/>
      <w:r w:rsidRPr="00550D35">
        <w:rPr>
          <w:lang w:val="lv-LV"/>
        </w:rPr>
        <w:t xml:space="preserve"> nav definēts, ceļvedī Latvijai tiek sniegta provizoriska informācija par Latvijas nacionālo trajektoriju 2028.- 2030.gadam, tā tiks precizēta ceļveža pārskatīšanas gaitā.</w:t>
      </w:r>
    </w:p>
    <w:p w14:paraId="65847EB6" w14:textId="708D5152" w:rsidR="009F1491" w:rsidRPr="00550D35" w:rsidRDefault="009F1491" w:rsidP="00537FF6">
      <w:pPr>
        <w:rPr>
          <w:lang w:val="lv-LV"/>
        </w:rPr>
      </w:pPr>
    </w:p>
    <w:tbl>
      <w:tblPr>
        <w:tblStyle w:val="TableGrid"/>
        <w:tblW w:w="8534" w:type="dxa"/>
        <w:tblInd w:w="108" w:type="dxa"/>
        <w:tblLook w:val="04A0" w:firstRow="1" w:lastRow="0" w:firstColumn="1" w:lastColumn="0" w:noHBand="0" w:noVBand="1"/>
      </w:tblPr>
      <w:tblGrid>
        <w:gridCol w:w="880"/>
        <w:gridCol w:w="992"/>
        <w:gridCol w:w="992"/>
        <w:gridCol w:w="992"/>
        <w:gridCol w:w="993"/>
        <w:gridCol w:w="992"/>
        <w:gridCol w:w="992"/>
        <w:gridCol w:w="1701"/>
      </w:tblGrid>
      <w:tr w:rsidR="00D732E8" w:rsidRPr="00550D35" w14:paraId="62E68801" w14:textId="3DE8C816" w:rsidTr="00D732E8">
        <w:tc>
          <w:tcPr>
            <w:tcW w:w="880" w:type="dxa"/>
          </w:tcPr>
          <w:p w14:paraId="00EF5BA5" w14:textId="77777777" w:rsidR="00D732E8" w:rsidRPr="00550D35" w:rsidRDefault="00D732E8">
            <w:pPr>
              <w:pStyle w:val="Text2"/>
              <w:ind w:left="0" w:firstLine="0"/>
              <w:rPr>
                <w:sz w:val="20"/>
                <w:lang w:val="lv-LV"/>
              </w:rPr>
            </w:pPr>
            <w:r w:rsidRPr="00550D35">
              <w:rPr>
                <w:sz w:val="20"/>
                <w:lang w:val="lv-LV"/>
              </w:rPr>
              <w:t>2023</w:t>
            </w:r>
          </w:p>
        </w:tc>
        <w:tc>
          <w:tcPr>
            <w:tcW w:w="992" w:type="dxa"/>
          </w:tcPr>
          <w:p w14:paraId="799B810F" w14:textId="77777777" w:rsidR="00D732E8" w:rsidRPr="00550D35" w:rsidRDefault="00D732E8">
            <w:pPr>
              <w:pStyle w:val="Text2"/>
              <w:ind w:left="0" w:firstLine="0"/>
              <w:rPr>
                <w:sz w:val="20"/>
                <w:lang w:val="lv-LV"/>
              </w:rPr>
            </w:pPr>
            <w:r w:rsidRPr="00550D35">
              <w:rPr>
                <w:sz w:val="20"/>
                <w:lang w:val="lv-LV"/>
              </w:rPr>
              <w:t>2024</w:t>
            </w:r>
          </w:p>
        </w:tc>
        <w:tc>
          <w:tcPr>
            <w:tcW w:w="992" w:type="dxa"/>
          </w:tcPr>
          <w:p w14:paraId="5DB31E86" w14:textId="77777777" w:rsidR="00D732E8" w:rsidRPr="00550D35" w:rsidRDefault="00D732E8">
            <w:pPr>
              <w:pStyle w:val="Text2"/>
              <w:ind w:left="0" w:firstLine="0"/>
              <w:rPr>
                <w:sz w:val="20"/>
                <w:lang w:val="lv-LV"/>
              </w:rPr>
            </w:pPr>
            <w:r w:rsidRPr="00550D35">
              <w:rPr>
                <w:sz w:val="20"/>
                <w:lang w:val="lv-LV"/>
              </w:rPr>
              <w:t>2025</w:t>
            </w:r>
          </w:p>
        </w:tc>
        <w:tc>
          <w:tcPr>
            <w:tcW w:w="992" w:type="dxa"/>
          </w:tcPr>
          <w:p w14:paraId="3BA6ECA5" w14:textId="77777777" w:rsidR="00D732E8" w:rsidRPr="00550D35" w:rsidRDefault="00D732E8">
            <w:pPr>
              <w:pStyle w:val="Text2"/>
              <w:ind w:left="0" w:firstLine="0"/>
              <w:rPr>
                <w:sz w:val="20"/>
                <w:lang w:val="lv-LV"/>
              </w:rPr>
            </w:pPr>
            <w:r w:rsidRPr="00550D35">
              <w:rPr>
                <w:sz w:val="20"/>
                <w:lang w:val="lv-LV"/>
              </w:rPr>
              <w:t>2026</w:t>
            </w:r>
          </w:p>
        </w:tc>
        <w:tc>
          <w:tcPr>
            <w:tcW w:w="993" w:type="dxa"/>
          </w:tcPr>
          <w:p w14:paraId="0DD15A59" w14:textId="77777777" w:rsidR="00D732E8" w:rsidRPr="00550D35" w:rsidRDefault="00D732E8">
            <w:pPr>
              <w:pStyle w:val="Text2"/>
              <w:ind w:left="0" w:firstLine="0"/>
              <w:rPr>
                <w:sz w:val="20"/>
                <w:lang w:val="lv-LV"/>
              </w:rPr>
            </w:pPr>
            <w:r w:rsidRPr="00550D35">
              <w:rPr>
                <w:sz w:val="20"/>
                <w:lang w:val="lv-LV"/>
              </w:rPr>
              <w:t>2027</w:t>
            </w:r>
          </w:p>
        </w:tc>
        <w:tc>
          <w:tcPr>
            <w:tcW w:w="992" w:type="dxa"/>
          </w:tcPr>
          <w:p w14:paraId="6FCE8592" w14:textId="4FD58743" w:rsidR="00D732E8" w:rsidRPr="00550D35" w:rsidRDefault="00D732E8">
            <w:pPr>
              <w:pStyle w:val="Text2"/>
              <w:ind w:left="0" w:firstLine="0"/>
              <w:rPr>
                <w:sz w:val="20"/>
                <w:lang w:val="lv-LV"/>
              </w:rPr>
            </w:pPr>
            <w:r>
              <w:rPr>
                <w:sz w:val="20"/>
                <w:lang w:val="lv-LV"/>
              </w:rPr>
              <w:t>2028</w:t>
            </w:r>
          </w:p>
        </w:tc>
        <w:tc>
          <w:tcPr>
            <w:tcW w:w="992" w:type="dxa"/>
          </w:tcPr>
          <w:p w14:paraId="62132B7D" w14:textId="20AB89B4" w:rsidR="00D732E8" w:rsidRPr="00550D35" w:rsidRDefault="00D732E8">
            <w:pPr>
              <w:pStyle w:val="Text2"/>
              <w:ind w:left="0" w:firstLine="0"/>
              <w:rPr>
                <w:sz w:val="20"/>
                <w:lang w:val="lv-LV"/>
              </w:rPr>
            </w:pPr>
            <w:r w:rsidRPr="00550D35">
              <w:rPr>
                <w:sz w:val="20"/>
                <w:lang w:val="lv-LV"/>
              </w:rPr>
              <w:t>2029</w:t>
            </w:r>
          </w:p>
        </w:tc>
        <w:tc>
          <w:tcPr>
            <w:tcW w:w="1701" w:type="dxa"/>
          </w:tcPr>
          <w:p w14:paraId="14783719" w14:textId="77777777" w:rsidR="00D732E8" w:rsidRPr="00550D35" w:rsidRDefault="00D732E8">
            <w:pPr>
              <w:pStyle w:val="Text2"/>
              <w:ind w:left="0" w:firstLine="0"/>
              <w:rPr>
                <w:sz w:val="20"/>
                <w:lang w:val="lv-LV"/>
              </w:rPr>
            </w:pPr>
            <w:r w:rsidRPr="00550D35">
              <w:rPr>
                <w:sz w:val="20"/>
                <w:lang w:val="lv-LV"/>
              </w:rPr>
              <w:t>2030</w:t>
            </w:r>
          </w:p>
        </w:tc>
      </w:tr>
      <w:tr w:rsidR="00D732E8" w:rsidRPr="00550D35" w14:paraId="7328AF51" w14:textId="5E4412D5" w:rsidTr="00D732E8">
        <w:tc>
          <w:tcPr>
            <w:tcW w:w="880" w:type="dxa"/>
            <w:shd w:val="clear" w:color="auto" w:fill="FFFFFF" w:themeFill="background1"/>
          </w:tcPr>
          <w:p w14:paraId="40FC8AF8" w14:textId="77A7A3FA" w:rsidR="00D732E8" w:rsidRPr="00550D35" w:rsidRDefault="00D732E8" w:rsidP="005D09F4">
            <w:pPr>
              <w:pStyle w:val="Text2"/>
              <w:ind w:left="0" w:firstLine="0"/>
              <w:rPr>
                <w:sz w:val="20"/>
                <w:lang w:val="lv-LV"/>
              </w:rPr>
            </w:pPr>
            <w:r w:rsidRPr="00550D35">
              <w:rPr>
                <w:sz w:val="20"/>
                <w:lang w:val="lv-LV"/>
              </w:rPr>
              <w:t>4%</w:t>
            </w:r>
          </w:p>
        </w:tc>
        <w:tc>
          <w:tcPr>
            <w:tcW w:w="992" w:type="dxa"/>
            <w:shd w:val="clear" w:color="auto" w:fill="FFFFFF" w:themeFill="background1"/>
          </w:tcPr>
          <w:p w14:paraId="336C288E" w14:textId="754AB7E9" w:rsidR="00D732E8" w:rsidRPr="00550D35" w:rsidRDefault="00D732E8" w:rsidP="005D09F4">
            <w:pPr>
              <w:pStyle w:val="Text2"/>
              <w:ind w:left="0" w:firstLine="0"/>
              <w:rPr>
                <w:sz w:val="20"/>
                <w:lang w:val="lv-LV"/>
              </w:rPr>
            </w:pPr>
            <w:r>
              <w:rPr>
                <w:sz w:val="20"/>
                <w:lang w:val="lv-LV"/>
              </w:rPr>
              <w:t>13</w:t>
            </w:r>
            <w:r w:rsidRPr="00550D35">
              <w:rPr>
                <w:sz w:val="20"/>
                <w:lang w:val="lv-LV"/>
              </w:rPr>
              <w:t>%</w:t>
            </w:r>
          </w:p>
        </w:tc>
        <w:tc>
          <w:tcPr>
            <w:tcW w:w="992" w:type="dxa"/>
            <w:shd w:val="clear" w:color="auto" w:fill="FFFFFF" w:themeFill="background1"/>
          </w:tcPr>
          <w:p w14:paraId="575CAEF8" w14:textId="4E7E5CDB" w:rsidR="00D732E8" w:rsidRPr="00550D35" w:rsidRDefault="00D732E8" w:rsidP="005D09F4">
            <w:pPr>
              <w:pStyle w:val="Text2"/>
              <w:ind w:left="0" w:firstLine="0"/>
              <w:rPr>
                <w:sz w:val="20"/>
                <w:lang w:val="lv-LV"/>
              </w:rPr>
            </w:pPr>
            <w:r>
              <w:rPr>
                <w:sz w:val="20"/>
                <w:lang w:val="lv-LV"/>
              </w:rPr>
              <w:t>22</w:t>
            </w:r>
            <w:r w:rsidRPr="00550D35">
              <w:rPr>
                <w:sz w:val="20"/>
                <w:lang w:val="lv-LV"/>
              </w:rPr>
              <w:t>%</w:t>
            </w:r>
          </w:p>
        </w:tc>
        <w:tc>
          <w:tcPr>
            <w:tcW w:w="992" w:type="dxa"/>
            <w:shd w:val="clear" w:color="auto" w:fill="FFFFFF" w:themeFill="background1"/>
          </w:tcPr>
          <w:p w14:paraId="19B142B4" w14:textId="60BD1719" w:rsidR="00D732E8" w:rsidRPr="00550D35" w:rsidRDefault="00D732E8" w:rsidP="005D09F4">
            <w:pPr>
              <w:pStyle w:val="Text2"/>
              <w:ind w:left="0" w:firstLine="0"/>
              <w:rPr>
                <w:sz w:val="20"/>
                <w:lang w:val="lv-LV"/>
              </w:rPr>
            </w:pPr>
            <w:r>
              <w:rPr>
                <w:sz w:val="20"/>
                <w:lang w:val="lv-LV"/>
              </w:rPr>
              <w:t>31</w:t>
            </w:r>
            <w:r w:rsidRPr="00550D35">
              <w:rPr>
                <w:sz w:val="20"/>
                <w:lang w:val="lv-LV"/>
              </w:rPr>
              <w:t>%</w:t>
            </w:r>
          </w:p>
        </w:tc>
        <w:tc>
          <w:tcPr>
            <w:tcW w:w="993" w:type="dxa"/>
            <w:shd w:val="clear" w:color="auto" w:fill="FFFFFF" w:themeFill="background1"/>
          </w:tcPr>
          <w:p w14:paraId="4058A85E" w14:textId="512BF63E" w:rsidR="00D732E8" w:rsidRPr="00550D35" w:rsidRDefault="00D732E8" w:rsidP="005D09F4">
            <w:pPr>
              <w:pStyle w:val="Text2"/>
              <w:ind w:left="0" w:firstLine="0"/>
              <w:rPr>
                <w:sz w:val="20"/>
                <w:lang w:val="lv-LV"/>
              </w:rPr>
            </w:pPr>
            <w:r>
              <w:rPr>
                <w:sz w:val="20"/>
                <w:lang w:val="lv-LV"/>
              </w:rPr>
              <w:t>42</w:t>
            </w:r>
            <w:r w:rsidRPr="00550D35">
              <w:rPr>
                <w:sz w:val="20"/>
                <w:lang w:val="lv-LV"/>
              </w:rPr>
              <w:t>%</w:t>
            </w:r>
          </w:p>
        </w:tc>
        <w:tc>
          <w:tcPr>
            <w:tcW w:w="992" w:type="dxa"/>
            <w:shd w:val="clear" w:color="auto" w:fill="FFFFFF" w:themeFill="background1"/>
          </w:tcPr>
          <w:p w14:paraId="1778396E" w14:textId="31E427A1" w:rsidR="00D732E8" w:rsidRDefault="00D732E8" w:rsidP="005D09F4">
            <w:pPr>
              <w:pStyle w:val="Text2"/>
              <w:ind w:left="0" w:firstLine="0"/>
              <w:rPr>
                <w:sz w:val="20"/>
                <w:lang w:val="lv-LV"/>
              </w:rPr>
            </w:pPr>
            <w:r>
              <w:rPr>
                <w:sz w:val="20"/>
                <w:lang w:val="lv-LV"/>
              </w:rPr>
              <w:t>53%</w:t>
            </w:r>
          </w:p>
        </w:tc>
        <w:tc>
          <w:tcPr>
            <w:tcW w:w="992" w:type="dxa"/>
            <w:shd w:val="clear" w:color="auto" w:fill="FFFFFF" w:themeFill="background1"/>
          </w:tcPr>
          <w:p w14:paraId="41C3BCFE" w14:textId="442340C2" w:rsidR="00D732E8" w:rsidRPr="00550D35" w:rsidRDefault="00D732E8" w:rsidP="005D09F4">
            <w:pPr>
              <w:pStyle w:val="Text2"/>
              <w:ind w:left="0" w:firstLine="0"/>
              <w:rPr>
                <w:sz w:val="20"/>
                <w:lang w:val="lv-LV"/>
              </w:rPr>
            </w:pPr>
            <w:r>
              <w:rPr>
                <w:sz w:val="20"/>
                <w:lang w:val="lv-LV"/>
              </w:rPr>
              <w:t>64</w:t>
            </w:r>
            <w:r w:rsidRPr="00550D35">
              <w:rPr>
                <w:sz w:val="20"/>
                <w:lang w:val="lv-LV"/>
              </w:rPr>
              <w:t>%</w:t>
            </w:r>
          </w:p>
        </w:tc>
        <w:tc>
          <w:tcPr>
            <w:tcW w:w="1701" w:type="dxa"/>
            <w:shd w:val="clear" w:color="auto" w:fill="FFFFFF" w:themeFill="background1"/>
          </w:tcPr>
          <w:p w14:paraId="2D1C0AEB" w14:textId="4BDBE357" w:rsidR="00D732E8" w:rsidRDefault="00D732E8" w:rsidP="005D09F4">
            <w:pPr>
              <w:pStyle w:val="Text2"/>
              <w:ind w:left="0" w:firstLine="0"/>
              <w:rPr>
                <w:sz w:val="20"/>
                <w:lang w:val="lv-LV"/>
              </w:rPr>
            </w:pPr>
            <w:r>
              <w:rPr>
                <w:sz w:val="20"/>
                <w:lang w:val="lv-LV"/>
              </w:rPr>
              <w:t>75</w:t>
            </w:r>
            <w:r w:rsidRPr="00550D35">
              <w:rPr>
                <w:sz w:val="20"/>
                <w:lang w:val="lv-LV"/>
              </w:rPr>
              <w:t>%</w:t>
            </w:r>
          </w:p>
          <w:p w14:paraId="0D3631FF" w14:textId="02B30376" w:rsidR="00D732E8" w:rsidRPr="00550D35" w:rsidRDefault="00D732E8" w:rsidP="005D09F4">
            <w:pPr>
              <w:pStyle w:val="Text2"/>
              <w:ind w:left="0" w:firstLine="0"/>
              <w:rPr>
                <w:sz w:val="20"/>
                <w:lang w:val="lv-LV"/>
              </w:rPr>
            </w:pPr>
            <w:r w:rsidRPr="00550D35">
              <w:rPr>
                <w:sz w:val="20"/>
                <w:lang w:val="lv-LV"/>
              </w:rPr>
              <w:t>75% (ES mērķis)</w:t>
            </w:r>
          </w:p>
        </w:tc>
      </w:tr>
    </w:tbl>
    <w:p w14:paraId="56AE021D" w14:textId="77777777" w:rsidR="00DD5951" w:rsidRPr="00550D35" w:rsidRDefault="00DD5951" w:rsidP="00DD5951">
      <w:pPr>
        <w:pStyle w:val="Heading2"/>
        <w:rPr>
          <w:lang w:val="lv-LV"/>
        </w:rPr>
      </w:pPr>
      <w:r w:rsidRPr="00550D35">
        <w:rPr>
          <w:lang w:val="lv-LV"/>
        </w:rPr>
        <w:t xml:space="preserve">Politika, pasākumi un darbības digitālā </w:t>
      </w:r>
      <w:proofErr w:type="spellStart"/>
      <w:r w:rsidRPr="00550D35">
        <w:rPr>
          <w:lang w:val="lv-LV"/>
        </w:rPr>
        <w:t>mērķrādītāja</w:t>
      </w:r>
      <w:proofErr w:type="spellEnd"/>
      <w:r w:rsidRPr="00550D35">
        <w:rPr>
          <w:lang w:val="lv-LV"/>
        </w:rPr>
        <w:t xml:space="preserve"> sasniegšanai </w:t>
      </w:r>
    </w:p>
    <w:p w14:paraId="6C9408EB" w14:textId="77777777" w:rsidR="00DD5951" w:rsidRPr="00550D35" w:rsidRDefault="00DD5951" w:rsidP="00DD5951">
      <w:pPr>
        <w:rPr>
          <w:lang w:val="lv-LV"/>
        </w:rPr>
      </w:pPr>
      <w:r w:rsidRPr="00550D35">
        <w:rPr>
          <w:lang w:val="lv-LV"/>
        </w:rPr>
        <w:t xml:space="preserve">Digitālo tehnoloģiju integrācija Latvijas uzņēmumiem var pavērt jaunas izdevības uzlabot konkurētspēju. Saskaņā ar NIP2027 MVU nepieciešams attīstīt digitālās attīstības līmeni, tostarp veicināt  komersantu vadības prasmju, kas nepieciešamas darbam digitālās transformācijas apstākļos, t.sk., ikdienas darba procesu pārveidi, atbilstoši digitālas ekonomikas iespējām, mudinot komercdarbībā izmantot mākslīgā intelekta, lielo datu un </w:t>
      </w:r>
      <w:proofErr w:type="spellStart"/>
      <w:r w:rsidRPr="00550D35">
        <w:rPr>
          <w:lang w:val="lv-LV"/>
        </w:rPr>
        <w:t>mākoņdatošanas</w:t>
      </w:r>
      <w:proofErr w:type="spellEnd"/>
      <w:r w:rsidRPr="00550D35">
        <w:rPr>
          <w:lang w:val="lv-LV"/>
        </w:rPr>
        <w:t xml:space="preserve"> risinājumus, digitālo mārketingu un sociālos medijus, izmantojot iespējas organizēt darbu attālināti.</w:t>
      </w:r>
    </w:p>
    <w:p w14:paraId="06271F47" w14:textId="77777777" w:rsidR="00DD5951" w:rsidRPr="00550D35" w:rsidRDefault="00DD5951" w:rsidP="00DD5951">
      <w:pPr>
        <w:rPr>
          <w:lang w:val="lv-LV"/>
        </w:rPr>
      </w:pPr>
      <w:r w:rsidRPr="00550D35">
        <w:rPr>
          <w:lang w:val="lv-LV"/>
        </w:rPr>
        <w:t xml:space="preserve">Tiks veicināta uzņēmumu darbinieku digitālo prasmju attīstīšana, motivējot darba devējus investēt darbiniekos un nodrošināt tiem digitālo prasmju paaugstināšanas mācības visas darba dzīves laikā, plaši izmantojot 2021.-2027. gada plānošanas periodā pieejamos ES atbalsta instrumentus un programmas, t.sk., speciālistu apmācības iespējas mākslīgā intelekta, </w:t>
      </w:r>
      <w:proofErr w:type="spellStart"/>
      <w:r w:rsidRPr="00550D35">
        <w:rPr>
          <w:lang w:val="lv-LV"/>
        </w:rPr>
        <w:t>kiberdrošības</w:t>
      </w:r>
      <w:proofErr w:type="spellEnd"/>
      <w:r w:rsidRPr="00550D35">
        <w:rPr>
          <w:lang w:val="lv-LV"/>
        </w:rPr>
        <w:t xml:space="preserve">, HPC mācību programmu ietvaros, izmantojot EDIC sniegtās iespējas apgūt paaugstinātas digitālās prasmes DEP 2027 specifisko mērķu jomās. Vienlaikus arī valsts pārvaldē nodarbinātos, kuri ir atbildīgi vai iesaistīti pakalpojumu un sistēmu izstrādē un nodrošināšanā, kā arī IKT projektu īstenošanā, plānots apmācīt digitālās transformācijas un sabiedrības pārvaldības prasmēs, t.sk. IKT, pakalpojumu un kvalitātes pārvaldības standartos, IT risinājumos, mākslīgajā intelektā, </w:t>
      </w:r>
      <w:proofErr w:type="spellStart"/>
      <w:r w:rsidRPr="00550D35">
        <w:rPr>
          <w:lang w:val="lv-LV"/>
        </w:rPr>
        <w:t>informācijpratībā</w:t>
      </w:r>
      <w:proofErr w:type="spellEnd"/>
      <w:r w:rsidRPr="00550D35">
        <w:rPr>
          <w:lang w:val="lv-LV"/>
        </w:rPr>
        <w:t xml:space="preserve"> u.c.</w:t>
      </w:r>
    </w:p>
    <w:p w14:paraId="25E79CAB" w14:textId="77777777" w:rsidR="00DD5951" w:rsidRPr="00550D35" w:rsidRDefault="00DD5951" w:rsidP="00DD5951">
      <w:pPr>
        <w:rPr>
          <w:lang w:val="lv-LV"/>
        </w:rPr>
      </w:pPr>
      <w:r w:rsidRPr="00550D35">
        <w:rPr>
          <w:lang w:val="lv-LV"/>
        </w:rPr>
        <w:t xml:space="preserve">Rezultātā pēc veiktajām darbībām sagaidāms, ka tiks apmācīti speciālisti mākslīgā intelekta, </w:t>
      </w:r>
      <w:proofErr w:type="spellStart"/>
      <w:r w:rsidRPr="00550D35">
        <w:rPr>
          <w:lang w:val="lv-LV"/>
        </w:rPr>
        <w:t>kiberdrošības</w:t>
      </w:r>
      <w:proofErr w:type="spellEnd"/>
      <w:r w:rsidRPr="00550D35">
        <w:rPr>
          <w:lang w:val="lv-LV"/>
        </w:rPr>
        <w:t>, HPC mācību programmu ietvaros, ko piedāvā EDIC tīkls.</w:t>
      </w:r>
    </w:p>
    <w:p w14:paraId="4172169A" w14:textId="77777777" w:rsidR="00DD5951" w:rsidRDefault="00DD5951" w:rsidP="00DD5951">
      <w:pPr>
        <w:pStyle w:val="Text3"/>
        <w:ind w:left="0" w:firstLine="709"/>
        <w:rPr>
          <w:lang w:val="lv-LV"/>
        </w:rPr>
      </w:pPr>
    </w:p>
    <w:p w14:paraId="50D9DA8D" w14:textId="77777777" w:rsidR="00DD5951" w:rsidRPr="00550D35" w:rsidRDefault="00DD5951" w:rsidP="00DD5951">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50A22D70" w14:textId="77777777" w:rsidR="00DD5951" w:rsidRPr="0061547B" w:rsidRDefault="00DD5951" w:rsidP="00DD5951">
      <w:pPr>
        <w:spacing w:before="0" w:after="160" w:line="259" w:lineRule="auto"/>
        <w:contextualSpacing/>
        <w:jc w:val="left"/>
        <w:rPr>
          <w:b/>
          <w:bCs/>
          <w:lang w:val="lv-LV"/>
        </w:rPr>
      </w:pPr>
      <w:r w:rsidRPr="0061547B">
        <w:rPr>
          <w:b/>
          <w:bCs/>
          <w:lang w:val="lv-LV"/>
        </w:rPr>
        <w:t>Kopējais laika ietvars:</w:t>
      </w:r>
    </w:p>
    <w:tbl>
      <w:tblPr>
        <w:tblStyle w:val="TableGrid"/>
        <w:tblW w:w="5000" w:type="pct"/>
        <w:tblLook w:val="04A0" w:firstRow="1" w:lastRow="0" w:firstColumn="1" w:lastColumn="0" w:noHBand="0" w:noVBand="1"/>
      </w:tblPr>
      <w:tblGrid>
        <w:gridCol w:w="2061"/>
        <w:gridCol w:w="1117"/>
        <w:gridCol w:w="797"/>
        <w:gridCol w:w="690"/>
        <w:gridCol w:w="691"/>
        <w:gridCol w:w="790"/>
        <w:gridCol w:w="691"/>
        <w:gridCol w:w="815"/>
        <w:gridCol w:w="955"/>
      </w:tblGrid>
      <w:tr w:rsidR="00DD5951" w:rsidRPr="00550D35" w14:paraId="44254BE9" w14:textId="77777777" w:rsidTr="00BA62A0">
        <w:tc>
          <w:tcPr>
            <w:tcW w:w="1176" w:type="pct"/>
            <w:shd w:val="clear" w:color="auto" w:fill="auto"/>
          </w:tcPr>
          <w:p w14:paraId="78B5EFD6" w14:textId="77777777" w:rsidR="00DD5951" w:rsidRPr="00550D35" w:rsidRDefault="00DD5951" w:rsidP="00BA62A0">
            <w:pPr>
              <w:spacing w:before="0" w:after="0"/>
              <w:ind w:firstLine="0"/>
              <w:jc w:val="left"/>
              <w:rPr>
                <w:sz w:val="20"/>
                <w:lang w:val="lv-LV"/>
              </w:rPr>
            </w:pPr>
          </w:p>
        </w:tc>
        <w:tc>
          <w:tcPr>
            <w:tcW w:w="652" w:type="pct"/>
          </w:tcPr>
          <w:p w14:paraId="76BECFE3" w14:textId="77777777" w:rsidR="00DD5951" w:rsidRPr="00550D35" w:rsidRDefault="00DD5951" w:rsidP="00BA62A0">
            <w:pPr>
              <w:spacing w:before="0" w:after="0"/>
              <w:ind w:firstLine="0"/>
              <w:rPr>
                <w:sz w:val="20"/>
                <w:lang w:val="lv-LV"/>
              </w:rPr>
            </w:pPr>
            <w:r w:rsidRPr="00550D35">
              <w:rPr>
                <w:sz w:val="20"/>
                <w:lang w:val="lv-LV"/>
              </w:rPr>
              <w:t>2023</w:t>
            </w:r>
          </w:p>
        </w:tc>
        <w:tc>
          <w:tcPr>
            <w:tcW w:w="466" w:type="pct"/>
          </w:tcPr>
          <w:p w14:paraId="113A2E14" w14:textId="77777777" w:rsidR="00DD5951" w:rsidRPr="00550D35" w:rsidRDefault="00DD5951" w:rsidP="00BA62A0">
            <w:pPr>
              <w:spacing w:before="0" w:after="0"/>
              <w:ind w:firstLine="0"/>
              <w:rPr>
                <w:sz w:val="20"/>
                <w:lang w:val="lv-LV"/>
              </w:rPr>
            </w:pPr>
            <w:r w:rsidRPr="00550D35">
              <w:rPr>
                <w:sz w:val="20"/>
                <w:lang w:val="lv-LV"/>
              </w:rPr>
              <w:t>2024</w:t>
            </w:r>
          </w:p>
        </w:tc>
        <w:tc>
          <w:tcPr>
            <w:tcW w:w="404" w:type="pct"/>
          </w:tcPr>
          <w:p w14:paraId="00067D6D" w14:textId="77777777" w:rsidR="00DD5951" w:rsidRPr="00550D35" w:rsidRDefault="00DD5951" w:rsidP="00BA62A0">
            <w:pPr>
              <w:spacing w:before="0" w:after="0"/>
              <w:ind w:firstLine="0"/>
              <w:rPr>
                <w:sz w:val="20"/>
                <w:lang w:val="lv-LV"/>
              </w:rPr>
            </w:pPr>
            <w:r w:rsidRPr="00550D35">
              <w:rPr>
                <w:sz w:val="20"/>
                <w:lang w:val="lv-LV"/>
              </w:rPr>
              <w:t>2025</w:t>
            </w:r>
          </w:p>
        </w:tc>
        <w:tc>
          <w:tcPr>
            <w:tcW w:w="404" w:type="pct"/>
          </w:tcPr>
          <w:p w14:paraId="14066F01" w14:textId="77777777" w:rsidR="00DD5951" w:rsidRPr="00550D35" w:rsidRDefault="00DD5951" w:rsidP="00BA62A0">
            <w:pPr>
              <w:spacing w:before="0" w:after="0"/>
              <w:ind w:firstLine="0"/>
              <w:rPr>
                <w:sz w:val="20"/>
                <w:lang w:val="lv-LV"/>
              </w:rPr>
            </w:pPr>
            <w:r w:rsidRPr="00550D35">
              <w:rPr>
                <w:sz w:val="20"/>
                <w:lang w:val="lv-LV"/>
              </w:rPr>
              <w:t>2026</w:t>
            </w:r>
          </w:p>
        </w:tc>
        <w:tc>
          <w:tcPr>
            <w:tcW w:w="461" w:type="pct"/>
          </w:tcPr>
          <w:p w14:paraId="55DD39E0" w14:textId="77777777" w:rsidR="00DD5951" w:rsidRPr="00550D35" w:rsidRDefault="00DD5951" w:rsidP="00BA62A0">
            <w:pPr>
              <w:spacing w:before="0" w:after="0"/>
              <w:ind w:firstLine="0"/>
              <w:rPr>
                <w:sz w:val="20"/>
                <w:lang w:val="lv-LV"/>
              </w:rPr>
            </w:pPr>
            <w:r w:rsidRPr="00550D35">
              <w:rPr>
                <w:sz w:val="20"/>
                <w:lang w:val="lv-LV"/>
              </w:rPr>
              <w:t>2027</w:t>
            </w:r>
          </w:p>
        </w:tc>
        <w:tc>
          <w:tcPr>
            <w:tcW w:w="404" w:type="pct"/>
          </w:tcPr>
          <w:p w14:paraId="23023CEF" w14:textId="77777777" w:rsidR="00DD5951" w:rsidRPr="00550D35" w:rsidRDefault="00DD5951" w:rsidP="00BA62A0">
            <w:pPr>
              <w:spacing w:before="0" w:after="0"/>
              <w:ind w:firstLine="0"/>
              <w:rPr>
                <w:sz w:val="20"/>
                <w:lang w:val="lv-LV"/>
              </w:rPr>
            </w:pPr>
            <w:r w:rsidRPr="00550D35">
              <w:rPr>
                <w:sz w:val="20"/>
                <w:lang w:val="lv-LV"/>
              </w:rPr>
              <w:t>2028</w:t>
            </w:r>
          </w:p>
        </w:tc>
        <w:tc>
          <w:tcPr>
            <w:tcW w:w="476" w:type="pct"/>
          </w:tcPr>
          <w:p w14:paraId="27E85612" w14:textId="77777777" w:rsidR="00DD5951" w:rsidRPr="00550D35" w:rsidRDefault="00DD5951" w:rsidP="00BA62A0">
            <w:pPr>
              <w:spacing w:before="0" w:after="0"/>
              <w:ind w:firstLine="0"/>
              <w:rPr>
                <w:sz w:val="20"/>
                <w:lang w:val="lv-LV"/>
              </w:rPr>
            </w:pPr>
            <w:r w:rsidRPr="00550D35">
              <w:rPr>
                <w:sz w:val="20"/>
                <w:lang w:val="lv-LV"/>
              </w:rPr>
              <w:t>2029</w:t>
            </w:r>
          </w:p>
        </w:tc>
        <w:tc>
          <w:tcPr>
            <w:tcW w:w="557" w:type="pct"/>
          </w:tcPr>
          <w:p w14:paraId="173AC1B0" w14:textId="77777777" w:rsidR="00DD5951" w:rsidRPr="00550D35" w:rsidRDefault="00DD5951" w:rsidP="00BA62A0">
            <w:pPr>
              <w:spacing w:before="0" w:after="0"/>
              <w:ind w:firstLine="0"/>
              <w:rPr>
                <w:sz w:val="20"/>
                <w:lang w:val="lv-LV"/>
              </w:rPr>
            </w:pPr>
            <w:r w:rsidRPr="00550D35">
              <w:rPr>
                <w:sz w:val="20"/>
                <w:lang w:val="lv-LV"/>
              </w:rPr>
              <w:t>2030</w:t>
            </w:r>
          </w:p>
        </w:tc>
      </w:tr>
      <w:tr w:rsidR="00DD5951" w:rsidRPr="00550D35" w14:paraId="13CD9FFA" w14:textId="77777777" w:rsidTr="00BA62A0">
        <w:tc>
          <w:tcPr>
            <w:tcW w:w="5000" w:type="pct"/>
            <w:gridSpan w:val="9"/>
            <w:shd w:val="clear" w:color="auto" w:fill="BFBFBF" w:themeFill="background1" w:themeFillShade="BF"/>
          </w:tcPr>
          <w:p w14:paraId="65DE14B7" w14:textId="77777777" w:rsidR="00DD5951" w:rsidRPr="00550D35" w:rsidRDefault="00DD5951" w:rsidP="00BA62A0">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DD5951" w:rsidRPr="003B2E9A" w14:paraId="1DBA6FC8" w14:textId="77777777" w:rsidTr="00BA62A0">
        <w:tc>
          <w:tcPr>
            <w:tcW w:w="1176" w:type="pct"/>
          </w:tcPr>
          <w:p w14:paraId="527EF816" w14:textId="77777777" w:rsidR="00DD5951" w:rsidRPr="004E03B6" w:rsidRDefault="00DD5951" w:rsidP="00BA62A0">
            <w:pPr>
              <w:spacing w:before="0"/>
              <w:ind w:firstLine="22"/>
              <w:jc w:val="left"/>
              <w:rPr>
                <w:noProof/>
                <w:sz w:val="20"/>
                <w:lang w:val="lv-LV"/>
              </w:rPr>
            </w:pPr>
            <w:r w:rsidRPr="004E03B6">
              <w:rPr>
                <w:sz w:val="20"/>
                <w:lang w:val="lv-LV"/>
              </w:rPr>
              <w:t>Pasākums Nr.1 -</w:t>
            </w:r>
            <w:r w:rsidRPr="004E03B6">
              <w:rPr>
                <w:sz w:val="20"/>
                <w:lang w:val="lv-LV"/>
              </w:rPr>
              <w:br/>
            </w:r>
            <w:r w:rsidRPr="003470CE">
              <w:rPr>
                <w:b/>
                <w:bCs/>
                <w:noProof/>
                <w:sz w:val="20"/>
                <w:lang w:val="lv-LV"/>
              </w:rPr>
              <w:t>“Atbalsts Digitālo inovāciju centru un reģionālo kontaktpunktu izveidei”</w:t>
            </w:r>
          </w:p>
          <w:p w14:paraId="6C003BA8" w14:textId="77777777" w:rsidR="00DD5951" w:rsidRPr="004E03B6" w:rsidRDefault="00DD5951" w:rsidP="00BA62A0">
            <w:pPr>
              <w:spacing w:before="0"/>
              <w:ind w:firstLine="22"/>
              <w:jc w:val="left"/>
              <w:rPr>
                <w:noProof/>
                <w:sz w:val="20"/>
                <w:lang w:val="lv-LV"/>
              </w:rPr>
            </w:pPr>
            <w:r w:rsidRPr="0084229A">
              <w:rPr>
                <w:sz w:val="20"/>
                <w:shd w:val="clear" w:color="auto" w:fill="FFFFFF" w:themeFill="background1"/>
                <w:lang w:val="lv-LV"/>
              </w:rPr>
              <w:t>Finansējuma avots:</w:t>
            </w:r>
            <w:r w:rsidRPr="004E03B6">
              <w:rPr>
                <w:sz w:val="20"/>
                <w:lang w:val="lv-LV"/>
              </w:rPr>
              <w:t xml:space="preserve"> ANM plāna investīcija </w:t>
            </w:r>
            <w:r w:rsidRPr="004E03B6">
              <w:rPr>
                <w:noProof/>
                <w:sz w:val="20"/>
                <w:lang w:val="lv-LV"/>
              </w:rPr>
              <w:t>2.2.1.1.i</w:t>
            </w:r>
          </w:p>
          <w:p w14:paraId="5FFD89CD" w14:textId="77777777" w:rsidR="00DD5951" w:rsidRPr="003470CE" w:rsidRDefault="00DD5951" w:rsidP="00BA62A0">
            <w:pPr>
              <w:ind w:firstLine="0"/>
              <w:jc w:val="left"/>
              <w:rPr>
                <w:b/>
                <w:noProof/>
                <w:sz w:val="20"/>
                <w:lang w:val="lv-LV"/>
              </w:rPr>
            </w:pPr>
            <w:r w:rsidRPr="004E03B6">
              <w:rPr>
                <w:bCs/>
                <w:noProof/>
                <w:sz w:val="20"/>
                <w:lang w:val="lv-LV"/>
              </w:rPr>
              <w:t xml:space="preserve"> </w:t>
            </w:r>
            <w:r w:rsidRPr="003470CE">
              <w:rPr>
                <w:b/>
                <w:noProof/>
                <w:sz w:val="20"/>
                <w:lang w:val="lv-LV"/>
              </w:rPr>
              <w:t>“Atbalsts procesu digitalizācijai komercdarbībā”</w:t>
            </w:r>
          </w:p>
          <w:p w14:paraId="1C9C5B5C" w14:textId="77777777" w:rsidR="00DD5951" w:rsidRPr="004E03B6" w:rsidRDefault="00DD5951" w:rsidP="00BA62A0">
            <w:pPr>
              <w:ind w:firstLine="0"/>
              <w:jc w:val="left"/>
              <w:rPr>
                <w:b/>
                <w:sz w:val="20"/>
                <w:lang w:val="lv-LV"/>
              </w:rPr>
            </w:pPr>
            <w:r w:rsidRPr="0084229A">
              <w:rPr>
                <w:sz w:val="20"/>
                <w:shd w:val="clear" w:color="auto" w:fill="FFFFFF" w:themeFill="background1"/>
                <w:lang w:val="lv-LV"/>
              </w:rPr>
              <w:lastRenderedPageBreak/>
              <w:t>Finansējuma avots:</w:t>
            </w:r>
            <w:r w:rsidRPr="003470CE">
              <w:rPr>
                <w:sz w:val="20"/>
                <w:shd w:val="clear" w:color="auto" w:fill="FFFFFF" w:themeFill="background1"/>
                <w:lang w:val="lv-LV"/>
              </w:rPr>
              <w:t xml:space="preserve"> ERAF 1.2.2.1.</w:t>
            </w:r>
            <w:r w:rsidRPr="00D61960">
              <w:rPr>
                <w:sz w:val="20"/>
                <w:shd w:val="clear" w:color="auto" w:fill="FFFFFF" w:themeFill="background1"/>
                <w:lang w:val="lv-LV"/>
              </w:rPr>
              <w:t xml:space="preserve"> pasākums</w:t>
            </w:r>
          </w:p>
        </w:tc>
        <w:tc>
          <w:tcPr>
            <w:tcW w:w="652" w:type="pct"/>
            <w:shd w:val="clear" w:color="auto" w:fill="70AD47" w:themeFill="accent6"/>
          </w:tcPr>
          <w:p w14:paraId="3569A2C0" w14:textId="77777777" w:rsidR="00DD5951" w:rsidRPr="00550D35" w:rsidRDefault="00DD5951" w:rsidP="00BA62A0">
            <w:pPr>
              <w:spacing w:before="0" w:after="0"/>
              <w:rPr>
                <w:sz w:val="20"/>
                <w:lang w:val="lv-LV"/>
              </w:rPr>
            </w:pPr>
          </w:p>
        </w:tc>
        <w:tc>
          <w:tcPr>
            <w:tcW w:w="466" w:type="pct"/>
            <w:shd w:val="clear" w:color="auto" w:fill="70AD47" w:themeFill="accent6"/>
          </w:tcPr>
          <w:p w14:paraId="309580C9" w14:textId="77777777" w:rsidR="00DD5951" w:rsidRPr="00550D35" w:rsidRDefault="00DD5951" w:rsidP="00BA62A0">
            <w:pPr>
              <w:spacing w:before="0" w:after="0"/>
              <w:rPr>
                <w:sz w:val="20"/>
                <w:lang w:val="lv-LV"/>
              </w:rPr>
            </w:pPr>
          </w:p>
        </w:tc>
        <w:tc>
          <w:tcPr>
            <w:tcW w:w="404" w:type="pct"/>
            <w:shd w:val="clear" w:color="auto" w:fill="70AD47" w:themeFill="accent6"/>
          </w:tcPr>
          <w:p w14:paraId="727A5B1C" w14:textId="77777777" w:rsidR="00DD5951" w:rsidRPr="00550D35" w:rsidRDefault="00DD5951" w:rsidP="00BA62A0">
            <w:pPr>
              <w:spacing w:before="0" w:after="0"/>
              <w:rPr>
                <w:sz w:val="20"/>
                <w:lang w:val="lv-LV"/>
              </w:rPr>
            </w:pPr>
          </w:p>
        </w:tc>
        <w:tc>
          <w:tcPr>
            <w:tcW w:w="404" w:type="pct"/>
            <w:shd w:val="clear" w:color="auto" w:fill="70AD47" w:themeFill="accent6"/>
          </w:tcPr>
          <w:p w14:paraId="5B0634EF" w14:textId="77777777" w:rsidR="00DD5951" w:rsidRPr="00550D35" w:rsidRDefault="00DD5951" w:rsidP="00BA62A0">
            <w:pPr>
              <w:spacing w:before="0" w:after="0"/>
              <w:rPr>
                <w:sz w:val="20"/>
                <w:lang w:val="lv-LV"/>
              </w:rPr>
            </w:pPr>
          </w:p>
        </w:tc>
        <w:tc>
          <w:tcPr>
            <w:tcW w:w="461" w:type="pct"/>
            <w:shd w:val="clear" w:color="auto" w:fill="70AD47" w:themeFill="accent6"/>
          </w:tcPr>
          <w:p w14:paraId="1829A718" w14:textId="77777777" w:rsidR="00DD5951" w:rsidRPr="00550D35" w:rsidRDefault="00DD5951" w:rsidP="00BA62A0">
            <w:pPr>
              <w:spacing w:before="0" w:after="0"/>
              <w:rPr>
                <w:sz w:val="20"/>
                <w:lang w:val="lv-LV"/>
              </w:rPr>
            </w:pPr>
          </w:p>
        </w:tc>
        <w:tc>
          <w:tcPr>
            <w:tcW w:w="404" w:type="pct"/>
            <w:shd w:val="clear" w:color="auto" w:fill="70AD47" w:themeFill="accent6"/>
          </w:tcPr>
          <w:p w14:paraId="10FBF746" w14:textId="77777777" w:rsidR="00DD5951" w:rsidRPr="00550D35" w:rsidRDefault="00DD5951" w:rsidP="00BA62A0">
            <w:pPr>
              <w:spacing w:before="0" w:after="0"/>
              <w:rPr>
                <w:sz w:val="20"/>
                <w:lang w:val="lv-LV"/>
              </w:rPr>
            </w:pPr>
          </w:p>
        </w:tc>
        <w:tc>
          <w:tcPr>
            <w:tcW w:w="476" w:type="pct"/>
            <w:shd w:val="clear" w:color="auto" w:fill="70AD47" w:themeFill="accent6"/>
          </w:tcPr>
          <w:p w14:paraId="2D49EAB5" w14:textId="77777777" w:rsidR="00DD5951" w:rsidRPr="00550D35" w:rsidRDefault="00DD5951" w:rsidP="00BA62A0">
            <w:pPr>
              <w:spacing w:before="0" w:after="0"/>
              <w:rPr>
                <w:sz w:val="20"/>
                <w:lang w:val="lv-LV"/>
              </w:rPr>
            </w:pPr>
          </w:p>
        </w:tc>
        <w:tc>
          <w:tcPr>
            <w:tcW w:w="557" w:type="pct"/>
          </w:tcPr>
          <w:p w14:paraId="07BDF707" w14:textId="77777777" w:rsidR="00DD5951" w:rsidRPr="00550D35" w:rsidRDefault="00DD5951" w:rsidP="00BA62A0">
            <w:pPr>
              <w:spacing w:before="0" w:after="0"/>
              <w:rPr>
                <w:sz w:val="20"/>
                <w:lang w:val="lv-LV"/>
              </w:rPr>
            </w:pPr>
          </w:p>
        </w:tc>
      </w:tr>
      <w:tr w:rsidR="00DD5951" w:rsidRPr="003654FB" w14:paraId="7B955625" w14:textId="77777777" w:rsidTr="00BA62A0">
        <w:tc>
          <w:tcPr>
            <w:tcW w:w="1176" w:type="pct"/>
          </w:tcPr>
          <w:p w14:paraId="145F13E4" w14:textId="77777777" w:rsidR="00DD5951" w:rsidRPr="004E03B6" w:rsidRDefault="00DD5951" w:rsidP="00BA62A0">
            <w:pPr>
              <w:ind w:firstLine="0"/>
              <w:jc w:val="left"/>
              <w:rPr>
                <w:sz w:val="20"/>
                <w:lang w:val="lv-LV"/>
              </w:rPr>
            </w:pPr>
            <w:r w:rsidRPr="004E03B6">
              <w:rPr>
                <w:sz w:val="20"/>
                <w:lang w:val="lv-LV"/>
              </w:rPr>
              <w:t>Pasākums Nr.2</w:t>
            </w:r>
          </w:p>
          <w:p w14:paraId="1E8AC934" w14:textId="77777777" w:rsidR="00DD5951" w:rsidRPr="003470CE" w:rsidRDefault="00DD5951" w:rsidP="00BA62A0">
            <w:pPr>
              <w:ind w:firstLine="0"/>
              <w:jc w:val="left"/>
              <w:rPr>
                <w:b/>
                <w:bCs/>
                <w:sz w:val="20"/>
                <w:lang w:val="lv-LV"/>
              </w:rPr>
            </w:pPr>
            <w:r w:rsidRPr="003470CE">
              <w:rPr>
                <w:b/>
                <w:bCs/>
                <w:sz w:val="20"/>
                <w:lang w:val="lv-LV"/>
              </w:rPr>
              <w:t xml:space="preserve"> “Atbalsts procesu </w:t>
            </w:r>
            <w:proofErr w:type="spellStart"/>
            <w:r w:rsidRPr="003470CE">
              <w:rPr>
                <w:b/>
                <w:bCs/>
                <w:sz w:val="20"/>
                <w:lang w:val="lv-LV"/>
              </w:rPr>
              <w:t>digitalizācijai</w:t>
            </w:r>
            <w:proofErr w:type="spellEnd"/>
            <w:r w:rsidRPr="003470CE">
              <w:rPr>
                <w:b/>
                <w:bCs/>
                <w:sz w:val="20"/>
                <w:lang w:val="lv-LV"/>
              </w:rPr>
              <w:t xml:space="preserve"> komercdarbībā”</w:t>
            </w:r>
          </w:p>
          <w:p w14:paraId="4D558C48" w14:textId="77777777" w:rsidR="00DD5951" w:rsidRPr="004E03B6" w:rsidRDefault="00DD5951" w:rsidP="00BA62A0">
            <w:pPr>
              <w:ind w:firstLine="0"/>
              <w:jc w:val="left"/>
              <w:rPr>
                <w:sz w:val="20"/>
                <w:lang w:val="lv-LV"/>
              </w:rPr>
            </w:pPr>
            <w:r w:rsidRPr="004E03B6">
              <w:rPr>
                <w:sz w:val="20"/>
                <w:lang w:val="lv-LV"/>
              </w:rPr>
              <w:t xml:space="preserve">Finansējuma avots: ANM plāna investīcija </w:t>
            </w:r>
            <w:r w:rsidRPr="004E03B6">
              <w:rPr>
                <w:noProof/>
                <w:sz w:val="20"/>
                <w:lang w:val="lv-LV"/>
              </w:rPr>
              <w:t>2.2.1.2.i</w:t>
            </w:r>
          </w:p>
        </w:tc>
        <w:tc>
          <w:tcPr>
            <w:tcW w:w="652" w:type="pct"/>
            <w:shd w:val="clear" w:color="auto" w:fill="70AD47" w:themeFill="accent6"/>
          </w:tcPr>
          <w:p w14:paraId="65F38F6E" w14:textId="77777777" w:rsidR="00DD5951" w:rsidRPr="00550D35" w:rsidRDefault="00DD5951" w:rsidP="00BA62A0">
            <w:pPr>
              <w:spacing w:before="0" w:after="0"/>
              <w:rPr>
                <w:sz w:val="20"/>
                <w:lang w:val="lv-LV"/>
              </w:rPr>
            </w:pPr>
          </w:p>
        </w:tc>
        <w:tc>
          <w:tcPr>
            <w:tcW w:w="466" w:type="pct"/>
            <w:shd w:val="clear" w:color="auto" w:fill="70AD47" w:themeFill="accent6"/>
          </w:tcPr>
          <w:p w14:paraId="4BD250AB" w14:textId="77777777" w:rsidR="00DD5951" w:rsidRPr="00550D35" w:rsidRDefault="00DD5951" w:rsidP="00BA62A0">
            <w:pPr>
              <w:spacing w:before="0" w:after="0"/>
              <w:rPr>
                <w:sz w:val="20"/>
                <w:lang w:val="lv-LV"/>
              </w:rPr>
            </w:pPr>
          </w:p>
        </w:tc>
        <w:tc>
          <w:tcPr>
            <w:tcW w:w="404" w:type="pct"/>
            <w:shd w:val="clear" w:color="auto" w:fill="70AD47" w:themeFill="accent6"/>
          </w:tcPr>
          <w:p w14:paraId="5E6D8490" w14:textId="77777777" w:rsidR="00DD5951" w:rsidRPr="00550D35" w:rsidRDefault="00DD5951" w:rsidP="00BA62A0">
            <w:pPr>
              <w:spacing w:before="0" w:after="0"/>
              <w:rPr>
                <w:sz w:val="20"/>
                <w:lang w:val="lv-LV"/>
              </w:rPr>
            </w:pPr>
          </w:p>
        </w:tc>
        <w:tc>
          <w:tcPr>
            <w:tcW w:w="404" w:type="pct"/>
            <w:shd w:val="clear" w:color="auto" w:fill="70AD47" w:themeFill="accent6"/>
          </w:tcPr>
          <w:p w14:paraId="2A837D5A" w14:textId="77777777" w:rsidR="00DD5951" w:rsidRPr="00550D35" w:rsidRDefault="00DD5951" w:rsidP="00BA62A0">
            <w:pPr>
              <w:spacing w:before="0" w:after="0"/>
              <w:rPr>
                <w:sz w:val="20"/>
                <w:lang w:val="lv-LV"/>
              </w:rPr>
            </w:pPr>
          </w:p>
        </w:tc>
        <w:tc>
          <w:tcPr>
            <w:tcW w:w="461" w:type="pct"/>
          </w:tcPr>
          <w:p w14:paraId="116CB4E6" w14:textId="77777777" w:rsidR="00DD5951" w:rsidRPr="00550D35" w:rsidRDefault="00DD5951" w:rsidP="00BA62A0">
            <w:pPr>
              <w:spacing w:before="0" w:after="0"/>
              <w:rPr>
                <w:sz w:val="20"/>
                <w:lang w:val="lv-LV"/>
              </w:rPr>
            </w:pPr>
          </w:p>
        </w:tc>
        <w:tc>
          <w:tcPr>
            <w:tcW w:w="404" w:type="pct"/>
          </w:tcPr>
          <w:p w14:paraId="12648ECF" w14:textId="77777777" w:rsidR="00DD5951" w:rsidRPr="00550D35" w:rsidRDefault="00DD5951" w:rsidP="00BA62A0">
            <w:pPr>
              <w:spacing w:before="0" w:after="0"/>
              <w:rPr>
                <w:sz w:val="20"/>
                <w:lang w:val="lv-LV"/>
              </w:rPr>
            </w:pPr>
          </w:p>
        </w:tc>
        <w:tc>
          <w:tcPr>
            <w:tcW w:w="476" w:type="pct"/>
          </w:tcPr>
          <w:p w14:paraId="36C757F8" w14:textId="77777777" w:rsidR="00DD5951" w:rsidRPr="00550D35" w:rsidRDefault="00DD5951" w:rsidP="00BA62A0">
            <w:pPr>
              <w:spacing w:before="0" w:after="0"/>
              <w:rPr>
                <w:sz w:val="20"/>
                <w:lang w:val="lv-LV"/>
              </w:rPr>
            </w:pPr>
          </w:p>
        </w:tc>
        <w:tc>
          <w:tcPr>
            <w:tcW w:w="557" w:type="pct"/>
          </w:tcPr>
          <w:p w14:paraId="1886847C" w14:textId="77777777" w:rsidR="00DD5951" w:rsidRPr="00550D35" w:rsidRDefault="00DD5951" w:rsidP="00BA62A0">
            <w:pPr>
              <w:spacing w:before="0" w:after="0"/>
              <w:rPr>
                <w:sz w:val="20"/>
                <w:lang w:val="lv-LV"/>
              </w:rPr>
            </w:pPr>
          </w:p>
        </w:tc>
      </w:tr>
      <w:tr w:rsidR="00DD5951" w:rsidRPr="003B2E9A" w14:paraId="0A310396" w14:textId="77777777" w:rsidTr="00BA62A0">
        <w:tc>
          <w:tcPr>
            <w:tcW w:w="1176" w:type="pct"/>
            <w:shd w:val="clear" w:color="auto" w:fill="FFFFFF" w:themeFill="background1"/>
          </w:tcPr>
          <w:p w14:paraId="2B16C620" w14:textId="77777777" w:rsidR="00DD5951" w:rsidRPr="004E03B6" w:rsidRDefault="00DD5951" w:rsidP="00BA62A0">
            <w:pPr>
              <w:ind w:firstLine="0"/>
              <w:jc w:val="left"/>
              <w:rPr>
                <w:sz w:val="20"/>
                <w:lang w:val="lv-LV"/>
              </w:rPr>
            </w:pPr>
            <w:r w:rsidRPr="004E03B6">
              <w:rPr>
                <w:sz w:val="20"/>
                <w:lang w:val="lv-LV"/>
              </w:rPr>
              <w:t>Pasākums Nr.3</w:t>
            </w:r>
          </w:p>
          <w:p w14:paraId="23BB76B2" w14:textId="77777777" w:rsidR="00DD5951" w:rsidRPr="003470CE" w:rsidRDefault="00DD5951" w:rsidP="00BA62A0">
            <w:pPr>
              <w:ind w:firstLine="0"/>
              <w:jc w:val="left"/>
              <w:rPr>
                <w:b/>
                <w:bCs/>
                <w:sz w:val="20"/>
                <w:lang w:val="lv-LV"/>
              </w:rPr>
            </w:pPr>
            <w:r w:rsidRPr="004E03B6">
              <w:rPr>
                <w:sz w:val="20"/>
                <w:lang w:val="lv-LV"/>
              </w:rPr>
              <w:t xml:space="preserve"> </w:t>
            </w:r>
            <w:r w:rsidRPr="003470CE">
              <w:rPr>
                <w:b/>
                <w:bCs/>
                <w:sz w:val="20"/>
                <w:lang w:val="lv-LV"/>
              </w:rPr>
              <w:t>“Atbalsts jaunu produktu un pakalpojumu ieviešanai komercdarbībā”</w:t>
            </w:r>
          </w:p>
          <w:p w14:paraId="69C53F90" w14:textId="77777777" w:rsidR="00DD5951" w:rsidRPr="004E03B6" w:rsidRDefault="00DD5951" w:rsidP="00BA62A0">
            <w:pPr>
              <w:ind w:firstLine="0"/>
              <w:jc w:val="left"/>
              <w:rPr>
                <w:sz w:val="20"/>
                <w:lang w:val="lv-LV"/>
              </w:rPr>
            </w:pPr>
            <w:r w:rsidRPr="004E03B6">
              <w:rPr>
                <w:sz w:val="20"/>
                <w:lang w:val="lv-LV"/>
              </w:rPr>
              <w:t>Finansējuma avots: ANM plāna investīcija 2.2.1.3.i.</w:t>
            </w:r>
          </w:p>
          <w:p w14:paraId="4F245A4B" w14:textId="77777777" w:rsidR="00DD5951" w:rsidRPr="004E03B6" w:rsidRDefault="00DD5951" w:rsidP="00BA62A0">
            <w:pPr>
              <w:ind w:firstLine="0"/>
              <w:jc w:val="left"/>
              <w:rPr>
                <w:sz w:val="20"/>
                <w:lang w:val="lv-LV"/>
              </w:rPr>
            </w:pPr>
            <w:r w:rsidRPr="004E03B6">
              <w:rPr>
                <w:sz w:val="20"/>
                <w:lang w:val="lv-LV"/>
              </w:rPr>
              <w:t xml:space="preserve">un </w:t>
            </w:r>
          </w:p>
          <w:p w14:paraId="40A8C710" w14:textId="77777777" w:rsidR="00DD5951" w:rsidRPr="004E03B6" w:rsidRDefault="00DD5951" w:rsidP="00BA62A0">
            <w:pPr>
              <w:ind w:firstLine="0"/>
              <w:jc w:val="left"/>
              <w:rPr>
                <w:sz w:val="20"/>
                <w:lang w:val="lv-LV"/>
              </w:rPr>
            </w:pPr>
            <w:r w:rsidRPr="003470CE">
              <w:rPr>
                <w:b/>
                <w:sz w:val="20"/>
                <w:lang w:val="lv-LV"/>
              </w:rPr>
              <w:t xml:space="preserve"> “Atbalsts jaunu produktu attīstībai un internacionalizācijai” </w:t>
            </w:r>
            <w:r w:rsidRPr="004E03B6">
              <w:rPr>
                <w:bCs/>
                <w:sz w:val="20"/>
                <w:lang w:val="lv-LV"/>
              </w:rPr>
              <w:t>Finansējuma avots: ERAF 1.2.1.1.</w:t>
            </w:r>
            <w:r w:rsidRPr="00181375">
              <w:rPr>
                <w:bCs/>
                <w:sz w:val="20"/>
                <w:lang w:val="lv-LV"/>
              </w:rPr>
              <w:t xml:space="preserve"> pasākums</w:t>
            </w:r>
          </w:p>
        </w:tc>
        <w:tc>
          <w:tcPr>
            <w:tcW w:w="652" w:type="pct"/>
            <w:shd w:val="clear" w:color="auto" w:fill="70AD47" w:themeFill="accent6"/>
          </w:tcPr>
          <w:p w14:paraId="25E98628" w14:textId="77777777" w:rsidR="00DD5951" w:rsidRPr="00550D35" w:rsidRDefault="00DD5951" w:rsidP="00BA62A0">
            <w:pPr>
              <w:spacing w:before="0" w:after="0"/>
              <w:rPr>
                <w:sz w:val="20"/>
                <w:lang w:val="lv-LV"/>
              </w:rPr>
            </w:pPr>
          </w:p>
        </w:tc>
        <w:tc>
          <w:tcPr>
            <w:tcW w:w="466" w:type="pct"/>
            <w:shd w:val="clear" w:color="auto" w:fill="70AD47" w:themeFill="accent6"/>
          </w:tcPr>
          <w:p w14:paraId="0ACC821A" w14:textId="77777777" w:rsidR="00DD5951" w:rsidRPr="00550D35" w:rsidRDefault="00DD5951" w:rsidP="00BA62A0">
            <w:pPr>
              <w:spacing w:before="0" w:after="0"/>
              <w:rPr>
                <w:sz w:val="20"/>
                <w:lang w:val="lv-LV"/>
              </w:rPr>
            </w:pPr>
          </w:p>
        </w:tc>
        <w:tc>
          <w:tcPr>
            <w:tcW w:w="404" w:type="pct"/>
            <w:shd w:val="clear" w:color="auto" w:fill="70AD47" w:themeFill="accent6"/>
          </w:tcPr>
          <w:p w14:paraId="62A7E38E" w14:textId="77777777" w:rsidR="00DD5951" w:rsidRPr="00550D35" w:rsidRDefault="00DD5951" w:rsidP="00BA62A0">
            <w:pPr>
              <w:spacing w:before="0" w:after="0"/>
              <w:rPr>
                <w:sz w:val="20"/>
                <w:lang w:val="lv-LV"/>
              </w:rPr>
            </w:pPr>
          </w:p>
        </w:tc>
        <w:tc>
          <w:tcPr>
            <w:tcW w:w="404" w:type="pct"/>
            <w:shd w:val="clear" w:color="auto" w:fill="70AD47" w:themeFill="accent6"/>
          </w:tcPr>
          <w:p w14:paraId="5DD19CB2" w14:textId="77777777" w:rsidR="00DD5951" w:rsidRPr="00550D35" w:rsidRDefault="00DD5951" w:rsidP="00BA62A0">
            <w:pPr>
              <w:spacing w:before="0" w:after="0"/>
              <w:rPr>
                <w:sz w:val="20"/>
                <w:lang w:val="lv-LV"/>
              </w:rPr>
            </w:pPr>
          </w:p>
        </w:tc>
        <w:tc>
          <w:tcPr>
            <w:tcW w:w="461" w:type="pct"/>
            <w:shd w:val="clear" w:color="auto" w:fill="70AD47" w:themeFill="accent6"/>
          </w:tcPr>
          <w:p w14:paraId="4D7537E6" w14:textId="77777777" w:rsidR="00DD5951" w:rsidRPr="00550D35" w:rsidRDefault="00DD5951" w:rsidP="00BA62A0">
            <w:pPr>
              <w:spacing w:before="0" w:after="0"/>
              <w:rPr>
                <w:sz w:val="20"/>
                <w:lang w:val="lv-LV"/>
              </w:rPr>
            </w:pPr>
          </w:p>
        </w:tc>
        <w:tc>
          <w:tcPr>
            <w:tcW w:w="404" w:type="pct"/>
            <w:shd w:val="clear" w:color="auto" w:fill="70AD47" w:themeFill="accent6"/>
          </w:tcPr>
          <w:p w14:paraId="24EE473A" w14:textId="77777777" w:rsidR="00DD5951" w:rsidRPr="00550D35" w:rsidRDefault="00DD5951" w:rsidP="00BA62A0">
            <w:pPr>
              <w:spacing w:before="0" w:after="0"/>
              <w:rPr>
                <w:sz w:val="20"/>
                <w:lang w:val="lv-LV"/>
              </w:rPr>
            </w:pPr>
          </w:p>
        </w:tc>
        <w:tc>
          <w:tcPr>
            <w:tcW w:w="476" w:type="pct"/>
            <w:shd w:val="clear" w:color="auto" w:fill="70AD47" w:themeFill="accent6"/>
          </w:tcPr>
          <w:p w14:paraId="642F3949" w14:textId="77777777" w:rsidR="00DD5951" w:rsidRPr="00550D35" w:rsidRDefault="00DD5951" w:rsidP="00BA62A0">
            <w:pPr>
              <w:spacing w:before="0" w:after="0"/>
              <w:rPr>
                <w:sz w:val="20"/>
                <w:lang w:val="lv-LV"/>
              </w:rPr>
            </w:pPr>
          </w:p>
        </w:tc>
        <w:tc>
          <w:tcPr>
            <w:tcW w:w="557" w:type="pct"/>
            <w:shd w:val="clear" w:color="auto" w:fill="FFFFFF" w:themeFill="background1"/>
          </w:tcPr>
          <w:p w14:paraId="02B58EB9" w14:textId="77777777" w:rsidR="00DD5951" w:rsidRPr="00550D35" w:rsidRDefault="00DD5951" w:rsidP="00BA62A0">
            <w:pPr>
              <w:spacing w:before="0" w:after="0"/>
              <w:rPr>
                <w:sz w:val="20"/>
                <w:lang w:val="lv-LV"/>
              </w:rPr>
            </w:pPr>
          </w:p>
        </w:tc>
      </w:tr>
      <w:tr w:rsidR="00DD5951" w:rsidRPr="003654FB" w14:paraId="1558FECA" w14:textId="77777777" w:rsidTr="00BA62A0">
        <w:tc>
          <w:tcPr>
            <w:tcW w:w="1176" w:type="pct"/>
          </w:tcPr>
          <w:p w14:paraId="156343B3" w14:textId="77777777" w:rsidR="00DD5951" w:rsidRPr="004E03B6" w:rsidRDefault="00DD5951" w:rsidP="00BA62A0">
            <w:pPr>
              <w:ind w:firstLine="0"/>
              <w:jc w:val="left"/>
              <w:rPr>
                <w:sz w:val="20"/>
                <w:lang w:val="lv-LV"/>
              </w:rPr>
            </w:pPr>
            <w:r w:rsidRPr="004E03B6">
              <w:rPr>
                <w:sz w:val="20"/>
                <w:lang w:val="lv-LV"/>
              </w:rPr>
              <w:t>Pasākums Nr.4</w:t>
            </w:r>
          </w:p>
          <w:p w14:paraId="1C28E8F6" w14:textId="77777777" w:rsidR="00DD5951" w:rsidRPr="003470CE" w:rsidRDefault="00DD5951" w:rsidP="00BA62A0">
            <w:pPr>
              <w:ind w:firstLine="0"/>
              <w:jc w:val="left"/>
              <w:rPr>
                <w:b/>
                <w:bCs/>
                <w:sz w:val="20"/>
                <w:lang w:val="lv-LV"/>
              </w:rPr>
            </w:pPr>
            <w:r w:rsidRPr="003470CE">
              <w:rPr>
                <w:b/>
                <w:bCs/>
                <w:sz w:val="20"/>
                <w:lang w:val="lv-LV"/>
              </w:rPr>
              <w:t>“Finanšu instrumenti komersantu digitālās transformācijas veicināšanai”</w:t>
            </w:r>
          </w:p>
          <w:p w14:paraId="687DDFC6" w14:textId="77777777" w:rsidR="00DD5951" w:rsidRPr="00550D35" w:rsidRDefault="00DD5951" w:rsidP="00BA62A0">
            <w:pPr>
              <w:ind w:firstLine="0"/>
              <w:jc w:val="left"/>
              <w:rPr>
                <w:sz w:val="20"/>
                <w:lang w:val="lv-LV"/>
              </w:rPr>
            </w:pPr>
            <w:r w:rsidRPr="004E03B6">
              <w:rPr>
                <w:sz w:val="20"/>
                <w:shd w:val="clear" w:color="auto" w:fill="FFFFFF" w:themeFill="background1"/>
                <w:lang w:val="lv-LV"/>
              </w:rPr>
              <w:t>Finansējuma avots:</w:t>
            </w:r>
            <w:r w:rsidRPr="004E03B6">
              <w:rPr>
                <w:sz w:val="20"/>
                <w:lang w:val="lv-LV"/>
              </w:rPr>
              <w:t xml:space="preserve"> ANM plāna investīcija </w:t>
            </w:r>
            <w:r w:rsidRPr="004E03B6">
              <w:rPr>
                <w:noProof/>
                <w:sz w:val="20"/>
                <w:lang w:val="lv-LV"/>
              </w:rPr>
              <w:t>2.2.1.4.i</w:t>
            </w:r>
          </w:p>
        </w:tc>
        <w:tc>
          <w:tcPr>
            <w:tcW w:w="652" w:type="pct"/>
            <w:shd w:val="clear" w:color="auto" w:fill="70AD47" w:themeFill="accent6"/>
          </w:tcPr>
          <w:p w14:paraId="3FFE8C2E" w14:textId="77777777" w:rsidR="00DD5951" w:rsidRPr="00550D35" w:rsidRDefault="00DD5951" w:rsidP="00BA62A0">
            <w:pPr>
              <w:spacing w:before="0" w:after="0"/>
              <w:rPr>
                <w:sz w:val="20"/>
                <w:lang w:val="lv-LV"/>
              </w:rPr>
            </w:pPr>
          </w:p>
        </w:tc>
        <w:tc>
          <w:tcPr>
            <w:tcW w:w="466" w:type="pct"/>
            <w:shd w:val="clear" w:color="auto" w:fill="70AD47" w:themeFill="accent6"/>
          </w:tcPr>
          <w:p w14:paraId="23548965" w14:textId="77777777" w:rsidR="00DD5951" w:rsidRPr="00550D35" w:rsidRDefault="00DD5951" w:rsidP="00BA62A0">
            <w:pPr>
              <w:spacing w:before="0" w:after="0"/>
              <w:rPr>
                <w:sz w:val="20"/>
                <w:lang w:val="lv-LV"/>
              </w:rPr>
            </w:pPr>
          </w:p>
        </w:tc>
        <w:tc>
          <w:tcPr>
            <w:tcW w:w="404" w:type="pct"/>
            <w:shd w:val="clear" w:color="auto" w:fill="70AD47" w:themeFill="accent6"/>
          </w:tcPr>
          <w:p w14:paraId="7D27A282" w14:textId="77777777" w:rsidR="00DD5951" w:rsidRPr="00550D35" w:rsidRDefault="00DD5951" w:rsidP="00BA62A0">
            <w:pPr>
              <w:spacing w:before="0" w:after="0"/>
              <w:rPr>
                <w:sz w:val="20"/>
                <w:lang w:val="lv-LV"/>
              </w:rPr>
            </w:pPr>
          </w:p>
        </w:tc>
        <w:tc>
          <w:tcPr>
            <w:tcW w:w="404" w:type="pct"/>
            <w:shd w:val="clear" w:color="auto" w:fill="70AD47" w:themeFill="accent6"/>
          </w:tcPr>
          <w:p w14:paraId="7492459E" w14:textId="77777777" w:rsidR="00DD5951" w:rsidRPr="00550D35" w:rsidRDefault="00DD5951" w:rsidP="00BA62A0">
            <w:pPr>
              <w:spacing w:before="0" w:after="0"/>
              <w:rPr>
                <w:sz w:val="20"/>
                <w:lang w:val="lv-LV"/>
              </w:rPr>
            </w:pPr>
          </w:p>
        </w:tc>
        <w:tc>
          <w:tcPr>
            <w:tcW w:w="461" w:type="pct"/>
            <w:shd w:val="clear" w:color="auto" w:fill="auto"/>
          </w:tcPr>
          <w:p w14:paraId="2A85A9EC" w14:textId="77777777" w:rsidR="00DD5951" w:rsidRPr="00550D35" w:rsidRDefault="00DD5951" w:rsidP="00BA62A0">
            <w:pPr>
              <w:spacing w:before="0" w:after="0"/>
              <w:rPr>
                <w:sz w:val="20"/>
                <w:lang w:val="lv-LV"/>
              </w:rPr>
            </w:pPr>
          </w:p>
        </w:tc>
        <w:tc>
          <w:tcPr>
            <w:tcW w:w="404" w:type="pct"/>
            <w:shd w:val="clear" w:color="auto" w:fill="auto"/>
          </w:tcPr>
          <w:p w14:paraId="64D48F62" w14:textId="77777777" w:rsidR="00DD5951" w:rsidRPr="00550D35" w:rsidRDefault="00DD5951" w:rsidP="00BA62A0">
            <w:pPr>
              <w:spacing w:before="0" w:after="0"/>
              <w:rPr>
                <w:sz w:val="20"/>
                <w:lang w:val="lv-LV"/>
              </w:rPr>
            </w:pPr>
          </w:p>
        </w:tc>
        <w:tc>
          <w:tcPr>
            <w:tcW w:w="476" w:type="pct"/>
            <w:shd w:val="clear" w:color="auto" w:fill="auto"/>
          </w:tcPr>
          <w:p w14:paraId="498D9BD6" w14:textId="77777777" w:rsidR="00DD5951" w:rsidRPr="00550D35" w:rsidRDefault="00DD5951" w:rsidP="00BA62A0">
            <w:pPr>
              <w:spacing w:before="0" w:after="0"/>
              <w:rPr>
                <w:sz w:val="20"/>
                <w:lang w:val="lv-LV"/>
              </w:rPr>
            </w:pPr>
          </w:p>
        </w:tc>
        <w:tc>
          <w:tcPr>
            <w:tcW w:w="557" w:type="pct"/>
          </w:tcPr>
          <w:p w14:paraId="58A03689" w14:textId="77777777" w:rsidR="00DD5951" w:rsidRPr="00550D35" w:rsidRDefault="00DD5951" w:rsidP="00BA62A0">
            <w:pPr>
              <w:spacing w:before="0" w:after="0"/>
              <w:rPr>
                <w:sz w:val="20"/>
                <w:lang w:val="lv-LV"/>
              </w:rPr>
            </w:pPr>
          </w:p>
        </w:tc>
      </w:tr>
    </w:tbl>
    <w:p w14:paraId="4DAF9D50" w14:textId="77777777" w:rsidR="00DD5951" w:rsidRDefault="00DD5951" w:rsidP="002C799A">
      <w:pPr>
        <w:pStyle w:val="Text3"/>
        <w:ind w:left="0" w:firstLine="0"/>
        <w:rPr>
          <w:lang w:val="lv-LV"/>
        </w:rPr>
      </w:pPr>
    </w:p>
    <w:p w14:paraId="2CE1C8B2" w14:textId="77777777" w:rsidR="002C799A" w:rsidRPr="00D857FC" w:rsidRDefault="002C799A" w:rsidP="002C799A">
      <w:pPr>
        <w:spacing w:before="0" w:line="259" w:lineRule="auto"/>
        <w:ind w:firstLine="0"/>
        <w:contextualSpacing/>
        <w:jc w:val="left"/>
        <w:rPr>
          <w:b/>
          <w:bCs/>
          <w:lang w:val="lv-LV"/>
        </w:rPr>
      </w:pPr>
      <w:r w:rsidRPr="00D857FC">
        <w:rPr>
          <w:b/>
          <w:bCs/>
          <w:lang w:val="lv-LV"/>
        </w:rPr>
        <w:t xml:space="preserve">Visu to pasākumu budžets, kurus var attiecināt uz </w:t>
      </w:r>
      <w:proofErr w:type="spellStart"/>
      <w:r w:rsidRPr="00D857FC">
        <w:rPr>
          <w:b/>
          <w:bCs/>
          <w:lang w:val="lv-LV"/>
        </w:rPr>
        <w:t>mērķrādītāju</w:t>
      </w:r>
      <w:proofErr w:type="spellEnd"/>
    </w:p>
    <w:p w14:paraId="6CDD31F3" w14:textId="77777777" w:rsidR="002C799A" w:rsidRPr="00550D35" w:rsidRDefault="002C799A" w:rsidP="002C799A">
      <w:pPr>
        <w:pStyle w:val="ListParagraph"/>
        <w:spacing w:before="0" w:line="259" w:lineRule="auto"/>
        <w:ind w:left="1134" w:firstLine="306"/>
        <w:contextualSpacing/>
        <w:jc w:val="left"/>
        <w:rPr>
          <w:noProof/>
          <w:lang w:val="lv-LV"/>
        </w:rPr>
      </w:pPr>
      <w:r w:rsidRPr="00550D35">
        <w:rPr>
          <w:noProof/>
          <w:lang w:val="lv-LV"/>
        </w:rPr>
        <w:t xml:space="preserve">Publiskās investīcijas: </w:t>
      </w:r>
    </w:p>
    <w:p w14:paraId="7CD21695" w14:textId="77777777" w:rsidR="002C799A" w:rsidRPr="00550D35" w:rsidRDefault="002C799A" w:rsidP="002C799A">
      <w:pPr>
        <w:pStyle w:val="ListParagraph"/>
        <w:numPr>
          <w:ilvl w:val="4"/>
          <w:numId w:val="23"/>
        </w:numPr>
        <w:spacing w:before="0" w:line="259" w:lineRule="auto"/>
        <w:ind w:left="2268" w:hanging="567"/>
        <w:contextualSpacing/>
        <w:jc w:val="left"/>
        <w:rPr>
          <w:noProof/>
          <w:lang w:val="lv-LV"/>
        </w:rPr>
      </w:pPr>
      <w:r w:rsidRPr="00550D35">
        <w:rPr>
          <w:noProof/>
          <w:lang w:val="lv-LV"/>
        </w:rPr>
        <w:t>plānotas – 1</w:t>
      </w:r>
      <w:r>
        <w:rPr>
          <w:noProof/>
          <w:lang w:val="lv-LV"/>
        </w:rPr>
        <w:t>65,09</w:t>
      </w:r>
      <w:r w:rsidRPr="00550D35">
        <w:rPr>
          <w:noProof/>
          <w:lang w:val="lv-LV"/>
        </w:rPr>
        <w:t> milj. </w:t>
      </w:r>
      <w:r w:rsidRPr="00550D35">
        <w:rPr>
          <w:i/>
          <w:iCs/>
          <w:noProof/>
          <w:lang w:val="lv-LV"/>
        </w:rPr>
        <w:t>euro</w:t>
      </w:r>
      <w:r w:rsidRPr="00550D35">
        <w:rPr>
          <w:noProof/>
          <w:lang w:val="lv-LV"/>
        </w:rPr>
        <w:t>.</w:t>
      </w:r>
    </w:p>
    <w:p w14:paraId="22B95422" w14:textId="77777777" w:rsidR="002C799A" w:rsidRPr="00550D35" w:rsidRDefault="002C799A" w:rsidP="002C799A">
      <w:pPr>
        <w:pStyle w:val="ListParagraph"/>
        <w:numPr>
          <w:ilvl w:val="3"/>
          <w:numId w:val="23"/>
        </w:numPr>
        <w:spacing w:before="0" w:line="259" w:lineRule="auto"/>
        <w:ind w:left="1134" w:firstLine="0"/>
        <w:contextualSpacing/>
        <w:jc w:val="left"/>
        <w:rPr>
          <w:noProof/>
          <w:lang w:val="lv-LV"/>
        </w:rPr>
      </w:pPr>
      <w:r w:rsidRPr="00550D35">
        <w:rPr>
          <w:lang w:val="lv-LV"/>
        </w:rPr>
        <w:t xml:space="preserve">No tām piešķirtas no valsts avotiem: </w:t>
      </w:r>
    </w:p>
    <w:p w14:paraId="3ADD5586" w14:textId="77777777" w:rsidR="002C799A" w:rsidRPr="00550D35" w:rsidRDefault="002C799A" w:rsidP="002C799A">
      <w:pPr>
        <w:pStyle w:val="ListParagraph"/>
        <w:numPr>
          <w:ilvl w:val="4"/>
          <w:numId w:val="23"/>
        </w:numPr>
        <w:spacing w:before="0" w:line="259" w:lineRule="auto"/>
        <w:ind w:left="2694" w:hanging="426"/>
        <w:contextualSpacing/>
        <w:jc w:val="left"/>
        <w:rPr>
          <w:noProof/>
          <w:lang w:val="lv-LV"/>
        </w:rPr>
      </w:pPr>
      <w:r w:rsidRPr="00550D35">
        <w:rPr>
          <w:noProof/>
          <w:lang w:val="lv-LV"/>
        </w:rPr>
        <w:t>plānotas – 140,0 tūkst. </w:t>
      </w:r>
      <w:r w:rsidRPr="00550D35">
        <w:rPr>
          <w:i/>
          <w:iCs/>
          <w:noProof/>
          <w:lang w:val="lv-LV"/>
        </w:rPr>
        <w:t>euro</w:t>
      </w:r>
      <w:r w:rsidRPr="00550D35">
        <w:rPr>
          <w:noProof/>
          <w:lang w:val="lv-LV"/>
        </w:rPr>
        <w:t xml:space="preserve">. </w:t>
      </w:r>
    </w:p>
    <w:p w14:paraId="5826BFDC" w14:textId="77777777" w:rsidR="002C799A" w:rsidRPr="00550D35" w:rsidRDefault="002C799A" w:rsidP="002C799A">
      <w:pPr>
        <w:pStyle w:val="ListParagraph"/>
        <w:numPr>
          <w:ilvl w:val="1"/>
          <w:numId w:val="23"/>
        </w:numPr>
        <w:spacing w:before="0" w:line="259" w:lineRule="auto"/>
        <w:contextualSpacing/>
        <w:jc w:val="left"/>
        <w:rPr>
          <w:lang w:val="lv-LV"/>
        </w:rPr>
      </w:pPr>
      <w:r w:rsidRPr="00550D35">
        <w:rPr>
          <w:lang w:val="lv-LV"/>
        </w:rPr>
        <w:t xml:space="preserve">No tām piešķirtas no ES avotiem: </w:t>
      </w:r>
    </w:p>
    <w:p w14:paraId="619B2E04" w14:textId="77777777" w:rsidR="002C799A" w:rsidRPr="00550D35" w:rsidRDefault="002C799A" w:rsidP="002C799A">
      <w:pPr>
        <w:pStyle w:val="ListParagraph"/>
        <w:numPr>
          <w:ilvl w:val="4"/>
          <w:numId w:val="23"/>
        </w:numPr>
        <w:spacing w:before="0" w:line="259" w:lineRule="auto"/>
        <w:ind w:left="2694" w:hanging="426"/>
        <w:contextualSpacing/>
        <w:jc w:val="left"/>
        <w:rPr>
          <w:noProof/>
          <w:lang w:val="lv-LV"/>
        </w:rPr>
      </w:pPr>
      <w:r w:rsidRPr="00550D35">
        <w:rPr>
          <w:noProof/>
          <w:lang w:val="lv-LV"/>
        </w:rPr>
        <w:t>plānotas – 1</w:t>
      </w:r>
      <w:r>
        <w:rPr>
          <w:noProof/>
          <w:lang w:val="lv-LV"/>
        </w:rPr>
        <w:t>64,95</w:t>
      </w:r>
      <w:r w:rsidRPr="00550D35">
        <w:rPr>
          <w:noProof/>
          <w:lang w:val="lv-LV"/>
        </w:rPr>
        <w:t> milj. </w:t>
      </w:r>
      <w:r w:rsidRPr="00550D35">
        <w:rPr>
          <w:i/>
          <w:iCs/>
          <w:noProof/>
          <w:lang w:val="lv-LV"/>
        </w:rPr>
        <w:t>euro</w:t>
      </w:r>
      <w:r w:rsidRPr="00550D35">
        <w:rPr>
          <w:noProof/>
          <w:lang w:val="lv-LV"/>
        </w:rPr>
        <w:t>.</w:t>
      </w:r>
    </w:p>
    <w:p w14:paraId="19413A27" w14:textId="77777777" w:rsidR="002C799A" w:rsidRPr="00550D35" w:rsidRDefault="002C799A" w:rsidP="002C799A">
      <w:pPr>
        <w:spacing w:before="0" w:after="0"/>
        <w:ind w:left="1287" w:firstLine="153"/>
        <w:contextualSpacing/>
        <w:jc w:val="left"/>
        <w:rPr>
          <w:noProof/>
          <w:sz w:val="22"/>
          <w:szCs w:val="22"/>
          <w:lang w:val="lv-LV"/>
        </w:rPr>
      </w:pPr>
      <w:r w:rsidRPr="00550D35">
        <w:rPr>
          <w:rFonts w:eastAsiaTheme="minorHAnsi"/>
          <w:noProof/>
          <w:sz w:val="22"/>
          <w:szCs w:val="22"/>
          <w:lang w:val="lv-LV"/>
        </w:rPr>
        <w:t>Privātās investīcijas (</w:t>
      </w:r>
      <w:r w:rsidRPr="00550D35">
        <w:rPr>
          <w:noProof/>
          <w:sz w:val="22"/>
          <w:szCs w:val="22"/>
          <w:lang w:val="lv-LV"/>
        </w:rPr>
        <w:t>4. pasākumam):</w:t>
      </w:r>
    </w:p>
    <w:p w14:paraId="7660B6D1" w14:textId="77777777" w:rsidR="002C799A" w:rsidRPr="00550D35" w:rsidRDefault="002C799A" w:rsidP="002C799A">
      <w:pPr>
        <w:pStyle w:val="ListParagraph"/>
        <w:numPr>
          <w:ilvl w:val="0"/>
          <w:numId w:val="44"/>
        </w:numPr>
        <w:spacing w:before="0" w:line="259" w:lineRule="auto"/>
        <w:contextualSpacing/>
        <w:jc w:val="left"/>
        <w:rPr>
          <w:noProof/>
          <w:lang w:val="lv-LV"/>
        </w:rPr>
      </w:pPr>
      <w:r w:rsidRPr="00550D35">
        <w:rPr>
          <w:noProof/>
          <w:lang w:val="lv-LV"/>
        </w:rPr>
        <w:t>plānotas – 37,0 milj. </w:t>
      </w:r>
      <w:r w:rsidRPr="00550D35">
        <w:rPr>
          <w:i/>
          <w:iCs/>
          <w:noProof/>
          <w:lang w:val="lv-LV"/>
        </w:rPr>
        <w:t>euro</w:t>
      </w:r>
      <w:r w:rsidRPr="00550D35">
        <w:rPr>
          <w:noProof/>
          <w:lang w:val="lv-LV"/>
        </w:rPr>
        <w:t>.</w:t>
      </w:r>
    </w:p>
    <w:p w14:paraId="79B19659" w14:textId="77777777" w:rsidR="002C799A" w:rsidRPr="00550D35" w:rsidRDefault="002C799A" w:rsidP="002C799A">
      <w:pPr>
        <w:pStyle w:val="Text3"/>
        <w:ind w:left="0" w:firstLine="0"/>
        <w:rPr>
          <w:lang w:val="lv-LV"/>
        </w:rPr>
      </w:pPr>
    </w:p>
    <w:p w14:paraId="6532EF09" w14:textId="77777777" w:rsidR="00DD5951" w:rsidRPr="00550D35" w:rsidRDefault="00DD5951" w:rsidP="00DD5951">
      <w:pPr>
        <w:pStyle w:val="Heading3"/>
        <w:rPr>
          <w:lang w:val="lv-LV"/>
        </w:rPr>
      </w:pPr>
      <w:r w:rsidRPr="00550D35">
        <w:rPr>
          <w:lang w:val="lv-LV"/>
        </w:rPr>
        <w:t>Pasākumu apraksts</w:t>
      </w:r>
    </w:p>
    <w:p w14:paraId="6E091877" w14:textId="77777777" w:rsidR="00DD5951" w:rsidRPr="00550D35" w:rsidRDefault="00DD5951" w:rsidP="00DD5951">
      <w:pPr>
        <w:rPr>
          <w:lang w:val="lv-LV"/>
        </w:rPr>
      </w:pPr>
      <w:r w:rsidRPr="00550D35">
        <w:rPr>
          <w:lang w:val="lv-LV"/>
        </w:rPr>
        <w:t>Sakrīt ar pasākumu aprakstu punktā 8.3., t.sk.:</w:t>
      </w:r>
    </w:p>
    <w:p w14:paraId="6DFC7228" w14:textId="1459E275" w:rsidR="00DD5951" w:rsidRPr="00DD5951" w:rsidRDefault="00DD5951" w:rsidP="00DD5951">
      <w:pPr>
        <w:spacing w:before="0" w:after="120"/>
        <w:ind w:firstLine="0"/>
        <w:contextualSpacing/>
        <w:rPr>
          <w:szCs w:val="24"/>
          <w:lang w:val="lv-LV"/>
        </w:rPr>
      </w:pPr>
      <w:r w:rsidRPr="00DD5951">
        <w:rPr>
          <w:szCs w:val="24"/>
          <w:lang w:val="lv-LV"/>
        </w:rPr>
        <w:t xml:space="preserve">1. pasākums </w:t>
      </w:r>
      <w:r w:rsidRPr="00DD5951">
        <w:rPr>
          <w:iCs/>
          <w:noProof/>
          <w:szCs w:val="24"/>
          <w:lang w:val="lv-LV"/>
        </w:rPr>
        <w:t xml:space="preserve">ANM plāna investīcija 2.2.1.1.i. “Atbalsts Digitālo inovāciju centru un reģionālo kontaktpunktu izveidei”; ERAF 1.2.2.1. </w:t>
      </w:r>
      <w:r w:rsidR="00F62088">
        <w:rPr>
          <w:iCs/>
          <w:noProof/>
          <w:szCs w:val="24"/>
          <w:lang w:val="lv-LV"/>
        </w:rPr>
        <w:t xml:space="preserve">pasākums </w:t>
      </w:r>
      <w:r w:rsidRPr="00DD5951">
        <w:rPr>
          <w:iCs/>
          <w:noProof/>
          <w:szCs w:val="24"/>
          <w:lang w:val="lv-LV"/>
        </w:rPr>
        <w:t>“Atbalsts procesu digitalizācijai komercdarbībā” (</w:t>
      </w:r>
      <w:r w:rsidRPr="00DD5951">
        <w:rPr>
          <w:szCs w:val="24"/>
          <w:lang w:val="lv-LV"/>
        </w:rPr>
        <w:t>Skat. aprakstu pie 1. pasākuma 8.3.2. apakšpunktā)</w:t>
      </w:r>
    </w:p>
    <w:p w14:paraId="08B45C26" w14:textId="77777777" w:rsidR="00DD5951" w:rsidRPr="00DD5951" w:rsidRDefault="00DD5951" w:rsidP="00DD5951">
      <w:pPr>
        <w:pStyle w:val="Text3"/>
        <w:ind w:left="0" w:firstLine="0"/>
        <w:rPr>
          <w:szCs w:val="24"/>
          <w:lang w:val="lv-LV"/>
        </w:rPr>
      </w:pPr>
      <w:r w:rsidRPr="00DD5951">
        <w:rPr>
          <w:szCs w:val="24"/>
          <w:lang w:val="lv-LV"/>
        </w:rPr>
        <w:lastRenderedPageBreak/>
        <w:t xml:space="preserve">2. pasākums ANM plāna investīcija 2.2.1.2.i. “Atbalsts procesu </w:t>
      </w:r>
      <w:proofErr w:type="spellStart"/>
      <w:r w:rsidRPr="00DD5951">
        <w:rPr>
          <w:szCs w:val="24"/>
          <w:lang w:val="lv-LV"/>
        </w:rPr>
        <w:t>digitalizācijai</w:t>
      </w:r>
      <w:proofErr w:type="spellEnd"/>
      <w:r w:rsidRPr="00DD5951">
        <w:rPr>
          <w:szCs w:val="24"/>
          <w:lang w:val="lv-LV"/>
        </w:rPr>
        <w:t xml:space="preserve"> komercdarbībā” (Skat. aprakstu pie 2. pasākuma 8.3.2. apakšpunktā)</w:t>
      </w:r>
    </w:p>
    <w:p w14:paraId="0A3FDBC6" w14:textId="77777777" w:rsidR="00DD5951" w:rsidRPr="00DD5951" w:rsidRDefault="00DD5951" w:rsidP="00DD5951">
      <w:pPr>
        <w:spacing w:before="0" w:after="120"/>
        <w:ind w:firstLine="0"/>
        <w:contextualSpacing/>
        <w:rPr>
          <w:rFonts w:eastAsiaTheme="minorEastAsia"/>
          <w:szCs w:val="24"/>
          <w:lang w:val="lv-LV" w:eastAsia="en-US"/>
        </w:rPr>
      </w:pPr>
      <w:r w:rsidRPr="00DD5951">
        <w:rPr>
          <w:szCs w:val="24"/>
          <w:lang w:val="lv-LV"/>
        </w:rPr>
        <w:t xml:space="preserve">3. pasākums ANM plāna investīcija 2.2.1.3.i. “Atbalsts jaunu produktu un pakalpojumu ieviešanai komercdarbībā” un ERAF 1.2.1.1. </w:t>
      </w:r>
      <w:r w:rsidRPr="00DD5951">
        <w:rPr>
          <w:noProof/>
          <w:lang w:val="lv-LV"/>
        </w:rPr>
        <w:t>pasākums</w:t>
      </w:r>
      <w:r w:rsidRPr="00DD5951">
        <w:rPr>
          <w:szCs w:val="24"/>
          <w:lang w:val="lv-LV"/>
        </w:rPr>
        <w:t xml:space="preserve"> “Atbalsts jaunu produktu attīstībai un internacionalizācijai” (Skat. aprakstu pie 3. pasākuma 8.3.2. apakšpunktā)</w:t>
      </w:r>
    </w:p>
    <w:p w14:paraId="4EDEF6B9" w14:textId="77777777" w:rsidR="00DD5951" w:rsidRPr="00DD5951" w:rsidRDefault="00DD5951" w:rsidP="00DD5951">
      <w:pPr>
        <w:ind w:firstLine="0"/>
        <w:rPr>
          <w:szCs w:val="24"/>
          <w:lang w:val="lv-LV"/>
        </w:rPr>
      </w:pPr>
      <w:r w:rsidRPr="00DD5951">
        <w:rPr>
          <w:szCs w:val="24"/>
          <w:lang w:val="lv-LV"/>
        </w:rPr>
        <w:t>4. pasākums ANM plāna investīcija 2.2.1.4.i. “Finanšu instrumenti komersantu digitālās transformācijas veicināšanai” (Skat. aprakstu pie 4. pasākuma 8.3.2. apakšpunktā).</w:t>
      </w:r>
    </w:p>
    <w:p w14:paraId="5AABEF19" w14:textId="77777777" w:rsidR="00DD5951" w:rsidRPr="00550D35" w:rsidRDefault="00DD5951" w:rsidP="00DD5951">
      <w:pPr>
        <w:pStyle w:val="Heading2"/>
        <w:rPr>
          <w:lang w:val="lv-LV"/>
        </w:rPr>
      </w:pPr>
      <w:r w:rsidRPr="00550D35">
        <w:rPr>
          <w:lang w:val="lv-LV"/>
        </w:rPr>
        <w:t>Galvenā politika, pasākumi un darbības, kas paredzēti, lai palīdzētu sasniegt vispārīgos mērķus</w:t>
      </w:r>
    </w:p>
    <w:p w14:paraId="11006E66" w14:textId="77777777" w:rsidR="00DD5951" w:rsidRPr="00550D35" w:rsidRDefault="00DD5951" w:rsidP="00DD5951">
      <w:pPr>
        <w:shd w:val="clear" w:color="auto" w:fill="FFFFFF" w:themeFill="background1"/>
        <w:ind w:firstLine="426"/>
        <w:rPr>
          <w:lang w:val="lv-LV"/>
        </w:rPr>
      </w:pPr>
      <w:r w:rsidRPr="00550D35">
        <w:rPr>
          <w:lang w:val="lv-LV"/>
        </w:rPr>
        <w:t xml:space="preserve">Īstenojamā politika, pasākumi un darbības KPI “Mākslīgais intelekts” jomā sniedz ieguldījumu nodrošinot piekļuvi digitālajām tehnoloģijām, veicina digitālo spēju izvēršanu un izmantošanu nolūkā piekļuvi digitālajām tehnoloģijām un datiem, lai panāktu augstu digitālās intensitātes un inovācijas līmeni ES uzņēmumos, jo īpaši </w:t>
      </w:r>
      <w:proofErr w:type="spellStart"/>
      <w:r w:rsidRPr="00550D35">
        <w:rPr>
          <w:lang w:val="lv-LV"/>
        </w:rPr>
        <w:t>jaunuzņēmumos</w:t>
      </w:r>
      <w:proofErr w:type="spellEnd"/>
      <w:r w:rsidRPr="00550D35">
        <w:rPr>
          <w:lang w:val="lv-LV"/>
        </w:rPr>
        <w:t xml:space="preserve"> un MVU. Tāpat arī  ES līderības un suverenitātes veicināšanā, atbalstot ES rūpniecības un ekonomikas, jo īpaši MVU, konkurētspēju un ilgtspēju.</w:t>
      </w:r>
    </w:p>
    <w:p w14:paraId="5897EA23" w14:textId="77777777" w:rsidR="00DD5951" w:rsidRPr="00550D35" w:rsidRDefault="00DD5951" w:rsidP="00DD5951">
      <w:pPr>
        <w:pStyle w:val="Text2"/>
        <w:ind w:left="0"/>
        <w:rPr>
          <w:lang w:val="lv-LV"/>
        </w:rPr>
      </w:pPr>
      <w:r w:rsidRPr="00550D35">
        <w:rPr>
          <w:lang w:val="lv-LV"/>
        </w:rPr>
        <w:t>NAP2027 uzsvērts, ka digitālā transformācija ir būtisks priekšnosacījums produktivitātes, ekonomiskās izaugsmes, indivīda un sabiedrības labklājības īstenošanai, tā ir būtiska gan sabiedrībai, gan inovācijām, gan uzņēmumiem, īpaši integrētai nozaru ekonomikas attīstībai. Digitālā transformācija nozīme ir izcelta prioritātes “Uzņēmumu konkurētspēja un materiālā labklājība” rīcības virzienā “Produktivitāte, inovācija un eksports”, kā arī ir prioritātes “Kvalitatīva dzīves vide un teritoriju attīstība” viens no mērķiem.</w:t>
      </w:r>
    </w:p>
    <w:p w14:paraId="56FE2B90" w14:textId="77777777" w:rsidR="00DD5951" w:rsidRPr="00550D35" w:rsidRDefault="00DD5951" w:rsidP="00DD5951">
      <w:pPr>
        <w:pStyle w:val="Text2"/>
        <w:ind w:left="0"/>
        <w:rPr>
          <w:lang w:val="lv-LV"/>
        </w:rPr>
      </w:pPr>
      <w:r w:rsidRPr="00550D35">
        <w:rPr>
          <w:lang w:val="lv-LV"/>
        </w:rPr>
        <w:t>DTP2027 rīcības virziens Nr.4.1.3. “Pakalpojumu un sistēmu veidošana, pakalpojumu sniegšana” paredz ka privātajā sektorā nodarbinātajiem un valsts pārvaldes darbiniekiem jāsniedz plaši pieejamas iespējas vidēja un augsta līmeņa tehnoloģiju prasmju attīstīšanai. Tāpat, privātajam sektoram būs nepieciešams ieviest digitālās tehnoloģijas ražošanā un pakalpojumu sniegšanā (tajā skaitā mākslīgo intelektu, datu analītiku, automatizāciju), lai paaugstinātu konkurētspēju uzlabojot esošos un veidojot jaunus produktus un pakalpojumus.</w:t>
      </w:r>
    </w:p>
    <w:p w14:paraId="6FDA0DE6" w14:textId="76D0974C" w:rsidR="00DD5951" w:rsidRPr="00550D35" w:rsidRDefault="00DD5951" w:rsidP="00DD5951">
      <w:pPr>
        <w:pStyle w:val="Text2"/>
        <w:ind w:left="0" w:firstLine="426"/>
        <w:rPr>
          <w:u w:val="single"/>
          <w:lang w:val="lv-LV"/>
        </w:rPr>
      </w:pPr>
      <w:r w:rsidRPr="00550D35">
        <w:rPr>
          <w:lang w:val="lv-LV"/>
        </w:rPr>
        <w:t>Inovatīvas uzņēmējdarbības un prioritāro investīciju atbalsta likumprojekt</w:t>
      </w:r>
      <w:r w:rsidR="007C0509">
        <w:rPr>
          <w:lang w:val="lv-LV"/>
        </w:rPr>
        <w:t>a</w:t>
      </w:r>
      <w:r w:rsidRPr="00550D35">
        <w:rPr>
          <w:lang w:val="lv-LV"/>
        </w:rPr>
        <w:t xml:space="preserve"> mērķis ir palielināt ilgtspējīgu un sociāli atbildīgu investīciju piesaisti prioritārajās investīciju jomās un tautsaimniecībai nozīmīgiem investīciju projektiem. (Skat. 8.4. sadaļā “</w:t>
      </w:r>
      <w:r w:rsidRPr="00550D35">
        <w:rPr>
          <w:u w:val="single"/>
          <w:lang w:val="lv-LV"/>
        </w:rPr>
        <w:t>Viedās specializācijas stratēģija” sniegto informāciju).</w:t>
      </w:r>
    </w:p>
    <w:p w14:paraId="1B54218D" w14:textId="77777777" w:rsidR="00DD5951" w:rsidRPr="00550D35" w:rsidRDefault="00DD5951" w:rsidP="00DD5951">
      <w:pPr>
        <w:pStyle w:val="Text2"/>
        <w:ind w:left="0"/>
        <w:rPr>
          <w:lang w:val="lv-LV"/>
        </w:rPr>
      </w:pPr>
      <w:r w:rsidRPr="00550D35">
        <w:rPr>
          <w:lang w:val="lv-LV"/>
        </w:rPr>
        <w:t xml:space="preserve">Likumprojekts paredzēs arī atbalsta sniegšanas kārtību tādiem prioritāro investīciju projektiem un tautsaimniecībai nozīmīgiem investīciju projektiem, kas atbilst likumprojekta 4.panta noteiktajām prasībām. Savukārt valsts komercdarbības atbalsts uzņēmējdarbības veicināšanai prioritārajos investīciju projektos un tautsaimniecībai nozīmīgos investīciju projektu piesaistei tiks sniegts atbalsta programmas vai </w:t>
      </w:r>
      <w:proofErr w:type="spellStart"/>
      <w:r w:rsidRPr="00550D35">
        <w:rPr>
          <w:lang w:val="lv-LV"/>
        </w:rPr>
        <w:t>ad-hoc</w:t>
      </w:r>
      <w:proofErr w:type="spellEnd"/>
      <w:r w:rsidRPr="00550D35">
        <w:rPr>
          <w:lang w:val="lv-LV"/>
        </w:rPr>
        <w:t xml:space="preserve"> atbalsta ietvaros.</w:t>
      </w:r>
    </w:p>
    <w:p w14:paraId="0597CE68" w14:textId="77777777" w:rsidR="00DD5951" w:rsidRPr="00550D35" w:rsidRDefault="00DD5951" w:rsidP="00DD5951">
      <w:pPr>
        <w:pStyle w:val="Text2"/>
        <w:ind w:left="0"/>
        <w:rPr>
          <w:lang w:val="lv-LV"/>
        </w:rPr>
      </w:pPr>
      <w:r w:rsidRPr="00550D35">
        <w:rPr>
          <w:lang w:val="lv-LV"/>
        </w:rPr>
        <w:t>Saistībā ar iepriekš minēto EM izstrādātajās ANM plāna un ERAF atbalsta programmās plānots sniegt ieguldījumu vispārīgo mērķu sasniegšanā attiecībā uz mākslīgā intelekta rādītāju, kas paredz palielināt to uzņēmumu skaitu, kuri izmanto vismaz vienu mākslīgā intelekta tehnoloģiju.</w:t>
      </w:r>
    </w:p>
    <w:p w14:paraId="2BD61764" w14:textId="77777777" w:rsidR="00DD5951" w:rsidRPr="00550D35" w:rsidRDefault="00DD5951" w:rsidP="00DD5951">
      <w:pPr>
        <w:pStyle w:val="Heading2"/>
        <w:rPr>
          <w:lang w:val="lv-LV"/>
        </w:rPr>
      </w:pPr>
      <w:r w:rsidRPr="00550D35">
        <w:rPr>
          <w:lang w:val="lv-LV"/>
        </w:rPr>
        <w:t>ES līmeņa sadarbība</w:t>
      </w:r>
    </w:p>
    <w:p w14:paraId="4F4C263A" w14:textId="77777777" w:rsidR="00DD5951" w:rsidRPr="00550D35" w:rsidRDefault="00DD5951" w:rsidP="00DD5951">
      <w:pPr>
        <w:pStyle w:val="Heading3"/>
        <w:rPr>
          <w:lang w:val="lv-LV"/>
        </w:rPr>
      </w:pPr>
      <w:r w:rsidRPr="00550D35">
        <w:rPr>
          <w:lang w:val="lv-LV"/>
        </w:rPr>
        <w:t>Daudzvalstu projekti</w:t>
      </w:r>
    </w:p>
    <w:p w14:paraId="3763632D" w14:textId="77777777" w:rsidR="00DD5951" w:rsidRPr="00550D35" w:rsidRDefault="00DD5951" w:rsidP="00DD5951">
      <w:pPr>
        <w:rPr>
          <w:lang w:val="lv-LV"/>
        </w:rPr>
      </w:pPr>
      <w:r w:rsidRPr="00550D35">
        <w:rPr>
          <w:lang w:val="lv-LV"/>
        </w:rPr>
        <w:t xml:space="preserve">Ceļveža sagatavošanas laikā nav identificēti 1) </w:t>
      </w:r>
      <w:r w:rsidRPr="00550D35">
        <w:rPr>
          <w:noProof/>
          <w:lang w:val="lv-LV"/>
        </w:rPr>
        <w:t xml:space="preserve">daudzvalstu projekti, kas iekļauti pielikumā norādīto </w:t>
      </w:r>
      <w:r w:rsidRPr="00550D35">
        <w:rPr>
          <w:i/>
          <w:noProof/>
          <w:lang w:val="lv-LV"/>
        </w:rPr>
        <w:t>daudzvalstu</w:t>
      </w:r>
      <w:r w:rsidRPr="00550D35">
        <w:rPr>
          <w:noProof/>
          <w:lang w:val="lv-LV"/>
        </w:rPr>
        <w:t xml:space="preserve"> projektu jomu sarakstā vai dalībvalsts apņemas vai plāno </w:t>
      </w:r>
      <w:r w:rsidRPr="00550D35">
        <w:rPr>
          <w:noProof/>
          <w:lang w:val="lv-LV"/>
        </w:rPr>
        <w:lastRenderedPageBreak/>
        <w:t>uzņemties nākotnē;</w:t>
      </w:r>
      <w:r w:rsidRPr="00550D35">
        <w:rPr>
          <w:lang w:val="lv-LV"/>
        </w:rPr>
        <w:t xml:space="preserve"> 2) iespējamie jaunie daudzvalstu projekti, kuri vēl nav iekļauti Dekādes programmas lēmuma pielikumā minēto darbības jomu sarakstā, bet kuras  dalībvalsts uzskata par nepieciešamām; 3) Kopīgas apņemšanās, kurās dalībvalsts piedalās vai plāno iesaistīties.</w:t>
      </w:r>
    </w:p>
    <w:p w14:paraId="7AE08298" w14:textId="77777777" w:rsidR="00DD5951" w:rsidRPr="00550D35" w:rsidRDefault="00DD5951" w:rsidP="00DD5951">
      <w:pPr>
        <w:pStyle w:val="Heading3"/>
        <w:rPr>
          <w:lang w:val="lv-LV"/>
        </w:rPr>
      </w:pPr>
      <w:r w:rsidRPr="00550D35">
        <w:rPr>
          <w:lang w:val="lv-LV"/>
        </w:rPr>
        <w:t>Veicinošie faktori ES līmenī</w:t>
      </w:r>
    </w:p>
    <w:p w14:paraId="11FF0BD7" w14:textId="026B6C01" w:rsidR="00DD5951" w:rsidRPr="00550D35" w:rsidRDefault="00DD5951" w:rsidP="00DD5951">
      <w:pPr>
        <w:rPr>
          <w:lang w:val="lv-LV"/>
        </w:rPr>
      </w:pPr>
      <w:r w:rsidRPr="00550D35">
        <w:rPr>
          <w:lang w:val="lv-LV"/>
        </w:rPr>
        <w:t xml:space="preserve">Ieviešot minētos pasākumus, tiks veicināta mākslīgā intelekta pielietošana komercdarbībā nacionālā līmenī, tādējādi veicinot komercdarbības digitālo izaugsmi, sniedzot ietekmi digitālās desmitgades rādītāju sasniegšanā mākslīgā intelekta jomā. Darbības šī KPI ES mērķa sasniegšanai ir tieši saistītas ar EDIC un to tīklu, kuri izveidoti īstenojot </w:t>
      </w:r>
      <w:r w:rsidR="00086F9D">
        <w:rPr>
          <w:lang w:val="lv-LV"/>
        </w:rPr>
        <w:t>DEP</w:t>
      </w:r>
      <w:r w:rsidRPr="00550D35">
        <w:rPr>
          <w:lang w:val="lv-LV"/>
        </w:rPr>
        <w:t xml:space="preserve"> ar mērķi palīdzēt uzņēmumiem un citiem saimnieciskās darbības veicējiem komercdarbībā ieviest digitālos risinājumus, t.sk., nodrošinot nepieciešamo apmācību un veicinot mākslīgā intelekta risinājumu plašāku izmantošanā komercdarbībā.</w:t>
      </w:r>
    </w:p>
    <w:p w14:paraId="0075EC15" w14:textId="77777777" w:rsidR="00DD5951" w:rsidRPr="00550D35" w:rsidRDefault="00DD5951" w:rsidP="00DD5951">
      <w:pPr>
        <w:rPr>
          <w:lang w:val="lv-LV"/>
        </w:rPr>
      </w:pPr>
      <w:r w:rsidRPr="00550D35">
        <w:rPr>
          <w:lang w:val="lv-LV"/>
        </w:rPr>
        <w:t xml:space="preserve">Īpaši jāuzsver ANM investīciju nozīmi, kas  ir paredzētas digitālo prasmju attīstības pasākumiem, aptverot gan </w:t>
      </w:r>
      <w:proofErr w:type="spellStart"/>
      <w:r w:rsidRPr="00550D35">
        <w:rPr>
          <w:lang w:val="lv-LV"/>
        </w:rPr>
        <w:t>pamatprasmes</w:t>
      </w:r>
      <w:proofErr w:type="spellEnd"/>
      <w:r w:rsidRPr="00550D35">
        <w:rPr>
          <w:lang w:val="lv-LV"/>
        </w:rPr>
        <w:t xml:space="preserve"> gan stimulējot augsta līmeņa digitālo prasmju attīstības pieeju, gan arī attīstot uzņēmumu digitālās spējas, investējot darbinieku digitālo prasmju uzlabošanā.</w:t>
      </w:r>
    </w:p>
    <w:p w14:paraId="46EEA537" w14:textId="651645E6" w:rsidR="00DD5951" w:rsidRPr="00550D35" w:rsidRDefault="00DD5951" w:rsidP="00DD5951">
      <w:pPr>
        <w:rPr>
          <w:lang w:val="lv-LV"/>
        </w:rPr>
      </w:pPr>
      <w:r w:rsidRPr="00550D35">
        <w:rPr>
          <w:lang w:val="lv-LV"/>
        </w:rPr>
        <w:t>Ieviešot minētos pasākumus, tiks veicināta mākslīgā intelekta risinājumu izmantošana komercdarbībā nacionālā līmenī, tādējādi veicinot komercdarbības digitālo izaugsmi, sniedzot ietekmi digitālās desmitgades rādītāju sasniegšanā māk</w:t>
      </w:r>
      <w:r w:rsidR="00B479C1">
        <w:rPr>
          <w:lang w:val="lv-LV"/>
        </w:rPr>
        <w:t>s</w:t>
      </w:r>
      <w:r w:rsidRPr="00550D35">
        <w:rPr>
          <w:lang w:val="lv-LV"/>
        </w:rPr>
        <w:t>līgā intelekta jomā.</w:t>
      </w:r>
    </w:p>
    <w:p w14:paraId="4C4502AD" w14:textId="77777777" w:rsidR="00DD5951" w:rsidRDefault="00DD5951" w:rsidP="00DD5951">
      <w:pPr>
        <w:pStyle w:val="Heading2"/>
        <w:rPr>
          <w:lang w:val="lv-LV"/>
        </w:rPr>
      </w:pPr>
      <w:r w:rsidRPr="00550D35">
        <w:rPr>
          <w:lang w:val="lv-LV"/>
        </w:rPr>
        <w:t>Ieinteresēto personu atsauksmes</w:t>
      </w:r>
    </w:p>
    <w:p w14:paraId="4A445A11" w14:textId="027BA8C8" w:rsidR="00D31FB0" w:rsidRPr="00D31FB0" w:rsidRDefault="00D31FB0" w:rsidP="00D31FB0">
      <w:pPr>
        <w:rPr>
          <w:lang w:val="lv-LV"/>
        </w:rPr>
      </w:pPr>
      <w:r w:rsidRPr="00550D35">
        <w:rPr>
          <w:lang w:val="lv-LV"/>
        </w:rPr>
        <w:t xml:space="preserve">Par KPI “Mākslīgais intelekts” </w:t>
      </w:r>
      <w:r w:rsidRPr="0001408B">
        <w:rPr>
          <w:lang w:val="lv-LV"/>
        </w:rPr>
        <w:t xml:space="preserve">sadaļā norādītais vispārējās ietekmes </w:t>
      </w:r>
      <w:proofErr w:type="spellStart"/>
      <w:r w:rsidRPr="0001408B">
        <w:rPr>
          <w:lang w:val="lv-LV"/>
        </w:rPr>
        <w:t>izvērtējums</w:t>
      </w:r>
      <w:proofErr w:type="spellEnd"/>
      <w:r w:rsidRPr="0001408B">
        <w:rPr>
          <w:lang w:val="lv-LV"/>
        </w:rPr>
        <w:t xml:space="preserve"> un secinājumi, </w:t>
      </w:r>
      <w:proofErr w:type="spellStart"/>
      <w:r w:rsidRPr="0001408B">
        <w:rPr>
          <w:lang w:val="lv-LV"/>
        </w:rPr>
        <w:t>mērķrādītāja</w:t>
      </w:r>
      <w:proofErr w:type="spellEnd"/>
      <w:r w:rsidRPr="0001408B">
        <w:rPr>
          <w:lang w:val="lv-LV"/>
        </w:rPr>
        <w:t xml:space="preserve"> prognozes līdz 2030. gadam, identificētie izaicinājumi, galvenās politikas, pasākumu un darbību, kas paredzētas, lai palīdzētu sasniegt vispārīgos mērķus, apraksts</w:t>
      </w:r>
      <w:r w:rsidR="00053C92">
        <w:rPr>
          <w:lang w:val="lv-LV"/>
        </w:rPr>
        <w:t>,</w:t>
      </w:r>
      <w:r w:rsidRPr="0001408B">
        <w:rPr>
          <w:lang w:val="lv-LV"/>
        </w:rPr>
        <w:t xml:space="preserve"> u.c. </w:t>
      </w:r>
      <w:r w:rsidR="00053C92">
        <w:rPr>
          <w:lang w:val="lv-LV"/>
        </w:rPr>
        <w:t xml:space="preserve">ir </w:t>
      </w:r>
      <w:r w:rsidRPr="0001408B">
        <w:rPr>
          <w:lang w:val="lv-LV"/>
        </w:rPr>
        <w:t>saskaņots ar LIKTA.</w:t>
      </w:r>
    </w:p>
    <w:p w14:paraId="0D6364F0" w14:textId="228890B6" w:rsidR="00DD5951" w:rsidRPr="00550D35" w:rsidRDefault="00DD5951" w:rsidP="00DD5951">
      <w:pPr>
        <w:pStyle w:val="Heading2"/>
        <w:rPr>
          <w:lang w:val="lv-LV"/>
        </w:rPr>
      </w:pPr>
      <w:r w:rsidRPr="00550D35">
        <w:rPr>
          <w:lang w:val="lv-LV"/>
        </w:rPr>
        <w:t>Vispārējā ietekme un secinājumi</w:t>
      </w:r>
    </w:p>
    <w:p w14:paraId="39241059" w14:textId="77777777" w:rsidR="00DD5951" w:rsidRPr="00550D35" w:rsidRDefault="00DD5951" w:rsidP="00DD5951">
      <w:pPr>
        <w:rPr>
          <w:lang w:val="lv-LV"/>
        </w:rPr>
      </w:pPr>
      <w:r w:rsidRPr="00550D35">
        <w:rPr>
          <w:lang w:val="lv-LV"/>
        </w:rPr>
        <w:t>Tiek veikti turpmāki pasākumi ar mērķi palielināt valsts pārvaldes un privātpersonu komercdarbības efektivitāti, efektīvi izmantojot mākslīgā intelekta risinājumus, lai samazinātu administratīvo slogu un radītu komersantiem, t.sk. MVU, labvēlīgāku darbības vidi. Tiks veicinātas komersantu vadības prasmju, kas nepieciešamas darbam digitālās transformācijas apstākļos, t.sk., ikdienas darba procesu pārveide, atbilstoši digitālas ekonomikas iespējām, mudinot komercdarbībā izmantot mākslīgā intelekta risinājumus.</w:t>
      </w:r>
    </w:p>
    <w:p w14:paraId="3793F2E9" w14:textId="77777777" w:rsidR="00DD5951" w:rsidRPr="00550D35" w:rsidRDefault="00DD5951" w:rsidP="00DD5951">
      <w:pPr>
        <w:rPr>
          <w:lang w:val="lv-LV"/>
        </w:rPr>
      </w:pPr>
      <w:r w:rsidRPr="00550D35">
        <w:rPr>
          <w:lang w:val="lv-LV"/>
        </w:rPr>
        <w:t>Īstenojot atbalsta programmas, tiks veicināts digitālās pārkārtošanās process, kas savukārt veicinās dinamiskas, resursu ziņā efektīva un taisnīgas ekonomikas un sabiedrības ES izveidi, vienlaikus veicinot komercdarbības ilgtspēju starptautiskajā dimensijā.</w:t>
      </w:r>
    </w:p>
    <w:p w14:paraId="41DAA08C" w14:textId="32919F86" w:rsidR="00DD5951" w:rsidRPr="00550D35" w:rsidRDefault="00DD5951" w:rsidP="00DD5951">
      <w:pPr>
        <w:rPr>
          <w:lang w:val="lv-LV"/>
        </w:rPr>
      </w:pPr>
      <w:r w:rsidRPr="00550D35">
        <w:rPr>
          <w:lang w:val="lv-LV"/>
        </w:rPr>
        <w:t>Nodaļā KPI “</w:t>
      </w:r>
      <w:r w:rsidR="008A377C" w:rsidRPr="00550D35">
        <w:rPr>
          <w:lang w:val="lv-LV"/>
        </w:rPr>
        <w:t>Māk</w:t>
      </w:r>
      <w:r w:rsidR="008A377C">
        <w:rPr>
          <w:lang w:val="lv-LV"/>
        </w:rPr>
        <w:t>slīgais intelekts</w:t>
      </w:r>
      <w:r w:rsidRPr="00550D35">
        <w:rPr>
          <w:lang w:val="lv-LV"/>
        </w:rPr>
        <w:t xml:space="preserve">” minētā politika un pasākumi sniegs ieguldījumu uzņēmumu </w:t>
      </w:r>
      <w:proofErr w:type="spellStart"/>
      <w:r w:rsidRPr="00550D35">
        <w:rPr>
          <w:lang w:val="lv-LV"/>
        </w:rPr>
        <w:t>digitalizācijas</w:t>
      </w:r>
      <w:proofErr w:type="spellEnd"/>
      <w:r w:rsidRPr="00550D35">
        <w:rPr>
          <w:lang w:val="lv-LV"/>
        </w:rPr>
        <w:t xml:space="preserve"> jomā, tai skaitā stiprinās digitālo tehnoloģiju izplatīšanas un izmantošanas centienus un īstenos stratēģijas, lai būtiski veicinātu jaunu progresīvu risinājumu izmantošanu MVU ekosistēmās, kā tas norādīts EK ieteikumā Digitālās dekādes 2023.gada ziņojumā par Latviju.</w:t>
      </w:r>
    </w:p>
    <w:p w14:paraId="1CC68A15" w14:textId="77777777" w:rsidR="0006047E" w:rsidRPr="00550D35" w:rsidRDefault="0006047E" w:rsidP="00722344">
      <w:pPr>
        <w:rPr>
          <w:lang w:val="lv-LV"/>
        </w:rPr>
      </w:pPr>
      <w:bookmarkStart w:id="32" w:name="_Toc135226552"/>
      <w:bookmarkStart w:id="33" w:name="_Toc135226636"/>
    </w:p>
    <w:p w14:paraId="743F345A" w14:textId="77777777" w:rsidR="00213AD3" w:rsidRPr="00550D35" w:rsidRDefault="00213AD3" w:rsidP="00B52E9B">
      <w:pPr>
        <w:pStyle w:val="Heading1"/>
      </w:pPr>
      <w:bookmarkStart w:id="34" w:name="_Toc155952343"/>
      <w:r w:rsidRPr="00550D35">
        <w:lastRenderedPageBreak/>
        <w:t>Mazie un vidējie uzņēmumi ar vismaz pamata digitālās intensitātes līmeni</w:t>
      </w:r>
      <w:bookmarkEnd w:id="32"/>
      <w:bookmarkEnd w:id="34"/>
    </w:p>
    <w:p w14:paraId="37C84793" w14:textId="77777777" w:rsidR="00213AD3" w:rsidRPr="00550D35" w:rsidRDefault="00213AD3" w:rsidP="00213AD3">
      <w:pPr>
        <w:pStyle w:val="mt-translation"/>
        <w:ind w:firstLine="0"/>
        <w:rPr>
          <w:i/>
          <w:iCs/>
          <w:sz w:val="20"/>
          <w:szCs w:val="20"/>
        </w:rPr>
      </w:pPr>
      <w:r w:rsidRPr="00550D35">
        <w:rPr>
          <w:b/>
          <w:bCs/>
          <w:i/>
          <w:iCs/>
        </w:rPr>
        <w:t xml:space="preserve">MVU, kuru digitālā intensitāte ir vismaz </w:t>
      </w:r>
      <w:proofErr w:type="spellStart"/>
      <w:r w:rsidRPr="00550D35">
        <w:rPr>
          <w:b/>
          <w:bCs/>
          <w:i/>
          <w:iCs/>
        </w:rPr>
        <w:t>pamatlīmenī</w:t>
      </w:r>
      <w:proofErr w:type="spellEnd"/>
      <w:r w:rsidRPr="00550D35">
        <w:rPr>
          <w:i/>
          <w:iCs/>
        </w:rPr>
        <w:t>, ko mēra kā to MVU procentu, kuri izmanto vismaz 4 no 12 izvēlētajām digitālajām tehnoloģijām</w:t>
      </w:r>
      <w:r w:rsidRPr="00550D35">
        <w:rPr>
          <w:rStyle w:val="FootnoteReference"/>
          <w:i/>
          <w:iCs/>
        </w:rPr>
        <w:footnoteReference w:id="59"/>
      </w:r>
      <w:r w:rsidRPr="00550D35">
        <w:rPr>
          <w:i/>
          <w:iCs/>
        </w:rPr>
        <w:t>.</w:t>
      </w:r>
    </w:p>
    <w:p w14:paraId="42578049" w14:textId="527E9D14" w:rsidR="00213AD3" w:rsidRPr="00550D35" w:rsidRDefault="00451149" w:rsidP="004C7A9E">
      <w:pPr>
        <w:pStyle w:val="Heading2"/>
        <w:rPr>
          <w:lang w:val="lv-LV"/>
        </w:rPr>
      </w:pPr>
      <w:r w:rsidRPr="00550D35">
        <w:rPr>
          <w:lang w:val="lv-LV"/>
        </w:rPr>
        <w:t>Analīze par pašreizējo stāvokli digitālās pārveides jomā dalībvalsts kontekstā</w:t>
      </w:r>
    </w:p>
    <w:p w14:paraId="0D7E28B1" w14:textId="77777777" w:rsidR="007B6597" w:rsidRPr="00550D35" w:rsidRDefault="009C3E81" w:rsidP="00BA3D55">
      <w:pPr>
        <w:rPr>
          <w:lang w:val="lv-LV"/>
        </w:rPr>
      </w:pPr>
      <w:bookmarkStart w:id="35" w:name="_Toc135226554"/>
      <w:r w:rsidRPr="00550D35">
        <w:rPr>
          <w:lang w:val="lv-LV"/>
        </w:rPr>
        <w:t xml:space="preserve">Saskaņā ar Digitālās dekādes 2023.gada ziņojumu par Latviju valsts </w:t>
      </w:r>
      <w:r w:rsidR="003D384E" w:rsidRPr="00550D35">
        <w:rPr>
          <w:lang w:val="lv-LV"/>
        </w:rPr>
        <w:t xml:space="preserve">veikums uzņēmumu </w:t>
      </w:r>
      <w:proofErr w:type="spellStart"/>
      <w:r w:rsidR="003D384E" w:rsidRPr="00550D35">
        <w:rPr>
          <w:lang w:val="lv-LV"/>
        </w:rPr>
        <w:t>digitalizācijas</w:t>
      </w:r>
      <w:proofErr w:type="spellEnd"/>
      <w:r w:rsidR="003D384E" w:rsidRPr="00550D35">
        <w:rPr>
          <w:lang w:val="lv-LV"/>
        </w:rPr>
        <w:t xml:space="preserve"> jomā joprojām ir tālu no Digitālās desmitgades sasniegšanas izvirza mērķus un parāda ievērojamu uzlabojumu iespēju. Lai gan Latvija uz dažiem ir uzlabojusies rādītāji, tas joprojām ir zemāks par ES vidējo rādītāju kopumā. </w:t>
      </w:r>
      <w:r w:rsidR="00541901" w:rsidRPr="00550D35">
        <w:rPr>
          <w:lang w:val="lv-LV"/>
        </w:rPr>
        <w:t xml:space="preserve">Vismaz pamata digitālās intensitātes līmeni </w:t>
      </w:r>
      <w:r w:rsidR="003D384E" w:rsidRPr="00550D35">
        <w:rPr>
          <w:lang w:val="lv-LV"/>
        </w:rPr>
        <w:t xml:space="preserve">2022. gadā bija sasnieguši 52% no Latvijas MVU, kas ir daudz </w:t>
      </w:r>
      <w:r w:rsidR="00541901" w:rsidRPr="00550D35">
        <w:rPr>
          <w:lang w:val="lv-LV"/>
        </w:rPr>
        <w:t>mazāk</w:t>
      </w:r>
      <w:r w:rsidR="003D384E" w:rsidRPr="00550D35">
        <w:rPr>
          <w:lang w:val="lv-LV"/>
        </w:rPr>
        <w:t xml:space="preserve"> par ES vidējo rādītāju 69% un Digitālās desmitgades mērķi</w:t>
      </w:r>
      <w:r w:rsidR="00541901" w:rsidRPr="00550D35">
        <w:rPr>
          <w:lang w:val="lv-LV"/>
        </w:rPr>
        <w:t xml:space="preserve"> </w:t>
      </w:r>
      <w:r w:rsidR="003D384E" w:rsidRPr="00550D35">
        <w:rPr>
          <w:lang w:val="lv-LV"/>
        </w:rPr>
        <w:t>90%. Turpmākajos gados būs jāpieliek ievērojamas pūles, lai sasniegtu ES mērķus</w:t>
      </w:r>
      <w:r w:rsidR="00541901" w:rsidRPr="00550D35">
        <w:rPr>
          <w:lang w:val="lv-LV"/>
        </w:rPr>
        <w:t>.</w:t>
      </w:r>
    </w:p>
    <w:p w14:paraId="164037EC" w14:textId="45A5DB98" w:rsidR="00DF7F1D" w:rsidRPr="00550D35" w:rsidRDefault="007B6597" w:rsidP="00BA3D55">
      <w:pPr>
        <w:rPr>
          <w:lang w:val="lv-LV" w:eastAsia="lv-LV"/>
        </w:rPr>
      </w:pPr>
      <w:r w:rsidRPr="00550D35">
        <w:rPr>
          <w:lang w:val="lv-LV"/>
        </w:rPr>
        <w:t>Digitālās dekādes 2023.gada ziņojum</w:t>
      </w:r>
      <w:r w:rsidR="000701FC" w:rsidRPr="00550D35">
        <w:rPr>
          <w:lang w:val="lv-LV"/>
        </w:rPr>
        <w:t>ā</w:t>
      </w:r>
      <w:r w:rsidRPr="00550D35">
        <w:rPr>
          <w:lang w:val="lv-LV"/>
        </w:rPr>
        <w:t xml:space="preserve"> par Latviju EK iesaka </w:t>
      </w:r>
      <w:r w:rsidR="00945EBD" w:rsidRPr="00550D35">
        <w:rPr>
          <w:lang w:val="lv-LV"/>
        </w:rPr>
        <w:t xml:space="preserve">valstij </w:t>
      </w:r>
      <w:r w:rsidRPr="00550D35">
        <w:rPr>
          <w:lang w:val="lv-LV"/>
        </w:rPr>
        <w:t xml:space="preserve">ievērojami pastiprināt centienus uzņēmumu </w:t>
      </w:r>
      <w:proofErr w:type="spellStart"/>
      <w:r w:rsidRPr="00550D35">
        <w:rPr>
          <w:lang w:val="lv-LV"/>
        </w:rPr>
        <w:t>digitalizācijas</w:t>
      </w:r>
      <w:proofErr w:type="spellEnd"/>
      <w:r w:rsidRPr="00550D35">
        <w:rPr>
          <w:lang w:val="lv-LV"/>
        </w:rPr>
        <w:t xml:space="preserve"> jomā. Proti, Latvijai būtu jāstiprina digitālo tehnoloģiju izplatīšanas un izmantošanas centieni un gan valsts, gan privāto dalībnieku kopīgi izstrādāto stratēģiju īstenošana, lai </w:t>
      </w:r>
      <w:r w:rsidR="003E2166" w:rsidRPr="00550D35">
        <w:rPr>
          <w:lang w:val="lv-LV"/>
        </w:rPr>
        <w:t>būtiski</w:t>
      </w:r>
      <w:r w:rsidRPr="00550D35">
        <w:rPr>
          <w:lang w:val="lv-LV"/>
        </w:rPr>
        <w:t xml:space="preserve"> veicinātu jaunu progresīvu risinājumu izmantošanu MVU ekosistēmās.</w:t>
      </w:r>
      <w:r w:rsidR="003D384E" w:rsidRPr="00550D35">
        <w:rPr>
          <w:lang w:val="lv-LV"/>
        </w:rPr>
        <w:t xml:space="preserve"> </w:t>
      </w:r>
    </w:p>
    <w:p w14:paraId="3A7FD295" w14:textId="77777777" w:rsidR="002F2C04" w:rsidRDefault="00DF7F1D" w:rsidP="000C5E8A">
      <w:pPr>
        <w:rPr>
          <w:lang w:val="lv-LV" w:eastAsia="lv-LV"/>
        </w:rPr>
      </w:pPr>
      <w:r w:rsidRPr="00550D35">
        <w:rPr>
          <w:lang w:val="lv-LV" w:eastAsia="lv-LV"/>
        </w:rPr>
        <w:t xml:space="preserve">DESI </w:t>
      </w:r>
      <w:proofErr w:type="spellStart"/>
      <w:r w:rsidRPr="00550D35">
        <w:rPr>
          <w:lang w:val="lv-LV" w:eastAsia="lv-LV"/>
        </w:rPr>
        <w:t>izvērtējumā</w:t>
      </w:r>
      <w:proofErr w:type="spellEnd"/>
      <w:r w:rsidR="00BA3D55">
        <w:rPr>
          <w:lang w:val="lv-LV" w:eastAsia="lv-LV"/>
        </w:rPr>
        <w:t>,</w:t>
      </w:r>
      <w:r w:rsidRPr="00550D35">
        <w:rPr>
          <w:lang w:val="lv-LV" w:eastAsia="lv-LV"/>
        </w:rPr>
        <w:t xml:space="preserve"> vērtējot darba spēka digitālās prasmes virs </w:t>
      </w:r>
      <w:proofErr w:type="spellStart"/>
      <w:r w:rsidRPr="00550D35">
        <w:rPr>
          <w:lang w:val="lv-LV" w:eastAsia="lv-LV"/>
        </w:rPr>
        <w:t>pamatlīmeņa</w:t>
      </w:r>
      <w:proofErr w:type="spellEnd"/>
      <w:r w:rsidR="00BA3D55">
        <w:rPr>
          <w:lang w:val="lv-LV" w:eastAsia="lv-LV"/>
        </w:rPr>
        <w:t>,</w:t>
      </w:r>
      <w:r w:rsidRPr="00550D35">
        <w:rPr>
          <w:lang w:val="lv-LV" w:eastAsia="lv-LV"/>
        </w:rPr>
        <w:t xml:space="preserve"> Latvija 2022. gadā ieņēma 18. vietu 27 ES dalībvalstu vidū, tāpēc svarīgi ir stiprināt uzņēmumu izpratni par digitālās transformācijas sniegtiem ieguvumiem, nodrošināt apmācības darbinieku kompetences pilnveidei atbilstoši digitālo tehnoloģiju izmantošanas un attīstības tendencēm.</w:t>
      </w:r>
    </w:p>
    <w:p w14:paraId="5B94AB5C" w14:textId="77777777" w:rsidR="002F2C04" w:rsidRDefault="002F2C04" w:rsidP="002F2C04">
      <w:pPr>
        <w:rPr>
          <w:lang w:val="lv-LV"/>
        </w:rPr>
      </w:pPr>
      <w:r w:rsidRPr="00550D35">
        <w:rPr>
          <w:lang w:val="lv-LV"/>
        </w:rPr>
        <w:t xml:space="preserve">Uzņēmumu </w:t>
      </w:r>
      <w:proofErr w:type="spellStart"/>
      <w:r w:rsidRPr="00550D35">
        <w:rPr>
          <w:lang w:val="lv-LV"/>
        </w:rPr>
        <w:t>digitalizācija</w:t>
      </w:r>
      <w:proofErr w:type="spellEnd"/>
      <w:r w:rsidRPr="00550D35">
        <w:rPr>
          <w:lang w:val="lv-LV"/>
        </w:rPr>
        <w:t xml:space="preserve"> ir kļuvusi par vienu no uzņēmumu konkurētspējas un izaugsmes pamatnoteikumiem. ANM plānā, kā arī 2021. – 2027. gada plānošanas periodā ir paredzēti pasākumi, kas vērsti uz komercdarbības atbalstu digitālās transformācijas veicināšanai, kas pastarpināti veicinās arī zaļā kursa īstenošanu. Līdz 2026. gada 30. jūnijam komersantiem būs iespējams pieteikties atbalsta saņemšanai komercdarbības procesu </w:t>
      </w:r>
      <w:proofErr w:type="spellStart"/>
      <w:r w:rsidRPr="00550D35">
        <w:rPr>
          <w:lang w:val="lv-LV"/>
        </w:rPr>
        <w:t>digitalizācijai</w:t>
      </w:r>
      <w:proofErr w:type="spellEnd"/>
      <w:r w:rsidRPr="00550D35">
        <w:rPr>
          <w:lang w:val="lv-LV"/>
        </w:rPr>
        <w:t>, jaunu produktu un pakalpojumu izstrādei, kā arī tehnoloģisko iekārtu testēšanai un iegādei.</w:t>
      </w:r>
    </w:p>
    <w:p w14:paraId="38AE0E02" w14:textId="27D9D01E" w:rsidR="00DF7F1D" w:rsidRDefault="00DF7F1D" w:rsidP="000C5E8A">
      <w:pPr>
        <w:rPr>
          <w:noProof/>
          <w:lang w:val="lv-LV"/>
        </w:rPr>
      </w:pPr>
      <w:r w:rsidRPr="00550D35">
        <w:rPr>
          <w:lang w:val="lv-LV" w:eastAsia="lv-LV"/>
        </w:rPr>
        <w:t>Lai uzlabotu digitālo pakalpojumu integrāciju komersantu vidū nepieciešami augsti kvalificēti speciālisti, kas spēj pielietot un ieviest inovatīvus digitālos risinājumus. 2023.</w:t>
      </w:r>
      <w:r w:rsidR="002F2C04">
        <w:rPr>
          <w:lang w:val="lv-LV" w:eastAsia="lv-LV"/>
        </w:rPr>
        <w:t> </w:t>
      </w:r>
      <w:r w:rsidRPr="00550D35">
        <w:rPr>
          <w:lang w:val="lv-LV" w:eastAsia="lv-LV"/>
        </w:rPr>
        <w:t xml:space="preserve">gada 22. februārī atklātas pirmās trīs ANM atbalsta programmas </w:t>
      </w:r>
      <w:r w:rsidR="00030812" w:rsidRPr="00550D35">
        <w:rPr>
          <w:lang w:val="lv-LV" w:eastAsia="lv-LV"/>
        </w:rPr>
        <w:t>komercdarbīb</w:t>
      </w:r>
      <w:r w:rsidRPr="00550D35">
        <w:rPr>
          <w:lang w:val="lv-LV" w:eastAsia="lv-LV"/>
        </w:rPr>
        <w:t xml:space="preserve">as </w:t>
      </w:r>
      <w:proofErr w:type="spellStart"/>
      <w:r w:rsidRPr="00550D35">
        <w:rPr>
          <w:lang w:val="lv-LV" w:eastAsia="lv-LV"/>
        </w:rPr>
        <w:t>digitalizācijai</w:t>
      </w:r>
      <w:proofErr w:type="spellEnd"/>
      <w:r w:rsidRPr="00550D35">
        <w:rPr>
          <w:lang w:val="lv-LV" w:eastAsia="lv-LV"/>
        </w:rPr>
        <w:t xml:space="preserve">, kuru ietvaros plānots sniegt atbalstu komersantiem 92,64 milj. </w:t>
      </w:r>
      <w:proofErr w:type="spellStart"/>
      <w:r w:rsidR="00221010" w:rsidRPr="00550D35">
        <w:rPr>
          <w:i/>
          <w:lang w:val="lv-LV" w:eastAsia="lv-LV"/>
        </w:rPr>
        <w:t>euro</w:t>
      </w:r>
      <w:proofErr w:type="spellEnd"/>
      <w:r w:rsidRPr="00550D35">
        <w:rPr>
          <w:lang w:val="lv-LV" w:eastAsia="lv-LV"/>
        </w:rPr>
        <w:t xml:space="preserve"> apmērā.</w:t>
      </w:r>
      <w:r w:rsidR="000C5E8A">
        <w:rPr>
          <w:noProof/>
          <w:lang w:val="lv-LV"/>
        </w:rPr>
        <w:t xml:space="preserve"> </w:t>
      </w:r>
      <w:r w:rsidR="00875EBF" w:rsidRPr="00550D35">
        <w:rPr>
          <w:noProof/>
          <w:lang w:val="lv-LV"/>
        </w:rPr>
        <w:t>EM izstrādātās atbalsta programmas ar noteicošiem pasākumiem un rādītājiem tieši palielinās Latvijas izaugsmi ES līmenī.</w:t>
      </w:r>
    </w:p>
    <w:p w14:paraId="3D82A2E6" w14:textId="26AABD34" w:rsidR="00C5249E" w:rsidRDefault="00C5249E" w:rsidP="00C5249E">
      <w:pPr>
        <w:rPr>
          <w:lang w:val="lv-LV"/>
        </w:rPr>
      </w:pPr>
      <w:r w:rsidRPr="00550D35">
        <w:rPr>
          <w:lang w:val="lv-LV"/>
        </w:rPr>
        <w:t xml:space="preserve">Lai nodrošinātu komersantu vajadzībām atbilstošu programmas izvēli investīciju projekta īstenošanai, Latvijā ir apstiprināti divi EDIC, kas ar reģionālo kontaktpunktu kā vienas pieturas aģentūru palīdzību sniedz konsultācijas, </w:t>
      </w:r>
      <w:proofErr w:type="spellStart"/>
      <w:r w:rsidRPr="00550D35">
        <w:rPr>
          <w:lang w:val="lv-LV"/>
        </w:rPr>
        <w:t>mentoringu</w:t>
      </w:r>
      <w:proofErr w:type="spellEnd"/>
      <w:r w:rsidRPr="00550D35">
        <w:rPr>
          <w:lang w:val="lv-LV"/>
        </w:rPr>
        <w:t>, tehnoloģisko pakalpojumu, pirmreizējā un otrreizējā digitālā brieduma testa, digitālās attīstības ceļa kartes un atzinuma izstrādes pakalpojumus.</w:t>
      </w:r>
    </w:p>
    <w:p w14:paraId="1D9B743E" w14:textId="5FDB2B4B" w:rsidR="00C5249E" w:rsidRPr="00550D35" w:rsidRDefault="00C5249E" w:rsidP="00C5249E">
      <w:pPr>
        <w:rPr>
          <w:lang w:val="lv-LV" w:eastAsia="lv-LV"/>
        </w:rPr>
      </w:pPr>
      <w:r w:rsidRPr="00550D35">
        <w:rPr>
          <w:lang w:val="lv-LV" w:eastAsia="lv-LV"/>
        </w:rPr>
        <w:t xml:space="preserve">Atbalsta programmas </w:t>
      </w:r>
      <w:r w:rsidRPr="00550D35">
        <w:rPr>
          <w:i/>
          <w:iCs/>
          <w:lang w:val="lv-LV" w:eastAsia="lv-LV"/>
        </w:rPr>
        <w:t>“Atbalsts Digitālo inovāciju centru un reģionālo kontaktpunktu izveidei”</w:t>
      </w:r>
      <w:r w:rsidRPr="00550D35">
        <w:rPr>
          <w:lang w:val="lv-LV" w:eastAsia="lv-LV"/>
        </w:rPr>
        <w:t xml:space="preserve"> kopējais finansējums ir 16,7 milj. </w:t>
      </w:r>
      <w:proofErr w:type="spellStart"/>
      <w:r w:rsidR="00221010" w:rsidRPr="00550D35">
        <w:rPr>
          <w:i/>
          <w:lang w:val="lv-LV" w:eastAsia="lv-LV"/>
        </w:rPr>
        <w:t>euro</w:t>
      </w:r>
      <w:proofErr w:type="spellEnd"/>
      <w:r w:rsidRPr="00550D35">
        <w:rPr>
          <w:i/>
          <w:iCs/>
          <w:lang w:val="lv-LV" w:eastAsia="lv-LV"/>
        </w:rPr>
        <w:t xml:space="preserve"> </w:t>
      </w:r>
      <w:r w:rsidRPr="00550D35">
        <w:rPr>
          <w:lang w:val="lv-LV" w:eastAsia="lv-LV"/>
        </w:rPr>
        <w:t>(t.sk., 10,0 milj. </w:t>
      </w:r>
      <w:proofErr w:type="spellStart"/>
      <w:r w:rsidR="00221010" w:rsidRPr="00550D35">
        <w:rPr>
          <w:i/>
          <w:lang w:val="lv-LV" w:eastAsia="lv-LV"/>
        </w:rPr>
        <w:t>euro</w:t>
      </w:r>
      <w:proofErr w:type="spellEnd"/>
      <w:r w:rsidRPr="00550D35">
        <w:rPr>
          <w:lang w:val="lv-LV" w:eastAsia="lv-LV"/>
        </w:rPr>
        <w:t xml:space="preserve"> no </w:t>
      </w:r>
      <w:r w:rsidRPr="00550D35">
        <w:rPr>
          <w:lang w:val="lv-LV" w:eastAsia="lv-LV"/>
        </w:rPr>
        <w:lastRenderedPageBreak/>
        <w:t xml:space="preserve">ANM </w:t>
      </w:r>
      <w:r w:rsidR="00A1679E">
        <w:rPr>
          <w:lang w:val="lv-LV" w:eastAsia="lv-LV"/>
        </w:rPr>
        <w:t xml:space="preserve">plāna </w:t>
      </w:r>
      <w:r w:rsidRPr="00550D35">
        <w:rPr>
          <w:lang w:val="lv-LV" w:eastAsia="lv-LV"/>
        </w:rPr>
        <w:t>un 6,7 milj. </w:t>
      </w:r>
      <w:proofErr w:type="spellStart"/>
      <w:r w:rsidR="00221010" w:rsidRPr="00550D35">
        <w:rPr>
          <w:i/>
          <w:lang w:val="lv-LV" w:eastAsia="lv-LV"/>
        </w:rPr>
        <w:t>euro</w:t>
      </w:r>
      <w:proofErr w:type="spellEnd"/>
      <w:r w:rsidRPr="00550D35">
        <w:rPr>
          <w:i/>
          <w:iCs/>
          <w:lang w:val="lv-LV" w:eastAsia="lv-LV"/>
        </w:rPr>
        <w:t xml:space="preserve"> </w:t>
      </w:r>
      <w:r w:rsidRPr="00550D35">
        <w:rPr>
          <w:lang w:val="lv-LV" w:eastAsia="lv-LV"/>
        </w:rPr>
        <w:t>no ERAF), kuras ietvaros Latvijas Informācijas tehnoloģiju klastera un Latvijas Digitālā akseleratora kontaktpunkti darbosies kā vienas pieturas aģentūras, kas padziļināti izvērtēs komersantus, sniedzot tehnisko ekspertīzi, apmācības, prasmju pilnveidi, lai tiktu īstenota digitālā transformācija.</w:t>
      </w:r>
    </w:p>
    <w:p w14:paraId="4D71B0E1" w14:textId="62A6B65E" w:rsidR="00C5249E" w:rsidRPr="00550D35" w:rsidRDefault="00C5249E" w:rsidP="00C5249E">
      <w:pPr>
        <w:rPr>
          <w:lang w:val="lv-LV" w:eastAsia="lv-LV"/>
        </w:rPr>
      </w:pPr>
      <w:r w:rsidRPr="00550D35">
        <w:rPr>
          <w:lang w:val="lv-LV" w:eastAsia="lv-LV"/>
        </w:rPr>
        <w:t xml:space="preserve">Tāpat EDIC līdz 2026. gada 30. jūnijam nodrošinās komersantiem digitālās transformācijas konsultācijas un </w:t>
      </w:r>
      <w:proofErr w:type="spellStart"/>
      <w:r w:rsidRPr="00550D35">
        <w:rPr>
          <w:lang w:val="lv-LV" w:eastAsia="lv-LV"/>
        </w:rPr>
        <w:t>mentoringu</w:t>
      </w:r>
      <w:proofErr w:type="spellEnd"/>
      <w:r w:rsidRPr="00550D35">
        <w:rPr>
          <w:lang w:val="lv-LV" w:eastAsia="lv-LV"/>
        </w:rPr>
        <w:t>, piekļuvi eksperimentēšanas, pilotēšanas un testēšanas darbībām pirms investīciju ieguldījumiem, kā arī palīdzēs komersantiem sagatavot digitālās attīstības ceļa kartes tālākai LIAA un ALTUM atbalsta saņemšanai. Vienlaikus katrs EDIC sniegs atbalstu vismaz piecos reģionālajos kontaktpunktos visā Latvijā.</w:t>
      </w:r>
    </w:p>
    <w:p w14:paraId="4E7D1F5F" w14:textId="48F5D72F" w:rsidR="00B12CF5" w:rsidRPr="00550D35" w:rsidRDefault="00B12CF5" w:rsidP="00B12CF5">
      <w:pPr>
        <w:rPr>
          <w:lang w:val="lv-LV" w:eastAsia="lv-LV"/>
        </w:rPr>
      </w:pPr>
      <w:r w:rsidRPr="00550D35">
        <w:rPr>
          <w:lang w:val="lv-LV" w:eastAsia="lv-LV"/>
        </w:rPr>
        <w:t xml:space="preserve">LIAA īstenotās atbalsta programmas “Atbalsts procesu </w:t>
      </w:r>
      <w:proofErr w:type="spellStart"/>
      <w:r w:rsidRPr="00550D35">
        <w:rPr>
          <w:lang w:val="lv-LV" w:eastAsia="lv-LV"/>
        </w:rPr>
        <w:t>digitalizācijai</w:t>
      </w:r>
      <w:proofErr w:type="spellEnd"/>
      <w:r w:rsidRPr="00550D35">
        <w:rPr>
          <w:lang w:val="lv-LV" w:eastAsia="lv-LV"/>
        </w:rPr>
        <w:t xml:space="preserve"> komercdarbībā” </w:t>
      </w:r>
      <w:r w:rsidR="00693BEF" w:rsidRPr="00550D35">
        <w:rPr>
          <w:lang w:val="lv-LV" w:eastAsia="lv-LV"/>
        </w:rPr>
        <w:t xml:space="preserve">( ANM </w:t>
      </w:r>
      <w:r w:rsidR="001C3663">
        <w:rPr>
          <w:lang w:val="lv-LV" w:eastAsia="lv-LV"/>
        </w:rPr>
        <w:t xml:space="preserve">plāna </w:t>
      </w:r>
      <w:r w:rsidR="001C3663" w:rsidRPr="00550D35">
        <w:rPr>
          <w:lang w:val="lv-LV" w:eastAsia="lv-LV"/>
        </w:rPr>
        <w:t xml:space="preserve">investīcija </w:t>
      </w:r>
      <w:r w:rsidR="00693BEF" w:rsidRPr="00550D35">
        <w:rPr>
          <w:lang w:val="lv-LV" w:eastAsia="lv-LV"/>
        </w:rPr>
        <w:t xml:space="preserve">2.2.1.1.i. </w:t>
      </w:r>
      <w:r w:rsidR="00693BEF" w:rsidRPr="000E11C1">
        <w:rPr>
          <w:lang w:val="lv-LV" w:eastAsia="lv-LV"/>
        </w:rPr>
        <w:t>un ERAF 1.2.2.1.</w:t>
      </w:r>
      <w:r w:rsidR="000E11C1" w:rsidRPr="000E11C1">
        <w:rPr>
          <w:lang w:val="lv-LV" w:eastAsia="lv-LV"/>
        </w:rPr>
        <w:t>pasākums</w:t>
      </w:r>
      <w:r w:rsidR="00693BEF" w:rsidRPr="000E11C1">
        <w:rPr>
          <w:lang w:val="lv-LV" w:eastAsia="lv-LV"/>
        </w:rPr>
        <w:t>)</w:t>
      </w:r>
      <w:r w:rsidR="00693BEF" w:rsidRPr="00550D35">
        <w:rPr>
          <w:lang w:val="lv-LV" w:eastAsia="lv-LV"/>
        </w:rPr>
        <w:t xml:space="preserve"> </w:t>
      </w:r>
      <w:r w:rsidR="008D51EB" w:rsidRPr="00550D35">
        <w:rPr>
          <w:lang w:val="lv-LV" w:eastAsia="lv-LV"/>
        </w:rPr>
        <w:t xml:space="preserve">ietvaros </w:t>
      </w:r>
      <w:r w:rsidRPr="00550D35">
        <w:rPr>
          <w:lang w:val="lv-LV" w:eastAsia="lv-LV"/>
        </w:rPr>
        <w:t xml:space="preserve">komersantiem būs pieejams atbalsts jaunu programmatūru un iekārtu ieviešanai uzņēmumos, nodrošinot iekšējo procesu </w:t>
      </w:r>
      <w:proofErr w:type="spellStart"/>
      <w:r w:rsidRPr="00550D35">
        <w:rPr>
          <w:lang w:val="lv-LV" w:eastAsia="lv-LV"/>
        </w:rPr>
        <w:t>digitalizāciju</w:t>
      </w:r>
      <w:proofErr w:type="spellEnd"/>
      <w:r w:rsidRPr="00550D35">
        <w:rPr>
          <w:lang w:val="lv-LV" w:eastAsia="lv-LV"/>
        </w:rPr>
        <w:t xml:space="preserve"> komercdarbībā un produktivitātes paaugstināšanā.</w:t>
      </w:r>
    </w:p>
    <w:p w14:paraId="31295934" w14:textId="20277BBC" w:rsidR="00B12CF5" w:rsidRPr="00550D35" w:rsidRDefault="00B12CF5" w:rsidP="00B12CF5">
      <w:pPr>
        <w:rPr>
          <w:lang w:val="lv-LV"/>
        </w:rPr>
      </w:pPr>
      <w:r w:rsidRPr="00550D35">
        <w:rPr>
          <w:lang w:val="lv-LV" w:eastAsia="lv-LV"/>
        </w:rPr>
        <w:t xml:space="preserve">ALTUM īstenotās atbalsta programmas </w:t>
      </w:r>
      <w:r w:rsidRPr="00343B4D">
        <w:rPr>
          <w:lang w:val="lv-LV" w:eastAsia="lv-LV"/>
        </w:rPr>
        <w:t xml:space="preserve">“Finanšu instrumenti komersantu digitālās transformācijas veicināšanai” </w:t>
      </w:r>
      <w:r w:rsidRPr="00550D35">
        <w:rPr>
          <w:i/>
          <w:iCs/>
          <w:lang w:val="lv-LV" w:eastAsia="lv-LV"/>
        </w:rPr>
        <w:t>(</w:t>
      </w:r>
      <w:r w:rsidRPr="00550D35">
        <w:rPr>
          <w:lang w:val="lv-LV"/>
        </w:rPr>
        <w:t xml:space="preserve">ANM </w:t>
      </w:r>
      <w:r w:rsidR="000F03AA">
        <w:rPr>
          <w:lang w:val="lv-LV"/>
        </w:rPr>
        <w:t xml:space="preserve">plāna </w:t>
      </w:r>
      <w:r w:rsidRPr="00550D35">
        <w:rPr>
          <w:lang w:val="lv-LV"/>
        </w:rPr>
        <w:t>investīcija</w:t>
      </w:r>
      <w:r w:rsidR="000F03AA">
        <w:rPr>
          <w:lang w:val="lv-LV"/>
        </w:rPr>
        <w:t xml:space="preserve"> </w:t>
      </w:r>
      <w:r w:rsidR="000F03AA" w:rsidRPr="00550D35">
        <w:rPr>
          <w:lang w:val="lv-LV"/>
        </w:rPr>
        <w:t>2.2.1.4.i</w:t>
      </w:r>
      <w:r w:rsidRPr="00550D35">
        <w:rPr>
          <w:lang w:val="lv-LV"/>
        </w:rPr>
        <w:t xml:space="preserve">) </w:t>
      </w:r>
      <w:r w:rsidRPr="00550D35">
        <w:rPr>
          <w:lang w:val="lv-LV" w:eastAsia="lv-LV"/>
        </w:rPr>
        <w:t xml:space="preserve">ietvaros komersanti varēs saņemt aizdevumu uzņēmumu </w:t>
      </w:r>
      <w:proofErr w:type="spellStart"/>
      <w:r w:rsidRPr="00550D35">
        <w:rPr>
          <w:lang w:val="lv-LV" w:eastAsia="lv-LV"/>
        </w:rPr>
        <w:t>digitalizācijas</w:t>
      </w:r>
      <w:proofErr w:type="spellEnd"/>
      <w:r w:rsidRPr="00550D35">
        <w:rPr>
          <w:lang w:val="lv-LV" w:eastAsia="lv-LV"/>
        </w:rPr>
        <w:t>, automatizācijas un robotizācijas veicināšanai.</w:t>
      </w:r>
    </w:p>
    <w:p w14:paraId="2107C870" w14:textId="1011FA12" w:rsidR="00B12CF5" w:rsidRPr="00550D35" w:rsidRDefault="00B12CF5" w:rsidP="007C65E3">
      <w:pPr>
        <w:rPr>
          <w:lang w:val="lv-LV" w:eastAsia="lv-LV"/>
        </w:rPr>
      </w:pPr>
      <w:r w:rsidRPr="00550D35">
        <w:rPr>
          <w:lang w:val="lv-LV" w:eastAsia="lv-LV"/>
        </w:rPr>
        <w:t xml:space="preserve">2023. gadā </w:t>
      </w:r>
      <w:r w:rsidR="00C91C3D">
        <w:rPr>
          <w:lang w:val="lv-LV" w:eastAsia="lv-LV"/>
        </w:rPr>
        <w:t>ir uzsāktas</w:t>
      </w:r>
      <w:r w:rsidR="009B2F01">
        <w:rPr>
          <w:lang w:val="lv-LV" w:eastAsia="lv-LV"/>
        </w:rPr>
        <w:t xml:space="preserve"> </w:t>
      </w:r>
      <w:r w:rsidRPr="00550D35">
        <w:rPr>
          <w:lang w:val="lv-LV" w:eastAsia="lv-LV"/>
        </w:rPr>
        <w:t xml:space="preserve">divas atbalsta programmas </w:t>
      </w:r>
      <w:proofErr w:type="spellStart"/>
      <w:r w:rsidRPr="00550D35">
        <w:rPr>
          <w:lang w:val="lv-LV" w:eastAsia="lv-LV"/>
        </w:rPr>
        <w:t>digitalizācijas</w:t>
      </w:r>
      <w:proofErr w:type="spellEnd"/>
      <w:r w:rsidRPr="00550D35">
        <w:rPr>
          <w:lang w:val="lv-LV" w:eastAsia="lv-LV"/>
        </w:rPr>
        <w:t xml:space="preserve"> veicināšanai, t.sk.</w:t>
      </w:r>
      <w:r w:rsidR="007C65E3" w:rsidRPr="00550D35">
        <w:rPr>
          <w:lang w:val="lv-LV" w:eastAsia="lv-LV"/>
        </w:rPr>
        <w:t xml:space="preserve"> </w:t>
      </w:r>
      <w:r w:rsidRPr="00550D35">
        <w:rPr>
          <w:lang w:val="lv-LV" w:eastAsia="lv-LV"/>
        </w:rPr>
        <w:t xml:space="preserve">programma </w:t>
      </w:r>
      <w:r w:rsidRPr="00B046B8">
        <w:rPr>
          <w:lang w:val="lv-LV" w:eastAsia="lv-LV"/>
        </w:rPr>
        <w:t>“Uzņēmumu digitālo prasmju attīstība”</w:t>
      </w:r>
      <w:r w:rsidR="004A54C1">
        <w:rPr>
          <w:lang w:val="lv-LV" w:eastAsia="lv-LV"/>
        </w:rPr>
        <w:t xml:space="preserve"> </w:t>
      </w:r>
      <w:r w:rsidR="002E7051" w:rsidRPr="0084229A">
        <w:rPr>
          <w:lang w:val="lv-LV" w:eastAsia="lv-LV"/>
        </w:rPr>
        <w:t xml:space="preserve">(ANM plāna investīcijas 2.3.1.2.i </w:t>
      </w:r>
      <w:r w:rsidR="00D55EAD">
        <w:rPr>
          <w:lang w:val="lv-LV" w:eastAsia="lv-LV"/>
        </w:rPr>
        <w:t>un ERAF 1.1.2.2.</w:t>
      </w:r>
      <w:r w:rsidR="00A438D2" w:rsidRPr="00A438D2">
        <w:rPr>
          <w:lang w:val="lv-LV" w:eastAsia="lv-LV"/>
        </w:rPr>
        <w:t xml:space="preserve"> </w:t>
      </w:r>
      <w:r w:rsidR="00A438D2">
        <w:rPr>
          <w:lang w:val="lv-LV" w:eastAsia="lv-LV"/>
        </w:rPr>
        <w:t xml:space="preserve">pasākuma </w:t>
      </w:r>
      <w:r w:rsidR="00756F01" w:rsidRPr="00B31D3B">
        <w:rPr>
          <w:lang w:val="lv-LV" w:eastAsia="lv-LV"/>
        </w:rPr>
        <w:t>finansējum</w:t>
      </w:r>
      <w:r w:rsidR="00756F01">
        <w:rPr>
          <w:lang w:val="lv-LV" w:eastAsia="lv-LV"/>
        </w:rPr>
        <w:t>s)</w:t>
      </w:r>
      <w:r w:rsidR="00756F01" w:rsidRPr="00550D35">
        <w:rPr>
          <w:lang w:val="lv-LV" w:eastAsia="lv-LV"/>
        </w:rPr>
        <w:t xml:space="preserve"> </w:t>
      </w:r>
      <w:r w:rsidR="009B2F01">
        <w:rPr>
          <w:lang w:val="lv-LV" w:eastAsia="lv-LV"/>
        </w:rPr>
        <w:t xml:space="preserve">ar </w:t>
      </w:r>
      <w:r w:rsidRPr="00550D35">
        <w:rPr>
          <w:lang w:val="lv-LV" w:eastAsia="lv-LV"/>
        </w:rPr>
        <w:t>mērķi pilnveidot Latvijas sīko (mikro), mazo, vidējo un lielo komersantu digitālās prasmes, t. sk. prasmes, kas sekmētu eksporta veicināšanu, augsta līmeņa digitālās pārvaldības prasmes uzņēmumu vadības līmenī un prasmes digitālo tehnoloģiju izmantošanai dažādos komercdarbības procesos</w:t>
      </w:r>
      <w:r w:rsidR="00B046B8">
        <w:rPr>
          <w:lang w:val="lv-LV" w:eastAsia="lv-LV"/>
        </w:rPr>
        <w:t xml:space="preserve">. Savukārt, </w:t>
      </w:r>
      <w:r w:rsidR="007C65E3" w:rsidRPr="00550D35">
        <w:rPr>
          <w:lang w:val="lv-LV" w:eastAsia="lv-LV"/>
        </w:rPr>
        <w:t xml:space="preserve"> </w:t>
      </w:r>
      <w:r w:rsidR="000A1B31">
        <w:rPr>
          <w:lang w:val="lv-LV" w:eastAsia="lv-LV"/>
        </w:rPr>
        <w:t xml:space="preserve">ar </w:t>
      </w:r>
      <w:r w:rsidRPr="00550D35">
        <w:rPr>
          <w:lang w:val="lv-LV" w:eastAsia="lv-LV"/>
        </w:rPr>
        <w:t xml:space="preserve">programmas </w:t>
      </w:r>
      <w:r w:rsidRPr="00A15677">
        <w:rPr>
          <w:lang w:val="lv-LV" w:eastAsia="lv-LV"/>
        </w:rPr>
        <w:t>"Atbalsts jaunu produktu un pakalpojumu ieviešanai komercdarbībā”</w:t>
      </w:r>
      <w:r w:rsidR="00755032" w:rsidRPr="00A15677">
        <w:rPr>
          <w:lang w:val="lv-LV" w:eastAsia="lv-LV"/>
        </w:rPr>
        <w:t xml:space="preserve"> </w:t>
      </w:r>
      <w:r w:rsidR="00755032" w:rsidRPr="0063021F">
        <w:rPr>
          <w:lang w:val="lv-LV" w:eastAsia="lv-LV"/>
        </w:rPr>
        <w:t>(ANM plāna investīcijas 2.</w:t>
      </w:r>
      <w:r w:rsidR="00B07D2C">
        <w:rPr>
          <w:lang w:val="lv-LV" w:eastAsia="lv-LV"/>
        </w:rPr>
        <w:t>2</w:t>
      </w:r>
      <w:r w:rsidR="00755032" w:rsidRPr="0063021F">
        <w:rPr>
          <w:lang w:val="lv-LV" w:eastAsia="lv-LV"/>
        </w:rPr>
        <w:t>.1.</w:t>
      </w:r>
      <w:r w:rsidR="00B07D2C">
        <w:rPr>
          <w:lang w:val="lv-LV" w:eastAsia="lv-LV"/>
        </w:rPr>
        <w:t>3</w:t>
      </w:r>
      <w:r w:rsidR="00755032" w:rsidRPr="0063021F">
        <w:rPr>
          <w:lang w:val="lv-LV" w:eastAsia="lv-LV"/>
        </w:rPr>
        <w:t>.i finansējum</w:t>
      </w:r>
      <w:r w:rsidR="00755032">
        <w:rPr>
          <w:lang w:val="lv-LV" w:eastAsia="lv-LV"/>
        </w:rPr>
        <w:t>s</w:t>
      </w:r>
      <w:r w:rsidR="00755032" w:rsidRPr="0063021F">
        <w:rPr>
          <w:lang w:val="lv-LV" w:eastAsia="lv-LV"/>
        </w:rPr>
        <w:t>)</w:t>
      </w:r>
      <w:r w:rsidRPr="00550D35">
        <w:rPr>
          <w:lang w:val="lv-LV" w:eastAsia="lv-LV"/>
        </w:rPr>
        <w:t xml:space="preserve"> </w:t>
      </w:r>
      <w:proofErr w:type="spellStart"/>
      <w:r w:rsidR="007560BD">
        <w:rPr>
          <w:lang w:val="lv-LV" w:eastAsia="lv-LV"/>
        </w:rPr>
        <w:t>grantu</w:t>
      </w:r>
      <w:proofErr w:type="spellEnd"/>
      <w:r w:rsidR="007560BD">
        <w:rPr>
          <w:lang w:val="lv-LV" w:eastAsia="lv-LV"/>
        </w:rPr>
        <w:t xml:space="preserve"> atbalstu </w:t>
      </w:r>
      <w:r w:rsidR="00A15677">
        <w:rPr>
          <w:lang w:val="lv-LV" w:eastAsia="lv-LV"/>
        </w:rPr>
        <w:t>tiks veicināta</w:t>
      </w:r>
      <w:r w:rsidRPr="00550D35">
        <w:rPr>
          <w:lang w:val="lv-LV" w:eastAsia="lv-LV"/>
        </w:rPr>
        <w:t xml:space="preserve"> jaunu digitālu produktu, tehnoloģiju un pakalpojumu izstrāde, piesaistot privāto līdzfinansējumu inovāciju ieviešanā.</w:t>
      </w:r>
    </w:p>
    <w:p w14:paraId="42A13F96" w14:textId="40445AA5" w:rsidR="00B12CF5" w:rsidRDefault="00B12CF5" w:rsidP="00B12CF5">
      <w:pPr>
        <w:rPr>
          <w:lang w:val="lv-LV" w:eastAsia="lv-LV"/>
        </w:rPr>
      </w:pPr>
      <w:r w:rsidRPr="00550D35">
        <w:rPr>
          <w:lang w:val="lv-LV" w:eastAsia="lv-LV"/>
        </w:rPr>
        <w:t>Uzņēmumu digitālās transformācijas sekmēšanai kopumā tiks ieviestas piecas jaunas ANM investīcijas</w:t>
      </w:r>
      <w:r w:rsidRPr="00550D35">
        <w:rPr>
          <w:rStyle w:val="FootnoteReference"/>
          <w:rFonts w:ascii="Cambria" w:hAnsi="Cambria"/>
          <w:lang w:val="lv-LV" w:eastAsia="lv-LV"/>
        </w:rPr>
        <w:footnoteReference w:id="60"/>
      </w:r>
      <w:r w:rsidRPr="00550D35">
        <w:rPr>
          <w:lang w:val="lv-LV" w:eastAsia="lv-LV"/>
        </w:rPr>
        <w:t xml:space="preserve">, no kurām trīs savu darbību turpinās </w:t>
      </w:r>
      <w:r w:rsidRPr="00550D35">
        <w:rPr>
          <w:i/>
          <w:iCs/>
          <w:lang w:val="lv-LV" w:eastAsia="lv-LV"/>
        </w:rPr>
        <w:t>ES Kohēzijas politikas programmas 2021.–2027. gadam</w:t>
      </w:r>
      <w:r w:rsidRPr="00550D35">
        <w:rPr>
          <w:lang w:val="lv-LV" w:eastAsia="lv-LV"/>
        </w:rPr>
        <w:t xml:space="preserve"> pasākumu ietvaros. Līdz ar to periodā līdz 2026. gada 30. jūnijam kopumā plānots sniegt atbalstu vismaz 7000 komersantiem un vismaz 3000 uzņēmumu darbiniekiem, komercdarbības digitālajā transformācijā, kā arī digitālo pakalpojumu un nepieciešamo spēju un prasmju attīstībā kopumā ieguldot 183,5 milj. </w:t>
      </w:r>
      <w:r w:rsidRPr="00550D35">
        <w:rPr>
          <w:i/>
          <w:iCs/>
          <w:lang w:val="lv-LV" w:eastAsia="lv-LV"/>
        </w:rPr>
        <w:t> </w:t>
      </w:r>
      <w:proofErr w:type="spellStart"/>
      <w:r w:rsidR="00221010" w:rsidRPr="00550D35">
        <w:rPr>
          <w:i/>
          <w:lang w:val="lv-LV" w:eastAsia="lv-LV"/>
        </w:rPr>
        <w:t>euro</w:t>
      </w:r>
      <w:proofErr w:type="spellEnd"/>
      <w:r w:rsidRPr="00550D35">
        <w:rPr>
          <w:lang w:val="lv-LV" w:eastAsia="lv-LV"/>
        </w:rPr>
        <w:t xml:space="preserve"> ANM </w:t>
      </w:r>
      <w:r w:rsidR="000F03AA">
        <w:rPr>
          <w:lang w:val="lv-LV" w:eastAsia="lv-LV"/>
        </w:rPr>
        <w:t xml:space="preserve">plāna </w:t>
      </w:r>
      <w:r w:rsidRPr="00550D35">
        <w:rPr>
          <w:lang w:val="lv-LV" w:eastAsia="lv-LV"/>
        </w:rPr>
        <w:t xml:space="preserve">un </w:t>
      </w:r>
      <w:r w:rsidRPr="00550D35">
        <w:rPr>
          <w:i/>
          <w:iCs/>
          <w:lang w:val="lv-LV" w:eastAsia="lv-LV"/>
        </w:rPr>
        <w:t>ES Kohēzijas politikas programmas 2021.–2027. gadam</w:t>
      </w:r>
      <w:r w:rsidRPr="00550D35">
        <w:rPr>
          <w:lang w:val="lv-LV" w:eastAsia="lv-LV"/>
        </w:rPr>
        <w:t xml:space="preserve"> investīcijas. Tāpat plānots veicināt mediju nozares uzņēmumu digitālo transformāciju, īstenojot Latvijas ANM plāna investīciju </w:t>
      </w:r>
      <w:r w:rsidR="000F03AA" w:rsidRPr="00550D35">
        <w:rPr>
          <w:lang w:val="lv-LV" w:eastAsia="lv-LV"/>
        </w:rPr>
        <w:t xml:space="preserve">2.2.1.5.i. </w:t>
      </w:r>
      <w:r w:rsidRPr="00550D35">
        <w:rPr>
          <w:i/>
          <w:iCs/>
          <w:lang w:val="lv-LV" w:eastAsia="lv-LV"/>
        </w:rPr>
        <w:t xml:space="preserve">“Mediju nozares uzņēmumu digitālās transformācijas veicināšana” </w:t>
      </w:r>
      <w:r w:rsidRPr="00550D35">
        <w:rPr>
          <w:lang w:val="lv-LV" w:eastAsia="lv-LV"/>
        </w:rPr>
        <w:t xml:space="preserve">ar plānoto finansējumu 5,7 milj. </w:t>
      </w:r>
      <w:r w:rsidRPr="00550D35">
        <w:rPr>
          <w:i/>
          <w:iCs/>
          <w:lang w:val="lv-LV" w:eastAsia="lv-LV"/>
        </w:rPr>
        <w:t> </w:t>
      </w:r>
      <w:proofErr w:type="spellStart"/>
      <w:r w:rsidR="00221010" w:rsidRPr="00550D35">
        <w:rPr>
          <w:i/>
          <w:lang w:val="lv-LV" w:eastAsia="lv-LV"/>
        </w:rPr>
        <w:t>euro</w:t>
      </w:r>
      <w:proofErr w:type="spellEnd"/>
      <w:r w:rsidRPr="00550D35">
        <w:rPr>
          <w:lang w:val="lv-LV" w:eastAsia="lv-LV"/>
        </w:rPr>
        <w:t>.</w:t>
      </w:r>
    </w:p>
    <w:p w14:paraId="79E6451C" w14:textId="2ECD5DD2" w:rsidR="00044666" w:rsidRDefault="00044666" w:rsidP="00044666">
      <w:pPr>
        <w:rPr>
          <w:lang w:val="lv-LV"/>
        </w:rPr>
      </w:pPr>
      <w:r w:rsidRPr="00550D35">
        <w:rPr>
          <w:lang w:val="lv-LV"/>
        </w:rPr>
        <w:t>2021.</w:t>
      </w:r>
      <w:r w:rsidRPr="00550D35">
        <w:rPr>
          <w:lang w:val="lv-LV" w:eastAsia="lv-LV"/>
        </w:rPr>
        <w:t> </w:t>
      </w:r>
      <w:r w:rsidRPr="00550D35">
        <w:rPr>
          <w:lang w:val="lv-LV"/>
        </w:rPr>
        <w:t>gadā uzsāktā Norvēģijas finanšu instrumenta 2014.–2021. gadam programma "</w:t>
      </w:r>
      <w:r w:rsidRPr="00550D35">
        <w:rPr>
          <w:i/>
          <w:lang w:val="lv-LV"/>
        </w:rPr>
        <w:t>Komercdarbības attīstība, inovācijas un mazie un vidējie uzņēmumi</w:t>
      </w:r>
      <w:r w:rsidRPr="00550D35">
        <w:rPr>
          <w:lang w:val="lv-LV"/>
        </w:rPr>
        <w:t xml:space="preserve">" (turpmāk – NFI programma) ar mērķi veicināt augstākas pievienotās vērtības produktu un pakalpojumu radīšanu trīs jomās: (1) "zaļās" inovācijas; (2) informācijas un komunikācijas tehnoloģijas; un (3) dzīves līmeni atbalstošas tehnoloģijas. NFI programmā kopā tika </w:t>
      </w:r>
      <w:r w:rsidRPr="00550D35">
        <w:rPr>
          <w:lang w:val="lv-LV"/>
        </w:rPr>
        <w:lastRenderedPageBreak/>
        <w:t>saņemti 116 pieteikumi un atbalstīta 44 projektu īstenošana. Saskaņā ar iesniegto projektu datiem, NFI programmā plānots sasniegt ikgadējo CO</w:t>
      </w:r>
      <w:r w:rsidRPr="00550D35">
        <w:rPr>
          <w:vertAlign w:val="subscript"/>
          <w:lang w:val="lv-LV"/>
        </w:rPr>
        <w:t>2</w:t>
      </w:r>
      <w:r w:rsidRPr="00550D35">
        <w:rPr>
          <w:lang w:val="lv-LV"/>
        </w:rPr>
        <w:t> emisiju samazinājumu 21 222,36 tonnas, kas ir apmēram desmit reizes vairāk kā bija plānots, un enerģijas patēriņa gada samazinājumu gadā plānots sasniegt 35 464,65 </w:t>
      </w:r>
      <w:proofErr w:type="spellStart"/>
      <w:r w:rsidRPr="00550D35">
        <w:rPr>
          <w:lang w:val="lv-LV"/>
        </w:rPr>
        <w:t>MWh</w:t>
      </w:r>
      <w:proofErr w:type="spellEnd"/>
      <w:r w:rsidRPr="00550D35">
        <w:rPr>
          <w:lang w:val="lv-LV"/>
        </w:rPr>
        <w:t xml:space="preserve"> apmērā.</w:t>
      </w:r>
    </w:p>
    <w:p w14:paraId="7EB64898" w14:textId="6390E751" w:rsidR="00AF50FE" w:rsidRPr="00550D35" w:rsidRDefault="00AF50FE" w:rsidP="00AF50FE">
      <w:pPr>
        <w:rPr>
          <w:lang w:val="lv-LV"/>
        </w:rPr>
      </w:pPr>
      <w:r>
        <w:rPr>
          <w:lang w:val="lv-LV"/>
        </w:rPr>
        <w:t xml:space="preserve">Latvijas sadarbība ar Eiropas Kosmosa aģentūru un ES Kosmosa programmas iespējas (gan </w:t>
      </w:r>
      <w:proofErr w:type="spellStart"/>
      <w:r>
        <w:rPr>
          <w:lang w:val="lv-LV"/>
        </w:rPr>
        <w:t>satelītdatu</w:t>
      </w:r>
      <w:proofErr w:type="spellEnd"/>
      <w:r>
        <w:rPr>
          <w:lang w:val="lv-LV"/>
        </w:rPr>
        <w:t xml:space="preserve">, gan atbalsta instrumentu pieejamības ziņā) sniedz atbalstu MVU </w:t>
      </w:r>
      <w:proofErr w:type="spellStart"/>
      <w:r>
        <w:rPr>
          <w:lang w:val="lv-LV"/>
        </w:rPr>
        <w:t>digitalizācijā</w:t>
      </w:r>
      <w:proofErr w:type="spellEnd"/>
      <w:r>
        <w:rPr>
          <w:lang w:val="lv-LV"/>
        </w:rPr>
        <w:t xml:space="preserve"> un veicina MVU starptautisko sadarbību.</w:t>
      </w:r>
    </w:p>
    <w:p w14:paraId="3F114199" w14:textId="2BD9C1C4" w:rsidR="00B12CF5" w:rsidRPr="00550D35" w:rsidRDefault="00B12CF5" w:rsidP="00B12CF5">
      <w:pPr>
        <w:rPr>
          <w:lang w:val="lv-LV"/>
        </w:rPr>
      </w:pPr>
      <w:r w:rsidRPr="00550D35">
        <w:rPr>
          <w:lang w:val="lv-LV"/>
        </w:rPr>
        <w:t>2022. gada 13. aprīlī tehnoloģiju uzņēmums “Google” uzsāka programmu “</w:t>
      </w:r>
      <w:r w:rsidRPr="00550D35">
        <w:rPr>
          <w:bCs/>
          <w:lang w:val="lv-LV"/>
        </w:rPr>
        <w:t>Izaug</w:t>
      </w:r>
      <w:r w:rsidR="00177838" w:rsidRPr="00550D35">
        <w:rPr>
          <w:bCs/>
          <w:lang w:val="lv-LV"/>
        </w:rPr>
        <w:t>s</w:t>
      </w:r>
      <w:r w:rsidRPr="00550D35">
        <w:rPr>
          <w:bCs/>
          <w:lang w:val="lv-LV"/>
        </w:rPr>
        <w:t>me</w:t>
      </w:r>
      <w:r w:rsidRPr="00550D35">
        <w:rPr>
          <w:lang w:val="lv-LV"/>
        </w:rPr>
        <w:t xml:space="preserve"> ar Google”, kuras mērķis ir veicināt Latvijas uzņēmumu digitālo attīstību. “Google” un EM parakstīja saprašanās memorandu par sadarbību uzņēmumu izaugsmes veicināšanā un to noturības stiprināšanā arvien mainīgajā pasaulē, uzsv</w:t>
      </w:r>
      <w:r w:rsidR="00990812" w:rsidRPr="00550D35">
        <w:rPr>
          <w:lang w:val="lv-LV"/>
        </w:rPr>
        <w:t>e</w:t>
      </w:r>
      <w:r w:rsidRPr="00550D35">
        <w:rPr>
          <w:lang w:val="lv-LV"/>
        </w:rPr>
        <w:t>rot izglītotu cilvēkresursu nozīmi ekonomikas transformācijā.</w:t>
      </w:r>
    </w:p>
    <w:p w14:paraId="140E57D6" w14:textId="3775B74F" w:rsidR="00B12CF5" w:rsidRPr="00550D35" w:rsidRDefault="00B12CF5" w:rsidP="00B12CF5">
      <w:pPr>
        <w:rPr>
          <w:lang w:val="lv-LV"/>
        </w:rPr>
      </w:pPr>
      <w:r w:rsidRPr="00550D35">
        <w:rPr>
          <w:lang w:val="lv-LV"/>
        </w:rPr>
        <w:t xml:space="preserve">Līdz 2023. gada beigām “Google” nodrošinās bezmaksas kursus, lai uzlabotu uzņēmumu zināšanas un prasmes tādās jomās kā e-komercija, eksports, digitālais mārketings, tehnoloģiju integrācija komercdarbībā, kā arī </w:t>
      </w:r>
      <w:proofErr w:type="spellStart"/>
      <w:r w:rsidRPr="00550D35">
        <w:rPr>
          <w:lang w:val="lv-LV"/>
        </w:rPr>
        <w:t>kiberdrošība</w:t>
      </w:r>
      <w:proofErr w:type="spellEnd"/>
      <w:r w:rsidRPr="00550D35">
        <w:rPr>
          <w:lang w:val="lv-LV"/>
        </w:rPr>
        <w:t xml:space="preserve">. Apmācības sniegs dalībniekiem zināšanas, kas nepieciešamas uzņēmuma izaugsmei, mācot izmantot digitālās platformas biznesa paplašināšanai, jaunu eksporta tirgu atrašanai un jaunu klientu sasniegšanai tiešsaistē. Apmācības būs piemērotas visiem </w:t>
      </w:r>
      <w:r w:rsidR="00990812" w:rsidRPr="00550D35">
        <w:rPr>
          <w:lang w:val="lv-LV"/>
        </w:rPr>
        <w:t>MVU</w:t>
      </w:r>
      <w:r w:rsidRPr="00550D35">
        <w:rPr>
          <w:lang w:val="lv-LV"/>
        </w:rPr>
        <w:t xml:space="preserve"> darbiniekiem, kuri vēlas pilnveidot savas digitālās prasmes.</w:t>
      </w:r>
    </w:p>
    <w:p w14:paraId="054C6AA3" w14:textId="77777777" w:rsidR="00B12CF5" w:rsidRDefault="00B12CF5" w:rsidP="00B12CF5">
      <w:pPr>
        <w:rPr>
          <w:lang w:val="lv-LV"/>
        </w:rPr>
      </w:pPr>
      <w:r w:rsidRPr="00550D35">
        <w:rPr>
          <w:lang w:val="lv-LV"/>
        </w:rPr>
        <w:t xml:space="preserve">2022. gadā “Google” apmācības uzsāka vairāk nekā 6000 dalībnieku, kas divreiz </w:t>
      </w:r>
      <w:r w:rsidRPr="00550D35">
        <w:rPr>
          <w:bCs/>
          <w:lang w:val="lv-LV"/>
        </w:rPr>
        <w:t>pārsniedza</w:t>
      </w:r>
      <w:r w:rsidRPr="00550D35">
        <w:rPr>
          <w:lang w:val="lv-LV"/>
        </w:rPr>
        <w:t xml:space="preserve"> sākotnēji izvirzīto mērķi. Dalībnieki augstu novērtēja sniegtās informācijas praktisko pusi un iespēju saņemt atsauksmes no jomas profesionāļiem.</w:t>
      </w:r>
    </w:p>
    <w:p w14:paraId="5D4CB9B8" w14:textId="2B5753A0" w:rsidR="00B12CF5" w:rsidRPr="00550D35" w:rsidRDefault="0050663B" w:rsidP="0050663B">
      <w:pPr>
        <w:rPr>
          <w:lang w:val="lv-LV"/>
        </w:rPr>
      </w:pPr>
      <w:r w:rsidRPr="00357761">
        <w:rPr>
          <w:lang w:val="lv-LV"/>
        </w:rPr>
        <w:t xml:space="preserve">Papildu jau identificētajiem pasākumiem, sadarbībā ar LIKTA tiks turpināts darbs pie digitālo risinājumu ieviešanai nepieciešamās normatīvās vides pilnveidošanas, īstenotas informēšanas, iedrošināšanas un motivēšanas aktivitātēm, kā arī īstenoti citi pasākumi, kas var sekmēt MVU, kuru digitālā intensitāte ir vismaz </w:t>
      </w:r>
      <w:proofErr w:type="spellStart"/>
      <w:r w:rsidRPr="00357761">
        <w:rPr>
          <w:lang w:val="lv-LV"/>
        </w:rPr>
        <w:t>pamatlīmenī</w:t>
      </w:r>
      <w:proofErr w:type="spellEnd"/>
      <w:r w:rsidRPr="00357761">
        <w:rPr>
          <w:lang w:val="lv-LV"/>
        </w:rPr>
        <w:t xml:space="preserve">, </w:t>
      </w:r>
      <w:r>
        <w:rPr>
          <w:lang w:val="lv-LV"/>
        </w:rPr>
        <w:t xml:space="preserve">skaita palielināšanos, </w:t>
      </w:r>
      <w:r w:rsidRPr="00357761">
        <w:rPr>
          <w:lang w:val="lv-LV"/>
        </w:rPr>
        <w:t xml:space="preserve">lai līdz 2030. gadam sasniegtu </w:t>
      </w:r>
      <w:r w:rsidR="001F6206">
        <w:rPr>
          <w:lang w:val="lv-LV"/>
        </w:rPr>
        <w:t>ES noteikto mērķa vērtību</w:t>
      </w:r>
      <w:r w:rsidRPr="00357761">
        <w:rPr>
          <w:lang w:val="lv-LV"/>
        </w:rPr>
        <w:t>.</w:t>
      </w:r>
    </w:p>
    <w:p w14:paraId="5712DE82" w14:textId="5A8ADDA4" w:rsidR="00AF68A9" w:rsidRPr="00550D35" w:rsidRDefault="00AF68A9" w:rsidP="00AF68A9">
      <w:pPr>
        <w:rPr>
          <w:lang w:val="lv-LV"/>
        </w:rPr>
      </w:pPr>
      <w:r w:rsidRPr="00550D35">
        <w:rPr>
          <w:lang w:val="lv-LV"/>
        </w:rPr>
        <w:t xml:space="preserve">Ir identificēti </w:t>
      </w:r>
      <w:r w:rsidR="00883380" w:rsidRPr="00550D35">
        <w:rPr>
          <w:lang w:val="lv-LV"/>
        </w:rPr>
        <w:t xml:space="preserve">šādi divi </w:t>
      </w:r>
      <w:r w:rsidRPr="00550D35">
        <w:rPr>
          <w:lang w:val="lv-LV"/>
        </w:rPr>
        <w:t>galvenie izaicinājumi:</w:t>
      </w:r>
    </w:p>
    <w:p w14:paraId="56A6B9DC" w14:textId="4E1B43B5" w:rsidR="00B047FD" w:rsidRPr="00550D35" w:rsidRDefault="00A40D50" w:rsidP="00E64D37">
      <w:pPr>
        <w:spacing w:after="140"/>
        <w:ind w:firstLine="567"/>
        <w:rPr>
          <w:lang w:val="lv-LV"/>
        </w:rPr>
      </w:pPr>
      <w:r w:rsidRPr="0028453D">
        <w:rPr>
          <w:b/>
          <w:bCs/>
          <w:lang w:val="lv-LV"/>
        </w:rPr>
        <w:t xml:space="preserve">Izaicinājums </w:t>
      </w:r>
      <w:r w:rsidR="007346DD">
        <w:rPr>
          <w:b/>
          <w:bCs/>
          <w:lang w:val="lv-LV"/>
        </w:rPr>
        <w:t>Nr.</w:t>
      </w:r>
      <w:r w:rsidRPr="0028453D">
        <w:rPr>
          <w:b/>
          <w:bCs/>
          <w:lang w:val="lv-LV"/>
        </w:rPr>
        <w:t>1</w:t>
      </w:r>
      <w:r w:rsidRPr="00550D35">
        <w:rPr>
          <w:lang w:val="lv-LV"/>
        </w:rPr>
        <w:t xml:space="preserve"> –</w:t>
      </w:r>
      <w:r w:rsidR="00883380" w:rsidRPr="00550D35">
        <w:rPr>
          <w:lang w:val="lv-LV"/>
        </w:rPr>
        <w:t xml:space="preserve"> </w:t>
      </w:r>
      <w:r w:rsidRPr="00550D35">
        <w:rPr>
          <w:lang w:val="lv-LV"/>
        </w:rPr>
        <w:t xml:space="preserve">Pieejamā finansējuma ierobežotais apmērs. Lai arī jau šobrīd pieejams ES finansējums digitālās attīstības veicināšanai komersantu saimnieciskajā darbībā, norādītās EM ANM plāna un ERAF ietvaros īstenojamās programmas, kas veicinās ES noteiktā </w:t>
      </w:r>
      <w:proofErr w:type="spellStart"/>
      <w:r w:rsidRPr="00550D35">
        <w:rPr>
          <w:lang w:val="lv-LV"/>
        </w:rPr>
        <w:t>mērķrādītāja</w:t>
      </w:r>
      <w:proofErr w:type="spellEnd"/>
      <w:r w:rsidRPr="00550D35">
        <w:rPr>
          <w:lang w:val="lv-LV"/>
        </w:rPr>
        <w:t xml:space="preserve"> līmeņa sasniegšanu, paredz atbalstu ne tikai </w:t>
      </w:r>
      <w:r w:rsidR="00946D94" w:rsidRPr="00550D35">
        <w:rPr>
          <w:lang w:val="lv-LV"/>
        </w:rPr>
        <w:t>digitālās intensitātes līmeņa mērīšanai noteikto digitālo tehnoloģiju izmantošanas veicināšanai</w:t>
      </w:r>
      <w:r w:rsidR="00E64D37" w:rsidRPr="00550D35">
        <w:rPr>
          <w:lang w:val="lv-LV"/>
        </w:rPr>
        <w:t xml:space="preserve">, </w:t>
      </w:r>
      <w:r w:rsidR="006C3B85" w:rsidRPr="00550D35">
        <w:rPr>
          <w:lang w:val="lv-LV"/>
        </w:rPr>
        <w:t>tas ir tikai kā viens no uzņēmuma kopējās saimnieciskās darbības digitālās transformācijas KPI.</w:t>
      </w:r>
    </w:p>
    <w:p w14:paraId="03DFCF4E" w14:textId="6C4972FD" w:rsidR="006C3B85" w:rsidRPr="00550D35" w:rsidRDefault="009C7F82" w:rsidP="00E64D37">
      <w:pPr>
        <w:spacing w:after="140"/>
        <w:ind w:firstLine="567"/>
        <w:rPr>
          <w:lang w:val="lv-LV"/>
        </w:rPr>
      </w:pPr>
      <w:r w:rsidRPr="00111220">
        <w:rPr>
          <w:lang w:val="lv-LV"/>
        </w:rPr>
        <w:t xml:space="preserve">Ar šobrīd identificētajām atbalsta programmām ir iespējams sasniegt </w:t>
      </w:r>
      <w:proofErr w:type="spellStart"/>
      <w:r w:rsidRPr="00111220">
        <w:rPr>
          <w:lang w:val="lv-LV"/>
        </w:rPr>
        <w:t>mērķrādītāju</w:t>
      </w:r>
      <w:proofErr w:type="spellEnd"/>
      <w:r w:rsidRPr="00111220">
        <w:rPr>
          <w:lang w:val="lv-LV"/>
        </w:rPr>
        <w:t xml:space="preserve"> tikai </w:t>
      </w:r>
      <w:r>
        <w:rPr>
          <w:lang w:val="lv-LV"/>
        </w:rPr>
        <w:t>59</w:t>
      </w:r>
      <w:r w:rsidRPr="00111220">
        <w:rPr>
          <w:lang w:val="lv-LV"/>
        </w:rPr>
        <w:t xml:space="preserve"> % apmērā. </w:t>
      </w:r>
      <w:r w:rsidR="00946D94" w:rsidRPr="00550D35">
        <w:rPr>
          <w:lang w:val="lv-LV"/>
        </w:rPr>
        <w:t xml:space="preserve">To izmantošana var būt tikai kā viens no uzņēmuma kopējās saimnieciskās darbības digitālās transformācijas KPI jeb sasniedzamajiem rādītājiem, tai skaitā ne visos gadījumos, jo, piemēram, 2.2.1.1.i. investīcijas “Atbalsts Digitālo inovāciju centru un reģionālo kontaktpunktu izveidei” ietvaros tiek identificētas komersanta individuālā digitālā brieduma līmenis un noteiktas nepieciešamās darbības, lai tas īstenotu digitālo </w:t>
      </w:r>
      <w:proofErr w:type="spellStart"/>
      <w:r w:rsidR="00946D94" w:rsidRPr="00550D35">
        <w:rPr>
          <w:lang w:val="lv-LV"/>
        </w:rPr>
        <w:t>tranformāciju</w:t>
      </w:r>
      <w:proofErr w:type="spellEnd"/>
      <w:r w:rsidR="00946D94" w:rsidRPr="00550D35">
        <w:rPr>
          <w:lang w:val="lv-LV"/>
        </w:rPr>
        <w:t>, kas var ietvert arī minētās digitālās tehnoloģijas, bet investīcijas ietvaros nav noteiktas kā prioritār</w:t>
      </w:r>
      <w:r w:rsidR="006C3B85" w:rsidRPr="00550D35">
        <w:rPr>
          <w:lang w:val="lv-LV"/>
        </w:rPr>
        <w:t>a</w:t>
      </w:r>
      <w:r w:rsidR="00946D94" w:rsidRPr="00550D35">
        <w:rPr>
          <w:lang w:val="lv-LV"/>
        </w:rPr>
        <w:t>s.</w:t>
      </w:r>
    </w:p>
    <w:p w14:paraId="565403F2" w14:textId="25C4B930" w:rsidR="00A40D50" w:rsidRPr="00550D35" w:rsidRDefault="00946D94" w:rsidP="00A85915">
      <w:pPr>
        <w:spacing w:after="140"/>
        <w:ind w:firstLine="567"/>
        <w:rPr>
          <w:lang w:val="lv-LV"/>
        </w:rPr>
      </w:pPr>
      <w:r w:rsidRPr="00550D35">
        <w:rPr>
          <w:lang w:val="lv-LV"/>
        </w:rPr>
        <w:t xml:space="preserve">Ņemot vērā pieejamā publiskā finansējuma ierobežoto apmēru attiecībā uz konkrēto </w:t>
      </w:r>
      <w:proofErr w:type="spellStart"/>
      <w:r w:rsidRPr="00550D35">
        <w:rPr>
          <w:lang w:val="lv-LV"/>
        </w:rPr>
        <w:t>mērķrādītāju</w:t>
      </w:r>
      <w:proofErr w:type="spellEnd"/>
      <w:r w:rsidRPr="00550D35">
        <w:rPr>
          <w:lang w:val="lv-LV"/>
        </w:rPr>
        <w:t xml:space="preserve"> secin</w:t>
      </w:r>
      <w:r w:rsidR="004F50B3" w:rsidRPr="00550D35">
        <w:rPr>
          <w:lang w:val="lv-LV"/>
        </w:rPr>
        <w:t>āms</w:t>
      </w:r>
      <w:r w:rsidRPr="00550D35">
        <w:rPr>
          <w:lang w:val="lv-LV"/>
        </w:rPr>
        <w:t xml:space="preserve">, ka, lai nacionāli līmenī no 52% šobrīd līdz 2030. gadam sasniegtu ES līmeņa mērķi 90 %, nepieciešams papildu finansējums (aptuveni 534 milj. </w:t>
      </w:r>
      <w:proofErr w:type="spellStart"/>
      <w:r w:rsidR="00221010" w:rsidRPr="00550D35">
        <w:rPr>
          <w:i/>
          <w:iCs/>
          <w:lang w:val="lv-LV"/>
        </w:rPr>
        <w:t>euro</w:t>
      </w:r>
      <w:proofErr w:type="spellEnd"/>
      <w:r w:rsidRPr="00550D35">
        <w:rPr>
          <w:lang w:val="lv-LV"/>
        </w:rPr>
        <w:t xml:space="preserve"> apmērā), </w:t>
      </w:r>
      <w:r w:rsidR="004F50B3" w:rsidRPr="00550D35">
        <w:rPr>
          <w:lang w:val="lv-LV"/>
        </w:rPr>
        <w:t>ES</w:t>
      </w:r>
      <w:r w:rsidRPr="00550D35">
        <w:rPr>
          <w:lang w:val="lv-LV"/>
        </w:rPr>
        <w:t xml:space="preserve"> un nacionālā līmenī ir jāizvērtē iespējas jaunu atbalsta instrumentu izveidei.</w:t>
      </w:r>
      <w:r w:rsidR="00A85915" w:rsidRPr="00550D35">
        <w:rPr>
          <w:lang w:val="lv-LV"/>
        </w:rPr>
        <w:t xml:space="preserve"> </w:t>
      </w:r>
      <w:r w:rsidR="00A40D50" w:rsidRPr="00550D35">
        <w:rPr>
          <w:lang w:val="lv-LV"/>
        </w:rPr>
        <w:t xml:space="preserve">Tāpat būtiski ir piesaistīt IZM, SM, VM, </w:t>
      </w:r>
      <w:proofErr w:type="spellStart"/>
      <w:r w:rsidR="00A40D50" w:rsidRPr="00550D35">
        <w:rPr>
          <w:lang w:val="lv-LV"/>
        </w:rPr>
        <w:t>AiM</w:t>
      </w:r>
      <w:proofErr w:type="spellEnd"/>
      <w:r w:rsidR="00A40D50" w:rsidRPr="00550D35">
        <w:rPr>
          <w:lang w:val="lv-LV"/>
        </w:rPr>
        <w:t xml:space="preserve"> un VARAM plānotās aktivitātes un sniegumu.</w:t>
      </w:r>
    </w:p>
    <w:p w14:paraId="59609986" w14:textId="318F151E" w:rsidR="00F72D9F" w:rsidRPr="00550D35" w:rsidRDefault="00A40D50" w:rsidP="00DF7F1D">
      <w:pPr>
        <w:rPr>
          <w:lang w:val="lv-LV"/>
        </w:rPr>
      </w:pPr>
      <w:r w:rsidRPr="0028453D">
        <w:rPr>
          <w:b/>
          <w:bCs/>
          <w:lang w:val="lv-LV"/>
        </w:rPr>
        <w:lastRenderedPageBreak/>
        <w:t>Izaicinājums</w:t>
      </w:r>
      <w:r w:rsidR="007346DD">
        <w:rPr>
          <w:b/>
          <w:bCs/>
          <w:lang w:val="lv-LV"/>
        </w:rPr>
        <w:t xml:space="preserve"> Nr.</w:t>
      </w:r>
      <w:r w:rsidRPr="0028453D">
        <w:rPr>
          <w:b/>
          <w:bCs/>
          <w:lang w:val="lv-LV"/>
        </w:rPr>
        <w:t>2</w:t>
      </w:r>
      <w:r w:rsidRPr="00550D35">
        <w:rPr>
          <w:lang w:val="lv-LV"/>
        </w:rPr>
        <w:t xml:space="preserve"> -  Statistikas datu ievākšanas metodoloģijas pārskatīšana. Nepieciešams ES un nacionālā līmenī vienoties par skaidri saprotamu un pēc līdzīgiem principiem veidotu statistikas datu apkopošanu, novēršot iespēju, ka datos tiek uzskaitītas dažādas mērķa grupas vai tiek iegūta nepilnīga informācija par patieso situāciju, tai skaitā motivējot mērķa grupu sniegt pilnu informāciju.</w:t>
      </w:r>
    </w:p>
    <w:p w14:paraId="72382EBE" w14:textId="41A04334" w:rsidR="00213AD3" w:rsidRPr="00550D35" w:rsidRDefault="00F02EAA" w:rsidP="00213AD3">
      <w:pPr>
        <w:pStyle w:val="Heading2"/>
        <w:rPr>
          <w:lang w:val="lv-LV"/>
        </w:rPr>
      </w:pPr>
      <w:r w:rsidRPr="00550D35">
        <w:rPr>
          <w:lang w:val="lv-LV"/>
        </w:rPr>
        <w:t xml:space="preserve">KPI “MVU, kuru digitālā intensitāte ir vismaz </w:t>
      </w:r>
      <w:proofErr w:type="spellStart"/>
      <w:r w:rsidRPr="00550D35">
        <w:rPr>
          <w:lang w:val="lv-LV"/>
        </w:rPr>
        <w:t>pamatlīmenī</w:t>
      </w:r>
      <w:proofErr w:type="spellEnd"/>
      <w:r w:rsidRPr="00550D35">
        <w:rPr>
          <w:vertAlign w:val="superscript"/>
          <w:lang w:val="lv-LV"/>
        </w:rPr>
        <w:t xml:space="preserve">” </w:t>
      </w:r>
      <w:r w:rsidRPr="00550D35">
        <w:rPr>
          <w:lang w:val="lv-LV"/>
        </w:rPr>
        <w:t>v</w:t>
      </w:r>
      <w:r w:rsidR="002864F1" w:rsidRPr="00550D35">
        <w:rPr>
          <w:lang w:val="lv-LV"/>
        </w:rPr>
        <w:t>alsts prognozētā trajektorija</w:t>
      </w:r>
      <w:r w:rsidR="00B4122B" w:rsidRPr="00550D35">
        <w:rPr>
          <w:lang w:val="lv-LV"/>
        </w:rPr>
        <w:t xml:space="preserve"> un </w:t>
      </w:r>
      <w:proofErr w:type="spellStart"/>
      <w:r w:rsidR="00B4122B" w:rsidRPr="00550D35">
        <w:rPr>
          <w:lang w:val="lv-LV"/>
        </w:rPr>
        <w:t>mērķrādītāj</w:t>
      </w:r>
      <w:r w:rsidRPr="00550D35">
        <w:rPr>
          <w:lang w:val="lv-LV"/>
        </w:rPr>
        <w:t>s</w:t>
      </w:r>
      <w:proofErr w:type="spellEnd"/>
      <w:r w:rsidR="00B4122B" w:rsidRPr="00550D35">
        <w:rPr>
          <w:lang w:val="lv-LV"/>
        </w:rPr>
        <w:t>, kas paredzēt</w:t>
      </w:r>
      <w:r w:rsidR="00F72D9F" w:rsidRPr="00550D35">
        <w:rPr>
          <w:lang w:val="lv-LV"/>
        </w:rPr>
        <w:t>s</w:t>
      </w:r>
      <w:r w:rsidR="00B4122B" w:rsidRPr="00550D35">
        <w:rPr>
          <w:lang w:val="lv-LV"/>
        </w:rPr>
        <w:t xml:space="preserve">, lai palīdzētu sasniegt ES digitālo </w:t>
      </w:r>
      <w:proofErr w:type="spellStart"/>
      <w:r w:rsidR="00B4122B" w:rsidRPr="00550D35">
        <w:rPr>
          <w:lang w:val="lv-LV"/>
        </w:rPr>
        <w:t>mērķrādītāju</w:t>
      </w:r>
      <w:bookmarkEnd w:id="35"/>
      <w:proofErr w:type="spellEnd"/>
    </w:p>
    <w:p w14:paraId="2A6F730E" w14:textId="2F1478F1" w:rsidR="00BA7CA0" w:rsidRPr="00550D35" w:rsidRDefault="00213AD3" w:rsidP="00B82489">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b/>
          <w:bCs/>
          <w:szCs w:val="24"/>
          <w:lang w:val="lv-LV"/>
        </w:rPr>
      </w:pPr>
      <w:r w:rsidRPr="00550D35">
        <w:rPr>
          <w:b/>
          <w:bCs/>
          <w:lang w:val="lv-LV"/>
        </w:rPr>
        <w:t>Na</w:t>
      </w:r>
      <w:r w:rsidRPr="00550D35">
        <w:rPr>
          <w:b/>
          <w:bCs/>
          <w:szCs w:val="24"/>
          <w:lang w:val="lv-LV"/>
        </w:rPr>
        <w:t>cionālā bāzes vērtība (2023)</w:t>
      </w:r>
      <w:r w:rsidR="00B7705A" w:rsidRPr="00550D35">
        <w:rPr>
          <w:b/>
          <w:bCs/>
          <w:szCs w:val="24"/>
          <w:lang w:val="lv-LV"/>
        </w:rPr>
        <w:t xml:space="preserve"> </w:t>
      </w:r>
      <w:r w:rsidRPr="00550D35">
        <w:rPr>
          <w:b/>
          <w:bCs/>
          <w:szCs w:val="24"/>
          <w:lang w:val="lv-LV"/>
        </w:rPr>
        <w:t xml:space="preserve"> </w:t>
      </w:r>
      <w:r w:rsidR="00AA3DBF" w:rsidRPr="00550D35">
        <w:rPr>
          <w:b/>
          <w:bCs/>
          <w:szCs w:val="24"/>
          <w:lang w:val="lv-LV"/>
        </w:rPr>
        <w:t xml:space="preserve">   </w:t>
      </w:r>
      <w:r w:rsidR="00F63929" w:rsidRPr="00550D35">
        <w:rPr>
          <w:b/>
          <w:bCs/>
          <w:szCs w:val="24"/>
          <w:lang w:val="lv-LV"/>
        </w:rPr>
        <w:t>52</w:t>
      </w:r>
      <w:r w:rsidRPr="00550D35">
        <w:rPr>
          <w:b/>
          <w:bCs/>
          <w:szCs w:val="24"/>
          <w:lang w:val="lv-LV"/>
        </w:rPr>
        <w:t xml:space="preserve"> %; ES bāzes vērtība (2023)</w:t>
      </w:r>
      <w:r w:rsidR="00B7705A" w:rsidRPr="00550D35">
        <w:rPr>
          <w:b/>
          <w:bCs/>
          <w:szCs w:val="24"/>
          <w:lang w:val="lv-LV"/>
        </w:rPr>
        <w:t xml:space="preserve"> </w:t>
      </w:r>
      <w:r w:rsidRPr="00550D35">
        <w:rPr>
          <w:b/>
          <w:bCs/>
          <w:szCs w:val="24"/>
          <w:lang w:val="lv-LV"/>
        </w:rPr>
        <w:t xml:space="preserve"> </w:t>
      </w:r>
      <w:r w:rsidR="00F63929" w:rsidRPr="00550D35">
        <w:rPr>
          <w:b/>
          <w:bCs/>
          <w:szCs w:val="24"/>
          <w:lang w:val="lv-LV"/>
        </w:rPr>
        <w:t>69</w:t>
      </w:r>
      <w:r w:rsidRPr="00550D35">
        <w:rPr>
          <w:b/>
          <w:bCs/>
          <w:szCs w:val="24"/>
          <w:lang w:val="lv-LV"/>
        </w:rPr>
        <w:t xml:space="preserve"> %</w:t>
      </w:r>
    </w:p>
    <w:p w14:paraId="6C2B0FA6" w14:textId="34EAF531" w:rsidR="00B82489" w:rsidRPr="00550D35" w:rsidRDefault="00BA7CA0" w:rsidP="00B82489">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b/>
          <w:bCs/>
          <w:szCs w:val="24"/>
          <w:lang w:val="lv-LV"/>
        </w:rPr>
      </w:pPr>
      <w:r w:rsidRPr="00550D35">
        <w:rPr>
          <w:b/>
          <w:bCs/>
          <w:szCs w:val="24"/>
          <w:lang w:val="lv-LV"/>
        </w:rPr>
        <w:t>Nacionāl</w:t>
      </w:r>
      <w:r w:rsidR="00F72D9F" w:rsidRPr="00550D35">
        <w:rPr>
          <w:b/>
          <w:bCs/>
          <w:szCs w:val="24"/>
          <w:lang w:val="lv-LV"/>
        </w:rPr>
        <w:t>ais</w:t>
      </w:r>
      <w:r w:rsidRPr="00550D35">
        <w:rPr>
          <w:b/>
          <w:bCs/>
          <w:szCs w:val="24"/>
          <w:lang w:val="lv-LV"/>
        </w:rPr>
        <w:t xml:space="preserve"> </w:t>
      </w:r>
      <w:proofErr w:type="spellStart"/>
      <w:r w:rsidRPr="00550D35">
        <w:rPr>
          <w:b/>
          <w:bCs/>
          <w:szCs w:val="24"/>
          <w:lang w:val="lv-LV"/>
        </w:rPr>
        <w:t>mērķ</w:t>
      </w:r>
      <w:r w:rsidR="00F72D9F" w:rsidRPr="00550D35">
        <w:rPr>
          <w:b/>
          <w:bCs/>
          <w:szCs w:val="24"/>
          <w:lang w:val="lv-LV"/>
        </w:rPr>
        <w:t>rādītājs</w:t>
      </w:r>
      <w:proofErr w:type="spellEnd"/>
      <w:r w:rsidRPr="00550D35">
        <w:rPr>
          <w:b/>
          <w:bCs/>
          <w:szCs w:val="24"/>
          <w:lang w:val="lv-LV"/>
        </w:rPr>
        <w:t xml:space="preserve"> </w:t>
      </w:r>
      <w:r w:rsidR="00F72D9F" w:rsidRPr="00550D35">
        <w:rPr>
          <w:b/>
          <w:bCs/>
          <w:szCs w:val="24"/>
          <w:lang w:val="lv-LV"/>
        </w:rPr>
        <w:t>(</w:t>
      </w:r>
      <w:r w:rsidRPr="00550D35">
        <w:rPr>
          <w:b/>
          <w:bCs/>
          <w:szCs w:val="24"/>
          <w:lang w:val="lv-LV"/>
        </w:rPr>
        <w:t>2030</w:t>
      </w:r>
      <w:r w:rsidR="00F72D9F" w:rsidRPr="00550D35">
        <w:rPr>
          <w:b/>
          <w:bCs/>
          <w:szCs w:val="24"/>
          <w:lang w:val="lv-LV"/>
        </w:rPr>
        <w:t>)</w:t>
      </w:r>
      <w:r w:rsidR="00B7705A" w:rsidRPr="00550D35">
        <w:rPr>
          <w:b/>
          <w:bCs/>
          <w:szCs w:val="24"/>
          <w:lang w:val="lv-LV"/>
        </w:rPr>
        <w:t xml:space="preserve">  </w:t>
      </w:r>
      <w:r w:rsidR="00300BB7">
        <w:rPr>
          <w:b/>
          <w:bCs/>
          <w:szCs w:val="24"/>
          <w:lang w:val="lv-LV"/>
        </w:rPr>
        <w:t xml:space="preserve"> </w:t>
      </w:r>
      <w:r w:rsidR="00AD0D1A" w:rsidRPr="00550D35">
        <w:rPr>
          <w:b/>
          <w:bCs/>
          <w:szCs w:val="24"/>
          <w:lang w:val="lv-LV"/>
        </w:rPr>
        <w:t>9</w:t>
      </w:r>
      <w:r w:rsidR="00300BB7">
        <w:rPr>
          <w:b/>
          <w:bCs/>
          <w:szCs w:val="24"/>
          <w:lang w:val="lv-LV"/>
        </w:rPr>
        <w:t>0</w:t>
      </w:r>
      <w:r w:rsidR="00E61E6A" w:rsidRPr="00550D35">
        <w:rPr>
          <w:b/>
          <w:bCs/>
          <w:szCs w:val="24"/>
          <w:lang w:val="lv-LV"/>
        </w:rPr>
        <w:t> </w:t>
      </w:r>
      <w:r w:rsidR="00AD0D1A" w:rsidRPr="00550D35">
        <w:rPr>
          <w:b/>
          <w:bCs/>
          <w:szCs w:val="24"/>
          <w:lang w:val="lv-LV"/>
        </w:rPr>
        <w:t>%</w:t>
      </w:r>
      <w:r w:rsidR="00356909" w:rsidRPr="00550D35">
        <w:rPr>
          <w:b/>
          <w:bCs/>
          <w:szCs w:val="24"/>
          <w:lang w:val="lv-LV"/>
        </w:rPr>
        <w:t>; ES mērķis (2030)</w:t>
      </w:r>
      <w:r w:rsidR="00B7705A" w:rsidRPr="00550D35">
        <w:rPr>
          <w:b/>
          <w:bCs/>
          <w:szCs w:val="24"/>
          <w:lang w:val="lv-LV"/>
        </w:rPr>
        <w:t xml:space="preserve">  </w:t>
      </w:r>
      <w:r w:rsidR="00356909" w:rsidRPr="00550D35">
        <w:rPr>
          <w:b/>
          <w:bCs/>
          <w:szCs w:val="24"/>
          <w:lang w:val="lv-LV"/>
        </w:rPr>
        <w:t xml:space="preserve"> </w:t>
      </w:r>
      <w:r w:rsidR="00746243" w:rsidRPr="00550D35">
        <w:rPr>
          <w:b/>
          <w:bCs/>
          <w:szCs w:val="24"/>
          <w:lang w:val="lv-LV"/>
        </w:rPr>
        <w:t xml:space="preserve">  </w:t>
      </w:r>
      <w:r w:rsidR="00AA3DBF" w:rsidRPr="00550D35">
        <w:rPr>
          <w:b/>
          <w:bCs/>
          <w:szCs w:val="24"/>
          <w:lang w:val="lv-LV"/>
        </w:rPr>
        <w:t xml:space="preserve">    </w:t>
      </w:r>
      <w:r w:rsidR="00300BB7">
        <w:rPr>
          <w:b/>
          <w:bCs/>
          <w:szCs w:val="24"/>
          <w:lang w:val="lv-LV"/>
        </w:rPr>
        <w:t xml:space="preserve">   </w:t>
      </w:r>
      <w:r w:rsidR="00356909" w:rsidRPr="00550D35">
        <w:rPr>
          <w:b/>
          <w:bCs/>
          <w:szCs w:val="24"/>
          <w:lang w:val="lv-LV"/>
        </w:rPr>
        <w:t>90%</w:t>
      </w:r>
    </w:p>
    <w:p w14:paraId="6B283D35" w14:textId="5411F516" w:rsidR="00B82489" w:rsidRPr="00550D35" w:rsidRDefault="00B82489" w:rsidP="00B82489">
      <w:pPr>
        <w:pBdr>
          <w:top w:val="single" w:sz="4" w:space="1" w:color="auto"/>
          <w:left w:val="single" w:sz="4" w:space="4" w:color="auto"/>
          <w:bottom w:val="single" w:sz="4" w:space="1" w:color="auto"/>
          <w:right w:val="single" w:sz="4" w:space="4" w:color="auto"/>
        </w:pBdr>
        <w:spacing w:before="0" w:after="160" w:line="259" w:lineRule="auto"/>
        <w:ind w:left="720" w:firstLine="0"/>
        <w:contextualSpacing/>
        <w:jc w:val="left"/>
        <w:rPr>
          <w:i/>
          <w:iCs/>
          <w:szCs w:val="24"/>
          <w:lang w:val="lv-LV"/>
        </w:rPr>
      </w:pPr>
      <w:r w:rsidRPr="00550D35">
        <w:rPr>
          <w:i/>
          <w:iCs/>
          <w:szCs w:val="24"/>
          <w:lang w:val="lv-LV"/>
        </w:rPr>
        <w:t>Avots: Digitālās dekādes 2023.gada ziņojums par Latviju</w:t>
      </w:r>
    </w:p>
    <w:p w14:paraId="119FE949" w14:textId="77777777" w:rsidR="00B82489" w:rsidRPr="00550D35" w:rsidRDefault="00B82489" w:rsidP="00B82489">
      <w:pPr>
        <w:spacing w:before="0" w:after="160" w:line="259" w:lineRule="auto"/>
        <w:ind w:left="720" w:firstLine="0"/>
        <w:contextualSpacing/>
        <w:jc w:val="left"/>
        <w:rPr>
          <w:lang w:val="lv-LV"/>
        </w:rPr>
      </w:pPr>
    </w:p>
    <w:p w14:paraId="45F2B450" w14:textId="1E30CA68" w:rsidR="009E7555" w:rsidRPr="00550D35" w:rsidRDefault="00B82489" w:rsidP="00B82489">
      <w:pPr>
        <w:rPr>
          <w:lang w:val="lv-LV"/>
        </w:rPr>
      </w:pPr>
      <w:r w:rsidRPr="00550D35">
        <w:rPr>
          <w:lang w:val="lv-LV"/>
        </w:rPr>
        <w:t>L</w:t>
      </w:r>
      <w:r w:rsidR="009E7555" w:rsidRPr="00550D35">
        <w:rPr>
          <w:lang w:val="lv-LV"/>
        </w:rPr>
        <w:t xml:space="preserve">atvijas prognozētais mērķis Digitālajā dekādē attiecībā uz KPI “MVU, kuru digitālā intensitāte ir vismaz </w:t>
      </w:r>
      <w:proofErr w:type="spellStart"/>
      <w:r w:rsidR="009E7555" w:rsidRPr="00550D35">
        <w:rPr>
          <w:lang w:val="lv-LV"/>
        </w:rPr>
        <w:t>pamatlīmenī</w:t>
      </w:r>
      <w:proofErr w:type="spellEnd"/>
      <w:r w:rsidR="009E7555" w:rsidRPr="00550D35">
        <w:rPr>
          <w:vertAlign w:val="superscript"/>
          <w:lang w:val="lv-LV"/>
        </w:rPr>
        <w:t>”</w:t>
      </w:r>
      <w:r w:rsidR="009E7555" w:rsidRPr="00550D35">
        <w:rPr>
          <w:lang w:val="lv-LV"/>
        </w:rPr>
        <w:t xml:space="preserve"> nesasniedz ES mērķi šajā KPI. </w:t>
      </w:r>
      <w:r w:rsidR="00AC4A6F" w:rsidRPr="00550D35">
        <w:rPr>
          <w:lang w:val="lv-LV"/>
        </w:rPr>
        <w:t xml:space="preserve">Paredzams, ka </w:t>
      </w:r>
      <w:r w:rsidR="00C25B13" w:rsidRPr="00550D35">
        <w:rPr>
          <w:lang w:val="lv-LV"/>
        </w:rPr>
        <w:t>veicot atbalsta pasākumus Latvijā,</w:t>
      </w:r>
      <w:r w:rsidR="009E7555" w:rsidRPr="00550D35">
        <w:rPr>
          <w:szCs w:val="24"/>
          <w:lang w:val="lv-LV"/>
        </w:rPr>
        <w:t xml:space="preserve"> uzņēmumu īpatsvars ar vismaz pamata digitālās intensitātes līmeni.</w:t>
      </w:r>
      <w:r w:rsidR="00C25B13" w:rsidRPr="00550D35">
        <w:rPr>
          <w:szCs w:val="24"/>
          <w:lang w:val="lv-LV"/>
        </w:rPr>
        <w:t xml:space="preserve"> līdz 2030. gadam tiks paaugstināts līdz 59%.</w:t>
      </w:r>
    </w:p>
    <w:p w14:paraId="0AFC36C9" w14:textId="77777777" w:rsidR="009E7555" w:rsidRPr="00550D35" w:rsidRDefault="009E7555" w:rsidP="009E7555">
      <w:pPr>
        <w:rPr>
          <w:lang w:val="lv-LV"/>
        </w:rPr>
      </w:pPr>
      <w:r w:rsidRPr="00550D35">
        <w:rPr>
          <w:lang w:val="lv-LV"/>
        </w:rPr>
        <w:t>Informācija par Latvijas prognozēto nacionālo trajektoriju 2023.- 2030.gadam tiks precizēta ceļveža pārskatīšanas gaitā.</w:t>
      </w:r>
    </w:p>
    <w:tbl>
      <w:tblPr>
        <w:tblStyle w:val="TableGrid"/>
        <w:tblW w:w="0" w:type="auto"/>
        <w:tblInd w:w="-34" w:type="dxa"/>
        <w:tblLook w:val="04A0" w:firstRow="1" w:lastRow="0" w:firstColumn="1" w:lastColumn="0" w:noHBand="0" w:noVBand="1"/>
      </w:tblPr>
      <w:tblGrid>
        <w:gridCol w:w="1972"/>
        <w:gridCol w:w="784"/>
        <w:gridCol w:w="799"/>
        <w:gridCol w:w="799"/>
        <w:gridCol w:w="784"/>
        <w:gridCol w:w="799"/>
        <w:gridCol w:w="895"/>
        <w:gridCol w:w="1809"/>
      </w:tblGrid>
      <w:tr w:rsidR="007F1517" w:rsidRPr="00550D35" w14:paraId="506A8E96" w14:textId="77777777">
        <w:tc>
          <w:tcPr>
            <w:tcW w:w="1972" w:type="dxa"/>
          </w:tcPr>
          <w:p w14:paraId="7FEB4832" w14:textId="77777777" w:rsidR="007F1517" w:rsidRPr="00550D35" w:rsidRDefault="007F1517" w:rsidP="00393CD7">
            <w:pPr>
              <w:pStyle w:val="Text2"/>
              <w:ind w:left="0" w:firstLine="0"/>
              <w:rPr>
                <w:sz w:val="20"/>
                <w:lang w:val="lv-LV"/>
              </w:rPr>
            </w:pPr>
            <w:r w:rsidRPr="00550D35">
              <w:rPr>
                <w:sz w:val="20"/>
                <w:lang w:val="lv-LV"/>
              </w:rPr>
              <w:t>2023</w:t>
            </w:r>
          </w:p>
        </w:tc>
        <w:tc>
          <w:tcPr>
            <w:tcW w:w="784" w:type="dxa"/>
          </w:tcPr>
          <w:p w14:paraId="003DB582" w14:textId="77777777" w:rsidR="007F1517" w:rsidRPr="00550D35" w:rsidRDefault="007F1517" w:rsidP="00393CD7">
            <w:pPr>
              <w:pStyle w:val="Text2"/>
              <w:ind w:left="0" w:firstLine="0"/>
              <w:rPr>
                <w:sz w:val="20"/>
                <w:lang w:val="lv-LV"/>
              </w:rPr>
            </w:pPr>
            <w:r w:rsidRPr="00550D35">
              <w:rPr>
                <w:sz w:val="20"/>
                <w:lang w:val="lv-LV"/>
              </w:rPr>
              <w:t>2024</w:t>
            </w:r>
          </w:p>
        </w:tc>
        <w:tc>
          <w:tcPr>
            <w:tcW w:w="799" w:type="dxa"/>
          </w:tcPr>
          <w:p w14:paraId="5A68DBC5" w14:textId="77777777" w:rsidR="007F1517" w:rsidRPr="00550D35" w:rsidRDefault="007F1517" w:rsidP="00393CD7">
            <w:pPr>
              <w:pStyle w:val="Text2"/>
              <w:ind w:left="0" w:firstLine="0"/>
              <w:rPr>
                <w:sz w:val="20"/>
                <w:lang w:val="lv-LV"/>
              </w:rPr>
            </w:pPr>
            <w:r w:rsidRPr="00550D35">
              <w:rPr>
                <w:sz w:val="20"/>
                <w:lang w:val="lv-LV"/>
              </w:rPr>
              <w:t>2025</w:t>
            </w:r>
          </w:p>
        </w:tc>
        <w:tc>
          <w:tcPr>
            <w:tcW w:w="799" w:type="dxa"/>
          </w:tcPr>
          <w:p w14:paraId="03C40078" w14:textId="77777777" w:rsidR="007F1517" w:rsidRPr="00550D35" w:rsidRDefault="007F1517" w:rsidP="00393CD7">
            <w:pPr>
              <w:pStyle w:val="Text2"/>
              <w:ind w:left="0" w:firstLine="0"/>
              <w:rPr>
                <w:sz w:val="20"/>
                <w:lang w:val="lv-LV"/>
              </w:rPr>
            </w:pPr>
            <w:r w:rsidRPr="00550D35">
              <w:rPr>
                <w:sz w:val="20"/>
                <w:lang w:val="lv-LV"/>
              </w:rPr>
              <w:t>2026</w:t>
            </w:r>
          </w:p>
        </w:tc>
        <w:tc>
          <w:tcPr>
            <w:tcW w:w="784" w:type="dxa"/>
          </w:tcPr>
          <w:p w14:paraId="1152ACAD" w14:textId="77777777" w:rsidR="007F1517" w:rsidRPr="00550D35" w:rsidRDefault="007F1517" w:rsidP="00393CD7">
            <w:pPr>
              <w:pStyle w:val="Text2"/>
              <w:ind w:left="0" w:firstLine="0"/>
              <w:rPr>
                <w:sz w:val="20"/>
                <w:lang w:val="lv-LV"/>
              </w:rPr>
            </w:pPr>
            <w:r w:rsidRPr="00550D35">
              <w:rPr>
                <w:sz w:val="20"/>
                <w:lang w:val="lv-LV"/>
              </w:rPr>
              <w:t>2027</w:t>
            </w:r>
          </w:p>
        </w:tc>
        <w:tc>
          <w:tcPr>
            <w:tcW w:w="799" w:type="dxa"/>
          </w:tcPr>
          <w:p w14:paraId="2BB71B5A" w14:textId="77777777" w:rsidR="007F1517" w:rsidRPr="00550D35" w:rsidRDefault="007F1517" w:rsidP="00393CD7">
            <w:pPr>
              <w:pStyle w:val="Text2"/>
              <w:ind w:left="0" w:firstLine="0"/>
              <w:rPr>
                <w:sz w:val="20"/>
                <w:lang w:val="lv-LV"/>
              </w:rPr>
            </w:pPr>
            <w:r w:rsidRPr="00550D35">
              <w:rPr>
                <w:sz w:val="20"/>
                <w:lang w:val="lv-LV"/>
              </w:rPr>
              <w:t>2028</w:t>
            </w:r>
          </w:p>
        </w:tc>
        <w:tc>
          <w:tcPr>
            <w:tcW w:w="895" w:type="dxa"/>
          </w:tcPr>
          <w:p w14:paraId="2AA10F82" w14:textId="77777777" w:rsidR="007F1517" w:rsidRPr="00550D35" w:rsidRDefault="007F1517" w:rsidP="00393CD7">
            <w:pPr>
              <w:pStyle w:val="Text2"/>
              <w:ind w:left="0" w:firstLine="0"/>
              <w:rPr>
                <w:sz w:val="20"/>
                <w:lang w:val="lv-LV"/>
              </w:rPr>
            </w:pPr>
            <w:r w:rsidRPr="00550D35">
              <w:rPr>
                <w:sz w:val="20"/>
                <w:lang w:val="lv-LV"/>
              </w:rPr>
              <w:t>2029</w:t>
            </w:r>
          </w:p>
        </w:tc>
        <w:tc>
          <w:tcPr>
            <w:tcW w:w="1809" w:type="dxa"/>
          </w:tcPr>
          <w:p w14:paraId="7FDCB076" w14:textId="77777777" w:rsidR="007F1517" w:rsidRPr="00550D35" w:rsidRDefault="007F1517" w:rsidP="00393CD7">
            <w:pPr>
              <w:pStyle w:val="Text2"/>
              <w:ind w:left="0" w:firstLine="0"/>
              <w:rPr>
                <w:sz w:val="20"/>
                <w:lang w:val="lv-LV"/>
              </w:rPr>
            </w:pPr>
            <w:r w:rsidRPr="00550D35">
              <w:rPr>
                <w:sz w:val="20"/>
                <w:lang w:val="lv-LV"/>
              </w:rPr>
              <w:t>2030</w:t>
            </w:r>
          </w:p>
        </w:tc>
      </w:tr>
      <w:tr w:rsidR="009525F1" w:rsidRPr="00550D35" w14:paraId="75C62093" w14:textId="77777777" w:rsidTr="0045534B">
        <w:tc>
          <w:tcPr>
            <w:tcW w:w="1972" w:type="dxa"/>
            <w:shd w:val="clear" w:color="auto" w:fill="FFFFFF" w:themeFill="background1"/>
          </w:tcPr>
          <w:p w14:paraId="22ECE3BD" w14:textId="77777777" w:rsidR="009525F1" w:rsidRPr="00550D35" w:rsidRDefault="009525F1" w:rsidP="009525F1">
            <w:pPr>
              <w:pStyle w:val="Text2"/>
              <w:ind w:left="0" w:firstLine="0"/>
              <w:rPr>
                <w:sz w:val="20"/>
                <w:lang w:val="lv-LV"/>
              </w:rPr>
            </w:pPr>
            <w:r w:rsidRPr="00550D35">
              <w:rPr>
                <w:sz w:val="20"/>
                <w:lang w:val="lv-LV"/>
              </w:rPr>
              <w:t>52%</w:t>
            </w:r>
          </w:p>
        </w:tc>
        <w:tc>
          <w:tcPr>
            <w:tcW w:w="784" w:type="dxa"/>
            <w:shd w:val="clear" w:color="auto" w:fill="FFFFFF" w:themeFill="background1"/>
          </w:tcPr>
          <w:p w14:paraId="74E99BEE" w14:textId="03C6E182" w:rsidR="009525F1" w:rsidRPr="00550D35" w:rsidRDefault="009525F1" w:rsidP="009525F1">
            <w:pPr>
              <w:pStyle w:val="Text2"/>
              <w:ind w:left="0" w:firstLine="0"/>
              <w:rPr>
                <w:sz w:val="20"/>
                <w:lang w:val="lv-LV"/>
              </w:rPr>
            </w:pPr>
            <w:r w:rsidRPr="00550D35">
              <w:rPr>
                <w:sz w:val="20"/>
                <w:lang w:val="lv-LV"/>
              </w:rPr>
              <w:t>5</w:t>
            </w:r>
            <w:r>
              <w:rPr>
                <w:sz w:val="20"/>
                <w:lang w:val="lv-LV"/>
              </w:rPr>
              <w:t>7,5</w:t>
            </w:r>
            <w:r w:rsidRPr="00550D35">
              <w:rPr>
                <w:sz w:val="20"/>
                <w:lang w:val="lv-LV"/>
              </w:rPr>
              <w:t>%</w:t>
            </w:r>
          </w:p>
        </w:tc>
        <w:tc>
          <w:tcPr>
            <w:tcW w:w="799" w:type="dxa"/>
            <w:shd w:val="clear" w:color="auto" w:fill="FFFFFF" w:themeFill="background1"/>
          </w:tcPr>
          <w:p w14:paraId="410FE43C" w14:textId="7FC5F883" w:rsidR="009525F1" w:rsidRPr="00550D35" w:rsidRDefault="009525F1" w:rsidP="009525F1">
            <w:pPr>
              <w:pStyle w:val="Text2"/>
              <w:ind w:left="0" w:firstLine="0"/>
              <w:rPr>
                <w:sz w:val="20"/>
                <w:lang w:val="lv-LV"/>
              </w:rPr>
            </w:pPr>
            <w:r>
              <w:rPr>
                <w:sz w:val="20"/>
                <w:lang w:val="lv-LV"/>
              </w:rPr>
              <w:t>63,0</w:t>
            </w:r>
            <w:r w:rsidRPr="00550D35">
              <w:rPr>
                <w:sz w:val="20"/>
                <w:lang w:val="lv-LV"/>
              </w:rPr>
              <w:t>%</w:t>
            </w:r>
          </w:p>
        </w:tc>
        <w:tc>
          <w:tcPr>
            <w:tcW w:w="799" w:type="dxa"/>
            <w:shd w:val="clear" w:color="auto" w:fill="FFFFFF" w:themeFill="background1"/>
          </w:tcPr>
          <w:p w14:paraId="19B3A57F" w14:textId="68DBB3F2" w:rsidR="009525F1" w:rsidRPr="00550D35" w:rsidRDefault="009525F1" w:rsidP="009525F1">
            <w:pPr>
              <w:pStyle w:val="Text2"/>
              <w:ind w:left="0" w:firstLine="0"/>
              <w:rPr>
                <w:sz w:val="20"/>
                <w:lang w:val="lv-LV"/>
              </w:rPr>
            </w:pPr>
            <w:r>
              <w:rPr>
                <w:sz w:val="20"/>
                <w:lang w:val="lv-LV"/>
              </w:rPr>
              <w:t>68,0</w:t>
            </w:r>
            <w:r w:rsidRPr="00550D35">
              <w:rPr>
                <w:sz w:val="20"/>
                <w:lang w:val="lv-LV"/>
              </w:rPr>
              <w:t>%</w:t>
            </w:r>
          </w:p>
        </w:tc>
        <w:tc>
          <w:tcPr>
            <w:tcW w:w="784" w:type="dxa"/>
            <w:shd w:val="clear" w:color="auto" w:fill="FFFFFF" w:themeFill="background1"/>
          </w:tcPr>
          <w:p w14:paraId="1BE0A87E" w14:textId="4F933C94" w:rsidR="009525F1" w:rsidRPr="00550D35" w:rsidRDefault="009525F1" w:rsidP="009525F1">
            <w:pPr>
              <w:pStyle w:val="Text2"/>
              <w:ind w:left="0" w:firstLine="0"/>
              <w:rPr>
                <w:sz w:val="20"/>
                <w:lang w:val="lv-LV"/>
              </w:rPr>
            </w:pPr>
            <w:r>
              <w:rPr>
                <w:sz w:val="20"/>
                <w:lang w:val="lv-LV"/>
              </w:rPr>
              <w:t>73,5</w:t>
            </w:r>
            <w:r w:rsidRPr="00550D35">
              <w:rPr>
                <w:sz w:val="20"/>
                <w:lang w:val="lv-LV"/>
              </w:rPr>
              <w:t>%</w:t>
            </w:r>
          </w:p>
        </w:tc>
        <w:tc>
          <w:tcPr>
            <w:tcW w:w="799" w:type="dxa"/>
            <w:shd w:val="clear" w:color="auto" w:fill="FFFFFF" w:themeFill="background1"/>
          </w:tcPr>
          <w:p w14:paraId="14ACBBD3" w14:textId="5E87E8A8" w:rsidR="009525F1" w:rsidRPr="00550D35" w:rsidRDefault="009525F1" w:rsidP="009525F1">
            <w:pPr>
              <w:pStyle w:val="Text2"/>
              <w:ind w:left="0" w:firstLine="0"/>
              <w:rPr>
                <w:sz w:val="20"/>
                <w:lang w:val="lv-LV"/>
              </w:rPr>
            </w:pPr>
            <w:r>
              <w:rPr>
                <w:sz w:val="20"/>
                <w:lang w:val="lv-LV"/>
              </w:rPr>
              <w:t>79,0</w:t>
            </w:r>
            <w:r w:rsidRPr="00550D35">
              <w:rPr>
                <w:sz w:val="20"/>
                <w:lang w:val="lv-LV"/>
              </w:rPr>
              <w:t>%</w:t>
            </w:r>
          </w:p>
        </w:tc>
        <w:tc>
          <w:tcPr>
            <w:tcW w:w="895" w:type="dxa"/>
            <w:shd w:val="clear" w:color="auto" w:fill="FFFFFF" w:themeFill="background1"/>
          </w:tcPr>
          <w:p w14:paraId="41AE3D28" w14:textId="1EF56EA4" w:rsidR="009525F1" w:rsidRPr="00550D35" w:rsidRDefault="009525F1" w:rsidP="009525F1">
            <w:pPr>
              <w:pStyle w:val="Text2"/>
              <w:ind w:left="0" w:firstLine="0"/>
              <w:rPr>
                <w:sz w:val="20"/>
                <w:lang w:val="lv-LV"/>
              </w:rPr>
            </w:pPr>
            <w:r>
              <w:rPr>
                <w:sz w:val="20"/>
                <w:lang w:val="lv-LV"/>
              </w:rPr>
              <w:t>84,5</w:t>
            </w:r>
            <w:r w:rsidRPr="00550D35">
              <w:rPr>
                <w:sz w:val="20"/>
                <w:lang w:val="lv-LV"/>
              </w:rPr>
              <w:t>%</w:t>
            </w:r>
          </w:p>
        </w:tc>
        <w:tc>
          <w:tcPr>
            <w:tcW w:w="1809" w:type="dxa"/>
            <w:shd w:val="clear" w:color="auto" w:fill="FFFFFF" w:themeFill="background1"/>
          </w:tcPr>
          <w:p w14:paraId="546D0783" w14:textId="50528DC9" w:rsidR="009525F1" w:rsidRPr="00550D35" w:rsidRDefault="009525F1" w:rsidP="009525F1">
            <w:pPr>
              <w:pStyle w:val="Text2"/>
              <w:ind w:left="0" w:firstLine="0"/>
              <w:rPr>
                <w:sz w:val="20"/>
                <w:lang w:val="lv-LV"/>
              </w:rPr>
            </w:pPr>
            <w:r>
              <w:rPr>
                <w:sz w:val="20"/>
                <w:lang w:val="lv-LV"/>
              </w:rPr>
              <w:t>90</w:t>
            </w:r>
            <w:r w:rsidRPr="00550D35">
              <w:rPr>
                <w:sz w:val="20"/>
                <w:lang w:val="lv-LV"/>
              </w:rPr>
              <w:t>%</w:t>
            </w:r>
            <w:r w:rsidRPr="00550D35">
              <w:rPr>
                <w:sz w:val="20"/>
                <w:lang w:val="lv-LV"/>
              </w:rPr>
              <w:br/>
              <w:t>(ES mērķis 90%)</w:t>
            </w:r>
          </w:p>
        </w:tc>
      </w:tr>
    </w:tbl>
    <w:p w14:paraId="67B1541D" w14:textId="77777777" w:rsidR="007F1517" w:rsidRPr="00550D35" w:rsidRDefault="007F1517" w:rsidP="00F86AD9">
      <w:pPr>
        <w:rPr>
          <w:lang w:val="lv-LV"/>
        </w:rPr>
      </w:pPr>
    </w:p>
    <w:p w14:paraId="33199B5A" w14:textId="77777777" w:rsidR="00FB4C02" w:rsidRPr="00550D35" w:rsidRDefault="00FB4C02" w:rsidP="00FB4C02">
      <w:pPr>
        <w:pStyle w:val="Heading2"/>
        <w:rPr>
          <w:lang w:val="lv-LV"/>
        </w:rPr>
      </w:pPr>
      <w:r w:rsidRPr="00550D35">
        <w:rPr>
          <w:lang w:val="lv-LV"/>
        </w:rPr>
        <w:t xml:space="preserve">Politika, pasākumi un darbības digitālā </w:t>
      </w:r>
      <w:proofErr w:type="spellStart"/>
      <w:r w:rsidRPr="00550D35">
        <w:rPr>
          <w:lang w:val="lv-LV"/>
        </w:rPr>
        <w:t>mērķrādītāja</w:t>
      </w:r>
      <w:proofErr w:type="spellEnd"/>
      <w:r w:rsidRPr="00550D35">
        <w:rPr>
          <w:lang w:val="lv-LV"/>
        </w:rPr>
        <w:t xml:space="preserve"> sasniegšanai </w:t>
      </w:r>
    </w:p>
    <w:p w14:paraId="7869987E" w14:textId="77777777" w:rsidR="00FB4C02" w:rsidRPr="00550D35" w:rsidRDefault="00FB4C02" w:rsidP="00FB4C02">
      <w:pPr>
        <w:pStyle w:val="Heading3"/>
        <w:ind w:left="0" w:firstLine="0"/>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060C20F3" w14:textId="77777777" w:rsidR="00FB4C02" w:rsidRPr="0061547B" w:rsidRDefault="00FB4C02" w:rsidP="00FB4C02">
      <w:pPr>
        <w:spacing w:before="0" w:after="160" w:line="259" w:lineRule="auto"/>
        <w:ind w:firstLine="0"/>
        <w:contextualSpacing/>
        <w:jc w:val="left"/>
        <w:rPr>
          <w:b/>
          <w:bCs/>
          <w:lang w:val="lv-LV"/>
        </w:rPr>
      </w:pPr>
    </w:p>
    <w:p w14:paraId="1A58B178" w14:textId="77777777" w:rsidR="00FB4C02" w:rsidRPr="0061547B" w:rsidRDefault="00FB4C02" w:rsidP="00FB4C02">
      <w:pPr>
        <w:spacing w:before="0" w:after="160" w:line="259" w:lineRule="auto"/>
        <w:ind w:firstLine="0"/>
        <w:contextualSpacing/>
        <w:jc w:val="left"/>
        <w:rPr>
          <w:i/>
          <w:iCs/>
          <w:lang w:val="lv-LV"/>
        </w:rPr>
      </w:pPr>
      <w:r w:rsidRPr="0061547B">
        <w:rPr>
          <w:b/>
          <w:bCs/>
          <w:lang w:val="lv-LV"/>
        </w:rPr>
        <w:t xml:space="preserve">Kopējais laika ietvars: </w:t>
      </w:r>
    </w:p>
    <w:tbl>
      <w:tblPr>
        <w:tblStyle w:val="TableGrid"/>
        <w:tblW w:w="5000" w:type="pct"/>
        <w:tblLook w:val="04A0" w:firstRow="1" w:lastRow="0" w:firstColumn="1" w:lastColumn="0" w:noHBand="0" w:noVBand="1"/>
      </w:tblPr>
      <w:tblGrid>
        <w:gridCol w:w="3256"/>
        <w:gridCol w:w="710"/>
        <w:gridCol w:w="656"/>
        <w:gridCol w:w="621"/>
        <w:gridCol w:w="709"/>
        <w:gridCol w:w="707"/>
        <w:gridCol w:w="664"/>
        <w:gridCol w:w="616"/>
        <w:gridCol w:w="668"/>
      </w:tblGrid>
      <w:tr w:rsidR="00FB4C02" w:rsidRPr="00550D35" w14:paraId="6BDA4CFD" w14:textId="77777777" w:rsidTr="00BA62A0">
        <w:tc>
          <w:tcPr>
            <w:tcW w:w="1891" w:type="pct"/>
            <w:shd w:val="clear" w:color="auto" w:fill="auto"/>
          </w:tcPr>
          <w:p w14:paraId="579CFBFE" w14:textId="77777777" w:rsidR="00FB4C02" w:rsidRPr="00550D35" w:rsidRDefault="00FB4C02" w:rsidP="00BA62A0">
            <w:pPr>
              <w:spacing w:before="0" w:after="0"/>
              <w:ind w:firstLine="0"/>
              <w:jc w:val="left"/>
              <w:rPr>
                <w:sz w:val="20"/>
                <w:lang w:val="lv-LV"/>
              </w:rPr>
            </w:pPr>
          </w:p>
        </w:tc>
        <w:tc>
          <w:tcPr>
            <w:tcW w:w="412" w:type="pct"/>
          </w:tcPr>
          <w:p w14:paraId="3C7C3057" w14:textId="77777777" w:rsidR="00FB4C02" w:rsidRPr="00550D35" w:rsidRDefault="00FB4C02" w:rsidP="00BA62A0">
            <w:pPr>
              <w:spacing w:before="0" w:after="0"/>
              <w:ind w:firstLine="0"/>
              <w:rPr>
                <w:sz w:val="20"/>
                <w:lang w:val="lv-LV"/>
              </w:rPr>
            </w:pPr>
            <w:r w:rsidRPr="00550D35">
              <w:rPr>
                <w:sz w:val="20"/>
                <w:lang w:val="lv-LV"/>
              </w:rPr>
              <w:t>2023</w:t>
            </w:r>
          </w:p>
        </w:tc>
        <w:tc>
          <w:tcPr>
            <w:tcW w:w="381" w:type="pct"/>
          </w:tcPr>
          <w:p w14:paraId="0357571F" w14:textId="77777777" w:rsidR="00FB4C02" w:rsidRPr="00550D35" w:rsidRDefault="00FB4C02" w:rsidP="00BA62A0">
            <w:pPr>
              <w:spacing w:before="0" w:after="0"/>
              <w:ind w:firstLine="0"/>
              <w:rPr>
                <w:sz w:val="20"/>
                <w:lang w:val="lv-LV"/>
              </w:rPr>
            </w:pPr>
            <w:r w:rsidRPr="00550D35">
              <w:rPr>
                <w:sz w:val="20"/>
                <w:lang w:val="lv-LV"/>
              </w:rPr>
              <w:t>2024</w:t>
            </w:r>
          </w:p>
        </w:tc>
        <w:tc>
          <w:tcPr>
            <w:tcW w:w="361" w:type="pct"/>
          </w:tcPr>
          <w:p w14:paraId="48B5E7C0" w14:textId="77777777" w:rsidR="00FB4C02" w:rsidRPr="00550D35" w:rsidRDefault="00FB4C02" w:rsidP="00BA62A0">
            <w:pPr>
              <w:spacing w:before="0" w:after="0"/>
              <w:ind w:firstLine="0"/>
              <w:rPr>
                <w:sz w:val="20"/>
                <w:lang w:val="lv-LV"/>
              </w:rPr>
            </w:pPr>
            <w:r w:rsidRPr="00550D35">
              <w:rPr>
                <w:sz w:val="20"/>
                <w:lang w:val="lv-LV"/>
              </w:rPr>
              <w:t>2025</w:t>
            </w:r>
          </w:p>
        </w:tc>
        <w:tc>
          <w:tcPr>
            <w:tcW w:w="412" w:type="pct"/>
          </w:tcPr>
          <w:p w14:paraId="05888007" w14:textId="77777777" w:rsidR="00FB4C02" w:rsidRPr="00550D35" w:rsidRDefault="00FB4C02" w:rsidP="00BA62A0">
            <w:pPr>
              <w:spacing w:before="0" w:after="0"/>
              <w:ind w:firstLine="0"/>
              <w:rPr>
                <w:sz w:val="20"/>
                <w:lang w:val="lv-LV"/>
              </w:rPr>
            </w:pPr>
            <w:r w:rsidRPr="00550D35">
              <w:rPr>
                <w:sz w:val="20"/>
                <w:lang w:val="lv-LV"/>
              </w:rPr>
              <w:t>2026</w:t>
            </w:r>
          </w:p>
        </w:tc>
        <w:tc>
          <w:tcPr>
            <w:tcW w:w="411" w:type="pct"/>
          </w:tcPr>
          <w:p w14:paraId="60A446C3" w14:textId="77777777" w:rsidR="00FB4C02" w:rsidRPr="00550D35" w:rsidRDefault="00FB4C02" w:rsidP="00BA62A0">
            <w:pPr>
              <w:spacing w:before="0" w:after="0"/>
              <w:ind w:firstLine="0"/>
              <w:rPr>
                <w:sz w:val="20"/>
                <w:lang w:val="lv-LV"/>
              </w:rPr>
            </w:pPr>
            <w:r w:rsidRPr="00550D35">
              <w:rPr>
                <w:sz w:val="20"/>
                <w:lang w:val="lv-LV"/>
              </w:rPr>
              <w:t>2027</w:t>
            </w:r>
          </w:p>
        </w:tc>
        <w:tc>
          <w:tcPr>
            <w:tcW w:w="386" w:type="pct"/>
          </w:tcPr>
          <w:p w14:paraId="193B85DA" w14:textId="77777777" w:rsidR="00FB4C02" w:rsidRPr="00550D35" w:rsidRDefault="00FB4C02" w:rsidP="00BA62A0">
            <w:pPr>
              <w:spacing w:before="0" w:after="0"/>
              <w:ind w:firstLine="0"/>
              <w:rPr>
                <w:sz w:val="20"/>
                <w:lang w:val="lv-LV"/>
              </w:rPr>
            </w:pPr>
            <w:r w:rsidRPr="00550D35">
              <w:rPr>
                <w:sz w:val="20"/>
                <w:lang w:val="lv-LV"/>
              </w:rPr>
              <w:t>2028</w:t>
            </w:r>
          </w:p>
        </w:tc>
        <w:tc>
          <w:tcPr>
            <w:tcW w:w="358" w:type="pct"/>
          </w:tcPr>
          <w:p w14:paraId="1B8ABBF6" w14:textId="77777777" w:rsidR="00FB4C02" w:rsidRPr="00550D35" w:rsidRDefault="00FB4C02" w:rsidP="00BA62A0">
            <w:pPr>
              <w:spacing w:before="0" w:after="0"/>
              <w:ind w:firstLine="0"/>
              <w:rPr>
                <w:sz w:val="20"/>
                <w:lang w:val="lv-LV"/>
              </w:rPr>
            </w:pPr>
            <w:r w:rsidRPr="00550D35">
              <w:rPr>
                <w:sz w:val="20"/>
                <w:lang w:val="lv-LV"/>
              </w:rPr>
              <w:t>2029</w:t>
            </w:r>
          </w:p>
        </w:tc>
        <w:tc>
          <w:tcPr>
            <w:tcW w:w="388" w:type="pct"/>
          </w:tcPr>
          <w:p w14:paraId="345995F3" w14:textId="77777777" w:rsidR="00FB4C02" w:rsidRPr="00550D35" w:rsidRDefault="00FB4C02" w:rsidP="00BA62A0">
            <w:pPr>
              <w:spacing w:before="0" w:after="0"/>
              <w:ind w:firstLine="0"/>
              <w:rPr>
                <w:sz w:val="20"/>
                <w:lang w:val="lv-LV"/>
              </w:rPr>
            </w:pPr>
            <w:r w:rsidRPr="00550D35">
              <w:rPr>
                <w:sz w:val="20"/>
                <w:lang w:val="lv-LV"/>
              </w:rPr>
              <w:t>2030</w:t>
            </w:r>
          </w:p>
        </w:tc>
      </w:tr>
      <w:tr w:rsidR="00FB4C02" w:rsidRPr="00550D35" w14:paraId="13C5E6A3" w14:textId="77777777" w:rsidTr="00BA62A0">
        <w:tc>
          <w:tcPr>
            <w:tcW w:w="5000" w:type="pct"/>
            <w:gridSpan w:val="9"/>
            <w:shd w:val="clear" w:color="auto" w:fill="BFBFBF" w:themeFill="background1" w:themeFillShade="BF"/>
          </w:tcPr>
          <w:p w14:paraId="30C86B37" w14:textId="77777777" w:rsidR="00FB4C02" w:rsidRPr="00550D35" w:rsidRDefault="00FB4C02" w:rsidP="00BA62A0">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FB4C02" w:rsidRPr="003B2E9A" w14:paraId="1C0D592D" w14:textId="77777777" w:rsidTr="00BA62A0">
        <w:tc>
          <w:tcPr>
            <w:tcW w:w="1891" w:type="pct"/>
          </w:tcPr>
          <w:p w14:paraId="2A2DC3E6" w14:textId="77777777" w:rsidR="00FB4C02" w:rsidRDefault="00FB4C02" w:rsidP="00BA62A0">
            <w:pPr>
              <w:ind w:firstLine="0"/>
              <w:rPr>
                <w:bCs/>
                <w:sz w:val="20"/>
                <w:lang w:val="lv-LV"/>
              </w:rPr>
            </w:pPr>
            <w:r w:rsidRPr="00550D35">
              <w:rPr>
                <w:sz w:val="20"/>
                <w:lang w:val="lv-LV"/>
              </w:rPr>
              <w:t xml:space="preserve">Pasākums Nr.1 </w:t>
            </w:r>
            <w:r w:rsidRPr="00550D35">
              <w:rPr>
                <w:sz w:val="20"/>
                <w:lang w:val="lv-LV"/>
              </w:rPr>
              <w:br/>
            </w:r>
            <w:r w:rsidRPr="00507515">
              <w:rPr>
                <w:b/>
                <w:sz w:val="20"/>
                <w:lang w:val="lv-LV"/>
              </w:rPr>
              <w:t xml:space="preserve">“Atbalsts procesu </w:t>
            </w:r>
            <w:proofErr w:type="spellStart"/>
            <w:r w:rsidRPr="00507515">
              <w:rPr>
                <w:b/>
                <w:sz w:val="20"/>
                <w:lang w:val="lv-LV"/>
              </w:rPr>
              <w:t>digitalizācijai</w:t>
            </w:r>
            <w:proofErr w:type="spellEnd"/>
            <w:r w:rsidRPr="00507515">
              <w:rPr>
                <w:b/>
                <w:sz w:val="20"/>
                <w:lang w:val="lv-LV"/>
              </w:rPr>
              <w:t xml:space="preserve"> komercdarbībā”</w:t>
            </w:r>
          </w:p>
          <w:p w14:paraId="38C10960" w14:textId="699E4888" w:rsidR="00FB4C02" w:rsidRPr="00550D35" w:rsidRDefault="00FB4C02" w:rsidP="00BA62A0">
            <w:pPr>
              <w:ind w:firstLine="0"/>
              <w:rPr>
                <w:bCs/>
                <w:sz w:val="20"/>
                <w:lang w:val="lv-LV"/>
              </w:rPr>
            </w:pPr>
            <w:r w:rsidRPr="00242B5F">
              <w:rPr>
                <w:bCs/>
                <w:sz w:val="20"/>
                <w:lang w:val="lv-LV"/>
              </w:rPr>
              <w:t>Finansējuma avots:</w:t>
            </w:r>
            <w:r>
              <w:rPr>
                <w:bCs/>
                <w:sz w:val="20"/>
                <w:lang w:val="lv-LV"/>
              </w:rPr>
              <w:t xml:space="preserve"> </w:t>
            </w:r>
            <w:r w:rsidRPr="00550D35">
              <w:rPr>
                <w:bCs/>
                <w:sz w:val="20"/>
                <w:lang w:val="lv-LV"/>
              </w:rPr>
              <w:t xml:space="preserve">ANM </w:t>
            </w:r>
            <w:r>
              <w:rPr>
                <w:bCs/>
                <w:sz w:val="20"/>
                <w:lang w:val="lv-LV"/>
              </w:rPr>
              <w:t xml:space="preserve">plāna </w:t>
            </w:r>
            <w:r w:rsidRPr="00550D35">
              <w:rPr>
                <w:bCs/>
                <w:sz w:val="20"/>
                <w:lang w:val="lv-LV"/>
              </w:rPr>
              <w:t>investīcija 2.2.1.1.i. un</w:t>
            </w:r>
            <w:r w:rsidR="00AE453C">
              <w:rPr>
                <w:bCs/>
                <w:sz w:val="20"/>
                <w:lang w:val="lv-LV"/>
              </w:rPr>
              <w:br/>
            </w:r>
            <w:r w:rsidRPr="00550D35">
              <w:rPr>
                <w:bCs/>
                <w:sz w:val="20"/>
                <w:lang w:val="lv-LV"/>
              </w:rPr>
              <w:t>ERAF 1.2.2.1.</w:t>
            </w:r>
            <w:r>
              <w:rPr>
                <w:bCs/>
                <w:sz w:val="20"/>
                <w:lang w:val="lv-LV"/>
              </w:rPr>
              <w:t xml:space="preserve"> pasākums</w:t>
            </w:r>
          </w:p>
        </w:tc>
        <w:tc>
          <w:tcPr>
            <w:tcW w:w="412" w:type="pct"/>
            <w:shd w:val="clear" w:color="auto" w:fill="70AD47" w:themeFill="accent6"/>
          </w:tcPr>
          <w:p w14:paraId="609171E7" w14:textId="77777777" w:rsidR="00FB4C02" w:rsidRPr="00550D35" w:rsidRDefault="00FB4C02" w:rsidP="00BA62A0">
            <w:pPr>
              <w:spacing w:before="0" w:after="0"/>
              <w:rPr>
                <w:sz w:val="20"/>
                <w:lang w:val="lv-LV"/>
              </w:rPr>
            </w:pPr>
          </w:p>
        </w:tc>
        <w:tc>
          <w:tcPr>
            <w:tcW w:w="381" w:type="pct"/>
            <w:shd w:val="clear" w:color="auto" w:fill="70AD47" w:themeFill="accent6"/>
          </w:tcPr>
          <w:p w14:paraId="46CB9671" w14:textId="77777777" w:rsidR="00FB4C02" w:rsidRPr="00550D35" w:rsidRDefault="00FB4C02" w:rsidP="00BA62A0">
            <w:pPr>
              <w:spacing w:before="0" w:after="0"/>
              <w:rPr>
                <w:sz w:val="20"/>
                <w:lang w:val="lv-LV"/>
              </w:rPr>
            </w:pPr>
          </w:p>
        </w:tc>
        <w:tc>
          <w:tcPr>
            <w:tcW w:w="361" w:type="pct"/>
            <w:shd w:val="clear" w:color="auto" w:fill="70AD47" w:themeFill="accent6"/>
          </w:tcPr>
          <w:p w14:paraId="0B5739A2" w14:textId="77777777" w:rsidR="00FB4C02" w:rsidRPr="00550D35" w:rsidRDefault="00FB4C02" w:rsidP="00BA62A0">
            <w:pPr>
              <w:spacing w:before="0" w:after="0"/>
              <w:rPr>
                <w:sz w:val="20"/>
                <w:lang w:val="lv-LV"/>
              </w:rPr>
            </w:pPr>
          </w:p>
        </w:tc>
        <w:tc>
          <w:tcPr>
            <w:tcW w:w="412" w:type="pct"/>
            <w:shd w:val="clear" w:color="auto" w:fill="70AD47" w:themeFill="accent6"/>
          </w:tcPr>
          <w:p w14:paraId="2C4AA164" w14:textId="77777777" w:rsidR="00FB4C02" w:rsidRPr="00550D35" w:rsidRDefault="00FB4C02" w:rsidP="00BA62A0">
            <w:pPr>
              <w:spacing w:before="0" w:after="0"/>
              <w:rPr>
                <w:sz w:val="20"/>
                <w:lang w:val="lv-LV"/>
              </w:rPr>
            </w:pPr>
          </w:p>
        </w:tc>
        <w:tc>
          <w:tcPr>
            <w:tcW w:w="411" w:type="pct"/>
            <w:shd w:val="clear" w:color="auto" w:fill="70AD47" w:themeFill="accent6"/>
          </w:tcPr>
          <w:p w14:paraId="461E533E" w14:textId="77777777" w:rsidR="00FB4C02" w:rsidRPr="00550D35" w:rsidRDefault="00FB4C02" w:rsidP="00BA62A0">
            <w:pPr>
              <w:spacing w:before="0" w:after="0"/>
              <w:rPr>
                <w:sz w:val="20"/>
                <w:lang w:val="lv-LV"/>
              </w:rPr>
            </w:pPr>
          </w:p>
        </w:tc>
        <w:tc>
          <w:tcPr>
            <w:tcW w:w="386" w:type="pct"/>
            <w:shd w:val="clear" w:color="auto" w:fill="70AD47" w:themeFill="accent6"/>
          </w:tcPr>
          <w:p w14:paraId="146C4A2B" w14:textId="77777777" w:rsidR="00FB4C02" w:rsidRPr="00550D35" w:rsidRDefault="00FB4C02" w:rsidP="00BA62A0">
            <w:pPr>
              <w:spacing w:before="0" w:after="0"/>
              <w:rPr>
                <w:sz w:val="20"/>
                <w:lang w:val="lv-LV"/>
              </w:rPr>
            </w:pPr>
          </w:p>
        </w:tc>
        <w:tc>
          <w:tcPr>
            <w:tcW w:w="358" w:type="pct"/>
            <w:shd w:val="clear" w:color="auto" w:fill="70AD47" w:themeFill="accent6"/>
          </w:tcPr>
          <w:p w14:paraId="19660287" w14:textId="77777777" w:rsidR="00FB4C02" w:rsidRPr="00550D35" w:rsidRDefault="00FB4C02" w:rsidP="00BA62A0">
            <w:pPr>
              <w:spacing w:before="0" w:after="0"/>
              <w:rPr>
                <w:sz w:val="20"/>
                <w:lang w:val="lv-LV"/>
              </w:rPr>
            </w:pPr>
          </w:p>
        </w:tc>
        <w:tc>
          <w:tcPr>
            <w:tcW w:w="388" w:type="pct"/>
          </w:tcPr>
          <w:p w14:paraId="797BC3A4" w14:textId="77777777" w:rsidR="00FB4C02" w:rsidRPr="00550D35" w:rsidRDefault="00FB4C02" w:rsidP="00BA62A0">
            <w:pPr>
              <w:spacing w:before="0" w:after="0"/>
              <w:rPr>
                <w:sz w:val="20"/>
                <w:lang w:val="lv-LV"/>
              </w:rPr>
            </w:pPr>
          </w:p>
        </w:tc>
      </w:tr>
      <w:tr w:rsidR="00FB4C02" w:rsidRPr="00B50EE2" w14:paraId="5D8D8D6B" w14:textId="77777777" w:rsidTr="00BA62A0">
        <w:tc>
          <w:tcPr>
            <w:tcW w:w="1891" w:type="pct"/>
          </w:tcPr>
          <w:p w14:paraId="4722CAB8" w14:textId="77777777" w:rsidR="00FB4C02" w:rsidRPr="00550D35" w:rsidRDefault="00FB4C02" w:rsidP="00BA62A0">
            <w:pPr>
              <w:ind w:firstLine="0"/>
              <w:rPr>
                <w:sz w:val="20"/>
                <w:lang w:val="lv-LV"/>
              </w:rPr>
            </w:pPr>
            <w:r w:rsidRPr="00550D35">
              <w:rPr>
                <w:sz w:val="20"/>
                <w:lang w:val="lv-LV"/>
              </w:rPr>
              <w:t>Pasākums Nr.2</w:t>
            </w:r>
          </w:p>
          <w:p w14:paraId="1CC7D79A" w14:textId="77777777" w:rsidR="00FB4C02" w:rsidRPr="00507515" w:rsidRDefault="00FB4C02" w:rsidP="00BA62A0">
            <w:pPr>
              <w:ind w:firstLine="0"/>
              <w:rPr>
                <w:b/>
                <w:bCs/>
                <w:sz w:val="20"/>
                <w:lang w:val="lv-LV"/>
              </w:rPr>
            </w:pPr>
            <w:r w:rsidRPr="00550D35">
              <w:rPr>
                <w:sz w:val="20"/>
                <w:lang w:val="lv-LV"/>
              </w:rPr>
              <w:t xml:space="preserve"> </w:t>
            </w:r>
            <w:r w:rsidRPr="00507515">
              <w:rPr>
                <w:b/>
                <w:bCs/>
                <w:sz w:val="20"/>
                <w:lang w:val="lv-LV"/>
              </w:rPr>
              <w:t xml:space="preserve">“Atbalsts procesu </w:t>
            </w:r>
            <w:proofErr w:type="spellStart"/>
            <w:r w:rsidRPr="00507515">
              <w:rPr>
                <w:b/>
                <w:bCs/>
                <w:sz w:val="20"/>
                <w:lang w:val="lv-LV"/>
              </w:rPr>
              <w:t>digitalizācijai</w:t>
            </w:r>
            <w:proofErr w:type="spellEnd"/>
            <w:r w:rsidRPr="00507515">
              <w:rPr>
                <w:b/>
                <w:bCs/>
                <w:sz w:val="20"/>
                <w:lang w:val="lv-LV"/>
              </w:rPr>
              <w:t xml:space="preserve"> komercdarbībā”</w:t>
            </w:r>
          </w:p>
          <w:p w14:paraId="39A6F1DB" w14:textId="77777777" w:rsidR="00FB4C02" w:rsidRPr="00550D35" w:rsidRDefault="00FB4C02" w:rsidP="00BA62A0">
            <w:pPr>
              <w:ind w:firstLine="0"/>
              <w:rPr>
                <w:sz w:val="20"/>
                <w:lang w:val="lv-LV"/>
              </w:rPr>
            </w:pPr>
            <w:r w:rsidRPr="00242B5F">
              <w:rPr>
                <w:bCs/>
                <w:sz w:val="20"/>
                <w:lang w:val="lv-LV"/>
              </w:rPr>
              <w:t>Finansējuma avots:</w:t>
            </w:r>
            <w:r>
              <w:rPr>
                <w:bCs/>
                <w:sz w:val="20"/>
                <w:lang w:val="lv-LV"/>
              </w:rPr>
              <w:t xml:space="preserve"> </w:t>
            </w:r>
            <w:r w:rsidRPr="00550D35">
              <w:rPr>
                <w:sz w:val="20"/>
                <w:lang w:val="lv-LV"/>
              </w:rPr>
              <w:t xml:space="preserve">ANM </w:t>
            </w:r>
            <w:r>
              <w:rPr>
                <w:sz w:val="20"/>
                <w:lang w:val="lv-LV"/>
              </w:rPr>
              <w:t xml:space="preserve">plāna </w:t>
            </w:r>
            <w:r w:rsidRPr="00550D35">
              <w:rPr>
                <w:sz w:val="20"/>
                <w:lang w:val="lv-LV"/>
              </w:rPr>
              <w:t xml:space="preserve">investīcija </w:t>
            </w:r>
            <w:r w:rsidRPr="00550D35">
              <w:rPr>
                <w:noProof/>
                <w:sz w:val="20"/>
                <w:lang w:val="lv-LV"/>
              </w:rPr>
              <w:t>2.2.1.</w:t>
            </w:r>
            <w:r>
              <w:rPr>
                <w:noProof/>
                <w:sz w:val="20"/>
                <w:lang w:val="lv-LV"/>
              </w:rPr>
              <w:t>2</w:t>
            </w:r>
            <w:r w:rsidRPr="00550D35">
              <w:rPr>
                <w:noProof/>
                <w:sz w:val="20"/>
                <w:lang w:val="lv-LV"/>
              </w:rPr>
              <w:t>.</w:t>
            </w:r>
            <w:r>
              <w:rPr>
                <w:noProof/>
                <w:sz w:val="20"/>
                <w:lang w:val="lv-LV"/>
              </w:rPr>
              <w:t>i</w:t>
            </w:r>
          </w:p>
        </w:tc>
        <w:tc>
          <w:tcPr>
            <w:tcW w:w="412" w:type="pct"/>
            <w:shd w:val="clear" w:color="auto" w:fill="70AD47" w:themeFill="accent6"/>
          </w:tcPr>
          <w:p w14:paraId="54994044" w14:textId="77777777" w:rsidR="00FB4C02" w:rsidRPr="00550D35" w:rsidRDefault="00FB4C02" w:rsidP="00BA62A0">
            <w:pPr>
              <w:spacing w:before="0" w:after="0"/>
              <w:rPr>
                <w:sz w:val="20"/>
                <w:lang w:val="lv-LV"/>
              </w:rPr>
            </w:pPr>
          </w:p>
        </w:tc>
        <w:tc>
          <w:tcPr>
            <w:tcW w:w="381" w:type="pct"/>
            <w:shd w:val="clear" w:color="auto" w:fill="70AD47" w:themeFill="accent6"/>
          </w:tcPr>
          <w:p w14:paraId="16434526" w14:textId="77777777" w:rsidR="00FB4C02" w:rsidRPr="00550D35" w:rsidRDefault="00FB4C02" w:rsidP="00BA62A0">
            <w:pPr>
              <w:spacing w:before="0" w:after="0"/>
              <w:rPr>
                <w:sz w:val="20"/>
                <w:lang w:val="lv-LV"/>
              </w:rPr>
            </w:pPr>
          </w:p>
        </w:tc>
        <w:tc>
          <w:tcPr>
            <w:tcW w:w="361" w:type="pct"/>
            <w:shd w:val="clear" w:color="auto" w:fill="70AD47" w:themeFill="accent6"/>
          </w:tcPr>
          <w:p w14:paraId="2DC0917B" w14:textId="77777777" w:rsidR="00FB4C02" w:rsidRPr="00550D35" w:rsidRDefault="00FB4C02" w:rsidP="00BA62A0">
            <w:pPr>
              <w:spacing w:before="0" w:after="0"/>
              <w:rPr>
                <w:sz w:val="20"/>
                <w:lang w:val="lv-LV"/>
              </w:rPr>
            </w:pPr>
          </w:p>
        </w:tc>
        <w:tc>
          <w:tcPr>
            <w:tcW w:w="412" w:type="pct"/>
            <w:shd w:val="clear" w:color="auto" w:fill="70AD47" w:themeFill="accent6"/>
          </w:tcPr>
          <w:p w14:paraId="4F99EAE2" w14:textId="77777777" w:rsidR="00FB4C02" w:rsidRPr="00550D35" w:rsidRDefault="00FB4C02" w:rsidP="00BA62A0">
            <w:pPr>
              <w:spacing w:before="0" w:after="0"/>
              <w:rPr>
                <w:sz w:val="20"/>
                <w:lang w:val="lv-LV"/>
              </w:rPr>
            </w:pPr>
          </w:p>
        </w:tc>
        <w:tc>
          <w:tcPr>
            <w:tcW w:w="411" w:type="pct"/>
          </w:tcPr>
          <w:p w14:paraId="5ED4B9B7" w14:textId="77777777" w:rsidR="00FB4C02" w:rsidRPr="00550D35" w:rsidRDefault="00FB4C02" w:rsidP="00BA62A0">
            <w:pPr>
              <w:spacing w:before="0" w:after="0"/>
              <w:rPr>
                <w:sz w:val="20"/>
                <w:lang w:val="lv-LV"/>
              </w:rPr>
            </w:pPr>
          </w:p>
        </w:tc>
        <w:tc>
          <w:tcPr>
            <w:tcW w:w="386" w:type="pct"/>
          </w:tcPr>
          <w:p w14:paraId="21E5849D" w14:textId="77777777" w:rsidR="00FB4C02" w:rsidRPr="00550D35" w:rsidRDefault="00FB4C02" w:rsidP="00BA62A0">
            <w:pPr>
              <w:spacing w:before="0" w:after="0"/>
              <w:rPr>
                <w:sz w:val="20"/>
                <w:lang w:val="lv-LV"/>
              </w:rPr>
            </w:pPr>
          </w:p>
        </w:tc>
        <w:tc>
          <w:tcPr>
            <w:tcW w:w="358" w:type="pct"/>
          </w:tcPr>
          <w:p w14:paraId="7D1D3A6C" w14:textId="77777777" w:rsidR="00FB4C02" w:rsidRPr="00550D35" w:rsidRDefault="00FB4C02" w:rsidP="00BA62A0">
            <w:pPr>
              <w:spacing w:before="0" w:after="0"/>
              <w:rPr>
                <w:sz w:val="20"/>
                <w:lang w:val="lv-LV"/>
              </w:rPr>
            </w:pPr>
          </w:p>
        </w:tc>
        <w:tc>
          <w:tcPr>
            <w:tcW w:w="388" w:type="pct"/>
          </w:tcPr>
          <w:p w14:paraId="655734B2" w14:textId="77777777" w:rsidR="00FB4C02" w:rsidRPr="00550D35" w:rsidRDefault="00FB4C02" w:rsidP="00BA62A0">
            <w:pPr>
              <w:spacing w:before="0" w:after="0"/>
              <w:rPr>
                <w:sz w:val="20"/>
                <w:lang w:val="lv-LV"/>
              </w:rPr>
            </w:pPr>
          </w:p>
        </w:tc>
      </w:tr>
      <w:tr w:rsidR="00FB4C02" w:rsidRPr="00550D35" w14:paraId="0BDEBEB0" w14:textId="77777777" w:rsidTr="00BA62A0">
        <w:tc>
          <w:tcPr>
            <w:tcW w:w="1891" w:type="pct"/>
          </w:tcPr>
          <w:p w14:paraId="1A772C46" w14:textId="77777777" w:rsidR="00FB4C02" w:rsidRPr="00550D35" w:rsidRDefault="00FB4C02" w:rsidP="00BA62A0">
            <w:pPr>
              <w:ind w:firstLine="0"/>
              <w:rPr>
                <w:sz w:val="20"/>
                <w:lang w:val="lv-LV"/>
              </w:rPr>
            </w:pPr>
            <w:r w:rsidRPr="00550D35">
              <w:rPr>
                <w:sz w:val="20"/>
                <w:lang w:val="lv-LV"/>
              </w:rPr>
              <w:t>Pasākums Nr.3</w:t>
            </w:r>
          </w:p>
          <w:p w14:paraId="68EA2A35" w14:textId="77777777" w:rsidR="00FB4C02" w:rsidRPr="00507515" w:rsidRDefault="00FB4C02" w:rsidP="00BA62A0">
            <w:pPr>
              <w:ind w:firstLine="0"/>
              <w:rPr>
                <w:b/>
                <w:bCs/>
                <w:sz w:val="20"/>
                <w:lang w:val="lv-LV"/>
              </w:rPr>
            </w:pPr>
            <w:r w:rsidRPr="00550D35">
              <w:rPr>
                <w:sz w:val="20"/>
                <w:lang w:val="lv-LV"/>
              </w:rPr>
              <w:t xml:space="preserve"> </w:t>
            </w:r>
            <w:r w:rsidRPr="00507515">
              <w:rPr>
                <w:b/>
                <w:bCs/>
                <w:sz w:val="20"/>
                <w:lang w:val="lv-LV"/>
              </w:rPr>
              <w:t>“Atbalsts jaunu produktu un pakalpojumu ieviešanai komercdarbībā”</w:t>
            </w:r>
          </w:p>
          <w:p w14:paraId="7A62169B" w14:textId="77777777" w:rsidR="00FB4C02" w:rsidRPr="00242B5F" w:rsidRDefault="00FB4C02" w:rsidP="00BA62A0">
            <w:pPr>
              <w:ind w:firstLine="0"/>
              <w:rPr>
                <w:bCs/>
                <w:sz w:val="20"/>
                <w:lang w:val="lv-LV"/>
              </w:rPr>
            </w:pPr>
            <w:r w:rsidRPr="00242B5F">
              <w:rPr>
                <w:bCs/>
                <w:sz w:val="20"/>
                <w:lang w:val="lv-LV"/>
              </w:rPr>
              <w:t>Finansējuma avots:</w:t>
            </w:r>
            <w:r w:rsidRPr="00AF0F2B">
              <w:rPr>
                <w:bCs/>
                <w:sz w:val="20"/>
                <w:lang w:val="lv-LV"/>
              </w:rPr>
              <w:t xml:space="preserve"> ANM plāna investīcija </w:t>
            </w:r>
            <w:r w:rsidRPr="00242B5F">
              <w:rPr>
                <w:bCs/>
                <w:sz w:val="20"/>
                <w:lang w:val="lv-LV"/>
              </w:rPr>
              <w:t>2.2.1.3.i</w:t>
            </w:r>
          </w:p>
          <w:p w14:paraId="200A32F8" w14:textId="77777777" w:rsidR="00FB4C02" w:rsidRPr="00AF0F2B" w:rsidRDefault="00FB4C02" w:rsidP="00BA62A0">
            <w:pPr>
              <w:ind w:firstLine="0"/>
              <w:rPr>
                <w:bCs/>
                <w:sz w:val="20"/>
                <w:lang w:val="lv-LV"/>
              </w:rPr>
            </w:pPr>
            <w:r w:rsidRPr="00AF0F2B">
              <w:rPr>
                <w:bCs/>
                <w:sz w:val="20"/>
                <w:lang w:val="lv-LV"/>
              </w:rPr>
              <w:t>un</w:t>
            </w:r>
          </w:p>
          <w:p w14:paraId="425214E8" w14:textId="77777777" w:rsidR="00FB4C02" w:rsidRPr="00507515" w:rsidRDefault="00FB4C02" w:rsidP="00BA62A0">
            <w:pPr>
              <w:ind w:firstLine="0"/>
              <w:rPr>
                <w:b/>
                <w:sz w:val="20"/>
                <w:lang w:val="lv-LV"/>
              </w:rPr>
            </w:pPr>
            <w:r w:rsidRPr="00550D35">
              <w:rPr>
                <w:bCs/>
                <w:sz w:val="20"/>
                <w:lang w:val="lv-LV"/>
              </w:rPr>
              <w:t xml:space="preserve"> </w:t>
            </w:r>
            <w:r w:rsidRPr="00507515">
              <w:rPr>
                <w:b/>
                <w:sz w:val="20"/>
                <w:lang w:val="lv-LV"/>
              </w:rPr>
              <w:t>“Atbalsts jaunu produktu attīstībai un internacionalizācijai”</w:t>
            </w:r>
          </w:p>
          <w:p w14:paraId="61F8E6B0" w14:textId="65FFF20E" w:rsidR="00FB4C02" w:rsidRPr="00550D35" w:rsidRDefault="00FB4C02" w:rsidP="00830CB3">
            <w:pPr>
              <w:ind w:firstLine="0"/>
              <w:jc w:val="left"/>
              <w:rPr>
                <w:sz w:val="20"/>
                <w:lang w:val="lv-LV"/>
              </w:rPr>
            </w:pPr>
            <w:r w:rsidRPr="00242B5F">
              <w:rPr>
                <w:bCs/>
                <w:sz w:val="20"/>
                <w:lang w:val="lv-LV"/>
              </w:rPr>
              <w:lastRenderedPageBreak/>
              <w:t>Finansējuma avots:</w:t>
            </w:r>
            <w:r w:rsidR="00AE453C">
              <w:rPr>
                <w:bCs/>
                <w:sz w:val="20"/>
                <w:lang w:val="lv-LV"/>
              </w:rPr>
              <w:br/>
            </w:r>
            <w:r>
              <w:rPr>
                <w:bCs/>
                <w:sz w:val="20"/>
                <w:lang w:val="lv-LV"/>
              </w:rPr>
              <w:t xml:space="preserve">ERAF </w:t>
            </w:r>
            <w:r w:rsidRPr="00550D35">
              <w:rPr>
                <w:bCs/>
                <w:sz w:val="20"/>
                <w:lang w:val="lv-LV"/>
              </w:rPr>
              <w:t>1.2.1.1.</w:t>
            </w:r>
            <w:r>
              <w:rPr>
                <w:bCs/>
                <w:sz w:val="20"/>
                <w:lang w:val="lv-LV"/>
              </w:rPr>
              <w:t xml:space="preserve"> pasākums</w:t>
            </w:r>
          </w:p>
        </w:tc>
        <w:tc>
          <w:tcPr>
            <w:tcW w:w="412" w:type="pct"/>
            <w:shd w:val="clear" w:color="auto" w:fill="70AD47" w:themeFill="accent6"/>
          </w:tcPr>
          <w:p w14:paraId="24B6E90C" w14:textId="77777777" w:rsidR="00FB4C02" w:rsidRPr="00550D35" w:rsidRDefault="00FB4C02" w:rsidP="00BA62A0">
            <w:pPr>
              <w:spacing w:before="0" w:after="0"/>
              <w:rPr>
                <w:sz w:val="20"/>
                <w:lang w:val="lv-LV"/>
              </w:rPr>
            </w:pPr>
          </w:p>
        </w:tc>
        <w:tc>
          <w:tcPr>
            <w:tcW w:w="381" w:type="pct"/>
            <w:shd w:val="clear" w:color="auto" w:fill="70AD47" w:themeFill="accent6"/>
          </w:tcPr>
          <w:p w14:paraId="1817358C" w14:textId="77777777" w:rsidR="00FB4C02" w:rsidRPr="00550D35" w:rsidRDefault="00FB4C02" w:rsidP="00BA62A0">
            <w:pPr>
              <w:spacing w:before="0" w:after="0"/>
              <w:rPr>
                <w:sz w:val="20"/>
                <w:lang w:val="lv-LV"/>
              </w:rPr>
            </w:pPr>
          </w:p>
        </w:tc>
        <w:tc>
          <w:tcPr>
            <w:tcW w:w="361" w:type="pct"/>
            <w:shd w:val="clear" w:color="auto" w:fill="70AD47" w:themeFill="accent6"/>
          </w:tcPr>
          <w:p w14:paraId="4D6DFA93" w14:textId="77777777" w:rsidR="00FB4C02" w:rsidRPr="00550D35" w:rsidRDefault="00FB4C02" w:rsidP="00BA62A0">
            <w:pPr>
              <w:spacing w:before="0" w:after="0"/>
              <w:rPr>
                <w:sz w:val="20"/>
                <w:lang w:val="lv-LV"/>
              </w:rPr>
            </w:pPr>
          </w:p>
        </w:tc>
        <w:tc>
          <w:tcPr>
            <w:tcW w:w="412" w:type="pct"/>
            <w:shd w:val="clear" w:color="auto" w:fill="70AD47" w:themeFill="accent6"/>
          </w:tcPr>
          <w:p w14:paraId="0F32B485" w14:textId="77777777" w:rsidR="00FB4C02" w:rsidRPr="00550D35" w:rsidRDefault="00FB4C02" w:rsidP="00BA62A0">
            <w:pPr>
              <w:spacing w:before="0" w:after="0"/>
              <w:rPr>
                <w:sz w:val="20"/>
                <w:lang w:val="lv-LV"/>
              </w:rPr>
            </w:pPr>
          </w:p>
        </w:tc>
        <w:tc>
          <w:tcPr>
            <w:tcW w:w="411" w:type="pct"/>
            <w:shd w:val="clear" w:color="auto" w:fill="70AD47" w:themeFill="accent6"/>
          </w:tcPr>
          <w:p w14:paraId="27440100" w14:textId="77777777" w:rsidR="00FB4C02" w:rsidRPr="00550D35" w:rsidRDefault="00FB4C02" w:rsidP="00BA62A0">
            <w:pPr>
              <w:spacing w:before="0" w:after="0"/>
              <w:rPr>
                <w:sz w:val="20"/>
                <w:lang w:val="lv-LV"/>
              </w:rPr>
            </w:pPr>
          </w:p>
        </w:tc>
        <w:tc>
          <w:tcPr>
            <w:tcW w:w="386" w:type="pct"/>
            <w:shd w:val="clear" w:color="auto" w:fill="70AD47" w:themeFill="accent6"/>
          </w:tcPr>
          <w:p w14:paraId="76E716B1" w14:textId="77777777" w:rsidR="00FB4C02" w:rsidRPr="00550D35" w:rsidRDefault="00FB4C02" w:rsidP="00BA62A0">
            <w:pPr>
              <w:spacing w:before="0" w:after="0"/>
              <w:rPr>
                <w:sz w:val="20"/>
                <w:lang w:val="lv-LV"/>
              </w:rPr>
            </w:pPr>
          </w:p>
        </w:tc>
        <w:tc>
          <w:tcPr>
            <w:tcW w:w="358" w:type="pct"/>
            <w:shd w:val="clear" w:color="auto" w:fill="70AD47" w:themeFill="accent6"/>
          </w:tcPr>
          <w:p w14:paraId="1A5E7F43" w14:textId="77777777" w:rsidR="00FB4C02" w:rsidRPr="00550D35" w:rsidRDefault="00FB4C02" w:rsidP="00BA62A0">
            <w:pPr>
              <w:spacing w:before="0" w:after="0"/>
              <w:rPr>
                <w:sz w:val="20"/>
                <w:lang w:val="lv-LV"/>
              </w:rPr>
            </w:pPr>
          </w:p>
        </w:tc>
        <w:tc>
          <w:tcPr>
            <w:tcW w:w="388" w:type="pct"/>
            <w:shd w:val="clear" w:color="auto" w:fill="FFFFFF" w:themeFill="background1"/>
          </w:tcPr>
          <w:p w14:paraId="3644E3AA" w14:textId="77777777" w:rsidR="00FB4C02" w:rsidRPr="00550D35" w:rsidRDefault="00FB4C02" w:rsidP="00BA62A0">
            <w:pPr>
              <w:spacing w:before="0" w:after="0"/>
              <w:rPr>
                <w:sz w:val="20"/>
                <w:lang w:val="lv-LV"/>
              </w:rPr>
            </w:pPr>
          </w:p>
        </w:tc>
      </w:tr>
      <w:tr w:rsidR="00FB4C02" w:rsidRPr="003B2E9A" w14:paraId="7E36293C" w14:textId="77777777" w:rsidTr="00BA62A0">
        <w:tc>
          <w:tcPr>
            <w:tcW w:w="1891" w:type="pct"/>
          </w:tcPr>
          <w:p w14:paraId="7B4615D0" w14:textId="77777777" w:rsidR="00FB4C02" w:rsidRPr="00550D35" w:rsidRDefault="00FB4C02" w:rsidP="00BA62A0">
            <w:pPr>
              <w:ind w:firstLine="0"/>
              <w:rPr>
                <w:sz w:val="20"/>
                <w:lang w:val="lv-LV"/>
              </w:rPr>
            </w:pPr>
            <w:r w:rsidRPr="00550D35">
              <w:rPr>
                <w:sz w:val="20"/>
                <w:lang w:val="lv-LV"/>
              </w:rPr>
              <w:t>Pasākums Nr.4</w:t>
            </w:r>
          </w:p>
          <w:p w14:paraId="4ABFCF63" w14:textId="77777777" w:rsidR="00FB4C02" w:rsidRPr="00507515" w:rsidRDefault="00FB4C02" w:rsidP="00BA62A0">
            <w:pPr>
              <w:ind w:firstLine="0"/>
              <w:rPr>
                <w:b/>
                <w:bCs/>
                <w:sz w:val="20"/>
                <w:lang w:val="lv-LV"/>
              </w:rPr>
            </w:pPr>
            <w:r w:rsidRPr="00507515">
              <w:rPr>
                <w:b/>
                <w:bCs/>
                <w:sz w:val="20"/>
                <w:lang w:val="lv-LV"/>
              </w:rPr>
              <w:t>“Finanšu instrumenti komersantu digitālās transformācijas veicināšanai”</w:t>
            </w:r>
          </w:p>
          <w:p w14:paraId="3B83E880" w14:textId="77777777" w:rsidR="00FB4C02" w:rsidRPr="0063021F" w:rsidRDefault="00FB4C02" w:rsidP="00BA62A0">
            <w:pPr>
              <w:ind w:firstLine="0"/>
              <w:rPr>
                <w:bCs/>
                <w:sz w:val="20"/>
                <w:lang w:val="lv-LV"/>
              </w:rPr>
            </w:pPr>
            <w:r w:rsidRPr="0063021F">
              <w:rPr>
                <w:bCs/>
                <w:sz w:val="20"/>
                <w:lang w:val="lv-LV"/>
              </w:rPr>
              <w:t>Finansējuma avots:</w:t>
            </w:r>
            <w:r w:rsidRPr="00AF0F2B">
              <w:rPr>
                <w:bCs/>
                <w:sz w:val="20"/>
                <w:lang w:val="lv-LV"/>
              </w:rPr>
              <w:t xml:space="preserve"> ANM plāna investīcija </w:t>
            </w:r>
            <w:r w:rsidRPr="0063021F">
              <w:rPr>
                <w:bCs/>
                <w:sz w:val="20"/>
                <w:lang w:val="lv-LV"/>
              </w:rPr>
              <w:t>2.2.1.</w:t>
            </w:r>
            <w:r>
              <w:rPr>
                <w:bCs/>
                <w:sz w:val="20"/>
                <w:lang w:val="lv-LV"/>
              </w:rPr>
              <w:t>4</w:t>
            </w:r>
            <w:r w:rsidRPr="0063021F">
              <w:rPr>
                <w:bCs/>
                <w:sz w:val="20"/>
                <w:lang w:val="lv-LV"/>
              </w:rPr>
              <w:t>.i</w:t>
            </w:r>
          </w:p>
          <w:p w14:paraId="4E7B40AE" w14:textId="77777777" w:rsidR="00FB4C02" w:rsidRDefault="00FB4C02" w:rsidP="00BA62A0">
            <w:pPr>
              <w:ind w:firstLine="0"/>
              <w:rPr>
                <w:sz w:val="20"/>
                <w:lang w:val="lv-LV"/>
              </w:rPr>
            </w:pPr>
            <w:r w:rsidRPr="00550D35">
              <w:rPr>
                <w:sz w:val="20"/>
                <w:lang w:val="lv-LV"/>
              </w:rPr>
              <w:t xml:space="preserve"> </w:t>
            </w:r>
            <w:r>
              <w:rPr>
                <w:sz w:val="20"/>
                <w:lang w:val="lv-LV"/>
              </w:rPr>
              <w:t>u</w:t>
            </w:r>
            <w:r w:rsidRPr="00550D35">
              <w:rPr>
                <w:sz w:val="20"/>
                <w:lang w:val="lv-LV"/>
              </w:rPr>
              <w:t>n</w:t>
            </w:r>
            <w:r>
              <w:rPr>
                <w:sz w:val="20"/>
                <w:lang w:val="lv-LV"/>
              </w:rPr>
              <w:br/>
            </w:r>
            <w:r w:rsidRPr="00507515">
              <w:rPr>
                <w:b/>
                <w:bCs/>
                <w:sz w:val="20"/>
                <w:lang w:val="lv-LV"/>
              </w:rPr>
              <w:t>“Produktivitātes aizdevumi inovatīviem uzņēmumiem”</w:t>
            </w:r>
          </w:p>
          <w:p w14:paraId="696D264E" w14:textId="45848F97" w:rsidR="00FB4C02" w:rsidRPr="00550D35" w:rsidRDefault="00FB4C02" w:rsidP="00AE453C">
            <w:pPr>
              <w:ind w:firstLine="0"/>
              <w:jc w:val="left"/>
              <w:rPr>
                <w:sz w:val="20"/>
                <w:lang w:val="lv-LV"/>
              </w:rPr>
            </w:pPr>
            <w:r w:rsidRPr="0063021F">
              <w:rPr>
                <w:bCs/>
                <w:sz w:val="20"/>
                <w:lang w:val="lv-LV"/>
              </w:rPr>
              <w:t>Finansējuma avots:</w:t>
            </w:r>
            <w:r w:rsidR="00AE453C">
              <w:rPr>
                <w:bCs/>
                <w:sz w:val="20"/>
                <w:lang w:val="lv-LV"/>
              </w:rPr>
              <w:br/>
            </w:r>
            <w:r w:rsidRPr="00550D35">
              <w:rPr>
                <w:sz w:val="20"/>
                <w:lang w:val="lv-LV"/>
              </w:rPr>
              <w:t>ERAF 1.2.1.2.</w:t>
            </w:r>
            <w:r>
              <w:rPr>
                <w:sz w:val="20"/>
                <w:lang w:val="lv-LV"/>
              </w:rPr>
              <w:t xml:space="preserve"> pasākums</w:t>
            </w:r>
          </w:p>
        </w:tc>
        <w:tc>
          <w:tcPr>
            <w:tcW w:w="412" w:type="pct"/>
            <w:shd w:val="clear" w:color="auto" w:fill="70AD47" w:themeFill="accent6"/>
          </w:tcPr>
          <w:p w14:paraId="1B636909" w14:textId="77777777" w:rsidR="00FB4C02" w:rsidRPr="00550D35" w:rsidRDefault="00FB4C02" w:rsidP="00BA62A0">
            <w:pPr>
              <w:spacing w:before="0" w:after="0"/>
              <w:rPr>
                <w:sz w:val="20"/>
                <w:lang w:val="lv-LV"/>
              </w:rPr>
            </w:pPr>
          </w:p>
        </w:tc>
        <w:tc>
          <w:tcPr>
            <w:tcW w:w="381" w:type="pct"/>
            <w:shd w:val="clear" w:color="auto" w:fill="70AD47" w:themeFill="accent6"/>
          </w:tcPr>
          <w:p w14:paraId="4FC14AEC" w14:textId="77777777" w:rsidR="00FB4C02" w:rsidRPr="00550D35" w:rsidRDefault="00FB4C02" w:rsidP="00BA62A0">
            <w:pPr>
              <w:spacing w:before="0" w:after="0"/>
              <w:rPr>
                <w:sz w:val="20"/>
                <w:lang w:val="lv-LV"/>
              </w:rPr>
            </w:pPr>
          </w:p>
        </w:tc>
        <w:tc>
          <w:tcPr>
            <w:tcW w:w="361" w:type="pct"/>
            <w:shd w:val="clear" w:color="auto" w:fill="70AD47" w:themeFill="accent6"/>
          </w:tcPr>
          <w:p w14:paraId="4564129B" w14:textId="77777777" w:rsidR="00FB4C02" w:rsidRPr="00550D35" w:rsidRDefault="00FB4C02" w:rsidP="00BA62A0">
            <w:pPr>
              <w:spacing w:before="0" w:after="0"/>
              <w:rPr>
                <w:sz w:val="20"/>
                <w:lang w:val="lv-LV"/>
              </w:rPr>
            </w:pPr>
          </w:p>
        </w:tc>
        <w:tc>
          <w:tcPr>
            <w:tcW w:w="412" w:type="pct"/>
            <w:shd w:val="clear" w:color="auto" w:fill="70AD47" w:themeFill="accent6"/>
          </w:tcPr>
          <w:p w14:paraId="2B2A9A1A" w14:textId="77777777" w:rsidR="00FB4C02" w:rsidRPr="00550D35" w:rsidRDefault="00FB4C02" w:rsidP="00BA62A0">
            <w:pPr>
              <w:spacing w:before="0" w:after="0"/>
              <w:rPr>
                <w:sz w:val="20"/>
                <w:lang w:val="lv-LV"/>
              </w:rPr>
            </w:pPr>
          </w:p>
        </w:tc>
        <w:tc>
          <w:tcPr>
            <w:tcW w:w="411" w:type="pct"/>
          </w:tcPr>
          <w:p w14:paraId="1C66B076" w14:textId="77777777" w:rsidR="00FB4C02" w:rsidRPr="00550D35" w:rsidRDefault="00FB4C02" w:rsidP="00BA62A0">
            <w:pPr>
              <w:spacing w:before="0" w:after="0"/>
              <w:rPr>
                <w:sz w:val="20"/>
                <w:lang w:val="lv-LV"/>
              </w:rPr>
            </w:pPr>
          </w:p>
        </w:tc>
        <w:tc>
          <w:tcPr>
            <w:tcW w:w="386" w:type="pct"/>
          </w:tcPr>
          <w:p w14:paraId="2A8C709E" w14:textId="77777777" w:rsidR="00FB4C02" w:rsidRPr="00550D35" w:rsidRDefault="00FB4C02" w:rsidP="00BA62A0">
            <w:pPr>
              <w:spacing w:before="0" w:after="0"/>
              <w:rPr>
                <w:sz w:val="20"/>
                <w:lang w:val="lv-LV"/>
              </w:rPr>
            </w:pPr>
          </w:p>
        </w:tc>
        <w:tc>
          <w:tcPr>
            <w:tcW w:w="358" w:type="pct"/>
          </w:tcPr>
          <w:p w14:paraId="68C91764" w14:textId="77777777" w:rsidR="00FB4C02" w:rsidRPr="00550D35" w:rsidRDefault="00FB4C02" w:rsidP="00BA62A0">
            <w:pPr>
              <w:spacing w:before="0" w:after="0"/>
              <w:rPr>
                <w:sz w:val="20"/>
                <w:lang w:val="lv-LV"/>
              </w:rPr>
            </w:pPr>
          </w:p>
        </w:tc>
        <w:tc>
          <w:tcPr>
            <w:tcW w:w="388" w:type="pct"/>
          </w:tcPr>
          <w:p w14:paraId="059347CD" w14:textId="77777777" w:rsidR="00FB4C02" w:rsidRPr="00550D35" w:rsidRDefault="00FB4C02" w:rsidP="00BA62A0">
            <w:pPr>
              <w:spacing w:before="0" w:after="0"/>
              <w:rPr>
                <w:sz w:val="20"/>
                <w:lang w:val="lv-LV"/>
              </w:rPr>
            </w:pPr>
          </w:p>
        </w:tc>
      </w:tr>
      <w:tr w:rsidR="000C7198" w:rsidRPr="00807973" w14:paraId="48A9584A" w14:textId="77777777" w:rsidTr="00BA62A0">
        <w:tc>
          <w:tcPr>
            <w:tcW w:w="1891" w:type="pct"/>
          </w:tcPr>
          <w:p w14:paraId="11FCC62A" w14:textId="36D6B29A" w:rsidR="000C7198" w:rsidRPr="00550D35" w:rsidRDefault="000C7198" w:rsidP="000C7198">
            <w:pPr>
              <w:ind w:firstLine="0"/>
              <w:rPr>
                <w:sz w:val="20"/>
                <w:lang w:val="lv-LV"/>
              </w:rPr>
            </w:pPr>
            <w:r w:rsidRPr="00550D35">
              <w:rPr>
                <w:sz w:val="20"/>
                <w:lang w:val="lv-LV"/>
              </w:rPr>
              <w:t>Pasākums Nr.</w:t>
            </w:r>
            <w:r>
              <w:rPr>
                <w:sz w:val="20"/>
                <w:lang w:val="lv-LV"/>
              </w:rPr>
              <w:t>5</w:t>
            </w:r>
          </w:p>
          <w:p w14:paraId="05720F48" w14:textId="3A0DAC3C" w:rsidR="000C7198" w:rsidRDefault="00BA06FD" w:rsidP="00BA62A0">
            <w:pPr>
              <w:ind w:firstLine="0"/>
              <w:rPr>
                <w:b/>
                <w:bCs/>
                <w:sz w:val="20"/>
                <w:lang w:val="lv-LV"/>
              </w:rPr>
            </w:pPr>
            <w:r w:rsidRPr="009B1826">
              <w:rPr>
                <w:b/>
                <w:bCs/>
                <w:sz w:val="20"/>
                <w:lang w:val="lv-LV"/>
              </w:rPr>
              <w:t>“Produktivitātes aizdevumi inovatīviem uzņēmumiem”</w:t>
            </w:r>
          </w:p>
          <w:p w14:paraId="5BABE1C6" w14:textId="03C0E014" w:rsidR="00BA06FD" w:rsidRPr="00550D35" w:rsidRDefault="00BA06FD" w:rsidP="00BA06FD">
            <w:pPr>
              <w:ind w:firstLine="0"/>
              <w:jc w:val="left"/>
              <w:rPr>
                <w:sz w:val="20"/>
                <w:lang w:val="lv-LV"/>
              </w:rPr>
            </w:pPr>
            <w:r w:rsidRPr="0063021F">
              <w:rPr>
                <w:bCs/>
                <w:sz w:val="20"/>
                <w:lang w:val="lv-LV"/>
              </w:rPr>
              <w:t>Finansējuma avots:</w:t>
            </w:r>
            <w:r>
              <w:rPr>
                <w:bCs/>
                <w:sz w:val="20"/>
                <w:lang w:val="lv-LV"/>
              </w:rPr>
              <w:br/>
            </w:r>
            <w:r w:rsidRPr="00550D35">
              <w:rPr>
                <w:sz w:val="20"/>
                <w:lang w:val="lv-LV"/>
              </w:rPr>
              <w:t>ERAF 1.2.1.2.</w:t>
            </w:r>
            <w:r>
              <w:rPr>
                <w:sz w:val="20"/>
                <w:lang w:val="lv-LV"/>
              </w:rPr>
              <w:t xml:space="preserve"> pasākums</w:t>
            </w:r>
          </w:p>
        </w:tc>
        <w:tc>
          <w:tcPr>
            <w:tcW w:w="412" w:type="pct"/>
            <w:shd w:val="clear" w:color="auto" w:fill="70AD47" w:themeFill="accent6"/>
          </w:tcPr>
          <w:p w14:paraId="6C0140AB" w14:textId="77777777" w:rsidR="000C7198" w:rsidRPr="00550D35" w:rsidRDefault="000C7198" w:rsidP="00BA62A0">
            <w:pPr>
              <w:spacing w:before="0" w:after="0"/>
              <w:rPr>
                <w:sz w:val="20"/>
                <w:lang w:val="lv-LV"/>
              </w:rPr>
            </w:pPr>
          </w:p>
        </w:tc>
        <w:tc>
          <w:tcPr>
            <w:tcW w:w="381" w:type="pct"/>
            <w:shd w:val="clear" w:color="auto" w:fill="70AD47" w:themeFill="accent6"/>
          </w:tcPr>
          <w:p w14:paraId="071AD4DD" w14:textId="77777777" w:rsidR="000C7198" w:rsidRPr="00550D35" w:rsidRDefault="000C7198" w:rsidP="00BA62A0">
            <w:pPr>
              <w:spacing w:before="0" w:after="0"/>
              <w:rPr>
                <w:sz w:val="20"/>
                <w:lang w:val="lv-LV"/>
              </w:rPr>
            </w:pPr>
          </w:p>
        </w:tc>
        <w:tc>
          <w:tcPr>
            <w:tcW w:w="361" w:type="pct"/>
            <w:shd w:val="clear" w:color="auto" w:fill="70AD47" w:themeFill="accent6"/>
          </w:tcPr>
          <w:p w14:paraId="2B64D5C3" w14:textId="77777777" w:rsidR="000C7198" w:rsidRPr="00550D35" w:rsidRDefault="000C7198" w:rsidP="00BA62A0">
            <w:pPr>
              <w:spacing w:before="0" w:after="0"/>
              <w:rPr>
                <w:sz w:val="20"/>
                <w:lang w:val="lv-LV"/>
              </w:rPr>
            </w:pPr>
          </w:p>
        </w:tc>
        <w:tc>
          <w:tcPr>
            <w:tcW w:w="412" w:type="pct"/>
            <w:shd w:val="clear" w:color="auto" w:fill="70AD47" w:themeFill="accent6"/>
          </w:tcPr>
          <w:p w14:paraId="56696B83" w14:textId="77777777" w:rsidR="000C7198" w:rsidRPr="00550D35" w:rsidRDefault="000C7198" w:rsidP="00BA62A0">
            <w:pPr>
              <w:spacing w:before="0" w:after="0"/>
              <w:rPr>
                <w:sz w:val="20"/>
                <w:lang w:val="lv-LV"/>
              </w:rPr>
            </w:pPr>
          </w:p>
        </w:tc>
        <w:tc>
          <w:tcPr>
            <w:tcW w:w="411" w:type="pct"/>
            <w:shd w:val="clear" w:color="auto" w:fill="70AD47" w:themeFill="accent6"/>
          </w:tcPr>
          <w:p w14:paraId="254E59FB" w14:textId="77777777" w:rsidR="000C7198" w:rsidRPr="00550D35" w:rsidRDefault="000C7198" w:rsidP="00BA62A0">
            <w:pPr>
              <w:spacing w:before="0" w:after="0"/>
              <w:rPr>
                <w:sz w:val="20"/>
                <w:lang w:val="lv-LV"/>
              </w:rPr>
            </w:pPr>
          </w:p>
        </w:tc>
        <w:tc>
          <w:tcPr>
            <w:tcW w:w="386" w:type="pct"/>
            <w:shd w:val="clear" w:color="auto" w:fill="70AD47" w:themeFill="accent6"/>
          </w:tcPr>
          <w:p w14:paraId="49DEC069" w14:textId="77777777" w:rsidR="000C7198" w:rsidRPr="00550D35" w:rsidRDefault="000C7198" w:rsidP="00BA62A0">
            <w:pPr>
              <w:spacing w:before="0" w:after="0"/>
              <w:rPr>
                <w:sz w:val="20"/>
                <w:lang w:val="lv-LV"/>
              </w:rPr>
            </w:pPr>
          </w:p>
        </w:tc>
        <w:tc>
          <w:tcPr>
            <w:tcW w:w="358" w:type="pct"/>
            <w:shd w:val="clear" w:color="auto" w:fill="70AD47" w:themeFill="accent6"/>
          </w:tcPr>
          <w:p w14:paraId="018847E7" w14:textId="77777777" w:rsidR="000C7198" w:rsidRPr="00550D35" w:rsidRDefault="000C7198" w:rsidP="00BA62A0">
            <w:pPr>
              <w:spacing w:before="0" w:after="0"/>
              <w:rPr>
                <w:sz w:val="20"/>
                <w:lang w:val="lv-LV"/>
              </w:rPr>
            </w:pPr>
          </w:p>
        </w:tc>
        <w:tc>
          <w:tcPr>
            <w:tcW w:w="388" w:type="pct"/>
          </w:tcPr>
          <w:p w14:paraId="643B0E88" w14:textId="77777777" w:rsidR="000C7198" w:rsidRPr="00550D35" w:rsidRDefault="000C7198" w:rsidP="00BA62A0">
            <w:pPr>
              <w:spacing w:before="0" w:after="0"/>
              <w:rPr>
                <w:sz w:val="20"/>
                <w:lang w:val="lv-LV"/>
              </w:rPr>
            </w:pPr>
          </w:p>
        </w:tc>
      </w:tr>
      <w:tr w:rsidR="00FB4C02" w:rsidRPr="00807973" w14:paraId="5C25D9F6" w14:textId="77777777" w:rsidTr="00BA62A0">
        <w:tc>
          <w:tcPr>
            <w:tcW w:w="1891" w:type="pct"/>
          </w:tcPr>
          <w:p w14:paraId="7ED8D19D" w14:textId="3D4D8ED6" w:rsidR="00FB4C02" w:rsidRPr="00550D35" w:rsidRDefault="00FB4C02" w:rsidP="00BA62A0">
            <w:pPr>
              <w:ind w:firstLine="0"/>
              <w:rPr>
                <w:sz w:val="20"/>
                <w:lang w:val="lv-LV"/>
              </w:rPr>
            </w:pPr>
            <w:r w:rsidRPr="00550D35">
              <w:rPr>
                <w:sz w:val="20"/>
                <w:lang w:val="lv-LV"/>
              </w:rPr>
              <w:t>Pasākums Nr.</w:t>
            </w:r>
            <w:r w:rsidR="000C7198">
              <w:rPr>
                <w:sz w:val="20"/>
                <w:lang w:val="lv-LV"/>
              </w:rPr>
              <w:t>6</w:t>
            </w:r>
          </w:p>
          <w:p w14:paraId="5EEE66C0" w14:textId="77777777" w:rsidR="00FB4C02" w:rsidRPr="00507515" w:rsidRDefault="00FB4C02" w:rsidP="00BA62A0">
            <w:pPr>
              <w:ind w:firstLine="0"/>
              <w:rPr>
                <w:b/>
                <w:bCs/>
                <w:sz w:val="20"/>
                <w:lang w:val="lv-LV"/>
              </w:rPr>
            </w:pPr>
            <w:r w:rsidRPr="00550D35">
              <w:rPr>
                <w:sz w:val="20"/>
                <w:lang w:val="lv-LV"/>
              </w:rPr>
              <w:t xml:space="preserve"> </w:t>
            </w:r>
            <w:r w:rsidRPr="00507515">
              <w:rPr>
                <w:b/>
                <w:bCs/>
                <w:sz w:val="20"/>
                <w:lang w:val="lv-LV"/>
              </w:rPr>
              <w:t>“Uzņēmumu digitālo prasmju attīstība”</w:t>
            </w:r>
          </w:p>
          <w:p w14:paraId="7AE8B12F" w14:textId="77777777" w:rsidR="00FB4C02" w:rsidRPr="00550D35" w:rsidRDefault="00FB4C02" w:rsidP="00BA62A0">
            <w:pPr>
              <w:ind w:firstLine="0"/>
              <w:rPr>
                <w:sz w:val="20"/>
                <w:lang w:val="lv-LV"/>
              </w:rPr>
            </w:pPr>
            <w:r w:rsidRPr="00242B5F">
              <w:rPr>
                <w:sz w:val="20"/>
                <w:shd w:val="clear" w:color="auto" w:fill="FFFFFF" w:themeFill="background1"/>
                <w:lang w:val="lv-LV"/>
              </w:rPr>
              <w:t xml:space="preserve">Finansējuma avots: ANM plāna investīcija </w:t>
            </w:r>
            <w:r w:rsidRPr="00242B5F">
              <w:rPr>
                <w:noProof/>
                <w:sz w:val="20"/>
                <w:shd w:val="clear" w:color="auto" w:fill="FFFFFF" w:themeFill="background1"/>
                <w:lang w:val="lv-LV"/>
              </w:rPr>
              <w:t>2.3.1.2.i</w:t>
            </w:r>
          </w:p>
        </w:tc>
        <w:tc>
          <w:tcPr>
            <w:tcW w:w="412" w:type="pct"/>
            <w:shd w:val="clear" w:color="auto" w:fill="70AD47" w:themeFill="accent6"/>
          </w:tcPr>
          <w:p w14:paraId="4BE24552" w14:textId="77777777" w:rsidR="00FB4C02" w:rsidRPr="00550D35" w:rsidRDefault="00FB4C02" w:rsidP="00BA62A0">
            <w:pPr>
              <w:spacing w:before="0" w:after="0"/>
              <w:rPr>
                <w:sz w:val="20"/>
                <w:lang w:val="lv-LV"/>
              </w:rPr>
            </w:pPr>
          </w:p>
        </w:tc>
        <w:tc>
          <w:tcPr>
            <w:tcW w:w="381" w:type="pct"/>
            <w:shd w:val="clear" w:color="auto" w:fill="70AD47" w:themeFill="accent6"/>
          </w:tcPr>
          <w:p w14:paraId="428A2E56" w14:textId="77777777" w:rsidR="00FB4C02" w:rsidRPr="00550D35" w:rsidRDefault="00FB4C02" w:rsidP="00BA62A0">
            <w:pPr>
              <w:spacing w:before="0" w:after="0"/>
              <w:rPr>
                <w:sz w:val="20"/>
                <w:lang w:val="lv-LV"/>
              </w:rPr>
            </w:pPr>
          </w:p>
        </w:tc>
        <w:tc>
          <w:tcPr>
            <w:tcW w:w="361" w:type="pct"/>
            <w:shd w:val="clear" w:color="auto" w:fill="70AD47" w:themeFill="accent6"/>
          </w:tcPr>
          <w:p w14:paraId="4A206106" w14:textId="77777777" w:rsidR="00FB4C02" w:rsidRPr="00550D35" w:rsidRDefault="00FB4C02" w:rsidP="00BA62A0">
            <w:pPr>
              <w:spacing w:before="0" w:after="0"/>
              <w:rPr>
                <w:sz w:val="20"/>
                <w:lang w:val="lv-LV"/>
              </w:rPr>
            </w:pPr>
          </w:p>
        </w:tc>
        <w:tc>
          <w:tcPr>
            <w:tcW w:w="412" w:type="pct"/>
            <w:shd w:val="clear" w:color="auto" w:fill="70AD47" w:themeFill="accent6"/>
          </w:tcPr>
          <w:p w14:paraId="5736FD78" w14:textId="77777777" w:rsidR="00FB4C02" w:rsidRPr="00550D35" w:rsidRDefault="00FB4C02" w:rsidP="00BA62A0">
            <w:pPr>
              <w:spacing w:before="0" w:after="0"/>
              <w:rPr>
                <w:sz w:val="20"/>
                <w:lang w:val="lv-LV"/>
              </w:rPr>
            </w:pPr>
          </w:p>
        </w:tc>
        <w:tc>
          <w:tcPr>
            <w:tcW w:w="411" w:type="pct"/>
            <w:shd w:val="clear" w:color="auto" w:fill="70AD47" w:themeFill="accent6"/>
          </w:tcPr>
          <w:p w14:paraId="73A6B9B6" w14:textId="77777777" w:rsidR="00FB4C02" w:rsidRPr="00550D35" w:rsidRDefault="00FB4C02" w:rsidP="00BA62A0">
            <w:pPr>
              <w:spacing w:before="0" w:after="0"/>
              <w:rPr>
                <w:sz w:val="20"/>
                <w:lang w:val="lv-LV"/>
              </w:rPr>
            </w:pPr>
          </w:p>
        </w:tc>
        <w:tc>
          <w:tcPr>
            <w:tcW w:w="386" w:type="pct"/>
            <w:shd w:val="clear" w:color="auto" w:fill="70AD47" w:themeFill="accent6"/>
          </w:tcPr>
          <w:p w14:paraId="5E2F6224" w14:textId="77777777" w:rsidR="00FB4C02" w:rsidRPr="00550D35" w:rsidRDefault="00FB4C02" w:rsidP="00BA62A0">
            <w:pPr>
              <w:spacing w:before="0" w:after="0"/>
              <w:rPr>
                <w:sz w:val="20"/>
                <w:lang w:val="lv-LV"/>
              </w:rPr>
            </w:pPr>
          </w:p>
        </w:tc>
        <w:tc>
          <w:tcPr>
            <w:tcW w:w="358" w:type="pct"/>
            <w:shd w:val="clear" w:color="auto" w:fill="70AD47" w:themeFill="accent6"/>
          </w:tcPr>
          <w:p w14:paraId="5AD4F5FD" w14:textId="77777777" w:rsidR="00FB4C02" w:rsidRPr="00550D35" w:rsidRDefault="00FB4C02" w:rsidP="00BA62A0">
            <w:pPr>
              <w:spacing w:before="0" w:after="0"/>
              <w:rPr>
                <w:sz w:val="20"/>
                <w:lang w:val="lv-LV"/>
              </w:rPr>
            </w:pPr>
          </w:p>
        </w:tc>
        <w:tc>
          <w:tcPr>
            <w:tcW w:w="388" w:type="pct"/>
          </w:tcPr>
          <w:p w14:paraId="36EDCEDE" w14:textId="77777777" w:rsidR="00FB4C02" w:rsidRPr="00550D35" w:rsidRDefault="00FB4C02" w:rsidP="00BA62A0">
            <w:pPr>
              <w:spacing w:before="0" w:after="0"/>
              <w:rPr>
                <w:sz w:val="20"/>
                <w:lang w:val="lv-LV"/>
              </w:rPr>
            </w:pPr>
          </w:p>
        </w:tc>
      </w:tr>
    </w:tbl>
    <w:p w14:paraId="33279EDD" w14:textId="77777777" w:rsidR="00FB4C02" w:rsidRDefault="00FB4C02" w:rsidP="00FB4C02">
      <w:pPr>
        <w:spacing w:before="0" w:after="160" w:line="259" w:lineRule="auto"/>
        <w:ind w:firstLine="0"/>
        <w:contextualSpacing/>
        <w:jc w:val="left"/>
        <w:rPr>
          <w:lang w:val="lv-LV"/>
        </w:rPr>
      </w:pPr>
    </w:p>
    <w:p w14:paraId="12065EBA" w14:textId="77777777" w:rsidR="00FB4C02" w:rsidRPr="001C7D5D" w:rsidRDefault="00FB4C02" w:rsidP="00FB4C02">
      <w:pPr>
        <w:spacing w:before="0" w:after="160" w:line="259" w:lineRule="auto"/>
        <w:ind w:firstLine="0"/>
        <w:contextualSpacing/>
        <w:jc w:val="left"/>
        <w:rPr>
          <w:b/>
          <w:bCs/>
          <w:noProof/>
          <w:szCs w:val="24"/>
          <w:lang w:val="lv-LV"/>
        </w:rPr>
      </w:pPr>
      <w:r w:rsidRPr="001C7D5D">
        <w:rPr>
          <w:b/>
          <w:noProof/>
          <w:szCs w:val="24"/>
          <w:lang w:val="lv-LV"/>
        </w:rPr>
        <w:t>Visu to pasākumu budžets, kurus var attiecināt uz mērķrādītāju</w:t>
      </w:r>
    </w:p>
    <w:p w14:paraId="196CC244" w14:textId="77777777" w:rsidR="00FB4C02" w:rsidRPr="00550D35" w:rsidRDefault="00FB4C02" w:rsidP="00FB4C02">
      <w:pPr>
        <w:spacing w:before="0" w:after="160" w:line="259" w:lineRule="auto"/>
        <w:ind w:left="567" w:firstLine="0"/>
        <w:contextualSpacing/>
        <w:jc w:val="left"/>
        <w:rPr>
          <w:noProof/>
          <w:szCs w:val="24"/>
          <w:lang w:val="lv-LV"/>
        </w:rPr>
      </w:pPr>
      <w:r w:rsidRPr="00550D35">
        <w:rPr>
          <w:noProof/>
          <w:szCs w:val="24"/>
          <w:lang w:val="lv-LV"/>
        </w:rPr>
        <w:t xml:space="preserve">Publiskās investīcijas: </w:t>
      </w:r>
    </w:p>
    <w:p w14:paraId="7C65631F" w14:textId="7D21EB75" w:rsidR="00FB4C02" w:rsidRPr="00550D35" w:rsidRDefault="00FB4C02" w:rsidP="00FB4C02">
      <w:pPr>
        <w:pStyle w:val="ListParagraph"/>
        <w:numPr>
          <w:ilvl w:val="4"/>
          <w:numId w:val="23"/>
        </w:numPr>
        <w:spacing w:before="0" w:after="160" w:line="259" w:lineRule="auto"/>
        <w:ind w:left="2268" w:hanging="567"/>
        <w:contextualSpacing/>
        <w:jc w:val="left"/>
        <w:rPr>
          <w:noProof/>
          <w:sz w:val="24"/>
          <w:szCs w:val="24"/>
          <w:lang w:val="lv-LV"/>
        </w:rPr>
      </w:pPr>
      <w:r w:rsidRPr="00550D35">
        <w:rPr>
          <w:noProof/>
          <w:sz w:val="24"/>
          <w:szCs w:val="24"/>
          <w:lang w:val="lv-LV"/>
        </w:rPr>
        <w:t xml:space="preserve">plānotas – </w:t>
      </w:r>
      <w:r w:rsidR="00FE5FF4">
        <w:rPr>
          <w:noProof/>
          <w:sz w:val="24"/>
          <w:szCs w:val="24"/>
          <w:lang w:val="lv-LV"/>
        </w:rPr>
        <w:t>263,29</w:t>
      </w:r>
      <w:r w:rsidRPr="00550D35">
        <w:rPr>
          <w:noProof/>
          <w:sz w:val="24"/>
          <w:szCs w:val="24"/>
          <w:lang w:val="lv-LV"/>
        </w:rPr>
        <w:t> milj. </w:t>
      </w:r>
      <w:r w:rsidRPr="00550D35">
        <w:rPr>
          <w:i/>
          <w:iCs/>
          <w:noProof/>
          <w:sz w:val="24"/>
          <w:szCs w:val="24"/>
          <w:lang w:val="lv-LV"/>
        </w:rPr>
        <w:t>euro</w:t>
      </w:r>
      <w:r w:rsidRPr="00550D35">
        <w:rPr>
          <w:noProof/>
          <w:sz w:val="24"/>
          <w:szCs w:val="24"/>
          <w:lang w:val="lv-LV"/>
        </w:rPr>
        <w:t>.</w:t>
      </w:r>
    </w:p>
    <w:p w14:paraId="589893D9" w14:textId="77777777" w:rsidR="00FB4C02" w:rsidRPr="00550D35" w:rsidRDefault="00FB4C02" w:rsidP="00FB4C02">
      <w:pPr>
        <w:pStyle w:val="ListParagraph"/>
        <w:numPr>
          <w:ilvl w:val="3"/>
          <w:numId w:val="23"/>
        </w:numPr>
        <w:spacing w:before="0" w:after="160" w:line="259" w:lineRule="auto"/>
        <w:ind w:left="1134" w:firstLine="0"/>
        <w:contextualSpacing/>
        <w:jc w:val="left"/>
        <w:rPr>
          <w:noProof/>
          <w:sz w:val="24"/>
          <w:szCs w:val="24"/>
          <w:lang w:val="lv-LV"/>
        </w:rPr>
      </w:pPr>
      <w:r w:rsidRPr="00550D35">
        <w:rPr>
          <w:noProof/>
          <w:sz w:val="24"/>
          <w:szCs w:val="24"/>
          <w:lang w:val="lv-LV"/>
        </w:rPr>
        <w:t xml:space="preserve">No tām piešķirtas no valsts avotiem: </w:t>
      </w:r>
    </w:p>
    <w:p w14:paraId="706CC1C6" w14:textId="5AA4653F" w:rsidR="00FB4C02" w:rsidRPr="00550D35" w:rsidRDefault="00FB4C02" w:rsidP="00FB4C02">
      <w:pPr>
        <w:pStyle w:val="ListParagraph"/>
        <w:numPr>
          <w:ilvl w:val="4"/>
          <w:numId w:val="23"/>
        </w:numPr>
        <w:spacing w:before="0" w:after="160" w:line="259" w:lineRule="auto"/>
        <w:ind w:left="2694" w:hanging="426"/>
        <w:contextualSpacing/>
        <w:jc w:val="left"/>
        <w:rPr>
          <w:noProof/>
          <w:sz w:val="24"/>
          <w:szCs w:val="24"/>
          <w:lang w:val="lv-LV"/>
        </w:rPr>
      </w:pPr>
      <w:r w:rsidRPr="00550D35">
        <w:rPr>
          <w:noProof/>
          <w:sz w:val="24"/>
          <w:szCs w:val="24"/>
          <w:lang w:val="lv-LV"/>
        </w:rPr>
        <w:t xml:space="preserve">plānotas – </w:t>
      </w:r>
      <w:r w:rsidR="00FE5FF4">
        <w:rPr>
          <w:noProof/>
          <w:sz w:val="24"/>
          <w:szCs w:val="24"/>
          <w:lang w:val="lv-LV"/>
        </w:rPr>
        <w:t>10,34</w:t>
      </w:r>
      <w:r w:rsidRPr="00550D35">
        <w:rPr>
          <w:noProof/>
          <w:sz w:val="24"/>
          <w:szCs w:val="24"/>
          <w:lang w:val="lv-LV"/>
        </w:rPr>
        <w:t> milj. </w:t>
      </w:r>
      <w:r w:rsidRPr="00550D35">
        <w:rPr>
          <w:i/>
          <w:iCs/>
          <w:noProof/>
          <w:sz w:val="24"/>
          <w:szCs w:val="24"/>
          <w:lang w:val="lv-LV"/>
        </w:rPr>
        <w:t>euro</w:t>
      </w:r>
    </w:p>
    <w:p w14:paraId="1752AFE2" w14:textId="77777777" w:rsidR="00FB4C02" w:rsidRPr="00550D35" w:rsidRDefault="00FB4C02" w:rsidP="00FB4C02">
      <w:pPr>
        <w:pStyle w:val="ListParagraph"/>
        <w:numPr>
          <w:ilvl w:val="1"/>
          <w:numId w:val="23"/>
        </w:numPr>
        <w:spacing w:before="0" w:after="160" w:line="259" w:lineRule="auto"/>
        <w:contextualSpacing/>
        <w:jc w:val="left"/>
        <w:rPr>
          <w:noProof/>
          <w:sz w:val="24"/>
          <w:szCs w:val="24"/>
          <w:lang w:val="lv-LV"/>
        </w:rPr>
      </w:pPr>
      <w:r w:rsidRPr="00550D35">
        <w:rPr>
          <w:noProof/>
          <w:sz w:val="24"/>
          <w:szCs w:val="24"/>
          <w:lang w:val="lv-LV"/>
        </w:rPr>
        <w:t xml:space="preserve">No tām piešķirtas no ES avotiem: </w:t>
      </w:r>
    </w:p>
    <w:p w14:paraId="5A323AC1" w14:textId="58AD44E6" w:rsidR="00FB4C02" w:rsidRPr="00550D35" w:rsidRDefault="00B042CB" w:rsidP="00FB4C02">
      <w:pPr>
        <w:pStyle w:val="ListParagraph"/>
        <w:numPr>
          <w:ilvl w:val="4"/>
          <w:numId w:val="23"/>
        </w:numPr>
        <w:spacing w:before="0" w:after="160" w:line="259" w:lineRule="auto"/>
        <w:ind w:left="2694" w:hanging="426"/>
        <w:contextualSpacing/>
        <w:jc w:val="left"/>
        <w:rPr>
          <w:noProof/>
          <w:sz w:val="24"/>
          <w:szCs w:val="24"/>
          <w:lang w:val="lv-LV"/>
        </w:rPr>
      </w:pPr>
      <w:r>
        <w:rPr>
          <w:noProof/>
          <w:sz w:val="24"/>
          <w:szCs w:val="24"/>
          <w:lang w:val="lv-LV"/>
        </w:rPr>
        <w:t>p</w:t>
      </w:r>
      <w:r w:rsidR="00FB4C02" w:rsidRPr="00550D35">
        <w:rPr>
          <w:noProof/>
          <w:sz w:val="24"/>
          <w:szCs w:val="24"/>
          <w:lang w:val="lv-LV"/>
        </w:rPr>
        <w:t>lānot</w:t>
      </w:r>
      <w:r w:rsidR="00675A79">
        <w:rPr>
          <w:noProof/>
          <w:sz w:val="24"/>
          <w:szCs w:val="24"/>
          <w:lang w:val="lv-LV"/>
        </w:rPr>
        <w:t>as</w:t>
      </w:r>
      <w:r w:rsidR="00FE5FF4">
        <w:rPr>
          <w:noProof/>
          <w:sz w:val="24"/>
          <w:szCs w:val="24"/>
          <w:lang w:val="lv-LV"/>
        </w:rPr>
        <w:t xml:space="preserve"> </w:t>
      </w:r>
      <w:r w:rsidR="00FB4C02" w:rsidRPr="00550D35">
        <w:rPr>
          <w:noProof/>
          <w:sz w:val="24"/>
          <w:szCs w:val="24"/>
          <w:lang w:val="lv-LV"/>
        </w:rPr>
        <w:t>– 2</w:t>
      </w:r>
      <w:r w:rsidR="00FE5FF4">
        <w:rPr>
          <w:noProof/>
          <w:sz w:val="24"/>
          <w:szCs w:val="24"/>
          <w:lang w:val="lv-LV"/>
        </w:rPr>
        <w:t>52</w:t>
      </w:r>
      <w:r w:rsidR="00D754EC">
        <w:rPr>
          <w:noProof/>
          <w:sz w:val="24"/>
          <w:szCs w:val="24"/>
          <w:lang w:val="lv-LV"/>
        </w:rPr>
        <w:t xml:space="preserve">,95 </w:t>
      </w:r>
      <w:r w:rsidR="00FB4C02" w:rsidRPr="00550D35">
        <w:rPr>
          <w:noProof/>
          <w:sz w:val="24"/>
          <w:szCs w:val="24"/>
          <w:lang w:val="lv-LV"/>
        </w:rPr>
        <w:t>milj. </w:t>
      </w:r>
      <w:r w:rsidR="00FB4C02" w:rsidRPr="00550D35">
        <w:rPr>
          <w:i/>
          <w:iCs/>
          <w:noProof/>
          <w:sz w:val="24"/>
          <w:szCs w:val="24"/>
          <w:lang w:val="lv-LV"/>
        </w:rPr>
        <w:t>euro</w:t>
      </w:r>
      <w:r w:rsidR="00FB4C02" w:rsidRPr="00550D35">
        <w:rPr>
          <w:noProof/>
          <w:sz w:val="24"/>
          <w:szCs w:val="24"/>
          <w:lang w:val="lv-LV"/>
        </w:rPr>
        <w:t>;</w:t>
      </w:r>
    </w:p>
    <w:p w14:paraId="5404ED28" w14:textId="77777777" w:rsidR="00FB4C02" w:rsidRPr="00550D35" w:rsidRDefault="00FB4C02" w:rsidP="00FB4C02">
      <w:pPr>
        <w:spacing w:before="0" w:after="160" w:line="259" w:lineRule="auto"/>
        <w:ind w:left="567" w:firstLine="0"/>
        <w:contextualSpacing/>
        <w:jc w:val="left"/>
        <w:rPr>
          <w:noProof/>
          <w:szCs w:val="24"/>
          <w:lang w:val="lv-LV"/>
        </w:rPr>
      </w:pPr>
      <w:r w:rsidRPr="00550D35">
        <w:rPr>
          <w:noProof/>
          <w:szCs w:val="24"/>
          <w:lang w:val="lv-LV"/>
        </w:rPr>
        <w:t>Privātās investīcijas:</w:t>
      </w:r>
    </w:p>
    <w:p w14:paraId="5C0AF8B6" w14:textId="0EF5C10E" w:rsidR="00FB4C02" w:rsidRPr="00550D35" w:rsidRDefault="00FB4C02" w:rsidP="00FB4C02">
      <w:pPr>
        <w:pStyle w:val="ListParagraph"/>
        <w:numPr>
          <w:ilvl w:val="0"/>
          <w:numId w:val="44"/>
        </w:numPr>
        <w:spacing w:before="0" w:after="160" w:line="259" w:lineRule="auto"/>
        <w:contextualSpacing/>
        <w:jc w:val="left"/>
        <w:rPr>
          <w:noProof/>
          <w:sz w:val="24"/>
          <w:szCs w:val="24"/>
          <w:lang w:val="lv-LV"/>
        </w:rPr>
      </w:pPr>
      <w:r w:rsidRPr="00550D35">
        <w:rPr>
          <w:noProof/>
          <w:sz w:val="24"/>
          <w:szCs w:val="24"/>
          <w:lang w:val="lv-LV"/>
        </w:rPr>
        <w:t xml:space="preserve">plānotas </w:t>
      </w:r>
      <w:r w:rsidR="00D754EC">
        <w:rPr>
          <w:noProof/>
          <w:sz w:val="24"/>
          <w:szCs w:val="24"/>
          <w:lang w:val="lv-LV"/>
        </w:rPr>
        <w:t>–</w:t>
      </w:r>
      <w:r w:rsidRPr="00550D35">
        <w:rPr>
          <w:noProof/>
          <w:sz w:val="24"/>
          <w:szCs w:val="24"/>
          <w:lang w:val="lv-LV"/>
        </w:rPr>
        <w:t xml:space="preserve"> </w:t>
      </w:r>
      <w:r w:rsidR="00D754EC">
        <w:rPr>
          <w:noProof/>
          <w:sz w:val="24"/>
          <w:szCs w:val="24"/>
          <w:lang w:val="lv-LV"/>
        </w:rPr>
        <w:t>98,5</w:t>
      </w:r>
      <w:r w:rsidRPr="00550D35">
        <w:rPr>
          <w:noProof/>
          <w:sz w:val="24"/>
          <w:szCs w:val="24"/>
          <w:lang w:val="lv-LV"/>
        </w:rPr>
        <w:t> milj. </w:t>
      </w:r>
      <w:r w:rsidRPr="00550D35">
        <w:rPr>
          <w:i/>
          <w:iCs/>
          <w:noProof/>
          <w:sz w:val="24"/>
          <w:szCs w:val="24"/>
          <w:lang w:val="lv-LV"/>
        </w:rPr>
        <w:t>euro</w:t>
      </w:r>
      <w:r w:rsidRPr="00550D35">
        <w:rPr>
          <w:noProof/>
          <w:sz w:val="24"/>
          <w:szCs w:val="24"/>
          <w:lang w:val="lv-LV"/>
        </w:rPr>
        <w:t>.</w:t>
      </w:r>
    </w:p>
    <w:p w14:paraId="2BF44E83" w14:textId="77777777" w:rsidR="00FB4C02" w:rsidRPr="00550D35" w:rsidRDefault="00FB4C02" w:rsidP="00FB4C02">
      <w:pPr>
        <w:pStyle w:val="Heading3"/>
        <w:rPr>
          <w:lang w:val="lv-LV"/>
        </w:rPr>
      </w:pPr>
      <w:r w:rsidRPr="00550D35">
        <w:rPr>
          <w:lang w:val="lv-LV"/>
        </w:rPr>
        <w:t>Pasākumu apraksts</w:t>
      </w:r>
    </w:p>
    <w:p w14:paraId="5674BCBF" w14:textId="77777777" w:rsidR="00FB4C02" w:rsidRPr="00550D35" w:rsidRDefault="00FB4C02" w:rsidP="00FB4C02">
      <w:pPr>
        <w:ind w:firstLine="0"/>
        <w:rPr>
          <w:lang w:val="lv-LV"/>
        </w:rPr>
      </w:pPr>
      <w:r w:rsidRPr="00550D35">
        <w:rPr>
          <w:lang w:val="lv-LV"/>
        </w:rPr>
        <w:t>Sakrīt ar pasākumu aprakstu punktā 8.3., t.sk.:</w:t>
      </w:r>
    </w:p>
    <w:p w14:paraId="5779DE53" w14:textId="77777777" w:rsidR="00FB4C02" w:rsidRPr="00550D35" w:rsidRDefault="00FB4C02" w:rsidP="00FB4C02">
      <w:pPr>
        <w:spacing w:before="0" w:after="120"/>
        <w:ind w:firstLine="0"/>
        <w:contextualSpacing/>
        <w:rPr>
          <w:szCs w:val="24"/>
          <w:lang w:val="lv-LV"/>
        </w:rPr>
      </w:pPr>
      <w:r w:rsidRPr="00550D35">
        <w:rPr>
          <w:szCs w:val="24"/>
          <w:lang w:val="lv-LV"/>
        </w:rPr>
        <w:t xml:space="preserve">1. pasākums - </w:t>
      </w:r>
      <w:r w:rsidRPr="00550D35">
        <w:rPr>
          <w:iCs/>
          <w:noProof/>
          <w:szCs w:val="24"/>
          <w:lang w:val="lv-LV"/>
        </w:rPr>
        <w:t xml:space="preserve">ANM </w:t>
      </w:r>
      <w:r>
        <w:rPr>
          <w:iCs/>
          <w:noProof/>
          <w:szCs w:val="24"/>
          <w:lang w:val="lv-LV"/>
        </w:rPr>
        <w:t xml:space="preserve">plāna </w:t>
      </w:r>
      <w:r w:rsidRPr="00550D35">
        <w:rPr>
          <w:iCs/>
          <w:noProof/>
          <w:szCs w:val="24"/>
          <w:lang w:val="lv-LV"/>
        </w:rPr>
        <w:t xml:space="preserve">investīcija 2.2.1.1.i. “Atbalsts Digitālo inovāciju centru un reģionālo kontaktpunktu izveidei”; ERAF 1.2.2.1. </w:t>
      </w:r>
      <w:r>
        <w:rPr>
          <w:noProof/>
          <w:lang w:val="lv-LV"/>
        </w:rPr>
        <w:t>pasākums</w:t>
      </w:r>
      <w:r w:rsidRPr="00550D35">
        <w:rPr>
          <w:iCs/>
          <w:noProof/>
          <w:szCs w:val="24"/>
          <w:lang w:val="lv-LV"/>
        </w:rPr>
        <w:t xml:space="preserve"> “Atbalsts procesu digitalizācijai komercdarbībā” (</w:t>
      </w:r>
      <w:r w:rsidRPr="00550D35">
        <w:rPr>
          <w:szCs w:val="24"/>
          <w:lang w:val="lv-LV"/>
        </w:rPr>
        <w:t>Skat. aprakstu pie 1. pasākuma 8.3.2. apakšpunktā)</w:t>
      </w:r>
    </w:p>
    <w:p w14:paraId="7953086A" w14:textId="77777777" w:rsidR="00FB4C02" w:rsidRPr="00550D35" w:rsidRDefault="00FB4C02" w:rsidP="00FB4C02">
      <w:pPr>
        <w:pStyle w:val="Text3"/>
        <w:ind w:left="0" w:firstLine="0"/>
        <w:rPr>
          <w:szCs w:val="24"/>
          <w:lang w:val="lv-LV"/>
        </w:rPr>
      </w:pPr>
      <w:r w:rsidRPr="00550D35">
        <w:rPr>
          <w:szCs w:val="24"/>
          <w:lang w:val="lv-LV"/>
        </w:rPr>
        <w:t xml:space="preserve">2. pasākums ANM </w:t>
      </w:r>
      <w:r>
        <w:rPr>
          <w:szCs w:val="24"/>
          <w:lang w:val="lv-LV"/>
        </w:rPr>
        <w:t xml:space="preserve">plāna </w:t>
      </w:r>
      <w:r w:rsidRPr="00550D35">
        <w:rPr>
          <w:szCs w:val="24"/>
          <w:lang w:val="lv-LV"/>
        </w:rPr>
        <w:t xml:space="preserve">investīcija 2.2.1.2.i. “Atbalsts procesu </w:t>
      </w:r>
      <w:proofErr w:type="spellStart"/>
      <w:r w:rsidRPr="00550D35">
        <w:rPr>
          <w:szCs w:val="24"/>
          <w:lang w:val="lv-LV"/>
        </w:rPr>
        <w:t>digitalizācijai</w:t>
      </w:r>
      <w:proofErr w:type="spellEnd"/>
      <w:r w:rsidRPr="00550D35">
        <w:rPr>
          <w:szCs w:val="24"/>
          <w:lang w:val="lv-LV"/>
        </w:rPr>
        <w:t xml:space="preserve"> komercdarbībā” (Skat. aprakstu pie 2. pasākuma 8.3.2. apakšpunktā)</w:t>
      </w:r>
    </w:p>
    <w:p w14:paraId="0176CACA" w14:textId="77777777" w:rsidR="00FB4C02" w:rsidRPr="00550D35" w:rsidRDefault="00FB4C02" w:rsidP="00FB4C02">
      <w:pPr>
        <w:spacing w:before="0" w:after="120"/>
        <w:ind w:firstLine="0"/>
        <w:contextualSpacing/>
        <w:rPr>
          <w:rFonts w:eastAsiaTheme="minorEastAsia"/>
          <w:szCs w:val="24"/>
          <w:lang w:val="lv-LV" w:eastAsia="en-US"/>
        </w:rPr>
      </w:pPr>
      <w:r w:rsidRPr="00550D35">
        <w:rPr>
          <w:szCs w:val="24"/>
          <w:lang w:val="lv-LV"/>
        </w:rPr>
        <w:t xml:space="preserve">3. pasākums – ANM </w:t>
      </w:r>
      <w:r>
        <w:rPr>
          <w:szCs w:val="24"/>
          <w:lang w:val="lv-LV"/>
        </w:rPr>
        <w:t xml:space="preserve">plāna </w:t>
      </w:r>
      <w:r w:rsidRPr="00550D35">
        <w:rPr>
          <w:szCs w:val="24"/>
          <w:lang w:val="lv-LV"/>
        </w:rPr>
        <w:t xml:space="preserve">investīcija 2.2.1.3.i. “Atbalsts jaunu produktu un pakalpojumu ieviešanai komercdarbībā” un ERAF 1.2.1.1. </w:t>
      </w:r>
      <w:r>
        <w:rPr>
          <w:noProof/>
          <w:lang w:val="lv-LV"/>
        </w:rPr>
        <w:t>pasākums</w:t>
      </w:r>
      <w:r w:rsidRPr="00550D35">
        <w:rPr>
          <w:szCs w:val="24"/>
          <w:lang w:val="lv-LV"/>
        </w:rPr>
        <w:t xml:space="preserve"> “Atbalsts jaunu produktu attīstībai un internacionalizācijai” (Skat. aprakstu pie 3. pasākuma 8.3.2. apakšpunktā)</w:t>
      </w:r>
    </w:p>
    <w:p w14:paraId="54659813" w14:textId="77777777" w:rsidR="003E6738" w:rsidRDefault="00FB4C02" w:rsidP="00FB4C02">
      <w:pPr>
        <w:pStyle w:val="Text3"/>
        <w:ind w:left="0" w:firstLine="0"/>
        <w:rPr>
          <w:szCs w:val="24"/>
          <w:lang w:val="lv-LV"/>
        </w:rPr>
      </w:pPr>
      <w:r w:rsidRPr="00550D35">
        <w:rPr>
          <w:szCs w:val="24"/>
          <w:lang w:val="lv-LV"/>
        </w:rPr>
        <w:t xml:space="preserve">4. pasākums ANM </w:t>
      </w:r>
      <w:r>
        <w:rPr>
          <w:szCs w:val="24"/>
          <w:lang w:val="lv-LV"/>
        </w:rPr>
        <w:t xml:space="preserve">plāna </w:t>
      </w:r>
      <w:r w:rsidRPr="00550D35">
        <w:rPr>
          <w:szCs w:val="24"/>
          <w:lang w:val="lv-LV"/>
        </w:rPr>
        <w:t>investīcija 2.2.1.4.i. “Finanšu instrumenti komersantu digitālās transformācijas veicināšanai” (Skat. aprakstu pie 4. pasākuma 8.3.2. apakšpunktā)</w:t>
      </w:r>
      <w:r w:rsidR="003E6738">
        <w:rPr>
          <w:szCs w:val="24"/>
          <w:lang w:val="lv-LV"/>
        </w:rPr>
        <w:t>.</w:t>
      </w:r>
    </w:p>
    <w:p w14:paraId="35673333" w14:textId="35E918BE" w:rsidR="00B62876" w:rsidRDefault="003E6738" w:rsidP="00FB4C02">
      <w:pPr>
        <w:pStyle w:val="Text3"/>
        <w:ind w:left="0" w:firstLine="0"/>
        <w:rPr>
          <w:szCs w:val="24"/>
          <w:lang w:val="lv-LV"/>
        </w:rPr>
      </w:pPr>
      <w:r>
        <w:rPr>
          <w:szCs w:val="24"/>
          <w:lang w:val="lv-LV"/>
        </w:rPr>
        <w:lastRenderedPageBreak/>
        <w:t>P</w:t>
      </w:r>
      <w:r w:rsidR="00241AD7" w:rsidRPr="00550D35">
        <w:rPr>
          <w:szCs w:val="24"/>
          <w:lang w:val="lv-LV"/>
        </w:rPr>
        <w:t xml:space="preserve">apildus minētajiem, </w:t>
      </w:r>
      <w:r w:rsidR="00FB4C02" w:rsidRPr="00550D35">
        <w:rPr>
          <w:szCs w:val="24"/>
          <w:lang w:val="lv-LV"/>
        </w:rPr>
        <w:t xml:space="preserve"> ERAF 1.2.1.2. </w:t>
      </w:r>
      <w:r w:rsidR="00FB4C02">
        <w:rPr>
          <w:noProof/>
          <w:lang w:val="lv-LV"/>
        </w:rPr>
        <w:t>pasākums</w:t>
      </w:r>
      <w:r w:rsidR="00FB4C02" w:rsidRPr="00550D35">
        <w:rPr>
          <w:szCs w:val="24"/>
          <w:lang w:val="lv-LV"/>
        </w:rPr>
        <w:t xml:space="preserve"> “Produktivitātes aizdevumi inovatīviem uzņēmumiem”</w:t>
      </w:r>
      <w:r w:rsidR="00241AD7">
        <w:rPr>
          <w:szCs w:val="24"/>
          <w:lang w:val="lv-LV"/>
        </w:rPr>
        <w:t xml:space="preserve"> un </w:t>
      </w:r>
      <w:r w:rsidR="00241AD7" w:rsidRPr="00550D35">
        <w:rPr>
          <w:szCs w:val="24"/>
          <w:lang w:val="lv-LV"/>
        </w:rPr>
        <w:t>pasākums ANM 2.3.1.2.i. investīcija “Uzņēmumu digitālo prasmju attīstība”</w:t>
      </w:r>
      <w:r w:rsidR="00FB4C02">
        <w:rPr>
          <w:szCs w:val="24"/>
          <w:lang w:val="lv-LV"/>
        </w:rPr>
        <w:t>:</w:t>
      </w:r>
    </w:p>
    <w:tbl>
      <w:tblPr>
        <w:tblStyle w:val="TableGrid"/>
        <w:tblW w:w="8755" w:type="dxa"/>
        <w:tblLook w:val="04A0" w:firstRow="1" w:lastRow="0" w:firstColumn="1" w:lastColumn="0" w:noHBand="0" w:noVBand="1"/>
      </w:tblPr>
      <w:tblGrid>
        <w:gridCol w:w="3192"/>
        <w:gridCol w:w="5563"/>
      </w:tblGrid>
      <w:tr w:rsidR="00FB4C02" w:rsidRPr="003B2E9A" w14:paraId="4B2BBCD2" w14:textId="77777777" w:rsidTr="00BA62A0">
        <w:tc>
          <w:tcPr>
            <w:tcW w:w="8755" w:type="dxa"/>
            <w:gridSpan w:val="2"/>
          </w:tcPr>
          <w:p w14:paraId="69D27DA9" w14:textId="51E92986" w:rsidR="00FB4C02" w:rsidRPr="00410812" w:rsidRDefault="00FB4C02" w:rsidP="00BA62A0">
            <w:pPr>
              <w:ind w:hanging="120"/>
              <w:rPr>
                <w:b/>
                <w:bCs/>
                <w:sz w:val="20"/>
                <w:lang w:val="lv-LV"/>
              </w:rPr>
            </w:pPr>
            <w:r w:rsidRPr="001F584C">
              <w:rPr>
                <w:b/>
                <w:bCs/>
                <w:sz w:val="20"/>
                <w:lang w:val="lv-LV"/>
              </w:rPr>
              <w:t>Pasākums Nr.</w:t>
            </w:r>
            <w:r w:rsidR="00241AD7">
              <w:rPr>
                <w:b/>
                <w:bCs/>
                <w:sz w:val="20"/>
                <w:lang w:val="lv-LV"/>
              </w:rPr>
              <w:t>5</w:t>
            </w:r>
            <w:r w:rsidRPr="001F584C">
              <w:rPr>
                <w:b/>
                <w:bCs/>
                <w:sz w:val="20"/>
                <w:lang w:val="lv-LV"/>
              </w:rPr>
              <w:t xml:space="preserve"> </w:t>
            </w:r>
            <w:r>
              <w:rPr>
                <w:b/>
                <w:bCs/>
                <w:sz w:val="20"/>
                <w:lang w:val="lv-LV"/>
              </w:rPr>
              <w:t xml:space="preserve">- </w:t>
            </w:r>
            <w:r w:rsidRPr="009B1826">
              <w:rPr>
                <w:b/>
                <w:bCs/>
                <w:sz w:val="20"/>
                <w:lang w:val="lv-LV"/>
              </w:rPr>
              <w:t xml:space="preserve">ERAF 1.2.1.2. </w:t>
            </w:r>
            <w:r>
              <w:rPr>
                <w:b/>
                <w:bCs/>
                <w:sz w:val="20"/>
                <w:lang w:val="lv-LV"/>
              </w:rPr>
              <w:t xml:space="preserve">pasākums </w:t>
            </w:r>
            <w:r w:rsidRPr="009B1826">
              <w:rPr>
                <w:b/>
                <w:bCs/>
                <w:sz w:val="20"/>
                <w:lang w:val="lv-LV"/>
              </w:rPr>
              <w:t xml:space="preserve">“Produktivitātes aizdevumi inovatīviem uzņēmumiem” </w:t>
            </w:r>
          </w:p>
        </w:tc>
      </w:tr>
      <w:tr w:rsidR="00FB4C02" w:rsidRPr="001F584C" w14:paraId="636D5CB7" w14:textId="77777777" w:rsidTr="00BA62A0">
        <w:tc>
          <w:tcPr>
            <w:tcW w:w="3192" w:type="dxa"/>
          </w:tcPr>
          <w:p w14:paraId="67F7AADD" w14:textId="77777777" w:rsidR="00FB4C02" w:rsidRPr="001F584C" w:rsidRDefault="00FB4C02" w:rsidP="00BA62A0">
            <w:pPr>
              <w:ind w:firstLine="0"/>
              <w:rPr>
                <w:b/>
                <w:bCs/>
                <w:sz w:val="20"/>
                <w:lang w:val="lv-LV"/>
              </w:rPr>
            </w:pPr>
            <w:r w:rsidRPr="001F584C">
              <w:rPr>
                <w:b/>
                <w:bCs/>
                <w:sz w:val="20"/>
                <w:lang w:val="lv-LV"/>
              </w:rPr>
              <w:t>Jauns pasākums</w:t>
            </w:r>
          </w:p>
        </w:tc>
        <w:tc>
          <w:tcPr>
            <w:tcW w:w="5563" w:type="dxa"/>
          </w:tcPr>
          <w:p w14:paraId="2362D3AD" w14:textId="77777777" w:rsidR="00FB4C02" w:rsidRPr="001F584C" w:rsidRDefault="00AC141D" w:rsidP="00BA62A0">
            <w:pPr>
              <w:ind w:hanging="49"/>
              <w:rPr>
                <w:sz w:val="20"/>
                <w:lang w:val="lv-LV"/>
              </w:rPr>
            </w:pPr>
            <w:sdt>
              <w:sdtPr>
                <w:rPr>
                  <w:sz w:val="20"/>
                  <w:lang w:val="lv-LV"/>
                </w:rPr>
                <w:id w:val="-13852028"/>
                <w14:checkbox>
                  <w14:checked w14:val="1"/>
                  <w14:checkedState w14:val="2612" w14:font="MS Gothic"/>
                  <w14:uncheckedState w14:val="2610" w14:font="MS Gothic"/>
                </w14:checkbox>
              </w:sdtPr>
              <w:sdtEndPr/>
              <w:sdtContent>
                <w:r w:rsidR="00FB4C02">
                  <w:rPr>
                    <w:rFonts w:ascii="MS Gothic" w:eastAsia="MS Gothic" w:hAnsi="MS Gothic" w:hint="eastAsia"/>
                    <w:sz w:val="20"/>
                    <w:lang w:val="lv-LV"/>
                  </w:rPr>
                  <w:t>☒</w:t>
                </w:r>
              </w:sdtContent>
            </w:sdt>
            <w:r w:rsidR="00FB4C02">
              <w:rPr>
                <w:sz w:val="20"/>
                <w:lang w:val="lv-LV"/>
              </w:rPr>
              <w:t xml:space="preserve"> </w:t>
            </w:r>
            <w:r w:rsidR="00FB4C02" w:rsidRPr="001F584C">
              <w:rPr>
                <w:sz w:val="20"/>
                <w:lang w:val="lv-LV"/>
              </w:rPr>
              <w:t>jā</w:t>
            </w:r>
          </w:p>
          <w:p w14:paraId="215F6333" w14:textId="77777777" w:rsidR="00FB4C02" w:rsidRPr="001F584C" w:rsidRDefault="00AC141D" w:rsidP="00BA62A0">
            <w:pPr>
              <w:ind w:hanging="49"/>
              <w:rPr>
                <w:sz w:val="20"/>
                <w:lang w:val="lv-LV"/>
              </w:rPr>
            </w:pPr>
            <w:sdt>
              <w:sdtPr>
                <w:rPr>
                  <w:sz w:val="20"/>
                  <w:lang w:val="lv-LV"/>
                </w:rPr>
                <w:id w:val="135458852"/>
                <w14:checkbox>
                  <w14:checked w14:val="0"/>
                  <w14:checkedState w14:val="2612" w14:font="MS Gothic"/>
                  <w14:uncheckedState w14:val="2610" w14:font="MS Gothic"/>
                </w14:checkbox>
              </w:sdtPr>
              <w:sdtEndPr/>
              <w:sdtContent>
                <w:r w:rsidR="00FB4C02">
                  <w:rPr>
                    <w:rFonts w:ascii="MS Gothic" w:eastAsia="MS Gothic" w:hAnsi="MS Gothic" w:hint="eastAsia"/>
                    <w:sz w:val="20"/>
                    <w:lang w:val="lv-LV"/>
                  </w:rPr>
                  <w:t>☐</w:t>
                </w:r>
              </w:sdtContent>
            </w:sdt>
            <w:r w:rsidR="00FB4C02" w:rsidRPr="001F584C">
              <w:rPr>
                <w:sz w:val="20"/>
                <w:lang w:val="lv-LV"/>
              </w:rPr>
              <w:t xml:space="preserve"> nē</w:t>
            </w:r>
          </w:p>
        </w:tc>
      </w:tr>
      <w:tr w:rsidR="00FB4C02" w:rsidRPr="003B2E9A" w14:paraId="7CF52A09" w14:textId="77777777" w:rsidTr="00BA62A0">
        <w:tc>
          <w:tcPr>
            <w:tcW w:w="3192" w:type="dxa"/>
          </w:tcPr>
          <w:p w14:paraId="758AB35E" w14:textId="77777777" w:rsidR="00FB4C02" w:rsidRPr="001F584C" w:rsidRDefault="00FB4C02" w:rsidP="00BA62A0">
            <w:pPr>
              <w:ind w:firstLine="0"/>
              <w:rPr>
                <w:b/>
                <w:bCs/>
                <w:sz w:val="20"/>
                <w:lang w:val="lv-LV"/>
              </w:rPr>
            </w:pPr>
            <w:r w:rsidRPr="001F584C">
              <w:rPr>
                <w:b/>
                <w:bCs/>
                <w:sz w:val="20"/>
                <w:lang w:val="lv-LV"/>
              </w:rPr>
              <w:t>Īss pasākuma apraksts</w:t>
            </w:r>
          </w:p>
          <w:p w14:paraId="651003A6" w14:textId="77777777" w:rsidR="00FB4C02" w:rsidRPr="001F584C" w:rsidRDefault="00FB4C02" w:rsidP="00BA62A0">
            <w:pPr>
              <w:rPr>
                <w:i/>
                <w:iCs/>
                <w:sz w:val="20"/>
                <w:lang w:val="lv-LV"/>
              </w:rPr>
            </w:pPr>
          </w:p>
        </w:tc>
        <w:tc>
          <w:tcPr>
            <w:tcW w:w="5563" w:type="dxa"/>
          </w:tcPr>
          <w:p w14:paraId="3268E3BA" w14:textId="77777777" w:rsidR="00FB4C02" w:rsidRPr="00722618" w:rsidRDefault="00FB4C02" w:rsidP="00BA62A0">
            <w:pPr>
              <w:ind w:firstLine="0"/>
              <w:rPr>
                <w:sz w:val="20"/>
                <w:lang w:val="lv-LV"/>
              </w:rPr>
            </w:pPr>
            <w:r w:rsidRPr="00B51900">
              <w:rPr>
                <w:sz w:val="20"/>
                <w:lang w:val="lv-LV"/>
              </w:rPr>
              <w:t>Ar aizdevumu palīdzību paredzēts sekmēt inovatīvu uzņēmumu attīstību Latvijā, ieviešot inovatīvus ražošanas procesus, sniedzot atbalstu jaunu produktu un tehnoloģiju izveidei, kā arī palielinot privātā sektora ieguldījumus pētniecībā, attīstībā un inovācijās</w:t>
            </w:r>
            <w:r>
              <w:rPr>
                <w:sz w:val="20"/>
                <w:lang w:val="lv-LV"/>
              </w:rPr>
              <w:t>.</w:t>
            </w:r>
          </w:p>
        </w:tc>
      </w:tr>
      <w:tr w:rsidR="00FB4C02" w:rsidRPr="000E1803" w14:paraId="0F00744A" w14:textId="77777777" w:rsidTr="00BA62A0">
        <w:tc>
          <w:tcPr>
            <w:tcW w:w="3192" w:type="dxa"/>
            <w:shd w:val="clear" w:color="auto" w:fill="auto"/>
          </w:tcPr>
          <w:p w14:paraId="645AA8CF" w14:textId="29F553E4" w:rsidR="00FB4C02" w:rsidRPr="001F584C" w:rsidRDefault="00FB4C02" w:rsidP="00BA62A0">
            <w:pPr>
              <w:ind w:firstLine="0"/>
              <w:rPr>
                <w:b/>
                <w:bCs/>
                <w:sz w:val="20"/>
                <w:lang w:val="lv-LV"/>
              </w:rPr>
            </w:pPr>
            <w:r w:rsidRPr="001F584C">
              <w:rPr>
                <w:b/>
                <w:bCs/>
                <w:sz w:val="20"/>
                <w:lang w:val="lv-LV"/>
              </w:rPr>
              <w:t>Piešķirtais vai plānotais budžets un, ja atbilstoši, citi resursi</w:t>
            </w:r>
          </w:p>
        </w:tc>
        <w:tc>
          <w:tcPr>
            <w:tcW w:w="5563" w:type="dxa"/>
            <w:shd w:val="clear" w:color="auto" w:fill="auto"/>
          </w:tcPr>
          <w:p w14:paraId="5382DDC6" w14:textId="77777777" w:rsidR="001C110D" w:rsidRDefault="00FB4C02" w:rsidP="00BA62A0">
            <w:pPr>
              <w:ind w:firstLine="0"/>
              <w:rPr>
                <w:sz w:val="20"/>
                <w:lang w:val="lv-LV"/>
              </w:rPr>
            </w:pPr>
            <w:r>
              <w:rPr>
                <w:sz w:val="20"/>
                <w:lang w:val="lv-LV"/>
              </w:rPr>
              <w:t xml:space="preserve">Plānotais kopējais finansējums 68 237 555 </w:t>
            </w:r>
            <w:proofErr w:type="spellStart"/>
            <w:r w:rsidRPr="000C2466">
              <w:rPr>
                <w:i/>
                <w:iCs/>
                <w:sz w:val="20"/>
                <w:lang w:val="lv-LV"/>
              </w:rPr>
              <w:t>euro</w:t>
            </w:r>
            <w:proofErr w:type="spellEnd"/>
            <w:r>
              <w:rPr>
                <w:sz w:val="20"/>
                <w:lang w:val="lv-LV"/>
              </w:rPr>
              <w:t xml:space="preserve"> no tiem</w:t>
            </w:r>
            <w:r w:rsidR="001C110D">
              <w:rPr>
                <w:sz w:val="20"/>
                <w:lang w:val="lv-LV"/>
              </w:rPr>
              <w:t>:</w:t>
            </w:r>
          </w:p>
          <w:p w14:paraId="3407B87F" w14:textId="0D0257F1" w:rsidR="001C110D" w:rsidRDefault="001C110D" w:rsidP="00BA62A0">
            <w:pPr>
              <w:ind w:firstLine="0"/>
              <w:rPr>
                <w:i/>
                <w:iCs/>
                <w:sz w:val="20"/>
                <w:lang w:val="lv-LV"/>
              </w:rPr>
            </w:pPr>
            <w:r>
              <w:rPr>
                <w:sz w:val="20"/>
                <w:lang w:val="lv-LV"/>
              </w:rPr>
              <w:t xml:space="preserve">No </w:t>
            </w:r>
            <w:r w:rsidR="00FB4C02">
              <w:rPr>
                <w:sz w:val="20"/>
                <w:lang w:val="lv-LV"/>
              </w:rPr>
              <w:t>ERAF</w:t>
            </w:r>
            <w:r>
              <w:rPr>
                <w:sz w:val="20"/>
                <w:lang w:val="lv-LV"/>
              </w:rPr>
              <w:t>:</w:t>
            </w:r>
            <w:r w:rsidR="00FB4C02">
              <w:rPr>
                <w:sz w:val="20"/>
                <w:lang w:val="lv-LV"/>
              </w:rPr>
              <w:t xml:space="preserve"> 58 001 921 </w:t>
            </w:r>
            <w:proofErr w:type="spellStart"/>
            <w:r w:rsidR="00FB4C02" w:rsidRPr="006F4245">
              <w:rPr>
                <w:i/>
                <w:iCs/>
                <w:sz w:val="20"/>
                <w:lang w:val="lv-LV"/>
              </w:rPr>
              <w:t>euro</w:t>
            </w:r>
            <w:proofErr w:type="spellEnd"/>
            <w:r>
              <w:rPr>
                <w:i/>
                <w:iCs/>
                <w:sz w:val="20"/>
                <w:lang w:val="lv-LV"/>
              </w:rPr>
              <w:t>;</w:t>
            </w:r>
          </w:p>
          <w:p w14:paraId="234A5AA9" w14:textId="69292C1B" w:rsidR="001C110D" w:rsidRDefault="001C110D" w:rsidP="00BA62A0">
            <w:pPr>
              <w:ind w:firstLine="0"/>
              <w:rPr>
                <w:i/>
                <w:iCs/>
                <w:sz w:val="20"/>
                <w:lang w:val="lv-LV"/>
              </w:rPr>
            </w:pPr>
            <w:r>
              <w:rPr>
                <w:sz w:val="20"/>
                <w:lang w:val="lv-LV"/>
              </w:rPr>
              <w:t>No v</w:t>
            </w:r>
            <w:r w:rsidR="00FB4C02">
              <w:rPr>
                <w:sz w:val="20"/>
                <w:lang w:val="lv-LV"/>
              </w:rPr>
              <w:t>alsts budžet</w:t>
            </w:r>
            <w:r>
              <w:rPr>
                <w:sz w:val="20"/>
                <w:lang w:val="lv-LV"/>
              </w:rPr>
              <w:t>a:</w:t>
            </w:r>
            <w:r w:rsidR="00FB4C02">
              <w:rPr>
                <w:sz w:val="20"/>
                <w:lang w:val="lv-LV"/>
              </w:rPr>
              <w:t xml:space="preserve"> 10 235 634 </w:t>
            </w:r>
            <w:proofErr w:type="spellStart"/>
            <w:r w:rsidR="00FB4C02" w:rsidRPr="006F4245">
              <w:rPr>
                <w:i/>
                <w:iCs/>
                <w:sz w:val="20"/>
                <w:lang w:val="lv-LV"/>
              </w:rPr>
              <w:t>euro</w:t>
            </w:r>
            <w:proofErr w:type="spellEnd"/>
            <w:r>
              <w:rPr>
                <w:i/>
                <w:iCs/>
                <w:sz w:val="20"/>
                <w:lang w:val="lv-LV"/>
              </w:rPr>
              <w:t>;</w:t>
            </w:r>
          </w:p>
          <w:p w14:paraId="050AEBB0" w14:textId="6B8DF56D" w:rsidR="00FB4C02" w:rsidRPr="007E314F" w:rsidRDefault="00FB4C02" w:rsidP="00BA62A0">
            <w:pPr>
              <w:ind w:firstLine="0"/>
              <w:rPr>
                <w:sz w:val="20"/>
                <w:lang w:val="lv-LV"/>
              </w:rPr>
            </w:pPr>
            <w:r>
              <w:rPr>
                <w:sz w:val="20"/>
                <w:lang w:val="lv-LV"/>
              </w:rPr>
              <w:t>Papildinošas privātas investīcijas</w:t>
            </w:r>
            <w:r w:rsidR="001C110D">
              <w:rPr>
                <w:sz w:val="20"/>
                <w:lang w:val="lv-LV"/>
              </w:rPr>
              <w:t>:</w:t>
            </w:r>
            <w:r>
              <w:rPr>
                <w:sz w:val="20"/>
                <w:lang w:val="lv-LV"/>
              </w:rPr>
              <w:t xml:space="preserve"> 61 482 471 </w:t>
            </w:r>
            <w:proofErr w:type="spellStart"/>
            <w:r w:rsidRPr="006F4245">
              <w:rPr>
                <w:i/>
                <w:iCs/>
                <w:sz w:val="20"/>
                <w:lang w:val="lv-LV"/>
              </w:rPr>
              <w:t>euro</w:t>
            </w:r>
            <w:proofErr w:type="spellEnd"/>
            <w:r>
              <w:rPr>
                <w:i/>
                <w:iCs/>
                <w:sz w:val="20"/>
                <w:lang w:val="lv-LV"/>
              </w:rPr>
              <w:t>.</w:t>
            </w:r>
            <w:r>
              <w:rPr>
                <w:sz w:val="20"/>
                <w:lang w:val="lv-LV"/>
              </w:rPr>
              <w:t xml:space="preserve">  </w:t>
            </w:r>
          </w:p>
        </w:tc>
      </w:tr>
      <w:tr w:rsidR="00FB4C02" w:rsidRPr="001F584C" w14:paraId="25AF6577" w14:textId="77777777" w:rsidTr="00BA62A0">
        <w:tc>
          <w:tcPr>
            <w:tcW w:w="3192" w:type="dxa"/>
          </w:tcPr>
          <w:p w14:paraId="1F79FAF3" w14:textId="77777777" w:rsidR="00FB4C02" w:rsidRPr="001F584C" w:rsidRDefault="00FB4C02" w:rsidP="00BA62A0">
            <w:pPr>
              <w:ind w:firstLine="0"/>
              <w:rPr>
                <w:b/>
                <w:bCs/>
                <w:sz w:val="20"/>
                <w:lang w:val="lv-LV"/>
              </w:rPr>
            </w:pPr>
            <w:r w:rsidRPr="001F584C">
              <w:rPr>
                <w:b/>
                <w:bCs/>
                <w:sz w:val="20"/>
                <w:lang w:val="lv-LV"/>
              </w:rPr>
              <w:t>Sagaidāmā ietekme un laika ietvars</w:t>
            </w:r>
          </w:p>
        </w:tc>
        <w:tc>
          <w:tcPr>
            <w:tcW w:w="5563" w:type="dxa"/>
          </w:tcPr>
          <w:p w14:paraId="259CFB5E" w14:textId="77777777" w:rsidR="00FB4C02" w:rsidRDefault="00FB4C02" w:rsidP="00BA62A0">
            <w:pPr>
              <w:ind w:firstLine="0"/>
              <w:rPr>
                <w:sz w:val="20"/>
                <w:lang w:val="lv-LV"/>
              </w:rPr>
            </w:pPr>
            <w:r w:rsidRPr="001F584C">
              <w:rPr>
                <w:sz w:val="20"/>
                <w:lang w:val="lv-LV"/>
              </w:rPr>
              <w:t>Pasākum</w:t>
            </w:r>
            <w:r>
              <w:rPr>
                <w:sz w:val="20"/>
                <w:lang w:val="lv-LV"/>
              </w:rPr>
              <w:t>i</w:t>
            </w:r>
            <w:r w:rsidRPr="001F584C">
              <w:rPr>
                <w:sz w:val="20"/>
                <w:lang w:val="lv-LV"/>
              </w:rPr>
              <w:t xml:space="preserve"> ir vērst</w:t>
            </w:r>
            <w:r>
              <w:rPr>
                <w:sz w:val="20"/>
                <w:lang w:val="lv-LV"/>
              </w:rPr>
              <w:t>i</w:t>
            </w:r>
            <w:r w:rsidRPr="001F584C">
              <w:rPr>
                <w:sz w:val="20"/>
                <w:lang w:val="lv-LV"/>
              </w:rPr>
              <w:t xml:space="preserve"> uz </w:t>
            </w:r>
            <w:r w:rsidRPr="00FA604E">
              <w:rPr>
                <w:sz w:val="20"/>
                <w:lang w:val="lv-LV"/>
              </w:rPr>
              <w:t>jaunu, inovatīvu, ar augstas izaugsmes un produktivitātes potenciālu gala saņēmēju izveidi un attīstību Latvijā</w:t>
            </w:r>
            <w:r>
              <w:rPr>
                <w:sz w:val="20"/>
                <w:lang w:val="lv-LV"/>
              </w:rPr>
              <w:t xml:space="preserve">. Pasākuma ietvaros plānots atbalstīt 60 uzņēmumus. </w:t>
            </w:r>
          </w:p>
          <w:p w14:paraId="12641CBE" w14:textId="77777777" w:rsidR="00FB4C02" w:rsidRPr="001F584C" w:rsidRDefault="00FB4C02" w:rsidP="00BA62A0">
            <w:pPr>
              <w:ind w:firstLine="0"/>
              <w:rPr>
                <w:sz w:val="20"/>
                <w:lang w:val="lv-LV"/>
              </w:rPr>
            </w:pPr>
            <w:r w:rsidRPr="001F584C">
              <w:rPr>
                <w:sz w:val="20"/>
                <w:lang w:val="lv-LV"/>
              </w:rPr>
              <w:t>Programmas laika ietvars: 01.0</w:t>
            </w:r>
            <w:r>
              <w:rPr>
                <w:sz w:val="20"/>
                <w:lang w:val="lv-LV"/>
              </w:rPr>
              <w:t>4</w:t>
            </w:r>
            <w:r w:rsidRPr="001F584C">
              <w:rPr>
                <w:sz w:val="20"/>
                <w:lang w:val="lv-LV"/>
              </w:rPr>
              <w:t>.202</w:t>
            </w:r>
            <w:r>
              <w:rPr>
                <w:sz w:val="20"/>
                <w:lang w:val="lv-LV"/>
              </w:rPr>
              <w:t>4</w:t>
            </w:r>
            <w:r w:rsidRPr="001F584C">
              <w:rPr>
                <w:sz w:val="20"/>
                <w:lang w:val="lv-LV"/>
              </w:rPr>
              <w:t>. - 31.12.202</w:t>
            </w:r>
            <w:r>
              <w:rPr>
                <w:sz w:val="20"/>
                <w:lang w:val="lv-LV"/>
              </w:rPr>
              <w:t>9</w:t>
            </w:r>
            <w:r w:rsidRPr="001F584C">
              <w:rPr>
                <w:sz w:val="20"/>
                <w:lang w:val="lv-LV"/>
              </w:rPr>
              <w:t>.</w:t>
            </w:r>
          </w:p>
        </w:tc>
      </w:tr>
    </w:tbl>
    <w:p w14:paraId="6DED1875" w14:textId="7D6D4E02" w:rsidR="00FB4C02" w:rsidRDefault="00FB4C02" w:rsidP="00FB4C02">
      <w:pPr>
        <w:ind w:firstLine="0"/>
        <w:rPr>
          <w:szCs w:val="24"/>
          <w:lang w:val="lv-LV"/>
        </w:rPr>
      </w:pPr>
    </w:p>
    <w:tbl>
      <w:tblPr>
        <w:tblStyle w:val="TableGrid"/>
        <w:tblW w:w="8755" w:type="dxa"/>
        <w:tblLook w:val="04A0" w:firstRow="1" w:lastRow="0" w:firstColumn="1" w:lastColumn="0" w:noHBand="0" w:noVBand="1"/>
      </w:tblPr>
      <w:tblGrid>
        <w:gridCol w:w="3192"/>
        <w:gridCol w:w="5563"/>
      </w:tblGrid>
      <w:tr w:rsidR="00FB4C02" w:rsidRPr="003B2E9A" w14:paraId="3BC89A1C" w14:textId="77777777" w:rsidTr="00BA62A0">
        <w:tc>
          <w:tcPr>
            <w:tcW w:w="8755" w:type="dxa"/>
            <w:gridSpan w:val="2"/>
          </w:tcPr>
          <w:p w14:paraId="3BD0292E" w14:textId="4BB9ABC5" w:rsidR="00FB4C02" w:rsidRPr="00410812" w:rsidRDefault="00FB4C02" w:rsidP="00BA62A0">
            <w:pPr>
              <w:ind w:hanging="120"/>
              <w:rPr>
                <w:b/>
                <w:bCs/>
                <w:sz w:val="20"/>
                <w:lang w:val="lv-LV"/>
              </w:rPr>
            </w:pPr>
            <w:r w:rsidRPr="001F584C">
              <w:rPr>
                <w:b/>
                <w:bCs/>
                <w:sz w:val="20"/>
                <w:lang w:val="lv-LV"/>
              </w:rPr>
              <w:t>Pasākums Nr.</w:t>
            </w:r>
            <w:r w:rsidR="00241AD7">
              <w:rPr>
                <w:b/>
                <w:bCs/>
                <w:sz w:val="20"/>
                <w:lang w:val="lv-LV"/>
              </w:rPr>
              <w:t>6</w:t>
            </w:r>
            <w:r w:rsidRPr="001F584C">
              <w:rPr>
                <w:b/>
                <w:bCs/>
                <w:sz w:val="20"/>
                <w:lang w:val="lv-LV"/>
              </w:rPr>
              <w:t xml:space="preserve"> </w:t>
            </w:r>
            <w:r>
              <w:rPr>
                <w:b/>
                <w:bCs/>
                <w:sz w:val="20"/>
                <w:lang w:val="lv-LV"/>
              </w:rPr>
              <w:t xml:space="preserve">- </w:t>
            </w:r>
            <w:r w:rsidRPr="001F584C">
              <w:rPr>
                <w:b/>
                <w:bCs/>
                <w:sz w:val="20"/>
                <w:lang w:val="lv-LV"/>
              </w:rPr>
              <w:t xml:space="preserve">ANM </w:t>
            </w:r>
            <w:r>
              <w:rPr>
                <w:b/>
                <w:bCs/>
                <w:sz w:val="20"/>
                <w:lang w:val="lv-LV"/>
              </w:rPr>
              <w:t xml:space="preserve">plāna investīcija </w:t>
            </w:r>
            <w:r w:rsidRPr="001F584C">
              <w:rPr>
                <w:b/>
                <w:bCs/>
                <w:sz w:val="20"/>
                <w:lang w:val="lv-LV"/>
              </w:rPr>
              <w:t>2.3.1.2.i. "Uzņēmumu digitālo prasmju attīstība" - uzņēmumos apmācīto IKT darbinieku skaits</w:t>
            </w:r>
            <w:r>
              <w:rPr>
                <w:b/>
                <w:bCs/>
                <w:sz w:val="20"/>
                <w:lang w:val="lv-LV"/>
              </w:rPr>
              <w:t xml:space="preserve">, </w:t>
            </w:r>
            <w:r w:rsidRPr="001F584C">
              <w:rPr>
                <w:b/>
                <w:bCs/>
                <w:sz w:val="20"/>
                <w:lang w:val="lv-LV"/>
              </w:rPr>
              <w:t xml:space="preserve">ERAF 1.1.2.2. </w:t>
            </w:r>
            <w:r w:rsidR="00DE2E9C">
              <w:rPr>
                <w:b/>
                <w:bCs/>
                <w:sz w:val="20"/>
                <w:lang w:val="lv-LV"/>
              </w:rPr>
              <w:t>pasākums</w:t>
            </w:r>
            <w:r w:rsidR="00DE2E9C" w:rsidRPr="001F584C">
              <w:rPr>
                <w:b/>
                <w:bCs/>
                <w:sz w:val="20"/>
                <w:lang w:val="lv-LV"/>
              </w:rPr>
              <w:t xml:space="preserve"> </w:t>
            </w:r>
            <w:r w:rsidRPr="001F584C">
              <w:rPr>
                <w:b/>
                <w:bCs/>
                <w:sz w:val="20"/>
                <w:lang w:val="lv-LV"/>
              </w:rPr>
              <w:t>“Uzņēmumu digitālo prasmju attīstība”</w:t>
            </w:r>
          </w:p>
        </w:tc>
      </w:tr>
      <w:tr w:rsidR="00FB4C02" w:rsidRPr="00EB686C" w14:paraId="55E58F51" w14:textId="77777777" w:rsidTr="00BA62A0">
        <w:tc>
          <w:tcPr>
            <w:tcW w:w="3192" w:type="dxa"/>
          </w:tcPr>
          <w:p w14:paraId="19CCFA31" w14:textId="77777777" w:rsidR="00FB4C02" w:rsidRPr="001F584C" w:rsidRDefault="00FB4C02" w:rsidP="00BA62A0">
            <w:pPr>
              <w:ind w:firstLine="0"/>
              <w:rPr>
                <w:b/>
                <w:bCs/>
                <w:sz w:val="20"/>
                <w:lang w:val="lv-LV"/>
              </w:rPr>
            </w:pPr>
            <w:r w:rsidRPr="001F584C">
              <w:rPr>
                <w:b/>
                <w:bCs/>
                <w:sz w:val="20"/>
                <w:lang w:val="lv-LV"/>
              </w:rPr>
              <w:t>Jauns pasākums</w:t>
            </w:r>
          </w:p>
        </w:tc>
        <w:tc>
          <w:tcPr>
            <w:tcW w:w="5563" w:type="dxa"/>
          </w:tcPr>
          <w:p w14:paraId="67A6F15B" w14:textId="77777777" w:rsidR="00FB4C02" w:rsidRPr="001F584C" w:rsidRDefault="00AC141D" w:rsidP="00BA62A0">
            <w:pPr>
              <w:ind w:hanging="49"/>
              <w:rPr>
                <w:sz w:val="20"/>
                <w:lang w:val="lv-LV"/>
              </w:rPr>
            </w:pPr>
            <w:sdt>
              <w:sdtPr>
                <w:rPr>
                  <w:sz w:val="20"/>
                  <w:lang w:val="lv-LV"/>
                </w:rPr>
                <w:id w:val="-1907610"/>
                <w14:checkbox>
                  <w14:checked w14:val="0"/>
                  <w14:checkedState w14:val="2612" w14:font="MS Gothic"/>
                  <w14:uncheckedState w14:val="2610" w14:font="MS Gothic"/>
                </w14:checkbox>
              </w:sdtPr>
              <w:sdtEndPr/>
              <w:sdtContent>
                <w:r w:rsidR="00FB4C02" w:rsidRPr="00EB686C">
                  <w:rPr>
                    <w:rFonts w:ascii="Segoe UI Symbol" w:hAnsi="Segoe UI Symbol" w:cs="Segoe UI Symbol"/>
                    <w:sz w:val="20"/>
                    <w:lang w:val="lv-LV"/>
                  </w:rPr>
                  <w:t>☐</w:t>
                </w:r>
              </w:sdtContent>
            </w:sdt>
            <w:r w:rsidR="00FB4C02">
              <w:rPr>
                <w:sz w:val="20"/>
                <w:lang w:val="lv-LV"/>
              </w:rPr>
              <w:t xml:space="preserve"> </w:t>
            </w:r>
            <w:r w:rsidR="00FB4C02" w:rsidRPr="001F584C">
              <w:rPr>
                <w:sz w:val="20"/>
                <w:lang w:val="lv-LV"/>
              </w:rPr>
              <w:t>jā</w:t>
            </w:r>
          </w:p>
          <w:p w14:paraId="0A861BCF" w14:textId="77777777" w:rsidR="00FB4C02" w:rsidRPr="001F584C" w:rsidRDefault="00AC141D" w:rsidP="00BA62A0">
            <w:pPr>
              <w:ind w:hanging="49"/>
              <w:rPr>
                <w:sz w:val="20"/>
                <w:lang w:val="lv-LV"/>
              </w:rPr>
            </w:pPr>
            <w:sdt>
              <w:sdtPr>
                <w:rPr>
                  <w:sz w:val="20"/>
                  <w:lang w:val="lv-LV"/>
                </w:rPr>
                <w:id w:val="2079935871"/>
                <w14:checkbox>
                  <w14:checked w14:val="1"/>
                  <w14:checkedState w14:val="2612" w14:font="MS Gothic"/>
                  <w14:uncheckedState w14:val="2610" w14:font="MS Gothic"/>
                </w14:checkbox>
              </w:sdtPr>
              <w:sdtEndPr/>
              <w:sdtContent>
                <w:r w:rsidR="00FB4C02" w:rsidRPr="00EB686C">
                  <w:rPr>
                    <w:rFonts w:ascii="Segoe UI Symbol" w:hAnsi="Segoe UI Symbol" w:cs="Segoe UI Symbol"/>
                    <w:sz w:val="20"/>
                    <w:lang w:val="lv-LV"/>
                  </w:rPr>
                  <w:t>☒</w:t>
                </w:r>
              </w:sdtContent>
            </w:sdt>
            <w:r w:rsidR="00FB4C02" w:rsidRPr="001F584C">
              <w:rPr>
                <w:sz w:val="20"/>
                <w:lang w:val="lv-LV"/>
              </w:rPr>
              <w:t xml:space="preserve"> nē</w:t>
            </w:r>
          </w:p>
        </w:tc>
      </w:tr>
      <w:tr w:rsidR="00FB4C02" w:rsidRPr="00660FB2" w14:paraId="6FD2449F" w14:textId="77777777" w:rsidTr="00BA62A0">
        <w:tc>
          <w:tcPr>
            <w:tcW w:w="3192" w:type="dxa"/>
          </w:tcPr>
          <w:p w14:paraId="62B7FC54" w14:textId="77777777" w:rsidR="00FB4C02" w:rsidRPr="001F584C" w:rsidRDefault="00FB4C02" w:rsidP="00BA62A0">
            <w:pPr>
              <w:ind w:firstLine="0"/>
              <w:rPr>
                <w:b/>
                <w:bCs/>
                <w:sz w:val="20"/>
                <w:lang w:val="lv-LV"/>
              </w:rPr>
            </w:pPr>
            <w:r w:rsidRPr="001F584C">
              <w:rPr>
                <w:b/>
                <w:bCs/>
                <w:sz w:val="20"/>
                <w:lang w:val="lv-LV"/>
              </w:rPr>
              <w:t>Īss pasākuma apraksts</w:t>
            </w:r>
          </w:p>
          <w:p w14:paraId="4757FD8E" w14:textId="77777777" w:rsidR="00FB4C02" w:rsidRPr="001F584C" w:rsidRDefault="00FB4C02" w:rsidP="00BA62A0">
            <w:pPr>
              <w:rPr>
                <w:i/>
                <w:iCs/>
                <w:sz w:val="20"/>
                <w:lang w:val="lv-LV"/>
              </w:rPr>
            </w:pPr>
          </w:p>
        </w:tc>
        <w:tc>
          <w:tcPr>
            <w:tcW w:w="5563" w:type="dxa"/>
          </w:tcPr>
          <w:p w14:paraId="15A6FEAA" w14:textId="77777777" w:rsidR="00FB4C02" w:rsidRDefault="00FB4C02" w:rsidP="00BA62A0">
            <w:pPr>
              <w:ind w:firstLine="0"/>
              <w:rPr>
                <w:sz w:val="20"/>
                <w:lang w:val="lv-LV"/>
              </w:rPr>
            </w:pPr>
            <w:r w:rsidRPr="001F584C">
              <w:rPr>
                <w:b/>
                <w:bCs/>
                <w:sz w:val="20"/>
                <w:lang w:val="lv-LV"/>
              </w:rPr>
              <w:t xml:space="preserve">EDIC nodrošina apmācību platformas, kurās ir pieejami apmācību kursi. </w:t>
            </w:r>
            <w:r w:rsidRPr="001F584C">
              <w:rPr>
                <w:sz w:val="20"/>
                <w:lang w:val="lv-LV"/>
              </w:rPr>
              <w:t xml:space="preserve">Pēc digitālā brieduma testa veikšanas un ceļa kartes izstrādes tiek noteiktas apmācību jomas, kas jāapgūst. Programmas pirmajā kārtā finansējums tiek nodrošināts </w:t>
            </w:r>
            <w:proofErr w:type="spellStart"/>
            <w:r w:rsidRPr="001F584C">
              <w:rPr>
                <w:sz w:val="20"/>
                <w:lang w:val="lv-LV"/>
              </w:rPr>
              <w:t>granta</w:t>
            </w:r>
            <w:proofErr w:type="spellEnd"/>
            <w:r w:rsidRPr="001F584C">
              <w:rPr>
                <w:sz w:val="20"/>
                <w:lang w:val="lv-LV"/>
              </w:rPr>
              <w:t xml:space="preserve"> veidā.</w:t>
            </w:r>
          </w:p>
          <w:p w14:paraId="42847D93" w14:textId="77777777" w:rsidR="00FB4C02" w:rsidRPr="001F584C" w:rsidRDefault="00FB4C02" w:rsidP="00BA62A0">
            <w:pPr>
              <w:ind w:firstLine="0"/>
              <w:rPr>
                <w:sz w:val="20"/>
                <w:lang w:val="lv-LV"/>
              </w:rPr>
            </w:pPr>
            <w:r w:rsidRPr="001F584C">
              <w:rPr>
                <w:sz w:val="20"/>
                <w:lang w:val="lv-LV"/>
              </w:rPr>
              <w:t xml:space="preserve">Programmas otrajā kārtā finansējums tiek nodrošināts nefinansiālā atbalsta veidā. Pēc līguma noslēgšanas ar Centrālo finanšu un līgumu aģentūru </w:t>
            </w:r>
            <w:r>
              <w:rPr>
                <w:sz w:val="20"/>
                <w:lang w:val="lv-LV"/>
              </w:rPr>
              <w:t>biedrības</w:t>
            </w:r>
            <w:r w:rsidRPr="001F584C">
              <w:rPr>
                <w:sz w:val="20"/>
                <w:lang w:val="lv-LV"/>
              </w:rPr>
              <w:t xml:space="preserve"> nodrošina apmācību kursus gan tiešsaistē, gan klātienē un hibrīdā formā. Pēc gala labuma guvēja digitālā briedu</w:t>
            </w:r>
            <w:r w:rsidRPr="004F14C2">
              <w:rPr>
                <w:sz w:val="20"/>
                <w:lang w:val="lv-LV"/>
              </w:rPr>
              <w:t xml:space="preserve">ma pārbaudes pabeigšanas tiek noteiktas apmācību jomas, kas jāapgūst. </w:t>
            </w:r>
            <w:r>
              <w:rPr>
                <w:sz w:val="20"/>
                <w:lang w:val="lv-LV"/>
              </w:rPr>
              <w:t>biedrības</w:t>
            </w:r>
            <w:r w:rsidRPr="004F14C2">
              <w:rPr>
                <w:sz w:val="20"/>
                <w:lang w:val="lv-LV"/>
              </w:rPr>
              <w:t xml:space="preserve"> nodrošina</w:t>
            </w:r>
            <w:r w:rsidRPr="001F584C">
              <w:rPr>
                <w:sz w:val="20"/>
                <w:lang w:val="lv-LV"/>
              </w:rPr>
              <w:t xml:space="preserve"> pilnu apmācību procesu un sedz visas izmaksas, kas radušās to nodrošināšanai. Atbalsts pasākuma ietvaros paredzēts arī IKT speciālistu apmācībām.</w:t>
            </w:r>
          </w:p>
        </w:tc>
      </w:tr>
      <w:tr w:rsidR="00FB4C02" w:rsidRPr="002320AA" w14:paraId="68C34407" w14:textId="77777777" w:rsidTr="00BA62A0">
        <w:tc>
          <w:tcPr>
            <w:tcW w:w="3192" w:type="dxa"/>
            <w:shd w:val="clear" w:color="auto" w:fill="auto"/>
          </w:tcPr>
          <w:p w14:paraId="709F67E4" w14:textId="43A00A79" w:rsidR="00FB4C02" w:rsidRPr="001F584C" w:rsidRDefault="00FB4C02" w:rsidP="00BA62A0">
            <w:pPr>
              <w:ind w:firstLine="0"/>
              <w:rPr>
                <w:b/>
                <w:bCs/>
                <w:sz w:val="20"/>
                <w:lang w:val="lv-LV"/>
              </w:rPr>
            </w:pPr>
            <w:r w:rsidRPr="001F584C">
              <w:rPr>
                <w:b/>
                <w:bCs/>
                <w:sz w:val="20"/>
                <w:lang w:val="lv-LV"/>
              </w:rPr>
              <w:t>Piešķirtais vai plānotais budžets un, ja atbilstoši, citi resursi</w:t>
            </w:r>
          </w:p>
        </w:tc>
        <w:tc>
          <w:tcPr>
            <w:tcW w:w="5563" w:type="dxa"/>
            <w:shd w:val="clear" w:color="auto" w:fill="auto"/>
          </w:tcPr>
          <w:p w14:paraId="2E6197D5" w14:textId="77777777" w:rsidR="00FB4C02" w:rsidRDefault="00FB4C02" w:rsidP="00726EA1">
            <w:pPr>
              <w:spacing w:before="0" w:after="0"/>
              <w:ind w:firstLine="0"/>
              <w:rPr>
                <w:sz w:val="20"/>
                <w:lang w:val="lv-LV"/>
              </w:rPr>
            </w:pPr>
            <w:r w:rsidRPr="008F3E87">
              <w:rPr>
                <w:sz w:val="20"/>
                <w:lang w:val="lv-LV"/>
              </w:rPr>
              <w:t>ANM finansējums</w:t>
            </w:r>
            <w:r>
              <w:rPr>
                <w:sz w:val="20"/>
                <w:lang w:val="lv-LV"/>
              </w:rPr>
              <w:t xml:space="preserve"> </w:t>
            </w:r>
            <w:r w:rsidRPr="001F584C">
              <w:rPr>
                <w:sz w:val="20"/>
                <w:lang w:val="lv-LV"/>
              </w:rPr>
              <w:t>20</w:t>
            </w:r>
            <w:r>
              <w:rPr>
                <w:sz w:val="20"/>
                <w:lang w:val="lv-LV"/>
              </w:rPr>
              <w:t>,0</w:t>
            </w:r>
            <w:r w:rsidRPr="001F584C">
              <w:rPr>
                <w:sz w:val="20"/>
                <w:lang w:val="lv-LV"/>
              </w:rPr>
              <w:t xml:space="preserve"> milj. </w:t>
            </w:r>
            <w:r w:rsidRPr="00AA1713">
              <w:rPr>
                <w:i/>
                <w:iCs/>
                <w:sz w:val="20"/>
                <w:lang w:val="lv-LV"/>
              </w:rPr>
              <w:t> </w:t>
            </w:r>
            <w:proofErr w:type="spellStart"/>
            <w:r w:rsidRPr="00AA1713">
              <w:rPr>
                <w:i/>
                <w:iCs/>
                <w:sz w:val="20"/>
                <w:lang w:val="lv-LV"/>
              </w:rPr>
              <w:t>e</w:t>
            </w:r>
            <w:r>
              <w:rPr>
                <w:i/>
                <w:iCs/>
                <w:sz w:val="20"/>
                <w:lang w:val="lv-LV"/>
              </w:rPr>
              <w:t>u</w:t>
            </w:r>
            <w:r w:rsidRPr="00AA1713">
              <w:rPr>
                <w:i/>
                <w:iCs/>
                <w:sz w:val="20"/>
                <w:lang w:val="lv-LV"/>
              </w:rPr>
              <w:t>ro</w:t>
            </w:r>
            <w:proofErr w:type="spellEnd"/>
            <w:r w:rsidRPr="001F584C">
              <w:rPr>
                <w:sz w:val="20"/>
                <w:lang w:val="lv-LV"/>
              </w:rPr>
              <w:t>, t.sk.</w:t>
            </w:r>
            <w:r>
              <w:rPr>
                <w:sz w:val="20"/>
                <w:lang w:val="lv-LV"/>
              </w:rPr>
              <w:t>:</w:t>
            </w:r>
          </w:p>
          <w:p w14:paraId="710A7F8C" w14:textId="77777777" w:rsidR="00FB4C02" w:rsidRDefault="00FB4C02" w:rsidP="00726EA1">
            <w:pPr>
              <w:spacing w:before="0" w:after="0"/>
              <w:ind w:firstLine="0"/>
              <w:rPr>
                <w:sz w:val="20"/>
                <w:lang w:val="lv-LV"/>
              </w:rPr>
            </w:pPr>
            <w:r w:rsidRPr="001F584C">
              <w:rPr>
                <w:sz w:val="20"/>
                <w:lang w:val="lv-LV"/>
              </w:rPr>
              <w:t>1.kārtai – 12,2 milj.</w:t>
            </w:r>
            <w:r w:rsidRPr="006F4245">
              <w:rPr>
                <w:i/>
                <w:iCs/>
                <w:sz w:val="20"/>
                <w:lang w:val="lv-LV"/>
              </w:rPr>
              <w:t xml:space="preserve"> </w:t>
            </w:r>
            <w:proofErr w:type="spellStart"/>
            <w:r w:rsidRPr="006F4245">
              <w:rPr>
                <w:i/>
                <w:iCs/>
                <w:sz w:val="20"/>
                <w:lang w:val="lv-LV"/>
              </w:rPr>
              <w:t>e</w:t>
            </w:r>
            <w:r>
              <w:rPr>
                <w:i/>
                <w:iCs/>
                <w:sz w:val="20"/>
                <w:lang w:val="lv-LV"/>
              </w:rPr>
              <w:t>u</w:t>
            </w:r>
            <w:r w:rsidRPr="006F4245">
              <w:rPr>
                <w:i/>
                <w:iCs/>
                <w:sz w:val="20"/>
                <w:lang w:val="lv-LV"/>
              </w:rPr>
              <w:t>ro</w:t>
            </w:r>
            <w:proofErr w:type="spellEnd"/>
            <w:r w:rsidRPr="001F584C">
              <w:rPr>
                <w:sz w:val="20"/>
                <w:lang w:val="lv-LV"/>
              </w:rPr>
              <w:t>;</w:t>
            </w:r>
          </w:p>
          <w:p w14:paraId="3ACC0E67" w14:textId="055FF12C" w:rsidR="00FB4C02" w:rsidRPr="001F584C" w:rsidRDefault="00FB4C02" w:rsidP="00726EA1">
            <w:pPr>
              <w:spacing w:before="0" w:after="0"/>
              <w:ind w:firstLine="0"/>
              <w:rPr>
                <w:sz w:val="20"/>
                <w:lang w:val="lv-LV"/>
              </w:rPr>
            </w:pPr>
            <w:r w:rsidRPr="001F584C">
              <w:rPr>
                <w:sz w:val="20"/>
                <w:lang w:val="lv-LV"/>
              </w:rPr>
              <w:t>2.kārtai – 7,8</w:t>
            </w:r>
            <w:r>
              <w:rPr>
                <w:sz w:val="20"/>
                <w:lang w:val="lv-LV"/>
              </w:rPr>
              <w:t> </w:t>
            </w:r>
            <w:r w:rsidRPr="001F584C">
              <w:rPr>
                <w:sz w:val="20"/>
                <w:lang w:val="lv-LV"/>
              </w:rPr>
              <w:t>milj.  </w:t>
            </w:r>
            <w:proofErr w:type="spellStart"/>
            <w:r w:rsidRPr="006F4245">
              <w:rPr>
                <w:i/>
                <w:iCs/>
                <w:sz w:val="20"/>
                <w:lang w:val="lv-LV"/>
              </w:rPr>
              <w:t>e</w:t>
            </w:r>
            <w:r>
              <w:rPr>
                <w:i/>
                <w:iCs/>
                <w:sz w:val="20"/>
                <w:lang w:val="lv-LV"/>
              </w:rPr>
              <w:t>u</w:t>
            </w:r>
            <w:r w:rsidRPr="006F4245">
              <w:rPr>
                <w:i/>
                <w:iCs/>
                <w:sz w:val="20"/>
                <w:lang w:val="lv-LV"/>
              </w:rPr>
              <w:t>ro</w:t>
            </w:r>
            <w:proofErr w:type="spellEnd"/>
            <w:r>
              <w:rPr>
                <w:sz w:val="20"/>
                <w:lang w:val="lv-LV"/>
              </w:rPr>
              <w:t xml:space="preserve"> (v</w:t>
            </w:r>
            <w:r w:rsidRPr="001F584C">
              <w:rPr>
                <w:sz w:val="20"/>
                <w:lang w:val="lv-LV"/>
              </w:rPr>
              <w:t>ienam finansējuma saņēmējam ne vairāk kā 780</w:t>
            </w:r>
            <w:r>
              <w:rPr>
                <w:sz w:val="20"/>
                <w:lang w:val="lv-LV"/>
              </w:rPr>
              <w:t> </w:t>
            </w:r>
            <w:r w:rsidRPr="001F584C">
              <w:rPr>
                <w:sz w:val="20"/>
                <w:lang w:val="lv-LV"/>
              </w:rPr>
              <w:t>t</w:t>
            </w:r>
            <w:r>
              <w:rPr>
                <w:sz w:val="20"/>
                <w:lang w:val="lv-LV"/>
              </w:rPr>
              <w:t>ūkst</w:t>
            </w:r>
            <w:r w:rsidRPr="001F584C">
              <w:rPr>
                <w:sz w:val="20"/>
                <w:lang w:val="lv-LV"/>
              </w:rPr>
              <w:t>.</w:t>
            </w:r>
            <w:r w:rsidRPr="006F4245">
              <w:rPr>
                <w:i/>
                <w:iCs/>
                <w:sz w:val="20"/>
                <w:lang w:val="lv-LV"/>
              </w:rPr>
              <w:t xml:space="preserve"> </w:t>
            </w:r>
            <w:proofErr w:type="spellStart"/>
            <w:r w:rsidRPr="006F4245">
              <w:rPr>
                <w:i/>
                <w:iCs/>
                <w:sz w:val="20"/>
                <w:lang w:val="lv-LV"/>
              </w:rPr>
              <w:t>e</w:t>
            </w:r>
            <w:r>
              <w:rPr>
                <w:i/>
                <w:iCs/>
                <w:sz w:val="20"/>
                <w:lang w:val="lv-LV"/>
              </w:rPr>
              <w:t>u</w:t>
            </w:r>
            <w:r w:rsidRPr="006F4245">
              <w:rPr>
                <w:i/>
                <w:iCs/>
                <w:sz w:val="20"/>
                <w:lang w:val="lv-LV"/>
              </w:rPr>
              <w:t>ro</w:t>
            </w:r>
            <w:proofErr w:type="spellEnd"/>
            <w:r>
              <w:rPr>
                <w:sz w:val="20"/>
                <w:lang w:val="lv-LV"/>
              </w:rPr>
              <w:t>).</w:t>
            </w:r>
          </w:p>
          <w:p w14:paraId="415158AA" w14:textId="77777777" w:rsidR="00FB4C02" w:rsidRPr="007E314F" w:rsidRDefault="00FB4C02" w:rsidP="00726EA1">
            <w:pPr>
              <w:spacing w:before="0" w:after="0"/>
              <w:ind w:firstLine="0"/>
              <w:rPr>
                <w:sz w:val="20"/>
                <w:lang w:val="lv-LV"/>
              </w:rPr>
            </w:pPr>
            <w:r w:rsidRPr="001F584C">
              <w:rPr>
                <w:iCs/>
                <w:sz w:val="20"/>
                <w:lang w:val="lv-LV"/>
              </w:rPr>
              <w:t xml:space="preserve">ERAF </w:t>
            </w:r>
            <w:r>
              <w:rPr>
                <w:iCs/>
                <w:sz w:val="20"/>
                <w:lang w:val="lv-LV"/>
              </w:rPr>
              <w:t>2021-2027</w:t>
            </w:r>
            <w:r w:rsidRPr="001F584C">
              <w:rPr>
                <w:iCs/>
                <w:sz w:val="20"/>
                <w:lang w:val="lv-LV"/>
              </w:rPr>
              <w:t xml:space="preserve"> finansējums – </w:t>
            </w:r>
            <w:r w:rsidRPr="00ED2E3C">
              <w:rPr>
                <w:sz w:val="20"/>
                <w:lang w:val="lv-LV"/>
              </w:rPr>
              <w:t>10</w:t>
            </w:r>
            <w:r>
              <w:rPr>
                <w:sz w:val="20"/>
                <w:lang w:val="lv-LV"/>
              </w:rPr>
              <w:t>,0 milj. </w:t>
            </w:r>
            <w:proofErr w:type="spellStart"/>
            <w:r w:rsidRPr="006F4245">
              <w:rPr>
                <w:i/>
                <w:iCs/>
                <w:sz w:val="20"/>
                <w:lang w:val="lv-LV"/>
              </w:rPr>
              <w:t>e</w:t>
            </w:r>
            <w:r>
              <w:rPr>
                <w:i/>
                <w:iCs/>
                <w:sz w:val="20"/>
                <w:lang w:val="lv-LV"/>
              </w:rPr>
              <w:t>u</w:t>
            </w:r>
            <w:r w:rsidRPr="006F4245">
              <w:rPr>
                <w:i/>
                <w:iCs/>
                <w:sz w:val="20"/>
                <w:lang w:val="lv-LV"/>
              </w:rPr>
              <w:t>ro</w:t>
            </w:r>
            <w:proofErr w:type="spellEnd"/>
            <w:r w:rsidRPr="00ED2E3C">
              <w:rPr>
                <w:sz w:val="20"/>
                <w:lang w:val="lv-LV"/>
              </w:rPr>
              <w:t>.</w:t>
            </w:r>
          </w:p>
        </w:tc>
      </w:tr>
      <w:tr w:rsidR="00FB4C02" w:rsidRPr="007E7703" w14:paraId="379EEA96" w14:textId="77777777" w:rsidTr="00BA62A0">
        <w:tc>
          <w:tcPr>
            <w:tcW w:w="3192" w:type="dxa"/>
          </w:tcPr>
          <w:p w14:paraId="75A9937F" w14:textId="77777777" w:rsidR="0087653E" w:rsidRDefault="00FB4C02" w:rsidP="00BA62A0">
            <w:pPr>
              <w:ind w:firstLine="0"/>
              <w:rPr>
                <w:b/>
                <w:bCs/>
                <w:sz w:val="20"/>
                <w:lang w:val="lv-LV"/>
              </w:rPr>
            </w:pPr>
            <w:r w:rsidRPr="001F584C">
              <w:rPr>
                <w:b/>
                <w:bCs/>
                <w:sz w:val="20"/>
                <w:lang w:val="lv-LV"/>
              </w:rPr>
              <w:t>Sagaidāmā ietekme un laika ietvars</w:t>
            </w:r>
          </w:p>
          <w:p w14:paraId="2615AB51" w14:textId="3EA4AEDB" w:rsidR="00E26C3E" w:rsidRPr="00E26C3E" w:rsidRDefault="00E26C3E" w:rsidP="00BA62A0">
            <w:pPr>
              <w:ind w:firstLine="0"/>
              <w:rPr>
                <w:b/>
                <w:bCs/>
                <w:sz w:val="20"/>
                <w:lang w:val="lv-LV"/>
              </w:rPr>
            </w:pPr>
          </w:p>
        </w:tc>
        <w:tc>
          <w:tcPr>
            <w:tcW w:w="5563" w:type="dxa"/>
          </w:tcPr>
          <w:p w14:paraId="46B5F590" w14:textId="77777777" w:rsidR="00565EBA" w:rsidRDefault="00FB4C02" w:rsidP="00BA62A0">
            <w:pPr>
              <w:ind w:firstLine="0"/>
              <w:rPr>
                <w:sz w:val="20"/>
                <w:lang w:val="lv-LV"/>
              </w:rPr>
            </w:pPr>
            <w:r w:rsidRPr="001F584C">
              <w:rPr>
                <w:sz w:val="20"/>
                <w:lang w:val="lv-LV"/>
              </w:rPr>
              <w:t xml:space="preserve">Pasākums ir vērsts uz MVU, kas ir </w:t>
            </w:r>
            <w:proofErr w:type="spellStart"/>
            <w:r w:rsidRPr="001F584C">
              <w:rPr>
                <w:sz w:val="20"/>
                <w:lang w:val="lv-LV"/>
              </w:rPr>
              <w:t>digitalizācijas</w:t>
            </w:r>
            <w:proofErr w:type="spellEnd"/>
            <w:r w:rsidRPr="001F584C">
              <w:rPr>
                <w:sz w:val="20"/>
                <w:lang w:val="lv-LV"/>
              </w:rPr>
              <w:t xml:space="preserve"> procesa sākumā, un īpaši atbalsta to pamata </w:t>
            </w:r>
            <w:proofErr w:type="spellStart"/>
            <w:r w:rsidRPr="001F584C">
              <w:rPr>
                <w:sz w:val="20"/>
                <w:lang w:val="lv-LV"/>
              </w:rPr>
              <w:t>digitalizācijas</w:t>
            </w:r>
            <w:proofErr w:type="spellEnd"/>
            <w:r w:rsidRPr="001F584C">
              <w:rPr>
                <w:sz w:val="20"/>
                <w:lang w:val="lv-LV"/>
              </w:rPr>
              <w:t xml:space="preserve"> vajadzību attīstību. Tā kā pasākums attiecas uz visām </w:t>
            </w:r>
            <w:r>
              <w:rPr>
                <w:sz w:val="20"/>
                <w:lang w:val="lv-LV"/>
              </w:rPr>
              <w:t>komerc</w:t>
            </w:r>
            <w:r w:rsidRPr="001F584C">
              <w:rPr>
                <w:sz w:val="20"/>
                <w:lang w:val="lv-LV"/>
              </w:rPr>
              <w:t xml:space="preserve">darbības nozarēm, kurām ir dažādas vajadzības, pielietojuma jomas atšķiras. Apmācības </w:t>
            </w:r>
            <w:r>
              <w:rPr>
                <w:sz w:val="20"/>
                <w:lang w:val="lv-LV"/>
              </w:rPr>
              <w:t>tiek nodrošinātas</w:t>
            </w:r>
            <w:r w:rsidRPr="001F584C">
              <w:rPr>
                <w:sz w:val="20"/>
                <w:lang w:val="lv-LV"/>
              </w:rPr>
              <w:t xml:space="preserve"> dažādās jomās, </w:t>
            </w:r>
            <w:r>
              <w:rPr>
                <w:sz w:val="20"/>
                <w:lang w:val="lv-LV"/>
              </w:rPr>
              <w:t>kurās norit</w:t>
            </w:r>
            <w:r w:rsidRPr="001F584C">
              <w:rPr>
                <w:sz w:val="20"/>
                <w:lang w:val="lv-LV"/>
              </w:rPr>
              <w:t xml:space="preserve"> digitālā transfo</w:t>
            </w:r>
            <w:r>
              <w:rPr>
                <w:sz w:val="20"/>
                <w:lang w:val="lv-LV"/>
              </w:rPr>
              <w:t>r</w:t>
            </w:r>
            <w:r w:rsidRPr="001F584C">
              <w:rPr>
                <w:sz w:val="20"/>
                <w:lang w:val="lv-LV"/>
              </w:rPr>
              <w:t>mācija. Tāpēc ir sagaidāms, ka šis pasākums tieši veicinās digitālo transformāciju uzņēmumu konkurētspējas attīstībai.</w:t>
            </w:r>
          </w:p>
          <w:p w14:paraId="3843FB5F" w14:textId="572E40C9" w:rsidR="004A77E9" w:rsidRDefault="00FB4C02" w:rsidP="00BA62A0">
            <w:pPr>
              <w:ind w:firstLine="0"/>
              <w:rPr>
                <w:sz w:val="20"/>
                <w:lang w:val="lv-LV"/>
              </w:rPr>
            </w:pPr>
            <w:r w:rsidRPr="001F584C">
              <w:rPr>
                <w:sz w:val="20"/>
                <w:lang w:val="lv-LV"/>
              </w:rPr>
              <w:t>Ar digitālajām prasmēm atbalstīto komersantu skaits</w:t>
            </w:r>
            <w:r w:rsidR="00565EBA">
              <w:rPr>
                <w:sz w:val="20"/>
                <w:lang w:val="lv-LV"/>
              </w:rPr>
              <w:t xml:space="preserve"> (ANM finansējums:</w:t>
            </w:r>
            <w:r w:rsidRPr="001F584C">
              <w:rPr>
                <w:sz w:val="20"/>
                <w:lang w:val="lv-LV"/>
              </w:rPr>
              <w:br/>
              <w:t xml:space="preserve">- līdz 30.06.2024. - </w:t>
            </w:r>
            <w:r w:rsidR="005246D7">
              <w:rPr>
                <w:sz w:val="20"/>
                <w:lang w:val="lv-LV"/>
              </w:rPr>
              <w:t>1080</w:t>
            </w:r>
            <w:r w:rsidRPr="001F584C">
              <w:rPr>
                <w:sz w:val="20"/>
                <w:lang w:val="lv-LV"/>
              </w:rPr>
              <w:t>;</w:t>
            </w:r>
          </w:p>
          <w:p w14:paraId="5A9C7040" w14:textId="722CDF5C" w:rsidR="004A77E9" w:rsidRDefault="00FB4C02" w:rsidP="00BA62A0">
            <w:pPr>
              <w:ind w:firstLine="0"/>
              <w:rPr>
                <w:sz w:val="20"/>
                <w:lang w:val="lv-LV"/>
              </w:rPr>
            </w:pPr>
            <w:r w:rsidRPr="001F584C">
              <w:rPr>
                <w:sz w:val="20"/>
                <w:lang w:val="lv-LV"/>
              </w:rPr>
              <w:t xml:space="preserve">- līdz 30.06.2026. </w:t>
            </w:r>
            <w:r w:rsidR="00565EBA">
              <w:rPr>
                <w:sz w:val="20"/>
                <w:lang w:val="lv-LV"/>
              </w:rPr>
              <w:t>–</w:t>
            </w:r>
            <w:r w:rsidRPr="001F584C">
              <w:rPr>
                <w:sz w:val="20"/>
                <w:lang w:val="lv-LV"/>
              </w:rPr>
              <w:t xml:space="preserve"> </w:t>
            </w:r>
            <w:r w:rsidR="005246D7">
              <w:rPr>
                <w:sz w:val="20"/>
                <w:lang w:val="lv-LV"/>
              </w:rPr>
              <w:t>2521</w:t>
            </w:r>
            <w:r w:rsidR="00565EBA">
              <w:rPr>
                <w:sz w:val="20"/>
                <w:lang w:val="lv-LV"/>
              </w:rPr>
              <w:t>.</w:t>
            </w:r>
          </w:p>
          <w:p w14:paraId="12778030" w14:textId="0C5AA64E" w:rsidR="00565EBA" w:rsidRDefault="00565EBA" w:rsidP="00BA62A0">
            <w:pPr>
              <w:ind w:firstLine="0"/>
              <w:rPr>
                <w:sz w:val="20"/>
                <w:lang w:val="lv-LV"/>
              </w:rPr>
            </w:pPr>
            <w:r w:rsidRPr="001F584C">
              <w:rPr>
                <w:sz w:val="20"/>
                <w:lang w:val="lv-LV"/>
              </w:rPr>
              <w:lastRenderedPageBreak/>
              <w:t>Ar digitālajām prasmēm atbalstīto komersantu skaits</w:t>
            </w:r>
            <w:r>
              <w:rPr>
                <w:sz w:val="20"/>
                <w:lang w:val="lv-LV"/>
              </w:rPr>
              <w:t xml:space="preserve"> (ERAF finansējums):</w:t>
            </w:r>
          </w:p>
          <w:p w14:paraId="285A160C" w14:textId="3A428C92" w:rsidR="00FB4C02" w:rsidRPr="001F584C" w:rsidRDefault="004A77E9" w:rsidP="00BA62A0">
            <w:pPr>
              <w:ind w:firstLine="0"/>
              <w:rPr>
                <w:sz w:val="20"/>
                <w:lang w:val="lv-LV"/>
              </w:rPr>
            </w:pPr>
            <w:r>
              <w:rPr>
                <w:sz w:val="20"/>
                <w:lang w:val="lv-LV"/>
              </w:rPr>
              <w:t xml:space="preserve">- </w:t>
            </w:r>
            <w:r w:rsidR="00FB4C02" w:rsidRPr="001F584C">
              <w:rPr>
                <w:sz w:val="20"/>
                <w:lang w:val="lv-LV"/>
              </w:rPr>
              <w:t xml:space="preserve">līdz 31.12.2029. </w:t>
            </w:r>
            <w:r w:rsidR="00565EBA">
              <w:rPr>
                <w:sz w:val="20"/>
                <w:lang w:val="lv-LV"/>
              </w:rPr>
              <w:t xml:space="preserve">- </w:t>
            </w:r>
            <w:r w:rsidR="00FB4C02" w:rsidRPr="001F584C">
              <w:rPr>
                <w:sz w:val="20"/>
                <w:lang w:val="lv-LV"/>
              </w:rPr>
              <w:t>1161</w:t>
            </w:r>
            <w:r w:rsidR="00FB4C02">
              <w:rPr>
                <w:sz w:val="20"/>
                <w:lang w:val="lv-LV"/>
              </w:rPr>
              <w:t>.</w:t>
            </w:r>
          </w:p>
          <w:p w14:paraId="230C991C" w14:textId="2A84D25B" w:rsidR="00FB4C02" w:rsidRPr="001F584C" w:rsidRDefault="00565EBA" w:rsidP="00BA62A0">
            <w:pPr>
              <w:ind w:firstLine="0"/>
              <w:rPr>
                <w:sz w:val="20"/>
                <w:lang w:val="lv-LV"/>
              </w:rPr>
            </w:pPr>
            <w:r>
              <w:rPr>
                <w:sz w:val="20"/>
                <w:lang w:val="lv-LV"/>
              </w:rPr>
              <w:t xml:space="preserve">ANM </w:t>
            </w:r>
            <w:r w:rsidR="007E7703">
              <w:rPr>
                <w:sz w:val="20"/>
                <w:lang w:val="lv-LV"/>
              </w:rPr>
              <w:t>finansētās p</w:t>
            </w:r>
            <w:r w:rsidR="00FB4C02" w:rsidRPr="001F584C">
              <w:rPr>
                <w:sz w:val="20"/>
                <w:lang w:val="lv-LV"/>
              </w:rPr>
              <w:t xml:space="preserve">rogrammas laika ietvars: 01.07.2023. </w:t>
            </w:r>
            <w:r w:rsidR="00FB4C02">
              <w:rPr>
                <w:sz w:val="20"/>
                <w:lang w:val="lv-LV"/>
              </w:rPr>
              <w:t>–</w:t>
            </w:r>
            <w:r w:rsidR="00FB4C02" w:rsidRPr="001F584C">
              <w:rPr>
                <w:sz w:val="20"/>
                <w:lang w:val="lv-LV"/>
              </w:rPr>
              <w:t xml:space="preserve"> </w:t>
            </w:r>
            <w:r w:rsidR="00FB4C02">
              <w:rPr>
                <w:sz w:val="20"/>
                <w:lang w:val="lv-LV"/>
              </w:rPr>
              <w:t>30.06</w:t>
            </w:r>
            <w:r w:rsidR="00FB4C02" w:rsidRPr="001F584C">
              <w:rPr>
                <w:sz w:val="20"/>
                <w:lang w:val="lv-LV"/>
              </w:rPr>
              <w:t>.2026.</w:t>
            </w:r>
          </w:p>
          <w:p w14:paraId="7052E819" w14:textId="38C79108" w:rsidR="00FB4C02" w:rsidRPr="001F584C" w:rsidRDefault="00FB4C02" w:rsidP="00BA62A0">
            <w:pPr>
              <w:ind w:firstLine="0"/>
              <w:rPr>
                <w:sz w:val="20"/>
                <w:lang w:val="lv-LV"/>
              </w:rPr>
            </w:pPr>
            <w:r w:rsidRPr="001F584C">
              <w:rPr>
                <w:sz w:val="20"/>
                <w:lang w:val="lv-LV"/>
              </w:rPr>
              <w:t xml:space="preserve">ERAF </w:t>
            </w:r>
            <w:r w:rsidR="007E7703">
              <w:rPr>
                <w:sz w:val="20"/>
                <w:lang w:val="lv-LV"/>
              </w:rPr>
              <w:t>finansētā p</w:t>
            </w:r>
            <w:r w:rsidR="007E7703" w:rsidRPr="001F584C">
              <w:rPr>
                <w:sz w:val="20"/>
                <w:lang w:val="lv-LV"/>
              </w:rPr>
              <w:t>rogramma</w:t>
            </w:r>
            <w:r w:rsidR="002D7A4F">
              <w:rPr>
                <w:sz w:val="20"/>
                <w:lang w:val="lv-LV"/>
              </w:rPr>
              <w:t xml:space="preserve"> darbojas līdz</w:t>
            </w:r>
            <w:r w:rsidR="007E7703" w:rsidRPr="001F584C">
              <w:rPr>
                <w:sz w:val="20"/>
                <w:lang w:val="lv-LV"/>
              </w:rPr>
              <w:t xml:space="preserve"> </w:t>
            </w:r>
            <w:r w:rsidR="00035EA3" w:rsidRPr="001F584C">
              <w:rPr>
                <w:sz w:val="20"/>
                <w:lang w:val="lv-LV"/>
              </w:rPr>
              <w:t>31.12.</w:t>
            </w:r>
            <w:r w:rsidRPr="001F584C">
              <w:rPr>
                <w:sz w:val="20"/>
                <w:lang w:val="lv-LV"/>
              </w:rPr>
              <w:t>2029.</w:t>
            </w:r>
          </w:p>
        </w:tc>
      </w:tr>
    </w:tbl>
    <w:p w14:paraId="669A5EB9" w14:textId="77777777" w:rsidR="00FB4C02" w:rsidRPr="00550D35" w:rsidRDefault="00FB4C02" w:rsidP="00FB4C02">
      <w:pPr>
        <w:pStyle w:val="Text3"/>
        <w:ind w:left="0" w:firstLine="0"/>
        <w:rPr>
          <w:lang w:val="lv-LV"/>
        </w:rPr>
      </w:pPr>
    </w:p>
    <w:p w14:paraId="4B30BE11" w14:textId="77777777" w:rsidR="00FB4C02" w:rsidRPr="00550D35" w:rsidRDefault="00FB4C02" w:rsidP="00FB4C02">
      <w:pPr>
        <w:pStyle w:val="Heading2"/>
        <w:rPr>
          <w:lang w:val="lv-LV"/>
        </w:rPr>
      </w:pPr>
      <w:r w:rsidRPr="00550D35">
        <w:rPr>
          <w:lang w:val="lv-LV"/>
        </w:rPr>
        <w:t>Galvenā politika, pasākumi un darbības, kas paredzēti, lai palīdzētu sasniegt vispārīgos mērķus.</w:t>
      </w:r>
    </w:p>
    <w:p w14:paraId="27F86A5E" w14:textId="77777777" w:rsidR="00FB4C02" w:rsidRPr="00550D35" w:rsidRDefault="00FB4C02" w:rsidP="00FB4C02">
      <w:pPr>
        <w:spacing w:before="0" w:after="160" w:line="259" w:lineRule="auto"/>
        <w:contextualSpacing/>
        <w:rPr>
          <w:noProof/>
          <w:lang w:val="lv-LV"/>
        </w:rPr>
      </w:pPr>
    </w:p>
    <w:p w14:paraId="001569F9" w14:textId="77777777" w:rsidR="00FB4C02" w:rsidRPr="00550D35" w:rsidRDefault="00FB4C02" w:rsidP="00FB4C02">
      <w:pPr>
        <w:shd w:val="clear" w:color="auto" w:fill="FFFFFF" w:themeFill="background1"/>
        <w:ind w:firstLine="426"/>
        <w:rPr>
          <w:lang w:val="lv-LV"/>
        </w:rPr>
      </w:pPr>
      <w:r w:rsidRPr="00550D35">
        <w:rPr>
          <w:lang w:val="lv-LV"/>
        </w:rPr>
        <w:t xml:space="preserve">Īstenojamā politika, pasākumi un darbības KPI “MVU ar vismaz pamata digitālās intensitātes līmeni” jomā sniedz ieguldījumu nodrošinot piekļuvi digitālajām tehnoloģijām, veicina digitālo spēju izvēršanu un izmantošanu nolūkā piekļuvi digitālajām tehnoloģijām un datiem, lai panāktu augstu digitālās intensitātes un inovācijas līmeni ES uzņēmumos, jo īpaši </w:t>
      </w:r>
      <w:proofErr w:type="spellStart"/>
      <w:r w:rsidRPr="00550D35">
        <w:rPr>
          <w:lang w:val="lv-LV"/>
        </w:rPr>
        <w:t>jaunuzņēmumos</w:t>
      </w:r>
      <w:proofErr w:type="spellEnd"/>
      <w:r w:rsidRPr="00550D35">
        <w:rPr>
          <w:lang w:val="lv-LV"/>
        </w:rPr>
        <w:t xml:space="preserve"> un MVU. Tāpat arī  ES līderības un suverenitātes veicināšanā, atbalstot ES rūpniecības un ekonomikas, jo īpaši MVU, konkurētspēju un ilgtspēju īstenojot ceļveža Latvijai 11.3. punktā aprakstītajiem pasākumiem. </w:t>
      </w:r>
    </w:p>
    <w:p w14:paraId="508F366B" w14:textId="77777777" w:rsidR="00FB4C02" w:rsidRPr="00550D35" w:rsidRDefault="00FB4C02" w:rsidP="00FB4C02">
      <w:pPr>
        <w:pStyle w:val="Heading2"/>
        <w:rPr>
          <w:lang w:val="lv-LV"/>
        </w:rPr>
      </w:pPr>
      <w:r w:rsidRPr="00550D35">
        <w:rPr>
          <w:lang w:val="lv-LV"/>
        </w:rPr>
        <w:t>ES līmeņa sadarbība</w:t>
      </w:r>
    </w:p>
    <w:p w14:paraId="21279339" w14:textId="77777777" w:rsidR="00FB4C02" w:rsidRPr="00550D35" w:rsidRDefault="00FB4C02" w:rsidP="00FB4C02">
      <w:pPr>
        <w:pStyle w:val="Heading3"/>
        <w:rPr>
          <w:lang w:val="lv-LV"/>
        </w:rPr>
      </w:pPr>
      <w:r w:rsidRPr="00550D35">
        <w:rPr>
          <w:lang w:val="lv-LV"/>
        </w:rPr>
        <w:t>Daudzvalstu projekti</w:t>
      </w:r>
    </w:p>
    <w:p w14:paraId="0647A57D" w14:textId="77777777" w:rsidR="00FB4C02" w:rsidRPr="00550D35" w:rsidRDefault="00FB4C02" w:rsidP="00FB4C02">
      <w:pPr>
        <w:rPr>
          <w:lang w:val="lv-LV"/>
        </w:rPr>
      </w:pPr>
      <w:r w:rsidRPr="00550D35">
        <w:rPr>
          <w:lang w:val="lv-LV"/>
        </w:rPr>
        <w:t xml:space="preserve">Ceļveža sagatavošanas laikā nav identificēti 1) </w:t>
      </w:r>
      <w:r w:rsidRPr="00550D35">
        <w:rPr>
          <w:noProof/>
          <w:lang w:val="lv-LV"/>
        </w:rPr>
        <w:t xml:space="preserve">daudzvalstu projekti, kas iekļauti pielikumā norādīto </w:t>
      </w:r>
      <w:r w:rsidRPr="00550D35">
        <w:rPr>
          <w:i/>
          <w:noProof/>
          <w:lang w:val="lv-LV"/>
        </w:rPr>
        <w:t>daudzvalstu</w:t>
      </w:r>
      <w:r w:rsidRPr="00550D35">
        <w:rPr>
          <w:noProof/>
          <w:lang w:val="lv-LV"/>
        </w:rPr>
        <w:t xml:space="preserve"> projektu jomu sarakstā vai dalībvalsts apņemas vai plāno uzņemties nākotnē;</w:t>
      </w:r>
      <w:r w:rsidRPr="00550D35">
        <w:rPr>
          <w:lang w:val="lv-LV"/>
        </w:rPr>
        <w:t xml:space="preserve"> 2) iespējamie jaunie daudzvalstu projekti, kuri vēl nav iekļauti Dekādes programmas lēmuma pielikumā minēto darbības jomu sarakstā, bet kuras  dalībvalsts uzskata par nepieciešamām; 3) Kopīgas apņemšanās, kurās dalībvalsts piedalās vai plāno iesaistīties.</w:t>
      </w:r>
    </w:p>
    <w:p w14:paraId="05A44D3C" w14:textId="77777777" w:rsidR="00FB4C02" w:rsidRPr="00550D35" w:rsidRDefault="00FB4C02" w:rsidP="00FB4C02">
      <w:pPr>
        <w:pStyle w:val="Heading3"/>
        <w:rPr>
          <w:lang w:val="lv-LV"/>
        </w:rPr>
      </w:pPr>
      <w:r w:rsidRPr="00550D35">
        <w:rPr>
          <w:lang w:val="lv-LV"/>
        </w:rPr>
        <w:t>Veicinošie faktori ES līmenī</w:t>
      </w:r>
    </w:p>
    <w:p w14:paraId="0B339958" w14:textId="77777777" w:rsidR="00FB4C02" w:rsidRPr="00550D35" w:rsidRDefault="00FB4C02" w:rsidP="00FB4C02">
      <w:pPr>
        <w:rPr>
          <w:lang w:val="lv-LV"/>
        </w:rPr>
      </w:pPr>
      <w:r w:rsidRPr="00550D35">
        <w:rPr>
          <w:lang w:val="lv-LV"/>
        </w:rPr>
        <w:t xml:space="preserve">Īpaši jāuzsver ANM investīciju nozīmi Latvijas iedzīvotāju prasmju attīstības kontekstā, jo ANM plāna investīcijas ir paredzētas digitālo prasmju attīstības pasākumiem, aptverot gan </w:t>
      </w:r>
      <w:proofErr w:type="spellStart"/>
      <w:r w:rsidRPr="00550D35">
        <w:rPr>
          <w:lang w:val="lv-LV"/>
        </w:rPr>
        <w:t>pamatprasmes</w:t>
      </w:r>
      <w:proofErr w:type="spellEnd"/>
      <w:r w:rsidRPr="00550D35">
        <w:rPr>
          <w:lang w:val="lv-LV"/>
        </w:rPr>
        <w:t xml:space="preserve"> gan stimulējot augsta līmeņa digitālo prasmju attīstības pieeju, gan arī attīstot uzņēmumu digitālās spējas, investējot darbinieku digitālo prasmju uzlabošanā.</w:t>
      </w:r>
    </w:p>
    <w:p w14:paraId="558E6E54" w14:textId="67022A59" w:rsidR="00FB4C02" w:rsidRPr="00550D35" w:rsidRDefault="00FB4C02" w:rsidP="00FB4C02">
      <w:pPr>
        <w:rPr>
          <w:lang w:val="lv-LV"/>
        </w:rPr>
      </w:pPr>
      <w:r w:rsidRPr="00550D35">
        <w:rPr>
          <w:lang w:val="lv-LV"/>
        </w:rPr>
        <w:t xml:space="preserve">Darbības šī KPI ES mērķa sasniegšanai ir tieši saistītas ar EDIC un to tīklu, kuri izveidoti īstenojot </w:t>
      </w:r>
      <w:r w:rsidR="00FB00D5">
        <w:rPr>
          <w:lang w:val="lv-LV"/>
        </w:rPr>
        <w:t>DEP</w:t>
      </w:r>
      <w:r w:rsidRPr="00550D35">
        <w:rPr>
          <w:lang w:val="lv-LV"/>
        </w:rPr>
        <w:t xml:space="preserve"> ar mērķi palīdzēt uzņēmumiem un citiem saimnieciskās darbības veicējiem komercdarbībā ieviest digitālos risinājumus, t.sk., nodrošinot nepieciešamo apmācību un veicinot MVU sasniegt vismaz pamata digitālās intensitātes līmeni komercdarbībā.</w:t>
      </w:r>
    </w:p>
    <w:p w14:paraId="542B708B" w14:textId="77777777" w:rsidR="00FB4C02" w:rsidRPr="00550D35" w:rsidRDefault="00FB4C02" w:rsidP="00FB4C02">
      <w:pPr>
        <w:rPr>
          <w:lang w:val="lv-LV"/>
        </w:rPr>
      </w:pPr>
      <w:r w:rsidRPr="00550D35">
        <w:rPr>
          <w:lang w:val="lv-LV"/>
        </w:rPr>
        <w:t>Ieviešot minētos pasākumus, tiks veicināta MVU digitālās intensitātes līmeņa paaugstināšana vismaz pamata līmenī nacionālajā līmenī, tādējādi veicinot komercdarbības digitālo izaugsmi, sniedzot ietekmi digitālās desmitgades rādītāju sasniegšanā MVU ar vismaz pamata digitālās intensitātes līmeņa skaita palielināšanā.</w:t>
      </w:r>
    </w:p>
    <w:p w14:paraId="21897125" w14:textId="77777777" w:rsidR="00FB4C02" w:rsidRPr="00550D35" w:rsidRDefault="00FB4C02" w:rsidP="00FB4C02">
      <w:pPr>
        <w:pStyle w:val="Heading2"/>
        <w:rPr>
          <w:lang w:val="lv-LV"/>
        </w:rPr>
      </w:pPr>
      <w:r w:rsidRPr="00550D35">
        <w:rPr>
          <w:lang w:val="lv-LV"/>
        </w:rPr>
        <w:t>Ieinteresēto personu atsauksmes</w:t>
      </w:r>
    </w:p>
    <w:p w14:paraId="7FBA5EE4" w14:textId="11FF1DB1" w:rsidR="009234FB" w:rsidRPr="00550D35" w:rsidRDefault="009234FB" w:rsidP="009234FB">
      <w:pPr>
        <w:rPr>
          <w:b/>
          <w:bCs/>
          <w:lang w:val="lv-LV"/>
        </w:rPr>
      </w:pPr>
      <w:r w:rsidRPr="00550D35">
        <w:rPr>
          <w:lang w:val="lv-LV"/>
        </w:rPr>
        <w:t xml:space="preserve">Par KPI “MVU, kuru digitālā intensitāte ir vismaz </w:t>
      </w:r>
      <w:proofErr w:type="spellStart"/>
      <w:r w:rsidRPr="00550D35">
        <w:rPr>
          <w:lang w:val="lv-LV"/>
        </w:rPr>
        <w:t>pamatlīmenī</w:t>
      </w:r>
      <w:proofErr w:type="spellEnd"/>
      <w:r w:rsidRPr="00550D35">
        <w:rPr>
          <w:lang w:val="lv-LV"/>
        </w:rPr>
        <w:t xml:space="preserve">” </w:t>
      </w:r>
      <w:r w:rsidRPr="0001408B">
        <w:rPr>
          <w:lang w:val="lv-LV"/>
        </w:rPr>
        <w:t xml:space="preserve">sadaļā norādītais vispārējās ietekmes </w:t>
      </w:r>
      <w:proofErr w:type="spellStart"/>
      <w:r w:rsidRPr="0001408B">
        <w:rPr>
          <w:lang w:val="lv-LV"/>
        </w:rPr>
        <w:t>izvērtējums</w:t>
      </w:r>
      <w:proofErr w:type="spellEnd"/>
      <w:r w:rsidRPr="0001408B">
        <w:rPr>
          <w:lang w:val="lv-LV"/>
        </w:rPr>
        <w:t xml:space="preserve"> un secinājumi, </w:t>
      </w:r>
      <w:proofErr w:type="spellStart"/>
      <w:r w:rsidRPr="0001408B">
        <w:rPr>
          <w:lang w:val="lv-LV"/>
        </w:rPr>
        <w:t>mērķrādītāja</w:t>
      </w:r>
      <w:proofErr w:type="spellEnd"/>
      <w:r w:rsidRPr="0001408B">
        <w:rPr>
          <w:lang w:val="lv-LV"/>
        </w:rPr>
        <w:t xml:space="preserve"> prognozes līdz 2030. gadam, identificētie izaicinājumi, galvenās politikas, pasākumu un darbību, kas paredzētas, lai palīdzētu sasniegt vispārīgos mērķus, apraksts</w:t>
      </w:r>
      <w:r w:rsidR="0059663D">
        <w:rPr>
          <w:lang w:val="lv-LV"/>
        </w:rPr>
        <w:t>,</w:t>
      </w:r>
      <w:r w:rsidRPr="0001408B">
        <w:rPr>
          <w:lang w:val="lv-LV"/>
        </w:rPr>
        <w:t xml:space="preserve"> u.c. saskaņots ar LIKTA.</w:t>
      </w:r>
    </w:p>
    <w:p w14:paraId="4488EEF4" w14:textId="77777777" w:rsidR="00FB4C02" w:rsidRPr="00550D35" w:rsidRDefault="00FB4C02" w:rsidP="00FB4C02">
      <w:pPr>
        <w:pStyle w:val="Heading2"/>
        <w:rPr>
          <w:lang w:val="lv-LV"/>
        </w:rPr>
      </w:pPr>
      <w:r w:rsidRPr="00550D35">
        <w:rPr>
          <w:lang w:val="lv-LV"/>
        </w:rPr>
        <w:lastRenderedPageBreak/>
        <w:t>Vispārējā ietekme un secinājumi</w:t>
      </w:r>
    </w:p>
    <w:p w14:paraId="5443E62C" w14:textId="77777777" w:rsidR="00FB4C02" w:rsidRPr="00550D35" w:rsidRDefault="00FB4C02" w:rsidP="00FB4C02">
      <w:pPr>
        <w:rPr>
          <w:lang w:val="lv-LV"/>
        </w:rPr>
      </w:pPr>
      <w:r w:rsidRPr="00550D35">
        <w:rPr>
          <w:lang w:val="lv-LV"/>
        </w:rPr>
        <w:t>Tiek veikti turpmāki pasākumi ar mērķi palielināt valsts pārvaldes un privātpersonu komercdarbības efektivitāti, palielinot MVU īpatsvaru ar vismaz pamata digitālās intensitātes līmeni, lai samazinātu administratīvo slogu un radītu komersantiem, t.sk. MVU, labvēlīgāku darbības vidi. Tiks veicinātas komersantu vadības prasmju, kas nepieciešamas darbam digitālās transformācijas apstākļos, t.sk., ikdienas darba procesu pārveide, atbilstoši digitālas ekonomikas iespējām, mudinot komercdarbībā izmantot dažādus digitālus risinājumus.</w:t>
      </w:r>
    </w:p>
    <w:p w14:paraId="0B6F18FC" w14:textId="19736158" w:rsidR="00FF3326" w:rsidRPr="00550D35" w:rsidRDefault="00FB4C02" w:rsidP="00F76C8C">
      <w:pPr>
        <w:rPr>
          <w:lang w:val="lv-LV"/>
        </w:rPr>
      </w:pPr>
      <w:r w:rsidRPr="00550D35">
        <w:rPr>
          <w:lang w:val="lv-LV"/>
        </w:rPr>
        <w:t xml:space="preserve">Nodaļā KPI “MVU ar vismaz pamata digitālās intensitātes līmeni” minētā politika un pasākumi sniegs ieguldījumu uzņēmumu </w:t>
      </w:r>
      <w:proofErr w:type="spellStart"/>
      <w:r w:rsidRPr="00550D35">
        <w:rPr>
          <w:lang w:val="lv-LV"/>
        </w:rPr>
        <w:t>digitalizācijas</w:t>
      </w:r>
      <w:proofErr w:type="spellEnd"/>
      <w:r w:rsidRPr="00550D35">
        <w:rPr>
          <w:lang w:val="lv-LV"/>
        </w:rPr>
        <w:t xml:space="preserve"> jomā, tai skaitā stiprinās digitālo tehnoloģiju izplatīšanas un izmantošanas centienus un īstenos stratēģijas, lai būtiski veicinātu jaunu progresīvu risinājumu izmantošanu MVU ekosistēmās, kā tas norādīts EK ieteikumā Digitālās dekādes 2023.gada ziņojumā par Latviju.</w:t>
      </w:r>
    </w:p>
    <w:p w14:paraId="7BAF28FE" w14:textId="679C46B9" w:rsidR="003F11CD" w:rsidRPr="00550D35" w:rsidRDefault="00354B76" w:rsidP="00B52E9B">
      <w:pPr>
        <w:pStyle w:val="Heading1"/>
      </w:pPr>
      <w:bookmarkStart w:id="36" w:name="_Toc155952344"/>
      <w:r w:rsidRPr="00550D35">
        <w:t>Vienradži</w:t>
      </w:r>
      <w:bookmarkEnd w:id="33"/>
      <w:bookmarkEnd w:id="36"/>
    </w:p>
    <w:p w14:paraId="004E6D78" w14:textId="196B3F46" w:rsidR="005C5D74" w:rsidRPr="00550D35" w:rsidRDefault="00376EF4" w:rsidP="00042EA1">
      <w:pPr>
        <w:pStyle w:val="mt-translation"/>
        <w:ind w:firstLine="0"/>
        <w:rPr>
          <w:i/>
          <w:iCs/>
          <w:sz w:val="20"/>
          <w:szCs w:val="20"/>
        </w:rPr>
      </w:pPr>
      <w:r w:rsidRPr="00550D35">
        <w:rPr>
          <w:b/>
          <w:bCs/>
          <w:i/>
          <w:iCs/>
        </w:rPr>
        <w:t>Vienradži</w:t>
      </w:r>
      <w:r w:rsidRPr="00550D35">
        <w:rPr>
          <w:i/>
          <w:iCs/>
        </w:rPr>
        <w:t>,</w:t>
      </w:r>
      <w:r w:rsidRPr="00550D35">
        <w:rPr>
          <w:i/>
          <w:iCs/>
          <w:sz w:val="20"/>
          <w:szCs w:val="20"/>
        </w:rPr>
        <w:t xml:space="preserve"> </w:t>
      </w:r>
      <w:r w:rsidR="00042EA1" w:rsidRPr="00550D35">
        <w:rPr>
          <w:i/>
          <w:iCs/>
        </w:rPr>
        <w:t xml:space="preserve">mēra pēc tā, kāda ir </w:t>
      </w:r>
      <w:r w:rsidR="008203D6" w:rsidRPr="00550D35">
        <w:rPr>
          <w:i/>
          <w:iCs/>
        </w:rPr>
        <w:t xml:space="preserve">Dekādes programmas </w:t>
      </w:r>
      <w:r w:rsidR="00042EA1" w:rsidRPr="00550D35">
        <w:rPr>
          <w:i/>
          <w:iCs/>
        </w:rPr>
        <w:t xml:space="preserve">2. panta 11. punkta a) apakšpunktā minēto un </w:t>
      </w:r>
      <w:r w:rsidR="008203D6" w:rsidRPr="00550D35">
        <w:rPr>
          <w:i/>
          <w:iCs/>
        </w:rPr>
        <w:t xml:space="preserve">Dekādes programmas </w:t>
      </w:r>
      <w:r w:rsidR="00042EA1" w:rsidRPr="00550D35">
        <w:rPr>
          <w:i/>
          <w:iCs/>
        </w:rPr>
        <w:t>2. panta 11. punkta b) apakšpunktā minēto vienradžu summa.</w:t>
      </w:r>
    </w:p>
    <w:p w14:paraId="780A8D34" w14:textId="013F0ECC" w:rsidR="00D238ED" w:rsidRPr="00550D35" w:rsidRDefault="00451149" w:rsidP="00D238ED">
      <w:pPr>
        <w:pStyle w:val="Heading2"/>
        <w:rPr>
          <w:lang w:val="lv-LV"/>
        </w:rPr>
      </w:pPr>
      <w:r w:rsidRPr="00550D35">
        <w:rPr>
          <w:lang w:val="lv-LV"/>
        </w:rPr>
        <w:t>Analīze par pašreizējo stāvokli digitālās pārveides jomā dalībvalsts kontekstā</w:t>
      </w:r>
    </w:p>
    <w:p w14:paraId="2839FEF6" w14:textId="3B41E94C" w:rsidR="00544451" w:rsidRPr="00550D35" w:rsidRDefault="00544451" w:rsidP="00544451">
      <w:pPr>
        <w:rPr>
          <w:lang w:val="lv-LV"/>
        </w:rPr>
      </w:pPr>
      <w:r w:rsidRPr="00550D35">
        <w:rPr>
          <w:lang w:val="lv-LV"/>
        </w:rPr>
        <w:t>KPI “Vienradži” ir jauns rādītājs, Digitālās dekādes 2023.gada ziņojumā par Latviju nav atspoguļota tā attīstība kvantitatīvā izteiksmē.</w:t>
      </w:r>
    </w:p>
    <w:p w14:paraId="4AB0A2FC" w14:textId="42488013" w:rsidR="00613102" w:rsidRPr="00550D35" w:rsidRDefault="00613102" w:rsidP="00613102">
      <w:pPr>
        <w:rPr>
          <w:lang w:val="lv-LV"/>
        </w:rPr>
      </w:pPr>
      <w:r w:rsidRPr="00550D35">
        <w:rPr>
          <w:lang w:val="lv-LV"/>
        </w:rPr>
        <w:t>Latvijā vienradža statusu ir ieguvis viens uzņēmums - Latvijā reģistrēta akciju sabiedrība “</w:t>
      </w:r>
      <w:proofErr w:type="spellStart"/>
      <w:r w:rsidRPr="00550D35">
        <w:rPr>
          <w:lang w:val="lv-LV"/>
        </w:rPr>
        <w:t>Printful</w:t>
      </w:r>
      <w:proofErr w:type="spellEnd"/>
      <w:r w:rsidRPr="00550D35">
        <w:rPr>
          <w:lang w:val="lv-LV"/>
        </w:rPr>
        <w:t xml:space="preserve"> Latvia”, kura vērtība investīciju piesaistes rezultātā 2021.</w:t>
      </w:r>
      <w:r w:rsidR="004A7CD0" w:rsidRPr="00550D35">
        <w:rPr>
          <w:lang w:val="lv-LV"/>
        </w:rPr>
        <w:t> </w:t>
      </w:r>
      <w:r w:rsidRPr="00550D35">
        <w:rPr>
          <w:lang w:val="lv-LV"/>
        </w:rPr>
        <w:t>gadā ir pārsniegusi vienu</w:t>
      </w:r>
      <w:r w:rsidR="004A7CD0" w:rsidRPr="00550D35">
        <w:rPr>
          <w:lang w:val="lv-LV"/>
        </w:rPr>
        <w:t> </w:t>
      </w:r>
      <w:r w:rsidRPr="00550D35">
        <w:rPr>
          <w:lang w:val="lv-LV"/>
        </w:rPr>
        <w:t>miljardu</w:t>
      </w:r>
      <w:r w:rsidR="004A7CD0" w:rsidRPr="00550D35">
        <w:rPr>
          <w:lang w:val="lv-LV"/>
        </w:rPr>
        <w:t> </w:t>
      </w:r>
      <w:r w:rsidRPr="00550D35">
        <w:rPr>
          <w:lang w:val="lv-LV"/>
        </w:rPr>
        <w:t xml:space="preserve">dolāru. </w:t>
      </w:r>
      <w:r w:rsidR="007377F1" w:rsidRPr="00550D35">
        <w:rPr>
          <w:lang w:val="lv-LV"/>
        </w:rPr>
        <w:t>Akciju sabiedrība “</w:t>
      </w:r>
      <w:proofErr w:type="spellStart"/>
      <w:r w:rsidRPr="00550D35">
        <w:rPr>
          <w:lang w:val="lv-LV"/>
        </w:rPr>
        <w:t>Printful</w:t>
      </w:r>
      <w:proofErr w:type="spellEnd"/>
      <w:r w:rsidR="007377F1" w:rsidRPr="00550D35">
        <w:rPr>
          <w:lang w:val="lv-LV"/>
        </w:rPr>
        <w:t>”</w:t>
      </w:r>
      <w:r w:rsidRPr="00550D35">
        <w:rPr>
          <w:lang w:val="lv-LV"/>
        </w:rPr>
        <w:t xml:space="preserve"> ir Latvijas informācijas tehnoloģiju uzņēmumu grupas “Draugiem </w:t>
      </w:r>
      <w:proofErr w:type="spellStart"/>
      <w:r w:rsidRPr="00550D35">
        <w:rPr>
          <w:lang w:val="lv-LV"/>
        </w:rPr>
        <w:t>Group</w:t>
      </w:r>
      <w:proofErr w:type="spellEnd"/>
      <w:r w:rsidRPr="00550D35">
        <w:rPr>
          <w:lang w:val="lv-LV"/>
        </w:rPr>
        <w:t xml:space="preserve">” </w:t>
      </w:r>
      <w:proofErr w:type="spellStart"/>
      <w:r w:rsidRPr="00550D35">
        <w:rPr>
          <w:lang w:val="lv-LV"/>
        </w:rPr>
        <w:t>apdrukas</w:t>
      </w:r>
      <w:proofErr w:type="spellEnd"/>
      <w:r w:rsidRPr="00550D35">
        <w:rPr>
          <w:lang w:val="lv-LV"/>
        </w:rPr>
        <w:t xml:space="preserve"> un šūšanas ārpakalpojumu uzņēmums, kas automātiski saņem, izgatavo un piegādā pasūtījumus internetveikalu vārdā. </w:t>
      </w:r>
      <w:r w:rsidR="007377F1" w:rsidRPr="00550D35">
        <w:rPr>
          <w:lang w:val="lv-LV"/>
        </w:rPr>
        <w:t>Akciju sabiedrība</w:t>
      </w:r>
      <w:r w:rsidRPr="00550D35">
        <w:rPr>
          <w:lang w:val="lv-LV"/>
        </w:rPr>
        <w:t xml:space="preserve"> </w:t>
      </w:r>
      <w:r w:rsidR="00071CA8" w:rsidRPr="00550D35">
        <w:rPr>
          <w:lang w:val="lv-LV"/>
        </w:rPr>
        <w:t>“</w:t>
      </w:r>
      <w:proofErr w:type="spellStart"/>
      <w:r w:rsidRPr="00550D35">
        <w:rPr>
          <w:lang w:val="lv-LV"/>
        </w:rPr>
        <w:t>Printful</w:t>
      </w:r>
      <w:proofErr w:type="spellEnd"/>
      <w:r w:rsidRPr="00550D35">
        <w:rPr>
          <w:lang w:val="lv-LV"/>
        </w:rPr>
        <w:t xml:space="preserve"> Latvia</w:t>
      </w:r>
      <w:r w:rsidR="00071CA8" w:rsidRPr="00550D35">
        <w:rPr>
          <w:lang w:val="lv-LV"/>
        </w:rPr>
        <w:t>”</w:t>
      </w:r>
      <w:r w:rsidRPr="00550D35">
        <w:rPr>
          <w:lang w:val="lv-LV"/>
        </w:rPr>
        <w:t xml:space="preserve"> 2022. gadā strādāja ar 78,8</w:t>
      </w:r>
      <w:r w:rsidR="00296760" w:rsidRPr="00550D35">
        <w:rPr>
          <w:lang w:val="lv-LV"/>
        </w:rPr>
        <w:t> </w:t>
      </w:r>
      <w:r w:rsidRPr="00550D35">
        <w:rPr>
          <w:lang w:val="lv-LV"/>
        </w:rPr>
        <w:t>milj</w:t>
      </w:r>
      <w:r w:rsidR="00296760" w:rsidRPr="00550D35">
        <w:rPr>
          <w:lang w:val="lv-LV"/>
        </w:rPr>
        <w:t>.</w:t>
      </w:r>
      <w:r w:rsidRPr="00550D35">
        <w:rPr>
          <w:lang w:val="lv-LV"/>
        </w:rPr>
        <w:t xml:space="preserve"> </w:t>
      </w:r>
      <w:r w:rsidR="00296760" w:rsidRPr="00550D35">
        <w:rPr>
          <w:lang w:val="lv-LV"/>
        </w:rPr>
        <w:t> </w:t>
      </w:r>
      <w:proofErr w:type="spellStart"/>
      <w:r w:rsidR="00221010" w:rsidRPr="00550D35">
        <w:rPr>
          <w:i/>
          <w:lang w:val="lv-LV"/>
        </w:rPr>
        <w:t>euro</w:t>
      </w:r>
      <w:proofErr w:type="spellEnd"/>
      <w:r w:rsidRPr="00550D35">
        <w:rPr>
          <w:lang w:val="lv-LV"/>
        </w:rPr>
        <w:t xml:space="preserve"> apgrozījumu, kas ir par 9,6</w:t>
      </w:r>
      <w:r w:rsidR="007377F1" w:rsidRPr="00550D35">
        <w:rPr>
          <w:lang w:val="lv-LV"/>
        </w:rPr>
        <w:t> </w:t>
      </w:r>
      <w:r w:rsidRPr="00550D35">
        <w:rPr>
          <w:lang w:val="lv-LV"/>
        </w:rPr>
        <w:t>% vairāk nekā gadu iepriekš, bet kompānijas peļņa pieauga par 46,2</w:t>
      </w:r>
      <w:r w:rsidR="007377F1" w:rsidRPr="00550D35">
        <w:rPr>
          <w:lang w:val="lv-LV"/>
        </w:rPr>
        <w:t> </w:t>
      </w:r>
      <w:r w:rsidRPr="00550D35">
        <w:rPr>
          <w:lang w:val="lv-LV"/>
        </w:rPr>
        <w:t>%, sasniedzot 6,</w:t>
      </w:r>
      <w:r w:rsidR="00296760" w:rsidRPr="00550D35">
        <w:rPr>
          <w:lang w:val="lv-LV"/>
        </w:rPr>
        <w:t>1</w:t>
      </w:r>
      <w:r w:rsidR="007377F1" w:rsidRPr="00550D35">
        <w:rPr>
          <w:lang w:val="lv-LV"/>
        </w:rPr>
        <w:t> </w:t>
      </w:r>
      <w:r w:rsidRPr="00550D35">
        <w:rPr>
          <w:lang w:val="lv-LV"/>
        </w:rPr>
        <w:t>milj</w:t>
      </w:r>
      <w:r w:rsidR="00296760" w:rsidRPr="00550D35">
        <w:rPr>
          <w:lang w:val="lv-LV"/>
        </w:rPr>
        <w:t>.</w:t>
      </w:r>
      <w:r w:rsidRPr="00550D35">
        <w:rPr>
          <w:lang w:val="lv-LV"/>
        </w:rPr>
        <w:t xml:space="preserve"> </w:t>
      </w:r>
      <w:r w:rsidR="00296760" w:rsidRPr="00550D35">
        <w:rPr>
          <w:lang w:val="lv-LV"/>
        </w:rPr>
        <w:t> </w:t>
      </w:r>
      <w:proofErr w:type="spellStart"/>
      <w:r w:rsidR="00221010" w:rsidRPr="00550D35">
        <w:rPr>
          <w:i/>
          <w:lang w:val="lv-LV"/>
        </w:rPr>
        <w:t>euro</w:t>
      </w:r>
      <w:proofErr w:type="spellEnd"/>
      <w:r w:rsidRPr="00550D35">
        <w:rPr>
          <w:lang w:val="lv-LV"/>
        </w:rPr>
        <w:t>, liecina "Firmas.lv" informācija</w:t>
      </w:r>
      <w:r w:rsidR="00AB6679" w:rsidRPr="00550D35">
        <w:rPr>
          <w:rStyle w:val="FootnoteReference"/>
          <w:lang w:val="lv-LV"/>
        </w:rPr>
        <w:footnoteReference w:id="61"/>
      </w:r>
      <w:r w:rsidRPr="00550D35">
        <w:rPr>
          <w:lang w:val="lv-LV"/>
        </w:rPr>
        <w:t>.</w:t>
      </w:r>
    </w:p>
    <w:p w14:paraId="75698B3D" w14:textId="023FFE5A" w:rsidR="00613102" w:rsidRPr="00550D35" w:rsidRDefault="00613102" w:rsidP="00613102">
      <w:pPr>
        <w:rPr>
          <w:lang w:val="lv-LV"/>
        </w:rPr>
      </w:pPr>
      <w:r w:rsidRPr="00550D35">
        <w:rPr>
          <w:lang w:val="lv-LV"/>
        </w:rPr>
        <w:t xml:space="preserve">Lai sniegtu atbalstu </w:t>
      </w:r>
      <w:proofErr w:type="spellStart"/>
      <w:r w:rsidRPr="00550D35">
        <w:rPr>
          <w:lang w:val="lv-LV"/>
        </w:rPr>
        <w:t>jaunuzņēmumu</w:t>
      </w:r>
      <w:proofErr w:type="spellEnd"/>
      <w:r w:rsidRPr="00550D35">
        <w:rPr>
          <w:lang w:val="lv-LV"/>
        </w:rPr>
        <w:t xml:space="preserve"> veidošanā un attīstīšanā ir izstrādāts atbalsta mehānismu kopums, kas veicina kā ideju attīstīšanu un jaunu komandu veidošanu, tā arī </w:t>
      </w:r>
      <w:proofErr w:type="spellStart"/>
      <w:r w:rsidRPr="00550D35">
        <w:rPr>
          <w:lang w:val="lv-LV"/>
        </w:rPr>
        <w:t>jaunuzņēmumu</w:t>
      </w:r>
      <w:proofErr w:type="spellEnd"/>
      <w:r w:rsidRPr="00550D35">
        <w:rPr>
          <w:lang w:val="lv-LV"/>
        </w:rPr>
        <w:t xml:space="preserve"> attīstīšanos uz izaugsmi.</w:t>
      </w:r>
    </w:p>
    <w:p w14:paraId="5C361F40" w14:textId="36C8E20D" w:rsidR="00100D39" w:rsidRPr="00550D35" w:rsidRDefault="00100D39" w:rsidP="004A7CD0">
      <w:pPr>
        <w:rPr>
          <w:noProof/>
          <w:highlight w:val="yellow"/>
          <w:lang w:val="lv-LV"/>
        </w:rPr>
      </w:pPr>
      <w:proofErr w:type="spellStart"/>
      <w:r w:rsidRPr="00550D35">
        <w:rPr>
          <w:shd w:val="clear" w:color="auto" w:fill="FFFFFF"/>
          <w:lang w:val="lv-LV"/>
        </w:rPr>
        <w:t>Jaunuzņēmumu</w:t>
      </w:r>
      <w:proofErr w:type="spellEnd"/>
      <w:r w:rsidRPr="00550D35">
        <w:rPr>
          <w:shd w:val="clear" w:color="auto" w:fill="FFFFFF"/>
          <w:lang w:val="lv-LV"/>
        </w:rPr>
        <w:t xml:space="preserve"> skaits, kas</w:t>
      </w:r>
      <w:r w:rsidR="004A7CD0" w:rsidRPr="00550D35">
        <w:rPr>
          <w:shd w:val="clear" w:color="auto" w:fill="FFFFFF"/>
          <w:lang w:val="lv-LV"/>
        </w:rPr>
        <w:t xml:space="preserve"> </w:t>
      </w:r>
      <w:r w:rsidRPr="00550D35">
        <w:rPr>
          <w:rStyle w:val="Strong"/>
          <w:b w:val="0"/>
          <w:bCs w:val="0"/>
          <w:color w:val="212529"/>
          <w:szCs w:val="24"/>
          <w:shd w:val="clear" w:color="auto" w:fill="FFFFFF"/>
          <w:lang w:val="lv-LV"/>
        </w:rPr>
        <w:t>piesaistījuši investīcijas</w:t>
      </w:r>
      <w:r w:rsidRPr="00550D35">
        <w:rPr>
          <w:shd w:val="clear" w:color="auto" w:fill="FFFFFF"/>
          <w:lang w:val="lv-LV"/>
        </w:rPr>
        <w:t>, ir pakāpeniski audzis no 42 uzņēmumiem 2018.</w:t>
      </w:r>
      <w:r w:rsidR="004A7CD0" w:rsidRPr="00550D35">
        <w:rPr>
          <w:shd w:val="clear" w:color="auto" w:fill="FFFFFF"/>
          <w:lang w:val="lv-LV"/>
        </w:rPr>
        <w:t> </w:t>
      </w:r>
      <w:r w:rsidRPr="00550D35">
        <w:rPr>
          <w:shd w:val="clear" w:color="auto" w:fill="FFFFFF"/>
          <w:lang w:val="lv-LV"/>
        </w:rPr>
        <w:t>gadā līdz 71</w:t>
      </w:r>
      <w:r w:rsidR="004A7CD0" w:rsidRPr="00550D35">
        <w:rPr>
          <w:shd w:val="clear" w:color="auto" w:fill="FFFFFF"/>
          <w:lang w:val="lv-LV"/>
        </w:rPr>
        <w:t> </w:t>
      </w:r>
      <w:r w:rsidRPr="00550D35">
        <w:rPr>
          <w:shd w:val="clear" w:color="auto" w:fill="FFFFFF"/>
          <w:lang w:val="lv-LV"/>
        </w:rPr>
        <w:t>uzņēmumam 2021.</w:t>
      </w:r>
      <w:r w:rsidR="004A7CD0" w:rsidRPr="00550D35">
        <w:rPr>
          <w:shd w:val="clear" w:color="auto" w:fill="FFFFFF"/>
          <w:lang w:val="lv-LV"/>
        </w:rPr>
        <w:t> </w:t>
      </w:r>
      <w:r w:rsidRPr="00550D35">
        <w:rPr>
          <w:shd w:val="clear" w:color="auto" w:fill="FFFFFF"/>
          <w:lang w:val="lv-LV"/>
        </w:rPr>
        <w:t>gadā. Līdzīgi audzis arī</w:t>
      </w:r>
      <w:r w:rsidR="004A7CD0" w:rsidRPr="00550D35">
        <w:rPr>
          <w:shd w:val="clear" w:color="auto" w:fill="FFFFFF"/>
          <w:lang w:val="lv-LV"/>
        </w:rPr>
        <w:t xml:space="preserve"> </w:t>
      </w:r>
      <w:r w:rsidRPr="00550D35">
        <w:rPr>
          <w:rStyle w:val="Strong"/>
          <w:b w:val="0"/>
          <w:bCs w:val="0"/>
          <w:color w:val="212529"/>
          <w:szCs w:val="24"/>
          <w:shd w:val="clear" w:color="auto" w:fill="FFFFFF"/>
          <w:lang w:val="lv-LV"/>
        </w:rPr>
        <w:t>investīciju darījumu skaits</w:t>
      </w:r>
      <w:r w:rsidR="004A7CD0" w:rsidRPr="00550D35">
        <w:rPr>
          <w:shd w:val="clear" w:color="auto" w:fill="FFFFFF"/>
          <w:lang w:val="lv-LV"/>
        </w:rPr>
        <w:t xml:space="preserve"> </w:t>
      </w:r>
      <w:r w:rsidRPr="00550D35">
        <w:rPr>
          <w:shd w:val="clear" w:color="auto" w:fill="FFFFFF"/>
          <w:lang w:val="lv-LV"/>
        </w:rPr>
        <w:t>no 66</w:t>
      </w:r>
      <w:r w:rsidR="004A7CD0" w:rsidRPr="00550D35">
        <w:rPr>
          <w:shd w:val="clear" w:color="auto" w:fill="FFFFFF"/>
          <w:lang w:val="lv-LV"/>
        </w:rPr>
        <w:t> </w:t>
      </w:r>
      <w:r w:rsidRPr="00550D35">
        <w:rPr>
          <w:shd w:val="clear" w:color="auto" w:fill="FFFFFF"/>
          <w:lang w:val="lv-LV"/>
        </w:rPr>
        <w:t>darījumiem 2018.</w:t>
      </w:r>
      <w:r w:rsidR="004A7CD0" w:rsidRPr="00550D35">
        <w:rPr>
          <w:shd w:val="clear" w:color="auto" w:fill="FFFFFF"/>
          <w:lang w:val="lv-LV"/>
        </w:rPr>
        <w:t> </w:t>
      </w:r>
      <w:r w:rsidRPr="00550D35">
        <w:rPr>
          <w:shd w:val="clear" w:color="auto" w:fill="FFFFFF"/>
          <w:lang w:val="lv-LV"/>
        </w:rPr>
        <w:t>gadā līdz 82</w:t>
      </w:r>
      <w:r w:rsidR="004A7CD0" w:rsidRPr="00550D35">
        <w:rPr>
          <w:shd w:val="clear" w:color="auto" w:fill="FFFFFF"/>
          <w:lang w:val="lv-LV"/>
        </w:rPr>
        <w:t> </w:t>
      </w:r>
      <w:r w:rsidRPr="00550D35">
        <w:rPr>
          <w:shd w:val="clear" w:color="auto" w:fill="FFFFFF"/>
          <w:lang w:val="lv-LV"/>
        </w:rPr>
        <w:t>darījumiem 2021.</w:t>
      </w:r>
      <w:r w:rsidR="004A7CD0" w:rsidRPr="00550D35">
        <w:rPr>
          <w:shd w:val="clear" w:color="auto" w:fill="FFFFFF"/>
          <w:lang w:val="lv-LV"/>
        </w:rPr>
        <w:t> </w:t>
      </w:r>
      <w:r w:rsidRPr="00550D35">
        <w:rPr>
          <w:shd w:val="clear" w:color="auto" w:fill="FFFFFF"/>
          <w:lang w:val="lv-LV"/>
        </w:rPr>
        <w:t>gadā, bet vidējais darījuma apjoms – no 1,3</w:t>
      </w:r>
      <w:r w:rsidR="004A7CD0" w:rsidRPr="00550D35">
        <w:rPr>
          <w:shd w:val="clear" w:color="auto" w:fill="FFFFFF"/>
          <w:lang w:val="lv-LV"/>
        </w:rPr>
        <w:t> </w:t>
      </w:r>
      <w:r w:rsidRPr="00550D35">
        <w:rPr>
          <w:shd w:val="clear" w:color="auto" w:fill="FFFFFF"/>
          <w:lang w:val="lv-LV"/>
        </w:rPr>
        <w:t>milj. </w:t>
      </w:r>
      <w:proofErr w:type="spellStart"/>
      <w:r w:rsidR="00221010" w:rsidRPr="00550D35">
        <w:rPr>
          <w:rStyle w:val="Emphasis"/>
          <w:color w:val="212529"/>
          <w:szCs w:val="24"/>
          <w:shd w:val="clear" w:color="auto" w:fill="FFFFFF"/>
          <w:lang w:val="lv-LV"/>
        </w:rPr>
        <w:t>euro</w:t>
      </w:r>
      <w:proofErr w:type="spellEnd"/>
      <w:r w:rsidRPr="00550D35">
        <w:rPr>
          <w:shd w:val="clear" w:color="auto" w:fill="FFFFFF"/>
          <w:lang w:val="lv-LV"/>
        </w:rPr>
        <w:t> 2018.</w:t>
      </w:r>
      <w:r w:rsidR="004A7CD0" w:rsidRPr="00550D35">
        <w:rPr>
          <w:shd w:val="clear" w:color="auto" w:fill="FFFFFF"/>
          <w:lang w:val="lv-LV"/>
        </w:rPr>
        <w:t> </w:t>
      </w:r>
      <w:r w:rsidRPr="00550D35">
        <w:rPr>
          <w:shd w:val="clear" w:color="auto" w:fill="FFFFFF"/>
          <w:lang w:val="lv-LV"/>
        </w:rPr>
        <w:t>gadā pieauga līdz 4,2</w:t>
      </w:r>
      <w:r w:rsidR="004A7CD0" w:rsidRPr="00550D35">
        <w:rPr>
          <w:shd w:val="clear" w:color="auto" w:fill="FFFFFF"/>
          <w:lang w:val="lv-LV"/>
        </w:rPr>
        <w:t> </w:t>
      </w:r>
      <w:r w:rsidRPr="00550D35">
        <w:rPr>
          <w:shd w:val="clear" w:color="auto" w:fill="FFFFFF"/>
          <w:lang w:val="lv-LV"/>
        </w:rPr>
        <w:t>milj. </w:t>
      </w:r>
      <w:proofErr w:type="spellStart"/>
      <w:r w:rsidR="00221010" w:rsidRPr="00550D35">
        <w:rPr>
          <w:rStyle w:val="Emphasis"/>
          <w:color w:val="212529"/>
          <w:szCs w:val="24"/>
          <w:shd w:val="clear" w:color="auto" w:fill="FFFFFF"/>
          <w:lang w:val="lv-LV"/>
        </w:rPr>
        <w:t>euro</w:t>
      </w:r>
      <w:proofErr w:type="spellEnd"/>
      <w:r w:rsidR="004A7CD0" w:rsidRPr="00550D35">
        <w:rPr>
          <w:shd w:val="clear" w:color="auto" w:fill="FFFFFF"/>
          <w:lang w:val="lv-LV"/>
        </w:rPr>
        <w:t xml:space="preserve"> </w:t>
      </w:r>
      <w:r w:rsidRPr="00550D35">
        <w:rPr>
          <w:shd w:val="clear" w:color="auto" w:fill="FFFFFF"/>
          <w:lang w:val="lv-LV"/>
        </w:rPr>
        <w:t>2021.</w:t>
      </w:r>
      <w:r w:rsidR="004A7CD0" w:rsidRPr="00550D35">
        <w:rPr>
          <w:shd w:val="clear" w:color="auto" w:fill="FFFFFF"/>
          <w:lang w:val="lv-LV"/>
        </w:rPr>
        <w:t> </w:t>
      </w:r>
      <w:r w:rsidRPr="00550D35">
        <w:rPr>
          <w:shd w:val="clear" w:color="auto" w:fill="FFFFFF"/>
          <w:lang w:val="lv-LV"/>
        </w:rPr>
        <w:t>gadā. Savukārt</w:t>
      </w:r>
      <w:r w:rsidR="004A7CD0" w:rsidRPr="00550D35">
        <w:rPr>
          <w:rStyle w:val="Strong"/>
          <w:b w:val="0"/>
          <w:bCs w:val="0"/>
          <w:color w:val="212529"/>
          <w:szCs w:val="24"/>
          <w:shd w:val="clear" w:color="auto" w:fill="FFFFFF"/>
          <w:lang w:val="lv-LV"/>
        </w:rPr>
        <w:t xml:space="preserve"> </w:t>
      </w:r>
      <w:r w:rsidRPr="00550D35">
        <w:rPr>
          <w:rStyle w:val="Strong"/>
          <w:b w:val="0"/>
          <w:bCs w:val="0"/>
          <w:color w:val="212529"/>
          <w:szCs w:val="24"/>
          <w:shd w:val="clear" w:color="auto" w:fill="FFFFFF"/>
          <w:lang w:val="lv-LV"/>
        </w:rPr>
        <w:t>investoru skaits palielinājies trīs reizes</w:t>
      </w:r>
      <w:r w:rsidR="004A7CD0" w:rsidRPr="00550D35">
        <w:rPr>
          <w:shd w:val="clear" w:color="auto" w:fill="FFFFFF"/>
          <w:lang w:val="lv-LV"/>
        </w:rPr>
        <w:t xml:space="preserve"> </w:t>
      </w:r>
      <w:r w:rsidRPr="00550D35">
        <w:rPr>
          <w:shd w:val="clear" w:color="auto" w:fill="FFFFFF"/>
          <w:lang w:val="lv-LV"/>
        </w:rPr>
        <w:t>– no vismaz 70</w:t>
      </w:r>
      <w:r w:rsidR="004A7CD0" w:rsidRPr="00550D35">
        <w:rPr>
          <w:shd w:val="clear" w:color="auto" w:fill="FFFFFF"/>
          <w:lang w:val="lv-LV"/>
        </w:rPr>
        <w:t> </w:t>
      </w:r>
      <w:r w:rsidRPr="00550D35">
        <w:rPr>
          <w:shd w:val="clear" w:color="auto" w:fill="FFFFFF"/>
          <w:lang w:val="lv-LV"/>
        </w:rPr>
        <w:t>investoriem 2018.</w:t>
      </w:r>
      <w:r w:rsidR="004A7CD0" w:rsidRPr="00550D35">
        <w:rPr>
          <w:shd w:val="clear" w:color="auto" w:fill="FFFFFF"/>
          <w:lang w:val="lv-LV"/>
        </w:rPr>
        <w:t> </w:t>
      </w:r>
      <w:r w:rsidRPr="00550D35">
        <w:rPr>
          <w:shd w:val="clear" w:color="auto" w:fill="FFFFFF"/>
          <w:lang w:val="lv-LV"/>
        </w:rPr>
        <w:t>gadā līdz vismaz 203</w:t>
      </w:r>
      <w:r w:rsidR="004A7CD0" w:rsidRPr="00550D35">
        <w:rPr>
          <w:shd w:val="clear" w:color="auto" w:fill="FFFFFF"/>
          <w:lang w:val="lv-LV"/>
        </w:rPr>
        <w:t> </w:t>
      </w:r>
      <w:r w:rsidRPr="00550D35">
        <w:rPr>
          <w:shd w:val="clear" w:color="auto" w:fill="FFFFFF"/>
          <w:lang w:val="lv-LV"/>
        </w:rPr>
        <w:t>investoriem 2021.</w:t>
      </w:r>
      <w:r w:rsidR="004A7CD0" w:rsidRPr="00550D35">
        <w:rPr>
          <w:shd w:val="clear" w:color="auto" w:fill="FFFFFF"/>
          <w:lang w:val="lv-LV"/>
        </w:rPr>
        <w:t> </w:t>
      </w:r>
      <w:r w:rsidRPr="00550D35">
        <w:rPr>
          <w:shd w:val="clear" w:color="auto" w:fill="FFFFFF"/>
          <w:lang w:val="lv-LV"/>
        </w:rPr>
        <w:t>gadā.</w:t>
      </w:r>
    </w:p>
    <w:p w14:paraId="6D0FA05D" w14:textId="68E52DFF" w:rsidR="00613102" w:rsidRPr="00550D35" w:rsidRDefault="00613102" w:rsidP="00613102">
      <w:pPr>
        <w:rPr>
          <w:szCs w:val="24"/>
          <w:lang w:val="lv-LV"/>
        </w:rPr>
      </w:pPr>
      <w:proofErr w:type="spellStart"/>
      <w:r w:rsidRPr="00550D35">
        <w:rPr>
          <w:lang w:val="lv-LV"/>
        </w:rPr>
        <w:t>Jaunuzņēmumu</w:t>
      </w:r>
      <w:proofErr w:type="spellEnd"/>
      <w:r w:rsidRPr="00550D35">
        <w:rPr>
          <w:lang w:val="lv-LV"/>
        </w:rPr>
        <w:t xml:space="preserve"> ekosistēmai atpazīstamība globāli ir nozīmīga lai popularizētu </w:t>
      </w:r>
      <w:proofErr w:type="spellStart"/>
      <w:r w:rsidRPr="00550D35">
        <w:rPr>
          <w:lang w:val="lv-LV"/>
        </w:rPr>
        <w:t>jaunuzņēmumus</w:t>
      </w:r>
      <w:proofErr w:type="spellEnd"/>
      <w:r w:rsidRPr="00550D35">
        <w:rPr>
          <w:lang w:val="lv-LV"/>
        </w:rPr>
        <w:t xml:space="preserve"> un Latviju kā </w:t>
      </w:r>
      <w:r w:rsidR="00030812" w:rsidRPr="00550D35">
        <w:rPr>
          <w:lang w:val="lv-LV"/>
        </w:rPr>
        <w:t>komercdarbīb</w:t>
      </w:r>
      <w:r w:rsidRPr="00550D35">
        <w:rPr>
          <w:lang w:val="lv-LV"/>
        </w:rPr>
        <w:t xml:space="preserve">u atbalstošu vidi un lai piesaistītu sadarbības partnerus, investīcijas un veicinātu turpmāku ekosistēmas attīstību. Baltijas līmenī </w:t>
      </w:r>
      <w:proofErr w:type="spellStart"/>
      <w:r w:rsidRPr="00550D35">
        <w:rPr>
          <w:lang w:val="lv-LV"/>
        </w:rPr>
        <w:t>jaunuzņēmumu</w:t>
      </w:r>
      <w:proofErr w:type="spellEnd"/>
      <w:r w:rsidRPr="00550D35">
        <w:rPr>
          <w:lang w:val="lv-LV"/>
        </w:rPr>
        <w:t xml:space="preserve"> ekosistēmas apskatu veido </w:t>
      </w:r>
      <w:r w:rsidRPr="00550D35">
        <w:rPr>
          <w:i/>
          <w:iCs/>
          <w:lang w:val="lv-LV"/>
        </w:rPr>
        <w:t>“</w:t>
      </w:r>
      <w:proofErr w:type="spellStart"/>
      <w:r w:rsidRPr="00550D35">
        <w:rPr>
          <w:i/>
          <w:iCs/>
          <w:lang w:val="lv-LV"/>
        </w:rPr>
        <w:t>Startup</w:t>
      </w:r>
      <w:proofErr w:type="spellEnd"/>
      <w:r w:rsidRPr="00550D35">
        <w:rPr>
          <w:i/>
          <w:iCs/>
          <w:lang w:val="lv-LV"/>
        </w:rPr>
        <w:t xml:space="preserve"> </w:t>
      </w:r>
      <w:proofErr w:type="spellStart"/>
      <w:r w:rsidRPr="00550D35">
        <w:rPr>
          <w:i/>
          <w:iCs/>
          <w:lang w:val="lv-LV"/>
        </w:rPr>
        <w:t>Wise</w:t>
      </w:r>
      <w:proofErr w:type="spellEnd"/>
      <w:r w:rsidRPr="00550D35">
        <w:rPr>
          <w:i/>
          <w:iCs/>
          <w:lang w:val="lv-LV"/>
        </w:rPr>
        <w:t xml:space="preserve"> </w:t>
      </w:r>
      <w:proofErr w:type="spellStart"/>
      <w:r w:rsidRPr="00550D35">
        <w:rPr>
          <w:i/>
          <w:iCs/>
          <w:lang w:val="lv-LV"/>
        </w:rPr>
        <w:t>Guys</w:t>
      </w:r>
      <w:proofErr w:type="spellEnd"/>
      <w:r w:rsidRPr="00550D35">
        <w:rPr>
          <w:i/>
          <w:iCs/>
          <w:lang w:val="lv-LV"/>
        </w:rPr>
        <w:t>”</w:t>
      </w:r>
      <w:r w:rsidRPr="00550D35">
        <w:rPr>
          <w:lang w:val="lv-LV"/>
        </w:rPr>
        <w:t xml:space="preserve"> akselerators un Eiropas digitālo inovāciju un </w:t>
      </w:r>
      <w:r w:rsidR="00030812" w:rsidRPr="00550D35">
        <w:rPr>
          <w:lang w:val="lv-LV"/>
        </w:rPr>
        <w:t>komercdarbīb</w:t>
      </w:r>
      <w:r w:rsidRPr="00550D35">
        <w:rPr>
          <w:lang w:val="lv-LV"/>
        </w:rPr>
        <w:t>as izglītības organizācija “</w:t>
      </w:r>
      <w:r w:rsidRPr="00550D35">
        <w:rPr>
          <w:i/>
          <w:iCs/>
          <w:lang w:val="lv-LV"/>
        </w:rPr>
        <w:t xml:space="preserve">EIT </w:t>
      </w:r>
      <w:proofErr w:type="spellStart"/>
      <w:r w:rsidRPr="00550D35">
        <w:rPr>
          <w:i/>
          <w:iCs/>
          <w:lang w:val="lv-LV"/>
        </w:rPr>
        <w:t>Digital</w:t>
      </w:r>
      <w:proofErr w:type="spellEnd"/>
      <w:r w:rsidRPr="00550D35">
        <w:rPr>
          <w:lang w:val="lv-LV"/>
        </w:rPr>
        <w:t>”.</w:t>
      </w:r>
    </w:p>
    <w:p w14:paraId="0B87FDB5" w14:textId="26E66A63" w:rsidR="00613102" w:rsidRDefault="00613102" w:rsidP="00613102">
      <w:pPr>
        <w:rPr>
          <w:szCs w:val="24"/>
          <w:lang w:val="lv-LV"/>
        </w:rPr>
      </w:pPr>
      <w:r w:rsidRPr="00550D35">
        <w:rPr>
          <w:szCs w:val="24"/>
          <w:lang w:val="lv-LV"/>
        </w:rPr>
        <w:lastRenderedPageBreak/>
        <w:t xml:space="preserve">Latvijā ir identificēti 512 </w:t>
      </w:r>
      <w:proofErr w:type="spellStart"/>
      <w:r w:rsidRPr="00550D35">
        <w:rPr>
          <w:szCs w:val="24"/>
          <w:lang w:val="lv-LV"/>
        </w:rPr>
        <w:t>jaunuzņēmumi</w:t>
      </w:r>
      <w:proofErr w:type="spellEnd"/>
      <w:r w:rsidRPr="00550D35">
        <w:rPr>
          <w:szCs w:val="24"/>
          <w:lang w:val="lv-LV"/>
        </w:rPr>
        <w:t xml:space="preserve">, kas vietējās un starptautiskās datubāzēs definēti kā </w:t>
      </w:r>
      <w:proofErr w:type="spellStart"/>
      <w:r w:rsidRPr="00550D35">
        <w:rPr>
          <w:szCs w:val="24"/>
          <w:lang w:val="lv-LV"/>
        </w:rPr>
        <w:t>jaunuzņēmumi</w:t>
      </w:r>
      <w:proofErr w:type="spellEnd"/>
      <w:r w:rsidRPr="00550D35">
        <w:rPr>
          <w:szCs w:val="24"/>
          <w:lang w:val="lv-LV"/>
        </w:rPr>
        <w:t xml:space="preserve"> un ir vecumā līdz 7 gadiem, t.i., dibināti no 2015. līdz 2021.</w:t>
      </w:r>
      <w:r w:rsidR="00362532" w:rsidRPr="00550D35">
        <w:rPr>
          <w:szCs w:val="24"/>
          <w:lang w:val="lv-LV"/>
        </w:rPr>
        <w:t> </w:t>
      </w:r>
      <w:r w:rsidRPr="00550D35">
        <w:rPr>
          <w:szCs w:val="24"/>
          <w:lang w:val="lv-LV"/>
        </w:rPr>
        <w:t xml:space="preserve">gadam (2022. gada pētījuma </w:t>
      </w:r>
      <w:proofErr w:type="spellStart"/>
      <w:r w:rsidRPr="00550D35">
        <w:rPr>
          <w:i/>
          <w:iCs/>
          <w:szCs w:val="24"/>
          <w:lang w:val="lv-LV"/>
        </w:rPr>
        <w:t>Oxford</w:t>
      </w:r>
      <w:proofErr w:type="spellEnd"/>
      <w:r w:rsidRPr="00550D35">
        <w:rPr>
          <w:i/>
          <w:iCs/>
          <w:szCs w:val="24"/>
          <w:lang w:val="lv-LV"/>
        </w:rPr>
        <w:t xml:space="preserve"> </w:t>
      </w:r>
      <w:proofErr w:type="spellStart"/>
      <w:r w:rsidRPr="00550D35">
        <w:rPr>
          <w:i/>
          <w:iCs/>
          <w:szCs w:val="24"/>
          <w:lang w:val="lv-LV"/>
        </w:rPr>
        <w:t>Research</w:t>
      </w:r>
      <w:proofErr w:type="spellEnd"/>
      <w:r w:rsidRPr="00550D35">
        <w:rPr>
          <w:i/>
          <w:iCs/>
          <w:szCs w:val="24"/>
          <w:lang w:val="lv-LV"/>
        </w:rPr>
        <w:t xml:space="preserve"> Baltics</w:t>
      </w:r>
      <w:r w:rsidRPr="00550D35">
        <w:rPr>
          <w:szCs w:val="24"/>
          <w:lang w:val="lv-LV"/>
        </w:rPr>
        <w:t xml:space="preserve"> institūta pētījums). Kopumā jaunu uzsācēju (līdz 3 gadiem) īpatsvars ir 46%. Pēc NACE nozarēm </w:t>
      </w:r>
      <w:proofErr w:type="spellStart"/>
      <w:r w:rsidR="00362532" w:rsidRPr="00550D35">
        <w:rPr>
          <w:szCs w:val="24"/>
          <w:lang w:val="lv-LV"/>
        </w:rPr>
        <w:t>jaun</w:t>
      </w:r>
      <w:r w:rsidRPr="00550D35">
        <w:rPr>
          <w:szCs w:val="24"/>
          <w:lang w:val="lv-LV"/>
        </w:rPr>
        <w:t>uzņēmumi</w:t>
      </w:r>
      <w:proofErr w:type="spellEnd"/>
      <w:r w:rsidRPr="00550D35">
        <w:rPr>
          <w:szCs w:val="24"/>
          <w:lang w:val="lv-LV"/>
        </w:rPr>
        <w:t xml:space="preserve"> darbojas galvenokārt informācijas un sakaru pakalpojumu nozarē (59, kā arī ražošanas un profesionālo, zinātnisko un tehnisko pakalpojumu jomā (20%). Startin.lv datubāzē</w:t>
      </w:r>
      <w:r w:rsidR="00A32714">
        <w:rPr>
          <w:szCs w:val="24"/>
          <w:lang w:val="lv-LV"/>
        </w:rPr>
        <w:t xml:space="preserve"> uz </w:t>
      </w:r>
      <w:r w:rsidR="00EA6430">
        <w:rPr>
          <w:szCs w:val="24"/>
          <w:lang w:val="lv-LV"/>
        </w:rPr>
        <w:t>2023.gada 31. decembri</w:t>
      </w:r>
      <w:r w:rsidRPr="00550D35">
        <w:rPr>
          <w:szCs w:val="24"/>
          <w:lang w:val="lv-LV"/>
        </w:rPr>
        <w:t xml:space="preserve"> reģistrēti  </w:t>
      </w:r>
      <w:r w:rsidR="00EA6430">
        <w:rPr>
          <w:szCs w:val="24"/>
          <w:lang w:val="lv-LV"/>
        </w:rPr>
        <w:t>447</w:t>
      </w:r>
      <w:r w:rsidR="0066794F">
        <w:rPr>
          <w:szCs w:val="24"/>
          <w:lang w:val="lv-LV"/>
        </w:rPr>
        <w:t> </w:t>
      </w:r>
      <w:proofErr w:type="spellStart"/>
      <w:r w:rsidRPr="00550D35">
        <w:rPr>
          <w:szCs w:val="24"/>
          <w:lang w:val="lv-LV"/>
        </w:rPr>
        <w:t>jaunuzņēmumi</w:t>
      </w:r>
      <w:proofErr w:type="spellEnd"/>
      <w:r w:rsidRPr="00550D35">
        <w:rPr>
          <w:szCs w:val="24"/>
          <w:lang w:val="lv-LV"/>
        </w:rPr>
        <w:t xml:space="preserve"> (Latvijas </w:t>
      </w:r>
      <w:proofErr w:type="spellStart"/>
      <w:r w:rsidRPr="00550D35">
        <w:rPr>
          <w:szCs w:val="24"/>
          <w:lang w:val="lv-LV"/>
        </w:rPr>
        <w:t>Jaunuzņēmumu</w:t>
      </w:r>
      <w:proofErr w:type="spellEnd"/>
      <w:r w:rsidRPr="00550D35">
        <w:rPr>
          <w:szCs w:val="24"/>
          <w:lang w:val="lv-LV"/>
        </w:rPr>
        <w:t xml:space="preserve"> asociācijas biedri).</w:t>
      </w:r>
    </w:p>
    <w:p w14:paraId="7B1CCE36" w14:textId="0F1C597E" w:rsidR="00613102" w:rsidRPr="00550D35" w:rsidRDefault="00613102" w:rsidP="00613102">
      <w:pPr>
        <w:rPr>
          <w:szCs w:val="24"/>
          <w:lang w:val="lv-LV"/>
        </w:rPr>
      </w:pPr>
      <w:r w:rsidRPr="00550D35">
        <w:rPr>
          <w:szCs w:val="24"/>
          <w:lang w:val="lv-LV"/>
        </w:rPr>
        <w:t xml:space="preserve">Sadarbības memorandam par Latvijas </w:t>
      </w:r>
      <w:proofErr w:type="spellStart"/>
      <w:r w:rsidRPr="00550D35">
        <w:rPr>
          <w:szCs w:val="24"/>
          <w:lang w:val="lv-LV"/>
        </w:rPr>
        <w:t>jaunuzņēmumu</w:t>
      </w:r>
      <w:proofErr w:type="spellEnd"/>
      <w:r w:rsidRPr="00550D35">
        <w:rPr>
          <w:szCs w:val="24"/>
          <w:lang w:val="lv-LV"/>
        </w:rPr>
        <w:t xml:space="preserve"> ekosistēmas attīstības stratēģiju. 2022.gada 7.septembrī ir pievienojusies EM, </w:t>
      </w:r>
      <w:r w:rsidR="006167DC" w:rsidRPr="00550D35">
        <w:rPr>
          <w:szCs w:val="24"/>
          <w:lang w:val="lv-LV"/>
        </w:rPr>
        <w:t>LIAA</w:t>
      </w:r>
      <w:r w:rsidRPr="00550D35">
        <w:rPr>
          <w:szCs w:val="24"/>
          <w:lang w:val="lv-LV"/>
        </w:rPr>
        <w:t xml:space="preserve"> un</w:t>
      </w:r>
      <w:r w:rsidR="00DF72BE" w:rsidRPr="00550D35">
        <w:rPr>
          <w:szCs w:val="24"/>
          <w:lang w:val="lv-LV"/>
        </w:rPr>
        <w:t xml:space="preserve"> ALTUM</w:t>
      </w:r>
      <w:r w:rsidRPr="00550D35">
        <w:rPr>
          <w:szCs w:val="24"/>
          <w:lang w:val="lv-LV"/>
        </w:rPr>
        <w:t xml:space="preserve">, biedrība “Latvijas </w:t>
      </w:r>
      <w:proofErr w:type="spellStart"/>
      <w:r w:rsidRPr="00550D35">
        <w:rPr>
          <w:szCs w:val="24"/>
          <w:lang w:val="lv-LV"/>
        </w:rPr>
        <w:t>Jaunuzņēmumu</w:t>
      </w:r>
      <w:proofErr w:type="spellEnd"/>
      <w:r w:rsidRPr="00550D35">
        <w:rPr>
          <w:szCs w:val="24"/>
          <w:lang w:val="lv-LV"/>
        </w:rPr>
        <w:t xml:space="preserve"> asociācija”, nodibinājums </w:t>
      </w:r>
      <w:r w:rsidRPr="00D81D2F">
        <w:rPr>
          <w:i/>
          <w:iCs/>
          <w:szCs w:val="24"/>
          <w:lang w:val="lv-LV"/>
        </w:rPr>
        <w:t>“</w:t>
      </w:r>
      <w:proofErr w:type="spellStart"/>
      <w:r w:rsidRPr="00D81D2F">
        <w:rPr>
          <w:i/>
          <w:iCs/>
          <w:szCs w:val="24"/>
          <w:lang w:val="lv-LV"/>
        </w:rPr>
        <w:t>TechChill</w:t>
      </w:r>
      <w:proofErr w:type="spellEnd"/>
      <w:r w:rsidRPr="00D81D2F">
        <w:rPr>
          <w:i/>
          <w:iCs/>
          <w:szCs w:val="24"/>
          <w:lang w:val="lv-LV"/>
        </w:rPr>
        <w:t>”</w:t>
      </w:r>
      <w:r w:rsidRPr="00550D35">
        <w:rPr>
          <w:szCs w:val="24"/>
          <w:lang w:val="lv-LV"/>
        </w:rPr>
        <w:t xml:space="preserve">, nodibinājums </w:t>
      </w:r>
      <w:r w:rsidRPr="00D81D2F">
        <w:rPr>
          <w:i/>
          <w:iCs/>
          <w:szCs w:val="24"/>
          <w:lang w:val="lv-LV"/>
        </w:rPr>
        <w:t>“</w:t>
      </w:r>
      <w:proofErr w:type="spellStart"/>
      <w:r w:rsidRPr="00D81D2F">
        <w:rPr>
          <w:i/>
          <w:iCs/>
          <w:szCs w:val="24"/>
          <w:lang w:val="lv-LV"/>
        </w:rPr>
        <w:t>TechHub</w:t>
      </w:r>
      <w:proofErr w:type="spellEnd"/>
      <w:r w:rsidRPr="00D81D2F">
        <w:rPr>
          <w:i/>
          <w:iCs/>
          <w:szCs w:val="24"/>
          <w:lang w:val="lv-LV"/>
        </w:rPr>
        <w:t>”</w:t>
      </w:r>
      <w:r w:rsidRPr="00550D35">
        <w:rPr>
          <w:szCs w:val="24"/>
          <w:lang w:val="lv-LV"/>
        </w:rPr>
        <w:t xml:space="preserve">, </w:t>
      </w:r>
      <w:r w:rsidR="006167DC" w:rsidRPr="00550D35">
        <w:rPr>
          <w:szCs w:val="24"/>
          <w:lang w:val="lv-LV"/>
        </w:rPr>
        <w:t>RTU</w:t>
      </w:r>
      <w:r w:rsidRPr="00550D35">
        <w:rPr>
          <w:szCs w:val="24"/>
          <w:lang w:val="lv-LV"/>
        </w:rPr>
        <w:t>, “Latvijas Privātā un riska kapitāla asociācija”</w:t>
      </w:r>
      <w:r w:rsidR="00DF72BE" w:rsidRPr="00550D35">
        <w:rPr>
          <w:szCs w:val="24"/>
          <w:lang w:val="lv-LV"/>
        </w:rPr>
        <w:t>,</w:t>
      </w:r>
      <w:r w:rsidRPr="00550D35">
        <w:rPr>
          <w:szCs w:val="24"/>
          <w:lang w:val="lv-LV"/>
        </w:rPr>
        <w:t xml:space="preserve"> </w:t>
      </w:r>
      <w:r w:rsidR="00DF72BE" w:rsidRPr="00550D35">
        <w:rPr>
          <w:szCs w:val="24"/>
          <w:lang w:val="lv-LV"/>
        </w:rPr>
        <w:t>B</w:t>
      </w:r>
      <w:r w:rsidRPr="00550D35">
        <w:rPr>
          <w:szCs w:val="24"/>
          <w:lang w:val="lv-LV"/>
        </w:rPr>
        <w:t xml:space="preserve">iedrība “Latvijas Biznesa Eņģeļu Tīkls”. Stratēģijas mērķis ir veicināt spēcīgu un vienotu </w:t>
      </w:r>
      <w:proofErr w:type="spellStart"/>
      <w:r w:rsidRPr="00550D35">
        <w:rPr>
          <w:szCs w:val="24"/>
          <w:lang w:val="lv-LV"/>
        </w:rPr>
        <w:t>jaunuzņēmumu</w:t>
      </w:r>
      <w:proofErr w:type="spellEnd"/>
      <w:r w:rsidRPr="00550D35">
        <w:rPr>
          <w:szCs w:val="24"/>
          <w:lang w:val="lv-LV"/>
        </w:rPr>
        <w:t xml:space="preserve"> ekosistēmas attīstību, ieviest aktivitātes un piesaistīt talantus </w:t>
      </w:r>
      <w:proofErr w:type="spellStart"/>
      <w:r w:rsidRPr="00550D35">
        <w:rPr>
          <w:szCs w:val="24"/>
          <w:lang w:val="lv-LV"/>
        </w:rPr>
        <w:t>jaunuzņēmumos</w:t>
      </w:r>
      <w:proofErr w:type="spellEnd"/>
      <w:r w:rsidRPr="00550D35">
        <w:rPr>
          <w:szCs w:val="24"/>
          <w:lang w:val="lv-LV"/>
        </w:rPr>
        <w:t xml:space="preserve">. Stratēģija nosaka sasniedzamos rezultātus līdz 2025. gadam, tostarp, veicināt investīciju piesaisti </w:t>
      </w:r>
      <w:proofErr w:type="spellStart"/>
      <w:r w:rsidRPr="00550D35">
        <w:rPr>
          <w:szCs w:val="24"/>
          <w:lang w:val="lv-LV"/>
        </w:rPr>
        <w:t>jaunuzņēmumos</w:t>
      </w:r>
      <w:proofErr w:type="spellEnd"/>
      <w:r w:rsidRPr="00550D35">
        <w:rPr>
          <w:szCs w:val="24"/>
          <w:lang w:val="lv-LV"/>
        </w:rPr>
        <w:t xml:space="preserve"> par 300</w:t>
      </w:r>
      <w:r w:rsidR="00EB5590" w:rsidRPr="00550D35">
        <w:rPr>
          <w:szCs w:val="24"/>
          <w:lang w:val="lv-LV"/>
        </w:rPr>
        <w:t> </w:t>
      </w:r>
      <w:r w:rsidRPr="00550D35">
        <w:rPr>
          <w:szCs w:val="24"/>
          <w:lang w:val="lv-LV"/>
        </w:rPr>
        <w:t xml:space="preserve">milj. </w:t>
      </w:r>
      <w:r w:rsidR="00EB5590" w:rsidRPr="00550D35">
        <w:rPr>
          <w:szCs w:val="24"/>
          <w:lang w:val="lv-LV"/>
        </w:rPr>
        <w:t> </w:t>
      </w:r>
      <w:proofErr w:type="spellStart"/>
      <w:r w:rsidR="00221010" w:rsidRPr="00550D35">
        <w:rPr>
          <w:i/>
          <w:szCs w:val="24"/>
          <w:lang w:val="lv-LV"/>
        </w:rPr>
        <w:t>euro</w:t>
      </w:r>
      <w:proofErr w:type="spellEnd"/>
      <w:r w:rsidRPr="00550D35">
        <w:rPr>
          <w:szCs w:val="24"/>
          <w:lang w:val="lv-LV"/>
        </w:rPr>
        <w:t xml:space="preserve"> un palielināt nodarbināto skaitu </w:t>
      </w:r>
      <w:proofErr w:type="spellStart"/>
      <w:r w:rsidRPr="00550D35">
        <w:rPr>
          <w:szCs w:val="24"/>
          <w:lang w:val="lv-LV"/>
        </w:rPr>
        <w:t>jaunuzņēmumos</w:t>
      </w:r>
      <w:proofErr w:type="spellEnd"/>
      <w:r w:rsidRPr="00550D35">
        <w:rPr>
          <w:szCs w:val="24"/>
          <w:lang w:val="lv-LV"/>
        </w:rPr>
        <w:t xml:space="preserve"> par 1500</w:t>
      </w:r>
      <w:r w:rsidR="00EB5590" w:rsidRPr="00550D35">
        <w:rPr>
          <w:szCs w:val="24"/>
          <w:lang w:val="lv-LV"/>
        </w:rPr>
        <w:t> </w:t>
      </w:r>
      <w:r w:rsidRPr="00550D35">
        <w:rPr>
          <w:szCs w:val="24"/>
          <w:lang w:val="lv-LV"/>
        </w:rPr>
        <w:t>darbiniekiem.</w:t>
      </w:r>
    </w:p>
    <w:p w14:paraId="1B1FD612" w14:textId="1312C280" w:rsidR="00613102" w:rsidRPr="00550D35" w:rsidRDefault="00613102" w:rsidP="00613102">
      <w:pPr>
        <w:rPr>
          <w:szCs w:val="24"/>
          <w:lang w:val="lv-LV"/>
        </w:rPr>
      </w:pPr>
      <w:r w:rsidRPr="00550D35">
        <w:rPr>
          <w:szCs w:val="24"/>
          <w:lang w:val="lv-LV"/>
        </w:rPr>
        <w:t xml:space="preserve">Stratēģijā iekļauti šādi galvenie pasākumi – 1) finansējuma pieejamības uzlabošana (valsts atbalsta programmas) – EM, ALTUM, LIAA, </w:t>
      </w:r>
      <w:r w:rsidR="00F66014" w:rsidRPr="00550D35">
        <w:rPr>
          <w:szCs w:val="24"/>
          <w:lang w:val="lv-LV"/>
        </w:rPr>
        <w:t>biedrība “</w:t>
      </w:r>
      <w:r w:rsidR="00225B79" w:rsidRPr="00550D35">
        <w:rPr>
          <w:szCs w:val="24"/>
          <w:lang w:val="lv-LV"/>
        </w:rPr>
        <w:t>Latvijas Biznesa Eņģeļu Tīkls</w:t>
      </w:r>
      <w:r w:rsidR="00F66014" w:rsidRPr="00550D35">
        <w:rPr>
          <w:szCs w:val="24"/>
          <w:lang w:val="lv-LV"/>
        </w:rPr>
        <w:t>”</w:t>
      </w:r>
      <w:r w:rsidRPr="00550D35">
        <w:rPr>
          <w:szCs w:val="24"/>
          <w:lang w:val="lv-LV"/>
        </w:rPr>
        <w:t xml:space="preserve">; 2) normatīvā regulējuma pilnveidošana (imigrācija, valdes locekļi, nodokļu atvieglojumi) - EM, Startin.LV, visi ekosistēmas dalībnieki; 3) ekosistēmā koordinēts izglītojošo pasākumu un semināru ciklu kopums </w:t>
      </w:r>
      <w:proofErr w:type="spellStart"/>
      <w:r w:rsidRPr="00550D35">
        <w:rPr>
          <w:szCs w:val="24"/>
          <w:lang w:val="lv-LV"/>
        </w:rPr>
        <w:t>jaunuzņēmumiem</w:t>
      </w:r>
      <w:proofErr w:type="spellEnd"/>
      <w:r w:rsidRPr="00550D35">
        <w:rPr>
          <w:szCs w:val="24"/>
          <w:lang w:val="lv-LV"/>
        </w:rPr>
        <w:t xml:space="preserve"> kopums  jaunu biznesa ideju attīstība un talantu piesaistei (</w:t>
      </w:r>
      <w:proofErr w:type="spellStart"/>
      <w:r w:rsidRPr="00550D35">
        <w:rPr>
          <w:szCs w:val="24"/>
          <w:lang w:val="lv-LV"/>
        </w:rPr>
        <w:t>hakatoni</w:t>
      </w:r>
      <w:proofErr w:type="spellEnd"/>
      <w:r w:rsidRPr="00550D35">
        <w:rPr>
          <w:szCs w:val="24"/>
          <w:lang w:val="lv-LV"/>
        </w:rPr>
        <w:t xml:space="preserve">, darbnīcas, tai skaitā </w:t>
      </w:r>
      <w:r w:rsidR="00C0052E" w:rsidRPr="00085764">
        <w:rPr>
          <w:i/>
          <w:iCs/>
          <w:szCs w:val="24"/>
          <w:lang w:val="lv-LV"/>
        </w:rPr>
        <w:t>“</w:t>
      </w:r>
      <w:proofErr w:type="spellStart"/>
      <w:r w:rsidRPr="00085764">
        <w:rPr>
          <w:i/>
          <w:iCs/>
          <w:szCs w:val="24"/>
          <w:lang w:val="lv-LV"/>
        </w:rPr>
        <w:t>Deep</w:t>
      </w:r>
      <w:proofErr w:type="spellEnd"/>
      <w:r w:rsidRPr="00085764">
        <w:rPr>
          <w:i/>
          <w:iCs/>
          <w:szCs w:val="24"/>
          <w:lang w:val="lv-LV"/>
        </w:rPr>
        <w:t xml:space="preserve"> Tech </w:t>
      </w:r>
      <w:proofErr w:type="spellStart"/>
      <w:r w:rsidRPr="00085764">
        <w:rPr>
          <w:i/>
          <w:iCs/>
          <w:szCs w:val="24"/>
          <w:lang w:val="lv-LV"/>
        </w:rPr>
        <w:t>Atelier</w:t>
      </w:r>
      <w:proofErr w:type="spellEnd"/>
      <w:r w:rsidR="00C0052E" w:rsidRPr="00085764">
        <w:rPr>
          <w:i/>
          <w:iCs/>
          <w:szCs w:val="24"/>
          <w:lang w:val="lv-LV"/>
        </w:rPr>
        <w:t>”</w:t>
      </w:r>
      <w:r w:rsidRPr="00550D35">
        <w:rPr>
          <w:szCs w:val="24"/>
          <w:lang w:val="lv-LV"/>
        </w:rPr>
        <w:t xml:space="preserve">, </w:t>
      </w:r>
      <w:r w:rsidR="00C0052E" w:rsidRPr="00085764">
        <w:rPr>
          <w:i/>
          <w:iCs/>
          <w:szCs w:val="24"/>
          <w:lang w:val="lv-LV"/>
        </w:rPr>
        <w:t>“</w:t>
      </w:r>
      <w:r w:rsidRPr="00085764">
        <w:rPr>
          <w:i/>
          <w:iCs/>
          <w:szCs w:val="24"/>
          <w:lang w:val="lv-LV"/>
        </w:rPr>
        <w:t>City2Sea</w:t>
      </w:r>
      <w:r w:rsidR="00C0052E" w:rsidRPr="00085764">
        <w:rPr>
          <w:i/>
          <w:iCs/>
          <w:szCs w:val="24"/>
          <w:lang w:val="lv-LV"/>
        </w:rPr>
        <w:t>”</w:t>
      </w:r>
      <w:r w:rsidRPr="00550D35">
        <w:rPr>
          <w:szCs w:val="24"/>
          <w:lang w:val="lv-LV"/>
        </w:rPr>
        <w:t xml:space="preserve"> ietvaros) LIAA, Startin.LV, </w:t>
      </w:r>
      <w:r w:rsidR="00C0052E">
        <w:rPr>
          <w:szCs w:val="24"/>
          <w:lang w:val="lv-LV"/>
        </w:rPr>
        <w:t>“</w:t>
      </w:r>
      <w:proofErr w:type="spellStart"/>
      <w:r w:rsidRPr="00085764">
        <w:rPr>
          <w:i/>
          <w:iCs/>
          <w:szCs w:val="24"/>
          <w:lang w:val="lv-LV"/>
        </w:rPr>
        <w:t>TechChill</w:t>
      </w:r>
      <w:proofErr w:type="spellEnd"/>
      <w:r w:rsidR="00C0052E">
        <w:rPr>
          <w:szCs w:val="24"/>
          <w:lang w:val="lv-LV"/>
        </w:rPr>
        <w:t>”</w:t>
      </w:r>
      <w:r w:rsidRPr="00550D35">
        <w:rPr>
          <w:szCs w:val="24"/>
          <w:lang w:val="lv-LV"/>
        </w:rPr>
        <w:t xml:space="preserve">, universitātes, visi ekosistēmas dalībnieki; Latvijas biznesa 4) eņģeļu un investoru kvalifikācijas celšana (apmācības investoriem, vietējā un starptautiskā līmenī, tīklošanās: </w:t>
      </w:r>
      <w:proofErr w:type="spellStart"/>
      <w:r w:rsidRPr="00550D35">
        <w:rPr>
          <w:i/>
          <w:iCs/>
          <w:szCs w:val="24"/>
          <w:lang w:val="lv-LV"/>
        </w:rPr>
        <w:t>TechChill</w:t>
      </w:r>
      <w:proofErr w:type="spellEnd"/>
      <w:r w:rsidRPr="00550D35">
        <w:rPr>
          <w:i/>
          <w:iCs/>
          <w:szCs w:val="24"/>
          <w:lang w:val="lv-LV"/>
        </w:rPr>
        <w:t xml:space="preserve">, Latitude59, </w:t>
      </w:r>
      <w:proofErr w:type="spellStart"/>
      <w:r w:rsidRPr="00550D35">
        <w:rPr>
          <w:i/>
          <w:iCs/>
          <w:szCs w:val="24"/>
          <w:lang w:val="lv-LV"/>
        </w:rPr>
        <w:t>Arctic</w:t>
      </w:r>
      <w:proofErr w:type="spellEnd"/>
      <w:r w:rsidRPr="00550D35">
        <w:rPr>
          <w:i/>
          <w:iCs/>
          <w:szCs w:val="24"/>
          <w:lang w:val="lv-LV"/>
        </w:rPr>
        <w:t xml:space="preserve"> 15, </w:t>
      </w:r>
      <w:proofErr w:type="spellStart"/>
      <w:r w:rsidRPr="00550D35">
        <w:rPr>
          <w:i/>
          <w:iCs/>
          <w:szCs w:val="24"/>
          <w:lang w:val="lv-LV"/>
        </w:rPr>
        <w:t>Business</w:t>
      </w:r>
      <w:proofErr w:type="spellEnd"/>
      <w:r w:rsidRPr="00550D35">
        <w:rPr>
          <w:i/>
          <w:iCs/>
          <w:szCs w:val="24"/>
          <w:lang w:val="lv-LV"/>
        </w:rPr>
        <w:t xml:space="preserve"> Angel </w:t>
      </w:r>
      <w:proofErr w:type="spellStart"/>
      <w:r w:rsidRPr="00550D35">
        <w:rPr>
          <w:i/>
          <w:iCs/>
          <w:szCs w:val="24"/>
          <w:lang w:val="lv-LV"/>
        </w:rPr>
        <w:t>Camp</w:t>
      </w:r>
      <w:proofErr w:type="spellEnd"/>
      <w:r w:rsidRPr="00550D35">
        <w:rPr>
          <w:i/>
          <w:iCs/>
          <w:szCs w:val="24"/>
          <w:lang w:val="lv-LV"/>
        </w:rPr>
        <w:t xml:space="preserve">, EMERGE, EBAN </w:t>
      </w:r>
      <w:proofErr w:type="spellStart"/>
      <w:r w:rsidRPr="00550D35">
        <w:rPr>
          <w:i/>
          <w:iCs/>
          <w:szCs w:val="24"/>
          <w:lang w:val="lv-LV"/>
        </w:rPr>
        <w:t>Congress</w:t>
      </w:r>
      <w:proofErr w:type="spellEnd"/>
      <w:r w:rsidRPr="00550D35">
        <w:rPr>
          <w:i/>
          <w:iCs/>
          <w:szCs w:val="24"/>
          <w:lang w:val="lv-LV"/>
        </w:rPr>
        <w:t xml:space="preserve">, </w:t>
      </w:r>
      <w:proofErr w:type="spellStart"/>
      <w:r w:rsidRPr="00085764">
        <w:rPr>
          <w:i/>
          <w:iCs/>
          <w:szCs w:val="24"/>
          <w:lang w:val="lv-LV"/>
        </w:rPr>
        <w:t>TechBBQ</w:t>
      </w:r>
      <w:proofErr w:type="spellEnd"/>
      <w:r w:rsidRPr="00550D35">
        <w:rPr>
          <w:szCs w:val="24"/>
          <w:lang w:val="lv-LV"/>
        </w:rPr>
        <w:t xml:space="preserve">, </w:t>
      </w:r>
      <w:proofErr w:type="spellStart"/>
      <w:r w:rsidRPr="00550D35">
        <w:rPr>
          <w:szCs w:val="24"/>
          <w:lang w:val="lv-LV"/>
        </w:rPr>
        <w:t>Startup</w:t>
      </w:r>
      <w:proofErr w:type="spellEnd"/>
      <w:r w:rsidRPr="00550D35">
        <w:rPr>
          <w:szCs w:val="24"/>
          <w:lang w:val="lv-LV"/>
        </w:rPr>
        <w:t xml:space="preserve"> </w:t>
      </w:r>
      <w:proofErr w:type="spellStart"/>
      <w:r w:rsidRPr="00550D35">
        <w:rPr>
          <w:szCs w:val="24"/>
          <w:lang w:val="lv-LV"/>
        </w:rPr>
        <w:t>Day</w:t>
      </w:r>
      <w:proofErr w:type="spellEnd"/>
      <w:r w:rsidRPr="00550D35">
        <w:rPr>
          <w:szCs w:val="24"/>
          <w:lang w:val="lv-LV"/>
        </w:rPr>
        <w:t xml:space="preserve"> Latvija, </w:t>
      </w:r>
      <w:proofErr w:type="spellStart"/>
      <w:r w:rsidRPr="00085764">
        <w:rPr>
          <w:i/>
          <w:iCs/>
          <w:szCs w:val="24"/>
          <w:lang w:val="lv-LV"/>
        </w:rPr>
        <w:t>WebSummit</w:t>
      </w:r>
      <w:proofErr w:type="spellEnd"/>
      <w:r w:rsidRPr="00550D35">
        <w:rPr>
          <w:szCs w:val="24"/>
          <w:lang w:val="lv-LV"/>
        </w:rPr>
        <w:t xml:space="preserve">, </w:t>
      </w:r>
      <w:proofErr w:type="spellStart"/>
      <w:r w:rsidRPr="00085764">
        <w:rPr>
          <w:i/>
          <w:iCs/>
          <w:szCs w:val="24"/>
          <w:lang w:val="lv-LV"/>
        </w:rPr>
        <w:t>Slush</w:t>
      </w:r>
      <w:proofErr w:type="spellEnd"/>
      <w:r w:rsidRPr="00550D35">
        <w:rPr>
          <w:szCs w:val="24"/>
          <w:lang w:val="lv-LV"/>
        </w:rPr>
        <w:t xml:space="preserve">) - </w:t>
      </w:r>
      <w:r w:rsidR="00067737" w:rsidRPr="00550D35">
        <w:rPr>
          <w:szCs w:val="24"/>
          <w:lang w:val="lv-LV"/>
        </w:rPr>
        <w:t>biedrība “Latvijas Biznesa Eņģeļu Tīkls”</w:t>
      </w:r>
      <w:r w:rsidRPr="00550D35">
        <w:rPr>
          <w:szCs w:val="24"/>
          <w:lang w:val="lv-LV"/>
        </w:rPr>
        <w:t xml:space="preserve">, </w:t>
      </w:r>
      <w:r w:rsidR="00B4142C" w:rsidRPr="00550D35">
        <w:rPr>
          <w:szCs w:val="24"/>
          <w:lang w:val="lv-LV"/>
        </w:rPr>
        <w:t xml:space="preserve">sabiedrisko organizāciju “Latvijas Privātā un </w:t>
      </w:r>
      <w:proofErr w:type="spellStart"/>
      <w:r w:rsidR="00B4142C" w:rsidRPr="00550D35">
        <w:rPr>
          <w:szCs w:val="24"/>
          <w:lang w:val="lv-LV"/>
        </w:rPr>
        <w:t>Iespējkapitāla</w:t>
      </w:r>
      <w:proofErr w:type="spellEnd"/>
      <w:r w:rsidR="00B4142C" w:rsidRPr="00550D35">
        <w:rPr>
          <w:szCs w:val="24"/>
          <w:lang w:val="lv-LV"/>
        </w:rPr>
        <w:t xml:space="preserve"> asociācija”,</w:t>
      </w:r>
      <w:r w:rsidRPr="00550D35">
        <w:rPr>
          <w:szCs w:val="24"/>
          <w:lang w:val="lv-LV"/>
        </w:rPr>
        <w:t xml:space="preserve"> LIAA, visi ekosistēmas dalībnieki; 5) atbalsts diasporas pārstāvjiem, lai atgrieztos un integrētos Latvijā – LIAA; 6) </w:t>
      </w:r>
      <w:proofErr w:type="spellStart"/>
      <w:r w:rsidRPr="00550D35">
        <w:rPr>
          <w:szCs w:val="24"/>
          <w:lang w:val="lv-LV"/>
        </w:rPr>
        <w:t>Jaunuzņēmumu</w:t>
      </w:r>
      <w:proofErr w:type="spellEnd"/>
      <w:r w:rsidRPr="00550D35">
        <w:rPr>
          <w:szCs w:val="24"/>
          <w:lang w:val="lv-LV"/>
        </w:rPr>
        <w:t xml:space="preserve"> datu vākšana un to attīstības analīze - Startin.LV, LIAA; 7) </w:t>
      </w:r>
      <w:proofErr w:type="spellStart"/>
      <w:r w:rsidRPr="00550D35">
        <w:rPr>
          <w:szCs w:val="24"/>
          <w:lang w:val="lv-LV"/>
        </w:rPr>
        <w:t>Jaunuzņēmumu</w:t>
      </w:r>
      <w:proofErr w:type="spellEnd"/>
      <w:r w:rsidRPr="00550D35">
        <w:rPr>
          <w:szCs w:val="24"/>
          <w:lang w:val="lv-LV"/>
        </w:rPr>
        <w:t xml:space="preserve"> ekosistēmas centrālās mājas </w:t>
      </w:r>
      <w:r w:rsidRPr="00085764">
        <w:rPr>
          <w:i/>
          <w:iCs/>
          <w:szCs w:val="24"/>
          <w:lang w:val="lv-LV"/>
        </w:rPr>
        <w:t>("</w:t>
      </w:r>
      <w:proofErr w:type="spellStart"/>
      <w:r w:rsidRPr="00085764">
        <w:rPr>
          <w:i/>
          <w:iCs/>
          <w:szCs w:val="24"/>
          <w:lang w:val="lv-LV"/>
        </w:rPr>
        <w:t>Startup</w:t>
      </w:r>
      <w:proofErr w:type="spellEnd"/>
      <w:r w:rsidRPr="00085764">
        <w:rPr>
          <w:i/>
          <w:iCs/>
          <w:szCs w:val="24"/>
          <w:lang w:val="lv-LV"/>
        </w:rPr>
        <w:t xml:space="preserve"> </w:t>
      </w:r>
      <w:proofErr w:type="spellStart"/>
      <w:r w:rsidRPr="00085764">
        <w:rPr>
          <w:i/>
          <w:iCs/>
          <w:szCs w:val="24"/>
          <w:lang w:val="lv-LV"/>
        </w:rPr>
        <w:t>House</w:t>
      </w:r>
      <w:proofErr w:type="spellEnd"/>
      <w:r w:rsidRPr="00085764">
        <w:rPr>
          <w:i/>
          <w:iCs/>
          <w:szCs w:val="24"/>
          <w:lang w:val="lv-LV"/>
        </w:rPr>
        <w:t>")</w:t>
      </w:r>
      <w:r w:rsidRPr="00550D35">
        <w:rPr>
          <w:szCs w:val="24"/>
          <w:lang w:val="lv-LV"/>
        </w:rPr>
        <w:t xml:space="preserve"> izveidošana - visi ekosistēmas dalībnieki; 8) Starptautiski nozīmīgu pasākumu organizēšana </w:t>
      </w:r>
      <w:r w:rsidRPr="00085764">
        <w:rPr>
          <w:i/>
          <w:iCs/>
          <w:szCs w:val="24"/>
          <w:lang w:val="lv-LV"/>
        </w:rPr>
        <w:t>(“</w:t>
      </w:r>
      <w:proofErr w:type="spellStart"/>
      <w:r w:rsidRPr="00085764">
        <w:rPr>
          <w:i/>
          <w:iCs/>
          <w:szCs w:val="24"/>
          <w:lang w:val="lv-LV"/>
        </w:rPr>
        <w:t>TechChill</w:t>
      </w:r>
      <w:proofErr w:type="spellEnd"/>
      <w:r w:rsidRPr="00085764">
        <w:rPr>
          <w:i/>
          <w:iCs/>
          <w:szCs w:val="24"/>
          <w:lang w:val="lv-LV"/>
        </w:rPr>
        <w:t>”,</w:t>
      </w:r>
      <w:r w:rsidRPr="00550D35">
        <w:rPr>
          <w:szCs w:val="24"/>
          <w:lang w:val="lv-LV"/>
        </w:rPr>
        <w:t xml:space="preserve"> “Gada investors”, “</w:t>
      </w:r>
      <w:proofErr w:type="spellStart"/>
      <w:r w:rsidRPr="00085764">
        <w:rPr>
          <w:i/>
          <w:iCs/>
          <w:szCs w:val="24"/>
          <w:lang w:val="lv-LV"/>
        </w:rPr>
        <w:t>Startup</w:t>
      </w:r>
      <w:proofErr w:type="spellEnd"/>
      <w:r w:rsidRPr="00085764">
        <w:rPr>
          <w:i/>
          <w:iCs/>
          <w:szCs w:val="24"/>
          <w:lang w:val="lv-LV"/>
        </w:rPr>
        <w:t xml:space="preserve"> </w:t>
      </w:r>
      <w:proofErr w:type="spellStart"/>
      <w:r w:rsidRPr="00085764">
        <w:rPr>
          <w:i/>
          <w:iCs/>
          <w:szCs w:val="24"/>
          <w:lang w:val="lv-LV"/>
        </w:rPr>
        <w:t>Day</w:t>
      </w:r>
      <w:proofErr w:type="spellEnd"/>
      <w:r w:rsidRPr="00550D35">
        <w:rPr>
          <w:szCs w:val="24"/>
          <w:lang w:val="lv-LV"/>
        </w:rPr>
        <w:t>”, “</w:t>
      </w:r>
      <w:proofErr w:type="spellStart"/>
      <w:r w:rsidRPr="00085764">
        <w:rPr>
          <w:i/>
          <w:iCs/>
          <w:szCs w:val="24"/>
          <w:lang w:val="lv-LV"/>
        </w:rPr>
        <w:t>Startup</w:t>
      </w:r>
      <w:proofErr w:type="spellEnd"/>
      <w:r w:rsidRPr="00085764">
        <w:rPr>
          <w:i/>
          <w:iCs/>
          <w:szCs w:val="24"/>
          <w:lang w:val="lv-LV"/>
        </w:rPr>
        <w:t xml:space="preserve"> BBQ</w:t>
      </w:r>
      <w:r w:rsidRPr="00550D35">
        <w:rPr>
          <w:szCs w:val="24"/>
          <w:lang w:val="lv-LV"/>
        </w:rPr>
        <w:t>”, konkursu “</w:t>
      </w:r>
      <w:proofErr w:type="spellStart"/>
      <w:r w:rsidRPr="00085764">
        <w:rPr>
          <w:i/>
          <w:iCs/>
          <w:szCs w:val="24"/>
          <w:lang w:val="lv-LV"/>
        </w:rPr>
        <w:t>Fifty</w:t>
      </w:r>
      <w:proofErr w:type="spellEnd"/>
      <w:r w:rsidRPr="00085764">
        <w:rPr>
          <w:i/>
          <w:iCs/>
          <w:szCs w:val="24"/>
          <w:lang w:val="lv-LV"/>
        </w:rPr>
        <w:t xml:space="preserve"> </w:t>
      </w:r>
      <w:proofErr w:type="spellStart"/>
      <w:r w:rsidRPr="00085764">
        <w:rPr>
          <w:i/>
          <w:iCs/>
          <w:szCs w:val="24"/>
          <w:lang w:val="lv-LV"/>
        </w:rPr>
        <w:t>Founders</w:t>
      </w:r>
      <w:proofErr w:type="spellEnd"/>
      <w:r w:rsidRPr="00085764">
        <w:rPr>
          <w:i/>
          <w:iCs/>
          <w:szCs w:val="24"/>
          <w:lang w:val="lv-LV"/>
        </w:rPr>
        <w:t xml:space="preserve"> </w:t>
      </w:r>
      <w:proofErr w:type="spellStart"/>
      <w:r w:rsidRPr="00085764">
        <w:rPr>
          <w:i/>
          <w:iCs/>
          <w:szCs w:val="24"/>
          <w:lang w:val="lv-LV"/>
        </w:rPr>
        <w:t>Battle</w:t>
      </w:r>
      <w:proofErr w:type="spellEnd"/>
      <w:r w:rsidRPr="00550D35">
        <w:rPr>
          <w:szCs w:val="24"/>
          <w:lang w:val="lv-LV"/>
        </w:rPr>
        <w:t xml:space="preserve">” un finālistu apmācības, </w:t>
      </w:r>
      <w:proofErr w:type="spellStart"/>
      <w:r w:rsidRPr="002870B8">
        <w:rPr>
          <w:i/>
          <w:iCs/>
          <w:szCs w:val="24"/>
          <w:lang w:val="lv-LV"/>
        </w:rPr>
        <w:t>Slush</w:t>
      </w:r>
      <w:proofErr w:type="spellEnd"/>
      <w:r w:rsidRPr="00550D35">
        <w:rPr>
          <w:szCs w:val="24"/>
          <w:lang w:val="lv-LV"/>
        </w:rPr>
        <w:t xml:space="preserve"> konference </w:t>
      </w:r>
      <w:r w:rsidRPr="00085764">
        <w:rPr>
          <w:i/>
          <w:iCs/>
          <w:szCs w:val="24"/>
          <w:lang w:val="lv-LV"/>
        </w:rPr>
        <w:t>“</w:t>
      </w:r>
      <w:proofErr w:type="spellStart"/>
      <w:r w:rsidRPr="00085764">
        <w:rPr>
          <w:i/>
          <w:iCs/>
          <w:szCs w:val="24"/>
          <w:lang w:val="lv-LV"/>
        </w:rPr>
        <w:t>TechBBQ</w:t>
      </w:r>
      <w:proofErr w:type="spellEnd"/>
      <w:r w:rsidRPr="00085764">
        <w:rPr>
          <w:i/>
          <w:iCs/>
          <w:szCs w:val="24"/>
          <w:lang w:val="lv-LV"/>
        </w:rPr>
        <w:t xml:space="preserve">”,) </w:t>
      </w:r>
      <w:r w:rsidRPr="00550D35">
        <w:rPr>
          <w:szCs w:val="24"/>
          <w:lang w:val="lv-LV"/>
        </w:rPr>
        <w:t>– LIAA, visi ekosistēmas dalībnieki.</w:t>
      </w:r>
    </w:p>
    <w:p w14:paraId="2F642C1C" w14:textId="2A6C16BE" w:rsidR="00613102" w:rsidRPr="00550D35" w:rsidRDefault="00613102" w:rsidP="00613102">
      <w:pPr>
        <w:rPr>
          <w:lang w:val="lv-LV"/>
        </w:rPr>
      </w:pPr>
      <w:proofErr w:type="spellStart"/>
      <w:r w:rsidRPr="00550D35">
        <w:rPr>
          <w:lang w:val="lv-LV"/>
        </w:rPr>
        <w:t>Jaunuzņēmumu</w:t>
      </w:r>
      <w:proofErr w:type="spellEnd"/>
      <w:r w:rsidRPr="00550D35">
        <w:rPr>
          <w:lang w:val="lv-LV"/>
        </w:rPr>
        <w:t xml:space="preserve"> ekosistēmas attīstībā būtiska loma ir privātajam sektoram, </w:t>
      </w:r>
      <w:r w:rsidR="00BC1A62" w:rsidRPr="00550D35">
        <w:rPr>
          <w:lang w:val="lv-LV"/>
        </w:rPr>
        <w:t>NVO</w:t>
      </w:r>
      <w:r w:rsidRPr="00550D35">
        <w:rPr>
          <w:lang w:val="lv-LV"/>
        </w:rPr>
        <w:t xml:space="preserve"> un nodibinājumiem, kuri veicina jaunu uzņēmumu rašanos, to veiksmīgu attīstību, nodrošina zināšanu un pieredzes pārnesi un sekmē vidi </w:t>
      </w:r>
      <w:proofErr w:type="spellStart"/>
      <w:r w:rsidRPr="00550D35">
        <w:rPr>
          <w:lang w:val="lv-LV"/>
        </w:rPr>
        <w:t>jaunuzņēmumu</w:t>
      </w:r>
      <w:proofErr w:type="spellEnd"/>
      <w:r w:rsidRPr="00550D35">
        <w:rPr>
          <w:lang w:val="lv-LV"/>
        </w:rPr>
        <w:t>, investoru un ekosistēmas dalībnieku sadarbībai, kā vietējā tā starptautiskā līmenī.</w:t>
      </w:r>
    </w:p>
    <w:p w14:paraId="2460F834" w14:textId="51B1FABE" w:rsidR="00400CD6" w:rsidRPr="00550D35" w:rsidRDefault="008B7B83">
      <w:pPr>
        <w:pStyle w:val="Heading2"/>
        <w:rPr>
          <w:lang w:val="lv-LV"/>
        </w:rPr>
      </w:pPr>
      <w:r>
        <w:rPr>
          <w:lang w:val="lv-LV"/>
        </w:rPr>
        <w:t>KPI “Vienradži” v</w:t>
      </w:r>
      <w:r w:rsidR="002864F1" w:rsidRPr="00550D35">
        <w:rPr>
          <w:lang w:val="lv-LV"/>
        </w:rPr>
        <w:t>alsts prognozētā trajektorija</w:t>
      </w:r>
      <w:r w:rsidR="00B4122B" w:rsidRPr="00550D35">
        <w:rPr>
          <w:lang w:val="lv-LV"/>
        </w:rPr>
        <w:t xml:space="preserve"> un </w:t>
      </w:r>
      <w:proofErr w:type="spellStart"/>
      <w:r w:rsidR="00B4122B" w:rsidRPr="00550D35">
        <w:rPr>
          <w:lang w:val="lv-LV"/>
        </w:rPr>
        <w:t>mērķrādītāj</w:t>
      </w:r>
      <w:r w:rsidR="0013782F">
        <w:rPr>
          <w:lang w:val="lv-LV"/>
        </w:rPr>
        <w:t>s</w:t>
      </w:r>
      <w:proofErr w:type="spellEnd"/>
      <w:r w:rsidR="00B4122B" w:rsidRPr="00550D35">
        <w:rPr>
          <w:lang w:val="lv-LV"/>
        </w:rPr>
        <w:t xml:space="preserve">, kas paredzēti, lai palīdzētu sasniegt ES digitālo </w:t>
      </w:r>
      <w:proofErr w:type="spellStart"/>
      <w:r w:rsidR="00B4122B" w:rsidRPr="00550D35">
        <w:rPr>
          <w:lang w:val="lv-LV"/>
        </w:rPr>
        <w:t>mērķrādītāju</w:t>
      </w:r>
      <w:proofErr w:type="spellEnd"/>
    </w:p>
    <w:p w14:paraId="48E32F3E" w14:textId="06267297" w:rsidR="00A66801" w:rsidRPr="00550D35" w:rsidRDefault="00A66801" w:rsidP="00FA13D5">
      <w:pPr>
        <w:pBdr>
          <w:top w:val="single" w:sz="4" w:space="1" w:color="auto"/>
          <w:left w:val="single" w:sz="4" w:space="31" w:color="auto"/>
          <w:bottom w:val="single" w:sz="4" w:space="1" w:color="auto"/>
          <w:right w:val="single" w:sz="4" w:space="4" w:color="auto"/>
        </w:pBdr>
        <w:spacing w:before="0" w:after="160" w:line="259" w:lineRule="auto"/>
        <w:ind w:left="720" w:firstLine="0"/>
        <w:contextualSpacing/>
        <w:jc w:val="left"/>
        <w:rPr>
          <w:b/>
          <w:bCs/>
          <w:lang w:val="lv-LV"/>
        </w:rPr>
      </w:pPr>
      <w:r w:rsidRPr="00550D35">
        <w:rPr>
          <w:b/>
          <w:bCs/>
          <w:lang w:val="lv-LV"/>
        </w:rPr>
        <w:t xml:space="preserve">Nacionālā bāzes vērtība (2023): </w:t>
      </w:r>
      <w:r w:rsidR="00746243" w:rsidRPr="00550D35">
        <w:rPr>
          <w:b/>
          <w:bCs/>
          <w:lang w:val="lv-LV"/>
        </w:rPr>
        <w:t xml:space="preserve">  </w:t>
      </w:r>
      <w:r w:rsidR="00A35272" w:rsidRPr="00550D35">
        <w:rPr>
          <w:b/>
          <w:bCs/>
          <w:lang w:val="lv-LV"/>
        </w:rPr>
        <w:t>1</w:t>
      </w:r>
      <w:r w:rsidR="00B55427" w:rsidRPr="00550D35">
        <w:rPr>
          <w:b/>
          <w:bCs/>
          <w:lang w:val="lv-LV"/>
        </w:rPr>
        <w:t xml:space="preserve"> uzņēmums</w:t>
      </w:r>
      <w:r w:rsidRPr="00550D35">
        <w:rPr>
          <w:b/>
          <w:bCs/>
          <w:lang w:val="lv-LV"/>
        </w:rPr>
        <w:t>; ES bāzes vērtība (202</w:t>
      </w:r>
      <w:r w:rsidR="00A37921" w:rsidRPr="00550D35">
        <w:rPr>
          <w:b/>
          <w:bCs/>
          <w:lang w:val="lv-LV"/>
        </w:rPr>
        <w:t>2</w:t>
      </w:r>
      <w:r w:rsidRPr="00550D35">
        <w:rPr>
          <w:b/>
          <w:bCs/>
          <w:lang w:val="lv-LV"/>
        </w:rPr>
        <w:t xml:space="preserve">): </w:t>
      </w:r>
      <w:r w:rsidR="00A37921" w:rsidRPr="00550D35">
        <w:rPr>
          <w:b/>
          <w:bCs/>
          <w:lang w:val="lv-LV"/>
        </w:rPr>
        <w:t>179</w:t>
      </w:r>
      <w:r w:rsidR="00C92584" w:rsidRPr="00550D35">
        <w:rPr>
          <w:rStyle w:val="FootnoteReference"/>
          <w:b/>
          <w:bCs/>
          <w:lang w:val="lv-LV"/>
        </w:rPr>
        <w:footnoteReference w:id="62"/>
      </w:r>
    </w:p>
    <w:p w14:paraId="10330790" w14:textId="24CAC053" w:rsidR="009878D4" w:rsidRPr="00550D35" w:rsidRDefault="00BA7CA0" w:rsidP="00FA13D5">
      <w:pPr>
        <w:pBdr>
          <w:top w:val="single" w:sz="4" w:space="1" w:color="auto"/>
          <w:left w:val="single" w:sz="4" w:space="31" w:color="auto"/>
          <w:bottom w:val="single" w:sz="4" w:space="1" w:color="auto"/>
          <w:right w:val="single" w:sz="4" w:space="4" w:color="auto"/>
        </w:pBdr>
        <w:spacing w:before="0" w:after="160" w:line="259" w:lineRule="auto"/>
        <w:ind w:left="720" w:firstLine="0"/>
        <w:contextualSpacing/>
        <w:jc w:val="left"/>
        <w:rPr>
          <w:b/>
          <w:bCs/>
          <w:lang w:val="lv-LV"/>
        </w:rPr>
      </w:pPr>
      <w:r w:rsidRPr="00550D35">
        <w:rPr>
          <w:b/>
          <w:bCs/>
          <w:lang w:val="lv-LV"/>
        </w:rPr>
        <w:t>Nacionāl</w:t>
      </w:r>
      <w:r w:rsidR="00E470E0" w:rsidRPr="00550D35">
        <w:rPr>
          <w:b/>
          <w:bCs/>
          <w:lang w:val="lv-LV"/>
        </w:rPr>
        <w:t>ais</w:t>
      </w:r>
      <w:r w:rsidRPr="00550D35">
        <w:rPr>
          <w:b/>
          <w:bCs/>
          <w:lang w:val="lv-LV"/>
        </w:rPr>
        <w:t xml:space="preserve"> </w:t>
      </w:r>
      <w:proofErr w:type="spellStart"/>
      <w:r w:rsidRPr="00550D35">
        <w:rPr>
          <w:b/>
          <w:bCs/>
          <w:lang w:val="lv-LV"/>
        </w:rPr>
        <w:t>mērķ</w:t>
      </w:r>
      <w:r w:rsidR="00E470E0" w:rsidRPr="00550D35">
        <w:rPr>
          <w:b/>
          <w:bCs/>
          <w:lang w:val="lv-LV"/>
        </w:rPr>
        <w:t>rādītājs</w:t>
      </w:r>
      <w:proofErr w:type="spellEnd"/>
      <w:r w:rsidRPr="00550D35">
        <w:rPr>
          <w:b/>
          <w:bCs/>
          <w:lang w:val="lv-LV"/>
        </w:rPr>
        <w:t xml:space="preserve"> </w:t>
      </w:r>
      <w:r w:rsidR="00E50A44" w:rsidRPr="00550D35">
        <w:rPr>
          <w:b/>
          <w:bCs/>
          <w:lang w:val="lv-LV"/>
        </w:rPr>
        <w:t>(</w:t>
      </w:r>
      <w:r w:rsidRPr="00550D35">
        <w:rPr>
          <w:b/>
          <w:bCs/>
          <w:lang w:val="lv-LV"/>
        </w:rPr>
        <w:t>2030</w:t>
      </w:r>
      <w:r w:rsidR="00E50A44" w:rsidRPr="00550D35">
        <w:rPr>
          <w:b/>
          <w:bCs/>
          <w:lang w:val="lv-LV"/>
        </w:rPr>
        <w:t>)</w:t>
      </w:r>
      <w:r w:rsidRPr="00550D35">
        <w:rPr>
          <w:b/>
          <w:bCs/>
          <w:lang w:val="lv-LV"/>
        </w:rPr>
        <w:t xml:space="preserve"> </w:t>
      </w:r>
      <w:r w:rsidR="00746243" w:rsidRPr="00550D35">
        <w:rPr>
          <w:b/>
          <w:bCs/>
          <w:lang w:val="lv-LV"/>
        </w:rPr>
        <w:t xml:space="preserve"> </w:t>
      </w:r>
      <w:r w:rsidR="007C3644" w:rsidRPr="00550D35">
        <w:rPr>
          <w:b/>
          <w:bCs/>
          <w:lang w:val="lv-LV"/>
        </w:rPr>
        <w:t>2</w:t>
      </w:r>
      <w:r w:rsidR="00E50A44" w:rsidRPr="00550D35">
        <w:rPr>
          <w:b/>
          <w:bCs/>
          <w:lang w:val="lv-LV"/>
        </w:rPr>
        <w:t>;</w:t>
      </w:r>
    </w:p>
    <w:p w14:paraId="2B511CA9" w14:textId="77777777" w:rsidR="00B82489" w:rsidRPr="00550D35" w:rsidRDefault="00E50A44" w:rsidP="00FA13D5">
      <w:pPr>
        <w:pBdr>
          <w:top w:val="single" w:sz="4" w:space="1" w:color="auto"/>
          <w:left w:val="single" w:sz="4" w:space="31" w:color="auto"/>
          <w:bottom w:val="single" w:sz="4" w:space="1" w:color="auto"/>
          <w:right w:val="single" w:sz="4" w:space="4" w:color="auto"/>
        </w:pBdr>
        <w:spacing w:before="0" w:after="160" w:line="259" w:lineRule="auto"/>
        <w:ind w:left="720" w:firstLine="0"/>
        <w:contextualSpacing/>
        <w:jc w:val="left"/>
        <w:rPr>
          <w:b/>
          <w:bCs/>
          <w:lang w:val="lv-LV"/>
        </w:rPr>
      </w:pPr>
      <w:r w:rsidRPr="00550D35">
        <w:rPr>
          <w:b/>
          <w:bCs/>
          <w:lang w:val="lv-LV"/>
        </w:rPr>
        <w:t xml:space="preserve">ES </w:t>
      </w:r>
      <w:proofErr w:type="spellStart"/>
      <w:r w:rsidRPr="00550D35">
        <w:rPr>
          <w:b/>
          <w:bCs/>
          <w:lang w:val="lv-LV"/>
        </w:rPr>
        <w:t>mērķrādītājs</w:t>
      </w:r>
      <w:proofErr w:type="spellEnd"/>
      <w:r w:rsidRPr="00550D35">
        <w:rPr>
          <w:b/>
          <w:bCs/>
          <w:lang w:val="lv-LV"/>
        </w:rPr>
        <w:t xml:space="preserve"> (2030) -  </w:t>
      </w:r>
      <w:r w:rsidR="009878D4" w:rsidRPr="00550D35">
        <w:rPr>
          <w:b/>
          <w:bCs/>
          <w:lang w:val="lv-LV"/>
        </w:rPr>
        <w:t>d</w:t>
      </w:r>
      <w:r w:rsidRPr="00550D35">
        <w:rPr>
          <w:b/>
          <w:bCs/>
          <w:lang w:val="lv-LV"/>
        </w:rPr>
        <w:t>ivkāršots vienradžu skaits</w:t>
      </w:r>
      <w:r w:rsidR="009878D4" w:rsidRPr="00550D35">
        <w:rPr>
          <w:b/>
          <w:bCs/>
          <w:lang w:val="lv-LV"/>
        </w:rPr>
        <w:t xml:space="preserve"> ES</w:t>
      </w:r>
    </w:p>
    <w:p w14:paraId="48DB66BF" w14:textId="1320C24C" w:rsidR="00BA7CA0" w:rsidRPr="00550D35" w:rsidRDefault="00B82489" w:rsidP="00FA13D5">
      <w:pPr>
        <w:pBdr>
          <w:top w:val="single" w:sz="4" w:space="1" w:color="auto"/>
          <w:left w:val="single" w:sz="4" w:space="31" w:color="auto"/>
          <w:bottom w:val="single" w:sz="4" w:space="1" w:color="auto"/>
          <w:right w:val="single" w:sz="4" w:space="4" w:color="auto"/>
        </w:pBdr>
        <w:spacing w:before="0" w:after="160" w:line="259" w:lineRule="auto"/>
        <w:ind w:left="720" w:firstLine="0"/>
        <w:contextualSpacing/>
        <w:jc w:val="left"/>
        <w:rPr>
          <w:i/>
          <w:iCs/>
          <w:lang w:val="lv-LV"/>
        </w:rPr>
      </w:pPr>
      <w:r w:rsidRPr="00550D35">
        <w:rPr>
          <w:i/>
          <w:iCs/>
          <w:lang w:val="lv-LV"/>
        </w:rPr>
        <w:lastRenderedPageBreak/>
        <w:t xml:space="preserve">Avots: Digitālās dekādes 2023.gada ziņojums par Latviju </w:t>
      </w:r>
      <w:r w:rsidR="00E50A44" w:rsidRPr="00550D35">
        <w:rPr>
          <w:i/>
          <w:iCs/>
          <w:lang w:val="lv-LV"/>
        </w:rPr>
        <w:t xml:space="preserve"> </w:t>
      </w:r>
    </w:p>
    <w:p w14:paraId="7CEB4BB7" w14:textId="50244A6C" w:rsidR="000742A7" w:rsidRPr="00550D35" w:rsidRDefault="00333EBA" w:rsidP="005074F4">
      <w:pPr>
        <w:rPr>
          <w:lang w:val="lv-LV"/>
        </w:rPr>
      </w:pPr>
      <w:r w:rsidRPr="00550D35">
        <w:rPr>
          <w:lang w:val="lv-LV"/>
        </w:rPr>
        <w:t>Latvijas mērķis attiecībā uz Dekādes programmas KPI “vienradži” saskan ar ES izvirzīto mērķi</w:t>
      </w:r>
      <w:r w:rsidR="005074F4" w:rsidRPr="00550D35">
        <w:rPr>
          <w:lang w:val="lv-LV"/>
        </w:rPr>
        <w:t xml:space="preserve"> divkāršot vienradžu skaitu ES. </w:t>
      </w:r>
      <w:r w:rsidRPr="00550D35">
        <w:rPr>
          <w:lang w:val="lv-LV"/>
        </w:rPr>
        <w:t xml:space="preserve"> </w:t>
      </w:r>
      <w:r w:rsidR="005848FF" w:rsidRPr="00550D35">
        <w:rPr>
          <w:lang w:val="lv-LV"/>
        </w:rPr>
        <w:t>Informācija par pro</w:t>
      </w:r>
      <w:r w:rsidR="00C0793A" w:rsidRPr="00550D35">
        <w:rPr>
          <w:lang w:val="lv-LV"/>
        </w:rPr>
        <w:t xml:space="preserve">gnozēto trajektoriju var </w:t>
      </w:r>
      <w:r w:rsidR="00C423CB" w:rsidRPr="00550D35">
        <w:rPr>
          <w:lang w:val="lv-LV"/>
        </w:rPr>
        <w:t>tik</w:t>
      </w:r>
      <w:r w:rsidR="00C0793A" w:rsidRPr="00550D35">
        <w:rPr>
          <w:lang w:val="lv-LV"/>
        </w:rPr>
        <w:t>t</w:t>
      </w:r>
      <w:r w:rsidR="00C423CB" w:rsidRPr="00550D35">
        <w:rPr>
          <w:lang w:val="lv-LV"/>
        </w:rPr>
        <w:t xml:space="preserve"> precizēta ceļveža pārskatīšanas gaitā.</w:t>
      </w:r>
    </w:p>
    <w:tbl>
      <w:tblPr>
        <w:tblStyle w:val="TableGrid"/>
        <w:tblW w:w="0" w:type="auto"/>
        <w:tblInd w:w="108" w:type="dxa"/>
        <w:tblLook w:val="04A0" w:firstRow="1" w:lastRow="0" w:firstColumn="1" w:lastColumn="0" w:noHBand="0" w:noVBand="1"/>
      </w:tblPr>
      <w:tblGrid>
        <w:gridCol w:w="1827"/>
        <w:gridCol w:w="784"/>
        <w:gridCol w:w="797"/>
        <w:gridCol w:w="797"/>
        <w:gridCol w:w="783"/>
        <w:gridCol w:w="797"/>
        <w:gridCol w:w="797"/>
        <w:gridCol w:w="1917"/>
      </w:tblGrid>
      <w:tr w:rsidR="00A37921" w:rsidRPr="00550D35" w14:paraId="787EC93B" w14:textId="77777777" w:rsidTr="007C3644">
        <w:tc>
          <w:tcPr>
            <w:tcW w:w="1827" w:type="dxa"/>
          </w:tcPr>
          <w:p w14:paraId="4E98332A" w14:textId="77777777" w:rsidR="00A66801" w:rsidRPr="00550D35" w:rsidRDefault="00A66801">
            <w:pPr>
              <w:pStyle w:val="Text2"/>
              <w:ind w:left="0" w:firstLine="0"/>
              <w:rPr>
                <w:sz w:val="20"/>
                <w:lang w:val="lv-LV"/>
              </w:rPr>
            </w:pPr>
            <w:r w:rsidRPr="00550D35">
              <w:rPr>
                <w:sz w:val="20"/>
                <w:lang w:val="lv-LV"/>
              </w:rPr>
              <w:t>2023</w:t>
            </w:r>
          </w:p>
        </w:tc>
        <w:tc>
          <w:tcPr>
            <w:tcW w:w="784" w:type="dxa"/>
          </w:tcPr>
          <w:p w14:paraId="3FEFC3B3" w14:textId="77777777" w:rsidR="00A66801" w:rsidRPr="00550D35" w:rsidRDefault="00A66801">
            <w:pPr>
              <w:pStyle w:val="Text2"/>
              <w:ind w:left="0" w:firstLine="0"/>
              <w:rPr>
                <w:sz w:val="20"/>
                <w:lang w:val="lv-LV"/>
              </w:rPr>
            </w:pPr>
            <w:r w:rsidRPr="00550D35">
              <w:rPr>
                <w:sz w:val="20"/>
                <w:lang w:val="lv-LV"/>
              </w:rPr>
              <w:t>2024</w:t>
            </w:r>
          </w:p>
        </w:tc>
        <w:tc>
          <w:tcPr>
            <w:tcW w:w="797" w:type="dxa"/>
          </w:tcPr>
          <w:p w14:paraId="6C338404" w14:textId="77777777" w:rsidR="00A66801" w:rsidRPr="00550D35" w:rsidRDefault="00A66801">
            <w:pPr>
              <w:pStyle w:val="Text2"/>
              <w:ind w:left="0" w:firstLine="0"/>
              <w:rPr>
                <w:sz w:val="20"/>
                <w:lang w:val="lv-LV"/>
              </w:rPr>
            </w:pPr>
            <w:r w:rsidRPr="00550D35">
              <w:rPr>
                <w:sz w:val="20"/>
                <w:lang w:val="lv-LV"/>
              </w:rPr>
              <w:t>2025</w:t>
            </w:r>
          </w:p>
        </w:tc>
        <w:tc>
          <w:tcPr>
            <w:tcW w:w="797" w:type="dxa"/>
          </w:tcPr>
          <w:p w14:paraId="0F5C6D11" w14:textId="77777777" w:rsidR="00A66801" w:rsidRPr="00550D35" w:rsidRDefault="00A66801">
            <w:pPr>
              <w:pStyle w:val="Text2"/>
              <w:ind w:left="0" w:firstLine="0"/>
              <w:rPr>
                <w:sz w:val="20"/>
                <w:lang w:val="lv-LV"/>
              </w:rPr>
            </w:pPr>
            <w:r w:rsidRPr="00550D35">
              <w:rPr>
                <w:sz w:val="20"/>
                <w:lang w:val="lv-LV"/>
              </w:rPr>
              <w:t>2026</w:t>
            </w:r>
          </w:p>
        </w:tc>
        <w:tc>
          <w:tcPr>
            <w:tcW w:w="783" w:type="dxa"/>
          </w:tcPr>
          <w:p w14:paraId="67D0CFF5" w14:textId="77777777" w:rsidR="00A66801" w:rsidRPr="00550D35" w:rsidRDefault="00A66801">
            <w:pPr>
              <w:pStyle w:val="Text2"/>
              <w:ind w:left="0" w:firstLine="0"/>
              <w:rPr>
                <w:sz w:val="20"/>
                <w:lang w:val="lv-LV"/>
              </w:rPr>
            </w:pPr>
            <w:r w:rsidRPr="00550D35">
              <w:rPr>
                <w:sz w:val="20"/>
                <w:lang w:val="lv-LV"/>
              </w:rPr>
              <w:t>2027</w:t>
            </w:r>
          </w:p>
        </w:tc>
        <w:tc>
          <w:tcPr>
            <w:tcW w:w="797" w:type="dxa"/>
          </w:tcPr>
          <w:p w14:paraId="50C6DF57" w14:textId="77777777" w:rsidR="00A66801" w:rsidRPr="00550D35" w:rsidRDefault="00A66801">
            <w:pPr>
              <w:pStyle w:val="Text2"/>
              <w:ind w:left="0" w:firstLine="0"/>
              <w:rPr>
                <w:sz w:val="20"/>
                <w:lang w:val="lv-LV"/>
              </w:rPr>
            </w:pPr>
            <w:r w:rsidRPr="00550D35">
              <w:rPr>
                <w:sz w:val="20"/>
                <w:lang w:val="lv-LV"/>
              </w:rPr>
              <w:t>2028</w:t>
            </w:r>
          </w:p>
        </w:tc>
        <w:tc>
          <w:tcPr>
            <w:tcW w:w="797" w:type="dxa"/>
          </w:tcPr>
          <w:p w14:paraId="7872F7AD" w14:textId="77777777" w:rsidR="00A66801" w:rsidRPr="00550D35" w:rsidRDefault="00A66801">
            <w:pPr>
              <w:pStyle w:val="Text2"/>
              <w:ind w:left="0" w:firstLine="0"/>
              <w:rPr>
                <w:sz w:val="20"/>
                <w:lang w:val="lv-LV"/>
              </w:rPr>
            </w:pPr>
            <w:r w:rsidRPr="00550D35">
              <w:rPr>
                <w:sz w:val="20"/>
                <w:lang w:val="lv-LV"/>
              </w:rPr>
              <w:t>2029</w:t>
            </w:r>
          </w:p>
        </w:tc>
        <w:tc>
          <w:tcPr>
            <w:tcW w:w="1917" w:type="dxa"/>
          </w:tcPr>
          <w:p w14:paraId="6D949757" w14:textId="77777777" w:rsidR="00A66801" w:rsidRPr="00550D35" w:rsidRDefault="00A66801">
            <w:pPr>
              <w:pStyle w:val="Text2"/>
              <w:ind w:left="0" w:firstLine="0"/>
              <w:rPr>
                <w:sz w:val="20"/>
                <w:lang w:val="lv-LV"/>
              </w:rPr>
            </w:pPr>
            <w:r w:rsidRPr="00550D35">
              <w:rPr>
                <w:sz w:val="20"/>
                <w:lang w:val="lv-LV"/>
              </w:rPr>
              <w:t>2030</w:t>
            </w:r>
          </w:p>
        </w:tc>
      </w:tr>
      <w:tr w:rsidR="007C3644" w:rsidRPr="003B2E9A" w14:paraId="3A8A9985" w14:textId="77777777" w:rsidTr="007C3644">
        <w:tc>
          <w:tcPr>
            <w:tcW w:w="1827" w:type="dxa"/>
            <w:shd w:val="clear" w:color="auto" w:fill="auto"/>
          </w:tcPr>
          <w:p w14:paraId="32FADA8A" w14:textId="739D81BC" w:rsidR="007C3644" w:rsidRPr="00550D35" w:rsidRDefault="007C3644" w:rsidP="007C3644">
            <w:pPr>
              <w:pStyle w:val="Text2"/>
              <w:ind w:left="0" w:firstLine="0"/>
              <w:rPr>
                <w:sz w:val="20"/>
                <w:lang w:val="lv-LV"/>
              </w:rPr>
            </w:pPr>
            <w:r w:rsidRPr="00550D35">
              <w:rPr>
                <w:sz w:val="20"/>
                <w:lang w:val="lv-LV"/>
              </w:rPr>
              <w:t>1</w:t>
            </w:r>
          </w:p>
        </w:tc>
        <w:tc>
          <w:tcPr>
            <w:tcW w:w="784" w:type="dxa"/>
            <w:shd w:val="clear" w:color="auto" w:fill="auto"/>
          </w:tcPr>
          <w:p w14:paraId="5C9EAE95" w14:textId="31FB36D5" w:rsidR="007C3644" w:rsidRPr="00550D35" w:rsidRDefault="006D4B8E" w:rsidP="007C3644">
            <w:pPr>
              <w:pStyle w:val="Text2"/>
              <w:ind w:left="0" w:firstLine="0"/>
              <w:rPr>
                <w:sz w:val="20"/>
                <w:lang w:val="lv-LV"/>
              </w:rPr>
            </w:pPr>
            <w:r w:rsidRPr="00550D35">
              <w:rPr>
                <w:sz w:val="20"/>
                <w:lang w:val="lv-LV"/>
              </w:rPr>
              <w:t>-</w:t>
            </w:r>
          </w:p>
        </w:tc>
        <w:tc>
          <w:tcPr>
            <w:tcW w:w="797" w:type="dxa"/>
            <w:shd w:val="clear" w:color="auto" w:fill="auto"/>
          </w:tcPr>
          <w:p w14:paraId="4E9C6AC9" w14:textId="7B5C2447" w:rsidR="007C3644" w:rsidRPr="00550D35" w:rsidRDefault="006D4B8E" w:rsidP="007C3644">
            <w:pPr>
              <w:pStyle w:val="Text2"/>
              <w:ind w:left="0" w:firstLine="0"/>
              <w:rPr>
                <w:sz w:val="20"/>
                <w:lang w:val="lv-LV"/>
              </w:rPr>
            </w:pPr>
            <w:r w:rsidRPr="00550D35">
              <w:rPr>
                <w:sz w:val="20"/>
                <w:lang w:val="lv-LV"/>
              </w:rPr>
              <w:t>-</w:t>
            </w:r>
          </w:p>
        </w:tc>
        <w:tc>
          <w:tcPr>
            <w:tcW w:w="797" w:type="dxa"/>
            <w:shd w:val="clear" w:color="auto" w:fill="auto"/>
          </w:tcPr>
          <w:p w14:paraId="61B986FF" w14:textId="1482E43A" w:rsidR="007C3644" w:rsidRPr="00550D35" w:rsidRDefault="006D4B8E" w:rsidP="007C3644">
            <w:pPr>
              <w:pStyle w:val="Text2"/>
              <w:ind w:left="0" w:firstLine="0"/>
              <w:rPr>
                <w:sz w:val="20"/>
                <w:lang w:val="lv-LV"/>
              </w:rPr>
            </w:pPr>
            <w:r w:rsidRPr="00550D35">
              <w:rPr>
                <w:sz w:val="20"/>
                <w:lang w:val="lv-LV"/>
              </w:rPr>
              <w:t>-</w:t>
            </w:r>
          </w:p>
        </w:tc>
        <w:tc>
          <w:tcPr>
            <w:tcW w:w="783" w:type="dxa"/>
            <w:shd w:val="clear" w:color="auto" w:fill="auto"/>
          </w:tcPr>
          <w:p w14:paraId="257CC6A5" w14:textId="2457D374" w:rsidR="007C3644" w:rsidRPr="00550D35" w:rsidRDefault="006D4B8E" w:rsidP="007C3644">
            <w:pPr>
              <w:pStyle w:val="Text2"/>
              <w:ind w:left="0" w:firstLine="0"/>
              <w:rPr>
                <w:sz w:val="20"/>
                <w:lang w:val="lv-LV"/>
              </w:rPr>
            </w:pPr>
            <w:r w:rsidRPr="00550D35">
              <w:rPr>
                <w:sz w:val="20"/>
                <w:lang w:val="lv-LV"/>
              </w:rPr>
              <w:t>-</w:t>
            </w:r>
          </w:p>
        </w:tc>
        <w:tc>
          <w:tcPr>
            <w:tcW w:w="797" w:type="dxa"/>
            <w:shd w:val="clear" w:color="auto" w:fill="auto"/>
          </w:tcPr>
          <w:p w14:paraId="3EDD71E5" w14:textId="1311F712" w:rsidR="007C3644" w:rsidRPr="00550D35" w:rsidRDefault="006D4B8E" w:rsidP="007C3644">
            <w:pPr>
              <w:pStyle w:val="Text2"/>
              <w:ind w:left="0" w:firstLine="0"/>
              <w:rPr>
                <w:sz w:val="20"/>
                <w:lang w:val="lv-LV"/>
              </w:rPr>
            </w:pPr>
            <w:r w:rsidRPr="00550D35">
              <w:rPr>
                <w:sz w:val="20"/>
                <w:lang w:val="lv-LV"/>
              </w:rPr>
              <w:t>-</w:t>
            </w:r>
          </w:p>
        </w:tc>
        <w:tc>
          <w:tcPr>
            <w:tcW w:w="797" w:type="dxa"/>
            <w:shd w:val="clear" w:color="auto" w:fill="auto"/>
          </w:tcPr>
          <w:p w14:paraId="506742BF" w14:textId="33A00586" w:rsidR="007C3644" w:rsidRPr="00550D35" w:rsidRDefault="007C3644" w:rsidP="007C3644">
            <w:pPr>
              <w:pStyle w:val="Text2"/>
              <w:ind w:left="0" w:firstLine="0"/>
              <w:rPr>
                <w:sz w:val="20"/>
                <w:lang w:val="lv-LV"/>
              </w:rPr>
            </w:pPr>
            <w:r w:rsidRPr="00550D35">
              <w:rPr>
                <w:sz w:val="20"/>
                <w:lang w:val="lv-LV"/>
              </w:rPr>
              <w:t>2</w:t>
            </w:r>
          </w:p>
        </w:tc>
        <w:tc>
          <w:tcPr>
            <w:tcW w:w="1917" w:type="dxa"/>
            <w:shd w:val="clear" w:color="auto" w:fill="auto"/>
          </w:tcPr>
          <w:p w14:paraId="24786A16" w14:textId="5C18D316" w:rsidR="007C3644" w:rsidRPr="00550D35" w:rsidRDefault="007C3644" w:rsidP="007C3644">
            <w:pPr>
              <w:pStyle w:val="Text2"/>
              <w:ind w:left="0" w:firstLine="0"/>
              <w:rPr>
                <w:sz w:val="20"/>
                <w:lang w:val="lv-LV"/>
              </w:rPr>
            </w:pPr>
            <w:r w:rsidRPr="00550D35">
              <w:rPr>
                <w:sz w:val="20"/>
                <w:lang w:val="lv-LV"/>
              </w:rPr>
              <w:t>Divkāršots vienradžu skaits (ES mērķis)</w:t>
            </w:r>
          </w:p>
        </w:tc>
      </w:tr>
    </w:tbl>
    <w:p w14:paraId="159ADB89" w14:textId="77777777" w:rsidR="009440F0" w:rsidRPr="00550D35" w:rsidRDefault="009440F0" w:rsidP="009440F0">
      <w:pPr>
        <w:pStyle w:val="Heading2"/>
        <w:rPr>
          <w:lang w:val="lv-LV"/>
        </w:rPr>
      </w:pPr>
      <w:r w:rsidRPr="00550D35">
        <w:rPr>
          <w:lang w:val="lv-LV"/>
        </w:rPr>
        <w:t xml:space="preserve">Politika, pasākumi un darbības digitālā </w:t>
      </w:r>
      <w:proofErr w:type="spellStart"/>
      <w:r w:rsidRPr="00550D35">
        <w:rPr>
          <w:lang w:val="lv-LV"/>
        </w:rPr>
        <w:t>mērķrādītāja</w:t>
      </w:r>
      <w:proofErr w:type="spellEnd"/>
      <w:r w:rsidRPr="00550D35">
        <w:rPr>
          <w:lang w:val="lv-LV"/>
        </w:rPr>
        <w:t xml:space="preserve"> sasniegšanai </w:t>
      </w:r>
    </w:p>
    <w:p w14:paraId="70E4CA2B" w14:textId="77777777" w:rsidR="009440F0" w:rsidRPr="00550D35" w:rsidRDefault="009440F0" w:rsidP="009440F0">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142CC4B1" w14:textId="77777777" w:rsidR="009440F0" w:rsidRPr="00550D35" w:rsidRDefault="009440F0" w:rsidP="009440F0">
      <w:pPr>
        <w:rPr>
          <w:b/>
          <w:bCs/>
          <w:lang w:val="lv-LV"/>
        </w:rPr>
      </w:pPr>
      <w:r w:rsidRPr="00550D35">
        <w:rPr>
          <w:b/>
          <w:bCs/>
          <w:lang w:val="lv-LV"/>
        </w:rPr>
        <w:t>Kopējais laika ietvars:</w:t>
      </w:r>
    </w:p>
    <w:tbl>
      <w:tblPr>
        <w:tblStyle w:val="TableGrid"/>
        <w:tblW w:w="4858" w:type="pct"/>
        <w:tblInd w:w="-5" w:type="dxa"/>
        <w:tblLook w:val="04A0" w:firstRow="1" w:lastRow="0" w:firstColumn="1" w:lastColumn="0" w:noHBand="0" w:noVBand="1"/>
      </w:tblPr>
      <w:tblGrid>
        <w:gridCol w:w="2791"/>
        <w:gridCol w:w="695"/>
        <w:gridCol w:w="696"/>
        <w:gridCol w:w="696"/>
        <w:gridCol w:w="696"/>
        <w:gridCol w:w="696"/>
        <w:gridCol w:w="696"/>
        <w:gridCol w:w="696"/>
        <w:gridCol w:w="701"/>
      </w:tblGrid>
      <w:tr w:rsidR="009440F0" w:rsidRPr="00550D35" w14:paraId="7ACBC6C4" w14:textId="77777777" w:rsidTr="00BA62A0">
        <w:tc>
          <w:tcPr>
            <w:tcW w:w="1669" w:type="pct"/>
            <w:shd w:val="clear" w:color="auto" w:fill="auto"/>
          </w:tcPr>
          <w:p w14:paraId="14827187" w14:textId="77777777" w:rsidR="009440F0" w:rsidRPr="00550D35" w:rsidRDefault="009440F0" w:rsidP="00BA62A0">
            <w:pPr>
              <w:spacing w:before="0" w:after="0"/>
              <w:ind w:firstLine="0"/>
              <w:jc w:val="left"/>
              <w:rPr>
                <w:sz w:val="20"/>
                <w:lang w:val="lv-LV"/>
              </w:rPr>
            </w:pPr>
          </w:p>
        </w:tc>
        <w:tc>
          <w:tcPr>
            <w:tcW w:w="416" w:type="pct"/>
          </w:tcPr>
          <w:p w14:paraId="6B49F67F" w14:textId="77777777" w:rsidR="009440F0" w:rsidRPr="00550D35" w:rsidRDefault="009440F0" w:rsidP="00BA62A0">
            <w:pPr>
              <w:spacing w:before="0" w:after="0"/>
              <w:ind w:firstLine="0"/>
              <w:rPr>
                <w:sz w:val="20"/>
                <w:lang w:val="lv-LV"/>
              </w:rPr>
            </w:pPr>
            <w:r w:rsidRPr="00550D35">
              <w:rPr>
                <w:sz w:val="20"/>
                <w:lang w:val="lv-LV"/>
              </w:rPr>
              <w:t>2023</w:t>
            </w:r>
          </w:p>
        </w:tc>
        <w:tc>
          <w:tcPr>
            <w:tcW w:w="416" w:type="pct"/>
          </w:tcPr>
          <w:p w14:paraId="0F8257A8" w14:textId="77777777" w:rsidR="009440F0" w:rsidRPr="00550D35" w:rsidRDefault="009440F0" w:rsidP="00BA62A0">
            <w:pPr>
              <w:spacing w:before="0" w:after="0"/>
              <w:ind w:firstLine="0"/>
              <w:rPr>
                <w:sz w:val="20"/>
                <w:lang w:val="lv-LV"/>
              </w:rPr>
            </w:pPr>
            <w:r w:rsidRPr="00550D35">
              <w:rPr>
                <w:sz w:val="20"/>
                <w:lang w:val="lv-LV"/>
              </w:rPr>
              <w:t>2024</w:t>
            </w:r>
          </w:p>
        </w:tc>
        <w:tc>
          <w:tcPr>
            <w:tcW w:w="416" w:type="pct"/>
          </w:tcPr>
          <w:p w14:paraId="166982B4" w14:textId="77777777" w:rsidR="009440F0" w:rsidRPr="00550D35" w:rsidRDefault="009440F0" w:rsidP="00BA62A0">
            <w:pPr>
              <w:spacing w:before="0" w:after="0"/>
              <w:ind w:firstLine="0"/>
              <w:rPr>
                <w:sz w:val="20"/>
                <w:lang w:val="lv-LV"/>
              </w:rPr>
            </w:pPr>
            <w:r w:rsidRPr="00550D35">
              <w:rPr>
                <w:sz w:val="20"/>
                <w:lang w:val="lv-LV"/>
              </w:rPr>
              <w:t>2025</w:t>
            </w:r>
          </w:p>
        </w:tc>
        <w:tc>
          <w:tcPr>
            <w:tcW w:w="416" w:type="pct"/>
          </w:tcPr>
          <w:p w14:paraId="68C7EF7B" w14:textId="77777777" w:rsidR="009440F0" w:rsidRPr="00550D35" w:rsidRDefault="009440F0" w:rsidP="00BA62A0">
            <w:pPr>
              <w:spacing w:before="0" w:after="0"/>
              <w:ind w:firstLine="0"/>
              <w:rPr>
                <w:sz w:val="20"/>
                <w:lang w:val="lv-LV"/>
              </w:rPr>
            </w:pPr>
            <w:r w:rsidRPr="00550D35">
              <w:rPr>
                <w:sz w:val="20"/>
                <w:lang w:val="lv-LV"/>
              </w:rPr>
              <w:t>2026</w:t>
            </w:r>
          </w:p>
        </w:tc>
        <w:tc>
          <w:tcPr>
            <w:tcW w:w="416" w:type="pct"/>
          </w:tcPr>
          <w:p w14:paraId="593B3572" w14:textId="77777777" w:rsidR="009440F0" w:rsidRPr="00550D35" w:rsidRDefault="009440F0" w:rsidP="00BA62A0">
            <w:pPr>
              <w:spacing w:before="0" w:after="0"/>
              <w:ind w:firstLine="0"/>
              <w:rPr>
                <w:sz w:val="20"/>
                <w:lang w:val="lv-LV"/>
              </w:rPr>
            </w:pPr>
            <w:r w:rsidRPr="00550D35">
              <w:rPr>
                <w:sz w:val="20"/>
                <w:lang w:val="lv-LV"/>
              </w:rPr>
              <w:t>2027</w:t>
            </w:r>
          </w:p>
        </w:tc>
        <w:tc>
          <w:tcPr>
            <w:tcW w:w="416" w:type="pct"/>
          </w:tcPr>
          <w:p w14:paraId="4F7E489B" w14:textId="77777777" w:rsidR="009440F0" w:rsidRPr="00550D35" w:rsidRDefault="009440F0" w:rsidP="00BA62A0">
            <w:pPr>
              <w:spacing w:before="0" w:after="0"/>
              <w:ind w:firstLine="0"/>
              <w:rPr>
                <w:sz w:val="20"/>
                <w:lang w:val="lv-LV"/>
              </w:rPr>
            </w:pPr>
            <w:r w:rsidRPr="00550D35">
              <w:rPr>
                <w:sz w:val="20"/>
                <w:lang w:val="lv-LV"/>
              </w:rPr>
              <w:t>2028</w:t>
            </w:r>
          </w:p>
        </w:tc>
        <w:tc>
          <w:tcPr>
            <w:tcW w:w="416" w:type="pct"/>
          </w:tcPr>
          <w:p w14:paraId="3AB43541" w14:textId="77777777" w:rsidR="009440F0" w:rsidRPr="00550D35" w:rsidRDefault="009440F0" w:rsidP="00BA62A0">
            <w:pPr>
              <w:spacing w:before="0" w:after="0"/>
              <w:ind w:firstLine="0"/>
              <w:rPr>
                <w:sz w:val="20"/>
                <w:lang w:val="lv-LV"/>
              </w:rPr>
            </w:pPr>
            <w:r w:rsidRPr="00550D35">
              <w:rPr>
                <w:sz w:val="20"/>
                <w:lang w:val="lv-LV"/>
              </w:rPr>
              <w:t>2029</w:t>
            </w:r>
          </w:p>
        </w:tc>
        <w:tc>
          <w:tcPr>
            <w:tcW w:w="419" w:type="pct"/>
          </w:tcPr>
          <w:p w14:paraId="2E6BDB60" w14:textId="77777777" w:rsidR="009440F0" w:rsidRPr="00550D35" w:rsidRDefault="009440F0" w:rsidP="00BA62A0">
            <w:pPr>
              <w:spacing w:before="0" w:after="0"/>
              <w:ind w:firstLine="0"/>
              <w:rPr>
                <w:sz w:val="20"/>
                <w:lang w:val="lv-LV"/>
              </w:rPr>
            </w:pPr>
            <w:r w:rsidRPr="00550D35">
              <w:rPr>
                <w:sz w:val="20"/>
                <w:lang w:val="lv-LV"/>
              </w:rPr>
              <w:t>2030</w:t>
            </w:r>
          </w:p>
        </w:tc>
      </w:tr>
      <w:tr w:rsidR="009440F0" w:rsidRPr="00550D35" w14:paraId="579F4DC6" w14:textId="77777777" w:rsidTr="00BA62A0">
        <w:tc>
          <w:tcPr>
            <w:tcW w:w="5000" w:type="pct"/>
            <w:gridSpan w:val="9"/>
            <w:shd w:val="clear" w:color="auto" w:fill="BFBFBF" w:themeFill="background1" w:themeFillShade="BF"/>
          </w:tcPr>
          <w:p w14:paraId="769545AF" w14:textId="77777777" w:rsidR="009440F0" w:rsidRPr="00550D35" w:rsidRDefault="009440F0" w:rsidP="00BA62A0">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9440F0" w:rsidRPr="00550D35" w14:paraId="799104CE" w14:textId="77777777" w:rsidTr="00BA62A0">
        <w:tc>
          <w:tcPr>
            <w:tcW w:w="1669" w:type="pct"/>
          </w:tcPr>
          <w:p w14:paraId="157780DF" w14:textId="77777777" w:rsidR="009440F0" w:rsidRPr="00550D35" w:rsidRDefault="009440F0" w:rsidP="00BA62A0">
            <w:pPr>
              <w:ind w:firstLine="0"/>
              <w:rPr>
                <w:sz w:val="20"/>
                <w:lang w:val="lv-LV"/>
              </w:rPr>
            </w:pPr>
            <w:r w:rsidRPr="00550D35">
              <w:rPr>
                <w:sz w:val="20"/>
                <w:lang w:val="lv-LV"/>
              </w:rPr>
              <w:t xml:space="preserve">Pasākums Nr.1 </w:t>
            </w:r>
          </w:p>
          <w:p w14:paraId="64199FAB" w14:textId="77777777" w:rsidR="009440F0" w:rsidRDefault="009440F0" w:rsidP="00BA62A0">
            <w:pPr>
              <w:ind w:firstLine="0"/>
              <w:rPr>
                <w:b/>
                <w:bCs/>
                <w:sz w:val="20"/>
                <w:lang w:val="lv-LV"/>
              </w:rPr>
            </w:pPr>
            <w:r w:rsidRPr="00C734E5">
              <w:rPr>
                <w:b/>
                <w:bCs/>
                <w:sz w:val="20"/>
                <w:lang w:val="lv-LV"/>
              </w:rPr>
              <w:t>“</w:t>
            </w:r>
            <w:proofErr w:type="spellStart"/>
            <w:r w:rsidRPr="00C734E5">
              <w:rPr>
                <w:b/>
                <w:bCs/>
                <w:sz w:val="20"/>
                <w:lang w:val="lv-LV"/>
              </w:rPr>
              <w:t>Jaunuzņēmumu</w:t>
            </w:r>
            <w:proofErr w:type="spellEnd"/>
            <w:r w:rsidRPr="00C734E5">
              <w:rPr>
                <w:b/>
                <w:bCs/>
                <w:sz w:val="20"/>
                <w:lang w:val="lv-LV"/>
              </w:rPr>
              <w:t xml:space="preserve"> darbības atbalsta likums”</w:t>
            </w:r>
          </w:p>
          <w:p w14:paraId="460F4DAB" w14:textId="77777777" w:rsidR="00BA3F19" w:rsidRPr="002D6DEA" w:rsidRDefault="00BA3F19" w:rsidP="00BA3F19">
            <w:pPr>
              <w:spacing w:before="0" w:after="0"/>
              <w:ind w:firstLine="0"/>
              <w:rPr>
                <w:rStyle w:val="ui-provider"/>
                <w:sz w:val="20"/>
                <w:lang w:val="lv-LV"/>
              </w:rPr>
            </w:pPr>
            <w:r w:rsidRPr="002D6DEA">
              <w:rPr>
                <w:rStyle w:val="ui-provider"/>
                <w:sz w:val="20"/>
                <w:lang w:val="lv-LV"/>
              </w:rPr>
              <w:t xml:space="preserve">Finansējuma avots: </w:t>
            </w:r>
          </w:p>
          <w:p w14:paraId="2497999E" w14:textId="2D72E9CC" w:rsidR="00BA3F19" w:rsidRPr="00BA3F19" w:rsidRDefault="00BA3F19" w:rsidP="00BA62A0">
            <w:pPr>
              <w:ind w:firstLine="0"/>
              <w:rPr>
                <w:sz w:val="20"/>
                <w:lang w:val="lv-LV"/>
              </w:rPr>
            </w:pPr>
            <w:r w:rsidRPr="00BA3F19">
              <w:rPr>
                <w:sz w:val="20"/>
                <w:lang w:val="lv-LV"/>
              </w:rPr>
              <w:t>Finansējums nav p</w:t>
            </w:r>
            <w:r>
              <w:rPr>
                <w:sz w:val="20"/>
                <w:lang w:val="lv-LV"/>
              </w:rPr>
              <w:t>lāno</w:t>
            </w:r>
            <w:r w:rsidRPr="00BA3F19">
              <w:rPr>
                <w:sz w:val="20"/>
                <w:lang w:val="lv-LV"/>
              </w:rPr>
              <w:t>ts</w:t>
            </w:r>
          </w:p>
        </w:tc>
        <w:tc>
          <w:tcPr>
            <w:tcW w:w="416" w:type="pct"/>
            <w:shd w:val="clear" w:color="auto" w:fill="70AD47" w:themeFill="accent6"/>
          </w:tcPr>
          <w:p w14:paraId="66ED1B7C" w14:textId="77777777" w:rsidR="009440F0" w:rsidRPr="00550D35" w:rsidRDefault="009440F0" w:rsidP="00BA62A0">
            <w:pPr>
              <w:spacing w:before="0" w:after="0"/>
              <w:rPr>
                <w:sz w:val="20"/>
                <w:lang w:val="lv-LV"/>
              </w:rPr>
            </w:pPr>
          </w:p>
        </w:tc>
        <w:tc>
          <w:tcPr>
            <w:tcW w:w="416" w:type="pct"/>
            <w:shd w:val="clear" w:color="auto" w:fill="FFFFFF" w:themeFill="background1"/>
          </w:tcPr>
          <w:p w14:paraId="31446320" w14:textId="77777777" w:rsidR="009440F0" w:rsidRPr="00550D35" w:rsidRDefault="009440F0" w:rsidP="00BA62A0">
            <w:pPr>
              <w:spacing w:before="0" w:after="0"/>
              <w:rPr>
                <w:sz w:val="20"/>
                <w:lang w:val="lv-LV"/>
              </w:rPr>
            </w:pPr>
          </w:p>
        </w:tc>
        <w:tc>
          <w:tcPr>
            <w:tcW w:w="416" w:type="pct"/>
            <w:shd w:val="clear" w:color="auto" w:fill="FFFFFF" w:themeFill="background1"/>
          </w:tcPr>
          <w:p w14:paraId="279B9EDD" w14:textId="77777777" w:rsidR="009440F0" w:rsidRPr="00550D35" w:rsidRDefault="009440F0" w:rsidP="00BA62A0">
            <w:pPr>
              <w:spacing w:before="0" w:after="0"/>
              <w:rPr>
                <w:sz w:val="20"/>
                <w:lang w:val="lv-LV"/>
              </w:rPr>
            </w:pPr>
          </w:p>
        </w:tc>
        <w:tc>
          <w:tcPr>
            <w:tcW w:w="416" w:type="pct"/>
          </w:tcPr>
          <w:p w14:paraId="182A4EC4" w14:textId="77777777" w:rsidR="009440F0" w:rsidRPr="00550D35" w:rsidRDefault="009440F0" w:rsidP="00BA62A0">
            <w:pPr>
              <w:spacing w:before="0" w:after="0"/>
              <w:rPr>
                <w:sz w:val="20"/>
                <w:lang w:val="lv-LV"/>
              </w:rPr>
            </w:pPr>
          </w:p>
        </w:tc>
        <w:tc>
          <w:tcPr>
            <w:tcW w:w="416" w:type="pct"/>
          </w:tcPr>
          <w:p w14:paraId="2A1C7DCF" w14:textId="77777777" w:rsidR="009440F0" w:rsidRPr="00550D35" w:rsidRDefault="009440F0" w:rsidP="00BA62A0">
            <w:pPr>
              <w:spacing w:before="0" w:after="0"/>
              <w:rPr>
                <w:sz w:val="20"/>
                <w:lang w:val="lv-LV"/>
              </w:rPr>
            </w:pPr>
          </w:p>
        </w:tc>
        <w:tc>
          <w:tcPr>
            <w:tcW w:w="416" w:type="pct"/>
          </w:tcPr>
          <w:p w14:paraId="2213486A" w14:textId="77777777" w:rsidR="009440F0" w:rsidRPr="00550D35" w:rsidRDefault="009440F0" w:rsidP="00BA62A0">
            <w:pPr>
              <w:spacing w:before="0" w:after="0"/>
              <w:rPr>
                <w:sz w:val="20"/>
                <w:lang w:val="lv-LV"/>
              </w:rPr>
            </w:pPr>
          </w:p>
        </w:tc>
        <w:tc>
          <w:tcPr>
            <w:tcW w:w="416" w:type="pct"/>
          </w:tcPr>
          <w:p w14:paraId="58CDD8A8" w14:textId="77777777" w:rsidR="009440F0" w:rsidRPr="00550D35" w:rsidRDefault="009440F0" w:rsidP="00BA62A0">
            <w:pPr>
              <w:spacing w:before="0" w:after="0"/>
              <w:rPr>
                <w:sz w:val="20"/>
                <w:lang w:val="lv-LV"/>
              </w:rPr>
            </w:pPr>
          </w:p>
        </w:tc>
        <w:tc>
          <w:tcPr>
            <w:tcW w:w="419" w:type="pct"/>
          </w:tcPr>
          <w:p w14:paraId="6BFD902D" w14:textId="77777777" w:rsidR="009440F0" w:rsidRPr="00550D35" w:rsidRDefault="009440F0" w:rsidP="00BA62A0">
            <w:pPr>
              <w:spacing w:before="0" w:after="0"/>
              <w:rPr>
                <w:sz w:val="20"/>
                <w:lang w:val="lv-LV"/>
              </w:rPr>
            </w:pPr>
          </w:p>
        </w:tc>
      </w:tr>
      <w:tr w:rsidR="009440F0" w:rsidRPr="003B2E9A" w14:paraId="4406615B" w14:textId="77777777" w:rsidTr="002D6DEA">
        <w:tc>
          <w:tcPr>
            <w:tcW w:w="1669" w:type="pct"/>
            <w:shd w:val="clear" w:color="auto" w:fill="FFFFFF" w:themeFill="background1"/>
          </w:tcPr>
          <w:p w14:paraId="4B7259C8" w14:textId="77777777" w:rsidR="009440F0" w:rsidRPr="002D6DEA" w:rsidRDefault="009440F0" w:rsidP="00B769ED">
            <w:pPr>
              <w:spacing w:before="0" w:after="0"/>
              <w:ind w:firstLine="0"/>
              <w:rPr>
                <w:rStyle w:val="ui-provider"/>
                <w:sz w:val="20"/>
                <w:lang w:val="lv-LV"/>
              </w:rPr>
            </w:pPr>
            <w:r w:rsidRPr="002D6DEA">
              <w:rPr>
                <w:rStyle w:val="ui-provider"/>
                <w:sz w:val="20"/>
                <w:lang w:val="lv-LV"/>
              </w:rPr>
              <w:t>Pasākums Nr.2</w:t>
            </w:r>
          </w:p>
          <w:p w14:paraId="29C0E4BF" w14:textId="77777777" w:rsidR="007A32D7" w:rsidRPr="003B2E9A" w:rsidRDefault="007A32D7" w:rsidP="007A32D7">
            <w:pPr>
              <w:ind w:firstLine="0"/>
              <w:rPr>
                <w:b/>
                <w:bCs/>
                <w:sz w:val="20"/>
                <w:lang w:val="lv-LV"/>
              </w:rPr>
            </w:pPr>
            <w:r w:rsidRPr="003B2E9A">
              <w:rPr>
                <w:b/>
                <w:bCs/>
                <w:sz w:val="20"/>
                <w:lang w:val="lv-LV"/>
              </w:rPr>
              <w:t>2.1. Darbības programmas "Izaugsme un nodarbinātība" 3.1.1.6. pasākums "Reģionālie biznesa inkubatori un radošo industriju inkubators"</w:t>
            </w:r>
          </w:p>
          <w:p w14:paraId="021B8BD5" w14:textId="77777777" w:rsidR="00D20F26" w:rsidRDefault="007A32D7" w:rsidP="007A32D7">
            <w:pPr>
              <w:spacing w:before="0" w:after="0"/>
              <w:ind w:firstLine="0"/>
              <w:rPr>
                <w:b/>
                <w:bCs/>
                <w:sz w:val="20"/>
                <w:lang w:val="lv-LV"/>
              </w:rPr>
            </w:pPr>
            <w:r w:rsidRPr="003B2E9A">
              <w:rPr>
                <w:b/>
                <w:bCs/>
                <w:sz w:val="20"/>
                <w:lang w:val="lv-LV"/>
              </w:rPr>
              <w:t>2.2. ES kohēzijas politikas programmas 2021.–2027. gadam 1.2.3.1. pasākums “Atbalsts MVU inovatīvas uzņēmējdarbības attīstībai”</w:t>
            </w:r>
          </w:p>
          <w:p w14:paraId="62C52CD5" w14:textId="5F20A309" w:rsidR="009440F0" w:rsidRPr="002D6DEA" w:rsidRDefault="00351583" w:rsidP="007A32D7">
            <w:pPr>
              <w:spacing w:before="0" w:after="0"/>
              <w:ind w:firstLine="0"/>
              <w:rPr>
                <w:rStyle w:val="ui-provider"/>
                <w:sz w:val="20"/>
                <w:lang w:val="lv-LV"/>
              </w:rPr>
            </w:pPr>
            <w:r w:rsidRPr="002D6DEA">
              <w:rPr>
                <w:rStyle w:val="ui-provider"/>
                <w:sz w:val="20"/>
                <w:lang w:val="lv-LV"/>
              </w:rPr>
              <w:t xml:space="preserve">Finansējuma avots: </w:t>
            </w:r>
          </w:p>
          <w:p w14:paraId="65203BC1" w14:textId="6A4A150C" w:rsidR="009F2439" w:rsidRPr="009F2439" w:rsidRDefault="004D6289" w:rsidP="00B769ED">
            <w:pPr>
              <w:spacing w:before="0" w:after="0"/>
              <w:ind w:firstLine="0"/>
              <w:rPr>
                <w:sz w:val="20"/>
                <w:lang w:val="lv-LV"/>
              </w:rPr>
            </w:pPr>
            <w:r w:rsidRPr="002D6DEA">
              <w:rPr>
                <w:sz w:val="20"/>
                <w:lang w:val="lv-LV"/>
              </w:rPr>
              <w:t>ES kohēzijas politikas programmas 2021.–2027. gadam 1.2.3.1. pasākum</w:t>
            </w:r>
            <w:r w:rsidR="00B35CB6" w:rsidRPr="002D6DEA">
              <w:rPr>
                <w:sz w:val="20"/>
                <w:lang w:val="lv-LV"/>
              </w:rPr>
              <w:t>s</w:t>
            </w:r>
          </w:p>
        </w:tc>
        <w:tc>
          <w:tcPr>
            <w:tcW w:w="416" w:type="pct"/>
            <w:shd w:val="clear" w:color="auto" w:fill="70AD47" w:themeFill="accent6"/>
          </w:tcPr>
          <w:p w14:paraId="20A146F0" w14:textId="77777777" w:rsidR="009440F0" w:rsidRPr="00550D35" w:rsidRDefault="009440F0" w:rsidP="00BA62A0">
            <w:pPr>
              <w:spacing w:before="0" w:after="0"/>
              <w:rPr>
                <w:sz w:val="20"/>
                <w:lang w:val="lv-LV"/>
              </w:rPr>
            </w:pPr>
          </w:p>
        </w:tc>
        <w:tc>
          <w:tcPr>
            <w:tcW w:w="416" w:type="pct"/>
            <w:shd w:val="clear" w:color="auto" w:fill="70AD47" w:themeFill="accent6"/>
          </w:tcPr>
          <w:p w14:paraId="662B2746" w14:textId="77777777" w:rsidR="009440F0" w:rsidRPr="00550D35" w:rsidRDefault="009440F0" w:rsidP="00BA62A0">
            <w:pPr>
              <w:spacing w:before="0" w:after="0"/>
              <w:rPr>
                <w:sz w:val="20"/>
                <w:lang w:val="lv-LV"/>
              </w:rPr>
            </w:pPr>
          </w:p>
        </w:tc>
        <w:tc>
          <w:tcPr>
            <w:tcW w:w="416" w:type="pct"/>
            <w:shd w:val="clear" w:color="auto" w:fill="70AD47" w:themeFill="accent6"/>
          </w:tcPr>
          <w:p w14:paraId="208E8A37" w14:textId="77777777" w:rsidR="009440F0" w:rsidRPr="00550D35" w:rsidRDefault="009440F0" w:rsidP="00BA62A0">
            <w:pPr>
              <w:spacing w:before="0" w:after="0"/>
              <w:rPr>
                <w:sz w:val="20"/>
                <w:lang w:val="lv-LV"/>
              </w:rPr>
            </w:pPr>
          </w:p>
        </w:tc>
        <w:tc>
          <w:tcPr>
            <w:tcW w:w="416" w:type="pct"/>
            <w:shd w:val="clear" w:color="auto" w:fill="70AD47" w:themeFill="accent6"/>
          </w:tcPr>
          <w:p w14:paraId="17591508" w14:textId="77777777" w:rsidR="009440F0" w:rsidRPr="00550D35" w:rsidRDefault="009440F0" w:rsidP="00BA62A0">
            <w:pPr>
              <w:spacing w:before="0" w:after="0"/>
              <w:rPr>
                <w:sz w:val="20"/>
                <w:lang w:val="lv-LV"/>
              </w:rPr>
            </w:pPr>
          </w:p>
        </w:tc>
        <w:tc>
          <w:tcPr>
            <w:tcW w:w="416" w:type="pct"/>
            <w:shd w:val="clear" w:color="auto" w:fill="70AD47" w:themeFill="accent6"/>
          </w:tcPr>
          <w:p w14:paraId="4F889E76" w14:textId="77777777" w:rsidR="009440F0" w:rsidRPr="00550D35" w:rsidRDefault="009440F0" w:rsidP="00BA62A0">
            <w:pPr>
              <w:spacing w:before="0" w:after="0"/>
              <w:rPr>
                <w:sz w:val="20"/>
                <w:lang w:val="lv-LV"/>
              </w:rPr>
            </w:pPr>
          </w:p>
        </w:tc>
        <w:tc>
          <w:tcPr>
            <w:tcW w:w="416" w:type="pct"/>
          </w:tcPr>
          <w:p w14:paraId="4733E471" w14:textId="77777777" w:rsidR="009440F0" w:rsidRPr="00550D35" w:rsidRDefault="009440F0" w:rsidP="00BA62A0">
            <w:pPr>
              <w:spacing w:before="0" w:after="0"/>
              <w:rPr>
                <w:sz w:val="20"/>
                <w:lang w:val="lv-LV"/>
              </w:rPr>
            </w:pPr>
          </w:p>
        </w:tc>
        <w:tc>
          <w:tcPr>
            <w:tcW w:w="416" w:type="pct"/>
          </w:tcPr>
          <w:p w14:paraId="2CCF9925" w14:textId="77777777" w:rsidR="009440F0" w:rsidRPr="00550D35" w:rsidRDefault="009440F0" w:rsidP="00BA62A0">
            <w:pPr>
              <w:spacing w:before="0" w:after="0"/>
              <w:rPr>
                <w:sz w:val="20"/>
                <w:lang w:val="lv-LV"/>
              </w:rPr>
            </w:pPr>
          </w:p>
        </w:tc>
        <w:tc>
          <w:tcPr>
            <w:tcW w:w="419" w:type="pct"/>
          </w:tcPr>
          <w:p w14:paraId="3332EEF8" w14:textId="77777777" w:rsidR="009440F0" w:rsidRPr="00550D35" w:rsidRDefault="009440F0" w:rsidP="00BA62A0">
            <w:pPr>
              <w:spacing w:before="0" w:after="0"/>
              <w:rPr>
                <w:sz w:val="20"/>
                <w:lang w:val="lv-LV"/>
              </w:rPr>
            </w:pPr>
          </w:p>
        </w:tc>
      </w:tr>
      <w:tr w:rsidR="009440F0" w:rsidRPr="003B2E9A" w14:paraId="6FDBDC0A" w14:textId="77777777" w:rsidTr="00BA62A0">
        <w:tc>
          <w:tcPr>
            <w:tcW w:w="1669" w:type="pct"/>
          </w:tcPr>
          <w:p w14:paraId="43D1C1EA" w14:textId="77777777" w:rsidR="009440F0" w:rsidRPr="00550D35" w:rsidRDefault="009440F0" w:rsidP="00BA62A0">
            <w:pPr>
              <w:ind w:firstLine="0"/>
              <w:rPr>
                <w:sz w:val="20"/>
                <w:lang w:val="lv-LV"/>
              </w:rPr>
            </w:pPr>
            <w:r w:rsidRPr="00550D35">
              <w:rPr>
                <w:sz w:val="20"/>
                <w:lang w:val="lv-LV"/>
              </w:rPr>
              <w:t>Pasākums Nr.3</w:t>
            </w:r>
          </w:p>
          <w:p w14:paraId="2ECEA598" w14:textId="77777777" w:rsidR="009440F0" w:rsidRPr="008D361C" w:rsidRDefault="009440F0" w:rsidP="00BA62A0">
            <w:pPr>
              <w:ind w:firstLine="0"/>
              <w:rPr>
                <w:b/>
                <w:bCs/>
                <w:sz w:val="20"/>
                <w:lang w:val="lv-LV"/>
              </w:rPr>
            </w:pPr>
            <w:r w:rsidRPr="008D361C">
              <w:rPr>
                <w:b/>
                <w:bCs/>
                <w:sz w:val="20"/>
                <w:lang w:val="lv-LV"/>
              </w:rPr>
              <w:t>“</w:t>
            </w:r>
            <w:proofErr w:type="spellStart"/>
            <w:r w:rsidRPr="008D361C">
              <w:rPr>
                <w:b/>
                <w:bCs/>
                <w:sz w:val="20"/>
                <w:lang w:val="lv-LV"/>
              </w:rPr>
              <w:t>Iespējkapitāla</w:t>
            </w:r>
            <w:proofErr w:type="spellEnd"/>
            <w:r w:rsidRPr="008D361C">
              <w:rPr>
                <w:b/>
                <w:bCs/>
                <w:sz w:val="20"/>
                <w:lang w:val="lv-LV"/>
              </w:rPr>
              <w:t xml:space="preserve"> ieguldījumi”</w:t>
            </w:r>
          </w:p>
          <w:p w14:paraId="61091063" w14:textId="3A708391" w:rsidR="00563E75" w:rsidRPr="00550D35" w:rsidRDefault="00DC63E0" w:rsidP="00BA62A0">
            <w:pPr>
              <w:ind w:firstLine="0"/>
              <w:rPr>
                <w:sz w:val="20"/>
                <w:lang w:val="lv-LV"/>
              </w:rPr>
            </w:pPr>
            <w:r w:rsidRPr="008D361C">
              <w:rPr>
                <w:sz w:val="20"/>
                <w:lang w:val="lv-LV"/>
              </w:rPr>
              <w:t xml:space="preserve">Finansējuma avots: </w:t>
            </w:r>
            <w:r w:rsidR="00013A5E" w:rsidRPr="004D6289">
              <w:rPr>
                <w:sz w:val="20"/>
                <w:lang w:val="lv-LV"/>
              </w:rPr>
              <w:t xml:space="preserve">ES kohēzijas politikas programmas 2021.–2027. gadam </w:t>
            </w:r>
            <w:r w:rsidR="00563E75" w:rsidRPr="008D361C">
              <w:rPr>
                <w:sz w:val="20"/>
                <w:lang w:val="lv-LV"/>
              </w:rPr>
              <w:t>1.2.3.2. pasākum</w:t>
            </w:r>
            <w:r w:rsidRPr="008D361C">
              <w:rPr>
                <w:sz w:val="20"/>
                <w:lang w:val="lv-LV"/>
              </w:rPr>
              <w:t>s</w:t>
            </w:r>
          </w:p>
        </w:tc>
        <w:tc>
          <w:tcPr>
            <w:tcW w:w="416" w:type="pct"/>
            <w:shd w:val="clear" w:color="auto" w:fill="70AD47" w:themeFill="accent6"/>
          </w:tcPr>
          <w:p w14:paraId="33C692C3" w14:textId="77777777" w:rsidR="009440F0" w:rsidRPr="00550D35" w:rsidRDefault="009440F0" w:rsidP="00BA62A0">
            <w:pPr>
              <w:spacing w:before="0" w:after="0"/>
              <w:rPr>
                <w:sz w:val="20"/>
                <w:lang w:val="lv-LV"/>
              </w:rPr>
            </w:pPr>
          </w:p>
        </w:tc>
        <w:tc>
          <w:tcPr>
            <w:tcW w:w="416" w:type="pct"/>
            <w:shd w:val="clear" w:color="auto" w:fill="70AD47" w:themeFill="accent6"/>
          </w:tcPr>
          <w:p w14:paraId="63F912C9" w14:textId="77777777" w:rsidR="009440F0" w:rsidRPr="00550D35" w:rsidRDefault="009440F0" w:rsidP="00BA62A0">
            <w:pPr>
              <w:spacing w:before="0" w:after="0"/>
              <w:rPr>
                <w:sz w:val="20"/>
                <w:lang w:val="lv-LV"/>
              </w:rPr>
            </w:pPr>
          </w:p>
        </w:tc>
        <w:tc>
          <w:tcPr>
            <w:tcW w:w="416" w:type="pct"/>
            <w:shd w:val="clear" w:color="auto" w:fill="70AD47" w:themeFill="accent6"/>
          </w:tcPr>
          <w:p w14:paraId="6552A1F4" w14:textId="77777777" w:rsidR="009440F0" w:rsidRPr="00550D35" w:rsidRDefault="009440F0" w:rsidP="00BA62A0">
            <w:pPr>
              <w:spacing w:before="0" w:after="0"/>
              <w:rPr>
                <w:sz w:val="20"/>
                <w:lang w:val="lv-LV"/>
              </w:rPr>
            </w:pPr>
          </w:p>
        </w:tc>
        <w:tc>
          <w:tcPr>
            <w:tcW w:w="416" w:type="pct"/>
            <w:shd w:val="clear" w:color="auto" w:fill="70AD47" w:themeFill="accent6"/>
          </w:tcPr>
          <w:p w14:paraId="2E1BEDED" w14:textId="77777777" w:rsidR="009440F0" w:rsidRPr="00550D35" w:rsidRDefault="009440F0" w:rsidP="00BA62A0">
            <w:pPr>
              <w:spacing w:before="0" w:after="0"/>
              <w:rPr>
                <w:sz w:val="20"/>
                <w:lang w:val="lv-LV"/>
              </w:rPr>
            </w:pPr>
          </w:p>
        </w:tc>
        <w:tc>
          <w:tcPr>
            <w:tcW w:w="416" w:type="pct"/>
            <w:shd w:val="clear" w:color="auto" w:fill="70AD47" w:themeFill="accent6"/>
          </w:tcPr>
          <w:p w14:paraId="0083603D" w14:textId="77777777" w:rsidR="009440F0" w:rsidRPr="00550D35" w:rsidRDefault="009440F0" w:rsidP="00BA62A0">
            <w:pPr>
              <w:spacing w:before="0" w:after="0"/>
              <w:rPr>
                <w:sz w:val="20"/>
                <w:lang w:val="lv-LV"/>
              </w:rPr>
            </w:pPr>
          </w:p>
        </w:tc>
        <w:tc>
          <w:tcPr>
            <w:tcW w:w="416" w:type="pct"/>
          </w:tcPr>
          <w:p w14:paraId="4B0FAE0B" w14:textId="77777777" w:rsidR="009440F0" w:rsidRPr="00550D35" w:rsidRDefault="009440F0" w:rsidP="00BA62A0">
            <w:pPr>
              <w:spacing w:before="0" w:after="0"/>
              <w:rPr>
                <w:sz w:val="20"/>
                <w:lang w:val="lv-LV"/>
              </w:rPr>
            </w:pPr>
          </w:p>
        </w:tc>
        <w:tc>
          <w:tcPr>
            <w:tcW w:w="416" w:type="pct"/>
          </w:tcPr>
          <w:p w14:paraId="3394CA71" w14:textId="77777777" w:rsidR="009440F0" w:rsidRPr="00550D35" w:rsidRDefault="009440F0" w:rsidP="00BA62A0">
            <w:pPr>
              <w:spacing w:before="0" w:after="0"/>
              <w:rPr>
                <w:sz w:val="20"/>
                <w:lang w:val="lv-LV"/>
              </w:rPr>
            </w:pPr>
          </w:p>
        </w:tc>
        <w:tc>
          <w:tcPr>
            <w:tcW w:w="419" w:type="pct"/>
          </w:tcPr>
          <w:p w14:paraId="6E272C50" w14:textId="77777777" w:rsidR="009440F0" w:rsidRPr="00550D35" w:rsidRDefault="009440F0" w:rsidP="00BA62A0">
            <w:pPr>
              <w:spacing w:before="0" w:after="0"/>
              <w:rPr>
                <w:sz w:val="20"/>
                <w:lang w:val="lv-LV"/>
              </w:rPr>
            </w:pPr>
          </w:p>
        </w:tc>
      </w:tr>
    </w:tbl>
    <w:p w14:paraId="609569E3" w14:textId="77777777" w:rsidR="009440F0" w:rsidRDefault="009440F0" w:rsidP="009440F0">
      <w:pPr>
        <w:pStyle w:val="Text3"/>
        <w:ind w:left="0" w:firstLine="0"/>
        <w:rPr>
          <w:lang w:val="lv-LV"/>
        </w:rPr>
      </w:pPr>
    </w:p>
    <w:p w14:paraId="5F0C05DA" w14:textId="77777777" w:rsidR="009440F0" w:rsidRPr="001C7D5D" w:rsidRDefault="009440F0" w:rsidP="009440F0">
      <w:pPr>
        <w:spacing w:before="0" w:after="160" w:line="259" w:lineRule="auto"/>
        <w:ind w:firstLine="0"/>
        <w:contextualSpacing/>
        <w:jc w:val="left"/>
        <w:rPr>
          <w:b/>
          <w:bCs/>
          <w:noProof/>
          <w:szCs w:val="24"/>
          <w:lang w:val="lv-LV"/>
        </w:rPr>
      </w:pPr>
      <w:r w:rsidRPr="001C7D5D">
        <w:rPr>
          <w:b/>
          <w:noProof/>
          <w:szCs w:val="24"/>
          <w:lang w:val="lv-LV"/>
        </w:rPr>
        <w:t>Visu to pasākumu budžets, kurus var attiecināt uz mērķrādītāju</w:t>
      </w:r>
    </w:p>
    <w:p w14:paraId="6B49549C" w14:textId="77777777" w:rsidR="009440F0" w:rsidRPr="00FC1D7B" w:rsidRDefault="009440F0" w:rsidP="009440F0">
      <w:pPr>
        <w:spacing w:before="0" w:after="160" w:line="259" w:lineRule="auto"/>
        <w:ind w:left="567" w:firstLine="0"/>
        <w:contextualSpacing/>
        <w:jc w:val="left"/>
        <w:rPr>
          <w:noProof/>
          <w:szCs w:val="24"/>
          <w:lang w:val="lv-LV"/>
        </w:rPr>
      </w:pPr>
      <w:r w:rsidRPr="00FC1D7B">
        <w:rPr>
          <w:noProof/>
          <w:szCs w:val="24"/>
          <w:lang w:val="lv-LV"/>
        </w:rPr>
        <w:t xml:space="preserve">Publiskās investīcijas: </w:t>
      </w:r>
    </w:p>
    <w:p w14:paraId="3D3F7D1B" w14:textId="71C3862D" w:rsidR="00B30AE2" w:rsidRPr="00B30AE2" w:rsidRDefault="009440F0" w:rsidP="009440F0">
      <w:pPr>
        <w:pStyle w:val="ListParagraph"/>
        <w:numPr>
          <w:ilvl w:val="4"/>
          <w:numId w:val="23"/>
        </w:numPr>
        <w:spacing w:before="0" w:after="160" w:line="259" w:lineRule="auto"/>
        <w:ind w:left="2268" w:hanging="567"/>
        <w:contextualSpacing/>
        <w:jc w:val="left"/>
        <w:rPr>
          <w:noProof/>
          <w:sz w:val="24"/>
          <w:szCs w:val="24"/>
          <w:lang w:val="lv-LV"/>
        </w:rPr>
      </w:pPr>
      <w:r w:rsidRPr="00FC1D7B">
        <w:rPr>
          <w:noProof/>
          <w:sz w:val="24"/>
          <w:szCs w:val="24"/>
          <w:lang w:val="lv-LV"/>
        </w:rPr>
        <w:t xml:space="preserve">plānotas – </w:t>
      </w:r>
      <w:r w:rsidR="006F6E54">
        <w:rPr>
          <w:noProof/>
          <w:sz w:val="24"/>
          <w:szCs w:val="24"/>
          <w:lang w:val="lv-LV"/>
        </w:rPr>
        <w:t>1</w:t>
      </w:r>
      <w:r w:rsidR="00B30AE2">
        <w:rPr>
          <w:noProof/>
          <w:sz w:val="24"/>
          <w:szCs w:val="24"/>
          <w:lang w:val="lv-LV"/>
        </w:rPr>
        <w:t>58</w:t>
      </w:r>
      <w:r w:rsidRPr="00FC1D7B">
        <w:rPr>
          <w:noProof/>
          <w:sz w:val="24"/>
          <w:szCs w:val="24"/>
          <w:lang w:val="lv-LV"/>
        </w:rPr>
        <w:t>,</w:t>
      </w:r>
      <w:r w:rsidR="00B30AE2">
        <w:rPr>
          <w:noProof/>
          <w:sz w:val="24"/>
          <w:szCs w:val="24"/>
          <w:lang w:val="lv-LV"/>
        </w:rPr>
        <w:t>6</w:t>
      </w:r>
      <w:r w:rsidRPr="00FC1D7B">
        <w:rPr>
          <w:noProof/>
          <w:sz w:val="24"/>
          <w:szCs w:val="24"/>
          <w:lang w:val="lv-LV"/>
        </w:rPr>
        <w:t> milj. </w:t>
      </w:r>
      <w:r w:rsidRPr="00FC1D7B">
        <w:rPr>
          <w:i/>
          <w:iCs/>
          <w:noProof/>
          <w:sz w:val="24"/>
          <w:szCs w:val="24"/>
          <w:lang w:val="lv-LV"/>
        </w:rPr>
        <w:t>euro</w:t>
      </w:r>
    </w:p>
    <w:p w14:paraId="773FCB65" w14:textId="26172BAE" w:rsidR="009440F0" w:rsidRPr="00B30AE2" w:rsidRDefault="00B30AE2" w:rsidP="009440F0">
      <w:pPr>
        <w:pStyle w:val="ListParagraph"/>
        <w:numPr>
          <w:ilvl w:val="4"/>
          <w:numId w:val="23"/>
        </w:numPr>
        <w:spacing w:before="0" w:after="160" w:line="259" w:lineRule="auto"/>
        <w:ind w:left="2268" w:hanging="567"/>
        <w:contextualSpacing/>
        <w:jc w:val="left"/>
        <w:rPr>
          <w:noProof/>
          <w:sz w:val="24"/>
          <w:szCs w:val="24"/>
          <w:lang w:val="lv-LV"/>
        </w:rPr>
      </w:pPr>
      <w:r w:rsidRPr="00B30AE2">
        <w:rPr>
          <w:noProof/>
          <w:sz w:val="24"/>
          <w:szCs w:val="24"/>
          <w:lang w:val="lv-LV"/>
        </w:rPr>
        <w:t>no tām pieškirtas – nav pieškirtas</w:t>
      </w:r>
      <w:r w:rsidR="009440F0" w:rsidRPr="00B30AE2">
        <w:rPr>
          <w:noProof/>
          <w:sz w:val="24"/>
          <w:szCs w:val="24"/>
          <w:lang w:val="lv-LV"/>
        </w:rPr>
        <w:t>.</w:t>
      </w:r>
    </w:p>
    <w:p w14:paraId="656AE317" w14:textId="77777777" w:rsidR="009440F0" w:rsidRPr="00FC1D7B" w:rsidRDefault="009440F0" w:rsidP="009440F0">
      <w:pPr>
        <w:pStyle w:val="ListParagraph"/>
        <w:numPr>
          <w:ilvl w:val="3"/>
          <w:numId w:val="23"/>
        </w:numPr>
        <w:spacing w:before="0" w:after="160" w:line="259" w:lineRule="auto"/>
        <w:ind w:left="1134" w:firstLine="0"/>
        <w:contextualSpacing/>
        <w:jc w:val="left"/>
        <w:rPr>
          <w:noProof/>
          <w:sz w:val="24"/>
          <w:szCs w:val="24"/>
          <w:lang w:val="lv-LV"/>
        </w:rPr>
      </w:pPr>
      <w:r w:rsidRPr="00FC1D7B">
        <w:rPr>
          <w:noProof/>
          <w:sz w:val="24"/>
          <w:szCs w:val="24"/>
          <w:lang w:val="lv-LV"/>
        </w:rPr>
        <w:t xml:space="preserve">No tām piešķirtas no valsts avotiem: </w:t>
      </w:r>
    </w:p>
    <w:p w14:paraId="5096DDDE" w14:textId="3B91EEFD" w:rsidR="009440F0" w:rsidRPr="00FC1D7B" w:rsidRDefault="009440F0" w:rsidP="009440F0">
      <w:pPr>
        <w:pStyle w:val="ListParagraph"/>
        <w:numPr>
          <w:ilvl w:val="4"/>
          <w:numId w:val="23"/>
        </w:numPr>
        <w:spacing w:before="0" w:after="160" w:line="259" w:lineRule="auto"/>
        <w:ind w:left="2694" w:hanging="426"/>
        <w:contextualSpacing/>
        <w:jc w:val="left"/>
        <w:rPr>
          <w:noProof/>
          <w:sz w:val="24"/>
          <w:szCs w:val="24"/>
          <w:lang w:val="lv-LV"/>
        </w:rPr>
      </w:pPr>
      <w:r w:rsidRPr="00FC1D7B">
        <w:rPr>
          <w:noProof/>
          <w:sz w:val="24"/>
          <w:szCs w:val="24"/>
          <w:lang w:val="lv-LV"/>
        </w:rPr>
        <w:t xml:space="preserve">plānotas – </w:t>
      </w:r>
      <w:r w:rsidR="00B30AE2">
        <w:rPr>
          <w:noProof/>
          <w:sz w:val="24"/>
          <w:szCs w:val="24"/>
          <w:lang w:val="lv-LV"/>
        </w:rPr>
        <w:t>nav plānotas</w:t>
      </w:r>
    </w:p>
    <w:p w14:paraId="46CA78CC" w14:textId="77777777" w:rsidR="009440F0" w:rsidRPr="00FC1D7B" w:rsidRDefault="009440F0" w:rsidP="009440F0">
      <w:pPr>
        <w:pStyle w:val="ListParagraph"/>
        <w:numPr>
          <w:ilvl w:val="1"/>
          <w:numId w:val="23"/>
        </w:numPr>
        <w:spacing w:before="0" w:after="160" w:line="259" w:lineRule="auto"/>
        <w:contextualSpacing/>
        <w:jc w:val="left"/>
        <w:rPr>
          <w:noProof/>
          <w:sz w:val="24"/>
          <w:szCs w:val="24"/>
          <w:lang w:val="lv-LV"/>
        </w:rPr>
      </w:pPr>
      <w:r w:rsidRPr="00FC1D7B">
        <w:rPr>
          <w:noProof/>
          <w:sz w:val="24"/>
          <w:szCs w:val="24"/>
          <w:lang w:val="lv-LV"/>
        </w:rPr>
        <w:t xml:space="preserve">No tām piešķirtas no ES avotiem: </w:t>
      </w:r>
    </w:p>
    <w:p w14:paraId="6088FA35" w14:textId="1CD06F26" w:rsidR="009440F0" w:rsidRPr="00FC1D7B" w:rsidRDefault="009440F0" w:rsidP="009440F0">
      <w:pPr>
        <w:pStyle w:val="ListParagraph"/>
        <w:numPr>
          <w:ilvl w:val="4"/>
          <w:numId w:val="23"/>
        </w:numPr>
        <w:spacing w:before="0" w:after="160" w:line="259" w:lineRule="auto"/>
        <w:ind w:left="2694" w:hanging="426"/>
        <w:contextualSpacing/>
        <w:jc w:val="left"/>
        <w:rPr>
          <w:noProof/>
          <w:sz w:val="24"/>
          <w:szCs w:val="24"/>
          <w:lang w:val="lv-LV"/>
        </w:rPr>
      </w:pPr>
      <w:r w:rsidRPr="00FC1D7B">
        <w:rPr>
          <w:noProof/>
          <w:sz w:val="24"/>
          <w:szCs w:val="24"/>
          <w:lang w:val="lv-LV"/>
        </w:rPr>
        <w:t>plānot</w:t>
      </w:r>
      <w:r w:rsidR="00A97044">
        <w:rPr>
          <w:noProof/>
          <w:sz w:val="24"/>
          <w:szCs w:val="24"/>
          <w:lang w:val="lv-LV"/>
        </w:rPr>
        <w:t>a</w:t>
      </w:r>
      <w:r w:rsidRPr="00FC1D7B">
        <w:rPr>
          <w:noProof/>
          <w:sz w:val="24"/>
          <w:szCs w:val="24"/>
          <w:lang w:val="lv-LV"/>
        </w:rPr>
        <w:t xml:space="preserve">s – </w:t>
      </w:r>
      <w:r w:rsidR="00A97044">
        <w:rPr>
          <w:noProof/>
          <w:sz w:val="24"/>
          <w:szCs w:val="24"/>
          <w:lang w:val="lv-LV"/>
        </w:rPr>
        <w:t>158</w:t>
      </w:r>
      <w:r w:rsidRPr="00FC1D7B">
        <w:rPr>
          <w:noProof/>
          <w:sz w:val="24"/>
          <w:szCs w:val="24"/>
          <w:lang w:val="lv-LV"/>
        </w:rPr>
        <w:t>,6 milj. </w:t>
      </w:r>
      <w:r w:rsidRPr="00FC1D7B">
        <w:rPr>
          <w:i/>
          <w:iCs/>
          <w:noProof/>
          <w:sz w:val="24"/>
          <w:szCs w:val="24"/>
          <w:lang w:val="lv-LV"/>
        </w:rPr>
        <w:t>euro</w:t>
      </w:r>
      <w:r w:rsidRPr="00FC1D7B">
        <w:rPr>
          <w:noProof/>
          <w:sz w:val="24"/>
          <w:szCs w:val="24"/>
          <w:lang w:val="lv-LV"/>
        </w:rPr>
        <w:t>;</w:t>
      </w:r>
    </w:p>
    <w:p w14:paraId="01F3A3C4" w14:textId="77777777" w:rsidR="009440F0" w:rsidRPr="00FC1D7B" w:rsidRDefault="009440F0" w:rsidP="009440F0">
      <w:pPr>
        <w:spacing w:before="0" w:after="160" w:line="259" w:lineRule="auto"/>
        <w:ind w:left="567" w:firstLine="0"/>
        <w:contextualSpacing/>
        <w:jc w:val="left"/>
        <w:rPr>
          <w:noProof/>
          <w:szCs w:val="24"/>
          <w:lang w:val="lv-LV"/>
        </w:rPr>
      </w:pPr>
      <w:r w:rsidRPr="00FC1D7B">
        <w:rPr>
          <w:noProof/>
          <w:szCs w:val="24"/>
          <w:lang w:val="lv-LV"/>
        </w:rPr>
        <w:t>Privātās investīcijas:</w:t>
      </w:r>
    </w:p>
    <w:p w14:paraId="7ADE47E1" w14:textId="174E2868" w:rsidR="009440F0" w:rsidRPr="00A97044" w:rsidRDefault="009440F0" w:rsidP="009440F0">
      <w:pPr>
        <w:pStyle w:val="ListParagraph"/>
        <w:numPr>
          <w:ilvl w:val="0"/>
          <w:numId w:val="44"/>
        </w:numPr>
        <w:spacing w:before="0" w:after="160" w:line="259" w:lineRule="auto"/>
        <w:contextualSpacing/>
        <w:jc w:val="left"/>
        <w:rPr>
          <w:lang w:val="lv-LV"/>
        </w:rPr>
      </w:pPr>
      <w:r w:rsidRPr="00FC1D7B">
        <w:rPr>
          <w:noProof/>
          <w:sz w:val="24"/>
          <w:szCs w:val="24"/>
          <w:lang w:val="lv-LV"/>
        </w:rPr>
        <w:t>plānotas – 3</w:t>
      </w:r>
      <w:r w:rsidR="00B30AE2">
        <w:rPr>
          <w:noProof/>
          <w:sz w:val="24"/>
          <w:szCs w:val="24"/>
          <w:lang w:val="lv-LV"/>
        </w:rPr>
        <w:t>1</w:t>
      </w:r>
      <w:r w:rsidRPr="00FC1D7B">
        <w:rPr>
          <w:noProof/>
          <w:sz w:val="24"/>
          <w:szCs w:val="24"/>
          <w:lang w:val="lv-LV"/>
        </w:rPr>
        <w:t>,</w:t>
      </w:r>
      <w:r w:rsidR="00B30AE2">
        <w:rPr>
          <w:noProof/>
          <w:sz w:val="24"/>
          <w:szCs w:val="24"/>
          <w:lang w:val="lv-LV"/>
        </w:rPr>
        <w:t>6</w:t>
      </w:r>
      <w:r w:rsidRPr="00FC1D7B">
        <w:rPr>
          <w:noProof/>
          <w:sz w:val="24"/>
          <w:szCs w:val="24"/>
          <w:lang w:val="lv-LV"/>
        </w:rPr>
        <w:t> milj. </w:t>
      </w:r>
      <w:r w:rsidRPr="00FC1D7B">
        <w:rPr>
          <w:i/>
          <w:iCs/>
          <w:noProof/>
          <w:sz w:val="24"/>
          <w:szCs w:val="24"/>
          <w:lang w:val="lv-LV"/>
        </w:rPr>
        <w:t>euro</w:t>
      </w:r>
    </w:p>
    <w:p w14:paraId="7F0D232A" w14:textId="25038560" w:rsidR="00A97044" w:rsidRPr="00FC1D7B" w:rsidRDefault="00A97044" w:rsidP="009440F0">
      <w:pPr>
        <w:pStyle w:val="ListParagraph"/>
        <w:numPr>
          <w:ilvl w:val="0"/>
          <w:numId w:val="44"/>
        </w:numPr>
        <w:spacing w:before="0" w:after="160" w:line="259" w:lineRule="auto"/>
        <w:contextualSpacing/>
        <w:jc w:val="left"/>
        <w:rPr>
          <w:lang w:val="lv-LV"/>
        </w:rPr>
      </w:pPr>
      <w:r w:rsidRPr="00B30AE2">
        <w:rPr>
          <w:noProof/>
          <w:sz w:val="24"/>
          <w:szCs w:val="24"/>
          <w:lang w:val="lv-LV"/>
        </w:rPr>
        <w:lastRenderedPageBreak/>
        <w:t>no tām pieškirtas – nav pieškirtas.</w:t>
      </w:r>
    </w:p>
    <w:p w14:paraId="3C786CFD" w14:textId="77777777" w:rsidR="009440F0" w:rsidRPr="00550D35" w:rsidRDefault="009440F0" w:rsidP="009440F0">
      <w:pPr>
        <w:pStyle w:val="Text3"/>
        <w:ind w:left="0" w:firstLine="0"/>
        <w:rPr>
          <w:lang w:val="lv-LV"/>
        </w:rPr>
      </w:pPr>
    </w:p>
    <w:p w14:paraId="72FA0631" w14:textId="77777777" w:rsidR="009440F0" w:rsidRPr="00550D35" w:rsidRDefault="009440F0" w:rsidP="009440F0">
      <w:pPr>
        <w:pStyle w:val="Heading3"/>
        <w:rPr>
          <w:lang w:val="lv-LV"/>
        </w:rPr>
      </w:pPr>
      <w:r w:rsidRPr="00550D35">
        <w:rPr>
          <w:lang w:val="lv-LV"/>
        </w:rPr>
        <w:t>Pasākumu apraksts</w:t>
      </w:r>
    </w:p>
    <w:tbl>
      <w:tblPr>
        <w:tblStyle w:val="TableGrid"/>
        <w:tblW w:w="8359" w:type="dxa"/>
        <w:tblLook w:val="04A0" w:firstRow="1" w:lastRow="0" w:firstColumn="1" w:lastColumn="0" w:noHBand="0" w:noVBand="1"/>
      </w:tblPr>
      <w:tblGrid>
        <w:gridCol w:w="3192"/>
        <w:gridCol w:w="5167"/>
      </w:tblGrid>
      <w:tr w:rsidR="009440F0" w:rsidRPr="003B2E9A" w14:paraId="49D6AD38" w14:textId="77777777" w:rsidTr="00BA62A0">
        <w:tc>
          <w:tcPr>
            <w:tcW w:w="8359" w:type="dxa"/>
            <w:gridSpan w:val="2"/>
          </w:tcPr>
          <w:p w14:paraId="7CCC6F4C" w14:textId="77777777" w:rsidR="009440F0" w:rsidRPr="00550D35" w:rsidRDefault="009440F0" w:rsidP="00BA62A0">
            <w:pPr>
              <w:spacing w:before="0" w:after="120"/>
              <w:ind w:firstLine="0"/>
              <w:contextualSpacing/>
              <w:jc w:val="left"/>
              <w:rPr>
                <w:rFonts w:eastAsia="Wingdings 2"/>
                <w:b/>
                <w:bCs/>
                <w:sz w:val="20"/>
                <w:lang w:val="lv-LV"/>
              </w:rPr>
            </w:pPr>
            <w:r w:rsidRPr="00550D35">
              <w:rPr>
                <w:b/>
                <w:bCs/>
                <w:sz w:val="20"/>
                <w:lang w:val="lv-LV"/>
              </w:rPr>
              <w:t xml:space="preserve">1. pasākums – </w:t>
            </w:r>
            <w:proofErr w:type="spellStart"/>
            <w:r w:rsidRPr="00550D35">
              <w:rPr>
                <w:b/>
                <w:bCs/>
                <w:sz w:val="20"/>
                <w:lang w:val="lv-LV"/>
              </w:rPr>
              <w:t>Jaunuzņēmumu</w:t>
            </w:r>
            <w:proofErr w:type="spellEnd"/>
            <w:r w:rsidRPr="00550D35">
              <w:rPr>
                <w:b/>
                <w:bCs/>
                <w:sz w:val="20"/>
                <w:lang w:val="lv-LV"/>
              </w:rPr>
              <w:t xml:space="preserve"> darbības atbalsta likums</w:t>
            </w:r>
          </w:p>
        </w:tc>
      </w:tr>
      <w:tr w:rsidR="009440F0" w:rsidRPr="00550D35" w14:paraId="4C4356E9" w14:textId="77777777" w:rsidTr="00BA62A0">
        <w:tc>
          <w:tcPr>
            <w:tcW w:w="3192" w:type="dxa"/>
          </w:tcPr>
          <w:p w14:paraId="4BC02BDD" w14:textId="77777777" w:rsidR="009440F0" w:rsidRPr="00550D35" w:rsidRDefault="009440F0" w:rsidP="00BA62A0">
            <w:pPr>
              <w:spacing w:before="120" w:after="120"/>
              <w:ind w:firstLine="0"/>
              <w:jc w:val="left"/>
              <w:rPr>
                <w:b/>
                <w:bCs/>
                <w:sz w:val="20"/>
                <w:lang w:val="lv-LV"/>
              </w:rPr>
            </w:pPr>
            <w:r w:rsidRPr="00550D35">
              <w:rPr>
                <w:b/>
                <w:bCs/>
                <w:sz w:val="20"/>
                <w:lang w:val="lv-LV"/>
              </w:rPr>
              <w:t>Jauns pasākums</w:t>
            </w:r>
          </w:p>
        </w:tc>
        <w:tc>
          <w:tcPr>
            <w:tcW w:w="5167" w:type="dxa"/>
          </w:tcPr>
          <w:p w14:paraId="265F940E" w14:textId="77777777" w:rsidR="009440F0" w:rsidRPr="00550D35" w:rsidRDefault="00AC141D" w:rsidP="00BA62A0">
            <w:pPr>
              <w:spacing w:before="0" w:after="120"/>
              <w:ind w:firstLine="0"/>
              <w:contextualSpacing/>
              <w:jc w:val="left"/>
              <w:rPr>
                <w:rFonts w:ascii="MS Gothic" w:eastAsia="MS Gothic" w:hAnsi="MS Gothic" w:cs="Segoe UI Symbol"/>
                <w:sz w:val="20"/>
                <w:lang w:val="lv-LV"/>
              </w:rPr>
            </w:pPr>
            <w:sdt>
              <w:sdtPr>
                <w:rPr>
                  <w:rFonts w:eastAsia="Wingdings 2"/>
                  <w:sz w:val="20"/>
                  <w:lang w:val="lv-LV"/>
                </w:rPr>
                <w:id w:val="1402104807"/>
                <w14:checkbox>
                  <w14:checked w14:val="0"/>
                  <w14:checkedState w14:val="2612" w14:font="MS Gothic"/>
                  <w14:uncheckedState w14:val="2610" w14:font="MS Gothic"/>
                </w14:checkbox>
              </w:sdtPr>
              <w:sdtEndPr/>
              <w:sdtContent>
                <w:r w:rsidR="009440F0" w:rsidRPr="00550D35">
                  <w:rPr>
                    <w:rFonts w:ascii="Segoe UI Symbol" w:eastAsia="MS Gothic" w:hAnsi="Segoe UI Symbol" w:cs="Segoe UI Symbol"/>
                    <w:sz w:val="20"/>
                    <w:lang w:val="lv-LV"/>
                  </w:rPr>
                  <w:t>☐</w:t>
                </w:r>
              </w:sdtContent>
            </w:sdt>
            <w:r w:rsidR="009440F0" w:rsidRPr="00550D35">
              <w:rPr>
                <w:rFonts w:eastAsia="MS Minngs"/>
                <w:sz w:val="20"/>
                <w:lang w:val="lv-LV"/>
              </w:rPr>
              <w:t xml:space="preserve"> jā</w:t>
            </w:r>
            <w:r w:rsidR="009440F0" w:rsidRPr="00550D35" w:rsidDel="00B85D77">
              <w:rPr>
                <w:rFonts w:eastAsia="Wingdings 2"/>
                <w:sz w:val="20"/>
                <w:lang w:val="lv-LV"/>
              </w:rPr>
              <w:t xml:space="preserve"> </w:t>
            </w:r>
          </w:p>
          <w:p w14:paraId="3BBF9D9A" w14:textId="77777777" w:rsidR="009440F0" w:rsidRPr="00550D35" w:rsidRDefault="00AC141D" w:rsidP="00BA62A0">
            <w:pPr>
              <w:spacing w:before="0" w:after="120"/>
              <w:ind w:firstLine="0"/>
              <w:contextualSpacing/>
              <w:jc w:val="left"/>
              <w:rPr>
                <w:sz w:val="20"/>
                <w:lang w:val="lv-LV"/>
              </w:rPr>
            </w:pPr>
            <w:sdt>
              <w:sdtPr>
                <w:rPr>
                  <w:rFonts w:eastAsia="Wingdings 2"/>
                  <w:sz w:val="20"/>
                  <w:lang w:val="lv-LV"/>
                </w:rPr>
                <w:id w:val="-420417728"/>
                <w14:checkbox>
                  <w14:checked w14:val="1"/>
                  <w14:checkedState w14:val="2612" w14:font="MS Gothic"/>
                  <w14:uncheckedState w14:val="2610" w14:font="MS Gothic"/>
                </w14:checkbox>
              </w:sdtPr>
              <w:sdtEndPr/>
              <w:sdtContent>
                <w:r w:rsidR="009440F0" w:rsidRPr="00550D35">
                  <w:rPr>
                    <w:rFonts w:ascii="MS Gothic" w:eastAsia="MS Gothic" w:hAnsi="MS Gothic"/>
                    <w:sz w:val="20"/>
                    <w:lang w:val="lv-LV"/>
                  </w:rPr>
                  <w:t>☒</w:t>
                </w:r>
              </w:sdtContent>
            </w:sdt>
            <w:r w:rsidR="009440F0" w:rsidRPr="00550D35">
              <w:rPr>
                <w:rFonts w:eastAsia="MS Minngs"/>
                <w:sz w:val="20"/>
                <w:lang w:val="lv-LV"/>
              </w:rPr>
              <w:t xml:space="preserve"> nē</w:t>
            </w:r>
          </w:p>
          <w:p w14:paraId="410DDF7B" w14:textId="77777777" w:rsidR="009440F0" w:rsidRPr="00550D35" w:rsidRDefault="009440F0" w:rsidP="00BA62A0">
            <w:pPr>
              <w:spacing w:before="0" w:after="0"/>
              <w:ind w:left="720" w:firstLine="0"/>
              <w:contextualSpacing/>
              <w:jc w:val="left"/>
              <w:rPr>
                <w:rFonts w:eastAsiaTheme="minorHAnsi"/>
                <w:sz w:val="20"/>
                <w:lang w:val="lv-LV" w:eastAsia="en-US"/>
              </w:rPr>
            </w:pPr>
          </w:p>
        </w:tc>
      </w:tr>
      <w:tr w:rsidR="009440F0" w:rsidRPr="003B2E9A" w14:paraId="29E7C12F" w14:textId="77777777" w:rsidTr="00BA62A0">
        <w:tc>
          <w:tcPr>
            <w:tcW w:w="3192" w:type="dxa"/>
          </w:tcPr>
          <w:p w14:paraId="4E6A11B2" w14:textId="77777777" w:rsidR="009440F0" w:rsidRDefault="009440F0" w:rsidP="00BA62A0">
            <w:pPr>
              <w:spacing w:before="120" w:after="120"/>
              <w:ind w:firstLine="0"/>
              <w:rPr>
                <w:b/>
                <w:bCs/>
                <w:sz w:val="20"/>
                <w:lang w:val="lv-LV"/>
              </w:rPr>
            </w:pPr>
            <w:r w:rsidRPr="00550D35">
              <w:rPr>
                <w:b/>
                <w:bCs/>
                <w:sz w:val="20"/>
                <w:lang w:val="lv-LV"/>
              </w:rPr>
              <w:t>Īss pasākuma apraksts</w:t>
            </w:r>
          </w:p>
          <w:p w14:paraId="5635A677" w14:textId="77777777" w:rsidR="009440F0" w:rsidRPr="00550D35" w:rsidRDefault="009440F0" w:rsidP="00BA62A0">
            <w:pPr>
              <w:spacing w:before="120" w:after="120"/>
              <w:ind w:firstLine="0"/>
              <w:rPr>
                <w:b/>
                <w:sz w:val="20"/>
                <w:lang w:val="lv-LV"/>
              </w:rPr>
            </w:pPr>
          </w:p>
        </w:tc>
        <w:tc>
          <w:tcPr>
            <w:tcW w:w="5167" w:type="dxa"/>
          </w:tcPr>
          <w:p w14:paraId="63400409" w14:textId="05393E49" w:rsidR="009440F0" w:rsidRPr="00550D35" w:rsidRDefault="009440F0" w:rsidP="00445B7E">
            <w:pPr>
              <w:spacing w:before="120" w:after="120"/>
              <w:ind w:firstLine="0"/>
              <w:rPr>
                <w:sz w:val="20"/>
                <w:lang w:val="lv-LV"/>
              </w:rPr>
            </w:pPr>
            <w:r w:rsidRPr="0084229A">
              <w:rPr>
                <w:sz w:val="20"/>
                <w:lang w:val="lv-LV"/>
              </w:rPr>
              <w:t xml:space="preserve">Pamatojoties </w:t>
            </w:r>
            <w:r w:rsidRPr="00445B7E">
              <w:rPr>
                <w:sz w:val="20"/>
                <w:lang w:val="lv-LV"/>
              </w:rPr>
              <w:t xml:space="preserve">uz </w:t>
            </w:r>
            <w:r w:rsidR="00BD6167" w:rsidRPr="00445B7E">
              <w:rPr>
                <w:sz w:val="20"/>
                <w:lang w:val="lv-LV"/>
              </w:rPr>
              <w:t>MK</w:t>
            </w:r>
            <w:r w:rsidRPr="00445B7E">
              <w:rPr>
                <w:sz w:val="20"/>
                <w:lang w:val="lv-LV"/>
              </w:rPr>
              <w:t xml:space="preserve"> 2016.gada 29.septembra rīkojum</w:t>
            </w:r>
            <w:r w:rsidR="00F86D49" w:rsidRPr="00445B7E">
              <w:rPr>
                <w:sz w:val="20"/>
                <w:lang w:val="lv-LV"/>
              </w:rPr>
              <w:t>u</w:t>
            </w:r>
            <w:r w:rsidRPr="00445B7E">
              <w:rPr>
                <w:sz w:val="20"/>
                <w:lang w:val="lv-LV"/>
              </w:rPr>
              <w:t xml:space="preserve"> Nr.566 </w:t>
            </w:r>
            <w:r w:rsidR="00554F7B" w:rsidRPr="00445B7E">
              <w:rPr>
                <w:sz w:val="20"/>
                <w:lang w:val="lv-LV"/>
              </w:rPr>
              <w:t>“Par konceptuālo ziņojumu "Par uzņēmējdarbības uzsākšanas un mazās uzņēmējdarbības ekosistēmu un turpmāk nepieciešamajiem atbalsta stimuliem""</w:t>
            </w:r>
            <w:r w:rsidRPr="00445B7E">
              <w:rPr>
                <w:sz w:val="20"/>
                <w:lang w:val="lv-LV"/>
              </w:rPr>
              <w:t>, tika nolemts ieviest atbalsta pasākumu – izstrādāt</w:t>
            </w:r>
            <w:r w:rsidRPr="00550D35">
              <w:rPr>
                <w:sz w:val="20"/>
                <w:lang w:val="lv-LV"/>
              </w:rPr>
              <w:t xml:space="preserve"> strauji augošu uzņēmumu (start-</w:t>
            </w:r>
            <w:proofErr w:type="spellStart"/>
            <w:r w:rsidRPr="00550D35">
              <w:rPr>
                <w:sz w:val="20"/>
                <w:lang w:val="lv-LV"/>
              </w:rPr>
              <w:t>up</w:t>
            </w:r>
            <w:proofErr w:type="spellEnd"/>
            <w:r w:rsidRPr="00550D35">
              <w:rPr>
                <w:sz w:val="20"/>
                <w:lang w:val="lv-LV"/>
              </w:rPr>
              <w:t xml:space="preserve"> jeb </w:t>
            </w:r>
            <w:proofErr w:type="spellStart"/>
            <w:r w:rsidRPr="00550D35">
              <w:rPr>
                <w:sz w:val="20"/>
                <w:lang w:val="lv-LV"/>
              </w:rPr>
              <w:t>jaunuzņēmumu</w:t>
            </w:r>
            <w:proofErr w:type="spellEnd"/>
            <w:r w:rsidRPr="00550D35">
              <w:rPr>
                <w:sz w:val="20"/>
                <w:lang w:val="lv-LV"/>
              </w:rPr>
              <w:t>) likumu, kas paredz: 1) minimālo fiksēto maksājumu par katru nodarbināto; 2) atbalsta programmu augsti kvalificētu darbinieku piesaistei.</w:t>
            </w:r>
            <w:r w:rsidR="00987027">
              <w:rPr>
                <w:sz w:val="20"/>
                <w:lang w:val="lv-LV"/>
              </w:rPr>
              <w:t xml:space="preserve"> </w:t>
            </w:r>
            <w:r w:rsidRPr="00550D35">
              <w:rPr>
                <w:sz w:val="20"/>
                <w:lang w:val="lv-LV"/>
              </w:rPr>
              <w:t xml:space="preserve">2017. gada 1. janvārī stājās spēkā </w:t>
            </w:r>
            <w:proofErr w:type="spellStart"/>
            <w:r w:rsidRPr="00550D35">
              <w:rPr>
                <w:sz w:val="20"/>
                <w:lang w:val="lv-LV"/>
              </w:rPr>
              <w:t>Jaunuzņēmumu</w:t>
            </w:r>
            <w:proofErr w:type="spellEnd"/>
            <w:r w:rsidRPr="00550D35">
              <w:rPr>
                <w:sz w:val="20"/>
                <w:lang w:val="lv-LV"/>
              </w:rPr>
              <w:t xml:space="preserve"> darbības atbalsta likums, kas nosaka abas minētās atbalsta programmas, to piešķiršanas kritērijus, kā arī </w:t>
            </w:r>
            <w:proofErr w:type="spellStart"/>
            <w:r w:rsidRPr="00550D35">
              <w:rPr>
                <w:sz w:val="20"/>
                <w:lang w:val="lv-LV"/>
              </w:rPr>
              <w:t>jaunuzņēmumiem</w:t>
            </w:r>
            <w:proofErr w:type="spellEnd"/>
            <w:r w:rsidRPr="00550D35">
              <w:rPr>
                <w:sz w:val="20"/>
                <w:lang w:val="lv-LV"/>
              </w:rPr>
              <w:t xml:space="preserve"> piešķirtā atbalsta administrēšanas kārtību, tāpat </w:t>
            </w:r>
            <w:proofErr w:type="spellStart"/>
            <w:r w:rsidRPr="00550D35">
              <w:rPr>
                <w:sz w:val="20"/>
                <w:lang w:val="lv-LV"/>
              </w:rPr>
              <w:t>iespējkapitāla</w:t>
            </w:r>
            <w:proofErr w:type="spellEnd"/>
            <w:r w:rsidRPr="00550D35">
              <w:rPr>
                <w:sz w:val="20"/>
                <w:lang w:val="lv-LV"/>
              </w:rPr>
              <w:t xml:space="preserve"> investoru kvalifikācijas nosacījumus, kā arī </w:t>
            </w:r>
            <w:proofErr w:type="spellStart"/>
            <w:r w:rsidRPr="00550D35">
              <w:rPr>
                <w:sz w:val="20"/>
                <w:lang w:val="lv-LV"/>
              </w:rPr>
              <w:t>jaunuzņēmumu</w:t>
            </w:r>
            <w:proofErr w:type="spellEnd"/>
            <w:r w:rsidRPr="00550D35">
              <w:rPr>
                <w:sz w:val="20"/>
                <w:lang w:val="lv-LV"/>
              </w:rPr>
              <w:t xml:space="preserve"> darbības vērtēšanas komisijas izveidošanas kārtību un kompetenci. </w:t>
            </w:r>
            <w:proofErr w:type="spellStart"/>
            <w:r w:rsidRPr="00550D35">
              <w:rPr>
                <w:sz w:val="20"/>
                <w:lang w:val="lv-LV"/>
              </w:rPr>
              <w:t>Jaunuzņēmumu</w:t>
            </w:r>
            <w:proofErr w:type="spellEnd"/>
            <w:r w:rsidRPr="00550D35">
              <w:rPr>
                <w:sz w:val="20"/>
                <w:lang w:val="lv-LV"/>
              </w:rPr>
              <w:t xml:space="preserve"> darbības atbalsta likuma mērķis tika noteikts veicināt </w:t>
            </w:r>
            <w:proofErr w:type="spellStart"/>
            <w:r w:rsidRPr="00550D35">
              <w:rPr>
                <w:sz w:val="20"/>
                <w:lang w:val="lv-LV"/>
              </w:rPr>
              <w:t>jaunuzņēmumu</w:t>
            </w:r>
            <w:proofErr w:type="spellEnd"/>
            <w:r w:rsidRPr="00550D35">
              <w:rPr>
                <w:sz w:val="20"/>
                <w:lang w:val="lv-LV"/>
              </w:rPr>
              <w:t xml:space="preserve"> veidošanos Latvijā, tādējādi sekmējot pētniecību, kā arī inovatīvu ideju, produktu vai procesu izmantošanu saimnieciskajā darbībā. </w:t>
            </w:r>
          </w:p>
        </w:tc>
      </w:tr>
      <w:tr w:rsidR="009440F0" w:rsidRPr="003B2E9A" w14:paraId="2A1265B6" w14:textId="77777777" w:rsidTr="00BA62A0">
        <w:tc>
          <w:tcPr>
            <w:tcW w:w="3192" w:type="dxa"/>
            <w:shd w:val="clear" w:color="auto" w:fill="auto"/>
          </w:tcPr>
          <w:p w14:paraId="3AEB01D7" w14:textId="6DBEAA15" w:rsidR="009440F0" w:rsidRPr="00550D35" w:rsidRDefault="009440F0" w:rsidP="00BA62A0">
            <w:pPr>
              <w:spacing w:before="120" w:after="120"/>
              <w:ind w:firstLine="0"/>
              <w:rPr>
                <w:b/>
                <w:bCs/>
                <w:sz w:val="20"/>
                <w:lang w:val="lv-LV"/>
              </w:rPr>
            </w:pPr>
            <w:r w:rsidRPr="00550D35">
              <w:rPr>
                <w:b/>
                <w:bCs/>
                <w:sz w:val="20"/>
                <w:lang w:val="lv-LV"/>
              </w:rPr>
              <w:t>Piešķirtais vai plānotais budžets un, ja atbilstoši, citi resursi</w:t>
            </w:r>
          </w:p>
        </w:tc>
        <w:tc>
          <w:tcPr>
            <w:tcW w:w="5167" w:type="dxa"/>
            <w:shd w:val="clear" w:color="auto" w:fill="auto"/>
          </w:tcPr>
          <w:p w14:paraId="64B25FCF" w14:textId="6BE29EBC" w:rsidR="009440F0" w:rsidRPr="00550D35" w:rsidRDefault="00C26381" w:rsidP="00BA62A0">
            <w:pPr>
              <w:spacing w:before="0" w:after="120"/>
              <w:ind w:firstLine="0"/>
              <w:contextualSpacing/>
              <w:jc w:val="left"/>
              <w:rPr>
                <w:sz w:val="20"/>
                <w:lang w:val="lv-LV"/>
              </w:rPr>
            </w:pPr>
            <w:r w:rsidRPr="00BA3F19">
              <w:rPr>
                <w:sz w:val="20"/>
                <w:lang w:val="lv-LV"/>
              </w:rPr>
              <w:t>Finansējums nav p</w:t>
            </w:r>
            <w:r>
              <w:rPr>
                <w:sz w:val="20"/>
                <w:lang w:val="lv-LV"/>
              </w:rPr>
              <w:t>lāno</w:t>
            </w:r>
            <w:r w:rsidRPr="00BA3F19">
              <w:rPr>
                <w:sz w:val="20"/>
                <w:lang w:val="lv-LV"/>
              </w:rPr>
              <w:t>ts</w:t>
            </w:r>
          </w:p>
        </w:tc>
      </w:tr>
      <w:tr w:rsidR="009440F0" w:rsidRPr="003B2E9A" w14:paraId="59D197F1" w14:textId="77777777" w:rsidTr="00BA62A0">
        <w:tc>
          <w:tcPr>
            <w:tcW w:w="3192" w:type="dxa"/>
          </w:tcPr>
          <w:p w14:paraId="1ED4C4F8" w14:textId="77777777" w:rsidR="009440F0" w:rsidRPr="00550D35" w:rsidRDefault="009440F0" w:rsidP="00BA62A0">
            <w:pPr>
              <w:spacing w:before="120" w:after="120"/>
              <w:ind w:firstLine="0"/>
              <w:rPr>
                <w:b/>
                <w:bCs/>
                <w:sz w:val="20"/>
                <w:lang w:val="lv-LV"/>
              </w:rPr>
            </w:pPr>
            <w:r w:rsidRPr="00550D35">
              <w:rPr>
                <w:b/>
                <w:bCs/>
                <w:sz w:val="20"/>
                <w:lang w:val="lv-LV"/>
              </w:rPr>
              <w:t>Sagaidāmā ietekme un laika ietvars</w:t>
            </w:r>
          </w:p>
        </w:tc>
        <w:tc>
          <w:tcPr>
            <w:tcW w:w="5167" w:type="dxa"/>
          </w:tcPr>
          <w:p w14:paraId="63952D5E" w14:textId="77777777" w:rsidR="009440F0" w:rsidRPr="00550D35" w:rsidRDefault="009440F0" w:rsidP="00BA62A0">
            <w:pPr>
              <w:pStyle w:val="NormalWeb"/>
              <w:spacing w:before="0" w:beforeAutospacing="0" w:after="0" w:afterAutospacing="0"/>
              <w:ind w:firstLine="0"/>
              <w:jc w:val="both"/>
              <w:rPr>
                <w:sz w:val="20"/>
                <w:szCs w:val="20"/>
                <w:lang w:val="lv-LV" w:eastAsia="lv-LV"/>
              </w:rPr>
            </w:pPr>
            <w:proofErr w:type="spellStart"/>
            <w:r w:rsidRPr="00550D35">
              <w:rPr>
                <w:sz w:val="20"/>
                <w:szCs w:val="20"/>
                <w:lang w:val="lv-LV"/>
              </w:rPr>
              <w:t>Jaunuzņēmumu</w:t>
            </w:r>
            <w:proofErr w:type="spellEnd"/>
            <w:r w:rsidRPr="00550D35">
              <w:rPr>
                <w:sz w:val="20"/>
                <w:szCs w:val="20"/>
                <w:lang w:val="lv-LV"/>
              </w:rPr>
              <w:t xml:space="preserve"> darbības atbalsta likuma ietvaros </w:t>
            </w:r>
            <w:proofErr w:type="spellStart"/>
            <w:r w:rsidRPr="00550D35">
              <w:rPr>
                <w:sz w:val="20"/>
                <w:szCs w:val="20"/>
                <w:lang w:val="lv-LV"/>
              </w:rPr>
              <w:t>j</w:t>
            </w:r>
            <w:r w:rsidRPr="00550D35">
              <w:rPr>
                <w:sz w:val="20"/>
                <w:szCs w:val="20"/>
                <w:lang w:val="lv-LV" w:eastAsia="lv-LV"/>
              </w:rPr>
              <w:t>aunuzņēmumu</w:t>
            </w:r>
            <w:proofErr w:type="spellEnd"/>
            <w:r w:rsidRPr="00550D35">
              <w:rPr>
                <w:sz w:val="20"/>
                <w:szCs w:val="20"/>
                <w:lang w:val="lv-LV" w:eastAsia="lv-LV"/>
              </w:rPr>
              <w:t xml:space="preserve"> darbības atbalsts - atbalsts augsti kvalificētu darbinieku piesaistei no 2017.gada ir saņemti kopumā 56 pieteikumi, apstiprināti - 35. Izmaksātā atbalsta kopsumma- 1,5 milj. </w:t>
            </w:r>
            <w:proofErr w:type="spellStart"/>
            <w:r w:rsidRPr="00550D35">
              <w:rPr>
                <w:i/>
                <w:sz w:val="20"/>
                <w:szCs w:val="20"/>
                <w:lang w:val="lv-LV" w:eastAsia="lv-LV"/>
              </w:rPr>
              <w:t>euro</w:t>
            </w:r>
            <w:proofErr w:type="spellEnd"/>
            <w:r w:rsidRPr="00550D35">
              <w:rPr>
                <w:sz w:val="20"/>
                <w:szCs w:val="20"/>
                <w:lang w:val="lv-LV" w:eastAsia="lv-LV"/>
              </w:rPr>
              <w:t>. </w:t>
            </w:r>
          </w:p>
          <w:p w14:paraId="6CFA4FBB" w14:textId="77777777" w:rsidR="009440F0" w:rsidRPr="00550D35" w:rsidRDefault="009440F0" w:rsidP="00BA62A0">
            <w:pPr>
              <w:pStyle w:val="NormalWeb"/>
              <w:spacing w:before="0" w:beforeAutospacing="0" w:after="0" w:afterAutospacing="0"/>
              <w:ind w:firstLine="0"/>
              <w:jc w:val="both"/>
              <w:rPr>
                <w:sz w:val="20"/>
                <w:szCs w:val="20"/>
                <w:lang w:val="lv-LV" w:eastAsia="lv-LV"/>
              </w:rPr>
            </w:pPr>
            <w:proofErr w:type="spellStart"/>
            <w:r w:rsidRPr="00550D35">
              <w:rPr>
                <w:sz w:val="20"/>
                <w:szCs w:val="20"/>
                <w:lang w:val="lv-LV" w:eastAsia="lv-LV"/>
              </w:rPr>
              <w:t>Jaunuzņēmumu</w:t>
            </w:r>
            <w:proofErr w:type="spellEnd"/>
            <w:r w:rsidRPr="00550D35">
              <w:rPr>
                <w:sz w:val="20"/>
                <w:szCs w:val="20"/>
                <w:lang w:val="lv-LV" w:eastAsia="lv-LV"/>
              </w:rPr>
              <w:t xml:space="preserve"> darbības atbalsts: 1)nodokļu atvieglojums - no 2017.gada saņemti 119 pieteikumi, apstiprināti 71; 2) pieteikumos apstiprināto darbinieku skaits 348; 3) Riska kapitāla investors - iesniegti pieteikumi no 2017.gada - 31, apstiprināti – 22.</w:t>
            </w:r>
          </w:p>
        </w:tc>
      </w:tr>
      <w:tr w:rsidR="009440F0" w:rsidRPr="003B2E9A" w14:paraId="2D7182CB" w14:textId="77777777" w:rsidTr="00BA62A0">
        <w:tc>
          <w:tcPr>
            <w:tcW w:w="8359" w:type="dxa"/>
            <w:gridSpan w:val="2"/>
          </w:tcPr>
          <w:p w14:paraId="58BEDEAD" w14:textId="77777777" w:rsidR="009440F0" w:rsidRPr="00550D35" w:rsidRDefault="009440F0" w:rsidP="00BA62A0">
            <w:pPr>
              <w:spacing w:before="0" w:after="120"/>
              <w:ind w:firstLine="0"/>
              <w:contextualSpacing/>
              <w:rPr>
                <w:b/>
                <w:bCs/>
                <w:sz w:val="20"/>
                <w:lang w:val="lv-LV"/>
              </w:rPr>
            </w:pPr>
          </w:p>
        </w:tc>
      </w:tr>
      <w:tr w:rsidR="009440F0" w:rsidRPr="00D732E8" w14:paraId="5B94D8CE" w14:textId="77777777" w:rsidTr="00BA62A0">
        <w:tc>
          <w:tcPr>
            <w:tcW w:w="8359" w:type="dxa"/>
            <w:gridSpan w:val="2"/>
          </w:tcPr>
          <w:p w14:paraId="0A7168A9" w14:textId="77777777" w:rsidR="003B2E9A" w:rsidRPr="003B2E9A" w:rsidRDefault="009440F0" w:rsidP="003B2E9A">
            <w:pPr>
              <w:ind w:firstLine="0"/>
              <w:rPr>
                <w:b/>
                <w:bCs/>
                <w:sz w:val="20"/>
                <w:lang w:val="lv-LV"/>
              </w:rPr>
            </w:pPr>
            <w:r w:rsidRPr="003B2E9A">
              <w:rPr>
                <w:b/>
                <w:bCs/>
                <w:sz w:val="20"/>
                <w:lang w:val="lv-LV"/>
              </w:rPr>
              <w:t>2. pasākums</w:t>
            </w:r>
          </w:p>
          <w:p w14:paraId="12BEFEED" w14:textId="7F26B16C" w:rsidR="003B2E9A" w:rsidRPr="003B2E9A" w:rsidRDefault="003B2E9A" w:rsidP="003B2E9A">
            <w:pPr>
              <w:ind w:firstLine="0"/>
              <w:rPr>
                <w:b/>
                <w:bCs/>
                <w:sz w:val="20"/>
                <w:lang w:val="lv-LV"/>
              </w:rPr>
            </w:pPr>
            <w:r w:rsidRPr="003B2E9A">
              <w:rPr>
                <w:b/>
                <w:bCs/>
                <w:sz w:val="20"/>
                <w:lang w:val="lv-LV"/>
              </w:rPr>
              <w:t>2.1. Darbības programmas "Izaugsme un nodarbinātība" 3.1.1.6. pasākums "Reģionālie biznesa inkubatori un radošo industriju inkubators"</w:t>
            </w:r>
          </w:p>
          <w:p w14:paraId="76B36775" w14:textId="44468511" w:rsidR="009440F0" w:rsidRPr="00504258" w:rsidRDefault="003B2E9A" w:rsidP="003B2E9A">
            <w:pPr>
              <w:spacing w:before="0" w:after="0"/>
              <w:ind w:firstLine="0"/>
              <w:rPr>
                <w:b/>
                <w:bCs/>
                <w:sz w:val="20"/>
                <w:lang w:val="lv-LV"/>
              </w:rPr>
            </w:pPr>
            <w:r w:rsidRPr="003B2E9A">
              <w:rPr>
                <w:b/>
                <w:bCs/>
                <w:sz w:val="20"/>
                <w:lang w:val="lv-LV"/>
              </w:rPr>
              <w:t>2.2. ES kohēzijas politikas programmas 2021.–2027. gadam 1.2.3.1. pasākums “Atbalsts MVU inovatīvas uzņēmējdarbības attīstībai”</w:t>
            </w:r>
          </w:p>
        </w:tc>
      </w:tr>
      <w:tr w:rsidR="009440F0" w:rsidRPr="00550D35" w14:paraId="78685FCF" w14:textId="77777777" w:rsidTr="00BA62A0">
        <w:tc>
          <w:tcPr>
            <w:tcW w:w="3192" w:type="dxa"/>
          </w:tcPr>
          <w:p w14:paraId="784E46DA" w14:textId="77777777" w:rsidR="009440F0" w:rsidRPr="00550D35" w:rsidRDefault="009440F0" w:rsidP="00BA62A0">
            <w:pPr>
              <w:spacing w:before="120" w:after="120"/>
              <w:ind w:firstLine="0"/>
              <w:jc w:val="left"/>
              <w:rPr>
                <w:b/>
                <w:bCs/>
                <w:sz w:val="20"/>
                <w:lang w:val="lv-LV"/>
              </w:rPr>
            </w:pPr>
            <w:r w:rsidRPr="00550D35">
              <w:rPr>
                <w:b/>
                <w:bCs/>
                <w:sz w:val="20"/>
                <w:lang w:val="lv-LV"/>
              </w:rPr>
              <w:t>Jauns pasākums</w:t>
            </w:r>
          </w:p>
        </w:tc>
        <w:tc>
          <w:tcPr>
            <w:tcW w:w="5167" w:type="dxa"/>
          </w:tcPr>
          <w:p w14:paraId="6E01083D" w14:textId="04983432" w:rsidR="009440F0" w:rsidRPr="00550D35" w:rsidRDefault="00AC141D" w:rsidP="00BA62A0">
            <w:pPr>
              <w:spacing w:before="0" w:after="120"/>
              <w:ind w:firstLine="0"/>
              <w:contextualSpacing/>
              <w:jc w:val="left"/>
              <w:rPr>
                <w:rFonts w:ascii="MS Gothic" w:eastAsia="MS Gothic" w:hAnsi="MS Gothic" w:cs="Segoe UI Symbol"/>
                <w:sz w:val="20"/>
                <w:lang w:val="lv-LV"/>
              </w:rPr>
            </w:pPr>
            <w:sdt>
              <w:sdtPr>
                <w:rPr>
                  <w:rFonts w:eastAsia="Wingdings 2"/>
                  <w:sz w:val="20"/>
                  <w:lang w:val="lv-LV"/>
                </w:rPr>
                <w:id w:val="-681814419"/>
                <w14:checkbox>
                  <w14:checked w14:val="1"/>
                  <w14:checkedState w14:val="2612" w14:font="MS Gothic"/>
                  <w14:uncheckedState w14:val="2610" w14:font="MS Gothic"/>
                </w14:checkbox>
              </w:sdtPr>
              <w:sdtEndPr/>
              <w:sdtContent>
                <w:r w:rsidR="00385845">
                  <w:rPr>
                    <w:rFonts w:ascii="MS Gothic" w:eastAsia="MS Gothic" w:hAnsi="MS Gothic" w:hint="eastAsia"/>
                    <w:sz w:val="20"/>
                    <w:lang w:val="lv-LV"/>
                  </w:rPr>
                  <w:t>☒</w:t>
                </w:r>
              </w:sdtContent>
            </w:sdt>
            <w:r w:rsidR="009440F0" w:rsidRPr="00550D35">
              <w:rPr>
                <w:rFonts w:eastAsia="MS Minngs"/>
                <w:sz w:val="20"/>
                <w:lang w:val="lv-LV"/>
              </w:rPr>
              <w:t xml:space="preserve"> jā</w:t>
            </w:r>
            <w:r w:rsidR="009440F0" w:rsidRPr="00550D35" w:rsidDel="00B85D77">
              <w:rPr>
                <w:rFonts w:eastAsia="Wingdings 2"/>
                <w:sz w:val="20"/>
                <w:lang w:val="lv-LV"/>
              </w:rPr>
              <w:t xml:space="preserve"> </w:t>
            </w:r>
          </w:p>
          <w:p w14:paraId="38A5ED7E" w14:textId="77777777" w:rsidR="009440F0" w:rsidRPr="00550D35" w:rsidRDefault="00AC141D" w:rsidP="00BA62A0">
            <w:pPr>
              <w:spacing w:before="0" w:after="120"/>
              <w:ind w:firstLine="0"/>
              <w:contextualSpacing/>
              <w:jc w:val="left"/>
              <w:rPr>
                <w:sz w:val="20"/>
                <w:lang w:val="lv-LV"/>
              </w:rPr>
            </w:pPr>
            <w:sdt>
              <w:sdtPr>
                <w:rPr>
                  <w:rFonts w:eastAsia="Wingdings 2"/>
                  <w:sz w:val="20"/>
                  <w:lang w:val="lv-LV"/>
                </w:rPr>
                <w:id w:val="-225536094"/>
                <w14:checkbox>
                  <w14:checked w14:val="1"/>
                  <w14:checkedState w14:val="2612" w14:font="MS Gothic"/>
                  <w14:uncheckedState w14:val="2610" w14:font="MS Gothic"/>
                </w14:checkbox>
              </w:sdtPr>
              <w:sdtEndPr/>
              <w:sdtContent>
                <w:r w:rsidR="009440F0" w:rsidRPr="00550D35">
                  <w:rPr>
                    <w:rFonts w:ascii="MS Gothic" w:eastAsia="MS Gothic" w:hAnsi="MS Gothic"/>
                    <w:sz w:val="20"/>
                    <w:lang w:val="lv-LV"/>
                  </w:rPr>
                  <w:t>☒</w:t>
                </w:r>
              </w:sdtContent>
            </w:sdt>
            <w:r w:rsidR="009440F0" w:rsidRPr="00550D35">
              <w:rPr>
                <w:rFonts w:eastAsia="MS Minngs"/>
                <w:sz w:val="20"/>
                <w:lang w:val="lv-LV"/>
              </w:rPr>
              <w:t xml:space="preserve"> nē</w:t>
            </w:r>
          </w:p>
          <w:p w14:paraId="5094D2D0" w14:textId="77777777" w:rsidR="009440F0" w:rsidRPr="00550D35" w:rsidRDefault="009440F0" w:rsidP="00BA62A0">
            <w:pPr>
              <w:spacing w:before="0" w:after="0"/>
              <w:ind w:left="720" w:firstLine="0"/>
              <w:contextualSpacing/>
              <w:rPr>
                <w:rFonts w:eastAsiaTheme="minorHAnsi"/>
                <w:sz w:val="20"/>
                <w:lang w:val="lv-LV" w:eastAsia="en-US"/>
              </w:rPr>
            </w:pPr>
          </w:p>
        </w:tc>
      </w:tr>
      <w:tr w:rsidR="009440F0" w:rsidRPr="00D414D8" w14:paraId="47AE3A7D" w14:textId="77777777" w:rsidTr="00BA62A0">
        <w:tc>
          <w:tcPr>
            <w:tcW w:w="3192" w:type="dxa"/>
          </w:tcPr>
          <w:p w14:paraId="573077C4" w14:textId="77777777" w:rsidR="009440F0" w:rsidRPr="00550D35" w:rsidRDefault="009440F0" w:rsidP="00BA62A0">
            <w:pPr>
              <w:spacing w:before="120" w:after="120"/>
              <w:ind w:firstLine="0"/>
              <w:rPr>
                <w:b/>
                <w:bCs/>
                <w:sz w:val="20"/>
                <w:lang w:val="lv-LV"/>
              </w:rPr>
            </w:pPr>
            <w:r w:rsidRPr="00550D35">
              <w:rPr>
                <w:b/>
                <w:bCs/>
                <w:sz w:val="20"/>
                <w:lang w:val="lv-LV"/>
              </w:rPr>
              <w:t>Īss pasākuma apraksts</w:t>
            </w:r>
          </w:p>
        </w:tc>
        <w:tc>
          <w:tcPr>
            <w:tcW w:w="5167" w:type="dxa"/>
          </w:tcPr>
          <w:p w14:paraId="3004FAA9" w14:textId="6DE70990" w:rsidR="00743786" w:rsidRPr="00B354D6" w:rsidRDefault="00743786" w:rsidP="00D414D8">
            <w:pPr>
              <w:pStyle w:val="NormalWeb"/>
              <w:spacing w:before="0" w:beforeAutospacing="0" w:after="0" w:afterAutospacing="0"/>
              <w:ind w:firstLine="0"/>
              <w:jc w:val="both"/>
              <w:rPr>
                <w:sz w:val="20"/>
                <w:szCs w:val="20"/>
                <w:lang w:val="lv-LV"/>
              </w:rPr>
            </w:pPr>
            <w:r w:rsidRPr="00B354D6">
              <w:rPr>
                <w:sz w:val="20"/>
                <w:szCs w:val="20"/>
                <w:lang w:val="lv-LV"/>
              </w:rPr>
              <w:t>Kopš 2016. gada Biznesa inkubatori sniedz atbalstu komercdarbības uzsākšanai un attīstībai fiziskām personām un jaundibinātiem komersantiem. Kopumā Latvijā darbojas 11</w:t>
            </w:r>
            <w:r w:rsidR="004E6282" w:rsidRPr="00B354D6">
              <w:rPr>
                <w:sz w:val="20"/>
                <w:szCs w:val="20"/>
                <w:lang w:val="lv-LV"/>
              </w:rPr>
              <w:t> </w:t>
            </w:r>
            <w:r w:rsidRPr="00B354D6">
              <w:rPr>
                <w:sz w:val="20"/>
                <w:szCs w:val="20"/>
                <w:lang w:val="lv-LV"/>
              </w:rPr>
              <w:t xml:space="preserve">reģionālie biznesa inkubatori un 9 atbalsta vienības, kā arī Radošo industriju inkubators Rīgā, kurš specializēts sniegt atbalstu radošo industriju uzņēmumiem. Inkubatoros ir iespēja saņemt atbalstu divās programmās – </w:t>
            </w:r>
            <w:proofErr w:type="spellStart"/>
            <w:r w:rsidRPr="00B354D6">
              <w:rPr>
                <w:sz w:val="20"/>
                <w:szCs w:val="20"/>
                <w:lang w:val="lv-LV"/>
              </w:rPr>
              <w:t>pirmsinkubācijas</w:t>
            </w:r>
            <w:proofErr w:type="spellEnd"/>
            <w:r w:rsidRPr="00B354D6">
              <w:rPr>
                <w:sz w:val="20"/>
                <w:szCs w:val="20"/>
                <w:lang w:val="lv-LV"/>
              </w:rPr>
              <w:t xml:space="preserve"> un inkubācijas. Šī programma noslēdzās 2023. gada 31.</w:t>
            </w:r>
            <w:r w:rsidR="004E6282" w:rsidRPr="00B354D6">
              <w:rPr>
                <w:sz w:val="20"/>
                <w:szCs w:val="20"/>
                <w:lang w:val="lv-LV"/>
              </w:rPr>
              <w:t> </w:t>
            </w:r>
            <w:r w:rsidRPr="00B354D6">
              <w:rPr>
                <w:sz w:val="20"/>
                <w:szCs w:val="20"/>
                <w:lang w:val="lv-LV"/>
              </w:rPr>
              <w:t xml:space="preserve">decembrī. LIAA Biznesa inkubatorus finansē ES fondu 2014.-2020.gada plānošanas perioda darbības programmas </w:t>
            </w:r>
            <w:r w:rsidRPr="00B354D6">
              <w:rPr>
                <w:sz w:val="20"/>
                <w:szCs w:val="20"/>
                <w:lang w:val="lv-LV"/>
              </w:rPr>
              <w:lastRenderedPageBreak/>
              <w:t>"Izaugsme un nodarbinātība" 3.1.1.6.</w:t>
            </w:r>
            <w:r w:rsidR="004E6282" w:rsidRPr="00B354D6">
              <w:rPr>
                <w:sz w:val="20"/>
                <w:szCs w:val="20"/>
                <w:lang w:val="lv-LV"/>
              </w:rPr>
              <w:t> </w:t>
            </w:r>
            <w:r w:rsidRPr="00B354D6">
              <w:rPr>
                <w:sz w:val="20"/>
                <w:szCs w:val="20"/>
                <w:lang w:val="lv-LV"/>
              </w:rPr>
              <w:t xml:space="preserve">pasākuma </w:t>
            </w:r>
            <w:r w:rsidR="004E6282" w:rsidRPr="00B354D6">
              <w:rPr>
                <w:sz w:val="20"/>
                <w:szCs w:val="20"/>
                <w:lang w:val="lv-LV"/>
              </w:rPr>
              <w:t>“</w:t>
            </w:r>
            <w:r w:rsidRPr="00B354D6">
              <w:rPr>
                <w:sz w:val="20"/>
                <w:szCs w:val="20"/>
                <w:lang w:val="lv-LV"/>
              </w:rPr>
              <w:t>Reģionālie biznesa inkubatori un Radošo industriju inkubators</w:t>
            </w:r>
            <w:r w:rsidR="004E6282" w:rsidRPr="00B354D6">
              <w:rPr>
                <w:sz w:val="20"/>
                <w:szCs w:val="20"/>
                <w:lang w:val="lv-LV"/>
              </w:rPr>
              <w:t>”</w:t>
            </w:r>
            <w:r w:rsidRPr="00B354D6">
              <w:rPr>
                <w:sz w:val="20"/>
                <w:szCs w:val="20"/>
                <w:lang w:val="lv-LV"/>
              </w:rPr>
              <w:t xml:space="preserve"> ietvaros.</w:t>
            </w:r>
          </w:p>
          <w:p w14:paraId="68F469FD" w14:textId="77777777" w:rsidR="00FB033B" w:rsidRPr="00B354D6" w:rsidRDefault="00FB033B" w:rsidP="00743786">
            <w:pPr>
              <w:spacing w:before="0" w:after="120"/>
              <w:ind w:firstLine="0"/>
              <w:contextualSpacing/>
              <w:rPr>
                <w:sz w:val="20"/>
                <w:lang w:val="lv-LV"/>
              </w:rPr>
            </w:pPr>
          </w:p>
          <w:p w14:paraId="466FBCE3" w14:textId="19B8FDFC" w:rsidR="0075274A" w:rsidRPr="00B354D6" w:rsidRDefault="00743786" w:rsidP="00743786">
            <w:pPr>
              <w:spacing w:before="0" w:after="120"/>
              <w:ind w:firstLine="0"/>
              <w:contextualSpacing/>
              <w:rPr>
                <w:sz w:val="20"/>
                <w:lang w:val="lv-LV"/>
              </w:rPr>
            </w:pPr>
            <w:r w:rsidRPr="00B354D6">
              <w:rPr>
                <w:sz w:val="20"/>
                <w:lang w:val="lv-LV"/>
              </w:rPr>
              <w:t xml:space="preserve">2021. – 2027. gada plānošanas periodā ir izstrādāta programma 1.2.3.1. pasākuma "Atbalsts MVU inovatīvas uzņēmējdarbības attīstībai", kuras mērķis ir nodrošināt finansējuma pieejamību biznesa idejas īstenošanai un komercdarbības attīstībai Latvijā, veicinot aktivitātes, kas ir vērstas uz inovatīvo komersantu īpatsvara paaugstināšanu ekonomikā un sekmē komercdarbību, kas vērsta uz augstu pievienoto vērtību radīšanu vidēji augsto un augsto tehnoloģiju jomā un radošo industriju jomā, un veicina eksporta pieaugumu atbalstītajos uzņēmumos, un tādējādi sniedz ieguldījumu Latvijas Viedās specializācijas stratēģijas mērķu sasniegšanā. Atbalsts pieejams </w:t>
            </w:r>
            <w:proofErr w:type="spellStart"/>
            <w:r w:rsidRPr="00B354D6">
              <w:rPr>
                <w:sz w:val="20"/>
                <w:lang w:val="lv-LV"/>
              </w:rPr>
              <w:t>prototipēšanai</w:t>
            </w:r>
            <w:proofErr w:type="spellEnd"/>
            <w:r w:rsidRPr="00B354D6">
              <w:rPr>
                <w:sz w:val="20"/>
                <w:lang w:val="lv-LV"/>
              </w:rPr>
              <w:t xml:space="preserve">, materiālu, izejvielu un iekārtu iegādei, kā arī apmācībām, </w:t>
            </w:r>
            <w:proofErr w:type="spellStart"/>
            <w:r w:rsidRPr="00B354D6">
              <w:rPr>
                <w:sz w:val="20"/>
                <w:lang w:val="lv-LV"/>
              </w:rPr>
              <w:t>koprades</w:t>
            </w:r>
            <w:proofErr w:type="spellEnd"/>
            <w:r w:rsidRPr="00B354D6">
              <w:rPr>
                <w:sz w:val="20"/>
                <w:lang w:val="lv-LV"/>
              </w:rPr>
              <w:t xml:space="preserve"> telpām, dažādiem </w:t>
            </w:r>
            <w:proofErr w:type="spellStart"/>
            <w:r w:rsidRPr="00B354D6">
              <w:rPr>
                <w:sz w:val="20"/>
                <w:lang w:val="lv-LV"/>
              </w:rPr>
              <w:t>uznēmējdarbību</w:t>
            </w:r>
            <w:proofErr w:type="spellEnd"/>
            <w:r w:rsidRPr="00B354D6">
              <w:rPr>
                <w:sz w:val="20"/>
                <w:lang w:val="lv-LV"/>
              </w:rPr>
              <w:t xml:space="preserve"> veicinošiem pasākumiem. Programmā plānotas 22 LIAA pārstāvniecības, tajā skaitā tehnoloģiju un radošo industriju pārstāvniecība, kas nodrošinās biznesa inkubācijas pakalpojumus.</w:t>
            </w:r>
          </w:p>
        </w:tc>
      </w:tr>
      <w:tr w:rsidR="009440F0" w:rsidRPr="00550D35" w14:paraId="11000916" w14:textId="77777777" w:rsidTr="00BA62A0">
        <w:tc>
          <w:tcPr>
            <w:tcW w:w="3192" w:type="dxa"/>
            <w:shd w:val="clear" w:color="auto" w:fill="auto"/>
          </w:tcPr>
          <w:p w14:paraId="0206A814" w14:textId="174DE444" w:rsidR="009440F0" w:rsidRPr="00A304A2" w:rsidRDefault="009440F0" w:rsidP="00BA62A0">
            <w:pPr>
              <w:spacing w:before="120" w:after="120"/>
              <w:ind w:firstLine="0"/>
              <w:rPr>
                <w:b/>
                <w:bCs/>
                <w:sz w:val="20"/>
                <w:lang w:val="lv-LV"/>
              </w:rPr>
            </w:pPr>
            <w:r w:rsidRPr="00A304A2">
              <w:rPr>
                <w:b/>
                <w:bCs/>
                <w:sz w:val="20"/>
                <w:lang w:val="lv-LV"/>
              </w:rPr>
              <w:lastRenderedPageBreak/>
              <w:t>Piešķirtais vai plānotais budžets un, ja atbilstoši, citi resursi</w:t>
            </w:r>
          </w:p>
        </w:tc>
        <w:tc>
          <w:tcPr>
            <w:tcW w:w="5167" w:type="dxa"/>
            <w:shd w:val="clear" w:color="auto" w:fill="auto"/>
          </w:tcPr>
          <w:p w14:paraId="30F62048" w14:textId="773B7592" w:rsidR="00031259" w:rsidRPr="00B354D6" w:rsidRDefault="00031259" w:rsidP="00031259">
            <w:pPr>
              <w:ind w:firstLine="0"/>
              <w:rPr>
                <w:sz w:val="20"/>
                <w:lang w:val="lv-LV"/>
              </w:rPr>
            </w:pPr>
            <w:r w:rsidRPr="00B354D6">
              <w:rPr>
                <w:sz w:val="20"/>
                <w:lang w:val="lv-LV"/>
              </w:rPr>
              <w:t>2.1. ERAF finansējums - 32,6 milj.  </w:t>
            </w:r>
            <w:proofErr w:type="spellStart"/>
            <w:r w:rsidRPr="00B354D6">
              <w:rPr>
                <w:i/>
                <w:iCs/>
                <w:sz w:val="20"/>
                <w:lang w:val="lv-LV"/>
              </w:rPr>
              <w:t>euro</w:t>
            </w:r>
            <w:proofErr w:type="spellEnd"/>
            <w:r w:rsidRPr="00B354D6">
              <w:rPr>
                <w:sz w:val="20"/>
                <w:lang w:val="lv-LV"/>
              </w:rPr>
              <w:t>.</w:t>
            </w:r>
          </w:p>
          <w:p w14:paraId="1C4EAAED" w14:textId="53BACC40" w:rsidR="009440F0" w:rsidRPr="00B354D6" w:rsidRDefault="00031259" w:rsidP="00031259">
            <w:pPr>
              <w:ind w:firstLine="0"/>
              <w:rPr>
                <w:sz w:val="20"/>
                <w:lang w:val="lv-LV"/>
              </w:rPr>
            </w:pPr>
            <w:r w:rsidRPr="00B354D6">
              <w:rPr>
                <w:sz w:val="20"/>
                <w:lang w:val="lv-LV"/>
              </w:rPr>
              <w:t xml:space="preserve">2.2. ERAF finansējums – 33,0 milj. </w:t>
            </w:r>
            <w:proofErr w:type="spellStart"/>
            <w:r w:rsidRPr="00B354D6">
              <w:rPr>
                <w:i/>
                <w:iCs/>
                <w:sz w:val="20"/>
                <w:lang w:val="lv-LV"/>
              </w:rPr>
              <w:t>euro</w:t>
            </w:r>
            <w:proofErr w:type="spellEnd"/>
            <w:r w:rsidRPr="00B354D6">
              <w:rPr>
                <w:i/>
                <w:iCs/>
                <w:sz w:val="20"/>
                <w:lang w:val="lv-LV"/>
              </w:rPr>
              <w:t>.</w:t>
            </w:r>
          </w:p>
        </w:tc>
      </w:tr>
      <w:tr w:rsidR="009440F0" w:rsidRPr="003B2E9A" w14:paraId="15380FBB" w14:textId="77777777" w:rsidTr="00BA62A0">
        <w:tc>
          <w:tcPr>
            <w:tcW w:w="3192" w:type="dxa"/>
          </w:tcPr>
          <w:p w14:paraId="4969534E" w14:textId="77777777" w:rsidR="009440F0" w:rsidRPr="00A304A2" w:rsidRDefault="009440F0" w:rsidP="00BA62A0">
            <w:pPr>
              <w:spacing w:before="120" w:after="120"/>
              <w:ind w:firstLine="0"/>
              <w:rPr>
                <w:b/>
                <w:bCs/>
                <w:sz w:val="20"/>
                <w:lang w:val="lv-LV"/>
              </w:rPr>
            </w:pPr>
            <w:r w:rsidRPr="00A304A2">
              <w:rPr>
                <w:b/>
                <w:bCs/>
                <w:sz w:val="20"/>
                <w:lang w:val="lv-LV"/>
              </w:rPr>
              <w:t>Sagaidāmā ietekme un laika ietvars</w:t>
            </w:r>
          </w:p>
        </w:tc>
        <w:tc>
          <w:tcPr>
            <w:tcW w:w="5167" w:type="dxa"/>
          </w:tcPr>
          <w:p w14:paraId="2D0134A2" w14:textId="2DACAE2A" w:rsidR="00B354D6" w:rsidRPr="00B354D6" w:rsidRDefault="00B354D6" w:rsidP="00B354D6">
            <w:pPr>
              <w:pStyle w:val="NormalWeb"/>
              <w:spacing w:before="0" w:beforeAutospacing="0" w:after="0" w:afterAutospacing="0"/>
              <w:ind w:firstLine="0"/>
              <w:jc w:val="both"/>
              <w:rPr>
                <w:sz w:val="20"/>
                <w:szCs w:val="20"/>
                <w:lang w:val="lv-LV" w:eastAsia="en-US"/>
              </w:rPr>
            </w:pPr>
            <w:r w:rsidRPr="00B354D6">
              <w:rPr>
                <w:sz w:val="20"/>
                <w:szCs w:val="20"/>
                <w:lang w:val="lv-LV" w:eastAsia="en-US"/>
              </w:rPr>
              <w:t xml:space="preserve">2.1. Līdz 30.09.2023. kopumā Biznesa inkubatori ir atbalstījuši 1066 komersantus, no kuriem 686 ir saņēmuši </w:t>
            </w:r>
            <w:proofErr w:type="spellStart"/>
            <w:r w:rsidRPr="00B354D6">
              <w:rPr>
                <w:sz w:val="20"/>
                <w:szCs w:val="20"/>
                <w:lang w:val="lv-LV" w:eastAsia="en-US"/>
              </w:rPr>
              <w:t>grantus</w:t>
            </w:r>
            <w:proofErr w:type="spellEnd"/>
            <w:r w:rsidRPr="00B354D6">
              <w:rPr>
                <w:sz w:val="20"/>
                <w:szCs w:val="20"/>
                <w:lang w:val="lv-LV" w:eastAsia="en-US"/>
              </w:rPr>
              <w:t>. Izveidotas 2502 darba vietas, kā arī atbalstīti 92</w:t>
            </w:r>
            <w:r w:rsidR="00065CCC">
              <w:rPr>
                <w:sz w:val="20"/>
                <w:szCs w:val="20"/>
                <w:lang w:val="lv-LV" w:eastAsia="en-US"/>
              </w:rPr>
              <w:t> </w:t>
            </w:r>
            <w:r w:rsidRPr="00B354D6">
              <w:rPr>
                <w:sz w:val="20"/>
                <w:szCs w:val="20"/>
                <w:lang w:val="lv-LV" w:eastAsia="en-US"/>
              </w:rPr>
              <w:t xml:space="preserve">radošo industriju jomas komersanti. </w:t>
            </w:r>
          </w:p>
          <w:p w14:paraId="224D02AC" w14:textId="77777777" w:rsidR="00B354D6" w:rsidRPr="00B354D6" w:rsidRDefault="00B354D6" w:rsidP="00B354D6">
            <w:pPr>
              <w:pStyle w:val="NormalWeb"/>
              <w:spacing w:before="0" w:beforeAutospacing="0" w:after="0" w:afterAutospacing="0"/>
              <w:jc w:val="both"/>
              <w:rPr>
                <w:sz w:val="20"/>
                <w:szCs w:val="20"/>
                <w:lang w:val="lv-LV" w:eastAsia="en-US"/>
              </w:rPr>
            </w:pPr>
          </w:p>
          <w:p w14:paraId="1EA75A18" w14:textId="6648B16F" w:rsidR="009440F0" w:rsidRPr="00B354D6" w:rsidRDefault="00B354D6" w:rsidP="00B354D6">
            <w:pPr>
              <w:pStyle w:val="NormalWeb"/>
              <w:spacing w:before="0" w:beforeAutospacing="0" w:after="0" w:afterAutospacing="0"/>
              <w:ind w:firstLine="0"/>
              <w:jc w:val="both"/>
              <w:rPr>
                <w:rFonts w:eastAsiaTheme="minorHAnsi"/>
                <w:sz w:val="20"/>
                <w:szCs w:val="20"/>
                <w:lang w:val="lv-LV" w:eastAsia="en-US"/>
              </w:rPr>
            </w:pPr>
            <w:r w:rsidRPr="00B354D6">
              <w:rPr>
                <w:sz w:val="20"/>
                <w:szCs w:val="20"/>
                <w:lang w:val="lv-LV"/>
              </w:rPr>
              <w:t>2.2. Pasākuma ietvaros līdz 2029.gada 31. decembrim plānots atbalstīt 384 komersantus, attiecīgi tie izveidos 1000 jaunas darba vietas.</w:t>
            </w:r>
          </w:p>
        </w:tc>
      </w:tr>
      <w:tr w:rsidR="009440F0" w:rsidRPr="003B2E9A" w14:paraId="4320D68C" w14:textId="77777777" w:rsidTr="00BA62A0">
        <w:tc>
          <w:tcPr>
            <w:tcW w:w="8359" w:type="dxa"/>
            <w:gridSpan w:val="2"/>
          </w:tcPr>
          <w:p w14:paraId="22C03793" w14:textId="77777777" w:rsidR="009440F0" w:rsidRPr="00550D35" w:rsidRDefault="009440F0" w:rsidP="00BA62A0">
            <w:pPr>
              <w:spacing w:before="0" w:after="120"/>
              <w:ind w:firstLine="0"/>
              <w:contextualSpacing/>
              <w:jc w:val="left"/>
              <w:rPr>
                <w:b/>
                <w:bCs/>
                <w:sz w:val="20"/>
                <w:lang w:val="lv-LV"/>
              </w:rPr>
            </w:pPr>
          </w:p>
        </w:tc>
      </w:tr>
      <w:tr w:rsidR="009440F0" w:rsidRPr="003B2E9A" w14:paraId="1895CFDE" w14:textId="77777777" w:rsidTr="00BA62A0">
        <w:tc>
          <w:tcPr>
            <w:tcW w:w="8359" w:type="dxa"/>
            <w:gridSpan w:val="2"/>
          </w:tcPr>
          <w:p w14:paraId="5DD39206" w14:textId="79C0476A" w:rsidR="009440F0" w:rsidRPr="00DE2E9C" w:rsidRDefault="009440F0" w:rsidP="00BA62A0">
            <w:pPr>
              <w:spacing w:before="0" w:after="120"/>
              <w:ind w:firstLine="0"/>
              <w:contextualSpacing/>
              <w:jc w:val="left"/>
              <w:rPr>
                <w:rFonts w:eastAsia="Wingdings 2"/>
                <w:b/>
                <w:bCs/>
                <w:sz w:val="20"/>
                <w:lang w:val="lv-LV"/>
              </w:rPr>
            </w:pPr>
            <w:r w:rsidRPr="00DE2E9C">
              <w:rPr>
                <w:b/>
                <w:bCs/>
                <w:sz w:val="20"/>
                <w:lang w:val="lv-LV"/>
              </w:rPr>
              <w:t>3. pasākums –</w:t>
            </w:r>
            <w:r w:rsidR="00F00A49" w:rsidRPr="00DE2E9C">
              <w:rPr>
                <w:b/>
                <w:bCs/>
                <w:sz w:val="20"/>
                <w:lang w:val="lv-LV"/>
              </w:rPr>
              <w:t>ES kohēzijas politikas programmas 2021.–2027. gadam 1.2.3.2. pasākums “</w:t>
            </w:r>
            <w:proofErr w:type="spellStart"/>
            <w:r w:rsidRPr="00DE2E9C">
              <w:rPr>
                <w:b/>
                <w:bCs/>
                <w:sz w:val="20"/>
                <w:lang w:val="lv-LV"/>
              </w:rPr>
              <w:t>Iespējkapitāla</w:t>
            </w:r>
            <w:proofErr w:type="spellEnd"/>
            <w:r w:rsidRPr="00DE2E9C">
              <w:rPr>
                <w:b/>
                <w:bCs/>
                <w:sz w:val="20"/>
                <w:lang w:val="lv-LV"/>
              </w:rPr>
              <w:t xml:space="preserve"> ieguldījumi</w:t>
            </w:r>
            <w:r w:rsidR="00F00A49" w:rsidRPr="00DE2E9C">
              <w:rPr>
                <w:b/>
                <w:bCs/>
                <w:sz w:val="20"/>
                <w:lang w:val="lv-LV"/>
              </w:rPr>
              <w:t>”</w:t>
            </w:r>
            <w:r w:rsidRPr="00DE2E9C">
              <w:rPr>
                <w:b/>
                <w:bCs/>
                <w:sz w:val="20"/>
                <w:lang w:val="lv-LV"/>
              </w:rPr>
              <w:t xml:space="preserve"> </w:t>
            </w:r>
          </w:p>
        </w:tc>
      </w:tr>
      <w:tr w:rsidR="009440F0" w:rsidRPr="00550D35" w14:paraId="43F20A56" w14:textId="77777777" w:rsidTr="00BA62A0">
        <w:tc>
          <w:tcPr>
            <w:tcW w:w="3192" w:type="dxa"/>
          </w:tcPr>
          <w:p w14:paraId="46542967" w14:textId="77777777" w:rsidR="009440F0" w:rsidRPr="00550D35" w:rsidRDefault="009440F0" w:rsidP="00BA62A0">
            <w:pPr>
              <w:spacing w:before="120" w:after="120"/>
              <w:ind w:firstLine="0"/>
              <w:jc w:val="left"/>
              <w:rPr>
                <w:b/>
                <w:bCs/>
                <w:sz w:val="20"/>
                <w:lang w:val="lv-LV"/>
              </w:rPr>
            </w:pPr>
            <w:r w:rsidRPr="00550D35">
              <w:rPr>
                <w:b/>
                <w:bCs/>
                <w:sz w:val="20"/>
                <w:lang w:val="lv-LV"/>
              </w:rPr>
              <w:t>Jauns pasākums</w:t>
            </w:r>
          </w:p>
        </w:tc>
        <w:tc>
          <w:tcPr>
            <w:tcW w:w="5167" w:type="dxa"/>
          </w:tcPr>
          <w:p w14:paraId="25C51F46" w14:textId="77777777" w:rsidR="009440F0" w:rsidRPr="00550D35" w:rsidRDefault="00AC141D" w:rsidP="00BA62A0">
            <w:pPr>
              <w:spacing w:before="0" w:after="120"/>
              <w:ind w:firstLine="0"/>
              <w:contextualSpacing/>
              <w:jc w:val="left"/>
              <w:rPr>
                <w:rFonts w:ascii="MS Gothic" w:eastAsia="MS Gothic" w:hAnsi="MS Gothic" w:cs="Segoe UI Symbol"/>
                <w:sz w:val="20"/>
                <w:lang w:val="lv-LV"/>
              </w:rPr>
            </w:pPr>
            <w:sdt>
              <w:sdtPr>
                <w:rPr>
                  <w:rFonts w:eastAsia="Wingdings 2"/>
                  <w:sz w:val="20"/>
                  <w:lang w:val="lv-LV"/>
                </w:rPr>
                <w:id w:val="2044244789"/>
                <w14:checkbox>
                  <w14:checked w14:val="0"/>
                  <w14:checkedState w14:val="2612" w14:font="MS Gothic"/>
                  <w14:uncheckedState w14:val="2610" w14:font="MS Gothic"/>
                </w14:checkbox>
              </w:sdtPr>
              <w:sdtEndPr/>
              <w:sdtContent>
                <w:r w:rsidR="009440F0" w:rsidRPr="00550D35">
                  <w:rPr>
                    <w:rFonts w:ascii="Segoe UI Symbol" w:eastAsia="MS Gothic" w:hAnsi="Segoe UI Symbol" w:cs="Segoe UI Symbol"/>
                    <w:sz w:val="20"/>
                    <w:lang w:val="lv-LV"/>
                  </w:rPr>
                  <w:t>☐</w:t>
                </w:r>
              </w:sdtContent>
            </w:sdt>
            <w:r w:rsidR="009440F0" w:rsidRPr="00550D35">
              <w:rPr>
                <w:rFonts w:eastAsia="MS Minngs"/>
                <w:sz w:val="20"/>
                <w:lang w:val="lv-LV"/>
              </w:rPr>
              <w:t xml:space="preserve"> jā</w:t>
            </w:r>
            <w:r w:rsidR="009440F0" w:rsidRPr="00550D35" w:rsidDel="00B85D77">
              <w:rPr>
                <w:rFonts w:eastAsia="Wingdings 2"/>
                <w:sz w:val="20"/>
                <w:lang w:val="lv-LV"/>
              </w:rPr>
              <w:t xml:space="preserve"> </w:t>
            </w:r>
          </w:p>
          <w:p w14:paraId="164D8584" w14:textId="77777777" w:rsidR="009440F0" w:rsidRPr="00550D35" w:rsidRDefault="00AC141D" w:rsidP="00BA62A0">
            <w:pPr>
              <w:spacing w:before="0" w:after="120"/>
              <w:ind w:firstLine="0"/>
              <w:contextualSpacing/>
              <w:jc w:val="left"/>
              <w:rPr>
                <w:sz w:val="20"/>
                <w:lang w:val="lv-LV"/>
              </w:rPr>
            </w:pPr>
            <w:sdt>
              <w:sdtPr>
                <w:rPr>
                  <w:rFonts w:eastAsia="Wingdings 2"/>
                  <w:sz w:val="20"/>
                  <w:lang w:val="lv-LV"/>
                </w:rPr>
                <w:id w:val="1818307903"/>
                <w14:checkbox>
                  <w14:checked w14:val="1"/>
                  <w14:checkedState w14:val="2612" w14:font="MS Gothic"/>
                  <w14:uncheckedState w14:val="2610" w14:font="MS Gothic"/>
                </w14:checkbox>
              </w:sdtPr>
              <w:sdtEndPr/>
              <w:sdtContent>
                <w:r w:rsidR="009440F0" w:rsidRPr="00550D35">
                  <w:rPr>
                    <w:rFonts w:ascii="MS Gothic" w:eastAsia="MS Gothic" w:hAnsi="MS Gothic"/>
                    <w:sz w:val="20"/>
                    <w:lang w:val="lv-LV"/>
                  </w:rPr>
                  <w:t>☒</w:t>
                </w:r>
              </w:sdtContent>
            </w:sdt>
            <w:r w:rsidR="009440F0" w:rsidRPr="00550D35">
              <w:rPr>
                <w:rFonts w:eastAsia="MS Minngs"/>
                <w:sz w:val="20"/>
                <w:lang w:val="lv-LV"/>
              </w:rPr>
              <w:t xml:space="preserve"> nē</w:t>
            </w:r>
          </w:p>
          <w:p w14:paraId="3707DE90" w14:textId="77777777" w:rsidR="009440F0" w:rsidRPr="00550D35" w:rsidRDefault="009440F0" w:rsidP="00BA62A0">
            <w:pPr>
              <w:spacing w:before="0" w:after="0"/>
              <w:ind w:left="720" w:firstLine="0"/>
              <w:contextualSpacing/>
              <w:jc w:val="left"/>
              <w:rPr>
                <w:rFonts w:eastAsiaTheme="minorHAnsi"/>
                <w:sz w:val="20"/>
                <w:lang w:val="lv-LV" w:eastAsia="en-US"/>
              </w:rPr>
            </w:pPr>
          </w:p>
        </w:tc>
      </w:tr>
      <w:tr w:rsidR="009440F0" w:rsidRPr="003B2E9A" w14:paraId="09BE0DCE" w14:textId="77777777" w:rsidTr="00BA62A0">
        <w:tc>
          <w:tcPr>
            <w:tcW w:w="3192" w:type="dxa"/>
          </w:tcPr>
          <w:p w14:paraId="37835EC8" w14:textId="77777777" w:rsidR="009440F0" w:rsidRPr="00550D35" w:rsidRDefault="009440F0" w:rsidP="00BA62A0">
            <w:pPr>
              <w:spacing w:before="120" w:after="120"/>
              <w:ind w:firstLine="0"/>
              <w:rPr>
                <w:b/>
                <w:bCs/>
                <w:sz w:val="20"/>
                <w:lang w:val="lv-LV"/>
              </w:rPr>
            </w:pPr>
            <w:r w:rsidRPr="00550D35">
              <w:rPr>
                <w:b/>
                <w:bCs/>
                <w:sz w:val="20"/>
                <w:lang w:val="lv-LV"/>
              </w:rPr>
              <w:t>Īss pasākuma apraksts</w:t>
            </w:r>
          </w:p>
        </w:tc>
        <w:tc>
          <w:tcPr>
            <w:tcW w:w="5167" w:type="dxa"/>
          </w:tcPr>
          <w:p w14:paraId="45D7FAD1" w14:textId="77777777" w:rsidR="009440F0" w:rsidRPr="00550D35" w:rsidRDefault="009440F0" w:rsidP="00BA62A0">
            <w:pPr>
              <w:spacing w:before="0"/>
              <w:ind w:firstLine="0"/>
              <w:rPr>
                <w:sz w:val="20"/>
                <w:lang w:val="lv-LV"/>
              </w:rPr>
            </w:pPr>
            <w:r w:rsidRPr="0084229A">
              <w:rPr>
                <w:sz w:val="20"/>
                <w:lang w:val="lv-LV"/>
              </w:rPr>
              <w:t xml:space="preserve">2014. – 2020. gada ES finanšu plānošanas periodā </w:t>
            </w:r>
            <w:proofErr w:type="spellStart"/>
            <w:r w:rsidRPr="0084229A">
              <w:rPr>
                <w:sz w:val="20"/>
                <w:lang w:val="lv-LV"/>
              </w:rPr>
              <w:t>Altum</w:t>
            </w:r>
            <w:proofErr w:type="spellEnd"/>
            <w:r w:rsidRPr="0084229A">
              <w:rPr>
                <w:sz w:val="20"/>
                <w:lang w:val="lv-LV"/>
              </w:rPr>
              <w:t xml:space="preserve"> piedāvā akcelerācijas fondu programmas inovatīvu </w:t>
            </w:r>
            <w:proofErr w:type="spellStart"/>
            <w:r w:rsidRPr="0084229A">
              <w:rPr>
                <w:sz w:val="20"/>
                <w:lang w:val="lv-LV"/>
              </w:rPr>
              <w:t>jaunuzņēmumu</w:t>
            </w:r>
            <w:proofErr w:type="spellEnd"/>
            <w:r w:rsidRPr="0084229A">
              <w:rPr>
                <w:sz w:val="20"/>
                <w:lang w:val="lv-LV"/>
              </w:rPr>
              <w:t xml:space="preserve"> izveidei un attīstībai. Programmas ietvaros tiek piešķirts atbalsts biznesa idejas, uzņēmuma un produkta izveidei un attīstībai, nodrošinot programmas dalībniekus ar </w:t>
            </w:r>
            <w:proofErr w:type="spellStart"/>
            <w:r w:rsidRPr="0084229A">
              <w:rPr>
                <w:sz w:val="20"/>
                <w:lang w:val="lv-LV"/>
              </w:rPr>
              <w:t>mentoringu</w:t>
            </w:r>
            <w:proofErr w:type="spellEnd"/>
            <w:r w:rsidRPr="0084229A">
              <w:rPr>
                <w:sz w:val="20"/>
                <w:lang w:val="lv-LV"/>
              </w:rPr>
              <w:t>, atbalstu nozares ekspertu, pircēju, piegādāju, partneru un nākamo investoru piesaisti.</w:t>
            </w:r>
          </w:p>
        </w:tc>
      </w:tr>
      <w:tr w:rsidR="009440F0" w:rsidRPr="003B2E9A" w14:paraId="0F7B5BD3" w14:textId="77777777" w:rsidTr="00BA62A0">
        <w:tc>
          <w:tcPr>
            <w:tcW w:w="3192" w:type="dxa"/>
            <w:shd w:val="clear" w:color="auto" w:fill="auto"/>
          </w:tcPr>
          <w:p w14:paraId="5B243E33" w14:textId="4587028B" w:rsidR="009440F0" w:rsidRPr="00550D35" w:rsidRDefault="009440F0" w:rsidP="00BA62A0">
            <w:pPr>
              <w:spacing w:before="120" w:after="120"/>
              <w:ind w:firstLine="0"/>
              <w:rPr>
                <w:b/>
                <w:bCs/>
                <w:sz w:val="20"/>
                <w:lang w:val="lv-LV"/>
              </w:rPr>
            </w:pPr>
            <w:r w:rsidRPr="00550D35">
              <w:rPr>
                <w:b/>
                <w:bCs/>
                <w:sz w:val="20"/>
                <w:lang w:val="lv-LV"/>
              </w:rPr>
              <w:t>Piešķirtais vai plānotais budžets un, ja atbilstoši, citi resursi</w:t>
            </w:r>
          </w:p>
        </w:tc>
        <w:tc>
          <w:tcPr>
            <w:tcW w:w="5167" w:type="dxa"/>
            <w:shd w:val="clear" w:color="auto" w:fill="auto"/>
          </w:tcPr>
          <w:p w14:paraId="1873045E" w14:textId="79CBFDA5" w:rsidR="009440F0" w:rsidRPr="006D34CA" w:rsidRDefault="009440F0" w:rsidP="00BA62A0">
            <w:pPr>
              <w:spacing w:before="0" w:after="120"/>
              <w:ind w:firstLine="0"/>
              <w:contextualSpacing/>
              <w:jc w:val="left"/>
              <w:rPr>
                <w:sz w:val="20"/>
                <w:lang w:val="lv-LV"/>
              </w:rPr>
            </w:pPr>
            <w:r w:rsidRPr="00014FCC">
              <w:rPr>
                <w:sz w:val="20"/>
                <w:lang w:val="lv-LV"/>
              </w:rPr>
              <w:t>Programmas īstenošanai kopumā maksimālais pieejamais publiskais finansējums 93</w:t>
            </w:r>
            <w:r w:rsidR="00041091">
              <w:rPr>
                <w:sz w:val="20"/>
                <w:lang w:val="lv-LV"/>
              </w:rPr>
              <w:t>,0</w:t>
            </w:r>
            <w:r w:rsidRPr="00014FCC">
              <w:rPr>
                <w:sz w:val="20"/>
                <w:lang w:val="lv-LV"/>
              </w:rPr>
              <w:t> milj. </w:t>
            </w:r>
            <w:proofErr w:type="spellStart"/>
            <w:r w:rsidRPr="00980245">
              <w:rPr>
                <w:i/>
                <w:iCs/>
                <w:sz w:val="20"/>
                <w:lang w:val="lv-LV"/>
              </w:rPr>
              <w:t>euro</w:t>
            </w:r>
            <w:proofErr w:type="spellEnd"/>
            <w:r w:rsidR="00E22E00">
              <w:rPr>
                <w:i/>
                <w:iCs/>
                <w:sz w:val="20"/>
                <w:lang w:val="lv-LV"/>
              </w:rPr>
              <w:t xml:space="preserve">, </w:t>
            </w:r>
            <w:r w:rsidR="00E22E00" w:rsidRPr="007D2FDA">
              <w:rPr>
                <w:sz w:val="20"/>
                <w:lang w:val="lv-LV"/>
              </w:rPr>
              <w:t>plānots</w:t>
            </w:r>
            <w:r w:rsidR="00E22E00" w:rsidRPr="007D2FDA">
              <w:rPr>
                <w:i/>
                <w:iCs/>
                <w:sz w:val="20"/>
                <w:lang w:val="lv-LV"/>
              </w:rPr>
              <w:t xml:space="preserve"> </w:t>
            </w:r>
            <w:r w:rsidR="00E22E00" w:rsidRPr="007D2FDA">
              <w:rPr>
                <w:sz w:val="20"/>
                <w:lang w:val="lv-LV"/>
              </w:rPr>
              <w:t>piesaistīt privātās investīcijas 31,6 milj. </w:t>
            </w:r>
            <w:proofErr w:type="spellStart"/>
            <w:r w:rsidR="00E22E00" w:rsidRPr="007D2FDA">
              <w:rPr>
                <w:i/>
                <w:sz w:val="20"/>
                <w:lang w:val="lv-LV"/>
              </w:rPr>
              <w:t>euro</w:t>
            </w:r>
            <w:proofErr w:type="spellEnd"/>
            <w:r w:rsidR="00E22E00" w:rsidRPr="007D2FDA">
              <w:rPr>
                <w:sz w:val="20"/>
                <w:lang w:val="lv-LV"/>
              </w:rPr>
              <w:t xml:space="preserve"> apmērā.</w:t>
            </w:r>
          </w:p>
        </w:tc>
      </w:tr>
      <w:tr w:rsidR="009440F0" w:rsidRPr="003B2E9A" w14:paraId="2F70D56D" w14:textId="77777777" w:rsidTr="00BA62A0">
        <w:tc>
          <w:tcPr>
            <w:tcW w:w="3192" w:type="dxa"/>
          </w:tcPr>
          <w:p w14:paraId="0A7E60AF" w14:textId="77777777" w:rsidR="009440F0" w:rsidRPr="00550D35" w:rsidRDefault="009440F0" w:rsidP="00BA62A0">
            <w:pPr>
              <w:spacing w:before="120" w:after="120"/>
              <w:ind w:firstLine="0"/>
              <w:rPr>
                <w:b/>
                <w:bCs/>
                <w:sz w:val="20"/>
                <w:lang w:val="lv-LV"/>
              </w:rPr>
            </w:pPr>
            <w:r w:rsidRPr="00550D35">
              <w:rPr>
                <w:b/>
                <w:bCs/>
                <w:sz w:val="20"/>
                <w:lang w:val="lv-LV"/>
              </w:rPr>
              <w:t>Sagaidāmā ietekme un laika ietvars</w:t>
            </w:r>
          </w:p>
        </w:tc>
        <w:tc>
          <w:tcPr>
            <w:tcW w:w="5167" w:type="dxa"/>
          </w:tcPr>
          <w:p w14:paraId="67BCB170" w14:textId="4435C0A2" w:rsidR="009440F0" w:rsidRPr="00E22E00" w:rsidRDefault="009440F0" w:rsidP="000D098A">
            <w:pPr>
              <w:ind w:firstLine="0"/>
              <w:rPr>
                <w:rFonts w:eastAsiaTheme="minorHAnsi"/>
                <w:sz w:val="20"/>
                <w:lang w:val="lv-LV" w:eastAsia="en-US"/>
              </w:rPr>
            </w:pPr>
            <w:r w:rsidRPr="00E22E00">
              <w:rPr>
                <w:rFonts w:eastAsiaTheme="minorHAnsi"/>
                <w:sz w:val="20"/>
                <w:lang w:val="lv-LV" w:eastAsia="en-US"/>
              </w:rPr>
              <w:t>2014. – 2020. gada ES finanšu plānošanas periodā akcelerācijas fondi ir veikuši ieguldījumus 24 uzņēmumos kopsummā par 1,6 milj. </w:t>
            </w:r>
            <w:proofErr w:type="spellStart"/>
            <w:r w:rsidRPr="00E22E00">
              <w:rPr>
                <w:rFonts w:eastAsiaTheme="minorHAnsi"/>
                <w:i/>
                <w:iCs/>
                <w:sz w:val="20"/>
                <w:lang w:val="lv-LV" w:eastAsia="en-US"/>
              </w:rPr>
              <w:t>euro</w:t>
            </w:r>
            <w:proofErr w:type="spellEnd"/>
            <w:r w:rsidRPr="00E22E00">
              <w:rPr>
                <w:rFonts w:eastAsiaTheme="minorHAnsi"/>
                <w:sz w:val="20"/>
                <w:lang w:val="lv-LV" w:eastAsia="en-US"/>
              </w:rPr>
              <w:t>.</w:t>
            </w:r>
            <w:r w:rsidR="00FB74CC" w:rsidRPr="00E22E00">
              <w:rPr>
                <w:rFonts w:eastAsiaTheme="minorHAnsi"/>
                <w:sz w:val="20"/>
                <w:lang w:val="lv-LV" w:eastAsia="en-US"/>
              </w:rPr>
              <w:t xml:space="preserve"> </w:t>
            </w:r>
            <w:r w:rsidRPr="00E22E00">
              <w:rPr>
                <w:rFonts w:eastAsiaTheme="minorHAnsi"/>
                <w:sz w:val="20"/>
                <w:lang w:val="lv-LV" w:eastAsia="en-US"/>
              </w:rPr>
              <w:t>Sākuma un izaugsmes fondi veica ieguldījumus uzņēmumos 9 milj.  </w:t>
            </w:r>
            <w:proofErr w:type="spellStart"/>
            <w:r w:rsidRPr="00E22E00">
              <w:rPr>
                <w:rFonts w:eastAsiaTheme="minorHAnsi"/>
                <w:i/>
                <w:sz w:val="20"/>
                <w:lang w:val="lv-LV" w:eastAsia="en-US"/>
              </w:rPr>
              <w:t>euro</w:t>
            </w:r>
            <w:proofErr w:type="spellEnd"/>
            <w:r w:rsidRPr="00E22E00">
              <w:rPr>
                <w:rFonts w:eastAsiaTheme="minorHAnsi"/>
                <w:sz w:val="20"/>
                <w:lang w:val="lv-LV" w:eastAsia="en-US"/>
              </w:rPr>
              <w:t>, piesaistot  privāto līdzfinansējumu 2 milj. </w:t>
            </w:r>
            <w:proofErr w:type="spellStart"/>
            <w:r w:rsidRPr="00E22E00">
              <w:rPr>
                <w:rFonts w:eastAsiaTheme="minorHAnsi"/>
                <w:i/>
                <w:sz w:val="20"/>
                <w:lang w:val="lv-LV" w:eastAsia="en-US"/>
              </w:rPr>
              <w:t>euro</w:t>
            </w:r>
            <w:proofErr w:type="spellEnd"/>
            <w:r w:rsidRPr="00E22E00">
              <w:rPr>
                <w:rFonts w:eastAsiaTheme="minorHAnsi"/>
                <w:sz w:val="20"/>
                <w:lang w:val="lv-LV" w:eastAsia="en-US"/>
              </w:rPr>
              <w:t xml:space="preserve"> apmērā.</w:t>
            </w:r>
          </w:p>
          <w:p w14:paraId="4CF00807" w14:textId="4B2C2A51" w:rsidR="00546187" w:rsidRPr="002A32C3" w:rsidRDefault="009440F0" w:rsidP="00BA62A0">
            <w:pPr>
              <w:pStyle w:val="NormalWeb"/>
              <w:spacing w:before="0" w:beforeAutospacing="0" w:after="0" w:afterAutospacing="0"/>
              <w:ind w:firstLine="0"/>
              <w:rPr>
                <w:sz w:val="20"/>
                <w:szCs w:val="20"/>
                <w:highlight w:val="yellow"/>
                <w:lang w:val="lv-LV"/>
              </w:rPr>
            </w:pPr>
            <w:r w:rsidRPr="00E22E00">
              <w:rPr>
                <w:sz w:val="20"/>
                <w:lang w:val="lv-LV"/>
              </w:rPr>
              <w:t>2021. – 2027. gada plānošanas periodā p</w:t>
            </w:r>
            <w:r w:rsidRPr="00E22E00">
              <w:rPr>
                <w:sz w:val="20"/>
                <w:szCs w:val="20"/>
                <w:lang w:val="lv-LV"/>
              </w:rPr>
              <w:t xml:space="preserve">rogrammas ietvaros ir paredzēts atbalstīt </w:t>
            </w:r>
            <w:r w:rsidR="00B57140" w:rsidRPr="00E22E00">
              <w:rPr>
                <w:sz w:val="20"/>
                <w:szCs w:val="20"/>
                <w:lang w:val="lv-LV"/>
              </w:rPr>
              <w:t>80</w:t>
            </w:r>
            <w:r w:rsidRPr="00E22E00">
              <w:rPr>
                <w:sz w:val="20"/>
                <w:szCs w:val="20"/>
                <w:lang w:val="lv-LV"/>
              </w:rPr>
              <w:t xml:space="preserve"> uzņēmumus</w:t>
            </w:r>
            <w:r w:rsidR="002A32C3" w:rsidRPr="00E22E00">
              <w:rPr>
                <w:sz w:val="20"/>
                <w:szCs w:val="20"/>
                <w:lang w:val="lv-LV"/>
              </w:rPr>
              <w:t>,</w:t>
            </w:r>
            <w:r w:rsidR="00B57140" w:rsidRPr="00E22E00">
              <w:rPr>
                <w:sz w:val="20"/>
                <w:szCs w:val="20"/>
                <w:lang w:val="lv-LV"/>
              </w:rPr>
              <w:t xml:space="preserve"> </w:t>
            </w:r>
            <w:r w:rsidR="002A32C3" w:rsidRPr="00E22E00">
              <w:rPr>
                <w:sz w:val="20"/>
                <w:szCs w:val="20"/>
                <w:lang w:val="lv-LV"/>
              </w:rPr>
              <w:t xml:space="preserve">45 </w:t>
            </w:r>
            <w:proofErr w:type="spellStart"/>
            <w:r w:rsidRPr="00E22E00">
              <w:rPr>
                <w:sz w:val="20"/>
                <w:szCs w:val="20"/>
                <w:lang w:val="lv-LV"/>
              </w:rPr>
              <w:t>jaunuzņēmumus</w:t>
            </w:r>
            <w:proofErr w:type="spellEnd"/>
            <w:r w:rsidR="00E22E00" w:rsidRPr="00E22E00">
              <w:rPr>
                <w:sz w:val="20"/>
                <w:szCs w:val="20"/>
                <w:lang w:val="lv-LV"/>
              </w:rPr>
              <w:t>.</w:t>
            </w:r>
          </w:p>
        </w:tc>
      </w:tr>
    </w:tbl>
    <w:p w14:paraId="16B88B1F" w14:textId="77777777" w:rsidR="009440F0" w:rsidRPr="00550D35" w:rsidRDefault="009440F0" w:rsidP="009440F0">
      <w:pPr>
        <w:pStyle w:val="Text3"/>
        <w:ind w:left="0" w:firstLine="0"/>
        <w:rPr>
          <w:lang w:val="lv-LV"/>
        </w:rPr>
      </w:pPr>
    </w:p>
    <w:p w14:paraId="40BDD38B" w14:textId="77777777" w:rsidR="009440F0" w:rsidRPr="00550D35" w:rsidRDefault="009440F0" w:rsidP="009440F0">
      <w:pPr>
        <w:pStyle w:val="Heading2"/>
        <w:rPr>
          <w:lang w:val="lv-LV"/>
        </w:rPr>
      </w:pPr>
      <w:r w:rsidRPr="00550D35">
        <w:rPr>
          <w:lang w:val="lv-LV"/>
        </w:rPr>
        <w:lastRenderedPageBreak/>
        <w:t>Galvenā politika, pasākumi un darbības, kas paredzēti, lai palīdzētu sasniegt vispārīgos mērķus</w:t>
      </w:r>
    </w:p>
    <w:p w14:paraId="4D694693" w14:textId="77777777" w:rsidR="009440F0" w:rsidRDefault="009440F0" w:rsidP="009440F0">
      <w:pPr>
        <w:rPr>
          <w:lang w:val="lv-LV"/>
        </w:rPr>
      </w:pPr>
      <w:r w:rsidRPr="00550D35">
        <w:rPr>
          <w:lang w:val="lv-LV"/>
        </w:rPr>
        <w:t xml:space="preserve">Īstenojamie pasākumi un darbības KPI “Vienradži” jomā sniedz ieguldījumu digitālo spēju izvēršanā un izmantošanā, lai panāktu augstu digitālās intensitātes un inovācijas līmeni ES uzņēmumos, jo īpaši </w:t>
      </w:r>
      <w:proofErr w:type="spellStart"/>
      <w:r w:rsidRPr="00550D35">
        <w:rPr>
          <w:lang w:val="lv-LV"/>
        </w:rPr>
        <w:t>jaunuzņēmumos</w:t>
      </w:r>
      <w:proofErr w:type="spellEnd"/>
      <w:r w:rsidRPr="00550D35">
        <w:rPr>
          <w:lang w:val="lv-LV"/>
        </w:rPr>
        <w:t xml:space="preserve"> un MVU, tā veicinot ES līderību un suverenitāti.</w:t>
      </w:r>
    </w:p>
    <w:p w14:paraId="5AC54F64" w14:textId="1D889845" w:rsidR="009440F0" w:rsidRPr="00945935" w:rsidRDefault="009440F0" w:rsidP="009440F0">
      <w:pPr>
        <w:rPr>
          <w:lang w:val="lv-LV"/>
        </w:rPr>
      </w:pPr>
      <w:r w:rsidRPr="000151D1">
        <w:rPr>
          <w:shd w:val="clear" w:color="auto" w:fill="FFFFFF"/>
          <w:lang w:val="lv-LV"/>
        </w:rPr>
        <w:t>2021. – 2027. gada Eiropas Savienības finanšu plānošanas periodā ir izstrādāt</w:t>
      </w:r>
      <w:r>
        <w:rPr>
          <w:shd w:val="clear" w:color="auto" w:fill="FFFFFF"/>
          <w:lang w:val="lv-LV"/>
        </w:rPr>
        <w:t>i</w:t>
      </w:r>
      <w:r w:rsidRPr="000151D1">
        <w:rPr>
          <w:shd w:val="clear" w:color="auto" w:fill="FFFFFF"/>
          <w:lang w:val="lv-LV"/>
        </w:rPr>
        <w:t xml:space="preserve"> un apstiprināti programmas "</w:t>
      </w:r>
      <w:proofErr w:type="spellStart"/>
      <w:r w:rsidRPr="000151D1">
        <w:rPr>
          <w:shd w:val="clear" w:color="auto" w:fill="FFFFFF"/>
          <w:lang w:val="lv-LV"/>
        </w:rPr>
        <w:t>Iespējkapitāla</w:t>
      </w:r>
      <w:proofErr w:type="spellEnd"/>
      <w:r w:rsidRPr="000151D1">
        <w:rPr>
          <w:shd w:val="clear" w:color="auto" w:fill="FFFFFF"/>
          <w:lang w:val="lv-LV"/>
        </w:rPr>
        <w:t xml:space="preserve"> ieguldījumi" īstenošanas noteikumi (</w:t>
      </w:r>
      <w:r w:rsidR="00BD6167">
        <w:rPr>
          <w:shd w:val="clear" w:color="auto" w:fill="FFFFFF"/>
          <w:lang w:val="lv-LV"/>
        </w:rPr>
        <w:t>MK</w:t>
      </w:r>
      <w:r w:rsidRPr="000151D1">
        <w:rPr>
          <w:shd w:val="clear" w:color="auto" w:fill="FFFFFF"/>
          <w:lang w:val="lv-LV"/>
        </w:rPr>
        <w:t xml:space="preserve"> 2023.gada 15.augusta noteikumi Nr. 463 “Programmas "</w:t>
      </w:r>
      <w:proofErr w:type="spellStart"/>
      <w:r w:rsidRPr="000151D1">
        <w:rPr>
          <w:shd w:val="clear" w:color="auto" w:fill="FFFFFF"/>
          <w:lang w:val="lv-LV"/>
        </w:rPr>
        <w:t>Iespējkapitāla</w:t>
      </w:r>
      <w:proofErr w:type="spellEnd"/>
      <w:r w:rsidRPr="000151D1">
        <w:rPr>
          <w:shd w:val="clear" w:color="auto" w:fill="FFFFFF"/>
          <w:lang w:val="lv-LV"/>
        </w:rPr>
        <w:t xml:space="preserve"> ieguldījumi" īstenošanas noteikumi”). Programmas īstenošanai kopumā maksimālais pieejam</w:t>
      </w:r>
      <w:r>
        <w:rPr>
          <w:shd w:val="clear" w:color="auto" w:fill="FFFFFF"/>
          <w:lang w:val="lv-LV"/>
        </w:rPr>
        <w:t>ai</w:t>
      </w:r>
      <w:r w:rsidRPr="000151D1">
        <w:rPr>
          <w:shd w:val="clear" w:color="auto" w:fill="FFFFFF"/>
          <w:lang w:val="lv-LV"/>
        </w:rPr>
        <w:t xml:space="preserve">s publiskais finansējums </w:t>
      </w:r>
      <w:r>
        <w:rPr>
          <w:shd w:val="clear" w:color="auto" w:fill="FFFFFF"/>
          <w:lang w:val="lv-LV"/>
        </w:rPr>
        <w:t xml:space="preserve">ir </w:t>
      </w:r>
      <w:r w:rsidRPr="000151D1">
        <w:rPr>
          <w:shd w:val="clear" w:color="auto" w:fill="FFFFFF"/>
          <w:lang w:val="lv-LV"/>
        </w:rPr>
        <w:t>93</w:t>
      </w:r>
      <w:r>
        <w:rPr>
          <w:shd w:val="clear" w:color="auto" w:fill="FFFFFF"/>
          <w:lang w:val="lv-LV"/>
        </w:rPr>
        <w:t> milj. </w:t>
      </w:r>
      <w:proofErr w:type="spellStart"/>
      <w:r w:rsidRPr="000151D1">
        <w:rPr>
          <w:i/>
          <w:iCs/>
          <w:shd w:val="clear" w:color="auto" w:fill="FFFFFF"/>
          <w:lang w:val="lv-LV"/>
        </w:rPr>
        <w:t>euro</w:t>
      </w:r>
      <w:proofErr w:type="spellEnd"/>
      <w:r w:rsidRPr="000151D1">
        <w:rPr>
          <w:shd w:val="clear" w:color="auto" w:fill="FFFFFF"/>
          <w:lang w:val="lv-LV"/>
        </w:rPr>
        <w:t>.</w:t>
      </w:r>
    </w:p>
    <w:p w14:paraId="5E838EEF" w14:textId="77777777" w:rsidR="009440F0" w:rsidRPr="00550D35" w:rsidRDefault="009440F0" w:rsidP="009440F0">
      <w:pPr>
        <w:rPr>
          <w:rStyle w:val="Strong"/>
          <w:b w:val="0"/>
          <w:bCs w:val="0"/>
          <w:color w:val="212529"/>
          <w:szCs w:val="24"/>
          <w:shd w:val="clear" w:color="auto" w:fill="FFFFFF"/>
          <w:lang w:val="lv-LV"/>
        </w:rPr>
      </w:pPr>
      <w:r w:rsidRPr="00550D35">
        <w:rPr>
          <w:shd w:val="clear" w:color="auto" w:fill="FFFFFF"/>
          <w:lang w:val="lv-LV"/>
        </w:rPr>
        <w:t xml:space="preserve">Lai veicinātu </w:t>
      </w:r>
      <w:proofErr w:type="spellStart"/>
      <w:r w:rsidRPr="00550D35">
        <w:rPr>
          <w:shd w:val="clear" w:color="auto" w:fill="FFFFFF"/>
          <w:lang w:val="lv-LV"/>
        </w:rPr>
        <w:t>jaunuzņēmumu</w:t>
      </w:r>
      <w:proofErr w:type="spellEnd"/>
      <w:r w:rsidRPr="00550D35">
        <w:rPr>
          <w:shd w:val="clear" w:color="auto" w:fill="FFFFFF"/>
          <w:lang w:val="lv-LV"/>
        </w:rPr>
        <w:t xml:space="preserve"> attīstībai labvēlīgu vidi, </w:t>
      </w:r>
      <w:r w:rsidRPr="00550D35">
        <w:rPr>
          <w:rStyle w:val="Strong"/>
          <w:b w:val="0"/>
          <w:bCs w:val="0"/>
          <w:color w:val="212529"/>
          <w:szCs w:val="24"/>
          <w:shd w:val="clear" w:color="auto" w:fill="FFFFFF"/>
          <w:lang w:val="lv-LV"/>
        </w:rPr>
        <w:t xml:space="preserve">EM, LIAA, ALTUM un Latvijā darbojošās </w:t>
      </w:r>
      <w:proofErr w:type="spellStart"/>
      <w:r w:rsidRPr="00550D35">
        <w:rPr>
          <w:rStyle w:val="Strong"/>
          <w:b w:val="0"/>
          <w:bCs w:val="0"/>
          <w:color w:val="212529"/>
          <w:szCs w:val="24"/>
          <w:shd w:val="clear" w:color="auto" w:fill="FFFFFF"/>
          <w:lang w:val="lv-LV"/>
        </w:rPr>
        <w:t>jaunuzņēmumu</w:t>
      </w:r>
      <w:proofErr w:type="spellEnd"/>
      <w:r w:rsidRPr="00550D35">
        <w:rPr>
          <w:rStyle w:val="Strong"/>
          <w:b w:val="0"/>
          <w:bCs w:val="0"/>
          <w:color w:val="212529"/>
          <w:szCs w:val="24"/>
          <w:shd w:val="clear" w:color="auto" w:fill="FFFFFF"/>
          <w:lang w:val="lv-LV"/>
        </w:rPr>
        <w:t xml:space="preserve"> intereses pārstāvošas organizācijas - nodibinājums “</w:t>
      </w:r>
      <w:proofErr w:type="spellStart"/>
      <w:r w:rsidRPr="00550D35">
        <w:rPr>
          <w:rStyle w:val="Strong"/>
          <w:b w:val="0"/>
          <w:bCs w:val="0"/>
          <w:color w:val="212529"/>
          <w:szCs w:val="24"/>
          <w:shd w:val="clear" w:color="auto" w:fill="FFFFFF"/>
          <w:lang w:val="lv-LV"/>
        </w:rPr>
        <w:t>TechChill</w:t>
      </w:r>
      <w:proofErr w:type="spellEnd"/>
      <w:r w:rsidRPr="00550D35">
        <w:rPr>
          <w:rStyle w:val="Strong"/>
          <w:b w:val="0"/>
          <w:bCs w:val="0"/>
          <w:color w:val="212529"/>
          <w:szCs w:val="24"/>
          <w:shd w:val="clear" w:color="auto" w:fill="FFFFFF"/>
          <w:lang w:val="lv-LV"/>
        </w:rPr>
        <w:t xml:space="preserve">”, biedrība “Latvijas Privātā un riska kapitāla asociācija”, Latvijas </w:t>
      </w:r>
      <w:proofErr w:type="spellStart"/>
      <w:r w:rsidRPr="00550D35">
        <w:rPr>
          <w:rStyle w:val="Strong"/>
          <w:b w:val="0"/>
          <w:bCs w:val="0"/>
          <w:color w:val="212529"/>
          <w:szCs w:val="24"/>
          <w:shd w:val="clear" w:color="auto" w:fill="FFFFFF"/>
          <w:lang w:val="lv-LV"/>
        </w:rPr>
        <w:t>Jaunuzņēmumu</w:t>
      </w:r>
      <w:proofErr w:type="spellEnd"/>
      <w:r w:rsidRPr="00550D35">
        <w:rPr>
          <w:rStyle w:val="Strong"/>
          <w:b w:val="0"/>
          <w:bCs w:val="0"/>
          <w:color w:val="212529"/>
          <w:szCs w:val="24"/>
          <w:shd w:val="clear" w:color="auto" w:fill="FFFFFF"/>
          <w:lang w:val="lv-LV"/>
        </w:rPr>
        <w:t xml:space="preserve"> asociācija, RTU, nodibinājums “</w:t>
      </w:r>
      <w:proofErr w:type="spellStart"/>
      <w:r w:rsidRPr="00550D35">
        <w:rPr>
          <w:rStyle w:val="Strong"/>
          <w:b w:val="0"/>
          <w:bCs w:val="0"/>
          <w:color w:val="212529"/>
          <w:szCs w:val="24"/>
          <w:shd w:val="clear" w:color="auto" w:fill="FFFFFF"/>
          <w:lang w:val="lv-LV"/>
        </w:rPr>
        <w:t>TechHub</w:t>
      </w:r>
      <w:proofErr w:type="spellEnd"/>
      <w:r w:rsidRPr="00550D35">
        <w:rPr>
          <w:rStyle w:val="Strong"/>
          <w:b w:val="0"/>
          <w:bCs w:val="0"/>
          <w:color w:val="212529"/>
          <w:szCs w:val="24"/>
          <w:shd w:val="clear" w:color="auto" w:fill="FFFFFF"/>
          <w:lang w:val="lv-LV"/>
        </w:rPr>
        <w:t>”, biedrība “Latvijas Biznesa Eņģeļu Tīkls” – ir vienojušās par kopēju </w:t>
      </w:r>
      <w:proofErr w:type="spellStart"/>
      <w:r w:rsidRPr="00550D35">
        <w:rPr>
          <w:rStyle w:val="Strong"/>
          <w:b w:val="0"/>
          <w:bCs w:val="0"/>
          <w:color w:val="212529"/>
          <w:szCs w:val="24"/>
          <w:shd w:val="clear" w:color="auto" w:fill="FFFFFF"/>
          <w:lang w:val="lv-LV"/>
        </w:rPr>
        <w:t>Jaunuzņēmumu</w:t>
      </w:r>
      <w:proofErr w:type="spellEnd"/>
      <w:r w:rsidRPr="00550D35">
        <w:rPr>
          <w:rStyle w:val="Strong"/>
          <w:b w:val="0"/>
          <w:bCs w:val="0"/>
          <w:color w:val="212529"/>
          <w:szCs w:val="24"/>
          <w:shd w:val="clear" w:color="auto" w:fill="FFFFFF"/>
          <w:lang w:val="lv-LV"/>
        </w:rPr>
        <w:t xml:space="preserve"> ekosistēmas attīstības stratēģiju 2022.-2025.gadam ar mērķi veicināt </w:t>
      </w:r>
      <w:proofErr w:type="spellStart"/>
      <w:r w:rsidRPr="00550D35">
        <w:rPr>
          <w:rStyle w:val="Strong"/>
          <w:b w:val="0"/>
          <w:bCs w:val="0"/>
          <w:color w:val="212529"/>
          <w:szCs w:val="24"/>
          <w:shd w:val="clear" w:color="auto" w:fill="FFFFFF"/>
          <w:lang w:val="lv-LV"/>
        </w:rPr>
        <w:t>jaunuzņēmumu</w:t>
      </w:r>
      <w:proofErr w:type="spellEnd"/>
      <w:r w:rsidRPr="00550D35">
        <w:rPr>
          <w:rStyle w:val="Strong"/>
          <w:b w:val="0"/>
          <w:bCs w:val="0"/>
          <w:color w:val="212529"/>
          <w:szCs w:val="24"/>
          <w:shd w:val="clear" w:color="auto" w:fill="FFFFFF"/>
          <w:lang w:val="lv-LV"/>
        </w:rPr>
        <w:t xml:space="preserve"> attīstībai labvēlīgu vidi. Minētās organizācijas ir apņēmušās palīdzēt</w:t>
      </w:r>
      <w:r w:rsidRPr="00550D35">
        <w:rPr>
          <w:rStyle w:val="Strong"/>
          <w:b w:val="0"/>
          <w:szCs w:val="24"/>
          <w:shd w:val="clear" w:color="auto" w:fill="FFFFFF"/>
          <w:lang w:val="lv-LV"/>
        </w:rPr>
        <w:t xml:space="preserve"> veidot priekšnosacījumus konkurētspējīgu </w:t>
      </w:r>
      <w:proofErr w:type="spellStart"/>
      <w:r w:rsidRPr="00550D35">
        <w:rPr>
          <w:rStyle w:val="Strong"/>
          <w:b w:val="0"/>
          <w:szCs w:val="24"/>
          <w:shd w:val="clear" w:color="auto" w:fill="FFFFFF"/>
          <w:lang w:val="lv-LV"/>
        </w:rPr>
        <w:t>jaunuzņēmumu</w:t>
      </w:r>
      <w:proofErr w:type="spellEnd"/>
      <w:r w:rsidRPr="00550D35">
        <w:rPr>
          <w:rStyle w:val="Strong"/>
          <w:b w:val="0"/>
          <w:szCs w:val="24"/>
          <w:shd w:val="clear" w:color="auto" w:fill="FFFFFF"/>
          <w:lang w:val="lv-LV"/>
        </w:rPr>
        <w:t xml:space="preserve"> skaita palielināšanai Latvijā;</w:t>
      </w:r>
      <w:r w:rsidRPr="00550D35">
        <w:rPr>
          <w:rStyle w:val="Strong"/>
          <w:b w:val="0"/>
          <w:bCs w:val="0"/>
          <w:color w:val="212529"/>
          <w:szCs w:val="24"/>
          <w:shd w:val="clear" w:color="auto" w:fill="FFFFFF"/>
          <w:lang w:val="lv-LV"/>
        </w:rPr>
        <w:t xml:space="preserve"> radīt</w:t>
      </w:r>
      <w:r w:rsidRPr="00550D35">
        <w:rPr>
          <w:rStyle w:val="Strong"/>
          <w:b w:val="0"/>
          <w:szCs w:val="24"/>
          <w:shd w:val="clear" w:color="auto" w:fill="FFFFFF"/>
          <w:lang w:val="lv-LV"/>
        </w:rPr>
        <w:t> investīcijām pievilcīgus nosacījumus, kas stiprina investoru kustību Latvijā un tādējādi veido ilgtspējīgu finansēšanas modeli ekosistēmas turpmākai attīstībai;</w:t>
      </w:r>
      <w:r w:rsidRPr="00550D35">
        <w:rPr>
          <w:rStyle w:val="Strong"/>
          <w:b w:val="0"/>
          <w:bCs w:val="0"/>
          <w:color w:val="212529"/>
          <w:szCs w:val="24"/>
          <w:shd w:val="clear" w:color="auto" w:fill="FFFFFF"/>
          <w:lang w:val="lv-LV"/>
        </w:rPr>
        <w:t xml:space="preserve"> regulāri tikties</w:t>
      </w:r>
      <w:r w:rsidRPr="00550D35">
        <w:rPr>
          <w:rStyle w:val="Strong"/>
          <w:b w:val="0"/>
          <w:bCs w:val="0"/>
          <w:szCs w:val="24"/>
          <w:shd w:val="clear" w:color="auto" w:fill="FFFFFF"/>
          <w:lang w:val="lv-LV"/>
        </w:rPr>
        <w:t xml:space="preserve"> (vismaz reizi ceturksnī) Aģentūras organizētās tikšanās, lai pārrunātu </w:t>
      </w:r>
      <w:proofErr w:type="spellStart"/>
      <w:r w:rsidRPr="00550D35">
        <w:rPr>
          <w:rStyle w:val="Strong"/>
          <w:b w:val="0"/>
          <w:bCs w:val="0"/>
          <w:szCs w:val="24"/>
          <w:shd w:val="clear" w:color="auto" w:fill="FFFFFF"/>
          <w:lang w:val="lv-LV"/>
        </w:rPr>
        <w:t>jaunuzņēmumu</w:t>
      </w:r>
      <w:proofErr w:type="spellEnd"/>
      <w:r w:rsidRPr="00550D35">
        <w:rPr>
          <w:rStyle w:val="Strong"/>
          <w:b w:val="0"/>
          <w:bCs w:val="0"/>
          <w:szCs w:val="24"/>
          <w:shd w:val="clear" w:color="auto" w:fill="FFFFFF"/>
          <w:lang w:val="lv-LV"/>
        </w:rPr>
        <w:t xml:space="preserve"> ekosistēmas vajadzības, izaicinājumus un turpmāk nepieciešamo rīcību;</w:t>
      </w:r>
      <w:r w:rsidRPr="00550D35">
        <w:rPr>
          <w:rStyle w:val="Strong"/>
          <w:b w:val="0"/>
          <w:bCs w:val="0"/>
          <w:color w:val="212529"/>
          <w:szCs w:val="24"/>
          <w:shd w:val="clear" w:color="auto" w:fill="FFFFFF"/>
          <w:lang w:val="lv-LV"/>
        </w:rPr>
        <w:t xml:space="preserve"> veicināt</w:t>
      </w:r>
      <w:r w:rsidRPr="00550D35">
        <w:rPr>
          <w:rStyle w:val="Strong"/>
          <w:b w:val="0"/>
          <w:bCs w:val="0"/>
          <w:szCs w:val="24"/>
          <w:shd w:val="clear" w:color="auto" w:fill="FFFFFF"/>
          <w:lang w:val="lv-LV"/>
        </w:rPr>
        <w:t> </w:t>
      </w:r>
      <w:r w:rsidRPr="00550D35">
        <w:rPr>
          <w:rStyle w:val="Strong"/>
          <w:b w:val="0"/>
          <w:bCs w:val="0"/>
          <w:color w:val="212529"/>
          <w:szCs w:val="24"/>
          <w:shd w:val="clear" w:color="auto" w:fill="FFFFFF"/>
          <w:lang w:val="lv-LV"/>
        </w:rPr>
        <w:t xml:space="preserve">Latvijas </w:t>
      </w:r>
      <w:proofErr w:type="spellStart"/>
      <w:r w:rsidRPr="00550D35">
        <w:rPr>
          <w:rStyle w:val="Strong"/>
          <w:b w:val="0"/>
          <w:bCs w:val="0"/>
          <w:color w:val="212529"/>
          <w:szCs w:val="24"/>
          <w:shd w:val="clear" w:color="auto" w:fill="FFFFFF"/>
          <w:lang w:val="lv-LV"/>
        </w:rPr>
        <w:t>jaunuzņēmumu</w:t>
      </w:r>
      <w:proofErr w:type="spellEnd"/>
      <w:r w:rsidRPr="00550D35">
        <w:rPr>
          <w:rStyle w:val="Strong"/>
          <w:b w:val="0"/>
          <w:bCs w:val="0"/>
          <w:color w:val="212529"/>
          <w:szCs w:val="24"/>
          <w:shd w:val="clear" w:color="auto" w:fill="FFFFFF"/>
          <w:lang w:val="lv-LV"/>
        </w:rPr>
        <w:t xml:space="preserve"> ekosistēmas atpazīstamību un ilgtspēju; organizēt</w:t>
      </w:r>
      <w:r w:rsidRPr="00550D35">
        <w:rPr>
          <w:rStyle w:val="Strong"/>
          <w:b w:val="0"/>
          <w:bCs w:val="0"/>
          <w:szCs w:val="24"/>
          <w:shd w:val="clear" w:color="auto" w:fill="FFFFFF"/>
          <w:lang w:val="lv-LV"/>
        </w:rPr>
        <w:t xml:space="preserve"> un piedalīties  </w:t>
      </w:r>
      <w:proofErr w:type="spellStart"/>
      <w:r w:rsidRPr="00550D35">
        <w:rPr>
          <w:rStyle w:val="Strong"/>
          <w:b w:val="0"/>
          <w:bCs w:val="0"/>
          <w:szCs w:val="24"/>
          <w:shd w:val="clear" w:color="auto" w:fill="FFFFFF"/>
          <w:lang w:val="lv-LV"/>
        </w:rPr>
        <w:t>jaunuzņēmumu</w:t>
      </w:r>
      <w:proofErr w:type="spellEnd"/>
      <w:r w:rsidRPr="00550D35">
        <w:rPr>
          <w:rStyle w:val="Strong"/>
          <w:b w:val="0"/>
          <w:bCs w:val="0"/>
          <w:szCs w:val="24"/>
          <w:shd w:val="clear" w:color="auto" w:fill="FFFFFF"/>
          <w:lang w:val="lv-LV"/>
        </w:rPr>
        <w:t xml:space="preserve"> ekosistēmai aktuālos pasākumos;</w:t>
      </w:r>
      <w:r w:rsidRPr="00550D35">
        <w:rPr>
          <w:rStyle w:val="Strong"/>
          <w:b w:val="0"/>
          <w:bCs w:val="0"/>
          <w:color w:val="212529"/>
          <w:szCs w:val="24"/>
          <w:shd w:val="clear" w:color="auto" w:fill="FFFFFF"/>
          <w:lang w:val="lv-LV"/>
        </w:rPr>
        <w:t xml:space="preserve"> sniegt</w:t>
      </w:r>
      <w:r w:rsidRPr="00550D35">
        <w:rPr>
          <w:rStyle w:val="Strong"/>
          <w:b w:val="0"/>
          <w:bCs w:val="0"/>
          <w:szCs w:val="24"/>
          <w:shd w:val="clear" w:color="auto" w:fill="FFFFFF"/>
          <w:lang w:val="lv-LV"/>
        </w:rPr>
        <w:t> priekšlikumus Stratēģijas pilnveidošanai;</w:t>
      </w:r>
      <w:r w:rsidRPr="00550D35">
        <w:rPr>
          <w:rStyle w:val="Strong"/>
          <w:b w:val="0"/>
          <w:bCs w:val="0"/>
          <w:color w:val="212529"/>
          <w:szCs w:val="24"/>
          <w:shd w:val="clear" w:color="auto" w:fill="FFFFFF"/>
          <w:lang w:val="lv-LV"/>
        </w:rPr>
        <w:t xml:space="preserve"> dalīties</w:t>
      </w:r>
      <w:r w:rsidRPr="00550D35">
        <w:rPr>
          <w:rStyle w:val="Strong"/>
          <w:b w:val="0"/>
          <w:bCs w:val="0"/>
          <w:szCs w:val="24"/>
          <w:shd w:val="clear" w:color="auto" w:fill="FFFFFF"/>
          <w:lang w:val="lv-LV"/>
        </w:rPr>
        <w:t xml:space="preserve"> pieredzē ar citiem  </w:t>
      </w:r>
      <w:proofErr w:type="spellStart"/>
      <w:r w:rsidRPr="00550D35">
        <w:rPr>
          <w:rStyle w:val="Strong"/>
          <w:b w:val="0"/>
          <w:bCs w:val="0"/>
          <w:szCs w:val="24"/>
          <w:shd w:val="clear" w:color="auto" w:fill="FFFFFF"/>
          <w:lang w:val="lv-LV"/>
        </w:rPr>
        <w:t>jaunuzņēmumu</w:t>
      </w:r>
      <w:proofErr w:type="spellEnd"/>
      <w:r w:rsidRPr="00550D35">
        <w:rPr>
          <w:rStyle w:val="Strong"/>
          <w:b w:val="0"/>
          <w:bCs w:val="0"/>
          <w:szCs w:val="24"/>
          <w:shd w:val="clear" w:color="auto" w:fill="FFFFFF"/>
          <w:lang w:val="lv-LV"/>
        </w:rPr>
        <w:t xml:space="preserve"> ekosistēmas dalībniekiem un EM, </w:t>
      </w:r>
      <w:proofErr w:type="spellStart"/>
      <w:r w:rsidRPr="00550D35">
        <w:rPr>
          <w:rStyle w:val="Strong"/>
          <w:b w:val="0"/>
          <w:bCs w:val="0"/>
          <w:szCs w:val="24"/>
          <w:shd w:val="clear" w:color="auto" w:fill="FFFFFF"/>
          <w:lang w:val="lv-LV"/>
        </w:rPr>
        <w:t>jaunuzņēmumu</w:t>
      </w:r>
      <w:proofErr w:type="spellEnd"/>
      <w:r w:rsidRPr="00550D35">
        <w:rPr>
          <w:rStyle w:val="Strong"/>
          <w:b w:val="0"/>
          <w:bCs w:val="0"/>
          <w:szCs w:val="24"/>
          <w:shd w:val="clear" w:color="auto" w:fill="FFFFFF"/>
          <w:lang w:val="lv-LV"/>
        </w:rPr>
        <w:t xml:space="preserve"> izveides veicināšanā.</w:t>
      </w:r>
    </w:p>
    <w:p w14:paraId="780F5E55" w14:textId="77777777" w:rsidR="009440F0" w:rsidRPr="00550D35" w:rsidRDefault="009440F0" w:rsidP="009440F0">
      <w:pPr>
        <w:pStyle w:val="Heading2"/>
        <w:rPr>
          <w:lang w:val="lv-LV"/>
        </w:rPr>
      </w:pPr>
      <w:r w:rsidRPr="00550D35">
        <w:rPr>
          <w:lang w:val="lv-LV"/>
        </w:rPr>
        <w:t>ES līmeņa sadarbība</w:t>
      </w:r>
    </w:p>
    <w:p w14:paraId="00A2D839" w14:textId="77777777" w:rsidR="009440F0" w:rsidRPr="00550D35" w:rsidRDefault="009440F0" w:rsidP="009440F0">
      <w:pPr>
        <w:pStyle w:val="Heading3"/>
        <w:rPr>
          <w:lang w:val="lv-LV"/>
        </w:rPr>
      </w:pPr>
      <w:r w:rsidRPr="00550D35">
        <w:rPr>
          <w:lang w:val="lv-LV"/>
        </w:rPr>
        <w:t>Daudzvalstu projekti</w:t>
      </w:r>
    </w:p>
    <w:p w14:paraId="024DA135" w14:textId="77777777" w:rsidR="009440F0" w:rsidRPr="00550D35" w:rsidRDefault="009440F0" w:rsidP="009440F0">
      <w:pPr>
        <w:rPr>
          <w:lang w:val="lv-LV"/>
        </w:rPr>
      </w:pPr>
      <w:r w:rsidRPr="00550D35">
        <w:rPr>
          <w:lang w:val="lv-LV"/>
        </w:rPr>
        <w:t xml:space="preserve">Ceļveža sagatavošanas laikā nav identificēti 1) </w:t>
      </w:r>
      <w:r w:rsidRPr="00550D35">
        <w:rPr>
          <w:noProof/>
          <w:lang w:val="lv-LV"/>
        </w:rPr>
        <w:t xml:space="preserve">daudzvalstu projekti, kas iekļauti pielikumā norādīto </w:t>
      </w:r>
      <w:r w:rsidRPr="00550D35">
        <w:rPr>
          <w:i/>
          <w:noProof/>
          <w:lang w:val="lv-LV"/>
        </w:rPr>
        <w:t>daudzvalstu</w:t>
      </w:r>
      <w:r w:rsidRPr="00550D35">
        <w:rPr>
          <w:noProof/>
          <w:lang w:val="lv-LV"/>
        </w:rPr>
        <w:t xml:space="preserve"> projektu jomu sarakstā vai dalībvalsts apņemas vai plāno uzņemties nākotnē;</w:t>
      </w:r>
      <w:r w:rsidRPr="00550D35">
        <w:rPr>
          <w:lang w:val="lv-LV"/>
        </w:rPr>
        <w:t xml:space="preserve"> 2) iespējamie jaunie daudzvalstu projekti, kuri vēl nav iekļauti Dekādes programmas lēmuma pielikumā minēto darbības jomu sarakstā, bet kuras  dalībvalsts uzskata par nepieciešamām; 3) Kopīgas apņemšanās, kurās dalībvalsts piedalās vai plāno iesaistīties.</w:t>
      </w:r>
    </w:p>
    <w:p w14:paraId="772E1EF5" w14:textId="77777777" w:rsidR="009440F0" w:rsidRPr="00550D35" w:rsidRDefault="009440F0" w:rsidP="009440F0">
      <w:pPr>
        <w:pStyle w:val="Heading3"/>
        <w:rPr>
          <w:lang w:val="lv-LV"/>
        </w:rPr>
      </w:pPr>
      <w:r w:rsidRPr="00550D35">
        <w:rPr>
          <w:lang w:val="lv-LV"/>
        </w:rPr>
        <w:t>Veicinošie faktori ES līmenī</w:t>
      </w:r>
    </w:p>
    <w:p w14:paraId="3F6684E4" w14:textId="77777777" w:rsidR="009440F0" w:rsidRPr="00550D35" w:rsidRDefault="009440F0" w:rsidP="009440F0">
      <w:pPr>
        <w:shd w:val="clear" w:color="auto" w:fill="FFFFFF" w:themeFill="background1"/>
        <w:spacing w:after="0"/>
        <w:rPr>
          <w:szCs w:val="24"/>
          <w:lang w:val="lv-LV" w:eastAsia="lv-LV"/>
        </w:rPr>
      </w:pPr>
      <w:r w:rsidRPr="00550D35">
        <w:rPr>
          <w:szCs w:val="24"/>
          <w:lang w:val="lv-LV" w:eastAsia="lv-LV"/>
        </w:rPr>
        <w:t xml:space="preserve">Latvijas </w:t>
      </w:r>
      <w:proofErr w:type="spellStart"/>
      <w:r w:rsidRPr="00550D35">
        <w:rPr>
          <w:szCs w:val="24"/>
          <w:lang w:val="lv-LV" w:eastAsia="lv-LV"/>
        </w:rPr>
        <w:t>jaunuzņēmumu</w:t>
      </w:r>
      <w:proofErr w:type="spellEnd"/>
      <w:r w:rsidRPr="00550D35">
        <w:rPr>
          <w:szCs w:val="24"/>
          <w:lang w:val="lv-LV" w:eastAsia="lv-LV"/>
        </w:rPr>
        <w:t xml:space="preserve"> ekosistēmu veido vismaz 512 </w:t>
      </w:r>
      <w:proofErr w:type="spellStart"/>
      <w:r w:rsidRPr="00550D35">
        <w:rPr>
          <w:szCs w:val="24"/>
          <w:lang w:val="lv-LV" w:eastAsia="lv-LV"/>
        </w:rPr>
        <w:t>jaunuzņēmumi</w:t>
      </w:r>
      <w:proofErr w:type="spellEnd"/>
      <w:r w:rsidRPr="00550D35">
        <w:rPr>
          <w:szCs w:val="24"/>
          <w:lang w:val="lv-LV" w:eastAsia="lv-LV"/>
        </w:rPr>
        <w:t>, no kuriem vairāk kā puse darbojas informācijas un sakaru pakalpojumu nozarē, un vairāk kā 20% ražošanā un profesionālajos, zinātniskajos un tehniskajos pakalpojumos.</w:t>
      </w:r>
    </w:p>
    <w:p w14:paraId="5B04EEED" w14:textId="77777777" w:rsidR="009440F0" w:rsidRPr="00550D35" w:rsidRDefault="009440F0" w:rsidP="009440F0">
      <w:pPr>
        <w:pStyle w:val="Heading2"/>
        <w:rPr>
          <w:lang w:val="lv-LV"/>
        </w:rPr>
      </w:pPr>
      <w:r w:rsidRPr="00550D35">
        <w:rPr>
          <w:lang w:val="lv-LV"/>
        </w:rPr>
        <w:t>Ieinteresēto personu atsauksmes</w:t>
      </w:r>
    </w:p>
    <w:p w14:paraId="674EDA9A" w14:textId="77777777" w:rsidR="009440F0" w:rsidRPr="00550D35" w:rsidRDefault="009440F0" w:rsidP="009440F0">
      <w:pPr>
        <w:rPr>
          <w:b/>
          <w:bCs/>
          <w:lang w:val="lv-LV"/>
        </w:rPr>
      </w:pPr>
      <w:r w:rsidRPr="00550D35">
        <w:rPr>
          <w:lang w:val="lv-LV"/>
        </w:rPr>
        <w:t>Par KPI “Vienradži” ieinteresēto personu atsauksmes nav saņemtas.</w:t>
      </w:r>
    </w:p>
    <w:p w14:paraId="57254459" w14:textId="77777777" w:rsidR="009440F0" w:rsidRPr="00550D35" w:rsidRDefault="009440F0" w:rsidP="009440F0">
      <w:pPr>
        <w:pStyle w:val="Heading2"/>
        <w:rPr>
          <w:lang w:val="lv-LV"/>
        </w:rPr>
      </w:pPr>
      <w:r w:rsidRPr="00550D35">
        <w:rPr>
          <w:lang w:val="lv-LV"/>
        </w:rPr>
        <w:t>Vispārējā ietekme un secinājumi</w:t>
      </w:r>
    </w:p>
    <w:p w14:paraId="4BBBF494" w14:textId="77777777" w:rsidR="009440F0" w:rsidRDefault="009440F0" w:rsidP="009440F0">
      <w:pPr>
        <w:rPr>
          <w:lang w:val="lv-LV"/>
        </w:rPr>
      </w:pPr>
    </w:p>
    <w:p w14:paraId="04A2C156" w14:textId="77777777" w:rsidR="009440F0" w:rsidRDefault="009440F0" w:rsidP="009440F0">
      <w:pPr>
        <w:rPr>
          <w:lang w:val="lv-LV"/>
        </w:rPr>
      </w:pPr>
      <w:r w:rsidRPr="00550D35">
        <w:rPr>
          <w:lang w:val="lv-LV"/>
        </w:rPr>
        <w:t xml:space="preserve">Tiek veikti turpmāki pasākumi ar mērķi veicināt </w:t>
      </w:r>
      <w:proofErr w:type="spellStart"/>
      <w:r w:rsidRPr="00550D35">
        <w:rPr>
          <w:lang w:val="lv-LV"/>
        </w:rPr>
        <w:t>jaunuzņēmumu</w:t>
      </w:r>
      <w:proofErr w:type="spellEnd"/>
      <w:r w:rsidRPr="00550D35">
        <w:rPr>
          <w:lang w:val="lv-LV"/>
        </w:rPr>
        <w:t xml:space="preserve"> konkurētspējas celšanu. </w:t>
      </w:r>
      <w:proofErr w:type="spellStart"/>
      <w:r w:rsidRPr="00550D35">
        <w:rPr>
          <w:lang w:val="lv-LV"/>
        </w:rPr>
        <w:t>Jaunuzņēmumiem</w:t>
      </w:r>
      <w:proofErr w:type="spellEnd"/>
      <w:r w:rsidRPr="00550D35">
        <w:rPr>
          <w:lang w:val="lv-LV"/>
        </w:rPr>
        <w:t xml:space="preserve"> ir svarīga loma kā konkurences attīstībā, tā arī valsts ekonomikas izaugsmes veicināšanā. </w:t>
      </w:r>
      <w:proofErr w:type="spellStart"/>
      <w:r w:rsidRPr="00550D35">
        <w:rPr>
          <w:lang w:val="lv-LV"/>
        </w:rPr>
        <w:t>Jaunuzņēmumu</w:t>
      </w:r>
      <w:proofErr w:type="spellEnd"/>
      <w:r w:rsidRPr="00550D35">
        <w:rPr>
          <w:lang w:val="lv-LV"/>
        </w:rPr>
        <w:t xml:space="preserve"> darbība un attīstība nodrošina kā </w:t>
      </w:r>
      <w:r w:rsidRPr="00550D35">
        <w:rPr>
          <w:lang w:val="lv-LV"/>
        </w:rPr>
        <w:lastRenderedPageBreak/>
        <w:t>augsti apmaksātas darba vietas, tā arī sekmē inovatīvu biznesa ideju ieplūdi, augstas pievienotās vērtības produktu un pakalpojumu izstrādi, investīciju piesaisti un veicina tautsaimniecības pāreju uz modernu un inovatīvu ekonomiku, kā arī veicinot uzņēmējdarbībā izmantot dažādus digitālus risinājumus.</w:t>
      </w:r>
    </w:p>
    <w:p w14:paraId="72DFC579" w14:textId="77777777" w:rsidR="009440F0" w:rsidRPr="00550D35" w:rsidRDefault="009440F0" w:rsidP="009440F0">
      <w:pPr>
        <w:rPr>
          <w:lang w:val="lv-LV"/>
        </w:rPr>
      </w:pPr>
      <w:r w:rsidRPr="0084229A">
        <w:rPr>
          <w:lang w:val="lv-LV"/>
        </w:rPr>
        <w:t>2014. – 2020. gada ES finanšu plānošanas period</w:t>
      </w:r>
      <w:r>
        <w:rPr>
          <w:lang w:val="lv-LV"/>
        </w:rPr>
        <w:t>ā</w:t>
      </w:r>
      <w:r w:rsidRPr="0084229A">
        <w:rPr>
          <w:lang w:val="lv-LV"/>
        </w:rPr>
        <w:t xml:space="preserve"> akcelerācijas fondi</w:t>
      </w:r>
      <w:r>
        <w:rPr>
          <w:lang w:val="lv-LV"/>
        </w:rPr>
        <w:t xml:space="preserve"> ir</w:t>
      </w:r>
      <w:r w:rsidRPr="0084229A">
        <w:rPr>
          <w:lang w:val="lv-LV"/>
        </w:rPr>
        <w:t xml:space="preserve"> veikuši ieguldījumus 24 uzņēmumos kopsummā par 1,6 milj. </w:t>
      </w:r>
      <w:proofErr w:type="spellStart"/>
      <w:r w:rsidRPr="006D4120">
        <w:rPr>
          <w:i/>
          <w:iCs/>
          <w:lang w:val="lv-LV"/>
        </w:rPr>
        <w:t>euro</w:t>
      </w:r>
      <w:proofErr w:type="spellEnd"/>
      <w:r w:rsidRPr="0084229A">
        <w:rPr>
          <w:lang w:val="lv-LV"/>
        </w:rPr>
        <w:t>.</w:t>
      </w:r>
    </w:p>
    <w:p w14:paraId="1CE23F55" w14:textId="2A63CD67" w:rsidR="00AD388F" w:rsidRPr="00F76C8C" w:rsidRDefault="009440F0" w:rsidP="00F76C8C">
      <w:pPr>
        <w:rPr>
          <w:lang w:val="lv-LV"/>
        </w:rPr>
      </w:pPr>
      <w:r w:rsidRPr="00550D35">
        <w:rPr>
          <w:lang w:val="lv-LV"/>
        </w:rPr>
        <w:t xml:space="preserve">Nodaļā KPI “Vienradži” minētā politika un pasākumi sniegs ieguldījumu uzņēmumu </w:t>
      </w:r>
      <w:proofErr w:type="spellStart"/>
      <w:r w:rsidRPr="00550D35">
        <w:rPr>
          <w:lang w:val="lv-LV"/>
        </w:rPr>
        <w:t>digitalizācijas</w:t>
      </w:r>
      <w:proofErr w:type="spellEnd"/>
      <w:r w:rsidRPr="00550D35">
        <w:rPr>
          <w:lang w:val="lv-LV"/>
        </w:rPr>
        <w:t xml:space="preserve"> jomā, tai skaitā stiprinās digitālo tehnoloģiju izplatīšanas un izmantošanas centienus un īstenos stratēģijas, lai būtiski veicinātu jaunu progresīvu risinājumu izmantošanu MVU ekosistēmās, kā tas norādīts EK ieteikumā Digitālās dekādes 2023.gada ziņojumā par Latviju.</w:t>
      </w:r>
      <w:bookmarkStart w:id="37" w:name="_Toc135226648"/>
    </w:p>
    <w:p w14:paraId="2441A696" w14:textId="1BE02BC3" w:rsidR="00607D62" w:rsidRPr="00550D35" w:rsidRDefault="00FB5104" w:rsidP="00B52E9B">
      <w:pPr>
        <w:pStyle w:val="Heading1"/>
      </w:pPr>
      <w:bookmarkStart w:id="38" w:name="_Toc155952345"/>
      <w:r w:rsidRPr="00550D35">
        <w:t>G</w:t>
      </w:r>
      <w:r w:rsidR="00607D62" w:rsidRPr="00550D35">
        <w:t>alven</w:t>
      </w:r>
      <w:r w:rsidRPr="00550D35">
        <w:t>ie</w:t>
      </w:r>
      <w:r w:rsidR="00607D62" w:rsidRPr="00550D35">
        <w:t xml:space="preserve"> </w:t>
      </w:r>
      <w:r w:rsidR="058E2956" w:rsidRPr="00550D35">
        <w:t>publiskie</w:t>
      </w:r>
      <w:r w:rsidR="00607D62" w:rsidRPr="00550D35">
        <w:t xml:space="preserve"> </w:t>
      </w:r>
      <w:r w:rsidRPr="00550D35">
        <w:t>pakalpoj</w:t>
      </w:r>
      <w:r w:rsidR="00EC671C" w:rsidRPr="00550D35">
        <w:t xml:space="preserve">umi </w:t>
      </w:r>
      <w:r w:rsidR="00607D62" w:rsidRPr="00550D35">
        <w:t>iedzīvotājiem</w:t>
      </w:r>
      <w:bookmarkEnd w:id="37"/>
      <w:bookmarkEnd w:id="38"/>
    </w:p>
    <w:p w14:paraId="681FAB10" w14:textId="28DB92CA" w:rsidR="005749B3" w:rsidRPr="00550D35" w:rsidRDefault="005749B3" w:rsidP="005749B3">
      <w:pPr>
        <w:pStyle w:val="Text1"/>
        <w:ind w:firstLine="0"/>
        <w:rPr>
          <w:i/>
          <w:iCs/>
          <w:lang w:val="lv-LV"/>
        </w:rPr>
      </w:pPr>
      <w:r w:rsidRPr="00550D35">
        <w:rPr>
          <w:b/>
          <w:bCs/>
          <w:i/>
          <w:iCs/>
          <w:lang w:val="lv-LV"/>
        </w:rPr>
        <w:t>Galveno publisko pakalpojumu sniegšana iedzīvotājiem tiešsaistē</w:t>
      </w:r>
      <w:r w:rsidRPr="00550D35">
        <w:rPr>
          <w:i/>
          <w:iCs/>
          <w:lang w:val="lv-LV"/>
        </w:rPr>
        <w:t>, ko mēra pēc tā, kāds ir administratīvo procedūru īpatsvars, ko svarīgu dzīves notikumu gadījumā var pilnībā izpildīt tiešsaistē. Tas attiecas uz šādiem dzīves notikumiem: pārvākšanās, transports, maza apmēra prasību procedūras sākšana, ģimene, profesionālā dzīve, studijas, veselība.</w:t>
      </w:r>
    </w:p>
    <w:p w14:paraId="3B8C6A9E" w14:textId="77777777" w:rsidR="00145F2B" w:rsidRPr="00550D35" w:rsidRDefault="00145F2B" w:rsidP="00145F2B">
      <w:pPr>
        <w:pStyle w:val="Heading2"/>
        <w:rPr>
          <w:lang w:val="lv-LV"/>
        </w:rPr>
      </w:pPr>
      <w:r w:rsidRPr="00550D35">
        <w:rPr>
          <w:lang w:val="lv-LV"/>
        </w:rPr>
        <w:t>Analīze par pašreizējo stāvokli digitālās pārveides jomā dalībvalsts kontekstā</w:t>
      </w:r>
    </w:p>
    <w:p w14:paraId="14E301E6" w14:textId="70208D44" w:rsidR="00145F2B" w:rsidRPr="00550D35" w:rsidRDefault="00145F2B" w:rsidP="00145F2B">
      <w:pPr>
        <w:rPr>
          <w:lang w:val="lv-LV"/>
        </w:rPr>
      </w:pPr>
      <w:r w:rsidRPr="00550D35">
        <w:rPr>
          <w:lang w:val="lv-LV"/>
        </w:rPr>
        <w:t xml:space="preserve">Saskaņā ar Digitālās dekādes 2023.gada ziņojumu par Latviju valsts veikums digitālo publisko pakalpojumu jomā pozitīvi veicina Digitālās desmitgades mērķu sasniegšanu. Publiskos pakalpojumus izmanto 77% interneta lietotāju, pārsniedzot ES vidējo rādītāju 74%. Digitālo publisko pakalpojumu pieejamības jomā Latvija pārspēj ES vidējo līmeni attiecībā uz galvenajiem tiešsaistes pakalpojumu sniegšanas aspektiem (iepriekš aizpildītas veidlapas, </w:t>
      </w:r>
      <w:proofErr w:type="spellStart"/>
      <w:r w:rsidRPr="00550D35">
        <w:rPr>
          <w:lang w:val="lv-LV"/>
        </w:rPr>
        <w:t>pārredzamība</w:t>
      </w:r>
      <w:proofErr w:type="spellEnd"/>
      <w:r w:rsidRPr="00550D35">
        <w:rPr>
          <w:lang w:val="lv-LV"/>
        </w:rPr>
        <w:t xml:space="preserve">, lietotāju atbalsts un mobilitāte), kā arī attiecībā uz piekļuvi e-veselības ierakstiem. Latvija </w:t>
      </w:r>
      <w:r w:rsidR="00126060">
        <w:rPr>
          <w:lang w:val="lv-LV"/>
        </w:rPr>
        <w:t>publ</w:t>
      </w:r>
      <w:r w:rsidRPr="00550D35">
        <w:rPr>
          <w:lang w:val="lv-LV"/>
        </w:rPr>
        <w:t xml:space="preserve">isko pakalpojumu </w:t>
      </w:r>
      <w:proofErr w:type="spellStart"/>
      <w:r w:rsidRPr="00550D35">
        <w:rPr>
          <w:lang w:val="lv-LV"/>
        </w:rPr>
        <w:t>digitalizācijas</w:t>
      </w:r>
      <w:proofErr w:type="spellEnd"/>
      <w:r w:rsidRPr="00550D35">
        <w:rPr>
          <w:lang w:val="lv-LV"/>
        </w:rPr>
        <w:t xml:space="preserve"> ziņā ir viena no vadošajām dalībvalstīm. Valsts visos šīs jomas rādītājos pārsniedz ES vidējo līmeni, ievieš un sniedz inovatīvus digitālos publiskos pakalpojumus. </w:t>
      </w:r>
      <w:r w:rsidR="00126060">
        <w:rPr>
          <w:lang w:val="lv-LV"/>
        </w:rPr>
        <w:t>Publ</w:t>
      </w:r>
      <w:r w:rsidRPr="00550D35">
        <w:rPr>
          <w:lang w:val="lv-LV"/>
        </w:rPr>
        <w:t xml:space="preserve">iskie pakalpojumi gan privātpersonām, gan uzņēmumiem Latvijā ir augsti </w:t>
      </w:r>
      <w:proofErr w:type="spellStart"/>
      <w:r w:rsidRPr="00550D35">
        <w:rPr>
          <w:lang w:val="lv-LV"/>
        </w:rPr>
        <w:t>digitalizēti</w:t>
      </w:r>
      <w:proofErr w:type="spellEnd"/>
      <w:r w:rsidRPr="00550D35">
        <w:rPr>
          <w:lang w:val="lv-LV"/>
        </w:rPr>
        <w:t>. Ar rezultātu 87</w:t>
      </w:r>
      <w:r>
        <w:rPr>
          <w:lang w:val="lv-LV"/>
        </w:rPr>
        <w:t>%</w:t>
      </w:r>
      <w:r w:rsidRPr="00550D35">
        <w:rPr>
          <w:lang w:val="lv-LV"/>
        </w:rPr>
        <w:t xml:space="preserve"> digitālajos </w:t>
      </w:r>
      <w:r w:rsidR="00126060">
        <w:rPr>
          <w:lang w:val="lv-LV"/>
        </w:rPr>
        <w:t>publ</w:t>
      </w:r>
      <w:r w:rsidRPr="00550D35">
        <w:rPr>
          <w:lang w:val="lv-LV"/>
        </w:rPr>
        <w:t>iskajos pakalpojumos iedzīvotājiem valsts sniegums ir krietni virs ES vidējiem rādītājiem, tādējādi pozitīvi sekmējot 2030. gada digitālo pakalpojumu sasniegšanu.</w:t>
      </w:r>
    </w:p>
    <w:p w14:paraId="63CC92F8" w14:textId="77777777" w:rsidR="00145F2B" w:rsidRPr="00550D35" w:rsidRDefault="00145F2B" w:rsidP="00145F2B">
      <w:pPr>
        <w:rPr>
          <w:lang w:val="lv-LV"/>
        </w:rPr>
      </w:pPr>
      <w:r w:rsidRPr="00550D35">
        <w:rPr>
          <w:lang w:val="lv-LV"/>
        </w:rPr>
        <w:t xml:space="preserve">Digitālās dekādes 2023.gada ziņojumā par Latviju iekļauts EK ieteikums Latvijai turpināt paātrināt centienus </w:t>
      </w:r>
      <w:proofErr w:type="spellStart"/>
      <w:r w:rsidRPr="00550D35">
        <w:rPr>
          <w:lang w:val="lv-LV"/>
        </w:rPr>
        <w:t>digitalizēt</w:t>
      </w:r>
      <w:proofErr w:type="spellEnd"/>
      <w:r w:rsidRPr="00550D35">
        <w:rPr>
          <w:lang w:val="lv-LV"/>
        </w:rPr>
        <w:t xml:space="preserve"> publiskos pakalpojumus, jo īpaši turpinot darbu, lai elektroniskie veselības ieraksti būtu viegli pieejami, un jāturpina digitālo publisko pakalpojumu attīstīšana gan iedzīvotājiem, gan uzņēmumiem.</w:t>
      </w:r>
    </w:p>
    <w:p w14:paraId="3A2F19B2" w14:textId="77777777" w:rsidR="00145F2B" w:rsidRPr="00550D35" w:rsidRDefault="00145F2B" w:rsidP="00145F2B">
      <w:pPr>
        <w:rPr>
          <w:lang w:val="lv-LV"/>
        </w:rPr>
      </w:pPr>
      <w:r w:rsidRPr="00550D35">
        <w:rPr>
          <w:lang w:val="lv-LV"/>
        </w:rPr>
        <w:t xml:space="preserve">Latvijā ir izstrādāta vienota </w:t>
      </w:r>
      <w:proofErr w:type="spellStart"/>
      <w:r w:rsidRPr="00550D35">
        <w:rPr>
          <w:lang w:val="lv-LV"/>
        </w:rPr>
        <w:t>rīcībpolitika</w:t>
      </w:r>
      <w:proofErr w:type="spellEnd"/>
      <w:r w:rsidRPr="00550D35">
        <w:rPr>
          <w:lang w:val="lv-LV"/>
        </w:rPr>
        <w:t xml:space="preserve">  valsts pārvaldes (publisko) pakalpojumu jomā iedzīvotājiem un komersantiem, tā ir vērsta uz  valsts pārvaldes pakalpojumu sniegšanu lietotājam maksimāli ērtā veidā neatkarīgi no tā, vai šis lietotājs ir fiziska vai juridiska persona – komersants.</w:t>
      </w:r>
    </w:p>
    <w:p w14:paraId="3BF9A731" w14:textId="77777777" w:rsidR="00145F2B" w:rsidRPr="00550D35" w:rsidRDefault="00145F2B" w:rsidP="00145F2B">
      <w:pPr>
        <w:rPr>
          <w:lang w:val="lv-LV"/>
        </w:rPr>
      </w:pPr>
      <w:r w:rsidRPr="00550D35">
        <w:rPr>
          <w:lang w:val="lv-LV"/>
        </w:rPr>
        <w:t xml:space="preserve">2021. gadā MK apstiprinātajās DTP2027 noteikts, ka valsts pārvaldes pakalpojumi tiek pārveidoti. organizējot tos no personas skata punkta, un to piedāvājums ir </w:t>
      </w:r>
      <w:proofErr w:type="spellStart"/>
      <w:r w:rsidRPr="00550D35">
        <w:rPr>
          <w:lang w:val="lv-LV"/>
        </w:rPr>
        <w:t>proaktīvs</w:t>
      </w:r>
      <w:proofErr w:type="spellEnd"/>
      <w:r w:rsidRPr="00550D35">
        <w:rPr>
          <w:lang w:val="lv-LV"/>
        </w:rPr>
        <w:t>, personalizēts un vērsts uz vērtību personai</w:t>
      </w:r>
      <w:r w:rsidRPr="00550D35">
        <w:rPr>
          <w:rStyle w:val="FootnoteReference"/>
          <w:lang w:val="lv-LV"/>
        </w:rPr>
        <w:footnoteReference w:id="63"/>
      </w:r>
      <w:r w:rsidRPr="00550D35">
        <w:rPr>
          <w:lang w:val="lv-LV"/>
        </w:rPr>
        <w:t xml:space="preserve">. Tāpat ar DTP2027 tiek noteikts, ka valsts </w:t>
      </w:r>
      <w:r w:rsidRPr="00550D35">
        <w:rPr>
          <w:lang w:val="lv-LV"/>
        </w:rPr>
        <w:lastRenderedPageBreak/>
        <w:t>pakalpojumi primāri tiek sniegti digitāli, nodrošinot to saņemšanu personai piemērotākā, vienotā, profesionālā tīklā.</w:t>
      </w:r>
      <w:r w:rsidRPr="00550D35">
        <w:rPr>
          <w:rStyle w:val="FootnoteReference"/>
          <w:lang w:val="lv-LV"/>
        </w:rPr>
        <w:footnoteReference w:id="64"/>
      </w:r>
    </w:p>
    <w:p w14:paraId="738FE15C" w14:textId="54E39D12" w:rsidR="00145F2B" w:rsidRPr="00550D35" w:rsidRDefault="00145F2B" w:rsidP="00145F2B">
      <w:pPr>
        <w:rPr>
          <w:lang w:val="lv-LV"/>
        </w:rPr>
      </w:pPr>
      <w:r w:rsidRPr="00550D35">
        <w:rPr>
          <w:lang w:val="lv-LV"/>
        </w:rPr>
        <w:t>DTP2027 ir vērstas uz NAP2027 rīcības virziena mērķa “</w:t>
      </w:r>
      <w:proofErr w:type="spellStart"/>
      <w:r w:rsidRPr="00550D35">
        <w:rPr>
          <w:lang w:val="lv-LV"/>
        </w:rPr>
        <w:t>digitalizējot</w:t>
      </w:r>
      <w:proofErr w:type="spellEnd"/>
      <w:r w:rsidRPr="00550D35">
        <w:rPr>
          <w:lang w:val="lv-LV"/>
        </w:rPr>
        <w:t xml:space="preserve"> transformēta publiskā pārvalde, racionāli pārvaldīta organizatoriskā un tehnoloģiskā ekosistēma, kas ir iekšēji integrēta un ārēji atvērta kopīgas vērtības radīšanai, inovācijām un </w:t>
      </w:r>
      <w:proofErr w:type="spellStart"/>
      <w:r w:rsidRPr="00550D35">
        <w:rPr>
          <w:lang w:val="lv-LV"/>
        </w:rPr>
        <w:t>lietotājorientētai</w:t>
      </w:r>
      <w:proofErr w:type="spellEnd"/>
      <w:r w:rsidRPr="00550D35">
        <w:rPr>
          <w:lang w:val="lv-LV"/>
        </w:rPr>
        <w:t xml:space="preserve"> pieejai publisko pakalpojumu sniegšanā fiziskajā un digitālajā vidē” izpildi.</w:t>
      </w:r>
    </w:p>
    <w:p w14:paraId="71C5691A" w14:textId="27C329D0" w:rsidR="00145F2B" w:rsidRDefault="00145F2B" w:rsidP="00032DBA">
      <w:pPr>
        <w:rPr>
          <w:lang w:val="lv-LV"/>
        </w:rPr>
      </w:pPr>
      <w:r w:rsidRPr="00550D35">
        <w:rPr>
          <w:lang w:val="lv-LV"/>
        </w:rPr>
        <w:t>Valsts pārvaldes modernizācijas plāns 2023.-2027. gadam paredz horizontāl</w:t>
      </w:r>
      <w:r w:rsidR="00D621AA">
        <w:rPr>
          <w:lang w:val="lv-LV"/>
        </w:rPr>
        <w:t>u</w:t>
      </w:r>
      <w:r w:rsidRPr="00550D35">
        <w:rPr>
          <w:lang w:val="lv-LV"/>
        </w:rPr>
        <w:t xml:space="preserve"> rīcības virzienu – valsts pārvaldes digitālo transformāciju, kur viens no pamatuzdevumiem ir pakalpojumu pārvaldība un valsts pārvaldes pakalpojumu modernizēšana, izmantojot digitālo tehnoloģiju iespējas.</w:t>
      </w:r>
      <w:r w:rsidRPr="00550D35">
        <w:rPr>
          <w:rStyle w:val="FootnoteReference"/>
          <w:lang w:val="lv-LV"/>
        </w:rPr>
        <w:footnoteReference w:id="65"/>
      </w:r>
      <w:r w:rsidRPr="00550D35">
        <w:rPr>
          <w:lang w:val="lv-LV"/>
        </w:rPr>
        <w:t xml:space="preserve"> Plānošanas dokumentu līmenī nospraustie mērķi atbilst Dekādes programmai un atbalsta tās izpildi.</w:t>
      </w:r>
    </w:p>
    <w:p w14:paraId="1417112E" w14:textId="53FAC7F5" w:rsidR="00032DBA" w:rsidRPr="00550D35" w:rsidRDefault="00032DBA" w:rsidP="00032DBA">
      <w:pPr>
        <w:rPr>
          <w:lang w:val="lv-LV"/>
        </w:rPr>
      </w:pPr>
      <w:r w:rsidRPr="00032DBA">
        <w:rPr>
          <w:lang w:val="lv-LV"/>
        </w:rPr>
        <w:t xml:space="preserve">Latvijas Kosmosa stratēģija 2021.-2027. gadam paredz mērķus, kas ir vērsti uz </w:t>
      </w:r>
      <w:proofErr w:type="spellStart"/>
      <w:r w:rsidRPr="00032DBA">
        <w:rPr>
          <w:lang w:val="lv-LV"/>
        </w:rPr>
        <w:t>satelītdatu</w:t>
      </w:r>
      <w:proofErr w:type="spellEnd"/>
      <w:r w:rsidRPr="00032DBA">
        <w:rPr>
          <w:lang w:val="lv-LV"/>
        </w:rPr>
        <w:t xml:space="preserve"> lietojumu un pakalpojumu integrēšanu publiskajā sektorā pašvaldību un valsts līmenī.</w:t>
      </w:r>
    </w:p>
    <w:p w14:paraId="3D5DECD4" w14:textId="77777777" w:rsidR="00145F2B" w:rsidRPr="00550D35" w:rsidRDefault="00145F2B" w:rsidP="00032DBA">
      <w:pPr>
        <w:rPr>
          <w:lang w:val="lv-LV"/>
        </w:rPr>
      </w:pPr>
      <w:r w:rsidRPr="00550D35">
        <w:rPr>
          <w:lang w:val="lv-LV"/>
        </w:rPr>
        <w:t>Latvijas tiesību aktos ir nostiprināts valsts pārvaldes pakalpojumu jēdziens, kā arī publisko pakalpojumu definēšanas, aprakstīšanas un sniegšanas kārtība</w:t>
      </w:r>
      <w:r w:rsidRPr="00550D35">
        <w:rPr>
          <w:rStyle w:val="FootnoteReference"/>
          <w:lang w:val="lv-LV"/>
        </w:rPr>
        <w:footnoteReference w:id="66"/>
      </w:r>
      <w:r w:rsidRPr="00550D35">
        <w:rPr>
          <w:lang w:val="lv-LV"/>
        </w:rPr>
        <w:t xml:space="preserve">. Latvijas iestādēm ir vienota izpratne par jēdzieniem un terminiem un katra savas kompetences ietvaros tās strādā publisko pakalpojumu pilnveidošanā, t.sk. </w:t>
      </w:r>
      <w:proofErr w:type="spellStart"/>
      <w:r w:rsidRPr="00550D35">
        <w:rPr>
          <w:lang w:val="lv-LV"/>
        </w:rPr>
        <w:t>digitalizācijā</w:t>
      </w:r>
      <w:proofErr w:type="spellEnd"/>
      <w:r w:rsidRPr="00550D35">
        <w:rPr>
          <w:lang w:val="lv-LV"/>
        </w:rPr>
        <w:t xml:space="preserve">. </w:t>
      </w:r>
    </w:p>
    <w:p w14:paraId="57534786" w14:textId="77777777" w:rsidR="00145F2B" w:rsidRPr="00550D35" w:rsidRDefault="00145F2B" w:rsidP="00145F2B">
      <w:pPr>
        <w:rPr>
          <w:lang w:val="lv-LV"/>
        </w:rPr>
      </w:pPr>
      <w:r w:rsidRPr="00550D35">
        <w:rPr>
          <w:lang w:val="lv-LV"/>
        </w:rPr>
        <w:t>Ievērojamu atbalstu Dekādes programmas mērķu sasniegšanā nodrošina ANM plāna 2. komponentes “Digitālā transformācija” programma, kurā paredzēti pasākumi gan centralizēto lietojumu attīstībai, gan iestāžu digitālo risinājumu izveidei, t.sk. digitālo pakalpojumu koplietošanas platformas attīstībai un pakalpojumu sniegšanas atbalsta pilnveidošanai.</w:t>
      </w:r>
    </w:p>
    <w:p w14:paraId="30EBB699" w14:textId="77777777" w:rsidR="00145F2B" w:rsidRPr="00550D35" w:rsidRDefault="00145F2B" w:rsidP="00145F2B">
      <w:pPr>
        <w:rPr>
          <w:lang w:val="lv-LV"/>
        </w:rPr>
      </w:pPr>
      <w:r w:rsidRPr="00550D35">
        <w:rPr>
          <w:lang w:val="lv-LV"/>
        </w:rPr>
        <w:t xml:space="preserve">Tāpat ieguldījumu Dekādes programmā noteikto mērķu sasniegšanā sniedz jau realizētie projekti un to rezultātā izstrādātie centralizētie lietojumi: ERAF projektā “Datu izplatīšanas un pārvaldības platforma (DAGR)” iesāktās aktivitātes, kas paredz tehniski nodrošināt iespēju personai pārlūkot visus datus, ko iestādes reģistrējušas personai piekritīgos objektos Latvija.gov.lv portālā, Valsts informācijas resursu, sistēmu un </w:t>
      </w:r>
      <w:proofErr w:type="spellStart"/>
      <w:r w:rsidRPr="00550D35">
        <w:rPr>
          <w:lang w:val="lv-LV"/>
        </w:rPr>
        <w:t>sadarbspējas</w:t>
      </w:r>
      <w:proofErr w:type="spellEnd"/>
      <w:r w:rsidRPr="00550D35">
        <w:rPr>
          <w:lang w:val="lv-LV"/>
        </w:rPr>
        <w:t xml:space="preserve"> informācijas sistēma, Nacionālā digitālo pakalpojumu koplietošanas centrālā platforma </w:t>
      </w:r>
      <w:proofErr w:type="spellStart"/>
      <w:r w:rsidRPr="00550D35">
        <w:rPr>
          <w:lang w:val="lv-LV"/>
        </w:rPr>
        <w:t>klientcentrētiem</w:t>
      </w:r>
      <w:proofErr w:type="spellEnd"/>
      <w:r w:rsidRPr="00550D35">
        <w:rPr>
          <w:lang w:val="lv-LV"/>
        </w:rPr>
        <w:t xml:space="preserve"> un </w:t>
      </w:r>
      <w:proofErr w:type="spellStart"/>
      <w:r w:rsidRPr="00550D35">
        <w:rPr>
          <w:lang w:val="lv-LV"/>
        </w:rPr>
        <w:t>proaktīviem</w:t>
      </w:r>
      <w:proofErr w:type="spellEnd"/>
      <w:r w:rsidRPr="00550D35">
        <w:rPr>
          <w:lang w:val="lv-LV"/>
        </w:rPr>
        <w:t xml:space="preserve"> e-pakalpojumiem sabiedrībai (Latvija.lv); Datu publicēšanas platformas (turpmāk - DPP) ieviešanas (1.kārta); Funkcionāli pilnveidots Drošas elektroniskas piegādes risinājums, ieviešot e-adreses centralizēto risinājumu u.c. </w:t>
      </w:r>
    </w:p>
    <w:p w14:paraId="5DC8DA08" w14:textId="77777777" w:rsidR="00145F2B" w:rsidRPr="00B93F65" w:rsidRDefault="00145F2B" w:rsidP="00145F2B">
      <w:pPr>
        <w:rPr>
          <w:rStyle w:val="normaltextrun"/>
          <w:lang w:val="lv-LV"/>
        </w:rPr>
      </w:pPr>
      <w:r w:rsidRPr="00550D35">
        <w:rPr>
          <w:lang w:val="lv-LV"/>
        </w:rPr>
        <w:t>2024. gada pirmajā pusgadā plānots pabeigt projektu atlases kritēriju izstrādi</w:t>
      </w:r>
      <w:r w:rsidRPr="00550D35">
        <w:rPr>
          <w:rStyle w:val="normaltextrun"/>
          <w:color w:val="000000"/>
          <w:shd w:val="clear" w:color="auto" w:fill="FFFFFF"/>
          <w:lang w:val="lv-LV"/>
        </w:rPr>
        <w:t xml:space="preserve"> ES Kohēzijas politikas programmas 2021.–2027.</w:t>
      </w:r>
      <w:r w:rsidRPr="00550D35">
        <w:rPr>
          <w:rStyle w:val="normaltextrun"/>
          <w:color w:val="000000" w:themeColor="text1"/>
          <w:lang w:val="lv-LV"/>
        </w:rPr>
        <w:t> </w:t>
      </w:r>
      <w:r w:rsidRPr="00550D35">
        <w:rPr>
          <w:rStyle w:val="normaltextrun"/>
          <w:color w:val="000000"/>
          <w:shd w:val="clear" w:color="auto" w:fill="FFFFFF"/>
          <w:lang w:val="lv-LV"/>
        </w:rPr>
        <w:t>gadam 1.3.1.</w:t>
      </w:r>
      <w:r w:rsidRPr="00550D35">
        <w:rPr>
          <w:rStyle w:val="normaltextrun"/>
          <w:color w:val="000000" w:themeColor="text1"/>
          <w:lang w:val="lv-LV"/>
        </w:rPr>
        <w:t> </w:t>
      </w:r>
      <w:r w:rsidRPr="00550D35">
        <w:rPr>
          <w:rStyle w:val="normaltextrun"/>
          <w:color w:val="000000"/>
          <w:shd w:val="clear" w:color="auto" w:fill="FFFFFF"/>
          <w:lang w:val="lv-LV"/>
        </w:rPr>
        <w:t xml:space="preserve">specifiskā atbalsta mērķa “Izmantot </w:t>
      </w:r>
      <w:proofErr w:type="spellStart"/>
      <w:r w:rsidRPr="00550D35">
        <w:rPr>
          <w:rStyle w:val="normaltextrun"/>
          <w:color w:val="000000"/>
          <w:shd w:val="clear" w:color="auto" w:fill="FFFFFF"/>
          <w:lang w:val="lv-LV"/>
        </w:rPr>
        <w:t>digitalizācijas</w:t>
      </w:r>
      <w:proofErr w:type="spellEnd"/>
      <w:r w:rsidRPr="00550D35">
        <w:rPr>
          <w:rStyle w:val="normaltextrun"/>
          <w:color w:val="000000"/>
          <w:shd w:val="clear" w:color="auto" w:fill="FFFFFF"/>
          <w:lang w:val="lv-LV"/>
        </w:rPr>
        <w:t xml:space="preserve"> priekšrocības iedzīvotājiem, uzņēmumiem, pētniecības organizācijām un publiskajām iestādēm”  1.3.1.1.</w:t>
      </w:r>
      <w:r w:rsidRPr="00550D35">
        <w:rPr>
          <w:rStyle w:val="normaltextrun"/>
          <w:color w:val="000000" w:themeColor="text1"/>
          <w:lang w:val="lv-LV"/>
        </w:rPr>
        <w:t> </w:t>
      </w:r>
      <w:r w:rsidRPr="00550D35">
        <w:rPr>
          <w:rStyle w:val="normaltextrun"/>
          <w:color w:val="000000"/>
          <w:shd w:val="clear" w:color="auto" w:fill="FFFFFF"/>
          <w:lang w:val="lv-LV"/>
        </w:rPr>
        <w:t>pasākuma “IKT risinājumu un pakalpojumu attīstība un iespēju radīšana privātajam sektoram</w:t>
      </w:r>
      <w:r w:rsidRPr="00550D35">
        <w:rPr>
          <w:lang w:val="lv-LV"/>
        </w:rPr>
        <w:t>” projektiem, kuru mērķis būs a</w:t>
      </w:r>
      <w:r w:rsidRPr="00550D35">
        <w:rPr>
          <w:rStyle w:val="normaltextrun"/>
          <w:color w:val="000000"/>
          <w:lang w:val="lv-LV"/>
        </w:rPr>
        <w:t xml:space="preserve">ttīstīt valsts IKT risinājumus un pakalpojumus un veicināt privātā sektora </w:t>
      </w:r>
      <w:proofErr w:type="spellStart"/>
      <w:r w:rsidRPr="00B93F65">
        <w:rPr>
          <w:rStyle w:val="normaltextrun"/>
          <w:lang w:val="lv-LV"/>
        </w:rPr>
        <w:t>digitalizāciju</w:t>
      </w:r>
      <w:proofErr w:type="spellEnd"/>
      <w:r w:rsidRPr="00B93F65">
        <w:rPr>
          <w:rStyle w:val="normaltextrun"/>
          <w:lang w:val="lv-LV"/>
        </w:rPr>
        <w:t xml:space="preserve"> un jaunu pakalpojumu veidošanu.</w:t>
      </w:r>
    </w:p>
    <w:p w14:paraId="7D61458F" w14:textId="77777777" w:rsidR="00145F2B" w:rsidRPr="00176098" w:rsidRDefault="00145F2B" w:rsidP="00145F2B">
      <w:pPr>
        <w:rPr>
          <w:color w:val="000000"/>
          <w:lang w:val="lv-LV"/>
        </w:rPr>
      </w:pPr>
      <w:r w:rsidRPr="00B93F65">
        <w:rPr>
          <w:rStyle w:val="normaltextrun"/>
          <w:u w:val="single"/>
          <w:shd w:val="clear" w:color="auto" w:fill="FFFFFF"/>
          <w:lang w:val="lv-LV"/>
        </w:rPr>
        <w:t xml:space="preserve">Ņemot vērā, ka 2023.gada 4. ceturksnī </w:t>
      </w:r>
      <w:r w:rsidRPr="00B93F65">
        <w:rPr>
          <w:rStyle w:val="normaltextrun"/>
          <w:lang w:val="lv-LV"/>
        </w:rPr>
        <w:t xml:space="preserve">virkne projektu vēl atrodas plānošanas vai realizācijas sākuma stadijā, tāpēc ceļveža Latvijas izstrādes </w:t>
      </w:r>
      <w:r>
        <w:rPr>
          <w:rStyle w:val="normaltextrun"/>
          <w:color w:val="000000"/>
          <w:lang w:val="lv-LV"/>
        </w:rPr>
        <w:t xml:space="preserve">laikā </w:t>
      </w:r>
      <w:r w:rsidRPr="0065606A">
        <w:rPr>
          <w:rStyle w:val="normaltextrun"/>
          <w:color w:val="000000"/>
          <w:lang w:val="lv-LV"/>
        </w:rPr>
        <w:t xml:space="preserve">nav iespējams </w:t>
      </w:r>
      <w:r>
        <w:rPr>
          <w:rStyle w:val="normaltextrun"/>
          <w:color w:val="000000"/>
          <w:lang w:val="lv-LV"/>
        </w:rPr>
        <w:t>definēt</w:t>
      </w:r>
      <w:r w:rsidRPr="0065606A">
        <w:rPr>
          <w:rStyle w:val="normaltextrun"/>
          <w:color w:val="000000"/>
          <w:lang w:val="lv-LV"/>
        </w:rPr>
        <w:t xml:space="preserve"> jomas, kurās būs nepieciešamas papildus investīcijas</w:t>
      </w:r>
      <w:r>
        <w:rPr>
          <w:rStyle w:val="normaltextrun"/>
          <w:color w:val="000000"/>
          <w:lang w:val="lv-LV"/>
        </w:rPr>
        <w:t>, un aplēst investīciju nepietiekamību</w:t>
      </w:r>
      <w:r w:rsidRPr="0065606A">
        <w:rPr>
          <w:rStyle w:val="normaltextrun"/>
          <w:color w:val="000000"/>
          <w:lang w:val="lv-LV"/>
        </w:rPr>
        <w:t xml:space="preserve">. </w:t>
      </w:r>
      <w:r w:rsidRPr="0065606A">
        <w:rPr>
          <w:rStyle w:val="normaltextrun"/>
          <w:color w:val="000000"/>
          <w:lang w:val="lv-LV"/>
        </w:rPr>
        <w:lastRenderedPageBreak/>
        <w:t>I</w:t>
      </w:r>
      <w:r>
        <w:rPr>
          <w:rStyle w:val="normaltextrun"/>
          <w:color w:val="000000"/>
          <w:lang w:val="lv-LV"/>
        </w:rPr>
        <w:t>nformācija par i</w:t>
      </w:r>
      <w:r w:rsidRPr="0065606A">
        <w:rPr>
          <w:rStyle w:val="normaltextrun"/>
          <w:color w:val="000000"/>
          <w:lang w:val="lv-LV"/>
        </w:rPr>
        <w:t>nvestīciju apjom</w:t>
      </w:r>
      <w:r>
        <w:rPr>
          <w:rStyle w:val="normaltextrun"/>
          <w:color w:val="000000"/>
          <w:lang w:val="lv-LV"/>
        </w:rPr>
        <w:t>u</w:t>
      </w:r>
      <w:r w:rsidRPr="0065606A">
        <w:rPr>
          <w:rStyle w:val="normaltextrun"/>
          <w:color w:val="000000"/>
          <w:lang w:val="lv-LV"/>
        </w:rPr>
        <w:t xml:space="preserve"> un </w:t>
      </w:r>
      <w:r>
        <w:rPr>
          <w:rStyle w:val="normaltextrun"/>
          <w:color w:val="000000"/>
          <w:lang w:val="lv-LV"/>
        </w:rPr>
        <w:t>to</w:t>
      </w:r>
      <w:r w:rsidRPr="0065606A">
        <w:rPr>
          <w:rStyle w:val="normaltextrun"/>
          <w:color w:val="000000"/>
          <w:lang w:val="lv-LV"/>
        </w:rPr>
        <w:t xml:space="preserve"> mērķi</w:t>
      </w:r>
      <w:r>
        <w:rPr>
          <w:rStyle w:val="normaltextrun"/>
          <w:color w:val="000000"/>
          <w:lang w:val="lv-LV"/>
        </w:rPr>
        <w:t>em</w:t>
      </w:r>
      <w:r w:rsidRPr="0065606A">
        <w:rPr>
          <w:rStyle w:val="normaltextrun"/>
          <w:color w:val="000000"/>
          <w:lang w:val="lv-LV"/>
        </w:rPr>
        <w:t xml:space="preserve"> tiks </w:t>
      </w:r>
      <w:r>
        <w:rPr>
          <w:rStyle w:val="normaltextrun"/>
          <w:color w:val="000000"/>
          <w:lang w:val="lv-LV"/>
        </w:rPr>
        <w:t>precizēta veicot ceļveža Latvijai atjaunināšanu</w:t>
      </w:r>
      <w:r w:rsidRPr="0065606A">
        <w:rPr>
          <w:rStyle w:val="normaltextrun"/>
          <w:color w:val="000000"/>
          <w:lang w:val="lv-LV"/>
        </w:rPr>
        <w:t>.</w:t>
      </w:r>
    </w:p>
    <w:p w14:paraId="17B68B4B" w14:textId="77777777" w:rsidR="00145F2B" w:rsidRPr="00550D35" w:rsidRDefault="00145F2B" w:rsidP="00145F2B">
      <w:pPr>
        <w:rPr>
          <w:lang w:val="lv-LV"/>
        </w:rPr>
      </w:pPr>
      <w:r>
        <w:rPr>
          <w:b/>
          <w:bCs/>
          <w:lang w:val="lv-LV"/>
        </w:rPr>
        <w:t>I</w:t>
      </w:r>
      <w:r w:rsidRPr="00550D35">
        <w:rPr>
          <w:b/>
          <w:bCs/>
          <w:lang w:val="lv-LV"/>
        </w:rPr>
        <w:t>zaicinājums</w:t>
      </w:r>
      <w:r>
        <w:rPr>
          <w:b/>
          <w:bCs/>
          <w:lang w:val="lv-LV"/>
        </w:rPr>
        <w:t xml:space="preserve"> Nr.1</w:t>
      </w:r>
      <w:r w:rsidRPr="00550D35">
        <w:rPr>
          <w:b/>
          <w:bCs/>
          <w:lang w:val="lv-LV"/>
        </w:rPr>
        <w:t>.</w:t>
      </w:r>
      <w:r w:rsidRPr="00550D35">
        <w:rPr>
          <w:lang w:val="lv-LV"/>
        </w:rPr>
        <w:t xml:space="preserve"> </w:t>
      </w:r>
      <w:r w:rsidRPr="00550D35">
        <w:rPr>
          <w:b/>
          <w:bCs/>
          <w:lang w:val="lv-LV"/>
        </w:rPr>
        <w:t xml:space="preserve">Nepietiekama centralizēto lietojumu izmantošana publiskajā pārvaldē. </w:t>
      </w:r>
      <w:r w:rsidRPr="00550D35">
        <w:rPr>
          <w:lang w:val="lv-LV"/>
        </w:rPr>
        <w:t xml:space="preserve">Centralizēto risinājumu (Datu publicēšanas platforma, Vienotā saziņas platforma, informācijas resursu, sistēmu un </w:t>
      </w:r>
      <w:proofErr w:type="spellStart"/>
      <w:r w:rsidRPr="00550D35">
        <w:rPr>
          <w:lang w:val="lv-LV"/>
        </w:rPr>
        <w:t>sadarbspējas</w:t>
      </w:r>
      <w:proofErr w:type="spellEnd"/>
      <w:r w:rsidRPr="00550D35">
        <w:rPr>
          <w:lang w:val="lv-LV"/>
        </w:rPr>
        <w:t xml:space="preserve"> informācijas sistēma u.c.) ieviešana notiek pakāpeniski, vispirms tos ieviešot atsevišķās iestādēs, kas tiek norādītas projekta aprakstā, pēc tam izplatot visās iestādēs. Piemēram, projekta “Vienotā saziņas platforma, dokumentu krātuve un dokumentu pārvaldības platforma”</w:t>
      </w:r>
      <w:r w:rsidRPr="00550D35">
        <w:rPr>
          <w:rStyle w:val="FootnoteReference"/>
          <w:lang w:val="lv-LV"/>
        </w:rPr>
        <w:footnoteReference w:id="67"/>
      </w:r>
      <w:r w:rsidRPr="00550D35">
        <w:rPr>
          <w:lang w:val="lv-LV"/>
        </w:rPr>
        <w:t xml:space="preserve"> rezultātā izstrādātais risinājums tiks ieviests Kultūras ministrijas resora iestādēs, bet tā ieviešanai citu iestāžu darbā būs nepieciešami papildus projekti un investīcijas, lai piemērotu iestāžu informācijas sistēmas un nodrošinātu pilnvērtīgu centralizētā lietojuma izmantošanu. </w:t>
      </w:r>
    </w:p>
    <w:p w14:paraId="510A77F7" w14:textId="77777777" w:rsidR="00145F2B" w:rsidRPr="00550D35" w:rsidRDefault="00145F2B" w:rsidP="00145F2B">
      <w:pPr>
        <w:rPr>
          <w:lang w:val="lv-LV"/>
        </w:rPr>
      </w:pPr>
      <w:r>
        <w:rPr>
          <w:b/>
          <w:bCs/>
          <w:lang w:val="lv-LV"/>
        </w:rPr>
        <w:t>I</w:t>
      </w:r>
      <w:r w:rsidRPr="00550D35">
        <w:rPr>
          <w:b/>
          <w:bCs/>
          <w:lang w:val="lv-LV"/>
        </w:rPr>
        <w:t>zaicinājums</w:t>
      </w:r>
      <w:r>
        <w:rPr>
          <w:b/>
          <w:bCs/>
          <w:lang w:val="lv-LV"/>
        </w:rPr>
        <w:t xml:space="preserve"> Nr.2</w:t>
      </w:r>
      <w:r w:rsidRPr="00550D35">
        <w:rPr>
          <w:b/>
          <w:bCs/>
          <w:lang w:val="lv-LV"/>
        </w:rPr>
        <w:t xml:space="preserve">. Nepietiekama </w:t>
      </w:r>
      <w:proofErr w:type="spellStart"/>
      <w:r w:rsidRPr="00550D35">
        <w:rPr>
          <w:b/>
          <w:bCs/>
          <w:lang w:val="lv-LV"/>
        </w:rPr>
        <w:t>vienreizes</w:t>
      </w:r>
      <w:proofErr w:type="spellEnd"/>
      <w:r w:rsidRPr="00550D35">
        <w:rPr>
          <w:b/>
          <w:bCs/>
          <w:lang w:val="lv-LV"/>
        </w:rPr>
        <w:t xml:space="preserve"> principa pielietošana</w:t>
      </w:r>
      <w:r w:rsidRPr="00550D35">
        <w:rPr>
          <w:rStyle w:val="FootnoteReference"/>
          <w:b/>
          <w:bCs/>
          <w:lang w:val="lv-LV"/>
        </w:rPr>
        <w:footnoteReference w:id="68"/>
      </w:r>
      <w:r w:rsidRPr="00550D35">
        <w:rPr>
          <w:b/>
          <w:bCs/>
          <w:lang w:val="lv-LV"/>
        </w:rPr>
        <w:t xml:space="preserve">.  </w:t>
      </w:r>
      <w:r w:rsidRPr="00550D35">
        <w:rPr>
          <w:lang w:val="lv-LV"/>
        </w:rPr>
        <w:t xml:space="preserve">Valsts kontroles 2017. gada veiktajā revīzijā tika identificēti 5 visbiežāk sastopamie iemesli informācijas </w:t>
      </w:r>
      <w:proofErr w:type="spellStart"/>
      <w:r w:rsidRPr="00550D35">
        <w:rPr>
          <w:lang w:val="lv-LV"/>
        </w:rPr>
        <w:t>vienreizes</w:t>
      </w:r>
      <w:proofErr w:type="spellEnd"/>
      <w:r w:rsidRPr="00550D35">
        <w:rPr>
          <w:lang w:val="lv-LV"/>
        </w:rPr>
        <w:t xml:space="preserve"> principa neievērošanai valsts pārvaldes iestādēs:</w:t>
      </w:r>
    </w:p>
    <w:p w14:paraId="19A90FA8" w14:textId="77777777" w:rsidR="00145F2B" w:rsidRPr="00550D35" w:rsidRDefault="00145F2B" w:rsidP="00145F2B">
      <w:pPr>
        <w:rPr>
          <w:lang w:val="lv-LV"/>
        </w:rPr>
      </w:pPr>
      <w:r w:rsidRPr="00550D35">
        <w:rPr>
          <w:lang w:val="lv-LV"/>
        </w:rPr>
        <w:t>1)</w:t>
      </w:r>
      <w:r w:rsidRPr="00550D35">
        <w:rPr>
          <w:lang w:val="lv-LV"/>
        </w:rPr>
        <w:tab/>
        <w:t>normatīvo aktu neaktualizētais regulējums attiecībā uz noteikta veida dokumentācijas obligātu iesniegšanu;</w:t>
      </w:r>
    </w:p>
    <w:p w14:paraId="05CA5A1B" w14:textId="77777777" w:rsidR="00145F2B" w:rsidRPr="00550D35" w:rsidRDefault="00145F2B" w:rsidP="00145F2B">
      <w:pPr>
        <w:rPr>
          <w:lang w:val="lv-LV"/>
        </w:rPr>
      </w:pPr>
      <w:r w:rsidRPr="00550D35">
        <w:rPr>
          <w:lang w:val="lv-LV"/>
        </w:rPr>
        <w:t>2)</w:t>
      </w:r>
      <w:r w:rsidRPr="00550D35">
        <w:rPr>
          <w:lang w:val="lv-LV"/>
        </w:rPr>
        <w:tab/>
        <w:t>starp iestādēm netika izveidota nepieciešamā datu apmaiņa resursu trūkuma, novecojušo tehnoloģiju, salīdzinošu mazu pakalpojuma apjomu un nepietiekošās esošās situācijas analīzes dēļ;</w:t>
      </w:r>
    </w:p>
    <w:p w14:paraId="3EEF6885" w14:textId="77777777" w:rsidR="00145F2B" w:rsidRPr="00550D35" w:rsidRDefault="00145F2B" w:rsidP="00145F2B">
      <w:pPr>
        <w:rPr>
          <w:lang w:val="lv-LV"/>
        </w:rPr>
      </w:pPr>
      <w:r w:rsidRPr="00550D35">
        <w:rPr>
          <w:lang w:val="lv-LV"/>
        </w:rPr>
        <w:t>3)</w:t>
      </w:r>
      <w:r w:rsidRPr="00550D35">
        <w:rPr>
          <w:lang w:val="lv-LV"/>
        </w:rPr>
        <w:tab/>
        <w:t xml:space="preserve">fiziskās un juridiskās personas iesniedz dokumentus pakalpojuma pieprasījuma laikā, lai paātrinātu pakalpojuma sniegšanas procesu; </w:t>
      </w:r>
    </w:p>
    <w:p w14:paraId="01897E54" w14:textId="77777777" w:rsidR="00145F2B" w:rsidRPr="00550D35" w:rsidRDefault="00145F2B" w:rsidP="00145F2B">
      <w:pPr>
        <w:rPr>
          <w:lang w:val="lv-LV"/>
        </w:rPr>
      </w:pPr>
      <w:r w:rsidRPr="00550D35">
        <w:rPr>
          <w:lang w:val="lv-LV"/>
        </w:rPr>
        <w:t>4)</w:t>
      </w:r>
      <w:r w:rsidRPr="00550D35">
        <w:rPr>
          <w:lang w:val="lv-LV"/>
        </w:rPr>
        <w:tab/>
        <w:t xml:space="preserve">informācijas </w:t>
      </w:r>
      <w:proofErr w:type="spellStart"/>
      <w:r w:rsidRPr="00550D35">
        <w:rPr>
          <w:lang w:val="lv-LV"/>
        </w:rPr>
        <w:t>vienreizes</w:t>
      </w:r>
      <w:proofErr w:type="spellEnd"/>
      <w:r w:rsidRPr="00550D35">
        <w:rPr>
          <w:lang w:val="lv-LV"/>
        </w:rPr>
        <w:t xml:space="preserve"> principa nodrošināšana nav iespējama, jo noteiktu datu izsniegšanas pakalpojumi ir maksas pakalpojumi;</w:t>
      </w:r>
    </w:p>
    <w:p w14:paraId="12BFFEFC" w14:textId="77777777" w:rsidR="00145F2B" w:rsidRPr="00550D35" w:rsidRDefault="00145F2B" w:rsidP="00145F2B">
      <w:pPr>
        <w:rPr>
          <w:lang w:val="lv-LV"/>
        </w:rPr>
      </w:pPr>
      <w:r w:rsidRPr="00550D35">
        <w:rPr>
          <w:lang w:val="lv-LV"/>
        </w:rPr>
        <w:t>5)</w:t>
      </w:r>
      <w:r w:rsidRPr="00550D35">
        <w:rPr>
          <w:lang w:val="lv-LV"/>
        </w:rPr>
        <w:tab/>
        <w:t xml:space="preserve">iestādēm nav pieejama informācija par noteikta veidu datu uzkrāšanu citās iestādēs. </w:t>
      </w:r>
    </w:p>
    <w:p w14:paraId="6AA5D24D" w14:textId="77777777" w:rsidR="00145F2B" w:rsidRPr="00550D35" w:rsidRDefault="00145F2B" w:rsidP="00145F2B">
      <w:pPr>
        <w:rPr>
          <w:lang w:val="lv-LV"/>
        </w:rPr>
      </w:pPr>
      <w:r w:rsidRPr="00550D35">
        <w:rPr>
          <w:lang w:val="lv-LV"/>
        </w:rPr>
        <w:t xml:space="preserve">Jau pašreiz ir uzlabota datu apmaiņa starp iestādēm pakalpojumu sniegšanas procesā, tomēr līdz pilnvērtīgai </w:t>
      </w:r>
      <w:proofErr w:type="spellStart"/>
      <w:r w:rsidRPr="00550D35">
        <w:rPr>
          <w:lang w:val="lv-LV"/>
        </w:rPr>
        <w:t>vienreizes</w:t>
      </w:r>
      <w:proofErr w:type="spellEnd"/>
      <w:r w:rsidRPr="00550D35">
        <w:rPr>
          <w:lang w:val="lv-LV"/>
        </w:rPr>
        <w:t xml:space="preserve"> principa ievērošanai ir nepieciešami pilnveidojumi gan informācijas sistēmās, gan pakalpojumu sniegšanas procesos.</w:t>
      </w:r>
    </w:p>
    <w:p w14:paraId="7681C79F" w14:textId="77777777" w:rsidR="00145F2B" w:rsidRPr="00550D35" w:rsidRDefault="00145F2B" w:rsidP="00145F2B">
      <w:pPr>
        <w:rPr>
          <w:lang w:val="lv-LV"/>
        </w:rPr>
      </w:pPr>
      <w:r>
        <w:rPr>
          <w:b/>
          <w:bCs/>
          <w:lang w:val="lv-LV"/>
        </w:rPr>
        <w:t>Iz</w:t>
      </w:r>
      <w:r w:rsidRPr="00550D35">
        <w:rPr>
          <w:b/>
          <w:bCs/>
          <w:lang w:val="lv-LV"/>
        </w:rPr>
        <w:t>aicinājums</w:t>
      </w:r>
      <w:r>
        <w:rPr>
          <w:b/>
          <w:bCs/>
          <w:lang w:val="lv-LV"/>
        </w:rPr>
        <w:t xml:space="preserve"> Nr.3</w:t>
      </w:r>
      <w:r w:rsidRPr="00550D35">
        <w:rPr>
          <w:b/>
          <w:bCs/>
          <w:lang w:val="lv-LV"/>
        </w:rPr>
        <w:t xml:space="preserve">. Lietotāji nepietiekami izmanto elektronisko pakalpojumu pieprasīšanas un saņemšanas iespējas. </w:t>
      </w:r>
      <w:r w:rsidRPr="00550D35">
        <w:rPr>
          <w:lang w:val="lv-LV"/>
        </w:rPr>
        <w:t xml:space="preserve">Neskatoties uz to, ka daudzi publiskās pārvaldes pakalpojumi ir pieejami digitālajā vidē, iedzīvotāji un komersanti joprojām vēlas izmantot klientu apkalpošanas kanālus klātienē. Tas ir saistīts gan ar nepietiekamām digitālajām prasmēm, gan nespēju iegādāties tehniskos līdzekļus e-pakalpojumu izmantošanai, gan arī to, ka klātienē nepieciešams risināt nestandarta situācijas pakalpojumu pieprasīšanā, kuras nav iespējams atrisināt iesniedzot pakalpojuma pieprasījumu elektroniski. </w:t>
      </w:r>
    </w:p>
    <w:p w14:paraId="6BD419A4" w14:textId="77777777" w:rsidR="00145F2B" w:rsidRDefault="00145F2B" w:rsidP="00145F2B">
      <w:pPr>
        <w:spacing w:before="0"/>
        <w:rPr>
          <w:lang w:val="lv-LV"/>
        </w:rPr>
      </w:pPr>
      <w:r>
        <w:rPr>
          <w:b/>
          <w:bCs/>
          <w:lang w:val="lv-LV"/>
        </w:rPr>
        <w:t>I</w:t>
      </w:r>
      <w:r w:rsidRPr="00550D35">
        <w:rPr>
          <w:b/>
          <w:bCs/>
          <w:lang w:val="lv-LV"/>
        </w:rPr>
        <w:t>zaicinājums</w:t>
      </w:r>
      <w:r>
        <w:rPr>
          <w:b/>
          <w:bCs/>
          <w:lang w:val="lv-LV"/>
        </w:rPr>
        <w:t xml:space="preserve"> Nr.4</w:t>
      </w:r>
      <w:r w:rsidRPr="00550D35">
        <w:rPr>
          <w:b/>
          <w:bCs/>
          <w:lang w:val="lv-LV"/>
        </w:rPr>
        <w:t>. 100% galveno publisko pakalpojumu pieejamība iedzīvotājiem ir kvalitatīvi jauns solis</w:t>
      </w:r>
      <w:r w:rsidRPr="00550D35">
        <w:rPr>
          <w:lang w:val="lv-LV"/>
        </w:rPr>
        <w:t>, kura sasniegšana var būt problemātiska tiem pakalpojumiem, kuri ir izstrādāti salīdzinoši sen un tehnoloģiskās platformas, kas nodrošina to darbību, ir novecojušas. Līdz ar to, būs jāpieņem lēmumi par šo pakalpojumu tālāku attīstīšanu, kas var nozīmēt to pilnīgu pārbūvi, lai sasniegtu nospraustos mērķus.</w:t>
      </w:r>
    </w:p>
    <w:p w14:paraId="42E8A496" w14:textId="77777777" w:rsidR="00145F2B" w:rsidRPr="00550D35" w:rsidRDefault="00145F2B" w:rsidP="00145F2B">
      <w:pPr>
        <w:pStyle w:val="Heading2"/>
        <w:rPr>
          <w:lang w:val="lv-LV"/>
        </w:rPr>
      </w:pPr>
      <w:r w:rsidRPr="00550D35">
        <w:rPr>
          <w:lang w:val="lv-LV"/>
        </w:rPr>
        <w:t xml:space="preserve">Valsts prognozētā trajektorija un </w:t>
      </w:r>
      <w:proofErr w:type="spellStart"/>
      <w:r w:rsidRPr="00550D35">
        <w:rPr>
          <w:lang w:val="lv-LV"/>
        </w:rPr>
        <w:t>mērķrādītāj</w:t>
      </w:r>
      <w:r>
        <w:rPr>
          <w:lang w:val="lv-LV"/>
        </w:rPr>
        <w:t>s</w:t>
      </w:r>
      <w:proofErr w:type="spellEnd"/>
      <w:r w:rsidRPr="00550D35">
        <w:rPr>
          <w:lang w:val="lv-LV"/>
        </w:rPr>
        <w:t>, kas paredzēt</w:t>
      </w:r>
      <w:r>
        <w:rPr>
          <w:lang w:val="lv-LV"/>
        </w:rPr>
        <w:t>s</w:t>
      </w:r>
      <w:r w:rsidRPr="00550D35">
        <w:rPr>
          <w:lang w:val="lv-LV"/>
        </w:rPr>
        <w:t xml:space="preserve">, lai palīdzētu sasniegt ES digitālo </w:t>
      </w:r>
      <w:proofErr w:type="spellStart"/>
      <w:r w:rsidRPr="00550D35">
        <w:rPr>
          <w:lang w:val="lv-LV"/>
        </w:rPr>
        <w:t>mērķrādītāju</w:t>
      </w:r>
      <w:proofErr w:type="spellEnd"/>
      <w:r w:rsidRPr="00550D35">
        <w:rPr>
          <w:lang w:val="lv-LV"/>
        </w:rPr>
        <w:t xml:space="preserve"> </w:t>
      </w:r>
    </w:p>
    <w:p w14:paraId="71FED9A4" w14:textId="77777777" w:rsidR="00145F2B" w:rsidRPr="00550D35" w:rsidRDefault="00145F2B" w:rsidP="00145F2B">
      <w:pPr>
        <w:pStyle w:val="Text2"/>
        <w:rPr>
          <w:lang w:val="lv-LV"/>
        </w:rPr>
      </w:pPr>
    </w:p>
    <w:p w14:paraId="58F06FE6" w14:textId="77777777" w:rsidR="00145F2B" w:rsidRPr="00550D35" w:rsidRDefault="00145F2B" w:rsidP="00145F2B">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lang w:val="lv-LV"/>
        </w:rPr>
      </w:pPr>
      <w:r w:rsidRPr="00550D35">
        <w:rPr>
          <w:b/>
          <w:lang w:val="lv-LV"/>
        </w:rPr>
        <w:t>Nacionālā bāzes vērtība (2023)     87%; ES bāzes vērtība (2023)  77%</w:t>
      </w:r>
    </w:p>
    <w:p w14:paraId="1B01A632" w14:textId="77777777" w:rsidR="00145F2B" w:rsidRPr="00550D35" w:rsidRDefault="00145F2B" w:rsidP="00145F2B">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lang w:val="lv-LV"/>
        </w:rPr>
      </w:pPr>
      <w:r w:rsidRPr="00550D35">
        <w:rPr>
          <w:b/>
          <w:lang w:val="lv-LV"/>
        </w:rPr>
        <w:lastRenderedPageBreak/>
        <w:t xml:space="preserve">Nacionālais </w:t>
      </w:r>
      <w:proofErr w:type="spellStart"/>
      <w:r w:rsidRPr="00550D35">
        <w:rPr>
          <w:b/>
          <w:lang w:val="lv-LV"/>
        </w:rPr>
        <w:t>mērķrādītājs</w:t>
      </w:r>
      <w:proofErr w:type="spellEnd"/>
      <w:r w:rsidRPr="00550D35">
        <w:rPr>
          <w:b/>
          <w:lang w:val="lv-LV"/>
        </w:rPr>
        <w:t xml:space="preserve"> (2030) 10</w:t>
      </w:r>
      <w:r w:rsidRPr="00550D35">
        <w:rPr>
          <w:b/>
          <w:bCs/>
          <w:lang w:val="lv-LV"/>
        </w:rPr>
        <w:t>0</w:t>
      </w:r>
      <w:r w:rsidRPr="00550D35">
        <w:rPr>
          <w:b/>
          <w:lang w:val="lv-LV"/>
        </w:rPr>
        <w:t xml:space="preserve">%; ES </w:t>
      </w:r>
      <w:proofErr w:type="spellStart"/>
      <w:r w:rsidRPr="00550D35">
        <w:rPr>
          <w:b/>
          <w:lang w:val="lv-LV"/>
        </w:rPr>
        <w:t>mērķrādītājs</w:t>
      </w:r>
      <w:proofErr w:type="spellEnd"/>
      <w:r w:rsidRPr="00550D35">
        <w:rPr>
          <w:b/>
          <w:lang w:val="lv-LV"/>
        </w:rPr>
        <w:t xml:space="preserve"> (2030) 100%</w:t>
      </w:r>
    </w:p>
    <w:p w14:paraId="29518543" w14:textId="77777777" w:rsidR="00145F2B" w:rsidRPr="00550D35" w:rsidRDefault="00145F2B" w:rsidP="00145F2B">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i/>
          <w:iCs/>
          <w:szCs w:val="24"/>
          <w:lang w:val="lv-LV"/>
        </w:rPr>
      </w:pPr>
      <w:r w:rsidRPr="00550D35">
        <w:rPr>
          <w:i/>
          <w:iCs/>
          <w:szCs w:val="24"/>
          <w:lang w:val="lv-LV"/>
        </w:rPr>
        <w:t>Avots: Digitālās dekādes 2023.gada ziņojums par Latviju</w:t>
      </w:r>
    </w:p>
    <w:p w14:paraId="37721E8D" w14:textId="77777777" w:rsidR="00145F2B" w:rsidRPr="00550D35" w:rsidRDefault="00145F2B" w:rsidP="00145F2B">
      <w:pPr>
        <w:rPr>
          <w:lang w:val="lv-LV"/>
        </w:rPr>
      </w:pPr>
      <w:r w:rsidRPr="00550D35">
        <w:rPr>
          <w:lang w:val="lv-LV"/>
        </w:rPr>
        <w:t>Latvijas mērķis attiecībā uz Dekādes programmas KPI “galvenie publiskie pakalpojumi” saskan ar ES izvirzīto mērķi un ir šo pakalpojumu 100% pieejamība un nodrošināta iespēja iedzīvotājiem galvenos publiskos pakalpojumus saņemt tiešsaistē. Prognozētā trajektorija var tikt precizēta ceļveža pārskatīšanas gaitā.</w:t>
      </w:r>
    </w:p>
    <w:tbl>
      <w:tblPr>
        <w:tblStyle w:val="TableGrid"/>
        <w:tblW w:w="8499" w:type="dxa"/>
        <w:tblInd w:w="108" w:type="dxa"/>
        <w:tblLayout w:type="fixed"/>
        <w:tblLook w:val="04A0" w:firstRow="1" w:lastRow="0" w:firstColumn="1" w:lastColumn="0" w:noHBand="0" w:noVBand="1"/>
      </w:tblPr>
      <w:tblGrid>
        <w:gridCol w:w="1062"/>
        <w:gridCol w:w="1062"/>
        <w:gridCol w:w="1063"/>
        <w:gridCol w:w="1062"/>
        <w:gridCol w:w="1062"/>
        <w:gridCol w:w="1063"/>
        <w:gridCol w:w="1062"/>
        <w:gridCol w:w="1063"/>
      </w:tblGrid>
      <w:tr w:rsidR="00145F2B" w:rsidRPr="00550D35" w14:paraId="1AEDAE54" w14:textId="77777777" w:rsidTr="00BA62A0">
        <w:trPr>
          <w:trHeight w:val="300"/>
        </w:trPr>
        <w:tc>
          <w:tcPr>
            <w:tcW w:w="1062" w:type="dxa"/>
          </w:tcPr>
          <w:p w14:paraId="300ADE71" w14:textId="77777777" w:rsidR="00145F2B" w:rsidRPr="00550D35" w:rsidRDefault="00145F2B" w:rsidP="00BA62A0">
            <w:pPr>
              <w:spacing w:before="0" w:after="0" w:line="259" w:lineRule="auto"/>
              <w:ind w:firstLine="0"/>
              <w:rPr>
                <w:sz w:val="20"/>
                <w:lang w:val="lv-LV"/>
              </w:rPr>
            </w:pPr>
            <w:r w:rsidRPr="00550D35">
              <w:rPr>
                <w:sz w:val="20"/>
                <w:lang w:val="lv-LV"/>
              </w:rPr>
              <w:t>2023</w:t>
            </w:r>
          </w:p>
        </w:tc>
        <w:tc>
          <w:tcPr>
            <w:tcW w:w="1062" w:type="dxa"/>
          </w:tcPr>
          <w:p w14:paraId="2C045903" w14:textId="77777777" w:rsidR="00145F2B" w:rsidRPr="00550D35" w:rsidRDefault="00145F2B" w:rsidP="00BA62A0">
            <w:pPr>
              <w:spacing w:before="0" w:after="0" w:line="259" w:lineRule="auto"/>
              <w:ind w:firstLine="0"/>
              <w:rPr>
                <w:sz w:val="20"/>
                <w:lang w:val="lv-LV"/>
              </w:rPr>
            </w:pPr>
            <w:r w:rsidRPr="00550D35">
              <w:rPr>
                <w:sz w:val="20"/>
                <w:lang w:val="lv-LV"/>
              </w:rPr>
              <w:t>2024</w:t>
            </w:r>
          </w:p>
        </w:tc>
        <w:tc>
          <w:tcPr>
            <w:tcW w:w="1063" w:type="dxa"/>
          </w:tcPr>
          <w:p w14:paraId="3DD79843" w14:textId="77777777" w:rsidR="00145F2B" w:rsidRPr="00550D35" w:rsidRDefault="00145F2B" w:rsidP="00BA62A0">
            <w:pPr>
              <w:spacing w:before="0" w:after="0" w:line="259" w:lineRule="auto"/>
              <w:ind w:firstLine="0"/>
              <w:rPr>
                <w:sz w:val="20"/>
                <w:lang w:val="lv-LV"/>
              </w:rPr>
            </w:pPr>
            <w:r w:rsidRPr="00550D35">
              <w:rPr>
                <w:sz w:val="20"/>
                <w:lang w:val="lv-LV"/>
              </w:rPr>
              <w:t>2025</w:t>
            </w:r>
          </w:p>
        </w:tc>
        <w:tc>
          <w:tcPr>
            <w:tcW w:w="1062" w:type="dxa"/>
          </w:tcPr>
          <w:p w14:paraId="12F929D2" w14:textId="77777777" w:rsidR="00145F2B" w:rsidRPr="00550D35" w:rsidRDefault="00145F2B" w:rsidP="00BA62A0">
            <w:pPr>
              <w:spacing w:before="0" w:after="0" w:line="259" w:lineRule="auto"/>
              <w:ind w:firstLine="0"/>
              <w:rPr>
                <w:sz w:val="20"/>
                <w:lang w:val="lv-LV"/>
              </w:rPr>
            </w:pPr>
            <w:r w:rsidRPr="00550D35">
              <w:rPr>
                <w:sz w:val="20"/>
                <w:lang w:val="lv-LV"/>
              </w:rPr>
              <w:t>2026</w:t>
            </w:r>
          </w:p>
        </w:tc>
        <w:tc>
          <w:tcPr>
            <w:tcW w:w="1062" w:type="dxa"/>
          </w:tcPr>
          <w:p w14:paraId="7BC60AD8" w14:textId="77777777" w:rsidR="00145F2B" w:rsidRPr="00550D35" w:rsidRDefault="00145F2B" w:rsidP="00BA62A0">
            <w:pPr>
              <w:spacing w:before="0" w:after="0" w:line="259" w:lineRule="auto"/>
              <w:ind w:firstLine="0"/>
              <w:rPr>
                <w:sz w:val="20"/>
                <w:lang w:val="lv-LV"/>
              </w:rPr>
            </w:pPr>
            <w:r w:rsidRPr="00550D35">
              <w:rPr>
                <w:sz w:val="20"/>
                <w:lang w:val="lv-LV"/>
              </w:rPr>
              <w:t>2027</w:t>
            </w:r>
          </w:p>
        </w:tc>
        <w:tc>
          <w:tcPr>
            <w:tcW w:w="1063" w:type="dxa"/>
          </w:tcPr>
          <w:p w14:paraId="779AEB17" w14:textId="77777777" w:rsidR="00145F2B" w:rsidRPr="00550D35" w:rsidRDefault="00145F2B" w:rsidP="00BA62A0">
            <w:pPr>
              <w:spacing w:before="0" w:after="0" w:line="259" w:lineRule="auto"/>
              <w:ind w:firstLine="0"/>
              <w:rPr>
                <w:sz w:val="20"/>
                <w:lang w:val="lv-LV"/>
              </w:rPr>
            </w:pPr>
            <w:r w:rsidRPr="00550D35">
              <w:rPr>
                <w:sz w:val="20"/>
                <w:lang w:val="lv-LV"/>
              </w:rPr>
              <w:t>2028</w:t>
            </w:r>
          </w:p>
        </w:tc>
        <w:tc>
          <w:tcPr>
            <w:tcW w:w="1062" w:type="dxa"/>
          </w:tcPr>
          <w:p w14:paraId="0D39BD7B" w14:textId="77777777" w:rsidR="00145F2B" w:rsidRPr="00550D35" w:rsidRDefault="00145F2B" w:rsidP="00BA62A0">
            <w:pPr>
              <w:spacing w:before="0" w:after="0" w:line="259" w:lineRule="auto"/>
              <w:ind w:firstLine="0"/>
              <w:rPr>
                <w:sz w:val="20"/>
                <w:lang w:val="lv-LV"/>
              </w:rPr>
            </w:pPr>
            <w:r w:rsidRPr="00550D35">
              <w:rPr>
                <w:sz w:val="20"/>
                <w:lang w:val="lv-LV"/>
              </w:rPr>
              <w:t>2029</w:t>
            </w:r>
          </w:p>
        </w:tc>
        <w:tc>
          <w:tcPr>
            <w:tcW w:w="1063" w:type="dxa"/>
          </w:tcPr>
          <w:p w14:paraId="7B26CF5A" w14:textId="77777777" w:rsidR="00145F2B" w:rsidRPr="00550D35" w:rsidRDefault="00145F2B" w:rsidP="00BA62A0">
            <w:pPr>
              <w:spacing w:before="0" w:after="0" w:line="259" w:lineRule="auto"/>
              <w:ind w:firstLine="0"/>
              <w:rPr>
                <w:sz w:val="20"/>
                <w:lang w:val="lv-LV"/>
              </w:rPr>
            </w:pPr>
            <w:r w:rsidRPr="00550D35">
              <w:rPr>
                <w:sz w:val="20"/>
                <w:lang w:val="lv-LV"/>
              </w:rPr>
              <w:t>2030</w:t>
            </w:r>
          </w:p>
        </w:tc>
      </w:tr>
      <w:tr w:rsidR="00145F2B" w:rsidRPr="00550D35" w14:paraId="65B1CD97" w14:textId="77777777" w:rsidTr="00BA62A0">
        <w:trPr>
          <w:trHeight w:val="300"/>
        </w:trPr>
        <w:tc>
          <w:tcPr>
            <w:tcW w:w="1062" w:type="dxa"/>
            <w:shd w:val="clear" w:color="auto" w:fill="auto"/>
          </w:tcPr>
          <w:p w14:paraId="2B457F18" w14:textId="77777777" w:rsidR="00145F2B" w:rsidRPr="00550D35" w:rsidRDefault="00145F2B" w:rsidP="00BA62A0">
            <w:pPr>
              <w:spacing w:before="0" w:after="0" w:line="259" w:lineRule="auto"/>
              <w:ind w:firstLine="0"/>
              <w:rPr>
                <w:sz w:val="20"/>
                <w:lang w:val="lv-LV"/>
              </w:rPr>
            </w:pPr>
            <w:r w:rsidRPr="00550D35">
              <w:rPr>
                <w:sz w:val="20"/>
                <w:lang w:val="lv-LV"/>
              </w:rPr>
              <w:t>87%</w:t>
            </w:r>
          </w:p>
        </w:tc>
        <w:tc>
          <w:tcPr>
            <w:tcW w:w="1062" w:type="dxa"/>
            <w:shd w:val="clear" w:color="auto" w:fill="auto"/>
          </w:tcPr>
          <w:p w14:paraId="24298680" w14:textId="77777777" w:rsidR="00145F2B" w:rsidRPr="00550D35" w:rsidRDefault="00145F2B" w:rsidP="00BA62A0">
            <w:pPr>
              <w:spacing w:before="0" w:after="0" w:line="259" w:lineRule="auto"/>
              <w:ind w:firstLine="0"/>
              <w:rPr>
                <w:sz w:val="20"/>
                <w:lang w:val="lv-LV"/>
              </w:rPr>
            </w:pPr>
            <w:r w:rsidRPr="00550D35">
              <w:rPr>
                <w:sz w:val="20"/>
                <w:lang w:val="lv-LV"/>
              </w:rPr>
              <w:t>88%</w:t>
            </w:r>
          </w:p>
        </w:tc>
        <w:tc>
          <w:tcPr>
            <w:tcW w:w="1063" w:type="dxa"/>
            <w:shd w:val="clear" w:color="auto" w:fill="auto"/>
          </w:tcPr>
          <w:p w14:paraId="68199A9D" w14:textId="77777777" w:rsidR="00145F2B" w:rsidRPr="00550D35" w:rsidRDefault="00145F2B" w:rsidP="00BA62A0">
            <w:pPr>
              <w:spacing w:before="0" w:after="0" w:line="259" w:lineRule="auto"/>
              <w:ind w:firstLine="0"/>
              <w:rPr>
                <w:sz w:val="20"/>
                <w:lang w:val="lv-LV"/>
              </w:rPr>
            </w:pPr>
            <w:r w:rsidRPr="00550D35">
              <w:rPr>
                <w:sz w:val="20"/>
                <w:lang w:val="lv-LV"/>
              </w:rPr>
              <w:t>89%</w:t>
            </w:r>
          </w:p>
        </w:tc>
        <w:tc>
          <w:tcPr>
            <w:tcW w:w="1062" w:type="dxa"/>
            <w:shd w:val="clear" w:color="auto" w:fill="auto"/>
          </w:tcPr>
          <w:p w14:paraId="394D6921" w14:textId="77777777" w:rsidR="00145F2B" w:rsidRPr="00550D35" w:rsidRDefault="00145F2B" w:rsidP="00BA62A0">
            <w:pPr>
              <w:spacing w:before="0" w:after="0" w:line="259" w:lineRule="auto"/>
              <w:ind w:firstLine="0"/>
              <w:rPr>
                <w:sz w:val="20"/>
                <w:lang w:val="lv-LV"/>
              </w:rPr>
            </w:pPr>
            <w:r w:rsidRPr="00550D35">
              <w:rPr>
                <w:sz w:val="20"/>
                <w:lang w:val="lv-LV"/>
              </w:rPr>
              <w:t>91%</w:t>
            </w:r>
          </w:p>
        </w:tc>
        <w:tc>
          <w:tcPr>
            <w:tcW w:w="1062" w:type="dxa"/>
            <w:shd w:val="clear" w:color="auto" w:fill="auto"/>
          </w:tcPr>
          <w:p w14:paraId="69C6E6A3" w14:textId="77777777" w:rsidR="00145F2B" w:rsidRPr="00550D35" w:rsidRDefault="00145F2B" w:rsidP="00BA62A0">
            <w:pPr>
              <w:spacing w:before="0" w:after="0" w:line="259" w:lineRule="auto"/>
              <w:ind w:firstLine="0"/>
              <w:rPr>
                <w:sz w:val="20"/>
                <w:lang w:val="lv-LV"/>
              </w:rPr>
            </w:pPr>
            <w:r w:rsidRPr="00550D35">
              <w:rPr>
                <w:sz w:val="20"/>
                <w:lang w:val="lv-LV"/>
              </w:rPr>
              <w:t>94%</w:t>
            </w:r>
          </w:p>
        </w:tc>
        <w:tc>
          <w:tcPr>
            <w:tcW w:w="1063" w:type="dxa"/>
            <w:shd w:val="clear" w:color="auto" w:fill="auto"/>
          </w:tcPr>
          <w:p w14:paraId="0E8AD847" w14:textId="77777777" w:rsidR="00145F2B" w:rsidRPr="00550D35" w:rsidRDefault="00145F2B" w:rsidP="00BA62A0">
            <w:pPr>
              <w:spacing w:before="0" w:after="0" w:line="259" w:lineRule="auto"/>
              <w:ind w:firstLine="0"/>
              <w:rPr>
                <w:sz w:val="20"/>
                <w:lang w:val="lv-LV"/>
              </w:rPr>
            </w:pPr>
            <w:r w:rsidRPr="00550D35">
              <w:rPr>
                <w:sz w:val="20"/>
                <w:lang w:val="lv-LV"/>
              </w:rPr>
              <w:t>97%</w:t>
            </w:r>
          </w:p>
        </w:tc>
        <w:tc>
          <w:tcPr>
            <w:tcW w:w="1062" w:type="dxa"/>
            <w:shd w:val="clear" w:color="auto" w:fill="auto"/>
          </w:tcPr>
          <w:p w14:paraId="7F97E631" w14:textId="77777777" w:rsidR="00145F2B" w:rsidRPr="00550D35" w:rsidRDefault="00145F2B" w:rsidP="00BA62A0">
            <w:pPr>
              <w:spacing w:before="0" w:after="0" w:line="259" w:lineRule="auto"/>
              <w:ind w:firstLine="0"/>
              <w:rPr>
                <w:sz w:val="20"/>
                <w:lang w:val="lv-LV"/>
              </w:rPr>
            </w:pPr>
            <w:r w:rsidRPr="00550D35">
              <w:rPr>
                <w:sz w:val="20"/>
                <w:lang w:val="lv-LV"/>
              </w:rPr>
              <w:t>99%</w:t>
            </w:r>
          </w:p>
        </w:tc>
        <w:tc>
          <w:tcPr>
            <w:tcW w:w="1063" w:type="dxa"/>
            <w:shd w:val="clear" w:color="auto" w:fill="auto"/>
          </w:tcPr>
          <w:p w14:paraId="0166F42B" w14:textId="77777777" w:rsidR="00145F2B" w:rsidRPr="00550D35" w:rsidRDefault="00145F2B" w:rsidP="00BA62A0">
            <w:pPr>
              <w:spacing w:before="0" w:after="0" w:line="259" w:lineRule="auto"/>
              <w:ind w:firstLine="0"/>
              <w:rPr>
                <w:sz w:val="20"/>
                <w:lang w:val="lv-LV"/>
              </w:rPr>
            </w:pPr>
            <w:r w:rsidRPr="00550D35">
              <w:rPr>
                <w:sz w:val="20"/>
                <w:lang w:val="lv-LV"/>
              </w:rPr>
              <w:t xml:space="preserve">100% </w:t>
            </w:r>
          </w:p>
        </w:tc>
      </w:tr>
    </w:tbl>
    <w:p w14:paraId="71290DFE" w14:textId="77777777" w:rsidR="00145F2B" w:rsidRPr="00550D35" w:rsidRDefault="00145F2B" w:rsidP="00145F2B">
      <w:pPr>
        <w:spacing w:before="0" w:after="0" w:line="259" w:lineRule="auto"/>
        <w:ind w:left="360"/>
        <w:rPr>
          <w:lang w:val="lv-LV"/>
        </w:rPr>
      </w:pPr>
    </w:p>
    <w:p w14:paraId="4F0AC368" w14:textId="77777777" w:rsidR="00145F2B" w:rsidRPr="00550D35" w:rsidRDefault="00145F2B" w:rsidP="00145F2B">
      <w:pPr>
        <w:pStyle w:val="Heading2"/>
        <w:rPr>
          <w:lang w:val="lv-LV"/>
        </w:rPr>
      </w:pPr>
      <w:r w:rsidRPr="00550D35">
        <w:rPr>
          <w:lang w:val="lv-LV"/>
        </w:rPr>
        <w:t>Politika, pasākumi un darbības digitāl</w:t>
      </w:r>
      <w:r>
        <w:rPr>
          <w:lang w:val="lv-LV"/>
        </w:rPr>
        <w:t>ā</w:t>
      </w:r>
      <w:r w:rsidRPr="00550D35">
        <w:rPr>
          <w:lang w:val="lv-LV"/>
        </w:rPr>
        <w:t xml:space="preserve"> </w:t>
      </w:r>
      <w:proofErr w:type="spellStart"/>
      <w:r w:rsidRPr="00550D35">
        <w:rPr>
          <w:lang w:val="lv-LV"/>
        </w:rPr>
        <w:t>mērķrādītāj</w:t>
      </w:r>
      <w:r>
        <w:rPr>
          <w:lang w:val="lv-LV"/>
        </w:rPr>
        <w:t>a</w:t>
      </w:r>
      <w:proofErr w:type="spellEnd"/>
      <w:r w:rsidRPr="00550D35">
        <w:rPr>
          <w:lang w:val="lv-LV"/>
        </w:rPr>
        <w:t xml:space="preserve"> sasniegšanai</w:t>
      </w:r>
    </w:p>
    <w:p w14:paraId="6AF7499D" w14:textId="77777777" w:rsidR="00145F2B" w:rsidRPr="004E122B" w:rsidRDefault="00145F2B" w:rsidP="00145F2B">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2BD00E43" w14:textId="77777777" w:rsidR="00145F2B" w:rsidRPr="00550D35" w:rsidRDefault="00145F2B" w:rsidP="00145F2B">
      <w:pPr>
        <w:spacing w:before="0" w:after="0" w:line="259" w:lineRule="auto"/>
        <w:rPr>
          <w:lang w:val="lv-LV"/>
        </w:rPr>
      </w:pPr>
      <w:r w:rsidRPr="00550D35">
        <w:rPr>
          <w:lang w:val="lv-LV"/>
        </w:rPr>
        <w:t>Kopējais laika ietvars</w:t>
      </w:r>
      <w:r w:rsidRPr="00550D35">
        <w:rPr>
          <w:vertAlign w:val="superscript"/>
          <w:lang w:val="lv-LV"/>
        </w:rPr>
        <w:footnoteReference w:id="69"/>
      </w:r>
      <w:r w:rsidRPr="00550D35">
        <w:rPr>
          <w:lang w:val="lv-LV"/>
        </w:rPr>
        <w:t xml:space="preserve">: </w:t>
      </w:r>
    </w:p>
    <w:tbl>
      <w:tblPr>
        <w:tblStyle w:val="TableGrid"/>
        <w:tblW w:w="8609" w:type="dxa"/>
        <w:tblLayout w:type="fixed"/>
        <w:tblLook w:val="04A0" w:firstRow="1" w:lastRow="0" w:firstColumn="1" w:lastColumn="0" w:noHBand="0" w:noVBand="1"/>
      </w:tblPr>
      <w:tblGrid>
        <w:gridCol w:w="2625"/>
        <w:gridCol w:w="748"/>
        <w:gridCol w:w="748"/>
        <w:gridCol w:w="748"/>
        <w:gridCol w:w="748"/>
        <w:gridCol w:w="748"/>
        <w:gridCol w:w="748"/>
        <w:gridCol w:w="748"/>
        <w:gridCol w:w="748"/>
      </w:tblGrid>
      <w:tr w:rsidR="00145F2B" w:rsidRPr="00550D35" w14:paraId="1BA7FF30" w14:textId="77777777" w:rsidTr="00BA62A0">
        <w:tc>
          <w:tcPr>
            <w:tcW w:w="2625" w:type="dxa"/>
            <w:shd w:val="clear" w:color="auto" w:fill="auto"/>
          </w:tcPr>
          <w:p w14:paraId="67BFEE7D" w14:textId="77777777" w:rsidR="00145F2B" w:rsidRPr="00550D35" w:rsidRDefault="00145F2B" w:rsidP="00BA62A0">
            <w:pPr>
              <w:spacing w:before="0" w:after="0" w:line="259" w:lineRule="auto"/>
              <w:jc w:val="center"/>
              <w:rPr>
                <w:sz w:val="18"/>
                <w:szCs w:val="18"/>
                <w:lang w:val="lv-LV"/>
              </w:rPr>
            </w:pPr>
          </w:p>
        </w:tc>
        <w:tc>
          <w:tcPr>
            <w:tcW w:w="748" w:type="dxa"/>
          </w:tcPr>
          <w:p w14:paraId="492D1C8F" w14:textId="77777777" w:rsidR="00145F2B" w:rsidRPr="00550D35" w:rsidRDefault="00145F2B" w:rsidP="00BA62A0">
            <w:pPr>
              <w:spacing w:before="0" w:after="0" w:line="259" w:lineRule="auto"/>
              <w:ind w:firstLine="0"/>
              <w:jc w:val="center"/>
              <w:rPr>
                <w:sz w:val="18"/>
                <w:szCs w:val="18"/>
                <w:lang w:val="lv-LV"/>
              </w:rPr>
            </w:pPr>
            <w:r w:rsidRPr="00550D35">
              <w:rPr>
                <w:sz w:val="18"/>
                <w:szCs w:val="18"/>
                <w:lang w:val="lv-LV"/>
              </w:rPr>
              <w:t>2023</w:t>
            </w:r>
          </w:p>
        </w:tc>
        <w:tc>
          <w:tcPr>
            <w:tcW w:w="748" w:type="dxa"/>
          </w:tcPr>
          <w:p w14:paraId="62AD6A0C" w14:textId="77777777" w:rsidR="00145F2B" w:rsidRPr="00550D35" w:rsidRDefault="00145F2B" w:rsidP="00BA62A0">
            <w:pPr>
              <w:spacing w:before="0" w:after="0" w:line="259" w:lineRule="auto"/>
              <w:ind w:firstLine="0"/>
              <w:jc w:val="center"/>
              <w:rPr>
                <w:sz w:val="18"/>
                <w:szCs w:val="18"/>
                <w:lang w:val="lv-LV"/>
              </w:rPr>
            </w:pPr>
            <w:r w:rsidRPr="00550D35">
              <w:rPr>
                <w:sz w:val="18"/>
                <w:szCs w:val="18"/>
                <w:lang w:val="lv-LV"/>
              </w:rPr>
              <w:t>2024</w:t>
            </w:r>
          </w:p>
        </w:tc>
        <w:tc>
          <w:tcPr>
            <w:tcW w:w="748" w:type="dxa"/>
          </w:tcPr>
          <w:p w14:paraId="31CA2EDE" w14:textId="77777777" w:rsidR="00145F2B" w:rsidRPr="00550D35" w:rsidRDefault="00145F2B" w:rsidP="00BA62A0">
            <w:pPr>
              <w:spacing w:before="0" w:after="0" w:line="259" w:lineRule="auto"/>
              <w:ind w:firstLine="0"/>
              <w:jc w:val="center"/>
              <w:rPr>
                <w:sz w:val="18"/>
                <w:szCs w:val="18"/>
                <w:lang w:val="lv-LV"/>
              </w:rPr>
            </w:pPr>
            <w:r w:rsidRPr="00550D35">
              <w:rPr>
                <w:sz w:val="18"/>
                <w:szCs w:val="18"/>
                <w:lang w:val="lv-LV"/>
              </w:rPr>
              <w:t>2025</w:t>
            </w:r>
          </w:p>
        </w:tc>
        <w:tc>
          <w:tcPr>
            <w:tcW w:w="748" w:type="dxa"/>
          </w:tcPr>
          <w:p w14:paraId="3474D2B1" w14:textId="77777777" w:rsidR="00145F2B" w:rsidRPr="00550D35" w:rsidRDefault="00145F2B" w:rsidP="00BA62A0">
            <w:pPr>
              <w:spacing w:before="0" w:after="0" w:line="259" w:lineRule="auto"/>
              <w:ind w:firstLine="0"/>
              <w:jc w:val="center"/>
              <w:rPr>
                <w:sz w:val="18"/>
                <w:szCs w:val="18"/>
                <w:lang w:val="lv-LV"/>
              </w:rPr>
            </w:pPr>
            <w:r w:rsidRPr="00550D35">
              <w:rPr>
                <w:sz w:val="18"/>
                <w:szCs w:val="18"/>
                <w:lang w:val="lv-LV"/>
              </w:rPr>
              <w:t>2026</w:t>
            </w:r>
          </w:p>
        </w:tc>
        <w:tc>
          <w:tcPr>
            <w:tcW w:w="748" w:type="dxa"/>
          </w:tcPr>
          <w:p w14:paraId="00C39431" w14:textId="77777777" w:rsidR="00145F2B" w:rsidRPr="00550D35" w:rsidRDefault="00145F2B" w:rsidP="00BA62A0">
            <w:pPr>
              <w:spacing w:before="0" w:after="0" w:line="259" w:lineRule="auto"/>
              <w:ind w:firstLine="0"/>
              <w:jc w:val="center"/>
              <w:rPr>
                <w:sz w:val="18"/>
                <w:szCs w:val="18"/>
                <w:lang w:val="lv-LV"/>
              </w:rPr>
            </w:pPr>
            <w:r w:rsidRPr="00550D35">
              <w:rPr>
                <w:sz w:val="18"/>
                <w:szCs w:val="18"/>
                <w:lang w:val="lv-LV"/>
              </w:rPr>
              <w:t>2027</w:t>
            </w:r>
          </w:p>
        </w:tc>
        <w:tc>
          <w:tcPr>
            <w:tcW w:w="748" w:type="dxa"/>
          </w:tcPr>
          <w:p w14:paraId="6A18BEA4" w14:textId="77777777" w:rsidR="00145F2B" w:rsidRPr="00550D35" w:rsidRDefault="00145F2B" w:rsidP="00BA62A0">
            <w:pPr>
              <w:spacing w:before="0" w:after="0" w:line="259" w:lineRule="auto"/>
              <w:ind w:firstLine="0"/>
              <w:jc w:val="center"/>
              <w:rPr>
                <w:sz w:val="18"/>
                <w:szCs w:val="18"/>
                <w:lang w:val="lv-LV"/>
              </w:rPr>
            </w:pPr>
            <w:r w:rsidRPr="00550D35">
              <w:rPr>
                <w:sz w:val="18"/>
                <w:szCs w:val="18"/>
                <w:lang w:val="lv-LV"/>
              </w:rPr>
              <w:t>2028</w:t>
            </w:r>
          </w:p>
        </w:tc>
        <w:tc>
          <w:tcPr>
            <w:tcW w:w="748" w:type="dxa"/>
          </w:tcPr>
          <w:p w14:paraId="5256852D" w14:textId="77777777" w:rsidR="00145F2B" w:rsidRPr="00550D35" w:rsidRDefault="00145F2B" w:rsidP="00BA62A0">
            <w:pPr>
              <w:spacing w:before="0" w:after="0" w:line="259" w:lineRule="auto"/>
              <w:ind w:firstLine="0"/>
              <w:jc w:val="center"/>
              <w:rPr>
                <w:sz w:val="18"/>
                <w:szCs w:val="18"/>
                <w:lang w:val="lv-LV"/>
              </w:rPr>
            </w:pPr>
            <w:r w:rsidRPr="00550D35">
              <w:rPr>
                <w:sz w:val="18"/>
                <w:szCs w:val="18"/>
                <w:lang w:val="lv-LV"/>
              </w:rPr>
              <w:t>2029</w:t>
            </w:r>
          </w:p>
        </w:tc>
        <w:tc>
          <w:tcPr>
            <w:tcW w:w="748" w:type="dxa"/>
          </w:tcPr>
          <w:p w14:paraId="5C3FEE5B" w14:textId="77777777" w:rsidR="00145F2B" w:rsidRPr="00550D35" w:rsidRDefault="00145F2B" w:rsidP="00BA62A0">
            <w:pPr>
              <w:spacing w:before="0" w:after="0" w:line="259" w:lineRule="auto"/>
              <w:ind w:firstLine="0"/>
              <w:rPr>
                <w:sz w:val="18"/>
                <w:szCs w:val="18"/>
                <w:lang w:val="lv-LV"/>
              </w:rPr>
            </w:pPr>
            <w:r w:rsidRPr="00550D35">
              <w:rPr>
                <w:sz w:val="18"/>
                <w:szCs w:val="18"/>
                <w:lang w:val="lv-LV"/>
              </w:rPr>
              <w:t>2030</w:t>
            </w:r>
          </w:p>
        </w:tc>
      </w:tr>
      <w:tr w:rsidR="00145F2B" w:rsidRPr="00550D35" w14:paraId="67BBE787" w14:textId="77777777" w:rsidTr="00BA62A0">
        <w:tc>
          <w:tcPr>
            <w:tcW w:w="8609" w:type="dxa"/>
            <w:gridSpan w:val="9"/>
            <w:tcBorders>
              <w:bottom w:val="single" w:sz="4" w:space="0" w:color="auto"/>
            </w:tcBorders>
            <w:shd w:val="clear" w:color="auto" w:fill="BFBFBF" w:themeFill="background1" w:themeFillShade="BF"/>
          </w:tcPr>
          <w:p w14:paraId="16F59E05" w14:textId="77777777" w:rsidR="00145F2B" w:rsidRPr="00550D35" w:rsidRDefault="00145F2B" w:rsidP="00BA62A0">
            <w:pPr>
              <w:spacing w:before="0" w:after="0" w:line="259" w:lineRule="auto"/>
              <w:rPr>
                <w:sz w:val="20"/>
                <w:lang w:val="lv-LV"/>
              </w:rPr>
            </w:pPr>
            <w:r w:rsidRPr="00550D35">
              <w:rPr>
                <w:sz w:val="20"/>
                <w:lang w:val="lv-LV"/>
              </w:rPr>
              <w:t>Pasākumi, kas sniedz ieguldījumu mērķa sasniegšanā</w:t>
            </w:r>
          </w:p>
        </w:tc>
      </w:tr>
      <w:tr w:rsidR="00145F2B" w:rsidRPr="00B41B67" w14:paraId="4D74DD2A" w14:textId="77777777" w:rsidTr="00BA62A0">
        <w:tc>
          <w:tcPr>
            <w:tcW w:w="2625" w:type="dxa"/>
            <w:tcBorders>
              <w:top w:val="single" w:sz="4" w:space="0" w:color="auto"/>
              <w:bottom w:val="single" w:sz="4" w:space="0" w:color="auto"/>
              <w:right w:val="single" w:sz="4" w:space="0" w:color="auto"/>
            </w:tcBorders>
          </w:tcPr>
          <w:p w14:paraId="2EAE0B59" w14:textId="77777777" w:rsidR="00145F2B" w:rsidRPr="00433A24" w:rsidRDefault="00145F2B" w:rsidP="00BA62A0">
            <w:pPr>
              <w:spacing w:before="0" w:after="0" w:line="259" w:lineRule="auto"/>
              <w:ind w:firstLine="0"/>
              <w:rPr>
                <w:sz w:val="20"/>
                <w:lang w:val="lv-LV"/>
              </w:rPr>
            </w:pPr>
            <w:r w:rsidRPr="00433A24">
              <w:rPr>
                <w:sz w:val="20"/>
                <w:lang w:val="lv-LV"/>
              </w:rPr>
              <w:t>1.pasākums</w:t>
            </w:r>
          </w:p>
          <w:p w14:paraId="65F61EFC" w14:textId="77777777" w:rsidR="00145F2B" w:rsidRPr="00433A24" w:rsidRDefault="00145F2B" w:rsidP="00BA62A0">
            <w:pPr>
              <w:spacing w:before="0" w:after="0" w:line="259" w:lineRule="auto"/>
              <w:ind w:firstLine="0"/>
              <w:rPr>
                <w:b/>
                <w:bCs/>
                <w:sz w:val="20"/>
                <w:lang w:val="lv-LV"/>
              </w:rPr>
            </w:pPr>
            <w:r w:rsidRPr="00433A24">
              <w:rPr>
                <w:b/>
                <w:bCs/>
                <w:sz w:val="20"/>
                <w:lang w:val="lv-LV"/>
              </w:rPr>
              <w:t xml:space="preserve">“Vienotās datu un digitālo pakalpojumu koplietošanas platformas publiskā sektora un tautsaimniecības datu koplietošanai un </w:t>
            </w:r>
            <w:proofErr w:type="spellStart"/>
            <w:r w:rsidRPr="00433A24">
              <w:rPr>
                <w:b/>
                <w:bCs/>
                <w:sz w:val="20"/>
                <w:lang w:val="lv-LV"/>
              </w:rPr>
              <w:t>klientcentrētiem</w:t>
            </w:r>
            <w:proofErr w:type="spellEnd"/>
            <w:r w:rsidRPr="00433A24">
              <w:rPr>
                <w:b/>
                <w:bCs/>
                <w:sz w:val="20"/>
                <w:lang w:val="lv-LV"/>
              </w:rPr>
              <w:t xml:space="preserve"> un </w:t>
            </w:r>
            <w:proofErr w:type="spellStart"/>
            <w:r w:rsidRPr="00433A24">
              <w:rPr>
                <w:b/>
                <w:bCs/>
                <w:sz w:val="20"/>
                <w:lang w:val="lv-LV"/>
              </w:rPr>
              <w:t>proaktīviem</w:t>
            </w:r>
            <w:proofErr w:type="spellEnd"/>
            <w:r w:rsidRPr="00433A24">
              <w:rPr>
                <w:b/>
                <w:bCs/>
                <w:sz w:val="20"/>
                <w:lang w:val="lv-LV"/>
              </w:rPr>
              <w:t xml:space="preserve"> e-pakalpojumiem”</w:t>
            </w:r>
          </w:p>
          <w:p w14:paraId="2E0F9898" w14:textId="77777777" w:rsidR="00145F2B" w:rsidRPr="00550D35" w:rsidRDefault="00145F2B" w:rsidP="00BA62A0">
            <w:pPr>
              <w:spacing w:before="0" w:after="0" w:line="259" w:lineRule="auto"/>
              <w:ind w:firstLine="0"/>
              <w:rPr>
                <w:sz w:val="20"/>
                <w:lang w:val="lv-LV"/>
              </w:rPr>
            </w:pPr>
            <w:r w:rsidRPr="00832EBE">
              <w:rPr>
                <w:sz w:val="20"/>
                <w:lang w:val="lv-LV"/>
              </w:rPr>
              <w:t>Finansējuma avots:</w:t>
            </w:r>
            <w:r w:rsidRPr="004927B8">
              <w:rPr>
                <w:sz w:val="20"/>
                <w:lang w:val="lv-LV"/>
              </w:rPr>
              <w:t xml:space="preserve"> </w:t>
            </w:r>
            <w:r w:rsidRPr="00550D35">
              <w:rPr>
                <w:sz w:val="20"/>
                <w:lang w:val="lv-LV"/>
              </w:rPr>
              <w:t xml:space="preserve">ANM </w:t>
            </w:r>
            <w:r>
              <w:rPr>
                <w:sz w:val="20"/>
                <w:lang w:val="lv-LV"/>
              </w:rPr>
              <w:t xml:space="preserve">plāna </w:t>
            </w:r>
            <w:r w:rsidRPr="00550D35">
              <w:rPr>
                <w:sz w:val="20"/>
                <w:lang w:val="lv-LV"/>
              </w:rPr>
              <w:t>investīcija 2.</w:t>
            </w:r>
            <w:r>
              <w:rPr>
                <w:sz w:val="20"/>
                <w:lang w:val="lv-LV"/>
              </w:rPr>
              <w:t>1</w:t>
            </w:r>
            <w:r w:rsidRPr="00550D35">
              <w:rPr>
                <w:sz w:val="20"/>
                <w:lang w:val="lv-LV"/>
              </w:rPr>
              <w:t>.</w:t>
            </w:r>
            <w:r>
              <w:rPr>
                <w:sz w:val="20"/>
                <w:lang w:val="lv-LV"/>
              </w:rPr>
              <w:t>2</w:t>
            </w:r>
            <w:r w:rsidRPr="00550D35">
              <w:rPr>
                <w:sz w:val="20"/>
                <w:lang w:val="lv-LV"/>
              </w:rPr>
              <w:t>.</w:t>
            </w:r>
            <w:r>
              <w:rPr>
                <w:sz w:val="20"/>
                <w:lang w:val="lv-LV"/>
              </w:rPr>
              <w:t>1</w:t>
            </w:r>
            <w:r w:rsidRPr="00550D35">
              <w:rPr>
                <w:sz w:val="20"/>
                <w:lang w:val="lv-LV"/>
              </w:rPr>
              <w:t>.</w:t>
            </w:r>
            <w:r>
              <w:rPr>
                <w:sz w:val="20"/>
                <w:lang w:val="lv-LV"/>
              </w:rPr>
              <w:t>i</w:t>
            </w:r>
          </w:p>
        </w:tc>
        <w:tc>
          <w:tcPr>
            <w:tcW w:w="748" w:type="dxa"/>
            <w:tcBorders>
              <w:top w:val="single" w:sz="4" w:space="0" w:color="auto"/>
              <w:left w:val="single" w:sz="4" w:space="0" w:color="auto"/>
              <w:bottom w:val="single" w:sz="4" w:space="0" w:color="auto"/>
              <w:right w:val="single" w:sz="4" w:space="0" w:color="auto"/>
            </w:tcBorders>
            <w:shd w:val="clear" w:color="auto" w:fill="70AD47" w:themeFill="accent6"/>
          </w:tcPr>
          <w:p w14:paraId="275DBA0A" w14:textId="77777777" w:rsidR="00145F2B" w:rsidRPr="00550D35" w:rsidRDefault="00145F2B" w:rsidP="00BA62A0">
            <w:pPr>
              <w:spacing w:before="0" w:after="0" w:line="259" w:lineRule="auto"/>
              <w:rPr>
                <w:sz w:val="20"/>
                <w:lang w:val="lv-LV"/>
              </w:rPr>
            </w:pPr>
          </w:p>
        </w:tc>
        <w:tc>
          <w:tcPr>
            <w:tcW w:w="748" w:type="dxa"/>
            <w:tcBorders>
              <w:top w:val="single" w:sz="4" w:space="0" w:color="auto"/>
              <w:left w:val="single" w:sz="4" w:space="0" w:color="auto"/>
              <w:bottom w:val="single" w:sz="4" w:space="0" w:color="auto"/>
              <w:right w:val="single" w:sz="4" w:space="0" w:color="auto"/>
            </w:tcBorders>
            <w:shd w:val="clear" w:color="auto" w:fill="70AD47" w:themeFill="accent6"/>
          </w:tcPr>
          <w:p w14:paraId="51B6DBA9" w14:textId="77777777" w:rsidR="00145F2B" w:rsidRPr="00550D35" w:rsidRDefault="00145F2B" w:rsidP="00BA62A0">
            <w:pPr>
              <w:spacing w:before="0" w:after="0" w:line="259" w:lineRule="auto"/>
              <w:rPr>
                <w:sz w:val="20"/>
                <w:lang w:val="lv-LV"/>
              </w:rPr>
            </w:pPr>
          </w:p>
        </w:tc>
        <w:tc>
          <w:tcPr>
            <w:tcW w:w="748" w:type="dxa"/>
            <w:tcBorders>
              <w:top w:val="single" w:sz="4" w:space="0" w:color="auto"/>
              <w:left w:val="single" w:sz="4" w:space="0" w:color="auto"/>
              <w:bottom w:val="single" w:sz="4" w:space="0" w:color="auto"/>
              <w:right w:val="single" w:sz="4" w:space="0" w:color="auto"/>
            </w:tcBorders>
            <w:shd w:val="clear" w:color="auto" w:fill="70AD47" w:themeFill="accent6"/>
          </w:tcPr>
          <w:p w14:paraId="6F15CDEA" w14:textId="77777777" w:rsidR="00145F2B" w:rsidRPr="00550D35" w:rsidRDefault="00145F2B" w:rsidP="00BA62A0">
            <w:pPr>
              <w:spacing w:before="0" w:after="0" w:line="259" w:lineRule="auto"/>
              <w:rPr>
                <w:sz w:val="20"/>
                <w:lang w:val="lv-LV"/>
              </w:rPr>
            </w:pPr>
          </w:p>
        </w:tc>
        <w:tc>
          <w:tcPr>
            <w:tcW w:w="748" w:type="dxa"/>
            <w:tcBorders>
              <w:top w:val="single" w:sz="4" w:space="0" w:color="auto"/>
              <w:left w:val="single" w:sz="4" w:space="0" w:color="auto"/>
              <w:bottom w:val="single" w:sz="4" w:space="0" w:color="auto"/>
              <w:right w:val="single" w:sz="4" w:space="0" w:color="auto"/>
            </w:tcBorders>
            <w:shd w:val="clear" w:color="auto" w:fill="70AD47" w:themeFill="accent6"/>
          </w:tcPr>
          <w:p w14:paraId="32897CF3" w14:textId="77777777" w:rsidR="00145F2B" w:rsidRPr="00550D35" w:rsidRDefault="00145F2B" w:rsidP="00BA62A0">
            <w:pPr>
              <w:spacing w:before="0" w:after="0" w:line="259" w:lineRule="auto"/>
              <w:rPr>
                <w:sz w:val="20"/>
                <w:lang w:val="lv-LV"/>
              </w:rPr>
            </w:pPr>
          </w:p>
        </w:tc>
        <w:tc>
          <w:tcPr>
            <w:tcW w:w="748" w:type="dxa"/>
            <w:tcBorders>
              <w:top w:val="single" w:sz="4" w:space="0" w:color="auto"/>
              <w:left w:val="single" w:sz="4" w:space="0" w:color="auto"/>
              <w:bottom w:val="single" w:sz="4" w:space="0" w:color="auto"/>
              <w:right w:val="single" w:sz="4" w:space="0" w:color="auto"/>
            </w:tcBorders>
            <w:shd w:val="clear" w:color="auto" w:fill="70AD47" w:themeFill="accent6"/>
          </w:tcPr>
          <w:p w14:paraId="5F8B4254" w14:textId="77777777" w:rsidR="00145F2B" w:rsidRPr="00550D35" w:rsidRDefault="00145F2B" w:rsidP="00BA62A0">
            <w:pPr>
              <w:spacing w:before="0" w:after="0" w:line="259" w:lineRule="auto"/>
              <w:rPr>
                <w:sz w:val="20"/>
                <w:lang w:val="lv-LV"/>
              </w:rPr>
            </w:pPr>
          </w:p>
        </w:tc>
        <w:tc>
          <w:tcPr>
            <w:tcW w:w="748" w:type="dxa"/>
            <w:tcBorders>
              <w:top w:val="single" w:sz="4" w:space="0" w:color="auto"/>
              <w:left w:val="single" w:sz="4" w:space="0" w:color="auto"/>
              <w:bottom w:val="single" w:sz="4" w:space="0" w:color="auto"/>
              <w:right w:val="single" w:sz="4" w:space="0" w:color="auto"/>
            </w:tcBorders>
            <w:shd w:val="clear" w:color="auto" w:fill="70AD47" w:themeFill="accent6"/>
          </w:tcPr>
          <w:p w14:paraId="7C7C785D" w14:textId="77777777" w:rsidR="00145F2B" w:rsidRPr="00550D35" w:rsidRDefault="00145F2B" w:rsidP="00BA62A0">
            <w:pPr>
              <w:spacing w:before="0" w:after="0" w:line="259" w:lineRule="auto"/>
              <w:rPr>
                <w:sz w:val="20"/>
                <w:lang w:val="lv-LV"/>
              </w:rPr>
            </w:pPr>
          </w:p>
        </w:tc>
        <w:tc>
          <w:tcPr>
            <w:tcW w:w="748" w:type="dxa"/>
            <w:tcBorders>
              <w:top w:val="single" w:sz="4" w:space="0" w:color="auto"/>
              <w:left w:val="single" w:sz="4" w:space="0" w:color="auto"/>
              <w:bottom w:val="single" w:sz="4" w:space="0" w:color="auto"/>
              <w:right w:val="single" w:sz="4" w:space="0" w:color="auto"/>
            </w:tcBorders>
          </w:tcPr>
          <w:p w14:paraId="4E227E8C" w14:textId="77777777" w:rsidR="00145F2B" w:rsidRPr="00550D35" w:rsidRDefault="00145F2B" w:rsidP="00BA62A0">
            <w:pPr>
              <w:spacing w:before="0" w:after="0" w:line="259" w:lineRule="auto"/>
              <w:rPr>
                <w:sz w:val="20"/>
                <w:lang w:val="lv-LV"/>
              </w:rPr>
            </w:pPr>
          </w:p>
        </w:tc>
        <w:tc>
          <w:tcPr>
            <w:tcW w:w="748" w:type="dxa"/>
            <w:tcBorders>
              <w:top w:val="single" w:sz="4" w:space="0" w:color="auto"/>
              <w:left w:val="single" w:sz="4" w:space="0" w:color="auto"/>
              <w:bottom w:val="single" w:sz="4" w:space="0" w:color="auto"/>
            </w:tcBorders>
          </w:tcPr>
          <w:p w14:paraId="1C5D96F4" w14:textId="77777777" w:rsidR="00145F2B" w:rsidRPr="00550D35" w:rsidRDefault="00145F2B" w:rsidP="00BA62A0">
            <w:pPr>
              <w:spacing w:before="0" w:after="0" w:line="259" w:lineRule="auto"/>
              <w:rPr>
                <w:sz w:val="20"/>
                <w:lang w:val="lv-LV"/>
              </w:rPr>
            </w:pPr>
          </w:p>
        </w:tc>
      </w:tr>
      <w:tr w:rsidR="00145F2B" w:rsidRPr="00B41B67" w14:paraId="3C7A27BA" w14:textId="77777777" w:rsidTr="00BA62A0">
        <w:trPr>
          <w:trHeight w:val="300"/>
        </w:trPr>
        <w:tc>
          <w:tcPr>
            <w:tcW w:w="2625" w:type="dxa"/>
            <w:tcBorders>
              <w:top w:val="single" w:sz="4" w:space="0" w:color="auto"/>
            </w:tcBorders>
          </w:tcPr>
          <w:p w14:paraId="17557BE3" w14:textId="77777777" w:rsidR="00145F2B" w:rsidRPr="00433A24" w:rsidRDefault="00145F2B" w:rsidP="00BA62A0">
            <w:pPr>
              <w:shd w:val="clear" w:color="auto" w:fill="FFFFFF" w:themeFill="background1"/>
              <w:spacing w:before="0" w:after="0"/>
              <w:ind w:firstLine="0"/>
              <w:rPr>
                <w:sz w:val="20"/>
                <w:lang w:val="lv-LV"/>
              </w:rPr>
            </w:pPr>
            <w:r w:rsidRPr="00433A24">
              <w:rPr>
                <w:sz w:val="20"/>
                <w:lang w:val="lv-LV"/>
              </w:rPr>
              <w:t>2.pasākums</w:t>
            </w:r>
          </w:p>
          <w:p w14:paraId="457E6EF5" w14:textId="77777777" w:rsidR="00145F2B" w:rsidRPr="00433A24" w:rsidRDefault="00145F2B" w:rsidP="00BA62A0">
            <w:pPr>
              <w:shd w:val="clear" w:color="auto" w:fill="FFFFFF" w:themeFill="background1"/>
              <w:spacing w:before="0" w:after="0"/>
              <w:ind w:firstLine="0"/>
              <w:rPr>
                <w:b/>
                <w:bCs/>
                <w:noProof/>
                <w:sz w:val="20"/>
                <w:lang w:val="lv-LV"/>
              </w:rPr>
            </w:pPr>
            <w:r w:rsidRPr="00433A24">
              <w:rPr>
                <w:b/>
                <w:bCs/>
                <w:sz w:val="20"/>
                <w:lang w:val="lv-LV"/>
              </w:rPr>
              <w:t xml:space="preserve"> </w:t>
            </w:r>
            <w:r w:rsidRPr="00433A24">
              <w:rPr>
                <w:b/>
                <w:bCs/>
                <w:noProof/>
                <w:sz w:val="20"/>
                <w:lang w:val="lv-LV"/>
              </w:rPr>
              <w:t>“Pakalpojumu sniegšanas reformas atbalsts”</w:t>
            </w:r>
          </w:p>
          <w:p w14:paraId="1E738F63" w14:textId="77777777" w:rsidR="00145F2B" w:rsidRPr="00550D35" w:rsidRDefault="00145F2B" w:rsidP="00BA62A0">
            <w:pPr>
              <w:shd w:val="clear" w:color="auto" w:fill="FFFFFF" w:themeFill="background1"/>
              <w:spacing w:before="0" w:after="0"/>
              <w:ind w:firstLine="0"/>
              <w:rPr>
                <w:sz w:val="20"/>
                <w:lang w:val="lv-LV"/>
              </w:rPr>
            </w:pPr>
            <w:r w:rsidRPr="00832EBE">
              <w:rPr>
                <w:noProof/>
                <w:sz w:val="20"/>
                <w:lang w:val="lv-LV"/>
              </w:rPr>
              <w:t>Finansējuma avots:</w:t>
            </w:r>
            <w:r w:rsidRPr="004927B8">
              <w:rPr>
                <w:noProof/>
                <w:sz w:val="20"/>
                <w:lang w:val="lv-LV"/>
              </w:rPr>
              <w:t xml:space="preserve"> </w:t>
            </w:r>
            <w:r w:rsidRPr="00550D35">
              <w:rPr>
                <w:noProof/>
                <w:sz w:val="20"/>
                <w:lang w:val="lv-LV"/>
              </w:rPr>
              <w:t xml:space="preserve">ANM </w:t>
            </w:r>
            <w:r>
              <w:rPr>
                <w:noProof/>
                <w:sz w:val="20"/>
                <w:lang w:val="lv-LV"/>
              </w:rPr>
              <w:t xml:space="preserve">plāna </w:t>
            </w:r>
            <w:r w:rsidRPr="00550D35">
              <w:rPr>
                <w:noProof/>
                <w:sz w:val="20"/>
                <w:lang w:val="lv-LV"/>
              </w:rPr>
              <w:t>investīcija 2.</w:t>
            </w:r>
            <w:r>
              <w:rPr>
                <w:noProof/>
                <w:sz w:val="20"/>
                <w:lang w:val="lv-LV"/>
              </w:rPr>
              <w:t>1</w:t>
            </w:r>
            <w:r w:rsidRPr="00550D35">
              <w:rPr>
                <w:noProof/>
                <w:sz w:val="20"/>
                <w:lang w:val="lv-LV"/>
              </w:rPr>
              <w:t>.</w:t>
            </w:r>
            <w:r>
              <w:rPr>
                <w:noProof/>
                <w:sz w:val="20"/>
                <w:lang w:val="lv-LV"/>
              </w:rPr>
              <w:t>2.1</w:t>
            </w:r>
            <w:r w:rsidRPr="00550D35">
              <w:rPr>
                <w:noProof/>
                <w:sz w:val="20"/>
                <w:lang w:val="lv-LV"/>
              </w:rPr>
              <w:t>.</w:t>
            </w:r>
            <w:r>
              <w:rPr>
                <w:noProof/>
                <w:sz w:val="20"/>
                <w:lang w:val="lv-LV"/>
              </w:rPr>
              <w:t>i</w:t>
            </w:r>
          </w:p>
        </w:tc>
        <w:tc>
          <w:tcPr>
            <w:tcW w:w="748" w:type="dxa"/>
            <w:tcBorders>
              <w:top w:val="single" w:sz="4" w:space="0" w:color="auto"/>
            </w:tcBorders>
            <w:shd w:val="clear" w:color="auto" w:fill="70AD47" w:themeFill="accent6"/>
          </w:tcPr>
          <w:p w14:paraId="52508F66" w14:textId="77777777" w:rsidR="00145F2B" w:rsidRPr="00550D35" w:rsidRDefault="00145F2B" w:rsidP="00BA62A0">
            <w:pPr>
              <w:rPr>
                <w:sz w:val="20"/>
                <w:lang w:val="lv-LV"/>
              </w:rPr>
            </w:pPr>
          </w:p>
        </w:tc>
        <w:tc>
          <w:tcPr>
            <w:tcW w:w="748" w:type="dxa"/>
            <w:tcBorders>
              <w:top w:val="single" w:sz="4" w:space="0" w:color="auto"/>
            </w:tcBorders>
            <w:shd w:val="clear" w:color="auto" w:fill="70AD47" w:themeFill="accent6"/>
          </w:tcPr>
          <w:p w14:paraId="779A0C00" w14:textId="77777777" w:rsidR="00145F2B" w:rsidRPr="00550D35" w:rsidRDefault="00145F2B" w:rsidP="00BA62A0">
            <w:pPr>
              <w:rPr>
                <w:sz w:val="20"/>
                <w:lang w:val="lv-LV"/>
              </w:rPr>
            </w:pPr>
          </w:p>
        </w:tc>
        <w:tc>
          <w:tcPr>
            <w:tcW w:w="748" w:type="dxa"/>
            <w:tcBorders>
              <w:top w:val="single" w:sz="4" w:space="0" w:color="auto"/>
            </w:tcBorders>
            <w:shd w:val="clear" w:color="auto" w:fill="70AD47" w:themeFill="accent6"/>
          </w:tcPr>
          <w:p w14:paraId="6BCB54EF" w14:textId="77777777" w:rsidR="00145F2B" w:rsidRPr="00550D35" w:rsidRDefault="00145F2B" w:rsidP="00BA62A0">
            <w:pPr>
              <w:rPr>
                <w:sz w:val="20"/>
                <w:lang w:val="lv-LV"/>
              </w:rPr>
            </w:pPr>
          </w:p>
        </w:tc>
        <w:tc>
          <w:tcPr>
            <w:tcW w:w="748" w:type="dxa"/>
            <w:tcBorders>
              <w:top w:val="single" w:sz="4" w:space="0" w:color="auto"/>
              <w:right w:val="single" w:sz="4" w:space="0" w:color="000000" w:themeColor="text1"/>
            </w:tcBorders>
            <w:shd w:val="clear" w:color="auto" w:fill="70AD47" w:themeFill="accent6"/>
          </w:tcPr>
          <w:p w14:paraId="72863541" w14:textId="77777777" w:rsidR="00145F2B" w:rsidRPr="00550D35" w:rsidRDefault="00145F2B" w:rsidP="00BA62A0">
            <w:pPr>
              <w:rPr>
                <w:sz w:val="20"/>
                <w:lang w:val="lv-LV"/>
              </w:rPr>
            </w:pPr>
          </w:p>
        </w:tc>
        <w:tc>
          <w:tcPr>
            <w:tcW w:w="74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1B5F620" w14:textId="77777777" w:rsidR="00145F2B" w:rsidRPr="00550D35" w:rsidRDefault="00145F2B" w:rsidP="00BA62A0">
            <w:pPr>
              <w:shd w:val="clear" w:color="auto" w:fill="FFFFFF" w:themeFill="background1"/>
              <w:spacing w:before="0"/>
              <w:ind w:firstLine="0"/>
              <w:rPr>
                <w:sz w:val="20"/>
                <w:lang w:val="lv-LV"/>
              </w:rPr>
            </w:pPr>
          </w:p>
        </w:tc>
        <w:tc>
          <w:tcPr>
            <w:tcW w:w="74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CAFF8AC" w14:textId="77777777" w:rsidR="00145F2B" w:rsidRPr="00550D35" w:rsidRDefault="00145F2B" w:rsidP="00BA62A0">
            <w:pPr>
              <w:shd w:val="clear" w:color="auto" w:fill="FFFFFF" w:themeFill="background1"/>
              <w:spacing w:before="0"/>
              <w:ind w:firstLine="0"/>
              <w:rPr>
                <w:sz w:val="20"/>
                <w:lang w:val="lv-LV"/>
              </w:rPr>
            </w:pPr>
          </w:p>
        </w:tc>
        <w:tc>
          <w:tcPr>
            <w:tcW w:w="74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5E3D086" w14:textId="77777777" w:rsidR="00145F2B" w:rsidRPr="00550D35" w:rsidRDefault="00145F2B" w:rsidP="00BA62A0">
            <w:pPr>
              <w:shd w:val="clear" w:color="auto" w:fill="FFFFFF" w:themeFill="background1"/>
              <w:spacing w:before="0"/>
              <w:ind w:firstLine="0"/>
              <w:rPr>
                <w:sz w:val="20"/>
                <w:lang w:val="lv-LV"/>
              </w:rPr>
            </w:pPr>
          </w:p>
        </w:tc>
        <w:tc>
          <w:tcPr>
            <w:tcW w:w="74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FC3900D" w14:textId="77777777" w:rsidR="00145F2B" w:rsidRPr="00550D35" w:rsidRDefault="00145F2B" w:rsidP="00BA62A0">
            <w:pPr>
              <w:shd w:val="clear" w:color="auto" w:fill="FFFFFF" w:themeFill="background1"/>
              <w:spacing w:before="0"/>
              <w:ind w:firstLine="0"/>
              <w:rPr>
                <w:sz w:val="20"/>
                <w:lang w:val="lv-LV"/>
              </w:rPr>
            </w:pPr>
          </w:p>
        </w:tc>
      </w:tr>
      <w:tr w:rsidR="00145F2B" w:rsidRPr="003B2E9A" w14:paraId="425DED6A" w14:textId="77777777" w:rsidTr="00BA62A0">
        <w:trPr>
          <w:trHeight w:val="300"/>
        </w:trPr>
        <w:tc>
          <w:tcPr>
            <w:tcW w:w="2625" w:type="dxa"/>
          </w:tcPr>
          <w:p w14:paraId="3552DEB7" w14:textId="77777777" w:rsidR="00145F2B" w:rsidRPr="00433A24" w:rsidRDefault="00145F2B" w:rsidP="00BA62A0">
            <w:pPr>
              <w:shd w:val="clear" w:color="auto" w:fill="FFFFFF" w:themeFill="background1"/>
              <w:spacing w:before="0"/>
              <w:ind w:firstLine="0"/>
              <w:rPr>
                <w:sz w:val="20"/>
                <w:lang w:val="lv-LV"/>
              </w:rPr>
            </w:pPr>
            <w:r w:rsidRPr="00433A24">
              <w:rPr>
                <w:sz w:val="20"/>
                <w:lang w:val="lv-LV"/>
              </w:rPr>
              <w:t>3.pasākums</w:t>
            </w:r>
          </w:p>
          <w:p w14:paraId="4736EBA5" w14:textId="77777777" w:rsidR="00145F2B" w:rsidRPr="00433A24" w:rsidRDefault="00145F2B" w:rsidP="00BA62A0">
            <w:pPr>
              <w:shd w:val="clear" w:color="auto" w:fill="FFFFFF" w:themeFill="background1"/>
              <w:spacing w:before="0"/>
              <w:ind w:firstLine="0"/>
              <w:rPr>
                <w:b/>
                <w:bCs/>
                <w:sz w:val="20"/>
                <w:lang w:val="lv-LV"/>
              </w:rPr>
            </w:pPr>
            <w:r w:rsidRPr="00433A24">
              <w:rPr>
                <w:b/>
                <w:bCs/>
                <w:sz w:val="20"/>
                <w:lang w:val="lv-LV"/>
              </w:rPr>
              <w:t>“Nozaru IKT projekti, kas paredz galveno publisko pakalpojumu pieejamības paaugstināšanu”</w:t>
            </w:r>
          </w:p>
          <w:p w14:paraId="20FAF8A1" w14:textId="77777777" w:rsidR="00145F2B" w:rsidRPr="00550D35" w:rsidRDefault="00145F2B" w:rsidP="00BA62A0">
            <w:pPr>
              <w:shd w:val="clear" w:color="auto" w:fill="FFFFFF" w:themeFill="background1"/>
              <w:spacing w:before="0"/>
              <w:ind w:firstLine="0"/>
              <w:rPr>
                <w:sz w:val="20"/>
                <w:lang w:val="lv-LV"/>
              </w:rPr>
            </w:pPr>
            <w:r w:rsidRPr="00832EBE">
              <w:rPr>
                <w:sz w:val="20"/>
                <w:lang w:val="lv-LV"/>
              </w:rPr>
              <w:t>Finansējuma avots (plānots):</w:t>
            </w:r>
            <w:r w:rsidRPr="004927B8">
              <w:rPr>
                <w:sz w:val="20"/>
                <w:lang w:val="lv-LV"/>
              </w:rPr>
              <w:t xml:space="preserve"> </w:t>
            </w:r>
            <w:r w:rsidRPr="00550D35">
              <w:rPr>
                <w:sz w:val="20"/>
                <w:lang w:val="lv-LV"/>
              </w:rPr>
              <w:t xml:space="preserve">ANM </w:t>
            </w:r>
            <w:r>
              <w:rPr>
                <w:sz w:val="20"/>
                <w:lang w:val="lv-LV"/>
              </w:rPr>
              <w:t xml:space="preserve">plāna </w:t>
            </w:r>
            <w:r w:rsidRPr="00550D35">
              <w:rPr>
                <w:sz w:val="20"/>
                <w:lang w:val="lv-LV"/>
              </w:rPr>
              <w:t>investīcija</w:t>
            </w:r>
          </w:p>
        </w:tc>
        <w:tc>
          <w:tcPr>
            <w:tcW w:w="748" w:type="dxa"/>
            <w:shd w:val="clear" w:color="auto" w:fill="70AD47" w:themeFill="accent6"/>
          </w:tcPr>
          <w:p w14:paraId="5720EA3D" w14:textId="77777777" w:rsidR="00145F2B" w:rsidRPr="00550D35" w:rsidRDefault="00145F2B" w:rsidP="00BA62A0">
            <w:pPr>
              <w:rPr>
                <w:sz w:val="20"/>
                <w:lang w:val="lv-LV"/>
              </w:rPr>
            </w:pPr>
          </w:p>
        </w:tc>
        <w:tc>
          <w:tcPr>
            <w:tcW w:w="748" w:type="dxa"/>
            <w:shd w:val="clear" w:color="auto" w:fill="70AD47" w:themeFill="accent6"/>
          </w:tcPr>
          <w:p w14:paraId="24C71761" w14:textId="77777777" w:rsidR="00145F2B" w:rsidRPr="00550D35" w:rsidRDefault="00145F2B" w:rsidP="00BA62A0">
            <w:pPr>
              <w:rPr>
                <w:sz w:val="20"/>
                <w:lang w:val="lv-LV"/>
              </w:rPr>
            </w:pPr>
          </w:p>
        </w:tc>
        <w:tc>
          <w:tcPr>
            <w:tcW w:w="748" w:type="dxa"/>
            <w:shd w:val="clear" w:color="auto" w:fill="70AD47" w:themeFill="accent6"/>
          </w:tcPr>
          <w:p w14:paraId="04D8A953" w14:textId="77777777" w:rsidR="00145F2B" w:rsidRPr="00550D35" w:rsidRDefault="00145F2B" w:rsidP="00BA62A0">
            <w:pPr>
              <w:rPr>
                <w:sz w:val="20"/>
                <w:lang w:val="lv-LV"/>
              </w:rPr>
            </w:pPr>
          </w:p>
        </w:tc>
        <w:tc>
          <w:tcPr>
            <w:tcW w:w="748" w:type="dxa"/>
            <w:shd w:val="clear" w:color="auto" w:fill="70AD47" w:themeFill="accent6"/>
          </w:tcPr>
          <w:p w14:paraId="06E49AC4" w14:textId="77777777" w:rsidR="00145F2B" w:rsidRPr="00550D35" w:rsidRDefault="00145F2B" w:rsidP="00BA62A0">
            <w:pPr>
              <w:rPr>
                <w:sz w:val="20"/>
                <w:lang w:val="lv-LV"/>
              </w:rPr>
            </w:pPr>
          </w:p>
        </w:tc>
        <w:tc>
          <w:tcPr>
            <w:tcW w:w="748" w:type="dxa"/>
            <w:tcBorders>
              <w:top w:val="single" w:sz="4" w:space="0" w:color="000000" w:themeColor="text1"/>
            </w:tcBorders>
            <w:shd w:val="clear" w:color="auto" w:fill="70AD47" w:themeFill="accent6"/>
          </w:tcPr>
          <w:p w14:paraId="0B11FADE" w14:textId="77777777" w:rsidR="00145F2B" w:rsidRPr="00550D35" w:rsidRDefault="00145F2B" w:rsidP="00BA62A0">
            <w:pPr>
              <w:rPr>
                <w:sz w:val="20"/>
                <w:lang w:val="lv-LV"/>
              </w:rPr>
            </w:pPr>
          </w:p>
        </w:tc>
        <w:tc>
          <w:tcPr>
            <w:tcW w:w="748" w:type="dxa"/>
            <w:tcBorders>
              <w:top w:val="single" w:sz="4" w:space="0" w:color="000000" w:themeColor="text1"/>
            </w:tcBorders>
            <w:shd w:val="clear" w:color="auto" w:fill="70AD47" w:themeFill="accent6"/>
          </w:tcPr>
          <w:p w14:paraId="4BD1C9D3" w14:textId="77777777" w:rsidR="00145F2B" w:rsidRPr="00550D35" w:rsidRDefault="00145F2B" w:rsidP="00BA62A0">
            <w:pPr>
              <w:rPr>
                <w:sz w:val="20"/>
                <w:lang w:val="lv-LV"/>
              </w:rPr>
            </w:pPr>
          </w:p>
        </w:tc>
        <w:tc>
          <w:tcPr>
            <w:tcW w:w="748" w:type="dxa"/>
            <w:tcBorders>
              <w:top w:val="single" w:sz="4" w:space="0" w:color="000000" w:themeColor="text1"/>
            </w:tcBorders>
            <w:shd w:val="clear" w:color="auto" w:fill="70AD47" w:themeFill="accent6"/>
          </w:tcPr>
          <w:p w14:paraId="4A387FD0" w14:textId="77777777" w:rsidR="00145F2B" w:rsidRPr="00550D35" w:rsidRDefault="00145F2B" w:rsidP="00BA62A0">
            <w:pPr>
              <w:rPr>
                <w:sz w:val="20"/>
                <w:lang w:val="lv-LV"/>
              </w:rPr>
            </w:pPr>
          </w:p>
        </w:tc>
        <w:tc>
          <w:tcPr>
            <w:tcW w:w="748" w:type="dxa"/>
            <w:tcBorders>
              <w:top w:val="single" w:sz="4" w:space="0" w:color="000000" w:themeColor="text1"/>
            </w:tcBorders>
            <w:shd w:val="clear" w:color="auto" w:fill="70AD47" w:themeFill="accent6"/>
          </w:tcPr>
          <w:p w14:paraId="748C386F" w14:textId="77777777" w:rsidR="00145F2B" w:rsidRPr="00550D35" w:rsidRDefault="00145F2B" w:rsidP="00BA62A0">
            <w:pPr>
              <w:rPr>
                <w:sz w:val="20"/>
                <w:lang w:val="lv-LV"/>
              </w:rPr>
            </w:pPr>
          </w:p>
        </w:tc>
      </w:tr>
      <w:tr w:rsidR="00145F2B" w:rsidRPr="003B2E9A" w14:paraId="7A859A02" w14:textId="77777777" w:rsidTr="00BA62A0">
        <w:trPr>
          <w:trHeight w:val="300"/>
        </w:trPr>
        <w:tc>
          <w:tcPr>
            <w:tcW w:w="2625" w:type="dxa"/>
          </w:tcPr>
          <w:p w14:paraId="2869D559" w14:textId="77777777" w:rsidR="00145F2B" w:rsidRPr="00433A24" w:rsidRDefault="00145F2B" w:rsidP="00BA62A0">
            <w:pPr>
              <w:shd w:val="clear" w:color="auto" w:fill="FFFFFF" w:themeFill="background1"/>
              <w:spacing w:before="0"/>
              <w:ind w:firstLine="0"/>
              <w:rPr>
                <w:sz w:val="20"/>
                <w:lang w:val="lv-LV"/>
              </w:rPr>
            </w:pPr>
            <w:r w:rsidRPr="00433A24">
              <w:rPr>
                <w:sz w:val="20"/>
                <w:lang w:val="lv-LV"/>
              </w:rPr>
              <w:t>4.pasākums</w:t>
            </w:r>
            <w:r w:rsidRPr="00433A24">
              <w:rPr>
                <w:sz w:val="20"/>
                <w:vertAlign w:val="superscript"/>
                <w:lang w:val="lv-LV"/>
              </w:rPr>
              <w:footnoteReference w:id="70"/>
            </w:r>
            <w:r w:rsidRPr="00433A24">
              <w:rPr>
                <w:sz w:val="20"/>
                <w:lang w:val="lv-LV"/>
              </w:rPr>
              <w:t>.</w:t>
            </w:r>
          </w:p>
          <w:p w14:paraId="7F2A8900" w14:textId="77777777" w:rsidR="00145F2B" w:rsidRPr="00433A24" w:rsidRDefault="00145F2B" w:rsidP="00BA62A0">
            <w:pPr>
              <w:shd w:val="clear" w:color="auto" w:fill="FFFFFF" w:themeFill="background1"/>
              <w:spacing w:before="0"/>
              <w:ind w:firstLine="0"/>
              <w:rPr>
                <w:b/>
                <w:bCs/>
                <w:sz w:val="20"/>
                <w:lang w:val="lv-LV"/>
              </w:rPr>
            </w:pPr>
            <w:r w:rsidRPr="00433A24">
              <w:rPr>
                <w:b/>
                <w:bCs/>
                <w:sz w:val="20"/>
                <w:lang w:val="lv-LV"/>
              </w:rPr>
              <w:t>“Digitālās dekādes programmā noteikto mērķu sasniegšana publisko pakalpojumu pieejamības jomā (100% pieejamība)”</w:t>
            </w:r>
          </w:p>
          <w:p w14:paraId="1DD6C4C1" w14:textId="57E5A296" w:rsidR="00145F2B" w:rsidRPr="00550D35" w:rsidRDefault="00145F2B" w:rsidP="00BA62A0">
            <w:pPr>
              <w:shd w:val="clear" w:color="auto" w:fill="FFFFFF" w:themeFill="background1"/>
              <w:spacing w:before="0"/>
              <w:ind w:firstLine="0"/>
              <w:rPr>
                <w:b/>
                <w:bCs/>
                <w:sz w:val="20"/>
                <w:lang w:val="lv-LV"/>
              </w:rPr>
            </w:pPr>
            <w:r w:rsidRPr="00832EBE">
              <w:rPr>
                <w:sz w:val="20"/>
                <w:lang w:val="lv-LV"/>
              </w:rPr>
              <w:t>Finansējuma avots:</w:t>
            </w:r>
            <w:r w:rsidRPr="004927B8">
              <w:rPr>
                <w:sz w:val="20"/>
                <w:lang w:val="lv-LV"/>
              </w:rPr>
              <w:t xml:space="preserve"> </w:t>
            </w:r>
            <w:r w:rsidRPr="00550D35">
              <w:rPr>
                <w:sz w:val="20"/>
                <w:lang w:val="lv-LV"/>
              </w:rPr>
              <w:t>ES kohēzijas politikas programmas 2021.–2027. gadam 1.3.1.</w:t>
            </w:r>
            <w:r w:rsidR="00DE2E9C">
              <w:rPr>
                <w:sz w:val="20"/>
                <w:lang w:val="lv-LV"/>
              </w:rPr>
              <w:t xml:space="preserve"> pasākums</w:t>
            </w:r>
          </w:p>
        </w:tc>
        <w:tc>
          <w:tcPr>
            <w:tcW w:w="748" w:type="dxa"/>
            <w:shd w:val="clear" w:color="auto" w:fill="70AD47" w:themeFill="accent6"/>
          </w:tcPr>
          <w:p w14:paraId="5346EE6A" w14:textId="77777777" w:rsidR="00145F2B" w:rsidRPr="00550D35" w:rsidRDefault="00145F2B" w:rsidP="00BA62A0">
            <w:pPr>
              <w:rPr>
                <w:sz w:val="20"/>
                <w:lang w:val="lv-LV"/>
              </w:rPr>
            </w:pPr>
          </w:p>
        </w:tc>
        <w:tc>
          <w:tcPr>
            <w:tcW w:w="748" w:type="dxa"/>
            <w:shd w:val="clear" w:color="auto" w:fill="70AD47" w:themeFill="accent6"/>
          </w:tcPr>
          <w:p w14:paraId="63352B3A" w14:textId="77777777" w:rsidR="00145F2B" w:rsidRPr="00550D35" w:rsidRDefault="00145F2B" w:rsidP="00BA62A0">
            <w:pPr>
              <w:rPr>
                <w:sz w:val="20"/>
                <w:lang w:val="lv-LV"/>
              </w:rPr>
            </w:pPr>
          </w:p>
        </w:tc>
        <w:tc>
          <w:tcPr>
            <w:tcW w:w="748" w:type="dxa"/>
            <w:shd w:val="clear" w:color="auto" w:fill="70AD47" w:themeFill="accent6"/>
          </w:tcPr>
          <w:p w14:paraId="09C83E4B" w14:textId="77777777" w:rsidR="00145F2B" w:rsidRPr="00550D35" w:rsidRDefault="00145F2B" w:rsidP="00BA62A0">
            <w:pPr>
              <w:rPr>
                <w:sz w:val="20"/>
                <w:lang w:val="lv-LV"/>
              </w:rPr>
            </w:pPr>
          </w:p>
        </w:tc>
        <w:tc>
          <w:tcPr>
            <w:tcW w:w="748" w:type="dxa"/>
            <w:shd w:val="clear" w:color="auto" w:fill="70AD47" w:themeFill="accent6"/>
          </w:tcPr>
          <w:p w14:paraId="620A7E23" w14:textId="77777777" w:rsidR="00145F2B" w:rsidRPr="00550D35" w:rsidRDefault="00145F2B" w:rsidP="00BA62A0">
            <w:pPr>
              <w:rPr>
                <w:sz w:val="20"/>
                <w:lang w:val="lv-LV"/>
              </w:rPr>
            </w:pPr>
          </w:p>
        </w:tc>
        <w:tc>
          <w:tcPr>
            <w:tcW w:w="748" w:type="dxa"/>
            <w:tcBorders>
              <w:top w:val="single" w:sz="4" w:space="0" w:color="000000" w:themeColor="text1"/>
            </w:tcBorders>
            <w:shd w:val="clear" w:color="auto" w:fill="70AD47" w:themeFill="accent6"/>
          </w:tcPr>
          <w:p w14:paraId="4795FC13" w14:textId="77777777" w:rsidR="00145F2B" w:rsidRPr="00550D35" w:rsidRDefault="00145F2B" w:rsidP="00BA62A0">
            <w:pPr>
              <w:rPr>
                <w:sz w:val="20"/>
                <w:lang w:val="lv-LV"/>
              </w:rPr>
            </w:pPr>
          </w:p>
        </w:tc>
        <w:tc>
          <w:tcPr>
            <w:tcW w:w="748" w:type="dxa"/>
            <w:tcBorders>
              <w:top w:val="single" w:sz="4" w:space="0" w:color="000000" w:themeColor="text1"/>
            </w:tcBorders>
            <w:shd w:val="clear" w:color="auto" w:fill="70AD47" w:themeFill="accent6"/>
          </w:tcPr>
          <w:p w14:paraId="5FF44C4D" w14:textId="77777777" w:rsidR="00145F2B" w:rsidRPr="00550D35" w:rsidRDefault="00145F2B" w:rsidP="00BA62A0">
            <w:pPr>
              <w:rPr>
                <w:sz w:val="20"/>
                <w:lang w:val="lv-LV"/>
              </w:rPr>
            </w:pPr>
          </w:p>
        </w:tc>
        <w:tc>
          <w:tcPr>
            <w:tcW w:w="748" w:type="dxa"/>
            <w:tcBorders>
              <w:top w:val="single" w:sz="4" w:space="0" w:color="000000" w:themeColor="text1"/>
            </w:tcBorders>
            <w:shd w:val="clear" w:color="auto" w:fill="70AD47" w:themeFill="accent6"/>
          </w:tcPr>
          <w:p w14:paraId="3A20194A" w14:textId="77777777" w:rsidR="00145F2B" w:rsidRPr="00550D35" w:rsidRDefault="00145F2B" w:rsidP="00BA62A0">
            <w:pPr>
              <w:rPr>
                <w:sz w:val="20"/>
                <w:lang w:val="lv-LV"/>
              </w:rPr>
            </w:pPr>
          </w:p>
        </w:tc>
        <w:tc>
          <w:tcPr>
            <w:tcW w:w="748" w:type="dxa"/>
            <w:tcBorders>
              <w:top w:val="single" w:sz="4" w:space="0" w:color="000000" w:themeColor="text1"/>
            </w:tcBorders>
            <w:shd w:val="clear" w:color="auto" w:fill="70AD47" w:themeFill="accent6"/>
          </w:tcPr>
          <w:p w14:paraId="7C76F443" w14:textId="77777777" w:rsidR="00145F2B" w:rsidRPr="00550D35" w:rsidRDefault="00145F2B" w:rsidP="00BA62A0">
            <w:pPr>
              <w:rPr>
                <w:sz w:val="20"/>
                <w:lang w:val="lv-LV"/>
              </w:rPr>
            </w:pPr>
          </w:p>
        </w:tc>
      </w:tr>
    </w:tbl>
    <w:p w14:paraId="72723FAD" w14:textId="77777777" w:rsidR="00145F2B" w:rsidRDefault="00145F2B" w:rsidP="00145F2B">
      <w:pPr>
        <w:rPr>
          <w:noProof/>
          <w:lang w:val="lv-LV"/>
        </w:rPr>
      </w:pPr>
    </w:p>
    <w:p w14:paraId="2401C0EB" w14:textId="77777777" w:rsidR="00145F2B" w:rsidRDefault="00145F2B" w:rsidP="00145F2B">
      <w:pPr>
        <w:rPr>
          <w:noProof/>
          <w:lang w:val="lv-LV"/>
        </w:rPr>
      </w:pPr>
      <w:r w:rsidRPr="00176098">
        <w:rPr>
          <w:noProof/>
          <w:lang w:val="lv-LV"/>
        </w:rPr>
        <w:t>Jāņem vērā, ka 13.punktā minētie pasākumi ir vērsti uz centralizēto lietojumu attīstīšanu un kalpos visu publiskās pārvaldes pakalpojumu attīstībai. Tādēļ šajā tabulā minētie 1.un 2.pasākumi vienādā mērā ir attiecināmi gan uz publiskajiem pakalpojumiem iedzībotājiem, gan uz pakalpojumiem uzņēmējiem.</w:t>
      </w:r>
    </w:p>
    <w:p w14:paraId="7252AE97" w14:textId="77777777" w:rsidR="00145F2B" w:rsidRPr="00176098" w:rsidRDefault="00145F2B" w:rsidP="00145F2B">
      <w:pPr>
        <w:rPr>
          <w:noProof/>
          <w:szCs w:val="24"/>
          <w:lang w:val="lv-LV"/>
        </w:rPr>
      </w:pPr>
      <w:r w:rsidRPr="00176098">
        <w:rPr>
          <w:noProof/>
          <w:lang w:val="lv-LV"/>
        </w:rPr>
        <w:t xml:space="preserve"> </w:t>
      </w:r>
      <w:r w:rsidRPr="00176098">
        <w:rPr>
          <w:b/>
          <w:noProof/>
          <w:szCs w:val="24"/>
          <w:lang w:val="lv-LV"/>
        </w:rPr>
        <w:t>Visu to pasākumu budžets, kurus var attiecināt uz mērķrādītāju</w:t>
      </w:r>
    </w:p>
    <w:p w14:paraId="6900D209" w14:textId="77777777" w:rsidR="00145F2B" w:rsidRPr="00550D35" w:rsidRDefault="00145F2B" w:rsidP="00145F2B">
      <w:pPr>
        <w:spacing w:before="0" w:after="160" w:line="259" w:lineRule="auto"/>
        <w:ind w:left="567" w:firstLine="0"/>
        <w:contextualSpacing/>
        <w:jc w:val="left"/>
        <w:rPr>
          <w:noProof/>
          <w:szCs w:val="24"/>
          <w:lang w:val="lv-LV"/>
        </w:rPr>
      </w:pPr>
      <w:r w:rsidRPr="00550D35">
        <w:rPr>
          <w:noProof/>
          <w:szCs w:val="24"/>
          <w:lang w:val="lv-LV"/>
        </w:rPr>
        <w:t xml:space="preserve">Publiskās investīcijas: </w:t>
      </w:r>
    </w:p>
    <w:p w14:paraId="5F8694C9" w14:textId="77777777" w:rsidR="00145F2B" w:rsidRPr="00550D35" w:rsidRDefault="00145F2B" w:rsidP="00145F2B">
      <w:pPr>
        <w:pStyle w:val="ListParagraph"/>
        <w:numPr>
          <w:ilvl w:val="4"/>
          <w:numId w:val="23"/>
        </w:numPr>
        <w:spacing w:before="0" w:after="160" w:line="259" w:lineRule="auto"/>
        <w:ind w:left="2268" w:hanging="567"/>
        <w:contextualSpacing/>
        <w:jc w:val="left"/>
        <w:rPr>
          <w:noProof/>
          <w:sz w:val="24"/>
          <w:szCs w:val="24"/>
          <w:lang w:val="lv-LV"/>
        </w:rPr>
      </w:pPr>
      <w:r w:rsidRPr="00550D35">
        <w:rPr>
          <w:noProof/>
          <w:sz w:val="24"/>
          <w:szCs w:val="24"/>
          <w:lang w:val="lv-LV"/>
        </w:rPr>
        <w:t>piešķirtas: –nav piešķirtas;</w:t>
      </w:r>
    </w:p>
    <w:p w14:paraId="4906C3FA" w14:textId="77777777" w:rsidR="00145F2B" w:rsidRPr="00550D35" w:rsidRDefault="00145F2B" w:rsidP="00145F2B">
      <w:pPr>
        <w:pStyle w:val="ListParagraph"/>
        <w:numPr>
          <w:ilvl w:val="4"/>
          <w:numId w:val="23"/>
        </w:numPr>
        <w:spacing w:before="0" w:after="160" w:line="259" w:lineRule="auto"/>
        <w:ind w:left="2268" w:hanging="567"/>
        <w:contextualSpacing/>
        <w:jc w:val="left"/>
        <w:rPr>
          <w:noProof/>
          <w:sz w:val="24"/>
          <w:szCs w:val="24"/>
          <w:lang w:val="lv-LV"/>
        </w:rPr>
      </w:pPr>
      <w:r w:rsidRPr="00550D35">
        <w:rPr>
          <w:noProof/>
          <w:sz w:val="24"/>
          <w:szCs w:val="24"/>
          <w:lang w:val="lv-LV"/>
        </w:rPr>
        <w:t>plānotas: – 24,9 milj. </w:t>
      </w:r>
      <w:r w:rsidRPr="00550D35">
        <w:rPr>
          <w:i/>
          <w:noProof/>
          <w:sz w:val="24"/>
          <w:szCs w:val="24"/>
          <w:lang w:val="lv-LV"/>
        </w:rPr>
        <w:t>euro</w:t>
      </w:r>
      <w:r w:rsidRPr="00550D35">
        <w:rPr>
          <w:noProof/>
          <w:sz w:val="24"/>
          <w:szCs w:val="24"/>
          <w:lang w:val="lv-LV"/>
        </w:rPr>
        <w:t>.</w:t>
      </w:r>
    </w:p>
    <w:p w14:paraId="2399294F" w14:textId="77777777" w:rsidR="00145F2B" w:rsidRPr="00550D35" w:rsidRDefault="00145F2B" w:rsidP="00145F2B">
      <w:pPr>
        <w:pStyle w:val="ListParagraph"/>
        <w:numPr>
          <w:ilvl w:val="3"/>
          <w:numId w:val="23"/>
        </w:numPr>
        <w:spacing w:before="0" w:after="160" w:line="259" w:lineRule="auto"/>
        <w:ind w:left="1134" w:firstLine="0"/>
        <w:contextualSpacing/>
        <w:jc w:val="left"/>
        <w:rPr>
          <w:sz w:val="24"/>
          <w:szCs w:val="24"/>
          <w:lang w:val="lv-LV"/>
        </w:rPr>
      </w:pPr>
      <w:r w:rsidRPr="00550D35">
        <w:rPr>
          <w:sz w:val="24"/>
          <w:szCs w:val="24"/>
          <w:lang w:val="lv-LV"/>
        </w:rPr>
        <w:t>No tām piešķirtas no valsts avotiem:</w:t>
      </w:r>
    </w:p>
    <w:p w14:paraId="45D28D39" w14:textId="77777777" w:rsidR="00145F2B" w:rsidRPr="00550D35" w:rsidRDefault="00145F2B" w:rsidP="00145F2B">
      <w:pPr>
        <w:pStyle w:val="ListParagraph"/>
        <w:numPr>
          <w:ilvl w:val="4"/>
          <w:numId w:val="23"/>
        </w:numPr>
        <w:spacing w:before="0" w:after="160" w:line="259" w:lineRule="auto"/>
        <w:ind w:left="2268" w:hanging="567"/>
        <w:contextualSpacing/>
        <w:jc w:val="left"/>
        <w:rPr>
          <w:noProof/>
          <w:sz w:val="24"/>
          <w:szCs w:val="24"/>
          <w:lang w:val="lv-LV"/>
        </w:rPr>
      </w:pPr>
      <w:r w:rsidRPr="00550D35">
        <w:rPr>
          <w:noProof/>
          <w:sz w:val="24"/>
          <w:szCs w:val="24"/>
          <w:lang w:val="lv-LV"/>
        </w:rPr>
        <w:t>piešķirtas: – nav piešķirtas;</w:t>
      </w:r>
    </w:p>
    <w:p w14:paraId="39808F29" w14:textId="77777777" w:rsidR="00145F2B" w:rsidRPr="00550D35" w:rsidRDefault="00145F2B" w:rsidP="00145F2B">
      <w:pPr>
        <w:pStyle w:val="ListParagraph"/>
        <w:numPr>
          <w:ilvl w:val="4"/>
          <w:numId w:val="23"/>
        </w:numPr>
        <w:spacing w:before="0" w:after="160" w:line="259" w:lineRule="auto"/>
        <w:ind w:left="2268" w:hanging="567"/>
        <w:contextualSpacing/>
        <w:jc w:val="left"/>
        <w:rPr>
          <w:noProof/>
          <w:sz w:val="24"/>
          <w:szCs w:val="24"/>
          <w:lang w:val="lv-LV"/>
        </w:rPr>
      </w:pPr>
      <w:r w:rsidRPr="00550D35">
        <w:rPr>
          <w:noProof/>
          <w:sz w:val="24"/>
          <w:szCs w:val="24"/>
          <w:lang w:val="lv-LV"/>
        </w:rPr>
        <w:t>plānotas: – nav plānotas; </w:t>
      </w:r>
    </w:p>
    <w:p w14:paraId="1400EE5D" w14:textId="77777777" w:rsidR="00145F2B" w:rsidRPr="00550D35" w:rsidRDefault="00145F2B" w:rsidP="00145F2B">
      <w:pPr>
        <w:pStyle w:val="ListParagraph"/>
        <w:numPr>
          <w:ilvl w:val="1"/>
          <w:numId w:val="23"/>
        </w:numPr>
        <w:spacing w:before="0" w:after="160" w:line="259" w:lineRule="auto"/>
        <w:contextualSpacing/>
        <w:jc w:val="left"/>
        <w:rPr>
          <w:sz w:val="24"/>
          <w:szCs w:val="24"/>
          <w:lang w:val="lv-LV"/>
        </w:rPr>
      </w:pPr>
      <w:r w:rsidRPr="00550D35">
        <w:rPr>
          <w:sz w:val="24"/>
          <w:szCs w:val="24"/>
          <w:lang w:val="lv-LV"/>
        </w:rPr>
        <w:t xml:space="preserve">No tām piešķirtas no ES avotiem (ANM): </w:t>
      </w:r>
    </w:p>
    <w:p w14:paraId="02C530CB" w14:textId="77777777" w:rsidR="00145F2B" w:rsidRPr="00550D35" w:rsidRDefault="00145F2B" w:rsidP="00145F2B">
      <w:pPr>
        <w:pStyle w:val="ListParagraph"/>
        <w:numPr>
          <w:ilvl w:val="4"/>
          <w:numId w:val="23"/>
        </w:numPr>
        <w:spacing w:before="0" w:after="160" w:line="259" w:lineRule="auto"/>
        <w:ind w:left="2694" w:hanging="426"/>
        <w:contextualSpacing/>
        <w:jc w:val="left"/>
        <w:rPr>
          <w:noProof/>
          <w:sz w:val="24"/>
          <w:szCs w:val="24"/>
          <w:lang w:val="lv-LV"/>
        </w:rPr>
      </w:pPr>
      <w:r w:rsidRPr="00550D35">
        <w:rPr>
          <w:noProof/>
          <w:sz w:val="24"/>
          <w:szCs w:val="24"/>
          <w:lang w:val="lv-LV"/>
        </w:rPr>
        <w:t>piešķirtas – 17,6 milj. </w:t>
      </w:r>
      <w:r w:rsidRPr="00550D35">
        <w:rPr>
          <w:i/>
          <w:noProof/>
          <w:sz w:val="24"/>
          <w:szCs w:val="24"/>
          <w:lang w:val="lv-LV"/>
        </w:rPr>
        <w:t>euro</w:t>
      </w:r>
      <w:r w:rsidRPr="00550D35">
        <w:rPr>
          <w:noProof/>
          <w:sz w:val="24"/>
          <w:szCs w:val="24"/>
          <w:lang w:val="lv-LV"/>
        </w:rPr>
        <w:t xml:space="preserve"> (ANM);</w:t>
      </w:r>
    </w:p>
    <w:p w14:paraId="61ED8867" w14:textId="77777777" w:rsidR="00145F2B" w:rsidRPr="00550D35" w:rsidRDefault="00145F2B" w:rsidP="00145F2B">
      <w:pPr>
        <w:pStyle w:val="ListParagraph"/>
        <w:numPr>
          <w:ilvl w:val="4"/>
          <w:numId w:val="23"/>
        </w:numPr>
        <w:spacing w:before="0" w:after="160" w:line="259" w:lineRule="auto"/>
        <w:ind w:left="2694" w:hanging="426"/>
        <w:contextualSpacing/>
        <w:jc w:val="left"/>
        <w:rPr>
          <w:noProof/>
          <w:sz w:val="24"/>
          <w:szCs w:val="24"/>
          <w:lang w:val="lv-LV"/>
        </w:rPr>
      </w:pPr>
      <w:r w:rsidRPr="00550D35">
        <w:rPr>
          <w:noProof/>
          <w:sz w:val="24"/>
          <w:szCs w:val="24"/>
          <w:lang w:val="lv-LV"/>
        </w:rPr>
        <w:t>plānots izmantot – 7,3 milj. </w:t>
      </w:r>
      <w:r w:rsidRPr="00550D35">
        <w:rPr>
          <w:i/>
          <w:noProof/>
          <w:sz w:val="24"/>
          <w:szCs w:val="24"/>
          <w:lang w:val="lv-LV"/>
        </w:rPr>
        <w:t>euro</w:t>
      </w:r>
      <w:r w:rsidRPr="00550D35">
        <w:rPr>
          <w:noProof/>
          <w:sz w:val="24"/>
          <w:szCs w:val="24"/>
          <w:lang w:val="lv-LV"/>
        </w:rPr>
        <w:t xml:space="preserve"> (ANM)</w:t>
      </w:r>
    </w:p>
    <w:p w14:paraId="7096BB26" w14:textId="77777777" w:rsidR="00145F2B" w:rsidRPr="00550D35" w:rsidRDefault="00145F2B" w:rsidP="00145F2B">
      <w:pPr>
        <w:shd w:val="clear" w:color="auto" w:fill="FFFFFF" w:themeFill="background1"/>
        <w:spacing w:before="0"/>
        <w:ind w:firstLine="0"/>
        <w:rPr>
          <w:szCs w:val="24"/>
          <w:lang w:val="lv-LV"/>
        </w:rPr>
      </w:pPr>
    </w:p>
    <w:p w14:paraId="61968894" w14:textId="77777777" w:rsidR="00145F2B" w:rsidRPr="00550D35" w:rsidRDefault="00145F2B" w:rsidP="00145F2B">
      <w:pPr>
        <w:rPr>
          <w:lang w:val="lv-LV"/>
        </w:rPr>
      </w:pPr>
      <w:r w:rsidRPr="00550D35">
        <w:rPr>
          <w:lang w:val="lv-LV"/>
        </w:rPr>
        <w:t xml:space="preserve">Līdz 2023. gada 1. septembrim MK ir apstiprināti projekti nozaru publisko pakalpojumu </w:t>
      </w:r>
      <w:proofErr w:type="spellStart"/>
      <w:r w:rsidRPr="00550D35">
        <w:rPr>
          <w:lang w:val="lv-LV"/>
        </w:rPr>
        <w:t>digitalizācijas</w:t>
      </w:r>
      <w:proofErr w:type="spellEnd"/>
      <w:r w:rsidRPr="00550D35">
        <w:rPr>
          <w:lang w:val="lv-LV"/>
        </w:rPr>
        <w:t xml:space="preserve"> risinājumu pilnveidošanai 22,8 milj. </w:t>
      </w:r>
      <w:proofErr w:type="spellStart"/>
      <w:r w:rsidRPr="00550D35">
        <w:rPr>
          <w:i/>
          <w:lang w:val="lv-LV"/>
        </w:rPr>
        <w:t>euro</w:t>
      </w:r>
      <w:proofErr w:type="spellEnd"/>
      <w:r w:rsidRPr="00550D35">
        <w:rPr>
          <w:lang w:val="lv-LV"/>
        </w:rPr>
        <w:t xml:space="preserve"> apjomā. Šī summa pieaugs reizē ar plānoto aktivitāšu skaita pieaugumu. Jāņem vērā, ka šajā summā ietilpst arī iestāžu darbu atbalstošo sistēmu pilnveidošana un modernizācija. Pašreizējā dokumentācijas izstrādes stadijā nav iespējams noteikt kādu daļu no šīs summas veido tieši izdevumi publisko pakalpojumu </w:t>
      </w:r>
      <w:proofErr w:type="spellStart"/>
      <w:r w:rsidRPr="00550D35">
        <w:rPr>
          <w:lang w:val="lv-LV"/>
        </w:rPr>
        <w:t>digitalizācijas</w:t>
      </w:r>
      <w:proofErr w:type="spellEnd"/>
      <w:r w:rsidRPr="00550D35">
        <w:rPr>
          <w:lang w:val="lv-LV"/>
        </w:rPr>
        <w:t xml:space="preserve"> atbalstam.</w:t>
      </w:r>
    </w:p>
    <w:p w14:paraId="670285A2" w14:textId="77777777" w:rsidR="00145F2B" w:rsidRPr="00550D35" w:rsidRDefault="00145F2B" w:rsidP="00145F2B">
      <w:pPr>
        <w:rPr>
          <w:lang w:val="lv-LV"/>
        </w:rPr>
      </w:pPr>
      <w:r w:rsidRPr="00550D35">
        <w:rPr>
          <w:lang w:val="lv-LV"/>
        </w:rPr>
        <w:t xml:space="preserve">Līdz 2023. gada 1. septembrim ar </w:t>
      </w:r>
      <w:proofErr w:type="spellStart"/>
      <w:r w:rsidRPr="00550D35">
        <w:rPr>
          <w:lang w:val="lv-LV"/>
        </w:rPr>
        <w:t>digitalizāciju</w:t>
      </w:r>
      <w:proofErr w:type="spellEnd"/>
      <w:r w:rsidRPr="00550D35">
        <w:rPr>
          <w:lang w:val="lv-LV"/>
        </w:rPr>
        <w:t xml:space="preserve"> saistītiem projektiem ir ieplānoti 40,4 milj. </w:t>
      </w:r>
      <w:proofErr w:type="spellStart"/>
      <w:r w:rsidRPr="00550D35">
        <w:rPr>
          <w:i/>
          <w:lang w:val="lv-LV"/>
        </w:rPr>
        <w:t>euro</w:t>
      </w:r>
      <w:proofErr w:type="spellEnd"/>
      <w:r w:rsidRPr="00550D35">
        <w:rPr>
          <w:lang w:val="lv-LV"/>
        </w:rPr>
        <w:t xml:space="preserve">. Ņemot vērā, ka darbs pie projektu dokumentācijas izstrādes turpinās, pašreiz nav iespējams noteikt cik liela daļa no šīs summas būs tieši saistīta ar pakalpojumu </w:t>
      </w:r>
      <w:proofErr w:type="spellStart"/>
      <w:r w:rsidRPr="00550D35">
        <w:rPr>
          <w:lang w:val="lv-LV"/>
        </w:rPr>
        <w:t>digitalizāciju</w:t>
      </w:r>
      <w:proofErr w:type="spellEnd"/>
      <w:r w:rsidRPr="00550D35">
        <w:rPr>
          <w:lang w:val="lv-LV"/>
        </w:rPr>
        <w:t>.</w:t>
      </w:r>
    </w:p>
    <w:p w14:paraId="66CD78F5" w14:textId="77777777" w:rsidR="00145F2B" w:rsidRPr="00550D35" w:rsidRDefault="00145F2B" w:rsidP="00145F2B">
      <w:pPr>
        <w:rPr>
          <w:lang w:val="lv-LV"/>
        </w:rPr>
      </w:pPr>
    </w:p>
    <w:p w14:paraId="73A6386D" w14:textId="77777777" w:rsidR="00145F2B" w:rsidRPr="00550D35" w:rsidRDefault="00145F2B" w:rsidP="00145F2B">
      <w:pPr>
        <w:pStyle w:val="Heading3"/>
        <w:rPr>
          <w:lang w:val="lv-LV"/>
        </w:rPr>
      </w:pPr>
      <w:r w:rsidRPr="00550D35">
        <w:rPr>
          <w:lang w:val="lv-LV"/>
        </w:rPr>
        <w:t>Pasākumu apraksts</w:t>
      </w:r>
    </w:p>
    <w:p w14:paraId="4ACF9D3E" w14:textId="77777777" w:rsidR="00145F2B" w:rsidRPr="00550D35" w:rsidRDefault="00145F2B" w:rsidP="00145F2B">
      <w:pPr>
        <w:shd w:val="clear" w:color="auto" w:fill="FFFFFF" w:themeFill="background1"/>
        <w:spacing w:before="0"/>
        <w:ind w:firstLine="0"/>
        <w:rPr>
          <w:b/>
          <w:bCs/>
          <w:sz w:val="22"/>
          <w:szCs w:val="22"/>
          <w:lang w:val="lv-LV"/>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9"/>
        <w:gridCol w:w="5772"/>
      </w:tblGrid>
      <w:tr w:rsidR="00145F2B" w:rsidRPr="003B2E9A" w14:paraId="6063B1BC" w14:textId="77777777" w:rsidTr="00BA62A0">
        <w:trPr>
          <w:trHeight w:val="300"/>
        </w:trPr>
        <w:tc>
          <w:tcPr>
            <w:tcW w:w="8648" w:type="dxa"/>
            <w:gridSpan w:val="2"/>
            <w:tcBorders>
              <w:top w:val="single" w:sz="6" w:space="0" w:color="auto"/>
              <w:left w:val="single" w:sz="6" w:space="0" w:color="auto"/>
              <w:bottom w:val="single" w:sz="6" w:space="0" w:color="auto"/>
              <w:right w:val="single" w:sz="6" w:space="0" w:color="auto"/>
            </w:tcBorders>
            <w:shd w:val="clear" w:color="auto" w:fill="auto"/>
          </w:tcPr>
          <w:p w14:paraId="19D01FE1" w14:textId="77777777" w:rsidR="00145F2B" w:rsidRPr="004E122B" w:rsidRDefault="00145F2B" w:rsidP="00BA62A0">
            <w:pPr>
              <w:spacing w:before="0" w:after="0" w:line="259" w:lineRule="auto"/>
              <w:ind w:firstLine="0"/>
              <w:rPr>
                <w:sz w:val="20"/>
                <w:lang w:val="lv-LV"/>
              </w:rPr>
            </w:pPr>
            <w:r w:rsidRPr="00550D35">
              <w:rPr>
                <w:b/>
                <w:bCs/>
                <w:sz w:val="20"/>
                <w:lang w:val="lv-LV"/>
              </w:rPr>
              <w:t xml:space="preserve">1.pasākums. </w:t>
            </w:r>
            <w:r w:rsidRPr="00B41B67">
              <w:rPr>
                <w:b/>
                <w:bCs/>
                <w:sz w:val="20"/>
                <w:lang w:val="lv-LV"/>
              </w:rPr>
              <w:t xml:space="preserve">ANM plāna investīcija 2.1.2.1. </w:t>
            </w:r>
            <w:r>
              <w:rPr>
                <w:b/>
                <w:bCs/>
                <w:sz w:val="20"/>
                <w:lang w:val="lv-LV"/>
              </w:rPr>
              <w:t>“</w:t>
            </w:r>
            <w:r w:rsidRPr="00550D35">
              <w:rPr>
                <w:b/>
                <w:bCs/>
                <w:sz w:val="20"/>
                <w:lang w:val="lv-LV"/>
              </w:rPr>
              <w:t xml:space="preserve">Vienotās datu un digitālo pakalpojumu koplietošanas platformas publiskā sektora un tautsaimniecības datu koplietošanai un </w:t>
            </w:r>
            <w:proofErr w:type="spellStart"/>
            <w:r w:rsidRPr="00550D35">
              <w:rPr>
                <w:b/>
                <w:bCs/>
                <w:sz w:val="20"/>
                <w:lang w:val="lv-LV"/>
              </w:rPr>
              <w:t>klientcentrētiem</w:t>
            </w:r>
            <w:proofErr w:type="spellEnd"/>
            <w:r w:rsidRPr="00550D35">
              <w:rPr>
                <w:b/>
                <w:bCs/>
                <w:sz w:val="20"/>
                <w:lang w:val="lv-LV"/>
              </w:rPr>
              <w:t xml:space="preserve"> un </w:t>
            </w:r>
            <w:proofErr w:type="spellStart"/>
            <w:r w:rsidRPr="00550D35">
              <w:rPr>
                <w:b/>
                <w:bCs/>
                <w:sz w:val="20"/>
                <w:lang w:val="lv-LV"/>
              </w:rPr>
              <w:t>proaktīviem</w:t>
            </w:r>
            <w:proofErr w:type="spellEnd"/>
            <w:r w:rsidRPr="00550D35">
              <w:rPr>
                <w:b/>
                <w:bCs/>
                <w:sz w:val="20"/>
                <w:lang w:val="lv-LV"/>
              </w:rPr>
              <w:t xml:space="preserve"> e-pakalpojumiem</w:t>
            </w:r>
            <w:r>
              <w:rPr>
                <w:b/>
                <w:bCs/>
                <w:sz w:val="20"/>
                <w:lang w:val="lv-LV"/>
              </w:rPr>
              <w:t>”</w:t>
            </w:r>
            <w:r w:rsidRPr="00550D35">
              <w:rPr>
                <w:b/>
                <w:bCs/>
                <w:sz w:val="20"/>
                <w:lang w:val="lv-LV"/>
              </w:rPr>
              <w:t xml:space="preserve"> </w:t>
            </w:r>
          </w:p>
        </w:tc>
      </w:tr>
      <w:tr w:rsidR="00145F2B" w:rsidRPr="00550D35" w14:paraId="2EB534F2" w14:textId="77777777" w:rsidTr="00BA62A0">
        <w:trPr>
          <w:trHeight w:val="300"/>
        </w:trPr>
        <w:tc>
          <w:tcPr>
            <w:tcW w:w="2842" w:type="dxa"/>
            <w:tcBorders>
              <w:top w:val="single" w:sz="6" w:space="0" w:color="auto"/>
              <w:left w:val="single" w:sz="6" w:space="0" w:color="auto"/>
              <w:bottom w:val="single" w:sz="6" w:space="0" w:color="auto"/>
              <w:right w:val="single" w:sz="6" w:space="0" w:color="auto"/>
            </w:tcBorders>
            <w:shd w:val="clear" w:color="auto" w:fill="auto"/>
            <w:hideMark/>
          </w:tcPr>
          <w:p w14:paraId="6BA65F92" w14:textId="77777777" w:rsidR="00145F2B" w:rsidRPr="00550D35" w:rsidRDefault="00145F2B" w:rsidP="00BA62A0">
            <w:pPr>
              <w:pStyle w:val="paragraph"/>
              <w:spacing w:before="120" w:beforeAutospacing="0" w:after="0" w:afterAutospacing="0"/>
              <w:textAlignment w:val="baseline"/>
              <w:rPr>
                <w:sz w:val="20"/>
                <w:szCs w:val="20"/>
                <w:lang w:val="lv-LV"/>
              </w:rPr>
            </w:pPr>
            <w:r w:rsidRPr="00550D35">
              <w:rPr>
                <w:rStyle w:val="normaltextrun"/>
                <w:b/>
                <w:bCs/>
                <w:sz w:val="20"/>
                <w:szCs w:val="20"/>
                <w:lang w:val="lv-LV"/>
              </w:rPr>
              <w:t>Jauns pasākums</w:t>
            </w:r>
            <w:r w:rsidRPr="00550D35">
              <w:rPr>
                <w:rStyle w:val="eop"/>
                <w:sz w:val="20"/>
                <w:szCs w:val="20"/>
                <w:lang w:val="lv-LV"/>
              </w:rPr>
              <w:t> </w:t>
            </w:r>
          </w:p>
        </w:tc>
        <w:tc>
          <w:tcPr>
            <w:tcW w:w="5806" w:type="dxa"/>
            <w:tcBorders>
              <w:top w:val="single" w:sz="6" w:space="0" w:color="auto"/>
              <w:left w:val="single" w:sz="6" w:space="0" w:color="auto"/>
              <w:bottom w:val="single" w:sz="6" w:space="0" w:color="auto"/>
              <w:right w:val="single" w:sz="6" w:space="0" w:color="auto"/>
            </w:tcBorders>
            <w:shd w:val="clear" w:color="auto" w:fill="auto"/>
            <w:hideMark/>
          </w:tcPr>
          <w:p w14:paraId="68AD61EB" w14:textId="77777777" w:rsidR="00145F2B" w:rsidRPr="00550D35" w:rsidRDefault="00AC141D" w:rsidP="00BA62A0">
            <w:pPr>
              <w:spacing w:before="120" w:after="0"/>
              <w:ind w:firstLine="0"/>
              <w:jc w:val="left"/>
              <w:rPr>
                <w:rFonts w:eastAsia="MS Minngs"/>
                <w:sz w:val="20"/>
                <w:lang w:val="lv-LV"/>
              </w:rPr>
            </w:pPr>
            <w:sdt>
              <w:sdtPr>
                <w:rPr>
                  <w:rFonts w:eastAsia="Wingdings 2"/>
                  <w:sz w:val="20"/>
                  <w:lang w:val="lv-LV"/>
                </w:rPr>
                <w:id w:val="-657844156"/>
                <w14:checkbox>
                  <w14:checked w14:val="0"/>
                  <w14:checkedState w14:val="2612" w14:font="MS Gothic"/>
                  <w14:uncheckedState w14:val="2610" w14:font="MS Gothic"/>
                </w14:checkbox>
              </w:sdtPr>
              <w:sdtEndPr/>
              <w:sdtContent>
                <w:r w:rsidR="00145F2B" w:rsidRPr="00550D35">
                  <w:rPr>
                    <w:rFonts w:ascii="MS Gothic" w:eastAsia="MS Gothic" w:hAnsi="MS Gothic"/>
                    <w:sz w:val="20"/>
                    <w:lang w:val="lv-LV"/>
                  </w:rPr>
                  <w:t>☒</w:t>
                </w:r>
              </w:sdtContent>
            </w:sdt>
            <w:r w:rsidR="00145F2B" w:rsidRPr="00550D35">
              <w:rPr>
                <w:rFonts w:eastAsia="MS Minngs"/>
                <w:sz w:val="20"/>
                <w:lang w:val="lv-LV"/>
              </w:rPr>
              <w:t xml:space="preserve"> jā</w:t>
            </w:r>
          </w:p>
          <w:p w14:paraId="5E925434" w14:textId="77777777" w:rsidR="00145F2B" w:rsidRPr="00550D35" w:rsidRDefault="00AC141D" w:rsidP="00BA62A0">
            <w:pPr>
              <w:spacing w:before="120" w:after="0"/>
              <w:ind w:firstLine="0"/>
              <w:jc w:val="left"/>
              <w:rPr>
                <w:sz w:val="20"/>
                <w:lang w:val="lv-LV"/>
              </w:rPr>
            </w:pPr>
            <w:sdt>
              <w:sdtPr>
                <w:rPr>
                  <w:rFonts w:eastAsia="Wingdings 2"/>
                  <w:sz w:val="20"/>
                  <w:lang w:val="lv-LV"/>
                </w:rPr>
                <w:id w:val="738058748"/>
                <w14:checkbox>
                  <w14:checked w14:val="0"/>
                  <w14:checkedState w14:val="2612" w14:font="MS Gothic"/>
                  <w14:uncheckedState w14:val="2610" w14:font="MS Gothic"/>
                </w14:checkbox>
              </w:sdtPr>
              <w:sdtEndPr/>
              <w:sdtContent>
                <w:r w:rsidR="00145F2B" w:rsidRPr="00550D35">
                  <w:rPr>
                    <w:rFonts w:ascii="MS Gothic" w:eastAsia="MS Gothic" w:hAnsi="MS Gothic"/>
                    <w:sz w:val="20"/>
                    <w:lang w:val="lv-LV"/>
                  </w:rPr>
                  <w:t>☐</w:t>
                </w:r>
              </w:sdtContent>
            </w:sdt>
            <w:r w:rsidR="00145F2B" w:rsidRPr="00550D35">
              <w:rPr>
                <w:rFonts w:eastAsia="MS Minngs"/>
                <w:sz w:val="20"/>
                <w:lang w:val="lv-LV"/>
              </w:rPr>
              <w:t xml:space="preserve"> nē</w:t>
            </w:r>
          </w:p>
        </w:tc>
      </w:tr>
      <w:tr w:rsidR="00145F2B" w:rsidRPr="003B2E9A" w14:paraId="7B6BC3FA" w14:textId="77777777" w:rsidTr="00BA62A0">
        <w:trPr>
          <w:trHeight w:val="300"/>
        </w:trPr>
        <w:tc>
          <w:tcPr>
            <w:tcW w:w="2842" w:type="dxa"/>
            <w:tcBorders>
              <w:top w:val="single" w:sz="6" w:space="0" w:color="auto"/>
              <w:left w:val="single" w:sz="6" w:space="0" w:color="auto"/>
              <w:bottom w:val="single" w:sz="6" w:space="0" w:color="auto"/>
              <w:right w:val="single" w:sz="6" w:space="0" w:color="auto"/>
            </w:tcBorders>
            <w:shd w:val="clear" w:color="auto" w:fill="auto"/>
            <w:hideMark/>
          </w:tcPr>
          <w:p w14:paraId="78BCEA86" w14:textId="77777777" w:rsidR="00145F2B" w:rsidRPr="00550D35" w:rsidRDefault="00145F2B" w:rsidP="00BA62A0">
            <w:pPr>
              <w:pStyle w:val="pf0"/>
              <w:spacing w:before="120" w:beforeAutospacing="0" w:after="0" w:afterAutospacing="0"/>
              <w:rPr>
                <w:sz w:val="20"/>
                <w:szCs w:val="20"/>
              </w:rPr>
            </w:pPr>
            <w:r w:rsidRPr="00550D35">
              <w:rPr>
                <w:b/>
                <w:bCs/>
                <w:sz w:val="20"/>
              </w:rPr>
              <w:t>Īss pasākuma apraksts</w:t>
            </w:r>
          </w:p>
        </w:tc>
        <w:tc>
          <w:tcPr>
            <w:tcW w:w="5806" w:type="dxa"/>
            <w:tcBorders>
              <w:top w:val="single" w:sz="6" w:space="0" w:color="auto"/>
              <w:left w:val="single" w:sz="6" w:space="0" w:color="auto"/>
              <w:bottom w:val="single" w:sz="6" w:space="0" w:color="auto"/>
              <w:right w:val="single" w:sz="6" w:space="0" w:color="auto"/>
            </w:tcBorders>
            <w:shd w:val="clear" w:color="auto" w:fill="auto"/>
            <w:hideMark/>
          </w:tcPr>
          <w:p w14:paraId="027E02E1" w14:textId="77777777" w:rsidR="00145F2B" w:rsidRPr="00550D35" w:rsidRDefault="00145F2B" w:rsidP="00BA62A0">
            <w:pPr>
              <w:pStyle w:val="pf0"/>
              <w:spacing w:before="120" w:beforeAutospacing="0" w:after="0" w:afterAutospacing="0"/>
              <w:jc w:val="both"/>
              <w:rPr>
                <w:sz w:val="20"/>
                <w:szCs w:val="20"/>
              </w:rPr>
            </w:pPr>
            <w:r w:rsidRPr="00550D35">
              <w:rPr>
                <w:sz w:val="20"/>
                <w:szCs w:val="20"/>
              </w:rPr>
              <w:t xml:space="preserve">Pasākums apvieno divus projektus, kas vērsti uz centralizēto lietojumu attīstīšanu datu publisko pakalpojumu sniegšanai un datu apstrādes nodrošināšanai. (DAGR un Latvija.lv) </w:t>
            </w:r>
          </w:p>
          <w:p w14:paraId="3741304E" w14:textId="77777777" w:rsidR="00145F2B" w:rsidRPr="00550D35" w:rsidRDefault="00145F2B" w:rsidP="00BA62A0">
            <w:pPr>
              <w:pStyle w:val="pf0"/>
              <w:spacing w:before="120" w:beforeAutospacing="0" w:after="0" w:afterAutospacing="0"/>
              <w:jc w:val="both"/>
              <w:rPr>
                <w:sz w:val="20"/>
                <w:szCs w:val="20"/>
              </w:rPr>
            </w:pPr>
            <w:r w:rsidRPr="00550D35">
              <w:rPr>
                <w:sz w:val="20"/>
                <w:szCs w:val="20"/>
              </w:rPr>
              <w:t>DAGR mērķis ir nodrošināt valsts pārvaldei iespējas apkopot potenciāli visu valsts iestāžu datus vienotā datu izplatīšanas platformā, kuru datu saņēmēji varēs izmantot, lai izgūtu reāla laika datus no avotu sistēmām</w:t>
            </w:r>
            <w:r w:rsidRPr="00550D35">
              <w:rPr>
                <w:sz w:val="20"/>
                <w:szCs w:val="20"/>
                <w:vertAlign w:val="superscript"/>
              </w:rPr>
              <w:footnoteReference w:id="71"/>
            </w:r>
            <w:r w:rsidRPr="00550D35">
              <w:rPr>
                <w:sz w:val="20"/>
                <w:szCs w:val="20"/>
              </w:rPr>
              <w:t>.</w:t>
            </w:r>
          </w:p>
          <w:p w14:paraId="5AE6ED83" w14:textId="77777777" w:rsidR="00145F2B" w:rsidRPr="00550D35" w:rsidRDefault="00145F2B" w:rsidP="00BA62A0">
            <w:pPr>
              <w:spacing w:before="120" w:after="0"/>
              <w:ind w:right="102" w:firstLine="0"/>
              <w:rPr>
                <w:sz w:val="20"/>
                <w:lang w:val="lv-LV"/>
              </w:rPr>
            </w:pPr>
            <w:r w:rsidRPr="00550D35">
              <w:rPr>
                <w:sz w:val="20"/>
                <w:lang w:val="lv-LV"/>
              </w:rPr>
              <w:t xml:space="preserve">Latvija.gov.lv portāla mērķis ir nodrošināt lietotāju vajadzībām pielāgotu un modernu portālu kā vienotu pieejas punktu valsts pārvaldē sniegtiem pakalpojumiem, ieviešot mākslīgā intelekta risinājumu, profilētu informāciju un </w:t>
            </w:r>
            <w:proofErr w:type="spellStart"/>
            <w:r w:rsidRPr="00550D35">
              <w:rPr>
                <w:sz w:val="20"/>
                <w:lang w:val="lv-LV"/>
              </w:rPr>
              <w:t>proaktīvus</w:t>
            </w:r>
            <w:proofErr w:type="spellEnd"/>
            <w:r w:rsidRPr="00550D35">
              <w:rPr>
                <w:sz w:val="20"/>
                <w:lang w:val="lv-LV"/>
              </w:rPr>
              <w:t xml:space="preserve"> pakalpojumus, attīstot personas </w:t>
            </w:r>
            <w:r w:rsidRPr="00550D35">
              <w:rPr>
                <w:sz w:val="20"/>
                <w:lang w:val="lv-LV"/>
              </w:rPr>
              <w:lastRenderedPageBreak/>
              <w:t xml:space="preserve">datu pārlūkošanas pakalpojumu ar plašāku tajā pieejamo valsts datu apjomu un lietotājiem pielāgotu funkcionalitāti, izveidot pašapkalpošanās pakalpojumu izstrādes un sniegšanas vidi valsts pārvaldes iestādēm un to pakalpojumu lietotņu izstrādātājiem un integrēt digitālo pakalpojumu koplietošanas platformu ar </w:t>
            </w:r>
            <w:proofErr w:type="spellStart"/>
            <w:r w:rsidRPr="00550D35">
              <w:rPr>
                <w:sz w:val="20"/>
                <w:lang w:val="lv-LV"/>
              </w:rPr>
              <w:t>vienreizes</w:t>
            </w:r>
            <w:proofErr w:type="spellEnd"/>
            <w:r w:rsidRPr="00550D35">
              <w:rPr>
                <w:sz w:val="20"/>
                <w:lang w:val="lv-LV"/>
              </w:rPr>
              <w:t xml:space="preserve"> tehnisko sistēmu pārrobežu procedūru un datu apliecinājumu apmaiņai ES</w:t>
            </w:r>
            <w:r w:rsidRPr="00550D35">
              <w:rPr>
                <w:sz w:val="20"/>
                <w:vertAlign w:val="superscript"/>
                <w:lang w:val="lv-LV"/>
              </w:rPr>
              <w:footnoteReference w:id="72"/>
            </w:r>
          </w:p>
          <w:p w14:paraId="6832AEE0" w14:textId="77777777" w:rsidR="00145F2B" w:rsidRPr="00550D35" w:rsidRDefault="00145F2B" w:rsidP="00BA62A0">
            <w:pPr>
              <w:pStyle w:val="ListParagraph"/>
              <w:spacing w:before="120"/>
              <w:ind w:left="79" w:firstLine="0"/>
              <w:rPr>
                <w:rFonts w:cs="Times New Roman"/>
                <w:sz w:val="20"/>
                <w:szCs w:val="20"/>
                <w:lang w:val="lv-LV"/>
              </w:rPr>
            </w:pPr>
            <w:r w:rsidRPr="00550D35">
              <w:rPr>
                <w:rFonts w:eastAsia="Times New Roman" w:cs="Times New Roman"/>
                <w:sz w:val="20"/>
                <w:szCs w:val="20"/>
                <w:lang w:val="lv-LV"/>
              </w:rPr>
              <w:t>Projektus paredzēts realizēt laika periodā līdz 2026. gadam ieskaitot.</w:t>
            </w:r>
          </w:p>
        </w:tc>
      </w:tr>
      <w:tr w:rsidR="00145F2B" w:rsidRPr="003B2E9A" w14:paraId="43E67793" w14:textId="77777777" w:rsidTr="00BA62A0">
        <w:trPr>
          <w:trHeight w:val="300"/>
        </w:trPr>
        <w:tc>
          <w:tcPr>
            <w:tcW w:w="2842" w:type="dxa"/>
            <w:tcBorders>
              <w:top w:val="single" w:sz="6" w:space="0" w:color="auto"/>
              <w:left w:val="single" w:sz="6" w:space="0" w:color="auto"/>
              <w:bottom w:val="single" w:sz="6" w:space="0" w:color="auto"/>
              <w:right w:val="single" w:sz="6" w:space="0" w:color="auto"/>
            </w:tcBorders>
            <w:shd w:val="clear" w:color="auto" w:fill="auto"/>
            <w:hideMark/>
          </w:tcPr>
          <w:p w14:paraId="704A50A4" w14:textId="77777777" w:rsidR="00145F2B" w:rsidRPr="00550D35" w:rsidRDefault="00145F2B" w:rsidP="00BA62A0">
            <w:pPr>
              <w:pStyle w:val="paragraph"/>
              <w:spacing w:before="120" w:beforeAutospacing="0" w:after="0" w:afterAutospacing="0"/>
              <w:ind w:firstLine="0"/>
              <w:textAlignment w:val="baseline"/>
              <w:rPr>
                <w:sz w:val="20"/>
                <w:szCs w:val="20"/>
                <w:lang w:val="lv-LV"/>
              </w:rPr>
            </w:pPr>
            <w:r w:rsidRPr="00550D35">
              <w:rPr>
                <w:rStyle w:val="normaltextrun"/>
                <w:sz w:val="20"/>
                <w:szCs w:val="20"/>
                <w:lang w:val="lv-LV"/>
              </w:rPr>
              <w:lastRenderedPageBreak/>
              <w:t>Paredzamais budžets</w:t>
            </w:r>
            <w:r w:rsidRPr="00550D35">
              <w:rPr>
                <w:rStyle w:val="eop"/>
                <w:sz w:val="20"/>
                <w:szCs w:val="20"/>
                <w:lang w:val="lv-LV"/>
              </w:rPr>
              <w:t xml:space="preserve">  </w:t>
            </w:r>
          </w:p>
        </w:tc>
        <w:tc>
          <w:tcPr>
            <w:tcW w:w="5806" w:type="dxa"/>
            <w:tcBorders>
              <w:top w:val="single" w:sz="6" w:space="0" w:color="auto"/>
              <w:left w:val="single" w:sz="6" w:space="0" w:color="auto"/>
              <w:bottom w:val="single" w:sz="6" w:space="0" w:color="auto"/>
              <w:right w:val="single" w:sz="6" w:space="0" w:color="auto"/>
            </w:tcBorders>
            <w:shd w:val="clear" w:color="auto" w:fill="auto"/>
            <w:hideMark/>
          </w:tcPr>
          <w:p w14:paraId="6E04A979" w14:textId="77777777" w:rsidR="00145F2B" w:rsidRPr="00550D35" w:rsidRDefault="00145F2B" w:rsidP="00BA62A0">
            <w:pPr>
              <w:pStyle w:val="paragraph"/>
              <w:spacing w:before="120" w:beforeAutospacing="0" w:after="0" w:afterAutospacing="0"/>
              <w:ind w:firstLine="0"/>
              <w:textAlignment w:val="baseline"/>
              <w:rPr>
                <w:sz w:val="20"/>
                <w:szCs w:val="20"/>
                <w:lang w:val="lv-LV"/>
              </w:rPr>
            </w:pPr>
            <w:r w:rsidRPr="00550D35">
              <w:rPr>
                <w:rStyle w:val="eop"/>
                <w:sz w:val="20"/>
                <w:szCs w:val="20"/>
                <w:lang w:val="lv-LV"/>
              </w:rPr>
              <w:t>ANM pl</w:t>
            </w:r>
            <w:r w:rsidRPr="00550D35">
              <w:rPr>
                <w:rStyle w:val="eop"/>
                <w:sz w:val="20"/>
                <w:lang w:val="lv-LV"/>
              </w:rPr>
              <w:t>āns</w:t>
            </w:r>
            <w:r w:rsidRPr="00550D35">
              <w:rPr>
                <w:rStyle w:val="eop"/>
                <w:sz w:val="20"/>
                <w:szCs w:val="20"/>
                <w:lang w:val="lv-LV"/>
              </w:rPr>
              <w:t xml:space="preserve"> – 4,5 milj.  </w:t>
            </w:r>
            <w:proofErr w:type="spellStart"/>
            <w:r w:rsidRPr="00550D35">
              <w:rPr>
                <w:rStyle w:val="eop"/>
                <w:i/>
                <w:sz w:val="20"/>
                <w:szCs w:val="20"/>
                <w:lang w:val="lv-LV"/>
              </w:rPr>
              <w:t>euro</w:t>
            </w:r>
            <w:proofErr w:type="spellEnd"/>
            <w:r w:rsidRPr="00550D35">
              <w:rPr>
                <w:rStyle w:val="eop"/>
                <w:sz w:val="20"/>
                <w:szCs w:val="20"/>
                <w:lang w:val="lv-LV"/>
              </w:rPr>
              <w:t xml:space="preserve"> (DAGR) un 8,064 (Latvija.lv)</w:t>
            </w:r>
          </w:p>
        </w:tc>
      </w:tr>
      <w:tr w:rsidR="00145F2B" w:rsidRPr="003B2E9A" w14:paraId="4D974E6F" w14:textId="77777777" w:rsidTr="00BA62A0">
        <w:trPr>
          <w:trHeight w:val="300"/>
        </w:trPr>
        <w:tc>
          <w:tcPr>
            <w:tcW w:w="2842" w:type="dxa"/>
            <w:tcBorders>
              <w:top w:val="single" w:sz="6" w:space="0" w:color="auto"/>
              <w:left w:val="single" w:sz="6" w:space="0" w:color="auto"/>
              <w:bottom w:val="single" w:sz="6" w:space="0" w:color="auto"/>
              <w:right w:val="single" w:sz="6" w:space="0" w:color="auto"/>
            </w:tcBorders>
            <w:shd w:val="clear" w:color="auto" w:fill="auto"/>
            <w:hideMark/>
          </w:tcPr>
          <w:p w14:paraId="7B861C8A" w14:textId="77777777" w:rsidR="00145F2B" w:rsidRPr="00550D35" w:rsidRDefault="00145F2B" w:rsidP="00BA62A0">
            <w:pPr>
              <w:pStyle w:val="paragraph"/>
              <w:spacing w:before="120" w:beforeAutospacing="0" w:after="0" w:afterAutospacing="0"/>
              <w:ind w:firstLine="0"/>
              <w:textAlignment w:val="baseline"/>
              <w:rPr>
                <w:sz w:val="20"/>
                <w:szCs w:val="20"/>
                <w:lang w:val="lv-LV"/>
              </w:rPr>
            </w:pPr>
            <w:r w:rsidRPr="00550D35">
              <w:rPr>
                <w:sz w:val="20"/>
                <w:szCs w:val="20"/>
                <w:lang w:val="lv-LV"/>
              </w:rPr>
              <w:t>Ietekme un realizācijas laiks.</w:t>
            </w:r>
          </w:p>
        </w:tc>
        <w:tc>
          <w:tcPr>
            <w:tcW w:w="5806" w:type="dxa"/>
            <w:tcBorders>
              <w:top w:val="single" w:sz="6" w:space="0" w:color="auto"/>
              <w:left w:val="single" w:sz="6" w:space="0" w:color="auto"/>
              <w:bottom w:val="single" w:sz="6" w:space="0" w:color="auto"/>
              <w:right w:val="single" w:sz="6" w:space="0" w:color="auto"/>
            </w:tcBorders>
            <w:shd w:val="clear" w:color="auto" w:fill="auto"/>
            <w:hideMark/>
          </w:tcPr>
          <w:p w14:paraId="6301C7AD" w14:textId="77777777" w:rsidR="00145F2B" w:rsidRPr="00550D35" w:rsidRDefault="00145F2B" w:rsidP="00BA62A0">
            <w:pPr>
              <w:spacing w:before="120" w:after="0"/>
              <w:ind w:firstLine="0"/>
              <w:rPr>
                <w:sz w:val="20"/>
                <w:lang w:val="lv-LV"/>
              </w:rPr>
            </w:pPr>
            <w:r w:rsidRPr="00550D35">
              <w:rPr>
                <w:sz w:val="20"/>
                <w:lang w:val="lv-LV"/>
              </w:rPr>
              <w:t>DAGR attīstīšana dod ieguldījumu 1.izaicinājuma problēmu risināšanā - projekts paredz palielināt DAGR pievienoto datu kopu skaitu līdz 20, aptverot 10 datu devējus un 20 datu saņēmējus., tādejādi palielinot iestāžu skaitu, kas izmanto centralizētos e-pakalpojumu nodrošināšanai paredzētos lietojumus.</w:t>
            </w:r>
          </w:p>
          <w:p w14:paraId="56562744" w14:textId="77777777" w:rsidR="00145F2B" w:rsidRPr="00550D35" w:rsidRDefault="00145F2B" w:rsidP="00BA62A0">
            <w:pPr>
              <w:spacing w:before="120" w:after="0"/>
              <w:ind w:firstLine="0"/>
              <w:rPr>
                <w:sz w:val="20"/>
                <w:lang w:val="lv-LV"/>
              </w:rPr>
            </w:pPr>
            <w:r w:rsidRPr="00550D35">
              <w:rPr>
                <w:sz w:val="20"/>
                <w:lang w:val="lv-LV"/>
              </w:rPr>
              <w:t xml:space="preserve">Latvija.lv attīstīšana dod ieguldījumu arī 2.izaicinājumā aprakstīto problēmu risināšanā, sniedzot iespēju iestādēm iegūt datus, kas nepieciešami, lai ieviestu </w:t>
            </w:r>
            <w:proofErr w:type="spellStart"/>
            <w:r w:rsidRPr="00550D35">
              <w:rPr>
                <w:sz w:val="20"/>
                <w:lang w:val="lv-LV"/>
              </w:rPr>
              <w:t>vienreizes</w:t>
            </w:r>
            <w:proofErr w:type="spellEnd"/>
            <w:r w:rsidRPr="00550D35">
              <w:rPr>
                <w:sz w:val="20"/>
                <w:lang w:val="lv-LV"/>
              </w:rPr>
              <w:t xml:space="preserve"> principu e-pakalpojumu sniegšanā. Projekts būtiski uzlabos publisko pakalpojumu portālu Latvija.lv, paredzot gan efektīvākas iespējas pakalpojumu informācijas meklēšanai, gan palielinot iestāžu iespējas izmantot centralizētos IKT lietojumus jaunu e-pakalpojumu izveidē.</w:t>
            </w:r>
          </w:p>
          <w:p w14:paraId="422D395D" w14:textId="77777777" w:rsidR="00145F2B" w:rsidRPr="00550D35" w:rsidRDefault="00145F2B" w:rsidP="00BA62A0">
            <w:pPr>
              <w:spacing w:before="120" w:after="0"/>
              <w:ind w:firstLine="0"/>
              <w:rPr>
                <w:sz w:val="20"/>
                <w:lang w:val="lv-LV"/>
              </w:rPr>
            </w:pPr>
            <w:r w:rsidRPr="00550D35">
              <w:rPr>
                <w:sz w:val="20"/>
                <w:lang w:val="lv-LV"/>
              </w:rPr>
              <w:t xml:space="preserve">Abi projekti risina 2.un 3.izaicinājumā minētos jautājumus, kas attiecas uz </w:t>
            </w:r>
            <w:proofErr w:type="spellStart"/>
            <w:r w:rsidRPr="00550D35">
              <w:rPr>
                <w:sz w:val="20"/>
                <w:lang w:val="lv-LV"/>
              </w:rPr>
              <w:t>vienreizes</w:t>
            </w:r>
            <w:proofErr w:type="spellEnd"/>
            <w:r w:rsidRPr="00550D35">
              <w:rPr>
                <w:sz w:val="20"/>
                <w:lang w:val="lv-LV"/>
              </w:rPr>
              <w:t xml:space="preserve"> principa un </w:t>
            </w:r>
            <w:proofErr w:type="spellStart"/>
            <w:r w:rsidRPr="00550D35">
              <w:rPr>
                <w:sz w:val="20"/>
                <w:lang w:val="lv-LV"/>
              </w:rPr>
              <w:t>proaktivitātes</w:t>
            </w:r>
            <w:proofErr w:type="spellEnd"/>
            <w:r w:rsidRPr="00550D35">
              <w:rPr>
                <w:sz w:val="20"/>
                <w:lang w:val="lv-LV"/>
              </w:rPr>
              <w:t xml:space="preserve"> pielietošanu publisko pakalpojumu sniegšanā. </w:t>
            </w:r>
          </w:p>
          <w:p w14:paraId="5BFE8092" w14:textId="77777777" w:rsidR="00145F2B" w:rsidRPr="00550D35" w:rsidRDefault="00145F2B" w:rsidP="00BA62A0">
            <w:pPr>
              <w:spacing w:before="120" w:after="0"/>
              <w:ind w:firstLine="0"/>
              <w:rPr>
                <w:sz w:val="20"/>
                <w:lang w:val="lv-LV"/>
              </w:rPr>
            </w:pPr>
            <w:r w:rsidRPr="00550D35">
              <w:rPr>
                <w:sz w:val="20"/>
                <w:lang w:val="lv-LV"/>
              </w:rPr>
              <w:t>Projektu paredzēts realizēt laika periodā līdz 2026. gadam ieskaitot.</w:t>
            </w:r>
          </w:p>
        </w:tc>
      </w:tr>
    </w:tbl>
    <w:p w14:paraId="40A8D9A8" w14:textId="77777777" w:rsidR="00145F2B" w:rsidRPr="00550D35" w:rsidRDefault="00145F2B" w:rsidP="00145F2B">
      <w:pPr>
        <w:shd w:val="clear" w:color="auto" w:fill="FFFFFF" w:themeFill="background1"/>
        <w:spacing w:before="0"/>
        <w:ind w:firstLine="0"/>
        <w:rPr>
          <w:b/>
          <w:bCs/>
          <w:lang w:val="lv-LV"/>
        </w:rPr>
      </w:pPr>
    </w:p>
    <w:tbl>
      <w:tblPr>
        <w:tblW w:w="868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9"/>
        <w:gridCol w:w="5895"/>
      </w:tblGrid>
      <w:tr w:rsidR="00145F2B" w:rsidRPr="003B2E9A" w14:paraId="7061EEEA" w14:textId="77777777" w:rsidTr="00BA62A0">
        <w:trPr>
          <w:trHeight w:val="300"/>
        </w:trPr>
        <w:tc>
          <w:tcPr>
            <w:tcW w:w="8684" w:type="dxa"/>
            <w:gridSpan w:val="2"/>
            <w:tcBorders>
              <w:top w:val="single" w:sz="6" w:space="0" w:color="auto"/>
              <w:left w:val="single" w:sz="6" w:space="0" w:color="auto"/>
              <w:bottom w:val="single" w:sz="6" w:space="0" w:color="auto"/>
              <w:right w:val="single" w:sz="6" w:space="0" w:color="auto"/>
            </w:tcBorders>
            <w:shd w:val="clear" w:color="auto" w:fill="auto"/>
          </w:tcPr>
          <w:p w14:paraId="28B2DA00" w14:textId="77777777" w:rsidR="00145F2B" w:rsidRPr="00550D35" w:rsidRDefault="00145F2B" w:rsidP="00BA62A0">
            <w:pPr>
              <w:pStyle w:val="paragraph"/>
              <w:spacing w:before="120" w:beforeAutospacing="0" w:after="0" w:afterAutospacing="0"/>
              <w:ind w:firstLine="0"/>
              <w:textAlignment w:val="baseline"/>
              <w:rPr>
                <w:rStyle w:val="normaltextrun"/>
                <w:sz w:val="20"/>
                <w:szCs w:val="20"/>
                <w:lang w:val="lv-LV" w:eastAsia="en-GB"/>
              </w:rPr>
            </w:pPr>
            <w:r w:rsidRPr="00550D35">
              <w:rPr>
                <w:b/>
                <w:bCs/>
                <w:sz w:val="20"/>
                <w:szCs w:val="20"/>
                <w:lang w:val="lv-LV"/>
              </w:rPr>
              <w:t xml:space="preserve">2.pasākums. </w:t>
            </w:r>
            <w:r w:rsidRPr="00B41B67">
              <w:rPr>
                <w:b/>
                <w:bCs/>
                <w:sz w:val="20"/>
                <w:szCs w:val="20"/>
                <w:lang w:val="lv-LV"/>
              </w:rPr>
              <w:t xml:space="preserve">ANM plāna investīcija 2.1.2.1. </w:t>
            </w:r>
            <w:r>
              <w:rPr>
                <w:b/>
                <w:bCs/>
                <w:sz w:val="20"/>
                <w:szCs w:val="20"/>
                <w:lang w:val="lv-LV"/>
              </w:rPr>
              <w:t>“</w:t>
            </w:r>
            <w:r w:rsidRPr="00550D35">
              <w:rPr>
                <w:b/>
                <w:bCs/>
                <w:sz w:val="20"/>
                <w:szCs w:val="20"/>
                <w:lang w:val="lv-LV"/>
              </w:rPr>
              <w:t>Pakalpojumu sniegšanas reformas atbalsts</w:t>
            </w:r>
            <w:r>
              <w:rPr>
                <w:b/>
                <w:bCs/>
                <w:sz w:val="20"/>
                <w:szCs w:val="20"/>
                <w:lang w:val="lv-LV"/>
              </w:rPr>
              <w:t>”</w:t>
            </w:r>
          </w:p>
        </w:tc>
      </w:tr>
      <w:tr w:rsidR="00145F2B" w:rsidRPr="00550D35" w14:paraId="63019DA9" w14:textId="77777777" w:rsidTr="00BA62A0">
        <w:trPr>
          <w:trHeight w:val="300"/>
        </w:trPr>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78177AB2" w14:textId="77777777" w:rsidR="00145F2B" w:rsidRPr="00550D35" w:rsidRDefault="00145F2B" w:rsidP="00BA62A0">
            <w:pPr>
              <w:pStyle w:val="paragraph"/>
              <w:spacing w:before="120" w:beforeAutospacing="0" w:after="0" w:afterAutospacing="0"/>
              <w:ind w:firstLine="0"/>
              <w:textAlignment w:val="baseline"/>
              <w:rPr>
                <w:sz w:val="20"/>
                <w:szCs w:val="20"/>
                <w:lang w:val="lv-LV"/>
              </w:rPr>
            </w:pPr>
            <w:r w:rsidRPr="00550D35">
              <w:rPr>
                <w:rStyle w:val="normaltextrun"/>
                <w:b/>
                <w:bCs/>
                <w:sz w:val="20"/>
                <w:szCs w:val="20"/>
                <w:lang w:val="lv-LV"/>
              </w:rPr>
              <w:t>Jauns pasākums</w:t>
            </w:r>
            <w:r w:rsidRPr="00550D35">
              <w:rPr>
                <w:rStyle w:val="eop"/>
                <w:sz w:val="20"/>
                <w:szCs w:val="20"/>
                <w:lang w:val="lv-LV"/>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37CAE9E3" w14:textId="77777777" w:rsidR="00145F2B" w:rsidRPr="00550D35" w:rsidRDefault="00AC141D" w:rsidP="00BA62A0">
            <w:pPr>
              <w:spacing w:before="120" w:after="0"/>
              <w:ind w:firstLine="0"/>
              <w:jc w:val="left"/>
              <w:rPr>
                <w:rFonts w:eastAsia="MS Minngs"/>
                <w:sz w:val="20"/>
                <w:lang w:val="lv-LV"/>
              </w:rPr>
            </w:pPr>
            <w:sdt>
              <w:sdtPr>
                <w:rPr>
                  <w:rFonts w:eastAsia="Wingdings 2"/>
                  <w:sz w:val="20"/>
                  <w:lang w:val="lv-LV"/>
                </w:rPr>
                <w:id w:val="-318047111"/>
                <w14:checkbox>
                  <w14:checked w14:val="0"/>
                  <w14:checkedState w14:val="2612" w14:font="MS Gothic"/>
                  <w14:uncheckedState w14:val="2610" w14:font="MS Gothic"/>
                </w14:checkbox>
              </w:sdtPr>
              <w:sdtEndPr/>
              <w:sdtContent>
                <w:r w:rsidR="00145F2B" w:rsidRPr="00550D35">
                  <w:rPr>
                    <w:rFonts w:ascii="Segoe UI Symbol" w:eastAsia="MS Gothic" w:hAnsi="Segoe UI Symbol" w:cs="Segoe UI Symbol"/>
                    <w:sz w:val="20"/>
                    <w:lang w:val="lv-LV"/>
                  </w:rPr>
                  <w:t>☒</w:t>
                </w:r>
              </w:sdtContent>
            </w:sdt>
            <w:r w:rsidR="00145F2B" w:rsidRPr="00550D35">
              <w:rPr>
                <w:rFonts w:eastAsia="MS Minngs"/>
                <w:sz w:val="20"/>
                <w:lang w:val="lv-LV"/>
              </w:rPr>
              <w:t xml:space="preserve"> jā</w:t>
            </w:r>
          </w:p>
          <w:p w14:paraId="7E7B809A" w14:textId="77777777" w:rsidR="00145F2B" w:rsidRPr="00550D35" w:rsidRDefault="00AC141D" w:rsidP="00BA62A0">
            <w:pPr>
              <w:spacing w:before="120" w:after="0"/>
              <w:ind w:firstLine="0"/>
              <w:jc w:val="left"/>
              <w:rPr>
                <w:sz w:val="20"/>
                <w:lang w:val="lv-LV"/>
              </w:rPr>
            </w:pPr>
            <w:sdt>
              <w:sdtPr>
                <w:rPr>
                  <w:rFonts w:eastAsia="Wingdings 2"/>
                  <w:sz w:val="20"/>
                  <w:lang w:val="lv-LV"/>
                </w:rPr>
                <w:id w:val="760185505"/>
                <w14:checkbox>
                  <w14:checked w14:val="0"/>
                  <w14:checkedState w14:val="2612" w14:font="MS Gothic"/>
                  <w14:uncheckedState w14:val="2610" w14:font="MS Gothic"/>
                </w14:checkbox>
              </w:sdtPr>
              <w:sdtEndPr/>
              <w:sdtContent>
                <w:r w:rsidR="00145F2B" w:rsidRPr="00550D35">
                  <w:rPr>
                    <w:rFonts w:ascii="MS Gothic" w:eastAsia="MS Gothic" w:hAnsi="MS Gothic"/>
                    <w:sz w:val="20"/>
                    <w:lang w:val="lv-LV"/>
                  </w:rPr>
                  <w:t>☐</w:t>
                </w:r>
              </w:sdtContent>
            </w:sdt>
            <w:r w:rsidR="00145F2B" w:rsidRPr="00550D35">
              <w:rPr>
                <w:rFonts w:eastAsia="MS Minngs"/>
                <w:sz w:val="20"/>
                <w:lang w:val="lv-LV"/>
              </w:rPr>
              <w:t xml:space="preserve"> nē</w:t>
            </w:r>
          </w:p>
        </w:tc>
      </w:tr>
      <w:tr w:rsidR="00145F2B" w:rsidRPr="003B2E9A" w14:paraId="0F5D03FE" w14:textId="77777777" w:rsidTr="00BA62A0">
        <w:trPr>
          <w:trHeight w:val="300"/>
        </w:trPr>
        <w:tc>
          <w:tcPr>
            <w:tcW w:w="2789" w:type="dxa"/>
            <w:tcBorders>
              <w:top w:val="single" w:sz="6" w:space="0" w:color="auto"/>
              <w:left w:val="single" w:sz="6" w:space="0" w:color="auto"/>
              <w:bottom w:val="single" w:sz="6" w:space="0" w:color="auto"/>
              <w:right w:val="single" w:sz="6" w:space="0" w:color="auto"/>
            </w:tcBorders>
            <w:shd w:val="clear" w:color="auto" w:fill="auto"/>
          </w:tcPr>
          <w:p w14:paraId="500A5734" w14:textId="77777777" w:rsidR="00145F2B" w:rsidRPr="00550D35" w:rsidRDefault="00145F2B" w:rsidP="00BA62A0">
            <w:pPr>
              <w:spacing w:before="120" w:after="0"/>
              <w:ind w:firstLine="0"/>
              <w:jc w:val="left"/>
              <w:rPr>
                <w:sz w:val="20"/>
                <w:lang w:val="lv-LV"/>
              </w:rPr>
            </w:pPr>
            <w:r w:rsidRPr="00550D35">
              <w:rPr>
                <w:b/>
                <w:bCs/>
                <w:sz w:val="20"/>
                <w:lang w:val="lv-LV"/>
              </w:rPr>
              <w:t>Īss pasākuma apraksts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37C03491" w14:textId="77777777" w:rsidR="00145F2B" w:rsidRPr="00550D35" w:rsidRDefault="00145F2B" w:rsidP="00BA62A0">
            <w:pPr>
              <w:spacing w:before="120" w:after="0"/>
              <w:ind w:firstLine="0"/>
              <w:rPr>
                <w:bCs/>
                <w:sz w:val="20"/>
                <w:lang w:val="lv-LV"/>
              </w:rPr>
            </w:pPr>
            <w:r w:rsidRPr="00550D35">
              <w:rPr>
                <w:sz w:val="20"/>
                <w:lang w:val="lv-LV"/>
              </w:rPr>
              <w:t xml:space="preserve">Pasākums realizē DTP2027 redzējumu par valsts pārvaldes pakalpojumu digitālo transformāciju – </w:t>
            </w:r>
            <w:proofErr w:type="spellStart"/>
            <w:r w:rsidRPr="00550D35">
              <w:rPr>
                <w:sz w:val="20"/>
                <w:lang w:val="lv-LV"/>
              </w:rPr>
              <w:t>daudzkanālu</w:t>
            </w:r>
            <w:proofErr w:type="spellEnd"/>
            <w:r w:rsidRPr="00550D35">
              <w:rPr>
                <w:sz w:val="20"/>
                <w:lang w:val="lv-LV"/>
              </w:rPr>
              <w:t xml:space="preserve"> piegādi </w:t>
            </w:r>
            <w:r w:rsidRPr="00550D35">
              <w:rPr>
                <w:sz w:val="20"/>
                <w:shd w:val="clear" w:color="auto" w:fill="FFFFFF"/>
                <w:lang w:val="lv-LV"/>
              </w:rPr>
              <w:t xml:space="preserve">(4.4.9.2. rīcības </w:t>
            </w:r>
            <w:proofErr w:type="spellStart"/>
            <w:r w:rsidRPr="00550D35">
              <w:rPr>
                <w:sz w:val="20"/>
                <w:shd w:val="clear" w:color="auto" w:fill="FFFFFF"/>
                <w:lang w:val="lv-LV"/>
              </w:rPr>
              <w:t>apakšvirziens</w:t>
            </w:r>
            <w:proofErr w:type="spellEnd"/>
            <w:r w:rsidRPr="00550D35">
              <w:rPr>
                <w:sz w:val="20"/>
                <w:shd w:val="clear" w:color="auto" w:fill="FFFFFF"/>
                <w:lang w:val="lv-LV"/>
              </w:rPr>
              <w:t>)</w:t>
            </w:r>
            <w:r w:rsidRPr="00550D35">
              <w:rPr>
                <w:sz w:val="20"/>
                <w:lang w:val="lv-LV"/>
              </w:rPr>
              <w:t>, v</w:t>
            </w:r>
            <w:r w:rsidRPr="00550D35">
              <w:rPr>
                <w:sz w:val="20"/>
                <w:shd w:val="clear" w:color="auto" w:fill="FFFFFF"/>
                <w:lang w:val="lv-LV"/>
              </w:rPr>
              <w:t xml:space="preserve">alsts pārvaldes pakalpojumiem jābūt sabiedrībai pieejamiem ērti, atbilstoši vienas pieturas aģentūras principam kā digitālajā, tā analogā vidē, pieprasot pēc iespējas mazu pakalpojuma saņēmēja iesaisti un pūles. Rīcības tehnoloģiskais atbalsts paredz pakalpojumu pieprasīšanai un saņemšanai nepieciešamos lietojumus veidot atkārtoti izmantojamus gan iestāžu informācijas sistēmās, gan VPVKAC informācijas sistēmā. </w:t>
            </w:r>
            <w:r w:rsidRPr="00550D35">
              <w:rPr>
                <w:bCs/>
                <w:sz w:val="20"/>
                <w:lang w:val="lv-LV"/>
              </w:rPr>
              <w:t>Uz VPVKAC informācijas sistēmas bāzes tiks izveidota koplietošanas komponente</w:t>
            </w:r>
            <w:r w:rsidRPr="00550D35">
              <w:rPr>
                <w:b/>
                <w:sz w:val="20"/>
                <w:lang w:val="lv-LV"/>
              </w:rPr>
              <w:t xml:space="preserve"> </w:t>
            </w:r>
            <w:r w:rsidRPr="00550D35">
              <w:rPr>
                <w:bCs/>
                <w:sz w:val="20"/>
                <w:lang w:val="lv-LV"/>
              </w:rPr>
              <w:t>to iestāžu izmantošanai savās informācijas sistēmās, kuras izmantos koplietošanas pakalpojumu “Iestādes speciālista attālinātās konsultācijas saņemšanai”.</w:t>
            </w:r>
          </w:p>
          <w:p w14:paraId="63AD6DE0" w14:textId="77777777" w:rsidR="00145F2B" w:rsidRPr="00550D35" w:rsidRDefault="00145F2B" w:rsidP="00BA62A0">
            <w:pPr>
              <w:spacing w:before="120" w:after="0"/>
              <w:ind w:firstLine="0"/>
              <w:rPr>
                <w:bCs/>
                <w:sz w:val="20"/>
                <w:lang w:val="lv-LV"/>
              </w:rPr>
            </w:pPr>
            <w:r w:rsidRPr="00550D35">
              <w:rPr>
                <w:bCs/>
                <w:sz w:val="20"/>
                <w:lang w:val="lv-LV"/>
              </w:rPr>
              <w:t>Pasākums nodrošinās atbalstu plašākai e-pakalpojumu izmantošanai.</w:t>
            </w:r>
          </w:p>
        </w:tc>
      </w:tr>
      <w:tr w:rsidR="00145F2B" w:rsidRPr="003B2E9A" w14:paraId="51B95837" w14:textId="77777777" w:rsidTr="00BA62A0">
        <w:trPr>
          <w:trHeight w:val="300"/>
        </w:trPr>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7E6EE409" w14:textId="77777777" w:rsidR="00145F2B" w:rsidRPr="00550D35" w:rsidRDefault="00145F2B" w:rsidP="00BA62A0">
            <w:pPr>
              <w:pStyle w:val="paragraph"/>
              <w:spacing w:before="120" w:beforeAutospacing="0" w:after="0" w:afterAutospacing="0"/>
              <w:ind w:firstLine="0"/>
              <w:textAlignment w:val="baseline"/>
              <w:rPr>
                <w:sz w:val="20"/>
                <w:szCs w:val="20"/>
                <w:lang w:val="lv-LV"/>
              </w:rPr>
            </w:pPr>
            <w:r w:rsidRPr="00550D35">
              <w:rPr>
                <w:rStyle w:val="normaltextrun"/>
                <w:sz w:val="20"/>
                <w:szCs w:val="20"/>
                <w:lang w:val="lv-LV"/>
              </w:rPr>
              <w:t>Paredzamais budžets</w:t>
            </w:r>
            <w:r w:rsidRPr="00550D35">
              <w:rPr>
                <w:rStyle w:val="eop"/>
                <w:sz w:val="20"/>
                <w:szCs w:val="20"/>
                <w:lang w:val="lv-LV"/>
              </w:rPr>
              <w:t xml:space="preserve">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F2F3962" w14:textId="77777777" w:rsidR="00145F2B" w:rsidRPr="00550D35" w:rsidRDefault="00145F2B" w:rsidP="00BA62A0">
            <w:pPr>
              <w:pStyle w:val="paragraph"/>
              <w:spacing w:before="120" w:beforeAutospacing="0" w:after="0" w:afterAutospacing="0"/>
              <w:ind w:firstLine="0"/>
              <w:jc w:val="both"/>
              <w:textAlignment w:val="baseline"/>
              <w:rPr>
                <w:sz w:val="20"/>
                <w:szCs w:val="20"/>
                <w:lang w:val="lv-LV"/>
              </w:rPr>
            </w:pPr>
            <w:r w:rsidRPr="00550D35">
              <w:rPr>
                <w:sz w:val="20"/>
                <w:szCs w:val="20"/>
                <w:lang w:val="lv-LV"/>
              </w:rPr>
              <w:t>Pakalpojumu sniegšanas reformas atbalstam ir paredzēti 5,0 milj.  </w:t>
            </w:r>
            <w:proofErr w:type="spellStart"/>
            <w:r w:rsidRPr="00550D35">
              <w:rPr>
                <w:i/>
                <w:sz w:val="20"/>
                <w:szCs w:val="20"/>
                <w:lang w:val="lv-LV"/>
              </w:rPr>
              <w:t>euro</w:t>
            </w:r>
            <w:proofErr w:type="spellEnd"/>
            <w:r w:rsidRPr="00550D35">
              <w:rPr>
                <w:sz w:val="20"/>
                <w:szCs w:val="20"/>
                <w:lang w:val="lv-LV"/>
              </w:rPr>
              <w:t xml:space="preserve"> no ANM plāna finansējuma Latvijai.</w:t>
            </w:r>
          </w:p>
        </w:tc>
      </w:tr>
      <w:tr w:rsidR="00145F2B" w:rsidRPr="003B2E9A" w14:paraId="018E7ECF" w14:textId="77777777" w:rsidTr="00BA62A0">
        <w:trPr>
          <w:trHeight w:val="300"/>
        </w:trPr>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4E7A1A4F" w14:textId="77777777" w:rsidR="00145F2B" w:rsidRPr="00550D35" w:rsidRDefault="00145F2B" w:rsidP="00BA62A0">
            <w:pPr>
              <w:pStyle w:val="paragraph"/>
              <w:spacing w:before="120" w:beforeAutospacing="0" w:after="0" w:afterAutospacing="0"/>
              <w:ind w:firstLine="0"/>
              <w:textAlignment w:val="baseline"/>
              <w:rPr>
                <w:sz w:val="20"/>
                <w:szCs w:val="20"/>
                <w:lang w:val="lv-LV"/>
              </w:rPr>
            </w:pPr>
            <w:r w:rsidRPr="00550D35">
              <w:rPr>
                <w:sz w:val="20"/>
                <w:szCs w:val="20"/>
                <w:lang w:val="lv-LV"/>
              </w:rPr>
              <w:lastRenderedPageBreak/>
              <w:t>Ietekme un realizācijas laiks.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3D502ADB" w14:textId="77777777" w:rsidR="00145F2B" w:rsidRPr="00550D35" w:rsidRDefault="00145F2B" w:rsidP="00BA62A0">
            <w:pPr>
              <w:spacing w:before="120" w:after="0"/>
              <w:ind w:firstLine="0"/>
              <w:rPr>
                <w:sz w:val="20"/>
                <w:lang w:val="lv-LV"/>
              </w:rPr>
            </w:pPr>
            <w:r w:rsidRPr="00550D35">
              <w:rPr>
                <w:sz w:val="20"/>
                <w:lang w:val="lv-LV"/>
              </w:rPr>
              <w:t xml:space="preserve">2.pasākums risina 3.izaicinājumā minētās problēmas, kad iedzīvotāji dažādu iemeslu dēļ nepietiekami izmanto e-pakalpojumus. </w:t>
            </w:r>
          </w:p>
          <w:p w14:paraId="4788EB73" w14:textId="77777777" w:rsidR="00145F2B" w:rsidRPr="00550D35" w:rsidRDefault="00145F2B" w:rsidP="00BA62A0">
            <w:pPr>
              <w:spacing w:before="120" w:after="0"/>
              <w:ind w:firstLine="0"/>
              <w:rPr>
                <w:sz w:val="20"/>
                <w:lang w:val="lv-LV"/>
              </w:rPr>
            </w:pPr>
            <w:r w:rsidRPr="00550D35">
              <w:rPr>
                <w:sz w:val="20"/>
                <w:lang w:val="lv-LV"/>
              </w:rPr>
              <w:t>Projekta realizācijas rezultātā iestādēm pakalpojumu turētājām</w:t>
            </w:r>
            <w:r w:rsidRPr="00550D35">
              <w:rPr>
                <w:vertAlign w:val="superscript"/>
                <w:lang w:val="lv-LV"/>
              </w:rPr>
              <w:footnoteReference w:id="73"/>
            </w:r>
            <w:r w:rsidRPr="00550D35">
              <w:rPr>
                <w:sz w:val="20"/>
                <w:lang w:val="lv-LV"/>
              </w:rPr>
              <w:t xml:space="preserve"> tiks nodrošināta klātienes klientu apkalpošana atbilstoši aprīkotās telpās ar apmācītu darbinieku palīdzību. Pakalpojumu turētājiem tiks izveidots koplietots tiešsaistes risinājuma lietojums attālinātai konsultācijai un nodrošināta iespēja saņemt strukturētu pakalpojuma pieteikumu elektroniskā kanālā papīra pieteikuma veidā.</w:t>
            </w:r>
          </w:p>
          <w:p w14:paraId="6ABD7716" w14:textId="77777777" w:rsidR="00145F2B" w:rsidRPr="00550D35" w:rsidRDefault="00145F2B" w:rsidP="00BA62A0">
            <w:pPr>
              <w:spacing w:before="120" w:after="0"/>
              <w:ind w:firstLine="0"/>
              <w:rPr>
                <w:sz w:val="20"/>
                <w:lang w:val="lv-LV"/>
              </w:rPr>
            </w:pPr>
            <w:r w:rsidRPr="00550D35">
              <w:rPr>
                <w:sz w:val="20"/>
                <w:lang w:val="lv-LV"/>
              </w:rPr>
              <w:t>Orientējošais projekta realizācijas laiks līdz 2026.gadam ieskaitot.</w:t>
            </w:r>
          </w:p>
        </w:tc>
      </w:tr>
    </w:tbl>
    <w:p w14:paraId="52A36952" w14:textId="77777777" w:rsidR="00145F2B" w:rsidRPr="00550D35" w:rsidRDefault="00145F2B" w:rsidP="00145F2B">
      <w:pPr>
        <w:shd w:val="clear" w:color="auto" w:fill="FFFFFF" w:themeFill="background1"/>
        <w:spacing w:before="0"/>
        <w:ind w:firstLine="0"/>
        <w:rPr>
          <w:lang w:val="lv-LV"/>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5"/>
        <w:gridCol w:w="5756"/>
      </w:tblGrid>
      <w:tr w:rsidR="00145F2B" w:rsidRPr="003B2E9A" w14:paraId="0C67E456" w14:textId="77777777" w:rsidTr="00BA62A0">
        <w:trPr>
          <w:trHeight w:val="300"/>
        </w:trPr>
        <w:tc>
          <w:tcPr>
            <w:tcW w:w="8602" w:type="dxa"/>
            <w:gridSpan w:val="2"/>
            <w:tcBorders>
              <w:top w:val="single" w:sz="6" w:space="0" w:color="auto"/>
              <w:left w:val="single" w:sz="6" w:space="0" w:color="auto"/>
              <w:bottom w:val="single" w:sz="6" w:space="0" w:color="auto"/>
              <w:right w:val="single" w:sz="6" w:space="0" w:color="auto"/>
            </w:tcBorders>
            <w:shd w:val="clear" w:color="auto" w:fill="auto"/>
          </w:tcPr>
          <w:p w14:paraId="620C4960" w14:textId="77777777" w:rsidR="00145F2B" w:rsidRPr="00550D35" w:rsidRDefault="00145F2B" w:rsidP="00BA62A0">
            <w:pPr>
              <w:pStyle w:val="paragraph"/>
              <w:spacing w:before="120" w:beforeAutospacing="0" w:after="0" w:afterAutospacing="0"/>
              <w:ind w:firstLine="0"/>
              <w:textAlignment w:val="baseline"/>
              <w:rPr>
                <w:rStyle w:val="normaltextrun"/>
                <w:sz w:val="20"/>
                <w:szCs w:val="20"/>
                <w:lang w:val="lv-LV" w:eastAsia="en-GB"/>
              </w:rPr>
            </w:pPr>
            <w:r w:rsidRPr="00550D35">
              <w:rPr>
                <w:b/>
                <w:bCs/>
                <w:sz w:val="20"/>
                <w:szCs w:val="20"/>
                <w:lang w:val="lv-LV"/>
              </w:rPr>
              <w:t>3.pasākums. Nozaru IKT projekti, kas paredz galveno publisko pakalpojumu pieejamības paaugstināšanu</w:t>
            </w:r>
            <w:r w:rsidRPr="00550D35">
              <w:rPr>
                <w:rStyle w:val="FootnoteReference"/>
                <w:b/>
                <w:bCs/>
                <w:sz w:val="20"/>
                <w:szCs w:val="20"/>
                <w:lang w:val="lv-LV"/>
              </w:rPr>
              <w:footnoteReference w:id="74"/>
            </w:r>
          </w:p>
        </w:tc>
      </w:tr>
      <w:tr w:rsidR="00145F2B" w:rsidRPr="00550D35" w14:paraId="309EC294" w14:textId="77777777" w:rsidTr="00BA62A0">
        <w:trPr>
          <w:trHeight w:val="300"/>
        </w:trPr>
        <w:tc>
          <w:tcPr>
            <w:tcW w:w="2845" w:type="dxa"/>
            <w:tcBorders>
              <w:top w:val="single" w:sz="6" w:space="0" w:color="auto"/>
              <w:left w:val="single" w:sz="6" w:space="0" w:color="auto"/>
              <w:bottom w:val="single" w:sz="6" w:space="0" w:color="auto"/>
              <w:right w:val="single" w:sz="6" w:space="0" w:color="auto"/>
            </w:tcBorders>
            <w:shd w:val="clear" w:color="auto" w:fill="auto"/>
            <w:hideMark/>
          </w:tcPr>
          <w:p w14:paraId="08AF5F68" w14:textId="77777777" w:rsidR="00145F2B" w:rsidRPr="00550D35" w:rsidRDefault="00145F2B" w:rsidP="00BA62A0">
            <w:pPr>
              <w:pStyle w:val="paragraph"/>
              <w:spacing w:before="120" w:beforeAutospacing="0" w:after="0" w:afterAutospacing="0"/>
              <w:textAlignment w:val="baseline"/>
              <w:rPr>
                <w:sz w:val="20"/>
                <w:szCs w:val="20"/>
                <w:lang w:val="lv-LV"/>
              </w:rPr>
            </w:pPr>
            <w:r w:rsidRPr="00550D35">
              <w:rPr>
                <w:rStyle w:val="normaltextrun"/>
                <w:b/>
                <w:bCs/>
                <w:sz w:val="20"/>
                <w:szCs w:val="20"/>
                <w:lang w:val="lv-LV"/>
              </w:rPr>
              <w:t>Jauns pasākums</w:t>
            </w:r>
            <w:r w:rsidRPr="00550D35">
              <w:rPr>
                <w:rStyle w:val="eop"/>
                <w:sz w:val="20"/>
                <w:szCs w:val="20"/>
                <w:lang w:val="lv-LV"/>
              </w:rPr>
              <w:t> </w:t>
            </w:r>
          </w:p>
        </w:tc>
        <w:tc>
          <w:tcPr>
            <w:tcW w:w="5757" w:type="dxa"/>
            <w:tcBorders>
              <w:top w:val="single" w:sz="6" w:space="0" w:color="auto"/>
              <w:left w:val="single" w:sz="6" w:space="0" w:color="auto"/>
              <w:bottom w:val="single" w:sz="6" w:space="0" w:color="auto"/>
              <w:right w:val="single" w:sz="6" w:space="0" w:color="auto"/>
            </w:tcBorders>
            <w:shd w:val="clear" w:color="auto" w:fill="auto"/>
            <w:hideMark/>
          </w:tcPr>
          <w:p w14:paraId="4AEBDA0B" w14:textId="77777777" w:rsidR="00145F2B" w:rsidRPr="00550D35" w:rsidRDefault="00AC141D" w:rsidP="00BA62A0">
            <w:pPr>
              <w:spacing w:before="120" w:after="0"/>
              <w:ind w:firstLine="0"/>
              <w:jc w:val="left"/>
              <w:rPr>
                <w:rFonts w:eastAsia="MS Minngs"/>
                <w:sz w:val="20"/>
                <w:lang w:val="lv-LV"/>
              </w:rPr>
            </w:pPr>
            <w:sdt>
              <w:sdtPr>
                <w:rPr>
                  <w:rFonts w:eastAsia="Wingdings 2"/>
                  <w:sz w:val="20"/>
                  <w:lang w:val="lv-LV"/>
                </w:rPr>
                <w:id w:val="-1505437819"/>
                <w14:checkbox>
                  <w14:checked w14:val="0"/>
                  <w14:checkedState w14:val="2612" w14:font="MS Gothic"/>
                  <w14:uncheckedState w14:val="2610" w14:font="MS Gothic"/>
                </w14:checkbox>
              </w:sdtPr>
              <w:sdtEndPr/>
              <w:sdtContent>
                <w:r w:rsidR="00145F2B" w:rsidRPr="00550D35">
                  <w:rPr>
                    <w:rFonts w:ascii="Segoe UI Symbol" w:eastAsia="MS Gothic" w:hAnsi="Segoe UI Symbol" w:cs="Segoe UI Symbol"/>
                    <w:sz w:val="20"/>
                    <w:lang w:val="lv-LV"/>
                  </w:rPr>
                  <w:t>☒</w:t>
                </w:r>
              </w:sdtContent>
            </w:sdt>
            <w:r w:rsidR="00145F2B" w:rsidRPr="00550D35">
              <w:rPr>
                <w:rFonts w:eastAsia="MS Minngs"/>
                <w:sz w:val="20"/>
                <w:lang w:val="lv-LV"/>
              </w:rPr>
              <w:t xml:space="preserve"> jā</w:t>
            </w:r>
          </w:p>
          <w:p w14:paraId="5518B9DA" w14:textId="77777777" w:rsidR="00145F2B" w:rsidRPr="00550D35" w:rsidRDefault="00AC141D" w:rsidP="00BA62A0">
            <w:pPr>
              <w:spacing w:before="120" w:after="0"/>
              <w:ind w:firstLine="0"/>
              <w:jc w:val="left"/>
              <w:rPr>
                <w:sz w:val="20"/>
                <w:lang w:val="lv-LV"/>
              </w:rPr>
            </w:pPr>
            <w:sdt>
              <w:sdtPr>
                <w:rPr>
                  <w:rFonts w:eastAsia="Wingdings 2"/>
                  <w:sz w:val="20"/>
                  <w:lang w:val="lv-LV"/>
                </w:rPr>
                <w:id w:val="1621185972"/>
                <w14:checkbox>
                  <w14:checked w14:val="0"/>
                  <w14:checkedState w14:val="2612" w14:font="MS Gothic"/>
                  <w14:uncheckedState w14:val="2610" w14:font="MS Gothic"/>
                </w14:checkbox>
              </w:sdtPr>
              <w:sdtEndPr/>
              <w:sdtContent>
                <w:r w:rsidR="00145F2B" w:rsidRPr="00550D35">
                  <w:rPr>
                    <w:rFonts w:ascii="MS Gothic" w:eastAsia="MS Gothic" w:hAnsi="MS Gothic"/>
                    <w:sz w:val="20"/>
                    <w:lang w:val="lv-LV"/>
                  </w:rPr>
                  <w:t>☐</w:t>
                </w:r>
              </w:sdtContent>
            </w:sdt>
            <w:r w:rsidR="00145F2B" w:rsidRPr="00550D35">
              <w:rPr>
                <w:rFonts w:eastAsia="MS Minngs"/>
                <w:sz w:val="20"/>
                <w:lang w:val="lv-LV"/>
              </w:rPr>
              <w:t xml:space="preserve"> nē</w:t>
            </w:r>
          </w:p>
        </w:tc>
      </w:tr>
      <w:tr w:rsidR="00145F2B" w:rsidRPr="003B2E9A" w14:paraId="4003B71C" w14:textId="77777777" w:rsidTr="00BA62A0">
        <w:trPr>
          <w:trHeight w:val="300"/>
        </w:trPr>
        <w:tc>
          <w:tcPr>
            <w:tcW w:w="2845" w:type="dxa"/>
            <w:tcBorders>
              <w:top w:val="single" w:sz="6" w:space="0" w:color="auto"/>
              <w:left w:val="single" w:sz="6" w:space="0" w:color="auto"/>
              <w:bottom w:val="single" w:sz="6" w:space="0" w:color="auto"/>
              <w:right w:val="single" w:sz="6" w:space="0" w:color="auto"/>
            </w:tcBorders>
            <w:shd w:val="clear" w:color="auto" w:fill="auto"/>
          </w:tcPr>
          <w:p w14:paraId="559B6E32" w14:textId="77777777" w:rsidR="00145F2B" w:rsidRPr="00550D35" w:rsidRDefault="00145F2B" w:rsidP="00BA62A0">
            <w:pPr>
              <w:spacing w:before="120" w:after="0"/>
              <w:ind w:firstLine="0"/>
              <w:rPr>
                <w:b/>
                <w:sz w:val="20"/>
                <w:lang w:val="lv-LV"/>
              </w:rPr>
            </w:pPr>
            <w:r w:rsidRPr="00550D35">
              <w:rPr>
                <w:b/>
                <w:bCs/>
                <w:sz w:val="20"/>
                <w:lang w:val="lv-LV"/>
              </w:rPr>
              <w:t>Īss pasākuma apraksts</w:t>
            </w:r>
          </w:p>
        </w:tc>
        <w:tc>
          <w:tcPr>
            <w:tcW w:w="5757" w:type="dxa"/>
            <w:tcBorders>
              <w:top w:val="single" w:sz="6" w:space="0" w:color="auto"/>
              <w:left w:val="single" w:sz="6" w:space="0" w:color="auto"/>
              <w:bottom w:val="single" w:sz="6" w:space="0" w:color="auto"/>
              <w:right w:val="single" w:sz="6" w:space="0" w:color="auto"/>
            </w:tcBorders>
            <w:shd w:val="clear" w:color="auto" w:fill="auto"/>
            <w:hideMark/>
          </w:tcPr>
          <w:p w14:paraId="46DF6A7A" w14:textId="77777777" w:rsidR="00145F2B" w:rsidRPr="00550D35" w:rsidRDefault="00145F2B" w:rsidP="00BA62A0">
            <w:pPr>
              <w:spacing w:before="120" w:after="0"/>
              <w:ind w:firstLine="0"/>
              <w:rPr>
                <w:sz w:val="20"/>
                <w:lang w:val="lv-LV"/>
              </w:rPr>
            </w:pPr>
            <w:r w:rsidRPr="00550D35">
              <w:rPr>
                <w:sz w:val="20"/>
                <w:lang w:val="lv-LV"/>
              </w:rPr>
              <w:t>Iestāžu – pakalpojumu turētāju funkcijas atbalstošo sistēmu uzlabošana, esošo e-pakalpojumu pilnveidošana, t.sk. pieslēgšana centralizētajiem lietojumiem.</w:t>
            </w:r>
          </w:p>
          <w:p w14:paraId="04049CE5" w14:textId="77777777" w:rsidR="00145F2B" w:rsidRPr="00550D35" w:rsidRDefault="00145F2B" w:rsidP="00BA62A0">
            <w:pPr>
              <w:spacing w:before="120" w:after="0"/>
              <w:ind w:firstLine="0"/>
              <w:rPr>
                <w:sz w:val="20"/>
                <w:lang w:val="lv-LV"/>
              </w:rPr>
            </w:pPr>
            <w:r w:rsidRPr="00550D35">
              <w:rPr>
                <w:sz w:val="20"/>
                <w:lang w:val="lv-LV"/>
              </w:rPr>
              <w:t>Iestādes – pakalpojumu turētājas pārzina konkrētajai nozarei pieejamos finanšu instrumentus un plāno savu pakalpojumu attīstību, t.sk. elektroniskos pakalpojumu piegādes kanālus. Šobrīd ministrijas kopā ar to padotības iestādēm strādā pie projektu izstrādes un pilna informācija par projektiem vēl nav pieejama. Tomēr arī nozaru IKT projekti dod ieguldījumu Dekādes programmā noteikto mērķu sasniegšanā, tāpēc šī informācija tiks papildināta aktualizējot ceļvedi Latvijai.</w:t>
            </w:r>
          </w:p>
        </w:tc>
      </w:tr>
      <w:tr w:rsidR="00145F2B" w:rsidRPr="003B2E9A" w14:paraId="0C54B10A" w14:textId="77777777" w:rsidTr="00BA62A0">
        <w:trPr>
          <w:trHeight w:val="300"/>
        </w:trPr>
        <w:tc>
          <w:tcPr>
            <w:tcW w:w="2845" w:type="dxa"/>
            <w:tcBorders>
              <w:top w:val="single" w:sz="6" w:space="0" w:color="auto"/>
              <w:left w:val="single" w:sz="6" w:space="0" w:color="auto"/>
              <w:bottom w:val="single" w:sz="6" w:space="0" w:color="auto"/>
              <w:right w:val="single" w:sz="6" w:space="0" w:color="auto"/>
            </w:tcBorders>
            <w:shd w:val="clear" w:color="auto" w:fill="auto"/>
            <w:hideMark/>
          </w:tcPr>
          <w:p w14:paraId="699496AB" w14:textId="77777777" w:rsidR="00145F2B" w:rsidRPr="00550D35" w:rsidRDefault="00145F2B" w:rsidP="00BA62A0">
            <w:pPr>
              <w:pStyle w:val="paragraph"/>
              <w:spacing w:before="120" w:beforeAutospacing="0" w:after="0" w:afterAutospacing="0"/>
              <w:ind w:firstLine="0"/>
              <w:textAlignment w:val="baseline"/>
              <w:rPr>
                <w:bCs/>
                <w:sz w:val="20"/>
                <w:szCs w:val="20"/>
                <w:lang w:val="lv-LV"/>
              </w:rPr>
            </w:pPr>
            <w:r w:rsidRPr="00550D35">
              <w:rPr>
                <w:bCs/>
                <w:sz w:val="20"/>
                <w:szCs w:val="20"/>
                <w:lang w:val="lv-LV"/>
              </w:rPr>
              <w:t xml:space="preserve">Paredzamais budžets  </w:t>
            </w:r>
          </w:p>
        </w:tc>
        <w:tc>
          <w:tcPr>
            <w:tcW w:w="5757" w:type="dxa"/>
            <w:tcBorders>
              <w:top w:val="single" w:sz="6" w:space="0" w:color="auto"/>
              <w:left w:val="single" w:sz="6" w:space="0" w:color="auto"/>
              <w:bottom w:val="single" w:sz="6" w:space="0" w:color="auto"/>
              <w:right w:val="single" w:sz="6" w:space="0" w:color="auto"/>
            </w:tcBorders>
            <w:shd w:val="clear" w:color="auto" w:fill="auto"/>
            <w:hideMark/>
          </w:tcPr>
          <w:p w14:paraId="046514BD" w14:textId="77777777" w:rsidR="00145F2B" w:rsidRPr="00550D35" w:rsidRDefault="00145F2B" w:rsidP="00BA62A0">
            <w:pPr>
              <w:pStyle w:val="paragraph"/>
              <w:spacing w:before="120" w:beforeAutospacing="0" w:after="0" w:afterAutospacing="0"/>
              <w:ind w:firstLine="0"/>
              <w:jc w:val="both"/>
              <w:textAlignment w:val="baseline"/>
              <w:rPr>
                <w:bCs/>
                <w:sz w:val="20"/>
                <w:szCs w:val="20"/>
                <w:lang w:val="lv-LV"/>
              </w:rPr>
            </w:pPr>
            <w:r w:rsidRPr="00550D35">
              <w:rPr>
                <w:bCs/>
                <w:sz w:val="20"/>
                <w:szCs w:val="20"/>
                <w:lang w:val="lv-LV"/>
              </w:rPr>
              <w:t>Šobrīd dažādās saskaņošanas stadijās atrodas projekti, kuru finansēšanai kopā no ANM</w:t>
            </w:r>
            <w:r>
              <w:rPr>
                <w:bCs/>
                <w:sz w:val="20"/>
                <w:szCs w:val="20"/>
                <w:lang w:val="lv-LV"/>
              </w:rPr>
              <w:t xml:space="preserve"> </w:t>
            </w:r>
            <w:r>
              <w:rPr>
                <w:sz w:val="20"/>
                <w:szCs w:val="20"/>
                <w:lang w:val="lv-LV"/>
              </w:rPr>
              <w:t>plāna finansējuma</w:t>
            </w:r>
            <w:r w:rsidRPr="00550D35">
              <w:rPr>
                <w:bCs/>
                <w:sz w:val="20"/>
                <w:szCs w:val="20"/>
                <w:lang w:val="lv-LV"/>
              </w:rPr>
              <w:t xml:space="preserve"> pieprasīti </w:t>
            </w:r>
            <w:r w:rsidRPr="00550D35">
              <w:rPr>
                <w:sz w:val="20"/>
                <w:szCs w:val="20"/>
                <w:lang w:val="lv-LV"/>
              </w:rPr>
              <w:t xml:space="preserve">46,8 </w:t>
            </w:r>
            <w:r w:rsidRPr="00550D35">
              <w:rPr>
                <w:bCs/>
                <w:sz w:val="20"/>
                <w:szCs w:val="20"/>
                <w:lang w:val="lv-LV"/>
              </w:rPr>
              <w:t>milj. </w:t>
            </w:r>
            <w:proofErr w:type="spellStart"/>
            <w:r w:rsidRPr="00550D35">
              <w:rPr>
                <w:bCs/>
                <w:i/>
                <w:sz w:val="20"/>
                <w:szCs w:val="20"/>
                <w:lang w:val="lv-LV"/>
              </w:rPr>
              <w:t>euro</w:t>
            </w:r>
            <w:proofErr w:type="spellEnd"/>
            <w:r w:rsidRPr="00550D35">
              <w:rPr>
                <w:rStyle w:val="FootnoteReference"/>
                <w:bCs/>
                <w:sz w:val="20"/>
                <w:szCs w:val="20"/>
                <w:lang w:val="lv-LV"/>
              </w:rPr>
              <w:footnoteReference w:id="75"/>
            </w:r>
            <w:r w:rsidRPr="00550D35">
              <w:rPr>
                <w:bCs/>
                <w:sz w:val="20"/>
                <w:szCs w:val="20"/>
                <w:lang w:val="lv-LV"/>
              </w:rPr>
              <w:t>.</w:t>
            </w:r>
          </w:p>
          <w:p w14:paraId="34D93861" w14:textId="77777777" w:rsidR="00145F2B" w:rsidRPr="00550D35" w:rsidRDefault="00145F2B" w:rsidP="00BA62A0">
            <w:pPr>
              <w:pStyle w:val="paragraph"/>
              <w:spacing w:before="120" w:beforeAutospacing="0" w:after="0" w:afterAutospacing="0"/>
              <w:ind w:firstLine="0"/>
              <w:jc w:val="both"/>
              <w:textAlignment w:val="baseline"/>
              <w:rPr>
                <w:sz w:val="20"/>
                <w:szCs w:val="20"/>
                <w:lang w:val="lv-LV"/>
              </w:rPr>
            </w:pPr>
            <w:r w:rsidRPr="00550D35">
              <w:rPr>
                <w:bCs/>
                <w:sz w:val="20"/>
                <w:szCs w:val="20"/>
                <w:lang w:val="lv-LV"/>
              </w:rPr>
              <w:t xml:space="preserve">Projektu dokumentācijas izstrāde nozaru iestādēs vēl turpinās. Jāņem vērā, ka daļa no nozaru projektiem sniegs ieguldījumu publisko pakalpojumu pieejamības uzlabošanā gan iedzīvotājiem, gan uzņēmējiem un šajā plānošanas stadijā nav iespējams nodalīt cik liela daļa no šīs summas būs attiecināma uz iedzīvotājiem un kāda – uz pakalpojumiem uzņēmējiem. </w:t>
            </w:r>
          </w:p>
        </w:tc>
      </w:tr>
      <w:tr w:rsidR="00145F2B" w:rsidRPr="003B2E9A" w14:paraId="1D155A95" w14:textId="77777777" w:rsidTr="00BA62A0">
        <w:trPr>
          <w:trHeight w:val="300"/>
        </w:trPr>
        <w:tc>
          <w:tcPr>
            <w:tcW w:w="2845" w:type="dxa"/>
            <w:tcBorders>
              <w:top w:val="single" w:sz="6" w:space="0" w:color="auto"/>
              <w:left w:val="single" w:sz="6" w:space="0" w:color="auto"/>
              <w:bottom w:val="single" w:sz="6" w:space="0" w:color="auto"/>
              <w:right w:val="single" w:sz="6" w:space="0" w:color="auto"/>
            </w:tcBorders>
            <w:shd w:val="clear" w:color="auto" w:fill="auto"/>
            <w:hideMark/>
          </w:tcPr>
          <w:p w14:paraId="28189145" w14:textId="77777777" w:rsidR="00145F2B" w:rsidRPr="00550D35" w:rsidRDefault="00145F2B" w:rsidP="00BA62A0">
            <w:pPr>
              <w:pStyle w:val="paragraph"/>
              <w:spacing w:before="120" w:beforeAutospacing="0" w:after="0" w:afterAutospacing="0"/>
              <w:ind w:firstLine="0"/>
              <w:textAlignment w:val="baseline"/>
              <w:rPr>
                <w:sz w:val="20"/>
                <w:szCs w:val="20"/>
                <w:lang w:val="lv-LV"/>
              </w:rPr>
            </w:pPr>
            <w:r w:rsidRPr="00550D35">
              <w:rPr>
                <w:sz w:val="20"/>
                <w:szCs w:val="20"/>
                <w:lang w:val="lv-LV"/>
              </w:rPr>
              <w:t>Ietekme un realizācijas laiks.</w:t>
            </w:r>
          </w:p>
        </w:tc>
        <w:tc>
          <w:tcPr>
            <w:tcW w:w="5757" w:type="dxa"/>
            <w:tcBorders>
              <w:top w:val="single" w:sz="6" w:space="0" w:color="auto"/>
              <w:left w:val="single" w:sz="6" w:space="0" w:color="auto"/>
              <w:bottom w:val="single" w:sz="6" w:space="0" w:color="auto"/>
              <w:right w:val="single" w:sz="6" w:space="0" w:color="auto"/>
            </w:tcBorders>
            <w:shd w:val="clear" w:color="auto" w:fill="auto"/>
            <w:hideMark/>
          </w:tcPr>
          <w:p w14:paraId="5189C63A" w14:textId="77777777" w:rsidR="00145F2B" w:rsidRPr="00550D35" w:rsidRDefault="00145F2B" w:rsidP="00BA62A0">
            <w:pPr>
              <w:spacing w:before="120" w:after="0"/>
              <w:ind w:firstLine="0"/>
              <w:rPr>
                <w:sz w:val="20"/>
                <w:lang w:val="lv-LV"/>
              </w:rPr>
            </w:pPr>
            <w:r w:rsidRPr="00550D35">
              <w:rPr>
                <w:bCs/>
                <w:sz w:val="20"/>
                <w:lang w:val="lv-LV"/>
              </w:rPr>
              <w:t xml:space="preserve">Ministrijas un to padotības iestādes strādā pie nozaru projektiem, kas skar arī centralizēto lietojumu izmantošanu un galveno publisko pakalpojumu pieejamību. Piemēram, Latvijas Republikas Uzņēmumu reģistra </w:t>
            </w:r>
            <w:r w:rsidRPr="00550D35">
              <w:rPr>
                <w:sz w:val="20"/>
                <w:lang w:val="lv-LV"/>
              </w:rPr>
              <w:t xml:space="preserve">datu apstrādes un pakalpojumu modernizācijas projekts skars iespējas veikt dažādas datu pārbaudes Latvijas Republikas Uzņēmumu reģistrā, un uzlabos pakalpojumu meklēšanu. Savukārt Tieslietu ministrijas realizētais e-lietas projekts nodrošinās piekļuvi e-lietai autorizētiem lietotājiem. Pasākums aptver projektus, kur dažādas publiskās pārvaldes iestādes strādā attīstot e-pakalpojumus, kas izmanto vai nākotnē izmantos centralizētos lietojumus publisko pakalpojumu pieejamības nodrošināšanai digitālā formā. </w:t>
            </w:r>
          </w:p>
          <w:p w14:paraId="2D8687D2" w14:textId="77777777" w:rsidR="00145F2B" w:rsidRPr="00550D35" w:rsidRDefault="00145F2B" w:rsidP="00BA62A0">
            <w:pPr>
              <w:spacing w:before="120" w:after="0"/>
              <w:ind w:firstLine="0"/>
              <w:rPr>
                <w:sz w:val="20"/>
                <w:lang w:val="lv-LV"/>
              </w:rPr>
            </w:pPr>
            <w:r w:rsidRPr="00550D35">
              <w:rPr>
                <w:sz w:val="20"/>
                <w:lang w:val="lv-LV"/>
              </w:rPr>
              <w:t>Projektu realizācijas laiks (orientējoši) līdz 2026.gadam ieskaitot.</w:t>
            </w:r>
          </w:p>
        </w:tc>
      </w:tr>
    </w:tbl>
    <w:p w14:paraId="5740D10E" w14:textId="77777777" w:rsidR="00145F2B" w:rsidRPr="00550D35" w:rsidRDefault="00145F2B" w:rsidP="00145F2B">
      <w:pPr>
        <w:shd w:val="clear" w:color="auto" w:fill="FFFFFF" w:themeFill="background1"/>
        <w:spacing w:before="0"/>
        <w:ind w:firstLine="0"/>
        <w:rPr>
          <w:b/>
          <w:bCs/>
          <w:lang w:val="lv-LV"/>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7"/>
        <w:gridCol w:w="5914"/>
      </w:tblGrid>
      <w:tr w:rsidR="00145F2B" w:rsidRPr="003B2E9A" w14:paraId="766A2E59" w14:textId="77777777" w:rsidTr="00BA62A0">
        <w:trPr>
          <w:trHeight w:val="300"/>
        </w:trPr>
        <w:tc>
          <w:tcPr>
            <w:tcW w:w="8648" w:type="dxa"/>
            <w:gridSpan w:val="2"/>
            <w:tcBorders>
              <w:top w:val="single" w:sz="6" w:space="0" w:color="auto"/>
              <w:left w:val="single" w:sz="6" w:space="0" w:color="auto"/>
              <w:bottom w:val="single" w:sz="6" w:space="0" w:color="auto"/>
              <w:right w:val="single" w:sz="6" w:space="0" w:color="auto"/>
            </w:tcBorders>
            <w:shd w:val="clear" w:color="auto" w:fill="auto"/>
          </w:tcPr>
          <w:p w14:paraId="6CA0F880" w14:textId="77777777" w:rsidR="00145F2B" w:rsidRPr="00550D35" w:rsidRDefault="00145F2B" w:rsidP="00BA62A0">
            <w:pPr>
              <w:shd w:val="clear" w:color="auto" w:fill="FFFFFF" w:themeFill="background1"/>
              <w:spacing w:before="0"/>
              <w:ind w:firstLine="0"/>
              <w:rPr>
                <w:rStyle w:val="normaltextrun"/>
                <w:sz w:val="20"/>
                <w:lang w:val="lv-LV"/>
              </w:rPr>
            </w:pPr>
            <w:r w:rsidRPr="00550D35">
              <w:rPr>
                <w:b/>
                <w:bCs/>
                <w:sz w:val="20"/>
                <w:lang w:val="lv-LV"/>
              </w:rPr>
              <w:lastRenderedPageBreak/>
              <w:t xml:space="preserve">4.pasākums. </w:t>
            </w:r>
            <w:r w:rsidRPr="00176098">
              <w:rPr>
                <w:b/>
                <w:bCs/>
                <w:sz w:val="20"/>
                <w:lang w:val="lv-LV"/>
              </w:rPr>
              <w:t>ES kohēzijas politikas programmas 2021.–2027. gadam 1.3.1</w:t>
            </w:r>
            <w:r>
              <w:rPr>
                <w:b/>
                <w:bCs/>
                <w:sz w:val="20"/>
                <w:lang w:val="lv-LV"/>
              </w:rPr>
              <w:t xml:space="preserve"> pasākums”</w:t>
            </w:r>
            <w:r w:rsidRPr="00176098">
              <w:rPr>
                <w:b/>
                <w:bCs/>
                <w:sz w:val="20"/>
                <w:lang w:val="lv-LV"/>
              </w:rPr>
              <w:t xml:space="preserve"> </w:t>
            </w:r>
            <w:r w:rsidRPr="00550D35">
              <w:rPr>
                <w:b/>
                <w:bCs/>
                <w:sz w:val="20"/>
                <w:lang w:val="lv-LV"/>
              </w:rPr>
              <w:t>Digitālās dekādes programmā noteikto mērķu sasniegšana publisko pakalpojumu pieejamības jomā (100% pieejamība)</w:t>
            </w:r>
            <w:r>
              <w:rPr>
                <w:b/>
                <w:bCs/>
                <w:sz w:val="20"/>
                <w:lang w:val="lv-LV"/>
              </w:rPr>
              <w:t>”</w:t>
            </w:r>
          </w:p>
        </w:tc>
      </w:tr>
      <w:tr w:rsidR="00145F2B" w:rsidRPr="00550D35" w14:paraId="2AB81306" w14:textId="77777777" w:rsidTr="00BA62A0">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6281033E" w14:textId="77777777" w:rsidR="00145F2B" w:rsidRPr="00550D35" w:rsidRDefault="00145F2B" w:rsidP="00BA62A0">
            <w:pPr>
              <w:pStyle w:val="paragraph"/>
              <w:spacing w:before="120" w:beforeAutospacing="0" w:after="0" w:afterAutospacing="0"/>
              <w:ind w:firstLine="0"/>
              <w:textAlignment w:val="baseline"/>
              <w:rPr>
                <w:b/>
                <w:bCs/>
                <w:sz w:val="20"/>
                <w:szCs w:val="20"/>
                <w:lang w:val="lv-LV"/>
              </w:rPr>
            </w:pPr>
            <w:r w:rsidRPr="00550D35">
              <w:rPr>
                <w:rStyle w:val="normaltextrun"/>
                <w:b/>
                <w:bCs/>
                <w:sz w:val="20"/>
                <w:szCs w:val="20"/>
                <w:lang w:val="lv-LV"/>
              </w:rPr>
              <w:t>Jauns pasākums</w:t>
            </w:r>
            <w:r w:rsidRPr="00550D35">
              <w:rPr>
                <w:rStyle w:val="eop"/>
                <w:b/>
                <w:bCs/>
                <w:sz w:val="20"/>
                <w:szCs w:val="20"/>
                <w:lang w:val="lv-LV"/>
              </w:rPr>
              <w:t> </w:t>
            </w:r>
          </w:p>
        </w:tc>
        <w:tc>
          <w:tcPr>
            <w:tcW w:w="5947" w:type="dxa"/>
            <w:tcBorders>
              <w:top w:val="single" w:sz="6" w:space="0" w:color="auto"/>
              <w:left w:val="single" w:sz="6" w:space="0" w:color="auto"/>
              <w:bottom w:val="single" w:sz="6" w:space="0" w:color="auto"/>
              <w:right w:val="single" w:sz="6" w:space="0" w:color="auto"/>
            </w:tcBorders>
            <w:shd w:val="clear" w:color="auto" w:fill="auto"/>
            <w:hideMark/>
          </w:tcPr>
          <w:p w14:paraId="0A66458E" w14:textId="77777777" w:rsidR="00145F2B" w:rsidRPr="00550D35" w:rsidRDefault="00AC141D" w:rsidP="00BA62A0">
            <w:pPr>
              <w:spacing w:before="120" w:after="0"/>
              <w:ind w:firstLine="0"/>
              <w:jc w:val="left"/>
              <w:rPr>
                <w:rFonts w:eastAsia="MS Minngs"/>
                <w:sz w:val="20"/>
                <w:lang w:val="lv-LV"/>
              </w:rPr>
            </w:pPr>
            <w:sdt>
              <w:sdtPr>
                <w:rPr>
                  <w:rFonts w:eastAsia="Wingdings 2"/>
                  <w:sz w:val="20"/>
                  <w:lang w:val="lv-LV"/>
                </w:rPr>
                <w:id w:val="704603622"/>
                <w14:checkbox>
                  <w14:checked w14:val="0"/>
                  <w14:checkedState w14:val="2612" w14:font="MS Gothic"/>
                  <w14:uncheckedState w14:val="2610" w14:font="MS Gothic"/>
                </w14:checkbox>
              </w:sdtPr>
              <w:sdtEndPr/>
              <w:sdtContent>
                <w:r w:rsidR="00145F2B" w:rsidRPr="00550D35">
                  <w:rPr>
                    <w:rFonts w:ascii="Segoe UI Symbol" w:eastAsia="MS Gothic" w:hAnsi="Segoe UI Symbol" w:cs="Segoe UI Symbol"/>
                    <w:sz w:val="20"/>
                    <w:lang w:val="lv-LV"/>
                  </w:rPr>
                  <w:t>☒</w:t>
                </w:r>
              </w:sdtContent>
            </w:sdt>
            <w:r w:rsidR="00145F2B" w:rsidRPr="00550D35">
              <w:rPr>
                <w:rFonts w:eastAsia="MS Minngs"/>
                <w:sz w:val="20"/>
                <w:lang w:val="lv-LV"/>
              </w:rPr>
              <w:t xml:space="preserve"> jā</w:t>
            </w:r>
          </w:p>
          <w:p w14:paraId="10871EDF" w14:textId="77777777" w:rsidR="00145F2B" w:rsidRPr="00550D35" w:rsidRDefault="00AC141D" w:rsidP="00BA62A0">
            <w:pPr>
              <w:spacing w:before="120" w:after="0"/>
              <w:ind w:firstLine="0"/>
              <w:jc w:val="left"/>
              <w:rPr>
                <w:sz w:val="20"/>
                <w:lang w:val="lv-LV"/>
              </w:rPr>
            </w:pPr>
            <w:sdt>
              <w:sdtPr>
                <w:rPr>
                  <w:rFonts w:eastAsia="Wingdings 2"/>
                  <w:sz w:val="20"/>
                  <w:lang w:val="lv-LV"/>
                </w:rPr>
                <w:id w:val="1938948491"/>
                <w14:checkbox>
                  <w14:checked w14:val="0"/>
                  <w14:checkedState w14:val="2612" w14:font="MS Gothic"/>
                  <w14:uncheckedState w14:val="2610" w14:font="MS Gothic"/>
                </w14:checkbox>
              </w:sdtPr>
              <w:sdtEndPr/>
              <w:sdtContent>
                <w:r w:rsidR="00145F2B" w:rsidRPr="00550D35">
                  <w:rPr>
                    <w:rFonts w:ascii="Segoe UI Symbol" w:eastAsia="MS Gothic" w:hAnsi="Segoe UI Symbol" w:cs="Segoe UI Symbol"/>
                    <w:sz w:val="20"/>
                    <w:lang w:val="lv-LV"/>
                  </w:rPr>
                  <w:t>☐</w:t>
                </w:r>
              </w:sdtContent>
            </w:sdt>
            <w:r w:rsidR="00145F2B" w:rsidRPr="00550D35">
              <w:rPr>
                <w:rFonts w:eastAsia="MS Minngs"/>
                <w:sz w:val="20"/>
                <w:lang w:val="lv-LV"/>
              </w:rPr>
              <w:t xml:space="preserve"> nē</w:t>
            </w:r>
          </w:p>
        </w:tc>
      </w:tr>
      <w:tr w:rsidR="00145F2B" w:rsidRPr="003B2E9A" w14:paraId="7E22C173" w14:textId="77777777" w:rsidTr="00BA62A0">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tcPr>
          <w:p w14:paraId="72BEA7FD" w14:textId="77777777" w:rsidR="00145F2B" w:rsidRPr="00550D35" w:rsidRDefault="00145F2B" w:rsidP="00BA62A0">
            <w:pPr>
              <w:spacing w:before="120" w:after="0"/>
              <w:ind w:firstLine="0"/>
              <w:rPr>
                <w:b/>
                <w:bCs/>
                <w:sz w:val="20"/>
                <w:lang w:val="lv-LV"/>
              </w:rPr>
            </w:pPr>
            <w:r w:rsidRPr="00550D35">
              <w:rPr>
                <w:b/>
                <w:bCs/>
                <w:sz w:val="20"/>
                <w:lang w:val="lv-LV"/>
              </w:rPr>
              <w:t>Īss pasākuma apraksts</w:t>
            </w:r>
          </w:p>
        </w:tc>
        <w:tc>
          <w:tcPr>
            <w:tcW w:w="5947" w:type="dxa"/>
            <w:tcBorders>
              <w:top w:val="single" w:sz="6" w:space="0" w:color="auto"/>
              <w:left w:val="single" w:sz="6" w:space="0" w:color="auto"/>
              <w:bottom w:val="single" w:sz="6" w:space="0" w:color="auto"/>
              <w:right w:val="single" w:sz="6" w:space="0" w:color="auto"/>
            </w:tcBorders>
            <w:shd w:val="clear" w:color="auto" w:fill="auto"/>
            <w:hideMark/>
          </w:tcPr>
          <w:p w14:paraId="173F9ACF" w14:textId="77777777" w:rsidR="00145F2B" w:rsidRPr="00550D35" w:rsidRDefault="00145F2B" w:rsidP="00BA62A0">
            <w:pPr>
              <w:spacing w:before="120" w:after="0"/>
              <w:ind w:firstLine="0"/>
              <w:rPr>
                <w:sz w:val="20"/>
                <w:highlight w:val="yellow"/>
                <w:lang w:val="lv-LV"/>
              </w:rPr>
            </w:pPr>
            <w:r w:rsidRPr="00550D35">
              <w:rPr>
                <w:sz w:val="20"/>
                <w:lang w:val="lv-LV"/>
              </w:rPr>
              <w:t>Publisko pakalpojumu pieejamības paaugstināšana, lai tie atbilstu ES izvirzītajiem pakalpojumu pieejamības kritērijiem.</w:t>
            </w:r>
          </w:p>
        </w:tc>
      </w:tr>
      <w:tr w:rsidR="00145F2B" w:rsidRPr="003B2E9A" w14:paraId="156DB65D" w14:textId="77777777" w:rsidTr="00BA62A0">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16645935" w14:textId="77777777" w:rsidR="00145F2B" w:rsidRPr="00550D35" w:rsidRDefault="00145F2B" w:rsidP="00BA62A0">
            <w:pPr>
              <w:pStyle w:val="paragraph"/>
              <w:spacing w:before="120" w:beforeAutospacing="0" w:after="0" w:afterAutospacing="0"/>
              <w:ind w:firstLine="0"/>
              <w:textAlignment w:val="baseline"/>
              <w:rPr>
                <w:b/>
                <w:bCs/>
                <w:sz w:val="20"/>
                <w:szCs w:val="20"/>
                <w:lang w:val="lv-LV"/>
              </w:rPr>
            </w:pPr>
            <w:r w:rsidRPr="00550D35">
              <w:rPr>
                <w:rStyle w:val="normaltextrun"/>
                <w:b/>
                <w:bCs/>
                <w:sz w:val="20"/>
                <w:szCs w:val="20"/>
                <w:lang w:val="lv-LV"/>
              </w:rPr>
              <w:t>Paredzamais budžets</w:t>
            </w:r>
            <w:r w:rsidRPr="00550D35">
              <w:rPr>
                <w:rStyle w:val="eop"/>
                <w:b/>
                <w:bCs/>
                <w:sz w:val="20"/>
                <w:szCs w:val="20"/>
                <w:lang w:val="lv-LV"/>
              </w:rPr>
              <w:t xml:space="preserve">  </w:t>
            </w:r>
          </w:p>
        </w:tc>
        <w:tc>
          <w:tcPr>
            <w:tcW w:w="5947" w:type="dxa"/>
            <w:tcBorders>
              <w:top w:val="single" w:sz="6" w:space="0" w:color="auto"/>
              <w:left w:val="single" w:sz="6" w:space="0" w:color="auto"/>
              <w:bottom w:val="single" w:sz="6" w:space="0" w:color="auto"/>
              <w:right w:val="single" w:sz="6" w:space="0" w:color="auto"/>
            </w:tcBorders>
            <w:shd w:val="clear" w:color="auto" w:fill="auto"/>
          </w:tcPr>
          <w:p w14:paraId="22BF069F" w14:textId="77777777" w:rsidR="00145F2B" w:rsidRPr="00550D35" w:rsidRDefault="00145F2B" w:rsidP="00BA62A0">
            <w:pPr>
              <w:pStyle w:val="paragraph"/>
              <w:spacing w:before="120" w:beforeAutospacing="0" w:after="0" w:afterAutospacing="0"/>
              <w:ind w:firstLine="0"/>
              <w:jc w:val="both"/>
              <w:textAlignment w:val="baseline"/>
              <w:rPr>
                <w:rFonts w:eastAsia="Times New Roman"/>
                <w:sz w:val="20"/>
                <w:szCs w:val="20"/>
                <w:lang w:val="lv-LV" w:eastAsia="en-GB"/>
              </w:rPr>
            </w:pPr>
            <w:r w:rsidRPr="00550D35">
              <w:rPr>
                <w:rFonts w:eastAsia="Times New Roman"/>
                <w:sz w:val="20"/>
                <w:szCs w:val="20"/>
                <w:lang w:val="lv-LV" w:eastAsia="en-GB"/>
              </w:rPr>
              <w:t xml:space="preserve">2023.gada laikā tiks pabeigta projektu atlases kritēriju izstrāde ES Kohēzijas politikas programmas 2021.–2027. gadam 1.3.1. specifiskā atbalsta mērķa “Izmantot </w:t>
            </w:r>
            <w:proofErr w:type="spellStart"/>
            <w:r w:rsidRPr="00550D35">
              <w:rPr>
                <w:rFonts w:eastAsia="Times New Roman"/>
                <w:sz w:val="20"/>
                <w:szCs w:val="20"/>
                <w:lang w:val="lv-LV" w:eastAsia="en-GB"/>
              </w:rPr>
              <w:t>digitalizācijas</w:t>
            </w:r>
            <w:proofErr w:type="spellEnd"/>
            <w:r w:rsidRPr="00550D35">
              <w:rPr>
                <w:rFonts w:eastAsia="Times New Roman"/>
                <w:sz w:val="20"/>
                <w:szCs w:val="20"/>
                <w:lang w:val="lv-LV" w:eastAsia="en-GB"/>
              </w:rPr>
              <w:t xml:space="preserve"> priekšrocības  iedzīvotājiem, uzņēmumiem, pētniecības organizācijām un  publiskajām iestādēm” īstenošanai, līdz ar to aktivitātes budžets vēl nav zināms.</w:t>
            </w:r>
          </w:p>
        </w:tc>
      </w:tr>
      <w:tr w:rsidR="00145F2B" w:rsidRPr="003B2E9A" w14:paraId="245D6F09" w14:textId="77777777" w:rsidTr="00BA62A0">
        <w:trPr>
          <w:trHeight w:val="300"/>
        </w:trPr>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2CF9D4E5" w14:textId="77777777" w:rsidR="00145F2B" w:rsidRPr="00550D35" w:rsidRDefault="00145F2B" w:rsidP="00BA62A0">
            <w:pPr>
              <w:pStyle w:val="paragraph"/>
              <w:spacing w:before="120" w:beforeAutospacing="0" w:after="0" w:afterAutospacing="0"/>
              <w:ind w:firstLine="0"/>
              <w:textAlignment w:val="baseline"/>
              <w:rPr>
                <w:b/>
                <w:bCs/>
                <w:sz w:val="20"/>
                <w:szCs w:val="20"/>
                <w:lang w:val="lv-LV"/>
              </w:rPr>
            </w:pPr>
            <w:r w:rsidRPr="00550D35">
              <w:rPr>
                <w:b/>
                <w:bCs/>
                <w:sz w:val="20"/>
                <w:szCs w:val="20"/>
                <w:lang w:val="lv-LV"/>
              </w:rPr>
              <w:t>Ietekme un realizācijas laiks</w:t>
            </w:r>
          </w:p>
        </w:tc>
        <w:tc>
          <w:tcPr>
            <w:tcW w:w="5947" w:type="dxa"/>
            <w:tcBorders>
              <w:top w:val="single" w:sz="6" w:space="0" w:color="auto"/>
              <w:left w:val="single" w:sz="6" w:space="0" w:color="auto"/>
              <w:bottom w:val="single" w:sz="6" w:space="0" w:color="auto"/>
              <w:right w:val="single" w:sz="6" w:space="0" w:color="auto"/>
            </w:tcBorders>
            <w:shd w:val="clear" w:color="auto" w:fill="auto"/>
            <w:hideMark/>
          </w:tcPr>
          <w:p w14:paraId="07691722" w14:textId="77777777" w:rsidR="00145F2B" w:rsidRPr="00550D35" w:rsidRDefault="00145F2B" w:rsidP="00BA62A0">
            <w:pPr>
              <w:spacing w:before="120" w:after="0"/>
              <w:ind w:firstLine="0"/>
              <w:rPr>
                <w:sz w:val="20"/>
                <w:lang w:val="lv-LV"/>
              </w:rPr>
            </w:pPr>
            <w:r w:rsidRPr="00550D35">
              <w:rPr>
                <w:sz w:val="20"/>
                <w:lang w:val="lv-LV"/>
              </w:rPr>
              <w:t xml:space="preserve">Pasākums sniegs ieguldījumu Dekādes programmas noteiktā </w:t>
            </w:r>
            <w:proofErr w:type="spellStart"/>
            <w:r w:rsidRPr="00550D35">
              <w:rPr>
                <w:sz w:val="20"/>
                <w:lang w:val="lv-LV"/>
              </w:rPr>
              <w:t>mērķrādītāja</w:t>
            </w:r>
            <w:proofErr w:type="spellEnd"/>
            <w:r w:rsidRPr="00550D35">
              <w:rPr>
                <w:sz w:val="20"/>
                <w:lang w:val="lv-LV"/>
              </w:rPr>
              <w:t xml:space="preserve"> 100% galveno publisko pakalpojumu pieejamību digitālā formā, nodrošinot to darbību atbilstoši ES noteiktiem pieejamības kritērijiem</w:t>
            </w:r>
            <w:r w:rsidRPr="00550D35">
              <w:rPr>
                <w:rStyle w:val="FootnoteReference"/>
                <w:sz w:val="20"/>
                <w:lang w:val="lv-LV"/>
              </w:rPr>
              <w:footnoteReference w:id="76"/>
            </w:r>
            <w:r w:rsidRPr="00550D35">
              <w:rPr>
                <w:sz w:val="20"/>
                <w:lang w:val="lv-LV"/>
              </w:rPr>
              <w:t xml:space="preserve"> sasniegšanā.</w:t>
            </w:r>
          </w:p>
          <w:p w14:paraId="65A920D5" w14:textId="77777777" w:rsidR="00145F2B" w:rsidRPr="00550D35" w:rsidRDefault="00145F2B" w:rsidP="00BA62A0">
            <w:pPr>
              <w:spacing w:before="120" w:after="0"/>
              <w:ind w:firstLine="0"/>
              <w:rPr>
                <w:rFonts w:eastAsiaTheme="minorEastAsia"/>
                <w:sz w:val="20"/>
                <w:lang w:val="lv-LV" w:eastAsia="en-US"/>
              </w:rPr>
            </w:pPr>
            <w:r w:rsidRPr="00550D35">
              <w:rPr>
                <w:rFonts w:eastAsiaTheme="minorEastAsia"/>
                <w:sz w:val="20"/>
                <w:lang w:val="lv-LV" w:eastAsia="en-US"/>
              </w:rPr>
              <w:t>Projektu realizācijas laiks (orientējoši): līdz 2030.gadam ieskaitot.</w:t>
            </w:r>
          </w:p>
        </w:tc>
      </w:tr>
    </w:tbl>
    <w:p w14:paraId="2F797613" w14:textId="77777777" w:rsidR="00145F2B" w:rsidRPr="00550D35" w:rsidRDefault="00145F2B" w:rsidP="00145F2B">
      <w:pPr>
        <w:pStyle w:val="Heading2"/>
        <w:rPr>
          <w:lang w:val="lv-LV"/>
        </w:rPr>
      </w:pPr>
      <w:r w:rsidRPr="00550D35">
        <w:rPr>
          <w:lang w:val="lv-LV"/>
        </w:rPr>
        <w:t>Politika, pasākumi un darbības, kas paredzēti, lai palīdzētu sasniegt vispārīgos mērķus</w:t>
      </w:r>
    </w:p>
    <w:p w14:paraId="61B38D85" w14:textId="77777777" w:rsidR="00145F2B" w:rsidRPr="00550D35" w:rsidRDefault="00145F2B" w:rsidP="00145F2B">
      <w:pPr>
        <w:rPr>
          <w:lang w:val="lv-LV"/>
        </w:rPr>
      </w:pPr>
      <w:r w:rsidRPr="00550D35">
        <w:rPr>
          <w:lang w:val="lv-LV"/>
        </w:rPr>
        <w:t xml:space="preserve">Īstenojamie pasākumi un darbības KPI “Publiskie pakalpojumi iedzīvotājiem” jomā sniedz ieguldījumu iedzīvotāju piekļuvē digitālajām tehnoloģijām, tostarp, nodrošinot, ka uzticamā un drošā tiešsaistes vidē var ikviens, jo tiek nodrošināti iekļaujoši, efektīvi, </w:t>
      </w:r>
      <w:proofErr w:type="spellStart"/>
      <w:r w:rsidRPr="00550D35">
        <w:rPr>
          <w:lang w:val="lv-LV"/>
        </w:rPr>
        <w:t>sadarbspējīgi</w:t>
      </w:r>
      <w:proofErr w:type="spellEnd"/>
      <w:r w:rsidRPr="00550D35">
        <w:rPr>
          <w:lang w:val="lv-LV"/>
        </w:rPr>
        <w:t xml:space="preserve"> un personalizēti pakalpojumi un rīki ar augstiem drošības un privātuma standartiem. Īstenojamie pasākumi veicina arī zaļo pārveidi, kā arī līderību un suverenitāti.</w:t>
      </w:r>
    </w:p>
    <w:p w14:paraId="40490042" w14:textId="77777777" w:rsidR="00145F2B" w:rsidRPr="00550D35" w:rsidRDefault="00145F2B" w:rsidP="00145F2B">
      <w:pPr>
        <w:pStyle w:val="Text2"/>
        <w:rPr>
          <w:lang w:val="lv-LV"/>
        </w:rPr>
      </w:pPr>
    </w:p>
    <w:tbl>
      <w:tblPr>
        <w:tblW w:w="850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6"/>
        <w:gridCol w:w="6"/>
        <w:gridCol w:w="1946"/>
        <w:gridCol w:w="4819"/>
        <w:gridCol w:w="18"/>
      </w:tblGrid>
      <w:tr w:rsidR="00145F2B" w:rsidRPr="003B2E9A" w14:paraId="24DB3FEE" w14:textId="77777777" w:rsidTr="00311902">
        <w:trPr>
          <w:gridAfter w:val="1"/>
          <w:wAfter w:w="18" w:type="dxa"/>
          <w:trHeight w:val="520"/>
        </w:trPr>
        <w:tc>
          <w:tcPr>
            <w:tcW w:w="1719" w:type="dxa"/>
            <w:tcMar>
              <w:top w:w="0" w:type="dxa"/>
              <w:left w:w="108" w:type="dxa"/>
              <w:bottom w:w="0" w:type="dxa"/>
              <w:right w:w="108" w:type="dxa"/>
            </w:tcMar>
            <w:vAlign w:val="center"/>
          </w:tcPr>
          <w:p w14:paraId="4B9BAEC1" w14:textId="77777777" w:rsidR="00145F2B" w:rsidRPr="00550D35" w:rsidRDefault="00145F2B" w:rsidP="00BA62A0">
            <w:pPr>
              <w:pStyle w:val="ListParagraph"/>
              <w:spacing w:before="120"/>
              <w:ind w:left="142"/>
              <w:rPr>
                <w:rFonts w:cs="Times New Roman"/>
                <w:b/>
                <w:i/>
                <w:sz w:val="20"/>
                <w:szCs w:val="20"/>
                <w:lang w:val="lv-LV"/>
              </w:rPr>
            </w:pPr>
          </w:p>
        </w:tc>
        <w:tc>
          <w:tcPr>
            <w:tcW w:w="1956" w:type="dxa"/>
            <w:gridSpan w:val="2"/>
            <w:tcMar>
              <w:top w:w="0" w:type="dxa"/>
              <w:left w:w="108" w:type="dxa"/>
              <w:bottom w:w="0" w:type="dxa"/>
              <w:right w:w="108" w:type="dxa"/>
            </w:tcMar>
            <w:vAlign w:val="center"/>
          </w:tcPr>
          <w:p w14:paraId="2E8C0698" w14:textId="77777777" w:rsidR="00145F2B" w:rsidRPr="00550D35" w:rsidRDefault="00145F2B" w:rsidP="00BA62A0">
            <w:pPr>
              <w:spacing w:before="120"/>
              <w:ind w:firstLine="0"/>
              <w:rPr>
                <w:b/>
                <w:i/>
                <w:sz w:val="20"/>
                <w:lang w:val="lv-LV"/>
              </w:rPr>
            </w:pPr>
            <w:r w:rsidRPr="00550D35">
              <w:rPr>
                <w:b/>
                <w:i/>
                <w:sz w:val="20"/>
                <w:lang w:val="lv-LV"/>
              </w:rPr>
              <w:t>Vispārīgie mērķi</w:t>
            </w:r>
          </w:p>
        </w:tc>
        <w:tc>
          <w:tcPr>
            <w:tcW w:w="4830" w:type="dxa"/>
            <w:vAlign w:val="center"/>
          </w:tcPr>
          <w:p w14:paraId="4CE5BEF3" w14:textId="77777777" w:rsidR="00145F2B" w:rsidRPr="00550D35" w:rsidRDefault="00145F2B" w:rsidP="00BA62A0">
            <w:pPr>
              <w:spacing w:before="120"/>
              <w:ind w:firstLine="0"/>
              <w:rPr>
                <w:b/>
                <w:i/>
                <w:sz w:val="20"/>
                <w:lang w:val="lv-LV"/>
              </w:rPr>
            </w:pPr>
            <w:r w:rsidRPr="00550D35">
              <w:rPr>
                <w:b/>
                <w:i/>
                <w:sz w:val="20"/>
                <w:lang w:val="lv-LV"/>
              </w:rPr>
              <w:t>Dalībvalsts iespējamā ieguldījuma jomu piemēri</w:t>
            </w:r>
          </w:p>
        </w:tc>
      </w:tr>
      <w:tr w:rsidR="00145F2B" w:rsidRPr="003B2E9A" w14:paraId="7805902A" w14:textId="77777777" w:rsidTr="00311902">
        <w:trPr>
          <w:trHeight w:val="1401"/>
        </w:trPr>
        <w:tc>
          <w:tcPr>
            <w:tcW w:w="1725" w:type="dxa"/>
            <w:gridSpan w:val="2"/>
            <w:tcMar>
              <w:top w:w="0" w:type="dxa"/>
              <w:left w:w="108" w:type="dxa"/>
              <w:bottom w:w="0" w:type="dxa"/>
              <w:right w:w="108" w:type="dxa"/>
            </w:tcMar>
            <w:vAlign w:val="center"/>
            <w:hideMark/>
          </w:tcPr>
          <w:p w14:paraId="0A30442A" w14:textId="77777777" w:rsidR="00145F2B" w:rsidRPr="00550D35" w:rsidRDefault="00145F2B" w:rsidP="00BA62A0">
            <w:pPr>
              <w:spacing w:before="120"/>
              <w:ind w:firstLine="0"/>
              <w:rPr>
                <w:b/>
                <w:i/>
                <w:sz w:val="20"/>
                <w:lang w:val="lv-LV"/>
              </w:rPr>
            </w:pPr>
            <w:r w:rsidRPr="00550D35">
              <w:rPr>
                <w:b/>
                <w:i/>
                <w:sz w:val="20"/>
                <w:lang w:val="lv-LV"/>
              </w:rPr>
              <w:t xml:space="preserve">Veicināt iedzīvotāju piekļuvi digitālajām tehnoloģijām </w:t>
            </w:r>
          </w:p>
        </w:tc>
        <w:tc>
          <w:tcPr>
            <w:tcW w:w="1950" w:type="dxa"/>
            <w:tcMar>
              <w:top w:w="0" w:type="dxa"/>
              <w:left w:w="108" w:type="dxa"/>
              <w:bottom w:w="0" w:type="dxa"/>
              <w:right w:w="108" w:type="dxa"/>
            </w:tcMar>
            <w:vAlign w:val="center"/>
          </w:tcPr>
          <w:p w14:paraId="78B3A34C" w14:textId="77777777" w:rsidR="00145F2B" w:rsidRPr="00550D35" w:rsidRDefault="00145F2B" w:rsidP="00BA62A0">
            <w:pPr>
              <w:spacing w:before="120"/>
              <w:ind w:firstLine="0"/>
              <w:rPr>
                <w:i/>
                <w:sz w:val="20"/>
                <w:lang w:val="lv-LV"/>
              </w:rPr>
            </w:pPr>
            <w:r w:rsidRPr="00550D35">
              <w:rPr>
                <w:sz w:val="20"/>
                <w:lang w:val="lv-LV"/>
              </w:rPr>
              <w:t>Atsaucoties uz mērķiem, kas minēti Dekādes programmas</w:t>
            </w:r>
            <w:r w:rsidRPr="00550D35">
              <w:rPr>
                <w:lang w:val="lv-LV"/>
              </w:rPr>
              <w:br/>
            </w:r>
            <w:r w:rsidRPr="00550D35">
              <w:rPr>
                <w:sz w:val="20"/>
                <w:lang w:val="lv-LV"/>
              </w:rPr>
              <w:t>3. panta 1.daļas (a), (b), (e) un (g) punktā</w:t>
            </w:r>
            <w:r w:rsidRPr="00550D35">
              <w:rPr>
                <w:i/>
                <w:sz w:val="20"/>
                <w:lang w:val="lv-LV"/>
              </w:rPr>
              <w:t xml:space="preserve"> </w:t>
            </w:r>
          </w:p>
        </w:tc>
        <w:tc>
          <w:tcPr>
            <w:tcW w:w="4830" w:type="dxa"/>
            <w:gridSpan w:val="2"/>
          </w:tcPr>
          <w:p w14:paraId="1E8C829D" w14:textId="77777777" w:rsidR="00145F2B" w:rsidRPr="00550D35" w:rsidRDefault="00145F2B" w:rsidP="00BA62A0">
            <w:pPr>
              <w:pStyle w:val="Text2"/>
              <w:spacing w:before="120" w:after="0"/>
              <w:ind w:left="0" w:firstLine="0"/>
              <w:rPr>
                <w:sz w:val="20"/>
                <w:lang w:val="lv-LV"/>
              </w:rPr>
            </w:pPr>
            <w:r w:rsidRPr="00550D35">
              <w:rPr>
                <w:sz w:val="20"/>
                <w:lang w:val="lv-LV"/>
              </w:rPr>
              <w:t>1. pasākums nodrošina digitālās vides attīstīšanu un labas pārvaldības principiem atbilstošu pārvaldību, radot pamatu  pakalpojumu sniegšanai cilvēkiem;  2.pasākums sniedz iespēju saņemt informāciju un komunicēt publisko pakalpojumu sniedzējiem un pakalpojumu saņēmējiem (cilvēkiem un uzņēmumiem); 3.pasākums nodrošina digitālās plaisas mazināšanu un pakalpojumu procesu pilnveidošanu; 4.pasākums nodrošina iestāžu – pakalpojumu sniedzēju iekļaušanos digitālajā vidē; 5.pasākums  pilnveido pakalpojumu sniegšanas procesu un to IKT atbalstu, lai pakalpojumi atbilstu noteiktiem pakalpojumu pieejamības kritērijiem.</w:t>
            </w:r>
          </w:p>
          <w:p w14:paraId="0F7B7903" w14:textId="77777777" w:rsidR="00145F2B" w:rsidRPr="00550D35" w:rsidRDefault="00145F2B" w:rsidP="00BA62A0">
            <w:pPr>
              <w:pStyle w:val="Text2"/>
              <w:spacing w:before="120" w:after="0"/>
              <w:ind w:left="0" w:firstLine="0"/>
              <w:rPr>
                <w:sz w:val="20"/>
                <w:lang w:val="lv-LV"/>
              </w:rPr>
            </w:pPr>
            <w:r w:rsidRPr="00550D35">
              <w:rPr>
                <w:sz w:val="20"/>
                <w:lang w:val="lv-LV"/>
              </w:rPr>
              <w:t xml:space="preserve">1. piemērs. Pēdējos gados Latvijā ir būtiski attīstīta un uzlabota valsts pārvaldes institūciju tīmekļa vietņu pieejamība (atbilstoši direktīvas (ES) 2016/2102 par publiskā sektora struktūru tīmekļvietņu un mobilo lietotņu </w:t>
            </w:r>
            <w:proofErr w:type="spellStart"/>
            <w:r w:rsidRPr="00550D35">
              <w:rPr>
                <w:sz w:val="20"/>
                <w:lang w:val="lv-LV"/>
              </w:rPr>
              <w:t>piekļūstamību</w:t>
            </w:r>
            <w:proofErr w:type="spellEnd"/>
            <w:r w:rsidRPr="00550D35">
              <w:rPr>
                <w:sz w:val="20"/>
                <w:lang w:val="lv-LV"/>
              </w:rPr>
              <w:t xml:space="preserve"> prasībām) - tādējādi cilvēki ar redzes, dzirdes un garīgu invaliditāti var labāk izmantot iestāžu tīmekļa vietnes, pieteikties publiskajiem pakalpojumiem  , uzzināt informāciju un labāk iekļauties sabiedrībā. Arī direktīvas (ES) 2019/882 (ES) 2019/882 par produktu un pakalpojumu </w:t>
            </w:r>
            <w:proofErr w:type="spellStart"/>
            <w:r w:rsidRPr="00550D35">
              <w:rPr>
                <w:sz w:val="20"/>
                <w:lang w:val="lv-LV"/>
              </w:rPr>
              <w:lastRenderedPageBreak/>
              <w:t>piekļūstamības</w:t>
            </w:r>
            <w:proofErr w:type="spellEnd"/>
            <w:r w:rsidRPr="00550D35">
              <w:rPr>
                <w:sz w:val="20"/>
                <w:lang w:val="lv-LV"/>
              </w:rPr>
              <w:t xml:space="preserve"> prasībām ieguldīts ievērojams darbs. Tas uzlabo e-komercijas vidi, e-grāmatu izmantošanu un pieejamību, audiovizuālos pakalpojumus, elektronisko sakaru pakalpojumus, e-biļetes iegādes iespējas, u.c. </w:t>
            </w:r>
          </w:p>
          <w:p w14:paraId="0EDE0F81" w14:textId="77777777" w:rsidR="00145F2B" w:rsidRPr="00550D35" w:rsidRDefault="00145F2B" w:rsidP="00BA62A0">
            <w:pPr>
              <w:spacing w:before="120" w:after="0"/>
              <w:ind w:firstLine="0"/>
              <w:contextualSpacing/>
              <w:rPr>
                <w:i/>
                <w:sz w:val="20"/>
                <w:lang w:val="lv-LV"/>
              </w:rPr>
            </w:pPr>
            <w:r w:rsidRPr="00550D35">
              <w:rPr>
                <w:sz w:val="20"/>
                <w:lang w:val="lv-LV"/>
              </w:rPr>
              <w:t xml:space="preserve">2. piemērs. (Digitālās plaisas pārvarēšana, dzimumu un ģeogrāfiskā līdzsvara panākšana) DTP2027 īstenošanas plānā (pamatnostādnes ir pieejamas tikai latviešu valodā: https://likumi.lv/ta/id/324715) DTP2027 ievadā (5. punkts, 6. lpp.) norādīts, ka “Pamatnostādnēs galvenā uzmanība pievērsta NAP2027 darbības virziena mērķim: valsts pārvalde pārveidota ar </w:t>
            </w:r>
            <w:proofErr w:type="spellStart"/>
            <w:r w:rsidRPr="00550D35">
              <w:rPr>
                <w:sz w:val="20"/>
                <w:lang w:val="lv-LV"/>
              </w:rPr>
              <w:t>digitalizāciju</w:t>
            </w:r>
            <w:proofErr w:type="spellEnd"/>
            <w:r w:rsidRPr="00550D35">
              <w:rPr>
                <w:sz w:val="20"/>
                <w:lang w:val="lv-LV"/>
              </w:rPr>
              <w:t xml:space="preserve">, labi pārvaldīta organizatoriskā un tehnoloģiskā ekosistēma, kas ir iekšēji integrēta un ārēji atvērta, lai radītu kopēju vērtību, inovāciju un uz lietotājiem orientētu vidi, lai uz nodrošināšanu. Tas ir saistīts ar publiskās pārvaldes (turpmāk “valsts pārvalde” ietver arī pašvaldības un privātpersonas, kurām uzticēti valsts pārvaldes uzdevumi) platformu atvēršanu komersantiem, iesaistīšanos un integrāciju Eiropas Datu telpu un </w:t>
            </w:r>
            <w:proofErr w:type="spellStart"/>
            <w:r w:rsidRPr="00550D35">
              <w:rPr>
                <w:sz w:val="20"/>
                <w:lang w:val="lv-LV"/>
              </w:rPr>
              <w:t>mākoņdatošanas</w:t>
            </w:r>
            <w:proofErr w:type="spellEnd"/>
            <w:r w:rsidRPr="00550D35">
              <w:rPr>
                <w:sz w:val="20"/>
                <w:lang w:val="lv-LV"/>
              </w:rPr>
              <w:t xml:space="preserve"> federācijā, kas apvieno tās dalībnieku resursus HPC izstrādē un izmantošanā, kā arī EDIC un to tīkla izmantošanu tehnoloģiju paplašināšanai un testēšanai.</w:t>
            </w:r>
          </w:p>
        </w:tc>
      </w:tr>
      <w:tr w:rsidR="00145F2B" w:rsidRPr="003B2E9A" w14:paraId="4277E24E" w14:textId="77777777" w:rsidTr="00311902">
        <w:trPr>
          <w:gridAfter w:val="1"/>
          <w:wAfter w:w="18" w:type="dxa"/>
          <w:trHeight w:val="1096"/>
        </w:trPr>
        <w:tc>
          <w:tcPr>
            <w:tcW w:w="1719" w:type="dxa"/>
            <w:tcMar>
              <w:top w:w="0" w:type="dxa"/>
              <w:left w:w="108" w:type="dxa"/>
              <w:bottom w:w="0" w:type="dxa"/>
              <w:right w:w="108" w:type="dxa"/>
            </w:tcMar>
            <w:vAlign w:val="center"/>
            <w:hideMark/>
          </w:tcPr>
          <w:p w14:paraId="0878A654" w14:textId="77777777" w:rsidR="00145F2B" w:rsidRPr="00550D35" w:rsidRDefault="00145F2B" w:rsidP="00BA62A0">
            <w:pPr>
              <w:spacing w:before="120"/>
              <w:ind w:firstLine="0"/>
              <w:rPr>
                <w:b/>
                <w:i/>
                <w:sz w:val="20"/>
                <w:lang w:val="lv-LV"/>
              </w:rPr>
            </w:pPr>
            <w:r w:rsidRPr="00550D35">
              <w:rPr>
                <w:b/>
                <w:i/>
                <w:sz w:val="20"/>
                <w:lang w:val="lv-LV"/>
              </w:rPr>
              <w:lastRenderedPageBreak/>
              <w:t>Veicināt līderību un suverenitāti</w:t>
            </w:r>
          </w:p>
        </w:tc>
        <w:tc>
          <w:tcPr>
            <w:tcW w:w="1956" w:type="dxa"/>
            <w:gridSpan w:val="2"/>
            <w:tcMar>
              <w:top w:w="0" w:type="dxa"/>
              <w:left w:w="108" w:type="dxa"/>
              <w:bottom w:w="0" w:type="dxa"/>
              <w:right w:w="108" w:type="dxa"/>
            </w:tcMar>
            <w:vAlign w:val="center"/>
            <w:hideMark/>
          </w:tcPr>
          <w:p w14:paraId="17919CCA" w14:textId="77777777" w:rsidR="00145F2B" w:rsidRPr="00550D35" w:rsidRDefault="00145F2B" w:rsidP="00BA62A0">
            <w:pPr>
              <w:spacing w:before="120"/>
              <w:ind w:firstLine="0"/>
              <w:rPr>
                <w:i/>
                <w:sz w:val="20"/>
                <w:lang w:val="lv-LV"/>
              </w:rPr>
            </w:pPr>
            <w:r w:rsidRPr="00550D35">
              <w:rPr>
                <w:sz w:val="20"/>
                <w:lang w:val="lv-LV"/>
              </w:rPr>
              <w:t>Atsaucoties uz mērķiem, kas minēti Dekādes programmas</w:t>
            </w:r>
            <w:r w:rsidRPr="00550D35">
              <w:rPr>
                <w:sz w:val="20"/>
                <w:lang w:val="lv-LV"/>
              </w:rPr>
              <w:br/>
              <w:t>3. panta 1.daļas (c) un (d) punktā</w:t>
            </w:r>
          </w:p>
        </w:tc>
        <w:tc>
          <w:tcPr>
            <w:tcW w:w="4830" w:type="dxa"/>
          </w:tcPr>
          <w:p w14:paraId="4838B4AB" w14:textId="77777777" w:rsidR="00145F2B" w:rsidRPr="00550D35" w:rsidRDefault="00145F2B" w:rsidP="00BA62A0">
            <w:pPr>
              <w:pStyle w:val="ListParagraph"/>
              <w:spacing w:before="120"/>
              <w:ind w:left="0" w:firstLine="0"/>
              <w:rPr>
                <w:rFonts w:cs="Times New Roman"/>
                <w:b/>
                <w:i/>
                <w:sz w:val="20"/>
                <w:szCs w:val="20"/>
                <w:lang w:val="lv-LV"/>
              </w:rPr>
            </w:pPr>
            <w:r w:rsidRPr="00550D35">
              <w:rPr>
                <w:sz w:val="20"/>
                <w:szCs w:val="20"/>
                <w:lang w:val="lv-LV"/>
              </w:rPr>
              <w:t xml:space="preserve">1. pasākums nodrošina lielu publiskās pārvaldes datu apjomu uzkrāšanu un apstrādi. Datu </w:t>
            </w:r>
            <w:proofErr w:type="spellStart"/>
            <w:r w:rsidRPr="00550D35">
              <w:rPr>
                <w:sz w:val="20"/>
                <w:szCs w:val="20"/>
                <w:lang w:val="lv-LV"/>
              </w:rPr>
              <w:t>depersonalizācijas</w:t>
            </w:r>
            <w:proofErr w:type="spellEnd"/>
            <w:r w:rsidRPr="00550D35">
              <w:rPr>
                <w:sz w:val="20"/>
                <w:szCs w:val="20"/>
                <w:lang w:val="lv-LV"/>
              </w:rPr>
              <w:t xml:space="preserve"> risinājumu ieviešana palielinās datu apjomu, kuru ievērojot noteiktus priekšnoteikumus būs iespējams nodot </w:t>
            </w:r>
            <w:proofErr w:type="spellStart"/>
            <w:r w:rsidRPr="00550D35">
              <w:rPr>
                <w:sz w:val="20"/>
                <w:szCs w:val="20"/>
                <w:lang w:val="lv-LV"/>
              </w:rPr>
              <w:t>atkalizmantošanai</w:t>
            </w:r>
            <w:proofErr w:type="spellEnd"/>
            <w:r w:rsidRPr="00550D35">
              <w:rPr>
                <w:sz w:val="20"/>
                <w:szCs w:val="20"/>
                <w:lang w:val="lv-LV"/>
              </w:rPr>
              <w:t xml:space="preserve"> un pakalpojumu tālākai pilnveidošanai., kā arī, balstoties uz apkopotajiem datiem paredz izstrādāt risinājumus </w:t>
            </w:r>
            <w:proofErr w:type="spellStart"/>
            <w:r w:rsidRPr="00550D35">
              <w:rPr>
                <w:sz w:val="20"/>
                <w:szCs w:val="20"/>
                <w:lang w:val="lv-LV"/>
              </w:rPr>
              <w:t>proaktīvai</w:t>
            </w:r>
            <w:proofErr w:type="spellEnd"/>
            <w:r w:rsidRPr="00550D35">
              <w:rPr>
                <w:sz w:val="20"/>
                <w:szCs w:val="20"/>
                <w:lang w:val="lv-LV"/>
              </w:rPr>
              <w:t xml:space="preserve"> pakalpojumu sniegšanai.</w:t>
            </w:r>
          </w:p>
        </w:tc>
      </w:tr>
      <w:tr w:rsidR="00145F2B" w:rsidRPr="003B2E9A" w14:paraId="68AF49EF" w14:textId="77777777" w:rsidTr="00311902">
        <w:trPr>
          <w:gridAfter w:val="1"/>
          <w:wAfter w:w="18" w:type="dxa"/>
          <w:trHeight w:val="1120"/>
        </w:trPr>
        <w:tc>
          <w:tcPr>
            <w:tcW w:w="1719" w:type="dxa"/>
            <w:tcMar>
              <w:top w:w="0" w:type="dxa"/>
              <w:left w:w="108" w:type="dxa"/>
              <w:bottom w:w="0" w:type="dxa"/>
              <w:right w:w="108" w:type="dxa"/>
            </w:tcMar>
            <w:vAlign w:val="center"/>
          </w:tcPr>
          <w:p w14:paraId="0C31B08B" w14:textId="77777777" w:rsidR="00145F2B" w:rsidRPr="00550D35" w:rsidRDefault="00145F2B" w:rsidP="00BA62A0">
            <w:pPr>
              <w:spacing w:before="120"/>
              <w:ind w:firstLine="0"/>
              <w:rPr>
                <w:b/>
                <w:i/>
                <w:sz w:val="20"/>
                <w:lang w:val="lv-LV"/>
              </w:rPr>
            </w:pPr>
            <w:r w:rsidRPr="00550D35">
              <w:rPr>
                <w:b/>
                <w:i/>
                <w:sz w:val="20"/>
                <w:lang w:val="lv-LV"/>
              </w:rPr>
              <w:t>Veicināt zaļo pārveidi</w:t>
            </w:r>
          </w:p>
        </w:tc>
        <w:tc>
          <w:tcPr>
            <w:tcW w:w="1956" w:type="dxa"/>
            <w:gridSpan w:val="2"/>
            <w:tcMar>
              <w:top w:w="0" w:type="dxa"/>
              <w:left w:w="108" w:type="dxa"/>
              <w:bottom w:w="0" w:type="dxa"/>
              <w:right w:w="108" w:type="dxa"/>
            </w:tcMar>
            <w:vAlign w:val="center"/>
          </w:tcPr>
          <w:p w14:paraId="694E6EAE" w14:textId="77777777" w:rsidR="00145F2B" w:rsidRPr="00550D35" w:rsidRDefault="00145F2B" w:rsidP="00BA62A0">
            <w:pPr>
              <w:spacing w:before="120"/>
              <w:ind w:firstLine="0"/>
              <w:rPr>
                <w:sz w:val="20"/>
                <w:lang w:val="lv-LV"/>
              </w:rPr>
            </w:pPr>
            <w:r w:rsidRPr="00550D35">
              <w:rPr>
                <w:sz w:val="20"/>
                <w:lang w:val="lv-LV"/>
              </w:rPr>
              <w:t>Atsaucoties uz mērķiem, kas minēti Dekādes programmas</w:t>
            </w:r>
            <w:r w:rsidRPr="00550D35">
              <w:rPr>
                <w:lang w:val="lv-LV"/>
              </w:rPr>
              <w:br/>
            </w:r>
            <w:r w:rsidRPr="00550D35">
              <w:rPr>
                <w:sz w:val="20"/>
                <w:lang w:val="lv-LV"/>
              </w:rPr>
              <w:t>3. panta 1.daļas (f) punktā</w:t>
            </w:r>
          </w:p>
        </w:tc>
        <w:tc>
          <w:tcPr>
            <w:tcW w:w="4830" w:type="dxa"/>
          </w:tcPr>
          <w:p w14:paraId="00F8ED2B" w14:textId="77777777" w:rsidR="00145F2B" w:rsidRPr="00550D35" w:rsidRDefault="00145F2B" w:rsidP="00BA62A0">
            <w:pPr>
              <w:pStyle w:val="ListParagraph"/>
              <w:spacing w:before="120"/>
              <w:ind w:left="0" w:firstLine="0"/>
              <w:rPr>
                <w:rFonts w:cs="Times New Roman"/>
                <w:i/>
                <w:sz w:val="20"/>
                <w:szCs w:val="20"/>
                <w:lang w:val="lv-LV"/>
              </w:rPr>
            </w:pPr>
            <w:r w:rsidRPr="00550D35">
              <w:rPr>
                <w:sz w:val="20"/>
                <w:szCs w:val="20"/>
                <w:lang w:val="lv-LV"/>
              </w:rPr>
              <w:t>Visi 13. punktā minētie pasākumi ir vērsti uz digitālo risinājumu radīšanu un izmantošanas veicināšanu, tādejādi mazinot nepieciešamību cilvēkiem apmeklēt publiskās pārvaldes iestādes publiskās pārvaldes pakalpojumu saņemšanai, tādejādi samazinot negatīvo ietekmi uz vidi.</w:t>
            </w:r>
          </w:p>
        </w:tc>
      </w:tr>
    </w:tbl>
    <w:p w14:paraId="27B44253" w14:textId="77777777" w:rsidR="00145F2B" w:rsidRPr="00550D35" w:rsidRDefault="00145F2B" w:rsidP="00145F2B">
      <w:pPr>
        <w:pStyle w:val="Text2"/>
        <w:rPr>
          <w:lang w:val="lv-LV"/>
        </w:rPr>
      </w:pPr>
    </w:p>
    <w:p w14:paraId="496129B1" w14:textId="77777777" w:rsidR="00145F2B" w:rsidRPr="00550D35" w:rsidRDefault="00145F2B" w:rsidP="00145F2B">
      <w:pPr>
        <w:pStyle w:val="Heading2"/>
        <w:rPr>
          <w:lang w:val="lv-LV"/>
        </w:rPr>
      </w:pPr>
      <w:r w:rsidRPr="00550D35">
        <w:rPr>
          <w:lang w:val="lv-LV"/>
        </w:rPr>
        <w:t>ES līmeņa sadarbība</w:t>
      </w:r>
    </w:p>
    <w:p w14:paraId="2F894657" w14:textId="77777777" w:rsidR="00145F2B" w:rsidRPr="00550D35" w:rsidRDefault="00145F2B" w:rsidP="00145F2B">
      <w:pPr>
        <w:pStyle w:val="Heading3"/>
        <w:rPr>
          <w:lang w:val="lv-LV"/>
        </w:rPr>
      </w:pPr>
      <w:r w:rsidRPr="00550D35">
        <w:rPr>
          <w:lang w:val="lv-LV"/>
        </w:rPr>
        <w:t>Daudzvalstu projekti</w:t>
      </w:r>
    </w:p>
    <w:p w14:paraId="405C45AE" w14:textId="77777777" w:rsidR="00145F2B" w:rsidRPr="00550D35" w:rsidRDefault="00145F2B" w:rsidP="00145F2B">
      <w:pPr>
        <w:rPr>
          <w:lang w:val="lv-LV"/>
        </w:rPr>
      </w:pPr>
      <w:r w:rsidRPr="00550D35">
        <w:rPr>
          <w:lang w:val="lv-LV"/>
        </w:rPr>
        <w:t xml:space="preserve">Ceļveža sagatavošanas laikā nav identificēti 1) </w:t>
      </w:r>
      <w:r w:rsidRPr="00550D35">
        <w:rPr>
          <w:noProof/>
          <w:lang w:val="lv-LV"/>
        </w:rPr>
        <w:t xml:space="preserve">daudzvalstu projekti, kas iekļauti pielikumā norādīto </w:t>
      </w:r>
      <w:r w:rsidRPr="00550D35">
        <w:rPr>
          <w:i/>
          <w:noProof/>
          <w:lang w:val="lv-LV"/>
        </w:rPr>
        <w:t>daudzvalstu</w:t>
      </w:r>
      <w:r w:rsidRPr="00550D35">
        <w:rPr>
          <w:noProof/>
          <w:lang w:val="lv-LV"/>
        </w:rPr>
        <w:t xml:space="preserve"> projektu jomu sarakstā vai dalībvalsts apņemas vai plāno uzņemties nākotnē;</w:t>
      </w:r>
      <w:r w:rsidRPr="00550D35">
        <w:rPr>
          <w:lang w:val="lv-LV"/>
        </w:rPr>
        <w:t xml:space="preserve"> 2) iespējamie jaunie daudzvalstu projekti, kuri vēl nav iekļauti Dekādes programmas lēmuma pielikumā minēto darbības jomu sarakstā, bet kuras  dalībvalsts uzskata par nepieciešamām; 3) kopīgas apņemšanās, kurās dalībvalsts piedalās vai plāno iesaistīties.</w:t>
      </w:r>
    </w:p>
    <w:p w14:paraId="2EEA0864" w14:textId="77777777" w:rsidR="00145F2B" w:rsidRPr="00550D35" w:rsidRDefault="00145F2B" w:rsidP="00145F2B">
      <w:pPr>
        <w:rPr>
          <w:b/>
          <w:i/>
          <w:lang w:val="lv-LV"/>
        </w:rPr>
      </w:pPr>
      <w:r w:rsidRPr="00550D35">
        <w:rPr>
          <w:lang w:val="lv-LV"/>
        </w:rPr>
        <w:t xml:space="preserve">Vienlaikus, notiek sadarbība ar citām Dalībvalstīm vienoto identifikācijas līdzekļu ieviešanā. Latvija sadarbojas ar Dalībvalstīm </w:t>
      </w:r>
      <w:proofErr w:type="spellStart"/>
      <w:r w:rsidRPr="00550D35">
        <w:rPr>
          <w:lang w:val="lv-LV"/>
        </w:rPr>
        <w:t>eIDAS</w:t>
      </w:r>
      <w:proofErr w:type="spellEnd"/>
      <w:r w:rsidRPr="00550D35">
        <w:rPr>
          <w:lang w:val="lv-LV"/>
        </w:rPr>
        <w:t xml:space="preserve"> regulas</w:t>
      </w:r>
      <w:r w:rsidRPr="00550D35">
        <w:rPr>
          <w:rStyle w:val="FootnoteReference"/>
          <w:bCs/>
          <w:iCs/>
          <w:lang w:val="lv-LV"/>
        </w:rPr>
        <w:footnoteReference w:id="77"/>
      </w:r>
      <w:r w:rsidRPr="00550D35">
        <w:rPr>
          <w:lang w:val="lv-LV"/>
        </w:rPr>
        <w:t xml:space="preserve"> prasību izpildē. </w:t>
      </w:r>
      <w:r w:rsidRPr="00550D35">
        <w:rPr>
          <w:rFonts w:eastAsia="Calibri"/>
          <w:lang w:val="lv-LV"/>
        </w:rPr>
        <w:t xml:space="preserve">Latvija ir izveidojusi risinājumu pārrobežu lietotāju identificēšanai, kā rezultātā pārrobežu lietotājiem (pašlaik – Lietuvas, </w:t>
      </w:r>
      <w:r w:rsidRPr="00550D35">
        <w:rPr>
          <w:color w:val="000000"/>
          <w:lang w:val="lv-LV"/>
        </w:rPr>
        <w:t>Igaunijas, Čehijas, Slovākijas, Itālijas, Beļģijas, Spānijas, Portugāles, Vācijas, Luksemburgas, Slovēnijas, Polijas, Maltas un Horvātijas  kvalificēta elektroniskas identifikācijas līdzekļa lietotājiem</w:t>
      </w:r>
      <w:r w:rsidRPr="00550D35">
        <w:rPr>
          <w:rFonts w:eastAsia="Calibri"/>
          <w:lang w:val="lv-LV"/>
        </w:rPr>
        <w:t xml:space="preserve">) nodrošināta piekļuve nelielam skaitam Latvijas e-pakalpojumu, kuriem ir pieslēgts </w:t>
      </w:r>
      <w:proofErr w:type="spellStart"/>
      <w:r w:rsidRPr="00550D35">
        <w:rPr>
          <w:rFonts w:eastAsia="Calibri"/>
          <w:lang w:val="lv-LV"/>
        </w:rPr>
        <w:t>eIDAS</w:t>
      </w:r>
      <w:proofErr w:type="spellEnd"/>
      <w:r w:rsidRPr="00550D35">
        <w:rPr>
          <w:rFonts w:eastAsia="Calibri"/>
          <w:lang w:val="lv-LV"/>
        </w:rPr>
        <w:t xml:space="preserve"> elektroniskās identifikācijas risinājums. Šobrīd tikai dažas valstis ir izstrādājušas savu </w:t>
      </w:r>
      <w:proofErr w:type="spellStart"/>
      <w:r w:rsidRPr="00550D35">
        <w:rPr>
          <w:rFonts w:eastAsia="Calibri"/>
          <w:lang w:val="lv-LV"/>
        </w:rPr>
        <w:t>eIDAS</w:t>
      </w:r>
      <w:proofErr w:type="spellEnd"/>
      <w:r w:rsidRPr="00550D35">
        <w:rPr>
          <w:rFonts w:eastAsia="Calibri"/>
          <w:lang w:val="lv-LV"/>
        </w:rPr>
        <w:t xml:space="preserve"> prasībām atbilstošu identifikācijas risinājumu, un vairākas valstis aktīvi strādā, lai tādu izveidotu. Pēc tam, kad </w:t>
      </w:r>
      <w:r w:rsidRPr="00550D35">
        <w:rPr>
          <w:rFonts w:eastAsia="Calibri"/>
          <w:lang w:val="lv-LV"/>
        </w:rPr>
        <w:lastRenderedPageBreak/>
        <w:t>šos risinājumus ir apstiprinājusi EK, pārējām dalībvalstīm ir pienākums tos integrēt savos atzītajos risinājumos, tādējādi nodrošinot pakalpojumu pārrobežu pieejamību ES mērogā</w:t>
      </w:r>
      <w:r w:rsidRPr="00550D35">
        <w:rPr>
          <w:rStyle w:val="FootnoteReference"/>
          <w:rFonts w:eastAsia="Calibri"/>
          <w:lang w:val="lv-LV"/>
        </w:rPr>
        <w:footnoteReference w:id="78"/>
      </w:r>
      <w:r w:rsidRPr="00550D35">
        <w:rPr>
          <w:rFonts w:eastAsia="Calibri"/>
          <w:lang w:val="lv-LV"/>
        </w:rPr>
        <w:t xml:space="preserve">. </w:t>
      </w:r>
    </w:p>
    <w:p w14:paraId="6350B88C" w14:textId="77777777" w:rsidR="00145F2B" w:rsidRPr="00550D35" w:rsidRDefault="00145F2B" w:rsidP="00145F2B">
      <w:pPr>
        <w:rPr>
          <w:rFonts w:eastAsia="Calibri"/>
          <w:lang w:val="lv-LV"/>
        </w:rPr>
      </w:pPr>
      <w:r w:rsidRPr="00550D35">
        <w:rPr>
          <w:color w:val="000000"/>
          <w:lang w:val="lv-LV"/>
        </w:rPr>
        <w:t>Latvijas iestādes pieņem e-parakstītus dokumentus, t. sk. arī ar citu dalībvalstu e-parakstiem parakstītus dokumentus, kas parakstīti ES vienotajā e-parakstīto dokumentu formātā (</w:t>
      </w:r>
      <w:proofErr w:type="spellStart"/>
      <w:r w:rsidRPr="00550D35">
        <w:rPr>
          <w:i/>
          <w:lang w:val="lv-LV"/>
        </w:rPr>
        <w:t>Associated</w:t>
      </w:r>
      <w:proofErr w:type="spellEnd"/>
      <w:r w:rsidRPr="00550D35">
        <w:rPr>
          <w:i/>
          <w:lang w:val="lv-LV"/>
        </w:rPr>
        <w:t xml:space="preserve"> </w:t>
      </w:r>
      <w:proofErr w:type="spellStart"/>
      <w:r w:rsidRPr="00550D35">
        <w:rPr>
          <w:i/>
          <w:lang w:val="lv-LV"/>
        </w:rPr>
        <w:t>Signature</w:t>
      </w:r>
      <w:proofErr w:type="spellEnd"/>
      <w:r w:rsidRPr="00550D35">
        <w:rPr>
          <w:i/>
          <w:lang w:val="lv-LV"/>
        </w:rPr>
        <w:t xml:space="preserve"> </w:t>
      </w:r>
      <w:proofErr w:type="spellStart"/>
      <w:r w:rsidRPr="00E27540">
        <w:rPr>
          <w:i/>
          <w:lang w:val="lv-LV"/>
        </w:rPr>
        <w:t>Container</w:t>
      </w:r>
      <w:proofErr w:type="spellEnd"/>
      <w:r w:rsidRPr="00E27540">
        <w:rPr>
          <w:i/>
          <w:lang w:val="lv-LV"/>
        </w:rPr>
        <w:t>,</w:t>
      </w:r>
      <w:r w:rsidRPr="00E27540">
        <w:rPr>
          <w:i/>
          <w:color w:val="000000"/>
          <w:lang w:val="lv-LV"/>
        </w:rPr>
        <w:t xml:space="preserve"> ASICE</w:t>
      </w:r>
      <w:r w:rsidRPr="00550D35">
        <w:rPr>
          <w:color w:val="000000"/>
          <w:lang w:val="lv-LV"/>
        </w:rPr>
        <w:t xml:space="preserve">), lai nodrošinātu iespēju attālināti pieteikt Latvijas e-pakalpojumus vai procedūras. </w:t>
      </w:r>
      <w:r w:rsidRPr="00550D35">
        <w:rPr>
          <w:lang w:val="lv-LV"/>
        </w:rPr>
        <w:t xml:space="preserve">Izmantojot LVRTC risinājumu, ārvalstnieku parakstītus dokumentus ASICE formātā var pārbaudīt jau šobrīd, izmantojot </w:t>
      </w:r>
      <w:proofErr w:type="spellStart"/>
      <w:r w:rsidRPr="00550D35">
        <w:rPr>
          <w:lang w:val="lv-LV"/>
        </w:rPr>
        <w:t>eParakstītāju</w:t>
      </w:r>
      <w:proofErr w:type="spellEnd"/>
      <w:r w:rsidRPr="00550D35">
        <w:rPr>
          <w:lang w:val="lv-LV"/>
        </w:rPr>
        <w:t xml:space="preserve"> un portālu www.eparaksts.lv. LVRTC risinājums tiek patstāvīgi pilnveidots, lai nodrošinātu pēc iespējas lielāku dažādās Dalībvalstīs parakstīto dokumentu savietojamību iestādēm. Integrējot šo risinājumu pakalpojumu sniedzēja tīmekļvietnē, tiek nodrošināta iespēja apstrādāt ar citas dalībvalsts e-parakstu parakstītus dokumentus. Saskaņā ar </w:t>
      </w:r>
      <w:proofErr w:type="spellStart"/>
      <w:r w:rsidRPr="00550D35">
        <w:rPr>
          <w:lang w:val="lv-LV"/>
        </w:rPr>
        <w:t>eIDAS</w:t>
      </w:r>
      <w:proofErr w:type="spellEnd"/>
      <w:r w:rsidRPr="00550D35">
        <w:rPr>
          <w:lang w:val="lv-LV"/>
        </w:rPr>
        <w:t xml:space="preserve"> regulas 14. pantā un Elektronisko dokumentu likuma 26. pantā noteikto, tie var būt arī trešo valstu elektroniskie paraksti, ja tie ir atzīti saskaņā ar nolīgumu, kas saskaņā ar Līguma par ES darbību pantu  noslēgts starp ES un attiecīgo trešo valsti.</w:t>
      </w:r>
      <w:r w:rsidRPr="00550D35">
        <w:rPr>
          <w:rStyle w:val="FootnoteReference"/>
          <w:lang w:val="lv-LV"/>
        </w:rPr>
        <w:footnoteReference w:id="79"/>
      </w:r>
    </w:p>
    <w:p w14:paraId="2AC4B2FE" w14:textId="77777777" w:rsidR="00145F2B" w:rsidRPr="00550D35" w:rsidRDefault="00145F2B" w:rsidP="00145F2B">
      <w:pPr>
        <w:pStyle w:val="Text3"/>
        <w:rPr>
          <w:lang w:val="lv-LV"/>
        </w:rPr>
      </w:pPr>
    </w:p>
    <w:p w14:paraId="571395D6" w14:textId="77777777" w:rsidR="00145F2B" w:rsidRPr="00550D35" w:rsidRDefault="00145F2B" w:rsidP="00145F2B">
      <w:pPr>
        <w:pStyle w:val="Heading3"/>
        <w:rPr>
          <w:lang w:val="lv-LV"/>
        </w:rPr>
      </w:pPr>
      <w:r w:rsidRPr="00550D35">
        <w:rPr>
          <w:lang w:val="lv-LV"/>
        </w:rPr>
        <w:t>Veicinošie faktori ES līmenī</w:t>
      </w:r>
    </w:p>
    <w:p w14:paraId="25680B3C" w14:textId="77777777" w:rsidR="00145F2B" w:rsidRPr="00550D35" w:rsidRDefault="00145F2B" w:rsidP="00145F2B">
      <w:pPr>
        <w:rPr>
          <w:lang w:val="lv-LV"/>
        </w:rPr>
      </w:pPr>
      <w:r w:rsidRPr="00550D35">
        <w:rPr>
          <w:lang w:val="lv-LV"/>
        </w:rPr>
        <w:t xml:space="preserve">Īpaši jāuzsver ANM investīciju nozīmi Latvijas iedzīvotāju prasmju attīstības kontekstā (kas nepieciešamas arī prasmēm izmantot pakalpojumus elektroniski), jo ANM plāna investīcijas ir paredzētas digitālo prasmju attīstības pasākumiem, aptverot gan </w:t>
      </w:r>
      <w:proofErr w:type="spellStart"/>
      <w:r w:rsidRPr="00550D35">
        <w:rPr>
          <w:lang w:val="lv-LV"/>
        </w:rPr>
        <w:t>pamatprasmes</w:t>
      </w:r>
      <w:proofErr w:type="spellEnd"/>
      <w:r w:rsidRPr="00550D35">
        <w:rPr>
          <w:lang w:val="lv-LV"/>
        </w:rPr>
        <w:t xml:space="preserve"> gan stimulējot augsta līmeņa digitālo prasmju attīstības pieeju, gan arī attīstot uzņēmumu digitālās spējas, investējot darbinieku digitālo prasmju uzlabošanā.</w:t>
      </w:r>
    </w:p>
    <w:p w14:paraId="2383C421" w14:textId="77777777" w:rsidR="00145F2B" w:rsidRPr="00550D35" w:rsidRDefault="00145F2B" w:rsidP="00145F2B">
      <w:pPr>
        <w:rPr>
          <w:b/>
          <w:iCs/>
          <w:lang w:val="lv-LV"/>
        </w:rPr>
      </w:pPr>
      <w:r w:rsidRPr="00550D35">
        <w:rPr>
          <w:lang w:val="lv-LV"/>
        </w:rPr>
        <w:t>Digitālās vārtejas regula</w:t>
      </w:r>
      <w:r w:rsidRPr="00550D35">
        <w:rPr>
          <w:vertAlign w:val="superscript"/>
          <w:lang w:val="lv-LV"/>
        </w:rPr>
        <w:footnoteReference w:id="80"/>
      </w:r>
      <w:r w:rsidRPr="00550D35">
        <w:rPr>
          <w:lang w:val="lv-LV"/>
        </w:rPr>
        <w:t xml:space="preserve"> </w:t>
      </w:r>
      <w:r w:rsidRPr="00550D35">
        <w:rPr>
          <w:iCs/>
          <w:lang w:val="lv-LV"/>
        </w:rPr>
        <w:t xml:space="preserve">izvirza virkni prasību, kas būtiski ietekmē digitālo pakalpojumu attīstību Latvijā. Prasības nodrošināt pārrobežu pieejamību pakalpojumiem un procedūrām, kā arī pārrobežu pieejamību palīdzības un problēmu risināšanas pakalpojumiem rada jaunus izaicinājumus digitālo pakalpojumu infrastruktūrai un iestādēm – publisko pakalpojumu turētājām. Visi ceļvedī Latvijai minētie pasākumi katrs savā veidā ir vērsti </w:t>
      </w:r>
      <w:r w:rsidRPr="00550D35">
        <w:rPr>
          <w:lang w:val="lv-LV"/>
        </w:rPr>
        <w:t>un</w:t>
      </w:r>
      <w:r w:rsidRPr="00550D35">
        <w:rPr>
          <w:iCs/>
          <w:lang w:val="lv-LV"/>
        </w:rPr>
        <w:t xml:space="preserve"> dod ieguldījumu Dekādes mērķu sasniegšanā. </w:t>
      </w:r>
    </w:p>
    <w:p w14:paraId="1107FCD5" w14:textId="77777777" w:rsidR="00145F2B" w:rsidRPr="00550D35" w:rsidRDefault="00145F2B" w:rsidP="00145F2B">
      <w:pPr>
        <w:pStyle w:val="Heading2"/>
        <w:rPr>
          <w:lang w:val="lv-LV"/>
        </w:rPr>
      </w:pPr>
      <w:r w:rsidRPr="00550D35">
        <w:rPr>
          <w:lang w:val="lv-LV"/>
        </w:rPr>
        <w:t>Ieinteresēto personu atsauksmes</w:t>
      </w:r>
    </w:p>
    <w:p w14:paraId="7A7B3EDB" w14:textId="77777777" w:rsidR="00145F2B" w:rsidRDefault="00145F2B" w:rsidP="00145F2B">
      <w:pPr>
        <w:rPr>
          <w:lang w:val="lv-LV"/>
        </w:rPr>
      </w:pPr>
      <w:r w:rsidRPr="00550D35">
        <w:rPr>
          <w:lang w:val="lv-LV"/>
        </w:rPr>
        <w:t xml:space="preserve">Par KPI “Galvenie publiskie pakalpojumi iedzīvotājiem” </w:t>
      </w:r>
      <w:r>
        <w:rPr>
          <w:lang w:val="lv-LV"/>
        </w:rPr>
        <w:t>ir saņemta Latvijas Pašvaldību savienības</w:t>
      </w:r>
      <w:r w:rsidRPr="00550D35">
        <w:rPr>
          <w:lang w:val="lv-LV"/>
        </w:rPr>
        <w:t xml:space="preserve"> atsauksm</w:t>
      </w:r>
      <w:r>
        <w:rPr>
          <w:lang w:val="lv-LV"/>
        </w:rPr>
        <w:t xml:space="preserve">e. </w:t>
      </w:r>
      <w:r>
        <w:rPr>
          <w:lang w:val="lv-LV" w:eastAsia="lv-LV"/>
        </w:rPr>
        <w:t xml:space="preserve">Publiskās pārvaldes </w:t>
      </w:r>
      <w:r w:rsidRPr="1E0F2609">
        <w:rPr>
          <w:lang w:val="lv-LV" w:eastAsia="lv-LV"/>
        </w:rPr>
        <w:t xml:space="preserve">lielākais partneris publisko pakalpojumu jomā - Latvijas </w:t>
      </w:r>
      <w:r>
        <w:rPr>
          <w:lang w:val="lv-LV" w:eastAsia="lv-LV"/>
        </w:rPr>
        <w:t>P</w:t>
      </w:r>
      <w:r w:rsidRPr="1E0F2609">
        <w:rPr>
          <w:lang w:val="lv-LV" w:eastAsia="lv-LV"/>
        </w:rPr>
        <w:t>ašvaldību savienība, kas pārstāv 41 no 43 Latvijas pašvaldībām,</w:t>
      </w:r>
      <w:r>
        <w:rPr>
          <w:lang w:val="lv-LV" w:eastAsia="lv-LV"/>
        </w:rPr>
        <w:t xml:space="preserve"> kopumā atbalstot ceļvedi Latvijai, </w:t>
      </w:r>
      <w:r w:rsidRPr="1E0F2609">
        <w:rPr>
          <w:lang w:val="lv-LV" w:eastAsia="lv-LV"/>
        </w:rPr>
        <w:t xml:space="preserve"> </w:t>
      </w:r>
      <w:r>
        <w:rPr>
          <w:lang w:val="lv-LV" w:eastAsia="lv-LV"/>
        </w:rPr>
        <w:t>ir norādījusi uz ceļvedī Latvijai sniegtās informācijas ierobežotību attiecībā uz rīcības plānojumu, t.sk., publisko pakalpojumu jomā, virzībā uz Digitālās dekādes mērķiem 2028.-2030.gada periodā. Pēc atsauksmes saņemšanas ceļvedis Latvijai ir papildināts ar informāciju</w:t>
      </w:r>
      <w:r w:rsidRPr="001B0210">
        <w:rPr>
          <w:lang w:val="lv-LV"/>
        </w:rPr>
        <w:t xml:space="preserve"> </w:t>
      </w:r>
      <w:r>
        <w:rPr>
          <w:lang w:val="lv-LV"/>
        </w:rPr>
        <w:t>norādot, ka 2023. gadā turpinās rīcības plānošana 2021.-2027.gada</w:t>
      </w:r>
      <w:r w:rsidRPr="0094211C">
        <w:rPr>
          <w:lang w:val="lv-LV"/>
        </w:rPr>
        <w:t xml:space="preserve"> </w:t>
      </w:r>
      <w:r>
        <w:rPr>
          <w:lang w:val="lv-LV"/>
        </w:rPr>
        <w:t xml:space="preserve">plānošanas periodam. </w:t>
      </w:r>
      <w:r w:rsidRPr="1E0F2609">
        <w:rPr>
          <w:lang w:val="lv-LV"/>
        </w:rPr>
        <w:t xml:space="preserve">Daudzi nozaru projekti šī dokumenta sagatavošanas brīdī atrodas plānošanas un saskaņošanas fāzē, tāpēc </w:t>
      </w:r>
      <w:r>
        <w:rPr>
          <w:lang w:val="lv-LV"/>
        </w:rPr>
        <w:t>pilnīgu informāciju par plānoto rīcību sniegt</w:t>
      </w:r>
      <w:r w:rsidRPr="1E0F2609">
        <w:rPr>
          <w:lang w:val="lv-LV"/>
        </w:rPr>
        <w:t xml:space="preserve"> nav iespējams</w:t>
      </w:r>
      <w:r>
        <w:rPr>
          <w:lang w:val="lv-LV"/>
        </w:rPr>
        <w:t>, savukārt, detalizēta politikas plānošana 2028.-2030.gadam nav uzsākta. Veicot ceļveža Latvijai</w:t>
      </w:r>
      <w:r w:rsidRPr="1E0F2609">
        <w:rPr>
          <w:lang w:val="lv-LV"/>
        </w:rPr>
        <w:t xml:space="preserve"> </w:t>
      </w:r>
      <w:r>
        <w:rPr>
          <w:lang w:val="lv-LV"/>
        </w:rPr>
        <w:t>atjaunināšanu</w:t>
      </w:r>
      <w:r w:rsidRPr="1E0F2609">
        <w:rPr>
          <w:lang w:val="lv-LV"/>
        </w:rPr>
        <w:t xml:space="preserve"> 2025.gadā</w:t>
      </w:r>
      <w:r>
        <w:rPr>
          <w:lang w:val="lv-LV"/>
        </w:rPr>
        <w:t>, informācija</w:t>
      </w:r>
      <w:r w:rsidRPr="1E0F2609">
        <w:rPr>
          <w:lang w:val="lv-LV"/>
        </w:rPr>
        <w:t xml:space="preserve"> </w:t>
      </w:r>
      <w:r>
        <w:rPr>
          <w:lang w:val="lv-LV"/>
        </w:rPr>
        <w:t xml:space="preserve">par plānoto rīcību </w:t>
      </w:r>
      <w:r w:rsidRPr="1E0F2609">
        <w:rPr>
          <w:lang w:val="lv-LV"/>
        </w:rPr>
        <w:t>tiks precizēt</w:t>
      </w:r>
      <w:r>
        <w:rPr>
          <w:lang w:val="lv-LV"/>
        </w:rPr>
        <w:t>a un papildināta</w:t>
      </w:r>
      <w:r w:rsidRPr="1E0F2609">
        <w:rPr>
          <w:lang w:val="lv-LV"/>
        </w:rPr>
        <w:t>.</w:t>
      </w:r>
    </w:p>
    <w:p w14:paraId="652762B3" w14:textId="77777777" w:rsidR="00145F2B" w:rsidRPr="009A3817" w:rsidRDefault="00145F2B" w:rsidP="00145F2B">
      <w:pPr>
        <w:rPr>
          <w:lang w:val="lv-LV"/>
        </w:rPr>
      </w:pPr>
      <w:r w:rsidRPr="009A3817">
        <w:rPr>
          <w:lang w:val="lv-LV"/>
        </w:rPr>
        <w:lastRenderedPageBreak/>
        <w:t>Saskaņā ar ikgadēja sabiedriskās domas pētījuma “Valsts pārvaldes klientu apmierinātības pētījums”</w:t>
      </w:r>
      <w:r>
        <w:rPr>
          <w:rStyle w:val="FootnoteReference"/>
          <w:lang w:val="lv-LV"/>
        </w:rPr>
        <w:footnoteReference w:id="81"/>
      </w:r>
      <w:r w:rsidRPr="009A3817">
        <w:rPr>
          <w:lang w:val="lv-LV"/>
        </w:rPr>
        <w:t xml:space="preserve"> rezultātiem 2022. gadā Latvijā, novērtējot izmaiņas valsts pārvaldē pēdējo </w:t>
      </w:r>
      <w:r>
        <w:rPr>
          <w:lang w:val="lv-LV"/>
        </w:rPr>
        <w:t xml:space="preserve">trīs </w:t>
      </w:r>
      <w:r w:rsidRPr="009A3817">
        <w:rPr>
          <w:lang w:val="lv-LV"/>
        </w:rPr>
        <w:t xml:space="preserve">gadu laikā, 39% respondentu uzskata, ka valsts pārvalde ir vienkāršojusi pakalpojumu sniegšanas, saņemšanas procedūras iedzīvotājiem. Gandrīz tikpat bieži aptaujātie (38%) piekrita, ka valsts pārvaldes iestādes sākušas vairāk sadarboties savā starpā, mazāk prasot cilvēkiem tādus datus, kas jau ir citu valsts iestāžu rīcībā. </w:t>
      </w:r>
    </w:p>
    <w:p w14:paraId="330252B5" w14:textId="77777777" w:rsidR="00145F2B" w:rsidRPr="00550D35" w:rsidRDefault="00145F2B" w:rsidP="00145F2B">
      <w:pPr>
        <w:pStyle w:val="Heading2"/>
        <w:rPr>
          <w:lang w:val="lv-LV"/>
        </w:rPr>
      </w:pPr>
      <w:r w:rsidRPr="00550D35">
        <w:rPr>
          <w:lang w:val="lv-LV"/>
        </w:rPr>
        <w:t>Vispārējā ietekme un secinājumi</w:t>
      </w:r>
    </w:p>
    <w:p w14:paraId="7B2BAFE2" w14:textId="77777777" w:rsidR="00145F2B" w:rsidRPr="00550D35" w:rsidRDefault="00145F2B" w:rsidP="00145F2B">
      <w:pPr>
        <w:rPr>
          <w:lang w:val="lv-LV"/>
        </w:rPr>
      </w:pPr>
      <w:r w:rsidRPr="00550D35">
        <w:rPr>
          <w:lang w:val="lv-LV"/>
        </w:rPr>
        <w:t xml:space="preserve">Galvenie publiskie pakalpojumi un ar tiem saistītie procesi ir mezgla punkts, kas apvieno visus Dekādes programmas mērķus un </w:t>
      </w:r>
      <w:proofErr w:type="spellStart"/>
      <w:r w:rsidRPr="00550D35">
        <w:rPr>
          <w:lang w:val="lv-LV"/>
        </w:rPr>
        <w:t>mērķrādītājus</w:t>
      </w:r>
      <w:proofErr w:type="spellEnd"/>
      <w:r w:rsidRPr="00550D35">
        <w:rPr>
          <w:lang w:val="lv-LV"/>
        </w:rPr>
        <w:t xml:space="preserve">. Pakalpojumi tiek pārveidoti, lai to centrā būtu cilvēks. Pakalpojumi ir vērsti uz katra indivīda tiesību realizāciju. Indivīda komunikācija ar valsti tiek padarīta iespējami droša un ir paredzēti pasākumi fizisko personu datu aizsardzībai. Lai cilvēki varētu izmantot valsts pakalpojumus digitālā formā, ir plānoti pasākumi digitālo prasmju stiprināšanai un pakalpojumu vides pilnveidošanai, cita starpā nodrošinot arī konsultācijas un pieeju tehniskajiem līdzekļiem un sakaru kanāliem. </w:t>
      </w:r>
    </w:p>
    <w:p w14:paraId="560771E7" w14:textId="77777777" w:rsidR="00145F2B" w:rsidRPr="00550D35" w:rsidRDefault="00145F2B" w:rsidP="00145F2B">
      <w:pPr>
        <w:rPr>
          <w:lang w:val="lv-LV"/>
        </w:rPr>
      </w:pPr>
      <w:r w:rsidRPr="00550D35">
        <w:rPr>
          <w:lang w:val="lv-LV"/>
        </w:rPr>
        <w:t xml:space="preserve">Publiskie pakalpojumi ir cieši saistīti ar valsts pārvaldes iestāžu funkciju izpildi. Tie ir viens no funkciju izpildes rezultātiem un tiem ir tieša un individuāla saskare ar cilvēku. Tas nozīmē, ka lielākā daļa iestāžu darbu atbalstošo informācijas sistēmu pilnveidojumu arī būs vērsta uz cilvēku un nodrošinās vai nu iestādes darbu pakalpojumu sagatavošanā vai pakalpojumu pieprasīšanas/piegādes procesus. </w:t>
      </w:r>
    </w:p>
    <w:p w14:paraId="76A98E0C" w14:textId="77777777" w:rsidR="00145F2B" w:rsidRPr="00550D35" w:rsidRDefault="00145F2B" w:rsidP="00145F2B">
      <w:pPr>
        <w:rPr>
          <w:lang w:val="lv-LV"/>
        </w:rPr>
      </w:pPr>
      <w:r w:rsidRPr="00550D35">
        <w:rPr>
          <w:lang w:val="lv-LV"/>
        </w:rPr>
        <w:t>Galveno publisko pakalpojumu pieejamības nodrošināšana digitālā formā ir cieši saistīta ar jautājumiem, kas skar elektronisko identifikāciju, t.i. Eiropas digitālais identitātes maks un citu elektroniskās identifikācijas līdzekļu ieviešana, apmācību programmas, kas vērstas gan uz digitālās plaisas mazināšanu, gan IT speciālistu apmācību.</w:t>
      </w:r>
    </w:p>
    <w:p w14:paraId="4CE25015" w14:textId="349F7E71" w:rsidR="009A49FF" w:rsidRPr="00550D35" w:rsidRDefault="00145F2B" w:rsidP="009A49FF">
      <w:pPr>
        <w:rPr>
          <w:lang w:val="lv-LV"/>
        </w:rPr>
      </w:pPr>
      <w:r w:rsidRPr="00550D35">
        <w:rPr>
          <w:lang w:val="lv-LV"/>
        </w:rPr>
        <w:t xml:space="preserve">Nodaļā KPI “Galvenie </w:t>
      </w:r>
      <w:r w:rsidR="007A7221">
        <w:rPr>
          <w:lang w:val="lv-LV"/>
        </w:rPr>
        <w:t>publ</w:t>
      </w:r>
      <w:r w:rsidRPr="00550D35">
        <w:rPr>
          <w:lang w:val="lv-LV"/>
        </w:rPr>
        <w:t xml:space="preserve">iskie pakalpojumi iedzīvotājiem” aprakstītā politika un pasākumi sniegs ieguldījumu turpinot paātrināt centienus </w:t>
      </w:r>
      <w:proofErr w:type="spellStart"/>
      <w:r w:rsidRPr="00550D35">
        <w:rPr>
          <w:lang w:val="lv-LV"/>
        </w:rPr>
        <w:t>digitalizēt</w:t>
      </w:r>
      <w:proofErr w:type="spellEnd"/>
      <w:r w:rsidRPr="00550D35">
        <w:rPr>
          <w:lang w:val="lv-LV"/>
        </w:rPr>
        <w:t xml:space="preserve"> publiskos pakalpojumus, un turpinot digitālo publisko pakalpojumu attīstīšanu gan iedzīvotājiem, gan uzņēmumiem kā tas norādīts EK ieteikumā Digitālās dekādes 2023.gada ziņojumā par Latviju.</w:t>
      </w:r>
      <w:bookmarkStart w:id="39" w:name="_Toc135226660"/>
      <w:r w:rsidR="00E20450">
        <w:rPr>
          <w:lang w:val="lv-LV"/>
        </w:rPr>
        <w:t xml:space="preserve"> </w:t>
      </w:r>
    </w:p>
    <w:p w14:paraId="3C725FEF" w14:textId="09BE07C4" w:rsidR="00EC671C" w:rsidRPr="00550D35" w:rsidRDefault="00EC671C" w:rsidP="00B52E9B">
      <w:pPr>
        <w:pStyle w:val="Heading1"/>
      </w:pPr>
      <w:bookmarkStart w:id="40" w:name="_Toc155952346"/>
      <w:r w:rsidRPr="00550D35">
        <w:t xml:space="preserve">Galvenie </w:t>
      </w:r>
      <w:r w:rsidR="00003EA4">
        <w:t>p</w:t>
      </w:r>
      <w:r w:rsidR="008A1BF8">
        <w:t>ubl</w:t>
      </w:r>
      <w:r w:rsidR="008A1BF8" w:rsidRPr="00550D35">
        <w:t xml:space="preserve">iskie </w:t>
      </w:r>
      <w:r w:rsidRPr="00550D35">
        <w:t>pakalpojumi uzņēmumiem</w:t>
      </w:r>
      <w:bookmarkEnd w:id="39"/>
      <w:bookmarkEnd w:id="40"/>
    </w:p>
    <w:p w14:paraId="7A7B70EA" w14:textId="19093BE2" w:rsidR="00754257" w:rsidRPr="00550D35" w:rsidRDefault="009F0A0D" w:rsidP="00603B5A">
      <w:pPr>
        <w:pStyle w:val="mt-translation"/>
        <w:jc w:val="both"/>
        <w:rPr>
          <w:i/>
          <w:iCs/>
        </w:rPr>
      </w:pPr>
      <w:r w:rsidRPr="00550D35">
        <w:rPr>
          <w:b/>
          <w:bCs/>
          <w:i/>
          <w:iCs/>
        </w:rPr>
        <w:t>Galven</w:t>
      </w:r>
      <w:r w:rsidR="00417CD2" w:rsidRPr="00550D35">
        <w:rPr>
          <w:b/>
          <w:bCs/>
          <w:i/>
          <w:iCs/>
        </w:rPr>
        <w:t>o</w:t>
      </w:r>
      <w:r w:rsidRPr="00550D35">
        <w:rPr>
          <w:b/>
          <w:bCs/>
          <w:i/>
          <w:iCs/>
        </w:rPr>
        <w:t xml:space="preserve"> </w:t>
      </w:r>
      <w:r w:rsidR="00417CD2" w:rsidRPr="00550D35">
        <w:rPr>
          <w:b/>
          <w:bCs/>
          <w:i/>
          <w:iCs/>
        </w:rPr>
        <w:t>publisko</w:t>
      </w:r>
      <w:r w:rsidRPr="00550D35">
        <w:rPr>
          <w:b/>
          <w:bCs/>
          <w:i/>
          <w:iCs/>
        </w:rPr>
        <w:t xml:space="preserve"> paka</w:t>
      </w:r>
      <w:r w:rsidR="00603B5A" w:rsidRPr="00550D35">
        <w:rPr>
          <w:b/>
          <w:bCs/>
          <w:i/>
          <w:iCs/>
        </w:rPr>
        <w:t>lpojum</w:t>
      </w:r>
      <w:r w:rsidR="00417CD2" w:rsidRPr="00550D35">
        <w:rPr>
          <w:b/>
          <w:bCs/>
          <w:i/>
          <w:iCs/>
        </w:rPr>
        <w:t>u</w:t>
      </w:r>
      <w:r w:rsidR="00204CE1" w:rsidRPr="00550D35">
        <w:rPr>
          <w:b/>
          <w:bCs/>
          <w:i/>
          <w:iCs/>
        </w:rPr>
        <w:t xml:space="preserve"> sniegšana</w:t>
      </w:r>
      <w:r w:rsidR="00603B5A" w:rsidRPr="00550D35">
        <w:rPr>
          <w:b/>
          <w:bCs/>
          <w:i/>
          <w:iCs/>
        </w:rPr>
        <w:t xml:space="preserve"> uzņēmumiem</w:t>
      </w:r>
      <w:r w:rsidR="00204CE1" w:rsidRPr="00550D35">
        <w:rPr>
          <w:b/>
          <w:bCs/>
          <w:i/>
          <w:iCs/>
        </w:rPr>
        <w:t xml:space="preserve"> tiešsaistē</w:t>
      </w:r>
      <w:r w:rsidR="00603B5A" w:rsidRPr="00550D35">
        <w:rPr>
          <w:b/>
          <w:bCs/>
          <w:i/>
          <w:iCs/>
        </w:rPr>
        <w:t xml:space="preserve">, ko </w:t>
      </w:r>
      <w:r w:rsidR="00754257" w:rsidRPr="00550D35">
        <w:rPr>
          <w:i/>
          <w:iCs/>
        </w:rPr>
        <w:t xml:space="preserve">mēra </w:t>
      </w:r>
      <w:r w:rsidR="00417CD2" w:rsidRPr="00550D35">
        <w:rPr>
          <w:i/>
          <w:iCs/>
        </w:rPr>
        <w:t xml:space="preserve">pēc tā, cik lielu administratīvo procedūru īpatsvaru </w:t>
      </w:r>
      <w:r w:rsidR="00030812" w:rsidRPr="00550D35">
        <w:rPr>
          <w:i/>
          <w:iCs/>
        </w:rPr>
        <w:t>komercdarbīb</w:t>
      </w:r>
      <w:r w:rsidR="00417CD2" w:rsidRPr="00550D35">
        <w:rPr>
          <w:i/>
          <w:iCs/>
        </w:rPr>
        <w:t>as sākšanas un parastu saimniecisko darbību veikšanas gadījumā var pilnībā izpildīt tiešsaistē</w:t>
      </w:r>
      <w:r w:rsidR="00204CE1" w:rsidRPr="00550D35">
        <w:rPr>
          <w:i/>
          <w:iCs/>
        </w:rPr>
        <w:t>.</w:t>
      </w:r>
    </w:p>
    <w:p w14:paraId="52FBEBEC" w14:textId="77777777" w:rsidR="00A44152" w:rsidRPr="00550D35" w:rsidRDefault="00A44152" w:rsidP="00A44152">
      <w:pPr>
        <w:pStyle w:val="Heading2"/>
        <w:rPr>
          <w:lang w:val="lv-LV"/>
        </w:rPr>
      </w:pPr>
      <w:r w:rsidRPr="00550D35">
        <w:rPr>
          <w:lang w:val="lv-LV"/>
        </w:rPr>
        <w:t>Analīze par pašreizējo stāvokli digitālās pārveides jomā dalībvalsts kontekstā</w:t>
      </w:r>
    </w:p>
    <w:p w14:paraId="2596AA48" w14:textId="77347FC6" w:rsidR="00A44152" w:rsidRPr="00550D35" w:rsidRDefault="00A44152" w:rsidP="00A44152">
      <w:pPr>
        <w:rPr>
          <w:lang w:val="lv-LV"/>
        </w:rPr>
      </w:pPr>
      <w:r w:rsidRPr="00550D35">
        <w:rPr>
          <w:lang w:val="lv-LV"/>
        </w:rPr>
        <w:t xml:space="preserve">Saskaņā ar Digitālās dekādes 2023.gada ziņojumu par Latviju valsts veikums digitālo publisko pakalpojumu jomā pozitīvi veicina Digitālās desmitgades mērķu sasniegšanu. Publiskos pakalpojumus izmanto 77% interneta lietotāju, pārsniedzot ES </w:t>
      </w:r>
      <w:r w:rsidRPr="00550D35">
        <w:rPr>
          <w:lang w:val="lv-LV"/>
        </w:rPr>
        <w:lastRenderedPageBreak/>
        <w:t xml:space="preserve">vidējo rādītāju 74%. Digitālo publisko pakalpojumu pieejamības jomā Latvija pārspēj ES vidējo līmeni attiecībā uz galvenajiem tiešsaistes pakalpojumu sniegšanas aspektiem (iepriekš aizpildītas veidlapas, </w:t>
      </w:r>
      <w:proofErr w:type="spellStart"/>
      <w:r w:rsidRPr="00550D35">
        <w:rPr>
          <w:lang w:val="lv-LV"/>
        </w:rPr>
        <w:t>pārredzamība</w:t>
      </w:r>
      <w:proofErr w:type="spellEnd"/>
      <w:r w:rsidRPr="00550D35">
        <w:rPr>
          <w:lang w:val="lv-LV"/>
        </w:rPr>
        <w:t xml:space="preserve">, lietotāju atbalsts un mobilitāte), kā arī attiecībā uz piekļuvi e-veselības ierakstiem. Latvija </w:t>
      </w:r>
      <w:r w:rsidR="007A7221">
        <w:rPr>
          <w:lang w:val="lv-LV"/>
        </w:rPr>
        <w:t>publ</w:t>
      </w:r>
      <w:r w:rsidRPr="00550D35">
        <w:rPr>
          <w:lang w:val="lv-LV"/>
        </w:rPr>
        <w:t xml:space="preserve">isko pakalpojumu </w:t>
      </w:r>
      <w:proofErr w:type="spellStart"/>
      <w:r w:rsidRPr="00550D35">
        <w:rPr>
          <w:lang w:val="lv-LV"/>
        </w:rPr>
        <w:t>digitalizācijas</w:t>
      </w:r>
      <w:proofErr w:type="spellEnd"/>
      <w:r w:rsidRPr="00550D35">
        <w:rPr>
          <w:lang w:val="lv-LV"/>
        </w:rPr>
        <w:t xml:space="preserve"> ziņā ir viena no vadošajām dalībvalstīm. Valsts visos šīs jomas rādītājos pārsniedz ES vidējo līmeni, ievieš un sniedz inovatīvus digitālos publiskos pakalpojumus. </w:t>
      </w:r>
      <w:r w:rsidR="00481982">
        <w:rPr>
          <w:lang w:val="lv-LV"/>
        </w:rPr>
        <w:t>Publ</w:t>
      </w:r>
      <w:r w:rsidRPr="00550D35">
        <w:rPr>
          <w:lang w:val="lv-LV"/>
        </w:rPr>
        <w:t xml:space="preserve">iskie pakalpojumi gan privātpersonām, gan uzņēmumiem Latvijā ir augsti </w:t>
      </w:r>
      <w:proofErr w:type="spellStart"/>
      <w:r w:rsidRPr="00550D35">
        <w:rPr>
          <w:lang w:val="lv-LV"/>
        </w:rPr>
        <w:t>digitalizēti</w:t>
      </w:r>
      <w:proofErr w:type="spellEnd"/>
      <w:r w:rsidRPr="00550D35">
        <w:rPr>
          <w:lang w:val="lv-LV"/>
        </w:rPr>
        <w:t xml:space="preserve">. Ar rezultātu 86 digitālajos </w:t>
      </w:r>
      <w:r w:rsidR="00481982">
        <w:rPr>
          <w:lang w:val="lv-LV"/>
        </w:rPr>
        <w:t>publ</w:t>
      </w:r>
      <w:r w:rsidRPr="00550D35">
        <w:rPr>
          <w:lang w:val="lv-LV"/>
        </w:rPr>
        <w:t>iskajos pakalpojumos uzņēmumiem valsts sniegums pārsniedz ES vidējiem rādītāju 84%, tādējādi pozitīvi sekmējot 2030. gada digitālo pakalpojumu sasniegšanu.</w:t>
      </w:r>
    </w:p>
    <w:p w14:paraId="200F5510" w14:textId="77777777" w:rsidR="00A44152" w:rsidRPr="00550D35" w:rsidRDefault="00A44152" w:rsidP="00A44152">
      <w:pPr>
        <w:rPr>
          <w:lang w:val="lv-LV"/>
        </w:rPr>
      </w:pPr>
      <w:r w:rsidRPr="00550D35">
        <w:rPr>
          <w:lang w:val="lv-LV"/>
        </w:rPr>
        <w:t xml:space="preserve">Digitālās dekādes 2023.gada ziņojumā par Latviju iekļauts EK ieteikums Latvijai turpināt paātrināt centienus </w:t>
      </w:r>
      <w:proofErr w:type="spellStart"/>
      <w:r w:rsidRPr="00550D35">
        <w:rPr>
          <w:lang w:val="lv-LV"/>
        </w:rPr>
        <w:t>digitalizēt</w:t>
      </w:r>
      <w:proofErr w:type="spellEnd"/>
      <w:r w:rsidRPr="00550D35">
        <w:rPr>
          <w:lang w:val="lv-LV"/>
        </w:rPr>
        <w:t xml:space="preserve"> publiskos pakalpojumus, jo īpaši turpinot darbu, lai elektroniskie veselības ieraksti būtu viegli pieejami, un jāturpina digitālo publisko pakalpojumu attīstīšana gan iedzīvotājiem, gan uzņēmumiem.</w:t>
      </w:r>
    </w:p>
    <w:p w14:paraId="073F168A" w14:textId="77777777" w:rsidR="00A44152" w:rsidRDefault="00A44152" w:rsidP="00A44152">
      <w:pPr>
        <w:rPr>
          <w:lang w:val="lv-LV"/>
        </w:rPr>
      </w:pPr>
      <w:r w:rsidRPr="00550D35">
        <w:rPr>
          <w:lang w:val="lv-LV"/>
        </w:rPr>
        <w:t xml:space="preserve">Latvijā ir vienota </w:t>
      </w:r>
      <w:proofErr w:type="spellStart"/>
      <w:r w:rsidRPr="00550D35">
        <w:rPr>
          <w:lang w:val="lv-LV"/>
        </w:rPr>
        <w:t>rīcībpolitika</w:t>
      </w:r>
      <w:proofErr w:type="spellEnd"/>
      <w:r w:rsidRPr="00550D35">
        <w:rPr>
          <w:lang w:val="lv-LV"/>
        </w:rPr>
        <w:t xml:space="preserve"> publisko pakalpojumu jomā publiskajiem pakalpojumiem iedzīvotājiem un komersantiem, tā ir vērsta uz publisko pakalpojumu sniegšanu lietotājam maksimāli ērtā veidā neatkarīgi no tā vai šis lietotājs ir iedzīvotājs vai komersants. Galvenie </w:t>
      </w:r>
      <w:proofErr w:type="spellStart"/>
      <w:r w:rsidRPr="00550D35">
        <w:rPr>
          <w:lang w:val="lv-LV"/>
        </w:rPr>
        <w:t>rīcībpolitikas</w:t>
      </w:r>
      <w:proofErr w:type="spellEnd"/>
      <w:r w:rsidRPr="00550D35">
        <w:rPr>
          <w:lang w:val="lv-LV"/>
        </w:rPr>
        <w:t xml:space="preserve"> dokumenti ir DTP2027 un Valsts pārvaldes modernizācijas plāns 2023.-2027. gadam.</w:t>
      </w:r>
    </w:p>
    <w:p w14:paraId="23B3C4D5" w14:textId="79D62B3D" w:rsidR="003A5D25" w:rsidRDefault="003A5D25" w:rsidP="003A5D25">
      <w:pPr>
        <w:rPr>
          <w:lang w:val="lv-LV"/>
        </w:rPr>
      </w:pPr>
      <w:r>
        <w:rPr>
          <w:lang w:val="lv-LV"/>
        </w:rPr>
        <w:t xml:space="preserve">Arī </w:t>
      </w:r>
      <w:r w:rsidRPr="00032DBA">
        <w:rPr>
          <w:lang w:val="lv-LV"/>
        </w:rPr>
        <w:t xml:space="preserve">Latvijas Kosmosa stratēģija 2021.-2027. gadam paredz mērķus, kas ir vērsti uz </w:t>
      </w:r>
      <w:proofErr w:type="spellStart"/>
      <w:r w:rsidRPr="00032DBA">
        <w:rPr>
          <w:lang w:val="lv-LV"/>
        </w:rPr>
        <w:t>satelītdatu</w:t>
      </w:r>
      <w:proofErr w:type="spellEnd"/>
      <w:r w:rsidRPr="00032DBA">
        <w:rPr>
          <w:lang w:val="lv-LV"/>
        </w:rPr>
        <w:t xml:space="preserve"> lietojumu un pakalpojumu integrēšanu publiskajā sektorā pašvaldību un valsts līmenī.</w:t>
      </w:r>
    </w:p>
    <w:p w14:paraId="1A5069CD" w14:textId="49B46EDF" w:rsidR="00A44152" w:rsidRDefault="00A44152" w:rsidP="00A44152">
      <w:pPr>
        <w:rPr>
          <w:lang w:val="lv-LV"/>
        </w:rPr>
      </w:pPr>
      <w:r w:rsidRPr="1E0F2609">
        <w:rPr>
          <w:lang w:val="lv-LV"/>
        </w:rPr>
        <w:t xml:space="preserve">Daudzi nozaru projekti </w:t>
      </w:r>
      <w:r w:rsidR="003A5D25">
        <w:rPr>
          <w:lang w:val="lv-LV"/>
        </w:rPr>
        <w:t>ceļveža Latvijai</w:t>
      </w:r>
      <w:r w:rsidRPr="1E0F2609">
        <w:rPr>
          <w:lang w:val="lv-LV"/>
        </w:rPr>
        <w:t xml:space="preserve"> sagatavošanas </w:t>
      </w:r>
      <w:r w:rsidR="003A5D25">
        <w:rPr>
          <w:lang w:val="lv-LV"/>
        </w:rPr>
        <w:t>laikā</w:t>
      </w:r>
      <w:r w:rsidRPr="1E0F2609">
        <w:rPr>
          <w:lang w:val="lv-LV"/>
        </w:rPr>
        <w:t xml:space="preserve"> atrodas plānošanas un saskaņošanas fāzē, tāpēc pr</w:t>
      </w:r>
      <w:r>
        <w:rPr>
          <w:lang w:val="lv-LV"/>
        </w:rPr>
        <w:t>e</w:t>
      </w:r>
      <w:r w:rsidRPr="1E0F2609">
        <w:rPr>
          <w:lang w:val="lv-LV"/>
        </w:rPr>
        <w:t>cīzi noteikt trūkstošo investīc</w:t>
      </w:r>
      <w:r>
        <w:rPr>
          <w:lang w:val="lv-LV"/>
        </w:rPr>
        <w:t>i</w:t>
      </w:r>
      <w:r w:rsidRPr="1E0F2609">
        <w:rPr>
          <w:lang w:val="lv-LV"/>
        </w:rPr>
        <w:t xml:space="preserve">ju apjomu nav iespējams. </w:t>
      </w:r>
      <w:r>
        <w:rPr>
          <w:lang w:val="lv-LV"/>
        </w:rPr>
        <w:t>Informācija par projektiem</w:t>
      </w:r>
      <w:r w:rsidRPr="1E0F2609">
        <w:rPr>
          <w:lang w:val="lv-LV"/>
        </w:rPr>
        <w:t xml:space="preserve"> tiks precizēt</w:t>
      </w:r>
      <w:r>
        <w:rPr>
          <w:lang w:val="lv-LV"/>
        </w:rPr>
        <w:t>a</w:t>
      </w:r>
      <w:r w:rsidRPr="1E0F2609">
        <w:rPr>
          <w:lang w:val="lv-LV"/>
        </w:rPr>
        <w:t xml:space="preserve"> </w:t>
      </w:r>
      <w:r>
        <w:rPr>
          <w:lang w:val="lv-LV"/>
        </w:rPr>
        <w:t>atjauninot ceļvedi Latvijai</w:t>
      </w:r>
      <w:r w:rsidRPr="1E0F2609">
        <w:rPr>
          <w:lang w:val="lv-LV"/>
        </w:rPr>
        <w:t>.</w:t>
      </w:r>
    </w:p>
    <w:p w14:paraId="19F7A3C2" w14:textId="77777777" w:rsidR="00A44152" w:rsidRPr="00550D35" w:rsidRDefault="00A44152" w:rsidP="00A44152">
      <w:pPr>
        <w:rPr>
          <w:lang w:val="lv-LV"/>
        </w:rPr>
      </w:pPr>
    </w:p>
    <w:p w14:paraId="4C520B7D" w14:textId="77777777" w:rsidR="00A44152" w:rsidRPr="00550D35" w:rsidRDefault="00A44152" w:rsidP="00A44152">
      <w:pPr>
        <w:rPr>
          <w:b/>
          <w:bCs/>
          <w:lang w:val="lv-LV"/>
        </w:rPr>
      </w:pPr>
      <w:r w:rsidRPr="00550D35">
        <w:rPr>
          <w:b/>
          <w:bCs/>
          <w:lang w:val="lv-LV"/>
        </w:rPr>
        <w:t>Latvijas stiprās puses</w:t>
      </w:r>
    </w:p>
    <w:p w14:paraId="028F953A" w14:textId="77777777" w:rsidR="00A44152" w:rsidRPr="00550D35" w:rsidRDefault="00A44152" w:rsidP="00A44152">
      <w:pPr>
        <w:rPr>
          <w:lang w:val="lv-LV"/>
        </w:rPr>
      </w:pPr>
      <w:r w:rsidRPr="00550D35">
        <w:rPr>
          <w:lang w:val="lv-LV"/>
        </w:rPr>
        <w:t>Lūdzam skatīt informāciju par stiprajām pusēm Latvijas ceļveža 13.1. punktā.</w:t>
      </w:r>
    </w:p>
    <w:p w14:paraId="595C8B3D" w14:textId="77777777" w:rsidR="00A44152" w:rsidRPr="00550D35" w:rsidRDefault="00A44152" w:rsidP="00A44152">
      <w:pPr>
        <w:rPr>
          <w:lang w:val="lv-LV"/>
        </w:rPr>
      </w:pPr>
    </w:p>
    <w:p w14:paraId="4E5693B4" w14:textId="77777777" w:rsidR="00A44152" w:rsidRPr="00550D35" w:rsidRDefault="00A44152" w:rsidP="00A44152">
      <w:pPr>
        <w:rPr>
          <w:b/>
          <w:bCs/>
          <w:lang w:val="lv-LV"/>
        </w:rPr>
      </w:pPr>
      <w:r w:rsidRPr="00550D35">
        <w:rPr>
          <w:b/>
          <w:bCs/>
          <w:lang w:val="lv-LV"/>
        </w:rPr>
        <w:t>Izaicinājumi</w:t>
      </w:r>
    </w:p>
    <w:p w14:paraId="6A6D4A7D" w14:textId="77777777" w:rsidR="00A44152" w:rsidRPr="00550D35" w:rsidRDefault="00A44152" w:rsidP="00A44152">
      <w:pPr>
        <w:rPr>
          <w:lang w:val="lv-LV"/>
        </w:rPr>
      </w:pPr>
      <w:r w:rsidRPr="00550D35">
        <w:rPr>
          <w:lang w:val="lv-LV"/>
        </w:rPr>
        <w:t>Lūdzam skatīt informāciju par izaicinājumiem Latvijas ceļveža 13.1. punktā.</w:t>
      </w:r>
    </w:p>
    <w:p w14:paraId="7DCF7F0A" w14:textId="77777777" w:rsidR="00A44152" w:rsidRPr="00550D35" w:rsidRDefault="00A44152" w:rsidP="00A44152">
      <w:pPr>
        <w:pStyle w:val="Heading2"/>
        <w:rPr>
          <w:lang w:val="lv-LV"/>
        </w:rPr>
      </w:pPr>
      <w:r w:rsidRPr="00550D35">
        <w:rPr>
          <w:lang w:val="lv-LV"/>
        </w:rPr>
        <w:t xml:space="preserve">Valsts prognozētā trajektorija un </w:t>
      </w:r>
      <w:proofErr w:type="spellStart"/>
      <w:r w:rsidRPr="00550D35">
        <w:rPr>
          <w:lang w:val="lv-LV"/>
        </w:rPr>
        <w:t>mērķrādītāj</w:t>
      </w:r>
      <w:r>
        <w:rPr>
          <w:lang w:val="lv-LV"/>
        </w:rPr>
        <w:t>s</w:t>
      </w:r>
      <w:proofErr w:type="spellEnd"/>
      <w:r w:rsidRPr="00550D35">
        <w:rPr>
          <w:lang w:val="lv-LV"/>
        </w:rPr>
        <w:t xml:space="preserve">, kas paredzēti, lai palīdzētu sasniegt ES digitālo </w:t>
      </w:r>
      <w:proofErr w:type="spellStart"/>
      <w:r w:rsidRPr="00550D35">
        <w:rPr>
          <w:lang w:val="lv-LV"/>
        </w:rPr>
        <w:t>mērķrādītāju</w:t>
      </w:r>
      <w:proofErr w:type="spellEnd"/>
      <w:r w:rsidRPr="00550D35">
        <w:rPr>
          <w:lang w:val="lv-LV"/>
        </w:rPr>
        <w:t xml:space="preserve"> </w:t>
      </w:r>
    </w:p>
    <w:p w14:paraId="1C499679" w14:textId="77777777" w:rsidR="00A44152" w:rsidRPr="00550D35" w:rsidRDefault="00A44152" w:rsidP="00A44152">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lang w:val="lv-LV"/>
        </w:rPr>
      </w:pPr>
      <w:r w:rsidRPr="00550D35">
        <w:rPr>
          <w:b/>
          <w:lang w:val="lv-LV"/>
        </w:rPr>
        <w:t xml:space="preserve">Nacionālā bāzes vērtība (2023)     86%; </w:t>
      </w:r>
      <w:r w:rsidRPr="00550D35">
        <w:rPr>
          <w:lang w:val="lv-LV"/>
        </w:rPr>
        <w:tab/>
      </w:r>
      <w:r w:rsidRPr="00550D35">
        <w:rPr>
          <w:b/>
          <w:lang w:val="lv-LV"/>
        </w:rPr>
        <w:t>ES bāzes vērtība (2023)  84%</w:t>
      </w:r>
    </w:p>
    <w:p w14:paraId="4E1E72E7" w14:textId="77777777" w:rsidR="00A44152" w:rsidRPr="00550D35" w:rsidRDefault="00A44152" w:rsidP="00A44152">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
          <w:lang w:val="lv-LV"/>
        </w:rPr>
      </w:pPr>
      <w:r w:rsidRPr="00550D35">
        <w:rPr>
          <w:b/>
          <w:lang w:val="lv-LV"/>
        </w:rPr>
        <w:t xml:space="preserve">Nacionālais </w:t>
      </w:r>
      <w:proofErr w:type="spellStart"/>
      <w:r w:rsidRPr="00550D35">
        <w:rPr>
          <w:b/>
          <w:lang w:val="lv-LV"/>
        </w:rPr>
        <w:t>mērķrādītājs</w:t>
      </w:r>
      <w:proofErr w:type="spellEnd"/>
      <w:r w:rsidRPr="00550D35">
        <w:rPr>
          <w:b/>
          <w:lang w:val="lv-LV"/>
        </w:rPr>
        <w:t xml:space="preserve"> (2030) 100%;   ES </w:t>
      </w:r>
      <w:proofErr w:type="spellStart"/>
      <w:r w:rsidRPr="00550D35">
        <w:rPr>
          <w:b/>
          <w:lang w:val="lv-LV"/>
        </w:rPr>
        <w:t>mērķrādītājs</w:t>
      </w:r>
      <w:proofErr w:type="spellEnd"/>
      <w:r w:rsidRPr="00550D35">
        <w:rPr>
          <w:b/>
          <w:lang w:val="lv-LV"/>
        </w:rPr>
        <w:t xml:space="preserve"> (2030)  100%</w:t>
      </w:r>
    </w:p>
    <w:p w14:paraId="012AE4AF" w14:textId="77777777" w:rsidR="00A44152" w:rsidRPr="00550D35" w:rsidRDefault="00A44152" w:rsidP="00A44152">
      <w:pPr>
        <w:pBdr>
          <w:top w:val="single" w:sz="4" w:space="1" w:color="auto"/>
          <w:left w:val="single" w:sz="4" w:space="4" w:color="auto"/>
          <w:bottom w:val="single" w:sz="4" w:space="1" w:color="auto"/>
          <w:right w:val="single" w:sz="4" w:space="4" w:color="auto"/>
        </w:pBdr>
        <w:spacing w:before="0" w:after="160" w:line="259" w:lineRule="auto"/>
        <w:ind w:firstLine="0"/>
        <w:contextualSpacing/>
        <w:jc w:val="left"/>
        <w:rPr>
          <w:bCs/>
          <w:i/>
          <w:iCs/>
          <w:lang w:val="lv-LV"/>
        </w:rPr>
      </w:pPr>
      <w:r w:rsidRPr="00550D35">
        <w:rPr>
          <w:bCs/>
          <w:i/>
          <w:iCs/>
          <w:lang w:val="lv-LV"/>
        </w:rPr>
        <w:t>Avots: Digitālās dekādes 2023.gada ziņojums par Latviju</w:t>
      </w:r>
    </w:p>
    <w:p w14:paraId="6593BC1A" w14:textId="77777777" w:rsidR="00A44152" w:rsidRPr="00550D35" w:rsidRDefault="00A44152" w:rsidP="00A44152">
      <w:pPr>
        <w:ind w:firstLine="0"/>
        <w:jc w:val="left"/>
        <w:rPr>
          <w:lang w:val="lv-LV"/>
        </w:rPr>
      </w:pPr>
    </w:p>
    <w:p w14:paraId="6FA429EE" w14:textId="1D7D5560" w:rsidR="00A44152" w:rsidRPr="006153F8" w:rsidRDefault="00A44152" w:rsidP="00A44152">
      <w:pPr>
        <w:ind w:firstLine="0"/>
        <w:jc w:val="left"/>
        <w:rPr>
          <w:b/>
          <w:bCs/>
          <w:lang w:val="lv-LV"/>
        </w:rPr>
      </w:pPr>
      <w:r w:rsidRPr="006153F8">
        <w:rPr>
          <w:b/>
          <w:bCs/>
          <w:lang w:val="lv-LV"/>
        </w:rPr>
        <w:t xml:space="preserve">Kopējais laika ietvars Dekādes mērķu sasniegšanai </w:t>
      </w:r>
    </w:p>
    <w:p w14:paraId="07E977C4" w14:textId="1060BA12" w:rsidR="00A44152" w:rsidRPr="00550D35" w:rsidRDefault="00A44152" w:rsidP="00A44152">
      <w:pPr>
        <w:rPr>
          <w:lang w:val="lv-LV"/>
        </w:rPr>
      </w:pPr>
      <w:r w:rsidRPr="00550D35">
        <w:rPr>
          <w:lang w:val="lv-LV"/>
        </w:rPr>
        <w:t>Latvijas mērķis Digitālajā dekādē attiecībā uz galvenajiem publiskajiem pakalpojumiem ir šo pakalpojumu 100% pieejamība. Prognozētā trajektorija tiks precizēta ceļveža Latvijai pārskatīšanas gaitā.</w:t>
      </w:r>
    </w:p>
    <w:tbl>
      <w:tblPr>
        <w:tblStyle w:val="TableGrid"/>
        <w:tblW w:w="8250" w:type="dxa"/>
        <w:tblInd w:w="534" w:type="dxa"/>
        <w:tblLayout w:type="fixed"/>
        <w:tblLook w:val="04A0" w:firstRow="1" w:lastRow="0" w:firstColumn="1" w:lastColumn="0" w:noHBand="0" w:noVBand="1"/>
      </w:tblPr>
      <w:tblGrid>
        <w:gridCol w:w="879"/>
        <w:gridCol w:w="850"/>
        <w:gridCol w:w="851"/>
        <w:gridCol w:w="992"/>
        <w:gridCol w:w="851"/>
        <w:gridCol w:w="850"/>
        <w:gridCol w:w="992"/>
        <w:gridCol w:w="1985"/>
      </w:tblGrid>
      <w:tr w:rsidR="00A44152" w:rsidRPr="00550D35" w14:paraId="4F637EE6" w14:textId="77777777" w:rsidTr="00BA62A0">
        <w:tc>
          <w:tcPr>
            <w:tcW w:w="879" w:type="dxa"/>
          </w:tcPr>
          <w:p w14:paraId="22A447B0" w14:textId="77777777" w:rsidR="00A44152" w:rsidRPr="00550D35" w:rsidRDefault="00A44152" w:rsidP="00BA62A0">
            <w:pPr>
              <w:pStyle w:val="Text2"/>
              <w:ind w:left="0" w:firstLine="0"/>
              <w:rPr>
                <w:sz w:val="20"/>
                <w:lang w:val="lv-LV"/>
              </w:rPr>
            </w:pPr>
            <w:r w:rsidRPr="00550D35">
              <w:rPr>
                <w:sz w:val="20"/>
                <w:lang w:val="lv-LV"/>
              </w:rPr>
              <w:t>2023</w:t>
            </w:r>
          </w:p>
        </w:tc>
        <w:tc>
          <w:tcPr>
            <w:tcW w:w="850" w:type="dxa"/>
          </w:tcPr>
          <w:p w14:paraId="135EE83B" w14:textId="77777777" w:rsidR="00A44152" w:rsidRPr="00550D35" w:rsidRDefault="00A44152" w:rsidP="00BA62A0">
            <w:pPr>
              <w:pStyle w:val="Text2"/>
              <w:ind w:left="0" w:firstLine="0"/>
              <w:rPr>
                <w:sz w:val="20"/>
                <w:lang w:val="lv-LV"/>
              </w:rPr>
            </w:pPr>
            <w:r w:rsidRPr="00550D35">
              <w:rPr>
                <w:sz w:val="20"/>
                <w:lang w:val="lv-LV"/>
              </w:rPr>
              <w:t>2024</w:t>
            </w:r>
          </w:p>
        </w:tc>
        <w:tc>
          <w:tcPr>
            <w:tcW w:w="851" w:type="dxa"/>
          </w:tcPr>
          <w:p w14:paraId="3AFFE93D" w14:textId="77777777" w:rsidR="00A44152" w:rsidRPr="00550D35" w:rsidRDefault="00A44152" w:rsidP="00BA62A0">
            <w:pPr>
              <w:pStyle w:val="Text2"/>
              <w:ind w:left="0" w:firstLine="0"/>
              <w:rPr>
                <w:sz w:val="20"/>
                <w:lang w:val="lv-LV"/>
              </w:rPr>
            </w:pPr>
            <w:r w:rsidRPr="00550D35">
              <w:rPr>
                <w:sz w:val="20"/>
                <w:lang w:val="lv-LV"/>
              </w:rPr>
              <w:t>2025</w:t>
            </w:r>
          </w:p>
        </w:tc>
        <w:tc>
          <w:tcPr>
            <w:tcW w:w="992" w:type="dxa"/>
          </w:tcPr>
          <w:p w14:paraId="06A39FC8" w14:textId="77777777" w:rsidR="00A44152" w:rsidRPr="00550D35" w:rsidRDefault="00A44152" w:rsidP="00BA62A0">
            <w:pPr>
              <w:pStyle w:val="Text2"/>
              <w:ind w:left="0" w:firstLine="0"/>
              <w:rPr>
                <w:sz w:val="20"/>
                <w:lang w:val="lv-LV"/>
              </w:rPr>
            </w:pPr>
            <w:r w:rsidRPr="00550D35">
              <w:rPr>
                <w:sz w:val="20"/>
                <w:lang w:val="lv-LV"/>
              </w:rPr>
              <w:t>2026</w:t>
            </w:r>
          </w:p>
        </w:tc>
        <w:tc>
          <w:tcPr>
            <w:tcW w:w="851" w:type="dxa"/>
          </w:tcPr>
          <w:p w14:paraId="4E356E3B" w14:textId="77777777" w:rsidR="00A44152" w:rsidRPr="00550D35" w:rsidRDefault="00A44152" w:rsidP="00BA62A0">
            <w:pPr>
              <w:pStyle w:val="Text2"/>
              <w:ind w:left="0" w:firstLine="0"/>
              <w:rPr>
                <w:sz w:val="20"/>
                <w:lang w:val="lv-LV"/>
              </w:rPr>
            </w:pPr>
            <w:r w:rsidRPr="00550D35">
              <w:rPr>
                <w:sz w:val="20"/>
                <w:lang w:val="lv-LV"/>
              </w:rPr>
              <w:t>2027</w:t>
            </w:r>
          </w:p>
        </w:tc>
        <w:tc>
          <w:tcPr>
            <w:tcW w:w="850" w:type="dxa"/>
          </w:tcPr>
          <w:p w14:paraId="72D2BE93" w14:textId="77777777" w:rsidR="00A44152" w:rsidRPr="00550D35" w:rsidRDefault="00A44152" w:rsidP="00BA62A0">
            <w:pPr>
              <w:pStyle w:val="Text2"/>
              <w:ind w:left="0" w:firstLine="0"/>
              <w:rPr>
                <w:sz w:val="20"/>
                <w:lang w:val="lv-LV"/>
              </w:rPr>
            </w:pPr>
            <w:r w:rsidRPr="00550D35">
              <w:rPr>
                <w:sz w:val="20"/>
                <w:lang w:val="lv-LV"/>
              </w:rPr>
              <w:t>2028</w:t>
            </w:r>
          </w:p>
        </w:tc>
        <w:tc>
          <w:tcPr>
            <w:tcW w:w="992" w:type="dxa"/>
          </w:tcPr>
          <w:p w14:paraId="19E5F1E2" w14:textId="77777777" w:rsidR="00A44152" w:rsidRPr="00550D35" w:rsidRDefault="00A44152" w:rsidP="00BA62A0">
            <w:pPr>
              <w:pStyle w:val="Text2"/>
              <w:ind w:left="0" w:firstLine="0"/>
              <w:rPr>
                <w:sz w:val="20"/>
                <w:lang w:val="lv-LV"/>
              </w:rPr>
            </w:pPr>
            <w:r w:rsidRPr="00550D35">
              <w:rPr>
                <w:sz w:val="20"/>
                <w:lang w:val="lv-LV"/>
              </w:rPr>
              <w:t>2029</w:t>
            </w:r>
          </w:p>
        </w:tc>
        <w:tc>
          <w:tcPr>
            <w:tcW w:w="1985" w:type="dxa"/>
          </w:tcPr>
          <w:p w14:paraId="257D34E8" w14:textId="77777777" w:rsidR="00A44152" w:rsidRPr="00550D35" w:rsidRDefault="00A44152" w:rsidP="00BA62A0">
            <w:pPr>
              <w:pStyle w:val="Text2"/>
              <w:ind w:left="0" w:firstLine="0"/>
              <w:rPr>
                <w:sz w:val="20"/>
                <w:lang w:val="lv-LV"/>
              </w:rPr>
            </w:pPr>
            <w:r w:rsidRPr="00550D35">
              <w:rPr>
                <w:sz w:val="20"/>
                <w:lang w:val="lv-LV"/>
              </w:rPr>
              <w:t>2030</w:t>
            </w:r>
          </w:p>
        </w:tc>
      </w:tr>
      <w:tr w:rsidR="00A44152" w:rsidRPr="00550D35" w14:paraId="16A0ED5F" w14:textId="77777777" w:rsidTr="00BA62A0">
        <w:tc>
          <w:tcPr>
            <w:tcW w:w="879" w:type="dxa"/>
            <w:shd w:val="clear" w:color="auto" w:fill="FFFFFF" w:themeFill="background1"/>
          </w:tcPr>
          <w:p w14:paraId="3708167F" w14:textId="77777777" w:rsidR="00A44152" w:rsidRPr="00550D35" w:rsidRDefault="00A44152" w:rsidP="00BA62A0">
            <w:pPr>
              <w:pStyle w:val="Text2"/>
              <w:ind w:left="0" w:firstLine="0"/>
              <w:rPr>
                <w:sz w:val="20"/>
                <w:lang w:val="lv-LV"/>
              </w:rPr>
            </w:pPr>
            <w:r w:rsidRPr="00550D35">
              <w:rPr>
                <w:sz w:val="20"/>
                <w:lang w:val="lv-LV"/>
              </w:rPr>
              <w:t>86%</w:t>
            </w:r>
          </w:p>
        </w:tc>
        <w:tc>
          <w:tcPr>
            <w:tcW w:w="850" w:type="dxa"/>
            <w:shd w:val="clear" w:color="auto" w:fill="FFFFFF" w:themeFill="background1"/>
          </w:tcPr>
          <w:p w14:paraId="4C53D0EA" w14:textId="77777777" w:rsidR="00A44152" w:rsidRPr="00550D35" w:rsidRDefault="00A44152" w:rsidP="00BA62A0">
            <w:pPr>
              <w:pStyle w:val="Text2"/>
              <w:ind w:left="0" w:firstLine="0"/>
              <w:rPr>
                <w:sz w:val="20"/>
                <w:lang w:val="lv-LV"/>
              </w:rPr>
            </w:pPr>
            <w:r w:rsidRPr="00550D35">
              <w:rPr>
                <w:sz w:val="20"/>
                <w:lang w:val="lv-LV"/>
              </w:rPr>
              <w:t>87%</w:t>
            </w:r>
          </w:p>
        </w:tc>
        <w:tc>
          <w:tcPr>
            <w:tcW w:w="851" w:type="dxa"/>
            <w:shd w:val="clear" w:color="auto" w:fill="FFFFFF" w:themeFill="background1"/>
          </w:tcPr>
          <w:p w14:paraId="4682857D" w14:textId="77777777" w:rsidR="00A44152" w:rsidRPr="00550D35" w:rsidRDefault="00A44152" w:rsidP="00BA62A0">
            <w:pPr>
              <w:pStyle w:val="Text2"/>
              <w:ind w:left="0" w:firstLine="0"/>
              <w:rPr>
                <w:sz w:val="20"/>
                <w:lang w:val="lv-LV"/>
              </w:rPr>
            </w:pPr>
            <w:r w:rsidRPr="00550D35">
              <w:rPr>
                <w:sz w:val="20"/>
                <w:lang w:val="lv-LV"/>
              </w:rPr>
              <w:t>88%</w:t>
            </w:r>
          </w:p>
        </w:tc>
        <w:tc>
          <w:tcPr>
            <w:tcW w:w="992" w:type="dxa"/>
            <w:shd w:val="clear" w:color="auto" w:fill="FFFFFF" w:themeFill="background1"/>
          </w:tcPr>
          <w:p w14:paraId="1847D624" w14:textId="77777777" w:rsidR="00A44152" w:rsidRPr="00550D35" w:rsidRDefault="00A44152" w:rsidP="00BA62A0">
            <w:pPr>
              <w:pStyle w:val="Text2"/>
              <w:ind w:left="0" w:firstLine="0"/>
              <w:rPr>
                <w:sz w:val="20"/>
                <w:lang w:val="lv-LV"/>
              </w:rPr>
            </w:pPr>
            <w:r w:rsidRPr="00550D35">
              <w:rPr>
                <w:sz w:val="20"/>
                <w:lang w:val="lv-LV"/>
              </w:rPr>
              <w:t>91%</w:t>
            </w:r>
          </w:p>
        </w:tc>
        <w:tc>
          <w:tcPr>
            <w:tcW w:w="851" w:type="dxa"/>
            <w:shd w:val="clear" w:color="auto" w:fill="FFFFFF" w:themeFill="background1"/>
          </w:tcPr>
          <w:p w14:paraId="16EEF2BB" w14:textId="77777777" w:rsidR="00A44152" w:rsidRPr="00550D35" w:rsidRDefault="00A44152" w:rsidP="00BA62A0">
            <w:pPr>
              <w:pStyle w:val="Text2"/>
              <w:ind w:left="0" w:firstLine="0"/>
              <w:rPr>
                <w:sz w:val="20"/>
                <w:lang w:val="lv-LV"/>
              </w:rPr>
            </w:pPr>
            <w:r w:rsidRPr="00550D35">
              <w:rPr>
                <w:sz w:val="20"/>
                <w:lang w:val="lv-LV"/>
              </w:rPr>
              <w:t>94%</w:t>
            </w:r>
          </w:p>
        </w:tc>
        <w:tc>
          <w:tcPr>
            <w:tcW w:w="850" w:type="dxa"/>
            <w:shd w:val="clear" w:color="auto" w:fill="FFFFFF" w:themeFill="background1"/>
          </w:tcPr>
          <w:p w14:paraId="67E2A6A1" w14:textId="77777777" w:rsidR="00A44152" w:rsidRPr="00550D35" w:rsidRDefault="00A44152" w:rsidP="00BA62A0">
            <w:pPr>
              <w:pStyle w:val="Text2"/>
              <w:ind w:left="0" w:firstLine="0"/>
              <w:rPr>
                <w:sz w:val="20"/>
                <w:lang w:val="lv-LV"/>
              </w:rPr>
            </w:pPr>
            <w:r w:rsidRPr="00550D35">
              <w:rPr>
                <w:sz w:val="20"/>
                <w:lang w:val="lv-LV"/>
              </w:rPr>
              <w:t>97%</w:t>
            </w:r>
          </w:p>
        </w:tc>
        <w:tc>
          <w:tcPr>
            <w:tcW w:w="992" w:type="dxa"/>
            <w:shd w:val="clear" w:color="auto" w:fill="FFFFFF" w:themeFill="background1"/>
          </w:tcPr>
          <w:p w14:paraId="7D1F5F41" w14:textId="77777777" w:rsidR="00A44152" w:rsidRPr="00550D35" w:rsidRDefault="00A44152" w:rsidP="00BA62A0">
            <w:pPr>
              <w:pStyle w:val="Text2"/>
              <w:ind w:left="0" w:firstLine="0"/>
              <w:rPr>
                <w:sz w:val="20"/>
                <w:lang w:val="lv-LV"/>
              </w:rPr>
            </w:pPr>
            <w:r w:rsidRPr="00550D35">
              <w:rPr>
                <w:sz w:val="20"/>
                <w:lang w:val="lv-LV"/>
              </w:rPr>
              <w:t>99%</w:t>
            </w:r>
          </w:p>
        </w:tc>
        <w:tc>
          <w:tcPr>
            <w:tcW w:w="1985" w:type="dxa"/>
            <w:shd w:val="clear" w:color="auto" w:fill="FFFFFF" w:themeFill="background1"/>
          </w:tcPr>
          <w:p w14:paraId="3796289D" w14:textId="77777777" w:rsidR="00A44152" w:rsidRPr="00550D35" w:rsidRDefault="00A44152" w:rsidP="00BA62A0">
            <w:pPr>
              <w:pStyle w:val="Text2"/>
              <w:ind w:left="0" w:firstLine="0"/>
              <w:rPr>
                <w:sz w:val="20"/>
                <w:lang w:val="lv-LV"/>
              </w:rPr>
            </w:pPr>
            <w:r w:rsidRPr="00550D35">
              <w:rPr>
                <w:sz w:val="20"/>
                <w:lang w:val="lv-LV"/>
              </w:rPr>
              <w:t>100%</w:t>
            </w:r>
            <w:r w:rsidRPr="00550D35">
              <w:rPr>
                <w:lang w:val="lv-LV"/>
              </w:rPr>
              <w:br/>
            </w:r>
            <w:r w:rsidRPr="00550D35">
              <w:rPr>
                <w:sz w:val="20"/>
                <w:lang w:val="lv-LV"/>
              </w:rPr>
              <w:t>(ES mērķis -100%)</w:t>
            </w:r>
          </w:p>
        </w:tc>
      </w:tr>
    </w:tbl>
    <w:p w14:paraId="36BF234A" w14:textId="77777777" w:rsidR="00A44152" w:rsidRPr="00550D35" w:rsidRDefault="00A44152" w:rsidP="00A44152">
      <w:pPr>
        <w:pStyle w:val="Heading2"/>
        <w:rPr>
          <w:lang w:val="lv-LV"/>
        </w:rPr>
      </w:pPr>
      <w:r w:rsidRPr="00550D35">
        <w:rPr>
          <w:lang w:val="lv-LV"/>
        </w:rPr>
        <w:lastRenderedPageBreak/>
        <w:t xml:space="preserve">Politika, pasākumi un darbības digitālā </w:t>
      </w:r>
      <w:proofErr w:type="spellStart"/>
      <w:r w:rsidRPr="00550D35">
        <w:rPr>
          <w:lang w:val="lv-LV"/>
        </w:rPr>
        <w:t>mērķrādītāja</w:t>
      </w:r>
      <w:proofErr w:type="spellEnd"/>
      <w:r w:rsidRPr="00550D35">
        <w:rPr>
          <w:lang w:val="lv-LV"/>
        </w:rPr>
        <w:t xml:space="preserve"> sasniegšanai </w:t>
      </w:r>
    </w:p>
    <w:p w14:paraId="5DB99630" w14:textId="77777777" w:rsidR="00A44152" w:rsidRPr="00550D35" w:rsidRDefault="00A44152" w:rsidP="00A44152">
      <w:pPr>
        <w:pStyle w:val="Heading3"/>
        <w:ind w:firstLine="0"/>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33C39424" w14:textId="1D6F2846" w:rsidR="00A44152" w:rsidRPr="00550D35" w:rsidRDefault="00A44152" w:rsidP="00A44152">
      <w:pPr>
        <w:rPr>
          <w:lang w:val="lv-LV"/>
        </w:rPr>
      </w:pPr>
      <w:r w:rsidRPr="569612F1">
        <w:rPr>
          <w:lang w:val="lv-LV"/>
        </w:rPr>
        <w:t>Centralizēti attīstāmie lietojumi, kas tiek izstrādāti projektos, kas minēti šī dokumenta 13.3.1.</w:t>
      </w:r>
      <w:r>
        <w:rPr>
          <w:lang w:val="lv-LV"/>
        </w:rPr>
        <w:t>punktā</w:t>
      </w:r>
      <w:r w:rsidRPr="569612F1">
        <w:rPr>
          <w:lang w:val="lv-LV"/>
        </w:rPr>
        <w:t xml:space="preserve"> un 13.3.2</w:t>
      </w:r>
      <w:r w:rsidR="00BF7BD6">
        <w:rPr>
          <w:lang w:val="lv-LV"/>
        </w:rPr>
        <w:t>.</w:t>
      </w:r>
      <w:r w:rsidRPr="569612F1">
        <w:rPr>
          <w:lang w:val="lv-LV"/>
        </w:rPr>
        <w:t xml:space="preserve"> punkt</w:t>
      </w:r>
      <w:r>
        <w:rPr>
          <w:lang w:val="lv-LV"/>
        </w:rPr>
        <w:t>ā</w:t>
      </w:r>
      <w:r w:rsidRPr="569612F1">
        <w:rPr>
          <w:lang w:val="lv-LV"/>
        </w:rPr>
        <w:t xml:space="preserve"> vienādā mērā sniedz ieguldījumu arī publisko pakalpojumu pieejamības nodrošināšanā uzņēmējiem.</w:t>
      </w:r>
    </w:p>
    <w:p w14:paraId="711707B6" w14:textId="77777777" w:rsidR="00A44152" w:rsidRDefault="00A44152" w:rsidP="00A44152">
      <w:pPr>
        <w:spacing w:before="0" w:after="160" w:line="259" w:lineRule="auto"/>
        <w:ind w:left="360" w:firstLine="0"/>
        <w:contextualSpacing/>
        <w:jc w:val="left"/>
        <w:rPr>
          <w:b/>
          <w:bCs/>
          <w:lang w:val="lv-LV"/>
        </w:rPr>
      </w:pPr>
    </w:p>
    <w:p w14:paraId="1B8FBAC5" w14:textId="77777777" w:rsidR="00A44152" w:rsidRPr="00550D35" w:rsidRDefault="00A44152" w:rsidP="00A44152">
      <w:pPr>
        <w:spacing w:before="0" w:after="160" w:line="259" w:lineRule="auto"/>
        <w:ind w:left="360" w:firstLine="0"/>
        <w:contextualSpacing/>
        <w:jc w:val="left"/>
        <w:rPr>
          <w:b/>
          <w:bCs/>
          <w:lang w:val="lv-LV"/>
        </w:rPr>
      </w:pPr>
      <w:r w:rsidRPr="00550D35">
        <w:rPr>
          <w:b/>
          <w:bCs/>
          <w:lang w:val="lv-LV"/>
        </w:rPr>
        <w:t xml:space="preserve">Kopējais laika ietvars: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7"/>
        <w:gridCol w:w="802"/>
        <w:gridCol w:w="801"/>
        <w:gridCol w:w="678"/>
        <w:gridCol w:w="678"/>
        <w:gridCol w:w="801"/>
        <w:gridCol w:w="678"/>
        <w:gridCol w:w="825"/>
        <w:gridCol w:w="971"/>
      </w:tblGrid>
      <w:tr w:rsidR="00A44152" w:rsidRPr="00550D35" w14:paraId="5B78476B" w14:textId="77777777" w:rsidTr="00BA62A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auto"/>
            <w:hideMark/>
          </w:tcPr>
          <w:p w14:paraId="73FCCF89" w14:textId="77777777" w:rsidR="00A44152" w:rsidRPr="00550D35" w:rsidRDefault="00A44152" w:rsidP="00BA62A0">
            <w:pPr>
              <w:shd w:val="clear" w:color="auto" w:fill="FFFFFF" w:themeFill="background1"/>
              <w:spacing w:before="0"/>
              <w:ind w:firstLine="0"/>
              <w:rPr>
                <w:sz w:val="20"/>
                <w:lang w:val="lv-LV"/>
              </w:rPr>
            </w:pPr>
            <w:r w:rsidRPr="00550D35">
              <w:rPr>
                <w:sz w:val="20"/>
                <w:lang w:val="lv-LV"/>
              </w:rPr>
              <w:t> </w:t>
            </w:r>
          </w:p>
        </w:tc>
        <w:tc>
          <w:tcPr>
            <w:tcW w:w="807" w:type="dxa"/>
            <w:tcBorders>
              <w:top w:val="single" w:sz="6" w:space="0" w:color="auto"/>
              <w:left w:val="single" w:sz="6" w:space="0" w:color="auto"/>
              <w:bottom w:val="single" w:sz="6" w:space="0" w:color="auto"/>
              <w:right w:val="single" w:sz="6" w:space="0" w:color="auto"/>
            </w:tcBorders>
            <w:shd w:val="clear" w:color="auto" w:fill="auto"/>
            <w:hideMark/>
          </w:tcPr>
          <w:p w14:paraId="44B2AEE9" w14:textId="77777777" w:rsidR="00A44152" w:rsidRPr="00550D35" w:rsidRDefault="00A44152" w:rsidP="00BA62A0">
            <w:pPr>
              <w:shd w:val="clear" w:color="auto" w:fill="FFFFFF" w:themeFill="background1"/>
              <w:spacing w:before="0"/>
              <w:ind w:firstLine="0"/>
              <w:jc w:val="center"/>
              <w:rPr>
                <w:sz w:val="20"/>
                <w:lang w:val="lv-LV"/>
              </w:rPr>
            </w:pPr>
            <w:r w:rsidRPr="00550D35">
              <w:rPr>
                <w:sz w:val="20"/>
                <w:lang w:val="lv-LV"/>
              </w:rPr>
              <w:t>2023</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14:paraId="15ECE91A" w14:textId="77777777" w:rsidR="00A44152" w:rsidRPr="00550D35" w:rsidRDefault="00A44152" w:rsidP="00BA62A0">
            <w:pPr>
              <w:shd w:val="clear" w:color="auto" w:fill="FFFFFF" w:themeFill="background1"/>
              <w:spacing w:before="0"/>
              <w:ind w:firstLine="0"/>
              <w:jc w:val="center"/>
              <w:rPr>
                <w:sz w:val="20"/>
                <w:lang w:val="lv-LV"/>
              </w:rPr>
            </w:pPr>
            <w:r w:rsidRPr="00550D35">
              <w:rPr>
                <w:sz w:val="20"/>
                <w:lang w:val="lv-LV"/>
              </w:rPr>
              <w:t>2024</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14:paraId="3CB756B9" w14:textId="77777777" w:rsidR="00A44152" w:rsidRPr="00550D35" w:rsidRDefault="00A44152" w:rsidP="00BA62A0">
            <w:pPr>
              <w:shd w:val="clear" w:color="auto" w:fill="FFFFFF" w:themeFill="background1"/>
              <w:spacing w:before="0"/>
              <w:ind w:firstLine="0"/>
              <w:jc w:val="center"/>
              <w:rPr>
                <w:sz w:val="20"/>
                <w:lang w:val="lv-LV"/>
              </w:rPr>
            </w:pPr>
            <w:r w:rsidRPr="00550D35">
              <w:rPr>
                <w:sz w:val="20"/>
                <w:lang w:val="lv-LV"/>
              </w:rPr>
              <w:t>2025</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14:paraId="6086CD99" w14:textId="77777777" w:rsidR="00A44152" w:rsidRPr="00550D35" w:rsidRDefault="00A44152" w:rsidP="00BA62A0">
            <w:pPr>
              <w:shd w:val="clear" w:color="auto" w:fill="FFFFFF" w:themeFill="background1"/>
              <w:spacing w:before="0"/>
              <w:ind w:firstLine="0"/>
              <w:jc w:val="center"/>
              <w:rPr>
                <w:sz w:val="20"/>
                <w:lang w:val="lv-LV"/>
              </w:rPr>
            </w:pPr>
            <w:r w:rsidRPr="00550D35">
              <w:rPr>
                <w:sz w:val="20"/>
                <w:lang w:val="lv-LV"/>
              </w:rPr>
              <w:t>2026</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14:paraId="2E8A50FB" w14:textId="77777777" w:rsidR="00A44152" w:rsidRPr="00550D35" w:rsidRDefault="00A44152" w:rsidP="00BA62A0">
            <w:pPr>
              <w:shd w:val="clear" w:color="auto" w:fill="FFFFFF" w:themeFill="background1"/>
              <w:spacing w:before="0"/>
              <w:ind w:firstLine="0"/>
              <w:jc w:val="center"/>
              <w:rPr>
                <w:sz w:val="20"/>
                <w:lang w:val="lv-LV"/>
              </w:rPr>
            </w:pPr>
            <w:r w:rsidRPr="00550D35">
              <w:rPr>
                <w:sz w:val="20"/>
                <w:lang w:val="lv-LV"/>
              </w:rPr>
              <w:t>2027</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14:paraId="0B518454" w14:textId="77777777" w:rsidR="00A44152" w:rsidRPr="00550D35" w:rsidRDefault="00A44152" w:rsidP="00BA62A0">
            <w:pPr>
              <w:shd w:val="clear" w:color="auto" w:fill="FFFFFF" w:themeFill="background1"/>
              <w:spacing w:before="0"/>
              <w:ind w:firstLine="0"/>
              <w:jc w:val="center"/>
              <w:rPr>
                <w:sz w:val="20"/>
                <w:lang w:val="lv-LV"/>
              </w:rPr>
            </w:pPr>
            <w:r w:rsidRPr="00550D35">
              <w:rPr>
                <w:sz w:val="20"/>
                <w:lang w:val="lv-LV"/>
              </w:rPr>
              <w:t>2028</w:t>
            </w:r>
          </w:p>
        </w:tc>
        <w:tc>
          <w:tcPr>
            <w:tcW w:w="830" w:type="dxa"/>
            <w:tcBorders>
              <w:top w:val="single" w:sz="6" w:space="0" w:color="auto"/>
              <w:left w:val="single" w:sz="6" w:space="0" w:color="auto"/>
              <w:bottom w:val="single" w:sz="6" w:space="0" w:color="auto"/>
              <w:right w:val="single" w:sz="6" w:space="0" w:color="auto"/>
            </w:tcBorders>
            <w:shd w:val="clear" w:color="auto" w:fill="auto"/>
            <w:hideMark/>
          </w:tcPr>
          <w:p w14:paraId="514E4782" w14:textId="77777777" w:rsidR="00A44152" w:rsidRPr="00550D35" w:rsidRDefault="00A44152" w:rsidP="00BA62A0">
            <w:pPr>
              <w:shd w:val="clear" w:color="auto" w:fill="FFFFFF" w:themeFill="background1"/>
              <w:spacing w:before="0"/>
              <w:ind w:firstLine="0"/>
              <w:jc w:val="center"/>
              <w:rPr>
                <w:sz w:val="20"/>
                <w:lang w:val="lv-LV"/>
              </w:rPr>
            </w:pPr>
            <w:r w:rsidRPr="00550D35">
              <w:rPr>
                <w:sz w:val="20"/>
                <w:lang w:val="lv-LV"/>
              </w:rPr>
              <w:t>2029</w:t>
            </w:r>
          </w:p>
        </w:tc>
        <w:tc>
          <w:tcPr>
            <w:tcW w:w="978" w:type="dxa"/>
            <w:tcBorders>
              <w:top w:val="single" w:sz="6" w:space="0" w:color="auto"/>
              <w:left w:val="single" w:sz="6" w:space="0" w:color="auto"/>
              <w:bottom w:val="single" w:sz="6" w:space="0" w:color="auto"/>
              <w:right w:val="single" w:sz="6" w:space="0" w:color="auto"/>
            </w:tcBorders>
            <w:shd w:val="clear" w:color="auto" w:fill="auto"/>
            <w:hideMark/>
          </w:tcPr>
          <w:p w14:paraId="431A1A85" w14:textId="77777777" w:rsidR="00A44152" w:rsidRPr="00550D35" w:rsidRDefault="00A44152" w:rsidP="00BA62A0">
            <w:pPr>
              <w:shd w:val="clear" w:color="auto" w:fill="FFFFFF" w:themeFill="background1"/>
              <w:spacing w:before="0"/>
              <w:ind w:firstLine="0"/>
              <w:jc w:val="center"/>
              <w:rPr>
                <w:sz w:val="20"/>
                <w:lang w:val="lv-LV"/>
              </w:rPr>
            </w:pPr>
            <w:r w:rsidRPr="00550D35">
              <w:rPr>
                <w:sz w:val="20"/>
                <w:lang w:val="lv-LV"/>
              </w:rPr>
              <w:t>2030</w:t>
            </w:r>
          </w:p>
        </w:tc>
      </w:tr>
      <w:tr w:rsidR="00A44152" w:rsidRPr="00550D35" w14:paraId="54B0F4ED" w14:textId="77777777" w:rsidTr="00BA62A0">
        <w:trPr>
          <w:trHeight w:val="300"/>
        </w:trPr>
        <w:tc>
          <w:tcPr>
            <w:tcW w:w="8648" w:type="dxa"/>
            <w:gridSpan w:val="9"/>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058AB50" w14:textId="77777777" w:rsidR="00A44152" w:rsidRPr="00550D35" w:rsidRDefault="00A44152" w:rsidP="00BA62A0">
            <w:pPr>
              <w:shd w:val="clear" w:color="auto" w:fill="FFFFFF" w:themeFill="background1"/>
              <w:spacing w:before="0"/>
              <w:ind w:firstLine="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A44152" w:rsidRPr="00636D4C" w14:paraId="14D50F4F" w14:textId="77777777" w:rsidTr="00BA62A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auto"/>
          </w:tcPr>
          <w:p w14:paraId="23B11246" w14:textId="77777777" w:rsidR="00A44152" w:rsidRPr="00452DAB" w:rsidRDefault="00A44152" w:rsidP="00BA62A0">
            <w:pPr>
              <w:pStyle w:val="paragraph"/>
              <w:spacing w:before="0" w:after="0"/>
              <w:ind w:firstLine="0"/>
              <w:jc w:val="both"/>
              <w:rPr>
                <w:bCs/>
                <w:sz w:val="20"/>
                <w:szCs w:val="20"/>
                <w:lang w:val="lv-LV"/>
              </w:rPr>
            </w:pPr>
            <w:r w:rsidRPr="00451B3E">
              <w:rPr>
                <w:bCs/>
                <w:sz w:val="20"/>
                <w:szCs w:val="20"/>
                <w:lang w:val="lv-LV"/>
              </w:rPr>
              <w:t>Pasākums Nr.1</w:t>
            </w:r>
          </w:p>
          <w:p w14:paraId="5B16C9AA" w14:textId="77777777" w:rsidR="00A44152" w:rsidRPr="00452DAB" w:rsidRDefault="00A44152" w:rsidP="00BA62A0">
            <w:pPr>
              <w:pStyle w:val="paragraph"/>
              <w:shd w:val="clear" w:color="auto" w:fill="FFFFFF" w:themeFill="background1"/>
              <w:spacing w:before="0" w:after="0"/>
              <w:ind w:firstLine="0"/>
              <w:jc w:val="both"/>
              <w:rPr>
                <w:b/>
                <w:bCs/>
                <w:sz w:val="20"/>
                <w:szCs w:val="20"/>
                <w:lang w:val="lv-LV"/>
              </w:rPr>
            </w:pPr>
            <w:r w:rsidRPr="00451B3E">
              <w:rPr>
                <w:b/>
                <w:bCs/>
                <w:sz w:val="20"/>
                <w:szCs w:val="20"/>
                <w:lang w:val="lv-LV"/>
              </w:rPr>
              <w:t xml:space="preserve">“Pakalpojumu koplietošanas platformas publiskā sektora un tautsaimniecības datu koplietošanai un </w:t>
            </w:r>
            <w:proofErr w:type="spellStart"/>
            <w:r w:rsidRPr="00451B3E">
              <w:rPr>
                <w:b/>
                <w:bCs/>
                <w:sz w:val="20"/>
                <w:szCs w:val="20"/>
                <w:lang w:val="lv-LV"/>
              </w:rPr>
              <w:t>klientcentrētiem</w:t>
            </w:r>
            <w:proofErr w:type="spellEnd"/>
            <w:r w:rsidRPr="00451B3E">
              <w:rPr>
                <w:b/>
                <w:bCs/>
                <w:sz w:val="20"/>
                <w:szCs w:val="20"/>
                <w:lang w:val="lv-LV"/>
              </w:rPr>
              <w:t xml:space="preserve"> un </w:t>
            </w:r>
            <w:proofErr w:type="spellStart"/>
            <w:r w:rsidRPr="00451B3E">
              <w:rPr>
                <w:b/>
                <w:bCs/>
                <w:sz w:val="20"/>
                <w:szCs w:val="20"/>
                <w:lang w:val="lv-LV"/>
              </w:rPr>
              <w:t>proaktīviem</w:t>
            </w:r>
            <w:proofErr w:type="spellEnd"/>
            <w:r w:rsidRPr="00451B3E">
              <w:rPr>
                <w:b/>
                <w:bCs/>
                <w:sz w:val="20"/>
                <w:szCs w:val="20"/>
                <w:lang w:val="lv-LV"/>
              </w:rPr>
              <w:t xml:space="preserve"> e-pakalpojumiem</w:t>
            </w:r>
            <w:r w:rsidRPr="00452DAB">
              <w:rPr>
                <w:b/>
                <w:bCs/>
                <w:sz w:val="20"/>
                <w:szCs w:val="20"/>
                <w:lang w:val="lv-LV"/>
              </w:rPr>
              <w:t>”</w:t>
            </w:r>
            <w:r w:rsidRPr="00451B3E">
              <w:rPr>
                <w:rStyle w:val="FootnoteReference"/>
                <w:b/>
                <w:bCs/>
                <w:sz w:val="20"/>
                <w:szCs w:val="20"/>
                <w:lang w:val="lv-LV"/>
              </w:rPr>
              <w:footnoteReference w:id="82"/>
            </w:r>
          </w:p>
          <w:p w14:paraId="14436E7B" w14:textId="77777777" w:rsidR="00A44152" w:rsidRPr="00451B3E" w:rsidRDefault="00A44152" w:rsidP="00BA62A0">
            <w:pPr>
              <w:pStyle w:val="paragraph"/>
              <w:shd w:val="clear" w:color="auto" w:fill="FFFFFF" w:themeFill="background1"/>
              <w:spacing w:before="0" w:after="0"/>
              <w:ind w:firstLine="0"/>
              <w:jc w:val="both"/>
              <w:rPr>
                <w:b/>
                <w:bCs/>
                <w:sz w:val="20"/>
                <w:lang w:val="lv-LV"/>
              </w:rPr>
            </w:pPr>
            <w:r w:rsidRPr="00451B3E">
              <w:rPr>
                <w:b/>
                <w:bCs/>
                <w:sz w:val="20"/>
                <w:lang w:val="lv-LV"/>
              </w:rPr>
              <w:t xml:space="preserve">  un “</w:t>
            </w:r>
            <w:r w:rsidRPr="00451B3E">
              <w:rPr>
                <w:b/>
                <w:bCs/>
                <w:sz w:val="20"/>
                <w:szCs w:val="20"/>
                <w:lang w:val="lv-LV"/>
              </w:rPr>
              <w:t xml:space="preserve">Vienotās datu un digitālo pakalpojumu koplietošanas platformas publiskā sektora un tautsaimniecības datu koplietošanai un </w:t>
            </w:r>
            <w:proofErr w:type="spellStart"/>
            <w:r w:rsidRPr="00451B3E">
              <w:rPr>
                <w:b/>
                <w:bCs/>
                <w:sz w:val="20"/>
                <w:szCs w:val="20"/>
                <w:lang w:val="lv-LV"/>
              </w:rPr>
              <w:t>klientcentrētiem</w:t>
            </w:r>
            <w:proofErr w:type="spellEnd"/>
            <w:r w:rsidRPr="00451B3E">
              <w:rPr>
                <w:b/>
                <w:bCs/>
                <w:sz w:val="20"/>
                <w:szCs w:val="20"/>
                <w:lang w:val="lv-LV"/>
              </w:rPr>
              <w:t xml:space="preserve"> un </w:t>
            </w:r>
            <w:proofErr w:type="spellStart"/>
            <w:r w:rsidRPr="00451B3E">
              <w:rPr>
                <w:b/>
                <w:bCs/>
                <w:sz w:val="20"/>
                <w:szCs w:val="20"/>
                <w:lang w:val="lv-LV"/>
              </w:rPr>
              <w:t>proaktīviem</w:t>
            </w:r>
            <w:proofErr w:type="spellEnd"/>
            <w:r w:rsidRPr="00451B3E">
              <w:rPr>
                <w:b/>
                <w:bCs/>
                <w:sz w:val="20"/>
                <w:szCs w:val="20"/>
                <w:lang w:val="lv-LV"/>
              </w:rPr>
              <w:t xml:space="preserve"> e-pakalpojumiem</w:t>
            </w:r>
            <w:r w:rsidRPr="00451B3E">
              <w:rPr>
                <w:b/>
                <w:bCs/>
                <w:sz w:val="20"/>
                <w:lang w:val="lv-LV"/>
              </w:rPr>
              <w:t>”</w:t>
            </w:r>
          </w:p>
          <w:p w14:paraId="79F2117D" w14:textId="77777777" w:rsidR="00A44152" w:rsidRPr="00550D35" w:rsidRDefault="00A44152" w:rsidP="00BA62A0">
            <w:pPr>
              <w:pStyle w:val="paragraph"/>
              <w:shd w:val="clear" w:color="auto" w:fill="FFFFFF" w:themeFill="background1"/>
              <w:spacing w:before="0" w:after="0"/>
              <w:ind w:firstLine="0"/>
              <w:jc w:val="both"/>
              <w:rPr>
                <w:sz w:val="20"/>
                <w:szCs w:val="20"/>
                <w:lang w:val="lv-LV"/>
              </w:rPr>
            </w:pPr>
            <w:r w:rsidRPr="00760131">
              <w:rPr>
                <w:sz w:val="20"/>
                <w:szCs w:val="20"/>
                <w:shd w:val="clear" w:color="auto" w:fill="FFFFFF" w:themeFill="background1"/>
                <w:lang w:val="lv-LV"/>
              </w:rPr>
              <w:t>Finansējuma avots:</w:t>
            </w:r>
            <w:r w:rsidRPr="002A3219">
              <w:rPr>
                <w:sz w:val="20"/>
                <w:lang w:val="lv-LV"/>
              </w:rPr>
              <w:t xml:space="preserve"> ANM plāna investīcija </w:t>
            </w:r>
            <w:r w:rsidRPr="002A3219">
              <w:rPr>
                <w:noProof/>
                <w:sz w:val="20"/>
                <w:lang w:val="lv-LV"/>
              </w:rPr>
              <w:t>2.1.2.1.i</w:t>
            </w:r>
          </w:p>
        </w:tc>
        <w:tc>
          <w:tcPr>
            <w:tcW w:w="807" w:type="dxa"/>
            <w:tcBorders>
              <w:top w:val="single" w:sz="6" w:space="0" w:color="auto"/>
              <w:left w:val="single" w:sz="6" w:space="0" w:color="auto"/>
              <w:bottom w:val="single" w:sz="6" w:space="0" w:color="auto"/>
              <w:right w:val="single" w:sz="6" w:space="0" w:color="auto"/>
            </w:tcBorders>
            <w:shd w:val="clear" w:color="auto" w:fill="70AD47" w:themeFill="accent6"/>
          </w:tcPr>
          <w:p w14:paraId="5695DA13" w14:textId="77777777" w:rsidR="00A44152" w:rsidRPr="00550D35" w:rsidRDefault="00A44152" w:rsidP="00BA62A0">
            <w:pPr>
              <w:shd w:val="clear" w:color="auto" w:fill="FFFFFF" w:themeFill="background1"/>
              <w:spacing w:before="0"/>
              <w:ind w:firstLine="0"/>
              <w:rPr>
                <w:sz w:val="20"/>
                <w:lang w:val="lv-LV"/>
              </w:rPr>
            </w:pPr>
          </w:p>
        </w:tc>
        <w:tc>
          <w:tcPr>
            <w:tcW w:w="806" w:type="dxa"/>
            <w:tcBorders>
              <w:top w:val="single" w:sz="6" w:space="0" w:color="auto"/>
              <w:left w:val="single" w:sz="6" w:space="0" w:color="auto"/>
              <w:bottom w:val="single" w:sz="6" w:space="0" w:color="auto"/>
              <w:right w:val="single" w:sz="6" w:space="0" w:color="auto"/>
            </w:tcBorders>
            <w:shd w:val="clear" w:color="auto" w:fill="70AD47" w:themeFill="accent6"/>
          </w:tcPr>
          <w:p w14:paraId="4DDBF9DF" w14:textId="77777777" w:rsidR="00A44152" w:rsidRPr="00550D35" w:rsidRDefault="00A44152" w:rsidP="00BA62A0">
            <w:pPr>
              <w:shd w:val="clear" w:color="auto" w:fill="FFFFFF" w:themeFill="background1"/>
              <w:spacing w:before="0"/>
              <w:ind w:firstLine="0"/>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70AD47" w:themeFill="accent6"/>
          </w:tcPr>
          <w:p w14:paraId="0B0DBA3B" w14:textId="77777777" w:rsidR="00A44152" w:rsidRPr="00550D35" w:rsidRDefault="00A44152" w:rsidP="00BA62A0">
            <w:pPr>
              <w:shd w:val="clear" w:color="auto" w:fill="FFFFFF" w:themeFill="background1"/>
              <w:spacing w:before="0"/>
              <w:ind w:firstLine="0"/>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70AD47" w:themeFill="accent6"/>
          </w:tcPr>
          <w:p w14:paraId="28AE1139" w14:textId="77777777" w:rsidR="00A44152" w:rsidRPr="00550D35" w:rsidRDefault="00A44152" w:rsidP="00BA62A0">
            <w:pPr>
              <w:shd w:val="clear" w:color="auto" w:fill="FFFFFF" w:themeFill="background1"/>
              <w:spacing w:before="0"/>
              <w:ind w:firstLine="0"/>
              <w:rPr>
                <w:sz w:val="20"/>
                <w:lang w:val="lv-LV"/>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38D77C7E" w14:textId="77777777" w:rsidR="00A44152" w:rsidRPr="00550D35" w:rsidRDefault="00A44152" w:rsidP="00BA62A0">
            <w:pPr>
              <w:shd w:val="clear" w:color="auto" w:fill="FFFFFF" w:themeFill="background1"/>
              <w:spacing w:before="0"/>
              <w:ind w:firstLine="0"/>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auto"/>
          </w:tcPr>
          <w:p w14:paraId="3DCFBDDF" w14:textId="77777777" w:rsidR="00A44152" w:rsidRPr="00550D35" w:rsidRDefault="00A44152" w:rsidP="00BA62A0">
            <w:pPr>
              <w:shd w:val="clear" w:color="auto" w:fill="FFFFFF" w:themeFill="background1"/>
              <w:spacing w:before="0"/>
              <w:ind w:firstLine="0"/>
              <w:rPr>
                <w:sz w:val="20"/>
                <w:lang w:val="lv-LV"/>
              </w:rPr>
            </w:pPr>
          </w:p>
        </w:tc>
        <w:tc>
          <w:tcPr>
            <w:tcW w:w="830" w:type="dxa"/>
            <w:tcBorders>
              <w:top w:val="single" w:sz="6" w:space="0" w:color="auto"/>
              <w:left w:val="single" w:sz="6" w:space="0" w:color="auto"/>
              <w:bottom w:val="single" w:sz="6" w:space="0" w:color="auto"/>
              <w:right w:val="single" w:sz="6" w:space="0" w:color="auto"/>
            </w:tcBorders>
            <w:shd w:val="clear" w:color="auto" w:fill="auto"/>
          </w:tcPr>
          <w:p w14:paraId="65B3F484" w14:textId="77777777" w:rsidR="00A44152" w:rsidRPr="00550D35" w:rsidRDefault="00A44152" w:rsidP="00BA62A0">
            <w:pPr>
              <w:shd w:val="clear" w:color="auto" w:fill="FFFFFF" w:themeFill="background1"/>
              <w:spacing w:before="0"/>
              <w:ind w:firstLine="0"/>
              <w:rPr>
                <w:sz w:val="20"/>
                <w:lang w:val="lv-LV"/>
              </w:rPr>
            </w:pPr>
          </w:p>
        </w:tc>
        <w:tc>
          <w:tcPr>
            <w:tcW w:w="978" w:type="dxa"/>
            <w:tcBorders>
              <w:top w:val="single" w:sz="6" w:space="0" w:color="auto"/>
              <w:left w:val="single" w:sz="6" w:space="0" w:color="auto"/>
              <w:bottom w:val="single" w:sz="6" w:space="0" w:color="auto"/>
              <w:right w:val="single" w:sz="6" w:space="0" w:color="auto"/>
            </w:tcBorders>
            <w:shd w:val="clear" w:color="auto" w:fill="auto"/>
          </w:tcPr>
          <w:p w14:paraId="43B86A5B" w14:textId="77777777" w:rsidR="00A44152" w:rsidRPr="00550D35" w:rsidRDefault="00A44152" w:rsidP="00BA62A0">
            <w:pPr>
              <w:shd w:val="clear" w:color="auto" w:fill="FFFFFF" w:themeFill="background1"/>
              <w:spacing w:before="0"/>
              <w:ind w:firstLine="0"/>
              <w:rPr>
                <w:sz w:val="20"/>
                <w:lang w:val="lv-LV"/>
              </w:rPr>
            </w:pPr>
          </w:p>
        </w:tc>
      </w:tr>
      <w:tr w:rsidR="00A44152" w:rsidRPr="008A1BF8" w14:paraId="03D475AA" w14:textId="77777777" w:rsidTr="00BA62A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auto"/>
          </w:tcPr>
          <w:p w14:paraId="4CB912E7" w14:textId="77777777" w:rsidR="00A44152" w:rsidRPr="00452DAB" w:rsidRDefault="00A44152" w:rsidP="00BA62A0">
            <w:pPr>
              <w:shd w:val="clear" w:color="auto" w:fill="FFFFFF" w:themeFill="background1"/>
              <w:spacing w:before="0" w:after="0"/>
              <w:ind w:firstLine="0"/>
              <w:rPr>
                <w:sz w:val="20"/>
                <w:lang w:val="lv-LV"/>
              </w:rPr>
            </w:pPr>
            <w:r w:rsidRPr="00451B3E">
              <w:rPr>
                <w:sz w:val="20"/>
                <w:lang w:val="lv-LV"/>
              </w:rPr>
              <w:t>Pasākums Nr.2</w:t>
            </w:r>
          </w:p>
          <w:p w14:paraId="73171383" w14:textId="77777777" w:rsidR="00A44152" w:rsidRPr="00451B3E" w:rsidRDefault="00A44152" w:rsidP="00BA62A0">
            <w:pPr>
              <w:shd w:val="clear" w:color="auto" w:fill="FFFFFF" w:themeFill="background1"/>
              <w:spacing w:before="0" w:after="0"/>
              <w:ind w:firstLine="0"/>
              <w:rPr>
                <w:b/>
                <w:bCs/>
                <w:color w:val="000000" w:themeColor="text1"/>
                <w:sz w:val="20"/>
                <w:lang w:val="lv-LV"/>
              </w:rPr>
            </w:pPr>
            <w:r w:rsidRPr="00451B3E">
              <w:rPr>
                <w:b/>
                <w:bCs/>
                <w:color w:val="000000" w:themeColor="text1"/>
                <w:sz w:val="20"/>
                <w:lang w:val="lv-LV"/>
              </w:rPr>
              <w:t>“Digitālo pakalpojumu platforma biznesa attīstības veicināšanai (1.kārta)”</w:t>
            </w:r>
          </w:p>
          <w:p w14:paraId="5754827F" w14:textId="77777777" w:rsidR="00A44152" w:rsidRPr="00550D35" w:rsidRDefault="00A44152" w:rsidP="00BA62A0">
            <w:pPr>
              <w:shd w:val="clear" w:color="auto" w:fill="FFFFFF" w:themeFill="background1"/>
              <w:spacing w:before="0" w:after="0"/>
              <w:ind w:firstLine="0"/>
              <w:rPr>
                <w:sz w:val="20"/>
                <w:lang w:val="lv-LV"/>
              </w:rPr>
            </w:pPr>
            <w:r w:rsidRPr="0076717F">
              <w:rPr>
                <w:color w:val="525252"/>
                <w:sz w:val="20"/>
                <w:shd w:val="clear" w:color="auto" w:fill="FFFFFF" w:themeFill="background1"/>
                <w:lang w:val="lv-LV"/>
              </w:rPr>
              <w:t>Finansējuma avots:</w:t>
            </w:r>
            <w:r w:rsidRPr="004927B8">
              <w:rPr>
                <w:sz w:val="20"/>
                <w:lang w:val="lv-LV"/>
              </w:rPr>
              <w:t xml:space="preserve"> </w:t>
            </w:r>
            <w:r w:rsidRPr="00550D35">
              <w:rPr>
                <w:sz w:val="20"/>
                <w:lang w:val="lv-LV"/>
              </w:rPr>
              <w:t xml:space="preserve">ANM </w:t>
            </w:r>
            <w:r>
              <w:rPr>
                <w:sz w:val="20"/>
                <w:lang w:val="lv-LV"/>
              </w:rPr>
              <w:t xml:space="preserve">plāna </w:t>
            </w:r>
            <w:r w:rsidRPr="00550D35">
              <w:rPr>
                <w:sz w:val="20"/>
                <w:lang w:val="lv-LV"/>
              </w:rPr>
              <w:t xml:space="preserve">investīcija </w:t>
            </w:r>
            <w:r w:rsidRPr="00550D35">
              <w:rPr>
                <w:noProof/>
                <w:sz w:val="20"/>
                <w:lang w:val="lv-LV"/>
              </w:rPr>
              <w:t>2.1.</w:t>
            </w:r>
            <w:r>
              <w:rPr>
                <w:noProof/>
                <w:sz w:val="20"/>
                <w:lang w:val="lv-LV"/>
              </w:rPr>
              <w:t>3</w:t>
            </w:r>
            <w:r w:rsidRPr="00550D35">
              <w:rPr>
                <w:noProof/>
                <w:sz w:val="20"/>
                <w:lang w:val="lv-LV"/>
              </w:rPr>
              <w:t>.</w:t>
            </w:r>
            <w:r>
              <w:rPr>
                <w:noProof/>
                <w:sz w:val="20"/>
                <w:lang w:val="lv-LV"/>
              </w:rPr>
              <w:t>1.i</w:t>
            </w:r>
          </w:p>
        </w:tc>
        <w:tc>
          <w:tcPr>
            <w:tcW w:w="807" w:type="dxa"/>
            <w:tcBorders>
              <w:top w:val="single" w:sz="6" w:space="0" w:color="auto"/>
              <w:left w:val="single" w:sz="6" w:space="0" w:color="auto"/>
              <w:bottom w:val="single" w:sz="6" w:space="0" w:color="auto"/>
              <w:right w:val="single" w:sz="6" w:space="0" w:color="auto"/>
            </w:tcBorders>
            <w:shd w:val="clear" w:color="auto" w:fill="70AD47" w:themeFill="accent6"/>
          </w:tcPr>
          <w:p w14:paraId="601F305B" w14:textId="77777777" w:rsidR="00A44152" w:rsidRPr="00550D35" w:rsidRDefault="00A44152" w:rsidP="00BA62A0">
            <w:pPr>
              <w:rPr>
                <w:sz w:val="20"/>
                <w:lang w:val="lv-LV"/>
              </w:rPr>
            </w:pPr>
          </w:p>
        </w:tc>
        <w:tc>
          <w:tcPr>
            <w:tcW w:w="806" w:type="dxa"/>
            <w:tcBorders>
              <w:top w:val="single" w:sz="6" w:space="0" w:color="auto"/>
              <w:left w:val="single" w:sz="6" w:space="0" w:color="auto"/>
              <w:bottom w:val="single" w:sz="6" w:space="0" w:color="auto"/>
              <w:right w:val="single" w:sz="6" w:space="0" w:color="auto"/>
            </w:tcBorders>
            <w:shd w:val="clear" w:color="auto" w:fill="70AD47" w:themeFill="accent6"/>
          </w:tcPr>
          <w:p w14:paraId="278EF451" w14:textId="77777777" w:rsidR="00A44152" w:rsidRPr="00550D35" w:rsidRDefault="00A44152" w:rsidP="00BA62A0">
            <w:pPr>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70AD47" w:themeFill="accent6"/>
          </w:tcPr>
          <w:p w14:paraId="323F986D" w14:textId="77777777" w:rsidR="00A44152" w:rsidRPr="00550D35" w:rsidRDefault="00A44152" w:rsidP="00BA62A0">
            <w:pPr>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auto"/>
          </w:tcPr>
          <w:p w14:paraId="4CC74EA3" w14:textId="77777777" w:rsidR="00A44152" w:rsidRPr="00550D35" w:rsidRDefault="00A44152" w:rsidP="00BA62A0">
            <w:pPr>
              <w:shd w:val="clear" w:color="auto" w:fill="FFFFFF" w:themeFill="background1"/>
              <w:spacing w:before="0"/>
              <w:ind w:firstLine="0"/>
              <w:rPr>
                <w:sz w:val="20"/>
                <w:lang w:val="lv-LV"/>
              </w:rPr>
            </w:pPr>
          </w:p>
        </w:tc>
        <w:tc>
          <w:tcPr>
            <w:tcW w:w="806" w:type="dxa"/>
            <w:tcBorders>
              <w:top w:val="single" w:sz="6" w:space="0" w:color="auto"/>
              <w:left w:val="single" w:sz="6" w:space="0" w:color="auto"/>
              <w:bottom w:val="single" w:sz="6" w:space="0" w:color="auto"/>
              <w:right w:val="single" w:sz="6" w:space="0" w:color="auto"/>
            </w:tcBorders>
            <w:shd w:val="clear" w:color="auto" w:fill="FFFFFF" w:themeFill="background1"/>
          </w:tcPr>
          <w:p w14:paraId="1520902B" w14:textId="77777777" w:rsidR="00A44152" w:rsidRPr="00550D35" w:rsidRDefault="00A44152" w:rsidP="00BA62A0">
            <w:pPr>
              <w:shd w:val="clear" w:color="auto" w:fill="FFFFFF" w:themeFill="background1"/>
              <w:spacing w:before="0"/>
              <w:ind w:firstLine="0"/>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FFFFFF" w:themeFill="background1"/>
          </w:tcPr>
          <w:p w14:paraId="1D478A01" w14:textId="77777777" w:rsidR="00A44152" w:rsidRPr="00550D35" w:rsidRDefault="00A44152" w:rsidP="00BA62A0">
            <w:pPr>
              <w:shd w:val="clear" w:color="auto" w:fill="FFFFFF" w:themeFill="background1"/>
              <w:spacing w:before="0"/>
              <w:ind w:firstLine="0"/>
              <w:rPr>
                <w:sz w:val="20"/>
                <w:lang w:val="lv-LV"/>
              </w:rPr>
            </w:pPr>
          </w:p>
        </w:tc>
        <w:tc>
          <w:tcPr>
            <w:tcW w:w="830" w:type="dxa"/>
            <w:tcBorders>
              <w:top w:val="single" w:sz="6" w:space="0" w:color="auto"/>
              <w:left w:val="single" w:sz="6" w:space="0" w:color="auto"/>
              <w:bottom w:val="single" w:sz="6" w:space="0" w:color="auto"/>
              <w:right w:val="single" w:sz="6" w:space="0" w:color="auto"/>
            </w:tcBorders>
            <w:shd w:val="clear" w:color="auto" w:fill="auto"/>
          </w:tcPr>
          <w:p w14:paraId="5C860DAC" w14:textId="77777777" w:rsidR="00A44152" w:rsidRPr="00550D35" w:rsidRDefault="00A44152" w:rsidP="00BA62A0">
            <w:pPr>
              <w:shd w:val="clear" w:color="auto" w:fill="FFFFFF" w:themeFill="background1"/>
              <w:spacing w:before="0"/>
              <w:ind w:firstLine="0"/>
              <w:rPr>
                <w:sz w:val="20"/>
                <w:lang w:val="lv-LV"/>
              </w:rPr>
            </w:pPr>
          </w:p>
        </w:tc>
        <w:tc>
          <w:tcPr>
            <w:tcW w:w="978" w:type="dxa"/>
            <w:tcBorders>
              <w:top w:val="single" w:sz="6" w:space="0" w:color="auto"/>
              <w:left w:val="single" w:sz="6" w:space="0" w:color="auto"/>
              <w:bottom w:val="single" w:sz="6" w:space="0" w:color="auto"/>
              <w:right w:val="single" w:sz="6" w:space="0" w:color="auto"/>
            </w:tcBorders>
            <w:shd w:val="clear" w:color="auto" w:fill="auto"/>
          </w:tcPr>
          <w:p w14:paraId="1DC75A00" w14:textId="77777777" w:rsidR="00A44152" w:rsidRPr="00550D35" w:rsidRDefault="00A44152" w:rsidP="00BA62A0">
            <w:pPr>
              <w:shd w:val="clear" w:color="auto" w:fill="FFFFFF" w:themeFill="background1"/>
              <w:spacing w:before="0"/>
              <w:ind w:firstLine="0"/>
              <w:rPr>
                <w:sz w:val="20"/>
                <w:lang w:val="lv-LV"/>
              </w:rPr>
            </w:pPr>
          </w:p>
        </w:tc>
      </w:tr>
      <w:tr w:rsidR="00A44152" w:rsidRPr="008A1BF8" w14:paraId="187AF769" w14:textId="77777777" w:rsidTr="00BA62A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auto"/>
          </w:tcPr>
          <w:p w14:paraId="08B2AF10" w14:textId="77777777" w:rsidR="00A44152" w:rsidRPr="00451B3E" w:rsidRDefault="00A44152" w:rsidP="00BA62A0">
            <w:pPr>
              <w:shd w:val="clear" w:color="auto" w:fill="FFFFFF" w:themeFill="background1"/>
              <w:spacing w:before="0"/>
              <w:ind w:firstLine="0"/>
              <w:rPr>
                <w:b/>
                <w:bCs/>
                <w:sz w:val="20"/>
                <w:lang w:val="lv-LV"/>
              </w:rPr>
            </w:pPr>
            <w:r w:rsidRPr="00451B3E">
              <w:rPr>
                <w:sz w:val="20"/>
                <w:lang w:val="lv-LV"/>
              </w:rPr>
              <w:t>Pasākums Nr.3</w:t>
            </w:r>
            <w:r w:rsidRPr="00550D35">
              <w:rPr>
                <w:sz w:val="20"/>
                <w:lang w:val="lv-LV"/>
              </w:rPr>
              <w:t xml:space="preserve"> </w:t>
            </w:r>
            <w:r>
              <w:rPr>
                <w:sz w:val="20"/>
                <w:lang w:val="lv-LV"/>
              </w:rPr>
              <w:t>“</w:t>
            </w:r>
            <w:r w:rsidRPr="00451B3E">
              <w:rPr>
                <w:b/>
                <w:bCs/>
                <w:sz w:val="20"/>
                <w:lang w:val="lv-LV"/>
              </w:rPr>
              <w:t>Digitālās dekādes mērķu sasniegšana publisko pakalpojumu pieejamības jomā (100% pieejamība komersantiem paredzētajiem pakalpojumiem)</w:t>
            </w:r>
            <w:r>
              <w:rPr>
                <w:b/>
                <w:bCs/>
                <w:sz w:val="20"/>
                <w:lang w:val="lv-LV"/>
              </w:rPr>
              <w:t>”</w:t>
            </w:r>
          </w:p>
          <w:p w14:paraId="49F2A40C" w14:textId="77777777" w:rsidR="00A44152" w:rsidRPr="00550D35" w:rsidRDefault="00A44152" w:rsidP="00BA62A0">
            <w:pPr>
              <w:shd w:val="clear" w:color="auto" w:fill="FFFFFF" w:themeFill="background1"/>
              <w:spacing w:before="0"/>
              <w:ind w:firstLine="0"/>
              <w:rPr>
                <w:sz w:val="20"/>
                <w:lang w:val="lv-LV"/>
              </w:rPr>
            </w:pPr>
            <w:r w:rsidRPr="0063021F">
              <w:rPr>
                <w:color w:val="525252"/>
                <w:sz w:val="20"/>
                <w:shd w:val="clear" w:color="auto" w:fill="FFFFFF" w:themeFill="background1"/>
                <w:lang w:val="lv-LV"/>
              </w:rPr>
              <w:t>Finansējuma avots:</w:t>
            </w:r>
            <w:r>
              <w:rPr>
                <w:color w:val="525252"/>
                <w:sz w:val="20"/>
                <w:shd w:val="clear" w:color="auto" w:fill="FFFFFF" w:themeFill="background1"/>
                <w:lang w:val="lv-LV"/>
              </w:rPr>
              <w:t xml:space="preserve"> nav noteikts</w:t>
            </w:r>
          </w:p>
        </w:tc>
        <w:tc>
          <w:tcPr>
            <w:tcW w:w="807" w:type="dxa"/>
            <w:tcBorders>
              <w:top w:val="single" w:sz="6" w:space="0" w:color="auto"/>
              <w:left w:val="single" w:sz="6" w:space="0" w:color="auto"/>
              <w:bottom w:val="single" w:sz="6" w:space="0" w:color="auto"/>
              <w:right w:val="single" w:sz="6" w:space="0" w:color="auto"/>
            </w:tcBorders>
            <w:shd w:val="clear" w:color="auto" w:fill="auto"/>
          </w:tcPr>
          <w:p w14:paraId="7C8C32C7" w14:textId="77777777" w:rsidR="00A44152" w:rsidRPr="00550D35" w:rsidRDefault="00A44152" w:rsidP="00BA62A0">
            <w:pPr>
              <w:shd w:val="clear" w:color="auto" w:fill="FFFFFF" w:themeFill="background1"/>
              <w:spacing w:before="0"/>
              <w:ind w:firstLine="0"/>
              <w:rPr>
                <w:sz w:val="20"/>
                <w:lang w:val="lv-LV"/>
              </w:rPr>
            </w:pPr>
          </w:p>
        </w:tc>
        <w:tc>
          <w:tcPr>
            <w:tcW w:w="806" w:type="dxa"/>
            <w:tcBorders>
              <w:top w:val="single" w:sz="6" w:space="0" w:color="auto"/>
              <w:left w:val="single" w:sz="6" w:space="0" w:color="auto"/>
              <w:bottom w:val="single" w:sz="6" w:space="0" w:color="auto"/>
              <w:right w:val="single" w:sz="6" w:space="0" w:color="auto"/>
            </w:tcBorders>
            <w:shd w:val="clear" w:color="auto" w:fill="FFFFFF" w:themeFill="background1"/>
          </w:tcPr>
          <w:p w14:paraId="2984F501" w14:textId="77777777" w:rsidR="00A44152" w:rsidRPr="00550D35" w:rsidRDefault="00A44152" w:rsidP="00BA62A0">
            <w:pPr>
              <w:shd w:val="clear" w:color="auto" w:fill="FFFFFF" w:themeFill="background1"/>
              <w:spacing w:before="0"/>
              <w:ind w:firstLine="0"/>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70AD47" w:themeFill="accent6"/>
          </w:tcPr>
          <w:p w14:paraId="6CB7F2D0" w14:textId="77777777" w:rsidR="00A44152" w:rsidRPr="00550D35" w:rsidRDefault="00A44152" w:rsidP="00BA62A0">
            <w:pPr>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70AD47" w:themeFill="accent6"/>
          </w:tcPr>
          <w:p w14:paraId="67EB1264" w14:textId="77777777" w:rsidR="00A44152" w:rsidRPr="00550D35" w:rsidRDefault="00A44152" w:rsidP="00BA62A0">
            <w:pPr>
              <w:rPr>
                <w:sz w:val="20"/>
                <w:lang w:val="lv-LV"/>
              </w:rPr>
            </w:pPr>
          </w:p>
        </w:tc>
        <w:tc>
          <w:tcPr>
            <w:tcW w:w="806" w:type="dxa"/>
            <w:tcBorders>
              <w:top w:val="single" w:sz="6" w:space="0" w:color="auto"/>
              <w:left w:val="single" w:sz="6" w:space="0" w:color="auto"/>
              <w:bottom w:val="single" w:sz="6" w:space="0" w:color="auto"/>
              <w:right w:val="single" w:sz="6" w:space="0" w:color="auto"/>
            </w:tcBorders>
            <w:shd w:val="clear" w:color="auto" w:fill="70AD47" w:themeFill="accent6"/>
          </w:tcPr>
          <w:p w14:paraId="402D77D8" w14:textId="77777777" w:rsidR="00A44152" w:rsidRPr="00550D35" w:rsidRDefault="00A44152" w:rsidP="00BA62A0">
            <w:pPr>
              <w:rPr>
                <w:sz w:val="20"/>
                <w:lang w:val="lv-LV"/>
              </w:rPr>
            </w:pPr>
          </w:p>
        </w:tc>
        <w:tc>
          <w:tcPr>
            <w:tcW w:w="681" w:type="dxa"/>
            <w:tcBorders>
              <w:top w:val="single" w:sz="6" w:space="0" w:color="auto"/>
              <w:left w:val="single" w:sz="6" w:space="0" w:color="auto"/>
              <w:bottom w:val="single" w:sz="6" w:space="0" w:color="auto"/>
              <w:right w:val="single" w:sz="6" w:space="0" w:color="auto"/>
            </w:tcBorders>
            <w:shd w:val="clear" w:color="auto" w:fill="70AD47" w:themeFill="accent6"/>
          </w:tcPr>
          <w:p w14:paraId="2B5B7A6D" w14:textId="77777777" w:rsidR="00A44152" w:rsidRPr="00550D35" w:rsidRDefault="00A44152" w:rsidP="00BA62A0">
            <w:pPr>
              <w:rPr>
                <w:sz w:val="20"/>
                <w:lang w:val="lv-LV"/>
              </w:rPr>
            </w:pPr>
          </w:p>
        </w:tc>
        <w:tc>
          <w:tcPr>
            <w:tcW w:w="830" w:type="dxa"/>
            <w:tcBorders>
              <w:top w:val="single" w:sz="6" w:space="0" w:color="auto"/>
              <w:left w:val="single" w:sz="6" w:space="0" w:color="auto"/>
              <w:bottom w:val="single" w:sz="6" w:space="0" w:color="auto"/>
              <w:right w:val="single" w:sz="6" w:space="0" w:color="auto"/>
            </w:tcBorders>
            <w:shd w:val="clear" w:color="auto" w:fill="70AD47" w:themeFill="accent6"/>
          </w:tcPr>
          <w:p w14:paraId="6F748315" w14:textId="77777777" w:rsidR="00A44152" w:rsidRPr="00550D35" w:rsidRDefault="00A44152" w:rsidP="00BA62A0">
            <w:pPr>
              <w:rPr>
                <w:sz w:val="20"/>
                <w:lang w:val="lv-LV"/>
              </w:rPr>
            </w:pPr>
          </w:p>
        </w:tc>
        <w:tc>
          <w:tcPr>
            <w:tcW w:w="978" w:type="dxa"/>
            <w:tcBorders>
              <w:top w:val="single" w:sz="6" w:space="0" w:color="auto"/>
              <w:left w:val="single" w:sz="6" w:space="0" w:color="auto"/>
              <w:bottom w:val="single" w:sz="6" w:space="0" w:color="auto"/>
              <w:right w:val="single" w:sz="6" w:space="0" w:color="auto"/>
            </w:tcBorders>
            <w:shd w:val="clear" w:color="auto" w:fill="70AD47" w:themeFill="accent6"/>
          </w:tcPr>
          <w:p w14:paraId="63D5B483" w14:textId="77777777" w:rsidR="00A44152" w:rsidRPr="00550D35" w:rsidRDefault="00A44152" w:rsidP="00BA62A0">
            <w:pPr>
              <w:rPr>
                <w:sz w:val="20"/>
                <w:lang w:val="lv-LV"/>
              </w:rPr>
            </w:pPr>
          </w:p>
        </w:tc>
      </w:tr>
    </w:tbl>
    <w:p w14:paraId="40722740" w14:textId="77777777" w:rsidR="00A44152" w:rsidRPr="00550D35" w:rsidRDefault="00A44152" w:rsidP="00A44152">
      <w:pPr>
        <w:pStyle w:val="ListParagraph"/>
        <w:rPr>
          <w:sz w:val="20"/>
          <w:szCs w:val="20"/>
          <w:lang w:val="lv-LV"/>
        </w:rPr>
      </w:pPr>
    </w:p>
    <w:p w14:paraId="76588D40" w14:textId="77777777" w:rsidR="00A44152" w:rsidRPr="00FD5D51" w:rsidRDefault="00A44152" w:rsidP="00A44152">
      <w:pPr>
        <w:spacing w:before="0" w:after="160" w:line="259" w:lineRule="auto"/>
        <w:ind w:firstLine="0"/>
        <w:contextualSpacing/>
        <w:jc w:val="left"/>
        <w:rPr>
          <w:noProof/>
          <w:szCs w:val="24"/>
          <w:lang w:val="lv-LV"/>
        </w:rPr>
      </w:pPr>
      <w:r w:rsidRPr="00FD5D51">
        <w:rPr>
          <w:b/>
          <w:noProof/>
          <w:szCs w:val="24"/>
          <w:lang w:val="lv-LV"/>
        </w:rPr>
        <w:t xml:space="preserve">Visu to pasākumu </w:t>
      </w:r>
      <w:r w:rsidRPr="00041643">
        <w:rPr>
          <w:b/>
          <w:noProof/>
          <w:szCs w:val="24"/>
          <w:lang w:val="lv-LV"/>
        </w:rPr>
        <w:t>budžets, kurus var attiecināt uz mērķrādītāju</w:t>
      </w:r>
    </w:p>
    <w:p w14:paraId="3E2FC9A2" w14:textId="77777777" w:rsidR="00A44152" w:rsidRPr="00550D35" w:rsidRDefault="00A44152" w:rsidP="00A44152">
      <w:pPr>
        <w:spacing w:before="0" w:after="160" w:line="259" w:lineRule="auto"/>
        <w:ind w:left="567" w:firstLine="0"/>
        <w:contextualSpacing/>
        <w:jc w:val="left"/>
        <w:rPr>
          <w:noProof/>
          <w:szCs w:val="24"/>
          <w:lang w:val="lv-LV"/>
        </w:rPr>
      </w:pPr>
      <w:r w:rsidRPr="00550D35">
        <w:rPr>
          <w:noProof/>
          <w:szCs w:val="24"/>
          <w:lang w:val="lv-LV"/>
        </w:rPr>
        <w:t xml:space="preserve">Publiskās investīcijas: </w:t>
      </w:r>
    </w:p>
    <w:p w14:paraId="4A572F95" w14:textId="77777777" w:rsidR="00A44152" w:rsidRPr="00550D35" w:rsidRDefault="00A44152" w:rsidP="00A44152">
      <w:pPr>
        <w:pStyle w:val="ListParagraph"/>
        <w:numPr>
          <w:ilvl w:val="4"/>
          <w:numId w:val="23"/>
        </w:numPr>
        <w:spacing w:before="0" w:after="160" w:line="259" w:lineRule="auto"/>
        <w:ind w:left="2268" w:hanging="567"/>
        <w:contextualSpacing/>
        <w:jc w:val="left"/>
        <w:rPr>
          <w:noProof/>
          <w:sz w:val="24"/>
          <w:szCs w:val="24"/>
          <w:lang w:val="lv-LV"/>
        </w:rPr>
      </w:pPr>
      <w:r w:rsidRPr="00550D35">
        <w:rPr>
          <w:noProof/>
          <w:sz w:val="24"/>
          <w:szCs w:val="24"/>
          <w:lang w:val="lv-LV"/>
        </w:rPr>
        <w:t>piešķirtas –nav piešķirtas;</w:t>
      </w:r>
    </w:p>
    <w:p w14:paraId="0DC937E8" w14:textId="77777777" w:rsidR="00A44152" w:rsidRPr="00550D35" w:rsidRDefault="00A44152" w:rsidP="00A44152">
      <w:pPr>
        <w:pStyle w:val="ListParagraph"/>
        <w:numPr>
          <w:ilvl w:val="4"/>
          <w:numId w:val="23"/>
        </w:numPr>
        <w:spacing w:before="0" w:after="160" w:line="259" w:lineRule="auto"/>
        <w:ind w:left="2268" w:hanging="567"/>
        <w:contextualSpacing/>
        <w:jc w:val="left"/>
        <w:rPr>
          <w:noProof/>
          <w:sz w:val="24"/>
          <w:szCs w:val="24"/>
          <w:lang w:val="lv-LV"/>
        </w:rPr>
      </w:pPr>
      <w:r w:rsidRPr="00550D35">
        <w:rPr>
          <w:noProof/>
          <w:sz w:val="24"/>
          <w:szCs w:val="24"/>
          <w:lang w:val="lv-LV"/>
        </w:rPr>
        <w:t>plānotas – 14,2 milj. </w:t>
      </w:r>
      <w:r w:rsidRPr="00550D35">
        <w:rPr>
          <w:i/>
          <w:noProof/>
          <w:sz w:val="24"/>
          <w:szCs w:val="24"/>
          <w:lang w:val="lv-LV"/>
        </w:rPr>
        <w:t>euro</w:t>
      </w:r>
      <w:r w:rsidRPr="00550D35">
        <w:rPr>
          <w:noProof/>
          <w:sz w:val="24"/>
          <w:szCs w:val="24"/>
          <w:lang w:val="lv-LV"/>
        </w:rPr>
        <w:t>.</w:t>
      </w:r>
    </w:p>
    <w:p w14:paraId="7B726B69" w14:textId="77777777" w:rsidR="00A44152" w:rsidRPr="00550D35" w:rsidRDefault="00A44152" w:rsidP="00A44152">
      <w:pPr>
        <w:pStyle w:val="ListParagraph"/>
        <w:numPr>
          <w:ilvl w:val="1"/>
          <w:numId w:val="23"/>
        </w:numPr>
        <w:spacing w:before="0" w:after="160" w:line="259" w:lineRule="auto"/>
        <w:contextualSpacing/>
        <w:jc w:val="left"/>
        <w:rPr>
          <w:sz w:val="24"/>
          <w:szCs w:val="24"/>
          <w:lang w:val="lv-LV"/>
        </w:rPr>
      </w:pPr>
      <w:r w:rsidRPr="00550D35">
        <w:rPr>
          <w:sz w:val="24"/>
          <w:szCs w:val="24"/>
          <w:lang w:val="lv-LV"/>
        </w:rPr>
        <w:t xml:space="preserve">No tām piešķirtas no ES avotiem (ANM): </w:t>
      </w:r>
    </w:p>
    <w:p w14:paraId="6F8F9AD2" w14:textId="77777777" w:rsidR="00A44152" w:rsidRPr="00550D35" w:rsidRDefault="00A44152" w:rsidP="00A44152">
      <w:pPr>
        <w:pStyle w:val="ListParagraph"/>
        <w:numPr>
          <w:ilvl w:val="4"/>
          <w:numId w:val="23"/>
        </w:numPr>
        <w:spacing w:before="0" w:after="160" w:line="259" w:lineRule="auto"/>
        <w:ind w:left="2694" w:hanging="426"/>
        <w:contextualSpacing/>
        <w:jc w:val="left"/>
        <w:rPr>
          <w:noProof/>
          <w:sz w:val="24"/>
          <w:szCs w:val="24"/>
          <w:lang w:val="lv-LV"/>
        </w:rPr>
      </w:pPr>
      <w:r w:rsidRPr="00550D35">
        <w:rPr>
          <w:noProof/>
          <w:sz w:val="24"/>
          <w:szCs w:val="24"/>
          <w:lang w:val="lv-LV"/>
        </w:rPr>
        <w:t>piešķirtas – nav piešķirtas</w:t>
      </w:r>
    </w:p>
    <w:p w14:paraId="733357E8" w14:textId="77777777" w:rsidR="00A44152" w:rsidRPr="00550D35" w:rsidRDefault="00A44152" w:rsidP="00A44152">
      <w:pPr>
        <w:pStyle w:val="ListParagraph"/>
        <w:numPr>
          <w:ilvl w:val="4"/>
          <w:numId w:val="23"/>
        </w:numPr>
        <w:spacing w:before="0" w:after="160" w:line="259" w:lineRule="auto"/>
        <w:ind w:left="2694" w:hanging="426"/>
        <w:contextualSpacing/>
        <w:jc w:val="left"/>
        <w:rPr>
          <w:noProof/>
          <w:sz w:val="24"/>
          <w:szCs w:val="24"/>
          <w:lang w:val="lv-LV"/>
        </w:rPr>
      </w:pPr>
      <w:r w:rsidRPr="00550D35">
        <w:rPr>
          <w:noProof/>
          <w:sz w:val="24"/>
          <w:szCs w:val="24"/>
          <w:lang w:val="lv-LV"/>
        </w:rPr>
        <w:lastRenderedPageBreak/>
        <w:t>plānotas – 14,2 milj. </w:t>
      </w:r>
      <w:r w:rsidRPr="00550D35">
        <w:rPr>
          <w:i/>
          <w:noProof/>
          <w:sz w:val="24"/>
          <w:szCs w:val="24"/>
          <w:lang w:val="lv-LV"/>
        </w:rPr>
        <w:t>euro</w:t>
      </w:r>
      <w:r w:rsidRPr="00550D35">
        <w:rPr>
          <w:noProof/>
          <w:sz w:val="24"/>
          <w:szCs w:val="24"/>
          <w:lang w:val="lv-LV"/>
        </w:rPr>
        <w:t xml:space="preserve"> (ANM)</w:t>
      </w:r>
    </w:p>
    <w:p w14:paraId="13C05599" w14:textId="77777777" w:rsidR="00A44152" w:rsidRPr="00550D35" w:rsidRDefault="00A44152" w:rsidP="00A44152">
      <w:pPr>
        <w:pStyle w:val="ListParagraph"/>
        <w:spacing w:before="0" w:after="160" w:line="259" w:lineRule="auto"/>
        <w:ind w:left="567" w:firstLine="0"/>
        <w:contextualSpacing/>
        <w:jc w:val="left"/>
        <w:rPr>
          <w:b/>
          <w:bCs/>
          <w:lang w:val="lv-LV"/>
        </w:rPr>
      </w:pPr>
    </w:p>
    <w:p w14:paraId="54A07ADD" w14:textId="77777777" w:rsidR="00A44152" w:rsidRPr="00550D35" w:rsidRDefault="00A44152" w:rsidP="00A44152">
      <w:pPr>
        <w:shd w:val="clear" w:color="auto" w:fill="FFFFFF" w:themeFill="background1"/>
        <w:spacing w:before="0"/>
        <w:ind w:firstLine="567"/>
        <w:rPr>
          <w:lang w:val="lv-LV"/>
        </w:rPr>
      </w:pPr>
      <w:r>
        <w:rPr>
          <w:bCs/>
          <w:lang w:val="lv-LV"/>
        </w:rPr>
        <w:t>3</w:t>
      </w:r>
      <w:r w:rsidRPr="00550D35">
        <w:rPr>
          <w:bCs/>
          <w:lang w:val="lv-LV"/>
        </w:rPr>
        <w:t>. pasākuma “</w:t>
      </w:r>
      <w:r w:rsidRPr="00550D35">
        <w:rPr>
          <w:lang w:val="lv-LV"/>
        </w:rPr>
        <w:t>Digitālās dekādes mērķu sasniegšana publisko pakalpojumu pieejamības jomā (100 % pieejamība juridiskajām personām (komersantiem) paredzētajiem pakalpojumiem)” – izmaksas nav zināmas, ņemot vērā, ka līdz 2023. gada beigām notiek darbs pie projektu atlases kritēriju izstrādes.</w:t>
      </w:r>
    </w:p>
    <w:p w14:paraId="2B96578A" w14:textId="77777777" w:rsidR="00A44152" w:rsidRPr="00550D35" w:rsidRDefault="00A44152" w:rsidP="00A44152">
      <w:pPr>
        <w:pStyle w:val="ListParagraph"/>
        <w:ind w:left="1080"/>
        <w:rPr>
          <w:sz w:val="20"/>
          <w:szCs w:val="20"/>
          <w:lang w:val="lv-LV"/>
        </w:rPr>
      </w:pPr>
    </w:p>
    <w:p w14:paraId="41A90826" w14:textId="77777777" w:rsidR="00A44152" w:rsidRPr="00550D35" w:rsidRDefault="00A44152" w:rsidP="00A44152">
      <w:pPr>
        <w:pStyle w:val="Heading2"/>
        <w:rPr>
          <w:lang w:val="lv-LV"/>
        </w:rPr>
      </w:pPr>
      <w:r w:rsidRPr="00550D35">
        <w:rPr>
          <w:lang w:val="lv-LV"/>
        </w:rPr>
        <w:t>Galvenā politika, pasākumi un darbības, kas paredzēti, lai palīdzētu sasniegt vispārīgos mērķus</w:t>
      </w:r>
    </w:p>
    <w:p w14:paraId="0CAA6A6E" w14:textId="77777777" w:rsidR="00A44152" w:rsidRPr="00550D35" w:rsidRDefault="00A44152" w:rsidP="00B0434D">
      <w:pPr>
        <w:rPr>
          <w:lang w:val="lv-LV"/>
        </w:rPr>
      </w:pPr>
      <w:r w:rsidRPr="00550D35">
        <w:rPr>
          <w:lang w:val="lv-LV"/>
        </w:rPr>
        <w:t xml:space="preserve">Īstenojamie pasākumi un darbības KPI “Publiskie pakalpojumi iedzīvotājiem” jomā sniedz ieguldījumu iedzīvotāju piekļuvē digitālajām tehnoloģijām, tostarp, nodrošinot, ka uzticamā un drošā tiešsaistes vidē var ikviens, jo tiek nodrošināti iekļaujoši, efektīvi, </w:t>
      </w:r>
      <w:proofErr w:type="spellStart"/>
      <w:r w:rsidRPr="00550D35">
        <w:rPr>
          <w:lang w:val="lv-LV"/>
        </w:rPr>
        <w:t>sadarbspējīgi</w:t>
      </w:r>
      <w:proofErr w:type="spellEnd"/>
      <w:r w:rsidRPr="00550D35">
        <w:rPr>
          <w:lang w:val="lv-LV"/>
        </w:rPr>
        <w:t xml:space="preserve"> un personalizēti pakalpojumi un rīki ar augstiem drošības un privātuma standartiem. Īstenojamie pasākumi veicina arī zaļo pārveidi, kā arī līderību un suverenitāti.</w:t>
      </w:r>
    </w:p>
    <w:p w14:paraId="0BA93585" w14:textId="77777777" w:rsidR="00B0434D" w:rsidRPr="00550D35" w:rsidRDefault="00B0434D" w:rsidP="00A44152">
      <w:pPr>
        <w:rPr>
          <w:szCs w:val="24"/>
          <w:lang w:val="lv-LV"/>
        </w:rPr>
      </w:pPr>
    </w:p>
    <w:tbl>
      <w:tblPr>
        <w:tblW w:w="8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530"/>
        <w:gridCol w:w="5681"/>
      </w:tblGrid>
      <w:tr w:rsidR="00A44152" w:rsidRPr="003B2E9A" w14:paraId="7BD34760" w14:textId="77777777" w:rsidTr="00AD774A">
        <w:trPr>
          <w:trHeight w:val="520"/>
        </w:trPr>
        <w:tc>
          <w:tcPr>
            <w:tcW w:w="1418" w:type="dxa"/>
            <w:tcMar>
              <w:top w:w="0" w:type="dxa"/>
              <w:left w:w="108" w:type="dxa"/>
              <w:bottom w:w="0" w:type="dxa"/>
              <w:right w:w="108" w:type="dxa"/>
            </w:tcMar>
            <w:vAlign w:val="center"/>
          </w:tcPr>
          <w:p w14:paraId="245049E0" w14:textId="77777777" w:rsidR="00A44152" w:rsidRPr="00550D35" w:rsidRDefault="00A44152" w:rsidP="00BA62A0">
            <w:pPr>
              <w:pStyle w:val="ListParagraph"/>
              <w:spacing w:before="120"/>
              <w:ind w:left="142" w:firstLine="0"/>
              <w:jc w:val="left"/>
              <w:rPr>
                <w:rFonts w:cs="Times New Roman"/>
                <w:b/>
                <w:i/>
                <w:sz w:val="20"/>
                <w:szCs w:val="20"/>
                <w:lang w:val="lv-LV"/>
              </w:rPr>
            </w:pPr>
          </w:p>
        </w:tc>
        <w:tc>
          <w:tcPr>
            <w:tcW w:w="1530" w:type="dxa"/>
            <w:tcMar>
              <w:top w:w="0" w:type="dxa"/>
              <w:left w:w="108" w:type="dxa"/>
              <w:bottom w:w="0" w:type="dxa"/>
              <w:right w:w="108" w:type="dxa"/>
            </w:tcMar>
            <w:vAlign w:val="center"/>
          </w:tcPr>
          <w:p w14:paraId="372EDCE2" w14:textId="77777777" w:rsidR="00A44152" w:rsidRPr="00550D35" w:rsidRDefault="00A44152" w:rsidP="00BA62A0">
            <w:pPr>
              <w:spacing w:before="120" w:after="0"/>
              <w:ind w:firstLine="0"/>
              <w:jc w:val="left"/>
              <w:rPr>
                <w:b/>
                <w:i/>
                <w:sz w:val="20"/>
                <w:lang w:val="lv-LV"/>
              </w:rPr>
            </w:pPr>
            <w:r w:rsidRPr="00550D35">
              <w:rPr>
                <w:b/>
                <w:i/>
                <w:sz w:val="20"/>
                <w:lang w:val="lv-LV"/>
              </w:rPr>
              <w:t>Vispārīgie mērķi</w:t>
            </w:r>
          </w:p>
        </w:tc>
        <w:tc>
          <w:tcPr>
            <w:tcW w:w="5681" w:type="dxa"/>
            <w:vAlign w:val="center"/>
          </w:tcPr>
          <w:p w14:paraId="1BDCAC86" w14:textId="77777777" w:rsidR="00A44152" w:rsidRPr="00550D35" w:rsidRDefault="00A44152" w:rsidP="00BA62A0">
            <w:pPr>
              <w:pStyle w:val="ListParagraph"/>
              <w:spacing w:before="120"/>
              <w:ind w:left="53" w:firstLine="0"/>
              <w:jc w:val="left"/>
              <w:rPr>
                <w:rFonts w:cs="Times New Roman"/>
                <w:b/>
                <w:i/>
                <w:sz w:val="20"/>
                <w:szCs w:val="20"/>
                <w:lang w:val="lv-LV"/>
              </w:rPr>
            </w:pPr>
            <w:r w:rsidRPr="00550D35">
              <w:rPr>
                <w:rFonts w:cs="Times New Roman"/>
                <w:b/>
                <w:i/>
                <w:sz w:val="20"/>
                <w:szCs w:val="20"/>
                <w:lang w:val="lv-LV"/>
              </w:rPr>
              <w:t>Dalībvalsts iespējamā ieguldījuma jomu piemēri</w:t>
            </w:r>
          </w:p>
        </w:tc>
      </w:tr>
      <w:tr w:rsidR="00A44152" w:rsidRPr="003B2E9A" w14:paraId="1AF642A9" w14:textId="77777777" w:rsidTr="00AD774A">
        <w:trPr>
          <w:trHeight w:val="1401"/>
        </w:trPr>
        <w:tc>
          <w:tcPr>
            <w:tcW w:w="1418" w:type="dxa"/>
            <w:tcMar>
              <w:top w:w="0" w:type="dxa"/>
              <w:left w:w="108" w:type="dxa"/>
              <w:bottom w:w="0" w:type="dxa"/>
              <w:right w:w="108" w:type="dxa"/>
            </w:tcMar>
            <w:vAlign w:val="center"/>
            <w:hideMark/>
          </w:tcPr>
          <w:p w14:paraId="73661EA4" w14:textId="77777777" w:rsidR="00A44152" w:rsidRPr="00550D35" w:rsidRDefault="00A44152" w:rsidP="00BA62A0">
            <w:pPr>
              <w:spacing w:before="120" w:after="0"/>
              <w:ind w:right="-252" w:firstLine="0"/>
              <w:rPr>
                <w:b/>
                <w:i/>
                <w:sz w:val="20"/>
                <w:lang w:val="lv-LV"/>
              </w:rPr>
            </w:pPr>
            <w:r w:rsidRPr="00550D35">
              <w:rPr>
                <w:b/>
                <w:i/>
                <w:sz w:val="20"/>
                <w:lang w:val="lv-LV"/>
              </w:rPr>
              <w:t>Veicināt iedzīvotāju</w:t>
            </w:r>
            <w:r w:rsidRPr="00550D35">
              <w:rPr>
                <w:b/>
                <w:i/>
                <w:sz w:val="20"/>
                <w:lang w:val="lv-LV"/>
              </w:rPr>
              <w:br/>
              <w:t xml:space="preserve">piekļuvi digitālajām tehnoloģijām </w:t>
            </w:r>
          </w:p>
        </w:tc>
        <w:tc>
          <w:tcPr>
            <w:tcW w:w="1530" w:type="dxa"/>
            <w:tcMar>
              <w:top w:w="0" w:type="dxa"/>
              <w:left w:w="108" w:type="dxa"/>
              <w:bottom w:w="0" w:type="dxa"/>
              <w:right w:w="108" w:type="dxa"/>
            </w:tcMar>
            <w:vAlign w:val="center"/>
          </w:tcPr>
          <w:p w14:paraId="2FB261A8" w14:textId="77777777" w:rsidR="00A44152" w:rsidRPr="00550D35" w:rsidRDefault="00A44152" w:rsidP="00BA62A0">
            <w:pPr>
              <w:spacing w:before="120" w:after="0"/>
              <w:ind w:firstLine="0"/>
              <w:rPr>
                <w:i/>
                <w:sz w:val="20"/>
                <w:lang w:val="lv-LV"/>
              </w:rPr>
            </w:pPr>
            <w:r w:rsidRPr="00550D35">
              <w:rPr>
                <w:sz w:val="20"/>
                <w:lang w:val="lv-LV"/>
              </w:rPr>
              <w:t>Atsaucoties uz mērķiem, kas minēti Dekādes programmas 3.panta 1.daļas (a), (b), (e) un (g</w:t>
            </w:r>
            <w:r w:rsidRPr="00550D35">
              <w:rPr>
                <w:i/>
                <w:sz w:val="20"/>
                <w:lang w:val="lv-LV"/>
              </w:rPr>
              <w:t>)</w:t>
            </w:r>
            <w:r w:rsidRPr="00550D35">
              <w:rPr>
                <w:iCs/>
                <w:sz w:val="20"/>
                <w:lang w:val="lv-LV"/>
              </w:rPr>
              <w:t xml:space="preserve"> punktā</w:t>
            </w:r>
          </w:p>
        </w:tc>
        <w:tc>
          <w:tcPr>
            <w:tcW w:w="5681" w:type="dxa"/>
          </w:tcPr>
          <w:p w14:paraId="6959290B" w14:textId="77777777" w:rsidR="00A44152" w:rsidRPr="00550D35" w:rsidRDefault="00A44152" w:rsidP="00BA62A0">
            <w:pPr>
              <w:pStyle w:val="Text3"/>
              <w:spacing w:before="120" w:after="0"/>
              <w:ind w:left="0" w:firstLine="0"/>
              <w:rPr>
                <w:sz w:val="20"/>
                <w:lang w:val="lv-LV"/>
              </w:rPr>
            </w:pPr>
            <w:r w:rsidRPr="00550D35">
              <w:rPr>
                <w:sz w:val="20"/>
                <w:lang w:val="lv-LV"/>
              </w:rPr>
              <w:t>1. pasākums nodrošina digitālās vides attīstīšanu un labas pārvaldības principiem atbilstošu pārvaldību, radot pamatu  pakalpojumu sniegšanai komersantiem.</w:t>
            </w:r>
          </w:p>
          <w:p w14:paraId="1C8881FC" w14:textId="77777777" w:rsidR="00A44152" w:rsidRPr="00550D35" w:rsidRDefault="00A44152" w:rsidP="00BA62A0">
            <w:pPr>
              <w:pStyle w:val="Text3"/>
              <w:spacing w:before="120" w:after="0"/>
              <w:ind w:left="0" w:firstLine="0"/>
              <w:rPr>
                <w:sz w:val="20"/>
                <w:lang w:val="lv-LV"/>
              </w:rPr>
            </w:pPr>
            <w:r w:rsidRPr="00550D35">
              <w:rPr>
                <w:sz w:val="20"/>
                <w:lang w:val="lv-LV"/>
              </w:rPr>
              <w:t>2. pasākums nodrošina biznesa portālu ar jau izstrādātajiem centralizētajiem lietojumiem.</w:t>
            </w:r>
          </w:p>
          <w:p w14:paraId="3BEF651B" w14:textId="77777777" w:rsidR="00A44152" w:rsidRPr="00550D35" w:rsidRDefault="00A44152" w:rsidP="00BA62A0">
            <w:pPr>
              <w:pStyle w:val="Text3"/>
              <w:spacing w:before="120" w:after="0"/>
              <w:ind w:left="0" w:firstLine="0"/>
              <w:rPr>
                <w:sz w:val="20"/>
                <w:lang w:val="lv-LV"/>
              </w:rPr>
            </w:pPr>
            <w:r w:rsidRPr="00550D35">
              <w:rPr>
                <w:sz w:val="20"/>
                <w:lang w:val="lv-LV"/>
              </w:rPr>
              <w:t>3. pasākums rada jaunu platformu komersantiem, kur tiem viegli un ātri ir pieejama informācija, kas saistīta ar valsts prasībām komercdarbības veikšanai dažādās jomās.</w:t>
            </w:r>
          </w:p>
          <w:p w14:paraId="6A069E5D" w14:textId="77777777" w:rsidR="00A44152" w:rsidRPr="00550D35" w:rsidRDefault="00A44152" w:rsidP="00BA62A0">
            <w:pPr>
              <w:pStyle w:val="Text3"/>
              <w:spacing w:before="120" w:after="0"/>
              <w:ind w:left="0" w:firstLine="0"/>
              <w:rPr>
                <w:sz w:val="20"/>
                <w:lang w:val="lv-LV"/>
              </w:rPr>
            </w:pPr>
            <w:r w:rsidRPr="00550D35">
              <w:rPr>
                <w:sz w:val="20"/>
                <w:lang w:val="lv-LV"/>
              </w:rPr>
              <w:t xml:space="preserve">4. pasākums radīs pamatu komersantiem drošai un kontrolētai jauno risinājumu izmantošanai digitālajā vidē, ievērojot cilvēka </w:t>
            </w:r>
            <w:proofErr w:type="spellStart"/>
            <w:r w:rsidRPr="00550D35">
              <w:rPr>
                <w:sz w:val="20"/>
                <w:lang w:val="lv-LV"/>
              </w:rPr>
              <w:t>pamattiesības</w:t>
            </w:r>
            <w:proofErr w:type="spellEnd"/>
            <w:r w:rsidRPr="00550D35">
              <w:rPr>
                <w:sz w:val="20"/>
                <w:lang w:val="lv-LV"/>
              </w:rPr>
              <w:t>.</w:t>
            </w:r>
          </w:p>
        </w:tc>
      </w:tr>
      <w:tr w:rsidR="00A44152" w:rsidRPr="003B2E9A" w14:paraId="08131FEC" w14:textId="77777777" w:rsidTr="00AD774A">
        <w:trPr>
          <w:trHeight w:val="537"/>
        </w:trPr>
        <w:tc>
          <w:tcPr>
            <w:tcW w:w="1418" w:type="dxa"/>
            <w:tcMar>
              <w:top w:w="0" w:type="dxa"/>
              <w:left w:w="108" w:type="dxa"/>
              <w:bottom w:w="0" w:type="dxa"/>
              <w:right w:w="108" w:type="dxa"/>
            </w:tcMar>
            <w:vAlign w:val="center"/>
            <w:hideMark/>
          </w:tcPr>
          <w:p w14:paraId="7467FDF2" w14:textId="77777777" w:rsidR="00A44152" w:rsidRPr="00550D35" w:rsidRDefault="00A44152" w:rsidP="00BA62A0">
            <w:pPr>
              <w:spacing w:before="120" w:after="0"/>
              <w:ind w:firstLine="0"/>
              <w:rPr>
                <w:b/>
                <w:i/>
                <w:sz w:val="20"/>
                <w:lang w:val="lv-LV"/>
              </w:rPr>
            </w:pPr>
            <w:r w:rsidRPr="00550D35">
              <w:rPr>
                <w:b/>
                <w:i/>
                <w:sz w:val="20"/>
                <w:lang w:val="lv-LV"/>
              </w:rPr>
              <w:t>Veicināt līderību un suverenitāti</w:t>
            </w:r>
          </w:p>
        </w:tc>
        <w:tc>
          <w:tcPr>
            <w:tcW w:w="1530" w:type="dxa"/>
            <w:tcMar>
              <w:top w:w="0" w:type="dxa"/>
              <w:left w:w="108" w:type="dxa"/>
              <w:bottom w:w="0" w:type="dxa"/>
              <w:right w:w="108" w:type="dxa"/>
            </w:tcMar>
            <w:vAlign w:val="center"/>
            <w:hideMark/>
          </w:tcPr>
          <w:p w14:paraId="548621BA" w14:textId="77777777" w:rsidR="00A44152" w:rsidRPr="00550D35" w:rsidRDefault="00A44152" w:rsidP="00BA62A0">
            <w:pPr>
              <w:spacing w:before="120" w:after="0"/>
              <w:ind w:firstLine="0"/>
              <w:rPr>
                <w:i/>
                <w:sz w:val="20"/>
                <w:lang w:val="lv-LV"/>
              </w:rPr>
            </w:pPr>
            <w:r w:rsidRPr="00550D35">
              <w:rPr>
                <w:sz w:val="20"/>
                <w:lang w:val="lv-LV"/>
              </w:rPr>
              <w:t>Atsaucoties uz mērķiem, kas minēti Dekādes programmas 3.panta 1.daļas (c) un (d) punktā</w:t>
            </w:r>
          </w:p>
        </w:tc>
        <w:tc>
          <w:tcPr>
            <w:tcW w:w="5681" w:type="dxa"/>
          </w:tcPr>
          <w:p w14:paraId="38C8BD4E" w14:textId="77777777" w:rsidR="00A44152" w:rsidRPr="00550D35" w:rsidRDefault="00A44152" w:rsidP="00BA62A0">
            <w:pPr>
              <w:pStyle w:val="ListParagraph"/>
              <w:spacing w:before="120"/>
              <w:ind w:left="0" w:firstLine="0"/>
              <w:rPr>
                <w:rFonts w:cs="Times New Roman"/>
                <w:b/>
                <w:i/>
                <w:sz w:val="20"/>
                <w:szCs w:val="20"/>
                <w:lang w:val="lv-LV"/>
              </w:rPr>
            </w:pPr>
            <w:r w:rsidRPr="00550D35">
              <w:rPr>
                <w:sz w:val="20"/>
                <w:szCs w:val="20"/>
                <w:lang w:val="lv-LV"/>
              </w:rPr>
              <w:t xml:space="preserve">1. pasākums nodrošina lielu publiskās pārvaldes datu apjomu uzkrāšanu un apstrādi. Datu </w:t>
            </w:r>
            <w:proofErr w:type="spellStart"/>
            <w:r w:rsidRPr="00550D35">
              <w:rPr>
                <w:sz w:val="20"/>
                <w:szCs w:val="20"/>
                <w:lang w:val="lv-LV"/>
              </w:rPr>
              <w:t>depersonalizācijas</w:t>
            </w:r>
            <w:proofErr w:type="spellEnd"/>
            <w:r w:rsidRPr="00550D35">
              <w:rPr>
                <w:sz w:val="20"/>
                <w:szCs w:val="20"/>
                <w:lang w:val="lv-LV"/>
              </w:rPr>
              <w:t xml:space="preserve"> risinājumu ieviešana palielinās datu apjomu, kuru ievērojot noteiktus priekšnoteikumus būs iespējams nodot </w:t>
            </w:r>
            <w:proofErr w:type="spellStart"/>
            <w:r w:rsidRPr="00550D35">
              <w:rPr>
                <w:sz w:val="20"/>
                <w:szCs w:val="20"/>
                <w:lang w:val="lv-LV"/>
              </w:rPr>
              <w:t>atkalizmantošanai</w:t>
            </w:r>
            <w:proofErr w:type="spellEnd"/>
            <w:r w:rsidRPr="00550D35">
              <w:rPr>
                <w:sz w:val="20"/>
                <w:szCs w:val="20"/>
                <w:lang w:val="lv-LV"/>
              </w:rPr>
              <w:t xml:space="preserve"> un pakalpojumu tālākai pilnveidošanai un komercdarbības attīstībai, kā arī mijiedarbojoties un  balstoties uz apkopotajiem datiem, paredz izstrādāt risinājumus </w:t>
            </w:r>
            <w:proofErr w:type="spellStart"/>
            <w:r w:rsidRPr="00550D35">
              <w:rPr>
                <w:sz w:val="20"/>
                <w:szCs w:val="20"/>
                <w:lang w:val="lv-LV"/>
              </w:rPr>
              <w:t>proaktīvai</w:t>
            </w:r>
            <w:proofErr w:type="spellEnd"/>
            <w:r w:rsidRPr="00550D35">
              <w:rPr>
                <w:sz w:val="20"/>
                <w:szCs w:val="20"/>
                <w:lang w:val="lv-LV"/>
              </w:rPr>
              <w:t xml:space="preserve"> pakalpojumu sniegšanai, kā arī nodrošināt visas komercdarbības veikšanai nepieciešamās informācijas pieejamību vienuviet gan Latvijas gan ārvalstu komersantiem.</w:t>
            </w:r>
          </w:p>
        </w:tc>
      </w:tr>
      <w:tr w:rsidR="00A44152" w:rsidRPr="003B2E9A" w14:paraId="77A436DB" w14:textId="77777777" w:rsidTr="00AD774A">
        <w:trPr>
          <w:trHeight w:val="1120"/>
        </w:trPr>
        <w:tc>
          <w:tcPr>
            <w:tcW w:w="1418" w:type="dxa"/>
            <w:tcMar>
              <w:top w:w="0" w:type="dxa"/>
              <w:left w:w="108" w:type="dxa"/>
              <w:bottom w:w="0" w:type="dxa"/>
              <w:right w:w="108" w:type="dxa"/>
            </w:tcMar>
            <w:vAlign w:val="center"/>
          </w:tcPr>
          <w:p w14:paraId="60BC5841" w14:textId="77777777" w:rsidR="00A44152" w:rsidRPr="00550D35" w:rsidRDefault="00A44152" w:rsidP="00BA62A0">
            <w:pPr>
              <w:spacing w:before="120" w:after="0"/>
              <w:ind w:firstLine="0"/>
              <w:rPr>
                <w:b/>
                <w:i/>
                <w:sz w:val="20"/>
                <w:lang w:val="lv-LV"/>
              </w:rPr>
            </w:pPr>
            <w:r w:rsidRPr="00550D35">
              <w:rPr>
                <w:b/>
                <w:i/>
                <w:sz w:val="20"/>
                <w:lang w:val="lv-LV"/>
              </w:rPr>
              <w:t>Veicināt zaļo pārveidi</w:t>
            </w:r>
          </w:p>
        </w:tc>
        <w:tc>
          <w:tcPr>
            <w:tcW w:w="1530" w:type="dxa"/>
            <w:tcMar>
              <w:top w:w="0" w:type="dxa"/>
              <w:left w:w="108" w:type="dxa"/>
              <w:bottom w:w="0" w:type="dxa"/>
              <w:right w:w="108" w:type="dxa"/>
            </w:tcMar>
            <w:vAlign w:val="center"/>
          </w:tcPr>
          <w:p w14:paraId="3492A64E" w14:textId="77777777" w:rsidR="00A44152" w:rsidRPr="00550D35" w:rsidRDefault="00A44152" w:rsidP="00BA62A0">
            <w:pPr>
              <w:spacing w:before="120" w:after="0"/>
              <w:ind w:firstLine="0"/>
              <w:rPr>
                <w:sz w:val="20"/>
                <w:lang w:val="lv-LV"/>
              </w:rPr>
            </w:pPr>
            <w:r w:rsidRPr="00550D35">
              <w:rPr>
                <w:sz w:val="20"/>
                <w:lang w:val="lv-LV"/>
              </w:rPr>
              <w:t>Atsaucoties uz mērķiem, kas minēti Dekādes programmas</w:t>
            </w:r>
          </w:p>
          <w:p w14:paraId="7902DF5D" w14:textId="77777777" w:rsidR="00A44152" w:rsidRPr="00550D35" w:rsidRDefault="00A44152" w:rsidP="00BA62A0">
            <w:pPr>
              <w:spacing w:before="120" w:after="0"/>
              <w:ind w:firstLine="0"/>
              <w:rPr>
                <w:sz w:val="20"/>
                <w:lang w:val="lv-LV"/>
              </w:rPr>
            </w:pPr>
            <w:r w:rsidRPr="00550D35">
              <w:rPr>
                <w:lang w:val="lv-LV"/>
              </w:rPr>
              <w:br/>
            </w:r>
            <w:r w:rsidRPr="00550D35">
              <w:rPr>
                <w:sz w:val="20"/>
                <w:lang w:val="lv-LV"/>
              </w:rPr>
              <w:t>3. panta 1. daļas (f) punktā.</w:t>
            </w:r>
          </w:p>
        </w:tc>
        <w:tc>
          <w:tcPr>
            <w:tcW w:w="5681" w:type="dxa"/>
          </w:tcPr>
          <w:p w14:paraId="7E3FFB9A" w14:textId="77777777" w:rsidR="00A44152" w:rsidRPr="00550D35" w:rsidRDefault="00A44152" w:rsidP="00BA62A0">
            <w:pPr>
              <w:spacing w:before="120" w:after="0"/>
              <w:ind w:firstLine="0"/>
              <w:rPr>
                <w:rFonts w:eastAsiaTheme="minorEastAsia" w:cs="Calibri"/>
                <w:sz w:val="20"/>
                <w:lang w:val="lv-LV" w:eastAsia="en-US"/>
              </w:rPr>
            </w:pPr>
            <w:r w:rsidRPr="00550D35">
              <w:rPr>
                <w:rFonts w:eastAsiaTheme="minorEastAsia" w:cs="Calibri"/>
                <w:sz w:val="20"/>
                <w:lang w:val="lv-LV" w:eastAsia="en-US"/>
              </w:rPr>
              <w:t xml:space="preserve">Visi 14. punktā minētie pasākumi ir vērsti uz digitālo risinājumu radīšanu un izmantošanas veicināšanu, tādejādi mazinot nepieciešamību komersantiem apmeklēt publiskās pārvaldes iestādes publiskās pārvaldes pakalpojumu saņemšanai, tādejādi samazinot negatīvo ietekmi uz vidi. </w:t>
            </w:r>
          </w:p>
        </w:tc>
      </w:tr>
    </w:tbl>
    <w:p w14:paraId="71D96FC2" w14:textId="77777777" w:rsidR="00A44152" w:rsidRPr="00550D35" w:rsidRDefault="00A44152" w:rsidP="00A44152">
      <w:pPr>
        <w:pStyle w:val="Text2"/>
        <w:rPr>
          <w:lang w:val="lv-LV"/>
        </w:rPr>
      </w:pPr>
    </w:p>
    <w:p w14:paraId="3DA15D96" w14:textId="77777777" w:rsidR="00A44152" w:rsidRPr="00550D35" w:rsidRDefault="00A44152" w:rsidP="00A44152">
      <w:pPr>
        <w:pStyle w:val="Heading2"/>
        <w:rPr>
          <w:lang w:val="lv-LV"/>
        </w:rPr>
      </w:pPr>
      <w:r w:rsidRPr="00550D35">
        <w:rPr>
          <w:lang w:val="lv-LV"/>
        </w:rPr>
        <w:lastRenderedPageBreak/>
        <w:t>ES līmeņa sadarbība</w:t>
      </w:r>
    </w:p>
    <w:p w14:paraId="729023EC" w14:textId="77777777" w:rsidR="00A44152" w:rsidRPr="00550D35" w:rsidRDefault="00A44152" w:rsidP="00A44152">
      <w:pPr>
        <w:pStyle w:val="Heading3"/>
        <w:rPr>
          <w:lang w:val="lv-LV"/>
        </w:rPr>
      </w:pPr>
      <w:r w:rsidRPr="00550D35">
        <w:rPr>
          <w:lang w:val="lv-LV"/>
        </w:rPr>
        <w:t>Daudzvalstu projekti</w:t>
      </w:r>
    </w:p>
    <w:p w14:paraId="1EBF0C2C" w14:textId="77777777" w:rsidR="00A44152" w:rsidRPr="00550D35" w:rsidRDefault="00A44152" w:rsidP="00A44152">
      <w:pPr>
        <w:rPr>
          <w:rFonts w:eastAsia="Calibri"/>
          <w:lang w:val="lv-LV"/>
        </w:rPr>
      </w:pPr>
      <w:r w:rsidRPr="00550D35">
        <w:rPr>
          <w:rFonts w:eastAsia="Calibri"/>
          <w:lang w:val="lv-LV"/>
        </w:rPr>
        <w:t>Latvija ir partneris TOOP projektā</w:t>
      </w:r>
      <w:r w:rsidRPr="00550D35">
        <w:rPr>
          <w:rStyle w:val="FootnoteReference"/>
          <w:rFonts w:eastAsia="Calibri"/>
          <w:lang w:val="lv-LV"/>
        </w:rPr>
        <w:footnoteReference w:id="83"/>
      </w:r>
      <w:r w:rsidRPr="00550D35">
        <w:rPr>
          <w:rFonts w:eastAsia="Calibri"/>
          <w:lang w:val="lv-LV"/>
        </w:rPr>
        <w:t xml:space="preserve">, kura uzdevums ir veicināt </w:t>
      </w:r>
      <w:proofErr w:type="spellStart"/>
      <w:r w:rsidRPr="00550D35">
        <w:rPr>
          <w:rFonts w:eastAsia="Calibri"/>
          <w:lang w:val="lv-LV"/>
        </w:rPr>
        <w:t>vienreizes</w:t>
      </w:r>
      <w:proofErr w:type="spellEnd"/>
      <w:r w:rsidRPr="00550D35">
        <w:rPr>
          <w:rFonts w:eastAsia="Calibri"/>
          <w:lang w:val="lv-LV"/>
        </w:rPr>
        <w:t xml:space="preserve"> principa ieviešanu pārrobežu sadarbībā attiecībā uz biznesa datu un dokumentu apmaiņu starp publiskajām administrācijām, kā arī publiskajām administrācijām un biznesa struktūrām.</w:t>
      </w:r>
    </w:p>
    <w:p w14:paraId="2242BC24" w14:textId="77777777" w:rsidR="00A44152" w:rsidRPr="00550D35" w:rsidRDefault="00A44152" w:rsidP="00A44152">
      <w:pPr>
        <w:rPr>
          <w:lang w:val="lv-LV"/>
        </w:rPr>
      </w:pPr>
    </w:p>
    <w:p w14:paraId="753887D8" w14:textId="77777777" w:rsidR="00A44152" w:rsidRPr="00550D35" w:rsidRDefault="00A44152" w:rsidP="00A44152">
      <w:pPr>
        <w:pStyle w:val="Heading3"/>
        <w:rPr>
          <w:lang w:val="lv-LV"/>
        </w:rPr>
      </w:pPr>
      <w:r w:rsidRPr="00550D35">
        <w:rPr>
          <w:lang w:val="lv-LV"/>
        </w:rPr>
        <w:t>Veicinošie faktori ES līmenī</w:t>
      </w:r>
    </w:p>
    <w:p w14:paraId="14C05059" w14:textId="77777777" w:rsidR="00A44152" w:rsidRPr="00550D35" w:rsidRDefault="00A44152" w:rsidP="00A44152">
      <w:pPr>
        <w:rPr>
          <w:lang w:val="lv-LV"/>
        </w:rPr>
      </w:pPr>
      <w:r w:rsidRPr="00550D35">
        <w:rPr>
          <w:lang w:val="lv-LV"/>
        </w:rPr>
        <w:t xml:space="preserve">Īpaši jāuzsver ANM investīciju nozīmi Latvijas komersantu prasmju attīstības kontekstā (kas nepieciešamas arī prasmēm izmantot pakalpojumus elektroniski), jo ANM plāna investīcijas ir paredzētas digitālo prasmju attīstības pasākumiem, aptverot gan </w:t>
      </w:r>
      <w:proofErr w:type="spellStart"/>
      <w:r w:rsidRPr="00550D35">
        <w:rPr>
          <w:lang w:val="lv-LV"/>
        </w:rPr>
        <w:t>pamatprasmes</w:t>
      </w:r>
      <w:proofErr w:type="spellEnd"/>
      <w:r w:rsidRPr="00550D35">
        <w:rPr>
          <w:lang w:val="lv-LV"/>
        </w:rPr>
        <w:t xml:space="preserve"> gan stimulējot augsta līmeņa digitālo prasmju attīstības pieeju, gan arī attīstot uzņēmumu digitālās spējas, investējot darbinieku digitālo prasmju uzlabošanā.</w:t>
      </w:r>
    </w:p>
    <w:p w14:paraId="30D728F2" w14:textId="77777777" w:rsidR="00A44152" w:rsidRPr="00550D35" w:rsidRDefault="00A44152" w:rsidP="00A44152">
      <w:pPr>
        <w:rPr>
          <w:lang w:val="lv-LV"/>
        </w:rPr>
      </w:pPr>
      <w:r w:rsidRPr="00550D35">
        <w:rPr>
          <w:lang w:val="lv-LV"/>
        </w:rPr>
        <w:t xml:space="preserve">Digitālās dekādes mērķu izvirzīšana un to ieviešanas kontrole paši par sevi ir veicinošs faktors uzlabojumiem publisko pakalpojumu jomā. </w:t>
      </w:r>
    </w:p>
    <w:p w14:paraId="494A91BF" w14:textId="77777777" w:rsidR="00A44152" w:rsidRPr="00550D35" w:rsidRDefault="00A44152" w:rsidP="00A44152">
      <w:pPr>
        <w:rPr>
          <w:lang w:val="lv-LV"/>
        </w:rPr>
      </w:pPr>
      <w:r w:rsidRPr="00550D35">
        <w:rPr>
          <w:lang w:val="lv-LV"/>
        </w:rPr>
        <w:t xml:space="preserve">Digitālās vārtejas regula izvirza virkni prasību, kas būtiski ietekmē digitālo pakalpojumu attīstību Latvijā. Prasības nodrošināt pārrobežu pieejamību pakalpojumiem un procedūrām, kā arī pārrobežu pieejamību palīdzības un problēmu risināšanas pakalpojumiem rada jaunus izaicinājumus digitālo pakalpojumu infrastruktūrai un iestādēm – publisko pakalpojumu turētājām. Visi ceļvedī Latvijai minētie pasākumi katrs savā veidā ir vērsti un dod ieguldījumu Dekādes mērķu sasniegšanā. </w:t>
      </w:r>
    </w:p>
    <w:p w14:paraId="4CC63151" w14:textId="77777777" w:rsidR="00A44152" w:rsidRPr="00550D35" w:rsidRDefault="00A44152" w:rsidP="00A44152">
      <w:pPr>
        <w:rPr>
          <w:lang w:val="lv-LV"/>
        </w:rPr>
      </w:pPr>
      <w:r w:rsidRPr="00550D35">
        <w:rPr>
          <w:lang w:val="lv-LV"/>
        </w:rPr>
        <w:t>Digitālās dekādes mērķu sasniegšanu pakalpojumu pieejamības jomā atbalsta projekti, kas vērsti uz regulas “Par elektronisko identifikāciju un uzticamības pakalpojumiem elektronisko darījumu veikšanai iekšējā tirgū”</w:t>
      </w:r>
      <w:r w:rsidRPr="00550D35">
        <w:rPr>
          <w:rStyle w:val="FootnoteReference"/>
          <w:lang w:val="lv-LV"/>
        </w:rPr>
        <w:footnoteReference w:id="84"/>
      </w:r>
      <w:r w:rsidRPr="00550D35">
        <w:rPr>
          <w:lang w:val="lv-LV"/>
        </w:rPr>
        <w:t xml:space="preserve"> ieviešanu, to skaitā ES digitālās identitātes maka Pilotprojekts, kas plānots, kā droša lietotne, kas ļaus iedzīvotājiem visā ES digitālā veidā viegli verificēt savus personu apliecinošos dokumentus, lai piekļūtu publiskajiem un privātajiem pakalpojumiem, nodrošinot pilnu kontroli pār šo datu izplatīšanu.</w:t>
      </w:r>
    </w:p>
    <w:p w14:paraId="6A5EBD9A" w14:textId="77777777" w:rsidR="00A44152" w:rsidRPr="00550D35" w:rsidRDefault="00A44152" w:rsidP="00A44152">
      <w:pPr>
        <w:pStyle w:val="Heading2"/>
        <w:rPr>
          <w:lang w:val="lv-LV"/>
        </w:rPr>
      </w:pPr>
      <w:r w:rsidRPr="00550D35">
        <w:rPr>
          <w:lang w:val="lv-LV"/>
        </w:rPr>
        <w:t>Ieinteresēto personu atsauksmes</w:t>
      </w:r>
    </w:p>
    <w:p w14:paraId="4F9C9A3B" w14:textId="77777777" w:rsidR="00A44152" w:rsidRDefault="00A44152" w:rsidP="00A44152">
      <w:pPr>
        <w:rPr>
          <w:lang w:val="lv-LV" w:eastAsia="lv-LV"/>
        </w:rPr>
      </w:pPr>
      <w:r w:rsidRPr="00550D35">
        <w:rPr>
          <w:lang w:val="lv-LV" w:eastAsia="lv-LV"/>
        </w:rPr>
        <w:t xml:space="preserve">Ceļvedī Latvijai ir ņemtas vērā atsauksmes ko iesniegusi biedrība “Vides komunikācija” sadarbībā ar biedrību “Zaļā brīvība”, kas attiecas uz sinerģijām starp </w:t>
      </w:r>
      <w:proofErr w:type="spellStart"/>
      <w:r w:rsidRPr="00550D35">
        <w:rPr>
          <w:lang w:val="lv-LV" w:eastAsia="lv-LV"/>
        </w:rPr>
        <w:t>digitalizācijas</w:t>
      </w:r>
      <w:proofErr w:type="spellEnd"/>
      <w:r w:rsidRPr="00550D35">
        <w:rPr>
          <w:lang w:val="lv-LV" w:eastAsia="lv-LV"/>
        </w:rPr>
        <w:t xml:space="preserve"> un klimata un enerģētikas </w:t>
      </w:r>
      <w:proofErr w:type="spellStart"/>
      <w:r w:rsidRPr="00550D35">
        <w:rPr>
          <w:lang w:val="lv-LV" w:eastAsia="lv-LV"/>
        </w:rPr>
        <w:t>rīcībpolitikām</w:t>
      </w:r>
      <w:proofErr w:type="spellEnd"/>
      <w:r w:rsidRPr="00550D35">
        <w:rPr>
          <w:lang w:val="lv-LV" w:eastAsia="lv-LV"/>
        </w:rPr>
        <w:t>. Šīs sinerģijas precīzāk aprakstītas nozaru projektos. Tāpat, nozaru projekti atspoguļo arī pasākumus publiskās pārvaldes informācija sistēmu kvalitātes uzlabošanai un iestāžu darbinieku digitālo prasmju uzlabošanai.</w:t>
      </w:r>
    </w:p>
    <w:p w14:paraId="45D5A8BE" w14:textId="77777777" w:rsidR="00A44152" w:rsidRDefault="00A44152" w:rsidP="00A44152">
      <w:pPr>
        <w:rPr>
          <w:lang w:val="lv-LV" w:eastAsia="lv-LV"/>
        </w:rPr>
      </w:pPr>
      <w:r>
        <w:rPr>
          <w:lang w:val="lv-LV" w:eastAsia="lv-LV"/>
        </w:rPr>
        <w:t xml:space="preserve">Publiskās pārvaldes </w:t>
      </w:r>
      <w:r w:rsidRPr="1E0F2609">
        <w:rPr>
          <w:lang w:val="lv-LV" w:eastAsia="lv-LV"/>
        </w:rPr>
        <w:t xml:space="preserve">lielākais partneris publisko pakalpojumu jomā - Latvijas </w:t>
      </w:r>
      <w:r>
        <w:rPr>
          <w:lang w:val="lv-LV" w:eastAsia="lv-LV"/>
        </w:rPr>
        <w:t>P</w:t>
      </w:r>
      <w:r w:rsidRPr="1E0F2609">
        <w:rPr>
          <w:lang w:val="lv-LV" w:eastAsia="lv-LV"/>
        </w:rPr>
        <w:t>ašvaldību savienība, kas pārstāv 41 no 43 Latvijas pašvaldībām,</w:t>
      </w:r>
      <w:r>
        <w:rPr>
          <w:lang w:val="lv-LV" w:eastAsia="lv-LV"/>
        </w:rPr>
        <w:t xml:space="preserve"> kopumā atbalstot ceļvedi Latvijai, </w:t>
      </w:r>
      <w:r w:rsidRPr="1E0F2609">
        <w:rPr>
          <w:lang w:val="lv-LV" w:eastAsia="lv-LV"/>
        </w:rPr>
        <w:t xml:space="preserve"> </w:t>
      </w:r>
      <w:r>
        <w:rPr>
          <w:lang w:val="lv-LV" w:eastAsia="lv-LV"/>
        </w:rPr>
        <w:t>ir norādījusi uz ceļvedī Latvijai sniegtās informācijas ierobežotību attiecībā uz rīcības plānojumu, t.sk., publisko pakalpojumu jomā, virzībā uz Digitālās dekādes mērķiem 2028.-2030.gada periodā. Pēc atsauksmes saņemšanas ceļvedis Latvijai ir papildināts ar informāciju</w:t>
      </w:r>
      <w:r w:rsidRPr="001B0210">
        <w:rPr>
          <w:lang w:val="lv-LV"/>
        </w:rPr>
        <w:t xml:space="preserve"> </w:t>
      </w:r>
      <w:r>
        <w:rPr>
          <w:lang w:val="lv-LV"/>
        </w:rPr>
        <w:t>norādot, ka 2023. gadā turpinās rīcības plānošana 2021.-2027.gada</w:t>
      </w:r>
      <w:r w:rsidRPr="0094211C">
        <w:rPr>
          <w:lang w:val="lv-LV"/>
        </w:rPr>
        <w:t xml:space="preserve"> </w:t>
      </w:r>
      <w:r>
        <w:rPr>
          <w:lang w:val="lv-LV"/>
        </w:rPr>
        <w:t xml:space="preserve">plānošanas periodam. </w:t>
      </w:r>
      <w:r w:rsidRPr="1E0F2609">
        <w:rPr>
          <w:lang w:val="lv-LV"/>
        </w:rPr>
        <w:t xml:space="preserve">Daudzi nozaru projekti šī dokumenta sagatavošanas brīdī atrodas plānošanas un saskaņošanas fāzē, tāpēc </w:t>
      </w:r>
      <w:r>
        <w:rPr>
          <w:lang w:val="lv-LV"/>
        </w:rPr>
        <w:t>pilnīgu informāciju par plānoto rīcību sniegt</w:t>
      </w:r>
      <w:r w:rsidRPr="1E0F2609">
        <w:rPr>
          <w:lang w:val="lv-LV"/>
        </w:rPr>
        <w:t xml:space="preserve"> nav iespējams</w:t>
      </w:r>
      <w:r>
        <w:rPr>
          <w:lang w:val="lv-LV"/>
        </w:rPr>
        <w:t xml:space="preserve">, savukārt, detalizēta politikas plānošana 2028.-2030.gadam nav </w:t>
      </w:r>
      <w:r>
        <w:rPr>
          <w:lang w:val="lv-LV"/>
        </w:rPr>
        <w:lastRenderedPageBreak/>
        <w:t>uzsākta. Veicot ceļveža Latvijai</w:t>
      </w:r>
      <w:r w:rsidRPr="1E0F2609">
        <w:rPr>
          <w:lang w:val="lv-LV"/>
        </w:rPr>
        <w:t xml:space="preserve"> </w:t>
      </w:r>
      <w:r>
        <w:rPr>
          <w:lang w:val="lv-LV"/>
        </w:rPr>
        <w:t>atjaunināšanu</w:t>
      </w:r>
      <w:r w:rsidRPr="1E0F2609">
        <w:rPr>
          <w:lang w:val="lv-LV"/>
        </w:rPr>
        <w:t xml:space="preserve"> 2025.gadā</w:t>
      </w:r>
      <w:r>
        <w:rPr>
          <w:lang w:val="lv-LV"/>
        </w:rPr>
        <w:t>, informācija</w:t>
      </w:r>
      <w:r w:rsidRPr="1E0F2609">
        <w:rPr>
          <w:lang w:val="lv-LV"/>
        </w:rPr>
        <w:t xml:space="preserve"> </w:t>
      </w:r>
      <w:r>
        <w:rPr>
          <w:lang w:val="lv-LV"/>
        </w:rPr>
        <w:t xml:space="preserve">par plānoto rīcību </w:t>
      </w:r>
      <w:r w:rsidRPr="1E0F2609">
        <w:rPr>
          <w:lang w:val="lv-LV"/>
        </w:rPr>
        <w:t>tiks precizēt</w:t>
      </w:r>
      <w:r>
        <w:rPr>
          <w:lang w:val="lv-LV"/>
        </w:rPr>
        <w:t>a un papildināta</w:t>
      </w:r>
      <w:r w:rsidRPr="1E0F2609">
        <w:rPr>
          <w:lang w:val="lv-LV"/>
        </w:rPr>
        <w:t>.</w:t>
      </w:r>
    </w:p>
    <w:p w14:paraId="30B75CA9" w14:textId="77777777" w:rsidR="00A44152" w:rsidRPr="009A3817" w:rsidRDefault="00A44152" w:rsidP="00A44152">
      <w:pPr>
        <w:rPr>
          <w:lang w:val="lv-LV"/>
        </w:rPr>
      </w:pPr>
      <w:r>
        <w:rPr>
          <w:lang w:val="lv-LV"/>
        </w:rPr>
        <w:t xml:space="preserve">Lūdzam arī skatīt informāciju par </w:t>
      </w:r>
      <w:r w:rsidRPr="009A3817">
        <w:rPr>
          <w:lang w:val="lv-LV"/>
        </w:rPr>
        <w:t>“Valsts pārvaldes klientu apmierinātības pētījum</w:t>
      </w:r>
      <w:r>
        <w:rPr>
          <w:lang w:val="lv-LV"/>
        </w:rPr>
        <w:t>a</w:t>
      </w:r>
      <w:r w:rsidRPr="009A3817">
        <w:rPr>
          <w:lang w:val="lv-LV"/>
        </w:rPr>
        <w:t>”</w:t>
      </w:r>
      <w:r>
        <w:rPr>
          <w:rStyle w:val="FootnoteReference"/>
          <w:lang w:val="lv-LV"/>
        </w:rPr>
        <w:footnoteReference w:id="85"/>
      </w:r>
      <w:r w:rsidRPr="009A3817">
        <w:rPr>
          <w:lang w:val="lv-LV"/>
        </w:rPr>
        <w:t xml:space="preserve"> rezultātiem</w:t>
      </w:r>
      <w:r>
        <w:rPr>
          <w:lang w:val="lv-LV"/>
        </w:rPr>
        <w:t>, kas sniegta ceļveža Latvijai 13.6. punktā.</w:t>
      </w:r>
    </w:p>
    <w:p w14:paraId="056A9EDB" w14:textId="77777777" w:rsidR="00A44152" w:rsidRPr="00550D35" w:rsidRDefault="00A44152" w:rsidP="00A44152">
      <w:pPr>
        <w:rPr>
          <w:lang w:val="lv-LV"/>
        </w:rPr>
      </w:pPr>
    </w:p>
    <w:p w14:paraId="665CFAC4" w14:textId="77777777" w:rsidR="00A44152" w:rsidRPr="00550D35" w:rsidRDefault="00A44152" w:rsidP="00A44152">
      <w:pPr>
        <w:pStyle w:val="Heading2"/>
        <w:rPr>
          <w:lang w:val="lv-LV"/>
        </w:rPr>
      </w:pPr>
      <w:r w:rsidRPr="00550D35">
        <w:rPr>
          <w:lang w:val="lv-LV"/>
        </w:rPr>
        <w:t>Vispārējā ietekme un secinājumi</w:t>
      </w:r>
    </w:p>
    <w:p w14:paraId="180D2EC9" w14:textId="77777777" w:rsidR="00A44152" w:rsidRPr="00550D35" w:rsidRDefault="00A44152" w:rsidP="00A44152">
      <w:pPr>
        <w:rPr>
          <w:lang w:val="lv-LV"/>
        </w:rPr>
      </w:pPr>
      <w:r w:rsidRPr="00550D35">
        <w:rPr>
          <w:lang w:val="lv-LV"/>
        </w:rPr>
        <w:t xml:space="preserve">Galvenie publiskie pakalpojumi un ar tiem saistītie procesi ir mezgla punkts, kas apvieno visus Dekādes mērķus un </w:t>
      </w:r>
      <w:proofErr w:type="spellStart"/>
      <w:r w:rsidRPr="00550D35">
        <w:rPr>
          <w:lang w:val="lv-LV"/>
        </w:rPr>
        <w:t>mērķrādītājus</w:t>
      </w:r>
      <w:proofErr w:type="spellEnd"/>
      <w:r w:rsidRPr="00550D35">
        <w:rPr>
          <w:lang w:val="lv-LV"/>
        </w:rPr>
        <w:t xml:space="preserve">. Pakalpojumi tiek pārveidoti, lai to centrā būtu klients jeb šajā gadījumā uzņēmējs (komersants). Pakalpojumi ir vērsti uz to, lai komersants ērti un ātri varētu saņemt visu komercdarbības veikšanai nepieciešamo informāciju vienuviet.  </w:t>
      </w:r>
    </w:p>
    <w:p w14:paraId="4CC898FB" w14:textId="77777777" w:rsidR="00A44152" w:rsidRPr="00550D35" w:rsidRDefault="00A44152" w:rsidP="00A44152">
      <w:pPr>
        <w:rPr>
          <w:lang w:val="lv-LV"/>
        </w:rPr>
      </w:pPr>
      <w:r w:rsidRPr="00550D35">
        <w:rPr>
          <w:lang w:val="lv-LV"/>
        </w:rPr>
        <w:t xml:space="preserve">Publiskie pakalpojumi ir cieši saistīti ar valsts pārvaldes iestāžu funkciju izpildi. Tie ir viens no funkciju izpildes rezultātiem un tiem ir tieša un individuāla saskare ar komersantu (klientu). Tas nozīmē, ka lielākā daļa iestāžu darbu atbalstošo informācijas sistēmu pilnveidojumu arī būs vērsta uz klientu un nodrošinās vai nu iestādes darbu pakalpojumu sagatavošanā vai pakalpojumu pieprasīšanas/piegādes procesus. </w:t>
      </w:r>
    </w:p>
    <w:p w14:paraId="46A1A55B" w14:textId="77777777" w:rsidR="00A44152" w:rsidRPr="00550D35" w:rsidRDefault="00A44152" w:rsidP="00A44152">
      <w:pPr>
        <w:rPr>
          <w:lang w:val="lv-LV"/>
        </w:rPr>
      </w:pPr>
      <w:r w:rsidRPr="00550D35">
        <w:rPr>
          <w:lang w:val="lv-LV"/>
        </w:rPr>
        <w:t>Elektroniskās identifikācijas līdzekļu pilnveidošana un pārrobežu sadarbība šajos jautājumos radīs papildus iespējas komersantiem izmantot I</w:t>
      </w:r>
      <w:r>
        <w:rPr>
          <w:lang w:val="lv-LV"/>
        </w:rPr>
        <w:t>K</w:t>
      </w:r>
      <w:r w:rsidRPr="00550D35">
        <w:rPr>
          <w:lang w:val="lv-LV"/>
        </w:rPr>
        <w:t xml:space="preserve">T piedāvātās iespējas, lai padarītu savu darbu efektīvāku. Tādas aktivitātes kā Eiropas digitālais identitātes maks atbalsta digitālo pakalpojumu pieejamību uzņēmējiem un viņu klientiem.  </w:t>
      </w:r>
    </w:p>
    <w:p w14:paraId="42517B89" w14:textId="77777777" w:rsidR="00A44152" w:rsidRPr="00550D35" w:rsidRDefault="00A44152" w:rsidP="00A44152">
      <w:pPr>
        <w:rPr>
          <w:lang w:val="lv-LV"/>
        </w:rPr>
      </w:pPr>
      <w:r w:rsidRPr="00550D35">
        <w:rPr>
          <w:lang w:val="lv-LV"/>
        </w:rPr>
        <w:t xml:space="preserve">Galveno publisko pakalpojumu pieejamības nodrošināšana digitālā formā ir cieši saistīta jautājumiem, kas skar elektronisko identifikāciju, t.i. Eiropas digitālās identitātes maks un </w:t>
      </w:r>
      <w:proofErr w:type="spellStart"/>
      <w:r w:rsidRPr="00550D35">
        <w:rPr>
          <w:lang w:val="lv-LV"/>
        </w:rPr>
        <w:t>eID</w:t>
      </w:r>
      <w:proofErr w:type="spellEnd"/>
      <w:r w:rsidRPr="00550D35">
        <w:rPr>
          <w:lang w:val="lv-LV"/>
        </w:rPr>
        <w:t xml:space="preserve"> ļaus efektīvāk veidot sadarbību starp dažādu valstu komersantiem.</w:t>
      </w:r>
    </w:p>
    <w:p w14:paraId="4AFD0AB0" w14:textId="3490D11A" w:rsidR="00A44152" w:rsidRPr="00550D35" w:rsidRDefault="00A44152" w:rsidP="00A44152">
      <w:pPr>
        <w:rPr>
          <w:lang w:val="lv-LV"/>
        </w:rPr>
      </w:pPr>
      <w:r w:rsidRPr="00550D35">
        <w:rPr>
          <w:lang w:val="lv-LV"/>
        </w:rPr>
        <w:t xml:space="preserve">Nodaļā KPI “Galvenie </w:t>
      </w:r>
      <w:r w:rsidR="00481982">
        <w:rPr>
          <w:lang w:val="lv-LV"/>
        </w:rPr>
        <w:t>publ</w:t>
      </w:r>
      <w:r w:rsidRPr="00550D35">
        <w:rPr>
          <w:lang w:val="lv-LV"/>
        </w:rPr>
        <w:t xml:space="preserve">iskie pakalpojumi uzņēmumiem” aprakstītā politika un pasākumi sniegs ieguldījumu, turpinot paātrināt centienus </w:t>
      </w:r>
      <w:proofErr w:type="spellStart"/>
      <w:r w:rsidRPr="00550D35">
        <w:rPr>
          <w:lang w:val="lv-LV"/>
        </w:rPr>
        <w:t>digitalizēt</w:t>
      </w:r>
      <w:proofErr w:type="spellEnd"/>
      <w:r w:rsidRPr="00550D35">
        <w:rPr>
          <w:lang w:val="lv-LV"/>
        </w:rPr>
        <w:t xml:space="preserve"> publiskos pakalpojumus, un turpinot digitālo publisko pakalpojumu attīstīšanu gan iedzīvotājiem, gan uzņēmumiem, kā tas norādīts EK ieteikumā Digitālās dekādes 2023.gada ziņojumā par Latviju.</w:t>
      </w:r>
    </w:p>
    <w:p w14:paraId="0EF8B27F" w14:textId="13F3D4F7" w:rsidR="00DB2BF4" w:rsidRPr="00550D35" w:rsidRDefault="00861494" w:rsidP="00B52E9B">
      <w:pPr>
        <w:pStyle w:val="Heading1"/>
      </w:pPr>
      <w:bookmarkStart w:id="41" w:name="_Toc155952347"/>
      <w:bookmarkStart w:id="42" w:name="_Toc135226672"/>
      <w:r w:rsidRPr="00550D35">
        <w:t>P</w:t>
      </w:r>
      <w:r w:rsidR="00F437C4" w:rsidRPr="00550D35">
        <w:t>iekļuve pacienta e-veselības kartei</w:t>
      </w:r>
      <w:bookmarkEnd w:id="41"/>
    </w:p>
    <w:p w14:paraId="559C8F65" w14:textId="63E39FFA" w:rsidR="00DB2BF4" w:rsidRPr="00550D35" w:rsidRDefault="00DB2BF4" w:rsidP="000C4845">
      <w:pPr>
        <w:spacing w:before="0" w:line="259" w:lineRule="auto"/>
        <w:ind w:firstLine="0"/>
        <w:contextualSpacing/>
        <w:rPr>
          <w:b/>
          <w:bCs/>
          <w:lang w:val="lv-LV"/>
        </w:rPr>
      </w:pPr>
      <w:r w:rsidRPr="00550D35">
        <w:rPr>
          <w:b/>
          <w:bCs/>
          <w:i/>
          <w:iCs/>
          <w:szCs w:val="24"/>
          <w:lang w:val="lv-LV"/>
        </w:rPr>
        <w:t xml:space="preserve">Piekļuve pacienta e-veselības kartei </w:t>
      </w:r>
      <w:r w:rsidRPr="00550D35">
        <w:rPr>
          <w:i/>
          <w:iCs/>
          <w:lang w:val="lv-LV"/>
        </w:rPr>
        <w:t>tiks mērīta šādi: i) tiešsaistes piekļuves pakalpojumu pieejamība iedzīvotājiem visā valstī viņu elektronisko karšu datiem (pacientu portālā vai pacientu mobilajā lietotnē) ar papildu pasākumiem, kas noteiktām cilvēku kategorijām (piemēram, bērnu aizbildņiem, invalīdiem, veciem cilvēkiem) ļauj piekļūt saviem datiem, un ii) to personu procents, kurām ir iespēja iegūt vai izmantot savu ar veselību saistīto minimālo datu kopu, kas pašlaik glabājas publiskās un privātās elektroniskās pacienta karšu sistēmās.</w:t>
      </w:r>
    </w:p>
    <w:p w14:paraId="3A522FCD" w14:textId="77777777" w:rsidR="003D6E20" w:rsidRPr="00550D35" w:rsidRDefault="003D6E20" w:rsidP="003D6E20">
      <w:pPr>
        <w:pStyle w:val="Heading2"/>
        <w:rPr>
          <w:lang w:val="lv-LV"/>
        </w:rPr>
      </w:pPr>
      <w:r w:rsidRPr="00550D35">
        <w:rPr>
          <w:lang w:val="lv-LV"/>
        </w:rPr>
        <w:lastRenderedPageBreak/>
        <w:t>Analīze par pašreizējo stāvokli digitālās pārveides jomā dalībvalsts kontekstā</w:t>
      </w:r>
    </w:p>
    <w:p w14:paraId="7979A3BE" w14:textId="77777777" w:rsidR="003D6E20" w:rsidRPr="00550D35" w:rsidRDefault="003D6E20" w:rsidP="00402CB8">
      <w:pPr>
        <w:ind w:firstLine="426"/>
        <w:rPr>
          <w:lang w:val="lv-LV"/>
        </w:rPr>
      </w:pPr>
      <w:r w:rsidRPr="00113F59">
        <w:rPr>
          <w:lang w:val="lv-LV"/>
        </w:rPr>
        <w:t>Saskaņā ar Digitālās dekādes 2023.gada ziņojumu par Latviju valsts veikums digitālo publisko pakalpojumu jomā pozitīvi veicina Digitālās desmitgades mērķu sasniegšanu. Publiskos pakalpojumus</w:t>
      </w:r>
      <w:r w:rsidRPr="00550D35">
        <w:rPr>
          <w:lang w:val="lv-LV"/>
        </w:rPr>
        <w:t xml:space="preserve"> izmanto 77% interneta lietotāju, pārsniedzot ES vidējo rādītāju 74%. Digitālo publisko pakalpojumu pieejamības jomā Latvija pārspēj ES vidējo līmeni attiecībā uz galvenajiem tiešsaistes pakalpojumu sniegšanas aspektiem (iepriekš aizpildītas veidlapas, </w:t>
      </w:r>
      <w:proofErr w:type="spellStart"/>
      <w:r w:rsidRPr="00550D35">
        <w:rPr>
          <w:lang w:val="lv-LV"/>
        </w:rPr>
        <w:t>pārredzamība</w:t>
      </w:r>
      <w:proofErr w:type="spellEnd"/>
      <w:r w:rsidRPr="00550D35">
        <w:rPr>
          <w:lang w:val="lv-LV"/>
        </w:rPr>
        <w:t>, lietotāju atbalsts un mobilitāte), kā arī attiecībā uz piekļuvi e-veselības ierakstiem.</w:t>
      </w:r>
    </w:p>
    <w:p w14:paraId="4A8B9626" w14:textId="180239EC" w:rsidR="003D6E20" w:rsidRPr="00550D35" w:rsidRDefault="003D6E20" w:rsidP="003D6E20">
      <w:pPr>
        <w:rPr>
          <w:lang w:val="lv-LV"/>
        </w:rPr>
      </w:pPr>
      <w:r w:rsidRPr="00550D35">
        <w:rPr>
          <w:lang w:val="lv-LV"/>
        </w:rPr>
        <w:t xml:space="preserve">Digitālās dekādes 2023.gada ziņojumā par Latviju iekļauts EK ieteikums Latvijai paātrināt centienus </w:t>
      </w:r>
      <w:proofErr w:type="spellStart"/>
      <w:r w:rsidRPr="00550D35">
        <w:rPr>
          <w:lang w:val="lv-LV"/>
        </w:rPr>
        <w:t>digitalizēt</w:t>
      </w:r>
      <w:proofErr w:type="spellEnd"/>
      <w:r w:rsidRPr="00550D35">
        <w:rPr>
          <w:lang w:val="lv-LV"/>
        </w:rPr>
        <w:t xml:space="preserve"> </w:t>
      </w:r>
      <w:r w:rsidR="00481982">
        <w:rPr>
          <w:lang w:val="lv-LV"/>
        </w:rPr>
        <w:t>publ</w:t>
      </w:r>
      <w:r w:rsidRPr="00550D35">
        <w:rPr>
          <w:lang w:val="lv-LV"/>
        </w:rPr>
        <w:t>iskos pakalpojumus, jo īpaši būtu jāturpina nodrošināt, lai elektroniskie veselības ieraksti būtu viegli pieejami.</w:t>
      </w:r>
    </w:p>
    <w:p w14:paraId="680C1FD2" w14:textId="07EFB0A8" w:rsidR="003D6E20" w:rsidRPr="00550D35" w:rsidRDefault="003D6E20" w:rsidP="003D6E20">
      <w:pPr>
        <w:rPr>
          <w:rFonts w:eastAsia="Calibri"/>
          <w:lang w:val="lv-LV"/>
        </w:rPr>
      </w:pPr>
      <w:r w:rsidRPr="00550D35">
        <w:rPr>
          <w:lang w:val="lv-LV"/>
        </w:rPr>
        <w:t>Latvijas mērķis atbilstoši Digitālās veselības stratēģijai līdz 2029.gadam</w:t>
      </w:r>
      <w:r w:rsidRPr="00550D35">
        <w:rPr>
          <w:rStyle w:val="FootnoteReference"/>
          <w:lang w:val="lv-LV"/>
        </w:rPr>
        <w:footnoteReference w:id="86"/>
      </w:r>
      <w:r w:rsidRPr="00550D35">
        <w:rPr>
          <w:lang w:val="lv-LV"/>
        </w:rPr>
        <w:t xml:space="preserve"> un Dekādes programmas </w:t>
      </w:r>
      <w:proofErr w:type="spellStart"/>
      <w:r w:rsidRPr="00550D35">
        <w:rPr>
          <w:lang w:val="lv-LV"/>
        </w:rPr>
        <w:t>mērķrādītājam</w:t>
      </w:r>
      <w:proofErr w:type="spellEnd"/>
      <w:r w:rsidRPr="00550D35">
        <w:rPr>
          <w:lang w:val="lv-LV"/>
        </w:rPr>
        <w:t xml:space="preserve"> ir panākt, ka pacienta elektroniskā veselības karte e-veselības sistēmā tiešsaistē nodrošina pacienta veselības aprūpei būtisko veselības datu pieejamību vienuviet gan ārstniecības personām, gan pacientam. </w:t>
      </w:r>
      <w:r w:rsidRPr="00550D35">
        <w:rPr>
          <w:rFonts w:eastAsia="Calibri"/>
          <w:lang w:val="lv-LV"/>
        </w:rPr>
        <w:t xml:space="preserve"> Kopš 2016. gada Latvijā ir ieviesta un darbojas valsts mēroga veselības datu sistēma un interneta portāls (e-veselības sistēma un portāls, www.eveseliba.gov.lv), kas nodrošina centralizētu piekļuvi visu to iedzīvotāju elektroniskajām veselības kartēm (EVK), kuri ir reģistrēti Fizisko personu reģistrā. Ceļ</w:t>
      </w:r>
      <w:r>
        <w:rPr>
          <w:rFonts w:eastAsia="Calibri"/>
          <w:lang w:val="lv-LV"/>
        </w:rPr>
        <w:t>veža Latvijai</w:t>
      </w:r>
      <w:r w:rsidRPr="00550D35">
        <w:rPr>
          <w:rFonts w:eastAsia="Calibri"/>
          <w:lang w:val="lv-LV"/>
        </w:rPr>
        <w:t xml:space="preserve"> sagatavošanas </w:t>
      </w:r>
      <w:r>
        <w:rPr>
          <w:rFonts w:eastAsia="Calibri"/>
          <w:lang w:val="lv-LV"/>
        </w:rPr>
        <w:t>laikā</w:t>
      </w:r>
      <w:r w:rsidRPr="00550D35">
        <w:rPr>
          <w:rFonts w:eastAsia="Calibri"/>
          <w:lang w:val="lv-LV"/>
        </w:rPr>
        <w:t xml:space="preserve"> </w:t>
      </w:r>
      <w:r w:rsidRPr="00550D35">
        <w:rPr>
          <w:lang w:val="lv-LV"/>
        </w:rPr>
        <w:t>ārstniecības iestādes un aptiekas nodrošina pārsvarā šādu pacienta veselības datu kategoriju sniegšanu e-veselības sistēmai: e-receptes, darbnespējas lapas, vizuālās diagnostikas izmeklējumu rezultāti, Covid-19 vakcinācijas dati un Covid-19 izmeklējumu dati.</w:t>
      </w:r>
      <w:r w:rsidRPr="00550D35">
        <w:rPr>
          <w:rFonts w:eastAsia="Calibri"/>
          <w:lang w:val="lv-LV"/>
        </w:rPr>
        <w:t xml:space="preserve"> E-veselības sistēmā personas veselības dati ir pieejami gan pašam pacientam, gan pacienta ārstējošajam ārstam vienuviet, un neatkarīgi no ārstniecības iestādes, kas tos radījusi</w:t>
      </w:r>
      <w:r w:rsidRPr="00550D35">
        <w:rPr>
          <w:lang w:val="lv-LV"/>
        </w:rPr>
        <w:t xml:space="preserve">, </w:t>
      </w:r>
      <w:r w:rsidRPr="00550D35">
        <w:rPr>
          <w:rFonts w:eastAsia="Calibri"/>
          <w:lang w:val="lv-LV"/>
        </w:rPr>
        <w:t xml:space="preserve">un pakalpojuma veida (valsts apmaksāts vai maksas pakalpojums). E-veselības portāla izmantošana visiem Latvijas iedzīvotājiem ir bez maksas, un pacienti var piekļūt saviem veselības datiem vai citu pacientu datiem kā likumīgie aizbildņi. E-veselības portālā pacients var piekļūt savai vai aizbilstamo informācijai, norādīt kontaktinformāciju, kontaktpersonas, pilnvarot citu personu piekļūt datiem, norādīt nākotnes pilnvarojumu, pārvaldīt atļaujas orgānu un audu izmantošanai transplantācijai, ķermeņa izmantošanai pēc nāves, sekcijas veikšanai, aplūkot audita pierakstus, saņemt pastkastītē paziņojumu par Covid-19 testa rezultātu. E-veselības sistēmā pastāvīgi tiek veikti uzlabojumi, pievienojot jaunas funkcionalitātes un veselības datu kategorijas. Turpmākās </w:t>
      </w:r>
      <w:r w:rsidRPr="00550D35">
        <w:rPr>
          <w:lang w:val="lv-LV"/>
        </w:rPr>
        <w:t xml:space="preserve">darbības saistībā ar investīcijām e-veselības sistēmā noteiktas Digitālās veselības stratēģijā līdz 2029. gadam, kā arī šajā stratēģijā paredzēta virkne pasākumu, kas veicinās Dekādes programmas 15. mērķa sasniegšanu. </w:t>
      </w:r>
    </w:p>
    <w:p w14:paraId="342DAA55" w14:textId="77777777" w:rsidR="003D6E20" w:rsidRPr="00550D35" w:rsidRDefault="003D6E20" w:rsidP="003D6E20">
      <w:pPr>
        <w:rPr>
          <w:rFonts w:eastAsia="Calibri"/>
          <w:lang w:val="lv-LV"/>
        </w:rPr>
      </w:pPr>
      <w:r w:rsidRPr="00550D35">
        <w:rPr>
          <w:lang w:val="lv-LV"/>
        </w:rPr>
        <w:t xml:space="preserve"> E-veselības sistēmas pārzinis (Nacionālais veselības dienests) nodrošina atbalsta pakalpojumus iedzīvotājiem un ārstniecības personām gadījumā, ja rodas problēmas vai jautājumi saistībā ar e-veselības sistēmu un portālu. Ārstniecības personām, farmaceitiem un iedzīvotājiem ir pieejami digitālie mācību materiāli par e-veselības sistēmas un portāla funkcionalitāti.</w:t>
      </w:r>
    </w:p>
    <w:p w14:paraId="56EC600F" w14:textId="7883C694" w:rsidR="003D6E20" w:rsidRPr="00550D35" w:rsidRDefault="003D6E20" w:rsidP="003D6E20">
      <w:pPr>
        <w:rPr>
          <w:lang w:val="lv-LV"/>
        </w:rPr>
      </w:pPr>
      <w:r w:rsidRPr="00550D35">
        <w:rPr>
          <w:lang w:val="lv-LV"/>
        </w:rPr>
        <w:t xml:space="preserve">2022.gada 7. jūlijā </w:t>
      </w:r>
      <w:r w:rsidR="00FA157F">
        <w:rPr>
          <w:lang w:val="lv-LV"/>
        </w:rPr>
        <w:t>VM,</w:t>
      </w:r>
      <w:r w:rsidRPr="00550D35">
        <w:rPr>
          <w:lang w:val="lv-LV"/>
        </w:rPr>
        <w:t xml:space="preserve"> Nacionālais veselības dienests, veselības aprūpes nozares profesionālās organizācijas, vadošās ārstniecības iestāžu un pacientu organizācijas, kā arī IT jomas organizācijas parakstīja sadarbības memorandu “Par digitālo transformāciju, Digitālās Veselības ekosistēmu, un inovāciju veicināšanu veselības nozarē”, lai sadarbotos un iesaistītos uz pacientiem un lietotājiem orientētas, atvērtas digitālās veselības ekosistēmas izveidē, attīstot jomas organizatorisko pārvaldību, finansējuma pieejamību un investīciju regulējumu, tehnoloģisko infrastruktūru un pakalpojumus, kā arī lai attīstītu </w:t>
      </w:r>
      <w:r w:rsidRPr="00550D35">
        <w:rPr>
          <w:lang w:val="lv-LV"/>
        </w:rPr>
        <w:lastRenderedPageBreak/>
        <w:t>digitālās prasmes. Rezultātā pacientiem un ārstniecības personālam tiks nodrošināta ērta un droša digitālo pakalpojumu lietošana, pielāgojoties lietotāja vajadzībām. Sagaidāms, ka ārstniecības personām būs pieejami pacientu izmeklējumi un citi dati savstarpēji integrētās sistēmās, kas būtiski ārstniecības procesa uzlabošanai, savukārt pacientiem – mūsdienīgi pakalpojumi un vieglāka piekļuve medicīnas speciālistiem.</w:t>
      </w:r>
    </w:p>
    <w:p w14:paraId="452E0FD7" w14:textId="77777777" w:rsidR="003D6E20" w:rsidRPr="00550D35" w:rsidRDefault="003D6E20" w:rsidP="00460D17">
      <w:pPr>
        <w:rPr>
          <w:lang w:val="lv-LV"/>
        </w:rPr>
      </w:pPr>
      <w:r w:rsidRPr="00550D35">
        <w:rPr>
          <w:lang w:val="lv-LV"/>
        </w:rPr>
        <w:t>Latvija arī aktīvi uzlabo valsts pārvaldes darbinieku digitālās prasmes, lai digitālie publiskie pakalpojumi būtu iekļaujošāki un vairāk orientēti uz lietotāju. Lai veicinātu ārstniecības personu digitālo prasmju apguvi, tiesiskajā regulējumā</w:t>
      </w:r>
      <w:r w:rsidRPr="00550D35">
        <w:rPr>
          <w:rStyle w:val="FootnoteReference"/>
          <w:lang w:val="lv-LV"/>
        </w:rPr>
        <w:footnoteReference w:id="87"/>
      </w:r>
      <w:r w:rsidRPr="00550D35">
        <w:rPr>
          <w:lang w:val="lv-LV"/>
        </w:rPr>
        <w:t xml:space="preserve"> ir noteikts, ka augstākās izglītības studiju programmām </w:t>
      </w:r>
      <w:r w:rsidRPr="00550D35">
        <w:rPr>
          <w:lang w:val="lv-LV" w:eastAsia="en-US"/>
        </w:rPr>
        <w:t xml:space="preserve">ir jānodrošina, ka </w:t>
      </w:r>
      <w:r w:rsidRPr="00460D17">
        <w:rPr>
          <w:lang w:val="lv-LV" w:eastAsia="en-US"/>
        </w:rPr>
        <w:t xml:space="preserve">absolventi spēj atbildīgi un droši izvēlēties un lietot informācijas tehnoloģijas darba pienākumu veikšanai, pētniecībai un mūžizglītībai, kā arī digitālā satura iegūšanai. </w:t>
      </w:r>
      <w:r w:rsidRPr="00550D35">
        <w:rPr>
          <w:lang w:val="lv-LV" w:eastAsia="en-US"/>
        </w:rPr>
        <w:t xml:space="preserve">Vispārējās aprūpes māsu, ārstu un ārstu palīgu </w:t>
      </w:r>
      <w:r w:rsidRPr="00550D35">
        <w:rPr>
          <w:lang w:val="lv-LV"/>
        </w:rPr>
        <w:t xml:space="preserve">digitālās prasmes ir iekļautas profesijas izglītības standartā kā obligāta caurviju kompetence.  </w:t>
      </w:r>
    </w:p>
    <w:p w14:paraId="132296A1" w14:textId="77777777" w:rsidR="003D6E20" w:rsidRPr="00550D35" w:rsidRDefault="003D6E20" w:rsidP="003D6E20">
      <w:pPr>
        <w:pStyle w:val="Heading2"/>
        <w:rPr>
          <w:lang w:val="lv-LV"/>
        </w:rPr>
      </w:pPr>
      <w:r w:rsidRPr="00550D35">
        <w:rPr>
          <w:lang w:val="lv-LV"/>
        </w:rPr>
        <w:t>KPI “</w:t>
      </w:r>
      <w:r w:rsidRPr="00550D35">
        <w:rPr>
          <w:bCs/>
          <w:szCs w:val="24"/>
          <w:lang w:val="lv-LV"/>
        </w:rPr>
        <w:t xml:space="preserve">Piekļuve pacienta e-veselības kartei” </w:t>
      </w:r>
      <w:r w:rsidRPr="00550D35">
        <w:rPr>
          <w:lang w:val="lv-LV"/>
        </w:rPr>
        <w:t xml:space="preserve">valsts prognozētā trajektorija un </w:t>
      </w:r>
      <w:proofErr w:type="spellStart"/>
      <w:r w:rsidRPr="00550D35">
        <w:rPr>
          <w:lang w:val="lv-LV"/>
        </w:rPr>
        <w:t>mērķrādītājs</w:t>
      </w:r>
      <w:proofErr w:type="spellEnd"/>
      <w:r w:rsidRPr="00550D35">
        <w:rPr>
          <w:lang w:val="lv-LV"/>
        </w:rPr>
        <w:t xml:space="preserve">, kas paredzēts, lai palīdzētu sasniegt ES digitālo </w:t>
      </w:r>
      <w:proofErr w:type="spellStart"/>
      <w:r w:rsidRPr="00550D35">
        <w:rPr>
          <w:lang w:val="lv-LV"/>
        </w:rPr>
        <w:t>mērķrādītāju</w:t>
      </w:r>
      <w:proofErr w:type="spellEnd"/>
    </w:p>
    <w:p w14:paraId="30F96B11" w14:textId="77777777" w:rsidR="003D6E20" w:rsidRPr="00550D35" w:rsidRDefault="003D6E20" w:rsidP="003D6E20">
      <w:pPr>
        <w:pBdr>
          <w:top w:val="single" w:sz="4" w:space="1" w:color="auto"/>
          <w:left w:val="single" w:sz="4" w:space="1" w:color="auto"/>
          <w:bottom w:val="single" w:sz="4" w:space="1" w:color="auto"/>
          <w:right w:val="single" w:sz="4" w:space="4" w:color="auto"/>
        </w:pBdr>
        <w:spacing w:before="0" w:after="160" w:line="259" w:lineRule="auto"/>
        <w:ind w:firstLine="0"/>
        <w:contextualSpacing/>
        <w:jc w:val="left"/>
        <w:rPr>
          <w:b/>
          <w:bCs/>
          <w:szCs w:val="24"/>
          <w:lang w:val="lv-LV"/>
        </w:rPr>
      </w:pPr>
      <w:r w:rsidRPr="00550D35">
        <w:rPr>
          <w:b/>
          <w:bCs/>
          <w:szCs w:val="24"/>
          <w:lang w:val="lv-LV"/>
        </w:rPr>
        <w:t>Nacionālā bāzes vērtība (2023)       78%;   ES bāzes vērtība (2023)  71%</w:t>
      </w:r>
    </w:p>
    <w:p w14:paraId="6B8D3713" w14:textId="30AC702E" w:rsidR="003D6E20" w:rsidRPr="00550D35" w:rsidRDefault="003D6E20" w:rsidP="003D6E20">
      <w:pPr>
        <w:pBdr>
          <w:top w:val="single" w:sz="4" w:space="1" w:color="auto"/>
          <w:left w:val="single" w:sz="4" w:space="1" w:color="auto"/>
          <w:bottom w:val="single" w:sz="4" w:space="1" w:color="auto"/>
          <w:right w:val="single" w:sz="4" w:space="4" w:color="auto"/>
        </w:pBdr>
        <w:spacing w:before="0" w:after="160" w:line="259" w:lineRule="auto"/>
        <w:ind w:firstLine="0"/>
        <w:contextualSpacing/>
        <w:jc w:val="left"/>
        <w:rPr>
          <w:b/>
          <w:lang w:val="lv-LV"/>
        </w:rPr>
      </w:pPr>
      <w:r w:rsidRPr="00550D35">
        <w:rPr>
          <w:b/>
          <w:lang w:val="lv-LV"/>
        </w:rPr>
        <w:t xml:space="preserve">Nacionālais </w:t>
      </w:r>
      <w:proofErr w:type="spellStart"/>
      <w:r w:rsidRPr="00550D35">
        <w:rPr>
          <w:b/>
          <w:lang w:val="lv-LV"/>
        </w:rPr>
        <w:t>mērķrādītājs</w:t>
      </w:r>
      <w:proofErr w:type="spellEnd"/>
      <w:r w:rsidRPr="00550D35">
        <w:rPr>
          <w:b/>
          <w:lang w:val="lv-LV"/>
        </w:rPr>
        <w:t xml:space="preserve"> (2030)  100%; ES </w:t>
      </w:r>
      <w:proofErr w:type="spellStart"/>
      <w:r w:rsidRPr="00550D35">
        <w:rPr>
          <w:b/>
          <w:lang w:val="lv-LV"/>
        </w:rPr>
        <w:t>mērķrādītājs</w:t>
      </w:r>
      <w:proofErr w:type="spellEnd"/>
      <w:r w:rsidRPr="00550D35">
        <w:rPr>
          <w:b/>
          <w:lang w:val="lv-LV"/>
        </w:rPr>
        <w:t xml:space="preserve"> (2030)   100%</w:t>
      </w:r>
    </w:p>
    <w:p w14:paraId="2386D42E" w14:textId="77777777" w:rsidR="003D6E20" w:rsidRPr="00550D35" w:rsidRDefault="003D6E20" w:rsidP="003D6E20">
      <w:pPr>
        <w:pBdr>
          <w:top w:val="single" w:sz="4" w:space="1" w:color="auto"/>
          <w:left w:val="single" w:sz="4" w:space="1" w:color="auto"/>
          <w:bottom w:val="single" w:sz="4" w:space="1" w:color="auto"/>
          <w:right w:val="single" w:sz="4" w:space="4" w:color="auto"/>
        </w:pBdr>
        <w:spacing w:before="0" w:after="160" w:line="259" w:lineRule="auto"/>
        <w:ind w:firstLine="0"/>
        <w:contextualSpacing/>
        <w:jc w:val="left"/>
        <w:rPr>
          <w:i/>
          <w:iCs/>
          <w:szCs w:val="24"/>
          <w:lang w:val="lv-LV"/>
        </w:rPr>
      </w:pPr>
      <w:r w:rsidRPr="00550D35">
        <w:rPr>
          <w:i/>
          <w:iCs/>
          <w:szCs w:val="24"/>
          <w:lang w:val="lv-LV"/>
        </w:rPr>
        <w:t>Avots: Digitālās dekādes 2023.gada ziņojums par Latviju</w:t>
      </w:r>
    </w:p>
    <w:p w14:paraId="0686C15B" w14:textId="77777777" w:rsidR="003D6E20" w:rsidRPr="00550D35" w:rsidRDefault="003D6E20" w:rsidP="003D6E20">
      <w:pPr>
        <w:spacing w:before="0" w:after="160" w:line="259" w:lineRule="auto"/>
        <w:ind w:left="720" w:firstLine="0"/>
        <w:contextualSpacing/>
        <w:jc w:val="left"/>
        <w:rPr>
          <w:b/>
          <w:bCs/>
          <w:lang w:val="lv-LV"/>
        </w:rPr>
      </w:pPr>
    </w:p>
    <w:p w14:paraId="7AB46EF6" w14:textId="7B24444C" w:rsidR="003D6E20" w:rsidRPr="00550D35" w:rsidRDefault="003D6E20" w:rsidP="003D6E20">
      <w:pPr>
        <w:rPr>
          <w:lang w:val="lv-LV"/>
        </w:rPr>
      </w:pPr>
      <w:r w:rsidRPr="00550D35">
        <w:rPr>
          <w:lang w:val="lv-LV"/>
        </w:rPr>
        <w:t xml:space="preserve">Ņemot vērā, ka Latvijas attīstības plānošanas dokumentos minētais </w:t>
      </w:r>
      <w:proofErr w:type="spellStart"/>
      <w:r w:rsidRPr="00550D35">
        <w:rPr>
          <w:lang w:val="lv-LV"/>
        </w:rPr>
        <w:t>mērķrādītājs</w:t>
      </w:r>
      <w:proofErr w:type="spellEnd"/>
      <w:r w:rsidRPr="00550D35">
        <w:rPr>
          <w:lang w:val="lv-LV"/>
        </w:rPr>
        <w:t xml:space="preserve"> nav definēts un to ka piekļuve pacienta e-veselības kartei tiks mērīta EK pasūtītā pētījumā, ko tās uzdevumā veiks komerciāls pakalpojumu sniedzējs, ceļvedī Latvijai informācija par nacionālo trajektoriju līdz 2030.gadam tiks precizēta ceļveža Latvijai pārskatīšanas gaitā. Šeit norādīto </w:t>
      </w:r>
      <w:proofErr w:type="spellStart"/>
      <w:r w:rsidRPr="00550D35">
        <w:rPr>
          <w:lang w:val="lv-LV"/>
        </w:rPr>
        <w:t>mērķrādītāju</w:t>
      </w:r>
      <w:proofErr w:type="spellEnd"/>
      <w:r w:rsidRPr="00550D35">
        <w:rPr>
          <w:lang w:val="lv-LV"/>
        </w:rPr>
        <w:t xml:space="preserve"> vērtības  ir indikatīvas un, iespējams, tiks mainītas.</w:t>
      </w:r>
    </w:p>
    <w:p w14:paraId="7711C854" w14:textId="77777777" w:rsidR="003D6E20" w:rsidRPr="00550D35" w:rsidRDefault="003D6E20" w:rsidP="003D6E20">
      <w:pPr>
        <w:rPr>
          <w:lang w:val="lv-LV"/>
        </w:rPr>
      </w:pPr>
    </w:p>
    <w:tbl>
      <w:tblPr>
        <w:tblStyle w:val="TableGrid"/>
        <w:tblW w:w="0" w:type="auto"/>
        <w:tblInd w:w="534" w:type="dxa"/>
        <w:tblLook w:val="04A0" w:firstRow="1" w:lastRow="0" w:firstColumn="1" w:lastColumn="0" w:noHBand="0" w:noVBand="1"/>
      </w:tblPr>
      <w:tblGrid>
        <w:gridCol w:w="1082"/>
        <w:gridCol w:w="987"/>
        <w:gridCol w:w="987"/>
        <w:gridCol w:w="987"/>
        <w:gridCol w:w="987"/>
        <w:gridCol w:w="987"/>
        <w:gridCol w:w="814"/>
        <w:gridCol w:w="1242"/>
      </w:tblGrid>
      <w:tr w:rsidR="003D6E20" w:rsidRPr="00550D35" w14:paraId="4E6739BB" w14:textId="77777777" w:rsidTr="00BA62A0">
        <w:tc>
          <w:tcPr>
            <w:tcW w:w="1083" w:type="dxa"/>
          </w:tcPr>
          <w:p w14:paraId="003F2D30" w14:textId="77777777" w:rsidR="003D6E20" w:rsidRPr="00550D35" w:rsidRDefault="003D6E20" w:rsidP="00BA62A0">
            <w:pPr>
              <w:pStyle w:val="Text2"/>
              <w:ind w:left="0" w:firstLine="0"/>
              <w:rPr>
                <w:sz w:val="20"/>
                <w:lang w:val="lv-LV"/>
              </w:rPr>
            </w:pPr>
            <w:r w:rsidRPr="00550D35">
              <w:rPr>
                <w:sz w:val="20"/>
                <w:lang w:val="lv-LV"/>
              </w:rPr>
              <w:t>2023</w:t>
            </w:r>
          </w:p>
        </w:tc>
        <w:tc>
          <w:tcPr>
            <w:tcW w:w="987" w:type="dxa"/>
          </w:tcPr>
          <w:p w14:paraId="12B548DB" w14:textId="77777777" w:rsidR="003D6E20" w:rsidRPr="00550D35" w:rsidRDefault="003D6E20" w:rsidP="00BA62A0">
            <w:pPr>
              <w:pStyle w:val="Text2"/>
              <w:ind w:left="0" w:firstLine="0"/>
              <w:rPr>
                <w:sz w:val="20"/>
                <w:lang w:val="lv-LV"/>
              </w:rPr>
            </w:pPr>
            <w:r w:rsidRPr="00550D35">
              <w:rPr>
                <w:sz w:val="20"/>
                <w:lang w:val="lv-LV"/>
              </w:rPr>
              <w:t>2024</w:t>
            </w:r>
          </w:p>
        </w:tc>
        <w:tc>
          <w:tcPr>
            <w:tcW w:w="987" w:type="dxa"/>
          </w:tcPr>
          <w:p w14:paraId="4FB8B8CD" w14:textId="77777777" w:rsidR="003D6E20" w:rsidRPr="00550D35" w:rsidRDefault="003D6E20" w:rsidP="00BA62A0">
            <w:pPr>
              <w:pStyle w:val="Text2"/>
              <w:ind w:left="0" w:firstLine="0"/>
              <w:rPr>
                <w:sz w:val="20"/>
                <w:lang w:val="lv-LV"/>
              </w:rPr>
            </w:pPr>
            <w:r w:rsidRPr="00550D35">
              <w:rPr>
                <w:sz w:val="20"/>
                <w:lang w:val="lv-LV"/>
              </w:rPr>
              <w:t>2025</w:t>
            </w:r>
          </w:p>
        </w:tc>
        <w:tc>
          <w:tcPr>
            <w:tcW w:w="987" w:type="dxa"/>
          </w:tcPr>
          <w:p w14:paraId="7C965E00" w14:textId="77777777" w:rsidR="003D6E20" w:rsidRPr="00550D35" w:rsidRDefault="003D6E20" w:rsidP="00BA62A0">
            <w:pPr>
              <w:pStyle w:val="Text2"/>
              <w:ind w:left="0" w:firstLine="0"/>
              <w:rPr>
                <w:sz w:val="20"/>
                <w:lang w:val="lv-LV"/>
              </w:rPr>
            </w:pPr>
            <w:r w:rsidRPr="00550D35">
              <w:rPr>
                <w:sz w:val="20"/>
                <w:lang w:val="lv-LV"/>
              </w:rPr>
              <w:t>2026</w:t>
            </w:r>
          </w:p>
        </w:tc>
        <w:tc>
          <w:tcPr>
            <w:tcW w:w="987" w:type="dxa"/>
          </w:tcPr>
          <w:p w14:paraId="2FA12DFF" w14:textId="77777777" w:rsidR="003D6E20" w:rsidRPr="00550D35" w:rsidRDefault="003D6E20" w:rsidP="00BA62A0">
            <w:pPr>
              <w:pStyle w:val="Text2"/>
              <w:ind w:left="0" w:firstLine="0"/>
              <w:rPr>
                <w:sz w:val="20"/>
                <w:lang w:val="lv-LV"/>
              </w:rPr>
            </w:pPr>
            <w:r w:rsidRPr="00550D35">
              <w:rPr>
                <w:sz w:val="20"/>
                <w:lang w:val="lv-LV"/>
              </w:rPr>
              <w:t>2027</w:t>
            </w:r>
          </w:p>
        </w:tc>
        <w:tc>
          <w:tcPr>
            <w:tcW w:w="987" w:type="dxa"/>
          </w:tcPr>
          <w:p w14:paraId="556E5D30" w14:textId="77777777" w:rsidR="003D6E20" w:rsidRPr="00550D35" w:rsidRDefault="003D6E20" w:rsidP="00BA62A0">
            <w:pPr>
              <w:pStyle w:val="Text2"/>
              <w:ind w:left="0" w:firstLine="0"/>
              <w:rPr>
                <w:sz w:val="20"/>
                <w:lang w:val="lv-LV"/>
              </w:rPr>
            </w:pPr>
            <w:r w:rsidRPr="00550D35">
              <w:rPr>
                <w:sz w:val="20"/>
                <w:lang w:val="lv-LV"/>
              </w:rPr>
              <w:t>2028</w:t>
            </w:r>
          </w:p>
        </w:tc>
        <w:tc>
          <w:tcPr>
            <w:tcW w:w="814" w:type="dxa"/>
          </w:tcPr>
          <w:p w14:paraId="05F9D435" w14:textId="77777777" w:rsidR="003D6E20" w:rsidRPr="00550D35" w:rsidRDefault="003D6E20" w:rsidP="00BA62A0">
            <w:pPr>
              <w:pStyle w:val="Text2"/>
              <w:ind w:left="0" w:firstLine="0"/>
              <w:rPr>
                <w:sz w:val="20"/>
                <w:lang w:val="lv-LV"/>
              </w:rPr>
            </w:pPr>
            <w:r w:rsidRPr="00550D35">
              <w:rPr>
                <w:sz w:val="20"/>
                <w:lang w:val="lv-LV"/>
              </w:rPr>
              <w:t>2029</w:t>
            </w:r>
          </w:p>
        </w:tc>
        <w:tc>
          <w:tcPr>
            <w:tcW w:w="1242" w:type="dxa"/>
          </w:tcPr>
          <w:p w14:paraId="5C4E9998" w14:textId="77777777" w:rsidR="003D6E20" w:rsidRPr="00550D35" w:rsidRDefault="003D6E20" w:rsidP="00BA62A0">
            <w:pPr>
              <w:pStyle w:val="Text2"/>
              <w:ind w:left="0" w:firstLine="0"/>
              <w:rPr>
                <w:sz w:val="20"/>
                <w:lang w:val="lv-LV"/>
              </w:rPr>
            </w:pPr>
            <w:r w:rsidRPr="00550D35">
              <w:rPr>
                <w:sz w:val="20"/>
                <w:lang w:val="lv-LV"/>
              </w:rPr>
              <w:t>2030</w:t>
            </w:r>
          </w:p>
        </w:tc>
      </w:tr>
      <w:tr w:rsidR="003D6E20" w:rsidRPr="00550D35" w14:paraId="5093C54B" w14:textId="77777777" w:rsidTr="00BA62A0">
        <w:tc>
          <w:tcPr>
            <w:tcW w:w="1083" w:type="dxa"/>
            <w:shd w:val="clear" w:color="auto" w:fill="auto"/>
          </w:tcPr>
          <w:p w14:paraId="691E88C8" w14:textId="77777777" w:rsidR="003D6E20" w:rsidRPr="00550D35" w:rsidRDefault="003D6E20" w:rsidP="00BA62A0">
            <w:pPr>
              <w:pStyle w:val="Text2"/>
              <w:ind w:left="0" w:firstLine="0"/>
              <w:rPr>
                <w:sz w:val="20"/>
                <w:lang w:val="lv-LV"/>
              </w:rPr>
            </w:pPr>
            <w:r w:rsidRPr="00550D35">
              <w:rPr>
                <w:sz w:val="20"/>
                <w:lang w:val="lv-LV"/>
              </w:rPr>
              <w:t>78%</w:t>
            </w:r>
          </w:p>
        </w:tc>
        <w:tc>
          <w:tcPr>
            <w:tcW w:w="987" w:type="dxa"/>
            <w:shd w:val="clear" w:color="auto" w:fill="auto"/>
          </w:tcPr>
          <w:p w14:paraId="5372564B" w14:textId="77777777" w:rsidR="003D6E20" w:rsidRPr="00550D35" w:rsidRDefault="003D6E20" w:rsidP="00BA62A0">
            <w:pPr>
              <w:pStyle w:val="Text2"/>
              <w:ind w:left="0" w:firstLine="0"/>
              <w:rPr>
                <w:sz w:val="20"/>
                <w:lang w:val="lv-LV"/>
              </w:rPr>
            </w:pPr>
            <w:r w:rsidRPr="00550D35">
              <w:rPr>
                <w:sz w:val="20"/>
                <w:lang w:val="lv-LV"/>
              </w:rPr>
              <w:t>80%</w:t>
            </w:r>
          </w:p>
        </w:tc>
        <w:tc>
          <w:tcPr>
            <w:tcW w:w="987" w:type="dxa"/>
            <w:shd w:val="clear" w:color="auto" w:fill="auto"/>
          </w:tcPr>
          <w:p w14:paraId="64655BD4" w14:textId="77777777" w:rsidR="003D6E20" w:rsidRPr="00550D35" w:rsidRDefault="003D6E20" w:rsidP="00BA62A0">
            <w:pPr>
              <w:pStyle w:val="Text2"/>
              <w:ind w:left="0" w:firstLine="0"/>
              <w:rPr>
                <w:sz w:val="20"/>
                <w:lang w:val="lv-LV"/>
              </w:rPr>
            </w:pPr>
            <w:r w:rsidRPr="00550D35">
              <w:rPr>
                <w:sz w:val="20"/>
                <w:lang w:val="lv-LV"/>
              </w:rPr>
              <w:t>83%</w:t>
            </w:r>
          </w:p>
        </w:tc>
        <w:tc>
          <w:tcPr>
            <w:tcW w:w="987" w:type="dxa"/>
            <w:shd w:val="clear" w:color="auto" w:fill="auto"/>
          </w:tcPr>
          <w:p w14:paraId="1F80B307" w14:textId="77777777" w:rsidR="003D6E20" w:rsidRPr="00550D35" w:rsidRDefault="003D6E20" w:rsidP="00BA62A0">
            <w:pPr>
              <w:pStyle w:val="Text2"/>
              <w:ind w:left="0" w:firstLine="0"/>
              <w:rPr>
                <w:sz w:val="20"/>
                <w:lang w:val="lv-LV"/>
              </w:rPr>
            </w:pPr>
            <w:r w:rsidRPr="00550D35">
              <w:rPr>
                <w:sz w:val="20"/>
                <w:lang w:val="lv-LV"/>
              </w:rPr>
              <w:t>86%</w:t>
            </w:r>
          </w:p>
        </w:tc>
        <w:tc>
          <w:tcPr>
            <w:tcW w:w="987" w:type="dxa"/>
            <w:shd w:val="clear" w:color="auto" w:fill="auto"/>
          </w:tcPr>
          <w:p w14:paraId="2760D34F" w14:textId="77777777" w:rsidR="003D6E20" w:rsidRPr="00550D35" w:rsidRDefault="003D6E20" w:rsidP="00BA62A0">
            <w:pPr>
              <w:pStyle w:val="Text2"/>
              <w:ind w:left="0" w:firstLine="0"/>
              <w:rPr>
                <w:sz w:val="20"/>
                <w:lang w:val="lv-LV"/>
              </w:rPr>
            </w:pPr>
            <w:r w:rsidRPr="00550D35">
              <w:rPr>
                <w:sz w:val="20"/>
                <w:lang w:val="lv-LV"/>
              </w:rPr>
              <w:t>89%</w:t>
            </w:r>
          </w:p>
        </w:tc>
        <w:tc>
          <w:tcPr>
            <w:tcW w:w="987" w:type="dxa"/>
            <w:shd w:val="clear" w:color="auto" w:fill="auto"/>
          </w:tcPr>
          <w:p w14:paraId="48974747" w14:textId="77777777" w:rsidR="003D6E20" w:rsidRPr="00550D35" w:rsidRDefault="003D6E20" w:rsidP="00BA62A0">
            <w:pPr>
              <w:pStyle w:val="Text2"/>
              <w:ind w:left="0" w:firstLine="0"/>
              <w:rPr>
                <w:sz w:val="20"/>
                <w:lang w:val="lv-LV"/>
              </w:rPr>
            </w:pPr>
            <w:r w:rsidRPr="00550D35">
              <w:rPr>
                <w:sz w:val="20"/>
                <w:lang w:val="lv-LV"/>
              </w:rPr>
              <w:t>92%</w:t>
            </w:r>
          </w:p>
        </w:tc>
        <w:tc>
          <w:tcPr>
            <w:tcW w:w="814" w:type="dxa"/>
            <w:shd w:val="clear" w:color="auto" w:fill="auto"/>
          </w:tcPr>
          <w:p w14:paraId="6E9656DE" w14:textId="77777777" w:rsidR="003D6E20" w:rsidRPr="00550D35" w:rsidRDefault="003D6E20" w:rsidP="00BA62A0">
            <w:pPr>
              <w:pStyle w:val="Text2"/>
              <w:ind w:left="0" w:firstLine="0"/>
              <w:rPr>
                <w:sz w:val="20"/>
                <w:lang w:val="lv-LV"/>
              </w:rPr>
            </w:pPr>
            <w:r w:rsidRPr="00550D35">
              <w:rPr>
                <w:sz w:val="20"/>
                <w:lang w:val="lv-LV"/>
              </w:rPr>
              <w:t>96%</w:t>
            </w:r>
          </w:p>
        </w:tc>
        <w:tc>
          <w:tcPr>
            <w:tcW w:w="1242" w:type="dxa"/>
            <w:shd w:val="clear" w:color="auto" w:fill="auto"/>
          </w:tcPr>
          <w:p w14:paraId="188F67F4" w14:textId="77777777" w:rsidR="003D6E20" w:rsidRPr="00550D35" w:rsidRDefault="003D6E20" w:rsidP="00BA62A0">
            <w:pPr>
              <w:pStyle w:val="Text2"/>
              <w:ind w:left="0" w:firstLine="0"/>
              <w:rPr>
                <w:sz w:val="20"/>
                <w:lang w:val="lv-LV"/>
              </w:rPr>
            </w:pPr>
            <w:r w:rsidRPr="00550D35">
              <w:rPr>
                <w:sz w:val="20"/>
                <w:lang w:val="lv-LV"/>
              </w:rPr>
              <w:t>100%</w:t>
            </w:r>
            <w:r w:rsidRPr="00550D35">
              <w:rPr>
                <w:sz w:val="20"/>
                <w:lang w:val="lv-LV"/>
              </w:rPr>
              <w:br/>
              <w:t>(ES mērķis)</w:t>
            </w:r>
          </w:p>
        </w:tc>
      </w:tr>
    </w:tbl>
    <w:p w14:paraId="5004BD4A" w14:textId="77777777" w:rsidR="003D6E20" w:rsidRPr="00550D35" w:rsidRDefault="003D6E20" w:rsidP="003D6E20">
      <w:pPr>
        <w:spacing w:before="0" w:after="160" w:line="259" w:lineRule="auto"/>
        <w:ind w:firstLine="0"/>
        <w:contextualSpacing/>
        <w:jc w:val="left"/>
        <w:rPr>
          <w:b/>
          <w:bCs/>
          <w:lang w:val="lv-LV"/>
        </w:rPr>
      </w:pPr>
    </w:p>
    <w:p w14:paraId="60DEA110" w14:textId="77777777" w:rsidR="003D6E20" w:rsidRPr="00A82A3A" w:rsidDel="00A82A3A" w:rsidRDefault="003D6E20" w:rsidP="003D6E20">
      <w:pPr>
        <w:pStyle w:val="Heading2"/>
        <w:rPr>
          <w:lang w:val="lv-LV"/>
        </w:rPr>
      </w:pPr>
      <w:r w:rsidRPr="00550D35">
        <w:rPr>
          <w:lang w:val="lv-LV"/>
        </w:rPr>
        <w:t xml:space="preserve">Politika, pasākumi un darbības digitālā </w:t>
      </w:r>
      <w:proofErr w:type="spellStart"/>
      <w:r>
        <w:rPr>
          <w:lang w:val="lv-LV"/>
        </w:rPr>
        <w:t>mērķrādītāja</w:t>
      </w:r>
      <w:proofErr w:type="spellEnd"/>
      <w:r>
        <w:rPr>
          <w:lang w:val="lv-LV"/>
        </w:rPr>
        <w:t xml:space="preserve"> </w:t>
      </w:r>
      <w:r w:rsidRPr="00550D35">
        <w:rPr>
          <w:lang w:val="lv-LV"/>
        </w:rPr>
        <w:t xml:space="preserve">sasniegšanai </w:t>
      </w:r>
    </w:p>
    <w:p w14:paraId="57D5D334" w14:textId="77777777" w:rsidR="003D6E20" w:rsidRPr="00550D35" w:rsidRDefault="003D6E20" w:rsidP="003D6E20">
      <w:pPr>
        <w:pStyle w:val="Heading3"/>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41145D6A" w14:textId="77777777" w:rsidR="003D6E20" w:rsidRPr="00550D35" w:rsidRDefault="003D6E20" w:rsidP="003D6E20">
      <w:pPr>
        <w:ind w:left="360" w:firstLine="0"/>
        <w:rPr>
          <w:b/>
          <w:bCs/>
          <w:lang w:val="lv-LV"/>
        </w:rPr>
      </w:pPr>
      <w:r w:rsidRPr="00550D35">
        <w:rPr>
          <w:b/>
          <w:bCs/>
          <w:lang w:val="lv-LV"/>
        </w:rPr>
        <w:t>Kopējais laika ietvars:</w:t>
      </w:r>
    </w:p>
    <w:tbl>
      <w:tblPr>
        <w:tblStyle w:val="TableGrid"/>
        <w:tblW w:w="5000" w:type="pct"/>
        <w:tblLook w:val="04A0" w:firstRow="1" w:lastRow="0" w:firstColumn="1" w:lastColumn="0" w:noHBand="0" w:noVBand="1"/>
      </w:tblPr>
      <w:tblGrid>
        <w:gridCol w:w="2043"/>
        <w:gridCol w:w="1072"/>
        <w:gridCol w:w="65"/>
        <w:gridCol w:w="816"/>
        <w:gridCol w:w="678"/>
        <w:gridCol w:w="678"/>
        <w:gridCol w:w="807"/>
        <w:gridCol w:w="60"/>
        <w:gridCol w:w="618"/>
        <w:gridCol w:w="1095"/>
        <w:gridCol w:w="675"/>
      </w:tblGrid>
      <w:tr w:rsidR="003D6E20" w:rsidRPr="00550D35" w14:paraId="1939C8DC" w14:textId="77777777" w:rsidTr="00BA62A0">
        <w:tc>
          <w:tcPr>
            <w:tcW w:w="1186" w:type="pct"/>
          </w:tcPr>
          <w:p w14:paraId="45507816" w14:textId="77777777" w:rsidR="003D6E20" w:rsidRPr="00550D35" w:rsidRDefault="003D6E20" w:rsidP="00BA62A0">
            <w:pPr>
              <w:spacing w:before="0" w:after="0"/>
              <w:ind w:firstLine="0"/>
              <w:jc w:val="left"/>
              <w:rPr>
                <w:sz w:val="20"/>
                <w:lang w:val="lv-LV"/>
              </w:rPr>
            </w:pPr>
          </w:p>
        </w:tc>
        <w:tc>
          <w:tcPr>
            <w:tcW w:w="623" w:type="pct"/>
          </w:tcPr>
          <w:p w14:paraId="3B1BAFE5" w14:textId="77777777" w:rsidR="003D6E20" w:rsidRPr="00550D35" w:rsidRDefault="003D6E20" w:rsidP="00BA62A0">
            <w:pPr>
              <w:spacing w:before="0" w:after="0"/>
              <w:ind w:firstLine="0"/>
              <w:rPr>
                <w:sz w:val="20"/>
                <w:lang w:val="lv-LV"/>
              </w:rPr>
            </w:pPr>
            <w:r w:rsidRPr="00550D35">
              <w:rPr>
                <w:sz w:val="20"/>
                <w:lang w:val="lv-LV"/>
              </w:rPr>
              <w:t>2023</w:t>
            </w:r>
          </w:p>
        </w:tc>
        <w:tc>
          <w:tcPr>
            <w:tcW w:w="512" w:type="pct"/>
            <w:gridSpan w:val="2"/>
          </w:tcPr>
          <w:p w14:paraId="3037BE1B" w14:textId="77777777" w:rsidR="003D6E20" w:rsidRPr="00550D35" w:rsidRDefault="003D6E20" w:rsidP="00BA62A0">
            <w:pPr>
              <w:spacing w:before="0" w:after="0"/>
              <w:ind w:firstLine="0"/>
              <w:rPr>
                <w:sz w:val="20"/>
                <w:lang w:val="lv-LV"/>
              </w:rPr>
            </w:pPr>
            <w:r w:rsidRPr="00550D35">
              <w:rPr>
                <w:sz w:val="20"/>
                <w:lang w:val="lv-LV"/>
              </w:rPr>
              <w:t>2024</w:t>
            </w:r>
          </w:p>
        </w:tc>
        <w:tc>
          <w:tcPr>
            <w:tcW w:w="394" w:type="pct"/>
          </w:tcPr>
          <w:p w14:paraId="6584EA72" w14:textId="77777777" w:rsidR="003D6E20" w:rsidRPr="00550D35" w:rsidRDefault="003D6E20" w:rsidP="00BA62A0">
            <w:pPr>
              <w:spacing w:before="0" w:after="0"/>
              <w:ind w:firstLine="0"/>
              <w:rPr>
                <w:sz w:val="20"/>
                <w:lang w:val="lv-LV"/>
              </w:rPr>
            </w:pPr>
            <w:r w:rsidRPr="00550D35">
              <w:rPr>
                <w:sz w:val="20"/>
                <w:lang w:val="lv-LV"/>
              </w:rPr>
              <w:t>2025</w:t>
            </w:r>
          </w:p>
        </w:tc>
        <w:tc>
          <w:tcPr>
            <w:tcW w:w="394" w:type="pct"/>
          </w:tcPr>
          <w:p w14:paraId="3723130C" w14:textId="77777777" w:rsidR="003D6E20" w:rsidRPr="00550D35" w:rsidRDefault="003D6E20" w:rsidP="00BA62A0">
            <w:pPr>
              <w:spacing w:before="0" w:after="0"/>
              <w:ind w:firstLine="0"/>
              <w:rPr>
                <w:sz w:val="20"/>
                <w:lang w:val="lv-LV"/>
              </w:rPr>
            </w:pPr>
            <w:r w:rsidRPr="00550D35">
              <w:rPr>
                <w:sz w:val="20"/>
                <w:lang w:val="lv-LV"/>
              </w:rPr>
              <w:t>2026</w:t>
            </w:r>
          </w:p>
        </w:tc>
        <w:tc>
          <w:tcPr>
            <w:tcW w:w="504" w:type="pct"/>
            <w:gridSpan w:val="2"/>
          </w:tcPr>
          <w:p w14:paraId="579E81F5" w14:textId="77777777" w:rsidR="003D6E20" w:rsidRPr="00550D35" w:rsidRDefault="003D6E20" w:rsidP="00BA62A0">
            <w:pPr>
              <w:spacing w:before="0" w:after="0"/>
              <w:ind w:firstLine="0"/>
              <w:rPr>
                <w:sz w:val="20"/>
                <w:lang w:val="lv-LV"/>
              </w:rPr>
            </w:pPr>
            <w:r w:rsidRPr="00550D35">
              <w:rPr>
                <w:sz w:val="20"/>
                <w:lang w:val="lv-LV"/>
              </w:rPr>
              <w:t>2027</w:t>
            </w:r>
          </w:p>
        </w:tc>
        <w:tc>
          <w:tcPr>
            <w:tcW w:w="359" w:type="pct"/>
          </w:tcPr>
          <w:p w14:paraId="76EC8298" w14:textId="77777777" w:rsidR="003D6E20" w:rsidRPr="00550D35" w:rsidRDefault="003D6E20" w:rsidP="00BA62A0">
            <w:pPr>
              <w:spacing w:before="0" w:after="0"/>
              <w:ind w:firstLine="0"/>
              <w:rPr>
                <w:sz w:val="20"/>
                <w:lang w:val="lv-LV"/>
              </w:rPr>
            </w:pPr>
            <w:r w:rsidRPr="00550D35">
              <w:rPr>
                <w:sz w:val="20"/>
                <w:lang w:val="lv-LV"/>
              </w:rPr>
              <w:t>2028</w:t>
            </w:r>
          </w:p>
        </w:tc>
        <w:tc>
          <w:tcPr>
            <w:tcW w:w="636" w:type="pct"/>
          </w:tcPr>
          <w:p w14:paraId="6A5B0551" w14:textId="77777777" w:rsidR="003D6E20" w:rsidRPr="00550D35" w:rsidRDefault="003D6E20" w:rsidP="00BA62A0">
            <w:pPr>
              <w:spacing w:before="0" w:after="0"/>
              <w:ind w:firstLine="0"/>
              <w:rPr>
                <w:sz w:val="20"/>
                <w:lang w:val="lv-LV"/>
              </w:rPr>
            </w:pPr>
            <w:r w:rsidRPr="00550D35">
              <w:rPr>
                <w:sz w:val="20"/>
                <w:lang w:val="lv-LV"/>
              </w:rPr>
              <w:t>2029</w:t>
            </w:r>
          </w:p>
        </w:tc>
        <w:tc>
          <w:tcPr>
            <w:tcW w:w="392" w:type="pct"/>
          </w:tcPr>
          <w:p w14:paraId="40E7D742" w14:textId="77777777" w:rsidR="003D6E20" w:rsidRPr="00550D35" w:rsidRDefault="003D6E20" w:rsidP="00BA62A0">
            <w:pPr>
              <w:spacing w:before="0" w:after="0"/>
              <w:ind w:firstLine="0"/>
              <w:rPr>
                <w:sz w:val="20"/>
                <w:lang w:val="lv-LV"/>
              </w:rPr>
            </w:pPr>
            <w:r w:rsidRPr="00550D35">
              <w:rPr>
                <w:sz w:val="20"/>
                <w:lang w:val="lv-LV"/>
              </w:rPr>
              <w:t>2030</w:t>
            </w:r>
          </w:p>
        </w:tc>
      </w:tr>
      <w:tr w:rsidR="003D6E20" w:rsidRPr="00550D35" w14:paraId="71AAFB42" w14:textId="77777777" w:rsidTr="00BA62A0">
        <w:tc>
          <w:tcPr>
            <w:tcW w:w="5000" w:type="pct"/>
            <w:gridSpan w:val="11"/>
          </w:tcPr>
          <w:p w14:paraId="58DB5725" w14:textId="77777777" w:rsidR="003D6E20" w:rsidRPr="00550D35" w:rsidRDefault="003D6E20" w:rsidP="00BA62A0">
            <w:pPr>
              <w:spacing w:before="0" w:after="0"/>
              <w:ind w:firstLine="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3D6E20" w:rsidRPr="00C55399" w14:paraId="262179FA" w14:textId="77777777" w:rsidTr="00BA62A0">
        <w:tc>
          <w:tcPr>
            <w:tcW w:w="1186" w:type="pct"/>
            <w:shd w:val="clear" w:color="auto" w:fill="auto"/>
          </w:tcPr>
          <w:p w14:paraId="4776047E" w14:textId="77777777" w:rsidR="003D6E20" w:rsidRPr="00550D35" w:rsidRDefault="003D6E20" w:rsidP="00BA62A0">
            <w:pPr>
              <w:ind w:firstLine="0"/>
              <w:rPr>
                <w:sz w:val="20"/>
                <w:lang w:val="lv-LV"/>
              </w:rPr>
            </w:pPr>
            <w:r w:rsidRPr="00550D35">
              <w:rPr>
                <w:sz w:val="20"/>
                <w:lang w:val="lv-LV"/>
              </w:rPr>
              <w:t>Pasākums Nr.1</w:t>
            </w:r>
          </w:p>
          <w:p w14:paraId="159736CF" w14:textId="77777777" w:rsidR="003D6E20" w:rsidRPr="00D06061" w:rsidRDefault="003D6E20" w:rsidP="00BA62A0">
            <w:pPr>
              <w:ind w:firstLine="0"/>
              <w:rPr>
                <w:sz w:val="20"/>
                <w:lang w:val="lv-LV"/>
              </w:rPr>
            </w:pPr>
            <w:r w:rsidRPr="00D06061">
              <w:rPr>
                <w:b/>
                <w:bCs/>
                <w:sz w:val="20"/>
                <w:lang w:val="lv-LV"/>
              </w:rPr>
              <w:t>Digitālās veselības informācijas sistēmas“ kodola” izstrāde</w:t>
            </w:r>
            <w:r w:rsidRPr="00D06061">
              <w:rPr>
                <w:sz w:val="20"/>
                <w:lang w:val="lv-LV"/>
              </w:rPr>
              <w:br/>
              <w:t>Finansējuma avots: Valsts budžets, ES Kohēzijas politikas programmas 2021.-2027. gadam 4.1.1.4</w:t>
            </w:r>
            <w:r>
              <w:rPr>
                <w:sz w:val="20"/>
                <w:lang w:val="lv-LV"/>
              </w:rPr>
              <w:t>. pasākums</w:t>
            </w:r>
          </w:p>
        </w:tc>
        <w:tc>
          <w:tcPr>
            <w:tcW w:w="661" w:type="pct"/>
            <w:gridSpan w:val="2"/>
            <w:shd w:val="clear" w:color="auto" w:fill="70AD47" w:themeFill="accent6"/>
          </w:tcPr>
          <w:p w14:paraId="651E5F4A" w14:textId="77777777" w:rsidR="003D6E20" w:rsidRPr="00550D35" w:rsidRDefault="003D6E20" w:rsidP="00BA62A0">
            <w:pPr>
              <w:spacing w:before="0" w:after="0"/>
              <w:rPr>
                <w:sz w:val="20"/>
                <w:highlight w:val="yellow"/>
                <w:lang w:val="lv-LV"/>
              </w:rPr>
            </w:pPr>
          </w:p>
        </w:tc>
        <w:tc>
          <w:tcPr>
            <w:tcW w:w="474" w:type="pct"/>
            <w:shd w:val="clear" w:color="auto" w:fill="70AD47" w:themeFill="accent6"/>
          </w:tcPr>
          <w:p w14:paraId="593A8DA5" w14:textId="77777777" w:rsidR="003D6E20" w:rsidRPr="00550D35" w:rsidRDefault="003D6E20" w:rsidP="00BA62A0">
            <w:pPr>
              <w:spacing w:before="0" w:after="0"/>
              <w:rPr>
                <w:sz w:val="20"/>
                <w:highlight w:val="yellow"/>
                <w:lang w:val="lv-LV"/>
              </w:rPr>
            </w:pPr>
          </w:p>
        </w:tc>
        <w:tc>
          <w:tcPr>
            <w:tcW w:w="394" w:type="pct"/>
            <w:shd w:val="clear" w:color="auto" w:fill="auto"/>
          </w:tcPr>
          <w:p w14:paraId="3658E522" w14:textId="77777777" w:rsidR="003D6E20" w:rsidRPr="00550D35" w:rsidRDefault="003D6E20" w:rsidP="00BA62A0">
            <w:pPr>
              <w:spacing w:before="0" w:after="0"/>
              <w:rPr>
                <w:sz w:val="20"/>
                <w:highlight w:val="yellow"/>
                <w:lang w:val="lv-LV"/>
              </w:rPr>
            </w:pPr>
          </w:p>
        </w:tc>
        <w:tc>
          <w:tcPr>
            <w:tcW w:w="394" w:type="pct"/>
            <w:shd w:val="clear" w:color="auto" w:fill="auto"/>
          </w:tcPr>
          <w:p w14:paraId="0B5B1C4D" w14:textId="77777777" w:rsidR="003D6E20" w:rsidRPr="00550D35" w:rsidRDefault="003D6E20" w:rsidP="00BA62A0">
            <w:pPr>
              <w:spacing w:before="0" w:after="0"/>
              <w:rPr>
                <w:sz w:val="20"/>
                <w:highlight w:val="yellow"/>
                <w:lang w:val="lv-LV"/>
              </w:rPr>
            </w:pPr>
          </w:p>
        </w:tc>
        <w:tc>
          <w:tcPr>
            <w:tcW w:w="469" w:type="pct"/>
            <w:shd w:val="clear" w:color="auto" w:fill="auto"/>
          </w:tcPr>
          <w:p w14:paraId="41596C5F" w14:textId="77777777" w:rsidR="003D6E20" w:rsidRPr="00550D35" w:rsidRDefault="003D6E20" w:rsidP="00BA62A0">
            <w:pPr>
              <w:spacing w:before="0" w:after="0"/>
              <w:rPr>
                <w:sz w:val="20"/>
                <w:highlight w:val="yellow"/>
                <w:lang w:val="lv-LV"/>
              </w:rPr>
            </w:pPr>
          </w:p>
        </w:tc>
        <w:tc>
          <w:tcPr>
            <w:tcW w:w="394" w:type="pct"/>
            <w:gridSpan w:val="2"/>
            <w:shd w:val="clear" w:color="auto" w:fill="auto"/>
          </w:tcPr>
          <w:p w14:paraId="1E9F4D68" w14:textId="77777777" w:rsidR="003D6E20" w:rsidRPr="00550D35" w:rsidRDefault="003D6E20" w:rsidP="00BA62A0">
            <w:pPr>
              <w:spacing w:before="0" w:after="0"/>
              <w:rPr>
                <w:sz w:val="20"/>
                <w:highlight w:val="yellow"/>
                <w:lang w:val="lv-LV"/>
              </w:rPr>
            </w:pPr>
          </w:p>
        </w:tc>
        <w:tc>
          <w:tcPr>
            <w:tcW w:w="636" w:type="pct"/>
            <w:shd w:val="clear" w:color="auto" w:fill="auto"/>
          </w:tcPr>
          <w:p w14:paraId="606960E7" w14:textId="77777777" w:rsidR="003D6E20" w:rsidRPr="00550D35" w:rsidRDefault="003D6E20" w:rsidP="00BA62A0">
            <w:pPr>
              <w:spacing w:before="0" w:after="0"/>
              <w:rPr>
                <w:sz w:val="20"/>
                <w:highlight w:val="yellow"/>
                <w:lang w:val="lv-LV"/>
              </w:rPr>
            </w:pPr>
          </w:p>
        </w:tc>
        <w:tc>
          <w:tcPr>
            <w:tcW w:w="392" w:type="pct"/>
            <w:shd w:val="clear" w:color="auto" w:fill="auto"/>
          </w:tcPr>
          <w:p w14:paraId="45B75AC1" w14:textId="77777777" w:rsidR="003D6E20" w:rsidRPr="00550D35" w:rsidRDefault="003D6E20" w:rsidP="00BA62A0">
            <w:pPr>
              <w:spacing w:before="0" w:after="0"/>
              <w:rPr>
                <w:sz w:val="20"/>
                <w:highlight w:val="yellow"/>
                <w:lang w:val="lv-LV"/>
              </w:rPr>
            </w:pPr>
          </w:p>
        </w:tc>
      </w:tr>
      <w:tr w:rsidR="003D6E20" w:rsidRPr="003B2E9A" w14:paraId="2313998A" w14:textId="77777777" w:rsidTr="00BA62A0">
        <w:tc>
          <w:tcPr>
            <w:tcW w:w="1186" w:type="pct"/>
            <w:shd w:val="clear" w:color="auto" w:fill="auto"/>
          </w:tcPr>
          <w:p w14:paraId="6D5139D1" w14:textId="77777777" w:rsidR="003D6E20" w:rsidRPr="00550D35" w:rsidRDefault="003D6E20" w:rsidP="00BA62A0">
            <w:pPr>
              <w:ind w:firstLine="0"/>
              <w:rPr>
                <w:sz w:val="20"/>
                <w:lang w:val="lv-LV"/>
              </w:rPr>
            </w:pPr>
            <w:r w:rsidRPr="00550D35">
              <w:rPr>
                <w:sz w:val="20"/>
                <w:lang w:val="lv-LV"/>
              </w:rPr>
              <w:lastRenderedPageBreak/>
              <w:t>Pasākums Nr.2</w:t>
            </w:r>
          </w:p>
          <w:p w14:paraId="60240A80" w14:textId="77777777" w:rsidR="003D6E20" w:rsidRDefault="003D6E20" w:rsidP="00BA62A0">
            <w:pPr>
              <w:ind w:firstLine="0"/>
              <w:rPr>
                <w:b/>
                <w:bCs/>
                <w:sz w:val="20"/>
                <w:lang w:val="lv-LV"/>
              </w:rPr>
            </w:pPr>
            <w:r w:rsidRPr="00550D35">
              <w:rPr>
                <w:b/>
                <w:bCs/>
                <w:sz w:val="20"/>
                <w:lang w:val="lv-LV"/>
              </w:rPr>
              <w:t>Izveidot risinājumu centralizētai vizuālās diagnostikas attēlu un aprakstu pieejamībai</w:t>
            </w:r>
          </w:p>
          <w:p w14:paraId="61B3A8D7" w14:textId="77777777" w:rsidR="003D6E20" w:rsidRPr="00550D35" w:rsidRDefault="003D6E20" w:rsidP="00BA62A0">
            <w:pPr>
              <w:ind w:firstLine="0"/>
              <w:rPr>
                <w:b/>
                <w:bCs/>
                <w:sz w:val="20"/>
                <w:lang w:val="lv-LV"/>
              </w:rPr>
            </w:pPr>
            <w:r w:rsidRPr="00D06061">
              <w:rPr>
                <w:sz w:val="20"/>
                <w:lang w:val="lv-LV"/>
              </w:rPr>
              <w:t>Finansējuma avots: Valsts budžets, ES Kohēzijas politikas programmas 2021.-2027. gadam 4.1.1.4</w:t>
            </w:r>
            <w:r>
              <w:rPr>
                <w:sz w:val="20"/>
                <w:lang w:val="lv-LV"/>
              </w:rPr>
              <w:t>. pasākums</w:t>
            </w:r>
          </w:p>
        </w:tc>
        <w:tc>
          <w:tcPr>
            <w:tcW w:w="661" w:type="pct"/>
            <w:gridSpan w:val="2"/>
            <w:shd w:val="clear" w:color="auto" w:fill="70AD47" w:themeFill="accent6"/>
          </w:tcPr>
          <w:p w14:paraId="44611FDD" w14:textId="77777777" w:rsidR="003D6E20" w:rsidRPr="00550D35" w:rsidRDefault="003D6E20" w:rsidP="00BA62A0">
            <w:pPr>
              <w:spacing w:before="0" w:after="0"/>
              <w:rPr>
                <w:sz w:val="20"/>
                <w:highlight w:val="yellow"/>
                <w:lang w:val="lv-LV"/>
              </w:rPr>
            </w:pPr>
          </w:p>
        </w:tc>
        <w:tc>
          <w:tcPr>
            <w:tcW w:w="474" w:type="pct"/>
            <w:shd w:val="clear" w:color="auto" w:fill="70AD47" w:themeFill="accent6"/>
          </w:tcPr>
          <w:p w14:paraId="5D10405E"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5382433E"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475A8D58" w14:textId="77777777" w:rsidR="003D6E20" w:rsidRPr="00550D35" w:rsidRDefault="003D6E20" w:rsidP="00BA62A0">
            <w:pPr>
              <w:spacing w:before="0" w:after="0"/>
              <w:rPr>
                <w:sz w:val="20"/>
                <w:highlight w:val="yellow"/>
                <w:lang w:val="lv-LV"/>
              </w:rPr>
            </w:pPr>
          </w:p>
        </w:tc>
        <w:tc>
          <w:tcPr>
            <w:tcW w:w="469" w:type="pct"/>
            <w:shd w:val="clear" w:color="auto" w:fill="70AD47" w:themeFill="accent6"/>
          </w:tcPr>
          <w:p w14:paraId="77ED516A" w14:textId="77777777" w:rsidR="003D6E20" w:rsidRPr="00550D35" w:rsidRDefault="003D6E20" w:rsidP="00BA62A0">
            <w:pPr>
              <w:spacing w:before="0" w:after="0"/>
              <w:rPr>
                <w:sz w:val="20"/>
                <w:highlight w:val="yellow"/>
                <w:lang w:val="lv-LV"/>
              </w:rPr>
            </w:pPr>
          </w:p>
        </w:tc>
        <w:tc>
          <w:tcPr>
            <w:tcW w:w="394" w:type="pct"/>
            <w:gridSpan w:val="2"/>
            <w:shd w:val="clear" w:color="auto" w:fill="auto"/>
          </w:tcPr>
          <w:p w14:paraId="665957A7" w14:textId="77777777" w:rsidR="003D6E20" w:rsidRPr="00550D35" w:rsidRDefault="003D6E20" w:rsidP="00BA62A0">
            <w:pPr>
              <w:spacing w:before="0" w:after="0"/>
              <w:rPr>
                <w:sz w:val="20"/>
                <w:highlight w:val="yellow"/>
                <w:lang w:val="lv-LV"/>
              </w:rPr>
            </w:pPr>
          </w:p>
        </w:tc>
        <w:tc>
          <w:tcPr>
            <w:tcW w:w="636" w:type="pct"/>
            <w:shd w:val="clear" w:color="auto" w:fill="auto"/>
          </w:tcPr>
          <w:p w14:paraId="0C847D29" w14:textId="77777777" w:rsidR="003D6E20" w:rsidRPr="00550D35" w:rsidRDefault="003D6E20" w:rsidP="00BA62A0">
            <w:pPr>
              <w:spacing w:before="0" w:after="0"/>
              <w:rPr>
                <w:sz w:val="20"/>
                <w:highlight w:val="yellow"/>
                <w:lang w:val="lv-LV"/>
              </w:rPr>
            </w:pPr>
          </w:p>
        </w:tc>
        <w:tc>
          <w:tcPr>
            <w:tcW w:w="392" w:type="pct"/>
            <w:shd w:val="clear" w:color="auto" w:fill="auto"/>
          </w:tcPr>
          <w:p w14:paraId="51C2390D" w14:textId="77777777" w:rsidR="003D6E20" w:rsidRPr="00550D35" w:rsidRDefault="003D6E20" w:rsidP="00BA62A0">
            <w:pPr>
              <w:spacing w:before="0" w:after="0"/>
              <w:rPr>
                <w:sz w:val="20"/>
                <w:highlight w:val="yellow"/>
                <w:lang w:val="lv-LV"/>
              </w:rPr>
            </w:pPr>
          </w:p>
        </w:tc>
      </w:tr>
      <w:tr w:rsidR="003D6E20" w:rsidRPr="003B2E9A" w14:paraId="51FBA2D8" w14:textId="77777777" w:rsidTr="00BA62A0">
        <w:tc>
          <w:tcPr>
            <w:tcW w:w="1186" w:type="pct"/>
            <w:shd w:val="clear" w:color="auto" w:fill="auto"/>
          </w:tcPr>
          <w:p w14:paraId="41F6199A" w14:textId="77777777" w:rsidR="003D6E20" w:rsidRPr="00550D35" w:rsidRDefault="003D6E20" w:rsidP="00BA62A0">
            <w:pPr>
              <w:ind w:firstLine="0"/>
              <w:rPr>
                <w:sz w:val="20"/>
                <w:lang w:val="lv-LV"/>
              </w:rPr>
            </w:pPr>
            <w:r w:rsidRPr="00550D35">
              <w:rPr>
                <w:sz w:val="20"/>
                <w:lang w:val="lv-LV"/>
              </w:rPr>
              <w:t>Pasākums Nr.3</w:t>
            </w:r>
          </w:p>
          <w:p w14:paraId="1940F3F4" w14:textId="77777777" w:rsidR="003D6E20" w:rsidRPr="00550D35" w:rsidRDefault="003D6E20" w:rsidP="00BA62A0">
            <w:pPr>
              <w:ind w:firstLine="0"/>
              <w:rPr>
                <w:sz w:val="20"/>
                <w:lang w:val="lv-LV"/>
              </w:rPr>
            </w:pPr>
            <w:r w:rsidRPr="00550D35">
              <w:rPr>
                <w:b/>
                <w:bCs/>
                <w:sz w:val="20"/>
                <w:lang w:val="lv-LV"/>
              </w:rPr>
              <w:t>Izstrādāt datu apstrādes nosacījumus ārstniecības iestāžu informācijas sistēmām</w:t>
            </w:r>
            <w:r w:rsidRPr="00041643">
              <w:rPr>
                <w:rFonts w:ascii="Verdana" w:hAnsi="Verdana"/>
                <w:color w:val="525252"/>
                <w:sz w:val="19"/>
                <w:szCs w:val="19"/>
                <w:lang w:val="lv-LV"/>
              </w:rPr>
              <w:br/>
            </w:r>
            <w:r w:rsidRPr="00D06061">
              <w:rPr>
                <w:sz w:val="20"/>
                <w:lang w:val="lv-LV"/>
              </w:rPr>
              <w:t>Finansējuma avots: Valsts budžets</w:t>
            </w:r>
          </w:p>
        </w:tc>
        <w:tc>
          <w:tcPr>
            <w:tcW w:w="661" w:type="pct"/>
            <w:gridSpan w:val="2"/>
            <w:shd w:val="clear" w:color="auto" w:fill="70AD47" w:themeFill="accent6"/>
          </w:tcPr>
          <w:p w14:paraId="6BDB844C" w14:textId="77777777" w:rsidR="003D6E20" w:rsidRPr="00550D35" w:rsidRDefault="003D6E20" w:rsidP="00BA62A0">
            <w:pPr>
              <w:spacing w:before="0" w:after="0"/>
              <w:rPr>
                <w:sz w:val="20"/>
                <w:highlight w:val="yellow"/>
                <w:lang w:val="lv-LV"/>
              </w:rPr>
            </w:pPr>
          </w:p>
        </w:tc>
        <w:tc>
          <w:tcPr>
            <w:tcW w:w="474" w:type="pct"/>
            <w:shd w:val="clear" w:color="auto" w:fill="70AD47" w:themeFill="accent6"/>
          </w:tcPr>
          <w:p w14:paraId="5F6F3B56"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49444974"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5BC2C09B" w14:textId="77777777" w:rsidR="003D6E20" w:rsidRPr="00550D35" w:rsidRDefault="003D6E20" w:rsidP="00BA62A0">
            <w:pPr>
              <w:spacing w:before="0" w:after="0"/>
              <w:rPr>
                <w:sz w:val="20"/>
                <w:highlight w:val="yellow"/>
                <w:lang w:val="lv-LV"/>
              </w:rPr>
            </w:pPr>
          </w:p>
        </w:tc>
        <w:tc>
          <w:tcPr>
            <w:tcW w:w="469" w:type="pct"/>
            <w:shd w:val="clear" w:color="auto" w:fill="auto"/>
          </w:tcPr>
          <w:p w14:paraId="5963CF80" w14:textId="77777777" w:rsidR="003D6E20" w:rsidRPr="00550D35" w:rsidRDefault="003D6E20" w:rsidP="00BA62A0">
            <w:pPr>
              <w:spacing w:before="0" w:after="0"/>
              <w:rPr>
                <w:sz w:val="20"/>
                <w:highlight w:val="yellow"/>
                <w:lang w:val="lv-LV"/>
              </w:rPr>
            </w:pPr>
          </w:p>
        </w:tc>
        <w:tc>
          <w:tcPr>
            <w:tcW w:w="394" w:type="pct"/>
            <w:gridSpan w:val="2"/>
            <w:shd w:val="clear" w:color="auto" w:fill="auto"/>
          </w:tcPr>
          <w:p w14:paraId="651C4F7E" w14:textId="77777777" w:rsidR="003D6E20" w:rsidRPr="00550D35" w:rsidRDefault="003D6E20" w:rsidP="00BA62A0">
            <w:pPr>
              <w:spacing w:before="0" w:after="0"/>
              <w:rPr>
                <w:sz w:val="20"/>
                <w:highlight w:val="yellow"/>
                <w:lang w:val="lv-LV"/>
              </w:rPr>
            </w:pPr>
          </w:p>
        </w:tc>
        <w:tc>
          <w:tcPr>
            <w:tcW w:w="636" w:type="pct"/>
            <w:shd w:val="clear" w:color="auto" w:fill="auto"/>
          </w:tcPr>
          <w:p w14:paraId="0A22877E" w14:textId="77777777" w:rsidR="003D6E20" w:rsidRPr="00550D35" w:rsidRDefault="003D6E20" w:rsidP="00BA62A0">
            <w:pPr>
              <w:spacing w:before="0" w:after="0"/>
              <w:rPr>
                <w:sz w:val="20"/>
                <w:highlight w:val="yellow"/>
                <w:lang w:val="lv-LV"/>
              </w:rPr>
            </w:pPr>
          </w:p>
        </w:tc>
        <w:tc>
          <w:tcPr>
            <w:tcW w:w="392" w:type="pct"/>
            <w:shd w:val="clear" w:color="auto" w:fill="auto"/>
          </w:tcPr>
          <w:p w14:paraId="69B4A3C5" w14:textId="77777777" w:rsidR="003D6E20" w:rsidRPr="00550D35" w:rsidRDefault="003D6E20" w:rsidP="00BA62A0">
            <w:pPr>
              <w:spacing w:before="0" w:after="0"/>
              <w:rPr>
                <w:sz w:val="20"/>
                <w:highlight w:val="yellow"/>
                <w:lang w:val="lv-LV"/>
              </w:rPr>
            </w:pPr>
          </w:p>
        </w:tc>
      </w:tr>
      <w:tr w:rsidR="003D6E20" w:rsidRPr="003B2E9A" w14:paraId="358A8D27" w14:textId="77777777" w:rsidTr="00BA62A0">
        <w:tc>
          <w:tcPr>
            <w:tcW w:w="1186" w:type="pct"/>
            <w:shd w:val="clear" w:color="auto" w:fill="auto"/>
          </w:tcPr>
          <w:p w14:paraId="3DA30FFC" w14:textId="77777777" w:rsidR="003D6E20" w:rsidRPr="00550D35" w:rsidRDefault="003D6E20" w:rsidP="00BA62A0">
            <w:pPr>
              <w:ind w:firstLine="0"/>
              <w:rPr>
                <w:sz w:val="20"/>
                <w:lang w:val="lv-LV"/>
              </w:rPr>
            </w:pPr>
            <w:r w:rsidRPr="00550D35">
              <w:rPr>
                <w:sz w:val="20"/>
                <w:lang w:val="lv-LV"/>
              </w:rPr>
              <w:t>Pasākums Nr.4</w:t>
            </w:r>
          </w:p>
          <w:p w14:paraId="33A91662" w14:textId="77777777" w:rsidR="003D6E20" w:rsidRDefault="003D6E20" w:rsidP="00BA62A0">
            <w:pPr>
              <w:ind w:firstLine="0"/>
              <w:rPr>
                <w:b/>
                <w:bCs/>
                <w:sz w:val="20"/>
                <w:lang w:val="lv-LV"/>
              </w:rPr>
            </w:pPr>
            <w:r w:rsidRPr="00550D35">
              <w:rPr>
                <w:b/>
                <w:bCs/>
                <w:sz w:val="20"/>
                <w:lang w:val="lv-LV"/>
              </w:rPr>
              <w:t>Nodrošināt ārstniecības datu apkopošanu EVK un to centralizētu pieejamību pacientam</w:t>
            </w:r>
          </w:p>
          <w:p w14:paraId="78CC6D4A" w14:textId="77777777" w:rsidR="003D6E20" w:rsidRDefault="003D6E20" w:rsidP="00BA62A0">
            <w:pPr>
              <w:ind w:firstLine="0"/>
              <w:rPr>
                <w:b/>
                <w:bCs/>
                <w:sz w:val="20"/>
                <w:lang w:val="lv-LV"/>
              </w:rPr>
            </w:pPr>
          </w:p>
          <w:p w14:paraId="558998DB" w14:textId="77777777" w:rsidR="003D6E20" w:rsidRPr="005563E6" w:rsidRDefault="003D6E20" w:rsidP="00BA62A0">
            <w:pPr>
              <w:ind w:firstLine="0"/>
              <w:rPr>
                <w:b/>
                <w:bCs/>
                <w:sz w:val="20"/>
                <w:lang w:val="lv-LV"/>
              </w:rPr>
            </w:pPr>
            <w:r w:rsidRPr="00D06061">
              <w:rPr>
                <w:sz w:val="20"/>
                <w:lang w:val="lv-LV"/>
              </w:rPr>
              <w:t>Finansējuma avots: ES Kohēzijas politikas programmas 2021.-2027. gadam 4.1.1.4</w:t>
            </w:r>
            <w:r>
              <w:rPr>
                <w:sz w:val="20"/>
                <w:lang w:val="lv-LV"/>
              </w:rPr>
              <w:t>. pasākums</w:t>
            </w:r>
            <w:r w:rsidRPr="00D06061">
              <w:rPr>
                <w:sz w:val="20"/>
                <w:lang w:val="lv-LV"/>
              </w:rPr>
              <w:t>, ES Veselības programma (EU4Health)</w:t>
            </w:r>
          </w:p>
        </w:tc>
        <w:tc>
          <w:tcPr>
            <w:tcW w:w="661" w:type="pct"/>
            <w:gridSpan w:val="2"/>
            <w:shd w:val="clear" w:color="auto" w:fill="70AD47" w:themeFill="accent6"/>
          </w:tcPr>
          <w:p w14:paraId="1AB9F5D5" w14:textId="77777777" w:rsidR="003D6E20" w:rsidRPr="00550D35" w:rsidRDefault="003D6E20" w:rsidP="00BA62A0">
            <w:pPr>
              <w:spacing w:before="0" w:after="0"/>
              <w:rPr>
                <w:sz w:val="20"/>
                <w:highlight w:val="yellow"/>
                <w:lang w:val="lv-LV"/>
              </w:rPr>
            </w:pPr>
          </w:p>
        </w:tc>
        <w:tc>
          <w:tcPr>
            <w:tcW w:w="474" w:type="pct"/>
            <w:shd w:val="clear" w:color="auto" w:fill="70AD47" w:themeFill="accent6"/>
          </w:tcPr>
          <w:p w14:paraId="6B18B1E9"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2D6E2710"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75DD6E8B" w14:textId="77777777" w:rsidR="003D6E20" w:rsidRPr="00550D35" w:rsidRDefault="003D6E20" w:rsidP="00BA62A0">
            <w:pPr>
              <w:spacing w:before="0" w:after="0"/>
              <w:rPr>
                <w:sz w:val="20"/>
                <w:highlight w:val="yellow"/>
                <w:lang w:val="lv-LV"/>
              </w:rPr>
            </w:pPr>
          </w:p>
        </w:tc>
        <w:tc>
          <w:tcPr>
            <w:tcW w:w="469" w:type="pct"/>
            <w:shd w:val="clear" w:color="auto" w:fill="70AD47" w:themeFill="accent6"/>
          </w:tcPr>
          <w:p w14:paraId="4AE6D39D" w14:textId="77777777" w:rsidR="003D6E20" w:rsidRPr="00550D35" w:rsidRDefault="003D6E20" w:rsidP="00BA62A0">
            <w:pPr>
              <w:spacing w:before="0" w:after="0"/>
              <w:rPr>
                <w:sz w:val="20"/>
                <w:highlight w:val="yellow"/>
                <w:lang w:val="lv-LV"/>
              </w:rPr>
            </w:pPr>
          </w:p>
        </w:tc>
        <w:tc>
          <w:tcPr>
            <w:tcW w:w="394" w:type="pct"/>
            <w:gridSpan w:val="2"/>
            <w:shd w:val="clear" w:color="auto" w:fill="70AD47" w:themeFill="accent6"/>
          </w:tcPr>
          <w:p w14:paraId="14511776" w14:textId="77777777" w:rsidR="003D6E20" w:rsidRPr="00550D35" w:rsidRDefault="003D6E20" w:rsidP="00BA62A0">
            <w:pPr>
              <w:spacing w:before="0" w:after="0"/>
              <w:rPr>
                <w:sz w:val="20"/>
                <w:highlight w:val="yellow"/>
                <w:lang w:val="lv-LV"/>
              </w:rPr>
            </w:pPr>
          </w:p>
        </w:tc>
        <w:tc>
          <w:tcPr>
            <w:tcW w:w="636" w:type="pct"/>
            <w:shd w:val="clear" w:color="auto" w:fill="70AD47" w:themeFill="accent6"/>
          </w:tcPr>
          <w:p w14:paraId="05FDD327" w14:textId="77777777" w:rsidR="003D6E20" w:rsidRPr="00550D35" w:rsidRDefault="003D6E20" w:rsidP="00BA62A0">
            <w:pPr>
              <w:spacing w:before="0" w:after="0"/>
              <w:rPr>
                <w:sz w:val="20"/>
                <w:highlight w:val="yellow"/>
                <w:lang w:val="lv-LV"/>
              </w:rPr>
            </w:pPr>
          </w:p>
        </w:tc>
        <w:tc>
          <w:tcPr>
            <w:tcW w:w="392" w:type="pct"/>
            <w:shd w:val="clear" w:color="auto" w:fill="auto"/>
          </w:tcPr>
          <w:p w14:paraId="759A2501" w14:textId="77777777" w:rsidR="003D6E20" w:rsidRPr="00550D35" w:rsidRDefault="003D6E20" w:rsidP="00BA62A0">
            <w:pPr>
              <w:spacing w:before="0" w:after="0"/>
              <w:rPr>
                <w:sz w:val="20"/>
                <w:highlight w:val="yellow"/>
                <w:lang w:val="lv-LV"/>
              </w:rPr>
            </w:pPr>
          </w:p>
        </w:tc>
      </w:tr>
      <w:tr w:rsidR="003D6E20" w:rsidRPr="003B2E9A" w14:paraId="2669B123" w14:textId="77777777" w:rsidTr="00BA62A0">
        <w:tc>
          <w:tcPr>
            <w:tcW w:w="1186" w:type="pct"/>
            <w:shd w:val="clear" w:color="auto" w:fill="auto"/>
            <w:vAlign w:val="center"/>
          </w:tcPr>
          <w:p w14:paraId="1F55D954" w14:textId="77777777" w:rsidR="003D6E20" w:rsidRPr="00550D35" w:rsidRDefault="003D6E20" w:rsidP="00BA62A0">
            <w:pPr>
              <w:ind w:firstLine="0"/>
              <w:rPr>
                <w:sz w:val="20"/>
                <w:lang w:val="lv-LV"/>
              </w:rPr>
            </w:pPr>
            <w:r w:rsidRPr="00550D35">
              <w:rPr>
                <w:sz w:val="20"/>
                <w:lang w:val="lv-LV"/>
              </w:rPr>
              <w:t>Pasākums Nr.5</w:t>
            </w:r>
          </w:p>
          <w:p w14:paraId="3B7F1BEB" w14:textId="77777777" w:rsidR="003D6E20" w:rsidRDefault="003D6E20" w:rsidP="00BA62A0">
            <w:pPr>
              <w:ind w:firstLine="0"/>
              <w:rPr>
                <w:b/>
                <w:bCs/>
                <w:sz w:val="20"/>
                <w:lang w:val="lv-LV"/>
              </w:rPr>
            </w:pPr>
            <w:r w:rsidRPr="00041643">
              <w:rPr>
                <w:b/>
                <w:bCs/>
                <w:sz w:val="20"/>
                <w:lang w:val="lv-LV"/>
              </w:rPr>
              <w:t>Pilnveidot veselības</w:t>
            </w:r>
            <w:r w:rsidRPr="00B37D6C">
              <w:rPr>
                <w:b/>
                <w:bCs/>
                <w:sz w:val="20"/>
                <w:lang w:val="lv-LV"/>
              </w:rPr>
              <w:t xml:space="preserve"> nozarē</w:t>
            </w:r>
            <w:r w:rsidRPr="00550D35">
              <w:rPr>
                <w:b/>
                <w:bCs/>
                <w:sz w:val="20"/>
                <w:lang w:val="lv-LV"/>
              </w:rPr>
              <w:t xml:space="preserve"> strādājošo digitālās prasmes un zināšanas un veicināt  digitālās veselības pakalpojumu izmantošanu sabiedrībā</w:t>
            </w:r>
          </w:p>
          <w:p w14:paraId="165EED40" w14:textId="77777777" w:rsidR="003D6E20" w:rsidRPr="00550D35" w:rsidRDefault="003D6E20" w:rsidP="00BA62A0">
            <w:pPr>
              <w:ind w:firstLine="0"/>
              <w:rPr>
                <w:sz w:val="20"/>
                <w:lang w:val="lv-LV"/>
              </w:rPr>
            </w:pPr>
            <w:r w:rsidRPr="00B07488">
              <w:rPr>
                <w:sz w:val="20"/>
                <w:lang w:val="lv-LV"/>
              </w:rPr>
              <w:t>Finansējuma avots: Valsts budžets, ES Kohēzijas politikas programmas 2021.-2027. gadam 4.1.1.4</w:t>
            </w:r>
            <w:r>
              <w:rPr>
                <w:sz w:val="20"/>
                <w:lang w:val="lv-LV"/>
              </w:rPr>
              <w:t>. pasākums</w:t>
            </w:r>
            <w:r w:rsidRPr="00B07488">
              <w:rPr>
                <w:sz w:val="20"/>
                <w:lang w:val="lv-LV"/>
              </w:rPr>
              <w:t xml:space="preserve"> un 4.1.2.5.</w:t>
            </w:r>
            <w:r>
              <w:rPr>
                <w:sz w:val="20"/>
                <w:lang w:val="lv-LV"/>
              </w:rPr>
              <w:t xml:space="preserve"> pasākums</w:t>
            </w:r>
          </w:p>
        </w:tc>
        <w:tc>
          <w:tcPr>
            <w:tcW w:w="661" w:type="pct"/>
            <w:gridSpan w:val="2"/>
            <w:shd w:val="clear" w:color="auto" w:fill="70AD47" w:themeFill="accent6"/>
          </w:tcPr>
          <w:p w14:paraId="52C072C9" w14:textId="77777777" w:rsidR="003D6E20" w:rsidRPr="00550D35" w:rsidRDefault="003D6E20" w:rsidP="00BA62A0">
            <w:pPr>
              <w:spacing w:before="0" w:after="0"/>
              <w:rPr>
                <w:sz w:val="20"/>
                <w:highlight w:val="yellow"/>
                <w:lang w:val="lv-LV"/>
              </w:rPr>
            </w:pPr>
          </w:p>
        </w:tc>
        <w:tc>
          <w:tcPr>
            <w:tcW w:w="474" w:type="pct"/>
            <w:shd w:val="clear" w:color="auto" w:fill="70AD47" w:themeFill="accent6"/>
          </w:tcPr>
          <w:p w14:paraId="3C006E40"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77924FEF"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431176FD" w14:textId="77777777" w:rsidR="003D6E20" w:rsidRPr="00550D35" w:rsidRDefault="003D6E20" w:rsidP="00BA62A0">
            <w:pPr>
              <w:spacing w:before="0" w:after="0"/>
              <w:rPr>
                <w:sz w:val="20"/>
                <w:highlight w:val="yellow"/>
                <w:lang w:val="lv-LV"/>
              </w:rPr>
            </w:pPr>
          </w:p>
        </w:tc>
        <w:tc>
          <w:tcPr>
            <w:tcW w:w="469" w:type="pct"/>
            <w:shd w:val="clear" w:color="auto" w:fill="70AD47" w:themeFill="accent6"/>
          </w:tcPr>
          <w:p w14:paraId="100EA8CC" w14:textId="77777777" w:rsidR="003D6E20" w:rsidRPr="00550D35" w:rsidRDefault="003D6E20" w:rsidP="00BA62A0">
            <w:pPr>
              <w:spacing w:before="0" w:after="0"/>
              <w:rPr>
                <w:sz w:val="20"/>
                <w:highlight w:val="yellow"/>
                <w:lang w:val="lv-LV"/>
              </w:rPr>
            </w:pPr>
          </w:p>
        </w:tc>
        <w:tc>
          <w:tcPr>
            <w:tcW w:w="394" w:type="pct"/>
            <w:gridSpan w:val="2"/>
            <w:shd w:val="clear" w:color="auto" w:fill="auto"/>
          </w:tcPr>
          <w:p w14:paraId="1D6E4845" w14:textId="77777777" w:rsidR="003D6E20" w:rsidRPr="00550D35" w:rsidRDefault="003D6E20" w:rsidP="00BA62A0">
            <w:pPr>
              <w:spacing w:before="0" w:after="0"/>
              <w:rPr>
                <w:sz w:val="20"/>
                <w:highlight w:val="yellow"/>
                <w:lang w:val="lv-LV"/>
              </w:rPr>
            </w:pPr>
          </w:p>
        </w:tc>
        <w:tc>
          <w:tcPr>
            <w:tcW w:w="636" w:type="pct"/>
            <w:shd w:val="clear" w:color="auto" w:fill="auto"/>
          </w:tcPr>
          <w:p w14:paraId="2AD72E59" w14:textId="77777777" w:rsidR="003D6E20" w:rsidRPr="00550D35" w:rsidRDefault="003D6E20" w:rsidP="00BA62A0">
            <w:pPr>
              <w:spacing w:before="0" w:after="0"/>
              <w:rPr>
                <w:sz w:val="20"/>
                <w:highlight w:val="yellow"/>
                <w:lang w:val="lv-LV"/>
              </w:rPr>
            </w:pPr>
          </w:p>
        </w:tc>
        <w:tc>
          <w:tcPr>
            <w:tcW w:w="392" w:type="pct"/>
            <w:shd w:val="clear" w:color="auto" w:fill="auto"/>
          </w:tcPr>
          <w:p w14:paraId="1C19D76A" w14:textId="77777777" w:rsidR="003D6E20" w:rsidRPr="00550D35" w:rsidRDefault="003D6E20" w:rsidP="00BA62A0">
            <w:pPr>
              <w:spacing w:before="0" w:after="0"/>
              <w:rPr>
                <w:sz w:val="20"/>
                <w:highlight w:val="yellow"/>
                <w:lang w:val="lv-LV"/>
              </w:rPr>
            </w:pPr>
          </w:p>
        </w:tc>
      </w:tr>
      <w:tr w:rsidR="003D6E20" w:rsidRPr="003B2E9A" w14:paraId="7AC78CDD" w14:textId="77777777" w:rsidTr="00BA62A0">
        <w:tc>
          <w:tcPr>
            <w:tcW w:w="1186" w:type="pct"/>
            <w:shd w:val="clear" w:color="auto" w:fill="auto"/>
            <w:vAlign w:val="center"/>
          </w:tcPr>
          <w:p w14:paraId="3FBD44F6" w14:textId="77777777" w:rsidR="003D6E20" w:rsidRPr="00550D35" w:rsidRDefault="003D6E20" w:rsidP="00BA62A0">
            <w:pPr>
              <w:ind w:firstLine="0"/>
              <w:rPr>
                <w:sz w:val="20"/>
                <w:lang w:val="lv-LV"/>
              </w:rPr>
            </w:pPr>
            <w:r w:rsidRPr="00550D35">
              <w:rPr>
                <w:sz w:val="20"/>
                <w:lang w:val="lv-LV"/>
              </w:rPr>
              <w:t xml:space="preserve">Pasākums Nr.6 </w:t>
            </w:r>
          </w:p>
          <w:p w14:paraId="5B0B6283" w14:textId="77777777" w:rsidR="003D6E20" w:rsidRPr="00041643" w:rsidRDefault="003D6E20" w:rsidP="00BA62A0">
            <w:pPr>
              <w:ind w:firstLine="0"/>
              <w:rPr>
                <w:b/>
                <w:bCs/>
                <w:sz w:val="20"/>
                <w:lang w:val="lv-LV"/>
              </w:rPr>
            </w:pPr>
            <w:r w:rsidRPr="00550D35">
              <w:rPr>
                <w:b/>
                <w:bCs/>
                <w:sz w:val="20"/>
                <w:lang w:val="lv-LV"/>
              </w:rPr>
              <w:t xml:space="preserve">Stiprināt Veselības ministrijas resora kapacitāti digitālās veselības risinājumu ieviešanā, piesaistot </w:t>
            </w:r>
            <w:r w:rsidRPr="00550D35">
              <w:rPr>
                <w:b/>
                <w:bCs/>
                <w:sz w:val="20"/>
                <w:lang w:val="lv-LV"/>
              </w:rPr>
              <w:lastRenderedPageBreak/>
              <w:t>papildu cilvēkresursus IKT pārvaldības stiprināšanai</w:t>
            </w:r>
            <w:r w:rsidRPr="00041643">
              <w:rPr>
                <w:rFonts w:ascii="Verdana" w:hAnsi="Verdana"/>
                <w:color w:val="525252"/>
                <w:sz w:val="19"/>
                <w:szCs w:val="19"/>
                <w:lang w:val="lv-LV"/>
              </w:rPr>
              <w:br/>
            </w:r>
            <w:r w:rsidRPr="00041643">
              <w:rPr>
                <w:sz w:val="20"/>
                <w:lang w:val="lv-LV"/>
              </w:rPr>
              <w:t>Finansējuma avots: Valsts budžets</w:t>
            </w:r>
            <w:r w:rsidRPr="00550D35">
              <w:rPr>
                <w:b/>
                <w:bCs/>
                <w:sz w:val="20"/>
                <w:lang w:val="lv-LV"/>
              </w:rPr>
              <w:t xml:space="preserve">  </w:t>
            </w:r>
          </w:p>
        </w:tc>
        <w:tc>
          <w:tcPr>
            <w:tcW w:w="661" w:type="pct"/>
            <w:gridSpan w:val="2"/>
            <w:shd w:val="clear" w:color="auto" w:fill="70AD47" w:themeFill="accent6"/>
          </w:tcPr>
          <w:p w14:paraId="5ECF30ED" w14:textId="77777777" w:rsidR="003D6E20" w:rsidRPr="00550D35" w:rsidRDefault="003D6E20" w:rsidP="00BA62A0">
            <w:pPr>
              <w:spacing w:before="0" w:after="0"/>
              <w:rPr>
                <w:sz w:val="20"/>
                <w:highlight w:val="yellow"/>
                <w:lang w:val="lv-LV"/>
              </w:rPr>
            </w:pPr>
          </w:p>
        </w:tc>
        <w:tc>
          <w:tcPr>
            <w:tcW w:w="474" w:type="pct"/>
            <w:shd w:val="clear" w:color="auto" w:fill="70AD47" w:themeFill="accent6"/>
          </w:tcPr>
          <w:p w14:paraId="4D94DF2B"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6342641D" w14:textId="77777777" w:rsidR="003D6E20" w:rsidRPr="00550D35" w:rsidRDefault="003D6E20" w:rsidP="00BA62A0">
            <w:pPr>
              <w:spacing w:before="0" w:after="0"/>
              <w:rPr>
                <w:sz w:val="20"/>
                <w:highlight w:val="yellow"/>
                <w:lang w:val="lv-LV"/>
              </w:rPr>
            </w:pPr>
          </w:p>
        </w:tc>
        <w:tc>
          <w:tcPr>
            <w:tcW w:w="394" w:type="pct"/>
            <w:shd w:val="clear" w:color="auto" w:fill="70AD47" w:themeFill="accent6"/>
          </w:tcPr>
          <w:p w14:paraId="0507912B" w14:textId="77777777" w:rsidR="003D6E20" w:rsidRPr="00550D35" w:rsidRDefault="003D6E20" w:rsidP="00BA62A0">
            <w:pPr>
              <w:spacing w:before="0" w:after="0"/>
              <w:rPr>
                <w:sz w:val="20"/>
                <w:highlight w:val="yellow"/>
                <w:lang w:val="lv-LV"/>
              </w:rPr>
            </w:pPr>
          </w:p>
        </w:tc>
        <w:tc>
          <w:tcPr>
            <w:tcW w:w="469" w:type="pct"/>
            <w:shd w:val="clear" w:color="auto" w:fill="70AD47" w:themeFill="accent6"/>
          </w:tcPr>
          <w:p w14:paraId="0E58CFED" w14:textId="77777777" w:rsidR="003D6E20" w:rsidRPr="00550D35" w:rsidRDefault="003D6E20" w:rsidP="00BA62A0">
            <w:pPr>
              <w:spacing w:before="0" w:after="0"/>
              <w:rPr>
                <w:sz w:val="20"/>
                <w:highlight w:val="yellow"/>
                <w:lang w:val="lv-LV"/>
              </w:rPr>
            </w:pPr>
          </w:p>
        </w:tc>
        <w:tc>
          <w:tcPr>
            <w:tcW w:w="394" w:type="pct"/>
            <w:gridSpan w:val="2"/>
            <w:shd w:val="clear" w:color="auto" w:fill="70AD47" w:themeFill="accent6"/>
          </w:tcPr>
          <w:p w14:paraId="002D7E82" w14:textId="77777777" w:rsidR="003D6E20" w:rsidRPr="00550D35" w:rsidRDefault="003D6E20" w:rsidP="00BA62A0">
            <w:pPr>
              <w:spacing w:before="0" w:after="0"/>
              <w:rPr>
                <w:sz w:val="20"/>
                <w:highlight w:val="yellow"/>
                <w:lang w:val="lv-LV"/>
              </w:rPr>
            </w:pPr>
          </w:p>
        </w:tc>
        <w:tc>
          <w:tcPr>
            <w:tcW w:w="636" w:type="pct"/>
            <w:shd w:val="clear" w:color="auto" w:fill="70AD47" w:themeFill="accent6"/>
          </w:tcPr>
          <w:p w14:paraId="6C5AF8AC" w14:textId="77777777" w:rsidR="003D6E20" w:rsidRPr="00550D35" w:rsidRDefault="003D6E20" w:rsidP="00BA62A0">
            <w:pPr>
              <w:spacing w:before="0" w:after="0"/>
              <w:rPr>
                <w:sz w:val="20"/>
                <w:highlight w:val="yellow"/>
                <w:lang w:val="lv-LV"/>
              </w:rPr>
            </w:pPr>
          </w:p>
        </w:tc>
        <w:tc>
          <w:tcPr>
            <w:tcW w:w="392" w:type="pct"/>
            <w:shd w:val="clear" w:color="auto" w:fill="auto"/>
          </w:tcPr>
          <w:p w14:paraId="7902C835" w14:textId="77777777" w:rsidR="003D6E20" w:rsidRPr="00550D35" w:rsidRDefault="003D6E20" w:rsidP="00BA62A0">
            <w:pPr>
              <w:spacing w:before="0" w:after="0"/>
              <w:rPr>
                <w:sz w:val="20"/>
                <w:highlight w:val="yellow"/>
                <w:lang w:val="lv-LV"/>
              </w:rPr>
            </w:pPr>
          </w:p>
        </w:tc>
      </w:tr>
    </w:tbl>
    <w:p w14:paraId="547404FA" w14:textId="77777777" w:rsidR="003D6E20" w:rsidRPr="00550D35" w:rsidRDefault="003D6E20" w:rsidP="003D6E20">
      <w:pPr>
        <w:pStyle w:val="Text3"/>
        <w:ind w:left="0" w:firstLine="0"/>
        <w:rPr>
          <w:lang w:val="lv-LV"/>
        </w:rPr>
      </w:pPr>
    </w:p>
    <w:p w14:paraId="01EFCD0E" w14:textId="77777777" w:rsidR="003D6E20" w:rsidRPr="00041643" w:rsidRDefault="003D6E20" w:rsidP="003D6E20">
      <w:pPr>
        <w:pStyle w:val="ListParagraph"/>
        <w:spacing w:before="0" w:after="160" w:line="259" w:lineRule="auto"/>
        <w:ind w:left="0" w:firstLine="0"/>
        <w:contextualSpacing/>
        <w:jc w:val="left"/>
        <w:rPr>
          <w:noProof/>
          <w:sz w:val="24"/>
          <w:szCs w:val="24"/>
          <w:lang w:val="lv-LV"/>
        </w:rPr>
      </w:pPr>
      <w:r w:rsidRPr="00041643">
        <w:rPr>
          <w:b/>
          <w:noProof/>
          <w:sz w:val="24"/>
          <w:szCs w:val="24"/>
          <w:lang w:val="lv-LV"/>
        </w:rPr>
        <w:t>Visu to pasākumu budžets, kurus var attiecināt uz mērķrādītāju</w:t>
      </w:r>
      <w:r w:rsidRPr="00041643">
        <w:rPr>
          <w:noProof/>
          <w:sz w:val="24"/>
          <w:szCs w:val="24"/>
          <w:lang w:val="lv-LV"/>
        </w:rPr>
        <w:t xml:space="preserve"> </w:t>
      </w:r>
    </w:p>
    <w:p w14:paraId="679A4A94" w14:textId="77777777" w:rsidR="003D6E20" w:rsidRPr="00550D35" w:rsidRDefault="003D6E20" w:rsidP="003D6E20">
      <w:pPr>
        <w:spacing w:before="0" w:after="160" w:line="259" w:lineRule="auto"/>
        <w:ind w:left="567" w:firstLine="0"/>
        <w:contextualSpacing/>
        <w:jc w:val="left"/>
        <w:rPr>
          <w:noProof/>
          <w:lang w:val="lv-LV"/>
        </w:rPr>
      </w:pPr>
      <w:r w:rsidRPr="00550D35">
        <w:rPr>
          <w:noProof/>
          <w:lang w:val="lv-LV"/>
        </w:rPr>
        <w:t xml:space="preserve">Publiskās investīcijas: </w:t>
      </w:r>
    </w:p>
    <w:p w14:paraId="252C0E53" w14:textId="77777777" w:rsidR="003D6E20" w:rsidRPr="00550D35" w:rsidRDefault="003D6E20" w:rsidP="003D6E20">
      <w:pPr>
        <w:pStyle w:val="ListParagraph"/>
        <w:numPr>
          <w:ilvl w:val="0"/>
          <w:numId w:val="40"/>
        </w:numPr>
        <w:rPr>
          <w:noProof/>
          <w:lang w:val="lv-LV"/>
        </w:rPr>
      </w:pPr>
      <w:r w:rsidRPr="00550D35">
        <w:rPr>
          <w:noProof/>
          <w:lang w:val="lv-LV"/>
        </w:rPr>
        <w:t>Papildus nepieciešamais valsts budžeta finansējuma apjoms tiks noteikts pasākumu īstenošanas gaitā;</w:t>
      </w:r>
    </w:p>
    <w:p w14:paraId="262E489E" w14:textId="77777777" w:rsidR="003D6E20" w:rsidRPr="00550D35" w:rsidRDefault="003D6E20" w:rsidP="003D6E20">
      <w:pPr>
        <w:pStyle w:val="ListParagraph"/>
        <w:numPr>
          <w:ilvl w:val="0"/>
          <w:numId w:val="40"/>
        </w:numPr>
        <w:rPr>
          <w:noProof/>
          <w:lang w:val="lv-LV"/>
        </w:rPr>
      </w:pPr>
      <w:r w:rsidRPr="00550D35">
        <w:rPr>
          <w:noProof/>
          <w:lang w:val="lv-LV"/>
        </w:rPr>
        <w:t>Paredzēts izmantot ES kohēzijas politikas programmas 2021.-2027. gadam 4.1.1.</w:t>
      </w:r>
      <w:r>
        <w:rPr>
          <w:noProof/>
          <w:lang w:val="lv-LV"/>
        </w:rPr>
        <w:t> pasākums</w:t>
      </w:r>
      <w:r w:rsidRPr="00550D35">
        <w:rPr>
          <w:noProof/>
          <w:lang w:val="lv-LV"/>
        </w:rPr>
        <w:t xml:space="preserve"> “Nodrošināt vienlīdzīgu piekļuvi veselības aprūpei un stiprināt veselības sistēmu, tostarp primārās veselības aprūpes noturību” </w:t>
      </w:r>
      <w:r>
        <w:rPr>
          <w:noProof/>
          <w:lang w:val="lv-LV"/>
        </w:rPr>
        <w:t xml:space="preserve">pasākuma </w:t>
      </w:r>
      <w:r w:rsidRPr="00550D35">
        <w:rPr>
          <w:noProof/>
          <w:lang w:val="lv-LV"/>
        </w:rPr>
        <w:t>4.1.1.4. “Veselības aprūpes pārvaldības sistēmas stiprināšana un digitalizācija, attīstot digitālos risinājumus” finansējumu vismaz 7,0 milj. </w:t>
      </w:r>
      <w:r w:rsidRPr="00550D35">
        <w:rPr>
          <w:i/>
          <w:iCs/>
          <w:noProof/>
          <w:lang w:val="lv-LV"/>
        </w:rPr>
        <w:t>euro</w:t>
      </w:r>
      <w:r w:rsidRPr="00550D35">
        <w:rPr>
          <w:noProof/>
          <w:lang w:val="lv-LV"/>
        </w:rPr>
        <w:t xml:space="preserve"> apjomā;</w:t>
      </w:r>
    </w:p>
    <w:p w14:paraId="58A48D4B" w14:textId="77777777" w:rsidR="003D6E20" w:rsidRPr="00550D35" w:rsidRDefault="003D6E20" w:rsidP="003D6E20">
      <w:pPr>
        <w:pStyle w:val="ListParagraph"/>
        <w:numPr>
          <w:ilvl w:val="0"/>
          <w:numId w:val="40"/>
        </w:numPr>
        <w:rPr>
          <w:noProof/>
          <w:lang w:val="lv-LV"/>
        </w:rPr>
      </w:pPr>
      <w:r w:rsidRPr="00550D35">
        <w:rPr>
          <w:noProof/>
          <w:lang w:val="lv-LV"/>
        </w:rPr>
        <w:t xml:space="preserve">Ārstniecības personu digitālo prasmju uzlabošanai paredzēts izmantot ES Kohēzijas politikas programmas 2021.-2027. gadam </w:t>
      </w:r>
      <w:r>
        <w:rPr>
          <w:noProof/>
          <w:lang w:val="lv-LV"/>
        </w:rPr>
        <w:t xml:space="preserve">pasākuma </w:t>
      </w:r>
      <w:r w:rsidRPr="00550D35">
        <w:rPr>
          <w:noProof/>
          <w:lang w:val="lv-LV"/>
        </w:rPr>
        <w:t>4.1.2. “Uzlabot vienlīdzīgu un savlaicīgu piekļuvi kvalitatīviem, ilgtspējīgiem un izmaksu ziņā pieejamiem veselības aprūpes, veselības veicināšanas un slimību profilakses pakalpojumiem, uzlabojot veselības aprūpes sistēmu efektivitāti un izturētspēju” 4.1.2.5. pasākuma “Uzlabot izglītības iespējas ārstniecības personām, t.sk. uzlabojot tālākizglītības pieejamību”  finansējumu, kura apjoms tiks  noteikts pasākuma īstenošanas gaitā.</w:t>
      </w:r>
    </w:p>
    <w:p w14:paraId="3BCD636B" w14:textId="77777777" w:rsidR="003D6E20" w:rsidRPr="00550D35" w:rsidRDefault="003D6E20" w:rsidP="003D6E20">
      <w:pPr>
        <w:pStyle w:val="ListParagraph"/>
        <w:numPr>
          <w:ilvl w:val="0"/>
          <w:numId w:val="40"/>
        </w:numPr>
        <w:rPr>
          <w:noProof/>
          <w:lang w:val="lv-LV"/>
        </w:rPr>
      </w:pPr>
      <w:r w:rsidRPr="00550D35">
        <w:rPr>
          <w:noProof/>
          <w:lang w:val="lv-LV"/>
        </w:rPr>
        <w:t>ES Veselības programms (</w:t>
      </w:r>
      <w:r w:rsidRPr="00550D35">
        <w:rPr>
          <w:i/>
          <w:iCs/>
          <w:noProof/>
          <w:lang w:val="lv-LV"/>
        </w:rPr>
        <w:t>EU4Health</w:t>
      </w:r>
      <w:r w:rsidRPr="00550D35">
        <w:rPr>
          <w:noProof/>
          <w:lang w:val="lv-LV"/>
        </w:rPr>
        <w:t>)  finansējums tiks noteikts konkrētu projektu izstrādes laikā.</w:t>
      </w:r>
    </w:p>
    <w:p w14:paraId="516BCC4C" w14:textId="73038C2F" w:rsidR="003D6E20" w:rsidRPr="00550D35" w:rsidRDefault="003D6E20" w:rsidP="003D6E20">
      <w:pPr>
        <w:rPr>
          <w:rFonts w:eastAsia="Calibri"/>
          <w:lang w:val="lv-LV"/>
        </w:rPr>
      </w:pPr>
      <w:r>
        <w:rPr>
          <w:b/>
          <w:bCs/>
          <w:lang w:val="lv-LV"/>
        </w:rPr>
        <w:t>I</w:t>
      </w:r>
      <w:r w:rsidRPr="00550D35">
        <w:rPr>
          <w:b/>
          <w:bCs/>
          <w:lang w:val="lv-LV"/>
        </w:rPr>
        <w:t>zaicinājums</w:t>
      </w:r>
      <w:r>
        <w:rPr>
          <w:b/>
          <w:bCs/>
          <w:lang w:val="lv-LV"/>
        </w:rPr>
        <w:t xml:space="preserve"> Nr.1</w:t>
      </w:r>
      <w:r w:rsidRPr="00550D35">
        <w:rPr>
          <w:b/>
          <w:bCs/>
          <w:lang w:val="lv-LV"/>
        </w:rPr>
        <w:t>.</w:t>
      </w:r>
      <w:r w:rsidRPr="00550D35">
        <w:rPr>
          <w:lang w:val="lv-LV"/>
        </w:rPr>
        <w:t xml:space="preserve"> Pacientu un medicīnas darbinieku nepilnīgas digitālās prasmes šobrīd ir viens no būtiskākajiem efektīvas digitālās transformācijas uzdevumiem Latvijā, un to apliecina, piemēram, salīdzinoši </w:t>
      </w:r>
      <w:r w:rsidRPr="007D223E">
        <w:rPr>
          <w:lang w:val="lv-LV"/>
        </w:rPr>
        <w:t>zemie DESI rādītāji</w:t>
      </w:r>
      <w:r w:rsidRPr="00550D35">
        <w:rPr>
          <w:lang w:val="lv-LV"/>
        </w:rPr>
        <w:t xml:space="preserve"> – saskaņā ar 2022. gada datiem 51 % Latvijas iedzīvotāju vecumā no 16 līdz 74 gadiem ir digitālās prasmes vismaz </w:t>
      </w:r>
      <w:proofErr w:type="spellStart"/>
      <w:r w:rsidRPr="00550D35">
        <w:rPr>
          <w:lang w:val="lv-LV"/>
        </w:rPr>
        <w:t>pamatlīmenī</w:t>
      </w:r>
      <w:proofErr w:type="spellEnd"/>
      <w:r w:rsidRPr="00550D35">
        <w:rPr>
          <w:lang w:val="lv-LV"/>
        </w:rPr>
        <w:t xml:space="preserve"> (ES vidējais rādītājs – 54 %), bet 24 % ir digitālās prasmes, kas ir augstākas par </w:t>
      </w:r>
      <w:proofErr w:type="spellStart"/>
      <w:r w:rsidRPr="00550D35">
        <w:rPr>
          <w:lang w:val="lv-LV"/>
        </w:rPr>
        <w:t>pamatlīmeni</w:t>
      </w:r>
      <w:proofErr w:type="spellEnd"/>
      <w:r w:rsidRPr="00550D35">
        <w:rPr>
          <w:lang w:val="lv-LV"/>
        </w:rPr>
        <w:t xml:space="preserve"> (ES vidējais rādītājs – 26 %),</w:t>
      </w:r>
      <w:r w:rsidRPr="00550D35">
        <w:rPr>
          <w:rStyle w:val="FootnoteReference"/>
          <w:lang w:val="lv-LV"/>
        </w:rPr>
        <w:footnoteReference w:id="88"/>
      </w:r>
      <w:r w:rsidRPr="00550D35">
        <w:rPr>
          <w:lang w:val="lv-LV"/>
        </w:rPr>
        <w:t xml:space="preserve"> kas ir mazāk nekā vidēji ES. Šo izaicinājumu risinās pasākums Nr. 5, pilnveidojot veselības nozarē strādājošo digitālās prasmes un zināšanas.</w:t>
      </w:r>
    </w:p>
    <w:p w14:paraId="2F8963F1" w14:textId="1CE6A253" w:rsidR="003D6E20" w:rsidRPr="00550D35" w:rsidRDefault="003D6E20" w:rsidP="003D6E20">
      <w:pPr>
        <w:rPr>
          <w:lang w:val="lv-LV"/>
        </w:rPr>
      </w:pPr>
      <w:r>
        <w:rPr>
          <w:b/>
          <w:bCs/>
          <w:lang w:val="lv-LV"/>
        </w:rPr>
        <w:t>I</w:t>
      </w:r>
      <w:r w:rsidRPr="00550D35">
        <w:rPr>
          <w:b/>
          <w:bCs/>
          <w:lang w:val="lv-LV"/>
        </w:rPr>
        <w:t>zaicinājums</w:t>
      </w:r>
      <w:r>
        <w:rPr>
          <w:b/>
          <w:bCs/>
          <w:lang w:val="lv-LV"/>
        </w:rPr>
        <w:t xml:space="preserve"> Nr.2</w:t>
      </w:r>
      <w:r w:rsidRPr="00550D35">
        <w:rPr>
          <w:b/>
          <w:bCs/>
          <w:lang w:val="lv-LV"/>
        </w:rPr>
        <w:t>.</w:t>
      </w:r>
      <w:r w:rsidRPr="00550D35">
        <w:rPr>
          <w:lang w:val="lv-LV"/>
        </w:rPr>
        <w:t xml:space="preserve"> Sadrumstalota IKT vide un līdz ar to sadrumstaloti veselības dati. IKT sistēmas veselības sektorā ir sadrumstalotas gan tehnoloģiski, gan datu, gan risinājumu attīstības līmenī. Gan valsts pārvaldes, gan ārstniecības iestādes veido savus individuālos digitālos risinājumus, lai nodrošinātu atbilstošu datu uzglabāšanu, tomēr skaidri noteiktu, vienotu datu apstrādes prasību trūkuma dēļ šiem risinājumiem bieži trūkst </w:t>
      </w:r>
      <w:proofErr w:type="spellStart"/>
      <w:r w:rsidRPr="00550D35">
        <w:rPr>
          <w:lang w:val="lv-LV"/>
        </w:rPr>
        <w:t>sadarbspējas</w:t>
      </w:r>
      <w:proofErr w:type="spellEnd"/>
      <w:r w:rsidRPr="00550D35">
        <w:rPr>
          <w:lang w:val="lv-LV"/>
        </w:rPr>
        <w:t>.</w:t>
      </w:r>
      <w:r w:rsidR="00C845D1">
        <w:rPr>
          <w:lang w:val="lv-LV"/>
        </w:rPr>
        <w:t xml:space="preserve"> </w:t>
      </w:r>
      <w:r w:rsidRPr="00550D35">
        <w:rPr>
          <w:lang w:val="lv-LV"/>
        </w:rPr>
        <w:t xml:space="preserve">Šo izaicinājumu risinās pasākums Nr. 1, nodrošinot nacionālās e-veselības infrastruktūras centralizētā risinājuma attīstību, kā arī pasākums Nr. 3, kas nodrošinās ārstniecības iestāžu lokālo informācijas sistēmu </w:t>
      </w:r>
      <w:proofErr w:type="spellStart"/>
      <w:r w:rsidRPr="00550D35">
        <w:rPr>
          <w:lang w:val="lv-LV"/>
        </w:rPr>
        <w:t>sadarbspēju</w:t>
      </w:r>
      <w:proofErr w:type="spellEnd"/>
      <w:r w:rsidRPr="00550D35">
        <w:rPr>
          <w:lang w:val="lv-LV"/>
        </w:rPr>
        <w:t xml:space="preserve">, nosakot standartus un sertifikāciju. </w:t>
      </w:r>
    </w:p>
    <w:p w14:paraId="44CBD058" w14:textId="77777777" w:rsidR="003D6E20" w:rsidRDefault="003D6E20" w:rsidP="003D6E20">
      <w:pPr>
        <w:rPr>
          <w:lang w:val="lv-LV"/>
        </w:rPr>
      </w:pPr>
      <w:r>
        <w:rPr>
          <w:b/>
          <w:bCs/>
          <w:lang w:val="lv-LV"/>
        </w:rPr>
        <w:t>I</w:t>
      </w:r>
      <w:r w:rsidRPr="00550D35">
        <w:rPr>
          <w:b/>
          <w:bCs/>
          <w:lang w:val="lv-LV"/>
        </w:rPr>
        <w:t>zaicinājums</w:t>
      </w:r>
      <w:r>
        <w:rPr>
          <w:b/>
          <w:bCs/>
          <w:lang w:val="lv-LV"/>
        </w:rPr>
        <w:t xml:space="preserve"> Nr.3</w:t>
      </w:r>
      <w:r w:rsidRPr="00550D35">
        <w:rPr>
          <w:b/>
          <w:bCs/>
          <w:lang w:val="lv-LV"/>
        </w:rPr>
        <w:t xml:space="preserve">. </w:t>
      </w:r>
      <w:r w:rsidRPr="00550D35">
        <w:rPr>
          <w:lang w:val="lv-LV"/>
        </w:rPr>
        <w:t>Nepietiekama digitālās veselības pārvaldības un attīstības cilvēkresursu kapacitāte VM resorā. Tas ir saistīts ar to, ka Šo izaicinājumu risinās pasākums Nr. 6, nodrošinot nepieciešamo finansējumu, lai stiprinātu VM resora kapacitāti digitālās veselības risinājumu ieviešanā, piesaistot papildu cilvēkresursus.</w:t>
      </w:r>
    </w:p>
    <w:p w14:paraId="5A0497DC" w14:textId="77777777" w:rsidR="003D6E20" w:rsidRPr="00875A23" w:rsidRDefault="003D6E20" w:rsidP="003D6E20">
      <w:pPr>
        <w:rPr>
          <w:lang w:val="lv-LV"/>
        </w:rPr>
      </w:pPr>
      <w:r w:rsidRPr="00D06061">
        <w:rPr>
          <w:lang w:val="lv-LV"/>
        </w:rPr>
        <w:t xml:space="preserve">Ceļvedī Latvijai iekļautie pasākumi pacienta e-veselības kartes piekļuves </w:t>
      </w:r>
      <w:proofErr w:type="spellStart"/>
      <w:r w:rsidRPr="00D06061">
        <w:rPr>
          <w:lang w:val="lv-LV"/>
        </w:rPr>
        <w:t>mērķrādītāja</w:t>
      </w:r>
      <w:proofErr w:type="spellEnd"/>
      <w:r w:rsidRPr="00D06061">
        <w:rPr>
          <w:lang w:val="lv-LV"/>
        </w:rPr>
        <w:t xml:space="preserve"> sasniegšanai ir noteikti Digitālās veselības stratēģijā līdz 2029.gadam, kas </w:t>
      </w:r>
      <w:r w:rsidRPr="00D06061">
        <w:rPr>
          <w:lang w:val="lv-LV"/>
        </w:rPr>
        <w:lastRenderedPageBreak/>
        <w:t xml:space="preserve">tika pieņemta 2023. gada 15. augustā, un finanšu aprēķini šajā dokumentā ir indikatīvi. Galvenais plānotais finansējuma avots ir ES Kohēzijas politikas programmas 2021.-2027. gadam </w:t>
      </w:r>
      <w:r>
        <w:rPr>
          <w:lang w:val="lv-LV"/>
        </w:rPr>
        <w:t xml:space="preserve">pasākuma </w:t>
      </w:r>
      <w:r w:rsidRPr="00D06061">
        <w:rPr>
          <w:lang w:val="lv-LV"/>
        </w:rPr>
        <w:t xml:space="preserve">4.1.1. “Nodrošināt vienlīdzīgu piekļuvi veselības aprūpei un stiprināt veselības sistēmu, tostarp primārās veselības aprūpes noturību” 4.1.1.4. pasākums “Veselības aprūpes pārvaldības sistēmas stiprināšana un </w:t>
      </w:r>
      <w:proofErr w:type="spellStart"/>
      <w:r w:rsidRPr="00D06061">
        <w:rPr>
          <w:lang w:val="lv-LV"/>
        </w:rPr>
        <w:t>digitalizācija</w:t>
      </w:r>
      <w:proofErr w:type="spellEnd"/>
      <w:r w:rsidRPr="00D06061">
        <w:rPr>
          <w:lang w:val="lv-LV"/>
        </w:rPr>
        <w:t>, attīstot digitālos risinājumus”. Ņemot vērā priekšlikumu regulai par Eiropas Veselības datu telpu, paredzams, ka līdz 2030. gadam Latvijai un citām dalībvalstīm būs jāizpilda virkne obligātu nosacījumu saistībā ar noteiktu veselības datu kategoriju pieejamību gan nacionālā līmenī, gan pārrobežu datu apmaiņai, kas visticamāk prasīs papildu investīcijas digitālās infrastruktūras attīstībā. Paredzams, ka viens no būtiskākajiem izaicinājumiem būs Nacionālā veselības dienesta cilvēkresursu trūkums pacienta e-veselības kartes uzturēšanai un attīstīšanai, kas ir saistīts gan ar nepieciešamo papildu valsts budžeta finansējumu šim nolūkam, gan ar valsts pārvaldes cilvēkresursu attīstības politiku, kas vērsta uz valsts pārvaldē nodarbināto personu skaita nepalielināšanu. Apzinoties to, ka esošie IKT cilvēkresursi ir nepietiekami un ka vajadzība pēc digitālajiem risinājumiem veselības nozarē palielināsies, VM strādā pie digitālās kompetences centra izveides, konsolidējot veselības nozares IKT resursus  vienā institūcijā.</w:t>
      </w:r>
    </w:p>
    <w:p w14:paraId="7D42AF3B" w14:textId="77777777" w:rsidR="003D6E20" w:rsidRPr="00550D35" w:rsidRDefault="003D6E20" w:rsidP="003D6E20">
      <w:pPr>
        <w:pStyle w:val="Text3"/>
        <w:ind w:left="0" w:firstLine="0"/>
        <w:rPr>
          <w:lang w:val="lv-LV"/>
        </w:rPr>
      </w:pPr>
    </w:p>
    <w:p w14:paraId="0249623F" w14:textId="77777777" w:rsidR="003D6E20" w:rsidRPr="00550D35" w:rsidRDefault="003D6E20" w:rsidP="003D6E20">
      <w:pPr>
        <w:pStyle w:val="Heading3"/>
        <w:rPr>
          <w:lang w:val="lv-LV"/>
        </w:rPr>
      </w:pPr>
      <w:r w:rsidRPr="00550D35">
        <w:rPr>
          <w:lang w:val="lv-LV"/>
        </w:rPr>
        <w:t>Pasākumu apraksts</w:t>
      </w:r>
    </w:p>
    <w:p w14:paraId="544ACF72" w14:textId="77777777" w:rsidR="003D6E20" w:rsidRPr="00550D35" w:rsidRDefault="003D6E20" w:rsidP="003D6E20">
      <w:pPr>
        <w:ind w:firstLine="0"/>
        <w:rPr>
          <w:lang w:val="lv-LV"/>
        </w:rPr>
      </w:pPr>
      <w:r>
        <w:rPr>
          <w:lang w:val="lv-LV"/>
        </w:rPr>
        <w:t>Pasākumu aprakstā</w:t>
      </w:r>
      <w:r w:rsidRPr="00550D35">
        <w:rPr>
          <w:lang w:val="lv-LV"/>
        </w:rPr>
        <w:t xml:space="preserve"> iekļauti pasākumi</w:t>
      </w:r>
      <w:r>
        <w:rPr>
          <w:lang w:val="lv-LV"/>
        </w:rPr>
        <w:t>, kas ietverti</w:t>
      </w:r>
      <w:r w:rsidRPr="00550D35">
        <w:rPr>
          <w:lang w:val="lv-LV"/>
        </w:rPr>
        <w:t xml:space="preserve"> Digitālās veselības stratēģij</w:t>
      </w:r>
      <w:r>
        <w:rPr>
          <w:lang w:val="lv-LV"/>
        </w:rPr>
        <w:t>ā</w:t>
      </w:r>
      <w:r w:rsidRPr="00550D35">
        <w:rPr>
          <w:lang w:val="lv-LV"/>
        </w:rPr>
        <w:t xml:space="preserve"> līdz 2029. gadam, </w:t>
      </w:r>
      <w:r>
        <w:rPr>
          <w:lang w:val="lv-LV"/>
        </w:rPr>
        <w:t xml:space="preserve"> un </w:t>
      </w:r>
      <w:r w:rsidRPr="00550D35">
        <w:rPr>
          <w:lang w:val="lv-LV"/>
        </w:rPr>
        <w:t xml:space="preserve">kuri veicinās </w:t>
      </w:r>
      <w:r>
        <w:rPr>
          <w:lang w:val="lv-LV"/>
        </w:rPr>
        <w:t>KPI “</w:t>
      </w:r>
      <w:r w:rsidRPr="00041643">
        <w:rPr>
          <w:lang w:val="lv-LV"/>
        </w:rPr>
        <w:t>Piekļuve pacienta e-veselības kartei”</w:t>
      </w:r>
      <w:r w:rsidRPr="00550D35">
        <w:rPr>
          <w:b/>
          <w:bCs/>
          <w:i/>
          <w:iCs/>
          <w:szCs w:val="24"/>
          <w:lang w:val="lv-LV"/>
        </w:rPr>
        <w:t xml:space="preserve"> </w:t>
      </w:r>
      <w:r w:rsidRPr="00550D35">
        <w:rPr>
          <w:lang w:val="lv-LV"/>
        </w:rPr>
        <w:t xml:space="preserve">mērķa </w:t>
      </w:r>
      <w:r>
        <w:rPr>
          <w:lang w:val="lv-LV"/>
        </w:rPr>
        <w:t xml:space="preserve">vērtības 2030. gadam </w:t>
      </w:r>
      <w:r w:rsidRPr="00550D35">
        <w:rPr>
          <w:lang w:val="lv-LV"/>
        </w:rPr>
        <w:t>sasniegšanu.</w:t>
      </w:r>
    </w:p>
    <w:p w14:paraId="550529F9" w14:textId="77777777" w:rsidR="003D6E20" w:rsidRPr="00550D35" w:rsidRDefault="003D6E20" w:rsidP="003D6E20">
      <w:pPr>
        <w:ind w:firstLine="0"/>
        <w:rPr>
          <w:b/>
          <w:bCs/>
          <w:lang w:val="lv-LV"/>
        </w:rPr>
      </w:pPr>
    </w:p>
    <w:tbl>
      <w:tblPr>
        <w:tblStyle w:val="TableGrid"/>
        <w:tblW w:w="8642" w:type="dxa"/>
        <w:tblLook w:val="04A0" w:firstRow="1" w:lastRow="0" w:firstColumn="1" w:lastColumn="0" w:noHBand="0" w:noVBand="1"/>
      </w:tblPr>
      <w:tblGrid>
        <w:gridCol w:w="2689"/>
        <w:gridCol w:w="5953"/>
      </w:tblGrid>
      <w:tr w:rsidR="003D6E20" w:rsidRPr="003B2E9A" w14:paraId="166C81F2" w14:textId="77777777" w:rsidTr="00BA62A0">
        <w:tc>
          <w:tcPr>
            <w:tcW w:w="8642" w:type="dxa"/>
            <w:gridSpan w:val="2"/>
            <w:tcBorders>
              <w:top w:val="single" w:sz="4" w:space="0" w:color="auto"/>
              <w:left w:val="single" w:sz="4" w:space="0" w:color="auto"/>
              <w:bottom w:val="single" w:sz="4" w:space="0" w:color="auto"/>
              <w:right w:val="single" w:sz="4" w:space="0" w:color="auto"/>
            </w:tcBorders>
          </w:tcPr>
          <w:p w14:paraId="422812F8" w14:textId="77777777" w:rsidR="003D6E20" w:rsidRPr="00550D35" w:rsidRDefault="003D6E20" w:rsidP="00BA62A0">
            <w:pPr>
              <w:ind w:firstLine="0"/>
              <w:rPr>
                <w:b/>
                <w:bCs/>
                <w:sz w:val="20"/>
                <w:lang w:val="lv-LV"/>
              </w:rPr>
            </w:pPr>
            <w:r w:rsidRPr="00550D35">
              <w:rPr>
                <w:b/>
                <w:bCs/>
                <w:sz w:val="20"/>
                <w:lang w:val="lv-LV"/>
              </w:rPr>
              <w:t>Pasākums Nr.1 – Digitālās veselības informācijas sistēmas “kodola” izstrāde</w:t>
            </w:r>
          </w:p>
        </w:tc>
      </w:tr>
      <w:tr w:rsidR="003D6E20" w:rsidRPr="00550D35" w14:paraId="14E8BCC8"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5BC1F030" w14:textId="77777777" w:rsidR="003D6E20" w:rsidRPr="00550D35" w:rsidRDefault="003D6E20" w:rsidP="00BA62A0">
            <w:pPr>
              <w:spacing w:before="0"/>
              <w:ind w:firstLine="0"/>
              <w:jc w:val="left"/>
              <w:rPr>
                <w:b/>
                <w:bCs/>
                <w:sz w:val="20"/>
                <w:lang w:val="lv-LV"/>
              </w:rPr>
            </w:pPr>
            <w:r w:rsidRPr="00550D35">
              <w:rPr>
                <w:b/>
                <w:bCs/>
                <w:sz w:val="20"/>
                <w:lang w:val="lv-LV"/>
              </w:rPr>
              <w:t>Jauns pasākums</w:t>
            </w:r>
          </w:p>
        </w:tc>
        <w:tc>
          <w:tcPr>
            <w:tcW w:w="5953" w:type="dxa"/>
            <w:tcBorders>
              <w:top w:val="single" w:sz="4" w:space="0" w:color="auto"/>
              <w:left w:val="single" w:sz="4" w:space="0" w:color="auto"/>
              <w:bottom w:val="single" w:sz="4" w:space="0" w:color="auto"/>
              <w:right w:val="single" w:sz="4" w:space="0" w:color="auto"/>
            </w:tcBorders>
          </w:tcPr>
          <w:p w14:paraId="3A284205" w14:textId="77777777" w:rsidR="003D6E20" w:rsidRPr="00550D35" w:rsidRDefault="003D6E20" w:rsidP="00BA62A0">
            <w:pPr>
              <w:spacing w:before="0"/>
              <w:ind w:firstLine="0"/>
              <w:jc w:val="left"/>
              <w:rPr>
                <w:sz w:val="20"/>
                <w:lang w:val="lv-LV"/>
              </w:rPr>
            </w:pPr>
            <w:r w:rsidRPr="00550D35">
              <w:rPr>
                <w:rFonts w:ascii="Segoe UI Symbol" w:hAnsi="Segoe UI Symbol" w:cs="Segoe UI Symbol"/>
                <w:sz w:val="20"/>
                <w:lang w:val="lv-LV"/>
              </w:rPr>
              <w:t>☒</w:t>
            </w:r>
            <w:r w:rsidRPr="00550D35">
              <w:rPr>
                <w:sz w:val="20"/>
                <w:lang w:val="lv-LV"/>
              </w:rPr>
              <w:t xml:space="preserve"> Jā </w:t>
            </w:r>
          </w:p>
          <w:p w14:paraId="357998D4" w14:textId="77777777" w:rsidR="003D6E20" w:rsidRPr="00550D35" w:rsidRDefault="00AC141D" w:rsidP="00BA62A0">
            <w:pPr>
              <w:ind w:firstLine="0"/>
              <w:jc w:val="left"/>
              <w:rPr>
                <w:sz w:val="20"/>
                <w:lang w:val="lv-LV"/>
              </w:rPr>
            </w:pPr>
            <w:sdt>
              <w:sdtPr>
                <w:rPr>
                  <w:sz w:val="20"/>
                  <w:lang w:val="lv-LV"/>
                </w:rPr>
                <w:id w:val="-9533394"/>
                <w14:checkbox>
                  <w14:checked w14:val="0"/>
                  <w14:checkedState w14:val="2612" w14:font="MS Gothic"/>
                  <w14:uncheckedState w14:val="2610" w14:font="MS Gothic"/>
                </w14:checkbox>
              </w:sdtPr>
              <w:sdtEndPr/>
              <w:sdtContent>
                <w:r w:rsidR="003D6E20" w:rsidRPr="00550D35">
                  <w:rPr>
                    <w:rFonts w:ascii="MS Gothic" w:eastAsia="MS Gothic" w:hAnsi="MS Gothic"/>
                    <w:sz w:val="20"/>
                    <w:lang w:val="lv-LV"/>
                  </w:rPr>
                  <w:t>☐</w:t>
                </w:r>
              </w:sdtContent>
            </w:sdt>
            <w:r w:rsidR="003D6E20" w:rsidRPr="00550D35">
              <w:rPr>
                <w:rFonts w:eastAsia="MS Minngs"/>
                <w:sz w:val="20"/>
                <w:lang w:val="lv-LV"/>
              </w:rPr>
              <w:t xml:space="preserve"> N</w:t>
            </w:r>
            <w:r w:rsidR="003D6E20" w:rsidRPr="00550D35">
              <w:rPr>
                <w:sz w:val="20"/>
                <w:lang w:val="lv-LV"/>
              </w:rPr>
              <w:t>ē</w:t>
            </w:r>
          </w:p>
        </w:tc>
      </w:tr>
      <w:tr w:rsidR="003D6E20" w:rsidRPr="003B2E9A" w14:paraId="2F191015" w14:textId="77777777" w:rsidTr="00BA62A0">
        <w:tc>
          <w:tcPr>
            <w:tcW w:w="2689" w:type="dxa"/>
            <w:tcBorders>
              <w:top w:val="single" w:sz="4" w:space="0" w:color="auto"/>
              <w:left w:val="single" w:sz="4" w:space="0" w:color="auto"/>
              <w:bottom w:val="single" w:sz="4" w:space="0" w:color="auto"/>
              <w:right w:val="single" w:sz="4" w:space="0" w:color="auto"/>
            </w:tcBorders>
          </w:tcPr>
          <w:p w14:paraId="3F9F0E3C" w14:textId="77777777" w:rsidR="003D6E20" w:rsidRPr="00550D35" w:rsidRDefault="003D6E20" w:rsidP="00BA62A0">
            <w:pPr>
              <w:ind w:firstLine="0"/>
              <w:jc w:val="left"/>
              <w:rPr>
                <w:b/>
                <w:sz w:val="20"/>
                <w:lang w:val="lv-LV"/>
              </w:rPr>
            </w:pPr>
            <w:r w:rsidRPr="00550D35">
              <w:rPr>
                <w:b/>
                <w:sz w:val="20"/>
                <w:lang w:val="lv-LV"/>
              </w:rPr>
              <w:t>Īss pasākuma apraksts</w:t>
            </w:r>
          </w:p>
        </w:tc>
        <w:tc>
          <w:tcPr>
            <w:tcW w:w="5953" w:type="dxa"/>
            <w:tcBorders>
              <w:top w:val="single" w:sz="4" w:space="0" w:color="auto"/>
              <w:left w:val="single" w:sz="4" w:space="0" w:color="auto"/>
              <w:bottom w:val="single" w:sz="4" w:space="0" w:color="auto"/>
              <w:right w:val="single" w:sz="4" w:space="0" w:color="auto"/>
            </w:tcBorders>
          </w:tcPr>
          <w:p w14:paraId="53F1FBDF" w14:textId="77777777" w:rsidR="003D6E20" w:rsidRPr="00550D35" w:rsidRDefault="003D6E20" w:rsidP="00BA62A0">
            <w:pPr>
              <w:spacing w:before="0"/>
              <w:ind w:firstLine="0"/>
              <w:rPr>
                <w:sz w:val="20"/>
                <w:lang w:val="lv-LV"/>
              </w:rPr>
            </w:pPr>
            <w:r w:rsidRPr="00550D35">
              <w:rPr>
                <w:sz w:val="20"/>
                <w:lang w:val="lv-LV"/>
              </w:rPr>
              <w:t>Pēc modulāra dizaina principiem tiks izveidots jauns digitālās veselības “kodols”, kas ietvers centralizētu, vienotu, elektronisko veselības karšu (EVK) krātuvi saskaņā ar jaunu standartu un kalpos par pamatu turpmākai EVK attīstībai un būtiski uzlabos sistēmas stabilitāti, veiktspēju un ātrumu un nodrošinās modulāru sistēmas dizainu.</w:t>
            </w:r>
          </w:p>
          <w:p w14:paraId="05587F52" w14:textId="77777777" w:rsidR="003D6E20" w:rsidRPr="00550D35" w:rsidRDefault="003D6E20" w:rsidP="00BA62A0">
            <w:pPr>
              <w:spacing w:before="0"/>
              <w:ind w:firstLine="0"/>
              <w:rPr>
                <w:sz w:val="20"/>
                <w:lang w:val="lv-LV"/>
              </w:rPr>
            </w:pPr>
            <w:r w:rsidRPr="00550D35">
              <w:rPr>
                <w:sz w:val="20"/>
                <w:lang w:val="lv-LV"/>
              </w:rPr>
              <w:t>Nodrošinot datu apmaiņu ar veselības nozares ekosistēmas dalībnieku informācijas sistēmām, centralizētajā veselības datu repozitorijā būs pieejamas pilnīgas pacientu EVK, tādā veidā uzlabojot veselības datu pieejamību pacientiem.</w:t>
            </w:r>
          </w:p>
        </w:tc>
      </w:tr>
      <w:tr w:rsidR="003D6E20" w:rsidRPr="003B2E9A" w14:paraId="7586BA0E"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6F8ABE4F" w14:textId="77777777" w:rsidR="003D6E20" w:rsidRPr="00550D35" w:rsidRDefault="003D6E20" w:rsidP="00BA62A0">
            <w:pPr>
              <w:spacing w:after="0"/>
              <w:ind w:firstLine="0"/>
              <w:rPr>
                <w:i/>
                <w:iCs/>
                <w:sz w:val="20"/>
                <w:lang w:val="lv-LV"/>
              </w:rPr>
            </w:pPr>
          </w:p>
          <w:p w14:paraId="38B3BDE2" w14:textId="352EF93D" w:rsidR="003D6E20" w:rsidRPr="00550D35" w:rsidRDefault="003D6E20" w:rsidP="00BA62A0">
            <w:pPr>
              <w:spacing w:before="0"/>
              <w:ind w:firstLine="0"/>
              <w:jc w:val="left"/>
              <w:rPr>
                <w:b/>
                <w:bCs/>
                <w:sz w:val="20"/>
                <w:lang w:val="lv-LV"/>
              </w:rPr>
            </w:pPr>
            <w:r w:rsidRPr="00550D35">
              <w:rPr>
                <w:b/>
                <w:bCs/>
                <w:sz w:val="20"/>
                <w:lang w:val="lv-LV"/>
              </w:rPr>
              <w:t>Piešķirtais vai plānotais budžets un, ja atbilstoši, citi resursi</w:t>
            </w:r>
          </w:p>
        </w:tc>
        <w:tc>
          <w:tcPr>
            <w:tcW w:w="5953" w:type="dxa"/>
            <w:tcBorders>
              <w:top w:val="single" w:sz="4" w:space="0" w:color="auto"/>
              <w:left w:val="single" w:sz="4" w:space="0" w:color="auto"/>
              <w:bottom w:val="single" w:sz="4" w:space="0" w:color="auto"/>
              <w:right w:val="single" w:sz="4" w:space="0" w:color="auto"/>
            </w:tcBorders>
          </w:tcPr>
          <w:p w14:paraId="62885134" w14:textId="77777777" w:rsidR="003D6E20" w:rsidRPr="00550D35" w:rsidRDefault="003D6E20" w:rsidP="00BA62A0">
            <w:pPr>
              <w:spacing w:before="0"/>
              <w:ind w:firstLine="0"/>
              <w:contextualSpacing/>
              <w:rPr>
                <w:sz w:val="20"/>
                <w:lang w:val="lv-LV"/>
              </w:rPr>
            </w:pPr>
            <w:r w:rsidRPr="00550D35">
              <w:rPr>
                <w:sz w:val="20"/>
                <w:lang w:val="lv-LV"/>
              </w:rPr>
              <w:t>Papildus nepieciešamais valsts budžeta finansējuma apjoms tiks noteikts pasākuma īstenošanas gaitā.</w:t>
            </w:r>
          </w:p>
          <w:p w14:paraId="22A02A62" w14:textId="77777777" w:rsidR="003D6E20" w:rsidRPr="00550D35" w:rsidRDefault="003D6E20" w:rsidP="00BA62A0">
            <w:pPr>
              <w:ind w:firstLine="0"/>
              <w:rPr>
                <w:sz w:val="20"/>
                <w:lang w:val="lv-LV"/>
              </w:rPr>
            </w:pPr>
            <w:r w:rsidRPr="00550D35">
              <w:rPr>
                <w:sz w:val="20"/>
                <w:lang w:val="lv-LV"/>
              </w:rPr>
              <w:t xml:space="preserve">ES Kohēzijas politikas programmas 2021.-2027. gadam </w:t>
            </w:r>
            <w:r>
              <w:rPr>
                <w:sz w:val="20"/>
                <w:lang w:val="lv-LV"/>
              </w:rPr>
              <w:t xml:space="preserve">pasākuma </w:t>
            </w:r>
            <w:r w:rsidRPr="00550D35">
              <w:rPr>
                <w:sz w:val="20"/>
                <w:lang w:val="lv-LV"/>
              </w:rPr>
              <w:t xml:space="preserve">4.1.1. “Nodrošināt vienlīdzīgu piekļuvi veselības aprūpei un stiprināt veselības sistēmu, tostarp primārās veselības aprūpes noturību” 4.1.1.4.pasākuma “Veselības aprūpes pārvaldības sistēmas stiprināšana un </w:t>
            </w:r>
            <w:proofErr w:type="spellStart"/>
            <w:r w:rsidRPr="00550D35">
              <w:rPr>
                <w:sz w:val="20"/>
                <w:lang w:val="lv-LV"/>
              </w:rPr>
              <w:t>digitalizācija</w:t>
            </w:r>
            <w:proofErr w:type="spellEnd"/>
            <w:r w:rsidRPr="00550D35">
              <w:rPr>
                <w:sz w:val="20"/>
                <w:lang w:val="lv-LV"/>
              </w:rPr>
              <w:t>, attīstot digitālos risinājumus” finansējuma apjoms tiks  noteikts pasākuma īstenošanas gaitā.</w:t>
            </w:r>
          </w:p>
        </w:tc>
      </w:tr>
      <w:tr w:rsidR="003D6E20" w:rsidRPr="003B2E9A" w14:paraId="6DBF8D81"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4C9C9DBA" w14:textId="77777777" w:rsidR="003D6E20" w:rsidRPr="00550D35" w:rsidRDefault="003D6E20" w:rsidP="00BA62A0">
            <w:pPr>
              <w:spacing w:before="0"/>
              <w:ind w:firstLine="0"/>
              <w:jc w:val="left"/>
              <w:rPr>
                <w:b/>
                <w:bCs/>
                <w:sz w:val="20"/>
                <w:lang w:val="lv-LV"/>
              </w:rPr>
            </w:pPr>
            <w:r w:rsidRPr="00550D35">
              <w:rPr>
                <w:b/>
                <w:bCs/>
                <w:sz w:val="20"/>
                <w:lang w:val="lv-LV"/>
              </w:rPr>
              <w:t>Sagaidāmā ietekme un laika ietvars</w:t>
            </w:r>
          </w:p>
        </w:tc>
        <w:tc>
          <w:tcPr>
            <w:tcW w:w="5953" w:type="dxa"/>
            <w:tcBorders>
              <w:top w:val="single" w:sz="4" w:space="0" w:color="auto"/>
              <w:left w:val="single" w:sz="4" w:space="0" w:color="auto"/>
              <w:bottom w:val="single" w:sz="4" w:space="0" w:color="auto"/>
              <w:right w:val="single" w:sz="4" w:space="0" w:color="auto"/>
            </w:tcBorders>
          </w:tcPr>
          <w:p w14:paraId="2F5BBF1D" w14:textId="77777777" w:rsidR="003D6E20" w:rsidRPr="00550D35" w:rsidRDefault="003D6E20" w:rsidP="00BA62A0">
            <w:pPr>
              <w:spacing w:before="0"/>
              <w:ind w:firstLine="0"/>
              <w:rPr>
                <w:i/>
                <w:iCs/>
                <w:sz w:val="20"/>
                <w:lang w:val="lv-LV"/>
              </w:rPr>
            </w:pPr>
            <w:r w:rsidRPr="00550D35">
              <w:rPr>
                <w:iCs/>
                <w:sz w:val="20"/>
                <w:lang w:val="lv-LV"/>
              </w:rPr>
              <w:t xml:space="preserve">Pasākums paredz līdz 2024. gadam attīstīt digitālās veselības sistēmas “kodola” platformu, atjaunināt digitālās veselības sistēmas pacientu sadaļu, kas izmantojama </w:t>
            </w:r>
            <w:proofErr w:type="spellStart"/>
            <w:r w:rsidRPr="00550D35">
              <w:rPr>
                <w:iCs/>
                <w:sz w:val="20"/>
                <w:lang w:val="lv-LV"/>
              </w:rPr>
              <w:t>viedierīcēs</w:t>
            </w:r>
            <w:proofErr w:type="spellEnd"/>
            <w:r w:rsidRPr="00550D35">
              <w:rPr>
                <w:iCs/>
                <w:sz w:val="20"/>
                <w:lang w:val="lv-LV"/>
              </w:rPr>
              <w:t>,</w:t>
            </w:r>
            <w:r w:rsidRPr="00550D35" w:rsidDel="00066680">
              <w:rPr>
                <w:iCs/>
                <w:sz w:val="20"/>
                <w:lang w:val="lv-LV"/>
              </w:rPr>
              <w:t xml:space="preserve"> </w:t>
            </w:r>
            <w:r w:rsidRPr="00550D35">
              <w:rPr>
                <w:iCs/>
                <w:sz w:val="20"/>
                <w:lang w:val="lv-LV"/>
              </w:rPr>
              <w:t>izstrādāt veselības nozares domēna arhitektūru.</w:t>
            </w:r>
            <w:r w:rsidRPr="00550D35" w:rsidDel="009533A6">
              <w:rPr>
                <w:iCs/>
                <w:sz w:val="20"/>
                <w:lang w:val="lv-LV"/>
              </w:rPr>
              <w:t xml:space="preserve"> </w:t>
            </w:r>
          </w:p>
        </w:tc>
      </w:tr>
    </w:tbl>
    <w:p w14:paraId="68A48320" w14:textId="77777777" w:rsidR="003D6E20" w:rsidRPr="00550D35" w:rsidRDefault="003D6E20" w:rsidP="003D6E20">
      <w:pPr>
        <w:ind w:firstLine="0"/>
        <w:rPr>
          <w:b/>
          <w:sz w:val="20"/>
          <w:lang w:val="lv-LV"/>
        </w:rPr>
      </w:pPr>
    </w:p>
    <w:tbl>
      <w:tblPr>
        <w:tblStyle w:val="TableGrid"/>
        <w:tblW w:w="8642" w:type="dxa"/>
        <w:tblLook w:val="04A0" w:firstRow="1" w:lastRow="0" w:firstColumn="1" w:lastColumn="0" w:noHBand="0" w:noVBand="1"/>
      </w:tblPr>
      <w:tblGrid>
        <w:gridCol w:w="2689"/>
        <w:gridCol w:w="5953"/>
      </w:tblGrid>
      <w:tr w:rsidR="003D6E20" w:rsidRPr="003B2E9A" w14:paraId="6B74210E" w14:textId="77777777" w:rsidTr="00BA62A0">
        <w:tc>
          <w:tcPr>
            <w:tcW w:w="8642" w:type="dxa"/>
            <w:gridSpan w:val="2"/>
            <w:tcBorders>
              <w:top w:val="single" w:sz="4" w:space="0" w:color="auto"/>
              <w:left w:val="single" w:sz="4" w:space="0" w:color="auto"/>
              <w:bottom w:val="single" w:sz="4" w:space="0" w:color="auto"/>
              <w:right w:val="single" w:sz="4" w:space="0" w:color="auto"/>
            </w:tcBorders>
          </w:tcPr>
          <w:p w14:paraId="0A4746CF" w14:textId="77777777" w:rsidR="003D6E20" w:rsidRPr="00550D35" w:rsidRDefault="003D6E20" w:rsidP="00BA62A0">
            <w:pPr>
              <w:ind w:firstLine="0"/>
              <w:rPr>
                <w:b/>
                <w:sz w:val="20"/>
                <w:lang w:val="lv-LV"/>
              </w:rPr>
            </w:pPr>
            <w:r w:rsidRPr="00550D35">
              <w:rPr>
                <w:b/>
                <w:sz w:val="20"/>
                <w:lang w:val="lv-LV"/>
              </w:rPr>
              <w:t xml:space="preserve">Pasākums Nr. 2 – Attīstīt risinājumu kvalitatīvai centralizētai vizuālās diagnostikas attēlu un aprakstu pieejamībai </w:t>
            </w:r>
          </w:p>
        </w:tc>
      </w:tr>
      <w:tr w:rsidR="003D6E20" w:rsidRPr="00550D35" w14:paraId="76FECE26"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6124F638" w14:textId="77777777" w:rsidR="003D6E20" w:rsidRPr="00550D35" w:rsidRDefault="003D6E20" w:rsidP="00BA62A0">
            <w:pPr>
              <w:spacing w:before="0"/>
              <w:ind w:firstLine="0"/>
              <w:jc w:val="left"/>
              <w:rPr>
                <w:b/>
                <w:bCs/>
                <w:sz w:val="20"/>
                <w:lang w:val="lv-LV"/>
              </w:rPr>
            </w:pPr>
            <w:r w:rsidRPr="00550D35">
              <w:rPr>
                <w:b/>
                <w:bCs/>
                <w:sz w:val="20"/>
                <w:lang w:val="lv-LV"/>
              </w:rPr>
              <w:t>Jauns pasākums</w:t>
            </w:r>
          </w:p>
        </w:tc>
        <w:tc>
          <w:tcPr>
            <w:tcW w:w="5953" w:type="dxa"/>
            <w:tcBorders>
              <w:top w:val="single" w:sz="4" w:space="0" w:color="auto"/>
              <w:left w:val="single" w:sz="4" w:space="0" w:color="auto"/>
              <w:bottom w:val="single" w:sz="4" w:space="0" w:color="auto"/>
              <w:right w:val="single" w:sz="4" w:space="0" w:color="auto"/>
            </w:tcBorders>
          </w:tcPr>
          <w:p w14:paraId="62069DFB" w14:textId="77777777" w:rsidR="003D6E20" w:rsidRPr="00550D35" w:rsidRDefault="003D6E20" w:rsidP="00BA62A0">
            <w:pPr>
              <w:spacing w:before="0"/>
              <w:ind w:firstLine="0"/>
              <w:jc w:val="left"/>
              <w:rPr>
                <w:sz w:val="20"/>
                <w:lang w:val="lv-LV"/>
              </w:rPr>
            </w:pPr>
            <w:r w:rsidRPr="00550D35">
              <w:rPr>
                <w:rFonts w:ascii="Segoe UI Symbol" w:hAnsi="Segoe UI Symbol" w:cs="Segoe UI Symbol"/>
                <w:sz w:val="20"/>
                <w:lang w:val="lv-LV"/>
              </w:rPr>
              <w:t>☒</w:t>
            </w:r>
            <w:r w:rsidRPr="00550D35">
              <w:rPr>
                <w:sz w:val="20"/>
                <w:lang w:val="lv-LV"/>
              </w:rPr>
              <w:t xml:space="preserve"> Jā </w:t>
            </w:r>
          </w:p>
          <w:p w14:paraId="32E785A5" w14:textId="77777777" w:rsidR="003D6E20" w:rsidRPr="00550D35" w:rsidRDefault="00AC141D" w:rsidP="00BA62A0">
            <w:pPr>
              <w:ind w:firstLine="0"/>
              <w:jc w:val="left"/>
              <w:rPr>
                <w:sz w:val="20"/>
                <w:lang w:val="lv-LV"/>
              </w:rPr>
            </w:pPr>
            <w:sdt>
              <w:sdtPr>
                <w:rPr>
                  <w:sz w:val="20"/>
                  <w:lang w:val="lv-LV"/>
                </w:rPr>
                <w:id w:val="-1675874396"/>
                <w14:checkbox>
                  <w14:checked w14:val="0"/>
                  <w14:checkedState w14:val="2612" w14:font="MS Gothic"/>
                  <w14:uncheckedState w14:val="2610" w14:font="MS Gothic"/>
                </w14:checkbox>
              </w:sdtPr>
              <w:sdtEndPr/>
              <w:sdtContent>
                <w:r w:rsidR="003D6E20" w:rsidRPr="00550D35">
                  <w:rPr>
                    <w:rFonts w:ascii="MS Gothic" w:eastAsia="MS Gothic" w:hAnsi="MS Gothic"/>
                    <w:sz w:val="20"/>
                    <w:lang w:val="lv-LV"/>
                  </w:rPr>
                  <w:t>☐</w:t>
                </w:r>
              </w:sdtContent>
            </w:sdt>
            <w:r w:rsidR="003D6E20" w:rsidRPr="00550D35">
              <w:rPr>
                <w:rFonts w:eastAsia="MS Minngs"/>
                <w:sz w:val="20"/>
                <w:lang w:val="lv-LV"/>
              </w:rPr>
              <w:t xml:space="preserve"> N</w:t>
            </w:r>
            <w:r w:rsidR="003D6E20" w:rsidRPr="00550D35">
              <w:rPr>
                <w:sz w:val="20"/>
                <w:lang w:val="lv-LV"/>
              </w:rPr>
              <w:t>ē</w:t>
            </w:r>
          </w:p>
        </w:tc>
      </w:tr>
      <w:tr w:rsidR="003D6E20" w:rsidRPr="003B2E9A" w14:paraId="58B55645" w14:textId="77777777" w:rsidTr="00BA62A0">
        <w:tc>
          <w:tcPr>
            <w:tcW w:w="2689" w:type="dxa"/>
            <w:tcBorders>
              <w:top w:val="single" w:sz="4" w:space="0" w:color="auto"/>
              <w:left w:val="single" w:sz="4" w:space="0" w:color="auto"/>
              <w:bottom w:val="single" w:sz="4" w:space="0" w:color="auto"/>
              <w:right w:val="single" w:sz="4" w:space="0" w:color="auto"/>
            </w:tcBorders>
          </w:tcPr>
          <w:p w14:paraId="28378563" w14:textId="77777777" w:rsidR="003D6E20" w:rsidRPr="00550D35" w:rsidRDefault="003D6E20" w:rsidP="00BA62A0">
            <w:pPr>
              <w:ind w:firstLine="0"/>
              <w:jc w:val="left"/>
              <w:rPr>
                <w:b/>
                <w:sz w:val="20"/>
                <w:lang w:val="lv-LV"/>
              </w:rPr>
            </w:pPr>
            <w:r w:rsidRPr="00550D35">
              <w:rPr>
                <w:b/>
                <w:sz w:val="20"/>
                <w:lang w:val="lv-LV"/>
              </w:rPr>
              <w:lastRenderedPageBreak/>
              <w:t>Īss pasākuma apraksts</w:t>
            </w:r>
          </w:p>
        </w:tc>
        <w:tc>
          <w:tcPr>
            <w:tcW w:w="5953" w:type="dxa"/>
            <w:tcBorders>
              <w:top w:val="single" w:sz="4" w:space="0" w:color="auto"/>
              <w:left w:val="single" w:sz="4" w:space="0" w:color="auto"/>
              <w:bottom w:val="single" w:sz="4" w:space="0" w:color="auto"/>
              <w:right w:val="single" w:sz="4" w:space="0" w:color="auto"/>
            </w:tcBorders>
          </w:tcPr>
          <w:p w14:paraId="7504EAEC" w14:textId="77777777" w:rsidR="003D6E20" w:rsidRPr="00550D35" w:rsidRDefault="003D6E20" w:rsidP="00BA62A0">
            <w:pPr>
              <w:spacing w:before="0"/>
              <w:ind w:firstLine="0"/>
              <w:rPr>
                <w:iCs/>
                <w:sz w:val="20"/>
                <w:lang w:val="lv-LV"/>
              </w:rPr>
            </w:pPr>
            <w:r w:rsidRPr="00550D35">
              <w:rPr>
                <w:sz w:val="20"/>
                <w:lang w:val="lv-LV"/>
              </w:rPr>
              <w:t>Esošais e-veselības sistēmas vizuālās diagnostikas datu apmaiņas risinājums ir nepilnīgs, jo nenodrošina iespēju apstrādāt vizuālās diagnostikas attēlus augstā izšķirtspējas kvalitātē, kā arī tas jāpilnveido atbilstoši vienotajām  ES vadlīnijām par vizuālās diagnostikas attēlu un aprakstu datu elektronisku apmaiņu, kuras šobrīd ir izstrādes procesā un noteiks tehniskās prasības, izmantojamos datu apmaiņas standartus, apstrādājamos datus un izmantojamās klasifikācijas. Šobrīd diagnostikas datu ilgtermiņa arhivāciju un piekļuvi izmeklējumiem kā komercpakalpojumu nodrošina Medicīniskās diagnostikas informācijas sistēma (</w:t>
            </w:r>
            <w:proofErr w:type="spellStart"/>
            <w:r w:rsidRPr="00550D35">
              <w:rPr>
                <w:i/>
                <w:iCs/>
                <w:sz w:val="20"/>
                <w:lang w:val="lv-LV"/>
              </w:rPr>
              <w:t>DataMed</w:t>
            </w:r>
            <w:proofErr w:type="spellEnd"/>
            <w:r w:rsidRPr="00550D35">
              <w:rPr>
                <w:sz w:val="20"/>
                <w:lang w:val="lv-LV"/>
              </w:rPr>
              <w:t xml:space="preserve">), ko izmanto vairāk kā 80 ārstniecības iestādes Latvijā, tajā skaitā valsts, pašvaldību un privātas klīnikas. Ņemot vērā to, ka Eiropas veselības datu telpas regulas projekts nosaka pienākumu valstīm nodrošināt personām bezmaksas piekļuvi saviem veselības datiem elektroniski, tai skaitā vizuālās diagnostikas datiem, šis pasākums paredz attīstīt risinājumu atbilstošu vizuālās diagnostikas izmeklējumu aprakstu un augstas izšķirtspējas attēlu centralizētai pieejamībai elektroniskajā veselības kartē (EVK). </w:t>
            </w:r>
            <w:r w:rsidRPr="00550D35">
              <w:rPr>
                <w:iCs/>
                <w:sz w:val="20"/>
                <w:lang w:val="lv-LV"/>
              </w:rPr>
              <w:t xml:space="preserve"> Pasākums veicinās vizuālas diagnostikas attēlu un aprakstu pieejamību, tādēļ pacienti varēs ātrāk un vieglāk piekļūt vizuālās izmeklēšanas datiem, kā arī nodot tos ārstniecības personām, ja nepieciešams.</w:t>
            </w:r>
          </w:p>
        </w:tc>
      </w:tr>
      <w:tr w:rsidR="003D6E20" w:rsidRPr="003B2E9A" w14:paraId="2B8D4B71"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3FBB7CB1" w14:textId="69A8D8DF" w:rsidR="003D6E20" w:rsidRPr="00550D35" w:rsidRDefault="003D6E20" w:rsidP="00BA62A0">
            <w:pPr>
              <w:spacing w:before="0"/>
              <w:ind w:firstLine="0"/>
              <w:jc w:val="left"/>
              <w:rPr>
                <w:b/>
                <w:bCs/>
                <w:sz w:val="20"/>
                <w:lang w:val="lv-LV"/>
              </w:rPr>
            </w:pPr>
            <w:r w:rsidRPr="00550D35">
              <w:rPr>
                <w:b/>
                <w:bCs/>
                <w:sz w:val="20"/>
                <w:lang w:val="lv-LV"/>
              </w:rPr>
              <w:t>Piešķirtais vai plānotais budžets un, ja atbilstoši, citi resursi</w:t>
            </w:r>
          </w:p>
        </w:tc>
        <w:tc>
          <w:tcPr>
            <w:tcW w:w="5953" w:type="dxa"/>
            <w:tcBorders>
              <w:top w:val="single" w:sz="4" w:space="0" w:color="auto"/>
              <w:left w:val="single" w:sz="4" w:space="0" w:color="auto"/>
              <w:bottom w:val="single" w:sz="4" w:space="0" w:color="auto"/>
              <w:right w:val="single" w:sz="4" w:space="0" w:color="auto"/>
            </w:tcBorders>
          </w:tcPr>
          <w:p w14:paraId="16AB7429" w14:textId="77777777" w:rsidR="003D6E20" w:rsidRPr="00550D35" w:rsidRDefault="003D6E20" w:rsidP="00BA62A0">
            <w:pPr>
              <w:spacing w:before="0"/>
              <w:ind w:firstLine="0"/>
              <w:contextualSpacing/>
              <w:rPr>
                <w:sz w:val="20"/>
                <w:lang w:val="lv-LV"/>
              </w:rPr>
            </w:pPr>
            <w:r w:rsidRPr="00550D35">
              <w:rPr>
                <w:sz w:val="20"/>
                <w:lang w:val="lv-LV"/>
              </w:rPr>
              <w:t>Papildus nepieciešamais valsts budžeta finansējuma apjoms tiks noteikts pasākuma īstenošanas gaitā.</w:t>
            </w:r>
          </w:p>
          <w:p w14:paraId="4A9404E9" w14:textId="77777777" w:rsidR="003D6E20" w:rsidRPr="00550D35" w:rsidRDefault="003D6E20" w:rsidP="00BA62A0">
            <w:pPr>
              <w:spacing w:before="0"/>
              <w:ind w:firstLine="0"/>
              <w:contextualSpacing/>
              <w:rPr>
                <w:sz w:val="20"/>
                <w:lang w:val="lv-LV"/>
              </w:rPr>
            </w:pPr>
            <w:r w:rsidRPr="00550D35">
              <w:rPr>
                <w:rFonts w:eastAsiaTheme="minorHAnsi" w:cs="Calibri"/>
                <w:sz w:val="20"/>
                <w:szCs w:val="22"/>
                <w:lang w:val="lv-LV" w:eastAsia="en-US"/>
              </w:rPr>
              <w:t xml:space="preserve">ES Kohēzijas politikas programmas 2021.-2027. gadam </w:t>
            </w:r>
            <w:r>
              <w:rPr>
                <w:rFonts w:eastAsiaTheme="minorHAnsi" w:cs="Calibri"/>
                <w:sz w:val="20"/>
                <w:szCs w:val="22"/>
                <w:lang w:val="lv-LV" w:eastAsia="en-US"/>
              </w:rPr>
              <w:t xml:space="preserve">pasākuma </w:t>
            </w:r>
            <w:r w:rsidRPr="00550D35">
              <w:rPr>
                <w:rFonts w:eastAsiaTheme="minorHAnsi" w:cs="Calibri"/>
                <w:sz w:val="20"/>
                <w:szCs w:val="22"/>
                <w:lang w:val="lv-LV" w:eastAsia="en-US"/>
              </w:rPr>
              <w:t xml:space="preserve">4.1.1. “Nodrošināt vienlīdzīgu piekļuvi veselības aprūpei un stiprināt veselības sistēmu, tostarp primārās veselības aprūpes noturību” 4.1.1.4.pasākuma “Veselības aprūpes pārvaldības sistēmas stiprināšana un </w:t>
            </w:r>
            <w:proofErr w:type="spellStart"/>
            <w:r w:rsidRPr="00550D35">
              <w:rPr>
                <w:rFonts w:eastAsiaTheme="minorHAnsi" w:cs="Calibri"/>
                <w:sz w:val="20"/>
                <w:szCs w:val="22"/>
                <w:lang w:val="lv-LV" w:eastAsia="en-US"/>
              </w:rPr>
              <w:t>digitalizācija</w:t>
            </w:r>
            <w:proofErr w:type="spellEnd"/>
            <w:r w:rsidRPr="00550D35">
              <w:rPr>
                <w:rFonts w:eastAsiaTheme="minorHAnsi" w:cs="Calibri"/>
                <w:sz w:val="20"/>
                <w:szCs w:val="22"/>
                <w:lang w:val="lv-LV" w:eastAsia="en-US"/>
              </w:rPr>
              <w:t>, attīstot digitālos risinājumus” indikatīvais finansējums</w:t>
            </w:r>
            <w:r w:rsidRPr="00550D35">
              <w:rPr>
                <w:sz w:val="20"/>
                <w:lang w:val="lv-LV"/>
              </w:rPr>
              <w:t xml:space="preserve"> – 1,0 milj. </w:t>
            </w:r>
            <w:proofErr w:type="spellStart"/>
            <w:r w:rsidRPr="00550D35">
              <w:rPr>
                <w:i/>
                <w:iCs/>
                <w:sz w:val="20"/>
                <w:lang w:val="lv-LV"/>
              </w:rPr>
              <w:t>euro</w:t>
            </w:r>
            <w:proofErr w:type="spellEnd"/>
            <w:r w:rsidRPr="00550D35">
              <w:rPr>
                <w:sz w:val="20"/>
                <w:lang w:val="lv-LV"/>
              </w:rPr>
              <w:t>.</w:t>
            </w:r>
          </w:p>
        </w:tc>
      </w:tr>
      <w:tr w:rsidR="003D6E20" w:rsidRPr="003B2E9A" w14:paraId="24AF7953"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6693FDFF" w14:textId="77777777" w:rsidR="003D6E20" w:rsidRPr="00550D35" w:rsidRDefault="003D6E20" w:rsidP="00BA62A0">
            <w:pPr>
              <w:spacing w:before="0"/>
              <w:ind w:firstLine="0"/>
              <w:jc w:val="left"/>
              <w:rPr>
                <w:b/>
                <w:bCs/>
                <w:sz w:val="20"/>
                <w:lang w:val="lv-LV"/>
              </w:rPr>
            </w:pPr>
            <w:r w:rsidRPr="00550D35">
              <w:rPr>
                <w:b/>
                <w:bCs/>
                <w:sz w:val="20"/>
                <w:lang w:val="lv-LV"/>
              </w:rPr>
              <w:t>Sagaidāmā ietekme un laika ietvars</w:t>
            </w:r>
          </w:p>
        </w:tc>
        <w:tc>
          <w:tcPr>
            <w:tcW w:w="5953" w:type="dxa"/>
            <w:tcBorders>
              <w:top w:val="single" w:sz="4" w:space="0" w:color="auto"/>
              <w:left w:val="single" w:sz="4" w:space="0" w:color="auto"/>
              <w:bottom w:val="single" w:sz="4" w:space="0" w:color="auto"/>
              <w:right w:val="single" w:sz="4" w:space="0" w:color="auto"/>
            </w:tcBorders>
            <w:hideMark/>
          </w:tcPr>
          <w:p w14:paraId="56841892" w14:textId="77777777" w:rsidR="003D6E20" w:rsidRPr="00550D35" w:rsidRDefault="003D6E20" w:rsidP="00BA62A0">
            <w:pPr>
              <w:spacing w:before="0"/>
              <w:ind w:firstLine="0"/>
              <w:rPr>
                <w:sz w:val="20"/>
                <w:lang w:val="lv-LV"/>
              </w:rPr>
            </w:pPr>
            <w:r w:rsidRPr="00550D35">
              <w:rPr>
                <w:sz w:val="20"/>
                <w:lang w:val="lv-LV"/>
              </w:rPr>
              <w:t>Pasākuma ietvarā tiks veikta situācijas izpēte un sagatavoti priekšlikumi (līdz 2023. gada beigām);</w:t>
            </w:r>
            <w:r w:rsidRPr="00550D35" w:rsidDel="00297263">
              <w:rPr>
                <w:sz w:val="20"/>
                <w:lang w:val="lv-LV"/>
              </w:rPr>
              <w:t xml:space="preserve"> </w:t>
            </w:r>
            <w:r w:rsidRPr="00550D35">
              <w:rPr>
                <w:sz w:val="20"/>
                <w:lang w:val="lv-LV"/>
              </w:rPr>
              <w:t>Projekta tehniskais risinājums, standartizācija, ieviešana un tiesiskais regulējums tiks izstrādāti līdz 2027. gadam.</w:t>
            </w:r>
          </w:p>
        </w:tc>
      </w:tr>
    </w:tbl>
    <w:p w14:paraId="7ACE2849" w14:textId="77777777" w:rsidR="003D6E20" w:rsidRPr="00550D35" w:rsidRDefault="003D6E20" w:rsidP="003D6E20">
      <w:pPr>
        <w:rPr>
          <w:sz w:val="20"/>
          <w:lang w:val="lv-LV" w:eastAsia="en-US"/>
        </w:rPr>
      </w:pPr>
    </w:p>
    <w:p w14:paraId="51EC6F21" w14:textId="77777777" w:rsidR="003D6E20" w:rsidRPr="00550D35" w:rsidRDefault="003D6E20" w:rsidP="003D6E20">
      <w:pPr>
        <w:ind w:firstLine="0"/>
        <w:rPr>
          <w:b/>
          <w:bCs/>
          <w:sz w:val="20"/>
          <w:lang w:val="lv-LV"/>
        </w:rPr>
      </w:pPr>
    </w:p>
    <w:tbl>
      <w:tblPr>
        <w:tblStyle w:val="TableGrid"/>
        <w:tblW w:w="8642" w:type="dxa"/>
        <w:tblLook w:val="04A0" w:firstRow="1" w:lastRow="0" w:firstColumn="1" w:lastColumn="0" w:noHBand="0" w:noVBand="1"/>
      </w:tblPr>
      <w:tblGrid>
        <w:gridCol w:w="2689"/>
        <w:gridCol w:w="5953"/>
      </w:tblGrid>
      <w:tr w:rsidR="003D6E20" w:rsidRPr="003B2E9A" w14:paraId="4974D8FE" w14:textId="77777777" w:rsidTr="00BA62A0">
        <w:tc>
          <w:tcPr>
            <w:tcW w:w="8642" w:type="dxa"/>
            <w:gridSpan w:val="2"/>
            <w:tcBorders>
              <w:top w:val="single" w:sz="4" w:space="0" w:color="auto"/>
              <w:left w:val="single" w:sz="4" w:space="0" w:color="auto"/>
              <w:bottom w:val="single" w:sz="4" w:space="0" w:color="auto"/>
              <w:right w:val="single" w:sz="4" w:space="0" w:color="auto"/>
            </w:tcBorders>
          </w:tcPr>
          <w:p w14:paraId="76703381" w14:textId="77777777" w:rsidR="003D6E20" w:rsidRPr="00865111" w:rsidRDefault="003D6E20" w:rsidP="00BA62A0">
            <w:pPr>
              <w:ind w:firstLine="0"/>
              <w:rPr>
                <w:b/>
                <w:bCs/>
                <w:sz w:val="20"/>
                <w:lang w:val="lv-LV"/>
              </w:rPr>
            </w:pPr>
            <w:r w:rsidRPr="00865111">
              <w:rPr>
                <w:b/>
                <w:bCs/>
                <w:sz w:val="20"/>
                <w:lang w:val="lv-LV"/>
              </w:rPr>
              <w:t>Pasākums Nr. 3 – Izstrādāt datu apstrādes nosacījumus ārstniecības iestāžu informācijas sistēmām</w:t>
            </w:r>
          </w:p>
        </w:tc>
      </w:tr>
      <w:tr w:rsidR="003D6E20" w:rsidRPr="00550D35" w14:paraId="36BCF1DB"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22B56F4D" w14:textId="77777777" w:rsidR="003D6E20" w:rsidRPr="00550D35" w:rsidRDefault="003D6E20" w:rsidP="00BA62A0">
            <w:pPr>
              <w:spacing w:before="0"/>
              <w:ind w:firstLine="0"/>
              <w:jc w:val="left"/>
              <w:rPr>
                <w:b/>
                <w:bCs/>
                <w:sz w:val="20"/>
                <w:lang w:val="lv-LV"/>
              </w:rPr>
            </w:pPr>
            <w:r w:rsidRPr="00550D35">
              <w:rPr>
                <w:b/>
                <w:bCs/>
                <w:sz w:val="20"/>
                <w:lang w:val="lv-LV"/>
              </w:rPr>
              <w:t>Jauns pasākums</w:t>
            </w:r>
          </w:p>
        </w:tc>
        <w:tc>
          <w:tcPr>
            <w:tcW w:w="5953" w:type="dxa"/>
            <w:tcBorders>
              <w:top w:val="single" w:sz="4" w:space="0" w:color="auto"/>
              <w:left w:val="single" w:sz="4" w:space="0" w:color="auto"/>
              <w:bottom w:val="single" w:sz="4" w:space="0" w:color="auto"/>
              <w:right w:val="single" w:sz="4" w:space="0" w:color="auto"/>
            </w:tcBorders>
          </w:tcPr>
          <w:p w14:paraId="257BAD73" w14:textId="77777777" w:rsidR="003D6E20" w:rsidRPr="00550D35" w:rsidRDefault="003D6E20" w:rsidP="00BA62A0">
            <w:pPr>
              <w:spacing w:before="0"/>
              <w:ind w:firstLine="0"/>
              <w:jc w:val="left"/>
              <w:rPr>
                <w:sz w:val="20"/>
                <w:lang w:val="lv-LV"/>
              </w:rPr>
            </w:pPr>
            <w:r w:rsidRPr="00550D35">
              <w:rPr>
                <w:rFonts w:ascii="Segoe UI Symbol" w:hAnsi="Segoe UI Symbol" w:cs="Segoe UI Symbol"/>
                <w:sz w:val="20"/>
                <w:lang w:val="lv-LV"/>
              </w:rPr>
              <w:t>☒</w:t>
            </w:r>
            <w:r w:rsidRPr="00550D35">
              <w:rPr>
                <w:sz w:val="20"/>
                <w:lang w:val="lv-LV"/>
              </w:rPr>
              <w:t xml:space="preserve"> Jā </w:t>
            </w:r>
          </w:p>
          <w:p w14:paraId="14B9CB67" w14:textId="77777777" w:rsidR="003D6E20" w:rsidRPr="00550D35" w:rsidRDefault="00AC141D" w:rsidP="00BA62A0">
            <w:pPr>
              <w:spacing w:before="0"/>
              <w:ind w:firstLine="0"/>
              <w:jc w:val="left"/>
              <w:rPr>
                <w:sz w:val="20"/>
                <w:lang w:val="lv-LV"/>
              </w:rPr>
            </w:pPr>
            <w:sdt>
              <w:sdtPr>
                <w:rPr>
                  <w:sz w:val="20"/>
                  <w:lang w:val="lv-LV"/>
                </w:rPr>
                <w:id w:val="-303780150"/>
                <w14:checkbox>
                  <w14:checked w14:val="0"/>
                  <w14:checkedState w14:val="2612" w14:font="MS Gothic"/>
                  <w14:uncheckedState w14:val="2610" w14:font="MS Gothic"/>
                </w14:checkbox>
              </w:sdtPr>
              <w:sdtEndPr/>
              <w:sdtContent>
                <w:r w:rsidR="003D6E20" w:rsidRPr="00550D35">
                  <w:rPr>
                    <w:rFonts w:ascii="MS Gothic" w:eastAsia="MS Gothic" w:hAnsi="MS Gothic"/>
                    <w:sz w:val="20"/>
                    <w:lang w:val="lv-LV"/>
                  </w:rPr>
                  <w:t>☐</w:t>
                </w:r>
              </w:sdtContent>
            </w:sdt>
            <w:r w:rsidR="003D6E20" w:rsidRPr="00550D35">
              <w:rPr>
                <w:rFonts w:eastAsia="MS Minngs"/>
                <w:sz w:val="20"/>
                <w:lang w:val="lv-LV"/>
              </w:rPr>
              <w:t xml:space="preserve"> N</w:t>
            </w:r>
            <w:r w:rsidR="003D6E20" w:rsidRPr="00550D35">
              <w:rPr>
                <w:sz w:val="20"/>
                <w:lang w:val="lv-LV"/>
              </w:rPr>
              <w:t>ē</w:t>
            </w:r>
          </w:p>
        </w:tc>
      </w:tr>
      <w:tr w:rsidR="003D6E20" w:rsidRPr="003B2E9A" w14:paraId="22964844" w14:textId="77777777" w:rsidTr="00BA62A0">
        <w:tc>
          <w:tcPr>
            <w:tcW w:w="2689" w:type="dxa"/>
            <w:tcBorders>
              <w:top w:val="single" w:sz="4" w:space="0" w:color="auto"/>
              <w:left w:val="single" w:sz="4" w:space="0" w:color="auto"/>
              <w:bottom w:val="single" w:sz="4" w:space="0" w:color="auto"/>
              <w:right w:val="single" w:sz="4" w:space="0" w:color="auto"/>
            </w:tcBorders>
          </w:tcPr>
          <w:p w14:paraId="09972452" w14:textId="77777777" w:rsidR="003D6E20" w:rsidRPr="00550D35" w:rsidRDefault="003D6E20" w:rsidP="00BA62A0">
            <w:pPr>
              <w:ind w:firstLine="0"/>
              <w:jc w:val="left"/>
              <w:rPr>
                <w:b/>
                <w:sz w:val="20"/>
                <w:lang w:val="lv-LV"/>
              </w:rPr>
            </w:pPr>
            <w:r w:rsidRPr="00550D35">
              <w:rPr>
                <w:b/>
                <w:sz w:val="20"/>
                <w:lang w:val="lv-LV"/>
              </w:rPr>
              <w:t>Īss pasākuma apraksts</w:t>
            </w:r>
          </w:p>
        </w:tc>
        <w:tc>
          <w:tcPr>
            <w:tcW w:w="5953" w:type="dxa"/>
            <w:tcBorders>
              <w:top w:val="single" w:sz="4" w:space="0" w:color="auto"/>
              <w:left w:val="single" w:sz="4" w:space="0" w:color="auto"/>
              <w:bottom w:val="single" w:sz="4" w:space="0" w:color="auto"/>
              <w:right w:val="single" w:sz="4" w:space="0" w:color="auto"/>
            </w:tcBorders>
          </w:tcPr>
          <w:p w14:paraId="06591564" w14:textId="77777777" w:rsidR="003D6E20" w:rsidRPr="00E05C5B" w:rsidRDefault="003D6E20" w:rsidP="00BA62A0">
            <w:pPr>
              <w:spacing w:before="0"/>
              <w:ind w:firstLine="0"/>
              <w:rPr>
                <w:sz w:val="20"/>
                <w:lang w:val="lv-LV"/>
              </w:rPr>
            </w:pPr>
            <w:r w:rsidRPr="00D06061">
              <w:rPr>
                <w:sz w:val="20"/>
                <w:lang w:val="lv-LV"/>
              </w:rPr>
              <w:t xml:space="preserve">Visām ārstniecības iestādēm tiks noteiktas vienādas prasības datu ievadei – izstrādāti un publiskoti klasifikatori, datu un tehnoloģiju standarti, obligātās tehniskās un organizatoriskās prasības, procesu, datu un integrācijas </w:t>
            </w:r>
            <w:proofErr w:type="spellStart"/>
            <w:r w:rsidRPr="00D06061">
              <w:rPr>
                <w:sz w:val="20"/>
                <w:lang w:val="lv-LV"/>
              </w:rPr>
              <w:t>saskarņu</w:t>
            </w:r>
            <w:proofErr w:type="spellEnd"/>
            <w:r w:rsidRPr="00D06061">
              <w:rPr>
                <w:sz w:val="20"/>
                <w:lang w:val="lv-LV"/>
              </w:rPr>
              <w:t xml:space="preserve"> apraksti, rokasgrāmatas, un rekomendācijas, kas jāievēro, izstrādājot ārstniecības iestāžu informācijas sistēmas.</w:t>
            </w:r>
            <w:r w:rsidRPr="00D06061">
              <w:rPr>
                <w:sz w:val="20"/>
                <w:lang w:val="lv-LV"/>
              </w:rPr>
              <w:br/>
              <w:t>Šis pasākums nodrošinās, ka dati, kas glabājas lokālajās veselības aprūpes iestāžu informācijas sistēmās, kļūs pieejami pacientiem e-veselības EVK, kā arī citiem digitālās veselības ekosistēmas dalībniekiem. Tas nozīmē, ka pacienti varēs skatīt un pārvaldīt savus veselības datus tiešsaistē un dalīties ar tiem ar citiem veselības aprūpes sniedzējiem.</w:t>
            </w:r>
          </w:p>
        </w:tc>
      </w:tr>
      <w:tr w:rsidR="003D6E20" w:rsidRPr="003B2E9A" w14:paraId="34B220AF"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7A5F0F3F" w14:textId="2259781D" w:rsidR="003D6E20" w:rsidRPr="00550D35" w:rsidRDefault="003D6E20" w:rsidP="00BA62A0">
            <w:pPr>
              <w:spacing w:before="0"/>
              <w:ind w:firstLine="0"/>
              <w:jc w:val="left"/>
              <w:rPr>
                <w:b/>
                <w:bCs/>
                <w:sz w:val="20"/>
                <w:lang w:val="lv-LV"/>
              </w:rPr>
            </w:pPr>
            <w:r w:rsidRPr="00550D35">
              <w:rPr>
                <w:b/>
                <w:bCs/>
                <w:sz w:val="20"/>
                <w:lang w:val="lv-LV"/>
              </w:rPr>
              <w:t>Piešķirtais vai plānotais budžets un, ja atbilstoši, citi resursi</w:t>
            </w:r>
          </w:p>
        </w:tc>
        <w:tc>
          <w:tcPr>
            <w:tcW w:w="5953" w:type="dxa"/>
            <w:tcBorders>
              <w:top w:val="single" w:sz="4" w:space="0" w:color="auto"/>
              <w:left w:val="single" w:sz="4" w:space="0" w:color="auto"/>
              <w:bottom w:val="single" w:sz="4" w:space="0" w:color="auto"/>
              <w:right w:val="single" w:sz="4" w:space="0" w:color="auto"/>
            </w:tcBorders>
          </w:tcPr>
          <w:p w14:paraId="2BD8ED15" w14:textId="77777777" w:rsidR="003D6E20" w:rsidRDefault="003D6E20" w:rsidP="00BA62A0">
            <w:pPr>
              <w:spacing w:before="0"/>
              <w:ind w:firstLine="0"/>
              <w:contextualSpacing/>
              <w:jc w:val="left"/>
              <w:rPr>
                <w:sz w:val="20"/>
                <w:lang w:val="lv-LV"/>
              </w:rPr>
            </w:pPr>
            <w:r w:rsidRPr="00550D35">
              <w:rPr>
                <w:sz w:val="20"/>
                <w:lang w:val="lv-LV"/>
              </w:rPr>
              <w:t>Papildus nepieciešamais valsts budžeta finansējuma apjoms tiks noteikts pasākuma īstenošanas gaitā.</w:t>
            </w:r>
          </w:p>
          <w:p w14:paraId="3C0C0895" w14:textId="77777777" w:rsidR="003D6E20" w:rsidRPr="00985913" w:rsidRDefault="003D6E20" w:rsidP="00BA62A0">
            <w:pPr>
              <w:spacing w:before="0"/>
              <w:ind w:firstLine="0"/>
              <w:contextualSpacing/>
              <w:jc w:val="left"/>
              <w:rPr>
                <w:sz w:val="20"/>
                <w:lang w:val="lv-LV"/>
              </w:rPr>
            </w:pPr>
          </w:p>
        </w:tc>
      </w:tr>
      <w:tr w:rsidR="003D6E20" w:rsidRPr="003B2E9A" w14:paraId="4317FAA0"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309CAA46" w14:textId="77777777" w:rsidR="003D6E20" w:rsidRPr="00550D35" w:rsidRDefault="003D6E20" w:rsidP="00BA62A0">
            <w:pPr>
              <w:spacing w:before="0"/>
              <w:ind w:firstLine="0"/>
              <w:jc w:val="left"/>
              <w:rPr>
                <w:b/>
                <w:bCs/>
                <w:sz w:val="20"/>
                <w:lang w:val="lv-LV"/>
              </w:rPr>
            </w:pPr>
            <w:r w:rsidRPr="00550D35">
              <w:rPr>
                <w:b/>
                <w:bCs/>
                <w:sz w:val="20"/>
                <w:lang w:val="lv-LV"/>
              </w:rPr>
              <w:t>Sagaidāmā ietekme un laika ietvars</w:t>
            </w:r>
          </w:p>
        </w:tc>
        <w:tc>
          <w:tcPr>
            <w:tcW w:w="5953" w:type="dxa"/>
            <w:tcBorders>
              <w:top w:val="single" w:sz="4" w:space="0" w:color="auto"/>
              <w:left w:val="single" w:sz="4" w:space="0" w:color="auto"/>
              <w:bottom w:val="single" w:sz="4" w:space="0" w:color="auto"/>
              <w:right w:val="single" w:sz="4" w:space="0" w:color="auto"/>
            </w:tcBorders>
            <w:hideMark/>
          </w:tcPr>
          <w:p w14:paraId="053D0AF6" w14:textId="529075A3" w:rsidR="003D6E20" w:rsidRPr="00550D35" w:rsidRDefault="00395B3E" w:rsidP="00BA62A0">
            <w:pPr>
              <w:spacing w:before="0"/>
              <w:ind w:firstLine="0"/>
              <w:rPr>
                <w:iCs/>
                <w:sz w:val="20"/>
                <w:lang w:val="lv-LV"/>
              </w:rPr>
            </w:pPr>
            <w:r>
              <w:rPr>
                <w:iCs/>
                <w:sz w:val="20"/>
                <w:lang w:val="lv-LV"/>
              </w:rPr>
              <w:t>P</w:t>
            </w:r>
            <w:r w:rsidR="003D6E20" w:rsidRPr="00550D35">
              <w:rPr>
                <w:iCs/>
                <w:sz w:val="20"/>
                <w:lang w:val="lv-LV"/>
              </w:rPr>
              <w:t>asākums paredz īstenot šādus mērķus:</w:t>
            </w:r>
          </w:p>
          <w:p w14:paraId="11DA3671" w14:textId="2D5961D9" w:rsidR="003D6E20" w:rsidRPr="00550D35" w:rsidRDefault="003D6E20" w:rsidP="00395B3E">
            <w:pPr>
              <w:pStyle w:val="ListParagraph"/>
              <w:numPr>
                <w:ilvl w:val="0"/>
                <w:numId w:val="24"/>
              </w:numPr>
              <w:spacing w:before="0"/>
              <w:ind w:left="360"/>
              <w:contextualSpacing/>
              <w:rPr>
                <w:rFonts w:cs="Times New Roman"/>
                <w:sz w:val="20"/>
                <w:szCs w:val="20"/>
                <w:lang w:val="lv-LV"/>
              </w:rPr>
            </w:pPr>
            <w:r w:rsidRPr="00550D35">
              <w:rPr>
                <w:rFonts w:cs="Times New Roman"/>
                <w:sz w:val="20"/>
                <w:szCs w:val="20"/>
                <w:lang w:val="lv-LV"/>
              </w:rPr>
              <w:t>Situācijas analīze par ārstniecības iestāžu izmantotajām informācijas sistēmām līdz 2023. gada beigām</w:t>
            </w:r>
            <w:r w:rsidR="00395B3E">
              <w:rPr>
                <w:rFonts w:cs="Times New Roman"/>
                <w:sz w:val="20"/>
                <w:szCs w:val="20"/>
                <w:lang w:val="lv-LV"/>
              </w:rPr>
              <w:t>;</w:t>
            </w:r>
          </w:p>
          <w:p w14:paraId="7B6753EE" w14:textId="12D6CBBF" w:rsidR="003D6E20" w:rsidRPr="00550D35" w:rsidRDefault="003D6E20" w:rsidP="00395B3E">
            <w:pPr>
              <w:pStyle w:val="ListParagraph"/>
              <w:numPr>
                <w:ilvl w:val="0"/>
                <w:numId w:val="24"/>
              </w:numPr>
              <w:spacing w:before="0"/>
              <w:ind w:left="360"/>
              <w:contextualSpacing/>
              <w:rPr>
                <w:rFonts w:cs="Times New Roman"/>
                <w:sz w:val="20"/>
                <w:szCs w:val="20"/>
                <w:lang w:val="lv-LV"/>
              </w:rPr>
            </w:pPr>
            <w:r w:rsidRPr="00550D35">
              <w:rPr>
                <w:rFonts w:cs="Times New Roman"/>
                <w:sz w:val="20"/>
                <w:szCs w:val="20"/>
                <w:lang w:val="lv-LV"/>
              </w:rPr>
              <w:t>Testēšanas vides nodrošināšana informācijas sistēmu izstrādātājiem un pārziņiem līdz 2024. gadam</w:t>
            </w:r>
            <w:r w:rsidR="00395B3E">
              <w:rPr>
                <w:rFonts w:cs="Times New Roman"/>
                <w:sz w:val="20"/>
                <w:szCs w:val="20"/>
                <w:lang w:val="lv-LV"/>
              </w:rPr>
              <w:t>;</w:t>
            </w:r>
          </w:p>
          <w:p w14:paraId="460BCB38" w14:textId="35FCFC05" w:rsidR="003D6E20" w:rsidRPr="00550D35" w:rsidRDefault="003D6E20" w:rsidP="00395B3E">
            <w:pPr>
              <w:pStyle w:val="ListParagraph"/>
              <w:numPr>
                <w:ilvl w:val="0"/>
                <w:numId w:val="24"/>
              </w:numPr>
              <w:spacing w:before="0"/>
              <w:ind w:left="360"/>
              <w:contextualSpacing/>
              <w:rPr>
                <w:rFonts w:cs="Times New Roman"/>
                <w:i/>
                <w:sz w:val="20"/>
                <w:szCs w:val="20"/>
                <w:lang w:val="lv-LV"/>
              </w:rPr>
            </w:pPr>
            <w:r w:rsidRPr="00550D35">
              <w:rPr>
                <w:rFonts w:cs="Times New Roman"/>
                <w:sz w:val="20"/>
                <w:szCs w:val="20"/>
                <w:lang w:val="lv-LV"/>
              </w:rPr>
              <w:t>Standartu, klasifikatoru rokasgrāmatu izstrāde un pārņemšana, tiesiskais regulējums līdz 2024. gadam</w:t>
            </w:r>
            <w:r w:rsidR="00395B3E">
              <w:rPr>
                <w:rFonts w:cs="Times New Roman"/>
                <w:sz w:val="20"/>
                <w:szCs w:val="20"/>
                <w:lang w:val="lv-LV"/>
              </w:rPr>
              <w:t>.</w:t>
            </w:r>
          </w:p>
          <w:p w14:paraId="4D8003A0" w14:textId="77777777" w:rsidR="003D6E20" w:rsidRPr="00041643" w:rsidRDefault="003D6E20" w:rsidP="00BA62A0">
            <w:pPr>
              <w:spacing w:before="0"/>
              <w:contextualSpacing/>
              <w:jc w:val="left"/>
              <w:rPr>
                <w:i/>
                <w:iCs/>
                <w:sz w:val="20"/>
                <w:lang w:val="lv-LV"/>
              </w:rPr>
            </w:pPr>
          </w:p>
        </w:tc>
      </w:tr>
    </w:tbl>
    <w:p w14:paraId="09F69C60" w14:textId="77777777" w:rsidR="003D6E20" w:rsidRPr="00550D35" w:rsidRDefault="003D6E20" w:rsidP="003D6E20">
      <w:pPr>
        <w:ind w:firstLine="0"/>
        <w:rPr>
          <w:b/>
          <w:sz w:val="20"/>
          <w:lang w:val="lv-LV"/>
        </w:rPr>
      </w:pPr>
    </w:p>
    <w:tbl>
      <w:tblPr>
        <w:tblStyle w:val="TableGrid"/>
        <w:tblW w:w="8642" w:type="dxa"/>
        <w:tblLook w:val="04A0" w:firstRow="1" w:lastRow="0" w:firstColumn="1" w:lastColumn="0" w:noHBand="0" w:noVBand="1"/>
      </w:tblPr>
      <w:tblGrid>
        <w:gridCol w:w="2689"/>
        <w:gridCol w:w="5953"/>
      </w:tblGrid>
      <w:tr w:rsidR="003D6E20" w:rsidRPr="003B2E9A" w14:paraId="441844CD" w14:textId="77777777" w:rsidTr="00BA62A0">
        <w:tc>
          <w:tcPr>
            <w:tcW w:w="8642" w:type="dxa"/>
            <w:gridSpan w:val="2"/>
            <w:tcBorders>
              <w:top w:val="single" w:sz="4" w:space="0" w:color="auto"/>
              <w:left w:val="single" w:sz="4" w:space="0" w:color="auto"/>
              <w:bottom w:val="single" w:sz="4" w:space="0" w:color="auto"/>
              <w:right w:val="single" w:sz="4" w:space="0" w:color="auto"/>
            </w:tcBorders>
          </w:tcPr>
          <w:p w14:paraId="54D9D6F4" w14:textId="77777777" w:rsidR="003D6E20" w:rsidRPr="00550D35" w:rsidRDefault="003D6E20" w:rsidP="00BA62A0">
            <w:pPr>
              <w:spacing w:before="0"/>
              <w:ind w:firstLine="0"/>
              <w:jc w:val="left"/>
              <w:rPr>
                <w:sz w:val="20"/>
                <w:lang w:val="lv-LV"/>
              </w:rPr>
            </w:pPr>
            <w:r w:rsidRPr="00550D35">
              <w:rPr>
                <w:b/>
                <w:sz w:val="20"/>
                <w:lang w:val="lv-LV"/>
              </w:rPr>
              <w:t xml:space="preserve">Pasākums Nr. 4 – Nodrošināt ārstniecības datu apkopošanu EVK un to centralizētu pieejamību pacientam </w:t>
            </w:r>
          </w:p>
        </w:tc>
      </w:tr>
      <w:tr w:rsidR="003D6E20" w:rsidRPr="00550D35" w14:paraId="0EB7B978"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72145778" w14:textId="77777777" w:rsidR="003D6E20" w:rsidRPr="00550D35" w:rsidRDefault="003D6E20" w:rsidP="00BA62A0">
            <w:pPr>
              <w:spacing w:before="0"/>
              <w:ind w:firstLine="0"/>
              <w:jc w:val="left"/>
              <w:rPr>
                <w:b/>
                <w:bCs/>
                <w:sz w:val="20"/>
                <w:lang w:val="lv-LV"/>
              </w:rPr>
            </w:pPr>
            <w:r w:rsidRPr="00550D35">
              <w:rPr>
                <w:b/>
                <w:bCs/>
                <w:sz w:val="20"/>
                <w:lang w:val="lv-LV"/>
              </w:rPr>
              <w:lastRenderedPageBreak/>
              <w:t>Jauns pasākums</w:t>
            </w:r>
          </w:p>
        </w:tc>
        <w:tc>
          <w:tcPr>
            <w:tcW w:w="5953" w:type="dxa"/>
            <w:tcBorders>
              <w:top w:val="single" w:sz="4" w:space="0" w:color="auto"/>
              <w:left w:val="single" w:sz="4" w:space="0" w:color="auto"/>
              <w:bottom w:val="single" w:sz="4" w:space="0" w:color="auto"/>
              <w:right w:val="single" w:sz="4" w:space="0" w:color="auto"/>
            </w:tcBorders>
          </w:tcPr>
          <w:p w14:paraId="116C7F1F" w14:textId="77777777" w:rsidR="003D6E20" w:rsidRPr="00550D35" w:rsidRDefault="00AC141D" w:rsidP="00BA62A0">
            <w:pPr>
              <w:spacing w:before="0" w:after="0"/>
              <w:ind w:firstLine="0"/>
              <w:jc w:val="left"/>
              <w:rPr>
                <w:sz w:val="20"/>
                <w:lang w:val="lv-LV"/>
              </w:rPr>
            </w:pPr>
            <w:sdt>
              <w:sdtPr>
                <w:rPr>
                  <w:sz w:val="20"/>
                  <w:lang w:val="lv-LV"/>
                </w:rPr>
                <w:id w:val="-279807435"/>
                <w14:checkbox>
                  <w14:checked w14:val="0"/>
                  <w14:checkedState w14:val="2612" w14:font="MS Gothic"/>
                  <w14:uncheckedState w14:val="2610" w14:font="MS Gothic"/>
                </w14:checkbox>
              </w:sdtPr>
              <w:sdtEndPr/>
              <w:sdtContent>
                <w:r w:rsidR="003D6E20" w:rsidRPr="00550D35">
                  <w:rPr>
                    <w:rFonts w:ascii="MS Gothic" w:eastAsia="MS Gothic" w:hAnsi="MS Gothic"/>
                    <w:sz w:val="20"/>
                    <w:lang w:val="lv-LV"/>
                  </w:rPr>
                  <w:t>☐</w:t>
                </w:r>
              </w:sdtContent>
            </w:sdt>
            <w:r w:rsidR="003D6E20" w:rsidRPr="00550D35">
              <w:rPr>
                <w:rFonts w:eastAsia="MS Minngs"/>
                <w:sz w:val="20"/>
                <w:lang w:val="lv-LV"/>
              </w:rPr>
              <w:t xml:space="preserve"> </w:t>
            </w:r>
            <w:r w:rsidR="003D6E20" w:rsidRPr="00550D35">
              <w:rPr>
                <w:sz w:val="20"/>
                <w:lang w:val="lv-LV"/>
              </w:rPr>
              <w:t>Jā</w:t>
            </w:r>
          </w:p>
          <w:p w14:paraId="0A558ABA" w14:textId="77777777" w:rsidR="003D6E20" w:rsidRPr="00550D35" w:rsidRDefault="003D6E20" w:rsidP="00BA62A0">
            <w:pPr>
              <w:pStyle w:val="ListParagraph"/>
              <w:spacing w:before="0"/>
              <w:ind w:left="0" w:firstLine="0"/>
              <w:jc w:val="left"/>
              <w:rPr>
                <w:rFonts w:cs="Times New Roman"/>
                <w:sz w:val="20"/>
                <w:szCs w:val="20"/>
                <w:lang w:val="lv-LV"/>
              </w:rPr>
            </w:pPr>
            <w:r w:rsidRPr="00550D35">
              <w:rPr>
                <w:rFonts w:ascii="Segoe UI Symbol" w:hAnsi="Segoe UI Symbol" w:cs="Segoe UI Symbol"/>
                <w:sz w:val="20"/>
                <w:lang w:val="lv-LV"/>
              </w:rPr>
              <w:t>☒</w:t>
            </w:r>
            <w:r w:rsidRPr="00550D35">
              <w:rPr>
                <w:rFonts w:eastAsia="MS Minngs"/>
                <w:sz w:val="20"/>
                <w:szCs w:val="20"/>
                <w:lang w:val="lv-LV"/>
              </w:rPr>
              <w:t>N</w:t>
            </w:r>
            <w:r w:rsidRPr="00550D35">
              <w:rPr>
                <w:sz w:val="20"/>
                <w:szCs w:val="20"/>
                <w:lang w:val="lv-LV"/>
              </w:rPr>
              <w:t>ē</w:t>
            </w:r>
            <w:r w:rsidRPr="00550D35">
              <w:rPr>
                <w:rFonts w:cs="Times New Roman"/>
                <w:sz w:val="20"/>
                <w:szCs w:val="20"/>
                <w:lang w:val="lv-LV"/>
              </w:rPr>
              <w:t xml:space="preserve"> </w:t>
            </w:r>
          </w:p>
        </w:tc>
      </w:tr>
      <w:tr w:rsidR="003D6E20" w:rsidRPr="003B2E9A" w14:paraId="301CCC98" w14:textId="77777777" w:rsidTr="00BA62A0">
        <w:tc>
          <w:tcPr>
            <w:tcW w:w="2689" w:type="dxa"/>
            <w:tcBorders>
              <w:top w:val="single" w:sz="4" w:space="0" w:color="auto"/>
              <w:left w:val="single" w:sz="4" w:space="0" w:color="auto"/>
              <w:bottom w:val="single" w:sz="4" w:space="0" w:color="auto"/>
              <w:right w:val="single" w:sz="4" w:space="0" w:color="auto"/>
            </w:tcBorders>
          </w:tcPr>
          <w:p w14:paraId="3952F767" w14:textId="77777777" w:rsidR="003D6E20" w:rsidRPr="00550D35" w:rsidRDefault="003D6E20" w:rsidP="00BA62A0">
            <w:pPr>
              <w:spacing w:after="0"/>
              <w:ind w:firstLine="0"/>
              <w:rPr>
                <w:i/>
                <w:iCs/>
                <w:sz w:val="20"/>
                <w:lang w:val="lv-LV"/>
              </w:rPr>
            </w:pPr>
            <w:r w:rsidRPr="00550D35">
              <w:rPr>
                <w:b/>
                <w:i/>
                <w:iCs/>
                <w:sz w:val="20"/>
                <w:lang w:val="lv-LV"/>
              </w:rPr>
              <w:br/>
            </w:r>
          </w:p>
          <w:p w14:paraId="3EE9F6D8" w14:textId="77777777" w:rsidR="003D6E20" w:rsidRPr="00550D35" w:rsidRDefault="003D6E20" w:rsidP="00BA62A0">
            <w:pPr>
              <w:ind w:firstLine="0"/>
              <w:jc w:val="left"/>
              <w:rPr>
                <w:b/>
                <w:sz w:val="20"/>
                <w:lang w:val="lv-LV"/>
              </w:rPr>
            </w:pPr>
          </w:p>
        </w:tc>
        <w:tc>
          <w:tcPr>
            <w:tcW w:w="5953" w:type="dxa"/>
            <w:tcBorders>
              <w:top w:val="single" w:sz="4" w:space="0" w:color="auto"/>
              <w:left w:val="single" w:sz="4" w:space="0" w:color="auto"/>
              <w:bottom w:val="single" w:sz="4" w:space="0" w:color="auto"/>
              <w:right w:val="single" w:sz="4" w:space="0" w:color="auto"/>
            </w:tcBorders>
          </w:tcPr>
          <w:p w14:paraId="30AFA0CD" w14:textId="572B3EA5" w:rsidR="003D6E20" w:rsidRPr="00550D35" w:rsidRDefault="003D6E20" w:rsidP="00BA62A0">
            <w:pPr>
              <w:spacing w:before="0"/>
              <w:ind w:firstLine="0"/>
              <w:rPr>
                <w:sz w:val="20"/>
                <w:lang w:val="lv-LV"/>
              </w:rPr>
            </w:pPr>
            <w:r w:rsidRPr="00550D35">
              <w:rPr>
                <w:sz w:val="20"/>
                <w:lang w:val="lv-LV"/>
              </w:rPr>
              <w:t xml:space="preserve">EVK tiks nodrošināta ārstniecības un slimību profilakses procesam būtisko personas veselības datu pieejamība, tai skaitā, pamatdati (informācija par alerģijām un nepanesību, diagnosticētās slimības, kā arī ķirurģiskās procedūras). Tiks strādāts pie tā, lai EVK būtu pieejami šādi dati: laboratorisko izmeklējumu nosūtījumi un rezultāti, tai skaitā vizuālās diagnostikas izmeklējumu rezultāti, visu vakcināciju dati, nosūtījumi uz pārējiem veselības aprūpes pakalpojumiem un to rezultāti, steidzamais paziņojums par diagnosticētu infekcijas slimību,  LM nodrošināto tehnisko palīglīdzekļu saņemšanai nepieciešamie dati, </w:t>
            </w:r>
            <w:proofErr w:type="spellStart"/>
            <w:r w:rsidRPr="00550D35">
              <w:rPr>
                <w:sz w:val="20"/>
                <w:lang w:val="lv-LV"/>
              </w:rPr>
              <w:t>epikrīze</w:t>
            </w:r>
            <w:proofErr w:type="spellEnd"/>
            <w:r w:rsidRPr="00550D35">
              <w:rPr>
                <w:sz w:val="20"/>
                <w:lang w:val="lv-LV"/>
              </w:rPr>
              <w:t xml:space="preserve">, medicīniskā apliecība par dzimšanu, dati par personas asins grupu un rēzus faktoru , vēža </w:t>
            </w:r>
            <w:proofErr w:type="spellStart"/>
            <w:r w:rsidRPr="00550D35">
              <w:rPr>
                <w:sz w:val="20"/>
                <w:lang w:val="lv-LV"/>
              </w:rPr>
              <w:t>skrīninga</w:t>
            </w:r>
            <w:proofErr w:type="spellEnd"/>
            <w:r w:rsidRPr="00550D35">
              <w:rPr>
                <w:sz w:val="20"/>
                <w:lang w:val="lv-LV"/>
              </w:rPr>
              <w:t xml:space="preserve"> dati, obligāto veselības pārbaužu rezultāti, zobārstniecības dati, mātes pase, ārstēšanas, t.sk.</w:t>
            </w:r>
            <w:r w:rsidR="004E199D">
              <w:rPr>
                <w:sz w:val="20"/>
                <w:lang w:val="lv-LV"/>
              </w:rPr>
              <w:t xml:space="preserve"> </w:t>
            </w:r>
            <w:r w:rsidRPr="00550D35">
              <w:rPr>
                <w:sz w:val="20"/>
                <w:lang w:val="lv-LV"/>
              </w:rPr>
              <w:t>rehabilitācijas plāns, nosūtījums uz Valsts darba ekspertīzes ārstu komisija, informācija par veselības aprūpes pakalpojumu izmaksām no valsts budžeta.</w:t>
            </w:r>
          </w:p>
          <w:p w14:paraId="5CB89444" w14:textId="77777777" w:rsidR="003D6E20" w:rsidRPr="00550D35" w:rsidRDefault="003D6E20" w:rsidP="00BA62A0">
            <w:pPr>
              <w:spacing w:before="0"/>
              <w:ind w:firstLine="0"/>
              <w:rPr>
                <w:sz w:val="20"/>
                <w:lang w:val="lv-LV"/>
              </w:rPr>
            </w:pPr>
            <w:r w:rsidRPr="00550D35">
              <w:rPr>
                <w:sz w:val="20"/>
                <w:lang w:val="lv-LV"/>
              </w:rPr>
              <w:t>Šis pasākums nodrošinās, ka pacientiem un ārstniecības personām e-veselības sistēmā būs pieeja plašam veselības datu klāstam.</w:t>
            </w:r>
          </w:p>
        </w:tc>
      </w:tr>
      <w:tr w:rsidR="003D6E20" w:rsidRPr="003B2E9A" w14:paraId="351C73BC"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5BE1BF87" w14:textId="08AF584E" w:rsidR="003D6E20" w:rsidRPr="00550D35" w:rsidRDefault="003D6E20" w:rsidP="00BA62A0">
            <w:pPr>
              <w:spacing w:before="0"/>
              <w:ind w:firstLine="0"/>
              <w:jc w:val="left"/>
              <w:rPr>
                <w:b/>
                <w:bCs/>
                <w:sz w:val="20"/>
                <w:lang w:val="lv-LV"/>
              </w:rPr>
            </w:pPr>
            <w:r w:rsidRPr="00550D35">
              <w:rPr>
                <w:b/>
                <w:bCs/>
                <w:sz w:val="20"/>
                <w:lang w:val="lv-LV"/>
              </w:rPr>
              <w:t>Piešķirtais vai plānotais budžets un, ja atbilstoši, citi resursi</w:t>
            </w:r>
          </w:p>
        </w:tc>
        <w:tc>
          <w:tcPr>
            <w:tcW w:w="5953" w:type="dxa"/>
            <w:tcBorders>
              <w:top w:val="single" w:sz="4" w:space="0" w:color="auto"/>
              <w:left w:val="single" w:sz="4" w:space="0" w:color="auto"/>
              <w:bottom w:val="single" w:sz="4" w:space="0" w:color="auto"/>
              <w:right w:val="single" w:sz="4" w:space="0" w:color="auto"/>
            </w:tcBorders>
          </w:tcPr>
          <w:p w14:paraId="7E7D95DA" w14:textId="77777777" w:rsidR="003D6E20" w:rsidRPr="00550D35" w:rsidRDefault="003D6E20" w:rsidP="00BA62A0">
            <w:pPr>
              <w:spacing w:before="0"/>
              <w:ind w:firstLine="0"/>
              <w:contextualSpacing/>
              <w:rPr>
                <w:b/>
                <w:bCs/>
                <w:sz w:val="20"/>
                <w:lang w:val="lv-LV"/>
              </w:rPr>
            </w:pPr>
            <w:r w:rsidRPr="00550D35">
              <w:rPr>
                <w:sz w:val="20"/>
                <w:lang w:val="lv-LV"/>
              </w:rPr>
              <w:t>Papildus nepieciešamais valsts budžeta finansējuma apjoms tiks noteikts pasākuma īstenošanas gaitā.</w:t>
            </w:r>
          </w:p>
          <w:p w14:paraId="32EAB70B" w14:textId="77777777" w:rsidR="003D6E20" w:rsidRPr="00550D35" w:rsidRDefault="003D6E20" w:rsidP="00BA62A0">
            <w:pPr>
              <w:spacing w:before="0"/>
              <w:ind w:firstLine="0"/>
              <w:contextualSpacing/>
              <w:rPr>
                <w:b/>
                <w:bCs/>
                <w:sz w:val="20"/>
                <w:lang w:val="lv-LV"/>
              </w:rPr>
            </w:pPr>
          </w:p>
          <w:p w14:paraId="717CFBBB" w14:textId="77777777" w:rsidR="003D6E20" w:rsidRPr="00550D35" w:rsidRDefault="003D6E20" w:rsidP="00BA62A0">
            <w:pPr>
              <w:spacing w:before="0"/>
              <w:ind w:firstLine="0"/>
              <w:contextualSpacing/>
              <w:rPr>
                <w:sz w:val="20"/>
                <w:lang w:val="lv-LV"/>
              </w:rPr>
            </w:pPr>
            <w:r w:rsidRPr="00550D35">
              <w:rPr>
                <w:b/>
                <w:bCs/>
                <w:sz w:val="20"/>
                <w:lang w:val="lv-LV"/>
              </w:rPr>
              <w:t>1. fāze:</w:t>
            </w:r>
            <w:r w:rsidRPr="00550D35">
              <w:rPr>
                <w:sz w:val="20"/>
                <w:lang w:val="lv-LV"/>
              </w:rPr>
              <w:t xml:space="preserve"> ES Kohēzijas politikas programmas 2021.-2027. gadam </w:t>
            </w:r>
            <w:r>
              <w:rPr>
                <w:sz w:val="20"/>
                <w:lang w:val="lv-LV"/>
              </w:rPr>
              <w:t xml:space="preserve">pasākuma </w:t>
            </w:r>
            <w:r w:rsidRPr="00550D35">
              <w:rPr>
                <w:sz w:val="20"/>
                <w:lang w:val="lv-LV"/>
              </w:rPr>
              <w:t xml:space="preserve">4.1.1. “Nodrošināt vienlīdzīgu piekļuvi veselības aprūpei un stiprināt veselības sistēmu, tostarp primārās veselības aprūpes noturību” 4.1.1.4.pasākuma “Veselības aprūpes pārvaldības sistēmas stiprināšana un </w:t>
            </w:r>
            <w:proofErr w:type="spellStart"/>
            <w:r w:rsidRPr="00550D35">
              <w:rPr>
                <w:sz w:val="20"/>
                <w:lang w:val="lv-LV"/>
              </w:rPr>
              <w:t>digitalizācija</w:t>
            </w:r>
            <w:proofErr w:type="spellEnd"/>
            <w:r w:rsidRPr="00550D35">
              <w:rPr>
                <w:sz w:val="20"/>
                <w:lang w:val="lv-LV"/>
              </w:rPr>
              <w:t>, attīstot digitālos risinājumus” indikatīvs finansējums – 3 milj. </w:t>
            </w:r>
            <w:proofErr w:type="spellStart"/>
            <w:r w:rsidRPr="00550D35">
              <w:rPr>
                <w:i/>
                <w:sz w:val="20"/>
                <w:lang w:val="lv-LV"/>
              </w:rPr>
              <w:t>euro</w:t>
            </w:r>
            <w:proofErr w:type="spellEnd"/>
            <w:r w:rsidRPr="00550D35">
              <w:rPr>
                <w:sz w:val="20"/>
                <w:lang w:val="lv-LV"/>
              </w:rPr>
              <w:t>.</w:t>
            </w:r>
          </w:p>
          <w:p w14:paraId="62D233DC" w14:textId="77777777" w:rsidR="003D6E20" w:rsidRPr="00550D35" w:rsidRDefault="003D6E20" w:rsidP="00BA62A0">
            <w:pPr>
              <w:spacing w:before="0"/>
              <w:ind w:firstLine="0"/>
              <w:contextualSpacing/>
              <w:rPr>
                <w:sz w:val="20"/>
                <w:lang w:val="lv-LV"/>
              </w:rPr>
            </w:pPr>
            <w:r w:rsidRPr="00550D35">
              <w:rPr>
                <w:b/>
                <w:bCs/>
                <w:sz w:val="20"/>
                <w:lang w:val="lv-LV"/>
              </w:rPr>
              <w:t>2. fāze:</w:t>
            </w:r>
            <w:r w:rsidRPr="00550D35">
              <w:rPr>
                <w:sz w:val="20"/>
                <w:lang w:val="lv-LV"/>
              </w:rPr>
              <w:t xml:space="preserve"> ES Kohēzijas politikas programmas 2021.-2027. gadam </w:t>
            </w:r>
            <w:r>
              <w:rPr>
                <w:sz w:val="20"/>
                <w:lang w:val="lv-LV"/>
              </w:rPr>
              <w:t xml:space="preserve">pasākuma </w:t>
            </w:r>
            <w:r w:rsidRPr="00550D35">
              <w:rPr>
                <w:sz w:val="20"/>
                <w:lang w:val="lv-LV"/>
              </w:rPr>
              <w:t xml:space="preserve">4.1.1. “Nodrošināt vienlīdzīgu piekļuvi veselības aprūpei un stiprināt veselības sistēmu, tostarp primārās veselības aprūpes noturību” 4.1.1.4.pasākuma “Veselības aprūpes pārvaldības sistēmas stiprināšana un </w:t>
            </w:r>
            <w:proofErr w:type="spellStart"/>
            <w:r w:rsidRPr="00550D35">
              <w:rPr>
                <w:sz w:val="20"/>
                <w:lang w:val="lv-LV"/>
              </w:rPr>
              <w:t>digitalizācija</w:t>
            </w:r>
            <w:proofErr w:type="spellEnd"/>
            <w:r w:rsidRPr="00550D35">
              <w:rPr>
                <w:sz w:val="20"/>
                <w:lang w:val="lv-LV"/>
              </w:rPr>
              <w:t>, attīstot digitālos risinājumus” indikatīvais finansējums – 3 milj. </w:t>
            </w:r>
            <w:proofErr w:type="spellStart"/>
            <w:r w:rsidRPr="00550D35">
              <w:rPr>
                <w:i/>
                <w:sz w:val="20"/>
                <w:lang w:val="lv-LV"/>
              </w:rPr>
              <w:t>euro</w:t>
            </w:r>
            <w:proofErr w:type="spellEnd"/>
            <w:r w:rsidRPr="00550D35">
              <w:rPr>
                <w:sz w:val="20"/>
                <w:lang w:val="lv-LV"/>
              </w:rPr>
              <w:t>.</w:t>
            </w:r>
          </w:p>
        </w:tc>
      </w:tr>
      <w:tr w:rsidR="003D6E20" w:rsidRPr="003B2E9A" w14:paraId="7A363AD6"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1F90D3F5" w14:textId="77777777" w:rsidR="003D6E20" w:rsidRPr="00550D35" w:rsidRDefault="003D6E20" w:rsidP="00BA62A0">
            <w:pPr>
              <w:spacing w:before="0"/>
              <w:ind w:firstLine="0"/>
              <w:jc w:val="left"/>
              <w:rPr>
                <w:b/>
                <w:bCs/>
                <w:sz w:val="20"/>
                <w:lang w:val="lv-LV"/>
              </w:rPr>
            </w:pPr>
            <w:r w:rsidRPr="00550D35">
              <w:rPr>
                <w:b/>
                <w:bCs/>
                <w:sz w:val="20"/>
                <w:lang w:val="lv-LV"/>
              </w:rPr>
              <w:t>Sagaidāmā ietekme un laika ietvars</w:t>
            </w:r>
          </w:p>
        </w:tc>
        <w:tc>
          <w:tcPr>
            <w:tcW w:w="5953" w:type="dxa"/>
            <w:tcBorders>
              <w:top w:val="single" w:sz="4" w:space="0" w:color="auto"/>
              <w:left w:val="single" w:sz="4" w:space="0" w:color="auto"/>
              <w:bottom w:val="single" w:sz="4" w:space="0" w:color="auto"/>
              <w:right w:val="single" w:sz="4" w:space="0" w:color="auto"/>
            </w:tcBorders>
            <w:hideMark/>
          </w:tcPr>
          <w:p w14:paraId="12201D9F" w14:textId="77777777" w:rsidR="003D6E20" w:rsidRPr="00550D35" w:rsidRDefault="003D6E20" w:rsidP="00BA62A0">
            <w:pPr>
              <w:spacing w:before="0"/>
              <w:ind w:firstLine="0"/>
              <w:rPr>
                <w:iCs/>
                <w:sz w:val="20"/>
                <w:lang w:val="lv-LV"/>
              </w:rPr>
            </w:pPr>
            <w:r w:rsidRPr="00550D35">
              <w:rPr>
                <w:iCs/>
                <w:sz w:val="20"/>
                <w:lang w:val="lv-LV"/>
              </w:rPr>
              <w:t>Pasākuma ietvaros paredzēts īstenot šādus mērķus:</w:t>
            </w:r>
          </w:p>
          <w:p w14:paraId="751D1867" w14:textId="4E311C36" w:rsidR="003D6E20" w:rsidRPr="00550D35" w:rsidRDefault="003D6E20" w:rsidP="000772E3">
            <w:pPr>
              <w:pStyle w:val="ListParagraph"/>
              <w:numPr>
                <w:ilvl w:val="0"/>
                <w:numId w:val="24"/>
              </w:numPr>
              <w:spacing w:before="0"/>
              <w:ind w:left="360"/>
              <w:contextualSpacing/>
              <w:rPr>
                <w:rFonts w:cs="Times New Roman"/>
                <w:iCs/>
                <w:sz w:val="20"/>
                <w:szCs w:val="20"/>
                <w:lang w:val="lv-LV"/>
              </w:rPr>
            </w:pPr>
            <w:r w:rsidRPr="00550D35">
              <w:rPr>
                <w:rFonts w:cs="Times New Roman"/>
                <w:iCs/>
                <w:sz w:val="20"/>
                <w:szCs w:val="20"/>
                <w:lang w:val="lv-LV"/>
              </w:rPr>
              <w:t xml:space="preserve">No 2024. gada EVK būs pieejami šādi dati: laboratorisko izmeklējumu </w:t>
            </w:r>
            <w:r w:rsidR="005E0F54" w:rsidRPr="00550D35">
              <w:rPr>
                <w:rFonts w:cs="Times New Roman"/>
                <w:iCs/>
                <w:sz w:val="20"/>
                <w:szCs w:val="20"/>
                <w:lang w:val="lv-LV"/>
              </w:rPr>
              <w:t>rezultātu</w:t>
            </w:r>
            <w:r w:rsidRPr="00550D35">
              <w:rPr>
                <w:rFonts w:cs="Times New Roman"/>
                <w:iCs/>
                <w:sz w:val="20"/>
                <w:szCs w:val="20"/>
                <w:lang w:val="lv-LV"/>
              </w:rPr>
              <w:t xml:space="preserve"> dati, steidzamais paziņojums par diagnosticētu infekcijas slimību, a</w:t>
            </w:r>
            <w:r w:rsidRPr="00550D35">
              <w:rPr>
                <w:iCs/>
                <w:sz w:val="20"/>
                <w:lang w:val="lv-LV"/>
              </w:rPr>
              <w:t>tzinums tehniskā palīglīdzekļa saņemšanai, visu vakcināciju dati.</w:t>
            </w:r>
          </w:p>
          <w:p w14:paraId="783E17BB" w14:textId="77777777" w:rsidR="003D6E20" w:rsidRPr="00550D35" w:rsidRDefault="003D6E20" w:rsidP="000772E3">
            <w:pPr>
              <w:pStyle w:val="ListParagraph"/>
              <w:numPr>
                <w:ilvl w:val="0"/>
                <w:numId w:val="24"/>
              </w:numPr>
              <w:spacing w:before="0"/>
              <w:ind w:left="360"/>
              <w:contextualSpacing/>
              <w:rPr>
                <w:rFonts w:cs="Times New Roman"/>
                <w:iCs/>
                <w:sz w:val="20"/>
                <w:szCs w:val="20"/>
                <w:lang w:val="lv-LV"/>
              </w:rPr>
            </w:pPr>
            <w:r w:rsidRPr="00550D35">
              <w:rPr>
                <w:rFonts w:cs="Times New Roman"/>
                <w:iCs/>
                <w:sz w:val="20"/>
                <w:szCs w:val="20"/>
                <w:lang w:val="lv-LV"/>
              </w:rPr>
              <w:t>No 2025. gada būs pieejami šādi dati: e-nosūtījumi, ārstu slēdzieni</w:t>
            </w:r>
          </w:p>
          <w:p w14:paraId="01216BEE" w14:textId="6FA43CF7" w:rsidR="003D6E20" w:rsidRPr="00550D35" w:rsidRDefault="003D6E20" w:rsidP="000772E3">
            <w:pPr>
              <w:pStyle w:val="ListParagraph"/>
              <w:numPr>
                <w:ilvl w:val="0"/>
                <w:numId w:val="24"/>
              </w:numPr>
              <w:spacing w:before="0"/>
              <w:ind w:left="360"/>
              <w:contextualSpacing/>
              <w:jc w:val="left"/>
              <w:rPr>
                <w:rFonts w:cs="Times New Roman"/>
                <w:iCs/>
                <w:sz w:val="20"/>
                <w:szCs w:val="20"/>
                <w:lang w:val="lv-LV"/>
              </w:rPr>
            </w:pPr>
            <w:r w:rsidRPr="00550D35">
              <w:rPr>
                <w:rFonts w:cs="Times New Roman"/>
                <w:iCs/>
                <w:sz w:val="20"/>
                <w:szCs w:val="20"/>
                <w:lang w:val="lv-LV"/>
              </w:rPr>
              <w:t>Pārēj</w:t>
            </w:r>
            <w:r w:rsidR="005E0F54">
              <w:rPr>
                <w:rFonts w:cs="Times New Roman"/>
                <w:iCs/>
                <w:sz w:val="20"/>
                <w:szCs w:val="20"/>
                <w:lang w:val="lv-LV"/>
              </w:rPr>
              <w:t>ie</w:t>
            </w:r>
            <w:r w:rsidRPr="00550D35">
              <w:rPr>
                <w:rFonts w:cs="Times New Roman"/>
                <w:iCs/>
                <w:sz w:val="20"/>
                <w:szCs w:val="20"/>
                <w:lang w:val="lv-LV"/>
              </w:rPr>
              <w:t xml:space="preserve"> iepriekš minētie dati EVK būs pieejami līdz 2029. gadam.</w:t>
            </w:r>
          </w:p>
        </w:tc>
      </w:tr>
    </w:tbl>
    <w:p w14:paraId="0D7C187C" w14:textId="77777777" w:rsidR="003D6E20" w:rsidRPr="00550D35" w:rsidRDefault="003D6E20" w:rsidP="003D6E20">
      <w:pPr>
        <w:pStyle w:val="Text3"/>
        <w:ind w:left="0" w:firstLine="0"/>
        <w:rPr>
          <w:lang w:val="lv-LV"/>
        </w:rPr>
      </w:pPr>
    </w:p>
    <w:tbl>
      <w:tblPr>
        <w:tblStyle w:val="TableGrid"/>
        <w:tblW w:w="8642" w:type="dxa"/>
        <w:tblLook w:val="04A0" w:firstRow="1" w:lastRow="0" w:firstColumn="1" w:lastColumn="0" w:noHBand="0" w:noVBand="1"/>
      </w:tblPr>
      <w:tblGrid>
        <w:gridCol w:w="2689"/>
        <w:gridCol w:w="5953"/>
      </w:tblGrid>
      <w:tr w:rsidR="003D6E20" w:rsidRPr="003B2E9A" w14:paraId="3809D2B2" w14:textId="77777777" w:rsidTr="00BA62A0">
        <w:tc>
          <w:tcPr>
            <w:tcW w:w="8642" w:type="dxa"/>
            <w:gridSpan w:val="2"/>
            <w:tcBorders>
              <w:top w:val="single" w:sz="4" w:space="0" w:color="auto"/>
              <w:left w:val="single" w:sz="4" w:space="0" w:color="auto"/>
              <w:bottom w:val="single" w:sz="4" w:space="0" w:color="auto"/>
              <w:right w:val="single" w:sz="4" w:space="0" w:color="auto"/>
            </w:tcBorders>
            <w:shd w:val="clear" w:color="auto" w:fill="auto"/>
          </w:tcPr>
          <w:p w14:paraId="6CC40BE9" w14:textId="77777777" w:rsidR="003D6E20" w:rsidRPr="00550D35" w:rsidRDefault="003D6E20" w:rsidP="00BA62A0">
            <w:pPr>
              <w:spacing w:before="0"/>
              <w:ind w:firstLine="0"/>
              <w:rPr>
                <w:sz w:val="20"/>
                <w:lang w:val="lv-LV"/>
              </w:rPr>
            </w:pPr>
            <w:r w:rsidRPr="00550D35">
              <w:rPr>
                <w:b/>
                <w:sz w:val="20"/>
                <w:lang w:val="lv-LV"/>
              </w:rPr>
              <w:t xml:space="preserve">Pasākums Nr.5 – </w:t>
            </w:r>
            <w:r w:rsidRPr="00550D35">
              <w:rPr>
                <w:b/>
                <w:bCs/>
                <w:sz w:val="20"/>
                <w:lang w:val="lv-LV"/>
              </w:rPr>
              <w:t>Pilnveidot veselības nozarē strādājošo digitālās prasmes un zināšanas un veicināt  digitālās veselības pakalpojumu izmantošanu sabiedrībā</w:t>
            </w:r>
          </w:p>
        </w:tc>
      </w:tr>
      <w:tr w:rsidR="003D6E20" w:rsidRPr="00550D35" w14:paraId="639CF2FC"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6BE4C39D" w14:textId="77777777" w:rsidR="003D6E20" w:rsidRPr="00550D35" w:rsidRDefault="003D6E20" w:rsidP="00BA62A0">
            <w:pPr>
              <w:spacing w:before="0"/>
              <w:ind w:firstLine="0"/>
              <w:rPr>
                <w:b/>
                <w:bCs/>
                <w:sz w:val="20"/>
                <w:lang w:val="lv-LV"/>
              </w:rPr>
            </w:pPr>
            <w:r w:rsidRPr="00550D35">
              <w:rPr>
                <w:b/>
                <w:bCs/>
                <w:sz w:val="20"/>
                <w:lang w:val="lv-LV"/>
              </w:rPr>
              <w:t>Jauns pasākums</w:t>
            </w:r>
          </w:p>
        </w:tc>
        <w:tc>
          <w:tcPr>
            <w:tcW w:w="5953" w:type="dxa"/>
            <w:tcBorders>
              <w:top w:val="single" w:sz="4" w:space="0" w:color="auto"/>
              <w:left w:val="single" w:sz="4" w:space="0" w:color="auto"/>
              <w:bottom w:val="single" w:sz="4" w:space="0" w:color="auto"/>
              <w:right w:val="single" w:sz="4" w:space="0" w:color="auto"/>
            </w:tcBorders>
          </w:tcPr>
          <w:p w14:paraId="42314CC8" w14:textId="77777777" w:rsidR="003D6E20" w:rsidRPr="00550D35" w:rsidRDefault="00AC141D" w:rsidP="00BA62A0">
            <w:pPr>
              <w:spacing w:before="0"/>
              <w:ind w:firstLine="0"/>
              <w:rPr>
                <w:sz w:val="20"/>
                <w:lang w:val="lv-LV"/>
              </w:rPr>
            </w:pPr>
            <w:sdt>
              <w:sdtPr>
                <w:rPr>
                  <w:sz w:val="20"/>
                  <w:lang w:val="lv-LV"/>
                </w:rPr>
                <w:id w:val="-1646967537"/>
                <w14:checkbox>
                  <w14:checked w14:val="0"/>
                  <w14:checkedState w14:val="2612" w14:font="MS Gothic"/>
                  <w14:uncheckedState w14:val="2610" w14:font="MS Gothic"/>
                </w14:checkbox>
              </w:sdtPr>
              <w:sdtEndPr/>
              <w:sdtContent>
                <w:r w:rsidR="003D6E20" w:rsidRPr="00550D35">
                  <w:rPr>
                    <w:rFonts w:ascii="Segoe UI Symbol" w:eastAsia="MS Gothic" w:hAnsi="Segoe UI Symbol" w:cs="Segoe UI Symbol"/>
                    <w:sz w:val="20"/>
                    <w:lang w:val="lv-LV"/>
                  </w:rPr>
                  <w:t>☐</w:t>
                </w:r>
              </w:sdtContent>
            </w:sdt>
            <w:r w:rsidR="003D6E20" w:rsidRPr="00550D35">
              <w:rPr>
                <w:rFonts w:eastAsia="MS Minngs"/>
                <w:sz w:val="20"/>
                <w:lang w:val="lv-LV"/>
              </w:rPr>
              <w:t xml:space="preserve"> </w:t>
            </w:r>
            <w:r w:rsidR="003D6E20" w:rsidRPr="00550D35">
              <w:rPr>
                <w:sz w:val="20"/>
                <w:lang w:val="lv-LV"/>
              </w:rPr>
              <w:t>Jā</w:t>
            </w:r>
          </w:p>
          <w:p w14:paraId="785B5A1D" w14:textId="77777777" w:rsidR="003D6E20" w:rsidRPr="00550D35" w:rsidRDefault="003D6E20" w:rsidP="00BA62A0">
            <w:pPr>
              <w:pStyle w:val="ListParagraph"/>
              <w:ind w:left="0" w:firstLine="0"/>
              <w:rPr>
                <w:rFonts w:cs="Times New Roman"/>
                <w:sz w:val="20"/>
                <w:szCs w:val="20"/>
                <w:highlight w:val="magenta"/>
                <w:lang w:val="lv-LV"/>
              </w:rPr>
            </w:pPr>
            <w:r w:rsidRPr="00550D35">
              <w:rPr>
                <w:rFonts w:ascii="Segoe UI Symbol" w:hAnsi="Segoe UI Symbol" w:cs="Segoe UI Symbol"/>
                <w:sz w:val="20"/>
                <w:lang w:val="lv-LV"/>
              </w:rPr>
              <w:t>☒</w:t>
            </w:r>
            <w:r w:rsidRPr="00550D35">
              <w:rPr>
                <w:rFonts w:eastAsia="MS Minngs" w:cs="Times New Roman"/>
                <w:sz w:val="20"/>
                <w:szCs w:val="20"/>
                <w:lang w:val="lv-LV"/>
              </w:rPr>
              <w:t>N</w:t>
            </w:r>
            <w:r w:rsidRPr="00550D35">
              <w:rPr>
                <w:rFonts w:cs="Times New Roman"/>
                <w:sz w:val="20"/>
                <w:szCs w:val="20"/>
                <w:lang w:val="lv-LV"/>
              </w:rPr>
              <w:t xml:space="preserve">ē </w:t>
            </w:r>
          </w:p>
        </w:tc>
      </w:tr>
      <w:tr w:rsidR="003D6E20" w:rsidRPr="003B2E9A" w14:paraId="19B88760" w14:textId="77777777" w:rsidTr="00BA62A0">
        <w:tc>
          <w:tcPr>
            <w:tcW w:w="2689" w:type="dxa"/>
            <w:tcBorders>
              <w:top w:val="single" w:sz="4" w:space="0" w:color="auto"/>
              <w:left w:val="single" w:sz="4" w:space="0" w:color="auto"/>
              <w:bottom w:val="single" w:sz="4" w:space="0" w:color="auto"/>
              <w:right w:val="single" w:sz="4" w:space="0" w:color="auto"/>
            </w:tcBorders>
          </w:tcPr>
          <w:p w14:paraId="17228F7B" w14:textId="77777777" w:rsidR="003D6E20" w:rsidRPr="00550D35" w:rsidRDefault="003D6E20" w:rsidP="00BA62A0">
            <w:pPr>
              <w:spacing w:after="0"/>
              <w:ind w:firstLine="0"/>
              <w:rPr>
                <w:i/>
                <w:iCs/>
                <w:sz w:val="20"/>
                <w:lang w:val="lv-LV"/>
              </w:rPr>
            </w:pPr>
            <w:r w:rsidRPr="00550D35">
              <w:rPr>
                <w:b/>
                <w:sz w:val="20"/>
                <w:lang w:val="lv-LV"/>
              </w:rPr>
              <w:t>Īss pasākuma apraksts</w:t>
            </w:r>
          </w:p>
        </w:tc>
        <w:tc>
          <w:tcPr>
            <w:tcW w:w="5953" w:type="dxa"/>
            <w:tcBorders>
              <w:top w:val="single" w:sz="4" w:space="0" w:color="auto"/>
              <w:left w:val="single" w:sz="4" w:space="0" w:color="auto"/>
              <w:bottom w:val="single" w:sz="4" w:space="0" w:color="auto"/>
              <w:right w:val="single" w:sz="4" w:space="0" w:color="auto"/>
            </w:tcBorders>
          </w:tcPr>
          <w:p w14:paraId="23E724AC" w14:textId="77777777" w:rsidR="003D6E20" w:rsidRPr="00550D35" w:rsidRDefault="003D6E20" w:rsidP="00BA62A0">
            <w:pPr>
              <w:spacing w:before="0"/>
              <w:ind w:firstLine="0"/>
              <w:rPr>
                <w:sz w:val="20"/>
                <w:lang w:val="lv-LV"/>
              </w:rPr>
            </w:pPr>
            <w:r w:rsidRPr="00550D35">
              <w:rPr>
                <w:sz w:val="20"/>
                <w:lang w:val="lv-LV"/>
              </w:rPr>
              <w:t>Paredzēts stiprināt ārstniecības personu un citu nozares darbinieku zināšanas par veselības datu aizsardzību un drošumu, kā arī par pareizu veselības datu apstrādi, par klasifikāciju un kodēšanu, par datu analītiku, lielo datu un mākslīgā intelekta risinājumiem. Mūžizglītības un profesionālās pilnveides piedāvājums ārstniecības personām jāattīsta, izmantojot jau esošos mūžizglītības un profesionālās pilnveides pasākumus, pielāgojot veselības nozares specifikai.</w:t>
            </w:r>
          </w:p>
          <w:p w14:paraId="75769CCB" w14:textId="77777777" w:rsidR="003D6E20" w:rsidRPr="00550D35" w:rsidRDefault="003D6E20" w:rsidP="00BA62A0">
            <w:pPr>
              <w:spacing w:before="0"/>
              <w:ind w:firstLine="0"/>
              <w:rPr>
                <w:sz w:val="20"/>
                <w:lang w:val="lv-LV"/>
              </w:rPr>
            </w:pPr>
            <w:r w:rsidRPr="00550D35">
              <w:rPr>
                <w:sz w:val="20"/>
                <w:lang w:val="lv-LV"/>
              </w:rPr>
              <w:t xml:space="preserve">Paredzēts pilnveidot formālo ārstniecības personu izglītību ar zināšanām un prasmēm, kas ir vai būs nepieciešamas strādājot digitālo tehnoloģiju </w:t>
            </w:r>
            <w:proofErr w:type="spellStart"/>
            <w:r w:rsidRPr="00550D35">
              <w:rPr>
                <w:sz w:val="20"/>
                <w:lang w:val="lv-LV"/>
              </w:rPr>
              <w:t>iespējotā</w:t>
            </w:r>
            <w:proofErr w:type="spellEnd"/>
            <w:r w:rsidRPr="00550D35">
              <w:rPr>
                <w:sz w:val="20"/>
                <w:lang w:val="lv-LV"/>
              </w:rPr>
              <w:t>, mūsdienīgā veselības aprūpē.</w:t>
            </w:r>
          </w:p>
          <w:p w14:paraId="626A0E6E" w14:textId="77777777" w:rsidR="003D6E20" w:rsidRPr="00550D35" w:rsidRDefault="003D6E20" w:rsidP="00BA62A0">
            <w:pPr>
              <w:spacing w:before="0"/>
              <w:ind w:firstLine="0"/>
              <w:rPr>
                <w:sz w:val="20"/>
                <w:lang w:val="lv-LV"/>
              </w:rPr>
            </w:pPr>
            <w:r w:rsidRPr="00550D35">
              <w:rPr>
                <w:sz w:val="20"/>
                <w:lang w:val="lv-LV"/>
              </w:rPr>
              <w:t xml:space="preserve">Paredzēts veicināt digitālās veselības pakalpojumu izmantošanu sabiedrībā, izmantojot sabiedrībā plaši izmantotos komunikācijas rīkus (sociālos tīklus, ziņu portālus), informējot par digitālās veselības </w:t>
            </w:r>
            <w:r w:rsidRPr="00550D35">
              <w:rPr>
                <w:sz w:val="20"/>
                <w:lang w:val="lv-LV"/>
              </w:rPr>
              <w:lastRenderedPageBreak/>
              <w:t>ieguvumiem un ieviestajiem jaunajiem risinājumiem, par e-veselības sistēmā pieejamajām funkcionalitātēm un to izmantošanas iespējām. Paredzēts aktualizēt un izstrādāt informējošos un mācību materiālus iedzīvotājiem un speciālistiem.</w:t>
            </w:r>
          </w:p>
        </w:tc>
      </w:tr>
      <w:tr w:rsidR="003D6E20" w:rsidRPr="003B2E9A" w14:paraId="01987B5D"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572E398D" w14:textId="7F836A8D" w:rsidR="003D6E20" w:rsidRPr="00550D35" w:rsidRDefault="003D6E20" w:rsidP="00BA62A0">
            <w:pPr>
              <w:spacing w:before="0"/>
              <w:ind w:firstLine="0"/>
              <w:rPr>
                <w:b/>
                <w:bCs/>
                <w:sz w:val="20"/>
                <w:lang w:val="lv-LV"/>
              </w:rPr>
            </w:pPr>
            <w:r w:rsidRPr="00550D35">
              <w:rPr>
                <w:b/>
                <w:bCs/>
                <w:sz w:val="20"/>
                <w:lang w:val="lv-LV"/>
              </w:rPr>
              <w:lastRenderedPageBreak/>
              <w:t>Piešķirtais vai plānotais budžets un, ja atbilstoši, citi resursi</w:t>
            </w:r>
          </w:p>
        </w:tc>
        <w:tc>
          <w:tcPr>
            <w:tcW w:w="5953" w:type="dxa"/>
            <w:tcBorders>
              <w:top w:val="single" w:sz="4" w:space="0" w:color="auto"/>
              <w:left w:val="single" w:sz="4" w:space="0" w:color="auto"/>
              <w:bottom w:val="single" w:sz="4" w:space="0" w:color="auto"/>
              <w:right w:val="single" w:sz="4" w:space="0" w:color="auto"/>
            </w:tcBorders>
          </w:tcPr>
          <w:p w14:paraId="2362C199" w14:textId="77777777" w:rsidR="003D6E20" w:rsidRPr="00550D35" w:rsidRDefault="003D6E20" w:rsidP="00DE4930">
            <w:pPr>
              <w:spacing w:before="0"/>
              <w:ind w:firstLine="0"/>
              <w:contextualSpacing/>
              <w:rPr>
                <w:sz w:val="20"/>
                <w:lang w:val="lv-LV"/>
              </w:rPr>
            </w:pPr>
            <w:r w:rsidRPr="00550D35">
              <w:rPr>
                <w:sz w:val="20"/>
                <w:lang w:val="lv-LV"/>
              </w:rPr>
              <w:t>Papildus nepieciešamais valsts budžeta finansējuma apjoms tiks noteikts pasākuma īstenošanas gaitā.</w:t>
            </w:r>
          </w:p>
          <w:p w14:paraId="1EA9C939" w14:textId="77777777" w:rsidR="003D6E20" w:rsidRPr="00550D35" w:rsidRDefault="003D6E20" w:rsidP="00DE4930">
            <w:pPr>
              <w:spacing w:before="0"/>
              <w:ind w:firstLine="0"/>
              <w:contextualSpacing/>
              <w:rPr>
                <w:sz w:val="20"/>
                <w:lang w:val="lv-LV"/>
              </w:rPr>
            </w:pPr>
            <w:r w:rsidRPr="00550D35">
              <w:rPr>
                <w:sz w:val="20"/>
                <w:lang w:val="lv-LV"/>
              </w:rPr>
              <w:t>ES Kohēzijas politikas programmas 2021.-2027. gadam 4.1.2.</w:t>
            </w:r>
            <w:r>
              <w:rPr>
                <w:sz w:val="20"/>
                <w:lang w:val="lv-LV"/>
              </w:rPr>
              <w:t>pasākuma</w:t>
            </w:r>
            <w:r w:rsidRPr="00550D35">
              <w:rPr>
                <w:sz w:val="20"/>
                <w:lang w:val="lv-LV"/>
              </w:rPr>
              <w:t xml:space="preserve">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550D35">
              <w:rPr>
                <w:sz w:val="20"/>
                <w:lang w:val="lv-LV"/>
              </w:rPr>
              <w:t>izturētspēju</w:t>
            </w:r>
            <w:proofErr w:type="spellEnd"/>
            <w:r w:rsidRPr="00550D35">
              <w:rPr>
                <w:sz w:val="20"/>
                <w:lang w:val="lv-LV"/>
              </w:rPr>
              <w:t>” 4.1.2.5. pasākuma “Uzlabot izglītības iespējas ārstniecības personām, t.sk. uzlabojot tālākizglītības pieejamību”  finansējuma apjoms tiks  noteikts pasākuma īstenošanas gaitā.</w:t>
            </w:r>
          </w:p>
          <w:p w14:paraId="729963D9" w14:textId="77777777" w:rsidR="003D6E20" w:rsidRPr="00550D35" w:rsidRDefault="003D6E20" w:rsidP="00BA62A0">
            <w:pPr>
              <w:shd w:val="clear" w:color="auto" w:fill="FFFFFF" w:themeFill="background1"/>
              <w:spacing w:before="0"/>
              <w:ind w:firstLine="0"/>
              <w:rPr>
                <w:sz w:val="20"/>
                <w:lang w:val="lv-LV"/>
              </w:rPr>
            </w:pPr>
            <w:r w:rsidRPr="00550D35">
              <w:rPr>
                <w:sz w:val="20"/>
                <w:lang w:val="lv-LV"/>
              </w:rPr>
              <w:t>ES Kohēzijas politikas programmas 2021.-2027. gadam 4.1.1.</w:t>
            </w:r>
            <w:r>
              <w:rPr>
                <w:sz w:val="20"/>
                <w:lang w:val="lv-LV"/>
              </w:rPr>
              <w:t>pasākuma</w:t>
            </w:r>
            <w:r w:rsidRPr="00550D35">
              <w:rPr>
                <w:sz w:val="20"/>
                <w:lang w:val="lv-LV"/>
              </w:rPr>
              <w:t xml:space="preserve"> “Nodrošināt vienlīdzīgu piekļuvi veselības aprūpei un stiprināt veselības sistēmu, tostarp primārās veselības aprūpes noturību” 4.1.1.4.pasākuma “Veselības aprūpes pārvaldības sistēmas stiprināšana un </w:t>
            </w:r>
            <w:proofErr w:type="spellStart"/>
            <w:r w:rsidRPr="00550D35">
              <w:rPr>
                <w:sz w:val="20"/>
                <w:lang w:val="lv-LV"/>
              </w:rPr>
              <w:t>digitalizācija</w:t>
            </w:r>
            <w:proofErr w:type="spellEnd"/>
            <w:r w:rsidRPr="00550D35">
              <w:rPr>
                <w:sz w:val="20"/>
                <w:lang w:val="lv-LV"/>
              </w:rPr>
              <w:t>, attīstot digitālos risinājumus” finansējuma apjoms tiks  noteikts pasākuma īstenošanas gaitā.</w:t>
            </w:r>
          </w:p>
        </w:tc>
      </w:tr>
      <w:tr w:rsidR="003D6E20" w:rsidRPr="003B2E9A" w14:paraId="3494F95A"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51C15841" w14:textId="77777777" w:rsidR="003D6E20" w:rsidRPr="00550D35" w:rsidRDefault="003D6E20" w:rsidP="00BA62A0">
            <w:pPr>
              <w:spacing w:before="0"/>
              <w:ind w:firstLine="0"/>
              <w:rPr>
                <w:b/>
                <w:bCs/>
                <w:sz w:val="20"/>
                <w:lang w:val="lv-LV"/>
              </w:rPr>
            </w:pPr>
            <w:r w:rsidRPr="00550D35">
              <w:rPr>
                <w:b/>
                <w:bCs/>
                <w:sz w:val="20"/>
                <w:lang w:val="lv-LV"/>
              </w:rPr>
              <w:t>Sagaidāmā ietekme un laika ietvars</w:t>
            </w:r>
          </w:p>
        </w:tc>
        <w:tc>
          <w:tcPr>
            <w:tcW w:w="5953" w:type="dxa"/>
            <w:tcBorders>
              <w:top w:val="single" w:sz="4" w:space="0" w:color="auto"/>
              <w:left w:val="single" w:sz="4" w:space="0" w:color="auto"/>
              <w:bottom w:val="single" w:sz="4" w:space="0" w:color="auto"/>
              <w:right w:val="single" w:sz="4" w:space="0" w:color="auto"/>
            </w:tcBorders>
            <w:hideMark/>
          </w:tcPr>
          <w:p w14:paraId="01639BAC" w14:textId="77777777" w:rsidR="003D6E20" w:rsidRPr="00550D35" w:rsidRDefault="003D6E20" w:rsidP="00BA62A0">
            <w:pPr>
              <w:spacing w:before="0"/>
              <w:ind w:firstLine="0"/>
              <w:rPr>
                <w:iCs/>
                <w:sz w:val="20"/>
                <w:lang w:val="lv-LV"/>
              </w:rPr>
            </w:pPr>
            <w:r w:rsidRPr="00550D35">
              <w:rPr>
                <w:iCs/>
                <w:sz w:val="20"/>
                <w:lang w:val="lv-LV"/>
              </w:rPr>
              <w:t>Pasākuma ietvaros paredzēts īstenot šādus mērķus:</w:t>
            </w:r>
          </w:p>
          <w:p w14:paraId="6557BD32" w14:textId="77777777" w:rsidR="003D6E20" w:rsidRPr="00550D35" w:rsidRDefault="003D6E20" w:rsidP="00BA62A0">
            <w:pPr>
              <w:pStyle w:val="ListParagraph"/>
              <w:numPr>
                <w:ilvl w:val="0"/>
                <w:numId w:val="23"/>
              </w:numPr>
              <w:spacing w:before="0"/>
              <w:ind w:left="38" w:firstLine="322"/>
              <w:contextualSpacing/>
              <w:rPr>
                <w:sz w:val="20"/>
                <w:lang w:val="lv-LV"/>
              </w:rPr>
            </w:pPr>
            <w:r w:rsidRPr="00550D35">
              <w:rPr>
                <w:sz w:val="20"/>
                <w:lang w:val="lv-LV"/>
              </w:rPr>
              <w:t>Nodrošināt digitālo prasmju apguves iespējas</w:t>
            </w:r>
            <w:r w:rsidRPr="00550D35">
              <w:rPr>
                <w:lang w:val="lv-LV"/>
              </w:rPr>
              <w:t xml:space="preserve"> </w:t>
            </w:r>
            <w:r w:rsidRPr="00550D35">
              <w:rPr>
                <w:sz w:val="20"/>
                <w:lang w:val="lv-LV"/>
              </w:rPr>
              <w:t>ārstniecības un ārstniecības atbalsta personām, farmaceitiem un farmaceitu asistentiem, veselības sektorā strādājošajiem,  administratīvajam personālam līdz 2027. gadam</w:t>
            </w:r>
          </w:p>
          <w:p w14:paraId="72020B57" w14:textId="77777777" w:rsidR="003D6E20" w:rsidRPr="00550D35" w:rsidRDefault="003D6E20" w:rsidP="00BA62A0">
            <w:pPr>
              <w:pStyle w:val="ListParagraph"/>
              <w:numPr>
                <w:ilvl w:val="0"/>
                <w:numId w:val="23"/>
              </w:numPr>
              <w:spacing w:before="0"/>
              <w:ind w:left="38" w:firstLine="322"/>
              <w:contextualSpacing/>
              <w:rPr>
                <w:sz w:val="20"/>
                <w:lang w:val="lv-LV"/>
              </w:rPr>
            </w:pPr>
            <w:r w:rsidRPr="00550D35">
              <w:rPr>
                <w:sz w:val="20"/>
                <w:lang w:val="lv-LV"/>
              </w:rPr>
              <w:t>Stiprināt digitālās veselības saturu ārstniecības personu izglītībā līdz 2027. gadam</w:t>
            </w:r>
          </w:p>
          <w:p w14:paraId="537A0EA7" w14:textId="3FCCCC8B" w:rsidR="003D6E20" w:rsidRPr="00550D35" w:rsidRDefault="003D6E20" w:rsidP="00BA62A0">
            <w:pPr>
              <w:pStyle w:val="ListParagraph"/>
              <w:numPr>
                <w:ilvl w:val="0"/>
                <w:numId w:val="23"/>
              </w:numPr>
              <w:spacing w:before="0"/>
              <w:ind w:left="38" w:firstLine="322"/>
              <w:contextualSpacing/>
              <w:rPr>
                <w:sz w:val="20"/>
                <w:lang w:val="lv-LV"/>
              </w:rPr>
            </w:pPr>
            <w:r w:rsidRPr="00550D35">
              <w:rPr>
                <w:sz w:val="20"/>
                <w:lang w:val="lv-LV"/>
              </w:rPr>
              <w:t>Veicināt  digitālās veselības pakalpojumu izmantošanu sabiedrībā, izstrādājot mācību materiālus par digitālās veselīb</w:t>
            </w:r>
            <w:r w:rsidR="00C845D1">
              <w:rPr>
                <w:sz w:val="20"/>
                <w:lang w:val="lv-LV"/>
              </w:rPr>
              <w:t>a</w:t>
            </w:r>
            <w:r w:rsidRPr="00550D35">
              <w:rPr>
                <w:sz w:val="20"/>
                <w:lang w:val="lv-LV"/>
              </w:rPr>
              <w:t>s pakalpojumiem līdz 2027. gadam, kā arī pastāvīgi informēt par digitālās veselības pakalpojumiem</w:t>
            </w:r>
          </w:p>
          <w:p w14:paraId="0C90F4DD" w14:textId="77777777" w:rsidR="003D6E20" w:rsidRPr="00550D35" w:rsidRDefault="003D6E20" w:rsidP="00BA62A0">
            <w:pPr>
              <w:pStyle w:val="ListParagraph"/>
              <w:numPr>
                <w:ilvl w:val="0"/>
                <w:numId w:val="23"/>
              </w:numPr>
              <w:spacing w:before="0"/>
              <w:ind w:left="38" w:firstLine="322"/>
              <w:contextualSpacing/>
              <w:rPr>
                <w:sz w:val="20"/>
                <w:lang w:val="lv-LV"/>
              </w:rPr>
            </w:pPr>
            <w:r w:rsidRPr="00550D35">
              <w:rPr>
                <w:sz w:val="20"/>
                <w:lang w:val="lv-LV"/>
              </w:rPr>
              <w:t>Valsts un pašvaldības vienotais klientu apkalpošanas centram paredzēt nodrošināt iedzīvotājiem atbalstu digitālās veselības pakalpojumu izmantošanā līdz 2024. gadam.</w:t>
            </w:r>
          </w:p>
          <w:p w14:paraId="300E6DBF" w14:textId="77777777" w:rsidR="003D6E20" w:rsidRPr="00550D35" w:rsidRDefault="003D6E20" w:rsidP="00BA62A0">
            <w:pPr>
              <w:spacing w:before="0"/>
              <w:ind w:firstLine="0"/>
              <w:contextualSpacing/>
              <w:jc w:val="left"/>
              <w:rPr>
                <w:iCs/>
                <w:sz w:val="20"/>
                <w:lang w:val="lv-LV"/>
              </w:rPr>
            </w:pPr>
          </w:p>
        </w:tc>
      </w:tr>
    </w:tbl>
    <w:p w14:paraId="522EB7AD" w14:textId="77777777" w:rsidR="003D6E20" w:rsidRPr="00550D35" w:rsidRDefault="003D6E20" w:rsidP="003D6E20">
      <w:pPr>
        <w:ind w:firstLine="0"/>
        <w:rPr>
          <w:b/>
          <w:sz w:val="20"/>
          <w:lang w:val="lv-LV"/>
        </w:rPr>
      </w:pPr>
    </w:p>
    <w:tbl>
      <w:tblPr>
        <w:tblStyle w:val="TableGrid"/>
        <w:tblW w:w="8642" w:type="dxa"/>
        <w:tblLook w:val="04A0" w:firstRow="1" w:lastRow="0" w:firstColumn="1" w:lastColumn="0" w:noHBand="0" w:noVBand="1"/>
      </w:tblPr>
      <w:tblGrid>
        <w:gridCol w:w="2689"/>
        <w:gridCol w:w="5953"/>
      </w:tblGrid>
      <w:tr w:rsidR="003D6E20" w:rsidRPr="003B2E9A" w14:paraId="4A29E36A" w14:textId="77777777" w:rsidTr="00BA62A0">
        <w:tc>
          <w:tcPr>
            <w:tcW w:w="8642" w:type="dxa"/>
            <w:gridSpan w:val="2"/>
            <w:tcBorders>
              <w:top w:val="single" w:sz="4" w:space="0" w:color="auto"/>
              <w:left w:val="single" w:sz="4" w:space="0" w:color="auto"/>
              <w:bottom w:val="single" w:sz="4" w:space="0" w:color="auto"/>
              <w:right w:val="single" w:sz="4" w:space="0" w:color="auto"/>
            </w:tcBorders>
          </w:tcPr>
          <w:p w14:paraId="65495AB6" w14:textId="77777777" w:rsidR="003D6E20" w:rsidRPr="00550D35" w:rsidRDefault="003D6E20" w:rsidP="00BA62A0">
            <w:pPr>
              <w:ind w:firstLine="0"/>
              <w:rPr>
                <w:b/>
                <w:sz w:val="20"/>
                <w:lang w:val="lv-LV"/>
              </w:rPr>
            </w:pPr>
            <w:r w:rsidRPr="00550D35">
              <w:rPr>
                <w:b/>
                <w:sz w:val="20"/>
                <w:lang w:val="lv-LV"/>
              </w:rPr>
              <w:t xml:space="preserve">Pasākums Nr. 6 – </w:t>
            </w:r>
            <w:r w:rsidRPr="00550D35">
              <w:rPr>
                <w:b/>
                <w:bCs/>
                <w:sz w:val="20"/>
                <w:lang w:val="lv-LV"/>
              </w:rPr>
              <w:t>Stiprināt Veselības ministrijas resora kapacitāti digitālās veselības risinājumu ieviešanā</w:t>
            </w:r>
          </w:p>
        </w:tc>
      </w:tr>
      <w:tr w:rsidR="003D6E20" w:rsidRPr="00550D35" w14:paraId="39764FB2"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4406378B" w14:textId="77777777" w:rsidR="003D6E20" w:rsidRPr="00550D35" w:rsidRDefault="003D6E20" w:rsidP="00BA62A0">
            <w:pPr>
              <w:spacing w:before="0"/>
              <w:ind w:firstLine="0"/>
              <w:jc w:val="left"/>
              <w:rPr>
                <w:b/>
                <w:bCs/>
                <w:sz w:val="20"/>
                <w:lang w:val="lv-LV"/>
              </w:rPr>
            </w:pPr>
            <w:r w:rsidRPr="00550D35">
              <w:rPr>
                <w:b/>
                <w:bCs/>
                <w:sz w:val="20"/>
                <w:lang w:val="lv-LV"/>
              </w:rPr>
              <w:t>Jauns pasākums</w:t>
            </w:r>
          </w:p>
        </w:tc>
        <w:tc>
          <w:tcPr>
            <w:tcW w:w="5953" w:type="dxa"/>
            <w:tcBorders>
              <w:top w:val="single" w:sz="4" w:space="0" w:color="auto"/>
              <w:left w:val="single" w:sz="4" w:space="0" w:color="auto"/>
              <w:bottom w:val="single" w:sz="4" w:space="0" w:color="auto"/>
              <w:right w:val="single" w:sz="4" w:space="0" w:color="auto"/>
            </w:tcBorders>
          </w:tcPr>
          <w:p w14:paraId="3D8DA7C3" w14:textId="77777777" w:rsidR="003D6E20" w:rsidRPr="00550D35" w:rsidRDefault="00AC141D" w:rsidP="00BA62A0">
            <w:pPr>
              <w:spacing w:before="0"/>
              <w:ind w:firstLine="0"/>
              <w:rPr>
                <w:sz w:val="20"/>
                <w:lang w:val="lv-LV"/>
              </w:rPr>
            </w:pPr>
            <w:sdt>
              <w:sdtPr>
                <w:rPr>
                  <w:sz w:val="20"/>
                  <w:lang w:val="lv-LV"/>
                </w:rPr>
                <w:id w:val="-1596385001"/>
                <w14:checkbox>
                  <w14:checked w14:val="0"/>
                  <w14:checkedState w14:val="2612" w14:font="MS Gothic"/>
                  <w14:uncheckedState w14:val="2610" w14:font="MS Gothic"/>
                </w14:checkbox>
              </w:sdtPr>
              <w:sdtEndPr/>
              <w:sdtContent>
                <w:r w:rsidR="003D6E20" w:rsidRPr="00550D35">
                  <w:rPr>
                    <w:rFonts w:ascii="MS Gothic" w:eastAsia="MS Gothic" w:hAnsi="MS Gothic"/>
                    <w:sz w:val="20"/>
                    <w:lang w:val="lv-LV"/>
                  </w:rPr>
                  <w:t>☐</w:t>
                </w:r>
              </w:sdtContent>
            </w:sdt>
            <w:r w:rsidR="003D6E20" w:rsidRPr="00550D35">
              <w:rPr>
                <w:sz w:val="20"/>
                <w:lang w:val="lv-LV"/>
              </w:rPr>
              <w:t xml:space="preserve"> Jā </w:t>
            </w:r>
          </w:p>
          <w:p w14:paraId="7E69BCA0" w14:textId="77777777" w:rsidR="003D6E20" w:rsidRPr="00550D35" w:rsidRDefault="00AC141D" w:rsidP="00BA62A0">
            <w:pPr>
              <w:ind w:firstLine="0"/>
              <w:rPr>
                <w:sz w:val="20"/>
                <w:lang w:val="lv-LV"/>
              </w:rPr>
            </w:pPr>
            <w:sdt>
              <w:sdtPr>
                <w:rPr>
                  <w:sz w:val="20"/>
                  <w:lang w:val="lv-LV"/>
                </w:rPr>
                <w:id w:val="-776102629"/>
                <w14:checkbox>
                  <w14:checked w14:val="1"/>
                  <w14:checkedState w14:val="2612" w14:font="MS Gothic"/>
                  <w14:uncheckedState w14:val="2610" w14:font="MS Gothic"/>
                </w14:checkbox>
              </w:sdtPr>
              <w:sdtEndPr/>
              <w:sdtContent>
                <w:r w:rsidR="003D6E20" w:rsidRPr="00550D35">
                  <w:rPr>
                    <w:rFonts w:ascii="MS Gothic" w:eastAsia="MS Gothic" w:hAnsi="MS Gothic"/>
                    <w:sz w:val="20"/>
                    <w:lang w:val="lv-LV"/>
                  </w:rPr>
                  <w:t>☒</w:t>
                </w:r>
              </w:sdtContent>
            </w:sdt>
            <w:r w:rsidR="003D6E20" w:rsidRPr="00550D35">
              <w:rPr>
                <w:rFonts w:eastAsia="MS Minngs"/>
                <w:sz w:val="20"/>
                <w:lang w:val="lv-LV"/>
              </w:rPr>
              <w:t xml:space="preserve"> N</w:t>
            </w:r>
            <w:r w:rsidR="003D6E20" w:rsidRPr="00550D35">
              <w:rPr>
                <w:sz w:val="20"/>
                <w:lang w:val="lv-LV"/>
              </w:rPr>
              <w:t>ē</w:t>
            </w:r>
          </w:p>
        </w:tc>
      </w:tr>
      <w:tr w:rsidR="003D6E20" w:rsidRPr="003B2E9A" w14:paraId="5FED6496" w14:textId="77777777" w:rsidTr="00BA62A0">
        <w:tc>
          <w:tcPr>
            <w:tcW w:w="2689" w:type="dxa"/>
            <w:tcBorders>
              <w:top w:val="single" w:sz="4" w:space="0" w:color="auto"/>
              <w:left w:val="single" w:sz="4" w:space="0" w:color="auto"/>
              <w:bottom w:val="single" w:sz="4" w:space="0" w:color="auto"/>
              <w:right w:val="single" w:sz="4" w:space="0" w:color="auto"/>
            </w:tcBorders>
          </w:tcPr>
          <w:p w14:paraId="0ADC2606" w14:textId="77777777" w:rsidR="003D6E20" w:rsidRPr="00550D35" w:rsidRDefault="003D6E20" w:rsidP="00BA62A0">
            <w:pPr>
              <w:ind w:firstLine="0"/>
              <w:jc w:val="left"/>
              <w:rPr>
                <w:b/>
                <w:sz w:val="20"/>
                <w:lang w:val="lv-LV"/>
              </w:rPr>
            </w:pPr>
            <w:r w:rsidRPr="00550D35">
              <w:rPr>
                <w:b/>
                <w:sz w:val="20"/>
                <w:lang w:val="lv-LV"/>
              </w:rPr>
              <w:t>Īss pasākuma apraksts</w:t>
            </w:r>
          </w:p>
        </w:tc>
        <w:tc>
          <w:tcPr>
            <w:tcW w:w="5953" w:type="dxa"/>
            <w:tcBorders>
              <w:top w:val="single" w:sz="4" w:space="0" w:color="auto"/>
              <w:left w:val="single" w:sz="4" w:space="0" w:color="auto"/>
              <w:bottom w:val="single" w:sz="4" w:space="0" w:color="auto"/>
              <w:right w:val="single" w:sz="4" w:space="0" w:color="auto"/>
            </w:tcBorders>
          </w:tcPr>
          <w:p w14:paraId="3AAB7D29" w14:textId="77777777" w:rsidR="003D6E20" w:rsidRPr="00596D7D" w:rsidRDefault="003D6E20" w:rsidP="00BA62A0">
            <w:pPr>
              <w:spacing w:before="0"/>
              <w:ind w:firstLine="0"/>
              <w:rPr>
                <w:sz w:val="20"/>
                <w:lang w:val="lv-LV"/>
              </w:rPr>
            </w:pPr>
            <w:r>
              <w:rPr>
                <w:sz w:val="20"/>
                <w:lang w:val="lv-LV"/>
              </w:rPr>
              <w:t>P</w:t>
            </w:r>
            <w:r w:rsidRPr="0063021F">
              <w:rPr>
                <w:sz w:val="20"/>
                <w:lang w:val="lv-LV"/>
              </w:rPr>
              <w:t>ar lielāko daļu digitālo risinājumu izstrādi un to turpmāko uzturēšanu</w:t>
            </w:r>
            <w:r w:rsidRPr="00596D7D">
              <w:rPr>
                <w:sz w:val="20"/>
                <w:lang w:val="lv-LV"/>
              </w:rPr>
              <w:t xml:space="preserve"> </w:t>
            </w:r>
            <w:r w:rsidRPr="00041643">
              <w:rPr>
                <w:sz w:val="20"/>
                <w:lang w:val="lv-LV"/>
              </w:rPr>
              <w:t xml:space="preserve">ir atbildīgs </w:t>
            </w:r>
            <w:r w:rsidRPr="00A55270">
              <w:rPr>
                <w:sz w:val="20"/>
                <w:lang w:val="lv-LV"/>
              </w:rPr>
              <w:t>Nacionālais veselības dienests</w:t>
            </w:r>
            <w:r w:rsidRPr="00041643">
              <w:rPr>
                <w:sz w:val="20"/>
                <w:lang w:val="lv-LV"/>
              </w:rPr>
              <w:t xml:space="preserve">, tomēr sekmīgai digitālo risinājumu ieviešanai nepieciešama </w:t>
            </w:r>
            <w:r>
              <w:rPr>
                <w:sz w:val="20"/>
                <w:lang w:val="lv-LV"/>
              </w:rPr>
              <w:t>VM</w:t>
            </w:r>
            <w:r w:rsidRPr="00041643">
              <w:rPr>
                <w:sz w:val="20"/>
                <w:lang w:val="lv-LV"/>
              </w:rPr>
              <w:t xml:space="preserve"> resora digitālās veselības pārvaldības kapacitātes stiprināšana, lai nodrošinātu digitālās veselības ekosistēmas ilgtspējību un lēmumu </w:t>
            </w:r>
            <w:proofErr w:type="spellStart"/>
            <w:r w:rsidRPr="00041643">
              <w:rPr>
                <w:sz w:val="20"/>
                <w:lang w:val="lv-LV"/>
              </w:rPr>
              <w:t>turpinātību</w:t>
            </w:r>
            <w:proofErr w:type="spellEnd"/>
            <w:r w:rsidRPr="00041643">
              <w:rPr>
                <w:sz w:val="20"/>
                <w:lang w:val="lv-LV"/>
              </w:rPr>
              <w:t>. Paredzēts ieviest veselības nozares IKT pārvaldības modeli, kas nodrošinās datos un tehnoloģijās balstītu veselības aprūpes pārvaldību.</w:t>
            </w:r>
          </w:p>
        </w:tc>
      </w:tr>
      <w:tr w:rsidR="003D6E20" w:rsidRPr="003B2E9A" w14:paraId="7449F9C1"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3138AE67" w14:textId="3E809973" w:rsidR="003D6E20" w:rsidRPr="00550D35" w:rsidRDefault="003D6E20" w:rsidP="00BA62A0">
            <w:pPr>
              <w:spacing w:before="0"/>
              <w:ind w:firstLine="0"/>
              <w:jc w:val="left"/>
              <w:rPr>
                <w:b/>
                <w:bCs/>
                <w:sz w:val="20"/>
                <w:lang w:val="lv-LV"/>
              </w:rPr>
            </w:pPr>
            <w:r w:rsidRPr="00550D35">
              <w:rPr>
                <w:b/>
                <w:bCs/>
                <w:sz w:val="20"/>
                <w:lang w:val="lv-LV"/>
              </w:rPr>
              <w:t>Piešķirtais vai plānotais budžets un, ja atbilstoši, citi resursi</w:t>
            </w:r>
          </w:p>
        </w:tc>
        <w:tc>
          <w:tcPr>
            <w:tcW w:w="5953" w:type="dxa"/>
            <w:tcBorders>
              <w:top w:val="single" w:sz="4" w:space="0" w:color="auto"/>
              <w:left w:val="single" w:sz="4" w:space="0" w:color="auto"/>
              <w:bottom w:val="single" w:sz="4" w:space="0" w:color="auto"/>
              <w:right w:val="single" w:sz="4" w:space="0" w:color="auto"/>
            </w:tcBorders>
          </w:tcPr>
          <w:p w14:paraId="66876C13" w14:textId="77777777" w:rsidR="003D6E20" w:rsidRPr="00550D35" w:rsidRDefault="003D6E20" w:rsidP="00BA62A0">
            <w:pPr>
              <w:spacing w:before="0"/>
              <w:ind w:firstLine="0"/>
              <w:contextualSpacing/>
              <w:rPr>
                <w:sz w:val="20"/>
                <w:lang w:val="lv-LV"/>
              </w:rPr>
            </w:pPr>
            <w:r w:rsidRPr="00041643">
              <w:rPr>
                <w:sz w:val="20"/>
                <w:lang w:val="lv-LV"/>
              </w:rPr>
              <w:t>Nepieciešams palielināt valsts budžeta finansējumu Veselības ministrijas resora IKT risinājumu pārvaldības kapacitātes stiprināšanai.</w:t>
            </w:r>
          </w:p>
        </w:tc>
      </w:tr>
      <w:tr w:rsidR="003D6E20" w:rsidRPr="00E800B3" w14:paraId="719242FC" w14:textId="77777777" w:rsidTr="00BA62A0">
        <w:tc>
          <w:tcPr>
            <w:tcW w:w="2689" w:type="dxa"/>
            <w:tcBorders>
              <w:top w:val="single" w:sz="4" w:space="0" w:color="auto"/>
              <w:left w:val="single" w:sz="4" w:space="0" w:color="auto"/>
              <w:bottom w:val="single" w:sz="4" w:space="0" w:color="auto"/>
              <w:right w:val="single" w:sz="4" w:space="0" w:color="auto"/>
            </w:tcBorders>
            <w:hideMark/>
          </w:tcPr>
          <w:p w14:paraId="54FF4DAF" w14:textId="77777777" w:rsidR="003D6E20" w:rsidRPr="00550D35" w:rsidRDefault="003D6E20" w:rsidP="00BA62A0">
            <w:pPr>
              <w:spacing w:before="0"/>
              <w:ind w:firstLine="0"/>
              <w:jc w:val="left"/>
              <w:rPr>
                <w:b/>
                <w:bCs/>
                <w:sz w:val="20"/>
                <w:lang w:val="lv-LV"/>
              </w:rPr>
            </w:pPr>
            <w:r w:rsidRPr="00550D35">
              <w:rPr>
                <w:b/>
                <w:bCs/>
                <w:sz w:val="20"/>
                <w:lang w:val="lv-LV"/>
              </w:rPr>
              <w:t>Sagaidāmā ietekme un laika ietvars</w:t>
            </w:r>
          </w:p>
        </w:tc>
        <w:tc>
          <w:tcPr>
            <w:tcW w:w="5953" w:type="dxa"/>
            <w:tcBorders>
              <w:top w:val="single" w:sz="4" w:space="0" w:color="auto"/>
              <w:left w:val="single" w:sz="4" w:space="0" w:color="auto"/>
              <w:bottom w:val="single" w:sz="4" w:space="0" w:color="auto"/>
              <w:right w:val="single" w:sz="4" w:space="0" w:color="auto"/>
            </w:tcBorders>
            <w:hideMark/>
          </w:tcPr>
          <w:p w14:paraId="6154140E" w14:textId="77777777" w:rsidR="003D6E20" w:rsidRPr="00550D35" w:rsidRDefault="003D6E20" w:rsidP="00BA62A0">
            <w:pPr>
              <w:spacing w:before="0"/>
              <w:ind w:firstLine="0"/>
              <w:rPr>
                <w:sz w:val="20"/>
                <w:lang w:val="lv-LV"/>
              </w:rPr>
            </w:pPr>
            <w:r w:rsidRPr="00041643">
              <w:rPr>
                <w:sz w:val="20"/>
                <w:lang w:val="lv-LV"/>
              </w:rPr>
              <w:t>Veselības ministrija izstrādā ziņojumu par Veselības ministrijas resora kapacitātes stiprināšanu digitālās veselības risinājumu ieviešanai. Laika ietvars tiks precizēts šajā ziņojumā.</w:t>
            </w:r>
          </w:p>
        </w:tc>
      </w:tr>
    </w:tbl>
    <w:p w14:paraId="1320BEF3" w14:textId="77777777" w:rsidR="003D6E20" w:rsidRPr="00550D35" w:rsidRDefault="003D6E20" w:rsidP="003D6E20">
      <w:pPr>
        <w:pStyle w:val="Text3"/>
        <w:ind w:left="0" w:firstLine="0"/>
        <w:rPr>
          <w:lang w:val="lv-LV"/>
        </w:rPr>
      </w:pPr>
    </w:p>
    <w:p w14:paraId="6A4A3E6D" w14:textId="77777777" w:rsidR="003D6E20" w:rsidRPr="00550D35" w:rsidRDefault="003D6E20" w:rsidP="003D6E20">
      <w:pPr>
        <w:pStyle w:val="Heading2"/>
        <w:rPr>
          <w:lang w:val="lv-LV"/>
        </w:rPr>
      </w:pPr>
      <w:r w:rsidRPr="00550D35">
        <w:rPr>
          <w:lang w:val="lv-LV"/>
        </w:rPr>
        <w:t>Galvenā politika, pasākumi un darbības, kas paredzēti, lai palīdzētu sasniegt vispārīgos mērķus</w:t>
      </w:r>
    </w:p>
    <w:p w14:paraId="3D49C6BF" w14:textId="77777777" w:rsidR="003D6E20" w:rsidRPr="00550D35" w:rsidRDefault="003D6E20" w:rsidP="003D6E20">
      <w:pPr>
        <w:rPr>
          <w:lang w:val="lv-LV"/>
        </w:rPr>
      </w:pPr>
      <w:r w:rsidRPr="00550D35">
        <w:rPr>
          <w:lang w:val="lv-LV"/>
        </w:rPr>
        <w:t xml:space="preserve">Īstenojamie pasākumi un darbības KPI “Publiskie pakalpojumi iedzīvotājiem” jomā sniedz ieguldījumu iedzīvotāju piekļuvē digitālajām tehnoloģijām, tostarp, </w:t>
      </w:r>
      <w:r w:rsidRPr="00550D35">
        <w:rPr>
          <w:lang w:val="lv-LV"/>
        </w:rPr>
        <w:lastRenderedPageBreak/>
        <w:t xml:space="preserve">nodrošinot, ka uzticamā un drošā tiešsaistes vidē var ikviens, jo tiek nodrošināti iekļaujoši, efektīvi, </w:t>
      </w:r>
      <w:proofErr w:type="spellStart"/>
      <w:r w:rsidRPr="00550D35">
        <w:rPr>
          <w:lang w:val="lv-LV"/>
        </w:rPr>
        <w:t>sadarbspējīgi</w:t>
      </w:r>
      <w:proofErr w:type="spellEnd"/>
      <w:r w:rsidRPr="00550D35">
        <w:rPr>
          <w:lang w:val="lv-LV"/>
        </w:rPr>
        <w:t xml:space="preserve"> un personalizēti pakalpojumi un rīki ar augstiem drošības un privātuma standartiem. Īstenojamie pasākumi veicina arī zaļo pārveidi, kā arī līderību un suverenitāti.</w:t>
      </w:r>
    </w:p>
    <w:p w14:paraId="525A5D7C" w14:textId="77777777" w:rsidR="003D6E20" w:rsidRPr="00550D35" w:rsidRDefault="003D6E20" w:rsidP="003D6E20">
      <w:pPr>
        <w:pStyle w:val="Text3"/>
        <w:ind w:left="0" w:firstLine="0"/>
        <w:rPr>
          <w:szCs w:val="24"/>
          <w:lang w:val="lv-LV"/>
        </w:rPr>
      </w:pPr>
    </w:p>
    <w:tbl>
      <w:tblPr>
        <w:tblW w:w="864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966"/>
        <w:gridCol w:w="4121"/>
      </w:tblGrid>
      <w:tr w:rsidR="003D6E20" w:rsidRPr="003B2E9A" w14:paraId="52406CF3" w14:textId="77777777" w:rsidTr="000C54FA">
        <w:trPr>
          <w:trHeight w:val="520"/>
        </w:trPr>
        <w:tc>
          <w:tcPr>
            <w:tcW w:w="1560" w:type="dxa"/>
            <w:tcMar>
              <w:top w:w="0" w:type="dxa"/>
              <w:left w:w="108" w:type="dxa"/>
              <w:bottom w:w="0" w:type="dxa"/>
              <w:right w:w="108" w:type="dxa"/>
            </w:tcMar>
            <w:vAlign w:val="center"/>
          </w:tcPr>
          <w:p w14:paraId="6FC13E8D" w14:textId="77777777" w:rsidR="003D6E20" w:rsidRPr="00550D35" w:rsidRDefault="003D6E20" w:rsidP="00BA62A0">
            <w:pPr>
              <w:pStyle w:val="ListParagraph"/>
              <w:spacing w:after="120"/>
              <w:ind w:left="142"/>
              <w:rPr>
                <w:rFonts w:cs="Times New Roman"/>
                <w:b/>
                <w:i/>
                <w:sz w:val="20"/>
                <w:szCs w:val="20"/>
                <w:lang w:val="lv-LV"/>
              </w:rPr>
            </w:pPr>
          </w:p>
        </w:tc>
        <w:tc>
          <w:tcPr>
            <w:tcW w:w="2966" w:type="dxa"/>
            <w:tcMar>
              <w:top w:w="0" w:type="dxa"/>
              <w:left w:w="108" w:type="dxa"/>
              <w:bottom w:w="0" w:type="dxa"/>
              <w:right w:w="108" w:type="dxa"/>
            </w:tcMar>
            <w:vAlign w:val="center"/>
          </w:tcPr>
          <w:p w14:paraId="6389A5A0" w14:textId="77777777" w:rsidR="003D6E20" w:rsidRPr="00550D35" w:rsidRDefault="003D6E20" w:rsidP="00BA62A0">
            <w:pPr>
              <w:ind w:firstLine="0"/>
              <w:rPr>
                <w:b/>
                <w:i/>
                <w:sz w:val="20"/>
                <w:lang w:val="lv-LV"/>
              </w:rPr>
            </w:pPr>
            <w:r w:rsidRPr="00550D35">
              <w:rPr>
                <w:b/>
                <w:i/>
                <w:sz w:val="20"/>
                <w:lang w:val="lv-LV"/>
              </w:rPr>
              <w:t>Vispārīgie mērķi</w:t>
            </w:r>
          </w:p>
        </w:tc>
        <w:tc>
          <w:tcPr>
            <w:tcW w:w="4121" w:type="dxa"/>
            <w:vAlign w:val="center"/>
          </w:tcPr>
          <w:p w14:paraId="32A3D573" w14:textId="77777777" w:rsidR="003D6E20" w:rsidRPr="00550D35" w:rsidRDefault="003D6E20" w:rsidP="00BA62A0">
            <w:pPr>
              <w:pStyle w:val="ListParagraph"/>
              <w:spacing w:after="120"/>
              <w:ind w:left="53" w:firstLine="0"/>
              <w:rPr>
                <w:rFonts w:cs="Times New Roman"/>
                <w:b/>
                <w:i/>
                <w:sz w:val="20"/>
                <w:szCs w:val="20"/>
                <w:lang w:val="lv-LV"/>
              </w:rPr>
            </w:pPr>
            <w:r w:rsidRPr="00550D35">
              <w:rPr>
                <w:rFonts w:cs="Times New Roman"/>
                <w:b/>
                <w:i/>
                <w:sz w:val="20"/>
                <w:szCs w:val="20"/>
                <w:lang w:val="lv-LV"/>
              </w:rPr>
              <w:t>Dalībvalsts iespējamā ieguldījuma jomu piemēri</w:t>
            </w:r>
          </w:p>
        </w:tc>
      </w:tr>
      <w:tr w:rsidR="003D6E20" w:rsidRPr="003B2E9A" w14:paraId="52623117" w14:textId="77777777" w:rsidTr="000C54FA">
        <w:trPr>
          <w:trHeight w:val="1401"/>
        </w:trPr>
        <w:tc>
          <w:tcPr>
            <w:tcW w:w="1560" w:type="dxa"/>
            <w:tcMar>
              <w:top w:w="0" w:type="dxa"/>
              <w:left w:w="108" w:type="dxa"/>
              <w:bottom w:w="0" w:type="dxa"/>
              <w:right w:w="108" w:type="dxa"/>
            </w:tcMar>
            <w:vAlign w:val="center"/>
            <w:hideMark/>
          </w:tcPr>
          <w:p w14:paraId="0CA08DC2" w14:textId="77777777" w:rsidR="003D6E20" w:rsidRPr="00550D35" w:rsidRDefault="003D6E20" w:rsidP="00BA62A0">
            <w:pPr>
              <w:pStyle w:val="ListParagraph"/>
              <w:spacing w:after="120"/>
              <w:ind w:left="142" w:firstLine="0"/>
              <w:rPr>
                <w:rFonts w:cs="Times New Roman"/>
                <w:b/>
                <w:i/>
                <w:sz w:val="20"/>
                <w:szCs w:val="20"/>
                <w:lang w:val="lv-LV"/>
              </w:rPr>
            </w:pPr>
            <w:r w:rsidRPr="00550D35">
              <w:rPr>
                <w:rFonts w:cs="Times New Roman"/>
                <w:b/>
                <w:i/>
                <w:sz w:val="20"/>
                <w:szCs w:val="20"/>
                <w:lang w:val="lv-LV"/>
              </w:rPr>
              <w:t>Veicināt iedzīvotāju piekļuvi digitālajām tehnoloģijām</w:t>
            </w:r>
            <w:r w:rsidRPr="00550D35">
              <w:rPr>
                <w:rFonts w:cs="Times New Roman"/>
                <w:b/>
                <w:i/>
                <w:sz w:val="20"/>
                <w:szCs w:val="20"/>
                <w:lang w:val="lv-LV"/>
              </w:rPr>
              <w:br/>
            </w:r>
          </w:p>
        </w:tc>
        <w:tc>
          <w:tcPr>
            <w:tcW w:w="2966" w:type="dxa"/>
            <w:tcMar>
              <w:top w:w="0" w:type="dxa"/>
              <w:left w:w="108" w:type="dxa"/>
              <w:bottom w:w="0" w:type="dxa"/>
              <w:right w:w="108" w:type="dxa"/>
            </w:tcMar>
            <w:vAlign w:val="center"/>
          </w:tcPr>
          <w:p w14:paraId="066AF909" w14:textId="77777777" w:rsidR="003D6E20" w:rsidRPr="00550D35" w:rsidRDefault="003D6E20" w:rsidP="00BA62A0">
            <w:pPr>
              <w:pStyle w:val="ListParagraph"/>
              <w:spacing w:after="120"/>
              <w:ind w:left="221" w:firstLine="0"/>
              <w:rPr>
                <w:rFonts w:cs="Times New Roman"/>
                <w:i/>
                <w:sz w:val="20"/>
                <w:szCs w:val="20"/>
                <w:lang w:val="lv-LV"/>
              </w:rPr>
            </w:pPr>
            <w:r w:rsidRPr="00550D35">
              <w:rPr>
                <w:rFonts w:cs="Times New Roman"/>
                <w:sz w:val="20"/>
                <w:szCs w:val="20"/>
                <w:lang w:val="lv-LV"/>
              </w:rPr>
              <w:t>Atsaucoties uz mērķiem, kas minēti Dekādes programmas 3.panta 1.daļas (a), (b), (e) un (g</w:t>
            </w:r>
            <w:r w:rsidRPr="00550D35">
              <w:rPr>
                <w:rFonts w:cs="Times New Roman"/>
                <w:i/>
                <w:sz w:val="20"/>
                <w:szCs w:val="20"/>
                <w:lang w:val="lv-LV"/>
              </w:rPr>
              <w:t xml:space="preserve">) </w:t>
            </w:r>
            <w:r w:rsidRPr="00550D35">
              <w:rPr>
                <w:rFonts w:cs="Times New Roman"/>
                <w:sz w:val="20"/>
                <w:szCs w:val="20"/>
                <w:lang w:val="lv-LV"/>
              </w:rPr>
              <w:t xml:space="preserve"> punktā</w:t>
            </w:r>
          </w:p>
        </w:tc>
        <w:tc>
          <w:tcPr>
            <w:tcW w:w="4121" w:type="dxa"/>
          </w:tcPr>
          <w:p w14:paraId="50E09287" w14:textId="1879646D" w:rsidR="003D6E20" w:rsidRPr="00550D35" w:rsidRDefault="003D6E20" w:rsidP="00BA62A0">
            <w:pPr>
              <w:spacing w:before="0" w:after="60"/>
              <w:ind w:firstLine="0"/>
              <w:rPr>
                <w:sz w:val="20"/>
                <w:lang w:val="lv-LV"/>
              </w:rPr>
            </w:pPr>
            <w:r w:rsidRPr="00550D35">
              <w:rPr>
                <w:sz w:val="20"/>
                <w:lang w:val="lv-LV"/>
              </w:rPr>
              <w:t xml:space="preserve"> 1.-4. un 6. pasākuma sinerģija nodrošina veselības datu digitālās infrastruktūras attīstīšanu, kas balstīta </w:t>
            </w:r>
            <w:proofErr w:type="spellStart"/>
            <w:r w:rsidRPr="00550D35">
              <w:rPr>
                <w:sz w:val="20"/>
                <w:lang w:val="lv-LV"/>
              </w:rPr>
              <w:t>atvērtībā</w:t>
            </w:r>
            <w:proofErr w:type="spellEnd"/>
            <w:r w:rsidRPr="00550D35">
              <w:rPr>
                <w:sz w:val="20"/>
                <w:lang w:val="lv-LV"/>
              </w:rPr>
              <w:t xml:space="preserve"> un </w:t>
            </w:r>
            <w:proofErr w:type="spellStart"/>
            <w:r w:rsidRPr="00550D35">
              <w:rPr>
                <w:sz w:val="20"/>
                <w:lang w:val="lv-LV"/>
              </w:rPr>
              <w:t>sadarbspējā</w:t>
            </w:r>
            <w:proofErr w:type="spellEnd"/>
            <w:r w:rsidRPr="00550D35">
              <w:rPr>
                <w:sz w:val="20"/>
                <w:lang w:val="lv-LV"/>
              </w:rPr>
              <w:t>, nodrošinot elek</w:t>
            </w:r>
            <w:r w:rsidR="00E35124">
              <w:rPr>
                <w:sz w:val="20"/>
                <w:lang w:val="lv-LV"/>
              </w:rPr>
              <w:t>t</w:t>
            </w:r>
            <w:r w:rsidRPr="00550D35">
              <w:rPr>
                <w:sz w:val="20"/>
                <w:lang w:val="lv-LV"/>
              </w:rPr>
              <w:t>ronisko veselības datu pieejamību iedzīvotājiem, tostarp pārrobežu kontekstā. 5. pasākumā paredzēts veicināt digitālās veselības pakalpojumu izmantošanu sabiedrībā, izstrādājot mācību materiālus, kā arī paredzēts Valsts un pašvaldības vienotajam klientu apkalpošanas centram nodrošināt iedzīvotājiem atbalstu digitālās veselības pakalpojumu izmantošanā.</w:t>
            </w:r>
          </w:p>
        </w:tc>
      </w:tr>
      <w:tr w:rsidR="003D6E20" w:rsidRPr="003B2E9A" w14:paraId="24C8E1E0" w14:textId="77777777" w:rsidTr="000C54FA">
        <w:trPr>
          <w:trHeight w:val="1096"/>
        </w:trPr>
        <w:tc>
          <w:tcPr>
            <w:tcW w:w="1560" w:type="dxa"/>
            <w:tcMar>
              <w:top w:w="0" w:type="dxa"/>
              <w:left w:w="108" w:type="dxa"/>
              <w:bottom w:w="0" w:type="dxa"/>
              <w:right w:w="108" w:type="dxa"/>
            </w:tcMar>
            <w:vAlign w:val="center"/>
            <w:hideMark/>
          </w:tcPr>
          <w:p w14:paraId="1C02165A" w14:textId="77777777" w:rsidR="003D6E20" w:rsidRPr="00550D35" w:rsidRDefault="003D6E20" w:rsidP="00BA62A0">
            <w:pPr>
              <w:pStyle w:val="ListParagraph"/>
              <w:spacing w:after="120"/>
              <w:ind w:left="0" w:firstLine="0"/>
              <w:rPr>
                <w:rFonts w:cs="Times New Roman"/>
                <w:b/>
                <w:i/>
                <w:sz w:val="20"/>
                <w:szCs w:val="20"/>
                <w:lang w:val="lv-LV"/>
              </w:rPr>
            </w:pPr>
            <w:r w:rsidRPr="00550D35">
              <w:rPr>
                <w:rFonts w:cs="Times New Roman"/>
                <w:b/>
                <w:i/>
                <w:sz w:val="20"/>
                <w:szCs w:val="20"/>
                <w:lang w:val="lv-LV"/>
              </w:rPr>
              <w:t>Veicināt līderību un suverenitāti</w:t>
            </w:r>
            <w:r w:rsidRPr="00550D35">
              <w:rPr>
                <w:rFonts w:cs="Times New Roman"/>
                <w:bCs/>
                <w:i/>
                <w:sz w:val="20"/>
                <w:szCs w:val="20"/>
                <w:lang w:val="lv-LV"/>
              </w:rPr>
              <w:t>)</w:t>
            </w:r>
          </w:p>
        </w:tc>
        <w:tc>
          <w:tcPr>
            <w:tcW w:w="2966" w:type="dxa"/>
            <w:tcMar>
              <w:top w:w="0" w:type="dxa"/>
              <w:left w:w="108" w:type="dxa"/>
              <w:bottom w:w="0" w:type="dxa"/>
              <w:right w:w="108" w:type="dxa"/>
            </w:tcMar>
            <w:vAlign w:val="center"/>
            <w:hideMark/>
          </w:tcPr>
          <w:p w14:paraId="172029C1" w14:textId="77777777" w:rsidR="003D6E20" w:rsidRPr="00550D35" w:rsidRDefault="003D6E20" w:rsidP="00BA62A0">
            <w:pPr>
              <w:pStyle w:val="ListParagraph"/>
              <w:spacing w:after="120"/>
              <w:ind w:left="223" w:firstLine="0"/>
              <w:rPr>
                <w:rFonts w:cs="Times New Roman"/>
                <w:i/>
                <w:sz w:val="20"/>
                <w:szCs w:val="20"/>
                <w:lang w:val="lv-LV"/>
              </w:rPr>
            </w:pPr>
            <w:r w:rsidRPr="00550D35">
              <w:rPr>
                <w:rFonts w:cs="Times New Roman"/>
                <w:sz w:val="20"/>
                <w:szCs w:val="20"/>
                <w:lang w:val="lv-LV"/>
              </w:rPr>
              <w:t>Atsaucoties uz mērķiem, kas minēti Dekādes programmas 3.panta 1.daļas (c), (d), (</w:t>
            </w:r>
            <w:proofErr w:type="spellStart"/>
            <w:r w:rsidRPr="00550D35">
              <w:rPr>
                <w:rFonts w:cs="Times New Roman"/>
                <w:sz w:val="20"/>
                <w:szCs w:val="20"/>
                <w:lang w:val="lv-LV"/>
              </w:rPr>
              <w:t>da</w:t>
            </w:r>
            <w:proofErr w:type="spellEnd"/>
            <w:r w:rsidRPr="00550D35">
              <w:rPr>
                <w:rFonts w:cs="Times New Roman"/>
                <w:sz w:val="20"/>
                <w:szCs w:val="20"/>
                <w:lang w:val="lv-LV"/>
              </w:rPr>
              <w:t>), (ha) un (</w:t>
            </w:r>
            <w:proofErr w:type="spellStart"/>
            <w:r w:rsidRPr="00550D35">
              <w:rPr>
                <w:rFonts w:cs="Times New Roman"/>
                <w:sz w:val="20"/>
                <w:szCs w:val="20"/>
                <w:lang w:val="lv-LV"/>
              </w:rPr>
              <w:t>db</w:t>
            </w:r>
            <w:proofErr w:type="spellEnd"/>
            <w:r w:rsidRPr="00550D35">
              <w:rPr>
                <w:rFonts w:cs="Times New Roman"/>
                <w:sz w:val="20"/>
                <w:szCs w:val="20"/>
                <w:lang w:val="lv-LV"/>
              </w:rPr>
              <w:t>) punktā</w:t>
            </w:r>
          </w:p>
        </w:tc>
        <w:tc>
          <w:tcPr>
            <w:tcW w:w="4121" w:type="dxa"/>
          </w:tcPr>
          <w:p w14:paraId="47EE8749" w14:textId="77777777" w:rsidR="003D6E20" w:rsidRPr="00550D35" w:rsidRDefault="003D6E20" w:rsidP="00BA62A0">
            <w:pPr>
              <w:pStyle w:val="ListParagraph"/>
              <w:spacing w:after="120"/>
              <w:ind w:left="0" w:firstLine="0"/>
              <w:rPr>
                <w:rFonts w:cs="Times New Roman"/>
                <w:sz w:val="20"/>
                <w:szCs w:val="20"/>
                <w:lang w:val="lv-LV"/>
              </w:rPr>
            </w:pPr>
            <w:r w:rsidRPr="00550D35">
              <w:rPr>
                <w:rFonts w:cs="Times New Roman"/>
                <w:sz w:val="20"/>
                <w:szCs w:val="20"/>
                <w:lang w:val="lv-LV"/>
              </w:rPr>
              <w:t xml:space="preserve">5. pasākums paredz </w:t>
            </w:r>
            <w:r w:rsidRPr="00550D35">
              <w:rPr>
                <w:sz w:val="20"/>
                <w:lang w:val="lv-LV"/>
              </w:rPr>
              <w:t>veicināt digitālās veselības pakalpojumu izmantošanu sabiedrībā un informēt iedzīvotājus par digitālās veselības sniegtajām iespējām. Tas veicinās digitālās veselības risinājumu pieejamību iedzīvotājiem un uzlabos iedzīvotāju iespēju kontrolēt savu elektronisko veselības datu apstrādi.</w:t>
            </w:r>
          </w:p>
        </w:tc>
      </w:tr>
      <w:tr w:rsidR="003D6E20" w:rsidRPr="003B2E9A" w14:paraId="428F016E" w14:textId="77777777" w:rsidTr="000C54FA">
        <w:trPr>
          <w:trHeight w:val="1120"/>
        </w:trPr>
        <w:tc>
          <w:tcPr>
            <w:tcW w:w="1560" w:type="dxa"/>
            <w:tcMar>
              <w:top w:w="0" w:type="dxa"/>
              <w:left w:w="108" w:type="dxa"/>
              <w:bottom w:w="0" w:type="dxa"/>
              <w:right w:w="108" w:type="dxa"/>
            </w:tcMar>
            <w:vAlign w:val="center"/>
          </w:tcPr>
          <w:p w14:paraId="498E067F" w14:textId="77777777" w:rsidR="003D6E20" w:rsidRPr="00550D35" w:rsidRDefault="003D6E20" w:rsidP="00BA62A0">
            <w:pPr>
              <w:pStyle w:val="ListParagraph"/>
              <w:spacing w:after="120"/>
              <w:ind w:left="142" w:firstLine="0"/>
              <w:rPr>
                <w:rFonts w:cs="Times New Roman"/>
                <w:b/>
                <w:i/>
                <w:sz w:val="20"/>
                <w:szCs w:val="20"/>
                <w:lang w:val="lv-LV"/>
              </w:rPr>
            </w:pPr>
            <w:r w:rsidRPr="00550D35">
              <w:rPr>
                <w:rFonts w:cs="Times New Roman"/>
                <w:b/>
                <w:i/>
                <w:sz w:val="20"/>
                <w:szCs w:val="20"/>
                <w:lang w:val="lv-LV"/>
              </w:rPr>
              <w:t xml:space="preserve">Veicināt zaļo pārveidi </w:t>
            </w:r>
          </w:p>
        </w:tc>
        <w:tc>
          <w:tcPr>
            <w:tcW w:w="2966" w:type="dxa"/>
            <w:tcMar>
              <w:top w:w="0" w:type="dxa"/>
              <w:left w:w="108" w:type="dxa"/>
              <w:bottom w:w="0" w:type="dxa"/>
              <w:right w:w="108" w:type="dxa"/>
            </w:tcMar>
            <w:vAlign w:val="center"/>
          </w:tcPr>
          <w:p w14:paraId="689C11D9" w14:textId="77777777" w:rsidR="003D6E20" w:rsidRPr="00550D35" w:rsidRDefault="003D6E20" w:rsidP="00BA62A0">
            <w:pPr>
              <w:pStyle w:val="ListParagraph"/>
              <w:spacing w:after="120"/>
              <w:ind w:left="223" w:firstLine="0"/>
              <w:rPr>
                <w:rFonts w:cs="Times New Roman"/>
                <w:sz w:val="20"/>
                <w:szCs w:val="20"/>
                <w:lang w:val="lv-LV"/>
              </w:rPr>
            </w:pPr>
            <w:r w:rsidRPr="00550D35">
              <w:rPr>
                <w:rFonts w:cs="Times New Roman"/>
                <w:sz w:val="20"/>
                <w:szCs w:val="20"/>
                <w:lang w:val="lv-LV"/>
              </w:rPr>
              <w:t>Atsaucoties uz mērķiem, kas minēti Dekādes programmas</w:t>
            </w:r>
            <w:r w:rsidRPr="00550D35">
              <w:rPr>
                <w:rFonts w:cs="Times New Roman"/>
                <w:sz w:val="20"/>
                <w:szCs w:val="20"/>
                <w:lang w:val="lv-LV"/>
              </w:rPr>
              <w:br/>
              <w:t>3. panta 1.daļas (f) punktā</w:t>
            </w:r>
          </w:p>
        </w:tc>
        <w:tc>
          <w:tcPr>
            <w:tcW w:w="4121" w:type="dxa"/>
          </w:tcPr>
          <w:p w14:paraId="46659842" w14:textId="77777777" w:rsidR="003D6E20" w:rsidRPr="00430B4B" w:rsidRDefault="003D6E20" w:rsidP="00BA62A0">
            <w:pPr>
              <w:pStyle w:val="ListParagraph"/>
              <w:spacing w:before="0" w:after="120"/>
              <w:ind w:left="0" w:firstLine="0"/>
              <w:rPr>
                <w:rFonts w:cs="Times New Roman"/>
                <w:i/>
                <w:sz w:val="20"/>
                <w:szCs w:val="20"/>
                <w:lang w:val="lv-LV"/>
              </w:rPr>
            </w:pPr>
            <w:r w:rsidRPr="00041643">
              <w:rPr>
                <w:sz w:val="20"/>
                <w:szCs w:val="20"/>
                <w:lang w:val="lv-LV"/>
              </w:rPr>
              <w:t>Visi seši minētie pasākumi ir vērsti uz digitālo risinājumu radīšanu un izmantošanas veicināšanu, mazinot nepieciešamību cilvēkiem apmeklēt ārstniecības iestādes, ciktāl katrā konkrētā gadījumā no ārstniecības viedokļa tas ir pieļaujams, tādējādi samazinot negatīvo ietekmi uz vidi.</w:t>
            </w:r>
          </w:p>
        </w:tc>
      </w:tr>
    </w:tbl>
    <w:p w14:paraId="0336B08E" w14:textId="77777777" w:rsidR="003D6E20" w:rsidRPr="00550D35" w:rsidRDefault="003D6E20" w:rsidP="003D6E20">
      <w:pPr>
        <w:pStyle w:val="Text3"/>
        <w:ind w:left="0" w:firstLine="0"/>
        <w:rPr>
          <w:lang w:val="lv-LV"/>
        </w:rPr>
      </w:pPr>
    </w:p>
    <w:p w14:paraId="641FF806" w14:textId="77777777" w:rsidR="003D6E20" w:rsidRPr="00550D35" w:rsidRDefault="003D6E20" w:rsidP="003D6E20">
      <w:pPr>
        <w:pStyle w:val="Heading2"/>
        <w:rPr>
          <w:lang w:val="lv-LV"/>
        </w:rPr>
      </w:pPr>
      <w:r w:rsidRPr="00550D35">
        <w:rPr>
          <w:lang w:val="lv-LV"/>
        </w:rPr>
        <w:t>ES līmeņa sadarbība</w:t>
      </w:r>
    </w:p>
    <w:p w14:paraId="397AE01D" w14:textId="77777777" w:rsidR="003D6E20" w:rsidRPr="00550D35" w:rsidRDefault="003D6E20" w:rsidP="003D6E20">
      <w:pPr>
        <w:pStyle w:val="Heading3"/>
        <w:rPr>
          <w:lang w:val="lv-LV"/>
        </w:rPr>
      </w:pPr>
      <w:r w:rsidRPr="00550D35">
        <w:rPr>
          <w:lang w:val="lv-LV"/>
        </w:rPr>
        <w:t>Daudzvalstu projekti</w:t>
      </w:r>
    </w:p>
    <w:p w14:paraId="39F49286" w14:textId="77777777" w:rsidR="003D6E20" w:rsidRPr="00550D35" w:rsidRDefault="003D6E20" w:rsidP="003D6E20">
      <w:pPr>
        <w:rPr>
          <w:lang w:val="lv-LV"/>
        </w:rPr>
      </w:pPr>
      <w:r w:rsidRPr="00550D35">
        <w:rPr>
          <w:lang w:val="lv-LV"/>
        </w:rPr>
        <w:t xml:space="preserve">Nacionālais veselības dienests veic sagatavošanas darbus, lai pievienotos Eiropas veselības datu telpai, tostarp pārrobežu veselības datu apmaiņas infrastruktūrai, izmantojot </w:t>
      </w:r>
      <w:r w:rsidRPr="00550D35">
        <w:rPr>
          <w:szCs w:val="24"/>
          <w:lang w:val="lv-LV"/>
        </w:rPr>
        <w:t>EISI un valsts budžeta finansējumu.</w:t>
      </w:r>
      <w:r w:rsidRPr="00550D35">
        <w:rPr>
          <w:lang w:val="lv-LV"/>
        </w:rPr>
        <w:t xml:space="preserve"> 2023. gadā Latvija veica elektronisko veselības datu apmaiņas testēšanu ar Igauniju, Portugāli, Spāniju, Čehiju un Poliju. 2023. gadā tika veikts starptautisks audits, kas aptvēra piecas galvenās jomas: juridisko un organizatorisko, pakalpojumu sniegšanu, informācijas drošību, semantisko savietojamību un tehnisko savietojamību. 2023. gada oktobrī plānots sākt produkcijas vides testēšanu ar Igauniju, Lietuvu, Poliju, Portugāli, Spāniju un Čehiju un no 2024. gada 1. februāra sākt darbu produkcijas vidē un nodrošināt pārrobežu pacientu veselības datu kopsavilkumu un e-recepšu datu apmaiņu ar Igauniju, Portugāli, Spāniju, Čehiju un Poliju.</w:t>
      </w:r>
    </w:p>
    <w:p w14:paraId="76A5FE49" w14:textId="77777777" w:rsidR="003D6E20" w:rsidRPr="00550D35" w:rsidRDefault="003D6E20" w:rsidP="003D6E20">
      <w:pPr>
        <w:ind w:firstLine="0"/>
        <w:rPr>
          <w:lang w:val="lv-LV"/>
        </w:rPr>
      </w:pPr>
    </w:p>
    <w:p w14:paraId="59192E07" w14:textId="77777777" w:rsidR="003D6E20" w:rsidRPr="00550D35" w:rsidRDefault="003D6E20" w:rsidP="003D6E20">
      <w:pPr>
        <w:pStyle w:val="Heading3"/>
        <w:rPr>
          <w:lang w:val="lv-LV"/>
        </w:rPr>
      </w:pPr>
      <w:r w:rsidRPr="00550D35">
        <w:rPr>
          <w:lang w:val="lv-LV"/>
        </w:rPr>
        <w:t>Veicinošie faktori ES līmenī</w:t>
      </w:r>
    </w:p>
    <w:p w14:paraId="3607B7F5" w14:textId="77777777" w:rsidR="003D6E20" w:rsidRPr="00550D35" w:rsidRDefault="003D6E20" w:rsidP="003D6E20">
      <w:pPr>
        <w:rPr>
          <w:lang w:val="lv-LV"/>
        </w:rPr>
      </w:pPr>
      <w:r w:rsidRPr="00550D35">
        <w:rPr>
          <w:lang w:val="lv-LV"/>
        </w:rPr>
        <w:t xml:space="preserve">Paredzams, ka Digitālās dekādes programmas īstenošanas laikā tiks pieņemta un spēkā stāsies Eiropas veselības datu telpas regula, kas cita starpā ES dalībvalstīm noteiks obligātus nosacījumus saistībā ar elektronisko veselības datu pieejamību pacientiem, tostarp pārrobežu kontekstā. Šajā regulā paredzētie ieviešanas termiņi vēl tiks precizēti, kā arī tie ir atkarīgi no brīža, kad regula stāsies spēkā, tomēr paredzams, ka tā paredzēs obligātus nosacījumus šādu veselības datu kategoriju pieejamībai: pacienta veselības </w:t>
      </w:r>
      <w:r w:rsidRPr="00550D35">
        <w:rPr>
          <w:lang w:val="lv-LV"/>
        </w:rPr>
        <w:lastRenderedPageBreak/>
        <w:t>pārskati, e-receptes un to izsniegšanas dati, vizuālās diagnostikas attēli un attēlu apraksti, laboratorisko izmeklējumu rezultāti, slimnīcu izraksti.</w:t>
      </w:r>
    </w:p>
    <w:p w14:paraId="6128FDAE" w14:textId="77777777" w:rsidR="003D6E20" w:rsidRPr="00550D35" w:rsidRDefault="003D6E20" w:rsidP="003D6E20">
      <w:pPr>
        <w:pStyle w:val="Heading2"/>
        <w:rPr>
          <w:lang w:val="lv-LV"/>
        </w:rPr>
      </w:pPr>
      <w:r w:rsidRPr="00550D35">
        <w:rPr>
          <w:lang w:val="lv-LV"/>
        </w:rPr>
        <w:t>Ieinteresēto personu atsauksmes</w:t>
      </w:r>
    </w:p>
    <w:p w14:paraId="7C98E794" w14:textId="2C8D0A33" w:rsidR="003D6E20" w:rsidRPr="00550D35" w:rsidRDefault="003D6E20" w:rsidP="003D6E20">
      <w:pPr>
        <w:rPr>
          <w:lang w:val="lv-LV"/>
        </w:rPr>
      </w:pPr>
      <w:r w:rsidRPr="00041643">
        <w:rPr>
          <w:lang w:val="lv-LV"/>
        </w:rPr>
        <w:t xml:space="preserve">LIKTA biedrs SIA “TET” aicināja papildināt ceļveža Latvijai 15. sadaļu “Piekļuve pacienta e-veselības kartei” ar plašāku skaidrojumu kā tieši tiks veikta iedzīvotāju veselības datu </w:t>
      </w:r>
      <w:proofErr w:type="spellStart"/>
      <w:r w:rsidRPr="00041643">
        <w:rPr>
          <w:lang w:val="lv-LV"/>
        </w:rPr>
        <w:t>digitalizācija</w:t>
      </w:r>
      <w:proofErr w:type="spellEnd"/>
      <w:r w:rsidRPr="00041643">
        <w:rPr>
          <w:lang w:val="lv-LV"/>
        </w:rPr>
        <w:t xml:space="preserve"> un noteikt šī mērķa izpildi kā KPI. Ceļvedis Latvijai tika papildināts ar informāciju par papildu pasākumu (Pasākums Nr. 6), kas ir tieši saistīts ar šo problēmu, ceļveža Latvijai 15. sadaļā “Piekļuve e-veselības kartei” sniegts skaidrojums tam, kā ceļvedī Latvijai iekļautie pasākumi to risinās. Tiek skaidrots, ka vienotu standartu un prasību neesamību risinās 15. sadaļā iekļautais pasākums Nr. 3, kas paredz noteikt visām ārstniecības iestādēm vienādas prasības datu ievadei. Savukārt 15. sadaļas 6. pasākumā ir paredzēts stiprināt Veselības ministrijas resora kapacitāti digitālās veselības risinājumu ieviešanā, piesaistot papildu cilvēkresursus, un ieviest veselības nozares IKT pārvaldības modeli, kas nodrošina datos un tehnoloģijās balstītu veselības aprūpes pārvaldību. Savukārt 4. pasākums paredz attīstīt jaunu veselības datu kategoriju pieejamību EVK, kas palielinās digitāli pieejamo veselības datu klāstu</w:t>
      </w:r>
      <w:r w:rsidRPr="00550D35">
        <w:rPr>
          <w:lang w:val="lv-LV"/>
        </w:rPr>
        <w:t>.</w:t>
      </w:r>
    </w:p>
    <w:p w14:paraId="10F92423" w14:textId="77777777" w:rsidR="003D6E20" w:rsidRPr="00550D35" w:rsidRDefault="003D6E20" w:rsidP="003D6E20">
      <w:pPr>
        <w:pStyle w:val="Heading2"/>
        <w:rPr>
          <w:lang w:val="lv-LV"/>
        </w:rPr>
      </w:pPr>
      <w:r w:rsidRPr="00550D35">
        <w:rPr>
          <w:lang w:val="lv-LV"/>
        </w:rPr>
        <w:t>Vispārējā ietekme un secinājumi</w:t>
      </w:r>
    </w:p>
    <w:p w14:paraId="40EC007F" w14:textId="77777777" w:rsidR="003D6E20" w:rsidRDefault="003D6E20" w:rsidP="003D6E20">
      <w:pPr>
        <w:rPr>
          <w:lang w:val="lv-LV"/>
        </w:rPr>
      </w:pPr>
      <w:r w:rsidRPr="00550D35">
        <w:rPr>
          <w:lang w:val="lv-LV"/>
        </w:rPr>
        <w:t>Paredzams, ka līdz 2030. gadam pilnībā vai daļēji tiks piemēroti topošās Eiropas veselības datu telpas</w:t>
      </w:r>
      <w:r w:rsidRPr="00550D35">
        <w:rPr>
          <w:rStyle w:val="FootnoteReference"/>
          <w:lang w:val="lv-LV"/>
        </w:rPr>
        <w:footnoteReference w:id="89"/>
      </w:r>
      <w:r w:rsidRPr="00550D35">
        <w:rPr>
          <w:lang w:val="lv-LV"/>
        </w:rPr>
        <w:t xml:space="preserve"> nosacījumi, tostarp obligāti nosacījumi par noteiktu elektronisko veselības datu kategoriju pieejamību iedzīvotājiem. Latvija un citas dalībvalstis ir uzsākušas darbu, lai iekļautos topošajā Eiropas veselības datu telpā.</w:t>
      </w:r>
    </w:p>
    <w:p w14:paraId="4F5CFB93" w14:textId="3D65987B" w:rsidR="00B52E9B" w:rsidRPr="00B52E9B" w:rsidRDefault="00B52E9B" w:rsidP="003D6E20">
      <w:pPr>
        <w:rPr>
          <w:lang w:val="lv-LV"/>
        </w:rPr>
      </w:pPr>
      <w:r w:rsidRPr="00B52E9B">
        <w:rPr>
          <w:lang w:val="lv-LV"/>
        </w:rPr>
        <w:t xml:space="preserve">Nodaļā KPI “Piekļuve pacienta e-veselības kartei” aprakstītā politika un pasākumi sniegs ieguldījumu, lai paātrinātu centienus </w:t>
      </w:r>
      <w:proofErr w:type="spellStart"/>
      <w:r w:rsidRPr="00B52E9B">
        <w:rPr>
          <w:lang w:val="lv-LV"/>
        </w:rPr>
        <w:t>digitalizēt</w:t>
      </w:r>
      <w:proofErr w:type="spellEnd"/>
      <w:r w:rsidRPr="00B52E9B">
        <w:rPr>
          <w:lang w:val="lv-LV"/>
        </w:rPr>
        <w:t xml:space="preserve"> publiskos pakalpojumus, jo īpaši turpinot darbu, lai elektroniskie veselības ieraksti būtu viegli pieejami, kā tas norādīts EK ieteikumā Digitālās dekādes 2023.gada ziņojumā par Latviju.</w:t>
      </w:r>
    </w:p>
    <w:p w14:paraId="5C89AB99" w14:textId="3C521D30" w:rsidR="00255D89" w:rsidRDefault="00AA2C73" w:rsidP="00B52E9B">
      <w:pPr>
        <w:pStyle w:val="Heading1"/>
      </w:pPr>
      <w:bookmarkStart w:id="43" w:name="_Toc135226684"/>
      <w:bookmarkStart w:id="44" w:name="_Toc155952348"/>
      <w:bookmarkEnd w:id="42"/>
      <w:r w:rsidRPr="00550D35">
        <w:t>Piekļuve</w:t>
      </w:r>
      <w:r w:rsidR="00255D89" w:rsidRPr="00550D35">
        <w:t xml:space="preserve"> elektronisk</w:t>
      </w:r>
      <w:r w:rsidRPr="00550D35">
        <w:t>ai</w:t>
      </w:r>
      <w:r w:rsidR="00255D89" w:rsidRPr="00550D35">
        <w:t xml:space="preserve"> identifikācij</w:t>
      </w:r>
      <w:bookmarkEnd w:id="43"/>
      <w:r w:rsidRPr="00550D35">
        <w:t>ai</w:t>
      </w:r>
      <w:bookmarkEnd w:id="44"/>
    </w:p>
    <w:p w14:paraId="72757352" w14:textId="55A6B455" w:rsidR="00C03A8C" w:rsidRPr="00550D35" w:rsidRDefault="00AA2C73" w:rsidP="00FE687F">
      <w:pPr>
        <w:ind w:firstLine="0"/>
        <w:rPr>
          <w:i/>
          <w:iCs/>
          <w:lang w:val="lv-LV"/>
        </w:rPr>
      </w:pPr>
      <w:r w:rsidRPr="00550D35">
        <w:rPr>
          <w:b/>
          <w:bCs/>
          <w:i/>
          <w:iCs/>
          <w:lang w:val="lv-LV"/>
        </w:rPr>
        <w:t xml:space="preserve">Piekļuve </w:t>
      </w:r>
      <w:r w:rsidR="009065B3" w:rsidRPr="00550D35">
        <w:rPr>
          <w:b/>
          <w:bCs/>
          <w:i/>
          <w:iCs/>
          <w:lang w:val="lv-LV"/>
        </w:rPr>
        <w:t>elektronisk</w:t>
      </w:r>
      <w:r w:rsidRPr="00550D35">
        <w:rPr>
          <w:b/>
          <w:bCs/>
          <w:i/>
          <w:iCs/>
          <w:lang w:val="lv-LV"/>
        </w:rPr>
        <w:t>ai</w:t>
      </w:r>
      <w:r w:rsidR="009065B3" w:rsidRPr="00550D35">
        <w:rPr>
          <w:b/>
          <w:bCs/>
          <w:i/>
          <w:iCs/>
          <w:lang w:val="lv-LV"/>
        </w:rPr>
        <w:t xml:space="preserve"> identifikācija</w:t>
      </w:r>
      <w:r w:rsidRPr="00550D35">
        <w:rPr>
          <w:b/>
          <w:bCs/>
          <w:i/>
          <w:iCs/>
          <w:lang w:val="lv-LV"/>
        </w:rPr>
        <w:t>i</w:t>
      </w:r>
      <w:r w:rsidR="00FE687F" w:rsidRPr="00550D35">
        <w:rPr>
          <w:i/>
          <w:iCs/>
          <w:lang w:val="lv-LV"/>
        </w:rPr>
        <w:t>, ko mēra ar diviem KPI:</w:t>
      </w:r>
      <w:r w:rsidR="00513B62" w:rsidRPr="00550D35">
        <w:rPr>
          <w:i/>
          <w:iCs/>
          <w:lang w:val="lv-LV"/>
        </w:rPr>
        <w:t xml:space="preserve"> </w:t>
      </w:r>
      <w:r w:rsidR="00C03A8C" w:rsidRPr="00550D35">
        <w:rPr>
          <w:i/>
          <w:iCs/>
          <w:lang w:val="lv-LV"/>
        </w:rPr>
        <w:t xml:space="preserve">1) to dalībvalstu skaits, kuras ir paziņojušas vismaz vienu valsts </w:t>
      </w:r>
      <w:proofErr w:type="spellStart"/>
      <w:r w:rsidR="00C03A8C" w:rsidRPr="00550D35">
        <w:rPr>
          <w:i/>
          <w:iCs/>
          <w:lang w:val="lv-LV"/>
        </w:rPr>
        <w:t>eID</w:t>
      </w:r>
      <w:proofErr w:type="spellEnd"/>
      <w:r w:rsidR="00C03A8C" w:rsidRPr="00550D35">
        <w:rPr>
          <w:i/>
          <w:iCs/>
          <w:lang w:val="lv-LV"/>
        </w:rPr>
        <w:t xml:space="preserve"> shēmu saskaņā ar Regulu (ES) Nr. 910/2014, un 2) to dalībvalstu skaits, kuras ar Eiropas digitālās identitātes maka starpniecību ir nodrošinājušas piekļuvi drošai privātumu veicinošai </w:t>
      </w:r>
      <w:proofErr w:type="spellStart"/>
      <w:r w:rsidR="00C03A8C" w:rsidRPr="00550D35">
        <w:rPr>
          <w:i/>
          <w:iCs/>
          <w:lang w:val="lv-LV"/>
        </w:rPr>
        <w:t>eID</w:t>
      </w:r>
      <w:proofErr w:type="spellEnd"/>
      <w:r w:rsidR="00C03A8C" w:rsidRPr="00550D35">
        <w:rPr>
          <w:i/>
          <w:iCs/>
          <w:lang w:val="lv-LV"/>
        </w:rPr>
        <w:t xml:space="preserve"> saskaņā ar priekšlikumu </w:t>
      </w:r>
      <w:r w:rsidR="0057342B" w:rsidRPr="00550D35">
        <w:rPr>
          <w:i/>
          <w:iCs/>
          <w:lang w:val="lv-LV"/>
        </w:rPr>
        <w:t>EP</w:t>
      </w:r>
      <w:r w:rsidR="00C03A8C" w:rsidRPr="00550D35">
        <w:rPr>
          <w:i/>
          <w:iCs/>
          <w:lang w:val="lv-LV"/>
        </w:rPr>
        <w:t xml:space="preserve"> un Padomes regulai, ar ko Regulu (ES) Nr. 910/2014 groza attiecībā uz Eiropas digitālās identitātes regulējuma izveidi</w:t>
      </w:r>
      <w:r w:rsidR="00667458" w:rsidRPr="00550D35">
        <w:rPr>
          <w:i/>
          <w:iCs/>
          <w:lang w:val="lv-LV"/>
        </w:rPr>
        <w:t>.</w:t>
      </w:r>
      <w:r w:rsidR="00513B62" w:rsidRPr="00550D35">
        <w:rPr>
          <w:rStyle w:val="FootnoteReference"/>
          <w:i/>
          <w:iCs/>
          <w:lang w:val="lv-LV"/>
        </w:rPr>
        <w:footnoteReference w:id="90"/>
      </w:r>
    </w:p>
    <w:p w14:paraId="14966527" w14:textId="77777777" w:rsidR="00CF5B1D" w:rsidRPr="00550D35" w:rsidRDefault="00CF5B1D" w:rsidP="00CF5B1D">
      <w:pPr>
        <w:pStyle w:val="Heading2"/>
        <w:rPr>
          <w:lang w:val="lv-LV" w:eastAsia="lv-LV"/>
        </w:rPr>
      </w:pPr>
      <w:r w:rsidRPr="00550D35">
        <w:rPr>
          <w:lang w:val="lv-LV"/>
        </w:rPr>
        <w:t>Analīze par pašreizējo stāvokli digitālās pārveides jomā dalībvalsts kontekstā</w:t>
      </w:r>
    </w:p>
    <w:p w14:paraId="68B34E8D" w14:textId="77777777" w:rsidR="00CF5B1D" w:rsidRPr="00550D35" w:rsidRDefault="00CF5B1D" w:rsidP="00CF5B1D">
      <w:pPr>
        <w:rPr>
          <w:lang w:val="lv-LV"/>
        </w:rPr>
      </w:pPr>
      <w:r w:rsidRPr="00550D35">
        <w:rPr>
          <w:lang w:val="lv-LV"/>
        </w:rPr>
        <w:t xml:space="preserve">Saskaņā ar DESI ziņojumu par 2022. gadu Latvija turpina integrēt elektroniskās identifikācijas, autentifikācijas un uzticamības pakalpojumus e-pakalpojumos un publisko iestāžu platformās. Latvijas elektroniskās </w:t>
      </w:r>
      <w:proofErr w:type="spellStart"/>
      <w:r w:rsidRPr="00550D35">
        <w:rPr>
          <w:lang w:val="lv-LV"/>
        </w:rPr>
        <w:t>eID</w:t>
      </w:r>
      <w:proofErr w:type="spellEnd"/>
      <w:r w:rsidRPr="00550D35">
        <w:rPr>
          <w:lang w:val="lv-LV"/>
        </w:rPr>
        <w:t xml:space="preserve"> shēma, kas paziņota EK 2019.gadā</w:t>
      </w:r>
      <w:r w:rsidRPr="00550D35">
        <w:rPr>
          <w:rStyle w:val="FootnoteReference"/>
          <w:lang w:val="lv-LV"/>
        </w:rPr>
        <w:footnoteReference w:id="91"/>
      </w:r>
      <w:r w:rsidRPr="00550D35">
        <w:rPr>
          <w:lang w:val="lv-LV"/>
        </w:rPr>
        <w:t xml:space="preserve">, saskaņā ar </w:t>
      </w:r>
      <w:proofErr w:type="spellStart"/>
      <w:r w:rsidRPr="00550D35">
        <w:rPr>
          <w:lang w:val="lv-LV"/>
        </w:rPr>
        <w:t>eIDAS</w:t>
      </w:r>
      <w:proofErr w:type="spellEnd"/>
      <w:r w:rsidRPr="00550D35">
        <w:rPr>
          <w:lang w:val="lv-LV"/>
        </w:rPr>
        <w:t xml:space="preserve"> regulu, uz 2023.gada 1. septembri jau nodrošina </w:t>
      </w:r>
      <w:proofErr w:type="spellStart"/>
      <w:r w:rsidRPr="00550D35">
        <w:rPr>
          <w:lang w:val="lv-LV"/>
        </w:rPr>
        <w:t>eID</w:t>
      </w:r>
      <w:proofErr w:type="spellEnd"/>
      <w:r w:rsidRPr="00550D35">
        <w:rPr>
          <w:lang w:val="lv-LV"/>
        </w:rPr>
        <w:t xml:space="preserve"> kartes vairāk kā </w:t>
      </w:r>
      <w:r w:rsidRPr="00550D35">
        <w:rPr>
          <w:lang w:val="lv-LV"/>
        </w:rPr>
        <w:lastRenderedPageBreak/>
        <w:t>66 % (vairāk kā 1,3 milj.) Latvijas iedzīvotāju, nodrošinot tiem iespēju vienkāršot digitālo mijiedarbību ar publiskām un privātām struktūrām.</w:t>
      </w:r>
    </w:p>
    <w:p w14:paraId="41D958B4" w14:textId="77777777" w:rsidR="00CF5B1D" w:rsidRPr="00550D35" w:rsidRDefault="00CF5B1D" w:rsidP="00CF5B1D">
      <w:pPr>
        <w:rPr>
          <w:lang w:val="lv-LV"/>
        </w:rPr>
      </w:pPr>
      <w:r w:rsidRPr="00550D35">
        <w:rPr>
          <w:lang w:val="lv-LV"/>
        </w:rPr>
        <w:t>Atbilstoši Fizisko personu elektroniskās identifikācijas likuma 3.pantā norādītajam nacionālā līmenī visiem LVRTC nodrošinātajiem e-Identifikācijas rīkiem - personas apliecībai (</w:t>
      </w:r>
      <w:proofErr w:type="spellStart"/>
      <w:r w:rsidRPr="00550D35">
        <w:rPr>
          <w:lang w:val="lv-LV"/>
        </w:rPr>
        <w:t>eID</w:t>
      </w:r>
      <w:proofErr w:type="spellEnd"/>
      <w:r w:rsidRPr="00550D35">
        <w:rPr>
          <w:lang w:val="lv-LV"/>
        </w:rPr>
        <w:t xml:space="preserve"> kartei) un lietotnei </w:t>
      </w:r>
      <w:proofErr w:type="spellStart"/>
      <w:r w:rsidRPr="00550D35">
        <w:rPr>
          <w:lang w:val="lv-LV"/>
        </w:rPr>
        <w:t>eParaksts</w:t>
      </w:r>
      <w:proofErr w:type="spellEnd"/>
      <w:r w:rsidRPr="00550D35">
        <w:rPr>
          <w:lang w:val="lv-LV"/>
        </w:rPr>
        <w:t xml:space="preserve"> </w:t>
      </w:r>
      <w:proofErr w:type="spellStart"/>
      <w:r w:rsidRPr="00550D35">
        <w:rPr>
          <w:lang w:val="lv-LV"/>
        </w:rPr>
        <w:t>mobile</w:t>
      </w:r>
      <w:proofErr w:type="spellEnd"/>
      <w:r w:rsidRPr="00550D35">
        <w:rPr>
          <w:lang w:val="lv-LV"/>
        </w:rPr>
        <w:t xml:space="preserve"> noteikts augstākais uzticamības līmenis, proti tie ir juridiski pielīdzināmi personu apliecinoša dokumenta uzrādīšanai klātienē.</w:t>
      </w:r>
    </w:p>
    <w:p w14:paraId="4A2CD74B" w14:textId="77777777" w:rsidR="00CF5B1D" w:rsidRPr="00550D35" w:rsidRDefault="00CF5B1D" w:rsidP="00CF5B1D">
      <w:pPr>
        <w:rPr>
          <w:lang w:val="lv-LV"/>
        </w:rPr>
      </w:pPr>
      <w:r w:rsidRPr="00550D35">
        <w:rPr>
          <w:lang w:val="lv-LV"/>
        </w:rPr>
        <w:t>Personas apliecības kā primārā personu apliecinošā dokumenta izsniegšana uzsākta 2021. gada 1. janvārī, kad stājās spēkā ar Personu apliecinošu dokumentu likumu pieņemtās normas. Tādējādi personām no 15 gadu vecuma tiek paredzēts pienākums saņemt personas apliecību līdz ar pases lietošanas derīguma beigu iestāšanos. Vienlaikus, ja persona vēlētos saņemt arī pasi, šādā gadījumā pase būtu izsniedzama, ja attiecīgai personai būtu izsniegta personas apliecība.</w:t>
      </w:r>
    </w:p>
    <w:p w14:paraId="354C3349" w14:textId="77777777" w:rsidR="00CF5B1D" w:rsidRPr="00550D35" w:rsidRDefault="00CF5B1D" w:rsidP="00CF5B1D">
      <w:pPr>
        <w:rPr>
          <w:lang w:val="lv-LV"/>
        </w:rPr>
      </w:pPr>
      <w:r w:rsidRPr="00550D35">
        <w:rPr>
          <w:lang w:val="lv-LV"/>
        </w:rPr>
        <w:t xml:space="preserve">Latvija ir iesaistīta arī pārrobežu projektos, piemēram, Ziemeļvalstu un Baltijas </w:t>
      </w:r>
      <w:proofErr w:type="spellStart"/>
      <w:r w:rsidRPr="00550D35">
        <w:rPr>
          <w:lang w:val="lv-LV"/>
        </w:rPr>
        <w:t>eID</w:t>
      </w:r>
      <w:proofErr w:type="spellEnd"/>
      <w:r w:rsidRPr="00550D35">
        <w:rPr>
          <w:lang w:val="lv-LV"/>
        </w:rPr>
        <w:t xml:space="preserve"> projektā</w:t>
      </w:r>
      <w:r w:rsidRPr="00550D35">
        <w:rPr>
          <w:rStyle w:val="FootnoteReference"/>
          <w:lang w:val="lv-LV"/>
        </w:rPr>
        <w:footnoteReference w:id="92"/>
      </w:r>
      <w:r w:rsidRPr="00550D35">
        <w:rPr>
          <w:lang w:val="lv-LV"/>
        </w:rPr>
        <w:t xml:space="preserve"> ar mērķi saskaņot dažādus </w:t>
      </w:r>
      <w:proofErr w:type="spellStart"/>
      <w:r w:rsidRPr="00550D35">
        <w:rPr>
          <w:lang w:val="lv-LV"/>
        </w:rPr>
        <w:t>eID</w:t>
      </w:r>
      <w:proofErr w:type="spellEnd"/>
      <w:r w:rsidRPr="00550D35">
        <w:rPr>
          <w:lang w:val="lv-LV"/>
        </w:rPr>
        <w:t xml:space="preserve"> risinājumus astoņās Ziemeļvalstīs un Baltijas valstīs, lai reģionā nodrošinātu pārrobežu piekļuvi digitālajiem pakalpojumiem.</w:t>
      </w:r>
    </w:p>
    <w:p w14:paraId="47584598" w14:textId="77777777" w:rsidR="00CF5B1D" w:rsidRPr="00550D35" w:rsidRDefault="00CF5B1D" w:rsidP="00CF5B1D">
      <w:pPr>
        <w:pStyle w:val="Heading2"/>
        <w:rPr>
          <w:lang w:val="lv-LV"/>
        </w:rPr>
      </w:pPr>
      <w:r w:rsidRPr="00550D35">
        <w:rPr>
          <w:lang w:val="lv-LV"/>
        </w:rPr>
        <w:t>KPI “</w:t>
      </w:r>
      <w:r w:rsidRPr="00550D35">
        <w:rPr>
          <w:bCs/>
          <w:lang w:val="lv-LV"/>
        </w:rPr>
        <w:t>Piekļuve elektroniskai identifikācijai”</w:t>
      </w:r>
      <w:r w:rsidRPr="00550D35">
        <w:rPr>
          <w:lang w:val="lv-LV"/>
        </w:rPr>
        <w:t xml:space="preserve"> valsts prognozētā trajektorija un </w:t>
      </w:r>
      <w:proofErr w:type="spellStart"/>
      <w:r w:rsidRPr="00550D35">
        <w:rPr>
          <w:lang w:val="lv-LV"/>
        </w:rPr>
        <w:t>mērķrādītājs</w:t>
      </w:r>
      <w:proofErr w:type="spellEnd"/>
      <w:r w:rsidRPr="00550D35">
        <w:rPr>
          <w:lang w:val="lv-LV"/>
        </w:rPr>
        <w:t xml:space="preserve">, kas paredzēts, lai palīdzētu sasniegt ES digitālo </w:t>
      </w:r>
      <w:proofErr w:type="spellStart"/>
      <w:r w:rsidRPr="00550D35">
        <w:rPr>
          <w:lang w:val="lv-LV"/>
        </w:rPr>
        <w:t>mērķrādītāju</w:t>
      </w:r>
      <w:proofErr w:type="spellEnd"/>
    </w:p>
    <w:p w14:paraId="2072BC66" w14:textId="77777777" w:rsidR="00CF5B1D" w:rsidRPr="00550D35" w:rsidRDefault="00CF5B1D" w:rsidP="00CF5B1D">
      <w:pPr>
        <w:pBdr>
          <w:top w:val="single" w:sz="4" w:space="1" w:color="auto"/>
          <w:left w:val="single" w:sz="4" w:space="4" w:color="auto"/>
          <w:bottom w:val="single" w:sz="4" w:space="1" w:color="auto"/>
          <w:right w:val="single" w:sz="4" w:space="4" w:color="auto"/>
        </w:pBdr>
        <w:ind w:left="360" w:firstLine="0"/>
        <w:rPr>
          <w:b/>
          <w:bCs/>
          <w:szCs w:val="24"/>
          <w:lang w:val="lv-LV"/>
        </w:rPr>
      </w:pPr>
      <w:r w:rsidRPr="00550D35">
        <w:rPr>
          <w:b/>
          <w:lang w:val="lv-LV"/>
        </w:rPr>
        <w:t xml:space="preserve">Paziņota valsts </w:t>
      </w:r>
      <w:proofErr w:type="spellStart"/>
      <w:r w:rsidRPr="00550D35">
        <w:rPr>
          <w:b/>
          <w:lang w:val="lv-LV"/>
        </w:rPr>
        <w:t>eID</w:t>
      </w:r>
      <w:proofErr w:type="spellEnd"/>
      <w:r w:rsidRPr="00550D35">
        <w:rPr>
          <w:b/>
          <w:lang w:val="lv-LV"/>
        </w:rPr>
        <w:t xml:space="preserve"> shēma saskaņā ar Regulas (ES) Nr. 910/2014 prasībām: Nacionālā bāzes vērtība 1; ES bāzes vērtība 21 ES Dalībvalsts</w:t>
      </w:r>
      <w:r w:rsidRPr="00550D35">
        <w:rPr>
          <w:rStyle w:val="FootnoteReference"/>
          <w:b/>
          <w:lang w:val="lv-LV"/>
        </w:rPr>
        <w:footnoteReference w:id="93"/>
      </w:r>
      <w:r w:rsidRPr="00550D35">
        <w:rPr>
          <w:b/>
          <w:lang w:val="lv-LV"/>
        </w:rPr>
        <w:t xml:space="preserve"> ir paziņojusi </w:t>
      </w:r>
      <w:proofErr w:type="spellStart"/>
      <w:r w:rsidRPr="00550D35">
        <w:rPr>
          <w:b/>
          <w:lang w:val="lv-LV"/>
        </w:rPr>
        <w:t>eID</w:t>
      </w:r>
      <w:proofErr w:type="spellEnd"/>
      <w:r w:rsidRPr="00550D35">
        <w:rPr>
          <w:b/>
          <w:lang w:val="lv-LV"/>
        </w:rPr>
        <w:t xml:space="preserve"> shēmu;</w:t>
      </w:r>
    </w:p>
    <w:p w14:paraId="6CB26946" w14:textId="77777777" w:rsidR="00CF5B1D" w:rsidRPr="00550D35" w:rsidRDefault="00CF5B1D" w:rsidP="00CF5B1D">
      <w:pPr>
        <w:pBdr>
          <w:top w:val="single" w:sz="4" w:space="1" w:color="auto"/>
          <w:left w:val="single" w:sz="4" w:space="4" w:color="auto"/>
          <w:bottom w:val="single" w:sz="4" w:space="1" w:color="auto"/>
          <w:right w:val="single" w:sz="4" w:space="4" w:color="auto"/>
        </w:pBdr>
        <w:spacing w:before="0" w:after="160" w:line="259" w:lineRule="auto"/>
        <w:ind w:left="360" w:firstLine="0"/>
        <w:contextualSpacing/>
        <w:rPr>
          <w:b/>
          <w:bCs/>
          <w:szCs w:val="24"/>
          <w:lang w:val="lv-LV"/>
        </w:rPr>
      </w:pPr>
      <w:r w:rsidRPr="00550D35">
        <w:rPr>
          <w:b/>
          <w:bCs/>
          <w:szCs w:val="24"/>
          <w:lang w:val="lv-LV"/>
        </w:rPr>
        <w:t xml:space="preserve">Nacionālie </w:t>
      </w:r>
      <w:proofErr w:type="spellStart"/>
      <w:r w:rsidRPr="00550D35">
        <w:rPr>
          <w:b/>
          <w:bCs/>
          <w:szCs w:val="24"/>
          <w:lang w:val="lv-LV"/>
        </w:rPr>
        <w:t>mērķrādītāji</w:t>
      </w:r>
      <w:proofErr w:type="spellEnd"/>
      <w:r w:rsidRPr="00550D35">
        <w:rPr>
          <w:b/>
          <w:bCs/>
          <w:szCs w:val="24"/>
          <w:lang w:val="lv-LV"/>
        </w:rPr>
        <w:t xml:space="preserve"> 2030.gadam:</w:t>
      </w:r>
    </w:p>
    <w:p w14:paraId="137D8291" w14:textId="77777777" w:rsidR="00CF5B1D" w:rsidRPr="00550D35" w:rsidRDefault="00CF5B1D" w:rsidP="00CF5B1D">
      <w:pPr>
        <w:pBdr>
          <w:top w:val="single" w:sz="4" w:space="1" w:color="auto"/>
          <w:left w:val="single" w:sz="4" w:space="4" w:color="auto"/>
          <w:bottom w:val="single" w:sz="4" w:space="1" w:color="auto"/>
          <w:right w:val="single" w:sz="4" w:space="4" w:color="auto"/>
        </w:pBdr>
        <w:spacing w:before="0" w:after="160" w:line="259" w:lineRule="auto"/>
        <w:ind w:left="360" w:firstLine="0"/>
        <w:contextualSpacing/>
        <w:rPr>
          <w:b/>
          <w:bCs/>
          <w:szCs w:val="24"/>
          <w:lang w:val="lv-LV"/>
        </w:rPr>
      </w:pPr>
      <w:r w:rsidRPr="00550D35">
        <w:rPr>
          <w:b/>
          <w:lang w:val="lv-LV"/>
        </w:rPr>
        <w:t xml:space="preserve">1) ir paziņota valsts </w:t>
      </w:r>
      <w:proofErr w:type="spellStart"/>
      <w:r w:rsidRPr="00550D35">
        <w:rPr>
          <w:b/>
          <w:lang w:val="lv-LV"/>
        </w:rPr>
        <w:t>eID</w:t>
      </w:r>
      <w:proofErr w:type="spellEnd"/>
      <w:r w:rsidRPr="00550D35">
        <w:rPr>
          <w:b/>
          <w:lang w:val="lv-LV"/>
        </w:rPr>
        <w:t xml:space="preserve"> shēma saskaņā ar Regulas (ES) Nr. 910/2014 prasībām; 2) ar Eiropas digitālās identitātes maka starpniecību ir nodrošināta piekļuve drošai privātumu veicinošai </w:t>
      </w:r>
      <w:proofErr w:type="spellStart"/>
      <w:r w:rsidRPr="00550D35">
        <w:rPr>
          <w:b/>
          <w:lang w:val="lv-LV"/>
        </w:rPr>
        <w:t>eID</w:t>
      </w:r>
      <w:proofErr w:type="spellEnd"/>
      <w:r w:rsidRPr="00550D35">
        <w:rPr>
          <w:rStyle w:val="FootnoteReference"/>
          <w:b/>
          <w:lang w:val="lv-LV"/>
        </w:rPr>
        <w:footnoteReference w:id="94"/>
      </w:r>
      <w:r w:rsidRPr="00550D35">
        <w:rPr>
          <w:b/>
          <w:lang w:val="lv-LV"/>
        </w:rPr>
        <w:t>.</w:t>
      </w:r>
    </w:p>
    <w:p w14:paraId="5106A9F3" w14:textId="77777777" w:rsidR="00CF5B1D" w:rsidRPr="00550D35" w:rsidRDefault="00CF5B1D" w:rsidP="00CF5B1D">
      <w:pPr>
        <w:pBdr>
          <w:top w:val="single" w:sz="4" w:space="1" w:color="auto"/>
          <w:left w:val="single" w:sz="4" w:space="4" w:color="auto"/>
          <w:bottom w:val="single" w:sz="4" w:space="1" w:color="auto"/>
          <w:right w:val="single" w:sz="4" w:space="4" w:color="auto"/>
        </w:pBdr>
        <w:spacing w:before="0" w:after="160" w:line="259" w:lineRule="auto"/>
        <w:ind w:left="360" w:firstLine="0"/>
        <w:contextualSpacing/>
        <w:rPr>
          <w:b/>
          <w:bCs/>
          <w:szCs w:val="24"/>
          <w:lang w:val="lv-LV"/>
        </w:rPr>
      </w:pPr>
      <w:r w:rsidRPr="00550D35">
        <w:rPr>
          <w:b/>
          <w:bCs/>
          <w:szCs w:val="24"/>
          <w:lang w:val="lv-LV"/>
        </w:rPr>
        <w:t xml:space="preserve">ES </w:t>
      </w:r>
      <w:proofErr w:type="spellStart"/>
      <w:r w:rsidRPr="00550D35">
        <w:rPr>
          <w:b/>
          <w:bCs/>
          <w:szCs w:val="24"/>
          <w:lang w:val="lv-LV"/>
        </w:rPr>
        <w:t>mērķrādītāji</w:t>
      </w:r>
      <w:proofErr w:type="spellEnd"/>
      <w:r w:rsidRPr="00550D35">
        <w:rPr>
          <w:b/>
          <w:bCs/>
          <w:szCs w:val="24"/>
          <w:lang w:val="lv-LV"/>
        </w:rPr>
        <w:t xml:space="preserve"> (2030) – ES Dalībvalstu skaits, kuras ir paziņojušas vismaz vienu valsts </w:t>
      </w:r>
      <w:proofErr w:type="spellStart"/>
      <w:r w:rsidRPr="00550D35">
        <w:rPr>
          <w:b/>
          <w:bCs/>
          <w:szCs w:val="24"/>
          <w:lang w:val="lv-LV"/>
        </w:rPr>
        <w:t>eID</w:t>
      </w:r>
      <w:proofErr w:type="spellEnd"/>
      <w:r w:rsidRPr="00550D35">
        <w:rPr>
          <w:b/>
          <w:bCs/>
          <w:szCs w:val="24"/>
          <w:lang w:val="lv-LV"/>
        </w:rPr>
        <w:t xml:space="preserve"> shēmu saskaņā ar Regulu (ES) Nr. 910/2014, un 2) to ES Dalībvalstu skaits, kuras ar Eiropas digitālās identitātes maka starpniecību ir nodrošinājušas piekļuvi drošai privātumu veicinošai </w:t>
      </w:r>
      <w:proofErr w:type="spellStart"/>
      <w:r w:rsidRPr="00550D35">
        <w:rPr>
          <w:b/>
          <w:bCs/>
          <w:szCs w:val="24"/>
          <w:lang w:val="lv-LV"/>
        </w:rPr>
        <w:t>eID</w:t>
      </w:r>
      <w:proofErr w:type="spellEnd"/>
      <w:r w:rsidRPr="00550D35">
        <w:rPr>
          <w:b/>
          <w:bCs/>
          <w:szCs w:val="24"/>
          <w:lang w:val="lv-LV"/>
        </w:rPr>
        <w:t xml:space="preserve"> saskaņā ar priekšlikumu EP un Padomes regulai, ar ko Regulu (ES) Nr. 910/2014 groza attiecībā uz Eiropas digitālās identitātes regulējuma izveidi</w:t>
      </w:r>
    </w:p>
    <w:p w14:paraId="07B2AEBD" w14:textId="77777777" w:rsidR="00CF5B1D" w:rsidRPr="00550D35" w:rsidRDefault="00CF5B1D" w:rsidP="00CF5B1D">
      <w:pPr>
        <w:rPr>
          <w:lang w:val="lv-LV"/>
        </w:rPr>
      </w:pPr>
    </w:p>
    <w:p w14:paraId="6CE64BDE" w14:textId="77777777" w:rsidR="00CF5B1D" w:rsidRPr="00550D35" w:rsidRDefault="00CF5B1D" w:rsidP="00CF5B1D">
      <w:pPr>
        <w:rPr>
          <w:lang w:val="lv-LV"/>
        </w:rPr>
      </w:pPr>
      <w:r w:rsidRPr="00550D35">
        <w:rPr>
          <w:lang w:val="lv-LV"/>
        </w:rPr>
        <w:t>Latvijas prognozētais mērķis Digitālajā dekādē attiecībā uz KPI “Piekļuve elektroniskai identifikācijai</w:t>
      </w:r>
      <w:r w:rsidRPr="00550D35">
        <w:rPr>
          <w:vertAlign w:val="superscript"/>
          <w:lang w:val="lv-LV"/>
        </w:rPr>
        <w:t>”</w:t>
      </w:r>
      <w:r w:rsidRPr="00550D35">
        <w:rPr>
          <w:lang w:val="lv-LV"/>
        </w:rPr>
        <w:t xml:space="preserve"> sakrīt ar ES mērķi šajā KPI. Latvija ir paziņojusi </w:t>
      </w:r>
      <w:r w:rsidRPr="00550D35">
        <w:rPr>
          <w:szCs w:val="24"/>
          <w:lang w:val="lv-LV"/>
        </w:rPr>
        <w:t xml:space="preserve">valsts </w:t>
      </w:r>
      <w:proofErr w:type="spellStart"/>
      <w:r w:rsidRPr="00550D35">
        <w:rPr>
          <w:szCs w:val="24"/>
          <w:lang w:val="lv-LV"/>
        </w:rPr>
        <w:t>eID</w:t>
      </w:r>
      <w:proofErr w:type="spellEnd"/>
      <w:r w:rsidRPr="00550D35">
        <w:rPr>
          <w:szCs w:val="24"/>
          <w:lang w:val="lv-LV"/>
        </w:rPr>
        <w:t xml:space="preserve"> shēmu saskaņā ar Regulas (ES) Nr. 910/2014 prasībām. Informācija par Latvijas prognozēto nacionālo trajektoriju 2023.- 2030.gadam, lai nodrošinātu piekļuvi drošai privātumu veicinošai </w:t>
      </w:r>
      <w:proofErr w:type="spellStart"/>
      <w:r w:rsidRPr="00550D35">
        <w:rPr>
          <w:szCs w:val="24"/>
          <w:lang w:val="lv-LV"/>
        </w:rPr>
        <w:t>eID</w:t>
      </w:r>
      <w:proofErr w:type="spellEnd"/>
      <w:r w:rsidRPr="00550D35">
        <w:rPr>
          <w:szCs w:val="24"/>
          <w:lang w:val="lv-LV"/>
        </w:rPr>
        <w:t xml:space="preserve"> tiks precizēta ceļveža Latvijai pārskatīšanas gaitā.</w:t>
      </w:r>
    </w:p>
    <w:p w14:paraId="59F9813A" w14:textId="77777777" w:rsidR="00CF5B1D" w:rsidRPr="00550D35" w:rsidRDefault="00CF5B1D" w:rsidP="00CF5B1D">
      <w:pPr>
        <w:pStyle w:val="Heading2"/>
        <w:rPr>
          <w:lang w:val="lv-LV"/>
        </w:rPr>
      </w:pPr>
      <w:r w:rsidRPr="00550D35">
        <w:rPr>
          <w:lang w:val="lv-LV"/>
        </w:rPr>
        <w:lastRenderedPageBreak/>
        <w:t xml:space="preserve">Politika, pasākumi un darbības digitālā </w:t>
      </w:r>
      <w:proofErr w:type="spellStart"/>
      <w:r w:rsidRPr="00550D35">
        <w:rPr>
          <w:lang w:val="lv-LV"/>
        </w:rPr>
        <w:t>mērķrādītāja</w:t>
      </w:r>
      <w:proofErr w:type="spellEnd"/>
      <w:r w:rsidRPr="00550D35">
        <w:rPr>
          <w:lang w:val="lv-LV"/>
        </w:rPr>
        <w:t xml:space="preserve"> sasniegšanai </w:t>
      </w:r>
    </w:p>
    <w:p w14:paraId="53DF7865" w14:textId="77777777" w:rsidR="00CF5B1D" w:rsidRPr="00550D35" w:rsidRDefault="00CF5B1D" w:rsidP="00CF5B1D">
      <w:pPr>
        <w:pStyle w:val="Heading3"/>
        <w:ind w:left="1134" w:firstLine="0"/>
        <w:rPr>
          <w:lang w:val="lv-LV"/>
        </w:rPr>
      </w:pPr>
      <w:r w:rsidRPr="00550D35">
        <w:rPr>
          <w:lang w:val="lv-LV"/>
        </w:rPr>
        <w:t xml:space="preserve">Vispārējs pārskats par pasākumiem attiecībā uz digitālo </w:t>
      </w:r>
      <w:proofErr w:type="spellStart"/>
      <w:r w:rsidRPr="00550D35">
        <w:rPr>
          <w:lang w:val="lv-LV"/>
        </w:rPr>
        <w:t>mērķrādītāju</w:t>
      </w:r>
      <w:proofErr w:type="spellEnd"/>
    </w:p>
    <w:p w14:paraId="3F1A8ADD" w14:textId="77777777" w:rsidR="00CF5B1D" w:rsidRPr="00550D35" w:rsidRDefault="00CF5B1D" w:rsidP="00CF5B1D">
      <w:pPr>
        <w:pStyle w:val="Text3"/>
        <w:rPr>
          <w:lang w:val="lv-LV"/>
        </w:rPr>
      </w:pPr>
    </w:p>
    <w:p w14:paraId="784E27C2" w14:textId="77777777" w:rsidR="00CF5B1D" w:rsidRPr="00550D35" w:rsidRDefault="00CF5B1D" w:rsidP="00CF5B1D">
      <w:pPr>
        <w:spacing w:before="0" w:after="160" w:line="259" w:lineRule="auto"/>
        <w:ind w:left="360" w:firstLine="0"/>
        <w:contextualSpacing/>
        <w:jc w:val="left"/>
        <w:rPr>
          <w:b/>
          <w:bCs/>
          <w:szCs w:val="24"/>
          <w:lang w:val="lv-LV"/>
        </w:rPr>
      </w:pPr>
      <w:r w:rsidRPr="00550D35">
        <w:rPr>
          <w:b/>
          <w:bCs/>
          <w:szCs w:val="24"/>
          <w:lang w:val="lv-LV"/>
        </w:rPr>
        <w:t>Kopējais laika ietvars:</w:t>
      </w:r>
    </w:p>
    <w:p w14:paraId="695837C2" w14:textId="0ECE5AD8" w:rsidR="00CF5B1D" w:rsidRDefault="00CF5B1D" w:rsidP="00CF5B1D">
      <w:pPr>
        <w:rPr>
          <w:lang w:val="lv-LV"/>
        </w:rPr>
      </w:pPr>
      <w:r w:rsidRPr="00550D35">
        <w:rPr>
          <w:lang w:val="lv-LV"/>
        </w:rPr>
        <w:t xml:space="preserve">Iesaistoties </w:t>
      </w:r>
      <w:r w:rsidR="002A2FE7">
        <w:rPr>
          <w:lang w:val="lv-LV"/>
        </w:rPr>
        <w:t>p</w:t>
      </w:r>
      <w:r w:rsidRPr="00550D35">
        <w:rPr>
          <w:lang w:val="lv-LV"/>
        </w:rPr>
        <w:t xml:space="preserve">ilotprojektā “ES digitālā maka maksājumu izmantošanas gadījums — atbalsts Eiropas digitālās identitātes ietvara (EDIF) īstenošanai un </w:t>
      </w:r>
      <w:proofErr w:type="spellStart"/>
      <w:r w:rsidRPr="00550D35">
        <w:rPr>
          <w:lang w:val="lv-LV"/>
        </w:rPr>
        <w:t>vienreizes</w:t>
      </w:r>
      <w:proofErr w:type="spellEnd"/>
      <w:r w:rsidRPr="00550D35">
        <w:rPr>
          <w:lang w:val="lv-LV"/>
        </w:rPr>
        <w:t xml:space="preserve"> principa ieviešanai saskaņā ar vienotās digitālās vārtejas regulu” ir uzsāktas darbības, lai radītu priekšnosacījumus līdz 2030.gadam sasniegt KPI </w:t>
      </w:r>
      <w:proofErr w:type="spellStart"/>
      <w:r w:rsidRPr="00550D35">
        <w:rPr>
          <w:lang w:val="lv-LV"/>
        </w:rPr>
        <w:t>mērķrādītāju</w:t>
      </w:r>
      <w:proofErr w:type="spellEnd"/>
      <w:r w:rsidRPr="00550D35">
        <w:rPr>
          <w:lang w:val="lv-LV"/>
        </w:rPr>
        <w:t xml:space="preserve"> – ar Eiropas digitālās identitātes maka starpniecību nodrošināt piekļuvi drošai privātumu veicinošai </w:t>
      </w:r>
      <w:proofErr w:type="spellStart"/>
      <w:r w:rsidRPr="00550D35">
        <w:rPr>
          <w:lang w:val="lv-LV"/>
        </w:rPr>
        <w:t>eID</w:t>
      </w:r>
      <w:proofErr w:type="spellEnd"/>
      <w:r w:rsidRPr="00550D35">
        <w:rPr>
          <w:lang w:val="lv-LV"/>
        </w:rPr>
        <w:t>.</w:t>
      </w:r>
    </w:p>
    <w:p w14:paraId="4B875272" w14:textId="77777777" w:rsidR="002A2FE7" w:rsidRPr="00550D35" w:rsidRDefault="002A2FE7" w:rsidP="00CF5B1D">
      <w:pPr>
        <w:rPr>
          <w:b/>
          <w:bCs/>
          <w:szCs w:val="24"/>
          <w:lang w:val="lv-LV"/>
        </w:rPr>
      </w:pPr>
    </w:p>
    <w:tbl>
      <w:tblPr>
        <w:tblStyle w:val="TableGrid"/>
        <w:tblW w:w="5000" w:type="pct"/>
        <w:tblLook w:val="04A0" w:firstRow="1" w:lastRow="0" w:firstColumn="1" w:lastColumn="0" w:noHBand="0" w:noVBand="1"/>
      </w:tblPr>
      <w:tblGrid>
        <w:gridCol w:w="2831"/>
        <w:gridCol w:w="709"/>
        <w:gridCol w:w="709"/>
        <w:gridCol w:w="707"/>
        <w:gridCol w:w="707"/>
        <w:gridCol w:w="711"/>
        <w:gridCol w:w="852"/>
        <w:gridCol w:w="687"/>
        <w:gridCol w:w="694"/>
      </w:tblGrid>
      <w:tr w:rsidR="00CF5B1D" w:rsidRPr="00550D35" w14:paraId="59987AEF" w14:textId="77777777" w:rsidTr="00BA62A0">
        <w:tc>
          <w:tcPr>
            <w:tcW w:w="1644" w:type="pct"/>
            <w:shd w:val="clear" w:color="auto" w:fill="auto"/>
          </w:tcPr>
          <w:p w14:paraId="785FF819" w14:textId="77777777" w:rsidR="00CF5B1D" w:rsidRPr="00550D35" w:rsidRDefault="00CF5B1D" w:rsidP="00BA62A0">
            <w:pPr>
              <w:spacing w:before="0" w:after="0"/>
              <w:ind w:firstLine="0"/>
              <w:jc w:val="left"/>
              <w:rPr>
                <w:sz w:val="20"/>
                <w:lang w:val="lv-LV"/>
              </w:rPr>
            </w:pPr>
          </w:p>
        </w:tc>
        <w:tc>
          <w:tcPr>
            <w:tcW w:w="412" w:type="pct"/>
          </w:tcPr>
          <w:p w14:paraId="14BDC322" w14:textId="77777777" w:rsidR="00CF5B1D" w:rsidRPr="00550D35" w:rsidRDefault="00CF5B1D" w:rsidP="00BA62A0">
            <w:pPr>
              <w:spacing w:before="0" w:after="0"/>
              <w:ind w:firstLine="0"/>
              <w:rPr>
                <w:sz w:val="20"/>
                <w:lang w:val="lv-LV"/>
              </w:rPr>
            </w:pPr>
            <w:r w:rsidRPr="00550D35">
              <w:rPr>
                <w:sz w:val="20"/>
                <w:lang w:val="lv-LV"/>
              </w:rPr>
              <w:t>2023</w:t>
            </w:r>
          </w:p>
        </w:tc>
        <w:tc>
          <w:tcPr>
            <w:tcW w:w="412" w:type="pct"/>
          </w:tcPr>
          <w:p w14:paraId="4EF3A021" w14:textId="77777777" w:rsidR="00CF5B1D" w:rsidRPr="00550D35" w:rsidRDefault="00CF5B1D" w:rsidP="00BA62A0">
            <w:pPr>
              <w:spacing w:before="0" w:after="0"/>
              <w:ind w:firstLine="0"/>
              <w:rPr>
                <w:sz w:val="20"/>
                <w:lang w:val="lv-LV"/>
              </w:rPr>
            </w:pPr>
            <w:r w:rsidRPr="00550D35">
              <w:rPr>
                <w:sz w:val="20"/>
                <w:lang w:val="lv-LV"/>
              </w:rPr>
              <w:t>2024</w:t>
            </w:r>
          </w:p>
        </w:tc>
        <w:tc>
          <w:tcPr>
            <w:tcW w:w="411" w:type="pct"/>
          </w:tcPr>
          <w:p w14:paraId="7352F557" w14:textId="77777777" w:rsidR="00CF5B1D" w:rsidRPr="00550D35" w:rsidRDefault="00CF5B1D" w:rsidP="00BA62A0">
            <w:pPr>
              <w:spacing w:before="0" w:after="0"/>
              <w:ind w:firstLine="0"/>
              <w:rPr>
                <w:sz w:val="20"/>
                <w:lang w:val="lv-LV"/>
              </w:rPr>
            </w:pPr>
            <w:r w:rsidRPr="00550D35">
              <w:rPr>
                <w:sz w:val="20"/>
                <w:lang w:val="lv-LV"/>
              </w:rPr>
              <w:t>2025</w:t>
            </w:r>
          </w:p>
        </w:tc>
        <w:tc>
          <w:tcPr>
            <w:tcW w:w="411" w:type="pct"/>
          </w:tcPr>
          <w:p w14:paraId="509B0543" w14:textId="77777777" w:rsidR="00CF5B1D" w:rsidRPr="00550D35" w:rsidRDefault="00CF5B1D" w:rsidP="00BA62A0">
            <w:pPr>
              <w:spacing w:before="0" w:after="0"/>
              <w:ind w:firstLine="0"/>
              <w:rPr>
                <w:sz w:val="20"/>
                <w:lang w:val="lv-LV"/>
              </w:rPr>
            </w:pPr>
            <w:r w:rsidRPr="00550D35">
              <w:rPr>
                <w:sz w:val="20"/>
                <w:lang w:val="lv-LV"/>
              </w:rPr>
              <w:t>2026</w:t>
            </w:r>
          </w:p>
        </w:tc>
        <w:tc>
          <w:tcPr>
            <w:tcW w:w="413" w:type="pct"/>
          </w:tcPr>
          <w:p w14:paraId="6625C284" w14:textId="77777777" w:rsidR="00CF5B1D" w:rsidRPr="00550D35" w:rsidRDefault="00CF5B1D" w:rsidP="00BA62A0">
            <w:pPr>
              <w:spacing w:before="0" w:after="0"/>
              <w:ind w:firstLine="0"/>
              <w:rPr>
                <w:sz w:val="20"/>
                <w:lang w:val="lv-LV"/>
              </w:rPr>
            </w:pPr>
            <w:r w:rsidRPr="00550D35">
              <w:rPr>
                <w:sz w:val="20"/>
                <w:lang w:val="lv-LV"/>
              </w:rPr>
              <w:t>2027</w:t>
            </w:r>
          </w:p>
        </w:tc>
        <w:tc>
          <w:tcPr>
            <w:tcW w:w="495" w:type="pct"/>
          </w:tcPr>
          <w:p w14:paraId="51A4205D" w14:textId="77777777" w:rsidR="00CF5B1D" w:rsidRPr="00550D35" w:rsidRDefault="00CF5B1D" w:rsidP="00BA62A0">
            <w:pPr>
              <w:spacing w:before="0" w:after="0"/>
              <w:ind w:firstLine="0"/>
              <w:rPr>
                <w:sz w:val="20"/>
                <w:lang w:val="lv-LV"/>
              </w:rPr>
            </w:pPr>
            <w:r w:rsidRPr="00550D35">
              <w:rPr>
                <w:sz w:val="20"/>
                <w:lang w:val="lv-LV"/>
              </w:rPr>
              <w:t>2028</w:t>
            </w:r>
          </w:p>
        </w:tc>
        <w:tc>
          <w:tcPr>
            <w:tcW w:w="399" w:type="pct"/>
          </w:tcPr>
          <w:p w14:paraId="207A6488" w14:textId="77777777" w:rsidR="00CF5B1D" w:rsidRPr="00550D35" w:rsidRDefault="00CF5B1D" w:rsidP="00BA62A0">
            <w:pPr>
              <w:spacing w:before="0" w:after="0"/>
              <w:ind w:firstLine="0"/>
              <w:rPr>
                <w:sz w:val="20"/>
                <w:lang w:val="lv-LV"/>
              </w:rPr>
            </w:pPr>
            <w:r w:rsidRPr="00550D35">
              <w:rPr>
                <w:sz w:val="20"/>
                <w:lang w:val="lv-LV"/>
              </w:rPr>
              <w:t>2029</w:t>
            </w:r>
          </w:p>
        </w:tc>
        <w:tc>
          <w:tcPr>
            <w:tcW w:w="403" w:type="pct"/>
          </w:tcPr>
          <w:p w14:paraId="126F7998" w14:textId="77777777" w:rsidR="00CF5B1D" w:rsidRPr="00550D35" w:rsidRDefault="00CF5B1D" w:rsidP="00BA62A0">
            <w:pPr>
              <w:spacing w:before="0" w:after="0"/>
              <w:ind w:firstLine="0"/>
              <w:rPr>
                <w:sz w:val="20"/>
                <w:lang w:val="lv-LV"/>
              </w:rPr>
            </w:pPr>
            <w:r w:rsidRPr="00550D35">
              <w:rPr>
                <w:sz w:val="20"/>
                <w:lang w:val="lv-LV"/>
              </w:rPr>
              <w:t>2030</w:t>
            </w:r>
          </w:p>
        </w:tc>
      </w:tr>
      <w:tr w:rsidR="00CF5B1D" w:rsidRPr="00550D35" w14:paraId="260AB53C" w14:textId="77777777" w:rsidTr="00BA62A0">
        <w:tc>
          <w:tcPr>
            <w:tcW w:w="5000" w:type="pct"/>
            <w:gridSpan w:val="9"/>
            <w:shd w:val="clear" w:color="auto" w:fill="BFBFBF" w:themeFill="background1" w:themeFillShade="BF"/>
          </w:tcPr>
          <w:p w14:paraId="49B0FDF0" w14:textId="77777777" w:rsidR="00CF5B1D" w:rsidRPr="00550D35" w:rsidRDefault="00CF5B1D" w:rsidP="00BA62A0">
            <w:pPr>
              <w:spacing w:before="0" w:after="0"/>
              <w:rPr>
                <w:sz w:val="20"/>
                <w:lang w:val="lv-LV"/>
              </w:rPr>
            </w:pPr>
            <w:r w:rsidRPr="00550D35">
              <w:rPr>
                <w:b/>
                <w:bCs/>
                <w:i/>
                <w:iCs/>
                <w:sz w:val="20"/>
                <w:u w:val="single"/>
                <w:shd w:val="clear" w:color="auto" w:fill="BFBFBF" w:themeFill="background1" w:themeFillShade="BF"/>
                <w:lang w:val="lv-LV"/>
              </w:rPr>
              <w:t>Pasākumi, kas sniedz ieguldījumu mērķa sasniegšanā</w:t>
            </w:r>
          </w:p>
        </w:tc>
      </w:tr>
      <w:tr w:rsidR="00CF5B1D" w:rsidRPr="00550D35" w14:paraId="0AAF7710" w14:textId="77777777" w:rsidTr="00BA62A0">
        <w:tc>
          <w:tcPr>
            <w:tcW w:w="1644" w:type="pct"/>
          </w:tcPr>
          <w:p w14:paraId="03D7787F" w14:textId="77777777" w:rsidR="00CF5B1D" w:rsidRDefault="00CF5B1D" w:rsidP="00BA62A0">
            <w:pPr>
              <w:ind w:firstLine="0"/>
              <w:rPr>
                <w:sz w:val="20"/>
                <w:lang w:val="lv-LV"/>
              </w:rPr>
            </w:pPr>
            <w:r w:rsidRPr="00550D35">
              <w:rPr>
                <w:sz w:val="20"/>
                <w:lang w:val="lv-LV"/>
              </w:rPr>
              <w:t>Pasākums Nr.1 -</w:t>
            </w:r>
            <w:r w:rsidRPr="00550D35">
              <w:rPr>
                <w:sz w:val="20"/>
                <w:lang w:val="lv-LV"/>
              </w:rPr>
              <w:br/>
            </w:r>
            <w:r w:rsidRPr="00667AB1">
              <w:rPr>
                <w:b/>
                <w:bCs/>
                <w:sz w:val="20"/>
                <w:lang w:val="lv-LV"/>
              </w:rPr>
              <w:t xml:space="preserve">“ES digitālā maka maksājumu izmantošanas gadījums — atbalsts Eiropas digitālās identitātes ietvara (EDIF) īstenošanai un </w:t>
            </w:r>
            <w:proofErr w:type="spellStart"/>
            <w:r w:rsidRPr="00667AB1">
              <w:rPr>
                <w:b/>
                <w:bCs/>
                <w:sz w:val="20"/>
                <w:lang w:val="lv-LV"/>
              </w:rPr>
              <w:t>vienreizes</w:t>
            </w:r>
            <w:proofErr w:type="spellEnd"/>
            <w:r w:rsidRPr="00667AB1">
              <w:rPr>
                <w:b/>
                <w:bCs/>
                <w:sz w:val="20"/>
                <w:lang w:val="lv-LV"/>
              </w:rPr>
              <w:t xml:space="preserve"> principa ieviešanai saskaņā ar vienotās digitālās vārtejas regulu”</w:t>
            </w:r>
          </w:p>
          <w:p w14:paraId="7C364E5D" w14:textId="77777777" w:rsidR="00CF5B1D" w:rsidRPr="00550D35" w:rsidRDefault="00CF5B1D" w:rsidP="00BA62A0">
            <w:pPr>
              <w:ind w:firstLine="0"/>
              <w:rPr>
                <w:sz w:val="20"/>
                <w:lang w:val="lv-LV"/>
              </w:rPr>
            </w:pPr>
            <w:r w:rsidRPr="00D06061">
              <w:rPr>
                <w:sz w:val="20"/>
                <w:lang w:val="lv-LV"/>
              </w:rPr>
              <w:t>Finansējuma avots:</w:t>
            </w:r>
            <w:r w:rsidRPr="004927B8">
              <w:rPr>
                <w:sz w:val="20"/>
                <w:lang w:val="lv-LV"/>
              </w:rPr>
              <w:t xml:space="preserve"> </w:t>
            </w:r>
            <w:r>
              <w:rPr>
                <w:sz w:val="20"/>
                <w:lang w:val="lv-LV"/>
              </w:rPr>
              <w:t>Valsts budžets+ DEP finansējums</w:t>
            </w:r>
          </w:p>
        </w:tc>
        <w:tc>
          <w:tcPr>
            <w:tcW w:w="412" w:type="pct"/>
            <w:shd w:val="clear" w:color="auto" w:fill="70AD47" w:themeFill="accent6"/>
          </w:tcPr>
          <w:p w14:paraId="4A6948C2" w14:textId="77777777" w:rsidR="00CF5B1D" w:rsidRPr="00550D35" w:rsidRDefault="00CF5B1D" w:rsidP="00BA62A0">
            <w:pPr>
              <w:spacing w:before="0" w:after="0"/>
              <w:rPr>
                <w:sz w:val="20"/>
                <w:lang w:val="lv-LV"/>
              </w:rPr>
            </w:pPr>
          </w:p>
        </w:tc>
        <w:tc>
          <w:tcPr>
            <w:tcW w:w="412" w:type="pct"/>
            <w:shd w:val="clear" w:color="auto" w:fill="70AD47" w:themeFill="accent6"/>
          </w:tcPr>
          <w:p w14:paraId="441927CC" w14:textId="77777777" w:rsidR="00CF5B1D" w:rsidRPr="00550D35" w:rsidRDefault="00CF5B1D" w:rsidP="00BA62A0">
            <w:pPr>
              <w:spacing w:before="0" w:after="0"/>
              <w:rPr>
                <w:sz w:val="20"/>
                <w:lang w:val="lv-LV"/>
              </w:rPr>
            </w:pPr>
          </w:p>
        </w:tc>
        <w:tc>
          <w:tcPr>
            <w:tcW w:w="411" w:type="pct"/>
            <w:shd w:val="clear" w:color="auto" w:fill="70AD47" w:themeFill="accent6"/>
          </w:tcPr>
          <w:p w14:paraId="1418977A" w14:textId="77777777" w:rsidR="00CF5B1D" w:rsidRPr="00550D35" w:rsidRDefault="00CF5B1D" w:rsidP="00BA62A0">
            <w:pPr>
              <w:spacing w:before="0" w:after="0"/>
              <w:rPr>
                <w:sz w:val="20"/>
                <w:lang w:val="lv-LV"/>
              </w:rPr>
            </w:pPr>
          </w:p>
        </w:tc>
        <w:tc>
          <w:tcPr>
            <w:tcW w:w="411" w:type="pct"/>
          </w:tcPr>
          <w:p w14:paraId="0E77D90C" w14:textId="77777777" w:rsidR="00CF5B1D" w:rsidRPr="00550D35" w:rsidRDefault="00CF5B1D" w:rsidP="00BA62A0">
            <w:pPr>
              <w:spacing w:before="0" w:after="0"/>
              <w:rPr>
                <w:sz w:val="20"/>
                <w:lang w:val="lv-LV"/>
              </w:rPr>
            </w:pPr>
          </w:p>
        </w:tc>
        <w:tc>
          <w:tcPr>
            <w:tcW w:w="413" w:type="pct"/>
          </w:tcPr>
          <w:p w14:paraId="26CE5DE7" w14:textId="77777777" w:rsidR="00CF5B1D" w:rsidRPr="00550D35" w:rsidRDefault="00CF5B1D" w:rsidP="00BA62A0">
            <w:pPr>
              <w:spacing w:before="0" w:after="0"/>
              <w:rPr>
                <w:sz w:val="20"/>
                <w:lang w:val="lv-LV"/>
              </w:rPr>
            </w:pPr>
          </w:p>
        </w:tc>
        <w:tc>
          <w:tcPr>
            <w:tcW w:w="495" w:type="pct"/>
          </w:tcPr>
          <w:p w14:paraId="55F537C4" w14:textId="77777777" w:rsidR="00CF5B1D" w:rsidRPr="00550D35" w:rsidRDefault="00CF5B1D" w:rsidP="00BA62A0">
            <w:pPr>
              <w:spacing w:before="0" w:after="0"/>
              <w:rPr>
                <w:sz w:val="20"/>
                <w:lang w:val="lv-LV"/>
              </w:rPr>
            </w:pPr>
          </w:p>
        </w:tc>
        <w:tc>
          <w:tcPr>
            <w:tcW w:w="399" w:type="pct"/>
          </w:tcPr>
          <w:p w14:paraId="3B6933AB" w14:textId="77777777" w:rsidR="00CF5B1D" w:rsidRPr="00550D35" w:rsidRDefault="00CF5B1D" w:rsidP="00BA62A0">
            <w:pPr>
              <w:spacing w:before="0" w:after="0"/>
              <w:rPr>
                <w:sz w:val="20"/>
                <w:lang w:val="lv-LV"/>
              </w:rPr>
            </w:pPr>
          </w:p>
        </w:tc>
        <w:tc>
          <w:tcPr>
            <w:tcW w:w="403" w:type="pct"/>
          </w:tcPr>
          <w:p w14:paraId="4DEFFC50" w14:textId="77777777" w:rsidR="00CF5B1D" w:rsidRPr="00550D35" w:rsidRDefault="00CF5B1D" w:rsidP="00BA62A0">
            <w:pPr>
              <w:spacing w:before="0" w:after="0"/>
              <w:rPr>
                <w:sz w:val="20"/>
                <w:lang w:val="lv-LV"/>
              </w:rPr>
            </w:pPr>
          </w:p>
        </w:tc>
      </w:tr>
    </w:tbl>
    <w:p w14:paraId="087746CE" w14:textId="77777777" w:rsidR="00CF5B1D" w:rsidRPr="00550D35" w:rsidRDefault="00CF5B1D" w:rsidP="00CF5B1D">
      <w:pPr>
        <w:keepNext/>
        <w:widowControl w:val="0"/>
        <w:spacing w:before="0" w:after="160" w:line="259" w:lineRule="auto"/>
        <w:ind w:firstLine="0"/>
        <w:contextualSpacing/>
        <w:jc w:val="left"/>
        <w:rPr>
          <w:noProof/>
          <w:szCs w:val="24"/>
          <w:lang w:val="lv-LV"/>
        </w:rPr>
      </w:pPr>
    </w:p>
    <w:p w14:paraId="62E403D5" w14:textId="77777777" w:rsidR="00CF5B1D" w:rsidRPr="002A2FE7" w:rsidRDefault="00CF5B1D" w:rsidP="002A2FE7">
      <w:pPr>
        <w:keepNext/>
        <w:widowControl w:val="0"/>
        <w:spacing w:before="0" w:after="160" w:line="259" w:lineRule="auto"/>
        <w:ind w:left="924" w:firstLine="0"/>
        <w:contextualSpacing/>
        <w:jc w:val="left"/>
        <w:rPr>
          <w:noProof/>
          <w:szCs w:val="24"/>
          <w:lang w:val="lv-LV"/>
        </w:rPr>
      </w:pPr>
      <w:r w:rsidRPr="002A2FE7">
        <w:rPr>
          <w:b/>
          <w:noProof/>
          <w:szCs w:val="24"/>
          <w:lang w:val="lv-LV"/>
        </w:rPr>
        <w:t>Visu to pasākumu budžets, kurus var attiecināt uz mērķrādītāju</w:t>
      </w:r>
    </w:p>
    <w:p w14:paraId="6073E8A8" w14:textId="77777777" w:rsidR="00CF5B1D" w:rsidRPr="00550D35" w:rsidRDefault="00CF5B1D" w:rsidP="00CF5B1D">
      <w:pPr>
        <w:spacing w:before="0" w:after="160" w:line="259" w:lineRule="auto"/>
        <w:ind w:left="567" w:firstLine="0"/>
        <w:contextualSpacing/>
        <w:jc w:val="left"/>
        <w:rPr>
          <w:noProof/>
          <w:szCs w:val="24"/>
          <w:lang w:val="lv-LV"/>
        </w:rPr>
      </w:pPr>
      <w:r w:rsidRPr="00550D35">
        <w:rPr>
          <w:noProof/>
          <w:szCs w:val="24"/>
          <w:lang w:val="lv-LV"/>
        </w:rPr>
        <w:t>Publiskās investīcijas:</w:t>
      </w:r>
    </w:p>
    <w:p w14:paraId="59B14C8C" w14:textId="77777777" w:rsidR="00CF5B1D" w:rsidRPr="00550D35" w:rsidRDefault="00CF5B1D" w:rsidP="00CF5B1D">
      <w:pPr>
        <w:spacing w:before="0" w:after="0"/>
        <w:ind w:left="567" w:firstLine="153"/>
        <w:contextualSpacing/>
        <w:jc w:val="left"/>
        <w:rPr>
          <w:noProof/>
          <w:szCs w:val="24"/>
          <w:lang w:val="lv-LV"/>
        </w:rPr>
      </w:pPr>
      <w:r w:rsidRPr="00550D35">
        <w:rPr>
          <w:noProof/>
          <w:szCs w:val="24"/>
          <w:lang w:val="lv-LV"/>
        </w:rPr>
        <w:t xml:space="preserve">Piešķirtas: – </w:t>
      </w:r>
      <w:r w:rsidRPr="00550D35">
        <w:rPr>
          <w:iCs/>
          <w:noProof/>
          <w:szCs w:val="24"/>
          <w:lang w:val="lv-LV"/>
        </w:rPr>
        <w:t>419,7 tūkst. </w:t>
      </w:r>
      <w:r w:rsidRPr="00550D35">
        <w:rPr>
          <w:i/>
          <w:iCs/>
          <w:noProof/>
          <w:szCs w:val="24"/>
          <w:lang w:val="lv-LV"/>
        </w:rPr>
        <w:t>euro</w:t>
      </w:r>
      <w:r w:rsidRPr="00550D35">
        <w:rPr>
          <w:iCs/>
          <w:noProof/>
          <w:szCs w:val="24"/>
          <w:lang w:val="lv-LV"/>
        </w:rPr>
        <w:t>:</w:t>
      </w:r>
    </w:p>
    <w:p w14:paraId="01D276B2" w14:textId="77777777" w:rsidR="00CF5B1D" w:rsidRPr="00550D35" w:rsidRDefault="00CF5B1D" w:rsidP="00CF5B1D">
      <w:pPr>
        <w:pStyle w:val="ListParagraph"/>
        <w:numPr>
          <w:ilvl w:val="3"/>
          <w:numId w:val="23"/>
        </w:numPr>
        <w:spacing w:before="0"/>
        <w:ind w:left="1134" w:firstLine="0"/>
        <w:contextualSpacing/>
        <w:jc w:val="left"/>
        <w:rPr>
          <w:noProof/>
          <w:sz w:val="24"/>
          <w:szCs w:val="24"/>
          <w:lang w:val="lv-LV"/>
        </w:rPr>
      </w:pPr>
      <w:r w:rsidRPr="00550D35">
        <w:rPr>
          <w:noProof/>
          <w:sz w:val="24"/>
          <w:szCs w:val="24"/>
          <w:lang w:val="lv-LV"/>
        </w:rPr>
        <w:t xml:space="preserve">No tām piešķirtas no valsts avotiem: </w:t>
      </w:r>
      <w:r w:rsidRPr="00550D35">
        <w:rPr>
          <w:sz w:val="24"/>
          <w:szCs w:val="24"/>
          <w:lang w:val="lv-LV"/>
        </w:rPr>
        <w:t>209,8 tūkst. </w:t>
      </w:r>
      <w:proofErr w:type="spellStart"/>
      <w:r w:rsidRPr="00550D35">
        <w:rPr>
          <w:i/>
          <w:sz w:val="24"/>
          <w:szCs w:val="24"/>
          <w:lang w:val="lv-LV"/>
        </w:rPr>
        <w:t>euro</w:t>
      </w:r>
      <w:proofErr w:type="spellEnd"/>
      <w:r w:rsidRPr="00550D35">
        <w:rPr>
          <w:noProof/>
          <w:sz w:val="24"/>
          <w:szCs w:val="24"/>
          <w:lang w:val="lv-LV"/>
        </w:rPr>
        <w:t xml:space="preserve">; </w:t>
      </w:r>
    </w:p>
    <w:p w14:paraId="02204A5B" w14:textId="77777777" w:rsidR="00CF5B1D" w:rsidRPr="00550D35" w:rsidRDefault="00CF5B1D" w:rsidP="00CF5B1D">
      <w:pPr>
        <w:pStyle w:val="ListParagraph"/>
        <w:numPr>
          <w:ilvl w:val="1"/>
          <w:numId w:val="23"/>
        </w:numPr>
        <w:spacing w:before="0" w:after="160" w:line="259" w:lineRule="auto"/>
        <w:contextualSpacing/>
        <w:jc w:val="left"/>
        <w:rPr>
          <w:sz w:val="24"/>
          <w:szCs w:val="24"/>
          <w:lang w:val="lv-LV"/>
        </w:rPr>
      </w:pPr>
      <w:r w:rsidRPr="00550D35">
        <w:rPr>
          <w:sz w:val="24"/>
          <w:szCs w:val="24"/>
          <w:lang w:val="lv-LV"/>
        </w:rPr>
        <w:t>No tām piešķirtas no ES avotiem: 209,8 tūkst. </w:t>
      </w:r>
      <w:proofErr w:type="spellStart"/>
      <w:r w:rsidRPr="00550D35">
        <w:rPr>
          <w:i/>
          <w:sz w:val="24"/>
          <w:szCs w:val="24"/>
          <w:lang w:val="lv-LV"/>
        </w:rPr>
        <w:t>euro</w:t>
      </w:r>
      <w:proofErr w:type="spellEnd"/>
      <w:r w:rsidRPr="00550D35">
        <w:rPr>
          <w:sz w:val="24"/>
          <w:szCs w:val="24"/>
          <w:lang w:val="lv-LV"/>
        </w:rPr>
        <w:t>.</w:t>
      </w:r>
    </w:p>
    <w:p w14:paraId="2BD147AC" w14:textId="77777777" w:rsidR="00CF5B1D" w:rsidRPr="00550D35" w:rsidRDefault="00CF5B1D" w:rsidP="00CF5B1D">
      <w:pPr>
        <w:keepNext/>
        <w:rPr>
          <w:b/>
          <w:bCs/>
          <w:lang w:val="lv-LV"/>
        </w:rPr>
      </w:pPr>
      <w:r w:rsidRPr="00550D35">
        <w:rPr>
          <w:b/>
          <w:bCs/>
          <w:lang w:val="lv-LV"/>
        </w:rPr>
        <w:t>Izaicinājums:</w:t>
      </w:r>
    </w:p>
    <w:p w14:paraId="16B76E52" w14:textId="634198E0" w:rsidR="00CF5B1D" w:rsidRPr="00550D35" w:rsidRDefault="00CF5B1D" w:rsidP="00CF5B1D">
      <w:pPr>
        <w:rPr>
          <w:lang w:val="lv-LV"/>
        </w:rPr>
      </w:pPr>
      <w:r w:rsidRPr="00550D35">
        <w:rPr>
          <w:lang w:val="lv-LV"/>
        </w:rPr>
        <w:t xml:space="preserve">LVRTC nodrošinātais mobilais </w:t>
      </w:r>
      <w:proofErr w:type="spellStart"/>
      <w:r w:rsidRPr="00550D35">
        <w:rPr>
          <w:lang w:val="lv-LV"/>
        </w:rPr>
        <w:t>eID</w:t>
      </w:r>
      <w:proofErr w:type="spellEnd"/>
      <w:r w:rsidRPr="00550D35">
        <w:rPr>
          <w:lang w:val="lv-LV"/>
        </w:rPr>
        <w:t xml:space="preserve"> risinājums </w:t>
      </w:r>
      <w:proofErr w:type="spellStart"/>
      <w:r w:rsidRPr="00550D35">
        <w:rPr>
          <w:lang w:val="lv-LV"/>
        </w:rPr>
        <w:t>eParaksts</w:t>
      </w:r>
      <w:proofErr w:type="spellEnd"/>
      <w:r w:rsidRPr="00550D35">
        <w:rPr>
          <w:lang w:val="lv-LV"/>
        </w:rPr>
        <w:t xml:space="preserve"> </w:t>
      </w:r>
      <w:proofErr w:type="spellStart"/>
      <w:r w:rsidRPr="00550D35">
        <w:rPr>
          <w:lang w:val="lv-LV"/>
        </w:rPr>
        <w:t>mobile</w:t>
      </w:r>
      <w:proofErr w:type="spellEnd"/>
      <w:r w:rsidRPr="00550D35">
        <w:rPr>
          <w:lang w:val="lv-LV"/>
        </w:rPr>
        <w:t xml:space="preserve"> nacionālā līmenī atbilst augstākajam uzticamības līmenim. Ņemot vērā, ka </w:t>
      </w:r>
      <w:proofErr w:type="spellStart"/>
      <w:r w:rsidRPr="00550D35">
        <w:rPr>
          <w:lang w:val="lv-LV"/>
        </w:rPr>
        <w:t>e</w:t>
      </w:r>
      <w:r w:rsidR="00A370CB">
        <w:rPr>
          <w:lang w:val="lv-LV"/>
        </w:rPr>
        <w:t>P</w:t>
      </w:r>
      <w:r w:rsidRPr="00550D35">
        <w:rPr>
          <w:lang w:val="lv-LV"/>
        </w:rPr>
        <w:t>araksts</w:t>
      </w:r>
      <w:proofErr w:type="spellEnd"/>
      <w:r w:rsidRPr="00550D35">
        <w:rPr>
          <w:lang w:val="lv-LV"/>
        </w:rPr>
        <w:t xml:space="preserve"> </w:t>
      </w:r>
      <w:proofErr w:type="spellStart"/>
      <w:r w:rsidRPr="00550D35">
        <w:rPr>
          <w:lang w:val="lv-LV"/>
        </w:rPr>
        <w:t>mobile</w:t>
      </w:r>
      <w:proofErr w:type="spellEnd"/>
      <w:r w:rsidRPr="00550D35">
        <w:rPr>
          <w:lang w:val="lv-LV"/>
        </w:rPr>
        <w:t xml:space="preserve"> šobrīd </w:t>
      </w:r>
      <w:proofErr w:type="spellStart"/>
      <w:r w:rsidRPr="00550D35">
        <w:rPr>
          <w:lang w:val="lv-LV"/>
        </w:rPr>
        <w:t>eID</w:t>
      </w:r>
      <w:proofErr w:type="spellEnd"/>
      <w:r w:rsidRPr="00550D35">
        <w:rPr>
          <w:lang w:val="lv-LV"/>
        </w:rPr>
        <w:t xml:space="preserve"> shēmā ir paziņots ar uzticamības līmeni “būtisks”, pastāv risks, ka Latvijas iedzīvotājiem pārrobežu lietojuma gadījumā ES var saskarties ar situāciju, ka pakalpojums nav pieejams, jo pakalpojumu sniedzējs ir noteicis, ka pakalpojumam var piekļūt tikai ar tādiem elektroniskās identifikācijas risinājumiem, kas ES paziņoti ar augstu uzticamības līmeni.</w:t>
      </w:r>
    </w:p>
    <w:p w14:paraId="160FEDA6" w14:textId="77777777" w:rsidR="00CF5B1D" w:rsidRPr="00550D35" w:rsidRDefault="00CF5B1D" w:rsidP="00CF5B1D">
      <w:pPr>
        <w:rPr>
          <w:lang w:val="lv-LV"/>
        </w:rPr>
      </w:pPr>
    </w:p>
    <w:p w14:paraId="7C1CB312" w14:textId="77777777" w:rsidR="00CF5B1D" w:rsidRPr="00550D35" w:rsidRDefault="00CF5B1D" w:rsidP="00CF5B1D">
      <w:pPr>
        <w:pStyle w:val="Heading3"/>
        <w:ind w:left="1134" w:firstLine="0"/>
        <w:rPr>
          <w:lang w:val="lv-LV"/>
        </w:rPr>
      </w:pPr>
      <w:r w:rsidRPr="00550D35">
        <w:rPr>
          <w:lang w:val="lv-LV"/>
        </w:rPr>
        <w:t>Pasākumu apraksts</w:t>
      </w:r>
    </w:p>
    <w:tbl>
      <w:tblPr>
        <w:tblStyle w:val="TableGrid"/>
        <w:tblW w:w="8755" w:type="dxa"/>
        <w:tblLook w:val="04A0" w:firstRow="1" w:lastRow="0" w:firstColumn="1" w:lastColumn="0" w:noHBand="0" w:noVBand="1"/>
      </w:tblPr>
      <w:tblGrid>
        <w:gridCol w:w="2830"/>
        <w:gridCol w:w="5925"/>
      </w:tblGrid>
      <w:tr w:rsidR="00CF5B1D" w:rsidRPr="00550D35" w14:paraId="743A9CDE" w14:textId="77777777" w:rsidTr="00BA62A0">
        <w:tc>
          <w:tcPr>
            <w:tcW w:w="8755" w:type="dxa"/>
            <w:gridSpan w:val="2"/>
          </w:tcPr>
          <w:p w14:paraId="740EBB76" w14:textId="22BB2940" w:rsidR="00CF5B1D" w:rsidRPr="00240636" w:rsidRDefault="00CF5B1D" w:rsidP="00BA62A0">
            <w:pPr>
              <w:spacing w:after="0" w:line="259" w:lineRule="auto"/>
              <w:ind w:firstLine="0"/>
              <w:rPr>
                <w:sz w:val="20"/>
              </w:rPr>
            </w:pPr>
            <w:proofErr w:type="spellStart"/>
            <w:r w:rsidRPr="00DE2E9C">
              <w:rPr>
                <w:b/>
                <w:bCs/>
                <w:sz w:val="20"/>
              </w:rPr>
              <w:t>Pasākums</w:t>
            </w:r>
            <w:proofErr w:type="spellEnd"/>
            <w:r w:rsidRPr="00DE2E9C">
              <w:rPr>
                <w:b/>
                <w:bCs/>
                <w:sz w:val="20"/>
              </w:rPr>
              <w:t> Nr.1</w:t>
            </w:r>
            <w:r w:rsidR="008E36D9">
              <w:rPr>
                <w:sz w:val="20"/>
              </w:rPr>
              <w:t xml:space="preserve"> </w:t>
            </w:r>
            <w:r w:rsidRPr="00DE2E9C">
              <w:rPr>
                <w:sz w:val="20"/>
              </w:rPr>
              <w:t xml:space="preserve">– </w:t>
            </w:r>
            <w:r w:rsidRPr="008E36D9">
              <w:rPr>
                <w:b/>
                <w:i/>
                <w:iCs/>
                <w:sz w:val="20"/>
              </w:rPr>
              <w:t>“EU Digital Wallet Payment Use Case - Support to the implementation of the E</w:t>
            </w:r>
            <w:r w:rsidR="00240636" w:rsidRPr="008E36D9">
              <w:rPr>
                <w:b/>
                <w:i/>
                <w:iCs/>
                <w:sz w:val="20"/>
              </w:rPr>
              <w:t>uro</w:t>
            </w:r>
            <w:r w:rsidRPr="008E36D9">
              <w:rPr>
                <w:b/>
                <w:i/>
                <w:iCs/>
                <w:sz w:val="20"/>
              </w:rPr>
              <w:t>pean Digital Identity Framework (EDIF) and the implementation of the Once Only System under the Single Digital Gateway Reg”</w:t>
            </w:r>
            <w:r w:rsidRPr="00DE2E9C">
              <w:rPr>
                <w:sz w:val="20"/>
              </w:rPr>
              <w:t xml:space="preserve"> </w:t>
            </w:r>
          </w:p>
        </w:tc>
      </w:tr>
      <w:tr w:rsidR="00CF5B1D" w:rsidRPr="00550D35" w14:paraId="1C8DDD96" w14:textId="77777777" w:rsidTr="00BA62A0">
        <w:tc>
          <w:tcPr>
            <w:tcW w:w="2830" w:type="dxa"/>
          </w:tcPr>
          <w:p w14:paraId="07A0EC5C" w14:textId="77777777" w:rsidR="00CF5B1D" w:rsidRPr="00550D35" w:rsidRDefault="00CF5B1D" w:rsidP="00BA62A0">
            <w:pPr>
              <w:rPr>
                <w:b/>
                <w:bCs/>
                <w:sz w:val="20"/>
                <w:lang w:val="lv-LV"/>
              </w:rPr>
            </w:pPr>
            <w:r w:rsidRPr="00550D35">
              <w:rPr>
                <w:b/>
                <w:bCs/>
                <w:sz w:val="20"/>
                <w:lang w:val="lv-LV"/>
              </w:rPr>
              <w:t>Jauns pasākums</w:t>
            </w:r>
          </w:p>
        </w:tc>
        <w:tc>
          <w:tcPr>
            <w:tcW w:w="5925" w:type="dxa"/>
          </w:tcPr>
          <w:p w14:paraId="439834B4" w14:textId="77777777" w:rsidR="00CF5B1D" w:rsidRPr="00550D35" w:rsidRDefault="00AC141D" w:rsidP="00BA62A0">
            <w:pPr>
              <w:spacing w:before="0" w:after="120"/>
              <w:ind w:firstLine="0"/>
              <w:contextualSpacing/>
              <w:rPr>
                <w:rFonts w:eastAsia="MS Minngs"/>
                <w:sz w:val="20"/>
                <w:lang w:val="lv-LV"/>
              </w:rPr>
            </w:pPr>
            <w:sdt>
              <w:sdtPr>
                <w:rPr>
                  <w:rFonts w:eastAsia="Wingdings 2"/>
                  <w:sz w:val="20"/>
                  <w:lang w:val="lv-LV"/>
                </w:rPr>
                <w:id w:val="-477311613"/>
                <w14:checkbox>
                  <w14:checked w14:val="1"/>
                  <w14:checkedState w14:val="2612" w14:font="MS Gothic"/>
                  <w14:uncheckedState w14:val="2610" w14:font="MS Gothic"/>
                </w14:checkbox>
              </w:sdtPr>
              <w:sdtEndPr/>
              <w:sdtContent>
                <w:r w:rsidR="00CF5B1D" w:rsidRPr="00550D35">
                  <w:rPr>
                    <w:rFonts w:ascii="Segoe UI Symbol" w:eastAsia="MS Gothic" w:hAnsi="Segoe UI Symbol" w:cs="Segoe UI Symbol"/>
                    <w:sz w:val="20"/>
                    <w:lang w:val="lv-LV"/>
                  </w:rPr>
                  <w:t>☒</w:t>
                </w:r>
              </w:sdtContent>
            </w:sdt>
            <w:r w:rsidR="00CF5B1D" w:rsidRPr="00550D35">
              <w:rPr>
                <w:rFonts w:eastAsia="MS Minngs"/>
                <w:sz w:val="20"/>
                <w:lang w:val="lv-LV"/>
              </w:rPr>
              <w:t xml:space="preserve"> jā</w:t>
            </w:r>
          </w:p>
          <w:p w14:paraId="412AA878" w14:textId="77777777" w:rsidR="00CF5B1D" w:rsidRPr="00550D35" w:rsidRDefault="00AC141D" w:rsidP="00BA62A0">
            <w:pPr>
              <w:spacing w:before="0" w:after="120"/>
              <w:ind w:firstLine="0"/>
              <w:contextualSpacing/>
              <w:rPr>
                <w:sz w:val="20"/>
                <w:lang w:val="lv-LV"/>
              </w:rPr>
            </w:pPr>
            <w:sdt>
              <w:sdtPr>
                <w:rPr>
                  <w:rFonts w:eastAsia="Wingdings 2"/>
                  <w:sz w:val="20"/>
                  <w:lang w:val="lv-LV"/>
                </w:rPr>
                <w:id w:val="-1901670225"/>
                <w14:checkbox>
                  <w14:checked w14:val="0"/>
                  <w14:checkedState w14:val="2612" w14:font="MS Gothic"/>
                  <w14:uncheckedState w14:val="2610" w14:font="MS Gothic"/>
                </w14:checkbox>
              </w:sdtPr>
              <w:sdtEndPr/>
              <w:sdtContent>
                <w:r w:rsidR="00CF5B1D" w:rsidRPr="00550D35">
                  <w:rPr>
                    <w:rFonts w:ascii="Segoe UI Symbol" w:eastAsia="MS Gothic" w:hAnsi="Segoe UI Symbol" w:cs="Segoe UI Symbol"/>
                    <w:sz w:val="20"/>
                    <w:lang w:val="lv-LV"/>
                  </w:rPr>
                  <w:t>☐</w:t>
                </w:r>
              </w:sdtContent>
            </w:sdt>
            <w:r w:rsidR="00CF5B1D" w:rsidRPr="00550D35">
              <w:rPr>
                <w:rFonts w:eastAsia="MS Minngs"/>
                <w:sz w:val="20"/>
                <w:lang w:val="lv-LV"/>
              </w:rPr>
              <w:t xml:space="preserve"> nē</w:t>
            </w:r>
          </w:p>
        </w:tc>
      </w:tr>
      <w:tr w:rsidR="00CF5B1D" w:rsidRPr="003B2E9A" w14:paraId="7BCE5C3F" w14:textId="77777777" w:rsidTr="00BA62A0">
        <w:tc>
          <w:tcPr>
            <w:tcW w:w="2830" w:type="dxa"/>
          </w:tcPr>
          <w:p w14:paraId="097A7CBE" w14:textId="1CE5D119" w:rsidR="00CF5B1D" w:rsidRPr="00550D35" w:rsidRDefault="00CF5B1D" w:rsidP="00BA62A0">
            <w:pPr>
              <w:spacing w:after="0"/>
              <w:ind w:firstLine="0"/>
              <w:rPr>
                <w:i/>
                <w:iCs/>
                <w:sz w:val="20"/>
                <w:lang w:val="lv-LV"/>
              </w:rPr>
            </w:pPr>
            <w:r w:rsidRPr="00550D35">
              <w:rPr>
                <w:b/>
                <w:i/>
                <w:iCs/>
                <w:sz w:val="20"/>
                <w:lang w:val="lv-LV"/>
              </w:rPr>
              <w:br/>
            </w:r>
          </w:p>
          <w:p w14:paraId="3B102FCF" w14:textId="77777777" w:rsidR="00CF5B1D" w:rsidRPr="00550D35" w:rsidRDefault="00CF5B1D" w:rsidP="00BA62A0">
            <w:pPr>
              <w:rPr>
                <w:b/>
                <w:sz w:val="20"/>
                <w:lang w:val="lv-LV"/>
              </w:rPr>
            </w:pPr>
          </w:p>
        </w:tc>
        <w:tc>
          <w:tcPr>
            <w:tcW w:w="5925" w:type="dxa"/>
          </w:tcPr>
          <w:p w14:paraId="7706E72C" w14:textId="77777777" w:rsidR="00CF5B1D" w:rsidRPr="00550D35" w:rsidRDefault="00CF5B1D" w:rsidP="00BA62A0">
            <w:pPr>
              <w:spacing w:after="0" w:line="259" w:lineRule="auto"/>
              <w:ind w:firstLine="0"/>
              <w:rPr>
                <w:sz w:val="20"/>
                <w:lang w:val="lv-LV"/>
              </w:rPr>
            </w:pPr>
            <w:r w:rsidRPr="00550D35">
              <w:rPr>
                <w:bCs/>
                <w:sz w:val="20"/>
                <w:lang w:val="lv-LV"/>
              </w:rPr>
              <w:t xml:space="preserve">Projekta ietvaros  </w:t>
            </w:r>
            <w:r w:rsidRPr="00550D35">
              <w:rPr>
                <w:sz w:val="20"/>
                <w:lang w:val="lv-LV"/>
              </w:rPr>
              <w:t xml:space="preserve">vienlaicīgi tiks īstenoti četri pilotprojekti, kuru ietvaros tiks izstrādāti standartizēti Eiropas digitālās identitātes maku risinājumi. Pilotprojektu ietvaros uzsvars likts uz maka </w:t>
            </w:r>
            <w:proofErr w:type="spellStart"/>
            <w:r w:rsidRPr="00550D35">
              <w:rPr>
                <w:sz w:val="20"/>
                <w:lang w:val="lv-LV"/>
              </w:rPr>
              <w:t>pamatfunkcionalitātes</w:t>
            </w:r>
            <w:proofErr w:type="spellEnd"/>
            <w:r w:rsidRPr="00550D35">
              <w:rPr>
                <w:sz w:val="20"/>
                <w:lang w:val="lv-LV"/>
              </w:rPr>
              <w:t xml:space="preserve"> ieviešanu (autentifikācija, paraksts, elektroniskais zīmogs un datu apmaiņa), kā arī plānots parādīt </w:t>
            </w:r>
            <w:proofErr w:type="spellStart"/>
            <w:r w:rsidRPr="00550D35">
              <w:rPr>
                <w:sz w:val="20"/>
                <w:lang w:val="lv-LV"/>
              </w:rPr>
              <w:t>eID</w:t>
            </w:r>
            <w:proofErr w:type="spellEnd"/>
            <w:r w:rsidRPr="00550D35">
              <w:rPr>
                <w:sz w:val="20"/>
                <w:lang w:val="lv-LV"/>
              </w:rPr>
              <w:t xml:space="preserve"> potenciālu integrējot uz </w:t>
            </w:r>
            <w:proofErr w:type="spellStart"/>
            <w:r w:rsidRPr="00550D35">
              <w:rPr>
                <w:sz w:val="20"/>
                <w:lang w:val="lv-LV"/>
              </w:rPr>
              <w:t>eID</w:t>
            </w:r>
            <w:proofErr w:type="spellEnd"/>
            <w:r w:rsidRPr="00550D35">
              <w:rPr>
                <w:sz w:val="20"/>
                <w:lang w:val="lv-LV"/>
              </w:rPr>
              <w:t xml:space="preserve"> balstītus risinājumus identificētajās prioritārajās jomās.  </w:t>
            </w:r>
          </w:p>
          <w:p w14:paraId="5EDF6E0E" w14:textId="77777777" w:rsidR="00CF5B1D" w:rsidRPr="00550D35" w:rsidRDefault="00CF5B1D" w:rsidP="00BA62A0">
            <w:pPr>
              <w:spacing w:after="0" w:line="259" w:lineRule="auto"/>
              <w:ind w:firstLine="0"/>
              <w:rPr>
                <w:sz w:val="20"/>
                <w:lang w:val="lv-LV"/>
              </w:rPr>
            </w:pPr>
            <w:r w:rsidRPr="00550D35">
              <w:rPr>
                <w:sz w:val="20"/>
                <w:lang w:val="lv-LV"/>
              </w:rPr>
              <w:lastRenderedPageBreak/>
              <w:t>Pilotprojekta pirmajā gadā fokusā būs tehnoloģisko risinājumu izstrāde t.i., Latvijas  “Eiropas digitālās identitātes maka” lietotne, ar tās darbību saistītā tehniskā infrastruktūra. Primāri uzsvars tiks likts uz risinājuma pamata funkcionalitāti un ar to saistītajiem procesiem, t.sk., 1)lietotāju reģistrācijas process; 2)elektroniskā identifikācija; 3)kvalificēts elektroniskais paraksts/</w:t>
            </w:r>
            <w:proofErr w:type="spellStart"/>
            <w:r w:rsidRPr="00550D35">
              <w:rPr>
                <w:sz w:val="20"/>
                <w:lang w:val="lv-LV"/>
              </w:rPr>
              <w:t>eZīmogs</w:t>
            </w:r>
            <w:proofErr w:type="spellEnd"/>
            <w:r w:rsidRPr="00550D35">
              <w:rPr>
                <w:sz w:val="20"/>
                <w:lang w:val="lv-LV"/>
              </w:rPr>
              <w:t>; 4)personalizētu publiskā un privātā sektora datu atribūtu pārvaldīšana t.sk., ievietošana makā, uzrādīšana, validācija u.c.</w:t>
            </w:r>
          </w:p>
          <w:p w14:paraId="3C8DFEA8" w14:textId="77777777" w:rsidR="00CF5B1D" w:rsidRPr="00550D35" w:rsidRDefault="00CF5B1D" w:rsidP="00BA62A0">
            <w:pPr>
              <w:spacing w:after="0"/>
              <w:ind w:firstLine="0"/>
              <w:rPr>
                <w:b/>
                <w:bCs/>
                <w:sz w:val="20"/>
                <w:lang w:val="lv-LV" w:eastAsia="lv-LV"/>
              </w:rPr>
            </w:pPr>
            <w:r w:rsidRPr="00550D35">
              <w:rPr>
                <w:b/>
                <w:bCs/>
                <w:sz w:val="20"/>
                <w:lang w:val="lv-LV" w:eastAsia="lv-LV"/>
              </w:rPr>
              <w:t xml:space="preserve">Sasaiste ar </w:t>
            </w:r>
            <w:proofErr w:type="spellStart"/>
            <w:r w:rsidRPr="00550D35">
              <w:rPr>
                <w:b/>
                <w:bCs/>
                <w:sz w:val="20"/>
                <w:lang w:val="lv-LV" w:eastAsia="lv-LV"/>
              </w:rPr>
              <w:t>eID</w:t>
            </w:r>
            <w:proofErr w:type="spellEnd"/>
            <w:r w:rsidRPr="00550D35">
              <w:rPr>
                <w:b/>
                <w:bCs/>
                <w:sz w:val="20"/>
                <w:lang w:val="lv-LV" w:eastAsia="lv-LV"/>
              </w:rPr>
              <w:t xml:space="preserve"> mērķi: </w:t>
            </w:r>
          </w:p>
          <w:p w14:paraId="2E6F3844" w14:textId="77777777" w:rsidR="00CF5B1D" w:rsidRPr="00550D35" w:rsidRDefault="00CF5B1D" w:rsidP="00BA62A0">
            <w:pPr>
              <w:spacing w:before="0" w:line="259" w:lineRule="auto"/>
              <w:ind w:firstLine="0"/>
              <w:rPr>
                <w:sz w:val="20"/>
                <w:lang w:val="lv-LV"/>
              </w:rPr>
            </w:pPr>
            <w:r w:rsidRPr="00550D35">
              <w:rPr>
                <w:sz w:val="20"/>
                <w:lang w:val="lv-LV"/>
              </w:rPr>
              <w:t xml:space="preserve">Pilotprojekts paredz jaunus mobilo </w:t>
            </w:r>
            <w:proofErr w:type="spellStart"/>
            <w:r w:rsidRPr="00550D35">
              <w:rPr>
                <w:sz w:val="20"/>
                <w:lang w:val="lv-LV"/>
              </w:rPr>
              <w:t>eID</w:t>
            </w:r>
            <w:proofErr w:type="spellEnd"/>
            <w:r w:rsidRPr="00550D35">
              <w:rPr>
                <w:sz w:val="20"/>
                <w:lang w:val="lv-LV"/>
              </w:rPr>
              <w:t xml:space="preserve"> risinājumu pielietojumus, proti Eiropas digitālās identitātes maka lietotājiem būs iespēja makā uzglabāt un pakalpojumu saņemšanas procesā uzrādīt personalizētus datu atribūtus, kas piesaistīti personas identitātei, piemēram, digitālā vadītāja apliecība, bankas konts, </w:t>
            </w:r>
            <w:proofErr w:type="spellStart"/>
            <w:r w:rsidRPr="00550D35">
              <w:rPr>
                <w:sz w:val="20"/>
                <w:lang w:val="lv-LV"/>
              </w:rPr>
              <w:t>eReceptes</w:t>
            </w:r>
            <w:proofErr w:type="spellEnd"/>
            <w:r w:rsidRPr="00550D35">
              <w:rPr>
                <w:sz w:val="20"/>
                <w:lang w:val="lv-LV"/>
              </w:rPr>
              <w:t xml:space="preserve">, medicīnisko vēsturi, diplomus u.c.;  Eiropas digitālās identitātes maks tiks izstrādāts kā atvērta platforma, kas būs pieejama publiskā un privātā sektora pakalpojumu sniedzējiem; jaunā funkcionalitāte “personalizēto datu atribūtu apmaiņa” veicinās jaunu inovatīvu pakalpojumu izveidi ES mērogā, vienlaikus liekot uzsvaru uz risinājumu un pakalpojuma procesā nepieciešamo datu savietojamību; Eiropas digitālās identitātes maks tiks integrēts publiskā un privātā sektora pakalpojumos, pakalpojumu sniedzējiem būs noteikts pienākums nodrošināt iespēju to izmantot autentifikācijai – prasību plānots attiecināt arī uz globālajiem pakalpojumu sniedzējiem; Eiropas digitālās identitātes maks veicinās iedzīvotāju mobilitāti, Latvijas un ES ekonomikas attīstību. Līdz ar to projekts tiešā veidā veicinās Digitālās dekādes </w:t>
            </w:r>
            <w:proofErr w:type="spellStart"/>
            <w:r w:rsidRPr="00550D35">
              <w:rPr>
                <w:sz w:val="20"/>
                <w:lang w:val="lv-LV"/>
              </w:rPr>
              <w:t>eID</w:t>
            </w:r>
            <w:proofErr w:type="spellEnd"/>
            <w:r w:rsidRPr="00550D35">
              <w:rPr>
                <w:sz w:val="20"/>
                <w:lang w:val="lv-LV"/>
              </w:rPr>
              <w:t xml:space="preserve"> mērķa sasniegšanu, lai nodrošinātu, ka 100 % ES iedzīvotāju ir piekļuve visā ES atzītiem drošiem </w:t>
            </w:r>
            <w:proofErr w:type="spellStart"/>
            <w:r w:rsidRPr="00550D35">
              <w:rPr>
                <w:sz w:val="20"/>
                <w:lang w:val="lv-LV"/>
              </w:rPr>
              <w:t>eID</w:t>
            </w:r>
            <w:proofErr w:type="spellEnd"/>
            <w:r w:rsidRPr="00550D35">
              <w:rPr>
                <w:sz w:val="20"/>
                <w:lang w:val="lv-LV"/>
              </w:rPr>
              <w:t xml:space="preserve"> līdzekļiem, kas ļauj viņiem pilnībā kontrolēt identitātes darījumus un kopīgotos personas datus.</w:t>
            </w:r>
          </w:p>
        </w:tc>
      </w:tr>
      <w:tr w:rsidR="00CF5B1D" w:rsidRPr="003B2E9A" w14:paraId="1655AFB2" w14:textId="77777777" w:rsidTr="00BA62A0">
        <w:tc>
          <w:tcPr>
            <w:tcW w:w="2830" w:type="dxa"/>
            <w:shd w:val="clear" w:color="auto" w:fill="auto"/>
          </w:tcPr>
          <w:p w14:paraId="36B5CB08" w14:textId="15FDCE01" w:rsidR="00CF5B1D" w:rsidRPr="00550D35" w:rsidRDefault="00CF5B1D" w:rsidP="00BA62A0">
            <w:pPr>
              <w:ind w:firstLine="0"/>
              <w:rPr>
                <w:b/>
                <w:bCs/>
                <w:sz w:val="20"/>
                <w:lang w:val="lv-LV"/>
              </w:rPr>
            </w:pPr>
            <w:r w:rsidRPr="00550D35">
              <w:rPr>
                <w:b/>
                <w:bCs/>
                <w:sz w:val="20"/>
                <w:lang w:val="lv-LV"/>
              </w:rPr>
              <w:lastRenderedPageBreak/>
              <w:t>Piešķirtais vai plānotais budžets un, ja atbilstoši, citi resursi</w:t>
            </w:r>
          </w:p>
        </w:tc>
        <w:tc>
          <w:tcPr>
            <w:tcW w:w="5925" w:type="dxa"/>
            <w:shd w:val="clear" w:color="auto" w:fill="auto"/>
          </w:tcPr>
          <w:p w14:paraId="773ACC57" w14:textId="77777777" w:rsidR="00CF5B1D" w:rsidRPr="00550D35" w:rsidRDefault="00CF5B1D" w:rsidP="00BA62A0">
            <w:pPr>
              <w:spacing w:before="0"/>
              <w:ind w:firstLine="0"/>
              <w:contextualSpacing/>
              <w:jc w:val="left"/>
              <w:rPr>
                <w:sz w:val="20"/>
                <w:lang w:val="lv-LV"/>
              </w:rPr>
            </w:pPr>
            <w:r w:rsidRPr="00550D35">
              <w:rPr>
                <w:b/>
                <w:bCs/>
                <w:sz w:val="20"/>
                <w:lang w:val="lv-LV"/>
              </w:rPr>
              <w:t>Piešķirtais budžets:</w:t>
            </w:r>
            <w:r w:rsidRPr="00550D35">
              <w:rPr>
                <w:sz w:val="20"/>
                <w:lang w:val="lv-LV"/>
              </w:rPr>
              <w:t xml:space="preserve"> 419,7 tūkst. </w:t>
            </w:r>
            <w:proofErr w:type="spellStart"/>
            <w:r w:rsidRPr="00550D35">
              <w:rPr>
                <w:i/>
                <w:sz w:val="20"/>
                <w:lang w:val="lv-LV"/>
              </w:rPr>
              <w:t>euro</w:t>
            </w:r>
            <w:proofErr w:type="spellEnd"/>
            <w:r w:rsidRPr="00550D35">
              <w:rPr>
                <w:sz w:val="20"/>
                <w:lang w:val="lv-LV"/>
              </w:rPr>
              <w:t>, t.sk.:</w:t>
            </w:r>
          </w:p>
          <w:p w14:paraId="25BE2F07" w14:textId="77777777" w:rsidR="00CF5B1D" w:rsidRPr="00550D35" w:rsidRDefault="00CF5B1D" w:rsidP="00BA62A0">
            <w:pPr>
              <w:spacing w:before="0"/>
              <w:ind w:firstLine="0"/>
              <w:contextualSpacing/>
              <w:jc w:val="left"/>
              <w:rPr>
                <w:sz w:val="20"/>
                <w:lang w:val="lv-LV"/>
              </w:rPr>
            </w:pPr>
            <w:r w:rsidRPr="00550D35">
              <w:rPr>
                <w:sz w:val="20"/>
                <w:lang w:val="lv-LV"/>
              </w:rPr>
              <w:t>DEP finansējums (50 %) - 209,8 tūkst. </w:t>
            </w:r>
            <w:proofErr w:type="spellStart"/>
            <w:r w:rsidRPr="00550D35">
              <w:rPr>
                <w:i/>
                <w:sz w:val="20"/>
                <w:lang w:val="lv-LV"/>
              </w:rPr>
              <w:t>euro</w:t>
            </w:r>
            <w:proofErr w:type="spellEnd"/>
            <w:r w:rsidRPr="00550D35">
              <w:rPr>
                <w:sz w:val="20"/>
                <w:lang w:val="lv-LV"/>
              </w:rPr>
              <w:t>;</w:t>
            </w:r>
          </w:p>
          <w:p w14:paraId="0C1ED81E" w14:textId="77777777" w:rsidR="00CF5B1D" w:rsidRPr="00550D35" w:rsidRDefault="00CF5B1D" w:rsidP="00BA62A0">
            <w:pPr>
              <w:spacing w:before="0"/>
              <w:ind w:firstLine="0"/>
              <w:contextualSpacing/>
              <w:jc w:val="left"/>
              <w:rPr>
                <w:sz w:val="20"/>
                <w:lang w:val="lv-LV"/>
              </w:rPr>
            </w:pPr>
            <w:r w:rsidRPr="00550D35">
              <w:rPr>
                <w:sz w:val="20"/>
                <w:lang w:val="lv-LV"/>
              </w:rPr>
              <w:t>Nacionālais līdzfinansējums (50 %) - 209,8 tūkst. </w:t>
            </w:r>
            <w:proofErr w:type="spellStart"/>
            <w:r w:rsidRPr="00550D35">
              <w:rPr>
                <w:i/>
                <w:sz w:val="20"/>
                <w:lang w:val="lv-LV"/>
              </w:rPr>
              <w:t>euro</w:t>
            </w:r>
            <w:proofErr w:type="spellEnd"/>
            <w:r w:rsidRPr="00550D35">
              <w:rPr>
                <w:sz w:val="20"/>
                <w:lang w:val="lv-LV"/>
              </w:rPr>
              <w:t>;</w:t>
            </w:r>
            <w:r w:rsidRPr="00550D35">
              <w:rPr>
                <w:sz w:val="20"/>
                <w:lang w:val="lv-LV"/>
              </w:rPr>
              <w:br/>
            </w:r>
          </w:p>
        </w:tc>
      </w:tr>
      <w:tr w:rsidR="00CF5B1D" w:rsidRPr="003B2E9A" w14:paraId="266CC246" w14:textId="77777777" w:rsidTr="00BA62A0">
        <w:tc>
          <w:tcPr>
            <w:tcW w:w="2830" w:type="dxa"/>
          </w:tcPr>
          <w:p w14:paraId="70420D5D" w14:textId="77777777" w:rsidR="00CF5B1D" w:rsidRPr="00550D35" w:rsidRDefault="00CF5B1D" w:rsidP="00BA62A0">
            <w:pPr>
              <w:ind w:firstLine="0"/>
              <w:rPr>
                <w:b/>
                <w:bCs/>
                <w:sz w:val="20"/>
                <w:lang w:val="lv-LV"/>
              </w:rPr>
            </w:pPr>
            <w:r w:rsidRPr="00550D35">
              <w:rPr>
                <w:b/>
                <w:bCs/>
                <w:sz w:val="20"/>
                <w:lang w:val="lv-LV"/>
              </w:rPr>
              <w:t>Sagaidāmā ietekme un laika ietvars</w:t>
            </w:r>
          </w:p>
        </w:tc>
        <w:tc>
          <w:tcPr>
            <w:tcW w:w="5925" w:type="dxa"/>
          </w:tcPr>
          <w:p w14:paraId="3107907D" w14:textId="5A23FF45" w:rsidR="00CF5B1D" w:rsidRPr="00550D35" w:rsidRDefault="00CF5B1D" w:rsidP="00BA62A0">
            <w:pPr>
              <w:shd w:val="clear" w:color="auto" w:fill="FFFFFF" w:themeFill="background1"/>
              <w:spacing w:before="0"/>
              <w:ind w:firstLine="0"/>
              <w:contextualSpacing/>
              <w:rPr>
                <w:noProof/>
                <w:sz w:val="20"/>
                <w:lang w:val="lv-LV"/>
              </w:rPr>
            </w:pPr>
            <w:r w:rsidRPr="00550D35">
              <w:rPr>
                <w:b/>
                <w:bCs/>
                <w:sz w:val="20"/>
                <w:lang w:val="lv-LV"/>
              </w:rPr>
              <w:t>Sagaidāmā ietekme:</w:t>
            </w:r>
            <w:r w:rsidRPr="00550D35">
              <w:rPr>
                <w:sz w:val="20"/>
                <w:lang w:val="lv-LV"/>
              </w:rPr>
              <w:t xml:space="preserve"> </w:t>
            </w:r>
            <w:r w:rsidRPr="00550D35">
              <w:rPr>
                <w:sz w:val="20"/>
                <w:lang w:val="lv-LV" w:eastAsia="lv-LV"/>
              </w:rPr>
              <w:t xml:space="preserve">Pilotprojekts nodrošinās </w:t>
            </w:r>
            <w:r w:rsidRPr="00550D35">
              <w:rPr>
                <w:sz w:val="20"/>
                <w:lang w:val="lv-LV"/>
              </w:rPr>
              <w:t xml:space="preserve">piekļuvi jaunās paaudzes ES mēroga mobilajam </w:t>
            </w:r>
            <w:proofErr w:type="spellStart"/>
            <w:r w:rsidRPr="00550D35">
              <w:rPr>
                <w:sz w:val="20"/>
                <w:lang w:val="lv-LV"/>
              </w:rPr>
              <w:t>eID</w:t>
            </w:r>
            <w:proofErr w:type="spellEnd"/>
            <w:r w:rsidRPr="00550D35">
              <w:rPr>
                <w:sz w:val="20"/>
                <w:lang w:val="lv-LV"/>
              </w:rPr>
              <w:t xml:space="preserve"> risinājumam (t.i. Eiropas digitālās identitātes maks), veicinās pārskatītās </w:t>
            </w:r>
            <w:proofErr w:type="spellStart"/>
            <w:r w:rsidRPr="00550D35">
              <w:rPr>
                <w:sz w:val="20"/>
                <w:lang w:val="lv-LV"/>
              </w:rPr>
              <w:t>eIDAS</w:t>
            </w:r>
            <w:proofErr w:type="spellEnd"/>
            <w:r w:rsidRPr="00550D35">
              <w:rPr>
                <w:sz w:val="20"/>
                <w:lang w:val="lv-LV"/>
              </w:rPr>
              <w:t xml:space="preserve"> regulas prasību ieviešana, maka risinājumu savietojamība ES mērogā; Iedzīvotājiem tiks nodrošināta iespēja pārvaldīt savus datus (makā izsniegtos atribūtus), arī pakalpojuma sniedzēja pusē tiks samazināts administratīvais slogs un izmaksas; plānots pilnveidot pārrobežu autentifikācijas procesu un identitāšu sasaistes procesu, nodrošinot iespēju pakalpojumu sniedzējiem ES mērogā attīstīt lietotājiem pielāgotus datos balstītus, elektroniskos pakalpojumus; Eiropas digitālās identitātes maks tiks izstrādāts kā atvērta platforma, kas būs pieejama visiem pakalpojumu sniedzējiem, tas tiešā veidā veicinās Digitālās dekādes </w:t>
            </w:r>
            <w:proofErr w:type="spellStart"/>
            <w:r w:rsidRPr="00550D35">
              <w:rPr>
                <w:sz w:val="20"/>
                <w:lang w:val="lv-LV"/>
              </w:rPr>
              <w:t>eID</w:t>
            </w:r>
            <w:proofErr w:type="spellEnd"/>
            <w:r w:rsidRPr="00550D35">
              <w:rPr>
                <w:sz w:val="20"/>
                <w:lang w:val="lv-LV"/>
              </w:rPr>
              <w:t xml:space="preserve"> mērķa sasniegšanu – 100 % ES iedzīvotāju ir piekļuve visā ES atzītiem drošiem elektroniskās identifikācijas līdzekļiem, kas ļauj viņiem pilnībā kontrolēt identitātes darījumus un kopīgotos personas datus un</w:t>
            </w:r>
            <w:r w:rsidRPr="00550D35">
              <w:rPr>
                <w:noProof/>
                <w:sz w:val="20"/>
                <w:lang w:val="lv-LV"/>
              </w:rPr>
              <w:t xml:space="preserve"> lai piekļūtu galvenajiem </w:t>
            </w:r>
            <w:r w:rsidR="00481982">
              <w:rPr>
                <w:noProof/>
                <w:sz w:val="20"/>
                <w:lang w:val="lv-LV"/>
              </w:rPr>
              <w:t>publ</w:t>
            </w:r>
            <w:r w:rsidRPr="00550D35">
              <w:rPr>
                <w:noProof/>
                <w:sz w:val="20"/>
                <w:lang w:val="lv-LV"/>
              </w:rPr>
              <w:t>iskajiem pakalpojumiem augstā drošības līmenī.</w:t>
            </w:r>
          </w:p>
          <w:p w14:paraId="0A3ECDE0" w14:textId="77777777" w:rsidR="00CF5B1D" w:rsidRPr="00550D35" w:rsidRDefault="00CF5B1D" w:rsidP="00BA62A0">
            <w:pPr>
              <w:shd w:val="clear" w:color="auto" w:fill="FFFFFF" w:themeFill="background1"/>
              <w:spacing w:before="0"/>
              <w:ind w:firstLine="0"/>
              <w:contextualSpacing/>
              <w:rPr>
                <w:sz w:val="20"/>
                <w:lang w:val="lv-LV"/>
              </w:rPr>
            </w:pPr>
            <w:r w:rsidRPr="00550D35">
              <w:rPr>
                <w:b/>
                <w:bCs/>
                <w:sz w:val="20"/>
                <w:lang w:val="lv-LV"/>
              </w:rPr>
              <w:t>Laika ietvars:</w:t>
            </w:r>
            <w:r w:rsidRPr="00550D35">
              <w:rPr>
                <w:i/>
                <w:iCs/>
                <w:sz w:val="20"/>
                <w:lang w:val="lv-LV"/>
              </w:rPr>
              <w:t xml:space="preserve"> </w:t>
            </w:r>
            <w:r w:rsidRPr="00550D35">
              <w:rPr>
                <w:sz w:val="20"/>
                <w:lang w:val="lv-LV"/>
              </w:rPr>
              <w:t>2023.gada jūnijs - 2025.gada jūnijs.</w:t>
            </w:r>
          </w:p>
        </w:tc>
      </w:tr>
    </w:tbl>
    <w:p w14:paraId="3565BE3D" w14:textId="77777777" w:rsidR="00CF5B1D" w:rsidRPr="00550D35" w:rsidRDefault="00CF5B1D" w:rsidP="00CF5B1D">
      <w:pPr>
        <w:ind w:firstLine="0"/>
        <w:rPr>
          <w:lang w:val="lv-LV"/>
        </w:rPr>
      </w:pPr>
    </w:p>
    <w:p w14:paraId="1B3FF697" w14:textId="77777777" w:rsidR="00CF5B1D" w:rsidRPr="00550D35" w:rsidRDefault="00CF5B1D" w:rsidP="00CF5B1D">
      <w:pPr>
        <w:pStyle w:val="Heading2"/>
        <w:rPr>
          <w:lang w:val="lv-LV"/>
        </w:rPr>
      </w:pPr>
      <w:r w:rsidRPr="00550D35">
        <w:rPr>
          <w:lang w:val="lv-LV"/>
        </w:rPr>
        <w:t>Galvenā politika, pasākumi un darbības, kas paredzēti, lai palīdzētu sasniegt vispārīgos mērķus</w:t>
      </w:r>
    </w:p>
    <w:p w14:paraId="7FE3BCD1" w14:textId="77777777" w:rsidR="00CF5B1D" w:rsidRPr="00550D35" w:rsidRDefault="00CF5B1D" w:rsidP="00CF5B1D">
      <w:pPr>
        <w:rPr>
          <w:lang w:val="lv-LV"/>
        </w:rPr>
      </w:pPr>
      <w:r w:rsidRPr="00550D35">
        <w:rPr>
          <w:lang w:val="lv-LV"/>
        </w:rPr>
        <w:t xml:space="preserve">Īstenojamie pasākumi un darbības KPI “Piekļuve elektroniskai identifikācijai” jomā sniedz ieguldījumu iedzīvotāju piekļuvē digitālajām tehnoloģijām, tostarp, nodrošinot, ka uzticamā un drošā tiešsaistes vidē var ikviens, jo tiek nodrošināti iekļaujoši, </w:t>
      </w:r>
      <w:r w:rsidRPr="00550D35">
        <w:rPr>
          <w:lang w:val="lv-LV"/>
        </w:rPr>
        <w:lastRenderedPageBreak/>
        <w:t xml:space="preserve">efektīvi, </w:t>
      </w:r>
      <w:proofErr w:type="spellStart"/>
      <w:r w:rsidRPr="00550D35">
        <w:rPr>
          <w:lang w:val="lv-LV"/>
        </w:rPr>
        <w:t>sadarbspējīgi</w:t>
      </w:r>
      <w:proofErr w:type="spellEnd"/>
      <w:r w:rsidRPr="00550D35">
        <w:rPr>
          <w:lang w:val="lv-LV"/>
        </w:rPr>
        <w:t xml:space="preserve"> un personalizēti pakalpojumi un rīki ar augstiem drošības un privātuma standartiem. Īstenojamie pasākumi veicina arī zaļo pārveidi, kā arī līderību un suverenitāti.</w:t>
      </w:r>
    </w:p>
    <w:p w14:paraId="5ECFA672" w14:textId="77777777" w:rsidR="00CF5B1D" w:rsidRPr="00550D35" w:rsidRDefault="00CF5B1D" w:rsidP="00CF5B1D">
      <w:pPr>
        <w:rPr>
          <w:szCs w:val="24"/>
          <w:lang w:val="lv-LV"/>
        </w:rPr>
      </w:pPr>
      <w:r w:rsidRPr="00550D35">
        <w:rPr>
          <w:szCs w:val="24"/>
          <w:lang w:val="lv-LV"/>
        </w:rPr>
        <w:t>DTP2027 ietver rīcības virzienu “Elektroniskā identitāte un uzticamības pakalpojumi”. Eiropas digitālās identitātes maks tiešā veidā veicinās DTP2027 definētā uzdevuma (U4.2.2.-1) “Nacionālās e-identifikācijas un uzticamības pakalpojumu klāsta papildināšana ar jauniem valsts finansētiem pakalpojumiem” īstenošanu.</w:t>
      </w:r>
    </w:p>
    <w:p w14:paraId="5F313B74" w14:textId="77777777" w:rsidR="00CF5B1D" w:rsidRPr="00550D35" w:rsidRDefault="00CF5B1D" w:rsidP="00CF5B1D">
      <w:pPr>
        <w:rPr>
          <w:lang w:val="lv-LV"/>
        </w:rPr>
      </w:pPr>
      <w:r w:rsidRPr="00550D35">
        <w:rPr>
          <w:lang w:val="lv-LV"/>
        </w:rPr>
        <w:t xml:space="preserve">2023.gada 7.marta MK sēdē izskatītā "Informatīvā ziņojuma “Par ERAF projekta "E-Identitātes un e-paraksta risinājumu attīstība" </w:t>
      </w:r>
      <w:proofErr w:type="spellStart"/>
      <w:r w:rsidRPr="00550D35">
        <w:rPr>
          <w:lang w:val="lv-LV"/>
        </w:rPr>
        <w:t>protokollēmumā</w:t>
      </w:r>
      <w:proofErr w:type="spellEnd"/>
      <w:r w:rsidRPr="00550D35">
        <w:rPr>
          <w:lang w:val="lv-LV"/>
        </w:rPr>
        <w:t xml:space="preserve"> ietverti šādi uzdevumi:</w:t>
      </w:r>
    </w:p>
    <w:p w14:paraId="7EC2BB63" w14:textId="77777777" w:rsidR="00CF5B1D" w:rsidRPr="00A16754" w:rsidRDefault="00CF5B1D" w:rsidP="00CF5B1D">
      <w:pPr>
        <w:pStyle w:val="ListParagraph"/>
        <w:numPr>
          <w:ilvl w:val="0"/>
          <w:numId w:val="39"/>
        </w:numPr>
        <w:rPr>
          <w:rFonts w:eastAsia="Times New Roman" w:cs="Times New Roman"/>
          <w:noProof/>
          <w:sz w:val="24"/>
          <w:szCs w:val="20"/>
          <w:lang w:val="lv-LV" w:eastAsia="en-GB"/>
        </w:rPr>
      </w:pPr>
      <w:r w:rsidRPr="00A16754">
        <w:rPr>
          <w:rFonts w:eastAsia="Times New Roman" w:cs="Times New Roman"/>
          <w:noProof/>
          <w:sz w:val="24"/>
          <w:szCs w:val="20"/>
          <w:lang w:val="lv-LV" w:eastAsia="en-GB"/>
        </w:rPr>
        <w:t>Plānots izvērtēt nacionālo tiesisko regulējumu un nepieciešamības gadījumā līdz 2024. gada 1. janvārim noteiktā kārtībā iesniegt izskatīšanai MK priekšlikumus normatīvo aktu pilnveidei, lai nodrošinātu tiesisko ietvaru un noteiktu atbildīgās institūcijas par EP un Padomes Regulā (ES) Nr. 910/2014 par elektronisko identifikāciju un uzticamības pakalpojumiem elektronisko darījumu veikšanai iekšējā tirgū un ar ko atceļ Direktīvu 1999/93/EK paredzēto uzticamības un elektroniskās identifikācijas pakalpojumu nodrošināšanu kā valsts pārvaldes funkciju.</w:t>
      </w:r>
    </w:p>
    <w:p w14:paraId="0F9BB489" w14:textId="77777777" w:rsidR="00CF5B1D" w:rsidRPr="00B95343" w:rsidRDefault="00CF5B1D" w:rsidP="00CF5B1D">
      <w:pPr>
        <w:pStyle w:val="Bulletpoint"/>
        <w:numPr>
          <w:ilvl w:val="0"/>
          <w:numId w:val="39"/>
        </w:numPr>
        <w:rPr>
          <w:lang w:val="lv-LV"/>
        </w:rPr>
      </w:pPr>
      <w:r w:rsidRPr="00B95343">
        <w:rPr>
          <w:lang w:val="lv-LV"/>
        </w:rPr>
        <w:t>Līdz 2024. gada 1. janvārim plānots noteikt uzticamības un elektroniskās identifikācijas pakalpojumu finansēšanas modeli un institūciju atbildības jomas, iesaistīto valsts pārvaldes institūciju funkcijas un uzdevumus, lai nodrošinātu no pārskatītās EP un Padomes Regulas (ES) Nr. 910/2014 par elektronisko identifikāciju un uzticamības pakalpojumiem elektronisko darījumu veikšanai iekšējā tirgū un ar ko atceļ Direktīvu 1999/93/EK dalībvalstīm izrietošo pienākumu izpildi.</w:t>
      </w:r>
    </w:p>
    <w:p w14:paraId="6369B114" w14:textId="77777777" w:rsidR="00CF5B1D" w:rsidRPr="00550D35" w:rsidRDefault="00CF5B1D" w:rsidP="00CF5B1D">
      <w:pPr>
        <w:rPr>
          <w:szCs w:val="24"/>
          <w:lang w:val="lv-LV"/>
        </w:rPr>
      </w:pPr>
      <w:r w:rsidRPr="00550D35">
        <w:rPr>
          <w:lang w:val="lv-LV"/>
        </w:rPr>
        <w:t xml:space="preserve">Saskaņā ar 2023.gada 7.marta MK sēdes </w:t>
      </w:r>
      <w:proofErr w:type="spellStart"/>
      <w:r w:rsidRPr="00550D35">
        <w:rPr>
          <w:lang w:val="lv-LV"/>
        </w:rPr>
        <w:t>protokollēmuma</w:t>
      </w:r>
      <w:proofErr w:type="spellEnd"/>
      <w:r w:rsidRPr="00550D35">
        <w:rPr>
          <w:lang w:val="lv-LV"/>
        </w:rPr>
        <w:t xml:space="preserve"> "Informatīvais ziņojums “Par ERAF projekta "E-Identitātes un e-paraksta risinājumu attīstība" ietvaros izveidotās infrastruktūras tālākas izmantošanas iespējām”</w:t>
      </w:r>
      <w:r w:rsidRPr="00550D35">
        <w:rPr>
          <w:vertAlign w:val="superscript"/>
          <w:lang w:val="lv-LV"/>
        </w:rPr>
        <w:footnoteReference w:id="95"/>
      </w:r>
      <w:r w:rsidRPr="00550D35">
        <w:rPr>
          <w:lang w:val="lv-LV"/>
        </w:rPr>
        <w:t xml:space="preserve"> ir jāīsteno Eiropas vienotās digitālas identitātes maka risinājuma pilotprojektu atbilstoši </w:t>
      </w:r>
      <w:proofErr w:type="spellStart"/>
      <w:r w:rsidRPr="00550D35">
        <w:rPr>
          <w:lang w:val="lv-LV"/>
        </w:rPr>
        <w:t>eIDAS</w:t>
      </w:r>
      <w:proofErr w:type="spellEnd"/>
      <w:r w:rsidRPr="00550D35">
        <w:rPr>
          <w:lang w:val="lv-LV"/>
        </w:rPr>
        <w:t xml:space="preserve"> priekšlikuma prasībām”.</w:t>
      </w:r>
    </w:p>
    <w:p w14:paraId="68BB26C7" w14:textId="77777777" w:rsidR="00CF5B1D" w:rsidRPr="00550D35" w:rsidRDefault="00CF5B1D" w:rsidP="00CF5B1D">
      <w:pPr>
        <w:rPr>
          <w:szCs w:val="24"/>
          <w:lang w:val="lv-LV"/>
        </w:rPr>
      </w:pPr>
      <w:r w:rsidRPr="00550D35">
        <w:rPr>
          <w:lang w:val="lv-LV"/>
        </w:rPr>
        <w:t xml:space="preserve">Plānots atjaunot (LVRTC sadarbībā ar VARAM un </w:t>
      </w:r>
      <w:proofErr w:type="spellStart"/>
      <w:r w:rsidRPr="00550D35">
        <w:rPr>
          <w:lang w:val="lv-LV"/>
        </w:rPr>
        <w:t>AiM</w:t>
      </w:r>
      <w:proofErr w:type="spellEnd"/>
      <w:r w:rsidRPr="00550D35">
        <w:rPr>
          <w:lang w:val="lv-LV"/>
        </w:rPr>
        <w:t>) paziņoto</w:t>
      </w:r>
      <w:r w:rsidRPr="00550D35">
        <w:rPr>
          <w:b/>
          <w:bCs/>
          <w:lang w:val="lv-LV"/>
        </w:rPr>
        <w:t xml:space="preserve"> </w:t>
      </w:r>
      <w:r w:rsidRPr="00550D35">
        <w:rPr>
          <w:lang w:val="lv-LV"/>
        </w:rPr>
        <w:t xml:space="preserve">Latvijas elektroniskās identifikācijas shēmu, veicot pielāgojumus, lai nodrošinātu, ka mobilā lietotne </w:t>
      </w:r>
      <w:proofErr w:type="spellStart"/>
      <w:r w:rsidRPr="00550D35">
        <w:rPr>
          <w:lang w:val="lv-LV"/>
        </w:rPr>
        <w:t>eParaksts</w:t>
      </w:r>
      <w:proofErr w:type="spellEnd"/>
      <w:r w:rsidRPr="00550D35">
        <w:rPr>
          <w:lang w:val="lv-LV"/>
        </w:rPr>
        <w:t xml:space="preserve"> </w:t>
      </w:r>
      <w:proofErr w:type="spellStart"/>
      <w:r w:rsidRPr="00550D35">
        <w:rPr>
          <w:lang w:val="lv-LV"/>
        </w:rPr>
        <w:t>mobile</w:t>
      </w:r>
      <w:proofErr w:type="spellEnd"/>
      <w:r w:rsidRPr="00550D35">
        <w:rPr>
          <w:lang w:val="lv-LV"/>
        </w:rPr>
        <w:t xml:space="preserve">, uz kuras pamata tiks izstrādāts jaunais </w:t>
      </w:r>
      <w:r w:rsidRPr="00550D35">
        <w:rPr>
          <w:szCs w:val="24"/>
          <w:lang w:val="lv-LV"/>
        </w:rPr>
        <w:t>Eiropas</w:t>
      </w:r>
      <w:r w:rsidRPr="00550D35">
        <w:rPr>
          <w:lang w:val="lv-LV"/>
        </w:rPr>
        <w:t xml:space="preserve"> digitālās identitātes maks, atbilst augstākajam uzticamības līmenim </w:t>
      </w:r>
      <w:proofErr w:type="spellStart"/>
      <w:r w:rsidRPr="00550D35">
        <w:rPr>
          <w:lang w:val="lv-LV"/>
        </w:rPr>
        <w:t>eIDAS</w:t>
      </w:r>
      <w:proofErr w:type="spellEnd"/>
      <w:r w:rsidRPr="00550D35">
        <w:rPr>
          <w:lang w:val="lv-LV"/>
        </w:rPr>
        <w:t xml:space="preserve"> regulas izpratnē (autentifikācijas sertifikāts glabājas ierīces līmenī – drošajā elementā). Latvijas gadījumā šo risinājumu plānots balstīt uz lietotnes </w:t>
      </w:r>
      <w:proofErr w:type="spellStart"/>
      <w:r w:rsidRPr="00550D35">
        <w:rPr>
          <w:lang w:val="lv-LV"/>
        </w:rPr>
        <w:t>eParaksts</w:t>
      </w:r>
      <w:proofErr w:type="spellEnd"/>
      <w:r w:rsidRPr="00550D35">
        <w:rPr>
          <w:lang w:val="lv-LV"/>
        </w:rPr>
        <w:t xml:space="preserve"> </w:t>
      </w:r>
      <w:proofErr w:type="spellStart"/>
      <w:r w:rsidRPr="00550D35">
        <w:rPr>
          <w:lang w:val="lv-LV"/>
        </w:rPr>
        <w:t>mobile</w:t>
      </w:r>
      <w:proofErr w:type="spellEnd"/>
      <w:r w:rsidRPr="00550D35">
        <w:rPr>
          <w:lang w:val="lv-LV"/>
        </w:rPr>
        <w:t xml:space="preserve"> bāzes. </w:t>
      </w:r>
    </w:p>
    <w:p w14:paraId="6ECB8A50" w14:textId="77777777" w:rsidR="00CF5B1D" w:rsidRPr="00B95343" w:rsidRDefault="00CF5B1D" w:rsidP="00CF5B1D">
      <w:pPr>
        <w:pStyle w:val="Bulletpoint"/>
        <w:numPr>
          <w:ilvl w:val="0"/>
          <w:numId w:val="0"/>
        </w:numPr>
        <w:ind w:left="567"/>
        <w:rPr>
          <w:lang w:val="lv-LV"/>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995"/>
        <w:gridCol w:w="5234"/>
      </w:tblGrid>
      <w:tr w:rsidR="00CF5B1D" w:rsidRPr="003B2E9A" w14:paraId="6C193DF0" w14:textId="77777777" w:rsidTr="00844B97">
        <w:trPr>
          <w:trHeight w:val="520"/>
        </w:trPr>
        <w:tc>
          <w:tcPr>
            <w:tcW w:w="1418" w:type="dxa"/>
            <w:tcMar>
              <w:top w:w="0" w:type="dxa"/>
              <w:left w:w="108" w:type="dxa"/>
              <w:bottom w:w="0" w:type="dxa"/>
              <w:right w:w="108" w:type="dxa"/>
            </w:tcMar>
            <w:vAlign w:val="center"/>
          </w:tcPr>
          <w:p w14:paraId="11862018" w14:textId="77777777" w:rsidR="00CF5B1D" w:rsidRPr="00550D35" w:rsidRDefault="00CF5B1D" w:rsidP="00BA62A0">
            <w:pPr>
              <w:pStyle w:val="ListParagraph"/>
              <w:spacing w:after="120"/>
              <w:ind w:left="142" w:firstLine="0"/>
              <w:rPr>
                <w:rFonts w:cs="Times New Roman"/>
                <w:b/>
                <w:i/>
                <w:sz w:val="20"/>
                <w:szCs w:val="20"/>
                <w:lang w:val="lv-LV"/>
              </w:rPr>
            </w:pPr>
          </w:p>
        </w:tc>
        <w:tc>
          <w:tcPr>
            <w:tcW w:w="1995" w:type="dxa"/>
            <w:tcMar>
              <w:top w:w="0" w:type="dxa"/>
              <w:left w:w="108" w:type="dxa"/>
              <w:bottom w:w="0" w:type="dxa"/>
              <w:right w:w="108" w:type="dxa"/>
            </w:tcMar>
            <w:vAlign w:val="center"/>
          </w:tcPr>
          <w:p w14:paraId="6189E41A" w14:textId="77777777" w:rsidR="00CF5B1D" w:rsidRPr="00550D35" w:rsidRDefault="00CF5B1D" w:rsidP="00BA62A0">
            <w:pPr>
              <w:ind w:firstLine="0"/>
              <w:rPr>
                <w:b/>
                <w:i/>
                <w:sz w:val="20"/>
                <w:lang w:val="lv-LV"/>
              </w:rPr>
            </w:pPr>
            <w:r w:rsidRPr="00550D35">
              <w:rPr>
                <w:b/>
                <w:i/>
                <w:sz w:val="20"/>
                <w:lang w:val="lv-LV"/>
              </w:rPr>
              <w:t>Vispārīgie mērķi</w:t>
            </w:r>
          </w:p>
        </w:tc>
        <w:tc>
          <w:tcPr>
            <w:tcW w:w="5234" w:type="dxa"/>
            <w:vAlign w:val="center"/>
          </w:tcPr>
          <w:p w14:paraId="020099CF" w14:textId="77777777" w:rsidR="00CF5B1D" w:rsidRPr="00550D35" w:rsidRDefault="00CF5B1D" w:rsidP="00BA62A0">
            <w:pPr>
              <w:pStyle w:val="ListParagraph"/>
              <w:spacing w:after="120"/>
              <w:ind w:left="53" w:firstLine="0"/>
              <w:rPr>
                <w:rFonts w:cs="Times New Roman"/>
                <w:b/>
                <w:i/>
                <w:sz w:val="20"/>
                <w:szCs w:val="20"/>
                <w:lang w:val="lv-LV"/>
              </w:rPr>
            </w:pPr>
            <w:r w:rsidRPr="00550D35">
              <w:rPr>
                <w:rFonts w:cs="Times New Roman"/>
                <w:b/>
                <w:i/>
                <w:sz w:val="20"/>
                <w:szCs w:val="20"/>
                <w:lang w:val="lv-LV"/>
              </w:rPr>
              <w:t>ES Dalībvalsts iespējamā ieguldījuma jomu piemēri</w:t>
            </w:r>
          </w:p>
        </w:tc>
      </w:tr>
      <w:tr w:rsidR="00CF5B1D" w:rsidRPr="003B2E9A" w14:paraId="50664441" w14:textId="77777777" w:rsidTr="00844B97">
        <w:trPr>
          <w:trHeight w:val="664"/>
        </w:trPr>
        <w:tc>
          <w:tcPr>
            <w:tcW w:w="1418" w:type="dxa"/>
            <w:tcMar>
              <w:top w:w="0" w:type="dxa"/>
              <w:left w:w="108" w:type="dxa"/>
              <w:bottom w:w="0" w:type="dxa"/>
              <w:right w:w="108" w:type="dxa"/>
            </w:tcMar>
            <w:vAlign w:val="center"/>
            <w:hideMark/>
          </w:tcPr>
          <w:p w14:paraId="1F6A12AF" w14:textId="77777777" w:rsidR="00CF5B1D" w:rsidRPr="00550D35" w:rsidRDefault="00CF5B1D" w:rsidP="00BA62A0">
            <w:pPr>
              <w:pStyle w:val="ListParagraph"/>
              <w:spacing w:after="120"/>
              <w:ind w:left="44" w:firstLine="0"/>
              <w:rPr>
                <w:rFonts w:cs="Times New Roman"/>
                <w:bCs/>
                <w:i/>
                <w:sz w:val="20"/>
                <w:szCs w:val="20"/>
                <w:lang w:val="lv-LV"/>
              </w:rPr>
            </w:pPr>
            <w:r w:rsidRPr="00550D35">
              <w:rPr>
                <w:rFonts w:cs="Times New Roman"/>
                <w:bCs/>
                <w:i/>
                <w:sz w:val="20"/>
                <w:szCs w:val="20"/>
                <w:lang w:val="lv-LV"/>
              </w:rPr>
              <w:t>Veicināt iedzīvotāju piekļuvi digitālajām tehnoloģijām</w:t>
            </w:r>
            <w:r w:rsidRPr="00550D35">
              <w:rPr>
                <w:rFonts w:cs="Times New Roman"/>
                <w:bCs/>
                <w:i/>
                <w:sz w:val="20"/>
                <w:szCs w:val="20"/>
                <w:lang w:val="lv-LV"/>
              </w:rPr>
              <w:br/>
            </w:r>
          </w:p>
        </w:tc>
        <w:tc>
          <w:tcPr>
            <w:tcW w:w="1995" w:type="dxa"/>
            <w:tcMar>
              <w:top w:w="0" w:type="dxa"/>
              <w:left w:w="108" w:type="dxa"/>
              <w:bottom w:w="0" w:type="dxa"/>
              <w:right w:w="108" w:type="dxa"/>
            </w:tcMar>
            <w:vAlign w:val="center"/>
          </w:tcPr>
          <w:p w14:paraId="435B7CBF" w14:textId="77777777" w:rsidR="00CF5B1D" w:rsidRPr="00550D35" w:rsidRDefault="00CF5B1D" w:rsidP="00BA62A0">
            <w:pPr>
              <w:pStyle w:val="ListParagraph"/>
              <w:spacing w:after="120"/>
              <w:ind w:left="0" w:firstLine="0"/>
              <w:rPr>
                <w:rFonts w:cs="Times New Roman"/>
                <w:bCs/>
                <w:sz w:val="20"/>
                <w:szCs w:val="20"/>
                <w:lang w:val="lv-LV"/>
              </w:rPr>
            </w:pPr>
            <w:r w:rsidRPr="00550D35">
              <w:rPr>
                <w:rFonts w:cs="Times New Roman"/>
                <w:bCs/>
                <w:sz w:val="20"/>
                <w:szCs w:val="20"/>
                <w:lang w:val="lv-LV"/>
              </w:rPr>
              <w:t>Atsaucoties uz mērķiem, kas minēti Dekādes programmas</w:t>
            </w:r>
            <w:r w:rsidRPr="00550D35">
              <w:rPr>
                <w:rFonts w:cs="Times New Roman"/>
                <w:bCs/>
                <w:sz w:val="20"/>
                <w:szCs w:val="20"/>
                <w:lang w:val="lv-LV"/>
              </w:rPr>
              <w:br/>
              <w:t>3. panta 1.daļas (a), (b), (e) un (g) punktā</w:t>
            </w:r>
          </w:p>
        </w:tc>
        <w:tc>
          <w:tcPr>
            <w:tcW w:w="5234" w:type="dxa"/>
          </w:tcPr>
          <w:p w14:paraId="27CD7591" w14:textId="77777777" w:rsidR="00CF5B1D" w:rsidRPr="00550D35" w:rsidRDefault="00CF5B1D" w:rsidP="00BA62A0">
            <w:pPr>
              <w:pStyle w:val="ListParagraph"/>
              <w:numPr>
                <w:ilvl w:val="0"/>
                <w:numId w:val="37"/>
              </w:numPr>
              <w:spacing w:before="100" w:beforeAutospacing="1" w:after="100" w:afterAutospacing="1"/>
              <w:rPr>
                <w:sz w:val="20"/>
                <w:lang w:val="lv-LV" w:eastAsia="lv-LV"/>
              </w:rPr>
            </w:pPr>
            <w:r w:rsidRPr="00550D35">
              <w:rPr>
                <w:sz w:val="20"/>
                <w:lang w:val="lv-LV" w:eastAsia="lv-LV"/>
              </w:rPr>
              <w:t xml:space="preserve">Veikti grozījumi Fizisko personu elektroniskās identifikācijas likumā, kas nosaka, ka visiem privātā un publiskā sektora e-pakalpojumu sniedzējiem līdz 01.02.2023. ir jāintegrē valsts </w:t>
            </w:r>
            <w:proofErr w:type="spellStart"/>
            <w:r w:rsidRPr="00550D35">
              <w:rPr>
                <w:sz w:val="20"/>
                <w:lang w:val="lv-LV" w:eastAsia="lv-LV"/>
              </w:rPr>
              <w:t>eID</w:t>
            </w:r>
            <w:proofErr w:type="spellEnd"/>
            <w:r w:rsidRPr="00550D35">
              <w:rPr>
                <w:sz w:val="20"/>
                <w:lang w:val="lv-LV" w:eastAsia="lv-LV"/>
              </w:rPr>
              <w:t xml:space="preserve"> līdzekļi savos digitālajos pakalpojumos, tādējādi padarot tos pieejamus visiem iedzīvotājiem. </w:t>
            </w:r>
          </w:p>
          <w:p w14:paraId="10240EC6" w14:textId="77777777" w:rsidR="00CF5B1D" w:rsidRPr="00550D35" w:rsidRDefault="00CF5B1D" w:rsidP="00BA62A0">
            <w:pPr>
              <w:pStyle w:val="ListParagraph"/>
              <w:numPr>
                <w:ilvl w:val="0"/>
                <w:numId w:val="37"/>
              </w:numPr>
              <w:spacing w:before="100" w:beforeAutospacing="1" w:after="100" w:afterAutospacing="1"/>
              <w:rPr>
                <w:sz w:val="20"/>
                <w:lang w:val="lv-LV" w:eastAsia="lv-LV"/>
              </w:rPr>
            </w:pPr>
            <w:r w:rsidRPr="00550D35">
              <w:rPr>
                <w:sz w:val="20"/>
                <w:lang w:val="lv-LV" w:eastAsia="lv-LV"/>
              </w:rPr>
              <w:t xml:space="preserve">Grozījumi Personu apliecinošu dokumentu likumā stājās spēkā 2023. gadā, kas nosaka, ka </w:t>
            </w:r>
            <w:proofErr w:type="spellStart"/>
            <w:r w:rsidRPr="00550D35">
              <w:rPr>
                <w:sz w:val="20"/>
                <w:lang w:val="lv-LV" w:eastAsia="lv-LV"/>
              </w:rPr>
              <w:t>eID</w:t>
            </w:r>
            <w:proofErr w:type="spellEnd"/>
            <w:r w:rsidRPr="00550D35">
              <w:rPr>
                <w:sz w:val="20"/>
                <w:lang w:val="lv-LV" w:eastAsia="lv-LV"/>
              </w:rPr>
              <w:t xml:space="preserve"> karte ir obligāts personu apliecinošs dokuments visiem iedzīvotājiem.</w:t>
            </w:r>
          </w:p>
          <w:p w14:paraId="52578643" w14:textId="77777777" w:rsidR="00CF5B1D" w:rsidRPr="00550D35" w:rsidRDefault="00CF5B1D" w:rsidP="00BA62A0">
            <w:pPr>
              <w:spacing w:before="100" w:beforeAutospacing="1" w:after="100" w:afterAutospacing="1"/>
              <w:ind w:firstLine="0"/>
              <w:rPr>
                <w:sz w:val="20"/>
                <w:lang w:val="lv-LV" w:eastAsia="lv-LV"/>
              </w:rPr>
            </w:pPr>
            <w:r w:rsidRPr="00550D35">
              <w:rPr>
                <w:sz w:val="20"/>
                <w:lang w:val="lv-LV" w:eastAsia="lv-LV"/>
              </w:rPr>
              <w:t>Tehnoloģiju attīstība:</w:t>
            </w:r>
          </w:p>
          <w:p w14:paraId="02C6AB5C" w14:textId="77777777" w:rsidR="00CF5B1D" w:rsidRPr="00550D35" w:rsidRDefault="00CF5B1D" w:rsidP="00BA62A0">
            <w:pPr>
              <w:spacing w:before="100" w:beforeAutospacing="1" w:after="100" w:afterAutospacing="1"/>
              <w:ind w:firstLine="0"/>
              <w:rPr>
                <w:sz w:val="20"/>
                <w:lang w:val="lv-LV" w:eastAsia="lv-LV"/>
              </w:rPr>
            </w:pPr>
            <w:r w:rsidRPr="00550D35">
              <w:rPr>
                <w:sz w:val="20"/>
                <w:lang w:val="lv-LV" w:eastAsia="lv-LV"/>
              </w:rPr>
              <w:lastRenderedPageBreak/>
              <w:t xml:space="preserve">Privātā sektora </w:t>
            </w:r>
            <w:proofErr w:type="spellStart"/>
            <w:r w:rsidRPr="00550D35">
              <w:rPr>
                <w:sz w:val="20"/>
                <w:lang w:val="lv-LV" w:eastAsia="lv-LV"/>
              </w:rPr>
              <w:t>eID</w:t>
            </w:r>
            <w:proofErr w:type="spellEnd"/>
            <w:r w:rsidRPr="00550D35">
              <w:rPr>
                <w:sz w:val="20"/>
                <w:lang w:val="lv-LV" w:eastAsia="lv-LV"/>
              </w:rPr>
              <w:t xml:space="preserve"> pakalpojumu sniedzēju pienākums ir integrēt valsts </w:t>
            </w:r>
            <w:proofErr w:type="spellStart"/>
            <w:r w:rsidRPr="00550D35">
              <w:rPr>
                <w:sz w:val="20"/>
                <w:lang w:val="lv-LV" w:eastAsia="lv-LV"/>
              </w:rPr>
              <w:t>eID</w:t>
            </w:r>
            <w:proofErr w:type="spellEnd"/>
            <w:r w:rsidRPr="00550D35">
              <w:rPr>
                <w:sz w:val="20"/>
                <w:lang w:val="lv-LV" w:eastAsia="lv-LV"/>
              </w:rPr>
              <w:t xml:space="preserve"> līdzekļus savos pakalpojumos – VAS LVRTC visiem e-pakalpojumu sniedzējiem nodrošināja piekļuvi valsts </w:t>
            </w:r>
            <w:proofErr w:type="spellStart"/>
            <w:r w:rsidRPr="00550D35">
              <w:rPr>
                <w:sz w:val="20"/>
                <w:lang w:val="lv-LV" w:eastAsia="lv-LV"/>
              </w:rPr>
              <w:t>eID</w:t>
            </w:r>
            <w:proofErr w:type="spellEnd"/>
            <w:r w:rsidRPr="00550D35">
              <w:rPr>
                <w:sz w:val="20"/>
                <w:lang w:val="lv-LV" w:eastAsia="lv-LV"/>
              </w:rPr>
              <w:t xml:space="preserve"> līdzekļiem, integrējot “identitātes platformas” risinājumu, lai tas atbilstu Fizisko personu elektroniskās identifikācijas likuma prasībām. Ieviešot identitātes platformas pakalpojumu sniedzēji saņem arī pieeju citam LVRTC sniegtajam risinājumam, piemēram, kvalificētiem elektroniskajiem parakstiem un e-zīmogiem, tādējādi vēl vairāk atvieglojot iekšējā un uz klientu balstītā uzņēmuma procesa </w:t>
            </w:r>
            <w:proofErr w:type="spellStart"/>
            <w:r w:rsidRPr="00550D35">
              <w:rPr>
                <w:sz w:val="20"/>
                <w:lang w:val="lv-LV" w:eastAsia="lv-LV"/>
              </w:rPr>
              <w:t>digitalizāciju</w:t>
            </w:r>
            <w:proofErr w:type="spellEnd"/>
            <w:r w:rsidRPr="00550D35">
              <w:rPr>
                <w:sz w:val="20"/>
                <w:lang w:val="lv-LV" w:eastAsia="lv-LV"/>
              </w:rPr>
              <w:t>. LVRTC arī nodrošināja ļoti lietotājam draudzīgu un ātru veidu, kā pieteikt savus pakalpojumus, to var izdarīt, aizpildot nepieciešamās veidlapas portāla tiešsaistē.</w:t>
            </w:r>
          </w:p>
          <w:p w14:paraId="1AA894EF" w14:textId="77777777" w:rsidR="00CF5B1D" w:rsidRPr="00550D35" w:rsidRDefault="00CF5B1D" w:rsidP="00BA62A0">
            <w:pPr>
              <w:spacing w:before="100" w:beforeAutospacing="1" w:after="100" w:afterAutospacing="1"/>
              <w:ind w:firstLine="0"/>
              <w:rPr>
                <w:sz w:val="20"/>
                <w:lang w:val="lv-LV" w:eastAsia="lv-LV"/>
              </w:rPr>
            </w:pPr>
            <w:r w:rsidRPr="00550D35">
              <w:rPr>
                <w:sz w:val="20"/>
                <w:lang w:val="lv-LV" w:eastAsia="lv-LV"/>
              </w:rPr>
              <w:t>Paredzēts ieviest jaunu “</w:t>
            </w:r>
            <w:proofErr w:type="spellStart"/>
            <w:r w:rsidRPr="00550D35">
              <w:rPr>
                <w:sz w:val="20"/>
                <w:lang w:val="lv-LV" w:eastAsia="lv-LV"/>
              </w:rPr>
              <w:t>eParaksts</w:t>
            </w:r>
            <w:proofErr w:type="spellEnd"/>
            <w:r w:rsidRPr="00550D35">
              <w:rPr>
                <w:sz w:val="20"/>
                <w:lang w:val="lv-LV" w:eastAsia="lv-LV"/>
              </w:rPr>
              <w:t xml:space="preserve"> </w:t>
            </w:r>
            <w:proofErr w:type="spellStart"/>
            <w:r w:rsidRPr="00550D35">
              <w:rPr>
                <w:sz w:val="20"/>
                <w:lang w:val="lv-LV" w:eastAsia="lv-LV"/>
              </w:rPr>
              <w:t>mobile</w:t>
            </w:r>
            <w:proofErr w:type="spellEnd"/>
            <w:r w:rsidRPr="00550D35">
              <w:rPr>
                <w:sz w:val="20"/>
                <w:lang w:val="lv-LV" w:eastAsia="lv-LV"/>
              </w:rPr>
              <w:t xml:space="preserve">” funkcionalitāti, lai lietotāji varētu apstiprināt bankas darījumus ar </w:t>
            </w:r>
            <w:proofErr w:type="spellStart"/>
            <w:r w:rsidRPr="00550D35">
              <w:rPr>
                <w:sz w:val="20"/>
                <w:lang w:val="lv-LV" w:eastAsia="lv-LV"/>
              </w:rPr>
              <w:t>eParaksts</w:t>
            </w:r>
            <w:proofErr w:type="spellEnd"/>
            <w:r w:rsidRPr="00550D35">
              <w:rPr>
                <w:sz w:val="20"/>
                <w:lang w:val="lv-LV" w:eastAsia="lv-LV"/>
              </w:rPr>
              <w:t xml:space="preserve"> </w:t>
            </w:r>
            <w:proofErr w:type="spellStart"/>
            <w:r w:rsidRPr="00550D35">
              <w:rPr>
                <w:sz w:val="20"/>
                <w:lang w:val="lv-LV" w:eastAsia="lv-LV"/>
              </w:rPr>
              <w:t>mobile</w:t>
            </w:r>
            <w:proofErr w:type="spellEnd"/>
            <w:r w:rsidRPr="00550D35">
              <w:rPr>
                <w:sz w:val="20"/>
                <w:lang w:val="lv-LV" w:eastAsia="lv-LV"/>
              </w:rPr>
              <w:t xml:space="preserve"> līdz 2023. gada 1. ceturkšņa beigām. (</w:t>
            </w:r>
            <w:hyperlink r:id="rId18" w:history="1">
              <w:r w:rsidRPr="00550D35">
                <w:rPr>
                  <w:rStyle w:val="Hyperlink"/>
                  <w:sz w:val="20"/>
                  <w:lang w:val="lv-LV" w:eastAsia="lv-LV"/>
                </w:rPr>
                <w:t>https://www.eparaksts.lv/lv/par_mums/Jaunumi/Jauna_eParaksts_mobile_versija_nr127</w:t>
              </w:r>
            </w:hyperlink>
            <w:r w:rsidRPr="00550D35">
              <w:rPr>
                <w:sz w:val="20"/>
                <w:lang w:val="lv-LV" w:eastAsia="lv-LV"/>
              </w:rPr>
              <w:t xml:space="preserve">). </w:t>
            </w:r>
          </w:p>
        </w:tc>
      </w:tr>
      <w:tr w:rsidR="00CF5B1D" w:rsidRPr="003B2E9A" w14:paraId="61A8D0A0" w14:textId="77777777" w:rsidTr="00844B97">
        <w:trPr>
          <w:trHeight w:val="1096"/>
        </w:trPr>
        <w:tc>
          <w:tcPr>
            <w:tcW w:w="1418" w:type="dxa"/>
            <w:tcMar>
              <w:top w:w="0" w:type="dxa"/>
              <w:left w:w="108" w:type="dxa"/>
              <w:bottom w:w="0" w:type="dxa"/>
              <w:right w:w="108" w:type="dxa"/>
            </w:tcMar>
            <w:vAlign w:val="center"/>
            <w:hideMark/>
          </w:tcPr>
          <w:p w14:paraId="7E5561A1" w14:textId="77777777" w:rsidR="00CF5B1D" w:rsidRPr="00550D35" w:rsidRDefault="00CF5B1D" w:rsidP="00BA62A0">
            <w:pPr>
              <w:pStyle w:val="ListParagraph"/>
              <w:spacing w:after="120"/>
              <w:ind w:left="142" w:firstLine="0"/>
              <w:rPr>
                <w:rFonts w:cs="Times New Roman"/>
                <w:bCs/>
                <w:i/>
                <w:sz w:val="20"/>
                <w:szCs w:val="20"/>
                <w:lang w:val="lv-LV"/>
              </w:rPr>
            </w:pPr>
            <w:r w:rsidRPr="00550D35">
              <w:rPr>
                <w:rFonts w:cs="Times New Roman"/>
                <w:bCs/>
                <w:i/>
                <w:sz w:val="20"/>
                <w:szCs w:val="20"/>
                <w:lang w:val="lv-LV"/>
              </w:rPr>
              <w:lastRenderedPageBreak/>
              <w:t>Veicināt līderību un suverenitāti</w:t>
            </w:r>
          </w:p>
        </w:tc>
        <w:tc>
          <w:tcPr>
            <w:tcW w:w="1995" w:type="dxa"/>
            <w:tcMar>
              <w:top w:w="0" w:type="dxa"/>
              <w:left w:w="108" w:type="dxa"/>
              <w:bottom w:w="0" w:type="dxa"/>
              <w:right w:w="108" w:type="dxa"/>
            </w:tcMar>
            <w:vAlign w:val="center"/>
            <w:hideMark/>
          </w:tcPr>
          <w:p w14:paraId="2C8F4C89" w14:textId="77777777" w:rsidR="00CF5B1D" w:rsidRPr="00550D35" w:rsidRDefault="00CF5B1D" w:rsidP="00BA62A0">
            <w:pPr>
              <w:pStyle w:val="ListParagraph"/>
              <w:spacing w:after="120"/>
              <w:ind w:left="0" w:firstLine="0"/>
              <w:rPr>
                <w:rFonts w:cs="Times New Roman"/>
                <w:bCs/>
                <w:i/>
                <w:sz w:val="20"/>
                <w:szCs w:val="20"/>
                <w:lang w:val="lv-LV"/>
              </w:rPr>
            </w:pPr>
            <w:r w:rsidRPr="00550D35">
              <w:rPr>
                <w:rFonts w:cs="Times New Roman"/>
                <w:bCs/>
                <w:sz w:val="20"/>
                <w:szCs w:val="20"/>
                <w:lang w:val="lv-LV"/>
              </w:rPr>
              <w:t>Atsaucoties uz mērķiem, kas minēti Dekādes programmas</w:t>
            </w:r>
            <w:r w:rsidRPr="00550D35">
              <w:rPr>
                <w:rFonts w:cs="Times New Roman"/>
                <w:bCs/>
                <w:sz w:val="20"/>
                <w:szCs w:val="20"/>
                <w:lang w:val="lv-LV"/>
              </w:rPr>
              <w:br/>
              <w:t>3. panta 1.daļas (c), (d), (</w:t>
            </w:r>
            <w:proofErr w:type="spellStart"/>
            <w:r w:rsidRPr="00550D35">
              <w:rPr>
                <w:rFonts w:cs="Times New Roman"/>
                <w:bCs/>
                <w:sz w:val="20"/>
                <w:szCs w:val="20"/>
                <w:lang w:val="lv-LV"/>
              </w:rPr>
              <w:t>da</w:t>
            </w:r>
            <w:proofErr w:type="spellEnd"/>
            <w:r w:rsidRPr="00550D35">
              <w:rPr>
                <w:rFonts w:cs="Times New Roman"/>
                <w:bCs/>
                <w:sz w:val="20"/>
                <w:szCs w:val="20"/>
                <w:lang w:val="lv-LV"/>
              </w:rPr>
              <w:t>), (ha) un (</w:t>
            </w:r>
            <w:proofErr w:type="spellStart"/>
            <w:r w:rsidRPr="00550D35">
              <w:rPr>
                <w:rFonts w:cs="Times New Roman"/>
                <w:bCs/>
                <w:sz w:val="20"/>
                <w:szCs w:val="20"/>
                <w:lang w:val="lv-LV"/>
              </w:rPr>
              <w:t>db</w:t>
            </w:r>
            <w:proofErr w:type="spellEnd"/>
            <w:r w:rsidRPr="00550D35">
              <w:rPr>
                <w:rFonts w:cs="Times New Roman"/>
                <w:bCs/>
                <w:sz w:val="20"/>
                <w:szCs w:val="20"/>
                <w:lang w:val="lv-LV"/>
              </w:rPr>
              <w:t>) punktos</w:t>
            </w:r>
          </w:p>
        </w:tc>
        <w:tc>
          <w:tcPr>
            <w:tcW w:w="5234" w:type="dxa"/>
          </w:tcPr>
          <w:p w14:paraId="1077DEBE" w14:textId="77777777" w:rsidR="00CF5B1D" w:rsidRPr="00550D35" w:rsidRDefault="00CF5B1D" w:rsidP="00BA62A0">
            <w:pPr>
              <w:spacing w:after="120"/>
              <w:ind w:firstLine="0"/>
              <w:rPr>
                <w:sz w:val="20"/>
                <w:lang w:val="lv-LV" w:eastAsia="lv-LV"/>
              </w:rPr>
            </w:pPr>
            <w:r w:rsidRPr="00550D35">
              <w:rPr>
                <w:sz w:val="20"/>
                <w:lang w:val="lv-LV" w:eastAsia="lv-LV"/>
              </w:rPr>
              <w:t xml:space="preserve">Pasākums veicina ES </w:t>
            </w:r>
            <w:r w:rsidRPr="00550D35">
              <w:rPr>
                <w:sz w:val="20"/>
                <w:lang w:val="lv-LV"/>
              </w:rPr>
              <w:t xml:space="preserve">digitālo spēju izvēršanu un izmantošanu, mazinot ģeogrāfisko digitālo plaisu un veicinot piekļuvi digitālajām tehnoloģijām un datiem ar atvērtiem, pieejamiem un taisnīgiem noteikumiem. </w:t>
            </w:r>
          </w:p>
        </w:tc>
      </w:tr>
      <w:tr w:rsidR="00CF5B1D" w:rsidRPr="003B2E9A" w14:paraId="3224A10D" w14:textId="77777777" w:rsidTr="00844B97">
        <w:trPr>
          <w:trHeight w:val="1120"/>
        </w:trPr>
        <w:tc>
          <w:tcPr>
            <w:tcW w:w="1418" w:type="dxa"/>
            <w:tcMar>
              <w:top w:w="0" w:type="dxa"/>
              <w:left w:w="108" w:type="dxa"/>
              <w:bottom w:w="0" w:type="dxa"/>
              <w:right w:w="108" w:type="dxa"/>
            </w:tcMar>
            <w:vAlign w:val="center"/>
          </w:tcPr>
          <w:p w14:paraId="24586D68" w14:textId="77777777" w:rsidR="00CF5B1D" w:rsidRPr="00550D35" w:rsidRDefault="00CF5B1D" w:rsidP="00BA62A0">
            <w:pPr>
              <w:pStyle w:val="ListParagraph"/>
              <w:spacing w:after="120"/>
              <w:ind w:left="142" w:firstLine="0"/>
              <w:rPr>
                <w:rFonts w:cs="Times New Roman"/>
                <w:bCs/>
                <w:i/>
                <w:sz w:val="20"/>
                <w:szCs w:val="20"/>
                <w:lang w:val="lv-LV"/>
              </w:rPr>
            </w:pPr>
            <w:r w:rsidRPr="00550D35">
              <w:rPr>
                <w:rFonts w:cs="Times New Roman"/>
                <w:bCs/>
                <w:i/>
                <w:sz w:val="20"/>
                <w:szCs w:val="20"/>
                <w:lang w:val="lv-LV"/>
              </w:rPr>
              <w:t>Veicināt zaļo pārveidi</w:t>
            </w:r>
          </w:p>
        </w:tc>
        <w:tc>
          <w:tcPr>
            <w:tcW w:w="1995" w:type="dxa"/>
            <w:tcMar>
              <w:top w:w="0" w:type="dxa"/>
              <w:left w:w="108" w:type="dxa"/>
              <w:bottom w:w="0" w:type="dxa"/>
              <w:right w:w="108" w:type="dxa"/>
            </w:tcMar>
            <w:vAlign w:val="center"/>
          </w:tcPr>
          <w:p w14:paraId="6F69FC1B" w14:textId="77777777" w:rsidR="00CF5B1D" w:rsidRPr="00550D35" w:rsidRDefault="00CF5B1D" w:rsidP="00BA62A0">
            <w:pPr>
              <w:pStyle w:val="ListParagraph"/>
              <w:spacing w:after="120"/>
              <w:ind w:left="223" w:firstLine="0"/>
              <w:rPr>
                <w:rFonts w:cs="Times New Roman"/>
                <w:bCs/>
                <w:sz w:val="20"/>
                <w:szCs w:val="20"/>
                <w:lang w:val="lv-LV"/>
              </w:rPr>
            </w:pPr>
            <w:r w:rsidRPr="00550D35">
              <w:rPr>
                <w:rFonts w:cs="Times New Roman"/>
                <w:bCs/>
                <w:sz w:val="20"/>
                <w:szCs w:val="20"/>
                <w:lang w:val="lv-LV"/>
              </w:rPr>
              <w:t>Atsaucoties uz mērķiem, kas minēti Dekādes programmas</w:t>
            </w:r>
            <w:r w:rsidRPr="00550D35">
              <w:rPr>
                <w:rFonts w:cs="Times New Roman"/>
                <w:bCs/>
                <w:sz w:val="20"/>
                <w:szCs w:val="20"/>
                <w:lang w:val="lv-LV"/>
              </w:rPr>
              <w:br/>
              <w:t>3. panta 1.daļas (f) punktā</w:t>
            </w:r>
          </w:p>
        </w:tc>
        <w:tc>
          <w:tcPr>
            <w:tcW w:w="5234" w:type="dxa"/>
          </w:tcPr>
          <w:p w14:paraId="4FF98308" w14:textId="77777777" w:rsidR="00CF5B1D" w:rsidRPr="00550D35" w:rsidRDefault="00CF5B1D" w:rsidP="00844B97">
            <w:pPr>
              <w:pStyle w:val="ListParagraph"/>
              <w:spacing w:before="0"/>
              <w:ind w:left="0" w:firstLine="0"/>
              <w:rPr>
                <w:rFonts w:cs="Times New Roman"/>
                <w:bCs/>
                <w:i/>
                <w:sz w:val="20"/>
                <w:szCs w:val="20"/>
                <w:lang w:val="lv-LV"/>
              </w:rPr>
            </w:pPr>
            <w:r w:rsidRPr="00550D35">
              <w:rPr>
                <w:rFonts w:eastAsia="Times New Roman" w:cs="Times New Roman"/>
                <w:sz w:val="20"/>
                <w:szCs w:val="20"/>
                <w:lang w:val="lv-LV" w:eastAsia="lv-LV"/>
              </w:rPr>
              <w:t xml:space="preserve">Šīs tabulas 1) un 2) punktā minētais attiecībā uz regulējuma pilnveidošanu sniedz ieguldījumu </w:t>
            </w:r>
            <w:r w:rsidRPr="00550D35">
              <w:rPr>
                <w:rFonts w:cs="Times New Roman"/>
                <w:sz w:val="20"/>
                <w:szCs w:val="20"/>
                <w:lang w:val="lv-LV"/>
              </w:rPr>
              <w:t>ES digitālās normatīvo vides veidošanā, lai atbalstītu ES uzņēmumu, jo īpaši MVU, spēju godīgi konkurēt globālajās vērtības ķēdēs;</w:t>
            </w:r>
          </w:p>
        </w:tc>
      </w:tr>
    </w:tbl>
    <w:p w14:paraId="42432CB7" w14:textId="77777777" w:rsidR="00CF5B1D" w:rsidRPr="00550D35" w:rsidRDefault="00CF5B1D" w:rsidP="00CF5B1D">
      <w:pPr>
        <w:pStyle w:val="Heading2"/>
        <w:rPr>
          <w:lang w:val="lv-LV"/>
        </w:rPr>
      </w:pPr>
      <w:r w:rsidRPr="00550D35">
        <w:rPr>
          <w:lang w:val="lv-LV"/>
        </w:rPr>
        <w:t>ES līmeņa sadarbība</w:t>
      </w:r>
    </w:p>
    <w:p w14:paraId="64835F07" w14:textId="77777777" w:rsidR="00CF5B1D" w:rsidRPr="00550D35" w:rsidRDefault="00CF5B1D" w:rsidP="00CF5B1D">
      <w:pPr>
        <w:pStyle w:val="Heading3"/>
        <w:rPr>
          <w:lang w:val="lv-LV"/>
        </w:rPr>
      </w:pPr>
      <w:r w:rsidRPr="00550D35">
        <w:rPr>
          <w:lang w:val="lv-LV"/>
        </w:rPr>
        <w:t>Daudzvalstu projekti</w:t>
      </w:r>
    </w:p>
    <w:p w14:paraId="1EE18D5A" w14:textId="77777777" w:rsidR="00CF5B1D" w:rsidRPr="00550D35" w:rsidRDefault="00CF5B1D" w:rsidP="00CF5B1D">
      <w:pPr>
        <w:pStyle w:val="Text3"/>
        <w:ind w:left="0"/>
        <w:rPr>
          <w:lang w:val="lv-LV"/>
        </w:rPr>
      </w:pPr>
      <w:r w:rsidRPr="00550D35">
        <w:rPr>
          <w:lang w:val="lv-LV"/>
        </w:rPr>
        <w:t xml:space="preserve">“ES digitālā maka maksājumu izmantošanas gadījums — atbalsts </w:t>
      </w:r>
      <w:r w:rsidRPr="00550D35">
        <w:rPr>
          <w:iCs/>
          <w:lang w:val="lv-LV"/>
        </w:rPr>
        <w:t>Eiropas digitālās</w:t>
      </w:r>
      <w:r w:rsidRPr="00550D35">
        <w:rPr>
          <w:lang w:val="lv-LV"/>
        </w:rPr>
        <w:t xml:space="preserve"> identitātes ietvara (EDIF) īstenošanai un </w:t>
      </w:r>
      <w:proofErr w:type="spellStart"/>
      <w:r w:rsidRPr="00550D35">
        <w:rPr>
          <w:lang w:val="lv-LV"/>
        </w:rPr>
        <w:t>vienreizes</w:t>
      </w:r>
      <w:proofErr w:type="spellEnd"/>
      <w:r w:rsidRPr="00550D35">
        <w:rPr>
          <w:lang w:val="lv-LV"/>
        </w:rPr>
        <w:t xml:space="preserve"> principa ieviešanai saskaņā ar vienotās digitālās vārtejas regulu” (skat. pasākuma aprakstu punktā 16.3.2.). Pilotprojekta laikā tiks izstrādāts un testēts </w:t>
      </w:r>
      <w:r w:rsidRPr="00550D35">
        <w:rPr>
          <w:szCs w:val="24"/>
          <w:lang w:val="lv-LV"/>
        </w:rPr>
        <w:t xml:space="preserve">Eiropas </w:t>
      </w:r>
      <w:r w:rsidRPr="00550D35">
        <w:rPr>
          <w:lang w:val="lv-LV"/>
        </w:rPr>
        <w:t xml:space="preserve">Digitālās identitātes maks, izmantojot maksājumu lietojuma gadījumu. </w:t>
      </w:r>
      <w:r w:rsidRPr="00550D35">
        <w:rPr>
          <w:szCs w:val="24"/>
          <w:lang w:val="lv-LV"/>
        </w:rPr>
        <w:t>Eiropas</w:t>
      </w:r>
      <w:r w:rsidRPr="00550D35">
        <w:rPr>
          <w:lang w:val="lv-LV"/>
        </w:rPr>
        <w:t xml:space="preserve"> digitālās identitātes maks būs mobils elektroniskās identifikācijas līdzeklis, kas iedzīvotājiem un komersantiem ļaus digitālā vidē apliecināt savu identitāti, parakstīt dokumentus izmantojot kvalificētu elektronisko parakstu vai </w:t>
      </w:r>
      <w:proofErr w:type="spellStart"/>
      <w:r w:rsidRPr="00550D35">
        <w:rPr>
          <w:lang w:val="lv-LV"/>
        </w:rPr>
        <w:t>eZīmogu</w:t>
      </w:r>
      <w:proofErr w:type="spellEnd"/>
      <w:r w:rsidRPr="00550D35">
        <w:rPr>
          <w:lang w:val="lv-LV"/>
        </w:rPr>
        <w:t>, kā arī nodrošinās iespēju apmainīties ar personalizētiem datiem (atribūtiem) publisko un privāto pakalpojumu ietvaros.</w:t>
      </w:r>
    </w:p>
    <w:p w14:paraId="4DF86832" w14:textId="77777777" w:rsidR="00CF5B1D" w:rsidRPr="00B95343" w:rsidRDefault="00CF5B1D" w:rsidP="00CF5B1D">
      <w:pPr>
        <w:pStyle w:val="Bulletpoint"/>
        <w:numPr>
          <w:ilvl w:val="0"/>
          <w:numId w:val="0"/>
        </w:numPr>
        <w:ind w:left="567"/>
        <w:rPr>
          <w:lang w:val="lv-LV"/>
        </w:rPr>
      </w:pPr>
    </w:p>
    <w:p w14:paraId="4DC23056" w14:textId="77777777" w:rsidR="00CF5B1D" w:rsidRPr="00550D35" w:rsidRDefault="00CF5B1D" w:rsidP="00CF5B1D">
      <w:pPr>
        <w:pStyle w:val="Heading3"/>
        <w:rPr>
          <w:lang w:val="lv-LV"/>
        </w:rPr>
      </w:pPr>
      <w:r w:rsidRPr="00550D35">
        <w:rPr>
          <w:lang w:val="lv-LV"/>
        </w:rPr>
        <w:t>Veicinošie faktori ES līmenī</w:t>
      </w:r>
    </w:p>
    <w:p w14:paraId="2DC53BD8" w14:textId="77777777" w:rsidR="00CF5B1D" w:rsidRPr="00550D35" w:rsidRDefault="00CF5B1D" w:rsidP="00CF5B1D">
      <w:pPr>
        <w:pStyle w:val="Bulletpoint"/>
        <w:numPr>
          <w:ilvl w:val="0"/>
          <w:numId w:val="0"/>
        </w:numPr>
      </w:pPr>
    </w:p>
    <w:p w14:paraId="029596D4" w14:textId="77777777" w:rsidR="00CF5B1D" w:rsidRPr="00550D35" w:rsidRDefault="00CF5B1D" w:rsidP="00CF5B1D">
      <w:pPr>
        <w:rPr>
          <w:lang w:val="lv-LV" w:eastAsia="lv-LV"/>
        </w:rPr>
      </w:pPr>
      <w:r w:rsidRPr="00550D35">
        <w:rPr>
          <w:lang w:val="lv-LV" w:eastAsia="lv-LV"/>
        </w:rPr>
        <w:t xml:space="preserve">2020. gada 2. oktobrī, Eiropadome pieņēma lēmumu, ar kuru aicināja izstrādāt ES mēroga sistēmu drošai publiskai elektroniskai identifikācijai, tostarp </w:t>
      </w:r>
      <w:proofErr w:type="spellStart"/>
      <w:r w:rsidRPr="00550D35">
        <w:rPr>
          <w:lang w:val="lv-LV" w:eastAsia="lv-LV"/>
        </w:rPr>
        <w:t>sadarbspējīgiem</w:t>
      </w:r>
      <w:proofErr w:type="spellEnd"/>
      <w:r w:rsidRPr="00550D35">
        <w:rPr>
          <w:lang w:val="lv-LV" w:eastAsia="lv-LV"/>
        </w:rPr>
        <w:t xml:space="preserve"> elektroniskajiem parakstiem, lai nodrošinātu cilvēkiem kontroli pār viņu tiešsaistes identitāti un datiem, kā arī nodrošinātu piekļuvi publiskiem, privātiem un pārrobežu digitālajiem pakalpojumiem.</w:t>
      </w:r>
    </w:p>
    <w:p w14:paraId="3FC7EFD3" w14:textId="77777777" w:rsidR="00CF5B1D" w:rsidRPr="00550D35" w:rsidRDefault="00CF5B1D" w:rsidP="00CF5B1D">
      <w:pPr>
        <w:rPr>
          <w:rStyle w:val="Emphasis"/>
          <w:i w:val="0"/>
          <w:iCs w:val="0"/>
          <w:szCs w:val="24"/>
          <w:lang w:val="lv-LV" w:eastAsia="lv-LV"/>
        </w:rPr>
      </w:pPr>
      <w:r w:rsidRPr="00550D35">
        <w:rPr>
          <w:lang w:val="lv-LV" w:eastAsia="lv-LV"/>
        </w:rPr>
        <w:t xml:space="preserve">2021.gada jūnijā EK nāca klajā ar priekšlikumu </w:t>
      </w:r>
      <w:r w:rsidRPr="00550D35">
        <w:rPr>
          <w:szCs w:val="24"/>
          <w:lang w:val="lv-LV"/>
        </w:rPr>
        <w:t xml:space="preserve">Eiropas </w:t>
      </w:r>
      <w:r w:rsidRPr="00550D35">
        <w:rPr>
          <w:noProof/>
          <w:lang w:val="lv-LV"/>
        </w:rPr>
        <w:t>digitālās identitātes regulējumam, pamatojoties uz pārskatītu pašreizējo regulējumu, lai risinātu virkni problēmu</w:t>
      </w:r>
      <w:r w:rsidRPr="00550D35">
        <w:rPr>
          <w:lang w:val="lv-LV" w:eastAsia="lv-LV"/>
        </w:rPr>
        <w:t xml:space="preserve">, ar kurām visas ES Dalībvalstis saskaras </w:t>
      </w:r>
      <w:proofErr w:type="spellStart"/>
      <w:r w:rsidRPr="00550D35">
        <w:rPr>
          <w:lang w:val="lv-LV" w:eastAsia="lv-LV"/>
        </w:rPr>
        <w:t>eIDAS</w:t>
      </w:r>
      <w:proofErr w:type="spellEnd"/>
      <w:r w:rsidRPr="00550D35">
        <w:rPr>
          <w:lang w:val="lv-LV" w:eastAsia="lv-LV"/>
        </w:rPr>
        <w:t xml:space="preserve"> ieviešanas procesā. Kā viens no </w:t>
      </w:r>
      <w:r w:rsidRPr="00550D35">
        <w:rPr>
          <w:lang w:val="lv-LV" w:eastAsia="lv-LV"/>
        </w:rPr>
        <w:lastRenderedPageBreak/>
        <w:t xml:space="preserve">lielākajiem izaicinājumiem tika identificēta “identitātes saskaņošanas” problēma, ņemot vērā, ka </w:t>
      </w:r>
      <w:proofErr w:type="spellStart"/>
      <w:r w:rsidRPr="00550D35">
        <w:rPr>
          <w:lang w:val="lv-LV" w:eastAsia="lv-LV"/>
        </w:rPr>
        <w:t>eIDAS</w:t>
      </w:r>
      <w:proofErr w:type="spellEnd"/>
      <w:r w:rsidRPr="00550D35">
        <w:rPr>
          <w:lang w:val="lv-LV" w:eastAsia="lv-LV"/>
        </w:rPr>
        <w:t xml:space="preserve"> sistēmā ES Dalībvalstis nebija pilnvarotas izmantot unikālu un pastāvīgu identifikatoru, tāpēc ES līmenī tika izstrādātas atšķirīgas pieejas.</w:t>
      </w:r>
    </w:p>
    <w:p w14:paraId="74483CF4" w14:textId="77777777" w:rsidR="00CF5B1D" w:rsidRPr="00550D35" w:rsidRDefault="00CF5B1D" w:rsidP="00CF5B1D">
      <w:pPr>
        <w:rPr>
          <w:rStyle w:val="Emphasis"/>
          <w:b/>
          <w:bCs/>
          <w:i w:val="0"/>
          <w:iCs w:val="0"/>
          <w:lang w:val="lv-LV"/>
        </w:rPr>
      </w:pPr>
      <w:r w:rsidRPr="00550D35">
        <w:rPr>
          <w:rStyle w:val="Emphasis"/>
          <w:i w:val="0"/>
          <w:iCs w:val="0"/>
          <w:lang w:val="lv-LV"/>
        </w:rPr>
        <w:t xml:space="preserve">Jāatzīmē, ka </w:t>
      </w:r>
      <w:r w:rsidRPr="00550D35">
        <w:rPr>
          <w:lang w:val="lv-LV"/>
        </w:rPr>
        <w:t xml:space="preserve">Latvija un Igaunija </w:t>
      </w:r>
      <w:proofErr w:type="spellStart"/>
      <w:r w:rsidRPr="00550D35">
        <w:rPr>
          <w:lang w:val="lv-LV"/>
        </w:rPr>
        <w:t>eIDAS</w:t>
      </w:r>
      <w:proofErr w:type="spellEnd"/>
      <w:r w:rsidRPr="00550D35">
        <w:rPr>
          <w:lang w:val="lv-LV"/>
        </w:rPr>
        <w:t xml:space="preserve"> risinājumos jau izmanto unikālu un pastāvīgu identifikatoru, tāpēc gadījumos, kad Latvijas iedzīvotājs izmanto </w:t>
      </w:r>
      <w:proofErr w:type="spellStart"/>
      <w:r w:rsidRPr="00550D35">
        <w:rPr>
          <w:lang w:val="lv-LV"/>
        </w:rPr>
        <w:t>eIDAS</w:t>
      </w:r>
      <w:proofErr w:type="spellEnd"/>
      <w:r w:rsidRPr="00550D35">
        <w:rPr>
          <w:lang w:val="lv-LV"/>
        </w:rPr>
        <w:t xml:space="preserve"> vārteju, pakalpojumu sniedzējs saņem iedzīvotājam piešķirto unikālo un pastāvīgo identifikatoru un attiecīgā persona tiek nepārprotami identificēta. Šāda pieeja atrisina identitātes atbilstības problēmu un vienots unikāls identifikators būtu nosakāms kā obligāts identifikācijas rīkiem EK paziņotām ES Dalībvalstu </w:t>
      </w:r>
      <w:proofErr w:type="spellStart"/>
      <w:r w:rsidRPr="00550D35">
        <w:rPr>
          <w:lang w:val="lv-LV"/>
        </w:rPr>
        <w:t>eID</w:t>
      </w:r>
      <w:proofErr w:type="spellEnd"/>
      <w:r w:rsidRPr="00550D35">
        <w:rPr>
          <w:lang w:val="lv-LV"/>
        </w:rPr>
        <w:t xml:space="preserve"> shēmām.</w:t>
      </w:r>
    </w:p>
    <w:p w14:paraId="1257628A" w14:textId="77777777" w:rsidR="00CF5B1D" w:rsidRPr="00550D35" w:rsidRDefault="00CF5B1D" w:rsidP="00CF5B1D">
      <w:pPr>
        <w:pStyle w:val="Heading2"/>
        <w:rPr>
          <w:lang w:val="lv-LV"/>
        </w:rPr>
      </w:pPr>
      <w:r w:rsidRPr="00550D35">
        <w:rPr>
          <w:lang w:val="lv-LV"/>
        </w:rPr>
        <w:t>Ieinteresēto personu atsauksmes</w:t>
      </w:r>
    </w:p>
    <w:p w14:paraId="3D6C1263" w14:textId="77777777" w:rsidR="00CF5B1D" w:rsidRPr="00550D35" w:rsidRDefault="00CF5B1D" w:rsidP="00CF5B1D">
      <w:pPr>
        <w:rPr>
          <w:b/>
          <w:bCs/>
          <w:lang w:val="lv-LV"/>
        </w:rPr>
      </w:pPr>
      <w:r w:rsidRPr="000222D4">
        <w:rPr>
          <w:lang w:val="lv-LV"/>
        </w:rPr>
        <w:t>Par KPI “Piekļuve elektroniskai identifikācijai” ieinteresēto personu atsauksmes nav saņemtas.</w:t>
      </w:r>
    </w:p>
    <w:p w14:paraId="760A3A07" w14:textId="77777777" w:rsidR="00CF5B1D" w:rsidRPr="00550D35" w:rsidRDefault="00CF5B1D" w:rsidP="00CF5B1D">
      <w:pPr>
        <w:pStyle w:val="Heading2"/>
        <w:rPr>
          <w:lang w:val="lv-LV"/>
        </w:rPr>
      </w:pPr>
      <w:r w:rsidRPr="00550D35">
        <w:rPr>
          <w:lang w:val="lv-LV"/>
        </w:rPr>
        <w:t>Vispārējā ietekme un secinājumi</w:t>
      </w:r>
    </w:p>
    <w:p w14:paraId="01610520" w14:textId="77777777" w:rsidR="00CF5B1D" w:rsidRPr="00550D35" w:rsidRDefault="00CF5B1D" w:rsidP="00CF5B1D">
      <w:pPr>
        <w:rPr>
          <w:noProof/>
          <w:lang w:val="lv-LV"/>
        </w:rPr>
      </w:pPr>
      <w:r w:rsidRPr="00550D35">
        <w:rPr>
          <w:lang w:val="lv-LV"/>
        </w:rPr>
        <w:t xml:space="preserve">KPI “Piekļuve elektroniskai identifikācijai” labvēlīgi ietekmē gan publisko, gan privāto elektronisko pakalpojumu attīstību un </w:t>
      </w:r>
      <w:r w:rsidRPr="00550D35">
        <w:rPr>
          <w:noProof/>
          <w:lang w:val="lv-LV"/>
        </w:rPr>
        <w:t xml:space="preserve">piekļuvi uzticamiem un drošiem elektroniskās identitātes risinājumiem, nodrošinot iespēju iedzīvotājiem </w:t>
      </w:r>
      <w:r w:rsidRPr="00550D35">
        <w:rPr>
          <w:lang w:val="lv-LV"/>
        </w:rPr>
        <w:t>pilnībā kontrolēt identitātes darījumus un kopīgotos personas datus</w:t>
      </w:r>
      <w:r w:rsidRPr="00550D35">
        <w:rPr>
          <w:noProof/>
          <w:lang w:val="lv-LV"/>
        </w:rPr>
        <w:t xml:space="preserve">. Tas veicina uzticību publiskiem un privātiem pakalpojumiem kuros izmantoti uzticami un droši digitālās identitātes risinājumi. </w:t>
      </w:r>
      <w:proofErr w:type="spellStart"/>
      <w:r w:rsidRPr="00550D35">
        <w:rPr>
          <w:lang w:val="lv-LV"/>
        </w:rPr>
        <w:t>eID</w:t>
      </w:r>
      <w:proofErr w:type="spellEnd"/>
      <w:r w:rsidRPr="00550D35">
        <w:rPr>
          <w:lang w:val="lv-LV"/>
        </w:rPr>
        <w:t xml:space="preserve"> risinājumu izmantošana samazinās izmaksas uzņēmumiem, kopumā sniegs ieguldījumu ES Dalībvalstu un ES ekonomiskajā izaugsmē un veicinās ES Vienoto tirgu nodrošinot </w:t>
      </w:r>
      <w:r w:rsidRPr="00550D35">
        <w:rPr>
          <w:noProof/>
          <w:lang w:val="lv-LV"/>
        </w:rPr>
        <w:t>vienlīdzīgus nosacījumus to sniegšanai.</w:t>
      </w:r>
    </w:p>
    <w:p w14:paraId="020E435E" w14:textId="77777777" w:rsidR="00CF5B1D" w:rsidRPr="00550D35" w:rsidRDefault="00CF5B1D" w:rsidP="00CF5B1D">
      <w:pPr>
        <w:rPr>
          <w:lang w:val="lv-LV"/>
        </w:rPr>
      </w:pPr>
      <w:r w:rsidRPr="00550D35">
        <w:rPr>
          <w:lang w:val="lv-LV"/>
        </w:rPr>
        <w:t xml:space="preserve">Nodaļā KPI “Piekļuve elektroniskai identifikācijai” minētā politika un pasākumi sniegs ieguldījumu publisko pakalpojumu </w:t>
      </w:r>
      <w:proofErr w:type="spellStart"/>
      <w:r w:rsidRPr="00550D35">
        <w:rPr>
          <w:lang w:val="lv-LV"/>
        </w:rPr>
        <w:t>digitalizācijas</w:t>
      </w:r>
      <w:proofErr w:type="spellEnd"/>
      <w:r w:rsidRPr="00550D35">
        <w:rPr>
          <w:lang w:val="lv-LV"/>
        </w:rPr>
        <w:t xml:space="preserve"> paātrināšanā un digitālo publisko pakalpojumu attīstīšanā gan iedzīvotājiem, gan uzņēmumiem, kā tas norādīts EK ieteikumā Digitālās dekādes 2023.gada ziņojumā par Latviju.</w:t>
      </w:r>
    </w:p>
    <w:p w14:paraId="783B1D1A" w14:textId="77777777" w:rsidR="00CF5B1D" w:rsidRPr="00550D35" w:rsidRDefault="00CF5B1D" w:rsidP="00CF5B1D">
      <w:pPr>
        <w:pStyle w:val="Heading1"/>
      </w:pPr>
      <w:bookmarkStart w:id="45" w:name="_Toc152674533"/>
      <w:bookmarkStart w:id="46" w:name="_Toc155952349"/>
      <w:r w:rsidRPr="00550D35">
        <w:t>Kopsavilkums</w:t>
      </w:r>
      <w:bookmarkEnd w:id="45"/>
      <w:bookmarkEnd w:id="46"/>
    </w:p>
    <w:p w14:paraId="0ED85D61" w14:textId="77777777" w:rsidR="00CF5B1D" w:rsidRPr="00550D35" w:rsidRDefault="00CF5B1D" w:rsidP="00CF5B1D">
      <w:pPr>
        <w:rPr>
          <w:rFonts w:eastAsiaTheme="minorHAnsi"/>
          <w:lang w:val="lv-LV" w:eastAsia="en-US"/>
        </w:rPr>
      </w:pPr>
      <w:r w:rsidRPr="00550D35">
        <w:rPr>
          <w:lang w:val="lv-LV"/>
        </w:rPr>
        <w:t xml:space="preserve">Ar Dekādes programmu tiek noteikti līdz 2030.gadam sasniedzamie vispārīgie digitālie mērķi un digitālie </w:t>
      </w:r>
      <w:proofErr w:type="spellStart"/>
      <w:r w:rsidRPr="00550D35">
        <w:rPr>
          <w:lang w:val="lv-LV"/>
        </w:rPr>
        <w:t>mērķrādītāji</w:t>
      </w:r>
      <w:proofErr w:type="spellEnd"/>
      <w:r w:rsidRPr="00550D35">
        <w:rPr>
          <w:lang w:val="lv-LV"/>
        </w:rPr>
        <w:t>, to sasniegšanas uzraudzība un arī daudzvalstu projektu veidošana.</w:t>
      </w:r>
    </w:p>
    <w:p w14:paraId="1D82FED3" w14:textId="77777777" w:rsidR="00CF5B1D" w:rsidRPr="00550D35" w:rsidRDefault="00CF5B1D" w:rsidP="00CF5B1D">
      <w:pPr>
        <w:rPr>
          <w:lang w:val="lv-LV"/>
        </w:rPr>
      </w:pPr>
      <w:r w:rsidRPr="00550D35">
        <w:rPr>
          <w:rFonts w:eastAsiaTheme="minorHAnsi"/>
          <w:lang w:val="lv-LV" w:eastAsia="en-US"/>
        </w:rPr>
        <w:t xml:space="preserve">Ceļvedis Latvijai sagatavots ar mērķi sniegt informāciju EK </w:t>
      </w:r>
      <w:r w:rsidRPr="00550D35">
        <w:rPr>
          <w:lang w:val="lv-LV"/>
        </w:rPr>
        <w:t xml:space="preserve">saskaņā ar Dekādes programmā  noteikto par digitālo </w:t>
      </w:r>
      <w:proofErr w:type="spellStart"/>
      <w:r w:rsidRPr="00550D35">
        <w:rPr>
          <w:lang w:val="lv-LV"/>
        </w:rPr>
        <w:t>mērķrādītāju</w:t>
      </w:r>
      <w:proofErr w:type="spellEnd"/>
      <w:r w:rsidRPr="00550D35">
        <w:rPr>
          <w:lang w:val="lv-LV"/>
        </w:rPr>
        <w:t xml:space="preserve"> sasniegšanas uzraudzību. Ceļvedī Latvijai tiek aprakstītas Latvijas prognozētās trajektorijas Dekādes programmas </w:t>
      </w:r>
      <w:proofErr w:type="spellStart"/>
      <w:r w:rsidRPr="00550D35">
        <w:rPr>
          <w:lang w:val="lv-LV"/>
        </w:rPr>
        <w:t>mērķrādītāju</w:t>
      </w:r>
      <w:proofErr w:type="spellEnd"/>
      <w:r w:rsidRPr="00550D35">
        <w:rPr>
          <w:lang w:val="lv-LV"/>
        </w:rPr>
        <w:t xml:space="preserve"> jomās, pieņemtie, plānotie vai īstenotie instrumenti, lai dotu ieguldījumu Dekādes programmā izklāstīto vispārīgo mērķu un digitālo </w:t>
      </w:r>
      <w:proofErr w:type="spellStart"/>
      <w:r w:rsidRPr="00550D35">
        <w:rPr>
          <w:lang w:val="lv-LV"/>
        </w:rPr>
        <w:t>mērķrādītāju</w:t>
      </w:r>
      <w:proofErr w:type="spellEnd"/>
      <w:r w:rsidRPr="00550D35">
        <w:rPr>
          <w:lang w:val="lv-LV"/>
        </w:rPr>
        <w:t xml:space="preserve"> sasniegšanā ES līmenī.</w:t>
      </w:r>
    </w:p>
    <w:p w14:paraId="45769B0D" w14:textId="05C0BA89" w:rsidR="00CF5B1D" w:rsidRPr="00550D35" w:rsidRDefault="00CF5B1D" w:rsidP="00CF5B1D">
      <w:pPr>
        <w:rPr>
          <w:lang w:val="lv-LV"/>
        </w:rPr>
      </w:pPr>
      <w:r w:rsidRPr="00550D35">
        <w:rPr>
          <w:lang w:val="lv-LV"/>
        </w:rPr>
        <w:t>Ceļvedis Latvijai ir izstrādāts sadarbojoties dažādām institūcijām, iekļaujot arī sociālos partnerus un NVO. VARAM kā atbildīgā institūcija nacionālā līmenī par Dekādes programmas īstenošanu koordinēja ceļveža Latvijai sagatavošanu.  Informāciju par KPI savas kompetences jomā ceļvedim Latvijai sagatavoja EM, IZM, SM VM</w:t>
      </w:r>
      <w:r w:rsidR="00900FB9">
        <w:rPr>
          <w:lang w:val="lv-LV"/>
        </w:rPr>
        <w:t xml:space="preserve"> un </w:t>
      </w:r>
      <w:proofErr w:type="spellStart"/>
      <w:r w:rsidR="00900FB9">
        <w:rPr>
          <w:lang w:val="lv-LV"/>
        </w:rPr>
        <w:t>AiM</w:t>
      </w:r>
      <w:proofErr w:type="spellEnd"/>
      <w:r w:rsidRPr="00550D35">
        <w:rPr>
          <w:lang w:val="lv-LV"/>
        </w:rPr>
        <w:t>. Par ceļveža Latvijai projektu tika rīkota sabiedriskā apspriešana.</w:t>
      </w:r>
    </w:p>
    <w:p w14:paraId="7227169D" w14:textId="77777777" w:rsidR="00CF5B1D" w:rsidRPr="00550D35" w:rsidRDefault="00CF5B1D" w:rsidP="00CF5B1D">
      <w:pPr>
        <w:rPr>
          <w:rFonts w:eastAsiaTheme="minorHAnsi"/>
          <w:lang w:val="lv-LV"/>
        </w:rPr>
      </w:pPr>
      <w:r w:rsidRPr="00550D35">
        <w:rPr>
          <w:lang w:val="lv-LV" w:eastAsia="lv-LV"/>
        </w:rPr>
        <w:t>Ceļvedī Latvijai sniegtā informācija</w:t>
      </w:r>
      <w:r w:rsidRPr="00550D35">
        <w:rPr>
          <w:lang w:val="lv-LV"/>
        </w:rPr>
        <w:t xml:space="preserve"> un trajektorijas prognozētas balstoties uz nacionālā līmenī apstiprinātajiem attīstības plānošanas dokumentiem, tostarp, NAP2027, DTP2027, IAP2027, NIP2027, ZTAIP2027,</w:t>
      </w:r>
      <w:r w:rsidRPr="00550D35">
        <w:rPr>
          <w:lang w:val="lv-LV" w:eastAsia="lv-LV"/>
        </w:rPr>
        <w:t xml:space="preserve"> DESI ziņojumā par 2022.gadu pieejamo </w:t>
      </w:r>
      <w:r w:rsidRPr="00550D35">
        <w:rPr>
          <w:lang w:val="lv-LV" w:eastAsia="lv-LV"/>
        </w:rPr>
        <w:lastRenderedPageBreak/>
        <w:t xml:space="preserve">informāciju par Latvijas situāciju </w:t>
      </w:r>
      <w:proofErr w:type="spellStart"/>
      <w:r w:rsidRPr="00550D35">
        <w:rPr>
          <w:lang w:val="lv-LV" w:eastAsia="lv-LV"/>
        </w:rPr>
        <w:t>mērķrādītāju</w:t>
      </w:r>
      <w:proofErr w:type="spellEnd"/>
      <w:r w:rsidRPr="00550D35">
        <w:rPr>
          <w:lang w:val="lv-LV" w:eastAsia="lv-LV"/>
        </w:rPr>
        <w:t xml:space="preserve"> jomās, </w:t>
      </w:r>
      <w:r w:rsidRPr="00550D35">
        <w:rPr>
          <w:szCs w:val="24"/>
          <w:lang w:val="lv-LV"/>
        </w:rPr>
        <w:t>Eiropas</w:t>
      </w:r>
      <w:r w:rsidRPr="00550D35">
        <w:rPr>
          <w:lang w:val="lv-LV"/>
        </w:rPr>
        <w:t xml:space="preserve"> semestra ziņojumu Latvijai 2023.gadam</w:t>
      </w:r>
      <w:r w:rsidRPr="00550D35">
        <w:rPr>
          <w:rStyle w:val="FootnoteReference"/>
          <w:lang w:val="lv-LV"/>
        </w:rPr>
        <w:footnoteReference w:id="96"/>
      </w:r>
      <w:r w:rsidRPr="00550D35">
        <w:rPr>
          <w:lang w:val="lv-LV"/>
        </w:rPr>
        <w:t xml:space="preserve"> un ANM plānu.</w:t>
      </w:r>
    </w:p>
    <w:p w14:paraId="609B7D85" w14:textId="4B1464F5" w:rsidR="00CF5B1D" w:rsidRPr="00550D35" w:rsidRDefault="00E254E4" w:rsidP="00CF5B1D">
      <w:pPr>
        <w:rPr>
          <w:rStyle w:val="RTU2009-AbstractChar"/>
          <w:b w:val="0"/>
          <w:sz w:val="24"/>
          <w:lang w:val="lv-LV" w:eastAsia="en-GB"/>
        </w:rPr>
      </w:pPr>
      <w:r>
        <w:rPr>
          <w:lang w:val="lv-LV"/>
        </w:rPr>
        <w:t>Ceļvedī Latvijai</w:t>
      </w:r>
      <w:r w:rsidR="00CF5B1D" w:rsidRPr="00550D35">
        <w:rPr>
          <w:lang w:val="lv-LV"/>
        </w:rPr>
        <w:t xml:space="preserve"> norādītie pasākumi tiks īstenoti, piesaistot ES politiku instrumentu vai citas pārējās ārvalstu finanšu palīdzības finansējumu, kā arī esošo valsts budžeta līdzekļu un cilvēkresursu ietvaros. </w:t>
      </w:r>
    </w:p>
    <w:p w14:paraId="27B547F0" w14:textId="395B72D0" w:rsidR="00903FA9" w:rsidRPr="00550D35" w:rsidRDefault="00CF5B1D" w:rsidP="009A4269">
      <w:pPr>
        <w:rPr>
          <w:lang w:val="lv-LV"/>
        </w:rPr>
      </w:pPr>
      <w:r w:rsidRPr="00550D35">
        <w:rPr>
          <w:lang w:val="lv-LV"/>
        </w:rPr>
        <w:t>Saskaņā ar c</w:t>
      </w:r>
      <w:r w:rsidRPr="00550D35">
        <w:rPr>
          <w:rFonts w:eastAsiaTheme="minorHAnsi"/>
          <w:lang w:val="lv-LV" w:eastAsia="en-US"/>
        </w:rPr>
        <w:t>eļve</w:t>
      </w:r>
      <w:r w:rsidRPr="00550D35">
        <w:rPr>
          <w:lang w:val="lv-LV"/>
        </w:rPr>
        <w:t>dī</w:t>
      </w:r>
      <w:r w:rsidRPr="00550D35">
        <w:rPr>
          <w:rFonts w:eastAsiaTheme="minorHAnsi"/>
          <w:lang w:val="lv-LV" w:eastAsia="en-US"/>
        </w:rPr>
        <w:t xml:space="preserve"> Latvijai</w:t>
      </w:r>
      <w:r w:rsidRPr="00550D35">
        <w:rPr>
          <w:lang w:val="lv-LV"/>
        </w:rPr>
        <w:t xml:space="preserve"> sniegto sākotnējo provizorisko aplēsi, </w:t>
      </w:r>
      <w:r w:rsidR="00A747AF">
        <w:rPr>
          <w:lang w:val="lv-LV"/>
        </w:rPr>
        <w:t xml:space="preserve">tiek </w:t>
      </w:r>
      <w:r w:rsidRPr="00A747AF">
        <w:rPr>
          <w:lang w:val="lv-LV"/>
        </w:rPr>
        <w:t>prognozē</w:t>
      </w:r>
      <w:r w:rsidR="00A747AF">
        <w:rPr>
          <w:lang w:val="lv-LV"/>
        </w:rPr>
        <w:t>ts</w:t>
      </w:r>
      <w:r w:rsidRPr="00A747AF">
        <w:rPr>
          <w:lang w:val="lv-LV"/>
        </w:rPr>
        <w:t xml:space="preserve"> kā iespējam</w:t>
      </w:r>
      <w:r w:rsidR="00A747AF">
        <w:rPr>
          <w:lang w:val="lv-LV"/>
        </w:rPr>
        <w:t>s</w:t>
      </w:r>
      <w:r w:rsidRPr="00A747AF">
        <w:rPr>
          <w:lang w:val="lv-LV"/>
        </w:rPr>
        <w:t xml:space="preserve"> līdz 2030. gadam sasniegt ES mērķa vērtību Dekādes programmas KPI jomās </w:t>
      </w:r>
      <w:r w:rsidR="00086F42">
        <w:rPr>
          <w:lang w:val="lv-LV"/>
        </w:rPr>
        <w:t>“</w:t>
      </w:r>
      <w:proofErr w:type="spellStart"/>
      <w:r w:rsidR="00086F42">
        <w:rPr>
          <w:lang w:val="lv-LV"/>
        </w:rPr>
        <w:t>M</w:t>
      </w:r>
      <w:r w:rsidR="00903FA9" w:rsidRPr="00A747AF">
        <w:rPr>
          <w:lang w:val="lv-LV"/>
        </w:rPr>
        <w:t>ākoņdatošana</w:t>
      </w:r>
      <w:proofErr w:type="spellEnd"/>
      <w:r w:rsidR="00086F42">
        <w:rPr>
          <w:lang w:val="lv-LV"/>
        </w:rPr>
        <w:t>”</w:t>
      </w:r>
      <w:r w:rsidR="00903FA9" w:rsidRPr="00A747AF">
        <w:rPr>
          <w:lang w:val="lv-LV"/>
        </w:rPr>
        <w:t xml:space="preserve">, </w:t>
      </w:r>
      <w:r w:rsidR="00086F42">
        <w:rPr>
          <w:lang w:val="lv-LV"/>
        </w:rPr>
        <w:t>“L</w:t>
      </w:r>
      <w:r w:rsidR="00903FA9" w:rsidRPr="00A747AF">
        <w:rPr>
          <w:lang w:val="lv-LV"/>
        </w:rPr>
        <w:t>ielie dati</w:t>
      </w:r>
      <w:r w:rsidR="00086F42">
        <w:rPr>
          <w:lang w:val="lv-LV"/>
        </w:rPr>
        <w:t>”</w:t>
      </w:r>
      <w:r w:rsidR="00903FA9" w:rsidRPr="00A747AF">
        <w:rPr>
          <w:lang w:val="lv-LV"/>
        </w:rPr>
        <w:t xml:space="preserve">, </w:t>
      </w:r>
      <w:r w:rsidR="00086F42">
        <w:rPr>
          <w:lang w:val="lv-LV"/>
        </w:rPr>
        <w:t>“</w:t>
      </w:r>
      <w:r w:rsidR="00B94244">
        <w:rPr>
          <w:lang w:val="lv-LV"/>
        </w:rPr>
        <w:t>M</w:t>
      </w:r>
      <w:r w:rsidR="00903FA9" w:rsidRPr="00A747AF">
        <w:rPr>
          <w:lang w:val="lv-LV"/>
        </w:rPr>
        <w:t>ākslīgais intelekts</w:t>
      </w:r>
      <w:r w:rsidR="00086F42">
        <w:rPr>
          <w:lang w:val="lv-LV"/>
        </w:rPr>
        <w:t>”</w:t>
      </w:r>
      <w:r w:rsidR="00903FA9" w:rsidRPr="00A747AF">
        <w:rPr>
          <w:lang w:val="lv-LV"/>
        </w:rPr>
        <w:t xml:space="preserve">, </w:t>
      </w:r>
      <w:r w:rsidR="00086F42">
        <w:rPr>
          <w:lang w:val="lv-LV"/>
        </w:rPr>
        <w:t>“</w:t>
      </w:r>
      <w:r w:rsidR="00903FA9" w:rsidRPr="00A747AF">
        <w:rPr>
          <w:lang w:val="lv-LV"/>
        </w:rPr>
        <w:t>MVU ar vismaz pamata digitālās intensitātes līmeni</w:t>
      </w:r>
      <w:r w:rsidR="00086F42">
        <w:rPr>
          <w:lang w:val="lv-LV"/>
        </w:rPr>
        <w:t>”</w:t>
      </w:r>
      <w:r w:rsidR="00A747AF" w:rsidRPr="00A747AF">
        <w:rPr>
          <w:lang w:val="lv-LV"/>
        </w:rPr>
        <w:t>,</w:t>
      </w:r>
      <w:r w:rsidR="00903FA9" w:rsidRPr="00A747AF">
        <w:rPr>
          <w:lang w:val="lv-LV"/>
        </w:rPr>
        <w:t xml:space="preserve"> </w:t>
      </w:r>
      <w:r w:rsidR="00086F42">
        <w:rPr>
          <w:lang w:val="lv-LV"/>
        </w:rPr>
        <w:t>“</w:t>
      </w:r>
      <w:r w:rsidR="00481982">
        <w:rPr>
          <w:lang w:val="lv-LV"/>
        </w:rPr>
        <w:t>Publ</w:t>
      </w:r>
      <w:r w:rsidRPr="00A747AF">
        <w:rPr>
          <w:lang w:val="lv-LV"/>
        </w:rPr>
        <w:t>iskie pakalpojumi iedzīvotājiem</w:t>
      </w:r>
      <w:r w:rsidR="00086F42">
        <w:rPr>
          <w:lang w:val="lv-LV"/>
        </w:rPr>
        <w:t>”</w:t>
      </w:r>
      <w:r w:rsidRPr="00A747AF">
        <w:rPr>
          <w:lang w:val="lv-LV"/>
        </w:rPr>
        <w:t xml:space="preserve">, </w:t>
      </w:r>
      <w:r w:rsidR="00086F42">
        <w:rPr>
          <w:lang w:val="lv-LV"/>
        </w:rPr>
        <w:t>“</w:t>
      </w:r>
      <w:r w:rsidR="00481982">
        <w:rPr>
          <w:lang w:val="lv-LV"/>
        </w:rPr>
        <w:t>Publ</w:t>
      </w:r>
      <w:r w:rsidRPr="00A747AF">
        <w:rPr>
          <w:lang w:val="lv-LV"/>
        </w:rPr>
        <w:t>iskie pakalpojumi uzņēmumiem</w:t>
      </w:r>
      <w:r w:rsidR="00086F42">
        <w:rPr>
          <w:lang w:val="lv-LV"/>
        </w:rPr>
        <w:t>”</w:t>
      </w:r>
      <w:r w:rsidRPr="00A747AF">
        <w:rPr>
          <w:lang w:val="lv-LV"/>
        </w:rPr>
        <w:t xml:space="preserve">, </w:t>
      </w:r>
      <w:r w:rsidR="00086F42">
        <w:rPr>
          <w:lang w:val="lv-LV"/>
        </w:rPr>
        <w:t>“P</w:t>
      </w:r>
      <w:r w:rsidRPr="00A747AF">
        <w:rPr>
          <w:lang w:val="lv-LV"/>
        </w:rPr>
        <w:t>acienta e-veselības karte</w:t>
      </w:r>
      <w:r w:rsidR="00086F42">
        <w:rPr>
          <w:lang w:val="lv-LV"/>
        </w:rPr>
        <w:t>”</w:t>
      </w:r>
      <w:r w:rsidRPr="00A747AF">
        <w:rPr>
          <w:lang w:val="lv-LV"/>
        </w:rPr>
        <w:t xml:space="preserve">, </w:t>
      </w:r>
      <w:r w:rsidR="00086F42">
        <w:rPr>
          <w:lang w:val="lv-LV"/>
        </w:rPr>
        <w:t>“D</w:t>
      </w:r>
      <w:r w:rsidRPr="00A747AF">
        <w:rPr>
          <w:lang w:val="lv-LV"/>
        </w:rPr>
        <w:t>roši elektroniskās identifikācijas līdzekļi</w:t>
      </w:r>
      <w:r w:rsidR="00086F42">
        <w:rPr>
          <w:lang w:val="lv-LV"/>
        </w:rPr>
        <w:t>” un “V</w:t>
      </w:r>
      <w:r w:rsidRPr="00A747AF">
        <w:rPr>
          <w:lang w:val="lv-LV"/>
        </w:rPr>
        <w:t>ienradži.</w:t>
      </w:r>
    </w:p>
    <w:p w14:paraId="3C7C9808" w14:textId="2B39D55E" w:rsidR="00CF5B1D" w:rsidRDefault="002A0B75" w:rsidP="00CF5B1D">
      <w:pPr>
        <w:rPr>
          <w:lang w:val="lv-LV"/>
        </w:rPr>
      </w:pPr>
      <w:r>
        <w:rPr>
          <w:lang w:val="lv-LV"/>
        </w:rPr>
        <w:t>C</w:t>
      </w:r>
      <w:r w:rsidRPr="00550D35">
        <w:rPr>
          <w:rFonts w:eastAsiaTheme="minorHAnsi"/>
          <w:lang w:val="lv-LV" w:eastAsia="en-US"/>
        </w:rPr>
        <w:t>eļve</w:t>
      </w:r>
      <w:r w:rsidRPr="00550D35">
        <w:rPr>
          <w:lang w:val="lv-LV"/>
        </w:rPr>
        <w:t>dī</w:t>
      </w:r>
      <w:r w:rsidRPr="00550D35">
        <w:rPr>
          <w:rFonts w:eastAsiaTheme="minorHAnsi"/>
          <w:lang w:val="lv-LV" w:eastAsia="en-US"/>
        </w:rPr>
        <w:t xml:space="preserve"> Latvijai</w:t>
      </w:r>
      <w:r w:rsidRPr="00550D35">
        <w:rPr>
          <w:lang w:val="lv-LV"/>
        </w:rPr>
        <w:t xml:space="preserve"> </w:t>
      </w:r>
      <w:r w:rsidR="003D75FF" w:rsidRPr="00550D35">
        <w:rPr>
          <w:lang w:val="lv-LV"/>
        </w:rPr>
        <w:t xml:space="preserve">KPI jomās </w:t>
      </w:r>
      <w:r>
        <w:rPr>
          <w:lang w:val="lv-LV"/>
        </w:rPr>
        <w:t>“</w:t>
      </w:r>
      <w:r w:rsidR="00086F42">
        <w:rPr>
          <w:lang w:val="lv-LV"/>
        </w:rPr>
        <w:t>V</w:t>
      </w:r>
      <w:r w:rsidR="003D75FF" w:rsidRPr="00550D35">
        <w:rPr>
          <w:lang w:val="lv-LV"/>
        </w:rPr>
        <w:t>ismaz pamata digitālās prasmes</w:t>
      </w:r>
      <w:r>
        <w:rPr>
          <w:lang w:val="lv-LV"/>
        </w:rPr>
        <w:t>”</w:t>
      </w:r>
      <w:r w:rsidR="003D75FF" w:rsidRPr="00550D35">
        <w:rPr>
          <w:lang w:val="lv-LV"/>
        </w:rPr>
        <w:t xml:space="preserve">, </w:t>
      </w:r>
      <w:r>
        <w:rPr>
          <w:lang w:val="lv-LV"/>
        </w:rPr>
        <w:t>“</w:t>
      </w:r>
      <w:r w:rsidR="003D75FF" w:rsidRPr="00550D35">
        <w:rPr>
          <w:lang w:val="lv-LV"/>
        </w:rPr>
        <w:t>IKT speciālisti</w:t>
      </w:r>
      <w:r>
        <w:rPr>
          <w:lang w:val="lv-LV"/>
        </w:rPr>
        <w:t xml:space="preserve">” tiek </w:t>
      </w:r>
      <w:r w:rsidR="00CF5B1D" w:rsidRPr="00550D35">
        <w:rPr>
          <w:lang w:val="lv-LV"/>
        </w:rPr>
        <w:t>prognozē</w:t>
      </w:r>
      <w:r>
        <w:rPr>
          <w:lang w:val="lv-LV"/>
        </w:rPr>
        <w:t>ts</w:t>
      </w:r>
      <w:r w:rsidR="00CF5B1D" w:rsidRPr="00550D35">
        <w:rPr>
          <w:lang w:val="lv-LV"/>
        </w:rPr>
        <w:t xml:space="preserve"> </w:t>
      </w:r>
      <w:r>
        <w:rPr>
          <w:lang w:val="lv-LV"/>
        </w:rPr>
        <w:t xml:space="preserve">sasniegt </w:t>
      </w:r>
      <w:r w:rsidR="00CF5B1D" w:rsidRPr="00550D35">
        <w:rPr>
          <w:lang w:val="lv-LV"/>
        </w:rPr>
        <w:t>KPI mērķa vērtību</w:t>
      </w:r>
      <w:r>
        <w:rPr>
          <w:lang w:val="lv-LV"/>
        </w:rPr>
        <w:t>, kas ir</w:t>
      </w:r>
      <w:r w:rsidR="00CF5B1D" w:rsidRPr="00550D35">
        <w:rPr>
          <w:lang w:val="lv-LV"/>
        </w:rPr>
        <w:t xml:space="preserve"> maksimāli tuv</w:t>
      </w:r>
      <w:r>
        <w:rPr>
          <w:lang w:val="lv-LV"/>
        </w:rPr>
        <w:t>a</w:t>
      </w:r>
      <w:r w:rsidR="00CF5B1D" w:rsidRPr="00550D35">
        <w:rPr>
          <w:lang w:val="lv-LV"/>
        </w:rPr>
        <w:t xml:space="preserve"> ES mērķa vērtībai</w:t>
      </w:r>
      <w:r>
        <w:rPr>
          <w:lang w:val="lv-LV"/>
        </w:rPr>
        <w:t>.</w:t>
      </w:r>
    </w:p>
    <w:p w14:paraId="72F0551D" w14:textId="77FCD4A0" w:rsidR="009A4269" w:rsidRPr="00550D35" w:rsidRDefault="009A4269" w:rsidP="009A4269">
      <w:pPr>
        <w:rPr>
          <w:lang w:val="lv-LV"/>
        </w:rPr>
      </w:pPr>
      <w:r w:rsidRPr="00550D35">
        <w:rPr>
          <w:lang w:val="lv-LV"/>
        </w:rPr>
        <w:t>Saskaņā ar sākotnējo provizorisko aplēsi KPI jomās, t.sk., ceļveža Latvijai pirmā laidiena sagatavošanā nevar prognozēt, ka tiks sasniegta ES mērķa vērtība</w:t>
      </w:r>
      <w:r w:rsidR="00013D81">
        <w:rPr>
          <w:lang w:val="lv-LV"/>
        </w:rPr>
        <w:t xml:space="preserve"> </w:t>
      </w:r>
      <w:r w:rsidR="00013D81" w:rsidRPr="00550D35">
        <w:rPr>
          <w:lang w:val="lv-LV"/>
        </w:rPr>
        <w:t xml:space="preserve">Dekādes programmas KPI jomās </w:t>
      </w:r>
      <w:r w:rsidR="00013D81">
        <w:rPr>
          <w:lang w:val="lv-LV"/>
        </w:rPr>
        <w:t>“Gigabitu savienojamība” un “5G pārklājums”</w:t>
      </w:r>
      <w:r w:rsidRPr="00550D35">
        <w:rPr>
          <w:lang w:val="lv-LV"/>
        </w:rPr>
        <w:t>.</w:t>
      </w:r>
    </w:p>
    <w:p w14:paraId="6550F97D" w14:textId="67A73FE5" w:rsidR="00CF5B1D" w:rsidRPr="00550D35" w:rsidRDefault="00CF5B1D" w:rsidP="00CF5B1D">
      <w:pPr>
        <w:rPr>
          <w:lang w:val="lv-LV"/>
        </w:rPr>
      </w:pPr>
      <w:r w:rsidRPr="00550D35">
        <w:rPr>
          <w:lang w:val="lv-LV"/>
        </w:rPr>
        <w:t>Ņemot vērā ar EK īstenošanas lēmumu</w:t>
      </w:r>
      <w:r w:rsidR="006E4EE2">
        <w:rPr>
          <w:lang w:val="lv-LV"/>
        </w:rPr>
        <w:t xml:space="preserve"> </w:t>
      </w:r>
      <w:r w:rsidR="006E4EE2" w:rsidRPr="006E4EE2">
        <w:rPr>
          <w:lang w:val="lv-LV"/>
        </w:rPr>
        <w:t>C(2023)4288</w:t>
      </w:r>
      <w:r w:rsidRPr="00550D35">
        <w:rPr>
          <w:lang w:val="lv-LV"/>
        </w:rPr>
        <w:t xml:space="preserve"> apstiprinātās KPI definīcijas, nacionālo prognozēto trajektoriju KPI jomās </w:t>
      </w:r>
      <w:r w:rsidR="00086F42">
        <w:rPr>
          <w:lang w:val="lv-LV"/>
        </w:rPr>
        <w:t>“P</w:t>
      </w:r>
      <w:r w:rsidRPr="00550D35">
        <w:rPr>
          <w:lang w:val="lv-LV"/>
        </w:rPr>
        <w:t>usvadītāji</w:t>
      </w:r>
      <w:r w:rsidR="00086F42">
        <w:rPr>
          <w:lang w:val="lv-LV"/>
        </w:rPr>
        <w:t>”</w:t>
      </w:r>
      <w:r w:rsidRPr="00550D35">
        <w:rPr>
          <w:lang w:val="lv-LV"/>
        </w:rPr>
        <w:t xml:space="preserve">, </w:t>
      </w:r>
      <w:r w:rsidR="00086F42">
        <w:rPr>
          <w:lang w:val="lv-LV"/>
        </w:rPr>
        <w:t>“P</w:t>
      </w:r>
      <w:r w:rsidRPr="00550D35">
        <w:rPr>
          <w:lang w:val="lv-LV"/>
        </w:rPr>
        <w:t>erifērijas mezgli</w:t>
      </w:r>
      <w:r w:rsidR="00086F42">
        <w:rPr>
          <w:lang w:val="lv-LV"/>
        </w:rPr>
        <w:t>”</w:t>
      </w:r>
      <w:r w:rsidRPr="00550D35">
        <w:rPr>
          <w:lang w:val="lv-LV"/>
        </w:rPr>
        <w:t xml:space="preserve"> un </w:t>
      </w:r>
      <w:r w:rsidR="00086F42">
        <w:rPr>
          <w:lang w:val="lv-LV"/>
        </w:rPr>
        <w:t>“</w:t>
      </w:r>
      <w:proofErr w:type="spellStart"/>
      <w:r w:rsidR="00086F42">
        <w:rPr>
          <w:lang w:val="lv-LV"/>
        </w:rPr>
        <w:t>K</w:t>
      </w:r>
      <w:r w:rsidRPr="00550D35">
        <w:rPr>
          <w:lang w:val="lv-LV"/>
        </w:rPr>
        <w:t>vantiskā</w:t>
      </w:r>
      <w:proofErr w:type="spellEnd"/>
      <w:r w:rsidRPr="00550D35">
        <w:rPr>
          <w:lang w:val="lv-LV"/>
        </w:rPr>
        <w:t xml:space="preserve"> </w:t>
      </w:r>
      <w:proofErr w:type="spellStart"/>
      <w:r w:rsidRPr="00550D35">
        <w:rPr>
          <w:lang w:val="lv-LV"/>
        </w:rPr>
        <w:t>datošana</w:t>
      </w:r>
      <w:proofErr w:type="spellEnd"/>
      <w:r w:rsidR="00086F42">
        <w:rPr>
          <w:lang w:val="lv-LV"/>
        </w:rPr>
        <w:t>”</w:t>
      </w:r>
      <w:r w:rsidRPr="00550D35">
        <w:rPr>
          <w:lang w:val="lv-LV"/>
        </w:rPr>
        <w:t xml:space="preserve">, noteikt nav iespējams. </w:t>
      </w:r>
    </w:p>
    <w:p w14:paraId="6E802F1D" w14:textId="77777777" w:rsidR="00CF5B1D" w:rsidRDefault="00CF5B1D" w:rsidP="00CF5B1D">
      <w:pPr>
        <w:rPr>
          <w:lang w:val="lv-LV"/>
        </w:rPr>
      </w:pPr>
      <w:r w:rsidRPr="00550D35">
        <w:rPr>
          <w:lang w:val="lv-LV"/>
        </w:rPr>
        <w:t>Papildus minētajam jāņem vērā, ka valstu ceļvežu izstrādes laikā turpinās kārtējā Daudzgadu finanšu shēmas līdzekļu apguves plānošana, savukārt prognozēto trajektoriju prognozēšana 2028.-2030.gada ir apgrūtinoša, ņemot vērā, ka minētā perioda finanšu ietvara plānošana tiks uzsākta tikai pēc vairākiem gadiem.</w:t>
      </w:r>
    </w:p>
    <w:p w14:paraId="469C4B4B" w14:textId="77777777" w:rsidR="00CF5B1D" w:rsidRPr="00550D35" w:rsidRDefault="00CF5B1D" w:rsidP="00CF5B1D">
      <w:pPr>
        <w:rPr>
          <w:lang w:val="lv-LV"/>
        </w:rPr>
      </w:pPr>
      <w:r w:rsidRPr="00550D35">
        <w:rPr>
          <w:lang w:val="lv-LV"/>
        </w:rPr>
        <w:t xml:space="preserve">Dekādes programmas ieviešanas uzraudzības process paredz ik pēc diviem gadiem veikt valstu ceļvežu korekcijas, atbilstoši tam ceļvedī Latvijai būs nepieciešams veikt informācijas atjaunošanu un papildināšanu.  </w:t>
      </w:r>
    </w:p>
    <w:p w14:paraId="75015B7A" w14:textId="6A0019A1" w:rsidR="00CF5B1D" w:rsidRPr="00913F88" w:rsidRDefault="00CF5B1D" w:rsidP="00CF5B1D">
      <w:pPr>
        <w:rPr>
          <w:lang w:val="lv-LV"/>
        </w:rPr>
      </w:pPr>
      <w:r w:rsidRPr="002D41C9">
        <w:rPr>
          <w:lang w:val="lv-LV"/>
        </w:rPr>
        <w:t xml:space="preserve">Lai sagatavotu </w:t>
      </w:r>
      <w:r>
        <w:rPr>
          <w:lang w:val="lv-LV"/>
        </w:rPr>
        <w:t xml:space="preserve">un iesniegtu EK </w:t>
      </w:r>
      <w:r w:rsidRPr="002D41C9">
        <w:rPr>
          <w:lang w:val="lv-LV"/>
        </w:rPr>
        <w:t>ceļveža Latvijai atjauninājumus kā to paredz Dekādes programm</w:t>
      </w:r>
      <w:r>
        <w:rPr>
          <w:lang w:val="lv-LV"/>
        </w:rPr>
        <w:t>ā</w:t>
      </w:r>
      <w:r w:rsidRPr="002D41C9">
        <w:rPr>
          <w:lang w:val="lv-LV"/>
        </w:rPr>
        <w:t xml:space="preserve"> </w:t>
      </w:r>
      <w:r>
        <w:rPr>
          <w:lang w:val="lv-LV"/>
        </w:rPr>
        <w:t>noteiktais</w:t>
      </w:r>
      <w:r w:rsidRPr="002D41C9">
        <w:rPr>
          <w:lang w:val="lv-LV"/>
        </w:rPr>
        <w:t xml:space="preserve"> </w:t>
      </w:r>
      <w:r>
        <w:rPr>
          <w:lang w:val="lv-LV"/>
        </w:rPr>
        <w:t xml:space="preserve">tās </w:t>
      </w:r>
      <w:r w:rsidRPr="002D41C9">
        <w:rPr>
          <w:lang w:val="lv-LV"/>
        </w:rPr>
        <w:t xml:space="preserve">ieviešanas uzraudzības process </w:t>
      </w:r>
      <w:r>
        <w:rPr>
          <w:lang w:val="lv-LV"/>
        </w:rPr>
        <w:t xml:space="preserve">- </w:t>
      </w:r>
      <w:r w:rsidRPr="002D41C9">
        <w:rPr>
          <w:lang w:val="lv-LV"/>
        </w:rPr>
        <w:t>ik pēc diviem gadiem veikt valstu ceļvežu atjaunināšanu</w:t>
      </w:r>
      <w:r w:rsidR="00FF2E86">
        <w:rPr>
          <w:lang w:val="lv-LV"/>
        </w:rPr>
        <w:t>, ne</w:t>
      </w:r>
      <w:r w:rsidR="00407C45">
        <w:rPr>
          <w:lang w:val="lv-LV"/>
        </w:rPr>
        <w:t>pieciešams</w:t>
      </w:r>
      <w:r w:rsidRPr="002D41C9">
        <w:rPr>
          <w:lang w:val="lv-LV"/>
        </w:rPr>
        <w:t>:</w:t>
      </w:r>
    </w:p>
    <w:p w14:paraId="501F525A" w14:textId="6097FD07" w:rsidR="00CF5B1D" w:rsidRPr="00F74D1F" w:rsidRDefault="000E4688" w:rsidP="00CF4E96">
      <w:pPr>
        <w:pStyle w:val="ListParagraph"/>
        <w:numPr>
          <w:ilvl w:val="0"/>
          <w:numId w:val="52"/>
        </w:numPr>
        <w:spacing w:before="0"/>
        <w:rPr>
          <w:rFonts w:eastAsia="Times New Roman" w:cs="Times New Roman"/>
          <w:sz w:val="24"/>
          <w:szCs w:val="20"/>
          <w:lang w:val="lv-LV" w:eastAsia="en-GB"/>
        </w:rPr>
      </w:pPr>
      <w:r>
        <w:rPr>
          <w:rFonts w:eastAsia="Times New Roman" w:cs="Times New Roman"/>
          <w:sz w:val="24"/>
          <w:szCs w:val="20"/>
          <w:lang w:val="lv-LV" w:eastAsia="en-GB"/>
        </w:rPr>
        <w:t xml:space="preserve">Noteikt </w:t>
      </w:r>
      <w:r w:rsidR="006B64A1">
        <w:rPr>
          <w:rFonts w:eastAsia="Times New Roman" w:cs="Times New Roman"/>
          <w:sz w:val="24"/>
          <w:szCs w:val="20"/>
          <w:lang w:val="lv-LV" w:eastAsia="en-GB"/>
        </w:rPr>
        <w:t>VARAM</w:t>
      </w:r>
      <w:r w:rsidR="00CF5B1D" w:rsidRPr="00F74D1F">
        <w:rPr>
          <w:rFonts w:eastAsia="Times New Roman" w:cs="Times New Roman"/>
          <w:sz w:val="24"/>
          <w:szCs w:val="20"/>
          <w:lang w:val="lv-LV" w:eastAsia="en-GB"/>
        </w:rPr>
        <w:t xml:space="preserve"> par atbildīgo par “Digitālās desmitgades stratēģiskā ceļveža Latvijai līdz 2030. gadam” atjauninājumu sagatavošanu</w:t>
      </w:r>
      <w:r w:rsidR="005F72FF" w:rsidRPr="00F74D1F">
        <w:rPr>
          <w:rFonts w:eastAsia="Times New Roman" w:cs="Times New Roman"/>
          <w:sz w:val="24"/>
          <w:szCs w:val="20"/>
          <w:lang w:val="lv-LV" w:eastAsia="en-GB"/>
        </w:rPr>
        <w:t>,</w:t>
      </w:r>
      <w:r w:rsidR="00CF5B1D" w:rsidRPr="00F74D1F">
        <w:rPr>
          <w:rFonts w:eastAsia="Times New Roman" w:cs="Times New Roman"/>
          <w:sz w:val="24"/>
          <w:szCs w:val="20"/>
          <w:lang w:val="lv-LV" w:eastAsia="en-GB"/>
        </w:rPr>
        <w:t xml:space="preserve"> iesniegšanu izskatīšanai </w:t>
      </w:r>
      <w:r w:rsidR="00BD6167">
        <w:rPr>
          <w:rFonts w:eastAsia="Times New Roman" w:cs="Times New Roman"/>
          <w:sz w:val="24"/>
          <w:szCs w:val="20"/>
          <w:lang w:val="lv-LV" w:eastAsia="en-GB"/>
        </w:rPr>
        <w:t>MK</w:t>
      </w:r>
      <w:r w:rsidR="005F72FF" w:rsidRPr="00F74D1F">
        <w:rPr>
          <w:rFonts w:eastAsia="Times New Roman" w:cs="Times New Roman"/>
          <w:sz w:val="24"/>
          <w:szCs w:val="20"/>
          <w:lang w:val="lv-LV" w:eastAsia="en-GB"/>
        </w:rPr>
        <w:t xml:space="preserve"> un iesniegšanu </w:t>
      </w:r>
      <w:r w:rsidR="00BD6167">
        <w:rPr>
          <w:rFonts w:eastAsia="Times New Roman" w:cs="Times New Roman"/>
          <w:sz w:val="24"/>
          <w:szCs w:val="20"/>
          <w:lang w:val="lv-LV" w:eastAsia="en-GB"/>
        </w:rPr>
        <w:t>EK</w:t>
      </w:r>
      <w:r w:rsidR="005F72FF" w:rsidRPr="00F74D1F">
        <w:rPr>
          <w:rFonts w:eastAsia="Times New Roman" w:cs="Times New Roman"/>
          <w:sz w:val="24"/>
          <w:szCs w:val="20"/>
          <w:lang w:val="lv-LV" w:eastAsia="en-GB"/>
        </w:rPr>
        <w:t xml:space="preserve"> atbilstoši politikas programmā “Digitālās desmitgades ceļš” 2030. gadam noteiktajai kārtībai</w:t>
      </w:r>
      <w:r w:rsidR="00CF5B1D" w:rsidRPr="00F74D1F">
        <w:rPr>
          <w:rFonts w:eastAsia="Times New Roman" w:cs="Times New Roman"/>
          <w:sz w:val="24"/>
          <w:szCs w:val="20"/>
          <w:lang w:val="lv-LV" w:eastAsia="en-GB"/>
        </w:rPr>
        <w:t>.</w:t>
      </w:r>
    </w:p>
    <w:p w14:paraId="28B232C6" w14:textId="0E9E21A5" w:rsidR="00114979" w:rsidRPr="00F74D1F" w:rsidRDefault="009F580E" w:rsidP="00F74D1F">
      <w:pPr>
        <w:numPr>
          <w:ilvl w:val="0"/>
          <w:numId w:val="52"/>
        </w:numPr>
        <w:spacing w:before="0" w:after="0"/>
        <w:rPr>
          <w:lang w:val="lv-LV"/>
        </w:rPr>
      </w:pPr>
      <w:r w:rsidRPr="009F580E">
        <w:rPr>
          <w:lang w:val="lv-LV"/>
        </w:rPr>
        <w:t xml:space="preserve">Lai </w:t>
      </w:r>
      <w:r w:rsidR="0046398D">
        <w:rPr>
          <w:lang w:val="lv-LV"/>
        </w:rPr>
        <w:t xml:space="preserve">VARAM </w:t>
      </w:r>
      <w:r w:rsidRPr="009F580E">
        <w:rPr>
          <w:lang w:val="lv-LV"/>
        </w:rPr>
        <w:t xml:space="preserve">nodrošinātu 1.punktā </w:t>
      </w:r>
      <w:r w:rsidR="00407C45">
        <w:rPr>
          <w:lang w:val="lv-LV"/>
        </w:rPr>
        <w:t>minēt</w:t>
      </w:r>
      <w:r>
        <w:rPr>
          <w:lang w:val="lv-LV"/>
        </w:rPr>
        <w:t>ā</w:t>
      </w:r>
      <w:r w:rsidRPr="009F580E">
        <w:rPr>
          <w:lang w:val="lv-LV"/>
        </w:rPr>
        <w:t xml:space="preserve"> uzdevuma izpildi,</w:t>
      </w:r>
      <w:r w:rsidR="00B10D19">
        <w:rPr>
          <w:lang w:val="lv-LV"/>
        </w:rPr>
        <w:t xml:space="preserve"> </w:t>
      </w:r>
      <w:r w:rsidR="0046398D">
        <w:rPr>
          <w:lang w:val="lv-LV"/>
        </w:rPr>
        <w:t xml:space="preserve">nepieciešams </w:t>
      </w:r>
      <w:r w:rsidR="00B10D19">
        <w:rPr>
          <w:lang w:val="lv-LV"/>
        </w:rPr>
        <w:t>noteikt</w:t>
      </w:r>
      <w:r w:rsidR="00CF5B1D" w:rsidRPr="00777158">
        <w:rPr>
          <w:lang w:val="lv-LV"/>
        </w:rPr>
        <w:t>:</w:t>
      </w:r>
    </w:p>
    <w:p w14:paraId="15628177" w14:textId="73F0349A" w:rsidR="00114979" w:rsidRPr="00F74D1F" w:rsidRDefault="00114979" w:rsidP="004E5C26">
      <w:pPr>
        <w:spacing w:before="0" w:after="0"/>
        <w:ind w:left="360" w:firstLine="0"/>
        <w:rPr>
          <w:lang w:val="lv-LV"/>
        </w:rPr>
      </w:pPr>
      <w:r w:rsidRPr="00F74D1F">
        <w:rPr>
          <w:lang w:val="lv-LV"/>
        </w:rPr>
        <w:t xml:space="preserve">2.1. Ekonomikas ministriju par atbildīgo par digitālās desmitgades  </w:t>
      </w:r>
      <w:proofErr w:type="spellStart"/>
      <w:r w:rsidRPr="00F74D1F">
        <w:rPr>
          <w:lang w:val="lv-LV"/>
        </w:rPr>
        <w:t>mērķrādītāj</w:t>
      </w:r>
      <w:r w:rsidR="0066578A" w:rsidRPr="00F74D1F">
        <w:rPr>
          <w:lang w:val="lv-LV"/>
        </w:rPr>
        <w:t>iem</w:t>
      </w:r>
      <w:proofErr w:type="spellEnd"/>
      <w:r w:rsidRPr="00F74D1F">
        <w:rPr>
          <w:lang w:val="lv-LV"/>
        </w:rPr>
        <w:t xml:space="preserve"> “Mazie un vidējie uzņēmumi ar vismaz pamata digitālās intensitātes līmeni” un “Vienradži”;</w:t>
      </w:r>
    </w:p>
    <w:p w14:paraId="7F75C727" w14:textId="46B30557" w:rsidR="00BA4004" w:rsidRPr="00F74D1F" w:rsidRDefault="0066578A" w:rsidP="004E5C26">
      <w:pPr>
        <w:spacing w:before="0" w:after="0"/>
        <w:ind w:left="360" w:firstLine="0"/>
        <w:rPr>
          <w:lang w:val="lv-LV"/>
        </w:rPr>
      </w:pPr>
      <w:r w:rsidRPr="00F74D1F">
        <w:rPr>
          <w:lang w:val="lv-LV"/>
        </w:rPr>
        <w:t xml:space="preserve">2.2. </w:t>
      </w:r>
      <w:r w:rsidR="006F26AA" w:rsidRPr="00F74D1F">
        <w:rPr>
          <w:lang w:val="lv-LV"/>
        </w:rPr>
        <w:t>Ekonomikas ministriju par atbildīgo un Izglītības un zinātnes ministriju par līdzatbildīgo par digitālās desmitgades  </w:t>
      </w:r>
      <w:proofErr w:type="spellStart"/>
      <w:r w:rsidR="006F26AA" w:rsidRPr="00F74D1F">
        <w:rPr>
          <w:lang w:val="lv-LV"/>
        </w:rPr>
        <w:t>mērķrādītāj</w:t>
      </w:r>
      <w:r w:rsidRPr="00F74D1F">
        <w:rPr>
          <w:lang w:val="lv-LV"/>
        </w:rPr>
        <w:t>iem</w:t>
      </w:r>
      <w:proofErr w:type="spellEnd"/>
      <w:r w:rsidR="006F26AA" w:rsidRPr="00F74D1F">
        <w:rPr>
          <w:lang w:val="lv-LV"/>
        </w:rPr>
        <w:t xml:space="preserve"> “IKT speciālisti”</w:t>
      </w:r>
      <w:r w:rsidRPr="00F74D1F">
        <w:rPr>
          <w:lang w:val="lv-LV"/>
        </w:rPr>
        <w:t xml:space="preserve"> un “Pusvadītāji”</w:t>
      </w:r>
      <w:r w:rsidR="006F26AA" w:rsidRPr="00F74D1F">
        <w:rPr>
          <w:lang w:val="lv-LV"/>
        </w:rPr>
        <w:t>;</w:t>
      </w:r>
    </w:p>
    <w:p w14:paraId="2567AFFC" w14:textId="4337C99A" w:rsidR="007B3B90" w:rsidRPr="00F74D1F" w:rsidRDefault="00BA451D" w:rsidP="004E5C26">
      <w:pPr>
        <w:spacing w:before="0" w:after="0"/>
        <w:ind w:left="360" w:firstLine="0"/>
        <w:rPr>
          <w:lang w:val="lv-LV"/>
        </w:rPr>
      </w:pPr>
      <w:r w:rsidRPr="00F74D1F">
        <w:rPr>
          <w:lang w:val="lv-LV"/>
        </w:rPr>
        <w:t xml:space="preserve">2.3. </w:t>
      </w:r>
      <w:r w:rsidR="007B3B90" w:rsidRPr="00F74D1F">
        <w:rPr>
          <w:lang w:val="lv-LV"/>
        </w:rPr>
        <w:t xml:space="preserve">Ekonomikas ministriju par atbildīgo </w:t>
      </w:r>
      <w:r w:rsidR="007F5AB2">
        <w:rPr>
          <w:lang w:val="lv-LV"/>
        </w:rPr>
        <w:t xml:space="preserve"> un </w:t>
      </w:r>
      <w:r w:rsidR="007F5AB2" w:rsidRPr="00F74D1F">
        <w:rPr>
          <w:lang w:val="lv-LV"/>
        </w:rPr>
        <w:t xml:space="preserve">Izglītības un zinātnes ministriju un Vides aizsardzības un reģionālās attīstības ministriju par līdzatbildīgajām </w:t>
      </w:r>
      <w:r w:rsidR="007B3B90" w:rsidRPr="00F74D1F">
        <w:rPr>
          <w:lang w:val="lv-LV"/>
        </w:rPr>
        <w:t xml:space="preserve">par digitālās desmitgades  </w:t>
      </w:r>
      <w:proofErr w:type="spellStart"/>
      <w:r w:rsidR="007B3B90" w:rsidRPr="00F74D1F">
        <w:rPr>
          <w:lang w:val="lv-LV"/>
        </w:rPr>
        <w:t>mērķrādī</w:t>
      </w:r>
      <w:r w:rsidR="00FF020D" w:rsidRPr="00F74D1F">
        <w:rPr>
          <w:lang w:val="lv-LV"/>
        </w:rPr>
        <w:t>tāj</w:t>
      </w:r>
      <w:r w:rsidR="003A4F03" w:rsidRPr="00F74D1F">
        <w:rPr>
          <w:lang w:val="lv-LV"/>
        </w:rPr>
        <w:t>iem</w:t>
      </w:r>
      <w:proofErr w:type="spellEnd"/>
      <w:r w:rsidR="00FF020D" w:rsidRPr="00F74D1F">
        <w:rPr>
          <w:lang w:val="lv-LV"/>
        </w:rPr>
        <w:t xml:space="preserve"> </w:t>
      </w:r>
      <w:r w:rsidR="006F26AA" w:rsidRPr="00F74D1F">
        <w:rPr>
          <w:lang w:val="lv-LV"/>
        </w:rPr>
        <w:t>“</w:t>
      </w:r>
      <w:proofErr w:type="spellStart"/>
      <w:r w:rsidR="006F26AA" w:rsidRPr="00F74D1F">
        <w:rPr>
          <w:lang w:val="lv-LV"/>
        </w:rPr>
        <w:t>Mākoņdatošana</w:t>
      </w:r>
      <w:proofErr w:type="spellEnd"/>
      <w:r w:rsidR="006F26AA" w:rsidRPr="00F74D1F">
        <w:rPr>
          <w:lang w:val="lv-LV"/>
        </w:rPr>
        <w:t>”</w:t>
      </w:r>
      <w:r w:rsidR="003A4F03" w:rsidRPr="00F74D1F">
        <w:rPr>
          <w:lang w:val="lv-LV"/>
        </w:rPr>
        <w:t>, “Lielie dati” un “Mākslīgais intelekts”;</w:t>
      </w:r>
    </w:p>
    <w:p w14:paraId="16A05818" w14:textId="7CE71DD6" w:rsidR="006F26AA" w:rsidRPr="006F26AA" w:rsidRDefault="006F26AA" w:rsidP="004E5C26">
      <w:pPr>
        <w:spacing w:before="0" w:after="0"/>
        <w:ind w:left="360" w:firstLine="0"/>
        <w:rPr>
          <w:lang w:val="lv-LV"/>
        </w:rPr>
      </w:pPr>
      <w:r w:rsidRPr="00F74D1F">
        <w:rPr>
          <w:lang w:val="lv-LV"/>
        </w:rPr>
        <w:t>2.</w:t>
      </w:r>
      <w:r w:rsidR="00076121" w:rsidRPr="00F74D1F">
        <w:rPr>
          <w:lang w:val="lv-LV"/>
        </w:rPr>
        <w:t>4</w:t>
      </w:r>
      <w:r w:rsidRPr="00F74D1F">
        <w:rPr>
          <w:lang w:val="lv-LV"/>
        </w:rPr>
        <w:t>.</w:t>
      </w:r>
      <w:r w:rsidR="00B10D19">
        <w:rPr>
          <w:lang w:val="lv-LV"/>
        </w:rPr>
        <w:t xml:space="preserve"> </w:t>
      </w:r>
      <w:r w:rsidRPr="00F74D1F">
        <w:rPr>
          <w:lang w:val="lv-LV"/>
        </w:rPr>
        <w:t xml:space="preserve">Izglītības un zinātnes ministriju par atbildīgo par digitālās desmitgades  </w:t>
      </w:r>
      <w:proofErr w:type="spellStart"/>
      <w:r w:rsidRPr="00F74D1F">
        <w:rPr>
          <w:lang w:val="lv-LV"/>
        </w:rPr>
        <w:t>mērķrādītājiem</w:t>
      </w:r>
      <w:proofErr w:type="spellEnd"/>
      <w:r w:rsidRPr="006F26AA">
        <w:rPr>
          <w:lang w:val="lv-LV"/>
        </w:rPr>
        <w:t xml:space="preserve"> “Vismaz pamata digitālās prasmes” un “</w:t>
      </w:r>
      <w:proofErr w:type="spellStart"/>
      <w:r w:rsidRPr="006F26AA">
        <w:rPr>
          <w:lang w:val="lv-LV"/>
        </w:rPr>
        <w:t>Kvantiska</w:t>
      </w:r>
      <w:proofErr w:type="spellEnd"/>
      <w:r w:rsidRPr="006F26AA">
        <w:rPr>
          <w:lang w:val="lv-LV"/>
        </w:rPr>
        <w:t xml:space="preserve"> </w:t>
      </w:r>
      <w:proofErr w:type="spellStart"/>
      <w:r w:rsidRPr="006F26AA">
        <w:rPr>
          <w:lang w:val="lv-LV"/>
        </w:rPr>
        <w:t>datošana</w:t>
      </w:r>
      <w:proofErr w:type="spellEnd"/>
      <w:r w:rsidRPr="006F26AA">
        <w:rPr>
          <w:lang w:val="lv-LV"/>
        </w:rPr>
        <w:t>”;</w:t>
      </w:r>
    </w:p>
    <w:p w14:paraId="20605342" w14:textId="1E107BF2" w:rsidR="006F26AA" w:rsidRPr="006F26AA" w:rsidRDefault="006F26AA" w:rsidP="004E5C26">
      <w:pPr>
        <w:spacing w:before="0" w:after="0"/>
        <w:ind w:left="360" w:firstLine="0"/>
        <w:rPr>
          <w:lang w:val="lv-LV"/>
        </w:rPr>
      </w:pPr>
      <w:r w:rsidRPr="006F26AA">
        <w:rPr>
          <w:lang w:val="lv-LV"/>
        </w:rPr>
        <w:lastRenderedPageBreak/>
        <w:t>2.</w:t>
      </w:r>
      <w:r w:rsidR="00B10D19">
        <w:rPr>
          <w:lang w:val="lv-LV"/>
        </w:rPr>
        <w:t>5</w:t>
      </w:r>
      <w:r w:rsidRPr="006F26AA">
        <w:rPr>
          <w:lang w:val="lv-LV"/>
        </w:rPr>
        <w:t>.</w:t>
      </w:r>
      <w:r w:rsidR="00B10D19">
        <w:rPr>
          <w:lang w:val="lv-LV"/>
        </w:rPr>
        <w:t xml:space="preserve"> </w:t>
      </w:r>
      <w:r w:rsidRPr="006F26AA">
        <w:rPr>
          <w:lang w:val="lv-LV"/>
        </w:rPr>
        <w:t xml:space="preserve">Satiksmes ministriju par atbildīgo par digitālās desmitgades  </w:t>
      </w:r>
      <w:proofErr w:type="spellStart"/>
      <w:r w:rsidRPr="006F26AA">
        <w:rPr>
          <w:lang w:val="lv-LV"/>
        </w:rPr>
        <w:t>mērķrādītājiem</w:t>
      </w:r>
      <w:proofErr w:type="spellEnd"/>
      <w:r w:rsidRPr="006F26AA">
        <w:rPr>
          <w:lang w:val="lv-LV"/>
        </w:rPr>
        <w:t xml:space="preserve"> “Gigabitu savienojamība”,  “5G pārklājums” un “Perifērijas mezgli”;</w:t>
      </w:r>
    </w:p>
    <w:p w14:paraId="2A66C9D8" w14:textId="38C649A7" w:rsidR="006F26AA" w:rsidRPr="006F26AA" w:rsidRDefault="006F26AA" w:rsidP="004E5C26">
      <w:pPr>
        <w:spacing w:before="0" w:after="0"/>
        <w:ind w:left="360" w:firstLine="0"/>
        <w:rPr>
          <w:lang w:val="lv-LV"/>
        </w:rPr>
      </w:pPr>
      <w:r w:rsidRPr="006F26AA">
        <w:rPr>
          <w:lang w:val="lv-LV"/>
        </w:rPr>
        <w:t>2.</w:t>
      </w:r>
      <w:r w:rsidR="00B10D19">
        <w:rPr>
          <w:lang w:val="lv-LV"/>
        </w:rPr>
        <w:t>6.</w:t>
      </w:r>
      <w:r w:rsidRPr="006F26AA">
        <w:rPr>
          <w:lang w:val="lv-LV"/>
        </w:rPr>
        <w:t xml:space="preserve"> Veselības ministriju par atbildīgo par digitālās desmitgades  </w:t>
      </w:r>
      <w:proofErr w:type="spellStart"/>
      <w:r w:rsidRPr="006F26AA">
        <w:rPr>
          <w:lang w:val="lv-LV"/>
        </w:rPr>
        <w:t>mērķrādītāju</w:t>
      </w:r>
      <w:proofErr w:type="spellEnd"/>
      <w:r w:rsidRPr="006F26AA">
        <w:rPr>
          <w:lang w:val="lv-LV"/>
        </w:rPr>
        <w:t xml:space="preserve"> “Piekļuve pacienta e-veselības kartei”;</w:t>
      </w:r>
    </w:p>
    <w:p w14:paraId="52D5C733" w14:textId="38C9CBD2" w:rsidR="006F26AA" w:rsidRPr="006F26AA" w:rsidRDefault="006F26AA" w:rsidP="004E5C26">
      <w:pPr>
        <w:autoSpaceDE w:val="0"/>
        <w:autoSpaceDN w:val="0"/>
        <w:adjustRightInd w:val="0"/>
        <w:ind w:left="360" w:firstLine="0"/>
        <w:rPr>
          <w:lang w:val="lv-LV"/>
        </w:rPr>
      </w:pPr>
      <w:r w:rsidRPr="006F26AA">
        <w:rPr>
          <w:lang w:val="lv-LV"/>
        </w:rPr>
        <w:t>2.</w:t>
      </w:r>
      <w:r w:rsidR="00B10D19">
        <w:rPr>
          <w:lang w:val="lv-LV"/>
        </w:rPr>
        <w:t>7</w:t>
      </w:r>
      <w:r w:rsidRPr="006F26AA">
        <w:rPr>
          <w:lang w:val="lv-LV"/>
        </w:rPr>
        <w:t xml:space="preserve">. Vides aizsardzības un reģionālās attīstības ministriju par atbildīgo par digitālās desmitgades  </w:t>
      </w:r>
      <w:proofErr w:type="spellStart"/>
      <w:r w:rsidRPr="006F26AA">
        <w:rPr>
          <w:lang w:val="lv-LV"/>
        </w:rPr>
        <w:t>mērķrādītājiem</w:t>
      </w:r>
      <w:proofErr w:type="spellEnd"/>
      <w:r w:rsidRPr="006F26AA">
        <w:rPr>
          <w:lang w:val="lv-LV"/>
        </w:rPr>
        <w:t xml:space="preserve">  “Galvenie </w:t>
      </w:r>
      <w:r w:rsidR="00481982">
        <w:rPr>
          <w:lang w:val="lv-LV"/>
        </w:rPr>
        <w:t>publ</w:t>
      </w:r>
      <w:r w:rsidRPr="006F26AA">
        <w:rPr>
          <w:lang w:val="lv-LV"/>
        </w:rPr>
        <w:t xml:space="preserve">iskie pakalpojumi iedzīvotājiem”, “Galvenie </w:t>
      </w:r>
      <w:r w:rsidR="00481982">
        <w:rPr>
          <w:lang w:val="lv-LV"/>
        </w:rPr>
        <w:t>publ</w:t>
      </w:r>
      <w:r w:rsidRPr="006F26AA">
        <w:rPr>
          <w:lang w:val="lv-LV"/>
        </w:rPr>
        <w:t>iskie pakalpojumi uzņēmumiem” un “Droši elektroniskās identifikācijas līdzekļi”;</w:t>
      </w:r>
    </w:p>
    <w:p w14:paraId="51769955" w14:textId="3A9FABB7" w:rsidR="006F26AA" w:rsidRPr="006F26AA" w:rsidRDefault="006F26AA" w:rsidP="004E5C26">
      <w:pPr>
        <w:autoSpaceDE w:val="0"/>
        <w:autoSpaceDN w:val="0"/>
        <w:adjustRightInd w:val="0"/>
        <w:ind w:left="360" w:firstLine="0"/>
        <w:rPr>
          <w:sz w:val="28"/>
          <w:szCs w:val="28"/>
          <w:lang w:val="lv-LV"/>
        </w:rPr>
      </w:pPr>
      <w:r w:rsidRPr="006F26AA">
        <w:rPr>
          <w:lang w:val="lv-LV"/>
        </w:rPr>
        <w:t>2.</w:t>
      </w:r>
      <w:r w:rsidR="00B10D19">
        <w:rPr>
          <w:lang w:val="lv-LV"/>
        </w:rPr>
        <w:t>8</w:t>
      </w:r>
      <w:r w:rsidRPr="006F26AA">
        <w:rPr>
          <w:lang w:val="lv-LV"/>
        </w:rPr>
        <w:t xml:space="preserve">. Aizsardzības ministriju par atbildīgo par </w:t>
      </w:r>
      <w:proofErr w:type="spellStart"/>
      <w:r w:rsidRPr="006F26AA">
        <w:rPr>
          <w:lang w:val="lv-LV"/>
        </w:rPr>
        <w:t>kiberdrošības</w:t>
      </w:r>
      <w:proofErr w:type="spellEnd"/>
      <w:r w:rsidRPr="006F26AA">
        <w:rPr>
          <w:lang w:val="lv-LV"/>
        </w:rPr>
        <w:t xml:space="preserve"> aspektu atspoguļošanu Digitālās desmitgades stratēģiskajā ceļvedī Latvijai līdz 2030. gadam. </w:t>
      </w:r>
    </w:p>
    <w:p w14:paraId="7202FE66" w14:textId="77777777" w:rsidR="00CF5B1D" w:rsidRPr="00550D35" w:rsidRDefault="00CF5B1D" w:rsidP="00CF5B1D">
      <w:pPr>
        <w:rPr>
          <w:lang w:val="lv-LV"/>
        </w:rPr>
      </w:pPr>
    </w:p>
    <w:p w14:paraId="77E672B5" w14:textId="77777777" w:rsidR="00CF5B1D" w:rsidRPr="00550D35" w:rsidRDefault="00CF5B1D" w:rsidP="00CF5B1D">
      <w:pPr>
        <w:ind w:firstLine="0"/>
        <w:rPr>
          <w:lang w:val="lv-LV"/>
        </w:rPr>
      </w:pPr>
    </w:p>
    <w:p w14:paraId="6B30E1B6" w14:textId="56858409" w:rsidR="00AC40FA" w:rsidRDefault="00CF5B1D" w:rsidP="00AF0E95">
      <w:pPr>
        <w:rPr>
          <w:lang w:val="lv-LV"/>
        </w:rPr>
      </w:pPr>
      <w:r w:rsidRPr="00550D35">
        <w:rPr>
          <w:lang w:val="lv-LV"/>
        </w:rPr>
        <w:t>Vides aizsardzības un reģionālās attīstības ministre                I. Bērziņa</w:t>
      </w:r>
    </w:p>
    <w:p w14:paraId="5AAE2C6C" w14:textId="77777777" w:rsidR="005A43B1" w:rsidRDefault="005A43B1" w:rsidP="00AF0E95">
      <w:pPr>
        <w:rPr>
          <w:lang w:val="lv-LV"/>
        </w:rPr>
      </w:pPr>
    </w:p>
    <w:p w14:paraId="6305E65D" w14:textId="77777777" w:rsidR="005A43B1" w:rsidRDefault="005A43B1" w:rsidP="00AF0E95">
      <w:pPr>
        <w:rPr>
          <w:lang w:val="lv-LV"/>
        </w:rPr>
      </w:pPr>
    </w:p>
    <w:p w14:paraId="24478E3A" w14:textId="77777777" w:rsidR="005A43B1" w:rsidRDefault="005A43B1" w:rsidP="00AF0E95">
      <w:pPr>
        <w:rPr>
          <w:lang w:val="lv-LV"/>
        </w:rPr>
      </w:pPr>
    </w:p>
    <w:p w14:paraId="64167840" w14:textId="77777777" w:rsidR="005A43B1" w:rsidRDefault="005A43B1" w:rsidP="00AF0E95">
      <w:pPr>
        <w:rPr>
          <w:lang w:val="lv-LV"/>
        </w:rPr>
      </w:pPr>
    </w:p>
    <w:p w14:paraId="384E6478" w14:textId="25E69B2C" w:rsidR="008164BA" w:rsidRDefault="008164BA" w:rsidP="008164BA">
      <w:pPr>
        <w:ind w:firstLine="567"/>
        <w:rPr>
          <w:sz w:val="20"/>
        </w:rPr>
      </w:pPr>
      <w:r>
        <w:rPr>
          <w:sz w:val="20"/>
        </w:rPr>
        <w:t>Zvaigzne, 67026507</w:t>
      </w:r>
    </w:p>
    <w:p w14:paraId="32712576" w14:textId="1B2CA65C" w:rsidR="008164BA" w:rsidRDefault="008164BA" w:rsidP="008164BA">
      <w:pPr>
        <w:ind w:firstLine="567"/>
        <w:rPr>
          <w:sz w:val="20"/>
        </w:rPr>
      </w:pPr>
      <w:r>
        <w:rPr>
          <w:sz w:val="20"/>
        </w:rPr>
        <w:t>Elita.Zvaigzne@varam.gov.lv</w:t>
      </w:r>
    </w:p>
    <w:p w14:paraId="7C533C5A" w14:textId="39B6FFDA" w:rsidR="005A43B1" w:rsidRPr="00550D35" w:rsidRDefault="005A43B1" w:rsidP="00AF0E95">
      <w:pPr>
        <w:rPr>
          <w:lang w:val="lv-LV"/>
        </w:rPr>
      </w:pPr>
    </w:p>
    <w:sectPr w:rsidR="005A43B1" w:rsidRPr="00550D35" w:rsidSect="00A56EF1">
      <w:headerReference w:type="default" r:id="rId19"/>
      <w:footerReference w:type="even" r:id="rId20"/>
      <w:footerReference w:type="default" r:id="rId21"/>
      <w:headerReference w:type="first" r:id="rId22"/>
      <w:footerReference w:type="first" r:id="rId23"/>
      <w:pgSz w:w="11906" w:h="16838"/>
      <w:pgMar w:top="1021" w:right="1701" w:bottom="1021" w:left="1588"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AB13" w14:textId="77777777" w:rsidR="00A56EF1" w:rsidRDefault="00A56EF1">
      <w:pPr>
        <w:spacing w:after="0"/>
      </w:pPr>
      <w:r>
        <w:separator/>
      </w:r>
    </w:p>
  </w:endnote>
  <w:endnote w:type="continuationSeparator" w:id="0">
    <w:p w14:paraId="1545709A" w14:textId="77777777" w:rsidR="00A56EF1" w:rsidRDefault="00A56EF1">
      <w:pPr>
        <w:spacing w:after="0"/>
      </w:pPr>
      <w:r>
        <w:continuationSeparator/>
      </w:r>
    </w:p>
  </w:endnote>
  <w:endnote w:type="continuationNotice" w:id="1">
    <w:p w14:paraId="4F50EB18" w14:textId="77777777" w:rsidR="00A56EF1" w:rsidRDefault="00A56E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EC Square Sans Pro">
    <w:altName w:val="Bahnschrift Light"/>
    <w:charset w:val="00"/>
    <w:family w:val="swiss"/>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ng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EB5E" w14:textId="77777777" w:rsidR="006740A8" w:rsidRDefault="006740A8">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BFEC" w14:textId="0BB86D85" w:rsidR="006740A8" w:rsidRDefault="006740A8">
    <w:pPr>
      <w:pStyle w:val="FooterLine"/>
      <w:jc w:val="center"/>
    </w:pPr>
    <w:r>
      <w:fldChar w:fldCharType="begin"/>
    </w:r>
    <w:r>
      <w:instrText>PAGE   \* MERGEFORMAT</w:instrText>
    </w:r>
    <w:r>
      <w:fldChar w:fldCharType="separate"/>
    </w:r>
    <w:r w:rsidR="00420A58">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578" w14:textId="3F669CB2" w:rsidR="006740A8" w:rsidRDefault="006740A8">
    <w:pPr>
      <w:pStyle w:val="Footer"/>
      <w:jc w:val="right"/>
    </w:pPr>
    <w:r>
      <w:fldChar w:fldCharType="begin"/>
    </w:r>
    <w:r>
      <w:instrText xml:space="preserve"> PAGE   \* MERGEFORMAT </w:instrText>
    </w:r>
    <w:r>
      <w:fldChar w:fldCharType="separate"/>
    </w:r>
    <w:r w:rsidR="00420A58">
      <w:rPr>
        <w:noProof/>
      </w:rPr>
      <w:t>1</w:t>
    </w:r>
    <w:r>
      <w:rPr>
        <w:noProof/>
      </w:rPr>
      <w:fldChar w:fldCharType="end"/>
    </w:r>
  </w:p>
  <w:p w14:paraId="2511F37A" w14:textId="77777777" w:rsidR="006740A8" w:rsidRDefault="006740A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B35B" w14:textId="77777777" w:rsidR="00A56EF1" w:rsidRDefault="00A56EF1">
      <w:pPr>
        <w:spacing w:after="0"/>
      </w:pPr>
      <w:r>
        <w:separator/>
      </w:r>
    </w:p>
  </w:footnote>
  <w:footnote w:type="continuationSeparator" w:id="0">
    <w:p w14:paraId="422D66F4" w14:textId="77777777" w:rsidR="00A56EF1" w:rsidRDefault="00A56EF1">
      <w:pPr>
        <w:spacing w:after="0"/>
      </w:pPr>
      <w:r>
        <w:continuationSeparator/>
      </w:r>
    </w:p>
  </w:footnote>
  <w:footnote w:type="continuationNotice" w:id="1">
    <w:p w14:paraId="634F4003" w14:textId="77777777" w:rsidR="00A56EF1" w:rsidRDefault="00A56EF1">
      <w:pPr>
        <w:spacing w:before="0" w:after="0"/>
      </w:pPr>
    </w:p>
  </w:footnote>
  <w:footnote w:id="2">
    <w:p w14:paraId="017F3ECC" w14:textId="77777777" w:rsidR="00C85F56" w:rsidRPr="00A508CC" w:rsidRDefault="00C85F56" w:rsidP="00C85F56">
      <w:pPr>
        <w:pStyle w:val="FootnoteText"/>
        <w:rPr>
          <w:lang w:val="lv-LV"/>
        </w:rPr>
      </w:pPr>
      <w:r>
        <w:rPr>
          <w:rStyle w:val="FootnoteReference"/>
        </w:rPr>
        <w:footnoteRef/>
      </w:r>
      <w:r w:rsidRPr="00BF2EB7">
        <w:rPr>
          <w:lang w:val="es-ES"/>
        </w:rPr>
        <w:t xml:space="preserve"> </w:t>
      </w:r>
      <w:r w:rsidRPr="00A508CC">
        <w:rPr>
          <w:lang w:val="lv-LV"/>
        </w:rPr>
        <w:t>EP un Padomes lēmums (ES) 2022/2481 (2022. gada 14. decembris), ar ko izveido politikas programmu “Digitālās desmitgades ceļš” 2030. gadam https://eur-lex.europa.eu/legal-content/LV/TXT/PDF/?uri=CELEX:32022D2481</w:t>
      </w:r>
    </w:p>
  </w:footnote>
  <w:footnote w:id="3">
    <w:p w14:paraId="3DB6361B" w14:textId="77777777" w:rsidR="00C80847" w:rsidRPr="00A508CC" w:rsidRDefault="00C80847" w:rsidP="00C80847">
      <w:pPr>
        <w:pStyle w:val="FootnoteText"/>
        <w:rPr>
          <w:lang w:val="lv-LV"/>
        </w:rPr>
      </w:pPr>
      <w:r w:rsidRPr="00A508CC">
        <w:rPr>
          <w:rStyle w:val="FootnoteReference"/>
          <w:lang w:val="lv-LV"/>
        </w:rPr>
        <w:footnoteRef/>
      </w:r>
      <w:r w:rsidRPr="00A508CC">
        <w:rPr>
          <w:lang w:val="lv-LV"/>
        </w:rPr>
        <w:t xml:space="preserve"> EK Īstenošanas lēmums (ES) (30.6.2023) kas nosaka galvenos snieguma rādītājus, pēc kuriem novērtē virzību uz digitālajiem </w:t>
      </w:r>
      <w:r w:rsidRPr="00A508CC">
        <w:rPr>
          <w:lang w:val="lv-LV"/>
        </w:rPr>
        <w:t xml:space="preserve">mērķrādītājiem, kas noteikti EP un Padomes Lēmuma (ES) 2022/2481 4. panta 1. punktā </w:t>
      </w:r>
      <w:hyperlink r:id="rId1" w:history="1">
        <w:r w:rsidRPr="00A508CC">
          <w:rPr>
            <w:rStyle w:val="Hyperlink"/>
            <w:lang w:val="lv-LV"/>
          </w:rPr>
          <w:t>EUR-Lex - C(2023)4288 - EN - EUR-Lex (europa.eu)</w:t>
        </w:r>
      </w:hyperlink>
    </w:p>
  </w:footnote>
  <w:footnote w:id="4">
    <w:p w14:paraId="59A43003" w14:textId="3D983152" w:rsidR="001F11EA" w:rsidRPr="001F11EA" w:rsidRDefault="001F11EA">
      <w:pPr>
        <w:pStyle w:val="FootnoteText"/>
        <w:rPr>
          <w:lang w:val="es-ES"/>
        </w:rPr>
      </w:pPr>
      <w:r w:rsidRPr="00A508CC">
        <w:rPr>
          <w:rStyle w:val="FootnoteReference"/>
          <w:lang w:val="lv-LV"/>
        </w:rPr>
        <w:footnoteRef/>
      </w:r>
      <w:r w:rsidRPr="00A508CC">
        <w:rPr>
          <w:lang w:val="lv-LV"/>
        </w:rPr>
        <w:t xml:space="preserve"> </w:t>
      </w:r>
      <w:r w:rsidR="001922EB" w:rsidRPr="00A508CC">
        <w:rPr>
          <w:lang w:val="lv-LV"/>
        </w:rPr>
        <w:t xml:space="preserve">Nacionālais attīstības plāns: </w:t>
      </w:r>
      <w:hyperlink r:id="rId2" w:history="1">
        <w:r w:rsidR="00C305FE" w:rsidRPr="00A508CC">
          <w:rPr>
            <w:rStyle w:val="Hyperlink"/>
            <w:lang w:val="lv-LV"/>
          </w:rPr>
          <w:t>https://likumi.lv/ta/id/315879-par-latvijas-nacionalo-attistibas-planu-20212027-gadam-nap2027</w:t>
        </w:r>
      </w:hyperlink>
      <w:r w:rsidR="009C0275">
        <w:rPr>
          <w:lang w:val="es-ES"/>
        </w:rPr>
        <w:t xml:space="preserve"> </w:t>
      </w:r>
    </w:p>
  </w:footnote>
  <w:footnote w:id="5">
    <w:p w14:paraId="1DB44D47" w14:textId="4A080A64" w:rsidR="00E12693" w:rsidRPr="005E48A7" w:rsidRDefault="00E12693" w:rsidP="00EB5D5D">
      <w:pPr>
        <w:pStyle w:val="FootnoteText"/>
        <w:ind w:left="0" w:firstLine="0"/>
        <w:rPr>
          <w:lang w:val="lv-LV"/>
        </w:rPr>
      </w:pPr>
      <w:r w:rsidRPr="005E48A7">
        <w:rPr>
          <w:rStyle w:val="FootnoteReference"/>
          <w:lang w:val="lv-LV"/>
        </w:rPr>
        <w:footnoteRef/>
      </w:r>
      <w:r w:rsidRPr="005E48A7">
        <w:rPr>
          <w:lang w:val="lv-LV"/>
        </w:rPr>
        <w:t xml:space="preserve"> </w:t>
      </w:r>
      <w:r w:rsidR="00BD6167">
        <w:rPr>
          <w:lang w:val="lv-LV"/>
        </w:rPr>
        <w:t>MK</w:t>
      </w:r>
      <w:r w:rsidR="00C60B58" w:rsidRPr="005E48A7">
        <w:rPr>
          <w:lang w:val="lv-LV"/>
        </w:rPr>
        <w:t xml:space="preserve"> 2021. gada 7. jūlija rīkojums Nr. 490 "Par Digitālās transformācijas pamatnostādnēm 2021.-2027. gadam" </w:t>
      </w:r>
      <w:hyperlink r:id="rId3" w:history="1">
        <w:r w:rsidR="00C60B58" w:rsidRPr="005E48A7">
          <w:rPr>
            <w:rStyle w:val="Hyperlink"/>
            <w:lang w:val="lv-LV"/>
          </w:rPr>
          <w:t>https://likumi.lv/ta/id/324715-par-digitalas-transformacijas-pamatnostadnem-20212027-gadam</w:t>
        </w:r>
      </w:hyperlink>
    </w:p>
  </w:footnote>
  <w:footnote w:id="6">
    <w:p w14:paraId="3A369CFB" w14:textId="6628B393" w:rsidR="00C305FE" w:rsidRPr="005E48A7" w:rsidRDefault="00C305FE" w:rsidP="00EB5D5D">
      <w:pPr>
        <w:pStyle w:val="FootnoteText"/>
        <w:ind w:left="0" w:firstLine="0"/>
        <w:rPr>
          <w:lang w:val="lv-LV"/>
        </w:rPr>
      </w:pPr>
      <w:r w:rsidRPr="005E48A7">
        <w:rPr>
          <w:rStyle w:val="FootnoteReference"/>
          <w:lang w:val="lv-LV"/>
        </w:rPr>
        <w:footnoteRef/>
      </w:r>
      <w:r w:rsidRPr="005E48A7">
        <w:rPr>
          <w:lang w:val="lv-LV"/>
        </w:rPr>
        <w:t xml:space="preserve"> </w:t>
      </w:r>
      <w:r w:rsidR="00BD6167">
        <w:rPr>
          <w:lang w:val="lv-LV"/>
        </w:rPr>
        <w:t>MK</w:t>
      </w:r>
      <w:r w:rsidR="00C74EF2" w:rsidRPr="005E48A7">
        <w:rPr>
          <w:lang w:val="lv-LV"/>
        </w:rPr>
        <w:t xml:space="preserve"> 2021. gada 22. jūnija rīkojums Nr. 436 “Par Izglītības attīstības pamatnostādnēm 2021.-2027. gadam "Nākotnes prasmes nākotnes sabiedrībai"</w:t>
      </w:r>
      <w:r w:rsidR="00CE77E3" w:rsidRPr="005E48A7">
        <w:rPr>
          <w:lang w:val="lv-LV"/>
        </w:rPr>
        <w:t>https://likumi.lv/ta/id/324332-par-izglitibas-attistibas-pamatnostadnem-20212027-gadam</w:t>
      </w:r>
    </w:p>
  </w:footnote>
  <w:footnote w:id="7">
    <w:p w14:paraId="095BD2D0" w14:textId="5D4BD434" w:rsidR="005853BC" w:rsidRPr="005E48A7" w:rsidRDefault="005853BC" w:rsidP="00EB5D5D">
      <w:pPr>
        <w:pStyle w:val="FootnoteText"/>
        <w:ind w:left="0" w:firstLine="0"/>
        <w:rPr>
          <w:lang w:val="lv-LV"/>
        </w:rPr>
      </w:pPr>
      <w:r w:rsidRPr="005E48A7">
        <w:rPr>
          <w:rStyle w:val="FootnoteReference"/>
          <w:lang w:val="lv-LV"/>
        </w:rPr>
        <w:footnoteRef/>
      </w:r>
      <w:r w:rsidRPr="005E48A7">
        <w:rPr>
          <w:lang w:val="lv-LV"/>
        </w:rPr>
        <w:t xml:space="preserve"> </w:t>
      </w:r>
      <w:r w:rsidR="00BD6167">
        <w:rPr>
          <w:lang w:val="lv-LV"/>
        </w:rPr>
        <w:t>MK</w:t>
      </w:r>
      <w:r w:rsidR="00161027" w:rsidRPr="005E48A7">
        <w:rPr>
          <w:lang w:val="lv-LV"/>
        </w:rPr>
        <w:t xml:space="preserve">  2021. gada 16. februāra rīkojums Nr. 93 "Par Nacionālās industriālās politikas pamatnostādnēm 2021.-2027. gadam</w:t>
      </w:r>
      <w:r w:rsidR="007D606C" w:rsidRPr="005E48A7">
        <w:rPr>
          <w:lang w:val="lv-LV"/>
        </w:rPr>
        <w:t>: https://likumi.lv/ta/id/321037-par-nacionalas-industrialas-politikas-pamatnostadnem-20212027-gadam</w:t>
      </w:r>
    </w:p>
  </w:footnote>
  <w:footnote w:id="8">
    <w:p w14:paraId="77FE46F4" w14:textId="190008A7" w:rsidR="0013693A" w:rsidRPr="005E48A7" w:rsidRDefault="0013693A" w:rsidP="00EB5D5D">
      <w:pPr>
        <w:pStyle w:val="FootnoteText"/>
        <w:ind w:left="0" w:firstLine="0"/>
        <w:rPr>
          <w:lang w:val="lv-LV"/>
        </w:rPr>
      </w:pPr>
      <w:r w:rsidRPr="005E48A7">
        <w:rPr>
          <w:rStyle w:val="FootnoteReference"/>
          <w:lang w:val="lv-LV"/>
        </w:rPr>
        <w:footnoteRef/>
      </w:r>
      <w:r w:rsidRPr="005E48A7">
        <w:rPr>
          <w:lang w:val="lv-LV"/>
        </w:rPr>
        <w:t xml:space="preserve"> </w:t>
      </w:r>
      <w:r w:rsidR="00BD6167">
        <w:rPr>
          <w:lang w:val="lv-LV"/>
        </w:rPr>
        <w:t>MK</w:t>
      </w:r>
      <w:r w:rsidR="00C41BEA" w:rsidRPr="005E48A7">
        <w:rPr>
          <w:lang w:val="lv-LV"/>
        </w:rPr>
        <w:t xml:space="preserve"> 2021. gada 14. aprīļa rīkojums Nr. 246 "Par Zinātnes, tehnoloģijas attīstības un inovācijas pamatnostādnēm 2021.-2027. gadam": https://likumi.lv/ta/id/322468-par-zinatnes-tehnologijas-attistibas-un-inovacijas-pamatnostadnem-2021-2027-gadam</w:t>
      </w:r>
    </w:p>
  </w:footnote>
  <w:footnote w:id="9">
    <w:p w14:paraId="14CA8B82" w14:textId="77777777" w:rsidR="009A0868" w:rsidRPr="000B3088" w:rsidRDefault="009A0868" w:rsidP="009A0868">
      <w:pPr>
        <w:pStyle w:val="FootnoteText"/>
        <w:rPr>
          <w:lang w:val="lv-LV"/>
        </w:rPr>
      </w:pPr>
      <w:r>
        <w:rPr>
          <w:rStyle w:val="FootnoteReference"/>
        </w:rPr>
        <w:footnoteRef/>
      </w:r>
      <w:r>
        <w:rPr>
          <w:lang w:val="lv-LV"/>
        </w:rPr>
        <w:t xml:space="preserve"> </w:t>
      </w:r>
      <w:r w:rsidRPr="000F0B5F">
        <w:rPr>
          <w:lang w:val="lv-LV"/>
        </w:rPr>
        <w:t>Latvijas kosmosa stratēģija 2021. - 2027.gadam</w:t>
      </w:r>
      <w:r>
        <w:rPr>
          <w:lang w:val="lv-LV"/>
        </w:rPr>
        <w:t>:</w:t>
      </w:r>
      <w:r w:rsidRPr="000B3088">
        <w:rPr>
          <w:lang w:val="lv-LV"/>
        </w:rPr>
        <w:t xml:space="preserve"> </w:t>
      </w:r>
      <w:hyperlink r:id="rId4" w:history="1">
        <w:r w:rsidRPr="005426CF">
          <w:rPr>
            <w:rStyle w:val="Hyperlink"/>
            <w:lang w:val="lv-LV"/>
          </w:rPr>
          <w:t>https://www.izm.gov.lv/lv/latvijas-kosmosa-strategija-2021-2027?utm_source=https%3A%2F%2Fwww.google.com%2F</w:t>
        </w:r>
      </w:hyperlink>
      <w:r>
        <w:rPr>
          <w:lang w:val="lv-LV"/>
        </w:rPr>
        <w:t xml:space="preserve"> </w:t>
      </w:r>
    </w:p>
  </w:footnote>
  <w:footnote w:id="10">
    <w:p w14:paraId="022458F2" w14:textId="5328D07F" w:rsidR="005323C4" w:rsidRPr="006F7E1E" w:rsidRDefault="005323C4" w:rsidP="006F7E1E">
      <w:pPr>
        <w:pStyle w:val="Default"/>
        <w:rPr>
          <w:rFonts w:ascii="Arial" w:hAnsi="Arial" w:cs="Arial"/>
          <w:lang w:val="lv-LV"/>
        </w:rPr>
      </w:pPr>
      <w:r>
        <w:rPr>
          <w:rStyle w:val="FootnoteReference"/>
        </w:rPr>
        <w:footnoteRef/>
      </w:r>
      <w:r w:rsidR="006F7E1E" w:rsidRPr="006F7E1E">
        <w:rPr>
          <w:rFonts w:ascii="Arial" w:hAnsi="Arial" w:cs="Arial"/>
          <w:lang w:val="lv-LV"/>
        </w:rPr>
        <w:t xml:space="preserve"> </w:t>
      </w:r>
      <w:r w:rsidR="006F7E1E" w:rsidRPr="009C7A3B">
        <w:rPr>
          <w:color w:val="auto"/>
          <w:sz w:val="20"/>
          <w:szCs w:val="20"/>
          <w:lang w:val="en-GB"/>
        </w:rPr>
        <w:t>Digital Decade Country Report 2023, Latvia</w:t>
      </w:r>
      <w:r w:rsidR="006F7E1E">
        <w:rPr>
          <w:color w:val="auto"/>
          <w:sz w:val="20"/>
          <w:szCs w:val="20"/>
          <w:lang w:val="lv-LV"/>
        </w:rPr>
        <w:t>:</w:t>
      </w:r>
      <w:r w:rsidR="006F7E1E" w:rsidRPr="006F7E1E">
        <w:rPr>
          <w:color w:val="auto"/>
          <w:sz w:val="20"/>
          <w:szCs w:val="20"/>
          <w:lang w:val="lv-LV"/>
        </w:rPr>
        <w:t xml:space="preserve"> </w:t>
      </w:r>
      <w:r w:rsidRPr="006F7E1E">
        <w:rPr>
          <w:color w:val="auto"/>
          <w:sz w:val="20"/>
          <w:szCs w:val="20"/>
          <w:lang w:val="lv-LV"/>
        </w:rPr>
        <w:t>https://digital-strategy.ec.europa.eu/en/library/country-reports-digital-decade-report-2023</w:t>
      </w:r>
    </w:p>
  </w:footnote>
  <w:footnote w:id="11">
    <w:p w14:paraId="7DB3F04A" w14:textId="3A7487BA" w:rsidR="0027770C" w:rsidRPr="005E48A7" w:rsidRDefault="0027770C" w:rsidP="00EB5D5D">
      <w:pPr>
        <w:pStyle w:val="FootnoteText"/>
        <w:ind w:left="0" w:firstLine="0"/>
        <w:rPr>
          <w:lang w:val="lv-LV"/>
        </w:rPr>
      </w:pPr>
      <w:r w:rsidRPr="005E48A7">
        <w:rPr>
          <w:rStyle w:val="FootnoteReference"/>
          <w:lang w:val="lv-LV"/>
        </w:rPr>
        <w:footnoteRef/>
      </w:r>
      <w:r w:rsidRPr="005E48A7">
        <w:rPr>
          <w:lang w:val="lv-LV"/>
        </w:rPr>
        <w:t xml:space="preserve"> </w:t>
      </w:r>
      <w:r w:rsidR="00EB5D5D" w:rsidRPr="005E48A7">
        <w:rPr>
          <w:lang w:val="lv-LV"/>
        </w:rPr>
        <w:t xml:space="preserve">DESI ziņojums par Latviju 2022.gadā: </w:t>
      </w:r>
      <w:hyperlink r:id="rId5" w:history="1">
        <w:r w:rsidR="00EB5D5D" w:rsidRPr="005E48A7">
          <w:rPr>
            <w:rStyle w:val="Hyperlink"/>
            <w:lang w:val="lv-LV"/>
          </w:rPr>
          <w:t>https://digital-strategy.ec.europa.eu/en/policies/desi-latvia</w:t>
        </w:r>
      </w:hyperlink>
      <w:r w:rsidR="00EB5D5D" w:rsidRPr="005E48A7">
        <w:rPr>
          <w:lang w:val="lv-LV"/>
        </w:rPr>
        <w:t xml:space="preserve"> </w:t>
      </w:r>
    </w:p>
  </w:footnote>
  <w:footnote w:id="12">
    <w:p w14:paraId="1B064159" w14:textId="49AB309F" w:rsidR="00EA30DD" w:rsidRPr="005E48A7" w:rsidRDefault="00EA30DD" w:rsidP="00EB5D5D">
      <w:pPr>
        <w:pStyle w:val="FootnoteText"/>
        <w:ind w:left="0" w:firstLine="0"/>
        <w:rPr>
          <w:lang w:val="lv-LV"/>
        </w:rPr>
      </w:pPr>
      <w:r w:rsidRPr="005E48A7">
        <w:rPr>
          <w:rStyle w:val="FootnoteReference"/>
          <w:lang w:val="lv-LV"/>
        </w:rPr>
        <w:footnoteRef/>
      </w:r>
      <w:r w:rsidR="001324F9" w:rsidRPr="005E48A7">
        <w:rPr>
          <w:lang w:val="lv-LV"/>
        </w:rPr>
        <w:t>Latvijas  Nacionālā reformu program</w:t>
      </w:r>
      <w:r w:rsidR="005C51BB">
        <w:rPr>
          <w:lang w:val="lv-LV"/>
        </w:rPr>
        <w:t>m</w:t>
      </w:r>
      <w:r w:rsidR="001324F9" w:rsidRPr="005E48A7">
        <w:rPr>
          <w:lang w:val="lv-LV"/>
        </w:rPr>
        <w:t xml:space="preserve">a, 2023.gada progresa ziņojums: </w:t>
      </w:r>
      <w:hyperlink r:id="rId6" w:history="1">
        <w:r w:rsidR="001324F9" w:rsidRPr="005E48A7">
          <w:rPr>
            <w:rStyle w:val="Hyperlink"/>
            <w:lang w:val="lv-LV"/>
          </w:rPr>
          <w:t>https://commission.europa.eu/system/files/2023-04/Latvia_NRP_2023_LV.pdf</w:t>
        </w:r>
      </w:hyperlink>
    </w:p>
  </w:footnote>
  <w:footnote w:id="13">
    <w:p w14:paraId="3A3D442F" w14:textId="407CDB75" w:rsidR="003F55A4" w:rsidRPr="005E48A7" w:rsidRDefault="003F55A4" w:rsidP="001324F9">
      <w:pPr>
        <w:pStyle w:val="FootnoteText"/>
        <w:ind w:left="0" w:firstLine="0"/>
        <w:rPr>
          <w:lang w:val="lv-LV"/>
        </w:rPr>
      </w:pPr>
      <w:r w:rsidRPr="005E48A7">
        <w:rPr>
          <w:rStyle w:val="FootnoteReference"/>
          <w:lang w:val="lv-LV"/>
        </w:rPr>
        <w:footnoteRef/>
      </w:r>
      <w:r w:rsidRPr="005E48A7">
        <w:rPr>
          <w:lang w:val="lv-LV"/>
        </w:rPr>
        <w:t xml:space="preserve"> </w:t>
      </w:r>
      <w:r w:rsidR="00BD6167">
        <w:rPr>
          <w:lang w:val="lv-LV"/>
        </w:rPr>
        <w:t>MK</w:t>
      </w:r>
      <w:r w:rsidRPr="005E48A7">
        <w:rPr>
          <w:lang w:val="lv-LV"/>
        </w:rPr>
        <w:t xml:space="preserve"> 2021. gada 28. aprīļa rīkojums Nr. 292 "Par Latvijas Atveseļošanas un noturības mehānisma plānu": </w:t>
      </w:r>
      <w:r w:rsidR="001324F9" w:rsidRPr="005E48A7">
        <w:rPr>
          <w:lang w:val="lv-LV"/>
        </w:rPr>
        <w:t>https://likumi.lv/ta/id/322858-par-latvijas-atveselosanas-un-noturibas-mehanisma-planu</w:t>
      </w:r>
    </w:p>
  </w:footnote>
  <w:footnote w:id="14">
    <w:p w14:paraId="35528860" w14:textId="1BFE61F5" w:rsidR="006C2173" w:rsidRPr="001C28E3" w:rsidRDefault="006C2173" w:rsidP="00A40487">
      <w:pPr>
        <w:pStyle w:val="FootnoteText"/>
        <w:ind w:left="0" w:firstLine="0"/>
        <w:jc w:val="left"/>
        <w:rPr>
          <w:lang w:val="lv-LV"/>
        </w:rPr>
      </w:pPr>
      <w:r w:rsidRPr="005E48A7">
        <w:rPr>
          <w:rStyle w:val="FootnoteReference"/>
          <w:lang w:val="lv-LV"/>
        </w:rPr>
        <w:footnoteRef/>
      </w:r>
      <w:r w:rsidRPr="005E48A7">
        <w:rPr>
          <w:lang w:val="lv-LV"/>
        </w:rPr>
        <w:t xml:space="preserve"> </w:t>
      </w:r>
      <w:r w:rsidR="00C73A5D">
        <w:rPr>
          <w:lang w:val="lv-LV"/>
        </w:rPr>
        <w:t xml:space="preserve">EK </w:t>
      </w:r>
      <w:r w:rsidR="001C28E3" w:rsidRPr="005E48A7">
        <w:rPr>
          <w:lang w:val="lv-LV"/>
        </w:rPr>
        <w:t xml:space="preserve">paziņojums </w:t>
      </w:r>
      <w:r w:rsidR="00C73A5D">
        <w:rPr>
          <w:lang w:val="lv-LV"/>
        </w:rPr>
        <w:t>“</w:t>
      </w:r>
      <w:r w:rsidR="001C28E3" w:rsidRPr="005E48A7">
        <w:rPr>
          <w:lang w:val="lv-LV"/>
        </w:rPr>
        <w:t>Norādījumi dalībvalstīm par valstu digitālās desmitgades stratēģisko ceļvežu sagatavošanu</w:t>
      </w:r>
      <w:r w:rsidR="00C73A5D">
        <w:rPr>
          <w:lang w:val="lv-LV"/>
        </w:rPr>
        <w:t>”</w:t>
      </w:r>
      <w:r w:rsidR="001C28E3" w:rsidRPr="005E48A7">
        <w:rPr>
          <w:lang w:val="lv-LV"/>
        </w:rPr>
        <w:t xml:space="preserve"> 2023/C 230/04: </w:t>
      </w:r>
      <w:hyperlink r:id="rId7" w:history="1">
        <w:r w:rsidR="00A40487" w:rsidRPr="005E48A7">
          <w:rPr>
            <w:rStyle w:val="Hyperlink"/>
            <w:lang w:val="lv-LV"/>
          </w:rPr>
          <w:t>https://eur-lex.europa.eu/legal-content/LV/TXT/?uri=CELEX:52023XC0630(01)</w:t>
        </w:r>
      </w:hyperlink>
      <w:r w:rsidR="00A40487" w:rsidRPr="00074CE8">
        <w:rPr>
          <w:lang w:val="lv-LV"/>
        </w:rPr>
        <w:t xml:space="preserve"> </w:t>
      </w:r>
    </w:p>
  </w:footnote>
  <w:footnote w:id="15">
    <w:p w14:paraId="0395B177" w14:textId="2EA157DA" w:rsidR="00617D77" w:rsidRPr="00617D77" w:rsidRDefault="00617D77" w:rsidP="00B6224B">
      <w:pPr>
        <w:pStyle w:val="FootnoteText"/>
        <w:ind w:left="0" w:firstLine="0"/>
        <w:rPr>
          <w:lang w:val="lv-LV"/>
        </w:rPr>
      </w:pPr>
      <w:r>
        <w:rPr>
          <w:rStyle w:val="FootnoteReference"/>
        </w:rPr>
        <w:footnoteRef/>
      </w:r>
      <w:r w:rsidR="00B6224B" w:rsidRPr="00DA6093">
        <w:rPr>
          <w:lang w:val="lv-LV"/>
        </w:rPr>
        <w:t xml:space="preserve"> </w:t>
      </w:r>
      <w:r w:rsidRPr="00DA6093">
        <w:rPr>
          <w:lang w:val="lv-LV"/>
        </w:rPr>
        <w:t xml:space="preserve">Definētas pēc </w:t>
      </w:r>
      <w:r w:rsidRPr="00DA6093">
        <w:rPr>
          <w:lang w:val="lv-LV"/>
        </w:rPr>
        <w:t xml:space="preserve">Eurostat metodikas atbilstoši pārskatītajam digitālās kompetences satvaram (DigComp 2.0), kurš izklāstīts arī </w:t>
      </w:r>
      <w:r w:rsidR="00542269">
        <w:rPr>
          <w:lang w:val="lv-LV"/>
        </w:rPr>
        <w:t>EK</w:t>
      </w:r>
      <w:r w:rsidRPr="00DA6093">
        <w:rPr>
          <w:lang w:val="lv-LV"/>
        </w:rPr>
        <w:t xml:space="preserve"> Īstenošanas regulā (ES) 2022/1399 (2022. gada 1. augusts), ar ko saskaņā ar </w:t>
      </w:r>
      <w:r w:rsidR="0057342B">
        <w:rPr>
          <w:lang w:val="lv-LV"/>
        </w:rPr>
        <w:t>EP</w:t>
      </w:r>
      <w:r w:rsidRPr="00DA6093">
        <w:rPr>
          <w:lang w:val="lv-LV"/>
        </w:rPr>
        <w:t xml:space="preserve"> un Padomes Regulu (ES) 2019/1700 precizē datu kopas tehniskos aspektus, nosaka tehniskos formātus informācijas nosūtīšanai un precizē kvalitātes ziņojumu sagatavošanas kārtību un saturu par izlases apsekojuma organizēšanu informācijas un komunikācijas tehnoloģiju izmantošanas jomā 2023. pārskata gadam.</w:t>
      </w:r>
    </w:p>
  </w:footnote>
  <w:footnote w:id="16">
    <w:p w14:paraId="0CA329BE" w14:textId="619C4E94" w:rsidR="00A42E7C" w:rsidRPr="00ED21CF" w:rsidRDefault="00A42E7C" w:rsidP="00744BC2">
      <w:pPr>
        <w:pStyle w:val="FootnoteText"/>
        <w:ind w:left="0" w:firstLine="0"/>
        <w:rPr>
          <w:lang w:val="lv-LV"/>
        </w:rPr>
      </w:pPr>
      <w:r w:rsidRPr="00ED21CF">
        <w:rPr>
          <w:rStyle w:val="FootnoteReference"/>
          <w:lang w:val="lv-LV"/>
        </w:rPr>
        <w:footnoteRef/>
      </w:r>
      <w:r w:rsidRPr="00ED21CF">
        <w:rPr>
          <w:lang w:val="lv-LV"/>
        </w:rPr>
        <w:t xml:space="preserve"> </w:t>
      </w:r>
      <w:r w:rsidR="00BD6167">
        <w:rPr>
          <w:lang w:val="lv-LV"/>
        </w:rPr>
        <w:t>MK</w:t>
      </w:r>
      <w:r w:rsidRPr="00ED21CF">
        <w:rPr>
          <w:lang w:val="lv-LV"/>
        </w:rPr>
        <w:t xml:space="preserve"> 2023. gada 28. marta rīkojums Nr. 158 "Par Latvijas </w:t>
      </w:r>
      <w:r w:rsidRPr="00ED21CF">
        <w:rPr>
          <w:lang w:val="lv-LV"/>
        </w:rPr>
        <w:t>kiberdrošības stratēģiju 2023.–2026. gadam"</w:t>
      </w:r>
      <w:r w:rsidR="00744BC2" w:rsidRPr="00ED21CF">
        <w:rPr>
          <w:lang w:val="lv-LV"/>
        </w:rPr>
        <w:t>: https://likumi.lv/ta/id/340633-par-latvijas-kiberdrosibas-strategiju-20232026-gadam</w:t>
      </w:r>
    </w:p>
  </w:footnote>
  <w:footnote w:id="17">
    <w:p w14:paraId="1AA9D4DC" w14:textId="23427B89" w:rsidR="00915AC2" w:rsidRPr="008F09BA" w:rsidRDefault="00915AC2" w:rsidP="00284F9B">
      <w:pPr>
        <w:pStyle w:val="FootnoteText"/>
        <w:spacing w:after="0"/>
        <w:ind w:left="0" w:firstLine="0"/>
        <w:rPr>
          <w:lang w:val="lv-LV"/>
        </w:rPr>
      </w:pPr>
      <w:r w:rsidRPr="008F09BA">
        <w:rPr>
          <w:rStyle w:val="FootnoteReference"/>
          <w:lang w:val="lv-LV"/>
        </w:rPr>
        <w:footnoteRef/>
      </w:r>
      <w:r w:rsidRPr="008F09BA">
        <w:rPr>
          <w:lang w:val="lv-LV"/>
        </w:rPr>
        <w:t xml:space="preserve"> ES struktūrfondu un Kohēzijas fonda 2014. – 2020. gada plānošanas perioda darbības programmas "Izaugsme un nodarbinātība" 8.4.1.specifiskais atbalsta mērķis "Pilnveidot nodarbināto personu profesionālo kompetenci.</w:t>
      </w:r>
    </w:p>
  </w:footnote>
  <w:footnote w:id="18">
    <w:p w14:paraId="21B6D61C" w14:textId="6990007F" w:rsidR="002732CE" w:rsidRPr="008F09BA" w:rsidRDefault="002732CE" w:rsidP="009C0904">
      <w:pPr>
        <w:pStyle w:val="FootnoteText"/>
        <w:ind w:left="0" w:firstLine="0"/>
        <w:rPr>
          <w:lang w:val="lv-LV"/>
        </w:rPr>
      </w:pPr>
      <w:r w:rsidRPr="008F09BA">
        <w:rPr>
          <w:rStyle w:val="FootnoteReference"/>
          <w:shd w:val="clear" w:color="auto" w:fill="FFFFFF" w:themeFill="background1"/>
          <w:lang w:val="lv-LV"/>
        </w:rPr>
        <w:footnoteRef/>
      </w:r>
      <w:r w:rsidRPr="008F09BA">
        <w:rPr>
          <w:shd w:val="clear" w:color="auto" w:fill="FFFFFF" w:themeFill="background1"/>
          <w:lang w:val="lv-LV"/>
        </w:rPr>
        <w:t xml:space="preserve"> </w:t>
      </w:r>
      <w:r w:rsidR="00165C73" w:rsidRPr="008F09BA">
        <w:rPr>
          <w:shd w:val="clear" w:color="auto" w:fill="FFFFFF" w:themeFill="background1"/>
          <w:lang w:val="lv-LV"/>
        </w:rPr>
        <w:t>ES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pasākums “Atbalsts pieaugušo individuālajās vajadzībās balstītai pieaugušo izglītībai”.</w:t>
      </w:r>
    </w:p>
  </w:footnote>
  <w:footnote w:id="19">
    <w:p w14:paraId="22905852" w14:textId="21DFABBA" w:rsidR="008B0B48" w:rsidRPr="000B592F" w:rsidRDefault="008B0B48">
      <w:pPr>
        <w:pStyle w:val="FootnoteText"/>
        <w:rPr>
          <w:lang w:val="lv-LV"/>
        </w:rPr>
      </w:pPr>
      <w:r>
        <w:rPr>
          <w:rStyle w:val="FootnoteReference"/>
        </w:rPr>
        <w:footnoteRef/>
      </w:r>
      <w:r w:rsidRPr="000B592F">
        <w:rPr>
          <w:lang w:val="lv-LV"/>
        </w:rPr>
        <w:t xml:space="preserve"> </w:t>
      </w:r>
      <w:r w:rsidR="00586DCA">
        <w:rPr>
          <w:lang w:val="lv-LV"/>
        </w:rPr>
        <w:t xml:space="preserve">DESI </w:t>
      </w:r>
      <w:r w:rsidR="000B592F">
        <w:rPr>
          <w:lang w:val="lv-LV"/>
        </w:rPr>
        <w:t xml:space="preserve">2022.gada </w:t>
      </w:r>
      <w:r w:rsidR="00586DCA">
        <w:rPr>
          <w:lang w:val="lv-LV"/>
        </w:rPr>
        <w:t>ziņojums</w:t>
      </w:r>
      <w:r w:rsidR="000B592F">
        <w:rPr>
          <w:lang w:val="lv-LV"/>
        </w:rPr>
        <w:t xml:space="preserve"> par Latviju pieejams: </w:t>
      </w:r>
      <w:r w:rsidR="00586DCA">
        <w:rPr>
          <w:lang w:val="lv-LV"/>
        </w:rPr>
        <w:t xml:space="preserve"> </w:t>
      </w:r>
      <w:r w:rsidR="00586DCA" w:rsidRPr="00586DCA">
        <w:rPr>
          <w:lang w:val="lv-LV"/>
        </w:rPr>
        <w:t>https://digital-strategy.ec.europa.eu/en/policies/desi-latvia</w:t>
      </w:r>
    </w:p>
  </w:footnote>
  <w:footnote w:id="20">
    <w:p w14:paraId="49CC2B96" w14:textId="77777777" w:rsidR="00337CF4" w:rsidRPr="002D5040" w:rsidRDefault="00337CF4" w:rsidP="00337CF4">
      <w:pPr>
        <w:pStyle w:val="FootnoteText"/>
        <w:rPr>
          <w:lang w:val="lv-LV"/>
        </w:rPr>
      </w:pPr>
      <w:r w:rsidRPr="00131B1F">
        <w:rPr>
          <w:lang w:val="lv-LV"/>
        </w:rPr>
        <w:footnoteRef/>
      </w:r>
      <w:r w:rsidRPr="002D5040">
        <w:rPr>
          <w:lang w:val="lv-LV"/>
        </w:rPr>
        <w:t xml:space="preserve"> </w:t>
      </w:r>
      <w:r>
        <w:rPr>
          <w:lang w:val="lv-LV"/>
        </w:rPr>
        <w:t xml:space="preserve">Ar ERAF un </w:t>
      </w:r>
      <w:r>
        <w:rPr>
          <w:lang w:val="lv-LV"/>
        </w:rPr>
        <w:t>React EU</w:t>
      </w:r>
      <w:r w:rsidRPr="00131B1F">
        <w:rPr>
          <w:lang w:val="lv-LV"/>
        </w:rPr>
        <w:t xml:space="preserve"> </w:t>
      </w:r>
      <w:r>
        <w:rPr>
          <w:lang w:val="lv-LV"/>
        </w:rPr>
        <w:t xml:space="preserve">finansējumu </w:t>
      </w:r>
      <w:r w:rsidRPr="00131B1F">
        <w:rPr>
          <w:lang w:val="lv-LV"/>
        </w:rPr>
        <w:t>projekta</w:t>
      </w:r>
      <w:r>
        <w:rPr>
          <w:lang w:val="lv-LV"/>
        </w:rPr>
        <w:t>m</w:t>
      </w:r>
      <w:r w:rsidRPr="00131B1F">
        <w:rPr>
          <w:lang w:val="lv-LV"/>
        </w:rPr>
        <w:t xml:space="preserve"> “Partnerībā organizētas IKT profesionāļu apmācības inovāciju veicināšanai un nozares attīstībai” ietvaros: https</w:t>
      </w:r>
      <w:r w:rsidRPr="002D5040">
        <w:rPr>
          <w:lang w:val="lv-LV"/>
        </w:rPr>
        <w:t>://labsoflatvia.com/aktuali/iespeja-sanemt-lidzfinansejumu-darbinieku-macibam</w:t>
      </w:r>
    </w:p>
  </w:footnote>
  <w:footnote w:id="21">
    <w:p w14:paraId="1BCB3AD2" w14:textId="77777777" w:rsidR="00B64009" w:rsidRPr="006707E2" w:rsidRDefault="00B64009" w:rsidP="00B64009">
      <w:pPr>
        <w:pStyle w:val="FootnoteText"/>
        <w:rPr>
          <w:lang w:val="lv-LV"/>
        </w:rPr>
      </w:pPr>
      <w:r>
        <w:rPr>
          <w:rStyle w:val="FootnoteReference"/>
        </w:rPr>
        <w:footnoteRef/>
      </w:r>
      <w:r w:rsidRPr="00491C15">
        <w:rPr>
          <w:lang w:val="lv-LV"/>
        </w:rPr>
        <w:t xml:space="preserve"> DESI ziņojums par Latviju 2021. gadā: https://digital-strategy.ec.europa.eu/en/policies/desi-latvia</w:t>
      </w:r>
    </w:p>
  </w:footnote>
  <w:footnote w:id="22">
    <w:p w14:paraId="5E9C5BBC" w14:textId="77777777" w:rsidR="00B64009" w:rsidRPr="009A43DF" w:rsidRDefault="00B64009" w:rsidP="00B64009">
      <w:pPr>
        <w:pStyle w:val="FootnoteText"/>
        <w:ind w:left="0" w:firstLine="0"/>
        <w:rPr>
          <w:lang w:val="lv-LV"/>
        </w:rPr>
      </w:pPr>
      <w:r>
        <w:rPr>
          <w:rStyle w:val="FootnoteReference"/>
        </w:rPr>
        <w:footnoteRef/>
      </w:r>
      <w:r w:rsidRPr="009A43DF">
        <w:rPr>
          <w:lang w:val="lv-LV"/>
        </w:rPr>
        <w:t xml:space="preserve"> </w:t>
      </w:r>
      <w:r>
        <w:rPr>
          <w:lang w:val="lv-LV"/>
        </w:rPr>
        <w:t>ES</w:t>
      </w:r>
      <w:r w:rsidRPr="00BB5C41">
        <w:rPr>
          <w:lang w:val="lv-LV"/>
        </w:rPr>
        <w:t xml:space="preserve"> Kohēzijas politikas programmas 2021.–2027. gadam 4.2.2. specifiskā atbalsta mērķa "Uzlabot izglītības un mācību sistēmu kvalitāti, </w:t>
      </w:r>
      <w:r w:rsidRPr="00BB5C41">
        <w:rPr>
          <w:lang w:val="lv-LV"/>
        </w:rPr>
        <w:t>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4.2.2.9. pasākuma "Izglītības procesa individualizācija un starpnozaru sadarbība profesionālās izglītības izcilībai" pirmās projekta iesniegumu atlases kārtas īstenošanas noteikumi  (https://tapportals.mk.gov.lv/legal_acts/a89cd9ad-15eb-4003-af90-6c45269c1111)</w:t>
      </w:r>
    </w:p>
  </w:footnote>
  <w:footnote w:id="23">
    <w:p w14:paraId="00008619" w14:textId="201E52C4" w:rsidR="00EC5A69" w:rsidRPr="00F03311" w:rsidRDefault="00EC5A69">
      <w:pPr>
        <w:pStyle w:val="FootnoteText"/>
        <w:rPr>
          <w:lang w:val="lv-LV"/>
        </w:rPr>
      </w:pPr>
      <w:r>
        <w:rPr>
          <w:rStyle w:val="FootnoteReference"/>
        </w:rPr>
        <w:footnoteRef/>
      </w:r>
      <w:r w:rsidRPr="00F03311">
        <w:rPr>
          <w:lang w:val="lv-LV"/>
        </w:rPr>
        <w:t xml:space="preserve"> </w:t>
      </w:r>
      <w:r w:rsidR="0037534B" w:rsidRPr="00F03311">
        <w:rPr>
          <w:lang w:val="lv-LV"/>
        </w:rPr>
        <w:t>Data Over Cable Service Interface Specification (pa kabeļiem nodrošinātā datu pārraides pakalpojuma saskarnes specifikācijas).</w:t>
      </w:r>
    </w:p>
  </w:footnote>
  <w:footnote w:id="24">
    <w:p w14:paraId="2029E864" w14:textId="1E2EE680" w:rsidR="0037534B" w:rsidRPr="004346FA" w:rsidRDefault="0037534B">
      <w:pPr>
        <w:pStyle w:val="FootnoteText"/>
        <w:rPr>
          <w:lang w:val="lv-LV"/>
        </w:rPr>
      </w:pPr>
      <w:r>
        <w:rPr>
          <w:rStyle w:val="FootnoteReference"/>
        </w:rPr>
        <w:footnoteRef/>
      </w:r>
      <w:r w:rsidRPr="004346FA">
        <w:rPr>
          <w:lang w:val="lv-LV"/>
        </w:rPr>
        <w:t xml:space="preserve"> </w:t>
      </w:r>
      <w:r w:rsidR="0075326A" w:rsidRPr="004346FA">
        <w:rPr>
          <w:lang w:val="lv-LV"/>
        </w:rPr>
        <w:t>Papildus analīzei, izmantojot lēmumā</w:t>
      </w:r>
      <w:r w:rsidR="00546719" w:rsidRPr="004346FA">
        <w:rPr>
          <w:lang w:val="lv-LV"/>
        </w:rPr>
        <w:t xml:space="preserve"> C(2023) 4288 </w:t>
      </w:r>
      <w:r w:rsidR="00546719" w:rsidRPr="004346FA">
        <w:rPr>
          <w:lang w:val="lv-LV"/>
        </w:rPr>
        <w:t>final</w:t>
      </w:r>
      <w:r w:rsidR="0075326A" w:rsidRPr="004346FA">
        <w:rPr>
          <w:lang w:val="lv-LV"/>
        </w:rPr>
        <w:t xml:space="preserve"> noteiktos </w:t>
      </w:r>
      <w:r w:rsidR="006B69E0">
        <w:rPr>
          <w:lang w:val="lv-LV"/>
        </w:rPr>
        <w:t>KPI</w:t>
      </w:r>
      <w:r w:rsidR="0075326A" w:rsidRPr="004346FA">
        <w:rPr>
          <w:lang w:val="lv-LV"/>
        </w:rPr>
        <w:t>, dalībvalstis savos valsts ceļvežos var uzrādīt papildu datus par fiksētajām, kabeļu un mobilajām tehnoloģijām, kas spēj nodrošināt gigabitisku savienojamību.</w:t>
      </w:r>
    </w:p>
  </w:footnote>
  <w:footnote w:id="25">
    <w:p w14:paraId="06C8E5B2" w14:textId="27AE9B3E" w:rsidR="00003AEC" w:rsidRPr="008D4653" w:rsidRDefault="00003AEC" w:rsidP="004B6D3A">
      <w:pPr>
        <w:pStyle w:val="FootnoteText"/>
        <w:jc w:val="left"/>
        <w:rPr>
          <w:lang w:val="lv-LV"/>
        </w:rPr>
      </w:pPr>
      <w:r w:rsidRPr="008D4653">
        <w:rPr>
          <w:rStyle w:val="FootnoteReference"/>
          <w:lang w:val="lv-LV"/>
        </w:rPr>
        <w:footnoteRef/>
      </w:r>
      <w:r w:rsidRPr="008D4653">
        <w:rPr>
          <w:lang w:val="lv-LV"/>
        </w:rPr>
        <w:t xml:space="preserve">  EK 2016.gada 14.septembra paziņojums COM(2016) 587 EP, Padomei, Eiropas Ekonomikas un Sociālo Lietu Komitejai un Reģionu Komitejai "Konkurētspējīga digitālā vienotā tirgus savienojamība. Virzība uz Eiropas Gigabitu sabiedrību".</w:t>
      </w:r>
    </w:p>
  </w:footnote>
  <w:footnote w:id="26">
    <w:p w14:paraId="64209110" w14:textId="77777777" w:rsidR="00003AEC" w:rsidRPr="008D4653" w:rsidRDefault="00003AEC" w:rsidP="004B6D3A">
      <w:pPr>
        <w:pStyle w:val="FootnoteText"/>
        <w:jc w:val="left"/>
        <w:rPr>
          <w:lang w:val="lv-LV"/>
        </w:rPr>
      </w:pPr>
      <w:r w:rsidRPr="008D4653">
        <w:rPr>
          <w:rStyle w:val="FootnoteReference"/>
          <w:lang w:val="lv-LV"/>
        </w:rPr>
        <w:footnoteRef/>
      </w:r>
      <w:r w:rsidRPr="008D4653">
        <w:rPr>
          <w:lang w:val="lv-LV"/>
        </w:rPr>
        <w:t xml:space="preserve">   Pieejamas šeit: </w:t>
      </w:r>
      <w:hyperlink r:id="rId8" w:history="1">
        <w:r w:rsidRPr="008D4653">
          <w:rPr>
            <w:rStyle w:val="Hyperlink"/>
            <w:lang w:val="lv-LV"/>
          </w:rPr>
          <w:t>https://likumi.lv/ta/id/324715-par-digitalas-transformacijas-pamatnostadnem-20212027-gadam</w:t>
        </w:r>
      </w:hyperlink>
      <w:r w:rsidRPr="008D4653">
        <w:rPr>
          <w:lang w:val="lv-LV"/>
        </w:rPr>
        <w:t xml:space="preserve"> </w:t>
      </w:r>
    </w:p>
  </w:footnote>
  <w:footnote w:id="27">
    <w:p w14:paraId="506A03E1" w14:textId="77777777" w:rsidR="00003AEC" w:rsidRPr="008D4653" w:rsidRDefault="00003AEC" w:rsidP="004B6D3A">
      <w:pPr>
        <w:pStyle w:val="FootnoteText"/>
        <w:jc w:val="left"/>
        <w:rPr>
          <w:lang w:val="lv-LV"/>
        </w:rPr>
      </w:pPr>
      <w:r w:rsidRPr="008D4653">
        <w:rPr>
          <w:rStyle w:val="FootnoteReference"/>
          <w:lang w:val="lv-LV"/>
        </w:rPr>
        <w:footnoteRef/>
      </w:r>
      <w:r w:rsidRPr="008D4653">
        <w:rPr>
          <w:lang w:val="lv-LV"/>
        </w:rPr>
        <w:t xml:space="preserve"> Pieejamas šeit: </w:t>
      </w:r>
      <w:hyperlink r:id="rId9" w:history="1">
        <w:r w:rsidRPr="008D4653">
          <w:rPr>
            <w:rStyle w:val="Hyperlink"/>
            <w:lang w:val="lv-LV"/>
          </w:rPr>
          <w:t>https://likumi.lv/ta/id/324332-par-izglitibas-attistibas-pamatnostadnem-20212027-gadam</w:t>
        </w:r>
      </w:hyperlink>
      <w:r w:rsidRPr="008D4653">
        <w:rPr>
          <w:lang w:val="lv-LV"/>
        </w:rPr>
        <w:t xml:space="preserve"> </w:t>
      </w:r>
    </w:p>
  </w:footnote>
  <w:footnote w:id="28">
    <w:p w14:paraId="0E23AC41" w14:textId="77777777" w:rsidR="00003AEC" w:rsidRPr="008D4653" w:rsidRDefault="00003AEC" w:rsidP="004B6D3A">
      <w:pPr>
        <w:pStyle w:val="FootnoteText"/>
        <w:jc w:val="left"/>
        <w:rPr>
          <w:lang w:val="lv-LV"/>
        </w:rPr>
      </w:pPr>
      <w:r w:rsidRPr="008D4653">
        <w:rPr>
          <w:rStyle w:val="FootnoteReference"/>
          <w:lang w:val="lv-LV"/>
        </w:rPr>
        <w:footnoteRef/>
      </w:r>
      <w:r w:rsidRPr="008D4653">
        <w:rPr>
          <w:lang w:val="lv-LV"/>
        </w:rPr>
        <w:t xml:space="preserve"> Pieejams šeit: </w:t>
      </w:r>
      <w:hyperlink r:id="rId10" w:history="1">
        <w:r w:rsidRPr="008D4653">
          <w:rPr>
            <w:rStyle w:val="Hyperlink"/>
            <w:lang w:val="lv-LV"/>
          </w:rPr>
          <w:t>https://www.em.gov.lv/lv/darba-tirgus-zinojums</w:t>
        </w:r>
      </w:hyperlink>
      <w:r w:rsidRPr="008D4653">
        <w:rPr>
          <w:lang w:val="lv-LV"/>
        </w:rPr>
        <w:t xml:space="preserve"> </w:t>
      </w:r>
    </w:p>
  </w:footnote>
  <w:footnote w:id="29">
    <w:p w14:paraId="0993E11B" w14:textId="0A597FF6" w:rsidR="00003AEC" w:rsidRPr="008D4653" w:rsidRDefault="00003AEC" w:rsidP="004B6D3A">
      <w:pPr>
        <w:pStyle w:val="FootnoteText"/>
        <w:tabs>
          <w:tab w:val="left" w:pos="6390"/>
        </w:tabs>
        <w:jc w:val="left"/>
        <w:rPr>
          <w:lang w:val="lv-LV"/>
        </w:rPr>
      </w:pPr>
      <w:r w:rsidRPr="008D4653">
        <w:rPr>
          <w:rStyle w:val="FootnoteReference"/>
          <w:lang w:val="lv-LV"/>
        </w:rPr>
        <w:footnoteRef/>
      </w:r>
      <w:r w:rsidRPr="008D4653">
        <w:rPr>
          <w:lang w:val="lv-LV"/>
        </w:rPr>
        <w:t xml:space="preserve"> Dati pieejami šeit: </w:t>
      </w:r>
      <w:hyperlink r:id="rId11" w:history="1">
        <w:r w:rsidRPr="008D4653">
          <w:rPr>
            <w:rStyle w:val="Hyperlink"/>
            <w:lang w:val="lv-LV"/>
          </w:rPr>
          <w:t>https://digital-strategy.ec.europa.eu/en/policies/desi</w:t>
        </w:r>
      </w:hyperlink>
      <w:r w:rsidRPr="008D4653">
        <w:rPr>
          <w:lang w:val="lv-LV"/>
        </w:rPr>
        <w:t xml:space="preserve"> </w:t>
      </w:r>
      <w:r w:rsidR="00580C35" w:rsidRPr="008D4653">
        <w:rPr>
          <w:lang w:val="lv-LV"/>
        </w:rPr>
        <w:tab/>
      </w:r>
    </w:p>
  </w:footnote>
  <w:footnote w:id="30">
    <w:p w14:paraId="53665B6C" w14:textId="7144AEEA" w:rsidR="00F40A22" w:rsidRPr="008D4653" w:rsidRDefault="00F40A22" w:rsidP="004B6D3A">
      <w:pPr>
        <w:ind w:firstLine="0"/>
        <w:jc w:val="left"/>
        <w:rPr>
          <w:sz w:val="20"/>
          <w:lang w:val="lv-LV"/>
        </w:rPr>
      </w:pPr>
      <w:r w:rsidRPr="008D4653">
        <w:rPr>
          <w:rStyle w:val="FootnoteReference"/>
          <w:sz w:val="20"/>
          <w:lang w:val="lv-LV"/>
        </w:rPr>
        <w:footnoteRef/>
      </w:r>
      <w:r w:rsidRPr="008D4653">
        <w:rPr>
          <w:sz w:val="20"/>
          <w:lang w:val="lv-LV"/>
        </w:rPr>
        <w:t>Avots:</w:t>
      </w:r>
      <w:r w:rsidR="008D4653">
        <w:rPr>
          <w:sz w:val="20"/>
          <w:lang w:val="lv-LV"/>
        </w:rPr>
        <w:t> </w:t>
      </w:r>
      <w:hyperlink r:id="rId12" w:history="1">
        <w:r w:rsidR="008D4653" w:rsidRPr="008D4653">
          <w:rPr>
            <w:rStyle w:val="Hyperlink"/>
            <w:sz w:val="20"/>
            <w:lang w:val="lv-LV"/>
          </w:rPr>
          <w:t>https://www.lmt.lv/lv/preses-relizes?g=2023&amp;pid=1189</w:t>
        </w:r>
      </w:hyperlink>
      <w:r w:rsidRPr="008D4653">
        <w:rPr>
          <w:sz w:val="20"/>
          <w:lang w:val="lv-LV"/>
        </w:rPr>
        <w:t>;</w:t>
      </w:r>
      <w:r w:rsidR="003301F8">
        <w:rPr>
          <w:sz w:val="20"/>
          <w:lang w:val="lv-LV"/>
        </w:rPr>
        <w:t xml:space="preserve"> </w:t>
      </w:r>
      <w:hyperlink r:id="rId13" w:history="1">
        <w:r w:rsidR="003301F8" w:rsidRPr="003301F8">
          <w:rPr>
            <w:rStyle w:val="Hyperlink"/>
            <w:sz w:val="20"/>
            <w:lang w:val="lv-LV"/>
          </w:rPr>
          <w:t>https://www.lmt.lv/lv/preses-relizes?g=2023&amp;pid=1202</w:t>
        </w:r>
      </w:hyperlink>
    </w:p>
  </w:footnote>
  <w:footnote w:id="31">
    <w:p w14:paraId="3E483FA8" w14:textId="145572F4" w:rsidR="00976A16" w:rsidRPr="008D4653" w:rsidRDefault="00976A16" w:rsidP="004B6D3A">
      <w:pPr>
        <w:ind w:firstLine="0"/>
        <w:jc w:val="left"/>
        <w:rPr>
          <w:sz w:val="20"/>
          <w:lang w:val="lv-LV"/>
        </w:rPr>
      </w:pPr>
      <w:r w:rsidRPr="008D4653">
        <w:rPr>
          <w:rStyle w:val="FootnoteReference"/>
          <w:sz w:val="20"/>
          <w:lang w:val="lv-LV"/>
        </w:rPr>
        <w:footnoteRef/>
      </w:r>
      <w:r w:rsidRPr="008D4653">
        <w:rPr>
          <w:sz w:val="20"/>
          <w:lang w:val="lv-LV"/>
        </w:rPr>
        <w:t>Avots:</w:t>
      </w:r>
      <w:r w:rsidR="008D4653">
        <w:rPr>
          <w:sz w:val="20"/>
          <w:lang w:val="lv-LV"/>
        </w:rPr>
        <w:t> </w:t>
      </w:r>
      <w:hyperlink r:id="rId14" w:history="1">
        <w:r w:rsidR="008D4653" w:rsidRPr="008D4653">
          <w:rPr>
            <w:rStyle w:val="Hyperlink"/>
            <w:sz w:val="20"/>
            <w:lang w:val="lv-LV"/>
          </w:rPr>
          <w:t>https://www.tvnet.lv/7879830/5g-tikls-var-butiski-palidzet-uznemumiem-biznesa-procesu-uzlabosana</w:t>
        </w:r>
      </w:hyperlink>
    </w:p>
  </w:footnote>
  <w:footnote w:id="32">
    <w:p w14:paraId="26DC43D7" w14:textId="386A7BE3" w:rsidR="00942A59" w:rsidRPr="00CA19BD" w:rsidRDefault="00942A59" w:rsidP="00BA28D9">
      <w:pPr>
        <w:ind w:firstLine="0"/>
        <w:rPr>
          <w:sz w:val="20"/>
          <w:lang w:val="lv-LV"/>
        </w:rPr>
      </w:pPr>
      <w:r w:rsidRPr="00CA19BD">
        <w:rPr>
          <w:rStyle w:val="FootnoteReference"/>
          <w:sz w:val="20"/>
          <w:lang w:val="lv-LV"/>
        </w:rPr>
        <w:footnoteRef/>
      </w:r>
      <w:r w:rsidRPr="00CA19BD">
        <w:rPr>
          <w:sz w:val="20"/>
          <w:lang w:val="lv-LV"/>
        </w:rPr>
        <w:t>Avots:</w:t>
      </w:r>
      <w:r w:rsidR="00CA19BD">
        <w:rPr>
          <w:sz w:val="20"/>
          <w:lang w:val="lv-LV"/>
        </w:rPr>
        <w:t> </w:t>
      </w:r>
      <w:hyperlink r:id="rId15" w:history="1">
        <w:r w:rsidR="00CA19BD" w:rsidRPr="00CA19BD">
          <w:rPr>
            <w:rStyle w:val="Hyperlink"/>
            <w:sz w:val="20"/>
            <w:lang w:val="lv-LV"/>
          </w:rPr>
          <w:t>https://kursors.lv/2023/09/25/tele2-5g-tikls-pieejams-63-latvijas-teritorijas/</w:t>
        </w:r>
      </w:hyperlink>
    </w:p>
  </w:footnote>
  <w:footnote w:id="33">
    <w:p w14:paraId="233E7F50" w14:textId="7375C9C9" w:rsidR="00B23342" w:rsidRPr="00CA19BD" w:rsidRDefault="00B23342" w:rsidP="00B23342">
      <w:pPr>
        <w:pStyle w:val="FootnoteText"/>
        <w:rPr>
          <w:lang w:val="lv-LV"/>
        </w:rPr>
      </w:pPr>
      <w:r w:rsidRPr="00CA19BD">
        <w:rPr>
          <w:rStyle w:val="FootnoteReference"/>
          <w:lang w:val="lv-LV"/>
        </w:rPr>
        <w:footnoteRef/>
      </w:r>
      <w:r w:rsidRPr="00CA19BD">
        <w:rPr>
          <w:lang w:val="lv-LV"/>
        </w:rPr>
        <w:t xml:space="preserve"> Dati pieejami šeit: </w:t>
      </w:r>
      <w:hyperlink r:id="rId16" w:history="1">
        <w:r w:rsidR="00C374A8" w:rsidRPr="00CA19BD">
          <w:rPr>
            <w:rStyle w:val="Hyperlink"/>
            <w:lang w:val="lv-LV"/>
          </w:rPr>
          <w:t>https://stat.gov.lv/lv/statistikas-temas/iedzivotaji/iedzivotaju-skaits/tabulas/ird070-iedzivotaji-laukos-un-pilsetas-pec</w:t>
        </w:r>
      </w:hyperlink>
      <w:r w:rsidR="00C374A8" w:rsidRPr="00CA19BD">
        <w:rPr>
          <w:lang w:val="lv-LV"/>
        </w:rPr>
        <w:t xml:space="preserve"> </w:t>
      </w:r>
    </w:p>
  </w:footnote>
  <w:footnote w:id="34">
    <w:p w14:paraId="5C8C446D" w14:textId="77777777" w:rsidR="006A3550" w:rsidRPr="00CA19BD" w:rsidRDefault="006A3550" w:rsidP="006A3550">
      <w:pPr>
        <w:pStyle w:val="FootnoteText"/>
        <w:rPr>
          <w:lang w:val="lv-LV"/>
        </w:rPr>
      </w:pPr>
      <w:r w:rsidRPr="00CA19BD">
        <w:rPr>
          <w:rStyle w:val="FootnoteReference"/>
          <w:lang w:val="lv-LV"/>
        </w:rPr>
        <w:footnoteRef/>
      </w:r>
      <w:r w:rsidRPr="00CA19BD">
        <w:rPr>
          <w:lang w:val="lv-LV"/>
        </w:rPr>
        <w:t xml:space="preserve"> Saskaņā ar Sabiedrisko pakalpojumu regulēšanas komisijas sniegtajiem datiem</w:t>
      </w:r>
    </w:p>
  </w:footnote>
  <w:footnote w:id="35">
    <w:p w14:paraId="1263FFD3" w14:textId="77777777" w:rsidR="00842BDB" w:rsidRPr="00E35662" w:rsidRDefault="00842BDB" w:rsidP="00842BDB">
      <w:pPr>
        <w:pStyle w:val="FootnoteText"/>
        <w:rPr>
          <w:lang w:val="pt-PT"/>
        </w:rPr>
      </w:pPr>
      <w:r w:rsidRPr="00CA19BD">
        <w:rPr>
          <w:rStyle w:val="FootnoteReference"/>
          <w:lang w:val="lv-LV"/>
        </w:rPr>
        <w:footnoteRef/>
      </w:r>
      <w:r w:rsidRPr="00CA19BD">
        <w:rPr>
          <w:lang w:val="lv-LV"/>
        </w:rPr>
        <w:t xml:space="preserve"> Saskaņā ar mobilo sakaru operatoru sniegtajiem datiem</w:t>
      </w:r>
    </w:p>
  </w:footnote>
  <w:footnote w:id="36">
    <w:p w14:paraId="55B396FC" w14:textId="7E15C488" w:rsidR="004F27A6" w:rsidRPr="004F27A6" w:rsidRDefault="004F27A6" w:rsidP="00890DE7">
      <w:pPr>
        <w:pStyle w:val="FootnoteText"/>
        <w:ind w:left="0" w:firstLine="0"/>
        <w:rPr>
          <w:lang w:val="pt-PT"/>
        </w:rPr>
      </w:pPr>
      <w:r>
        <w:rPr>
          <w:rStyle w:val="FootnoteReference"/>
        </w:rPr>
        <w:footnoteRef/>
      </w:r>
      <w:r w:rsidRPr="004F27A6">
        <w:rPr>
          <w:lang w:val="pt-PT"/>
        </w:rPr>
        <w:t xml:space="preserve"> </w:t>
      </w:r>
      <w:r w:rsidR="00890DE7" w:rsidRPr="001B1358">
        <w:rPr>
          <w:color w:val="525252"/>
          <w:lang w:val="lv-LV"/>
        </w:rPr>
        <w:t>ERAF pasākumos: 1.4.1.1. "Platjoslas infrastruktūras attīstība (pēdējā jūdze)" – 7</w:t>
      </w:r>
      <w:r w:rsidR="00A65690">
        <w:rPr>
          <w:color w:val="525252"/>
          <w:lang w:val="lv-LV"/>
        </w:rPr>
        <w:t>,</w:t>
      </w:r>
      <w:r w:rsidR="00890DE7" w:rsidRPr="001B1358">
        <w:rPr>
          <w:color w:val="525252"/>
          <w:lang w:val="lv-LV"/>
        </w:rPr>
        <w:t xml:space="preserve">4 milj. EUR; 1.4.1.2. 5G  infrastruktūras izbūve, VIA </w:t>
      </w:r>
      <w:r w:rsidR="00890DE7" w:rsidRPr="001B1358">
        <w:rPr>
          <w:color w:val="525252"/>
          <w:lang w:val="lv-LV"/>
        </w:rPr>
        <w:t>Baltica un Rail Baltica – 10</w:t>
      </w:r>
      <w:r w:rsidR="00A65690">
        <w:rPr>
          <w:color w:val="525252"/>
          <w:lang w:val="lv-LV"/>
        </w:rPr>
        <w:t>,</w:t>
      </w:r>
      <w:r w:rsidR="00890DE7" w:rsidRPr="001B1358">
        <w:rPr>
          <w:color w:val="525252"/>
          <w:lang w:val="lv-LV"/>
        </w:rPr>
        <w:t>7 milj. EUR; 1.4.1.3. Nāk</w:t>
      </w:r>
      <w:r w:rsidR="00A65690">
        <w:rPr>
          <w:color w:val="525252"/>
          <w:lang w:val="lv-LV"/>
        </w:rPr>
        <w:t>a</w:t>
      </w:r>
      <w:r w:rsidR="00890DE7" w:rsidRPr="001B1358">
        <w:rPr>
          <w:color w:val="525252"/>
          <w:lang w:val="lv-LV"/>
        </w:rPr>
        <w:t>mās paaudzes tīkla izveide lauku teritorijās – 11</w:t>
      </w:r>
      <w:r w:rsidR="00A65690">
        <w:rPr>
          <w:color w:val="525252"/>
          <w:lang w:val="lv-LV"/>
        </w:rPr>
        <w:t>,</w:t>
      </w:r>
      <w:r w:rsidR="00890DE7" w:rsidRPr="001B1358">
        <w:rPr>
          <w:color w:val="525252"/>
          <w:lang w:val="lv-LV"/>
        </w:rPr>
        <w:t>1 milj. EUR; ANM investīcija 2.4.1.2.i. Ļoti augstas veiktspējas tīklu infrastruktūras attīstība "pēdējās jūdzes" pieslēgumu nodrošināšanai 16</w:t>
      </w:r>
      <w:r w:rsidR="00A65690">
        <w:rPr>
          <w:color w:val="525252"/>
          <w:lang w:val="lv-LV"/>
        </w:rPr>
        <w:t>,</w:t>
      </w:r>
      <w:r w:rsidR="00890DE7" w:rsidRPr="001B1358">
        <w:rPr>
          <w:color w:val="525252"/>
          <w:lang w:val="lv-LV"/>
        </w:rPr>
        <w:t>5 milj. EUR.</w:t>
      </w:r>
    </w:p>
  </w:footnote>
  <w:footnote w:id="37">
    <w:p w14:paraId="5348772C" w14:textId="3CA0E708" w:rsidR="00BF66D0" w:rsidRPr="00C57554" w:rsidRDefault="00BF66D0" w:rsidP="00EA7238">
      <w:pPr>
        <w:pStyle w:val="FootnoteText"/>
        <w:shd w:val="clear" w:color="auto" w:fill="FFFFFF" w:themeFill="background1"/>
        <w:ind w:left="0" w:firstLine="0"/>
        <w:rPr>
          <w:lang w:val="lv-LV"/>
        </w:rPr>
      </w:pPr>
      <w:r>
        <w:rPr>
          <w:rStyle w:val="FootnoteReference"/>
        </w:rPr>
        <w:footnoteRef/>
      </w:r>
      <w:r w:rsidRPr="00BF66D0">
        <w:rPr>
          <w:lang w:val="lv-LV"/>
        </w:rPr>
        <w:t xml:space="preserve"> </w:t>
      </w:r>
      <w:r w:rsidR="00EA7238" w:rsidRPr="00C57554">
        <w:rPr>
          <w:lang w:val="lv-LV"/>
        </w:rPr>
        <w:t>ERAF pasākumos: 1.4.1.1. "Platjoslas infrastruktūras attīstība (pēdējā jūdze)" – 1</w:t>
      </w:r>
      <w:r w:rsidR="00D57DB5" w:rsidRPr="00C57554">
        <w:rPr>
          <w:lang w:val="lv-LV"/>
        </w:rPr>
        <w:t>,</w:t>
      </w:r>
      <w:r w:rsidR="00EA7238" w:rsidRPr="00C57554">
        <w:rPr>
          <w:lang w:val="lv-LV"/>
        </w:rPr>
        <w:t xml:space="preserve">3 milj. </w:t>
      </w:r>
      <w:r w:rsidR="008B6C09" w:rsidRPr="008B6C09">
        <w:rPr>
          <w:i/>
          <w:iCs/>
          <w:lang w:val="lv-LV"/>
        </w:rPr>
        <w:t>euro</w:t>
      </w:r>
      <w:r w:rsidR="00EA7238" w:rsidRPr="00C57554">
        <w:rPr>
          <w:lang w:val="lv-LV"/>
        </w:rPr>
        <w:t>; 1.4.1.2. 5G infrastruktūras izbūve, VIA Baltica un Rail Baltica – 1</w:t>
      </w:r>
      <w:r w:rsidR="00D57DB5" w:rsidRPr="00C57554">
        <w:rPr>
          <w:lang w:val="lv-LV"/>
        </w:rPr>
        <w:t>,</w:t>
      </w:r>
      <w:r w:rsidR="00EA7238" w:rsidRPr="00C57554">
        <w:rPr>
          <w:lang w:val="lv-LV"/>
        </w:rPr>
        <w:t xml:space="preserve">9 milj. </w:t>
      </w:r>
      <w:r w:rsidR="008B6C09" w:rsidRPr="008B6C09">
        <w:rPr>
          <w:i/>
          <w:iCs/>
          <w:lang w:val="lv-LV"/>
        </w:rPr>
        <w:t>euro</w:t>
      </w:r>
      <w:r w:rsidR="00EA7238" w:rsidRPr="00C57554">
        <w:rPr>
          <w:lang w:val="lv-LV"/>
        </w:rPr>
        <w:t>; 1.4.1.3. Nāk</w:t>
      </w:r>
      <w:r w:rsidR="00D57DB5" w:rsidRPr="00C57554">
        <w:rPr>
          <w:lang w:val="lv-LV"/>
        </w:rPr>
        <w:t>a</w:t>
      </w:r>
      <w:r w:rsidR="00EA7238" w:rsidRPr="00C57554">
        <w:rPr>
          <w:lang w:val="lv-LV"/>
        </w:rPr>
        <w:t>mās paaudzes tīkla izveide lauku teritorijās – 2</w:t>
      </w:r>
      <w:r w:rsidR="00D57DB5" w:rsidRPr="00C57554">
        <w:rPr>
          <w:lang w:val="lv-LV"/>
        </w:rPr>
        <w:t>,</w:t>
      </w:r>
      <w:r w:rsidR="00EA7238" w:rsidRPr="00C57554">
        <w:rPr>
          <w:lang w:val="lv-LV"/>
        </w:rPr>
        <w:t xml:space="preserve">0 milj. </w:t>
      </w:r>
      <w:r w:rsidR="008B6C09" w:rsidRPr="008B6C09">
        <w:rPr>
          <w:i/>
          <w:iCs/>
          <w:lang w:val="lv-LV"/>
        </w:rPr>
        <w:t>euro</w:t>
      </w:r>
      <w:r w:rsidR="00EA7238" w:rsidRPr="00C57554">
        <w:rPr>
          <w:lang w:val="lv-LV"/>
        </w:rPr>
        <w:t>.</w:t>
      </w:r>
    </w:p>
  </w:footnote>
  <w:footnote w:id="38">
    <w:p w14:paraId="57F647B3" w14:textId="77777777" w:rsidR="00D7475E" w:rsidRPr="00C57554" w:rsidRDefault="00D7475E" w:rsidP="00EA7238">
      <w:pPr>
        <w:pStyle w:val="FootnoteText"/>
        <w:ind w:left="0" w:firstLine="0"/>
        <w:rPr>
          <w:lang w:val="lv-LV"/>
        </w:rPr>
      </w:pPr>
      <w:r w:rsidRPr="00C57554">
        <w:rPr>
          <w:rStyle w:val="FootnoteReference"/>
          <w:lang w:val="lv-LV"/>
        </w:rPr>
        <w:footnoteRef/>
      </w:r>
      <w:r w:rsidRPr="00C57554">
        <w:rPr>
          <w:lang w:val="lv-LV"/>
        </w:rPr>
        <w:t xml:space="preserve">  EK 2016.gada 14.septembra paziņojums COM(2016) 587 EP, Padomei, Eiropas Ekonomikas un Sociālo Lietu Komitejai un Reģionu Komitejai "Konkurētspējīga digitālā vienotā tirgus savienojamība. Virzība uz Eiropas Gigabitu sabiedrību".</w:t>
      </w:r>
    </w:p>
  </w:footnote>
  <w:footnote w:id="39">
    <w:p w14:paraId="1E2975FF" w14:textId="77777777" w:rsidR="00D7475E" w:rsidRPr="00C57554" w:rsidRDefault="00D7475E" w:rsidP="00EA7238">
      <w:pPr>
        <w:pStyle w:val="FootnoteText"/>
        <w:ind w:left="0" w:firstLine="0"/>
        <w:rPr>
          <w:lang w:val="lv-LV"/>
        </w:rPr>
      </w:pPr>
      <w:r w:rsidRPr="00C57554">
        <w:rPr>
          <w:rStyle w:val="FootnoteReference"/>
          <w:lang w:val="lv-LV"/>
        </w:rPr>
        <w:footnoteRef/>
      </w:r>
      <w:r w:rsidRPr="00C57554">
        <w:rPr>
          <w:lang w:val="lv-LV"/>
        </w:rPr>
        <w:t xml:space="preserve">  TAPEK 2021. gada 9. marta paziņojums COM(2021) 118 EP, Padomei, Eiropas Ekonomikas un Sociālo Lietu Komitejai un Reģionu Komitejai "Digitālais kompass 2030. gadam: Eiropas ceļš uz digitālo desmitgadi"</w:t>
      </w:r>
    </w:p>
  </w:footnote>
  <w:footnote w:id="40">
    <w:p w14:paraId="37A0748E" w14:textId="77777777" w:rsidR="00D7475E" w:rsidRPr="001A226A" w:rsidRDefault="00D7475E" w:rsidP="00EA7238">
      <w:pPr>
        <w:pStyle w:val="FootnoteText"/>
        <w:ind w:left="0" w:firstLine="0"/>
        <w:rPr>
          <w:lang w:val="lv-LV"/>
        </w:rPr>
      </w:pPr>
      <w:r w:rsidRPr="00C57554">
        <w:rPr>
          <w:rStyle w:val="FootnoteReference"/>
          <w:lang w:val="lv-LV"/>
        </w:rPr>
        <w:footnoteRef/>
      </w:r>
      <w:r w:rsidRPr="00C57554">
        <w:rPr>
          <w:lang w:val="lv-LV"/>
        </w:rPr>
        <w:t xml:space="preserve"> Pētījums ES fondu 2021. -2027. gada plānošanas perioda ieguldījumu priekšnosacījumu izpildei”: </w:t>
      </w:r>
      <w:hyperlink r:id="rId17" w:history="1">
        <w:r w:rsidRPr="00C57554">
          <w:rPr>
            <w:lang w:val="lv-LV"/>
          </w:rPr>
          <w:t>https://www.sam.gov.lv/lv/petijumi</w:t>
        </w:r>
      </w:hyperlink>
      <w:r w:rsidRPr="00C57554">
        <w:rPr>
          <w:lang w:val="lv-LV"/>
        </w:rPr>
        <w:t>)</w:t>
      </w:r>
    </w:p>
  </w:footnote>
  <w:footnote w:id="41">
    <w:p w14:paraId="21A438EA" w14:textId="77777777" w:rsidR="00D7475E" w:rsidRPr="00AD260A" w:rsidRDefault="00D7475E" w:rsidP="00D7475E">
      <w:pPr>
        <w:pStyle w:val="FootnoteText"/>
        <w:rPr>
          <w:lang w:val="lv-LV"/>
        </w:rPr>
      </w:pPr>
      <w:r>
        <w:rPr>
          <w:rStyle w:val="FootnoteReference"/>
        </w:rPr>
        <w:footnoteRef/>
      </w:r>
      <w:r w:rsidRPr="00981A71">
        <w:rPr>
          <w:lang w:val="lv-LV"/>
        </w:rPr>
        <w:t xml:space="preserve"> </w:t>
      </w:r>
      <w:r>
        <w:rPr>
          <w:lang w:val="lv-LV"/>
        </w:rPr>
        <w:t xml:space="preserve"> ERAF 1.4.1.3. pasākums “</w:t>
      </w:r>
      <w:r w:rsidRPr="00203B3B">
        <w:rPr>
          <w:lang w:val="lv-LV"/>
        </w:rPr>
        <w:t>Nāk</w:t>
      </w:r>
      <w:r>
        <w:rPr>
          <w:lang w:val="lv-LV"/>
        </w:rPr>
        <w:t>a</w:t>
      </w:r>
      <w:r w:rsidRPr="00203B3B">
        <w:rPr>
          <w:lang w:val="lv-LV"/>
        </w:rPr>
        <w:t>mās paaudzes tīkla izveide lauku teritorijās</w:t>
      </w:r>
      <w:r>
        <w:rPr>
          <w:lang w:val="lv-LV"/>
        </w:rPr>
        <w:t>”</w:t>
      </w:r>
    </w:p>
  </w:footnote>
  <w:footnote w:id="42">
    <w:p w14:paraId="34282DDE" w14:textId="77777777" w:rsidR="00D7475E" w:rsidRPr="00483F8F" w:rsidRDefault="00D7475E" w:rsidP="00D7475E">
      <w:pPr>
        <w:pStyle w:val="FootnoteText"/>
        <w:rPr>
          <w:lang w:val="lv-LV"/>
        </w:rPr>
      </w:pPr>
      <w:r>
        <w:rPr>
          <w:rStyle w:val="FootnoteReference"/>
        </w:rPr>
        <w:footnoteRef/>
      </w:r>
      <w:r w:rsidRPr="002528E8">
        <w:rPr>
          <w:lang w:val="lv-LV"/>
        </w:rPr>
        <w:t xml:space="preserve">  EK 2016.gada 14.septembra paziņojums COM(2016) 587 EP, Padomei, Eiropas Ekonomikas un Sociālo Lietu Komitejai un Reģionu Komitejai "Konkurētspējīga digitālā vienotā tirgus savienojamība. </w:t>
      </w:r>
      <w:r w:rsidRPr="002D7DB6">
        <w:rPr>
          <w:lang w:val="lv-LV"/>
        </w:rPr>
        <w:t>Virzība uz Eiropas Gigabitu sabiedrību".</w:t>
      </w:r>
    </w:p>
  </w:footnote>
  <w:footnote w:id="43">
    <w:p w14:paraId="047474B8" w14:textId="77777777" w:rsidR="00D7475E" w:rsidRPr="00483F8F" w:rsidRDefault="00D7475E" w:rsidP="00D7475E">
      <w:pPr>
        <w:pStyle w:val="FootnoteText"/>
        <w:rPr>
          <w:lang w:val="lv-LV"/>
        </w:rPr>
      </w:pPr>
      <w:r>
        <w:rPr>
          <w:rStyle w:val="FootnoteReference"/>
        </w:rPr>
        <w:footnoteRef/>
      </w:r>
      <w:r w:rsidRPr="002528E8">
        <w:rPr>
          <w:lang w:val="lv-LV"/>
        </w:rPr>
        <w:t xml:space="preserve">  EK 2016.gada 14.septembra paziņojums COM(2016) 587 EP, Padomei, Eiropas Ekonomikas un Sociālo Lietu Komitejai un Reģionu Komitejai "Konkurētspējīga digitālā vienotā tirgus savienojamība. </w:t>
      </w:r>
      <w:r w:rsidRPr="002D7DB6">
        <w:rPr>
          <w:lang w:val="lv-LV"/>
        </w:rPr>
        <w:t>Virzība uz Eiropas Gigabitu sabiedrību".</w:t>
      </w:r>
    </w:p>
  </w:footnote>
  <w:footnote w:id="44">
    <w:p w14:paraId="02AE6CDF" w14:textId="77777777" w:rsidR="00D7475E" w:rsidRPr="006406B5" w:rsidRDefault="00D7475E" w:rsidP="00D7475E">
      <w:pPr>
        <w:pStyle w:val="FootnoteText"/>
        <w:rPr>
          <w:lang w:val="lv-LV"/>
        </w:rPr>
      </w:pPr>
      <w:r>
        <w:rPr>
          <w:rStyle w:val="FootnoteReference"/>
        </w:rPr>
        <w:footnoteRef/>
      </w:r>
      <w:r w:rsidRPr="006406B5">
        <w:rPr>
          <w:lang w:val="lv-LV"/>
        </w:rPr>
        <w:t xml:space="preserve"> </w:t>
      </w:r>
      <w:r>
        <w:rPr>
          <w:lang w:val="lv-LV"/>
        </w:rPr>
        <w:t xml:space="preserve">   </w:t>
      </w:r>
      <w:r w:rsidRPr="0065606A">
        <w:rPr>
          <w:lang w:val="lv-LV"/>
        </w:rPr>
        <w:t>Darbības programm</w:t>
      </w:r>
      <w:r>
        <w:rPr>
          <w:lang w:val="lv-LV"/>
        </w:rPr>
        <w:t>a</w:t>
      </w:r>
      <w:r w:rsidRPr="0065606A">
        <w:rPr>
          <w:lang w:val="lv-LV"/>
        </w:rPr>
        <w:t xml:space="preserve"> Latvijai 2021.-2027.</w:t>
      </w:r>
      <w:r>
        <w:rPr>
          <w:lang w:val="lv-LV"/>
        </w:rPr>
        <w:t> </w:t>
      </w:r>
      <w:r w:rsidRPr="0065606A">
        <w:rPr>
          <w:lang w:val="lv-LV"/>
        </w:rPr>
        <w:t>gada</w:t>
      </w:r>
      <w:r>
        <w:rPr>
          <w:lang w:val="lv-LV"/>
        </w:rPr>
        <w:t xml:space="preserve">m: </w:t>
      </w:r>
      <w:r w:rsidRPr="003051E1">
        <w:rPr>
          <w:lang w:val="lv-LV"/>
        </w:rPr>
        <w:t>https://likumi.lv/ta/id/327732-par-eiropas-savienibas-kohezijas-politikas-programmu-2021-2027-gadam</w:t>
      </w:r>
      <w:r>
        <w:rPr>
          <w:lang w:val="lv-LV"/>
        </w:rPr>
        <w:t xml:space="preserve"> </w:t>
      </w:r>
      <w:r>
        <w:fldChar w:fldCharType="begin"/>
      </w:r>
      <w:r w:rsidRPr="00981A71">
        <w:rPr>
          <w:lang w:val="lv-LV"/>
        </w:rPr>
        <w:instrText>https://www.esfondi.lv/planosana-1"</w:instrText>
      </w:r>
      <w:r>
        <w:fldChar w:fldCharType="separate"/>
      </w:r>
      <w:r w:rsidRPr="00A6315D">
        <w:rPr>
          <w:rStyle w:val="Hyperlink"/>
          <w:lang w:val="lv-LV"/>
        </w:rPr>
        <w:t>https://www.esfondi.lv/planosana-1</w:t>
      </w:r>
      <w:r>
        <w:rPr>
          <w:rStyle w:val="Hyperlink"/>
          <w:lang w:val="lv-LV"/>
        </w:rPr>
        <w:fldChar w:fldCharType="end"/>
      </w:r>
      <w:r>
        <w:rPr>
          <w:lang w:val="lv-LV"/>
        </w:rPr>
        <w:t xml:space="preserve"> </w:t>
      </w:r>
    </w:p>
  </w:footnote>
  <w:footnote w:id="45">
    <w:p w14:paraId="78935910" w14:textId="77777777" w:rsidR="00D7475E" w:rsidRPr="00692787" w:rsidRDefault="00D7475E" w:rsidP="00D7475E">
      <w:pPr>
        <w:pStyle w:val="FootnoteText"/>
        <w:rPr>
          <w:lang w:val="lv-LV"/>
        </w:rPr>
      </w:pPr>
      <w:r>
        <w:rPr>
          <w:rStyle w:val="FootnoteReference"/>
        </w:rPr>
        <w:footnoteRef/>
      </w:r>
      <w:r w:rsidRPr="00692787">
        <w:rPr>
          <w:lang w:val="lv-LV"/>
        </w:rPr>
        <w:t xml:space="preserve"> </w:t>
      </w:r>
      <w:r>
        <w:rPr>
          <w:lang w:val="lv-LV"/>
        </w:rPr>
        <w:t xml:space="preserve">   EK</w:t>
      </w:r>
      <w:r w:rsidRPr="00692787">
        <w:rPr>
          <w:lang w:val="lv-LV"/>
        </w:rPr>
        <w:t xml:space="preserve"> 2016. gada 14. septembra paziņojums </w:t>
      </w:r>
      <w:r>
        <w:rPr>
          <w:lang w:val="lv-LV"/>
        </w:rPr>
        <w:t>EP</w:t>
      </w:r>
      <w:r w:rsidRPr="00692787">
        <w:rPr>
          <w:lang w:val="lv-LV"/>
        </w:rPr>
        <w:t xml:space="preserve">, Padomei, Eiropas Ekonomikas un sociālo lietu komitejai un Reģionu komitejai "Konkurētspējīga digitālā vienotā tirgus savienojamība. Virzība uz Eiropas Gigabitu sabiedrību" (COM(2016) 587 </w:t>
      </w:r>
      <w:r w:rsidRPr="00692787">
        <w:rPr>
          <w:lang w:val="lv-LV"/>
        </w:rPr>
        <w:t>final)</w:t>
      </w:r>
      <w:r>
        <w:rPr>
          <w:lang w:val="lv-LV"/>
        </w:rPr>
        <w:t xml:space="preserve">: </w:t>
      </w:r>
      <w:hyperlink r:id="rId18" w:history="1">
        <w:r w:rsidRPr="00F67FF3">
          <w:rPr>
            <w:rStyle w:val="Hyperlink"/>
            <w:lang w:val="lv-LV"/>
          </w:rPr>
          <w:t>https://eur-lex.europa.eu/legal-content/LV/TXT/?uri=CELEX%3A52016DC0587</w:t>
        </w:r>
      </w:hyperlink>
      <w:r>
        <w:rPr>
          <w:lang w:val="lv-LV"/>
        </w:rPr>
        <w:t xml:space="preserve"> </w:t>
      </w:r>
    </w:p>
  </w:footnote>
  <w:footnote w:id="46">
    <w:p w14:paraId="47CCA18B" w14:textId="77777777" w:rsidR="00D7475E" w:rsidRPr="00A7606D" w:rsidRDefault="00D7475E" w:rsidP="00D7475E">
      <w:pPr>
        <w:pStyle w:val="FootnoteText"/>
        <w:rPr>
          <w:lang w:val="lv-LV"/>
        </w:rPr>
      </w:pPr>
      <w:r>
        <w:rPr>
          <w:rStyle w:val="FootnoteReference"/>
        </w:rPr>
        <w:footnoteRef/>
      </w:r>
      <w:r w:rsidRPr="00A7606D">
        <w:rPr>
          <w:lang w:val="lv-LV"/>
        </w:rPr>
        <w:t xml:space="preserve"> </w:t>
      </w:r>
      <w:r>
        <w:rPr>
          <w:lang w:val="lv-LV"/>
        </w:rPr>
        <w:t xml:space="preserve">    EK</w:t>
      </w:r>
      <w:r w:rsidRPr="00A7606D">
        <w:rPr>
          <w:lang w:val="lv-LV"/>
        </w:rPr>
        <w:t xml:space="preserve"> 2020. gada 19. februāra paziņojums </w:t>
      </w:r>
      <w:r>
        <w:rPr>
          <w:lang w:val="lv-LV"/>
        </w:rPr>
        <w:t>EP</w:t>
      </w:r>
      <w:r w:rsidRPr="00A7606D">
        <w:rPr>
          <w:lang w:val="lv-LV"/>
        </w:rPr>
        <w:t xml:space="preserve">, Padomei, Eiropas Ekonomikas un sociālo lietu komitejai un Reģionu komitejai "Eiropas digitālās nākotnes veidošana" (COM(2020) 67 </w:t>
      </w:r>
      <w:r w:rsidRPr="00A7606D">
        <w:rPr>
          <w:lang w:val="lv-LV"/>
        </w:rPr>
        <w:t xml:space="preserve">final). </w:t>
      </w:r>
      <w:r w:rsidRPr="00A7606D">
        <w:t xml:space="preserve">Pieejams šeit: </w:t>
      </w:r>
      <w:hyperlink r:id="rId19" w:history="1">
        <w:r w:rsidRPr="00A6315D">
          <w:rPr>
            <w:rStyle w:val="Hyperlink"/>
          </w:rPr>
          <w:t>https://eur-lex.europa.eu/legal-content/LV/TXT/?uri=CELEX%3A52020DC0067</w:t>
        </w:r>
      </w:hyperlink>
      <w:r>
        <w:t xml:space="preserve"> </w:t>
      </w:r>
    </w:p>
  </w:footnote>
  <w:footnote w:id="47">
    <w:p w14:paraId="105E1D1A" w14:textId="77777777" w:rsidR="00D7475E" w:rsidRPr="00A7606D" w:rsidRDefault="00D7475E" w:rsidP="00D7475E">
      <w:pPr>
        <w:pStyle w:val="FootnoteText"/>
        <w:rPr>
          <w:lang w:val="lv-LV"/>
        </w:rPr>
      </w:pPr>
      <w:r>
        <w:rPr>
          <w:rStyle w:val="FootnoteReference"/>
        </w:rPr>
        <w:footnoteRef/>
      </w:r>
      <w:r w:rsidRPr="003621C8">
        <w:rPr>
          <w:lang w:val="lv-LV"/>
        </w:rPr>
        <w:t xml:space="preserve"> </w:t>
      </w:r>
      <w:r>
        <w:rPr>
          <w:lang w:val="lv-LV"/>
        </w:rPr>
        <w:t xml:space="preserve">   EK</w:t>
      </w:r>
      <w:r w:rsidRPr="003621C8">
        <w:rPr>
          <w:lang w:val="lv-LV"/>
        </w:rPr>
        <w:t xml:space="preserve"> 2021. gada 9. marta paziņojums </w:t>
      </w:r>
      <w:r>
        <w:rPr>
          <w:lang w:val="lv-LV"/>
        </w:rPr>
        <w:t>EP</w:t>
      </w:r>
      <w:r w:rsidRPr="003621C8">
        <w:rPr>
          <w:lang w:val="lv-LV"/>
        </w:rPr>
        <w:t>, Padomei, Eiropas Ekonomikas un sociālo lietu komitejai un Reģionu komitejai "Digitālais kompass līdz 2030. gadam – Eiropas ceļam digitāla</w:t>
      </w:r>
      <w:r>
        <w:rPr>
          <w:lang w:val="lv-LV"/>
        </w:rPr>
        <w:t>jā</w:t>
      </w:r>
      <w:r w:rsidRPr="003621C8">
        <w:rPr>
          <w:lang w:val="lv-LV"/>
        </w:rPr>
        <w:t xml:space="preserve"> gadu desmitā" (COM(2021) 118 </w:t>
      </w:r>
      <w:r w:rsidRPr="003621C8">
        <w:rPr>
          <w:lang w:val="lv-LV"/>
        </w:rPr>
        <w:t xml:space="preserve">final). </w:t>
      </w:r>
      <w:r w:rsidRPr="003621C8">
        <w:t xml:space="preserve">Pieejams šeit: </w:t>
      </w:r>
      <w:hyperlink r:id="rId20" w:history="1">
        <w:r w:rsidRPr="00A6315D">
          <w:rPr>
            <w:rStyle w:val="Hyperlink"/>
          </w:rPr>
          <w:t>https://eur-lex.europa.eu/legal-content/LV/TXT/?uri=CELEX%3A52021DC0118</w:t>
        </w:r>
      </w:hyperlink>
      <w:r>
        <w:t xml:space="preserve"> </w:t>
      </w:r>
    </w:p>
  </w:footnote>
  <w:footnote w:id="48">
    <w:p w14:paraId="057545E0" w14:textId="77777777" w:rsidR="006F3AD3" w:rsidRPr="00E4369C" w:rsidRDefault="006F3AD3" w:rsidP="006F3AD3">
      <w:pPr>
        <w:pStyle w:val="FootnoteText"/>
        <w:rPr>
          <w:lang w:val="lv-LV"/>
        </w:rPr>
      </w:pPr>
      <w:r>
        <w:rPr>
          <w:rStyle w:val="FootnoteReference"/>
        </w:rPr>
        <w:footnoteRef/>
      </w:r>
      <w:r w:rsidRPr="00E4369C">
        <w:rPr>
          <w:lang w:val="lv-LV"/>
        </w:rPr>
        <w:t xml:space="preserve"> </w:t>
      </w:r>
      <w:r>
        <w:rPr>
          <w:lang w:val="lv-LV"/>
        </w:rPr>
        <w:t xml:space="preserve">Pieejams šeit: </w:t>
      </w:r>
      <w:hyperlink r:id="rId21" w:history="1">
        <w:r w:rsidRPr="002D4728">
          <w:rPr>
            <w:rStyle w:val="Hyperlink"/>
            <w:lang w:val="lv-LV"/>
          </w:rPr>
          <w:t>https://eur-lex.europa.eu/legal-content/LV/TXT/PDF/?uri=CELEX:52022DC0045</w:t>
        </w:r>
      </w:hyperlink>
    </w:p>
  </w:footnote>
  <w:footnote w:id="49">
    <w:p w14:paraId="7F064D75" w14:textId="77777777" w:rsidR="006F3AD3" w:rsidRPr="007D6336" w:rsidRDefault="006F3AD3" w:rsidP="006F3AD3">
      <w:pPr>
        <w:pStyle w:val="FootnoteText"/>
        <w:ind w:left="284" w:hanging="284"/>
        <w:rPr>
          <w:lang w:val="lv-LV"/>
        </w:rPr>
      </w:pPr>
      <w:r>
        <w:rPr>
          <w:rStyle w:val="FootnoteReference"/>
        </w:rPr>
        <w:footnoteRef/>
      </w:r>
      <w:r w:rsidRPr="007D6336">
        <w:rPr>
          <w:lang w:val="lv-LV"/>
        </w:rPr>
        <w:t xml:space="preserve"> Ņemot vērā pieejamā publiskā finansējuma ierobežoto apmēru, secināms, ka tādu identificēto pasākumu</w:t>
      </w:r>
      <w:r>
        <w:rPr>
          <w:lang w:val="lv-LV"/>
        </w:rPr>
        <w:t xml:space="preserve"> </w:t>
      </w:r>
      <w:r w:rsidRPr="007D6336">
        <w:rPr>
          <w:lang w:val="lv-LV"/>
        </w:rPr>
        <w:t xml:space="preserve">īstenošanai pusvadītāju jomā, kas saistīti gan ar kompetenču centra izveidi un paziņošanu, pētniecības infrastruktūras attīstību, studiju programmu izveidi vai ieguldījumiem ražošanas infrastruktūrā, ir nepieciešams ievērojams papildu finansējums. Vispārēja aplēse liecina, ka dažādu pusvadītāju ekosistēmas izvirzīto pasākumu (skat. zemāk) īstenošanai nepieciešamais finansējums kumulatīvi līdz 2030. gadam var sasniegt no 1,5 līdz 2 miljardiem </w:t>
      </w:r>
      <w:r w:rsidRPr="007D6336">
        <w:rPr>
          <w:i/>
          <w:iCs/>
          <w:lang w:val="lv-LV"/>
        </w:rPr>
        <w:t>euro</w:t>
      </w:r>
      <w:r w:rsidRPr="007D6336">
        <w:rPr>
          <w:lang w:val="lv-LV"/>
        </w:rPr>
        <w:t xml:space="preserve"> publisko un privāto investīciju.</w:t>
      </w:r>
    </w:p>
  </w:footnote>
  <w:footnote w:id="50">
    <w:p w14:paraId="7E6DC54E" w14:textId="77777777" w:rsidR="00852C3A" w:rsidRPr="005A7E08" w:rsidRDefault="00852C3A" w:rsidP="00852C3A">
      <w:pPr>
        <w:pStyle w:val="FootnoteText"/>
        <w:rPr>
          <w:lang w:val="lv-LV"/>
        </w:rPr>
      </w:pPr>
      <w:r>
        <w:rPr>
          <w:rStyle w:val="FootnoteReference"/>
        </w:rPr>
        <w:footnoteRef/>
      </w:r>
      <w:r w:rsidRPr="00BF2EB7">
        <w:rPr>
          <w:lang w:val="es-ES"/>
        </w:rPr>
        <w:t xml:space="preserve"> </w:t>
      </w:r>
      <w:r>
        <w:rPr>
          <w:lang w:val="lv-LV"/>
        </w:rPr>
        <w:t xml:space="preserve">Pieejama šeit: </w:t>
      </w:r>
      <w:hyperlink r:id="rId22" w:history="1">
        <w:r w:rsidRPr="002D4728">
          <w:rPr>
            <w:rStyle w:val="Hyperlink"/>
            <w:lang w:val="lv-LV"/>
          </w:rPr>
          <w:t>https://eur-lex.europa.eu/legal-content/LV/TXT/PDF/?uri=CELEX:52022DC0045</w:t>
        </w:r>
      </w:hyperlink>
    </w:p>
  </w:footnote>
  <w:footnote w:id="51">
    <w:p w14:paraId="3B5C7603" w14:textId="77777777" w:rsidR="00803799" w:rsidRPr="00063F60" w:rsidRDefault="00803799" w:rsidP="00803799">
      <w:pPr>
        <w:pStyle w:val="FootnoteText"/>
        <w:rPr>
          <w:lang w:val="lv-LV"/>
        </w:rPr>
      </w:pPr>
      <w:r>
        <w:rPr>
          <w:rStyle w:val="FootnoteReference"/>
        </w:rPr>
        <w:footnoteRef/>
      </w:r>
      <w:r w:rsidRPr="00063F60">
        <w:rPr>
          <w:lang w:val="lv-LV"/>
        </w:rPr>
        <w:t xml:space="preserve"> </w:t>
      </w:r>
      <w:r>
        <w:rPr>
          <w:lang w:val="lv-LV"/>
        </w:rPr>
        <w:t xml:space="preserve">Pieejams šeit: </w:t>
      </w:r>
      <w:hyperlink r:id="rId23" w:history="1">
        <w:r w:rsidRPr="002D4728">
          <w:rPr>
            <w:rStyle w:val="Hyperlink"/>
            <w:lang w:val="lv-LV"/>
          </w:rPr>
          <w:t>https://eur-lex.europa.eu/legal-content/LV/TXT/PDF/?uri=CELEX:52022DC0045</w:t>
        </w:r>
      </w:hyperlink>
    </w:p>
  </w:footnote>
  <w:footnote w:id="52">
    <w:p w14:paraId="7795478C" w14:textId="43939DD1" w:rsidR="007F1F07" w:rsidRPr="007F1F07" w:rsidRDefault="007F1F07">
      <w:pPr>
        <w:pStyle w:val="FootnoteText"/>
        <w:rPr>
          <w:lang w:val="lv-LV"/>
        </w:rPr>
      </w:pPr>
      <w:r>
        <w:rPr>
          <w:rStyle w:val="FootnoteReference"/>
        </w:rPr>
        <w:footnoteRef/>
      </w:r>
      <w:r w:rsidRPr="007F1F07">
        <w:rPr>
          <w:lang w:val="lv-LV"/>
        </w:rPr>
        <w:t xml:space="preserve"> https://www.izm.gov.lv/lv/jaunums/atklats-augsta-limena-digitalo-prasmju-projekts-kvantu-tehnologiju-joma</w:t>
      </w:r>
    </w:p>
  </w:footnote>
  <w:footnote w:id="53">
    <w:p w14:paraId="2A0DC677" w14:textId="7E50EAA8" w:rsidR="00F714BE" w:rsidRPr="002447BB" w:rsidRDefault="00F714BE" w:rsidP="00F714BE">
      <w:pPr>
        <w:pStyle w:val="FootnoteText"/>
        <w:rPr>
          <w:lang w:val="lv-LV"/>
        </w:rPr>
      </w:pPr>
      <w:r>
        <w:rPr>
          <w:rStyle w:val="FootnoteReference"/>
        </w:rPr>
        <w:footnoteRef/>
      </w:r>
      <w:r w:rsidR="002447BB">
        <w:rPr>
          <w:lang w:val="lv-LV"/>
        </w:rPr>
        <w:t> </w:t>
      </w:r>
      <w:r w:rsidR="002447BB" w:rsidRPr="002447BB">
        <w:rPr>
          <w:lang w:val="lv-LV"/>
        </w:rPr>
        <w:t>https://likumi.lv/ta/id/322468-par-zinatnes-tehnologijas-attistibas-un-inovacijas-pamatnostadnem-20212027-gadam</w:t>
      </w:r>
    </w:p>
  </w:footnote>
  <w:footnote w:id="54">
    <w:p w14:paraId="6D8387B6" w14:textId="77777777" w:rsidR="00F714BE" w:rsidRPr="0044073F" w:rsidRDefault="00F714BE" w:rsidP="00F714BE">
      <w:pPr>
        <w:pStyle w:val="FootnoteText"/>
        <w:ind w:left="0" w:firstLine="0"/>
        <w:rPr>
          <w:lang w:val="lv-LV"/>
        </w:rPr>
      </w:pPr>
      <w:r>
        <w:rPr>
          <w:rStyle w:val="FootnoteReference"/>
        </w:rPr>
        <w:footnoteRef/>
      </w:r>
      <w:r w:rsidRPr="0044073F">
        <w:rPr>
          <w:lang w:val="lv-LV"/>
        </w:rPr>
        <w:t xml:space="preserve"> </w:t>
      </w:r>
      <w:r w:rsidRPr="0052166E">
        <w:rPr>
          <w:lang w:val="lv-LV"/>
        </w:rPr>
        <w:t xml:space="preserve">EP un Padomes regula (ES) 2023/588 (2023. gada 15. marts), ar ko izveido </w:t>
      </w:r>
      <w:r>
        <w:rPr>
          <w:lang w:val="lv-LV"/>
        </w:rPr>
        <w:t>ES</w:t>
      </w:r>
      <w:r w:rsidRPr="0052166E">
        <w:rPr>
          <w:lang w:val="lv-LV"/>
        </w:rPr>
        <w:t xml:space="preserve"> drošas savienojamības programmu 2023.–2027. gadam https://eur-lex.europa.eu/legal-content/EN/TXT/?uri=uriserv%3AOJ.L_.2023.079.01.0001.01.ENG&amp;toc=OJ%3AL%3A2023%3A079%3ATOC</w:t>
      </w:r>
    </w:p>
  </w:footnote>
  <w:footnote w:id="55">
    <w:p w14:paraId="74750516" w14:textId="001A014D" w:rsidR="00A06C54" w:rsidRPr="00EA5C1A" w:rsidRDefault="00A06C54">
      <w:pPr>
        <w:pStyle w:val="FootnoteText"/>
        <w:rPr>
          <w:lang w:val="lv-LV"/>
        </w:rPr>
      </w:pPr>
      <w:r>
        <w:rPr>
          <w:rStyle w:val="FootnoteReference"/>
        </w:rPr>
        <w:footnoteRef/>
      </w:r>
      <w:r w:rsidRPr="00EA5C1A">
        <w:rPr>
          <w:lang w:val="lv-LV"/>
        </w:rPr>
        <w:t xml:space="preserve"> Tas noteikts </w:t>
      </w:r>
      <w:r w:rsidR="00542269">
        <w:rPr>
          <w:lang w:val="lv-LV"/>
        </w:rPr>
        <w:t>EK</w:t>
      </w:r>
      <w:r w:rsidRPr="00EA5C1A">
        <w:rPr>
          <w:lang w:val="lv-LV"/>
        </w:rPr>
        <w:t xml:space="preserve"> Īstenošanas regulā (ES) 2022/1344 (2022. gada 1. augusts), ar ko tematam “IKT izmantojums un e-komercija” nosaka datu prasību tehniskās specifikācijas 2023. pārskata gadam, un turpmākajās īstenošanas regulās, kas pieņemtas saskaņā ar </w:t>
      </w:r>
      <w:r w:rsidR="0057342B">
        <w:rPr>
          <w:lang w:val="lv-LV"/>
        </w:rPr>
        <w:t>EP</w:t>
      </w:r>
      <w:r w:rsidRPr="00EA5C1A">
        <w:rPr>
          <w:lang w:val="lv-LV"/>
        </w:rPr>
        <w:t xml:space="preserve"> un Padomes Regulu (ES) 2019/2152 (Dokuments attiecas uz EEZ), jo īpaši tās 7. panta 1. punktu un 17. panta 6. punktu</w:t>
      </w:r>
    </w:p>
  </w:footnote>
  <w:footnote w:id="56">
    <w:p w14:paraId="74FEA74D" w14:textId="17C4B024" w:rsidR="005F5B0B" w:rsidRPr="005F5B0B" w:rsidRDefault="005F5B0B">
      <w:pPr>
        <w:pStyle w:val="FootnoteText"/>
        <w:rPr>
          <w:lang w:val="lv-LV"/>
        </w:rPr>
      </w:pPr>
      <w:r>
        <w:rPr>
          <w:rStyle w:val="FootnoteReference"/>
        </w:rPr>
        <w:footnoteRef/>
      </w:r>
      <w:r w:rsidRPr="005F5B0B">
        <w:rPr>
          <w:lang w:val="lv-LV"/>
        </w:rPr>
        <w:t xml:space="preserve"> </w:t>
      </w:r>
      <w:r w:rsidR="00AA3F44" w:rsidRPr="00A0413D">
        <w:t xml:space="preserve">Declaration Building the next generation cloud for businesses and the public sector in the EU: </w:t>
      </w:r>
      <w:hyperlink r:id="rId24" w:history="1">
        <w:r w:rsidR="00AA3F44" w:rsidRPr="00AA3F44">
          <w:rPr>
            <w:rStyle w:val="Hyperlink"/>
            <w:color w:val="auto"/>
            <w:lang w:val="lv-LV"/>
          </w:rPr>
          <w:t>https://digital-strategy.ec.europa.eu/en/news/towards-next-generation-cloud-europe</w:t>
        </w:r>
      </w:hyperlink>
      <w:r w:rsidR="00AA3F44" w:rsidRPr="00AA3F44">
        <w:rPr>
          <w:lang w:val="lv-LV"/>
        </w:rPr>
        <w:t xml:space="preserve"> </w:t>
      </w:r>
    </w:p>
  </w:footnote>
  <w:footnote w:id="57">
    <w:p w14:paraId="269C1F40" w14:textId="20F572CB" w:rsidR="00F74A1D" w:rsidRPr="00F74A1D" w:rsidRDefault="00F74A1D" w:rsidP="004E4AE6">
      <w:pPr>
        <w:pStyle w:val="FootnoteText"/>
        <w:ind w:left="0" w:firstLine="0"/>
        <w:rPr>
          <w:lang w:val="lv-LV"/>
        </w:rPr>
      </w:pPr>
    </w:p>
  </w:footnote>
  <w:footnote w:id="58">
    <w:p w14:paraId="3FC24A54" w14:textId="394C7BE7" w:rsidR="00296F6A" w:rsidRPr="005A2FDE" w:rsidRDefault="00296F6A">
      <w:pPr>
        <w:pStyle w:val="FootnoteText"/>
        <w:rPr>
          <w:lang w:val="lv-LV"/>
        </w:rPr>
      </w:pPr>
      <w:r w:rsidRPr="005A2FDE">
        <w:rPr>
          <w:rStyle w:val="FootnoteReference"/>
        </w:rPr>
        <w:footnoteRef/>
      </w:r>
      <w:r w:rsidRPr="005A2FDE">
        <w:rPr>
          <w:lang w:val="lv-LV"/>
        </w:rPr>
        <w:t xml:space="preserve"> </w:t>
      </w:r>
      <w:r w:rsidRPr="005A2FDE">
        <w:t xml:space="preserve">Declaration of cooperation on Artificial Intelligence: </w:t>
      </w:r>
      <w:r w:rsidR="00952395" w:rsidRPr="005A2FDE">
        <w:t>https://digital-strategy.ec.europa.eu/en/news/eu-member-states-sign-cooperate-artificial-intelligence</w:t>
      </w:r>
    </w:p>
  </w:footnote>
  <w:footnote w:id="59">
    <w:p w14:paraId="601B8E2C" w14:textId="1ECCB27C" w:rsidR="00213AD3" w:rsidRPr="00F0234C" w:rsidRDefault="00213AD3" w:rsidP="00213AD3">
      <w:pPr>
        <w:pStyle w:val="FootnoteText"/>
        <w:rPr>
          <w:lang w:val="lv-LV"/>
        </w:rPr>
      </w:pPr>
      <w:r>
        <w:rPr>
          <w:rStyle w:val="FootnoteReference"/>
        </w:rPr>
        <w:footnoteRef/>
      </w:r>
      <w:r w:rsidRPr="00F0234C">
        <w:rPr>
          <w:lang w:val="lv-LV"/>
        </w:rPr>
        <w:t xml:space="preserve"> Tas noteikts </w:t>
      </w:r>
      <w:r w:rsidR="00542269">
        <w:rPr>
          <w:lang w:val="lv-LV"/>
        </w:rPr>
        <w:t>EK</w:t>
      </w:r>
      <w:r w:rsidRPr="00F0234C">
        <w:rPr>
          <w:lang w:val="lv-LV"/>
        </w:rPr>
        <w:t xml:space="preserve"> Īstenošanas regulā (ES) 2021/1190 (2021. gada 15. jūlijs), ar ko tematam “IKT izmantojums un e-komercija” nosaka datu prasību tehniskās specifikācijas 2022. pārskata gadam, un turpmākajās īstenošanas regulās, kas pieņemtas saskaņā ar </w:t>
      </w:r>
      <w:r w:rsidR="0057342B">
        <w:rPr>
          <w:lang w:val="lv-LV"/>
        </w:rPr>
        <w:t>EP</w:t>
      </w:r>
      <w:r w:rsidRPr="00F0234C">
        <w:rPr>
          <w:lang w:val="lv-LV"/>
        </w:rPr>
        <w:t xml:space="preserve"> un Padomes Regulu (ES) 2019/2152 (Dokuments attiecas uz EEZ), jo īpaši tās 7. panta 1. punktu un 17. panta 6. punktu</w:t>
      </w:r>
    </w:p>
  </w:footnote>
  <w:footnote w:id="60">
    <w:p w14:paraId="5FA3A40A" w14:textId="7FCD906D" w:rsidR="00B12CF5" w:rsidRPr="00CE2961" w:rsidRDefault="00B12CF5" w:rsidP="00B12CF5">
      <w:pPr>
        <w:pStyle w:val="FootnoteText"/>
        <w:rPr>
          <w:lang w:val="lv-LV"/>
        </w:rPr>
      </w:pPr>
      <w:r w:rsidRPr="00C8518C">
        <w:rPr>
          <w:rStyle w:val="FootnoteReference"/>
        </w:rPr>
        <w:footnoteRef/>
      </w:r>
      <w:r w:rsidRPr="00CE2961">
        <w:rPr>
          <w:lang w:val="lv-LV"/>
        </w:rPr>
        <w:t xml:space="preserve"> </w:t>
      </w:r>
      <w:r w:rsidR="003654FB">
        <w:rPr>
          <w:lang w:val="lv-LV"/>
        </w:rPr>
        <w:t xml:space="preserve"> ANM plāna </w:t>
      </w:r>
      <w:r w:rsidRPr="00CE2961">
        <w:rPr>
          <w:lang w:val="lv-LV"/>
        </w:rPr>
        <w:t>2.2.1.1.i. investīcijas "Atbalsts Digitālo inovāciju centru un reģionālo kontaktpunktu izveidei";</w:t>
      </w:r>
      <w:r w:rsidRPr="00CE2961">
        <w:rPr>
          <w:lang w:val="lv-LV"/>
        </w:rPr>
        <w:br/>
        <w:t xml:space="preserve">2.2.1.2.i. investīcijas "Atbalsts procesu </w:t>
      </w:r>
      <w:r w:rsidRPr="00CE2961">
        <w:rPr>
          <w:lang w:val="lv-LV"/>
        </w:rPr>
        <w:t>digitalizācijai komercdarbībā";</w:t>
      </w:r>
      <w:r w:rsidRPr="00CE2961">
        <w:rPr>
          <w:lang w:val="lv-LV"/>
        </w:rPr>
        <w:br/>
        <w:t>2.2.1.4.i. investīcijas "Finanšu instrumenti komersantu digitālās transformācijas veicināšanai";</w:t>
      </w:r>
      <w:r w:rsidRPr="00CE2961">
        <w:rPr>
          <w:lang w:val="lv-LV"/>
        </w:rPr>
        <w:br/>
        <w:t>2.3.1.2.i. investīcijas “Uzņēmumu digitālo prasmju attīstība”;</w:t>
      </w:r>
      <w:r w:rsidRPr="00CE2961">
        <w:rPr>
          <w:lang w:val="lv-LV"/>
        </w:rPr>
        <w:br/>
        <w:t xml:space="preserve">2.2.1.3.i. investīcijas "Atbalsts jaunu produktu un pakalpojumu ieviešanai </w:t>
      </w:r>
      <w:r>
        <w:rPr>
          <w:lang w:val="lv-LV"/>
        </w:rPr>
        <w:t>komerc</w:t>
      </w:r>
      <w:r w:rsidRPr="00CE2961">
        <w:rPr>
          <w:lang w:val="lv-LV"/>
        </w:rPr>
        <w:t>darbībā".</w:t>
      </w:r>
    </w:p>
  </w:footnote>
  <w:footnote w:id="61">
    <w:p w14:paraId="7B8B1624" w14:textId="45FA51A3" w:rsidR="00AB6679" w:rsidRPr="00AB6679" w:rsidRDefault="00AB6679">
      <w:pPr>
        <w:pStyle w:val="FootnoteText"/>
        <w:rPr>
          <w:lang w:val="lv-LV"/>
        </w:rPr>
      </w:pPr>
      <w:r>
        <w:rPr>
          <w:rStyle w:val="FootnoteReference"/>
        </w:rPr>
        <w:footnoteRef/>
      </w:r>
      <w:r w:rsidRPr="00AB6679">
        <w:rPr>
          <w:lang w:val="lv-LV"/>
        </w:rPr>
        <w:t xml:space="preserve"> </w:t>
      </w:r>
      <w:r w:rsidR="008A6FFE" w:rsidRPr="008A6FFE">
        <w:rPr>
          <w:lang w:val="lv-LV"/>
        </w:rPr>
        <w:t>https://www.firmas.lv/lv/zinas/skatit/news648c32a2535ac+drukas-produktu-razotaja-printful-latvia-apgrozijums-pern-pieaudzis-par-9-6?from=company</w:t>
      </w:r>
    </w:p>
  </w:footnote>
  <w:footnote w:id="62">
    <w:p w14:paraId="05E83274" w14:textId="05A933E4" w:rsidR="00C92584" w:rsidRPr="001265CE" w:rsidRDefault="00C92584" w:rsidP="001265CE">
      <w:pPr>
        <w:pStyle w:val="FootnoteText"/>
        <w:ind w:left="0" w:firstLine="0"/>
        <w:rPr>
          <w:lang w:val="lv-LV"/>
        </w:rPr>
      </w:pPr>
      <w:r>
        <w:rPr>
          <w:rStyle w:val="FootnoteReference"/>
        </w:rPr>
        <w:footnoteRef/>
      </w:r>
      <w:r w:rsidRPr="001265CE">
        <w:rPr>
          <w:lang w:val="lv-LV"/>
        </w:rPr>
        <w:t xml:space="preserve"> </w:t>
      </w:r>
      <w:r>
        <w:rPr>
          <w:lang w:val="lv-LV"/>
        </w:rPr>
        <w:t xml:space="preserve">Informācija par 2023. gada nacionālo un ES bāzes vērtību un ES </w:t>
      </w:r>
      <w:r>
        <w:rPr>
          <w:lang w:val="lv-LV"/>
        </w:rPr>
        <w:t xml:space="preserve">mērķrādītāju 2030.gadam pieejama </w:t>
      </w:r>
      <w:r w:rsidR="00C73A5D">
        <w:rPr>
          <w:lang w:val="lv-LV"/>
        </w:rPr>
        <w:t>EK</w:t>
      </w:r>
      <w:r>
        <w:rPr>
          <w:lang w:val="lv-LV"/>
        </w:rPr>
        <w:t xml:space="preserve"> dienestu darba dokumenta </w:t>
      </w:r>
      <w:r w:rsidRPr="006B6D52">
        <w:rPr>
          <w:i/>
          <w:iCs/>
          <w:lang w:val="lv-LV"/>
        </w:rPr>
        <w:t>SWD(2023) 614 final</w:t>
      </w:r>
      <w:r>
        <w:rPr>
          <w:lang w:val="lv-LV"/>
        </w:rPr>
        <w:t xml:space="preserve"> “</w:t>
      </w:r>
      <w:r w:rsidRPr="006B6D52">
        <w:rPr>
          <w:lang w:val="lv-LV"/>
        </w:rPr>
        <w:t>2023. gada ziņojums par valsti – Latvija</w:t>
      </w:r>
      <w:r>
        <w:rPr>
          <w:lang w:val="lv-LV"/>
        </w:rPr>
        <w:t xml:space="preserve">”, pavaddokuments dokumentam “Ieteikums Padomes ieteikumam </w:t>
      </w:r>
      <w:r w:rsidRPr="006B6D52">
        <w:rPr>
          <w:lang w:val="lv-LV"/>
        </w:rPr>
        <w:t>par Latvijas 2023. gada valsts reformu programmu un ar ko sniedz Padomes atzinumu par Latvijas stabilitātes programmu</w:t>
      </w:r>
      <w:r>
        <w:rPr>
          <w:lang w:val="lv-LV"/>
        </w:rPr>
        <w:t xml:space="preserve">” 10 pielikumā, 54. lpp., </w:t>
      </w:r>
      <w:r w:rsidRPr="0075395A">
        <w:rPr>
          <w:lang w:val="lv-LV"/>
        </w:rPr>
        <w:t>https://eur-lex.europa.eu/legal-content/LV/TXT/PDF/?uri=CELEX:52023SC0614</w:t>
      </w:r>
    </w:p>
  </w:footnote>
  <w:footnote w:id="63">
    <w:p w14:paraId="68CA4DC9" w14:textId="77777777" w:rsidR="00145F2B" w:rsidRPr="00D12923" w:rsidRDefault="00145F2B" w:rsidP="001316AB">
      <w:pPr>
        <w:pStyle w:val="FootnoteText"/>
        <w:rPr>
          <w:lang w:val="lv-LV"/>
        </w:rPr>
      </w:pPr>
      <w:r>
        <w:rPr>
          <w:rStyle w:val="FootnoteReference"/>
        </w:rPr>
        <w:footnoteRef/>
      </w:r>
      <w:r w:rsidRPr="00E42018">
        <w:rPr>
          <w:lang w:val="lv-LV"/>
        </w:rPr>
        <w:t xml:space="preserve"> </w:t>
      </w:r>
      <w:r>
        <w:rPr>
          <w:lang w:val="lv-LV"/>
        </w:rPr>
        <w:t>MK 07.07.2021.rīkojuma Nr.490 “Par digitālās transformācijas pamatnostādnēm” 4.4.9.1.punkts.</w:t>
      </w:r>
    </w:p>
  </w:footnote>
  <w:footnote w:id="64">
    <w:p w14:paraId="3416FC46" w14:textId="77777777" w:rsidR="00145F2B" w:rsidRPr="00180EA9" w:rsidRDefault="00145F2B" w:rsidP="001316AB">
      <w:pPr>
        <w:pStyle w:val="FootnoteText"/>
        <w:rPr>
          <w:lang w:val="lv-LV"/>
        </w:rPr>
      </w:pPr>
      <w:r>
        <w:rPr>
          <w:rStyle w:val="FootnoteReference"/>
        </w:rPr>
        <w:footnoteRef/>
      </w:r>
      <w:r w:rsidRPr="00A65D37">
        <w:rPr>
          <w:lang w:val="lv-LV"/>
        </w:rPr>
        <w:t xml:space="preserve"> </w:t>
      </w:r>
      <w:r>
        <w:rPr>
          <w:lang w:val="lv-LV"/>
        </w:rPr>
        <w:t>MK 07.07.2021.rīkojuma Nr.490 “Par digitālās transformācijas pamatnostādnēm” 4.4.9.2.punkts.</w:t>
      </w:r>
    </w:p>
  </w:footnote>
  <w:footnote w:id="65">
    <w:p w14:paraId="70D8E49D" w14:textId="77777777" w:rsidR="00145F2B" w:rsidRPr="00AE03F7" w:rsidRDefault="00145F2B" w:rsidP="001316AB">
      <w:pPr>
        <w:pStyle w:val="FootnoteText"/>
        <w:ind w:left="0" w:firstLine="0"/>
        <w:rPr>
          <w:lang w:val="lv-LV"/>
        </w:rPr>
      </w:pPr>
      <w:r>
        <w:rPr>
          <w:rStyle w:val="FootnoteReference"/>
        </w:rPr>
        <w:footnoteRef/>
      </w:r>
      <w:r w:rsidRPr="0061425B">
        <w:rPr>
          <w:lang w:val="lv-LV"/>
        </w:rPr>
        <w:t xml:space="preserve"> </w:t>
      </w:r>
      <w:r>
        <w:rPr>
          <w:lang w:val="lv-LV"/>
        </w:rPr>
        <w:t>MK 08.05.2023.rīkojuma Nr.240 “</w:t>
      </w:r>
      <w:r w:rsidRPr="0061425B">
        <w:rPr>
          <w:lang w:val="lv-LV"/>
        </w:rPr>
        <w:t>Par Valsts pārvaldes modernizācijas plānu 2023.–2027.gadam” 6.7.p</w:t>
      </w:r>
      <w:r>
        <w:rPr>
          <w:lang w:val="lv-LV"/>
        </w:rPr>
        <w:t>u</w:t>
      </w:r>
      <w:r w:rsidRPr="0061425B">
        <w:rPr>
          <w:lang w:val="lv-LV"/>
        </w:rPr>
        <w:t>nkt</w:t>
      </w:r>
      <w:r>
        <w:rPr>
          <w:lang w:val="lv-LV"/>
        </w:rPr>
        <w:t>s</w:t>
      </w:r>
      <w:r w:rsidRPr="0061425B">
        <w:rPr>
          <w:lang w:val="lv-LV"/>
        </w:rPr>
        <w:t>.</w:t>
      </w:r>
    </w:p>
  </w:footnote>
  <w:footnote w:id="66">
    <w:p w14:paraId="4BC75D69" w14:textId="77777777" w:rsidR="00145F2B" w:rsidRPr="00522F89" w:rsidRDefault="00145F2B" w:rsidP="001316AB">
      <w:pPr>
        <w:pStyle w:val="FootnoteText"/>
        <w:ind w:left="0" w:firstLine="0"/>
        <w:rPr>
          <w:lang w:val="lv-LV"/>
        </w:rPr>
      </w:pPr>
      <w:r>
        <w:rPr>
          <w:rStyle w:val="FootnoteReference"/>
        </w:rPr>
        <w:footnoteRef/>
      </w:r>
      <w:r w:rsidRPr="002A1955">
        <w:rPr>
          <w:lang w:val="lv-LV"/>
        </w:rPr>
        <w:t xml:space="preserve"> MK 04.07.2017. Nr.399 “Valsts pārvaldes pakalpojumu uzskaites, kvalitātes kontroles un sniegšanas kārtība”, MK 04.07.2017. noteikumi Nr.401 “Noteikumi par valsts pārvaldes vienoto klientu apkalpošanas centru veidiem, sniegto pakalpojumu apjomu un pakalpojumu sniegšanas kārtību”, MK 04.07.2017. noteikumi Nr.402 “Valsts pārvaldes e-pakalpojumu noteikumi”.</w:t>
      </w:r>
    </w:p>
  </w:footnote>
  <w:footnote w:id="67">
    <w:p w14:paraId="3A576115" w14:textId="77777777" w:rsidR="00145F2B" w:rsidRPr="00906BB5" w:rsidRDefault="00145F2B" w:rsidP="00145F2B">
      <w:pPr>
        <w:pStyle w:val="FootnoteText"/>
        <w:rPr>
          <w:lang w:val="lv-LV"/>
        </w:rPr>
      </w:pPr>
      <w:r>
        <w:rPr>
          <w:rStyle w:val="FootnoteReference"/>
        </w:rPr>
        <w:footnoteRef/>
      </w:r>
      <w:r w:rsidRPr="00FD3C7B">
        <w:rPr>
          <w:lang w:val="lv-LV"/>
        </w:rPr>
        <w:t xml:space="preserve"> https://www.vestnesis.lv/op/2023/132.4</w:t>
      </w:r>
    </w:p>
  </w:footnote>
  <w:footnote w:id="68">
    <w:p w14:paraId="45343799" w14:textId="77777777" w:rsidR="00145F2B" w:rsidRPr="00084BE3" w:rsidRDefault="00145F2B" w:rsidP="00145F2B">
      <w:pPr>
        <w:pStyle w:val="FootnoteText"/>
        <w:rPr>
          <w:lang w:val="lv-LV"/>
        </w:rPr>
      </w:pPr>
      <w:r>
        <w:rPr>
          <w:rStyle w:val="FootnoteReference"/>
        </w:rPr>
        <w:footnoteRef/>
      </w:r>
      <w:r w:rsidRPr="00084BE3">
        <w:rPr>
          <w:lang w:val="lv-LV"/>
        </w:rPr>
        <w:t xml:space="preserve"> </w:t>
      </w:r>
      <w:r w:rsidRPr="00A16AF6">
        <w:rPr>
          <w:lang w:val="lv-LV"/>
        </w:rPr>
        <w:t xml:space="preserve">Informatīvais ziņojums “Informācijas </w:t>
      </w:r>
      <w:r w:rsidRPr="00A16AF6">
        <w:rPr>
          <w:lang w:val="lv-LV"/>
        </w:rPr>
        <w:t>vienreizes principa nodrošināšana valsts pārvaldes pakalpojumos” https://tapportals.mk.gov.lv/legal_acts/a7bb8598-78a4-45f4-80d4-76cf932c2501</w:t>
      </w:r>
    </w:p>
  </w:footnote>
  <w:footnote w:id="69">
    <w:p w14:paraId="7F45C1AB" w14:textId="299F4973" w:rsidR="00145F2B" w:rsidRPr="00F132B6" w:rsidRDefault="00145F2B" w:rsidP="00145F2B">
      <w:pPr>
        <w:pStyle w:val="FootnoteText"/>
        <w:spacing w:after="0"/>
        <w:ind w:left="0" w:firstLine="0"/>
        <w:rPr>
          <w:lang w:val="lv-LV"/>
        </w:rPr>
      </w:pPr>
      <w:r>
        <w:rPr>
          <w:rStyle w:val="FootnoteReference"/>
        </w:rPr>
        <w:footnoteRef/>
      </w:r>
      <w:r w:rsidRPr="001E60B0">
        <w:rPr>
          <w:lang w:val="lv-LV"/>
        </w:rPr>
        <w:t xml:space="preserve"> </w:t>
      </w:r>
      <w:r>
        <w:rPr>
          <w:lang w:val="lv-LV"/>
        </w:rPr>
        <w:t>Termiņi norādīti atbilstoši programmu un projektu realizācijas termiņiem, neiekļaujot laiku, kas teorētiski varētu būt nepieciešams, lai visas institūcijas ieviestu centr</w:t>
      </w:r>
      <w:r w:rsidR="008F3663">
        <w:rPr>
          <w:lang w:val="lv-LV"/>
        </w:rPr>
        <w:t>a</w:t>
      </w:r>
      <w:r>
        <w:rPr>
          <w:lang w:val="lv-LV"/>
        </w:rPr>
        <w:t xml:space="preserve">lizētos IKT risinājumus  -platformas un sistēmas </w:t>
      </w:r>
      <w:r w:rsidRPr="00F77D00">
        <w:rPr>
          <w:i/>
          <w:iCs/>
          <w:lang w:val="lv-LV"/>
        </w:rPr>
        <w:t>(</w:t>
      </w:r>
      <w:r w:rsidRPr="00F77D00">
        <w:rPr>
          <w:i/>
          <w:iCs/>
          <w:lang w:val="lv-LV"/>
        </w:rPr>
        <w:t>late adopters).</w:t>
      </w:r>
      <w:r>
        <w:rPr>
          <w:lang w:val="lv-LV"/>
        </w:rPr>
        <w:t xml:space="preserve"> </w:t>
      </w:r>
    </w:p>
    <w:p w14:paraId="3223BC33" w14:textId="77777777" w:rsidR="00145F2B" w:rsidRPr="00F132B6" w:rsidRDefault="00145F2B" w:rsidP="00145F2B">
      <w:pPr>
        <w:pStyle w:val="FootnoteText"/>
        <w:spacing w:after="0"/>
        <w:ind w:left="0" w:firstLine="0"/>
        <w:rPr>
          <w:lang w:val="lv-LV"/>
        </w:rPr>
      </w:pPr>
    </w:p>
  </w:footnote>
  <w:footnote w:id="70">
    <w:p w14:paraId="1FF7CCC4" w14:textId="77777777" w:rsidR="00145F2B" w:rsidRPr="00F34F88" w:rsidRDefault="00145F2B" w:rsidP="00145F2B">
      <w:pPr>
        <w:pStyle w:val="FootnoteText"/>
        <w:spacing w:after="0"/>
        <w:ind w:left="0" w:firstLine="0"/>
        <w:rPr>
          <w:lang w:val="lv-LV"/>
        </w:rPr>
      </w:pPr>
      <w:r>
        <w:rPr>
          <w:rStyle w:val="FootnoteReference"/>
        </w:rPr>
        <w:footnoteRef/>
      </w:r>
      <w:r w:rsidRPr="0031024F">
        <w:rPr>
          <w:lang w:val="lv-LV"/>
        </w:rPr>
        <w:t xml:space="preserve"> </w:t>
      </w:r>
      <w:r>
        <w:rPr>
          <w:lang w:val="lv-LV"/>
        </w:rPr>
        <w:t xml:space="preserve">Realizācijas periods norādīts ievērojot, ka projekta rezultatīvais rādītājs var tikt sasniegts noteiktā laika posmā pēc tā pabeigšanas. </w:t>
      </w:r>
    </w:p>
  </w:footnote>
  <w:footnote w:id="71">
    <w:p w14:paraId="007745B0" w14:textId="77777777" w:rsidR="00145F2B" w:rsidRPr="00D57B63" w:rsidRDefault="00145F2B" w:rsidP="004455AE">
      <w:pPr>
        <w:rPr>
          <w:sz w:val="20"/>
          <w:lang w:val="lv-LV"/>
        </w:rPr>
      </w:pPr>
      <w:r w:rsidRPr="6E5EDFE4">
        <w:rPr>
          <w:sz w:val="20"/>
          <w:vertAlign w:val="superscript"/>
        </w:rPr>
        <w:footnoteRef/>
      </w:r>
      <w:r w:rsidRPr="00D57B63">
        <w:rPr>
          <w:sz w:val="20"/>
          <w:lang w:val="lv-LV"/>
        </w:rPr>
        <w:t xml:space="preserve"> M</w:t>
      </w:r>
      <w:r>
        <w:rPr>
          <w:sz w:val="20"/>
          <w:lang w:val="lv-LV"/>
        </w:rPr>
        <w:t>K</w:t>
      </w:r>
      <w:r w:rsidRPr="00D57B63">
        <w:rPr>
          <w:sz w:val="20"/>
          <w:lang w:val="lv-LV"/>
        </w:rPr>
        <w:t xml:space="preserve"> 27.06.2023.</w:t>
      </w:r>
      <w:r>
        <w:rPr>
          <w:sz w:val="20"/>
          <w:lang w:val="lv-LV"/>
        </w:rPr>
        <w:t> </w:t>
      </w:r>
      <w:r w:rsidRPr="00D57B63">
        <w:rPr>
          <w:sz w:val="20"/>
          <w:lang w:val="lv-LV"/>
        </w:rPr>
        <w:t xml:space="preserve">rīkojums </w:t>
      </w:r>
      <w:r>
        <w:rPr>
          <w:sz w:val="20"/>
          <w:lang w:val="lv-LV"/>
        </w:rPr>
        <w:t>N</w:t>
      </w:r>
      <w:r w:rsidRPr="00D57B63">
        <w:rPr>
          <w:sz w:val="20"/>
          <w:lang w:val="lv-LV"/>
        </w:rPr>
        <w:t xml:space="preserve">r.400. </w:t>
      </w:r>
      <w:hyperlink r:id="rId25" w:history="1">
        <w:r w:rsidRPr="00602368">
          <w:rPr>
            <w:rStyle w:val="Hyperlink"/>
            <w:sz w:val="20"/>
            <w:lang w:val="lv-LV"/>
          </w:rPr>
          <w:t>https://likumi.lv/ta/id/343184-par-</w:t>
        </w:r>
        <w:r w:rsidRPr="00602368">
          <w:rPr>
            <w:rStyle w:val="Hyperlink"/>
            <w:iCs/>
            <w:sz w:val="20"/>
            <w:lang w:val="lv-LV"/>
          </w:rPr>
          <w:t>eirop</w:t>
        </w:r>
        <w:r w:rsidRPr="00602368">
          <w:rPr>
            <w:rStyle w:val="Hyperlink"/>
            <w:sz w:val="20"/>
            <w:lang w:val="lv-LV"/>
          </w:rPr>
          <w:t>as-savienibas-atveselosanas-un-noturibas-mehanisma-plana-2-komponentes-digitala-transformacija-2-1-reformu-un</w:t>
        </w:r>
      </w:hyperlink>
      <w:r w:rsidRPr="00D57B63">
        <w:rPr>
          <w:sz w:val="20"/>
          <w:lang w:val="lv-LV"/>
        </w:rPr>
        <w:t xml:space="preserve"> </w:t>
      </w:r>
    </w:p>
  </w:footnote>
  <w:footnote w:id="72">
    <w:p w14:paraId="7AB9132D" w14:textId="77777777" w:rsidR="00145F2B" w:rsidRPr="00D57B63" w:rsidRDefault="00145F2B" w:rsidP="004455AE">
      <w:pPr>
        <w:rPr>
          <w:sz w:val="20"/>
          <w:lang w:val="lv-LV"/>
        </w:rPr>
      </w:pPr>
      <w:r w:rsidRPr="6E5EDFE4">
        <w:rPr>
          <w:vertAlign w:val="superscript"/>
        </w:rPr>
        <w:footnoteRef/>
      </w:r>
      <w:r w:rsidRPr="00D57B63">
        <w:rPr>
          <w:lang w:val="lv-LV"/>
        </w:rPr>
        <w:t xml:space="preserve"> </w:t>
      </w:r>
      <w:r>
        <w:rPr>
          <w:sz w:val="20"/>
          <w:lang w:val="lv-LV"/>
        </w:rPr>
        <w:t>MK</w:t>
      </w:r>
      <w:r w:rsidRPr="00D57B63">
        <w:rPr>
          <w:sz w:val="20"/>
          <w:lang w:val="lv-LV"/>
        </w:rPr>
        <w:t xml:space="preserve"> 06.07.2023.</w:t>
      </w:r>
      <w:r>
        <w:rPr>
          <w:sz w:val="20"/>
          <w:lang w:val="lv-LV"/>
        </w:rPr>
        <w:t> </w:t>
      </w:r>
      <w:r w:rsidRPr="00D57B63">
        <w:rPr>
          <w:sz w:val="20"/>
          <w:lang w:val="lv-LV"/>
        </w:rPr>
        <w:t>rīkojums Nr. 422. https://likumi.lv/ta/id/343565-par-</w:t>
      </w:r>
      <w:r w:rsidRPr="00B11C2D">
        <w:rPr>
          <w:iCs/>
          <w:sz w:val="20"/>
          <w:lang w:val="lv-LV"/>
        </w:rPr>
        <w:t>eiropa</w:t>
      </w:r>
      <w:r w:rsidRPr="00D57B63">
        <w:rPr>
          <w:sz w:val="20"/>
          <w:lang w:val="lv-LV"/>
        </w:rPr>
        <w:t>s-savienibas-atveselosanas-un-noturibas-mehanisma-plana-2-komponentes-digitala-transformacija-21-reformu-un-investiciju-virziena-valsts-parvaldes-tai-skaita-pasvaldibu-digitala-transformacija-2121i-investicijas-parvaldes-centralizetas-platformas-un-sistemas-projekta-nacionala-digitalo-pakalpojumu-koplietosanas-centrala-platforma-klientcentretiem-un-proaktiviem-e-pakalpojumiem-sabiedribai-blatvijabblvb-pases-centralizetas-funkcijas-vai-koplietosanas-pakalpojumu-attistibas-planu-apstiprinasanu?&amp;search=on</w:t>
      </w:r>
    </w:p>
  </w:footnote>
  <w:footnote w:id="73">
    <w:p w14:paraId="2921A5ED" w14:textId="77777777" w:rsidR="00145F2B" w:rsidRPr="00E70280" w:rsidRDefault="00145F2B" w:rsidP="00145F2B">
      <w:pPr>
        <w:pStyle w:val="FootnoteText"/>
        <w:rPr>
          <w:lang w:val="lv-LV"/>
        </w:rPr>
      </w:pPr>
      <w:r w:rsidRPr="7D9898B5">
        <w:rPr>
          <w:vertAlign w:val="superscript"/>
          <w:lang w:val="lv-LV"/>
        </w:rPr>
        <w:footnoteRef/>
      </w:r>
      <w:r w:rsidRPr="00E70280">
        <w:rPr>
          <w:lang w:val="lv-LV"/>
        </w:rPr>
        <w:t xml:space="preserve"> MK 2017. gada 4. jūlija noteikumu Nr. 399 “Valsts pārvaldes pakalpojumu uzskaites, kvalitātes kontroles un sniegšanas kārtība” 2.2. apakšpunkts.</w:t>
      </w:r>
    </w:p>
  </w:footnote>
  <w:footnote w:id="74">
    <w:p w14:paraId="0AE74ECA" w14:textId="77777777" w:rsidR="00145F2B" w:rsidRPr="00FE40B5" w:rsidRDefault="00145F2B" w:rsidP="00145F2B">
      <w:pPr>
        <w:pStyle w:val="FootnoteText"/>
        <w:rPr>
          <w:lang w:val="lv-LV"/>
        </w:rPr>
      </w:pPr>
      <w:r>
        <w:rPr>
          <w:rStyle w:val="FootnoteReference"/>
        </w:rPr>
        <w:footnoteRef/>
      </w:r>
      <w:r w:rsidRPr="0061425B">
        <w:rPr>
          <w:lang w:val="lv-LV"/>
        </w:rPr>
        <w:t xml:space="preserve"> </w:t>
      </w:r>
      <w:r>
        <w:rPr>
          <w:lang w:val="lv-LV"/>
        </w:rPr>
        <w:t>Nozaru projektu saraksts tiks papildināts atbilstoši iestāžu sniegtajai informācijai.</w:t>
      </w:r>
    </w:p>
  </w:footnote>
  <w:footnote w:id="75">
    <w:p w14:paraId="66C65F1E" w14:textId="2B69ABCE" w:rsidR="00145F2B" w:rsidRPr="00D84245" w:rsidRDefault="00145F2B" w:rsidP="00145F2B">
      <w:pPr>
        <w:pStyle w:val="FootnoteText"/>
        <w:spacing w:after="0"/>
        <w:ind w:left="0" w:firstLine="0"/>
        <w:rPr>
          <w:lang w:val="lv-LV"/>
        </w:rPr>
      </w:pPr>
      <w:r>
        <w:rPr>
          <w:rStyle w:val="FootnoteReference"/>
        </w:rPr>
        <w:footnoteRef/>
      </w:r>
      <w:r w:rsidRPr="002A1955">
        <w:rPr>
          <w:lang w:val="lv-LV"/>
        </w:rPr>
        <w:t xml:space="preserve"> </w:t>
      </w:r>
      <w:r>
        <w:rPr>
          <w:lang w:val="lv-LV"/>
        </w:rPr>
        <w:t>Nozaru projektu kopsumma noteikta ņemot vērā visus iesniegtos projektus (p</w:t>
      </w:r>
      <w:r w:rsidR="00AE473A">
        <w:rPr>
          <w:lang w:val="lv-LV"/>
        </w:rPr>
        <w:t>r</w:t>
      </w:r>
      <w:r>
        <w:rPr>
          <w:lang w:val="lv-LV"/>
        </w:rPr>
        <w:t xml:space="preserve">ojektu pases) neatkarīgi no saskaņošanas statusa. </w:t>
      </w:r>
    </w:p>
  </w:footnote>
  <w:footnote w:id="76">
    <w:p w14:paraId="633BE387" w14:textId="77777777" w:rsidR="00145F2B" w:rsidRPr="006B63AD" w:rsidRDefault="00145F2B" w:rsidP="00800B4E">
      <w:pPr>
        <w:pStyle w:val="FootnoteText"/>
        <w:spacing w:after="0"/>
        <w:ind w:left="0" w:firstLine="0"/>
        <w:rPr>
          <w:lang w:val="lv-LV"/>
        </w:rPr>
      </w:pPr>
      <w:r>
        <w:rPr>
          <w:rStyle w:val="FootnoteReference"/>
        </w:rPr>
        <w:footnoteRef/>
      </w:r>
      <w:r>
        <w:t xml:space="preserve"> </w:t>
      </w:r>
      <w:r w:rsidRPr="00682FEA">
        <w:rPr>
          <w:i/>
          <w:iCs/>
          <w:lang w:val="lv-LV"/>
        </w:rPr>
        <w:t>eGovernment Benchmark Method Paper 2020-2023</w:t>
      </w:r>
      <w:r>
        <w:rPr>
          <w:lang w:val="lv-LV"/>
        </w:rPr>
        <w:t xml:space="preserve">. </w:t>
      </w:r>
      <w:r w:rsidRPr="006B63AD">
        <w:rPr>
          <w:lang w:val="lv-LV"/>
        </w:rPr>
        <w:t>https://op.europa.eu/en/publication-detail/-/publication/333fe21f-4372-11ec-89db-01aa75ed71a1</w:t>
      </w:r>
    </w:p>
  </w:footnote>
  <w:footnote w:id="77">
    <w:p w14:paraId="0B94A5E3" w14:textId="77777777" w:rsidR="00145F2B" w:rsidRPr="002541AE" w:rsidRDefault="00145F2B" w:rsidP="00145F2B">
      <w:pPr>
        <w:pStyle w:val="FootnoteText"/>
        <w:spacing w:after="0"/>
        <w:rPr>
          <w:lang w:val="lv-LV"/>
        </w:rPr>
      </w:pPr>
      <w:r>
        <w:rPr>
          <w:rStyle w:val="FootnoteReference"/>
        </w:rPr>
        <w:footnoteRef/>
      </w:r>
      <w:r w:rsidRPr="00DA6093">
        <w:rPr>
          <w:lang w:val="es-ES"/>
        </w:rPr>
        <w:t xml:space="preserve"> </w:t>
      </w:r>
      <w:r w:rsidRPr="00DA6093">
        <w:rPr>
          <w:lang w:val="es-ES"/>
        </w:rPr>
        <w:t xml:space="preserve">eIDAS regula – </w:t>
      </w:r>
      <w:hyperlink r:id="rId26" w:history="1">
        <w:r w:rsidRPr="00DA6093">
          <w:rPr>
            <w:rStyle w:val="Hyperlink"/>
            <w:lang w:val="es-ES"/>
          </w:rPr>
          <w:t>https://eur-lex.europa.eu/eli/reg/2014/910/oj/?locale=LV</w:t>
        </w:r>
      </w:hyperlink>
    </w:p>
  </w:footnote>
  <w:footnote w:id="78">
    <w:p w14:paraId="60ACA1E5" w14:textId="25AE2800" w:rsidR="00145F2B" w:rsidRPr="00D11AB6" w:rsidRDefault="00145F2B" w:rsidP="00145F2B">
      <w:pPr>
        <w:pStyle w:val="FootnoteText"/>
        <w:spacing w:after="0"/>
        <w:rPr>
          <w:lang w:val="lv-LV"/>
        </w:rPr>
      </w:pPr>
      <w:r>
        <w:rPr>
          <w:rStyle w:val="FootnoteReference"/>
        </w:rPr>
        <w:footnoteRef/>
      </w:r>
      <w:r w:rsidR="00E82206">
        <w:rPr>
          <w:lang w:val="lv-LV"/>
        </w:rPr>
        <w:t> </w:t>
      </w:r>
      <w:r w:rsidRPr="00C70AA0">
        <w:rPr>
          <w:lang w:val="lv-LV"/>
        </w:rPr>
        <w:t>Informatīvais ziņojums “Par Vienotās digitālās vārtejas prasību ieviešanu”, 15.lpp</w:t>
      </w:r>
      <w:r>
        <w:rPr>
          <w:lang w:val="lv-LV"/>
        </w:rPr>
        <w:t xml:space="preserve">: </w:t>
      </w:r>
      <w:r w:rsidRPr="00F54ADF">
        <w:rPr>
          <w:lang w:val="lv-LV"/>
        </w:rPr>
        <w:t>https://tap.mk.gov.lv/mk/tap/?pid=40479896</w:t>
      </w:r>
      <w:r w:rsidRPr="00F54ADF" w:rsidDel="00F54ADF">
        <w:rPr>
          <w:lang w:val="lv-LV"/>
        </w:rPr>
        <w:t xml:space="preserve"> </w:t>
      </w:r>
      <w:r w:rsidRPr="00C70AA0">
        <w:rPr>
          <w:lang w:val="lv-LV"/>
        </w:rPr>
        <w:t>.</w:t>
      </w:r>
    </w:p>
  </w:footnote>
  <w:footnote w:id="79">
    <w:p w14:paraId="59CBC361" w14:textId="4047279C" w:rsidR="00145F2B" w:rsidRPr="00434C7A" w:rsidRDefault="00145F2B" w:rsidP="00145F2B">
      <w:pPr>
        <w:pStyle w:val="FootnoteText"/>
        <w:spacing w:after="0"/>
        <w:rPr>
          <w:lang w:val="lv-LV"/>
        </w:rPr>
      </w:pPr>
      <w:r>
        <w:rPr>
          <w:rStyle w:val="FootnoteReference"/>
        </w:rPr>
        <w:footnoteRef/>
      </w:r>
      <w:r w:rsidR="00E82206">
        <w:rPr>
          <w:lang w:val="lv-LV"/>
        </w:rPr>
        <w:t> </w:t>
      </w:r>
      <w:r w:rsidRPr="00C70AA0">
        <w:rPr>
          <w:lang w:val="lv-LV"/>
        </w:rPr>
        <w:t>Informatīvais ziņojums “Par Vienotās digitālās vārtejas prasību ieviešanu” 16.lpp.</w:t>
      </w:r>
      <w:r>
        <w:rPr>
          <w:lang w:val="lv-LV"/>
        </w:rPr>
        <w:t xml:space="preserve">: </w:t>
      </w:r>
      <w:r w:rsidRPr="00B53986">
        <w:rPr>
          <w:lang w:val="lv-LV"/>
        </w:rPr>
        <w:t>https://tap.mk.gov.lv/mk/tap/?pid=40479896</w:t>
      </w:r>
      <w:r w:rsidRPr="00C70AA0">
        <w:rPr>
          <w:lang w:val="lv-LV"/>
        </w:rPr>
        <w:t xml:space="preserve"> </w:t>
      </w:r>
    </w:p>
  </w:footnote>
  <w:footnote w:id="80">
    <w:p w14:paraId="79133D5F" w14:textId="77777777" w:rsidR="00145F2B" w:rsidRDefault="00145F2B" w:rsidP="00145F2B">
      <w:pPr>
        <w:rPr>
          <w:sz w:val="20"/>
          <w:lang w:val="lv-LV"/>
        </w:rPr>
      </w:pPr>
      <w:r w:rsidRPr="7D9898B5">
        <w:rPr>
          <w:vertAlign w:val="superscript"/>
        </w:rPr>
        <w:footnoteRef/>
      </w:r>
      <w:r w:rsidRPr="00427CE4">
        <w:rPr>
          <w:szCs w:val="24"/>
          <w:lang w:val="lv-LV"/>
        </w:rPr>
        <w:t xml:space="preserve"> </w:t>
      </w:r>
      <w:r w:rsidRPr="7D9898B5">
        <w:rPr>
          <w:sz w:val="20"/>
          <w:lang w:val="lv-LV"/>
        </w:rPr>
        <w:t>EP un Padomes 2018. gada 2. oktobra Regula (ES) 2018/1724, ar ko izveido vienotu digitālo vārteju, lai sniegtu piekļuvi informācijai, procedūrām un palīdzības un problēmu risināšanas pakalpojumiem, un ar ko groza Regulu (ES) Nr. 1024/2012</w:t>
      </w:r>
    </w:p>
  </w:footnote>
  <w:footnote w:id="81">
    <w:p w14:paraId="72265D3F" w14:textId="77777777" w:rsidR="00145F2B" w:rsidRPr="009A3817" w:rsidRDefault="00145F2B" w:rsidP="00145F2B">
      <w:pPr>
        <w:rPr>
          <w:sz w:val="20"/>
          <w:lang w:val="lv-LV"/>
        </w:rPr>
      </w:pPr>
      <w:r w:rsidRPr="009A3817">
        <w:rPr>
          <w:rStyle w:val="FootnoteReference"/>
          <w:sz w:val="20"/>
        </w:rPr>
        <w:footnoteRef/>
      </w:r>
      <w:r w:rsidRPr="009A3817">
        <w:rPr>
          <w:sz w:val="20"/>
          <w:lang w:val="lv-LV"/>
        </w:rPr>
        <w:t xml:space="preserve"> “Valsts pārvaldes klientu apmierinātības pētījums” tiek veikts ik gadu kopš 2015. gada. Pētījuma laikā tiek noskaidrots Latvijas iedzīvotāju apmierinātības līmenis, vērtējot valsts pārvaldes iestāžu darbu, attieksmi pret klientiem un sniegto pakalpojumu kvalitāti. Iegūtie rezultāti palīdz izvērtēt, kurās jomās un kādos aspektos nepieciešami uzlabojumi. Tāpat šie rezultāti sniedz ieskatu, kā mainījušies iedzīvotāju paradumi, izvēloties formātu saziņai ar valsts pārvaldi. “Valsts pārvaldes klientu apmierinātības pētījuma”  2023. gada laidiens vēl nav pieejams.</w:t>
      </w:r>
    </w:p>
    <w:p w14:paraId="44D41DEB" w14:textId="77777777" w:rsidR="00145F2B" w:rsidRPr="009A3817" w:rsidRDefault="00145F2B" w:rsidP="00145F2B">
      <w:pPr>
        <w:pStyle w:val="FootnoteText"/>
        <w:rPr>
          <w:lang w:val="lv-LV"/>
        </w:rPr>
      </w:pPr>
    </w:p>
  </w:footnote>
  <w:footnote w:id="82">
    <w:p w14:paraId="7E1FAEA0" w14:textId="77777777" w:rsidR="00A44152" w:rsidRPr="00614D5D" w:rsidRDefault="00A44152" w:rsidP="00A44152">
      <w:pPr>
        <w:pStyle w:val="FootnoteText"/>
        <w:spacing w:after="0"/>
        <w:rPr>
          <w:lang w:val="lv-LV"/>
        </w:rPr>
      </w:pPr>
      <w:r w:rsidRPr="00172BCC">
        <w:rPr>
          <w:rStyle w:val="FootnoteReference"/>
          <w:lang w:val="lv-LV"/>
        </w:rPr>
        <w:footnoteRef/>
      </w:r>
      <w:r w:rsidRPr="00172BCC">
        <w:rPr>
          <w:lang w:val="lv-LV"/>
        </w:rPr>
        <w:t xml:space="preserve"> Pasākums attiecas uz publisko pakalpojumu sniegšanas nodrošināšanu gan iedzīvotājiem, gan komersantiem.</w:t>
      </w:r>
    </w:p>
  </w:footnote>
  <w:footnote w:id="83">
    <w:p w14:paraId="207B2BFC" w14:textId="61922FD8" w:rsidR="00A44152" w:rsidRPr="006624D2" w:rsidRDefault="00A44152" w:rsidP="00A44152">
      <w:pPr>
        <w:pStyle w:val="FootnoteText"/>
        <w:spacing w:after="0"/>
        <w:rPr>
          <w:lang w:val="lv-LV"/>
        </w:rPr>
      </w:pPr>
      <w:r>
        <w:rPr>
          <w:rStyle w:val="FootnoteReference"/>
        </w:rPr>
        <w:footnoteRef/>
      </w:r>
      <w:r w:rsidRPr="006624D2">
        <w:rPr>
          <w:lang w:val="lv-LV"/>
        </w:rPr>
        <w:t xml:space="preserve"> </w:t>
      </w:r>
      <w:r w:rsidR="00FD6D07">
        <w:rPr>
          <w:lang w:val="lv-LV"/>
        </w:rPr>
        <w:t xml:space="preserve">Par TOOP projektu: </w:t>
      </w:r>
      <w:hyperlink r:id="rId27" w:history="1">
        <w:r w:rsidR="00FD6D07" w:rsidRPr="00FD6D07">
          <w:rPr>
            <w:rStyle w:val="Hyperlink"/>
            <w:lang w:val="lv-LV"/>
          </w:rPr>
          <w:t>https://toop.eu/once-only</w:t>
        </w:r>
      </w:hyperlink>
    </w:p>
    <w:p w14:paraId="30531FC4" w14:textId="77777777" w:rsidR="00A44152" w:rsidRPr="00F60F00" w:rsidRDefault="00A44152" w:rsidP="00A44152">
      <w:pPr>
        <w:pStyle w:val="FootnoteText"/>
        <w:spacing w:after="0"/>
        <w:rPr>
          <w:lang w:val="lv-LV"/>
        </w:rPr>
      </w:pPr>
    </w:p>
  </w:footnote>
  <w:footnote w:id="84">
    <w:p w14:paraId="7FF66509" w14:textId="77777777" w:rsidR="00A44152" w:rsidRPr="00113F59" w:rsidRDefault="00A44152" w:rsidP="00A44152">
      <w:pPr>
        <w:pStyle w:val="FootnoteText"/>
        <w:spacing w:after="0"/>
        <w:ind w:left="0" w:firstLine="0"/>
        <w:rPr>
          <w:lang w:val="lv-LV"/>
        </w:rPr>
      </w:pPr>
      <w:r w:rsidRPr="00113F59">
        <w:rPr>
          <w:rStyle w:val="FootnoteReference"/>
          <w:lang w:val="lv-LV"/>
        </w:rPr>
        <w:footnoteRef/>
      </w:r>
      <w:r w:rsidRPr="00113F59">
        <w:rPr>
          <w:lang w:val="lv-LV"/>
        </w:rPr>
        <w:t xml:space="preserve"> Eiropas Parlamenta un Padomes regula (ES) Nr. 910/2014 par elektronisko identifikāciju un uzticamības pakalpojumiem elektronisko darījumu veikšanai iekšējā tirgū un ar ko atceļ Direktīvu 1999/93/EK</w:t>
      </w:r>
    </w:p>
  </w:footnote>
  <w:footnote w:id="85">
    <w:p w14:paraId="2A8F0B5F" w14:textId="77777777" w:rsidR="00A44152" w:rsidRPr="009A3817" w:rsidRDefault="00A44152" w:rsidP="00113F59">
      <w:pPr>
        <w:ind w:firstLine="0"/>
        <w:rPr>
          <w:sz w:val="20"/>
          <w:lang w:val="lv-LV"/>
        </w:rPr>
      </w:pPr>
      <w:r w:rsidRPr="00113F59">
        <w:rPr>
          <w:rStyle w:val="FootnoteReference"/>
          <w:sz w:val="20"/>
          <w:lang w:val="lv-LV"/>
        </w:rPr>
        <w:footnoteRef/>
      </w:r>
      <w:r w:rsidRPr="00113F59">
        <w:rPr>
          <w:sz w:val="20"/>
          <w:lang w:val="lv-LV"/>
        </w:rPr>
        <w:t xml:space="preserve"> “Valsts pārvaldes klientu apmierinātības pētījums” Latvijā tiek veikts ik gadu kopš 2015. gada. Pētījuma laikā tiek noskaidrots Latvijas iedzīvotāju apmierinātības līmenis, vērtējot valsts pārvaldes iestāžu darbu, attieksmi pret klientiem un sniegto pakalpojumu kvalitāti</w:t>
      </w:r>
      <w:r w:rsidRPr="009A3817">
        <w:rPr>
          <w:sz w:val="20"/>
          <w:lang w:val="lv-LV"/>
        </w:rPr>
        <w:t>. Iegūtie rezultāti palīdz izvērtēt, kurās jomās un kādos aspektos nepieciešami uzlabojumi. Tāpat šie rezultāti sniedz ieskatu, kā mainījušies iedzīvotāju paradumi, izvēloties formātu saziņai ar valsts pārvaldi. “Valsts pārvaldes klientu apmierinātības pētījuma”  2023. gada laidiens vēl nav pieejams.</w:t>
      </w:r>
    </w:p>
    <w:p w14:paraId="4CB41427" w14:textId="77777777" w:rsidR="00A44152" w:rsidRPr="009A3817" w:rsidRDefault="00A44152" w:rsidP="00A44152">
      <w:pPr>
        <w:pStyle w:val="FootnoteText"/>
        <w:rPr>
          <w:lang w:val="lv-LV"/>
        </w:rPr>
      </w:pPr>
    </w:p>
  </w:footnote>
  <w:footnote w:id="86">
    <w:p w14:paraId="665F26A7" w14:textId="77777777" w:rsidR="003D6E20" w:rsidRPr="001E0AFE" w:rsidRDefault="003D6E20" w:rsidP="003D6E20">
      <w:pPr>
        <w:pStyle w:val="FootnoteText"/>
        <w:rPr>
          <w:lang w:val="lv-LV"/>
        </w:rPr>
      </w:pPr>
      <w:r>
        <w:rPr>
          <w:rStyle w:val="FootnoteReference"/>
        </w:rPr>
        <w:footnoteRef/>
      </w:r>
      <w:r w:rsidRPr="001E0AFE">
        <w:rPr>
          <w:lang w:val="lv-LV"/>
        </w:rPr>
        <w:t xml:space="preserve"> </w:t>
      </w:r>
      <w:r w:rsidRPr="00D53692">
        <w:rPr>
          <w:lang w:val="lv-LV"/>
        </w:rPr>
        <w:t>https://tapportals.mk.gov.lv/legal_acts/ca84fcc7-3f49-4ac1-a75a-418b6da1f483</w:t>
      </w:r>
    </w:p>
  </w:footnote>
  <w:footnote w:id="87">
    <w:p w14:paraId="6B5AD325" w14:textId="77777777" w:rsidR="003D6E20" w:rsidRPr="001E0AFE" w:rsidRDefault="003D6E20" w:rsidP="003D6E20">
      <w:pPr>
        <w:pStyle w:val="FootnoteText"/>
        <w:ind w:left="0" w:firstLine="0"/>
        <w:rPr>
          <w:lang w:val="lv-LV"/>
        </w:rPr>
      </w:pPr>
      <w:r>
        <w:rPr>
          <w:rStyle w:val="FootnoteReference"/>
        </w:rPr>
        <w:footnoteRef/>
      </w:r>
      <w:r w:rsidRPr="001E0AFE">
        <w:rPr>
          <w:lang w:val="lv-LV"/>
        </w:rPr>
        <w:t xml:space="preserve"> </w:t>
      </w:r>
      <w:r>
        <w:rPr>
          <w:lang w:val="lv-LV"/>
        </w:rPr>
        <w:t>MK</w:t>
      </w:r>
      <w:r w:rsidRPr="00CE20D9">
        <w:rPr>
          <w:lang w:val="lv-LV"/>
        </w:rPr>
        <w:t xml:space="preserve"> 2023. gada 13. jūnija noteikum</w:t>
      </w:r>
      <w:r>
        <w:rPr>
          <w:lang w:val="lv-LV"/>
        </w:rPr>
        <w:t>i</w:t>
      </w:r>
      <w:r w:rsidRPr="00CE20D9">
        <w:rPr>
          <w:lang w:val="lv-LV"/>
        </w:rPr>
        <w:t xml:space="preserve"> Nr. 305</w:t>
      </w:r>
      <w:r>
        <w:rPr>
          <w:lang w:val="lv-LV"/>
        </w:rPr>
        <w:t xml:space="preserve"> “</w:t>
      </w:r>
      <w:r w:rsidRPr="00CE20D9">
        <w:rPr>
          <w:lang w:val="lv-LV"/>
        </w:rPr>
        <w:t>Noteikumi par valsts profesionālās augstākās izglītības standartu</w:t>
      </w:r>
      <w:r>
        <w:rPr>
          <w:lang w:val="lv-LV"/>
        </w:rPr>
        <w:t>”</w:t>
      </w:r>
    </w:p>
  </w:footnote>
  <w:footnote w:id="88">
    <w:p w14:paraId="745BCF8D" w14:textId="77777777" w:rsidR="003D6E20" w:rsidRPr="001E0AFE" w:rsidRDefault="003D6E20" w:rsidP="003D6E20">
      <w:pPr>
        <w:pStyle w:val="FootnoteText"/>
        <w:rPr>
          <w:lang w:val="lv-LV"/>
        </w:rPr>
      </w:pPr>
      <w:r>
        <w:rPr>
          <w:rStyle w:val="FootnoteReference"/>
        </w:rPr>
        <w:footnoteRef/>
      </w:r>
      <w:r w:rsidRPr="001E0AFE">
        <w:rPr>
          <w:lang w:val="lv-LV"/>
        </w:rPr>
        <w:t xml:space="preserve"> https://digital-strategy.ec.europa.eu/en/policies/desi-latvia</w:t>
      </w:r>
    </w:p>
  </w:footnote>
  <w:footnote w:id="89">
    <w:p w14:paraId="0136472B" w14:textId="77777777" w:rsidR="003D6E20" w:rsidRPr="00006F5C" w:rsidRDefault="003D6E20" w:rsidP="003D6E20">
      <w:pPr>
        <w:pStyle w:val="FootnoteText"/>
        <w:ind w:left="0" w:firstLine="0"/>
        <w:rPr>
          <w:lang w:val="lv-LV"/>
        </w:rPr>
      </w:pPr>
      <w:r>
        <w:rPr>
          <w:rStyle w:val="FootnoteReference"/>
        </w:rPr>
        <w:footnoteRef/>
      </w:r>
      <w:r w:rsidRPr="00006F5C">
        <w:rPr>
          <w:lang w:val="lv-LV"/>
        </w:rPr>
        <w:t xml:space="preserve"> Priekšlikums Eiropas Parlamenta un Padomes regula par Eiropas veselības datu telpu: </w:t>
      </w:r>
      <w:hyperlink r:id="rId28" w:history="1">
        <w:r w:rsidRPr="00006F5C">
          <w:rPr>
            <w:rStyle w:val="Hyperlink"/>
            <w:lang w:val="lv-LV"/>
          </w:rPr>
          <w:t>https://eur-lex.europa.eu/legal-content/LV/TXT/HTML/?uri=CELEX:52022PC0197</w:t>
        </w:r>
      </w:hyperlink>
    </w:p>
    <w:p w14:paraId="1A54E250" w14:textId="77777777" w:rsidR="003D6E20" w:rsidRPr="004046E8" w:rsidRDefault="003D6E20" w:rsidP="003D6E20">
      <w:pPr>
        <w:pStyle w:val="FootnoteText"/>
        <w:ind w:left="0" w:firstLine="0"/>
        <w:rPr>
          <w:lang w:val="lv-LV"/>
        </w:rPr>
      </w:pPr>
    </w:p>
  </w:footnote>
  <w:footnote w:id="90">
    <w:p w14:paraId="4D247931" w14:textId="1ACFE706" w:rsidR="00513B62" w:rsidRPr="00513B62" w:rsidRDefault="00513B62" w:rsidP="006C53ED">
      <w:pPr>
        <w:pStyle w:val="FootnoteText"/>
        <w:ind w:left="0" w:firstLine="0"/>
        <w:rPr>
          <w:lang w:val="lv-LV"/>
        </w:rPr>
      </w:pPr>
      <w:r>
        <w:rPr>
          <w:rStyle w:val="FootnoteReference"/>
        </w:rPr>
        <w:footnoteRef/>
      </w:r>
      <w:r w:rsidRPr="00513B62">
        <w:rPr>
          <w:lang w:val="lv-LV"/>
        </w:rPr>
        <w:t xml:space="preserve"> </w:t>
      </w:r>
      <w:r w:rsidR="006C53ED" w:rsidRPr="006C53ED">
        <w:rPr>
          <w:lang w:val="lv-LV"/>
        </w:rPr>
        <w:t xml:space="preserve">Priekšlikums Eiropas Parlamenta un Padomes regula ar ko Regulu (ES) Nr. 910/2014 groza attiecībā uz Eiropas digitālās identitātes regulējuma izveidi </w:t>
      </w:r>
      <w:r w:rsidR="003E6491" w:rsidRPr="006C53ED">
        <w:rPr>
          <w:lang w:val="lv-LV"/>
        </w:rPr>
        <w:t>COM</w:t>
      </w:r>
      <w:r w:rsidR="0074151D" w:rsidRPr="006C53ED">
        <w:rPr>
          <w:lang w:val="lv-LV"/>
        </w:rPr>
        <w:t xml:space="preserve"> (</w:t>
      </w:r>
      <w:r w:rsidR="003E6491" w:rsidRPr="006C53ED">
        <w:rPr>
          <w:lang w:val="lv-LV"/>
        </w:rPr>
        <w:t>2021</w:t>
      </w:r>
      <w:r w:rsidR="0074151D" w:rsidRPr="006C53ED">
        <w:rPr>
          <w:lang w:val="lv-LV"/>
        </w:rPr>
        <w:t xml:space="preserve">) </w:t>
      </w:r>
      <w:r w:rsidR="003E6491" w:rsidRPr="006C53ED">
        <w:rPr>
          <w:lang w:val="lv-LV"/>
        </w:rPr>
        <w:t xml:space="preserve">281 </w:t>
      </w:r>
      <w:r w:rsidR="003E6491" w:rsidRPr="006C53ED">
        <w:rPr>
          <w:lang w:val="lv-LV"/>
        </w:rPr>
        <w:t>final</w:t>
      </w:r>
    </w:p>
  </w:footnote>
  <w:footnote w:id="91">
    <w:p w14:paraId="3F16E92B" w14:textId="77777777" w:rsidR="00CF5B1D" w:rsidRPr="00C04EE3" w:rsidRDefault="00CF5B1D" w:rsidP="00CF5B1D">
      <w:pPr>
        <w:pStyle w:val="FootnoteText"/>
        <w:ind w:left="0" w:firstLine="0"/>
        <w:rPr>
          <w:lang w:val="lv-LV"/>
        </w:rPr>
      </w:pPr>
      <w:r w:rsidRPr="003116EB">
        <w:rPr>
          <w:rStyle w:val="FootnoteReference"/>
        </w:rPr>
        <w:footnoteRef/>
      </w:r>
      <w:r w:rsidRPr="00C04EE3">
        <w:rPr>
          <w:lang w:val="lv-LV"/>
        </w:rPr>
        <w:t xml:space="preserve"> </w:t>
      </w:r>
      <w:hyperlink r:id="rId29" w:history="1">
        <w:r w:rsidRPr="00C04EE3">
          <w:rPr>
            <w:rStyle w:val="Hyperlink"/>
            <w:lang w:val="lv-LV"/>
          </w:rPr>
          <w:t>https://ec.europa.eu/digital-building-blocks/wikis/display/EIDCOMMUNITY/Latvia</w:t>
        </w:r>
      </w:hyperlink>
      <w:r w:rsidRPr="00C04EE3">
        <w:rPr>
          <w:lang w:val="lv-LV"/>
        </w:rPr>
        <w:t xml:space="preserve"> </w:t>
      </w:r>
    </w:p>
  </w:footnote>
  <w:footnote w:id="92">
    <w:p w14:paraId="6CFBEE49" w14:textId="77777777" w:rsidR="00CF5B1D" w:rsidRPr="004634E0" w:rsidRDefault="00CF5B1D" w:rsidP="00CF5B1D">
      <w:pPr>
        <w:pStyle w:val="FootnoteText"/>
        <w:ind w:left="0" w:firstLine="0"/>
        <w:rPr>
          <w:lang w:val="lv-LV"/>
        </w:rPr>
      </w:pPr>
      <w:r>
        <w:rPr>
          <w:rStyle w:val="FootnoteReference"/>
        </w:rPr>
        <w:footnoteRef/>
      </w:r>
      <w:r w:rsidRPr="004634E0">
        <w:rPr>
          <w:lang w:val="lv-LV"/>
        </w:rPr>
        <w:t xml:space="preserve"> </w:t>
      </w:r>
      <w:r>
        <w:rPr>
          <w:lang w:val="lv-LV"/>
        </w:rPr>
        <w:t xml:space="preserve">Informācija par </w:t>
      </w:r>
      <w:r w:rsidRPr="00493258">
        <w:rPr>
          <w:lang w:val="lv-LV"/>
        </w:rPr>
        <w:t xml:space="preserve">Ziemeļvalstu un Baltijas </w:t>
      </w:r>
      <w:r w:rsidRPr="00493258">
        <w:rPr>
          <w:lang w:val="lv-LV"/>
        </w:rPr>
        <w:t>eID projekt</w:t>
      </w:r>
      <w:r>
        <w:rPr>
          <w:lang w:val="lv-LV"/>
        </w:rPr>
        <w:t xml:space="preserve">u pieejama šeit: </w:t>
      </w:r>
      <w:r w:rsidRPr="00E956B7">
        <w:rPr>
          <w:lang w:val="lv-LV"/>
        </w:rPr>
        <w:t>https://www.digdir.no/digdir/nordic-baltic-eid-project-nobid/1342</w:t>
      </w:r>
      <w:r w:rsidRPr="00E956B7" w:rsidDel="00E956B7">
        <w:rPr>
          <w:lang w:val="lv-LV"/>
        </w:rPr>
        <w:t xml:space="preserve"> </w:t>
      </w:r>
    </w:p>
  </w:footnote>
  <w:footnote w:id="93">
    <w:p w14:paraId="17F1544B" w14:textId="77777777" w:rsidR="00CF5B1D" w:rsidRPr="00417C92" w:rsidRDefault="00CF5B1D" w:rsidP="00CF5B1D">
      <w:pPr>
        <w:pStyle w:val="FootnoteText"/>
        <w:ind w:left="0" w:firstLine="0"/>
        <w:rPr>
          <w:lang w:val="lv-LV"/>
        </w:rPr>
      </w:pPr>
      <w:r>
        <w:rPr>
          <w:rStyle w:val="FootnoteReference"/>
        </w:rPr>
        <w:footnoteRef/>
      </w:r>
      <w:r w:rsidRPr="00417C92">
        <w:rPr>
          <w:lang w:val="lv-LV"/>
        </w:rPr>
        <w:t xml:space="preserve"> </w:t>
      </w:r>
      <w:r>
        <w:rPr>
          <w:lang w:val="lv-LV"/>
        </w:rPr>
        <w:t xml:space="preserve">Paziņoto </w:t>
      </w:r>
      <w:r>
        <w:rPr>
          <w:lang w:val="lv-LV"/>
        </w:rPr>
        <w:t xml:space="preserve">eID shēmu saraksts pieejams šeit: </w:t>
      </w:r>
      <w:r w:rsidRPr="008838B8">
        <w:rPr>
          <w:lang w:val="lv-LV"/>
        </w:rPr>
        <w:t>https://ec.europa.eu/digital-building-blocks/wikis/display/EIDCOMMUNITY/Overview+of+pre-notified+and+notified+eID+schemes+under+eIDAS</w:t>
      </w:r>
    </w:p>
  </w:footnote>
  <w:footnote w:id="94">
    <w:p w14:paraId="203B78C5" w14:textId="2A798C7F" w:rsidR="00CF5B1D" w:rsidRPr="00A75DF7" w:rsidRDefault="00CF5B1D" w:rsidP="00CF5B1D">
      <w:pPr>
        <w:pStyle w:val="FootnoteText"/>
        <w:ind w:left="0" w:firstLine="0"/>
        <w:rPr>
          <w:lang w:val="lv-LV"/>
        </w:rPr>
      </w:pPr>
      <w:r>
        <w:rPr>
          <w:rStyle w:val="FootnoteReference"/>
        </w:rPr>
        <w:footnoteRef/>
      </w:r>
      <w:r w:rsidRPr="00A75DF7">
        <w:rPr>
          <w:lang w:val="lv-LV"/>
        </w:rPr>
        <w:t xml:space="preserve"> </w:t>
      </w:r>
      <w:r>
        <w:rPr>
          <w:lang w:val="lv-LV"/>
        </w:rPr>
        <w:t xml:space="preserve">Informācija par 2023. gada nacionālo un ES bāzes vērtību un ES </w:t>
      </w:r>
      <w:r>
        <w:rPr>
          <w:lang w:val="lv-LV"/>
        </w:rPr>
        <w:t xml:space="preserve">mērķrādītāju 2030.gadam pieejama </w:t>
      </w:r>
      <w:r w:rsidR="00C73A5D">
        <w:rPr>
          <w:lang w:val="lv-LV"/>
        </w:rPr>
        <w:t>EK</w:t>
      </w:r>
      <w:r>
        <w:rPr>
          <w:lang w:val="lv-LV"/>
        </w:rPr>
        <w:t xml:space="preserve"> dienestu darba dokumenta </w:t>
      </w:r>
      <w:r w:rsidRPr="006B6D52">
        <w:rPr>
          <w:i/>
          <w:iCs/>
          <w:lang w:val="lv-LV"/>
        </w:rPr>
        <w:t>SWD(2023) 614 final</w:t>
      </w:r>
      <w:r>
        <w:rPr>
          <w:lang w:val="lv-LV"/>
        </w:rPr>
        <w:t xml:space="preserve"> “</w:t>
      </w:r>
      <w:r w:rsidRPr="006B6D52">
        <w:rPr>
          <w:lang w:val="lv-LV"/>
        </w:rPr>
        <w:t>2023. gada ziņojums par valsti – Latvija</w:t>
      </w:r>
      <w:r>
        <w:rPr>
          <w:lang w:val="lv-LV"/>
        </w:rPr>
        <w:t xml:space="preserve">”, pavaddokuments dokumentam “Ieteikums Padomes ieteikumam </w:t>
      </w:r>
      <w:r w:rsidRPr="006B6D52">
        <w:rPr>
          <w:lang w:val="lv-LV"/>
        </w:rPr>
        <w:t>par Latvijas 2023. gada valsts reformu programmu un ar ko sniedz Padomes atzinumu par Latvijas stabilitātes programmu</w:t>
      </w:r>
      <w:r>
        <w:rPr>
          <w:lang w:val="lv-LV"/>
        </w:rPr>
        <w:t xml:space="preserve">” 10 pielikumā, 54. lpp., </w:t>
      </w:r>
      <w:r w:rsidRPr="0075395A">
        <w:rPr>
          <w:lang w:val="lv-LV"/>
        </w:rPr>
        <w:t>https://eur-lex.europa.eu/legal-content/LV/TXT/PDF/?uri=CELEX:52023SC0614</w:t>
      </w:r>
    </w:p>
  </w:footnote>
  <w:footnote w:id="95">
    <w:p w14:paraId="2494E7E6" w14:textId="77777777" w:rsidR="00CF5B1D" w:rsidRPr="00BB3159" w:rsidRDefault="00CF5B1D" w:rsidP="00CF5B1D">
      <w:pPr>
        <w:pStyle w:val="FootnoteText"/>
        <w:rPr>
          <w:lang w:val="lv-LV"/>
        </w:rPr>
      </w:pPr>
      <w:r w:rsidRPr="003E7379">
        <w:rPr>
          <w:rStyle w:val="FootnoteReference"/>
        </w:rPr>
        <w:footnoteRef/>
      </w:r>
      <w:r w:rsidRPr="00805E17">
        <w:rPr>
          <w:lang w:val="lv-LV"/>
        </w:rPr>
        <w:t xml:space="preserve"> Pieejams Tiesību aktu projektu portālā </w:t>
      </w:r>
      <w:hyperlink r:id="rId30" w:history="1">
        <w:r w:rsidRPr="00805E17">
          <w:rPr>
            <w:rStyle w:val="Hyperlink"/>
            <w:lang w:val="lv-LV"/>
          </w:rPr>
          <w:t>https://tapportals.mk.gov.lv/structuralizer/data/nodes/316d7c58-2130-4b6f-ab27-1ef62ffc1347/preview</w:t>
        </w:r>
      </w:hyperlink>
      <w:r w:rsidRPr="00805E17">
        <w:rPr>
          <w:lang w:val="lv-LV"/>
        </w:rPr>
        <w:t xml:space="preserve">. </w:t>
      </w:r>
      <w:r w:rsidRPr="00BB3159">
        <w:rPr>
          <w:lang w:val="lv-LV"/>
        </w:rPr>
        <w:t xml:space="preserve">Informatīvo ziņojumu sagatavoja </w:t>
      </w:r>
      <w:r>
        <w:rPr>
          <w:lang w:val="lv-LV"/>
        </w:rPr>
        <w:t>SM</w:t>
      </w:r>
      <w:r w:rsidRPr="00BB3159">
        <w:rPr>
          <w:lang w:val="lv-LV"/>
        </w:rPr>
        <w:t>.</w:t>
      </w:r>
    </w:p>
  </w:footnote>
  <w:footnote w:id="96">
    <w:p w14:paraId="7F911D38" w14:textId="77777777" w:rsidR="00CF5B1D" w:rsidRDefault="00CF5B1D" w:rsidP="00CF5B1D">
      <w:pPr>
        <w:pStyle w:val="FootnoteText"/>
        <w:rPr>
          <w:lang w:val="lv-LV"/>
        </w:rPr>
      </w:pPr>
      <w:r>
        <w:rPr>
          <w:rStyle w:val="FootnoteReference"/>
        </w:rPr>
        <w:footnoteRef/>
      </w:r>
      <w:r w:rsidRPr="001C7A7A">
        <w:rPr>
          <w:lang w:val="lv-LV"/>
        </w:rPr>
        <w:t xml:space="preserve"> Latvijas  Nacionālā reformu programma 2023.gada progresa ziņojums: </w:t>
      </w:r>
      <w:hyperlink r:id="rId31" w:history="1">
        <w:r>
          <w:rPr>
            <w:rStyle w:val="Hyperlink"/>
            <w:lang w:val="lv-LV"/>
          </w:rPr>
          <w:t>https://commission.europa.eu/system/files/2023-04/Latvia_NRP_2023_LV.pdf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FFDC" w14:textId="28F801E6" w:rsidR="00CC13D4" w:rsidRPr="00316EB3" w:rsidRDefault="00CC13D4" w:rsidP="00CC13D4">
    <w:pPr>
      <w:pStyle w:val="Header"/>
      <w:jc w:val="right"/>
      <w:rPr>
        <w:b/>
        <w:bCs/>
        <w:sz w:val="28"/>
        <w:szCs w:val="22"/>
        <w:lang w:val="lv-LV"/>
      </w:rPr>
    </w:pPr>
    <w:r w:rsidRPr="00316EB3">
      <w:rPr>
        <w:b/>
        <w:bCs/>
        <w:sz w:val="28"/>
        <w:szCs w:val="22"/>
        <w:lang w:val="lv-LV"/>
      </w:rPr>
      <w:t>PROJEKTS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531C" w14:textId="1E32454D" w:rsidR="000A2B83" w:rsidRPr="00316EB3" w:rsidRDefault="000A2B83" w:rsidP="000A2B83">
    <w:pPr>
      <w:pStyle w:val="Header"/>
      <w:jc w:val="right"/>
      <w:rPr>
        <w:b/>
        <w:bCs/>
        <w:sz w:val="28"/>
        <w:szCs w:val="28"/>
        <w:lang w:val="lv-LV"/>
      </w:rPr>
    </w:pPr>
    <w:r w:rsidRPr="00316EB3">
      <w:rPr>
        <w:b/>
        <w:bCs/>
        <w:sz w:val="28"/>
        <w:szCs w:val="28"/>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078"/>
    <w:multiLevelType w:val="hybridMultilevel"/>
    <w:tmpl w:val="489CECC8"/>
    <w:lvl w:ilvl="0" w:tplc="5B8EE7E4">
      <w:start w:val="1"/>
      <w:numFmt w:val="bullet"/>
      <w:lvlRestart w:val="0"/>
      <w:lvlText w:val=""/>
      <w:lvlJc w:val="left"/>
      <w:pPr>
        <w:ind w:left="0" w:firstLine="705"/>
      </w:pPr>
      <w:rPr>
        <w:u w:val="none"/>
      </w:rPr>
    </w:lvl>
    <w:lvl w:ilvl="1" w:tplc="D36EBC6E">
      <w:start w:val="1"/>
      <w:numFmt w:val="bullet"/>
      <w:lvlRestart w:val="0"/>
      <w:lvlText w:val=""/>
      <w:lvlJc w:val="left"/>
      <w:pPr>
        <w:ind w:left="0" w:firstLine="705"/>
      </w:pPr>
      <w:rPr>
        <w:u w:val="none"/>
      </w:rPr>
    </w:lvl>
    <w:lvl w:ilvl="2" w:tplc="64E2AA96">
      <w:numFmt w:val="decimal"/>
      <w:lvlText w:val=""/>
      <w:lvlJc w:val="left"/>
    </w:lvl>
    <w:lvl w:ilvl="3" w:tplc="DF88178E">
      <w:numFmt w:val="decimal"/>
      <w:lvlText w:val=""/>
      <w:lvlJc w:val="left"/>
    </w:lvl>
    <w:lvl w:ilvl="4" w:tplc="F712221C">
      <w:numFmt w:val="decimal"/>
      <w:lvlText w:val=""/>
      <w:lvlJc w:val="left"/>
    </w:lvl>
    <w:lvl w:ilvl="5" w:tplc="052CDE16">
      <w:numFmt w:val="decimal"/>
      <w:lvlText w:val=""/>
      <w:lvlJc w:val="left"/>
    </w:lvl>
    <w:lvl w:ilvl="6" w:tplc="9AFC49C8">
      <w:numFmt w:val="decimal"/>
      <w:lvlText w:val=""/>
      <w:lvlJc w:val="left"/>
    </w:lvl>
    <w:lvl w:ilvl="7" w:tplc="F4CE3622">
      <w:numFmt w:val="decimal"/>
      <w:lvlText w:val=""/>
      <w:lvlJc w:val="left"/>
    </w:lvl>
    <w:lvl w:ilvl="8" w:tplc="28A24CA2">
      <w:numFmt w:val="decimal"/>
      <w:lvlText w:val=""/>
      <w:lvlJc w:val="left"/>
    </w:lvl>
  </w:abstractNum>
  <w:abstractNum w:abstractNumId="1" w15:restartNumberingAfterBreak="0">
    <w:nsid w:val="0A2900F7"/>
    <w:multiLevelType w:val="multilevel"/>
    <w:tmpl w:val="6A3A9B4E"/>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A836CF2"/>
    <w:multiLevelType w:val="multilevel"/>
    <w:tmpl w:val="B050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87108"/>
    <w:multiLevelType w:val="hybridMultilevel"/>
    <w:tmpl w:val="28CECB26"/>
    <w:lvl w:ilvl="0" w:tplc="04260003">
      <w:start w:val="1"/>
      <w:numFmt w:val="bullet"/>
      <w:lvlText w:val="o"/>
      <w:lvlJc w:val="left"/>
      <w:pPr>
        <w:ind w:left="2520" w:hanging="360"/>
      </w:pPr>
      <w:rPr>
        <w:rFonts w:ascii="Courier New" w:hAnsi="Courier New" w:cs="Courier New" w:hint="default"/>
      </w:rPr>
    </w:lvl>
    <w:lvl w:ilvl="1" w:tplc="04260003">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4" w15:restartNumberingAfterBreak="0">
    <w:nsid w:val="0D151719"/>
    <w:multiLevelType w:val="hybridMultilevel"/>
    <w:tmpl w:val="A9083F8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EFB7115"/>
    <w:multiLevelType w:val="multilevel"/>
    <w:tmpl w:val="3BAA5BDE"/>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0FA55C97"/>
    <w:multiLevelType w:val="hybridMultilevel"/>
    <w:tmpl w:val="CA6628A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19D593C"/>
    <w:multiLevelType w:val="multilevel"/>
    <w:tmpl w:val="A50C59D4"/>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1A21BA5"/>
    <w:multiLevelType w:val="hybridMultilevel"/>
    <w:tmpl w:val="5E5EB63E"/>
    <w:lvl w:ilvl="0" w:tplc="A0EE43A2">
      <w:start w:val="1"/>
      <w:numFmt w:val="bullet"/>
      <w:lvlText w:val="—"/>
      <w:lvlJc w:val="left"/>
      <w:pPr>
        <w:ind w:left="360" w:hanging="360"/>
      </w:pPr>
      <w:rPr>
        <w:rFonts w:ascii="Times New Roman" w:hAnsi="Times New Roman" w:cs="Times New Roman" w:hint="default"/>
      </w:rPr>
    </w:lvl>
    <w:lvl w:ilvl="1" w:tplc="210C2CDA">
      <w:start w:val="1"/>
      <w:numFmt w:val="bullet"/>
      <w:pStyle w:val="JRCTextbulletedlist2"/>
      <w:lvlText w:val="●"/>
      <w:lvlJc w:val="left"/>
      <w:pPr>
        <w:ind w:left="1080" w:hanging="360"/>
      </w:pPr>
      <w:rPr>
        <w:rFonts w:ascii="Verdana" w:hAnsi="Verdana"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0B7201"/>
    <w:multiLevelType w:val="multilevel"/>
    <w:tmpl w:val="52F0350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8345"/>
    <w:multiLevelType w:val="multilevel"/>
    <w:tmpl w:val="F676C41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62685D"/>
    <w:multiLevelType w:val="multilevel"/>
    <w:tmpl w:val="6052B49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41E0018"/>
    <w:multiLevelType w:val="hybridMultilevel"/>
    <w:tmpl w:val="87A64EB4"/>
    <w:lvl w:ilvl="0" w:tplc="04260003">
      <w:start w:val="1"/>
      <w:numFmt w:val="bullet"/>
      <w:lvlText w:val="o"/>
      <w:lvlJc w:val="left"/>
      <w:pPr>
        <w:ind w:left="1636" w:hanging="360"/>
      </w:pPr>
      <w:rPr>
        <w:rFonts w:ascii="Courier New" w:hAnsi="Courier New" w:cs="Courier New" w:hint="default"/>
      </w:rPr>
    </w:lvl>
    <w:lvl w:ilvl="1" w:tplc="04260003" w:tentative="1">
      <w:start w:val="1"/>
      <w:numFmt w:val="bullet"/>
      <w:lvlText w:val="o"/>
      <w:lvlJc w:val="left"/>
      <w:pPr>
        <w:ind w:left="2356" w:hanging="360"/>
      </w:pPr>
      <w:rPr>
        <w:rFonts w:ascii="Courier New" w:hAnsi="Courier New" w:cs="Courier New" w:hint="default"/>
      </w:rPr>
    </w:lvl>
    <w:lvl w:ilvl="2" w:tplc="04260005" w:tentative="1">
      <w:start w:val="1"/>
      <w:numFmt w:val="bullet"/>
      <w:lvlText w:val=""/>
      <w:lvlJc w:val="left"/>
      <w:pPr>
        <w:ind w:left="3076" w:hanging="360"/>
      </w:pPr>
      <w:rPr>
        <w:rFonts w:ascii="Wingdings" w:hAnsi="Wingdings" w:hint="default"/>
      </w:rPr>
    </w:lvl>
    <w:lvl w:ilvl="3" w:tplc="04260001" w:tentative="1">
      <w:start w:val="1"/>
      <w:numFmt w:val="bullet"/>
      <w:lvlText w:val=""/>
      <w:lvlJc w:val="left"/>
      <w:pPr>
        <w:ind w:left="3796" w:hanging="360"/>
      </w:pPr>
      <w:rPr>
        <w:rFonts w:ascii="Symbol" w:hAnsi="Symbol" w:hint="default"/>
      </w:rPr>
    </w:lvl>
    <w:lvl w:ilvl="4" w:tplc="04260003" w:tentative="1">
      <w:start w:val="1"/>
      <w:numFmt w:val="bullet"/>
      <w:lvlText w:val="o"/>
      <w:lvlJc w:val="left"/>
      <w:pPr>
        <w:ind w:left="4516" w:hanging="360"/>
      </w:pPr>
      <w:rPr>
        <w:rFonts w:ascii="Courier New" w:hAnsi="Courier New" w:cs="Courier New" w:hint="default"/>
      </w:rPr>
    </w:lvl>
    <w:lvl w:ilvl="5" w:tplc="04260005" w:tentative="1">
      <w:start w:val="1"/>
      <w:numFmt w:val="bullet"/>
      <w:lvlText w:val=""/>
      <w:lvlJc w:val="left"/>
      <w:pPr>
        <w:ind w:left="5236" w:hanging="360"/>
      </w:pPr>
      <w:rPr>
        <w:rFonts w:ascii="Wingdings" w:hAnsi="Wingdings" w:hint="default"/>
      </w:rPr>
    </w:lvl>
    <w:lvl w:ilvl="6" w:tplc="04260001" w:tentative="1">
      <w:start w:val="1"/>
      <w:numFmt w:val="bullet"/>
      <w:lvlText w:val=""/>
      <w:lvlJc w:val="left"/>
      <w:pPr>
        <w:ind w:left="5956" w:hanging="360"/>
      </w:pPr>
      <w:rPr>
        <w:rFonts w:ascii="Symbol" w:hAnsi="Symbol" w:hint="default"/>
      </w:rPr>
    </w:lvl>
    <w:lvl w:ilvl="7" w:tplc="04260003" w:tentative="1">
      <w:start w:val="1"/>
      <w:numFmt w:val="bullet"/>
      <w:lvlText w:val="o"/>
      <w:lvlJc w:val="left"/>
      <w:pPr>
        <w:ind w:left="6676" w:hanging="360"/>
      </w:pPr>
      <w:rPr>
        <w:rFonts w:ascii="Courier New" w:hAnsi="Courier New" w:cs="Courier New" w:hint="default"/>
      </w:rPr>
    </w:lvl>
    <w:lvl w:ilvl="8" w:tplc="04260005" w:tentative="1">
      <w:start w:val="1"/>
      <w:numFmt w:val="bullet"/>
      <w:lvlText w:val=""/>
      <w:lvlJc w:val="left"/>
      <w:pPr>
        <w:ind w:left="7396" w:hanging="360"/>
      </w:pPr>
      <w:rPr>
        <w:rFonts w:ascii="Wingdings" w:hAnsi="Wingdings" w:hint="default"/>
      </w:rPr>
    </w:lvl>
  </w:abstractNum>
  <w:abstractNum w:abstractNumId="13" w15:restartNumberingAfterBreak="0">
    <w:nsid w:val="143D0A16"/>
    <w:multiLevelType w:val="multilevel"/>
    <w:tmpl w:val="847621A4"/>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5BD1773"/>
    <w:multiLevelType w:val="hybridMultilevel"/>
    <w:tmpl w:val="A55E8584"/>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2F0AC5"/>
    <w:multiLevelType w:val="multilevel"/>
    <w:tmpl w:val="D0724CA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17460A5D"/>
    <w:multiLevelType w:val="hybridMultilevel"/>
    <w:tmpl w:val="16DA21B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5B4D08"/>
    <w:multiLevelType w:val="hybridMultilevel"/>
    <w:tmpl w:val="E9B8F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7B624F"/>
    <w:multiLevelType w:val="multilevel"/>
    <w:tmpl w:val="4C362216"/>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2DC7861"/>
    <w:multiLevelType w:val="hybridMultilevel"/>
    <w:tmpl w:val="BAE44E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9DC068B"/>
    <w:multiLevelType w:val="hybridMultilevel"/>
    <w:tmpl w:val="4010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15:restartNumberingAfterBreak="0">
    <w:nsid w:val="2B9B0754"/>
    <w:multiLevelType w:val="hybridMultilevel"/>
    <w:tmpl w:val="2DC89BC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E5204B"/>
    <w:multiLevelType w:val="hybridMultilevel"/>
    <w:tmpl w:val="55D0653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2C8DFDF8"/>
    <w:multiLevelType w:val="multilevel"/>
    <w:tmpl w:val="DCA8D810"/>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2D293CE3"/>
    <w:multiLevelType w:val="multilevel"/>
    <w:tmpl w:val="2E12CA0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2D293CF4"/>
    <w:multiLevelType w:val="multilevel"/>
    <w:tmpl w:val="345E6F6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2F244ED9"/>
    <w:multiLevelType w:val="hybridMultilevel"/>
    <w:tmpl w:val="FFFFFFFF"/>
    <w:lvl w:ilvl="0" w:tplc="FCD4F9B0">
      <w:start w:val="1"/>
      <w:numFmt w:val="decimal"/>
      <w:lvlText w:val="%1)"/>
      <w:lvlJc w:val="left"/>
      <w:pPr>
        <w:ind w:left="720" w:hanging="360"/>
      </w:pPr>
    </w:lvl>
    <w:lvl w:ilvl="1" w:tplc="5FC0DDAE">
      <w:start w:val="1"/>
      <w:numFmt w:val="lowerLetter"/>
      <w:lvlText w:val="%2."/>
      <w:lvlJc w:val="left"/>
      <w:pPr>
        <w:ind w:left="1440" w:hanging="360"/>
      </w:pPr>
    </w:lvl>
    <w:lvl w:ilvl="2" w:tplc="F32C8C34">
      <w:start w:val="1"/>
      <w:numFmt w:val="lowerRoman"/>
      <w:lvlText w:val="%3."/>
      <w:lvlJc w:val="right"/>
      <w:pPr>
        <w:ind w:left="2160" w:hanging="180"/>
      </w:pPr>
    </w:lvl>
    <w:lvl w:ilvl="3" w:tplc="2370F174">
      <w:start w:val="1"/>
      <w:numFmt w:val="decimal"/>
      <w:lvlText w:val="%4."/>
      <w:lvlJc w:val="left"/>
      <w:pPr>
        <w:ind w:left="2880" w:hanging="360"/>
      </w:pPr>
    </w:lvl>
    <w:lvl w:ilvl="4" w:tplc="9614EEB0">
      <w:start w:val="1"/>
      <w:numFmt w:val="lowerLetter"/>
      <w:lvlText w:val="%5."/>
      <w:lvlJc w:val="left"/>
      <w:pPr>
        <w:ind w:left="3600" w:hanging="360"/>
      </w:pPr>
    </w:lvl>
    <w:lvl w:ilvl="5" w:tplc="5716788C">
      <w:start w:val="1"/>
      <w:numFmt w:val="lowerRoman"/>
      <w:lvlText w:val="%6."/>
      <w:lvlJc w:val="right"/>
      <w:pPr>
        <w:ind w:left="4320" w:hanging="180"/>
      </w:pPr>
    </w:lvl>
    <w:lvl w:ilvl="6" w:tplc="172C6A76">
      <w:start w:val="1"/>
      <w:numFmt w:val="decimal"/>
      <w:lvlText w:val="%7."/>
      <w:lvlJc w:val="left"/>
      <w:pPr>
        <w:ind w:left="5040" w:hanging="360"/>
      </w:pPr>
    </w:lvl>
    <w:lvl w:ilvl="7" w:tplc="CCD81F36">
      <w:start w:val="1"/>
      <w:numFmt w:val="lowerLetter"/>
      <w:lvlText w:val="%8."/>
      <w:lvlJc w:val="left"/>
      <w:pPr>
        <w:ind w:left="5760" w:hanging="360"/>
      </w:pPr>
    </w:lvl>
    <w:lvl w:ilvl="8" w:tplc="DEF61DBE">
      <w:start w:val="1"/>
      <w:numFmt w:val="lowerRoman"/>
      <w:lvlText w:val="%9."/>
      <w:lvlJc w:val="right"/>
      <w:pPr>
        <w:ind w:left="6480" w:hanging="180"/>
      </w:pPr>
    </w:lvl>
  </w:abstractNum>
  <w:abstractNum w:abstractNumId="27" w15:restartNumberingAfterBreak="0">
    <w:nsid w:val="33BA1C1E"/>
    <w:multiLevelType w:val="multilevel"/>
    <w:tmpl w:val="441AF2DA"/>
    <w:lvl w:ilvl="0">
      <w:start w:val="1"/>
      <w:numFmt w:val="decimal"/>
      <w:lvlText w:val="%1."/>
      <w:lvlJc w:val="left"/>
      <w:pPr>
        <w:ind w:left="720" w:hanging="360"/>
      </w:pPr>
      <w:rPr>
        <w:rFonts w:asciiTheme="minorHAnsi" w:eastAsiaTheme="minorHAnsi" w:hAnsiTheme="minorHAnsi" w:cstheme="minorBidi"/>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59DA35C"/>
    <w:multiLevelType w:val="hybridMultilevel"/>
    <w:tmpl w:val="FFFFFFFF"/>
    <w:lvl w:ilvl="0" w:tplc="CDFCF0D4">
      <w:start w:val="1"/>
      <w:numFmt w:val="decimal"/>
      <w:lvlText w:val="%1)"/>
      <w:lvlJc w:val="left"/>
      <w:pPr>
        <w:ind w:left="360" w:hanging="360"/>
      </w:pPr>
    </w:lvl>
    <w:lvl w:ilvl="1" w:tplc="89EE133C">
      <w:start w:val="1"/>
      <w:numFmt w:val="lowerLetter"/>
      <w:lvlText w:val="%2."/>
      <w:lvlJc w:val="left"/>
      <w:pPr>
        <w:ind w:left="1080" w:hanging="360"/>
      </w:pPr>
    </w:lvl>
    <w:lvl w:ilvl="2" w:tplc="4852F9E0">
      <w:start w:val="1"/>
      <w:numFmt w:val="lowerRoman"/>
      <w:lvlText w:val="%3."/>
      <w:lvlJc w:val="right"/>
      <w:pPr>
        <w:ind w:left="1800" w:hanging="180"/>
      </w:pPr>
    </w:lvl>
    <w:lvl w:ilvl="3" w:tplc="AC3AC360">
      <w:start w:val="1"/>
      <w:numFmt w:val="decimal"/>
      <w:lvlText w:val="%4."/>
      <w:lvlJc w:val="left"/>
      <w:pPr>
        <w:ind w:left="2520" w:hanging="360"/>
      </w:pPr>
    </w:lvl>
    <w:lvl w:ilvl="4" w:tplc="CB029AB6">
      <w:start w:val="1"/>
      <w:numFmt w:val="lowerLetter"/>
      <w:lvlText w:val="%5."/>
      <w:lvlJc w:val="left"/>
      <w:pPr>
        <w:ind w:left="3240" w:hanging="360"/>
      </w:pPr>
    </w:lvl>
    <w:lvl w:ilvl="5" w:tplc="DCC06C62">
      <w:start w:val="1"/>
      <w:numFmt w:val="lowerRoman"/>
      <w:lvlText w:val="%6."/>
      <w:lvlJc w:val="right"/>
      <w:pPr>
        <w:ind w:left="3960" w:hanging="180"/>
      </w:pPr>
    </w:lvl>
    <w:lvl w:ilvl="6" w:tplc="77FC78BE">
      <w:start w:val="1"/>
      <w:numFmt w:val="decimal"/>
      <w:lvlText w:val="%7."/>
      <w:lvlJc w:val="left"/>
      <w:pPr>
        <w:ind w:left="4680" w:hanging="360"/>
      </w:pPr>
    </w:lvl>
    <w:lvl w:ilvl="7" w:tplc="7BF6FDD8">
      <w:start w:val="1"/>
      <w:numFmt w:val="lowerLetter"/>
      <w:lvlText w:val="%8."/>
      <w:lvlJc w:val="left"/>
      <w:pPr>
        <w:ind w:left="5400" w:hanging="360"/>
      </w:pPr>
    </w:lvl>
    <w:lvl w:ilvl="8" w:tplc="F9E8C5CA">
      <w:start w:val="1"/>
      <w:numFmt w:val="lowerRoman"/>
      <w:lvlText w:val="%9."/>
      <w:lvlJc w:val="right"/>
      <w:pPr>
        <w:ind w:left="6120" w:hanging="180"/>
      </w:pPr>
    </w:lvl>
  </w:abstractNum>
  <w:abstractNum w:abstractNumId="29" w15:restartNumberingAfterBreak="0">
    <w:nsid w:val="36324F1E"/>
    <w:multiLevelType w:val="multilevel"/>
    <w:tmpl w:val="957C2E86"/>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370B5FDD"/>
    <w:multiLevelType w:val="hybridMultilevel"/>
    <w:tmpl w:val="C98EDA5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37CB1E1C"/>
    <w:multiLevelType w:val="multilevel"/>
    <w:tmpl w:val="1E12042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3A7730C4"/>
    <w:multiLevelType w:val="multilevel"/>
    <w:tmpl w:val="783AEF5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3B283F7D"/>
    <w:multiLevelType w:val="hybridMultilevel"/>
    <w:tmpl w:val="8EE20452"/>
    <w:lvl w:ilvl="0" w:tplc="D64A62E8">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B8358A0"/>
    <w:multiLevelType w:val="multilevel"/>
    <w:tmpl w:val="10783D5A"/>
    <w:lvl w:ilvl="0">
      <w:start w:val="1"/>
      <w:numFmt w:val="bullet"/>
      <w:pStyle w:val="Bulletpoint"/>
      <w:lvlText w:val=""/>
      <w:lvlJc w:val="left"/>
      <w:pPr>
        <w:tabs>
          <w:tab w:val="num" w:pos="482"/>
        </w:tabs>
        <w:ind w:left="482" w:hanging="482"/>
      </w:pPr>
      <w:rPr>
        <w:rFonts w:ascii="Symbol" w:hAnsi="Symbol" w:hint="default"/>
        <w:lang w:val="en-GB"/>
      </w:rPr>
    </w:lvl>
    <w:lvl w:ilvl="1">
      <w:start w:val="1"/>
      <w:numFmt w:val="bullet"/>
      <w:lvlText w:val=""/>
      <w:lvlJc w:val="left"/>
      <w:pPr>
        <w:tabs>
          <w:tab w:val="num" w:pos="1202"/>
        </w:tabs>
        <w:ind w:left="1202" w:hanging="720"/>
      </w:pPr>
      <w:rPr>
        <w:rFonts w:ascii="Symbol" w:hAnsi="Symbol" w:hint="default"/>
      </w:rPr>
    </w:lvl>
    <w:lvl w:ilvl="2">
      <w:start w:val="1"/>
      <w:numFmt w:val="decimal"/>
      <w:lvlText w:val="%1.%2.%3."/>
      <w:lvlJc w:val="left"/>
      <w:pPr>
        <w:tabs>
          <w:tab w:val="num" w:pos="1922"/>
        </w:tabs>
        <w:ind w:left="1922" w:hanging="720"/>
      </w:p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35" w15:restartNumberingAfterBreak="0">
    <w:nsid w:val="3C124DEA"/>
    <w:multiLevelType w:val="hybridMultilevel"/>
    <w:tmpl w:val="6C00A706"/>
    <w:lvl w:ilvl="0" w:tplc="5C60212C">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Calibri" w:eastAsiaTheme="minorHAnsi" w:hAnsi="Calibri" w:cs="Calibri" w:hint="default"/>
      </w:rPr>
    </w:lvl>
    <w:lvl w:ilvl="4" w:tplc="FFFFFFFF">
      <w:start w:val="1"/>
      <w:numFmt w:val="bullet"/>
      <w:lvlText w:val=""/>
      <w:lvlJc w:val="left"/>
      <w:pPr>
        <w:ind w:left="3600" w:hanging="360"/>
      </w:pPr>
      <w:rPr>
        <w:rFonts w:ascii="Symbol" w:hAnsi="Symbol"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11E4BF6"/>
    <w:multiLevelType w:val="multilevel"/>
    <w:tmpl w:val="CD8E7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29E662A"/>
    <w:multiLevelType w:val="multilevel"/>
    <w:tmpl w:val="DE724F8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8" w15:restartNumberingAfterBreak="0">
    <w:nsid w:val="459234DC"/>
    <w:multiLevelType w:val="hybridMultilevel"/>
    <w:tmpl w:val="327AFD78"/>
    <w:lvl w:ilvl="0" w:tplc="92F4082C">
      <w:start w:val="1"/>
      <w:numFmt w:val="decimal"/>
      <w:lvlText w:val="%1."/>
      <w:lvlJc w:val="left"/>
      <w:pPr>
        <w:ind w:left="360" w:hanging="360"/>
      </w:pPr>
      <w:rPr>
        <w:rFonts w:ascii="Times New Roman" w:eastAsia="Times New Roman" w:hAnsi="Times New Roman" w:cs="Times New Roman"/>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4E1A63DF"/>
    <w:multiLevelType w:val="multilevel"/>
    <w:tmpl w:val="DB08806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15:restartNumberingAfterBreak="0">
    <w:nsid w:val="4E1A982C"/>
    <w:multiLevelType w:val="multilevel"/>
    <w:tmpl w:val="910E7338"/>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1" w15:restartNumberingAfterBreak="0">
    <w:nsid w:val="50687E69"/>
    <w:multiLevelType w:val="hybridMultilevel"/>
    <w:tmpl w:val="A7AC1F98"/>
    <w:lvl w:ilvl="0" w:tplc="5896D302">
      <w:start w:val="1"/>
      <w:numFmt w:val="bullet"/>
      <w:lvlRestart w:val="0"/>
      <w:lvlText w:val=""/>
      <w:lvlJc w:val="left"/>
      <w:pPr>
        <w:ind w:left="0" w:firstLine="705"/>
      </w:pPr>
      <w:rPr>
        <w:u w:val="none"/>
      </w:rPr>
    </w:lvl>
    <w:lvl w:ilvl="1" w:tplc="6A70CC08">
      <w:start w:val="1"/>
      <w:numFmt w:val="bullet"/>
      <w:lvlRestart w:val="0"/>
      <w:lvlText w:val=""/>
      <w:lvlJc w:val="left"/>
      <w:pPr>
        <w:ind w:left="0" w:firstLine="705"/>
      </w:pPr>
      <w:rPr>
        <w:u w:val="none"/>
      </w:rPr>
    </w:lvl>
    <w:lvl w:ilvl="2" w:tplc="C3727A88">
      <w:numFmt w:val="decimal"/>
      <w:lvlText w:val=""/>
      <w:lvlJc w:val="left"/>
    </w:lvl>
    <w:lvl w:ilvl="3" w:tplc="3E268C40">
      <w:numFmt w:val="decimal"/>
      <w:lvlText w:val=""/>
      <w:lvlJc w:val="left"/>
    </w:lvl>
    <w:lvl w:ilvl="4" w:tplc="EC3C7D3C">
      <w:numFmt w:val="decimal"/>
      <w:lvlText w:val=""/>
      <w:lvlJc w:val="left"/>
    </w:lvl>
    <w:lvl w:ilvl="5" w:tplc="01963CEA">
      <w:numFmt w:val="decimal"/>
      <w:lvlText w:val=""/>
      <w:lvlJc w:val="left"/>
    </w:lvl>
    <w:lvl w:ilvl="6" w:tplc="46905CFC">
      <w:numFmt w:val="decimal"/>
      <w:lvlText w:val=""/>
      <w:lvlJc w:val="left"/>
    </w:lvl>
    <w:lvl w:ilvl="7" w:tplc="ACFCC714">
      <w:numFmt w:val="decimal"/>
      <w:lvlText w:val=""/>
      <w:lvlJc w:val="left"/>
    </w:lvl>
    <w:lvl w:ilvl="8" w:tplc="CF66232A">
      <w:numFmt w:val="decimal"/>
      <w:lvlText w:val=""/>
      <w:lvlJc w:val="left"/>
    </w:lvl>
  </w:abstractNum>
  <w:abstractNum w:abstractNumId="42" w15:restartNumberingAfterBreak="0">
    <w:nsid w:val="5072619B"/>
    <w:multiLevelType w:val="multilevel"/>
    <w:tmpl w:val="65C8004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3" w15:restartNumberingAfterBreak="0">
    <w:nsid w:val="50729B52"/>
    <w:multiLevelType w:val="multilevel"/>
    <w:tmpl w:val="9302518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4" w15:restartNumberingAfterBreak="0">
    <w:nsid w:val="51347A8B"/>
    <w:multiLevelType w:val="hybridMultilevel"/>
    <w:tmpl w:val="EBB8875A"/>
    <w:lvl w:ilvl="0" w:tplc="18E8D592">
      <w:start w:val="1"/>
      <w:numFmt w:val="bullet"/>
      <w:lvlRestart w:val="0"/>
      <w:lvlText w:val=""/>
      <w:lvlJc w:val="left"/>
      <w:pPr>
        <w:ind w:left="0" w:firstLine="705"/>
      </w:pPr>
      <w:rPr>
        <w:u w:val="none"/>
      </w:rPr>
    </w:lvl>
    <w:lvl w:ilvl="1" w:tplc="EC46BBAA">
      <w:numFmt w:val="decimal"/>
      <w:lvlText w:val=""/>
      <w:lvlJc w:val="left"/>
    </w:lvl>
    <w:lvl w:ilvl="2" w:tplc="EA0A324A">
      <w:numFmt w:val="decimal"/>
      <w:lvlText w:val=""/>
      <w:lvlJc w:val="left"/>
    </w:lvl>
    <w:lvl w:ilvl="3" w:tplc="A53C98B2">
      <w:numFmt w:val="decimal"/>
      <w:lvlText w:val=""/>
      <w:lvlJc w:val="left"/>
    </w:lvl>
    <w:lvl w:ilvl="4" w:tplc="49FE1602">
      <w:numFmt w:val="decimal"/>
      <w:lvlText w:val=""/>
      <w:lvlJc w:val="left"/>
    </w:lvl>
    <w:lvl w:ilvl="5" w:tplc="AA6C7D2A">
      <w:numFmt w:val="decimal"/>
      <w:lvlText w:val=""/>
      <w:lvlJc w:val="left"/>
    </w:lvl>
    <w:lvl w:ilvl="6" w:tplc="5C20B250">
      <w:numFmt w:val="decimal"/>
      <w:lvlText w:val=""/>
      <w:lvlJc w:val="left"/>
    </w:lvl>
    <w:lvl w:ilvl="7" w:tplc="206082DA">
      <w:numFmt w:val="decimal"/>
      <w:lvlText w:val=""/>
      <w:lvlJc w:val="left"/>
    </w:lvl>
    <w:lvl w:ilvl="8" w:tplc="5204BF8A">
      <w:numFmt w:val="decimal"/>
      <w:lvlText w:val=""/>
      <w:lvlJc w:val="left"/>
    </w:lvl>
  </w:abstractNum>
  <w:abstractNum w:abstractNumId="45" w15:restartNumberingAfterBreak="0">
    <w:nsid w:val="5760569F"/>
    <w:multiLevelType w:val="hybridMultilevel"/>
    <w:tmpl w:val="2DE4DE8E"/>
    <w:lvl w:ilvl="0" w:tplc="1DC0A3E4">
      <w:start w:val="1"/>
      <w:numFmt w:val="bullet"/>
      <w:lvlText w:val="-"/>
      <w:lvlJc w:val="left"/>
      <w:pPr>
        <w:ind w:left="360" w:hanging="360"/>
      </w:pPr>
      <w:rPr>
        <w:rFonts w:ascii="Calibri" w:eastAsiaTheme="minorHAnsi" w:hAnsi="Calibri" w:cs="Calibri" w:hint="default"/>
      </w:rPr>
    </w:lvl>
    <w:lvl w:ilvl="1" w:tplc="FFFFFFFF">
      <w:start w:val="1"/>
      <w:numFmt w:val="bullet"/>
      <w:lvlText w:val="-"/>
      <w:lvlJc w:val="left"/>
      <w:pPr>
        <w:ind w:left="1080" w:hanging="360"/>
      </w:pPr>
      <w:rPr>
        <w:rFonts w:ascii="Calibri" w:eastAsiaTheme="minorHAnsi" w:hAnsi="Calibri" w:cs="Calibri" w:hint="default"/>
      </w:rPr>
    </w:lvl>
    <w:lvl w:ilvl="2" w:tplc="FFFFFFFF">
      <w:start w:val="1"/>
      <w:numFmt w:val="bullet"/>
      <w:lvlText w:val=""/>
      <w:lvlJc w:val="left"/>
      <w:pPr>
        <w:ind w:left="1080" w:hanging="360"/>
      </w:pPr>
      <w:rPr>
        <w:rFonts w:ascii="Symbol" w:hAnsi="Symbol" w:hint="default"/>
      </w:rPr>
    </w:lvl>
    <w:lvl w:ilvl="3" w:tplc="FFFFFFFF">
      <w:start w:val="1"/>
      <w:numFmt w:val="bullet"/>
      <w:lvlText w:val="-"/>
      <w:lvlJc w:val="left"/>
      <w:pPr>
        <w:ind w:left="2520" w:hanging="360"/>
      </w:pPr>
      <w:rPr>
        <w:rFonts w:ascii="Calibri" w:eastAsiaTheme="minorHAnsi" w:hAnsi="Calibri" w:cs="Calibri"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5E291DDA"/>
    <w:multiLevelType w:val="multilevel"/>
    <w:tmpl w:val="E70E8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1887CD9"/>
    <w:multiLevelType w:val="hybridMultilevel"/>
    <w:tmpl w:val="F514B090"/>
    <w:lvl w:ilvl="0" w:tplc="04090001">
      <w:start w:val="1"/>
      <w:numFmt w:val="bullet"/>
      <w:lvlText w:val=""/>
      <w:lvlJc w:val="left"/>
      <w:pPr>
        <w:ind w:left="720" w:hanging="360"/>
      </w:pPr>
      <w:rPr>
        <w:rFonts w:ascii="Symbol" w:hAnsi="Symbol" w:hint="default"/>
      </w:rPr>
    </w:lvl>
    <w:lvl w:ilvl="1" w:tplc="1DC0A3E4">
      <w:start w:val="1"/>
      <w:numFmt w:val="bullet"/>
      <w:lvlText w:val="-"/>
      <w:lvlJc w:val="left"/>
      <w:pPr>
        <w:ind w:left="1440" w:hanging="360"/>
      </w:pPr>
      <w:rPr>
        <w:rFonts w:ascii="Calibri" w:eastAsiaTheme="minorHAnsi" w:hAnsi="Calibri" w:cs="Calibri" w:hint="default"/>
      </w:rPr>
    </w:lvl>
    <w:lvl w:ilvl="2" w:tplc="04260001">
      <w:start w:val="1"/>
      <w:numFmt w:val="bullet"/>
      <w:lvlText w:val=""/>
      <w:lvlJc w:val="left"/>
      <w:pPr>
        <w:ind w:left="1440" w:hanging="360"/>
      </w:pPr>
      <w:rPr>
        <w:rFonts w:ascii="Symbol" w:hAnsi="Symbol" w:hint="default"/>
      </w:rPr>
    </w:lvl>
    <w:lvl w:ilvl="3" w:tplc="1DC0A3E4">
      <w:start w:val="1"/>
      <w:numFmt w:val="bullet"/>
      <w:lvlText w:val="-"/>
      <w:lvlJc w:val="left"/>
      <w:pPr>
        <w:ind w:left="2880" w:hanging="360"/>
      </w:pPr>
      <w:rPr>
        <w:rFonts w:ascii="Calibri" w:eastAsiaTheme="minorHAnsi"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E65FBD"/>
    <w:multiLevelType w:val="multilevel"/>
    <w:tmpl w:val="66B6E2AC"/>
    <w:lvl w:ilvl="0">
      <w:start w:val="1"/>
      <w:numFmt w:val="decimal"/>
      <w:lvlText w:val="%1."/>
      <w:lvlJc w:val="left"/>
      <w:pPr>
        <w:ind w:left="580" w:hanging="580"/>
      </w:pPr>
      <w:rPr>
        <w:rFonts w:hint="default"/>
      </w:rPr>
    </w:lvl>
    <w:lvl w:ilvl="1">
      <w:start w:val="1"/>
      <w:numFmt w:val="decimal"/>
      <w:lvlText w:val="%2."/>
      <w:lvlJc w:val="left"/>
      <w:pPr>
        <w:ind w:left="1440" w:hanging="720"/>
      </w:pPr>
      <w:rPr>
        <w:rFonts w:asciiTheme="minorHAnsi" w:eastAsia="Times New Roman" w:hAnsiTheme="minorHAnsi" w:cstheme="minorHAnsi"/>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92279AF"/>
    <w:multiLevelType w:val="multilevel"/>
    <w:tmpl w:val="441AF2DA"/>
    <w:lvl w:ilvl="0">
      <w:start w:val="1"/>
      <w:numFmt w:val="decimal"/>
      <w:lvlText w:val="%1."/>
      <w:lvlJc w:val="left"/>
      <w:pPr>
        <w:ind w:left="720" w:hanging="360"/>
      </w:pPr>
      <w:rPr>
        <w:rFonts w:asciiTheme="minorHAnsi" w:eastAsiaTheme="minorHAnsi" w:hAnsiTheme="minorHAnsi" w:cstheme="minorBidi"/>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977472E"/>
    <w:multiLevelType w:val="multilevel"/>
    <w:tmpl w:val="9E4E831C"/>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3" w15:restartNumberingAfterBreak="0">
    <w:nsid w:val="6B7C4F2A"/>
    <w:multiLevelType w:val="hybridMultilevel"/>
    <w:tmpl w:val="FC84053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1E35508"/>
    <w:multiLevelType w:val="multilevel"/>
    <w:tmpl w:val="D8ACE41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5F2E7B"/>
    <w:multiLevelType w:val="hybridMultilevel"/>
    <w:tmpl w:val="86B8AF5A"/>
    <w:lvl w:ilvl="0" w:tplc="C818E3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BC46A09"/>
    <w:multiLevelType w:val="multilevel"/>
    <w:tmpl w:val="543E6788"/>
    <w:lvl w:ilvl="0">
      <w:start w:val="1"/>
      <w:numFmt w:val="decimal"/>
      <w:pStyle w:val="Heading1"/>
      <w:lvlText w:val="%1."/>
      <w:lvlJc w:val="left"/>
      <w:pPr>
        <w:ind w:left="360" w:hanging="360"/>
      </w:pPr>
      <w:rPr>
        <w:rFonts w:ascii="Times New Roman Bold" w:hAnsi="Times New Roman Bold" w:hint="default"/>
        <w:b/>
        <w:i w:val="0"/>
        <w:color w:val="auto"/>
        <w:sz w:val="28"/>
      </w:rPr>
    </w:lvl>
    <w:lvl w:ilvl="1">
      <w:start w:val="1"/>
      <w:numFmt w:val="decimal"/>
      <w:pStyle w:val="Heading2"/>
      <w:lvlText w:val="%1.%2"/>
      <w:lvlJc w:val="left"/>
      <w:pPr>
        <w:ind w:left="100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15:restartNumberingAfterBreak="0">
    <w:nsid w:val="7C65145E"/>
    <w:multiLevelType w:val="multilevel"/>
    <w:tmpl w:val="29889FE0"/>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202"/>
        </w:tabs>
        <w:ind w:left="1202" w:hanging="720"/>
      </w:pPr>
    </w:lvl>
    <w:lvl w:ilvl="2">
      <w:start w:val="1"/>
      <w:numFmt w:val="decimal"/>
      <w:lvlText w:val="%1.%2.%3."/>
      <w:lvlJc w:val="left"/>
      <w:pPr>
        <w:tabs>
          <w:tab w:val="num" w:pos="1922"/>
        </w:tabs>
        <w:ind w:left="1922" w:hanging="720"/>
      </w:p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5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052803176">
    <w:abstractNumId w:val="1"/>
  </w:num>
  <w:num w:numId="2" w16cid:durableId="484276191">
    <w:abstractNumId w:val="29"/>
  </w:num>
  <w:num w:numId="3" w16cid:durableId="1015185367">
    <w:abstractNumId w:val="18"/>
  </w:num>
  <w:num w:numId="4" w16cid:durableId="473522136">
    <w:abstractNumId w:val="31"/>
  </w:num>
  <w:num w:numId="5" w16cid:durableId="1355813453">
    <w:abstractNumId w:val="42"/>
  </w:num>
  <w:num w:numId="6" w16cid:durableId="1991129625">
    <w:abstractNumId w:val="52"/>
  </w:num>
  <w:num w:numId="7" w16cid:durableId="246381291">
    <w:abstractNumId w:val="5"/>
  </w:num>
  <w:num w:numId="8" w16cid:durableId="373388447">
    <w:abstractNumId w:val="15"/>
  </w:num>
  <w:num w:numId="9" w16cid:durableId="422995762">
    <w:abstractNumId w:val="37"/>
  </w:num>
  <w:num w:numId="10" w16cid:durableId="504133643">
    <w:abstractNumId w:val="9"/>
  </w:num>
  <w:num w:numId="11" w16cid:durableId="790981307">
    <w:abstractNumId w:val="11"/>
  </w:num>
  <w:num w:numId="12" w16cid:durableId="1946377656">
    <w:abstractNumId w:val="13"/>
  </w:num>
  <w:num w:numId="13" w16cid:durableId="2032685016">
    <w:abstractNumId w:val="23"/>
  </w:num>
  <w:num w:numId="14" w16cid:durableId="1910115049">
    <w:abstractNumId w:val="32"/>
  </w:num>
  <w:num w:numId="15" w16cid:durableId="84037480">
    <w:abstractNumId w:val="40"/>
  </w:num>
  <w:num w:numId="16" w16cid:durableId="214052171">
    <w:abstractNumId w:val="24"/>
  </w:num>
  <w:num w:numId="17" w16cid:durableId="1495950986">
    <w:abstractNumId w:val="25"/>
  </w:num>
  <w:num w:numId="18" w16cid:durableId="1075203192">
    <w:abstractNumId w:val="58"/>
  </w:num>
  <w:num w:numId="19" w16cid:durableId="131143841">
    <w:abstractNumId w:val="39"/>
  </w:num>
  <w:num w:numId="20" w16cid:durableId="2094203786">
    <w:abstractNumId w:val="43"/>
  </w:num>
  <w:num w:numId="21" w16cid:durableId="508717947">
    <w:abstractNumId w:val="10"/>
  </w:num>
  <w:num w:numId="22" w16cid:durableId="1977448652">
    <w:abstractNumId w:val="34"/>
  </w:num>
  <w:num w:numId="23" w16cid:durableId="723913037">
    <w:abstractNumId w:val="48"/>
  </w:num>
  <w:num w:numId="24" w16cid:durableId="1611936781">
    <w:abstractNumId w:val="20"/>
  </w:num>
  <w:num w:numId="25" w16cid:durableId="1639143689">
    <w:abstractNumId w:val="8"/>
  </w:num>
  <w:num w:numId="26" w16cid:durableId="1844973353">
    <w:abstractNumId w:val="14"/>
  </w:num>
  <w:num w:numId="27" w16cid:durableId="326858983">
    <w:abstractNumId w:val="27"/>
  </w:num>
  <w:num w:numId="28" w16cid:durableId="280038234">
    <w:abstractNumId w:val="53"/>
  </w:num>
  <w:num w:numId="29" w16cid:durableId="1590456292">
    <w:abstractNumId w:val="17"/>
  </w:num>
  <w:num w:numId="30" w16cid:durableId="655567882">
    <w:abstractNumId w:val="56"/>
  </w:num>
  <w:num w:numId="31" w16cid:durableId="466240454">
    <w:abstractNumId w:val="30"/>
  </w:num>
  <w:num w:numId="32" w16cid:durableId="285477430">
    <w:abstractNumId w:val="19"/>
  </w:num>
  <w:num w:numId="33" w16cid:durableId="583954364">
    <w:abstractNumId w:val="54"/>
  </w:num>
  <w:num w:numId="34" w16cid:durableId="1754157457">
    <w:abstractNumId w:val="26"/>
  </w:num>
  <w:num w:numId="35" w16cid:durableId="1251281764">
    <w:abstractNumId w:val="28"/>
  </w:num>
  <w:num w:numId="36" w16cid:durableId="1352604793">
    <w:abstractNumId w:val="46"/>
    <w:lvlOverride w:ilvl="0">
      <w:startOverride w:val="1"/>
    </w:lvlOverride>
  </w:num>
  <w:num w:numId="37" w16cid:durableId="319315152">
    <w:abstractNumId w:val="33"/>
  </w:num>
  <w:num w:numId="38" w16cid:durableId="8523083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2714145">
    <w:abstractNumId w:val="22"/>
  </w:num>
  <w:num w:numId="40" w16cid:durableId="908609758">
    <w:abstractNumId w:val="35"/>
  </w:num>
  <w:num w:numId="41" w16cid:durableId="1418745920">
    <w:abstractNumId w:val="36"/>
  </w:num>
  <w:num w:numId="42" w16cid:durableId="2133329748">
    <w:abstractNumId w:val="7"/>
  </w:num>
  <w:num w:numId="43" w16cid:durableId="1693799019">
    <w:abstractNumId w:val="47"/>
  </w:num>
  <w:num w:numId="44" w16cid:durableId="1403019169">
    <w:abstractNumId w:val="3"/>
  </w:num>
  <w:num w:numId="45" w16cid:durableId="1720398781">
    <w:abstractNumId w:val="6"/>
  </w:num>
  <w:num w:numId="46" w16cid:durableId="1496989947">
    <w:abstractNumId w:val="55"/>
  </w:num>
  <w:num w:numId="47" w16cid:durableId="1525051144">
    <w:abstractNumId w:val="0"/>
  </w:num>
  <w:num w:numId="48" w16cid:durableId="1801151324">
    <w:abstractNumId w:val="12"/>
  </w:num>
  <w:num w:numId="49" w16cid:durableId="1078133419">
    <w:abstractNumId w:val="21"/>
  </w:num>
  <w:num w:numId="50" w16cid:durableId="1354653098">
    <w:abstractNumId w:val="44"/>
  </w:num>
  <w:num w:numId="51" w16cid:durableId="1837988388">
    <w:abstractNumId w:val="4"/>
  </w:num>
  <w:num w:numId="52" w16cid:durableId="2113624905">
    <w:abstractNumId w:val="38"/>
  </w:num>
  <w:num w:numId="53" w16cid:durableId="1391466103">
    <w:abstractNumId w:val="16"/>
  </w:num>
  <w:num w:numId="54" w16cid:durableId="1717391338">
    <w:abstractNumId w:val="2"/>
  </w:num>
  <w:num w:numId="55" w16cid:durableId="185562091">
    <w:abstractNumId w:val="51"/>
  </w:num>
  <w:num w:numId="56" w16cid:durableId="2103329508">
    <w:abstractNumId w:val="41"/>
  </w:num>
  <w:num w:numId="57" w16cid:durableId="644434836">
    <w:abstractNumId w:val="49"/>
  </w:num>
  <w:num w:numId="58" w16cid:durableId="177015124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IE"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115DAB"/>
    <w:rsid w:val="000006AB"/>
    <w:rsid w:val="00000B3C"/>
    <w:rsid w:val="000011ED"/>
    <w:rsid w:val="00001B84"/>
    <w:rsid w:val="00001EF0"/>
    <w:rsid w:val="000020A4"/>
    <w:rsid w:val="000023F2"/>
    <w:rsid w:val="0000261D"/>
    <w:rsid w:val="00002970"/>
    <w:rsid w:val="00002A0F"/>
    <w:rsid w:val="00002AE1"/>
    <w:rsid w:val="00002F7B"/>
    <w:rsid w:val="000030C6"/>
    <w:rsid w:val="00003481"/>
    <w:rsid w:val="000034A4"/>
    <w:rsid w:val="00003AEC"/>
    <w:rsid w:val="00003EA4"/>
    <w:rsid w:val="000040C0"/>
    <w:rsid w:val="000043B6"/>
    <w:rsid w:val="0000503D"/>
    <w:rsid w:val="00005D7B"/>
    <w:rsid w:val="0000627D"/>
    <w:rsid w:val="000062AD"/>
    <w:rsid w:val="00006470"/>
    <w:rsid w:val="00006494"/>
    <w:rsid w:val="000068D2"/>
    <w:rsid w:val="00006C93"/>
    <w:rsid w:val="00006F5C"/>
    <w:rsid w:val="00007010"/>
    <w:rsid w:val="0000704F"/>
    <w:rsid w:val="000075FE"/>
    <w:rsid w:val="00007843"/>
    <w:rsid w:val="00007B06"/>
    <w:rsid w:val="00007E31"/>
    <w:rsid w:val="0001003F"/>
    <w:rsid w:val="00010240"/>
    <w:rsid w:val="0001061F"/>
    <w:rsid w:val="00010C34"/>
    <w:rsid w:val="000118F5"/>
    <w:rsid w:val="00012229"/>
    <w:rsid w:val="00012418"/>
    <w:rsid w:val="0001292D"/>
    <w:rsid w:val="00012AE1"/>
    <w:rsid w:val="00012B33"/>
    <w:rsid w:val="00012DCB"/>
    <w:rsid w:val="00012DD8"/>
    <w:rsid w:val="00013086"/>
    <w:rsid w:val="0001327C"/>
    <w:rsid w:val="000133B1"/>
    <w:rsid w:val="00013A4E"/>
    <w:rsid w:val="00013A5E"/>
    <w:rsid w:val="00013D81"/>
    <w:rsid w:val="0001453E"/>
    <w:rsid w:val="0001461B"/>
    <w:rsid w:val="000148FC"/>
    <w:rsid w:val="00014997"/>
    <w:rsid w:val="00014FCC"/>
    <w:rsid w:val="00015046"/>
    <w:rsid w:val="000151D1"/>
    <w:rsid w:val="000152E2"/>
    <w:rsid w:val="00015AA0"/>
    <w:rsid w:val="00015BD4"/>
    <w:rsid w:val="00016000"/>
    <w:rsid w:val="0001629A"/>
    <w:rsid w:val="0001657B"/>
    <w:rsid w:val="00016615"/>
    <w:rsid w:val="00016B77"/>
    <w:rsid w:val="00016F4E"/>
    <w:rsid w:val="000171ED"/>
    <w:rsid w:val="0001774D"/>
    <w:rsid w:val="00017EDB"/>
    <w:rsid w:val="00017F02"/>
    <w:rsid w:val="000201C1"/>
    <w:rsid w:val="00020D0F"/>
    <w:rsid w:val="00020DAA"/>
    <w:rsid w:val="00020F9E"/>
    <w:rsid w:val="00020FC0"/>
    <w:rsid w:val="00021228"/>
    <w:rsid w:val="000213A5"/>
    <w:rsid w:val="00021473"/>
    <w:rsid w:val="000214F2"/>
    <w:rsid w:val="00021B26"/>
    <w:rsid w:val="00021BC5"/>
    <w:rsid w:val="00021CE4"/>
    <w:rsid w:val="00022026"/>
    <w:rsid w:val="000222D4"/>
    <w:rsid w:val="0002234D"/>
    <w:rsid w:val="00022490"/>
    <w:rsid w:val="00022C14"/>
    <w:rsid w:val="00022F8B"/>
    <w:rsid w:val="00023007"/>
    <w:rsid w:val="000231C7"/>
    <w:rsid w:val="00023865"/>
    <w:rsid w:val="000238FC"/>
    <w:rsid w:val="00023A76"/>
    <w:rsid w:val="00023C9A"/>
    <w:rsid w:val="00023E69"/>
    <w:rsid w:val="000240CB"/>
    <w:rsid w:val="0002475A"/>
    <w:rsid w:val="00024815"/>
    <w:rsid w:val="00024972"/>
    <w:rsid w:val="00024DB8"/>
    <w:rsid w:val="00024FC6"/>
    <w:rsid w:val="000253C3"/>
    <w:rsid w:val="00025DE4"/>
    <w:rsid w:val="00026133"/>
    <w:rsid w:val="00026523"/>
    <w:rsid w:val="000267F7"/>
    <w:rsid w:val="0002687F"/>
    <w:rsid w:val="0002698A"/>
    <w:rsid w:val="00026CCB"/>
    <w:rsid w:val="000271D4"/>
    <w:rsid w:val="00027487"/>
    <w:rsid w:val="000278C8"/>
    <w:rsid w:val="00027914"/>
    <w:rsid w:val="00027A78"/>
    <w:rsid w:val="00027C7F"/>
    <w:rsid w:val="00030402"/>
    <w:rsid w:val="00030812"/>
    <w:rsid w:val="000309DC"/>
    <w:rsid w:val="00030B9E"/>
    <w:rsid w:val="00030F36"/>
    <w:rsid w:val="00031259"/>
    <w:rsid w:val="00031556"/>
    <w:rsid w:val="00031862"/>
    <w:rsid w:val="00031F49"/>
    <w:rsid w:val="00032198"/>
    <w:rsid w:val="000321F6"/>
    <w:rsid w:val="000326DD"/>
    <w:rsid w:val="0003271B"/>
    <w:rsid w:val="000328FD"/>
    <w:rsid w:val="0003299A"/>
    <w:rsid w:val="00032B0F"/>
    <w:rsid w:val="00032DBA"/>
    <w:rsid w:val="00032E9A"/>
    <w:rsid w:val="000330E8"/>
    <w:rsid w:val="000331E2"/>
    <w:rsid w:val="000337B2"/>
    <w:rsid w:val="000337E6"/>
    <w:rsid w:val="00033BBB"/>
    <w:rsid w:val="0003404D"/>
    <w:rsid w:val="000349A3"/>
    <w:rsid w:val="00034BE3"/>
    <w:rsid w:val="00034C16"/>
    <w:rsid w:val="00034E7B"/>
    <w:rsid w:val="0003522C"/>
    <w:rsid w:val="0003523A"/>
    <w:rsid w:val="00035579"/>
    <w:rsid w:val="00035BC1"/>
    <w:rsid w:val="00035C33"/>
    <w:rsid w:val="00035E6F"/>
    <w:rsid w:val="00035EA3"/>
    <w:rsid w:val="00036335"/>
    <w:rsid w:val="000376EE"/>
    <w:rsid w:val="000378A2"/>
    <w:rsid w:val="00037E0F"/>
    <w:rsid w:val="00040578"/>
    <w:rsid w:val="00040966"/>
    <w:rsid w:val="000409B4"/>
    <w:rsid w:val="00040A2B"/>
    <w:rsid w:val="00041091"/>
    <w:rsid w:val="0004126E"/>
    <w:rsid w:val="0004129D"/>
    <w:rsid w:val="0004138B"/>
    <w:rsid w:val="000413B2"/>
    <w:rsid w:val="000415F3"/>
    <w:rsid w:val="00041643"/>
    <w:rsid w:val="00041925"/>
    <w:rsid w:val="00041ADA"/>
    <w:rsid w:val="00041D20"/>
    <w:rsid w:val="0004204E"/>
    <w:rsid w:val="00042055"/>
    <w:rsid w:val="00042069"/>
    <w:rsid w:val="000426F7"/>
    <w:rsid w:val="00042EA1"/>
    <w:rsid w:val="00043B7D"/>
    <w:rsid w:val="00043D23"/>
    <w:rsid w:val="00044635"/>
    <w:rsid w:val="00044666"/>
    <w:rsid w:val="00044A44"/>
    <w:rsid w:val="00044B6E"/>
    <w:rsid w:val="0004501D"/>
    <w:rsid w:val="000452E3"/>
    <w:rsid w:val="0004587B"/>
    <w:rsid w:val="00045AD8"/>
    <w:rsid w:val="00045B7C"/>
    <w:rsid w:val="00045B86"/>
    <w:rsid w:val="0004661E"/>
    <w:rsid w:val="000466D7"/>
    <w:rsid w:val="000467EA"/>
    <w:rsid w:val="00046976"/>
    <w:rsid w:val="00046A62"/>
    <w:rsid w:val="00047793"/>
    <w:rsid w:val="0004786E"/>
    <w:rsid w:val="00047874"/>
    <w:rsid w:val="00047D58"/>
    <w:rsid w:val="00047DB6"/>
    <w:rsid w:val="00047E72"/>
    <w:rsid w:val="00050275"/>
    <w:rsid w:val="00050440"/>
    <w:rsid w:val="00050CD8"/>
    <w:rsid w:val="00050D79"/>
    <w:rsid w:val="00050E01"/>
    <w:rsid w:val="00050F4A"/>
    <w:rsid w:val="00051187"/>
    <w:rsid w:val="000514D7"/>
    <w:rsid w:val="000515B5"/>
    <w:rsid w:val="000515BA"/>
    <w:rsid w:val="00051629"/>
    <w:rsid w:val="000516AA"/>
    <w:rsid w:val="00051C1C"/>
    <w:rsid w:val="00051D87"/>
    <w:rsid w:val="0005204A"/>
    <w:rsid w:val="00052295"/>
    <w:rsid w:val="00052358"/>
    <w:rsid w:val="00052405"/>
    <w:rsid w:val="00052A5D"/>
    <w:rsid w:val="00052D5B"/>
    <w:rsid w:val="000530C1"/>
    <w:rsid w:val="00053122"/>
    <w:rsid w:val="00053766"/>
    <w:rsid w:val="0005395C"/>
    <w:rsid w:val="00053B56"/>
    <w:rsid w:val="00053BCB"/>
    <w:rsid w:val="00053C92"/>
    <w:rsid w:val="000540F2"/>
    <w:rsid w:val="00054264"/>
    <w:rsid w:val="000542BC"/>
    <w:rsid w:val="00054390"/>
    <w:rsid w:val="00054469"/>
    <w:rsid w:val="00054C81"/>
    <w:rsid w:val="00054EE9"/>
    <w:rsid w:val="00054EF3"/>
    <w:rsid w:val="00055335"/>
    <w:rsid w:val="00055462"/>
    <w:rsid w:val="000554D1"/>
    <w:rsid w:val="00055A8B"/>
    <w:rsid w:val="00055BC0"/>
    <w:rsid w:val="00055BF8"/>
    <w:rsid w:val="0005618B"/>
    <w:rsid w:val="000563F6"/>
    <w:rsid w:val="00056747"/>
    <w:rsid w:val="00056C74"/>
    <w:rsid w:val="00056FFF"/>
    <w:rsid w:val="000571CA"/>
    <w:rsid w:val="000571F6"/>
    <w:rsid w:val="000571FC"/>
    <w:rsid w:val="00057580"/>
    <w:rsid w:val="000576C3"/>
    <w:rsid w:val="0005784F"/>
    <w:rsid w:val="00057DA0"/>
    <w:rsid w:val="00057E22"/>
    <w:rsid w:val="00057E5E"/>
    <w:rsid w:val="0006047E"/>
    <w:rsid w:val="000607DC"/>
    <w:rsid w:val="00060CDA"/>
    <w:rsid w:val="00060D82"/>
    <w:rsid w:val="00061255"/>
    <w:rsid w:val="00061502"/>
    <w:rsid w:val="000617ED"/>
    <w:rsid w:val="00061DC7"/>
    <w:rsid w:val="00062359"/>
    <w:rsid w:val="00062662"/>
    <w:rsid w:val="00062843"/>
    <w:rsid w:val="00062951"/>
    <w:rsid w:val="00062994"/>
    <w:rsid w:val="00062D1B"/>
    <w:rsid w:val="00062E22"/>
    <w:rsid w:val="0006328F"/>
    <w:rsid w:val="000632DE"/>
    <w:rsid w:val="0006340A"/>
    <w:rsid w:val="0006340B"/>
    <w:rsid w:val="00063419"/>
    <w:rsid w:val="00063440"/>
    <w:rsid w:val="00063BCB"/>
    <w:rsid w:val="00063E38"/>
    <w:rsid w:val="00063F11"/>
    <w:rsid w:val="00063F60"/>
    <w:rsid w:val="000640DD"/>
    <w:rsid w:val="000644F1"/>
    <w:rsid w:val="000648C1"/>
    <w:rsid w:val="00064987"/>
    <w:rsid w:val="000649E3"/>
    <w:rsid w:val="00064BAA"/>
    <w:rsid w:val="00065033"/>
    <w:rsid w:val="0006559F"/>
    <w:rsid w:val="0006560E"/>
    <w:rsid w:val="00065CCC"/>
    <w:rsid w:val="0006627E"/>
    <w:rsid w:val="000665FD"/>
    <w:rsid w:val="0006675E"/>
    <w:rsid w:val="000668AF"/>
    <w:rsid w:val="00066B18"/>
    <w:rsid w:val="00066C8E"/>
    <w:rsid w:val="00066E4A"/>
    <w:rsid w:val="00066F16"/>
    <w:rsid w:val="000670A8"/>
    <w:rsid w:val="000674BA"/>
    <w:rsid w:val="000675A7"/>
    <w:rsid w:val="00067737"/>
    <w:rsid w:val="00067C4B"/>
    <w:rsid w:val="00070095"/>
    <w:rsid w:val="0007011C"/>
    <w:rsid w:val="000701FC"/>
    <w:rsid w:val="00070640"/>
    <w:rsid w:val="000708BB"/>
    <w:rsid w:val="00070971"/>
    <w:rsid w:val="00070BCF"/>
    <w:rsid w:val="00070D77"/>
    <w:rsid w:val="0007124B"/>
    <w:rsid w:val="000719F0"/>
    <w:rsid w:val="00071CA8"/>
    <w:rsid w:val="00071FF4"/>
    <w:rsid w:val="000723A4"/>
    <w:rsid w:val="00072563"/>
    <w:rsid w:val="000728DA"/>
    <w:rsid w:val="0007332F"/>
    <w:rsid w:val="0007335E"/>
    <w:rsid w:val="0007347A"/>
    <w:rsid w:val="00073D31"/>
    <w:rsid w:val="00073DAC"/>
    <w:rsid w:val="0007405B"/>
    <w:rsid w:val="00074089"/>
    <w:rsid w:val="000742A7"/>
    <w:rsid w:val="00074973"/>
    <w:rsid w:val="00074B0A"/>
    <w:rsid w:val="00074CE8"/>
    <w:rsid w:val="0007514F"/>
    <w:rsid w:val="00075CF0"/>
    <w:rsid w:val="00075D0F"/>
    <w:rsid w:val="00075DC5"/>
    <w:rsid w:val="00075E93"/>
    <w:rsid w:val="00076086"/>
    <w:rsid w:val="00076121"/>
    <w:rsid w:val="000762E9"/>
    <w:rsid w:val="00076898"/>
    <w:rsid w:val="000769D5"/>
    <w:rsid w:val="00076A1C"/>
    <w:rsid w:val="000772E3"/>
    <w:rsid w:val="0007753C"/>
    <w:rsid w:val="00077AC1"/>
    <w:rsid w:val="00077D16"/>
    <w:rsid w:val="00080073"/>
    <w:rsid w:val="00080529"/>
    <w:rsid w:val="00080600"/>
    <w:rsid w:val="00080A27"/>
    <w:rsid w:val="00080B69"/>
    <w:rsid w:val="00081121"/>
    <w:rsid w:val="000812A8"/>
    <w:rsid w:val="000813F2"/>
    <w:rsid w:val="0008184E"/>
    <w:rsid w:val="00081BA9"/>
    <w:rsid w:val="00081F81"/>
    <w:rsid w:val="000823EC"/>
    <w:rsid w:val="000825C8"/>
    <w:rsid w:val="00082ABC"/>
    <w:rsid w:val="00082D62"/>
    <w:rsid w:val="00082EA4"/>
    <w:rsid w:val="00082F77"/>
    <w:rsid w:val="00083034"/>
    <w:rsid w:val="00083306"/>
    <w:rsid w:val="00083986"/>
    <w:rsid w:val="00083C90"/>
    <w:rsid w:val="0008422C"/>
    <w:rsid w:val="00084266"/>
    <w:rsid w:val="0008436F"/>
    <w:rsid w:val="00084436"/>
    <w:rsid w:val="000844BF"/>
    <w:rsid w:val="000845BB"/>
    <w:rsid w:val="00084A14"/>
    <w:rsid w:val="00084B48"/>
    <w:rsid w:val="00084B91"/>
    <w:rsid w:val="00084BE3"/>
    <w:rsid w:val="00084BFC"/>
    <w:rsid w:val="0008513E"/>
    <w:rsid w:val="00085492"/>
    <w:rsid w:val="000855C5"/>
    <w:rsid w:val="000856A7"/>
    <w:rsid w:val="00085764"/>
    <w:rsid w:val="000859A5"/>
    <w:rsid w:val="00085ABC"/>
    <w:rsid w:val="00085C5F"/>
    <w:rsid w:val="00085D28"/>
    <w:rsid w:val="0008628A"/>
    <w:rsid w:val="00086537"/>
    <w:rsid w:val="00086A9C"/>
    <w:rsid w:val="00086AEC"/>
    <w:rsid w:val="00086F42"/>
    <w:rsid w:val="00086F9D"/>
    <w:rsid w:val="000872AD"/>
    <w:rsid w:val="00087307"/>
    <w:rsid w:val="0008749B"/>
    <w:rsid w:val="000874A2"/>
    <w:rsid w:val="00087568"/>
    <w:rsid w:val="00087802"/>
    <w:rsid w:val="00087835"/>
    <w:rsid w:val="000901E3"/>
    <w:rsid w:val="00090B65"/>
    <w:rsid w:val="00090C81"/>
    <w:rsid w:val="00090DB7"/>
    <w:rsid w:val="000915D8"/>
    <w:rsid w:val="00091CDB"/>
    <w:rsid w:val="00091E68"/>
    <w:rsid w:val="00091EF7"/>
    <w:rsid w:val="00091F28"/>
    <w:rsid w:val="00091FBA"/>
    <w:rsid w:val="000921CB"/>
    <w:rsid w:val="000921F0"/>
    <w:rsid w:val="00092488"/>
    <w:rsid w:val="000927E7"/>
    <w:rsid w:val="00092CFC"/>
    <w:rsid w:val="00093393"/>
    <w:rsid w:val="00093711"/>
    <w:rsid w:val="00093889"/>
    <w:rsid w:val="00093A91"/>
    <w:rsid w:val="000942E7"/>
    <w:rsid w:val="0009438F"/>
    <w:rsid w:val="00094396"/>
    <w:rsid w:val="00094554"/>
    <w:rsid w:val="000945C3"/>
    <w:rsid w:val="00094AB0"/>
    <w:rsid w:val="00094C6A"/>
    <w:rsid w:val="00094D69"/>
    <w:rsid w:val="00094E50"/>
    <w:rsid w:val="00094F17"/>
    <w:rsid w:val="00094F52"/>
    <w:rsid w:val="00094F78"/>
    <w:rsid w:val="00095052"/>
    <w:rsid w:val="00095113"/>
    <w:rsid w:val="00095408"/>
    <w:rsid w:val="0009581F"/>
    <w:rsid w:val="00095B70"/>
    <w:rsid w:val="00095EB6"/>
    <w:rsid w:val="00095EFC"/>
    <w:rsid w:val="00096CC1"/>
    <w:rsid w:val="00096D0C"/>
    <w:rsid w:val="000970A1"/>
    <w:rsid w:val="00097527"/>
    <w:rsid w:val="000976BA"/>
    <w:rsid w:val="000977B3"/>
    <w:rsid w:val="000978B8"/>
    <w:rsid w:val="00097B31"/>
    <w:rsid w:val="00097CBE"/>
    <w:rsid w:val="00097EBB"/>
    <w:rsid w:val="000A006D"/>
    <w:rsid w:val="000A02A3"/>
    <w:rsid w:val="000A08DC"/>
    <w:rsid w:val="000A0BE0"/>
    <w:rsid w:val="000A16C7"/>
    <w:rsid w:val="000A1806"/>
    <w:rsid w:val="000A18DF"/>
    <w:rsid w:val="000A1B31"/>
    <w:rsid w:val="000A1B44"/>
    <w:rsid w:val="000A1DEF"/>
    <w:rsid w:val="000A1F80"/>
    <w:rsid w:val="000A202C"/>
    <w:rsid w:val="000A2365"/>
    <w:rsid w:val="000A2675"/>
    <w:rsid w:val="000A2AC4"/>
    <w:rsid w:val="000A2B83"/>
    <w:rsid w:val="000A2C14"/>
    <w:rsid w:val="000A2E07"/>
    <w:rsid w:val="000A2E52"/>
    <w:rsid w:val="000A3078"/>
    <w:rsid w:val="000A3253"/>
    <w:rsid w:val="000A3EA4"/>
    <w:rsid w:val="000A4B89"/>
    <w:rsid w:val="000A4DC2"/>
    <w:rsid w:val="000A4F36"/>
    <w:rsid w:val="000A4FB7"/>
    <w:rsid w:val="000A57A4"/>
    <w:rsid w:val="000A5C79"/>
    <w:rsid w:val="000A68C6"/>
    <w:rsid w:val="000A6C01"/>
    <w:rsid w:val="000A6C76"/>
    <w:rsid w:val="000A6CCF"/>
    <w:rsid w:val="000A6D08"/>
    <w:rsid w:val="000A6E43"/>
    <w:rsid w:val="000A7894"/>
    <w:rsid w:val="000A7BCD"/>
    <w:rsid w:val="000A7EE3"/>
    <w:rsid w:val="000B014E"/>
    <w:rsid w:val="000B0213"/>
    <w:rsid w:val="000B0259"/>
    <w:rsid w:val="000B0592"/>
    <w:rsid w:val="000B0A00"/>
    <w:rsid w:val="000B1525"/>
    <w:rsid w:val="000B1890"/>
    <w:rsid w:val="000B1B2C"/>
    <w:rsid w:val="000B1B4F"/>
    <w:rsid w:val="000B1F42"/>
    <w:rsid w:val="000B2005"/>
    <w:rsid w:val="000B21EC"/>
    <w:rsid w:val="000B25B1"/>
    <w:rsid w:val="000B298B"/>
    <w:rsid w:val="000B3030"/>
    <w:rsid w:val="000B3064"/>
    <w:rsid w:val="000B3088"/>
    <w:rsid w:val="000B30CC"/>
    <w:rsid w:val="000B33BC"/>
    <w:rsid w:val="000B34AF"/>
    <w:rsid w:val="000B3575"/>
    <w:rsid w:val="000B35EB"/>
    <w:rsid w:val="000B38ED"/>
    <w:rsid w:val="000B3A17"/>
    <w:rsid w:val="000B3C5D"/>
    <w:rsid w:val="000B3E9A"/>
    <w:rsid w:val="000B4273"/>
    <w:rsid w:val="000B432A"/>
    <w:rsid w:val="000B436E"/>
    <w:rsid w:val="000B4379"/>
    <w:rsid w:val="000B4400"/>
    <w:rsid w:val="000B4871"/>
    <w:rsid w:val="000B488C"/>
    <w:rsid w:val="000B4D22"/>
    <w:rsid w:val="000B4D65"/>
    <w:rsid w:val="000B4E05"/>
    <w:rsid w:val="000B50FA"/>
    <w:rsid w:val="000B5708"/>
    <w:rsid w:val="000B592F"/>
    <w:rsid w:val="000B59F1"/>
    <w:rsid w:val="000B5B4E"/>
    <w:rsid w:val="000B5C22"/>
    <w:rsid w:val="000B5E78"/>
    <w:rsid w:val="000B5ED7"/>
    <w:rsid w:val="000B6471"/>
    <w:rsid w:val="000B6886"/>
    <w:rsid w:val="000B6A2A"/>
    <w:rsid w:val="000B6BDE"/>
    <w:rsid w:val="000B6F48"/>
    <w:rsid w:val="000B7038"/>
    <w:rsid w:val="000B785F"/>
    <w:rsid w:val="000B7928"/>
    <w:rsid w:val="000B7D25"/>
    <w:rsid w:val="000B7EE7"/>
    <w:rsid w:val="000C0592"/>
    <w:rsid w:val="000C080E"/>
    <w:rsid w:val="000C0CDE"/>
    <w:rsid w:val="000C0E74"/>
    <w:rsid w:val="000C112C"/>
    <w:rsid w:val="000C11EA"/>
    <w:rsid w:val="000C14FB"/>
    <w:rsid w:val="000C175E"/>
    <w:rsid w:val="000C193B"/>
    <w:rsid w:val="000C19D7"/>
    <w:rsid w:val="000C22B1"/>
    <w:rsid w:val="000C2452"/>
    <w:rsid w:val="000C2466"/>
    <w:rsid w:val="000C24BE"/>
    <w:rsid w:val="000C2691"/>
    <w:rsid w:val="000C2806"/>
    <w:rsid w:val="000C2A28"/>
    <w:rsid w:val="000C2ABD"/>
    <w:rsid w:val="000C3B62"/>
    <w:rsid w:val="000C3B96"/>
    <w:rsid w:val="000C3FA0"/>
    <w:rsid w:val="000C42FF"/>
    <w:rsid w:val="000C4845"/>
    <w:rsid w:val="000C4935"/>
    <w:rsid w:val="000C495D"/>
    <w:rsid w:val="000C4AFA"/>
    <w:rsid w:val="000C4DD9"/>
    <w:rsid w:val="000C51FF"/>
    <w:rsid w:val="000C52CA"/>
    <w:rsid w:val="000C5310"/>
    <w:rsid w:val="000C54FA"/>
    <w:rsid w:val="000C57F6"/>
    <w:rsid w:val="000C5E8A"/>
    <w:rsid w:val="000C62BB"/>
    <w:rsid w:val="000C6568"/>
    <w:rsid w:val="000C6DF1"/>
    <w:rsid w:val="000C6E9E"/>
    <w:rsid w:val="000C7198"/>
    <w:rsid w:val="000C724D"/>
    <w:rsid w:val="000C788E"/>
    <w:rsid w:val="000D0035"/>
    <w:rsid w:val="000D098A"/>
    <w:rsid w:val="000D150B"/>
    <w:rsid w:val="000D1BAF"/>
    <w:rsid w:val="000D1C54"/>
    <w:rsid w:val="000D2CFF"/>
    <w:rsid w:val="000D2D00"/>
    <w:rsid w:val="000D2F95"/>
    <w:rsid w:val="000D3033"/>
    <w:rsid w:val="000D310C"/>
    <w:rsid w:val="000D3A8D"/>
    <w:rsid w:val="000D3E1D"/>
    <w:rsid w:val="000D3FAE"/>
    <w:rsid w:val="000D4062"/>
    <w:rsid w:val="000D481B"/>
    <w:rsid w:val="000D4B9A"/>
    <w:rsid w:val="000D4C75"/>
    <w:rsid w:val="000D5381"/>
    <w:rsid w:val="000D5552"/>
    <w:rsid w:val="000D5C10"/>
    <w:rsid w:val="000D5C6F"/>
    <w:rsid w:val="000D5CCE"/>
    <w:rsid w:val="000D620C"/>
    <w:rsid w:val="000D63D4"/>
    <w:rsid w:val="000D72D3"/>
    <w:rsid w:val="000D732D"/>
    <w:rsid w:val="000D7686"/>
    <w:rsid w:val="000D798A"/>
    <w:rsid w:val="000D7C5F"/>
    <w:rsid w:val="000D7D4A"/>
    <w:rsid w:val="000D7E53"/>
    <w:rsid w:val="000E0437"/>
    <w:rsid w:val="000E0465"/>
    <w:rsid w:val="000E0878"/>
    <w:rsid w:val="000E09DF"/>
    <w:rsid w:val="000E0D88"/>
    <w:rsid w:val="000E11A1"/>
    <w:rsid w:val="000E11C1"/>
    <w:rsid w:val="000E1391"/>
    <w:rsid w:val="000E13E8"/>
    <w:rsid w:val="000E1417"/>
    <w:rsid w:val="000E1803"/>
    <w:rsid w:val="000E1915"/>
    <w:rsid w:val="000E2434"/>
    <w:rsid w:val="000E297D"/>
    <w:rsid w:val="000E2993"/>
    <w:rsid w:val="000E29E3"/>
    <w:rsid w:val="000E2A76"/>
    <w:rsid w:val="000E31F5"/>
    <w:rsid w:val="000E34C3"/>
    <w:rsid w:val="000E3898"/>
    <w:rsid w:val="000E38F2"/>
    <w:rsid w:val="000E4037"/>
    <w:rsid w:val="000E4688"/>
    <w:rsid w:val="000E48E1"/>
    <w:rsid w:val="000E4A17"/>
    <w:rsid w:val="000E4F1A"/>
    <w:rsid w:val="000E5A2A"/>
    <w:rsid w:val="000E6064"/>
    <w:rsid w:val="000E6154"/>
    <w:rsid w:val="000E65A2"/>
    <w:rsid w:val="000E67D7"/>
    <w:rsid w:val="000E7915"/>
    <w:rsid w:val="000E7F77"/>
    <w:rsid w:val="000F03AA"/>
    <w:rsid w:val="000F04A3"/>
    <w:rsid w:val="000F0B5F"/>
    <w:rsid w:val="000F0CEA"/>
    <w:rsid w:val="000F0D2A"/>
    <w:rsid w:val="000F0E19"/>
    <w:rsid w:val="000F118A"/>
    <w:rsid w:val="000F1626"/>
    <w:rsid w:val="000F1822"/>
    <w:rsid w:val="000F18AC"/>
    <w:rsid w:val="000F19A5"/>
    <w:rsid w:val="000F1D0B"/>
    <w:rsid w:val="000F1DEE"/>
    <w:rsid w:val="000F2583"/>
    <w:rsid w:val="000F29A8"/>
    <w:rsid w:val="000F2A41"/>
    <w:rsid w:val="000F30C8"/>
    <w:rsid w:val="000F34C2"/>
    <w:rsid w:val="000F35E2"/>
    <w:rsid w:val="000F3A5C"/>
    <w:rsid w:val="000F3B8F"/>
    <w:rsid w:val="000F3E29"/>
    <w:rsid w:val="000F428E"/>
    <w:rsid w:val="000F49CD"/>
    <w:rsid w:val="000F4DAE"/>
    <w:rsid w:val="000F5286"/>
    <w:rsid w:val="000F55E3"/>
    <w:rsid w:val="000F5746"/>
    <w:rsid w:val="000F5CC8"/>
    <w:rsid w:val="000F5CE5"/>
    <w:rsid w:val="000F6559"/>
    <w:rsid w:val="000F67DE"/>
    <w:rsid w:val="000F6808"/>
    <w:rsid w:val="000F684D"/>
    <w:rsid w:val="000F68E1"/>
    <w:rsid w:val="000F6DDF"/>
    <w:rsid w:val="000F7123"/>
    <w:rsid w:val="000F713B"/>
    <w:rsid w:val="000F74A4"/>
    <w:rsid w:val="00100122"/>
    <w:rsid w:val="001001C2"/>
    <w:rsid w:val="00100686"/>
    <w:rsid w:val="00100CB0"/>
    <w:rsid w:val="00100D39"/>
    <w:rsid w:val="00100DA8"/>
    <w:rsid w:val="00100F6F"/>
    <w:rsid w:val="00101747"/>
    <w:rsid w:val="00101920"/>
    <w:rsid w:val="001020A0"/>
    <w:rsid w:val="001021C5"/>
    <w:rsid w:val="001023C7"/>
    <w:rsid w:val="001023F1"/>
    <w:rsid w:val="0010248D"/>
    <w:rsid w:val="001024B1"/>
    <w:rsid w:val="001026E5"/>
    <w:rsid w:val="00102AAB"/>
    <w:rsid w:val="00102F21"/>
    <w:rsid w:val="00103350"/>
    <w:rsid w:val="001034D6"/>
    <w:rsid w:val="001034D8"/>
    <w:rsid w:val="00103A46"/>
    <w:rsid w:val="00103D37"/>
    <w:rsid w:val="00103F0A"/>
    <w:rsid w:val="00103F91"/>
    <w:rsid w:val="001043AD"/>
    <w:rsid w:val="001045ED"/>
    <w:rsid w:val="001047FC"/>
    <w:rsid w:val="00104FB8"/>
    <w:rsid w:val="001058D5"/>
    <w:rsid w:val="00105E4C"/>
    <w:rsid w:val="001061E1"/>
    <w:rsid w:val="0010632F"/>
    <w:rsid w:val="00106578"/>
    <w:rsid w:val="0010693C"/>
    <w:rsid w:val="00106ED1"/>
    <w:rsid w:val="00107139"/>
    <w:rsid w:val="00107554"/>
    <w:rsid w:val="00107CCB"/>
    <w:rsid w:val="001102EF"/>
    <w:rsid w:val="00110432"/>
    <w:rsid w:val="00110BDF"/>
    <w:rsid w:val="00110ED5"/>
    <w:rsid w:val="00110F88"/>
    <w:rsid w:val="001112BB"/>
    <w:rsid w:val="00111312"/>
    <w:rsid w:val="00111A6D"/>
    <w:rsid w:val="00111D93"/>
    <w:rsid w:val="001123A2"/>
    <w:rsid w:val="001126A2"/>
    <w:rsid w:val="00112A47"/>
    <w:rsid w:val="00112C0D"/>
    <w:rsid w:val="00112CBD"/>
    <w:rsid w:val="00112E6B"/>
    <w:rsid w:val="00113646"/>
    <w:rsid w:val="00113DEE"/>
    <w:rsid w:val="00113F59"/>
    <w:rsid w:val="00114134"/>
    <w:rsid w:val="001141BD"/>
    <w:rsid w:val="001142A4"/>
    <w:rsid w:val="001144EF"/>
    <w:rsid w:val="001145DC"/>
    <w:rsid w:val="00114979"/>
    <w:rsid w:val="00114AD2"/>
    <w:rsid w:val="00114BC9"/>
    <w:rsid w:val="00114C7A"/>
    <w:rsid w:val="00114CF2"/>
    <w:rsid w:val="00114EAE"/>
    <w:rsid w:val="0011544B"/>
    <w:rsid w:val="00115610"/>
    <w:rsid w:val="00115CC6"/>
    <w:rsid w:val="00115DAB"/>
    <w:rsid w:val="00116452"/>
    <w:rsid w:val="0011678C"/>
    <w:rsid w:val="001167D8"/>
    <w:rsid w:val="00116BBA"/>
    <w:rsid w:val="001170EA"/>
    <w:rsid w:val="0011726A"/>
    <w:rsid w:val="0011742F"/>
    <w:rsid w:val="001178E8"/>
    <w:rsid w:val="00117C4C"/>
    <w:rsid w:val="00120094"/>
    <w:rsid w:val="00120676"/>
    <w:rsid w:val="00120CD5"/>
    <w:rsid w:val="00120D7A"/>
    <w:rsid w:val="001216DC"/>
    <w:rsid w:val="00121701"/>
    <w:rsid w:val="00121754"/>
    <w:rsid w:val="00121C23"/>
    <w:rsid w:val="00121E20"/>
    <w:rsid w:val="001222FA"/>
    <w:rsid w:val="00122D73"/>
    <w:rsid w:val="00122D74"/>
    <w:rsid w:val="00123287"/>
    <w:rsid w:val="0012329F"/>
    <w:rsid w:val="00123332"/>
    <w:rsid w:val="0012347E"/>
    <w:rsid w:val="00123A5D"/>
    <w:rsid w:val="00124518"/>
    <w:rsid w:val="0012478A"/>
    <w:rsid w:val="00124C49"/>
    <w:rsid w:val="00124F70"/>
    <w:rsid w:val="001256C3"/>
    <w:rsid w:val="0012583B"/>
    <w:rsid w:val="00125B2F"/>
    <w:rsid w:val="00125BE8"/>
    <w:rsid w:val="00125EB4"/>
    <w:rsid w:val="00125EC6"/>
    <w:rsid w:val="00125F45"/>
    <w:rsid w:val="00126060"/>
    <w:rsid w:val="001264EB"/>
    <w:rsid w:val="001265CE"/>
    <w:rsid w:val="00126A6D"/>
    <w:rsid w:val="00126ED0"/>
    <w:rsid w:val="00127198"/>
    <w:rsid w:val="001272A8"/>
    <w:rsid w:val="00127831"/>
    <w:rsid w:val="001279B9"/>
    <w:rsid w:val="00127C57"/>
    <w:rsid w:val="0013030A"/>
    <w:rsid w:val="00130439"/>
    <w:rsid w:val="001307A2"/>
    <w:rsid w:val="001308C1"/>
    <w:rsid w:val="001309A2"/>
    <w:rsid w:val="00130A06"/>
    <w:rsid w:val="00130A41"/>
    <w:rsid w:val="00130D64"/>
    <w:rsid w:val="001316AB"/>
    <w:rsid w:val="0013175B"/>
    <w:rsid w:val="0013180A"/>
    <w:rsid w:val="00131A86"/>
    <w:rsid w:val="00131B1F"/>
    <w:rsid w:val="00131C39"/>
    <w:rsid w:val="00131DE3"/>
    <w:rsid w:val="00131E8C"/>
    <w:rsid w:val="001324F9"/>
    <w:rsid w:val="001328C8"/>
    <w:rsid w:val="00132973"/>
    <w:rsid w:val="00132F02"/>
    <w:rsid w:val="00133286"/>
    <w:rsid w:val="00133CA3"/>
    <w:rsid w:val="00133E73"/>
    <w:rsid w:val="00133E90"/>
    <w:rsid w:val="00134035"/>
    <w:rsid w:val="0013407D"/>
    <w:rsid w:val="0013426F"/>
    <w:rsid w:val="00134276"/>
    <w:rsid w:val="001346C8"/>
    <w:rsid w:val="00134950"/>
    <w:rsid w:val="00134A6B"/>
    <w:rsid w:val="00134C92"/>
    <w:rsid w:val="00134CB5"/>
    <w:rsid w:val="00135504"/>
    <w:rsid w:val="0013571E"/>
    <w:rsid w:val="00135A90"/>
    <w:rsid w:val="00135ABA"/>
    <w:rsid w:val="00135D5C"/>
    <w:rsid w:val="001366D4"/>
    <w:rsid w:val="0013693A"/>
    <w:rsid w:val="001369F4"/>
    <w:rsid w:val="00137682"/>
    <w:rsid w:val="001376A8"/>
    <w:rsid w:val="0013782F"/>
    <w:rsid w:val="00137B2E"/>
    <w:rsid w:val="00137DF5"/>
    <w:rsid w:val="001403ED"/>
    <w:rsid w:val="0014043E"/>
    <w:rsid w:val="001404A9"/>
    <w:rsid w:val="0014079C"/>
    <w:rsid w:val="001409C7"/>
    <w:rsid w:val="00140B12"/>
    <w:rsid w:val="00140F39"/>
    <w:rsid w:val="00140FF6"/>
    <w:rsid w:val="00141342"/>
    <w:rsid w:val="00141487"/>
    <w:rsid w:val="0014152E"/>
    <w:rsid w:val="0014174C"/>
    <w:rsid w:val="0014196E"/>
    <w:rsid w:val="00141DDB"/>
    <w:rsid w:val="00142590"/>
    <w:rsid w:val="001429A4"/>
    <w:rsid w:val="00142BAE"/>
    <w:rsid w:val="00142E3D"/>
    <w:rsid w:val="00142FB7"/>
    <w:rsid w:val="00143100"/>
    <w:rsid w:val="00143473"/>
    <w:rsid w:val="00143878"/>
    <w:rsid w:val="00144724"/>
    <w:rsid w:val="001449A7"/>
    <w:rsid w:val="00144A84"/>
    <w:rsid w:val="00144AF8"/>
    <w:rsid w:val="00144B3F"/>
    <w:rsid w:val="001451E3"/>
    <w:rsid w:val="0014540E"/>
    <w:rsid w:val="0014589B"/>
    <w:rsid w:val="00145B77"/>
    <w:rsid w:val="00145C94"/>
    <w:rsid w:val="00145F2B"/>
    <w:rsid w:val="0014608D"/>
    <w:rsid w:val="00146123"/>
    <w:rsid w:val="0014665B"/>
    <w:rsid w:val="00146762"/>
    <w:rsid w:val="00146822"/>
    <w:rsid w:val="00146848"/>
    <w:rsid w:val="001469DC"/>
    <w:rsid w:val="00146ABC"/>
    <w:rsid w:val="00146CBC"/>
    <w:rsid w:val="00146EA5"/>
    <w:rsid w:val="00146EAB"/>
    <w:rsid w:val="00146FC6"/>
    <w:rsid w:val="00147141"/>
    <w:rsid w:val="0014718C"/>
    <w:rsid w:val="00147640"/>
    <w:rsid w:val="001477D3"/>
    <w:rsid w:val="00147875"/>
    <w:rsid w:val="00147C4E"/>
    <w:rsid w:val="00147C75"/>
    <w:rsid w:val="00147C98"/>
    <w:rsid w:val="00147CAC"/>
    <w:rsid w:val="001500B0"/>
    <w:rsid w:val="001501DA"/>
    <w:rsid w:val="00150293"/>
    <w:rsid w:val="001502BB"/>
    <w:rsid w:val="0015041D"/>
    <w:rsid w:val="00150A48"/>
    <w:rsid w:val="00150E68"/>
    <w:rsid w:val="00150FE8"/>
    <w:rsid w:val="0015164C"/>
    <w:rsid w:val="00151849"/>
    <w:rsid w:val="00151C32"/>
    <w:rsid w:val="00151C7A"/>
    <w:rsid w:val="00152482"/>
    <w:rsid w:val="00152751"/>
    <w:rsid w:val="001527CC"/>
    <w:rsid w:val="001528CC"/>
    <w:rsid w:val="00152F48"/>
    <w:rsid w:val="00152F4D"/>
    <w:rsid w:val="00153356"/>
    <w:rsid w:val="0015345E"/>
    <w:rsid w:val="00153474"/>
    <w:rsid w:val="00153B07"/>
    <w:rsid w:val="00153FC0"/>
    <w:rsid w:val="00154236"/>
    <w:rsid w:val="00154629"/>
    <w:rsid w:val="00154828"/>
    <w:rsid w:val="00154BE4"/>
    <w:rsid w:val="00155821"/>
    <w:rsid w:val="00155F62"/>
    <w:rsid w:val="00156018"/>
    <w:rsid w:val="0015614B"/>
    <w:rsid w:val="0015636C"/>
    <w:rsid w:val="0015666E"/>
    <w:rsid w:val="0015677D"/>
    <w:rsid w:val="00156DB4"/>
    <w:rsid w:val="00156F8B"/>
    <w:rsid w:val="001572B1"/>
    <w:rsid w:val="00157368"/>
    <w:rsid w:val="00157774"/>
    <w:rsid w:val="0015783B"/>
    <w:rsid w:val="00157985"/>
    <w:rsid w:val="00157F81"/>
    <w:rsid w:val="00160010"/>
    <w:rsid w:val="001604D0"/>
    <w:rsid w:val="001609E7"/>
    <w:rsid w:val="00161027"/>
    <w:rsid w:val="001619D6"/>
    <w:rsid w:val="00161BBA"/>
    <w:rsid w:val="00161E16"/>
    <w:rsid w:val="00161F53"/>
    <w:rsid w:val="00162025"/>
    <w:rsid w:val="00162193"/>
    <w:rsid w:val="00162244"/>
    <w:rsid w:val="00162779"/>
    <w:rsid w:val="00163019"/>
    <w:rsid w:val="0016365D"/>
    <w:rsid w:val="00163754"/>
    <w:rsid w:val="00163835"/>
    <w:rsid w:val="00163836"/>
    <w:rsid w:val="001639B6"/>
    <w:rsid w:val="00163A0C"/>
    <w:rsid w:val="00163F0A"/>
    <w:rsid w:val="0016404B"/>
    <w:rsid w:val="00164427"/>
    <w:rsid w:val="001644E1"/>
    <w:rsid w:val="0016479F"/>
    <w:rsid w:val="00164F56"/>
    <w:rsid w:val="001650C2"/>
    <w:rsid w:val="0016594A"/>
    <w:rsid w:val="00165B63"/>
    <w:rsid w:val="00165C73"/>
    <w:rsid w:val="00165DAA"/>
    <w:rsid w:val="0016631B"/>
    <w:rsid w:val="0016665A"/>
    <w:rsid w:val="0016688E"/>
    <w:rsid w:val="00166896"/>
    <w:rsid w:val="00166A9A"/>
    <w:rsid w:val="00166F24"/>
    <w:rsid w:val="001670BC"/>
    <w:rsid w:val="0016717F"/>
    <w:rsid w:val="00167493"/>
    <w:rsid w:val="00167558"/>
    <w:rsid w:val="0016766E"/>
    <w:rsid w:val="00167717"/>
    <w:rsid w:val="00170445"/>
    <w:rsid w:val="00170482"/>
    <w:rsid w:val="00170527"/>
    <w:rsid w:val="001705B7"/>
    <w:rsid w:val="00170EAF"/>
    <w:rsid w:val="00170F4F"/>
    <w:rsid w:val="00171582"/>
    <w:rsid w:val="001717CF"/>
    <w:rsid w:val="00171E15"/>
    <w:rsid w:val="0017259A"/>
    <w:rsid w:val="00172615"/>
    <w:rsid w:val="00172BCC"/>
    <w:rsid w:val="00172D54"/>
    <w:rsid w:val="00172E67"/>
    <w:rsid w:val="00173093"/>
    <w:rsid w:val="00173255"/>
    <w:rsid w:val="001743D4"/>
    <w:rsid w:val="001755DE"/>
    <w:rsid w:val="00175710"/>
    <w:rsid w:val="00175ABE"/>
    <w:rsid w:val="00175AD6"/>
    <w:rsid w:val="00175AFB"/>
    <w:rsid w:val="00175B61"/>
    <w:rsid w:val="00176098"/>
    <w:rsid w:val="00176313"/>
    <w:rsid w:val="00176550"/>
    <w:rsid w:val="001766B4"/>
    <w:rsid w:val="001767AE"/>
    <w:rsid w:val="001769DF"/>
    <w:rsid w:val="00176F18"/>
    <w:rsid w:val="00177037"/>
    <w:rsid w:val="0017744E"/>
    <w:rsid w:val="00177838"/>
    <w:rsid w:val="00177A26"/>
    <w:rsid w:val="00177A81"/>
    <w:rsid w:val="00177D54"/>
    <w:rsid w:val="00180185"/>
    <w:rsid w:val="001802B0"/>
    <w:rsid w:val="00180334"/>
    <w:rsid w:val="00180426"/>
    <w:rsid w:val="00180596"/>
    <w:rsid w:val="001806D2"/>
    <w:rsid w:val="0018070C"/>
    <w:rsid w:val="001807B7"/>
    <w:rsid w:val="001808C9"/>
    <w:rsid w:val="001808F8"/>
    <w:rsid w:val="00180AE5"/>
    <w:rsid w:val="00181311"/>
    <w:rsid w:val="00181562"/>
    <w:rsid w:val="00181A1D"/>
    <w:rsid w:val="00181DDA"/>
    <w:rsid w:val="00181DDB"/>
    <w:rsid w:val="00181DDD"/>
    <w:rsid w:val="00181FE2"/>
    <w:rsid w:val="00182014"/>
    <w:rsid w:val="001823A2"/>
    <w:rsid w:val="001823D8"/>
    <w:rsid w:val="0018262E"/>
    <w:rsid w:val="001828F1"/>
    <w:rsid w:val="00182B06"/>
    <w:rsid w:val="00182B80"/>
    <w:rsid w:val="00182EC8"/>
    <w:rsid w:val="0018317D"/>
    <w:rsid w:val="001834FE"/>
    <w:rsid w:val="001837E6"/>
    <w:rsid w:val="00183FCD"/>
    <w:rsid w:val="00184275"/>
    <w:rsid w:val="001842FB"/>
    <w:rsid w:val="00184471"/>
    <w:rsid w:val="0018478D"/>
    <w:rsid w:val="00184CD8"/>
    <w:rsid w:val="001850FC"/>
    <w:rsid w:val="0018534C"/>
    <w:rsid w:val="001854A5"/>
    <w:rsid w:val="0018582D"/>
    <w:rsid w:val="001858D3"/>
    <w:rsid w:val="00185A57"/>
    <w:rsid w:val="00185C8B"/>
    <w:rsid w:val="00186002"/>
    <w:rsid w:val="001864A2"/>
    <w:rsid w:val="00186704"/>
    <w:rsid w:val="00186C3C"/>
    <w:rsid w:val="00186FAC"/>
    <w:rsid w:val="00187702"/>
    <w:rsid w:val="001879EA"/>
    <w:rsid w:val="00187F30"/>
    <w:rsid w:val="00187F49"/>
    <w:rsid w:val="0019012F"/>
    <w:rsid w:val="0019047D"/>
    <w:rsid w:val="001904FA"/>
    <w:rsid w:val="001908E9"/>
    <w:rsid w:val="00190B93"/>
    <w:rsid w:val="00190E7B"/>
    <w:rsid w:val="00191029"/>
    <w:rsid w:val="001910ED"/>
    <w:rsid w:val="001922EB"/>
    <w:rsid w:val="00192380"/>
    <w:rsid w:val="00192430"/>
    <w:rsid w:val="001926E3"/>
    <w:rsid w:val="00192D2B"/>
    <w:rsid w:val="001930D0"/>
    <w:rsid w:val="00193629"/>
    <w:rsid w:val="00193781"/>
    <w:rsid w:val="001938E9"/>
    <w:rsid w:val="00193D59"/>
    <w:rsid w:val="00193FD3"/>
    <w:rsid w:val="00193FFA"/>
    <w:rsid w:val="00194409"/>
    <w:rsid w:val="0019461B"/>
    <w:rsid w:val="00194984"/>
    <w:rsid w:val="00194BB6"/>
    <w:rsid w:val="001956FF"/>
    <w:rsid w:val="00195D65"/>
    <w:rsid w:val="00196001"/>
    <w:rsid w:val="001964E9"/>
    <w:rsid w:val="001965F1"/>
    <w:rsid w:val="00196EB4"/>
    <w:rsid w:val="00197291"/>
    <w:rsid w:val="0019734F"/>
    <w:rsid w:val="001978AF"/>
    <w:rsid w:val="00197DAA"/>
    <w:rsid w:val="00197DF9"/>
    <w:rsid w:val="001A0149"/>
    <w:rsid w:val="001A020F"/>
    <w:rsid w:val="001A0D41"/>
    <w:rsid w:val="001A0E81"/>
    <w:rsid w:val="001A0EBA"/>
    <w:rsid w:val="001A1672"/>
    <w:rsid w:val="001A1A37"/>
    <w:rsid w:val="001A1B1A"/>
    <w:rsid w:val="001A1C54"/>
    <w:rsid w:val="001A1F0F"/>
    <w:rsid w:val="001A207C"/>
    <w:rsid w:val="001A226A"/>
    <w:rsid w:val="001A24D7"/>
    <w:rsid w:val="001A277D"/>
    <w:rsid w:val="001A2A88"/>
    <w:rsid w:val="001A2EE1"/>
    <w:rsid w:val="001A2F32"/>
    <w:rsid w:val="001A328B"/>
    <w:rsid w:val="001A3407"/>
    <w:rsid w:val="001A3447"/>
    <w:rsid w:val="001A3A73"/>
    <w:rsid w:val="001A3C8D"/>
    <w:rsid w:val="001A40DE"/>
    <w:rsid w:val="001A44E5"/>
    <w:rsid w:val="001A4613"/>
    <w:rsid w:val="001A4871"/>
    <w:rsid w:val="001A4EE6"/>
    <w:rsid w:val="001A528C"/>
    <w:rsid w:val="001A5509"/>
    <w:rsid w:val="001A553B"/>
    <w:rsid w:val="001A592E"/>
    <w:rsid w:val="001A5A9B"/>
    <w:rsid w:val="001A5B08"/>
    <w:rsid w:val="001A5CAE"/>
    <w:rsid w:val="001A5DF8"/>
    <w:rsid w:val="001A5EA6"/>
    <w:rsid w:val="001A6058"/>
    <w:rsid w:val="001A61A2"/>
    <w:rsid w:val="001A6241"/>
    <w:rsid w:val="001A6695"/>
    <w:rsid w:val="001A6A03"/>
    <w:rsid w:val="001A6ACA"/>
    <w:rsid w:val="001A6D06"/>
    <w:rsid w:val="001A727B"/>
    <w:rsid w:val="001A7BF4"/>
    <w:rsid w:val="001B0045"/>
    <w:rsid w:val="001B0210"/>
    <w:rsid w:val="001B05EA"/>
    <w:rsid w:val="001B0707"/>
    <w:rsid w:val="001B081D"/>
    <w:rsid w:val="001B0DD7"/>
    <w:rsid w:val="001B0FA0"/>
    <w:rsid w:val="001B1358"/>
    <w:rsid w:val="001B14D2"/>
    <w:rsid w:val="001B1585"/>
    <w:rsid w:val="001B15BC"/>
    <w:rsid w:val="001B1C6C"/>
    <w:rsid w:val="001B23EF"/>
    <w:rsid w:val="001B26CB"/>
    <w:rsid w:val="001B28AD"/>
    <w:rsid w:val="001B2A44"/>
    <w:rsid w:val="001B2F88"/>
    <w:rsid w:val="001B3807"/>
    <w:rsid w:val="001B3AEA"/>
    <w:rsid w:val="001B3B46"/>
    <w:rsid w:val="001B3BF6"/>
    <w:rsid w:val="001B410A"/>
    <w:rsid w:val="001B4394"/>
    <w:rsid w:val="001B489D"/>
    <w:rsid w:val="001B4AE4"/>
    <w:rsid w:val="001B4C22"/>
    <w:rsid w:val="001B4FBD"/>
    <w:rsid w:val="001B50EB"/>
    <w:rsid w:val="001B56EB"/>
    <w:rsid w:val="001B584F"/>
    <w:rsid w:val="001B5958"/>
    <w:rsid w:val="001B5A16"/>
    <w:rsid w:val="001B5BCC"/>
    <w:rsid w:val="001B617D"/>
    <w:rsid w:val="001B63DA"/>
    <w:rsid w:val="001B686F"/>
    <w:rsid w:val="001B6B0C"/>
    <w:rsid w:val="001B79B8"/>
    <w:rsid w:val="001B7F21"/>
    <w:rsid w:val="001B7FD0"/>
    <w:rsid w:val="001C0876"/>
    <w:rsid w:val="001C08A4"/>
    <w:rsid w:val="001C0DAD"/>
    <w:rsid w:val="001C0E2D"/>
    <w:rsid w:val="001C0EFF"/>
    <w:rsid w:val="001C110D"/>
    <w:rsid w:val="001C1198"/>
    <w:rsid w:val="001C14BB"/>
    <w:rsid w:val="001C170E"/>
    <w:rsid w:val="001C1897"/>
    <w:rsid w:val="001C1E40"/>
    <w:rsid w:val="001C1E6A"/>
    <w:rsid w:val="001C2344"/>
    <w:rsid w:val="001C28E3"/>
    <w:rsid w:val="001C296D"/>
    <w:rsid w:val="001C2E8C"/>
    <w:rsid w:val="001C2EC1"/>
    <w:rsid w:val="001C31EE"/>
    <w:rsid w:val="001C3663"/>
    <w:rsid w:val="001C3EED"/>
    <w:rsid w:val="001C44F0"/>
    <w:rsid w:val="001C4CCB"/>
    <w:rsid w:val="001C517B"/>
    <w:rsid w:val="001C563E"/>
    <w:rsid w:val="001C59EE"/>
    <w:rsid w:val="001C6165"/>
    <w:rsid w:val="001C6772"/>
    <w:rsid w:val="001C67EE"/>
    <w:rsid w:val="001C6B66"/>
    <w:rsid w:val="001C6E22"/>
    <w:rsid w:val="001C70C4"/>
    <w:rsid w:val="001C79BB"/>
    <w:rsid w:val="001C7A68"/>
    <w:rsid w:val="001C7A7A"/>
    <w:rsid w:val="001C7B1A"/>
    <w:rsid w:val="001C7D5D"/>
    <w:rsid w:val="001C7DE6"/>
    <w:rsid w:val="001D037F"/>
    <w:rsid w:val="001D0386"/>
    <w:rsid w:val="001D08DE"/>
    <w:rsid w:val="001D0D96"/>
    <w:rsid w:val="001D0DF9"/>
    <w:rsid w:val="001D1423"/>
    <w:rsid w:val="001D1463"/>
    <w:rsid w:val="001D146D"/>
    <w:rsid w:val="001D1A24"/>
    <w:rsid w:val="001D1DD8"/>
    <w:rsid w:val="001D21FC"/>
    <w:rsid w:val="001D231F"/>
    <w:rsid w:val="001D2527"/>
    <w:rsid w:val="001D2625"/>
    <w:rsid w:val="001D2890"/>
    <w:rsid w:val="001D2C14"/>
    <w:rsid w:val="001D2DDE"/>
    <w:rsid w:val="001D3427"/>
    <w:rsid w:val="001D3454"/>
    <w:rsid w:val="001D363E"/>
    <w:rsid w:val="001D38A7"/>
    <w:rsid w:val="001D3BFE"/>
    <w:rsid w:val="001D3C2C"/>
    <w:rsid w:val="001D47A4"/>
    <w:rsid w:val="001D4F8E"/>
    <w:rsid w:val="001D5312"/>
    <w:rsid w:val="001D54A5"/>
    <w:rsid w:val="001D5571"/>
    <w:rsid w:val="001D55B8"/>
    <w:rsid w:val="001D564D"/>
    <w:rsid w:val="001D5725"/>
    <w:rsid w:val="001D577D"/>
    <w:rsid w:val="001D5A5F"/>
    <w:rsid w:val="001D5DC6"/>
    <w:rsid w:val="001D5E80"/>
    <w:rsid w:val="001D5F6C"/>
    <w:rsid w:val="001D5FAE"/>
    <w:rsid w:val="001D622F"/>
    <w:rsid w:val="001D68F6"/>
    <w:rsid w:val="001D69A2"/>
    <w:rsid w:val="001D6AAB"/>
    <w:rsid w:val="001D73AF"/>
    <w:rsid w:val="001D76A8"/>
    <w:rsid w:val="001D76EF"/>
    <w:rsid w:val="001D771B"/>
    <w:rsid w:val="001D792E"/>
    <w:rsid w:val="001D7D5D"/>
    <w:rsid w:val="001D7F9B"/>
    <w:rsid w:val="001E013D"/>
    <w:rsid w:val="001E0345"/>
    <w:rsid w:val="001E0905"/>
    <w:rsid w:val="001E0996"/>
    <w:rsid w:val="001E12FF"/>
    <w:rsid w:val="001E1534"/>
    <w:rsid w:val="001E179E"/>
    <w:rsid w:val="001E1954"/>
    <w:rsid w:val="001E1A6E"/>
    <w:rsid w:val="001E1DC1"/>
    <w:rsid w:val="001E267B"/>
    <w:rsid w:val="001E2981"/>
    <w:rsid w:val="001E29C0"/>
    <w:rsid w:val="001E2AB3"/>
    <w:rsid w:val="001E2B83"/>
    <w:rsid w:val="001E3097"/>
    <w:rsid w:val="001E32FA"/>
    <w:rsid w:val="001E34A6"/>
    <w:rsid w:val="001E37ED"/>
    <w:rsid w:val="001E3873"/>
    <w:rsid w:val="001E3A62"/>
    <w:rsid w:val="001E3BC5"/>
    <w:rsid w:val="001E400A"/>
    <w:rsid w:val="001E4057"/>
    <w:rsid w:val="001E40C0"/>
    <w:rsid w:val="001E428D"/>
    <w:rsid w:val="001E44DC"/>
    <w:rsid w:val="001E46BD"/>
    <w:rsid w:val="001E4707"/>
    <w:rsid w:val="001E4C18"/>
    <w:rsid w:val="001E4C97"/>
    <w:rsid w:val="001E596A"/>
    <w:rsid w:val="001E5FEC"/>
    <w:rsid w:val="001E60B0"/>
    <w:rsid w:val="001E6724"/>
    <w:rsid w:val="001E6984"/>
    <w:rsid w:val="001E69BC"/>
    <w:rsid w:val="001E6AB7"/>
    <w:rsid w:val="001E6B4C"/>
    <w:rsid w:val="001E6E6F"/>
    <w:rsid w:val="001E6F22"/>
    <w:rsid w:val="001E6F8B"/>
    <w:rsid w:val="001E70DD"/>
    <w:rsid w:val="001E7254"/>
    <w:rsid w:val="001E74C5"/>
    <w:rsid w:val="001E76DF"/>
    <w:rsid w:val="001E785B"/>
    <w:rsid w:val="001E797A"/>
    <w:rsid w:val="001F01DE"/>
    <w:rsid w:val="001F0252"/>
    <w:rsid w:val="001F0EA9"/>
    <w:rsid w:val="001F0FC0"/>
    <w:rsid w:val="001F104A"/>
    <w:rsid w:val="001F11DC"/>
    <w:rsid w:val="001F11EA"/>
    <w:rsid w:val="001F1240"/>
    <w:rsid w:val="001F1732"/>
    <w:rsid w:val="001F1BC8"/>
    <w:rsid w:val="001F2681"/>
    <w:rsid w:val="001F2912"/>
    <w:rsid w:val="001F2FEA"/>
    <w:rsid w:val="001F3235"/>
    <w:rsid w:val="001F32E1"/>
    <w:rsid w:val="001F36C9"/>
    <w:rsid w:val="001F39B5"/>
    <w:rsid w:val="001F42FB"/>
    <w:rsid w:val="001F434E"/>
    <w:rsid w:val="001F4711"/>
    <w:rsid w:val="001F48B0"/>
    <w:rsid w:val="001F48E2"/>
    <w:rsid w:val="001F4B4F"/>
    <w:rsid w:val="001F5002"/>
    <w:rsid w:val="001F50D5"/>
    <w:rsid w:val="001F544F"/>
    <w:rsid w:val="001F58D8"/>
    <w:rsid w:val="001F5A75"/>
    <w:rsid w:val="001F5BE3"/>
    <w:rsid w:val="001F5BE9"/>
    <w:rsid w:val="001F5F48"/>
    <w:rsid w:val="001F6028"/>
    <w:rsid w:val="001F6206"/>
    <w:rsid w:val="001F624A"/>
    <w:rsid w:val="001F6A2D"/>
    <w:rsid w:val="001F6F28"/>
    <w:rsid w:val="001F70AE"/>
    <w:rsid w:val="001F7128"/>
    <w:rsid w:val="001F7144"/>
    <w:rsid w:val="001F73BF"/>
    <w:rsid w:val="001F7B12"/>
    <w:rsid w:val="001F7C1E"/>
    <w:rsid w:val="001F7DF5"/>
    <w:rsid w:val="001F7F45"/>
    <w:rsid w:val="0020004F"/>
    <w:rsid w:val="002007C4"/>
    <w:rsid w:val="00200C0F"/>
    <w:rsid w:val="00201237"/>
    <w:rsid w:val="00201400"/>
    <w:rsid w:val="00201510"/>
    <w:rsid w:val="002019FC"/>
    <w:rsid w:val="002021B3"/>
    <w:rsid w:val="00202897"/>
    <w:rsid w:val="002030E8"/>
    <w:rsid w:val="00203550"/>
    <w:rsid w:val="002035E1"/>
    <w:rsid w:val="002039B1"/>
    <w:rsid w:val="00203A0E"/>
    <w:rsid w:val="00203E55"/>
    <w:rsid w:val="00203FE8"/>
    <w:rsid w:val="00204335"/>
    <w:rsid w:val="0020451B"/>
    <w:rsid w:val="0020456A"/>
    <w:rsid w:val="00204596"/>
    <w:rsid w:val="00204CE1"/>
    <w:rsid w:val="00204FEB"/>
    <w:rsid w:val="00205542"/>
    <w:rsid w:val="0020588B"/>
    <w:rsid w:val="00205980"/>
    <w:rsid w:val="00205A94"/>
    <w:rsid w:val="00205E38"/>
    <w:rsid w:val="00205F69"/>
    <w:rsid w:val="00206942"/>
    <w:rsid w:val="00206E5F"/>
    <w:rsid w:val="00207135"/>
    <w:rsid w:val="002071FC"/>
    <w:rsid w:val="00207304"/>
    <w:rsid w:val="00207D95"/>
    <w:rsid w:val="002101A6"/>
    <w:rsid w:val="00210559"/>
    <w:rsid w:val="00210FA9"/>
    <w:rsid w:val="002110A0"/>
    <w:rsid w:val="0021128F"/>
    <w:rsid w:val="00211327"/>
    <w:rsid w:val="0021161A"/>
    <w:rsid w:val="00211817"/>
    <w:rsid w:val="002118E1"/>
    <w:rsid w:val="00211E83"/>
    <w:rsid w:val="002123C0"/>
    <w:rsid w:val="0021261C"/>
    <w:rsid w:val="002129BB"/>
    <w:rsid w:val="00212C73"/>
    <w:rsid w:val="0021325E"/>
    <w:rsid w:val="0021331F"/>
    <w:rsid w:val="00213527"/>
    <w:rsid w:val="002135D4"/>
    <w:rsid w:val="002138F9"/>
    <w:rsid w:val="002139F4"/>
    <w:rsid w:val="00213AD3"/>
    <w:rsid w:val="00213C4C"/>
    <w:rsid w:val="00213E7D"/>
    <w:rsid w:val="002142C2"/>
    <w:rsid w:val="002143F0"/>
    <w:rsid w:val="00214A01"/>
    <w:rsid w:val="00214A72"/>
    <w:rsid w:val="00214AB5"/>
    <w:rsid w:val="00214E56"/>
    <w:rsid w:val="002153BD"/>
    <w:rsid w:val="0021598A"/>
    <w:rsid w:val="00215F75"/>
    <w:rsid w:val="002160ED"/>
    <w:rsid w:val="002161C7"/>
    <w:rsid w:val="002165F6"/>
    <w:rsid w:val="00216780"/>
    <w:rsid w:val="002168DB"/>
    <w:rsid w:val="002168E1"/>
    <w:rsid w:val="0021693D"/>
    <w:rsid w:val="002169DE"/>
    <w:rsid w:val="00216A13"/>
    <w:rsid w:val="00217009"/>
    <w:rsid w:val="0021710D"/>
    <w:rsid w:val="00217DFF"/>
    <w:rsid w:val="00217FBE"/>
    <w:rsid w:val="00220202"/>
    <w:rsid w:val="0022064F"/>
    <w:rsid w:val="00220ABA"/>
    <w:rsid w:val="00220D9B"/>
    <w:rsid w:val="00220F9B"/>
    <w:rsid w:val="00221010"/>
    <w:rsid w:val="00221095"/>
    <w:rsid w:val="00221295"/>
    <w:rsid w:val="002217E4"/>
    <w:rsid w:val="002219B4"/>
    <w:rsid w:val="00221C36"/>
    <w:rsid w:val="00221D06"/>
    <w:rsid w:val="00221D36"/>
    <w:rsid w:val="00221DC8"/>
    <w:rsid w:val="002225A3"/>
    <w:rsid w:val="002225F5"/>
    <w:rsid w:val="0022272D"/>
    <w:rsid w:val="00222A97"/>
    <w:rsid w:val="00222EB2"/>
    <w:rsid w:val="0022328B"/>
    <w:rsid w:val="00223382"/>
    <w:rsid w:val="0022347D"/>
    <w:rsid w:val="0022348E"/>
    <w:rsid w:val="00223828"/>
    <w:rsid w:val="00223ADE"/>
    <w:rsid w:val="00223D33"/>
    <w:rsid w:val="00223E4A"/>
    <w:rsid w:val="00224BB7"/>
    <w:rsid w:val="00224BEA"/>
    <w:rsid w:val="00224C7F"/>
    <w:rsid w:val="00224CDD"/>
    <w:rsid w:val="00224F20"/>
    <w:rsid w:val="00225891"/>
    <w:rsid w:val="00225A0C"/>
    <w:rsid w:val="00225B79"/>
    <w:rsid w:val="00225E3A"/>
    <w:rsid w:val="0022606F"/>
    <w:rsid w:val="002264A6"/>
    <w:rsid w:val="002267FC"/>
    <w:rsid w:val="00226BD8"/>
    <w:rsid w:val="00226E0B"/>
    <w:rsid w:val="00227021"/>
    <w:rsid w:val="00227121"/>
    <w:rsid w:val="002273A3"/>
    <w:rsid w:val="00227969"/>
    <w:rsid w:val="00227D3D"/>
    <w:rsid w:val="0023014D"/>
    <w:rsid w:val="0023051F"/>
    <w:rsid w:val="00230642"/>
    <w:rsid w:val="002310A2"/>
    <w:rsid w:val="002320AA"/>
    <w:rsid w:val="00232117"/>
    <w:rsid w:val="002321B8"/>
    <w:rsid w:val="00232403"/>
    <w:rsid w:val="00232B7B"/>
    <w:rsid w:val="00232F6F"/>
    <w:rsid w:val="002339D1"/>
    <w:rsid w:val="00233A94"/>
    <w:rsid w:val="00233D6B"/>
    <w:rsid w:val="002342D2"/>
    <w:rsid w:val="0023475D"/>
    <w:rsid w:val="00234990"/>
    <w:rsid w:val="00235001"/>
    <w:rsid w:val="00235227"/>
    <w:rsid w:val="002352FF"/>
    <w:rsid w:val="00235375"/>
    <w:rsid w:val="002354C0"/>
    <w:rsid w:val="0023562C"/>
    <w:rsid w:val="00235698"/>
    <w:rsid w:val="00235A95"/>
    <w:rsid w:val="00236145"/>
    <w:rsid w:val="00236212"/>
    <w:rsid w:val="002369C7"/>
    <w:rsid w:val="00237008"/>
    <w:rsid w:val="0023710B"/>
    <w:rsid w:val="00237165"/>
    <w:rsid w:val="0023761B"/>
    <w:rsid w:val="002377F0"/>
    <w:rsid w:val="002378F5"/>
    <w:rsid w:val="00237C8D"/>
    <w:rsid w:val="00237E01"/>
    <w:rsid w:val="002400F6"/>
    <w:rsid w:val="002403EF"/>
    <w:rsid w:val="002404EF"/>
    <w:rsid w:val="00240636"/>
    <w:rsid w:val="002408BA"/>
    <w:rsid w:val="00240C36"/>
    <w:rsid w:val="00240C57"/>
    <w:rsid w:val="00240CF1"/>
    <w:rsid w:val="002410F6"/>
    <w:rsid w:val="002412F8"/>
    <w:rsid w:val="00241697"/>
    <w:rsid w:val="00241AD7"/>
    <w:rsid w:val="00241D91"/>
    <w:rsid w:val="0024242E"/>
    <w:rsid w:val="00242870"/>
    <w:rsid w:val="00242B5F"/>
    <w:rsid w:val="00242BF5"/>
    <w:rsid w:val="00243033"/>
    <w:rsid w:val="002441CB"/>
    <w:rsid w:val="00244681"/>
    <w:rsid w:val="0024477D"/>
    <w:rsid w:val="002447BB"/>
    <w:rsid w:val="00244A4B"/>
    <w:rsid w:val="00244CC5"/>
    <w:rsid w:val="00244F1B"/>
    <w:rsid w:val="0024561F"/>
    <w:rsid w:val="00245624"/>
    <w:rsid w:val="00245D27"/>
    <w:rsid w:val="00245DF3"/>
    <w:rsid w:val="00246022"/>
    <w:rsid w:val="00246710"/>
    <w:rsid w:val="00246E67"/>
    <w:rsid w:val="00247095"/>
    <w:rsid w:val="002470E9"/>
    <w:rsid w:val="00247522"/>
    <w:rsid w:val="00247916"/>
    <w:rsid w:val="00247F8E"/>
    <w:rsid w:val="00247FE8"/>
    <w:rsid w:val="00250181"/>
    <w:rsid w:val="002503E3"/>
    <w:rsid w:val="00250423"/>
    <w:rsid w:val="002505DE"/>
    <w:rsid w:val="002506BE"/>
    <w:rsid w:val="00250871"/>
    <w:rsid w:val="002511E6"/>
    <w:rsid w:val="00251320"/>
    <w:rsid w:val="00251A01"/>
    <w:rsid w:val="00251FB8"/>
    <w:rsid w:val="00252163"/>
    <w:rsid w:val="00252239"/>
    <w:rsid w:val="0025245F"/>
    <w:rsid w:val="002527E6"/>
    <w:rsid w:val="00252869"/>
    <w:rsid w:val="002528E8"/>
    <w:rsid w:val="00252929"/>
    <w:rsid w:val="0025302D"/>
    <w:rsid w:val="0025362A"/>
    <w:rsid w:val="00253634"/>
    <w:rsid w:val="002537E4"/>
    <w:rsid w:val="00253AE1"/>
    <w:rsid w:val="00253E40"/>
    <w:rsid w:val="0025400F"/>
    <w:rsid w:val="002541FF"/>
    <w:rsid w:val="00254436"/>
    <w:rsid w:val="0025451B"/>
    <w:rsid w:val="0025463A"/>
    <w:rsid w:val="002547E1"/>
    <w:rsid w:val="002549ED"/>
    <w:rsid w:val="00254B59"/>
    <w:rsid w:val="00254CAC"/>
    <w:rsid w:val="00254F72"/>
    <w:rsid w:val="0025523C"/>
    <w:rsid w:val="00255367"/>
    <w:rsid w:val="002553F5"/>
    <w:rsid w:val="00255444"/>
    <w:rsid w:val="00255828"/>
    <w:rsid w:val="00255919"/>
    <w:rsid w:val="00255D89"/>
    <w:rsid w:val="00255EA1"/>
    <w:rsid w:val="00255F04"/>
    <w:rsid w:val="00256713"/>
    <w:rsid w:val="002569BC"/>
    <w:rsid w:val="00256DA8"/>
    <w:rsid w:val="0025700C"/>
    <w:rsid w:val="00257BF4"/>
    <w:rsid w:val="00257F4C"/>
    <w:rsid w:val="00257FD5"/>
    <w:rsid w:val="00257FDC"/>
    <w:rsid w:val="0026038C"/>
    <w:rsid w:val="00260B4C"/>
    <w:rsid w:val="00260BB9"/>
    <w:rsid w:val="00260E42"/>
    <w:rsid w:val="00260F09"/>
    <w:rsid w:val="00260FE0"/>
    <w:rsid w:val="002612ED"/>
    <w:rsid w:val="002613E0"/>
    <w:rsid w:val="00261BDC"/>
    <w:rsid w:val="00261D01"/>
    <w:rsid w:val="00261FE9"/>
    <w:rsid w:val="00262404"/>
    <w:rsid w:val="00262417"/>
    <w:rsid w:val="00262791"/>
    <w:rsid w:val="00262B76"/>
    <w:rsid w:val="00262D12"/>
    <w:rsid w:val="00262DAE"/>
    <w:rsid w:val="00262FCA"/>
    <w:rsid w:val="00263164"/>
    <w:rsid w:val="00263397"/>
    <w:rsid w:val="00263584"/>
    <w:rsid w:val="00263606"/>
    <w:rsid w:val="0026363D"/>
    <w:rsid w:val="0026368D"/>
    <w:rsid w:val="0026389E"/>
    <w:rsid w:val="00263950"/>
    <w:rsid w:val="002639AA"/>
    <w:rsid w:val="00264E4B"/>
    <w:rsid w:val="00264E71"/>
    <w:rsid w:val="00264EF3"/>
    <w:rsid w:val="0026512C"/>
    <w:rsid w:val="0026543E"/>
    <w:rsid w:val="00265B9E"/>
    <w:rsid w:val="00265C9C"/>
    <w:rsid w:val="00265CC0"/>
    <w:rsid w:val="00265D2F"/>
    <w:rsid w:val="00265D72"/>
    <w:rsid w:val="0026613E"/>
    <w:rsid w:val="002665E6"/>
    <w:rsid w:val="00266F42"/>
    <w:rsid w:val="0027026F"/>
    <w:rsid w:val="002704EC"/>
    <w:rsid w:val="00270507"/>
    <w:rsid w:val="0027058C"/>
    <w:rsid w:val="00270B04"/>
    <w:rsid w:val="00270CFE"/>
    <w:rsid w:val="00270E2C"/>
    <w:rsid w:val="00271419"/>
    <w:rsid w:val="00271655"/>
    <w:rsid w:val="00271783"/>
    <w:rsid w:val="00271815"/>
    <w:rsid w:val="0027189F"/>
    <w:rsid w:val="002718C9"/>
    <w:rsid w:val="00271BC8"/>
    <w:rsid w:val="00271F17"/>
    <w:rsid w:val="00272056"/>
    <w:rsid w:val="002720C7"/>
    <w:rsid w:val="002721BB"/>
    <w:rsid w:val="002722C4"/>
    <w:rsid w:val="002727E7"/>
    <w:rsid w:val="00272C6E"/>
    <w:rsid w:val="00272D56"/>
    <w:rsid w:val="002732CE"/>
    <w:rsid w:val="002738F6"/>
    <w:rsid w:val="00273AEE"/>
    <w:rsid w:val="00273B00"/>
    <w:rsid w:val="00273BC8"/>
    <w:rsid w:val="00273F25"/>
    <w:rsid w:val="0027401F"/>
    <w:rsid w:val="002742D8"/>
    <w:rsid w:val="0027475C"/>
    <w:rsid w:val="00274A55"/>
    <w:rsid w:val="00275446"/>
    <w:rsid w:val="002756B0"/>
    <w:rsid w:val="00275A47"/>
    <w:rsid w:val="00275E04"/>
    <w:rsid w:val="00276010"/>
    <w:rsid w:val="00276300"/>
    <w:rsid w:val="00276CBB"/>
    <w:rsid w:val="00276D59"/>
    <w:rsid w:val="00276EC0"/>
    <w:rsid w:val="002770FB"/>
    <w:rsid w:val="00277127"/>
    <w:rsid w:val="00277150"/>
    <w:rsid w:val="00277301"/>
    <w:rsid w:val="0027770C"/>
    <w:rsid w:val="00277D75"/>
    <w:rsid w:val="00277E18"/>
    <w:rsid w:val="00277E92"/>
    <w:rsid w:val="00280646"/>
    <w:rsid w:val="002808C3"/>
    <w:rsid w:val="00281798"/>
    <w:rsid w:val="0028184C"/>
    <w:rsid w:val="0028188B"/>
    <w:rsid w:val="002819C6"/>
    <w:rsid w:val="00281C87"/>
    <w:rsid w:val="00281D93"/>
    <w:rsid w:val="00281EE5"/>
    <w:rsid w:val="00282402"/>
    <w:rsid w:val="00282600"/>
    <w:rsid w:val="00282739"/>
    <w:rsid w:val="00282A0B"/>
    <w:rsid w:val="00282D9A"/>
    <w:rsid w:val="00283206"/>
    <w:rsid w:val="002835DE"/>
    <w:rsid w:val="00283CE2"/>
    <w:rsid w:val="00284121"/>
    <w:rsid w:val="00284253"/>
    <w:rsid w:val="002842C5"/>
    <w:rsid w:val="00284507"/>
    <w:rsid w:val="0028453D"/>
    <w:rsid w:val="00284635"/>
    <w:rsid w:val="00284B87"/>
    <w:rsid w:val="00284C35"/>
    <w:rsid w:val="00284F9B"/>
    <w:rsid w:val="002853DD"/>
    <w:rsid w:val="002854A4"/>
    <w:rsid w:val="00285594"/>
    <w:rsid w:val="002859A0"/>
    <w:rsid w:val="00285D67"/>
    <w:rsid w:val="00285EE7"/>
    <w:rsid w:val="002861A8"/>
    <w:rsid w:val="002864F1"/>
    <w:rsid w:val="00286651"/>
    <w:rsid w:val="00286BC3"/>
    <w:rsid w:val="00286BFA"/>
    <w:rsid w:val="00286E8F"/>
    <w:rsid w:val="00286FF6"/>
    <w:rsid w:val="002870B8"/>
    <w:rsid w:val="00287164"/>
    <w:rsid w:val="00287342"/>
    <w:rsid w:val="002874BF"/>
    <w:rsid w:val="00287B60"/>
    <w:rsid w:val="00287DAB"/>
    <w:rsid w:val="0029002D"/>
    <w:rsid w:val="00290379"/>
    <w:rsid w:val="00290458"/>
    <w:rsid w:val="00290509"/>
    <w:rsid w:val="00290611"/>
    <w:rsid w:val="00290E53"/>
    <w:rsid w:val="00290F28"/>
    <w:rsid w:val="0029103A"/>
    <w:rsid w:val="002914EE"/>
    <w:rsid w:val="002917F1"/>
    <w:rsid w:val="00291876"/>
    <w:rsid w:val="00291B4C"/>
    <w:rsid w:val="00291B51"/>
    <w:rsid w:val="00291CF2"/>
    <w:rsid w:val="00292224"/>
    <w:rsid w:val="00292705"/>
    <w:rsid w:val="00292A76"/>
    <w:rsid w:val="00292C97"/>
    <w:rsid w:val="00292D11"/>
    <w:rsid w:val="00292E48"/>
    <w:rsid w:val="00292FD5"/>
    <w:rsid w:val="002935E6"/>
    <w:rsid w:val="00293731"/>
    <w:rsid w:val="002938FF"/>
    <w:rsid w:val="002939F3"/>
    <w:rsid w:val="00293ED6"/>
    <w:rsid w:val="00294029"/>
    <w:rsid w:val="00294208"/>
    <w:rsid w:val="00294423"/>
    <w:rsid w:val="00294CA7"/>
    <w:rsid w:val="00294EDE"/>
    <w:rsid w:val="00294EEC"/>
    <w:rsid w:val="00295019"/>
    <w:rsid w:val="002951B3"/>
    <w:rsid w:val="00295448"/>
    <w:rsid w:val="00295774"/>
    <w:rsid w:val="002957C0"/>
    <w:rsid w:val="00295AB1"/>
    <w:rsid w:val="00296102"/>
    <w:rsid w:val="00296528"/>
    <w:rsid w:val="002965F5"/>
    <w:rsid w:val="00296760"/>
    <w:rsid w:val="00296C38"/>
    <w:rsid w:val="00296F6A"/>
    <w:rsid w:val="00297382"/>
    <w:rsid w:val="002976D3"/>
    <w:rsid w:val="00297A6E"/>
    <w:rsid w:val="00297B94"/>
    <w:rsid w:val="00297D7A"/>
    <w:rsid w:val="002A005E"/>
    <w:rsid w:val="002A01EB"/>
    <w:rsid w:val="002A0B6B"/>
    <w:rsid w:val="002A0B75"/>
    <w:rsid w:val="002A1068"/>
    <w:rsid w:val="002A1733"/>
    <w:rsid w:val="002A18A0"/>
    <w:rsid w:val="002A1952"/>
    <w:rsid w:val="002A1955"/>
    <w:rsid w:val="002A1AE9"/>
    <w:rsid w:val="002A1D98"/>
    <w:rsid w:val="002A1F4F"/>
    <w:rsid w:val="002A1FCF"/>
    <w:rsid w:val="002A247C"/>
    <w:rsid w:val="002A2855"/>
    <w:rsid w:val="002A2937"/>
    <w:rsid w:val="002A2BF6"/>
    <w:rsid w:val="002A2C04"/>
    <w:rsid w:val="002A2CEE"/>
    <w:rsid w:val="002A2D79"/>
    <w:rsid w:val="002A2EF7"/>
    <w:rsid w:val="002A2F42"/>
    <w:rsid w:val="002A2FE7"/>
    <w:rsid w:val="002A3219"/>
    <w:rsid w:val="002A32C3"/>
    <w:rsid w:val="002A3331"/>
    <w:rsid w:val="002A3739"/>
    <w:rsid w:val="002A38C4"/>
    <w:rsid w:val="002A3CDF"/>
    <w:rsid w:val="002A3F76"/>
    <w:rsid w:val="002A4590"/>
    <w:rsid w:val="002A5208"/>
    <w:rsid w:val="002A52D9"/>
    <w:rsid w:val="002A5570"/>
    <w:rsid w:val="002A5679"/>
    <w:rsid w:val="002A5AD9"/>
    <w:rsid w:val="002A5D9A"/>
    <w:rsid w:val="002A5E2B"/>
    <w:rsid w:val="002A638B"/>
    <w:rsid w:val="002A65C0"/>
    <w:rsid w:val="002A6676"/>
    <w:rsid w:val="002A6A00"/>
    <w:rsid w:val="002A6CDD"/>
    <w:rsid w:val="002A6E92"/>
    <w:rsid w:val="002A6FF4"/>
    <w:rsid w:val="002A7494"/>
    <w:rsid w:val="002A74F4"/>
    <w:rsid w:val="002A7520"/>
    <w:rsid w:val="002A7622"/>
    <w:rsid w:val="002A7B51"/>
    <w:rsid w:val="002A7F54"/>
    <w:rsid w:val="002B0266"/>
    <w:rsid w:val="002B0442"/>
    <w:rsid w:val="002B050F"/>
    <w:rsid w:val="002B09A9"/>
    <w:rsid w:val="002B0C1C"/>
    <w:rsid w:val="002B0FA0"/>
    <w:rsid w:val="002B0FE3"/>
    <w:rsid w:val="002B10AB"/>
    <w:rsid w:val="002B12A1"/>
    <w:rsid w:val="002B14AE"/>
    <w:rsid w:val="002B1558"/>
    <w:rsid w:val="002B21A2"/>
    <w:rsid w:val="002B2364"/>
    <w:rsid w:val="002B23C2"/>
    <w:rsid w:val="002B2AF9"/>
    <w:rsid w:val="002B311A"/>
    <w:rsid w:val="002B32A7"/>
    <w:rsid w:val="002B3356"/>
    <w:rsid w:val="002B34EF"/>
    <w:rsid w:val="002B35C3"/>
    <w:rsid w:val="002B36D7"/>
    <w:rsid w:val="002B3A0F"/>
    <w:rsid w:val="002B3B7D"/>
    <w:rsid w:val="002B3D2E"/>
    <w:rsid w:val="002B3E30"/>
    <w:rsid w:val="002B3E4B"/>
    <w:rsid w:val="002B40D5"/>
    <w:rsid w:val="002B45CD"/>
    <w:rsid w:val="002B46D4"/>
    <w:rsid w:val="002B52A4"/>
    <w:rsid w:val="002B5772"/>
    <w:rsid w:val="002B594E"/>
    <w:rsid w:val="002B5A54"/>
    <w:rsid w:val="002B5AD4"/>
    <w:rsid w:val="002B5C5D"/>
    <w:rsid w:val="002B5CCC"/>
    <w:rsid w:val="002B5D79"/>
    <w:rsid w:val="002B5E8D"/>
    <w:rsid w:val="002B664E"/>
    <w:rsid w:val="002B6805"/>
    <w:rsid w:val="002B680C"/>
    <w:rsid w:val="002B6BEC"/>
    <w:rsid w:val="002B6BF6"/>
    <w:rsid w:val="002B6EBB"/>
    <w:rsid w:val="002B6F0E"/>
    <w:rsid w:val="002B6F60"/>
    <w:rsid w:val="002B7335"/>
    <w:rsid w:val="002B76D2"/>
    <w:rsid w:val="002B7B3B"/>
    <w:rsid w:val="002B7B57"/>
    <w:rsid w:val="002B7FCE"/>
    <w:rsid w:val="002C00BB"/>
    <w:rsid w:val="002C0490"/>
    <w:rsid w:val="002C054A"/>
    <w:rsid w:val="002C06CF"/>
    <w:rsid w:val="002C09C8"/>
    <w:rsid w:val="002C0C81"/>
    <w:rsid w:val="002C114A"/>
    <w:rsid w:val="002C189E"/>
    <w:rsid w:val="002C1D8B"/>
    <w:rsid w:val="002C1DB6"/>
    <w:rsid w:val="002C23DA"/>
    <w:rsid w:val="002C284F"/>
    <w:rsid w:val="002C335D"/>
    <w:rsid w:val="002C33DF"/>
    <w:rsid w:val="002C36FF"/>
    <w:rsid w:val="002C38E1"/>
    <w:rsid w:val="002C3C62"/>
    <w:rsid w:val="002C3EAC"/>
    <w:rsid w:val="002C3F22"/>
    <w:rsid w:val="002C3FE9"/>
    <w:rsid w:val="002C40DA"/>
    <w:rsid w:val="002C49DE"/>
    <w:rsid w:val="002C4C23"/>
    <w:rsid w:val="002C4CEE"/>
    <w:rsid w:val="002C4D22"/>
    <w:rsid w:val="002C4D40"/>
    <w:rsid w:val="002C4D57"/>
    <w:rsid w:val="002C4F9B"/>
    <w:rsid w:val="002C5339"/>
    <w:rsid w:val="002C53D3"/>
    <w:rsid w:val="002C5450"/>
    <w:rsid w:val="002C65FC"/>
    <w:rsid w:val="002C6658"/>
    <w:rsid w:val="002C6779"/>
    <w:rsid w:val="002C67E1"/>
    <w:rsid w:val="002C6923"/>
    <w:rsid w:val="002C779B"/>
    <w:rsid w:val="002C799A"/>
    <w:rsid w:val="002C7C3E"/>
    <w:rsid w:val="002C7EA7"/>
    <w:rsid w:val="002D020A"/>
    <w:rsid w:val="002D0238"/>
    <w:rsid w:val="002D0277"/>
    <w:rsid w:val="002D03EB"/>
    <w:rsid w:val="002D084E"/>
    <w:rsid w:val="002D09BE"/>
    <w:rsid w:val="002D0C57"/>
    <w:rsid w:val="002D144F"/>
    <w:rsid w:val="002D158D"/>
    <w:rsid w:val="002D168D"/>
    <w:rsid w:val="002D1714"/>
    <w:rsid w:val="002D1A85"/>
    <w:rsid w:val="002D1B96"/>
    <w:rsid w:val="002D1EF9"/>
    <w:rsid w:val="002D1F4C"/>
    <w:rsid w:val="002D204A"/>
    <w:rsid w:val="002D205C"/>
    <w:rsid w:val="002D20A7"/>
    <w:rsid w:val="002D20E6"/>
    <w:rsid w:val="002D24F4"/>
    <w:rsid w:val="002D25FA"/>
    <w:rsid w:val="002D2A45"/>
    <w:rsid w:val="002D2A9A"/>
    <w:rsid w:val="002D2B08"/>
    <w:rsid w:val="002D2CF2"/>
    <w:rsid w:val="002D2F41"/>
    <w:rsid w:val="002D32F2"/>
    <w:rsid w:val="002D337A"/>
    <w:rsid w:val="002D34A5"/>
    <w:rsid w:val="002D3762"/>
    <w:rsid w:val="002D3B66"/>
    <w:rsid w:val="002D3ECF"/>
    <w:rsid w:val="002D41C9"/>
    <w:rsid w:val="002D42B1"/>
    <w:rsid w:val="002D4605"/>
    <w:rsid w:val="002D4842"/>
    <w:rsid w:val="002D4973"/>
    <w:rsid w:val="002D4B16"/>
    <w:rsid w:val="002D4C6C"/>
    <w:rsid w:val="002D4D75"/>
    <w:rsid w:val="002D4E8D"/>
    <w:rsid w:val="002D4EF3"/>
    <w:rsid w:val="002D4EFF"/>
    <w:rsid w:val="002D5040"/>
    <w:rsid w:val="002D53D0"/>
    <w:rsid w:val="002D55FC"/>
    <w:rsid w:val="002D569D"/>
    <w:rsid w:val="002D56E3"/>
    <w:rsid w:val="002D5AAA"/>
    <w:rsid w:val="002D5B19"/>
    <w:rsid w:val="002D5E3A"/>
    <w:rsid w:val="002D5E97"/>
    <w:rsid w:val="002D5F29"/>
    <w:rsid w:val="002D6382"/>
    <w:rsid w:val="002D66D0"/>
    <w:rsid w:val="002D66D5"/>
    <w:rsid w:val="002D679D"/>
    <w:rsid w:val="002D684E"/>
    <w:rsid w:val="002D6908"/>
    <w:rsid w:val="002D69D6"/>
    <w:rsid w:val="002D6AFB"/>
    <w:rsid w:val="002D6CEA"/>
    <w:rsid w:val="002D6DEA"/>
    <w:rsid w:val="002D6FB1"/>
    <w:rsid w:val="002D730C"/>
    <w:rsid w:val="002D73B7"/>
    <w:rsid w:val="002D75DA"/>
    <w:rsid w:val="002D7A4F"/>
    <w:rsid w:val="002D7DB6"/>
    <w:rsid w:val="002E0195"/>
    <w:rsid w:val="002E0385"/>
    <w:rsid w:val="002E0540"/>
    <w:rsid w:val="002E06AF"/>
    <w:rsid w:val="002E078B"/>
    <w:rsid w:val="002E0797"/>
    <w:rsid w:val="002E07B1"/>
    <w:rsid w:val="002E0866"/>
    <w:rsid w:val="002E0AF9"/>
    <w:rsid w:val="002E0EA3"/>
    <w:rsid w:val="002E10D0"/>
    <w:rsid w:val="002E144D"/>
    <w:rsid w:val="002E1550"/>
    <w:rsid w:val="002E1AF4"/>
    <w:rsid w:val="002E1C05"/>
    <w:rsid w:val="002E1DD8"/>
    <w:rsid w:val="002E1E5D"/>
    <w:rsid w:val="002E1EE7"/>
    <w:rsid w:val="002E2211"/>
    <w:rsid w:val="002E23FA"/>
    <w:rsid w:val="002E2505"/>
    <w:rsid w:val="002E2542"/>
    <w:rsid w:val="002E2A26"/>
    <w:rsid w:val="002E361F"/>
    <w:rsid w:val="002E37C8"/>
    <w:rsid w:val="002E398E"/>
    <w:rsid w:val="002E3C29"/>
    <w:rsid w:val="002E41B2"/>
    <w:rsid w:val="002E46F8"/>
    <w:rsid w:val="002E48D1"/>
    <w:rsid w:val="002E4926"/>
    <w:rsid w:val="002E4975"/>
    <w:rsid w:val="002E4E25"/>
    <w:rsid w:val="002E4EF2"/>
    <w:rsid w:val="002E4F17"/>
    <w:rsid w:val="002E510F"/>
    <w:rsid w:val="002E5698"/>
    <w:rsid w:val="002E5A5D"/>
    <w:rsid w:val="002E5D3C"/>
    <w:rsid w:val="002E6471"/>
    <w:rsid w:val="002E699B"/>
    <w:rsid w:val="002E6A38"/>
    <w:rsid w:val="002E6C86"/>
    <w:rsid w:val="002E6CF2"/>
    <w:rsid w:val="002E6D7B"/>
    <w:rsid w:val="002E6FA1"/>
    <w:rsid w:val="002E7051"/>
    <w:rsid w:val="002E7088"/>
    <w:rsid w:val="002E70AA"/>
    <w:rsid w:val="002E70D9"/>
    <w:rsid w:val="002E7BD0"/>
    <w:rsid w:val="002E7F07"/>
    <w:rsid w:val="002E7FFC"/>
    <w:rsid w:val="002F0245"/>
    <w:rsid w:val="002F06EF"/>
    <w:rsid w:val="002F0A21"/>
    <w:rsid w:val="002F0C6B"/>
    <w:rsid w:val="002F0DBE"/>
    <w:rsid w:val="002F141D"/>
    <w:rsid w:val="002F171F"/>
    <w:rsid w:val="002F203A"/>
    <w:rsid w:val="002F21D8"/>
    <w:rsid w:val="002F2242"/>
    <w:rsid w:val="002F2C04"/>
    <w:rsid w:val="002F2E95"/>
    <w:rsid w:val="002F3086"/>
    <w:rsid w:val="002F30A4"/>
    <w:rsid w:val="002F311E"/>
    <w:rsid w:val="002F321B"/>
    <w:rsid w:val="002F3355"/>
    <w:rsid w:val="002F35BD"/>
    <w:rsid w:val="002F3963"/>
    <w:rsid w:val="002F399D"/>
    <w:rsid w:val="002F39AE"/>
    <w:rsid w:val="002F3B48"/>
    <w:rsid w:val="002F3BAB"/>
    <w:rsid w:val="002F3D1E"/>
    <w:rsid w:val="002F4249"/>
    <w:rsid w:val="002F480B"/>
    <w:rsid w:val="002F482A"/>
    <w:rsid w:val="002F4843"/>
    <w:rsid w:val="002F498C"/>
    <w:rsid w:val="002F4CD3"/>
    <w:rsid w:val="002F4D0A"/>
    <w:rsid w:val="002F512A"/>
    <w:rsid w:val="002F5245"/>
    <w:rsid w:val="002F5366"/>
    <w:rsid w:val="002F5380"/>
    <w:rsid w:val="002F56D5"/>
    <w:rsid w:val="002F57D9"/>
    <w:rsid w:val="002F599B"/>
    <w:rsid w:val="002F5D50"/>
    <w:rsid w:val="002F6524"/>
    <w:rsid w:val="002F6751"/>
    <w:rsid w:val="002F675E"/>
    <w:rsid w:val="002F6768"/>
    <w:rsid w:val="002F6BCD"/>
    <w:rsid w:val="002F6E43"/>
    <w:rsid w:val="002F6F9F"/>
    <w:rsid w:val="002F79BC"/>
    <w:rsid w:val="0030017A"/>
    <w:rsid w:val="003001C5"/>
    <w:rsid w:val="0030062B"/>
    <w:rsid w:val="00300757"/>
    <w:rsid w:val="00300789"/>
    <w:rsid w:val="00300B02"/>
    <w:rsid w:val="00300BB7"/>
    <w:rsid w:val="00300C9D"/>
    <w:rsid w:val="00300DE4"/>
    <w:rsid w:val="00300E1A"/>
    <w:rsid w:val="00300E45"/>
    <w:rsid w:val="00300E70"/>
    <w:rsid w:val="0030143C"/>
    <w:rsid w:val="0030158B"/>
    <w:rsid w:val="00301CFA"/>
    <w:rsid w:val="00301ED6"/>
    <w:rsid w:val="00302041"/>
    <w:rsid w:val="003026B6"/>
    <w:rsid w:val="003026CE"/>
    <w:rsid w:val="00302759"/>
    <w:rsid w:val="003031AD"/>
    <w:rsid w:val="00303243"/>
    <w:rsid w:val="0030328A"/>
    <w:rsid w:val="0030345D"/>
    <w:rsid w:val="003034C7"/>
    <w:rsid w:val="003034FE"/>
    <w:rsid w:val="0030355C"/>
    <w:rsid w:val="003035B3"/>
    <w:rsid w:val="00303DC5"/>
    <w:rsid w:val="00303F33"/>
    <w:rsid w:val="00304715"/>
    <w:rsid w:val="00304C1F"/>
    <w:rsid w:val="00304C41"/>
    <w:rsid w:val="00304EE9"/>
    <w:rsid w:val="003051E1"/>
    <w:rsid w:val="00305330"/>
    <w:rsid w:val="0030564E"/>
    <w:rsid w:val="00305661"/>
    <w:rsid w:val="00305765"/>
    <w:rsid w:val="003057D0"/>
    <w:rsid w:val="00305907"/>
    <w:rsid w:val="00305B7B"/>
    <w:rsid w:val="00305D81"/>
    <w:rsid w:val="003062B3"/>
    <w:rsid w:val="003064ED"/>
    <w:rsid w:val="00306A28"/>
    <w:rsid w:val="00306B56"/>
    <w:rsid w:val="003071B5"/>
    <w:rsid w:val="00307425"/>
    <w:rsid w:val="0031024F"/>
    <w:rsid w:val="00310904"/>
    <w:rsid w:val="00310911"/>
    <w:rsid w:val="003109C6"/>
    <w:rsid w:val="00310A23"/>
    <w:rsid w:val="00310F34"/>
    <w:rsid w:val="003113F7"/>
    <w:rsid w:val="0031171A"/>
    <w:rsid w:val="00311847"/>
    <w:rsid w:val="00311902"/>
    <w:rsid w:val="00311CB1"/>
    <w:rsid w:val="00311D31"/>
    <w:rsid w:val="00311EDD"/>
    <w:rsid w:val="00312055"/>
    <w:rsid w:val="00312791"/>
    <w:rsid w:val="00312C3A"/>
    <w:rsid w:val="00312FB5"/>
    <w:rsid w:val="00313067"/>
    <w:rsid w:val="0031329F"/>
    <w:rsid w:val="003132B1"/>
    <w:rsid w:val="00313611"/>
    <w:rsid w:val="00313660"/>
    <w:rsid w:val="00313C0A"/>
    <w:rsid w:val="00313C54"/>
    <w:rsid w:val="00314724"/>
    <w:rsid w:val="00314CBE"/>
    <w:rsid w:val="00314E4A"/>
    <w:rsid w:val="00315897"/>
    <w:rsid w:val="003160CE"/>
    <w:rsid w:val="00316481"/>
    <w:rsid w:val="003164C9"/>
    <w:rsid w:val="00316EB3"/>
    <w:rsid w:val="003170C3"/>
    <w:rsid w:val="003170FF"/>
    <w:rsid w:val="0031716B"/>
    <w:rsid w:val="0031739B"/>
    <w:rsid w:val="0031750B"/>
    <w:rsid w:val="0031784F"/>
    <w:rsid w:val="0031788E"/>
    <w:rsid w:val="00317908"/>
    <w:rsid w:val="003200A3"/>
    <w:rsid w:val="003209A3"/>
    <w:rsid w:val="00320DB9"/>
    <w:rsid w:val="00320E69"/>
    <w:rsid w:val="00320ECC"/>
    <w:rsid w:val="0032151B"/>
    <w:rsid w:val="00321613"/>
    <w:rsid w:val="00321D8C"/>
    <w:rsid w:val="003220B0"/>
    <w:rsid w:val="003222C4"/>
    <w:rsid w:val="003226AB"/>
    <w:rsid w:val="003233D6"/>
    <w:rsid w:val="003234B8"/>
    <w:rsid w:val="00323BA1"/>
    <w:rsid w:val="0032417C"/>
    <w:rsid w:val="00324452"/>
    <w:rsid w:val="003244F5"/>
    <w:rsid w:val="0032472E"/>
    <w:rsid w:val="00324809"/>
    <w:rsid w:val="003249BD"/>
    <w:rsid w:val="00325327"/>
    <w:rsid w:val="00325333"/>
    <w:rsid w:val="00325539"/>
    <w:rsid w:val="00325AE1"/>
    <w:rsid w:val="00326150"/>
    <w:rsid w:val="0032653E"/>
    <w:rsid w:val="00326723"/>
    <w:rsid w:val="00326A06"/>
    <w:rsid w:val="00326D18"/>
    <w:rsid w:val="00326F60"/>
    <w:rsid w:val="0032724D"/>
    <w:rsid w:val="0032724E"/>
    <w:rsid w:val="003278BE"/>
    <w:rsid w:val="00327BDF"/>
    <w:rsid w:val="00327F8D"/>
    <w:rsid w:val="003300E6"/>
    <w:rsid w:val="003300F2"/>
    <w:rsid w:val="003301F8"/>
    <w:rsid w:val="0033091D"/>
    <w:rsid w:val="00330DBB"/>
    <w:rsid w:val="00330E1F"/>
    <w:rsid w:val="00330E40"/>
    <w:rsid w:val="00330E9C"/>
    <w:rsid w:val="00331119"/>
    <w:rsid w:val="0033115E"/>
    <w:rsid w:val="00331512"/>
    <w:rsid w:val="003315DF"/>
    <w:rsid w:val="00331CE2"/>
    <w:rsid w:val="00332205"/>
    <w:rsid w:val="0033290D"/>
    <w:rsid w:val="00332C34"/>
    <w:rsid w:val="00332C74"/>
    <w:rsid w:val="0033337C"/>
    <w:rsid w:val="003333FC"/>
    <w:rsid w:val="00333A3F"/>
    <w:rsid w:val="00333D4A"/>
    <w:rsid w:val="00333EBA"/>
    <w:rsid w:val="0033416F"/>
    <w:rsid w:val="003344FF"/>
    <w:rsid w:val="00334905"/>
    <w:rsid w:val="00335423"/>
    <w:rsid w:val="003354B2"/>
    <w:rsid w:val="00335707"/>
    <w:rsid w:val="00335C30"/>
    <w:rsid w:val="00335D3D"/>
    <w:rsid w:val="00335E37"/>
    <w:rsid w:val="00335FDB"/>
    <w:rsid w:val="0033675B"/>
    <w:rsid w:val="00336AA6"/>
    <w:rsid w:val="00336E33"/>
    <w:rsid w:val="00336EEC"/>
    <w:rsid w:val="00337180"/>
    <w:rsid w:val="0033723C"/>
    <w:rsid w:val="003373A1"/>
    <w:rsid w:val="00337404"/>
    <w:rsid w:val="00337A14"/>
    <w:rsid w:val="00337CF4"/>
    <w:rsid w:val="00337E87"/>
    <w:rsid w:val="00337F44"/>
    <w:rsid w:val="00340668"/>
    <w:rsid w:val="00340A65"/>
    <w:rsid w:val="00340CBB"/>
    <w:rsid w:val="00341661"/>
    <w:rsid w:val="003419EA"/>
    <w:rsid w:val="003421A5"/>
    <w:rsid w:val="0034298B"/>
    <w:rsid w:val="00342A05"/>
    <w:rsid w:val="00342AB9"/>
    <w:rsid w:val="00343587"/>
    <w:rsid w:val="00343973"/>
    <w:rsid w:val="00343B4D"/>
    <w:rsid w:val="003441FF"/>
    <w:rsid w:val="00344326"/>
    <w:rsid w:val="003444D7"/>
    <w:rsid w:val="0034458E"/>
    <w:rsid w:val="0034471F"/>
    <w:rsid w:val="00344731"/>
    <w:rsid w:val="00344B30"/>
    <w:rsid w:val="00344E61"/>
    <w:rsid w:val="00345099"/>
    <w:rsid w:val="003450FC"/>
    <w:rsid w:val="003455D2"/>
    <w:rsid w:val="003457DD"/>
    <w:rsid w:val="003459AA"/>
    <w:rsid w:val="00345A3F"/>
    <w:rsid w:val="00345BEC"/>
    <w:rsid w:val="00345D72"/>
    <w:rsid w:val="00346784"/>
    <w:rsid w:val="00346B03"/>
    <w:rsid w:val="00346C6E"/>
    <w:rsid w:val="00346D6B"/>
    <w:rsid w:val="00346ED7"/>
    <w:rsid w:val="0034741E"/>
    <w:rsid w:val="00347706"/>
    <w:rsid w:val="00347732"/>
    <w:rsid w:val="003479F2"/>
    <w:rsid w:val="00347B1F"/>
    <w:rsid w:val="00347D2B"/>
    <w:rsid w:val="00347F72"/>
    <w:rsid w:val="00347FB3"/>
    <w:rsid w:val="003503AF"/>
    <w:rsid w:val="00350AD0"/>
    <w:rsid w:val="00350AF7"/>
    <w:rsid w:val="00350B34"/>
    <w:rsid w:val="00350E34"/>
    <w:rsid w:val="00350E5C"/>
    <w:rsid w:val="00350F9A"/>
    <w:rsid w:val="003513FA"/>
    <w:rsid w:val="00351583"/>
    <w:rsid w:val="00351640"/>
    <w:rsid w:val="003517AB"/>
    <w:rsid w:val="00352293"/>
    <w:rsid w:val="0035238E"/>
    <w:rsid w:val="00352732"/>
    <w:rsid w:val="003527B1"/>
    <w:rsid w:val="00352A69"/>
    <w:rsid w:val="00352A8F"/>
    <w:rsid w:val="00352AF4"/>
    <w:rsid w:val="00352BFF"/>
    <w:rsid w:val="00353104"/>
    <w:rsid w:val="00353312"/>
    <w:rsid w:val="003535A0"/>
    <w:rsid w:val="00353898"/>
    <w:rsid w:val="003539FF"/>
    <w:rsid w:val="00353C31"/>
    <w:rsid w:val="00353D9C"/>
    <w:rsid w:val="00353EC5"/>
    <w:rsid w:val="00354142"/>
    <w:rsid w:val="003541A5"/>
    <w:rsid w:val="00354591"/>
    <w:rsid w:val="003548D9"/>
    <w:rsid w:val="00354B76"/>
    <w:rsid w:val="0035506E"/>
    <w:rsid w:val="00355159"/>
    <w:rsid w:val="003553B2"/>
    <w:rsid w:val="003555B6"/>
    <w:rsid w:val="00355752"/>
    <w:rsid w:val="00355958"/>
    <w:rsid w:val="00355D7B"/>
    <w:rsid w:val="00356083"/>
    <w:rsid w:val="0035608E"/>
    <w:rsid w:val="003560B7"/>
    <w:rsid w:val="00356909"/>
    <w:rsid w:val="00356DCD"/>
    <w:rsid w:val="00356EB8"/>
    <w:rsid w:val="00357249"/>
    <w:rsid w:val="0035744A"/>
    <w:rsid w:val="00357A58"/>
    <w:rsid w:val="00357C9C"/>
    <w:rsid w:val="00357EC9"/>
    <w:rsid w:val="0036057A"/>
    <w:rsid w:val="00360A85"/>
    <w:rsid w:val="00360CB5"/>
    <w:rsid w:val="003614DD"/>
    <w:rsid w:val="00361570"/>
    <w:rsid w:val="003615AC"/>
    <w:rsid w:val="00361849"/>
    <w:rsid w:val="003618A1"/>
    <w:rsid w:val="00361C74"/>
    <w:rsid w:val="00362532"/>
    <w:rsid w:val="00362535"/>
    <w:rsid w:val="0036283D"/>
    <w:rsid w:val="00362F4E"/>
    <w:rsid w:val="00363081"/>
    <w:rsid w:val="003632A4"/>
    <w:rsid w:val="0036335C"/>
    <w:rsid w:val="00363493"/>
    <w:rsid w:val="00363A38"/>
    <w:rsid w:val="0036405B"/>
    <w:rsid w:val="00364595"/>
    <w:rsid w:val="00364701"/>
    <w:rsid w:val="00364AC2"/>
    <w:rsid w:val="00364E58"/>
    <w:rsid w:val="00364FB8"/>
    <w:rsid w:val="00365015"/>
    <w:rsid w:val="00365040"/>
    <w:rsid w:val="003650BB"/>
    <w:rsid w:val="0036532C"/>
    <w:rsid w:val="003654FB"/>
    <w:rsid w:val="00365555"/>
    <w:rsid w:val="003655C5"/>
    <w:rsid w:val="00365677"/>
    <w:rsid w:val="00366354"/>
    <w:rsid w:val="00366499"/>
    <w:rsid w:val="003666D1"/>
    <w:rsid w:val="003676BF"/>
    <w:rsid w:val="00367907"/>
    <w:rsid w:val="00367987"/>
    <w:rsid w:val="00367CBF"/>
    <w:rsid w:val="0037000D"/>
    <w:rsid w:val="003700E2"/>
    <w:rsid w:val="0037095C"/>
    <w:rsid w:val="00370ABB"/>
    <w:rsid w:val="00370D78"/>
    <w:rsid w:val="00370F5F"/>
    <w:rsid w:val="00371010"/>
    <w:rsid w:val="00371141"/>
    <w:rsid w:val="003712A4"/>
    <w:rsid w:val="00371957"/>
    <w:rsid w:val="003720DB"/>
    <w:rsid w:val="003721CD"/>
    <w:rsid w:val="00372535"/>
    <w:rsid w:val="00372E11"/>
    <w:rsid w:val="00372EAF"/>
    <w:rsid w:val="00372F7D"/>
    <w:rsid w:val="0037319F"/>
    <w:rsid w:val="0037326A"/>
    <w:rsid w:val="00373787"/>
    <w:rsid w:val="00373827"/>
    <w:rsid w:val="00373A81"/>
    <w:rsid w:val="00373B71"/>
    <w:rsid w:val="00373BD6"/>
    <w:rsid w:val="00373F8E"/>
    <w:rsid w:val="0037417E"/>
    <w:rsid w:val="003741DD"/>
    <w:rsid w:val="003747EC"/>
    <w:rsid w:val="00374E58"/>
    <w:rsid w:val="0037507C"/>
    <w:rsid w:val="003751FD"/>
    <w:rsid w:val="0037534B"/>
    <w:rsid w:val="003753C9"/>
    <w:rsid w:val="00375A56"/>
    <w:rsid w:val="00375D8C"/>
    <w:rsid w:val="00375FBC"/>
    <w:rsid w:val="003762A5"/>
    <w:rsid w:val="00376601"/>
    <w:rsid w:val="003766D9"/>
    <w:rsid w:val="00376EF4"/>
    <w:rsid w:val="0037710B"/>
    <w:rsid w:val="00377202"/>
    <w:rsid w:val="00377245"/>
    <w:rsid w:val="003773DC"/>
    <w:rsid w:val="0037746E"/>
    <w:rsid w:val="00377832"/>
    <w:rsid w:val="003778B7"/>
    <w:rsid w:val="003800F4"/>
    <w:rsid w:val="003804AB"/>
    <w:rsid w:val="00380582"/>
    <w:rsid w:val="00380786"/>
    <w:rsid w:val="00380901"/>
    <w:rsid w:val="00380922"/>
    <w:rsid w:val="0038114A"/>
    <w:rsid w:val="0038133A"/>
    <w:rsid w:val="003813C6"/>
    <w:rsid w:val="003817C7"/>
    <w:rsid w:val="003819D4"/>
    <w:rsid w:val="00381DA1"/>
    <w:rsid w:val="003821C4"/>
    <w:rsid w:val="003824D9"/>
    <w:rsid w:val="00382993"/>
    <w:rsid w:val="00382B6A"/>
    <w:rsid w:val="00382FD6"/>
    <w:rsid w:val="00383644"/>
    <w:rsid w:val="00383A4C"/>
    <w:rsid w:val="00383EF7"/>
    <w:rsid w:val="00383F54"/>
    <w:rsid w:val="003841E0"/>
    <w:rsid w:val="0038443D"/>
    <w:rsid w:val="003845C6"/>
    <w:rsid w:val="00384788"/>
    <w:rsid w:val="00384A32"/>
    <w:rsid w:val="00384A7C"/>
    <w:rsid w:val="00385178"/>
    <w:rsid w:val="00385374"/>
    <w:rsid w:val="00385845"/>
    <w:rsid w:val="0038617C"/>
    <w:rsid w:val="00386D05"/>
    <w:rsid w:val="00386EA5"/>
    <w:rsid w:val="00386FB7"/>
    <w:rsid w:val="003876E5"/>
    <w:rsid w:val="003879F7"/>
    <w:rsid w:val="00387A37"/>
    <w:rsid w:val="00387B20"/>
    <w:rsid w:val="00387C91"/>
    <w:rsid w:val="00387DEF"/>
    <w:rsid w:val="00387E2B"/>
    <w:rsid w:val="00387E7B"/>
    <w:rsid w:val="00390432"/>
    <w:rsid w:val="00390666"/>
    <w:rsid w:val="00390F2F"/>
    <w:rsid w:val="00390F68"/>
    <w:rsid w:val="0039154E"/>
    <w:rsid w:val="00391A6E"/>
    <w:rsid w:val="00391CB4"/>
    <w:rsid w:val="00391E92"/>
    <w:rsid w:val="00391F7D"/>
    <w:rsid w:val="0039273D"/>
    <w:rsid w:val="003928D6"/>
    <w:rsid w:val="00392CCF"/>
    <w:rsid w:val="00392D4F"/>
    <w:rsid w:val="00393058"/>
    <w:rsid w:val="00393188"/>
    <w:rsid w:val="003931E7"/>
    <w:rsid w:val="00393232"/>
    <w:rsid w:val="0039331D"/>
    <w:rsid w:val="0039360B"/>
    <w:rsid w:val="00393B29"/>
    <w:rsid w:val="00393C82"/>
    <w:rsid w:val="00393CA9"/>
    <w:rsid w:val="00393CD7"/>
    <w:rsid w:val="00394084"/>
    <w:rsid w:val="00394325"/>
    <w:rsid w:val="003949C9"/>
    <w:rsid w:val="00394BEE"/>
    <w:rsid w:val="0039555C"/>
    <w:rsid w:val="00395A0A"/>
    <w:rsid w:val="00395B3E"/>
    <w:rsid w:val="00395B68"/>
    <w:rsid w:val="00395BD0"/>
    <w:rsid w:val="00395EE2"/>
    <w:rsid w:val="00396062"/>
    <w:rsid w:val="003960E8"/>
    <w:rsid w:val="00396110"/>
    <w:rsid w:val="00396690"/>
    <w:rsid w:val="003969C1"/>
    <w:rsid w:val="00396B4B"/>
    <w:rsid w:val="003972F5"/>
    <w:rsid w:val="00397989"/>
    <w:rsid w:val="00397A5A"/>
    <w:rsid w:val="00397C27"/>
    <w:rsid w:val="00397D67"/>
    <w:rsid w:val="00397E97"/>
    <w:rsid w:val="003A0648"/>
    <w:rsid w:val="003A1200"/>
    <w:rsid w:val="003A12C7"/>
    <w:rsid w:val="003A1311"/>
    <w:rsid w:val="003A1479"/>
    <w:rsid w:val="003A18E8"/>
    <w:rsid w:val="003A1D96"/>
    <w:rsid w:val="003A216D"/>
    <w:rsid w:val="003A2216"/>
    <w:rsid w:val="003A232D"/>
    <w:rsid w:val="003A2730"/>
    <w:rsid w:val="003A4C4D"/>
    <w:rsid w:val="003A4D3D"/>
    <w:rsid w:val="003A4DC8"/>
    <w:rsid w:val="003A4F03"/>
    <w:rsid w:val="003A551F"/>
    <w:rsid w:val="003A5772"/>
    <w:rsid w:val="003A5BD3"/>
    <w:rsid w:val="003A5D25"/>
    <w:rsid w:val="003A63C9"/>
    <w:rsid w:val="003A6403"/>
    <w:rsid w:val="003A68A3"/>
    <w:rsid w:val="003A6A19"/>
    <w:rsid w:val="003A70BE"/>
    <w:rsid w:val="003A75F9"/>
    <w:rsid w:val="003A793E"/>
    <w:rsid w:val="003A7A79"/>
    <w:rsid w:val="003A7D71"/>
    <w:rsid w:val="003B0588"/>
    <w:rsid w:val="003B0EF1"/>
    <w:rsid w:val="003B1106"/>
    <w:rsid w:val="003B122C"/>
    <w:rsid w:val="003B127F"/>
    <w:rsid w:val="003B1392"/>
    <w:rsid w:val="003B164A"/>
    <w:rsid w:val="003B1EC6"/>
    <w:rsid w:val="003B1F05"/>
    <w:rsid w:val="003B2416"/>
    <w:rsid w:val="003B24FA"/>
    <w:rsid w:val="003B2648"/>
    <w:rsid w:val="003B26EE"/>
    <w:rsid w:val="003B289C"/>
    <w:rsid w:val="003B28D0"/>
    <w:rsid w:val="003B2E9A"/>
    <w:rsid w:val="003B311D"/>
    <w:rsid w:val="003B312E"/>
    <w:rsid w:val="003B332C"/>
    <w:rsid w:val="003B3566"/>
    <w:rsid w:val="003B361C"/>
    <w:rsid w:val="003B36BD"/>
    <w:rsid w:val="003B3846"/>
    <w:rsid w:val="003B396A"/>
    <w:rsid w:val="003B3BAB"/>
    <w:rsid w:val="003B40B6"/>
    <w:rsid w:val="003B410A"/>
    <w:rsid w:val="003B416D"/>
    <w:rsid w:val="003B42EE"/>
    <w:rsid w:val="003B45B4"/>
    <w:rsid w:val="003B4992"/>
    <w:rsid w:val="003B4A33"/>
    <w:rsid w:val="003B4CDD"/>
    <w:rsid w:val="003B4D6C"/>
    <w:rsid w:val="003B4F55"/>
    <w:rsid w:val="003B4FBA"/>
    <w:rsid w:val="003B505E"/>
    <w:rsid w:val="003B5315"/>
    <w:rsid w:val="003B5428"/>
    <w:rsid w:val="003B557E"/>
    <w:rsid w:val="003B59BB"/>
    <w:rsid w:val="003B5E3B"/>
    <w:rsid w:val="003B61C7"/>
    <w:rsid w:val="003B62E8"/>
    <w:rsid w:val="003B649C"/>
    <w:rsid w:val="003B6606"/>
    <w:rsid w:val="003B6AA2"/>
    <w:rsid w:val="003B7376"/>
    <w:rsid w:val="003B7585"/>
    <w:rsid w:val="003B76F1"/>
    <w:rsid w:val="003B7745"/>
    <w:rsid w:val="003B7DA1"/>
    <w:rsid w:val="003B7F00"/>
    <w:rsid w:val="003B7F4B"/>
    <w:rsid w:val="003C0071"/>
    <w:rsid w:val="003C0809"/>
    <w:rsid w:val="003C080B"/>
    <w:rsid w:val="003C096E"/>
    <w:rsid w:val="003C0FC8"/>
    <w:rsid w:val="003C105A"/>
    <w:rsid w:val="003C107E"/>
    <w:rsid w:val="003C1324"/>
    <w:rsid w:val="003C1358"/>
    <w:rsid w:val="003C158C"/>
    <w:rsid w:val="003C16C5"/>
    <w:rsid w:val="003C1866"/>
    <w:rsid w:val="003C2082"/>
    <w:rsid w:val="003C241C"/>
    <w:rsid w:val="003C244D"/>
    <w:rsid w:val="003C2495"/>
    <w:rsid w:val="003C24DF"/>
    <w:rsid w:val="003C2D27"/>
    <w:rsid w:val="003C2DB3"/>
    <w:rsid w:val="003C33B2"/>
    <w:rsid w:val="003C3445"/>
    <w:rsid w:val="003C35B8"/>
    <w:rsid w:val="003C35E8"/>
    <w:rsid w:val="003C38A3"/>
    <w:rsid w:val="003C3B19"/>
    <w:rsid w:val="003C3FC3"/>
    <w:rsid w:val="003C41FF"/>
    <w:rsid w:val="003C45DC"/>
    <w:rsid w:val="003C46EE"/>
    <w:rsid w:val="003C48B5"/>
    <w:rsid w:val="003C4D98"/>
    <w:rsid w:val="003C5535"/>
    <w:rsid w:val="003C553F"/>
    <w:rsid w:val="003C5D63"/>
    <w:rsid w:val="003C5DE0"/>
    <w:rsid w:val="003C5FB0"/>
    <w:rsid w:val="003C5FF6"/>
    <w:rsid w:val="003C60ED"/>
    <w:rsid w:val="003C6323"/>
    <w:rsid w:val="003C676E"/>
    <w:rsid w:val="003C687C"/>
    <w:rsid w:val="003C6DBA"/>
    <w:rsid w:val="003C6FFE"/>
    <w:rsid w:val="003C71DA"/>
    <w:rsid w:val="003C73E4"/>
    <w:rsid w:val="003C7A23"/>
    <w:rsid w:val="003C7D42"/>
    <w:rsid w:val="003C7F66"/>
    <w:rsid w:val="003D03C8"/>
    <w:rsid w:val="003D04A5"/>
    <w:rsid w:val="003D04AE"/>
    <w:rsid w:val="003D04D1"/>
    <w:rsid w:val="003D075E"/>
    <w:rsid w:val="003D089C"/>
    <w:rsid w:val="003D09E5"/>
    <w:rsid w:val="003D0FAD"/>
    <w:rsid w:val="003D1022"/>
    <w:rsid w:val="003D1440"/>
    <w:rsid w:val="003D1492"/>
    <w:rsid w:val="003D1829"/>
    <w:rsid w:val="003D2467"/>
    <w:rsid w:val="003D2B59"/>
    <w:rsid w:val="003D2B6E"/>
    <w:rsid w:val="003D2FF4"/>
    <w:rsid w:val="003D32F1"/>
    <w:rsid w:val="003D348E"/>
    <w:rsid w:val="003D3495"/>
    <w:rsid w:val="003D354C"/>
    <w:rsid w:val="003D384E"/>
    <w:rsid w:val="003D3AD5"/>
    <w:rsid w:val="003D3B6D"/>
    <w:rsid w:val="003D3CDE"/>
    <w:rsid w:val="003D3FB5"/>
    <w:rsid w:val="003D406A"/>
    <w:rsid w:val="003D41EC"/>
    <w:rsid w:val="003D4B11"/>
    <w:rsid w:val="003D4B7B"/>
    <w:rsid w:val="003D53D9"/>
    <w:rsid w:val="003D576E"/>
    <w:rsid w:val="003D59EE"/>
    <w:rsid w:val="003D5BA3"/>
    <w:rsid w:val="003D5E41"/>
    <w:rsid w:val="003D5E7C"/>
    <w:rsid w:val="003D6163"/>
    <w:rsid w:val="003D64FA"/>
    <w:rsid w:val="003D66C7"/>
    <w:rsid w:val="003D6A54"/>
    <w:rsid w:val="003D6CF8"/>
    <w:rsid w:val="003D6E20"/>
    <w:rsid w:val="003D726D"/>
    <w:rsid w:val="003D72E6"/>
    <w:rsid w:val="003D7446"/>
    <w:rsid w:val="003D75FF"/>
    <w:rsid w:val="003D7663"/>
    <w:rsid w:val="003D76A0"/>
    <w:rsid w:val="003D76AB"/>
    <w:rsid w:val="003D778F"/>
    <w:rsid w:val="003D7BB0"/>
    <w:rsid w:val="003E018C"/>
    <w:rsid w:val="003E0358"/>
    <w:rsid w:val="003E087E"/>
    <w:rsid w:val="003E09BB"/>
    <w:rsid w:val="003E0B9E"/>
    <w:rsid w:val="003E0BE2"/>
    <w:rsid w:val="003E0EB8"/>
    <w:rsid w:val="003E1351"/>
    <w:rsid w:val="003E15FB"/>
    <w:rsid w:val="003E17A5"/>
    <w:rsid w:val="003E196D"/>
    <w:rsid w:val="003E198D"/>
    <w:rsid w:val="003E19B0"/>
    <w:rsid w:val="003E1E26"/>
    <w:rsid w:val="003E2166"/>
    <w:rsid w:val="003E2298"/>
    <w:rsid w:val="003E24C0"/>
    <w:rsid w:val="003E2590"/>
    <w:rsid w:val="003E27BA"/>
    <w:rsid w:val="003E28E4"/>
    <w:rsid w:val="003E2C5C"/>
    <w:rsid w:val="003E2D1E"/>
    <w:rsid w:val="003E2D8B"/>
    <w:rsid w:val="003E2DAE"/>
    <w:rsid w:val="003E2E38"/>
    <w:rsid w:val="003E2F70"/>
    <w:rsid w:val="003E376D"/>
    <w:rsid w:val="003E378B"/>
    <w:rsid w:val="003E37B4"/>
    <w:rsid w:val="003E37CB"/>
    <w:rsid w:val="003E37DB"/>
    <w:rsid w:val="003E3FFE"/>
    <w:rsid w:val="003E4244"/>
    <w:rsid w:val="003E46C4"/>
    <w:rsid w:val="003E4831"/>
    <w:rsid w:val="003E4BCA"/>
    <w:rsid w:val="003E4D62"/>
    <w:rsid w:val="003E500A"/>
    <w:rsid w:val="003E52D6"/>
    <w:rsid w:val="003E531F"/>
    <w:rsid w:val="003E56CD"/>
    <w:rsid w:val="003E5CB8"/>
    <w:rsid w:val="003E5CBB"/>
    <w:rsid w:val="003E5E23"/>
    <w:rsid w:val="003E62EF"/>
    <w:rsid w:val="003E6491"/>
    <w:rsid w:val="003E6738"/>
    <w:rsid w:val="003E6CD9"/>
    <w:rsid w:val="003E7003"/>
    <w:rsid w:val="003E7213"/>
    <w:rsid w:val="003E7375"/>
    <w:rsid w:val="003E7449"/>
    <w:rsid w:val="003E74EC"/>
    <w:rsid w:val="003E76A6"/>
    <w:rsid w:val="003E7A39"/>
    <w:rsid w:val="003F0091"/>
    <w:rsid w:val="003F00A9"/>
    <w:rsid w:val="003F016E"/>
    <w:rsid w:val="003F04E5"/>
    <w:rsid w:val="003F09B5"/>
    <w:rsid w:val="003F11CD"/>
    <w:rsid w:val="003F15C1"/>
    <w:rsid w:val="003F177E"/>
    <w:rsid w:val="003F189E"/>
    <w:rsid w:val="003F1B4C"/>
    <w:rsid w:val="003F1FE1"/>
    <w:rsid w:val="003F244F"/>
    <w:rsid w:val="003F269C"/>
    <w:rsid w:val="003F2A19"/>
    <w:rsid w:val="003F2C38"/>
    <w:rsid w:val="003F2EEB"/>
    <w:rsid w:val="003F329B"/>
    <w:rsid w:val="003F34B4"/>
    <w:rsid w:val="003F396C"/>
    <w:rsid w:val="003F3B9C"/>
    <w:rsid w:val="003F4066"/>
    <w:rsid w:val="003F40DE"/>
    <w:rsid w:val="003F40F3"/>
    <w:rsid w:val="003F41C1"/>
    <w:rsid w:val="003F442C"/>
    <w:rsid w:val="003F4FC9"/>
    <w:rsid w:val="003F52AA"/>
    <w:rsid w:val="003F55A4"/>
    <w:rsid w:val="003F5682"/>
    <w:rsid w:val="003F56BA"/>
    <w:rsid w:val="003F586A"/>
    <w:rsid w:val="003F6005"/>
    <w:rsid w:val="003F60A0"/>
    <w:rsid w:val="003F6AC0"/>
    <w:rsid w:val="003F6C3E"/>
    <w:rsid w:val="003F73BE"/>
    <w:rsid w:val="003F741D"/>
    <w:rsid w:val="003F7480"/>
    <w:rsid w:val="003F78CF"/>
    <w:rsid w:val="003F7D00"/>
    <w:rsid w:val="003F7F68"/>
    <w:rsid w:val="00400169"/>
    <w:rsid w:val="0040083B"/>
    <w:rsid w:val="00400BC9"/>
    <w:rsid w:val="00400CD6"/>
    <w:rsid w:val="00400E23"/>
    <w:rsid w:val="00400EA2"/>
    <w:rsid w:val="00400F33"/>
    <w:rsid w:val="00401592"/>
    <w:rsid w:val="00402109"/>
    <w:rsid w:val="00402240"/>
    <w:rsid w:val="00402639"/>
    <w:rsid w:val="004026AE"/>
    <w:rsid w:val="004026C0"/>
    <w:rsid w:val="00402820"/>
    <w:rsid w:val="00402965"/>
    <w:rsid w:val="00402CB8"/>
    <w:rsid w:val="00402D32"/>
    <w:rsid w:val="00402DC5"/>
    <w:rsid w:val="00403399"/>
    <w:rsid w:val="00403420"/>
    <w:rsid w:val="0040382C"/>
    <w:rsid w:val="00403A09"/>
    <w:rsid w:val="00403B18"/>
    <w:rsid w:val="00404115"/>
    <w:rsid w:val="004044E4"/>
    <w:rsid w:val="004046E8"/>
    <w:rsid w:val="00404A6D"/>
    <w:rsid w:val="00404BA1"/>
    <w:rsid w:val="00404EAA"/>
    <w:rsid w:val="00404EF4"/>
    <w:rsid w:val="00404FBF"/>
    <w:rsid w:val="004052AE"/>
    <w:rsid w:val="00405646"/>
    <w:rsid w:val="00405676"/>
    <w:rsid w:val="0040569C"/>
    <w:rsid w:val="004057BA"/>
    <w:rsid w:val="00405FEC"/>
    <w:rsid w:val="004061E6"/>
    <w:rsid w:val="00406530"/>
    <w:rsid w:val="004065DB"/>
    <w:rsid w:val="004070CD"/>
    <w:rsid w:val="00407156"/>
    <w:rsid w:val="00407380"/>
    <w:rsid w:val="00407805"/>
    <w:rsid w:val="00407C28"/>
    <w:rsid w:val="00407C45"/>
    <w:rsid w:val="00407D3D"/>
    <w:rsid w:val="00410000"/>
    <w:rsid w:val="00410457"/>
    <w:rsid w:val="00410812"/>
    <w:rsid w:val="00410FB3"/>
    <w:rsid w:val="0041102A"/>
    <w:rsid w:val="00411637"/>
    <w:rsid w:val="004119BE"/>
    <w:rsid w:val="00412082"/>
    <w:rsid w:val="004121B7"/>
    <w:rsid w:val="00412712"/>
    <w:rsid w:val="00412772"/>
    <w:rsid w:val="0041284B"/>
    <w:rsid w:val="004128DE"/>
    <w:rsid w:val="00412A85"/>
    <w:rsid w:val="00412BBE"/>
    <w:rsid w:val="0041364A"/>
    <w:rsid w:val="0041392B"/>
    <w:rsid w:val="00413A17"/>
    <w:rsid w:val="00413BFE"/>
    <w:rsid w:val="00413CAC"/>
    <w:rsid w:val="00414456"/>
    <w:rsid w:val="004147A8"/>
    <w:rsid w:val="00414B1A"/>
    <w:rsid w:val="00414DB5"/>
    <w:rsid w:val="00414DE8"/>
    <w:rsid w:val="00414E1D"/>
    <w:rsid w:val="00414E96"/>
    <w:rsid w:val="00415088"/>
    <w:rsid w:val="004151B4"/>
    <w:rsid w:val="00415212"/>
    <w:rsid w:val="00415587"/>
    <w:rsid w:val="00415784"/>
    <w:rsid w:val="00415C39"/>
    <w:rsid w:val="004162F6"/>
    <w:rsid w:val="00416BD9"/>
    <w:rsid w:val="00417019"/>
    <w:rsid w:val="0041756F"/>
    <w:rsid w:val="00417833"/>
    <w:rsid w:val="00417C92"/>
    <w:rsid w:val="00417CD2"/>
    <w:rsid w:val="00417DAE"/>
    <w:rsid w:val="0042035E"/>
    <w:rsid w:val="00420506"/>
    <w:rsid w:val="00420A58"/>
    <w:rsid w:val="00420B50"/>
    <w:rsid w:val="00420C00"/>
    <w:rsid w:val="00420C80"/>
    <w:rsid w:val="00420DA9"/>
    <w:rsid w:val="00420E67"/>
    <w:rsid w:val="004210BC"/>
    <w:rsid w:val="004210CB"/>
    <w:rsid w:val="00421567"/>
    <w:rsid w:val="00421BE3"/>
    <w:rsid w:val="00421DD6"/>
    <w:rsid w:val="00421E80"/>
    <w:rsid w:val="00421EF6"/>
    <w:rsid w:val="00422018"/>
    <w:rsid w:val="004227F7"/>
    <w:rsid w:val="00422894"/>
    <w:rsid w:val="0042296A"/>
    <w:rsid w:val="00422A3A"/>
    <w:rsid w:val="00422A59"/>
    <w:rsid w:val="00422BC0"/>
    <w:rsid w:val="00422C92"/>
    <w:rsid w:val="00423135"/>
    <w:rsid w:val="0042313E"/>
    <w:rsid w:val="00423170"/>
    <w:rsid w:val="00423B5E"/>
    <w:rsid w:val="00423E58"/>
    <w:rsid w:val="0042410D"/>
    <w:rsid w:val="004246C2"/>
    <w:rsid w:val="00424A12"/>
    <w:rsid w:val="00424D6C"/>
    <w:rsid w:val="00425424"/>
    <w:rsid w:val="0042566B"/>
    <w:rsid w:val="00425A6F"/>
    <w:rsid w:val="00426215"/>
    <w:rsid w:val="00426377"/>
    <w:rsid w:val="00426844"/>
    <w:rsid w:val="0042698F"/>
    <w:rsid w:val="004274F9"/>
    <w:rsid w:val="004278C4"/>
    <w:rsid w:val="00427CE4"/>
    <w:rsid w:val="00427E62"/>
    <w:rsid w:val="004301FB"/>
    <w:rsid w:val="0043040B"/>
    <w:rsid w:val="00430A17"/>
    <w:rsid w:val="00430B4B"/>
    <w:rsid w:val="00431393"/>
    <w:rsid w:val="004319D2"/>
    <w:rsid w:val="00431B69"/>
    <w:rsid w:val="00432062"/>
    <w:rsid w:val="004322E3"/>
    <w:rsid w:val="0043264E"/>
    <w:rsid w:val="00432760"/>
    <w:rsid w:val="0043283F"/>
    <w:rsid w:val="00432DCE"/>
    <w:rsid w:val="004331D9"/>
    <w:rsid w:val="004338F3"/>
    <w:rsid w:val="00433F1E"/>
    <w:rsid w:val="00434380"/>
    <w:rsid w:val="004343BC"/>
    <w:rsid w:val="004343FD"/>
    <w:rsid w:val="004346FA"/>
    <w:rsid w:val="00434856"/>
    <w:rsid w:val="00434CA3"/>
    <w:rsid w:val="00434E7C"/>
    <w:rsid w:val="00434FDA"/>
    <w:rsid w:val="0043513B"/>
    <w:rsid w:val="004357AD"/>
    <w:rsid w:val="00435A6E"/>
    <w:rsid w:val="00435CC1"/>
    <w:rsid w:val="00435E2A"/>
    <w:rsid w:val="00436A01"/>
    <w:rsid w:val="004372F6"/>
    <w:rsid w:val="0043769B"/>
    <w:rsid w:val="00437B19"/>
    <w:rsid w:val="004401E3"/>
    <w:rsid w:val="0044073F"/>
    <w:rsid w:val="004407A7"/>
    <w:rsid w:val="00440CBC"/>
    <w:rsid w:val="00440F13"/>
    <w:rsid w:val="004410DF"/>
    <w:rsid w:val="00441A63"/>
    <w:rsid w:val="00441D18"/>
    <w:rsid w:val="00441EC7"/>
    <w:rsid w:val="004426C6"/>
    <w:rsid w:val="00442771"/>
    <w:rsid w:val="0044290C"/>
    <w:rsid w:val="00442D9D"/>
    <w:rsid w:val="00442E79"/>
    <w:rsid w:val="00442EC2"/>
    <w:rsid w:val="00442EEF"/>
    <w:rsid w:val="00442FEC"/>
    <w:rsid w:val="004430C6"/>
    <w:rsid w:val="004431CE"/>
    <w:rsid w:val="00443506"/>
    <w:rsid w:val="00443BF4"/>
    <w:rsid w:val="00443E03"/>
    <w:rsid w:val="00443E23"/>
    <w:rsid w:val="00443F62"/>
    <w:rsid w:val="004441BC"/>
    <w:rsid w:val="00444A70"/>
    <w:rsid w:val="004455AE"/>
    <w:rsid w:val="0044562F"/>
    <w:rsid w:val="004459EA"/>
    <w:rsid w:val="00445B7E"/>
    <w:rsid w:val="00445B9E"/>
    <w:rsid w:val="00445C5A"/>
    <w:rsid w:val="00446BE3"/>
    <w:rsid w:val="00446ED7"/>
    <w:rsid w:val="00446FFB"/>
    <w:rsid w:val="0044718C"/>
    <w:rsid w:val="0044759A"/>
    <w:rsid w:val="00447C4C"/>
    <w:rsid w:val="00447E77"/>
    <w:rsid w:val="00447ECA"/>
    <w:rsid w:val="00447F3E"/>
    <w:rsid w:val="00447FD2"/>
    <w:rsid w:val="00450377"/>
    <w:rsid w:val="00451149"/>
    <w:rsid w:val="0045131B"/>
    <w:rsid w:val="004515BC"/>
    <w:rsid w:val="00451A31"/>
    <w:rsid w:val="004521D5"/>
    <w:rsid w:val="00452233"/>
    <w:rsid w:val="00452541"/>
    <w:rsid w:val="0045279F"/>
    <w:rsid w:val="00452A29"/>
    <w:rsid w:val="00452B46"/>
    <w:rsid w:val="00453091"/>
    <w:rsid w:val="004530BF"/>
    <w:rsid w:val="004533FB"/>
    <w:rsid w:val="004534F1"/>
    <w:rsid w:val="0045356F"/>
    <w:rsid w:val="0045389F"/>
    <w:rsid w:val="00453CD6"/>
    <w:rsid w:val="0045534B"/>
    <w:rsid w:val="00455B1F"/>
    <w:rsid w:val="00455DB7"/>
    <w:rsid w:val="00455DF1"/>
    <w:rsid w:val="00455EFA"/>
    <w:rsid w:val="0045602F"/>
    <w:rsid w:val="00456928"/>
    <w:rsid w:val="0045713A"/>
    <w:rsid w:val="0045719C"/>
    <w:rsid w:val="00457734"/>
    <w:rsid w:val="004577D3"/>
    <w:rsid w:val="00457A70"/>
    <w:rsid w:val="00457ED1"/>
    <w:rsid w:val="00457F41"/>
    <w:rsid w:val="0046003B"/>
    <w:rsid w:val="004602F6"/>
    <w:rsid w:val="00460701"/>
    <w:rsid w:val="0046071A"/>
    <w:rsid w:val="00460C35"/>
    <w:rsid w:val="00460D17"/>
    <w:rsid w:val="00460ED1"/>
    <w:rsid w:val="00461064"/>
    <w:rsid w:val="004611AB"/>
    <w:rsid w:val="004613D5"/>
    <w:rsid w:val="004619B3"/>
    <w:rsid w:val="00461BF0"/>
    <w:rsid w:val="00461C2E"/>
    <w:rsid w:val="00462176"/>
    <w:rsid w:val="004621AC"/>
    <w:rsid w:val="004626D7"/>
    <w:rsid w:val="0046297C"/>
    <w:rsid w:val="00462B53"/>
    <w:rsid w:val="00463040"/>
    <w:rsid w:val="0046305F"/>
    <w:rsid w:val="004634E0"/>
    <w:rsid w:val="0046369D"/>
    <w:rsid w:val="0046398D"/>
    <w:rsid w:val="00463AD2"/>
    <w:rsid w:val="00463B86"/>
    <w:rsid w:val="004645BC"/>
    <w:rsid w:val="00464B01"/>
    <w:rsid w:val="00464F16"/>
    <w:rsid w:val="00465280"/>
    <w:rsid w:val="00465340"/>
    <w:rsid w:val="00465680"/>
    <w:rsid w:val="00466403"/>
    <w:rsid w:val="0046642C"/>
    <w:rsid w:val="00466BD1"/>
    <w:rsid w:val="0046740D"/>
    <w:rsid w:val="00467440"/>
    <w:rsid w:val="00467677"/>
    <w:rsid w:val="00467BFF"/>
    <w:rsid w:val="00470221"/>
    <w:rsid w:val="00470731"/>
    <w:rsid w:val="0047096A"/>
    <w:rsid w:val="00470CE3"/>
    <w:rsid w:val="00471685"/>
    <w:rsid w:val="00471877"/>
    <w:rsid w:val="00471D69"/>
    <w:rsid w:val="00471EC0"/>
    <w:rsid w:val="00471F15"/>
    <w:rsid w:val="0047208A"/>
    <w:rsid w:val="00472364"/>
    <w:rsid w:val="0047265D"/>
    <w:rsid w:val="0047271F"/>
    <w:rsid w:val="00472A37"/>
    <w:rsid w:val="00472BA0"/>
    <w:rsid w:val="00472C7F"/>
    <w:rsid w:val="00473A76"/>
    <w:rsid w:val="00473BDA"/>
    <w:rsid w:val="00473BE0"/>
    <w:rsid w:val="00473E1F"/>
    <w:rsid w:val="0047414C"/>
    <w:rsid w:val="00474D77"/>
    <w:rsid w:val="00474E6F"/>
    <w:rsid w:val="00474FB1"/>
    <w:rsid w:val="0047507A"/>
    <w:rsid w:val="00475475"/>
    <w:rsid w:val="0047553C"/>
    <w:rsid w:val="00475679"/>
    <w:rsid w:val="00475903"/>
    <w:rsid w:val="00475A38"/>
    <w:rsid w:val="00475B3D"/>
    <w:rsid w:val="00475CAB"/>
    <w:rsid w:val="00475E8C"/>
    <w:rsid w:val="004762E5"/>
    <w:rsid w:val="00476754"/>
    <w:rsid w:val="00476A30"/>
    <w:rsid w:val="00476BB7"/>
    <w:rsid w:val="00476E4F"/>
    <w:rsid w:val="0047711D"/>
    <w:rsid w:val="00477421"/>
    <w:rsid w:val="004777F3"/>
    <w:rsid w:val="00477A9B"/>
    <w:rsid w:val="00480496"/>
    <w:rsid w:val="004807AC"/>
    <w:rsid w:val="00480A8C"/>
    <w:rsid w:val="00480CC4"/>
    <w:rsid w:val="00480D03"/>
    <w:rsid w:val="00480D9B"/>
    <w:rsid w:val="00481492"/>
    <w:rsid w:val="004817DC"/>
    <w:rsid w:val="004818F6"/>
    <w:rsid w:val="00481982"/>
    <w:rsid w:val="00481ADD"/>
    <w:rsid w:val="00481C6C"/>
    <w:rsid w:val="00481CDA"/>
    <w:rsid w:val="00481E45"/>
    <w:rsid w:val="00481FC6"/>
    <w:rsid w:val="0048229E"/>
    <w:rsid w:val="00482694"/>
    <w:rsid w:val="00482B8B"/>
    <w:rsid w:val="00482E8A"/>
    <w:rsid w:val="00483472"/>
    <w:rsid w:val="004835E4"/>
    <w:rsid w:val="004835E7"/>
    <w:rsid w:val="004836BA"/>
    <w:rsid w:val="0048389D"/>
    <w:rsid w:val="004843D8"/>
    <w:rsid w:val="00484CE8"/>
    <w:rsid w:val="00484D57"/>
    <w:rsid w:val="00484EEF"/>
    <w:rsid w:val="00485070"/>
    <w:rsid w:val="004851AE"/>
    <w:rsid w:val="00485211"/>
    <w:rsid w:val="004853B8"/>
    <w:rsid w:val="0048661C"/>
    <w:rsid w:val="004866D3"/>
    <w:rsid w:val="00486983"/>
    <w:rsid w:val="00486F6F"/>
    <w:rsid w:val="0048720A"/>
    <w:rsid w:val="004872BB"/>
    <w:rsid w:val="00487451"/>
    <w:rsid w:val="004875CA"/>
    <w:rsid w:val="004877A4"/>
    <w:rsid w:val="00487A27"/>
    <w:rsid w:val="00487AAF"/>
    <w:rsid w:val="0049026A"/>
    <w:rsid w:val="0049057E"/>
    <w:rsid w:val="00490781"/>
    <w:rsid w:val="004908F9"/>
    <w:rsid w:val="00491245"/>
    <w:rsid w:val="004912FC"/>
    <w:rsid w:val="004914A7"/>
    <w:rsid w:val="00491711"/>
    <w:rsid w:val="00491733"/>
    <w:rsid w:val="00491A6E"/>
    <w:rsid w:val="00491B52"/>
    <w:rsid w:val="00491B7F"/>
    <w:rsid w:val="00491C15"/>
    <w:rsid w:val="00492792"/>
    <w:rsid w:val="00493009"/>
    <w:rsid w:val="00493258"/>
    <w:rsid w:val="0049394F"/>
    <w:rsid w:val="00493A98"/>
    <w:rsid w:val="00493FA2"/>
    <w:rsid w:val="00493FC3"/>
    <w:rsid w:val="0049404C"/>
    <w:rsid w:val="00494445"/>
    <w:rsid w:val="00494E1A"/>
    <w:rsid w:val="00494F6C"/>
    <w:rsid w:val="004953E1"/>
    <w:rsid w:val="0049560A"/>
    <w:rsid w:val="00495823"/>
    <w:rsid w:val="00495E09"/>
    <w:rsid w:val="004962EA"/>
    <w:rsid w:val="00496610"/>
    <w:rsid w:val="00496870"/>
    <w:rsid w:val="004970B2"/>
    <w:rsid w:val="004971F2"/>
    <w:rsid w:val="004972DA"/>
    <w:rsid w:val="00497553"/>
    <w:rsid w:val="00497586"/>
    <w:rsid w:val="00497CC6"/>
    <w:rsid w:val="004A0192"/>
    <w:rsid w:val="004A0B2D"/>
    <w:rsid w:val="004A0B8B"/>
    <w:rsid w:val="004A1129"/>
    <w:rsid w:val="004A155A"/>
    <w:rsid w:val="004A1650"/>
    <w:rsid w:val="004A177B"/>
    <w:rsid w:val="004A1A7F"/>
    <w:rsid w:val="004A1DD4"/>
    <w:rsid w:val="004A1E3E"/>
    <w:rsid w:val="004A1E5B"/>
    <w:rsid w:val="004A1F50"/>
    <w:rsid w:val="004A210E"/>
    <w:rsid w:val="004A22F0"/>
    <w:rsid w:val="004A25C7"/>
    <w:rsid w:val="004A2708"/>
    <w:rsid w:val="004A2905"/>
    <w:rsid w:val="004A29BC"/>
    <w:rsid w:val="004A2B0B"/>
    <w:rsid w:val="004A2D02"/>
    <w:rsid w:val="004A2EB3"/>
    <w:rsid w:val="004A32CB"/>
    <w:rsid w:val="004A330C"/>
    <w:rsid w:val="004A3905"/>
    <w:rsid w:val="004A3AC2"/>
    <w:rsid w:val="004A3F99"/>
    <w:rsid w:val="004A4349"/>
    <w:rsid w:val="004A4F1C"/>
    <w:rsid w:val="004A533E"/>
    <w:rsid w:val="004A54C1"/>
    <w:rsid w:val="004A5A0F"/>
    <w:rsid w:val="004A5D6E"/>
    <w:rsid w:val="004A5DAF"/>
    <w:rsid w:val="004A60A2"/>
    <w:rsid w:val="004A63C0"/>
    <w:rsid w:val="004A6657"/>
    <w:rsid w:val="004A672D"/>
    <w:rsid w:val="004A68C4"/>
    <w:rsid w:val="004A6B0E"/>
    <w:rsid w:val="004A701F"/>
    <w:rsid w:val="004A7027"/>
    <w:rsid w:val="004A764E"/>
    <w:rsid w:val="004A77E9"/>
    <w:rsid w:val="004A7CD0"/>
    <w:rsid w:val="004A7F3A"/>
    <w:rsid w:val="004B02FB"/>
    <w:rsid w:val="004B032B"/>
    <w:rsid w:val="004B0C83"/>
    <w:rsid w:val="004B0CEA"/>
    <w:rsid w:val="004B0E10"/>
    <w:rsid w:val="004B14DF"/>
    <w:rsid w:val="004B1865"/>
    <w:rsid w:val="004B19AF"/>
    <w:rsid w:val="004B1F79"/>
    <w:rsid w:val="004B2330"/>
    <w:rsid w:val="004B25C3"/>
    <w:rsid w:val="004B2A61"/>
    <w:rsid w:val="004B2FB7"/>
    <w:rsid w:val="004B350B"/>
    <w:rsid w:val="004B3714"/>
    <w:rsid w:val="004B419C"/>
    <w:rsid w:val="004B4D1B"/>
    <w:rsid w:val="004B4D3F"/>
    <w:rsid w:val="004B52C2"/>
    <w:rsid w:val="004B5323"/>
    <w:rsid w:val="004B532D"/>
    <w:rsid w:val="004B5867"/>
    <w:rsid w:val="004B66F4"/>
    <w:rsid w:val="004B6794"/>
    <w:rsid w:val="004B6833"/>
    <w:rsid w:val="004B6AC1"/>
    <w:rsid w:val="004B6B3E"/>
    <w:rsid w:val="004B6CC0"/>
    <w:rsid w:val="004B6D3A"/>
    <w:rsid w:val="004B6D4B"/>
    <w:rsid w:val="004B6E89"/>
    <w:rsid w:val="004B6FE5"/>
    <w:rsid w:val="004B778D"/>
    <w:rsid w:val="004B7BD2"/>
    <w:rsid w:val="004B7DEA"/>
    <w:rsid w:val="004B7E4A"/>
    <w:rsid w:val="004C0140"/>
    <w:rsid w:val="004C02BE"/>
    <w:rsid w:val="004C0463"/>
    <w:rsid w:val="004C0ADC"/>
    <w:rsid w:val="004C0CC1"/>
    <w:rsid w:val="004C109E"/>
    <w:rsid w:val="004C15E1"/>
    <w:rsid w:val="004C1882"/>
    <w:rsid w:val="004C1E74"/>
    <w:rsid w:val="004C2011"/>
    <w:rsid w:val="004C23EB"/>
    <w:rsid w:val="004C26DB"/>
    <w:rsid w:val="004C270A"/>
    <w:rsid w:val="004C2932"/>
    <w:rsid w:val="004C2AEA"/>
    <w:rsid w:val="004C2F44"/>
    <w:rsid w:val="004C3408"/>
    <w:rsid w:val="004C3652"/>
    <w:rsid w:val="004C37A0"/>
    <w:rsid w:val="004C3968"/>
    <w:rsid w:val="004C3A55"/>
    <w:rsid w:val="004C3A78"/>
    <w:rsid w:val="004C3CCC"/>
    <w:rsid w:val="004C3CE4"/>
    <w:rsid w:val="004C3E4F"/>
    <w:rsid w:val="004C3F01"/>
    <w:rsid w:val="004C418F"/>
    <w:rsid w:val="004C4C24"/>
    <w:rsid w:val="004C4D66"/>
    <w:rsid w:val="004C59E0"/>
    <w:rsid w:val="004C63FC"/>
    <w:rsid w:val="004C642B"/>
    <w:rsid w:val="004C650A"/>
    <w:rsid w:val="004C70CA"/>
    <w:rsid w:val="004C71F3"/>
    <w:rsid w:val="004C730A"/>
    <w:rsid w:val="004C73DE"/>
    <w:rsid w:val="004C7A9E"/>
    <w:rsid w:val="004C7BCE"/>
    <w:rsid w:val="004C7CF5"/>
    <w:rsid w:val="004C7E29"/>
    <w:rsid w:val="004D0249"/>
    <w:rsid w:val="004D0347"/>
    <w:rsid w:val="004D0544"/>
    <w:rsid w:val="004D06B2"/>
    <w:rsid w:val="004D06EC"/>
    <w:rsid w:val="004D0984"/>
    <w:rsid w:val="004D0A67"/>
    <w:rsid w:val="004D1048"/>
    <w:rsid w:val="004D10DB"/>
    <w:rsid w:val="004D11AC"/>
    <w:rsid w:val="004D1922"/>
    <w:rsid w:val="004D198E"/>
    <w:rsid w:val="004D1B33"/>
    <w:rsid w:val="004D1B5A"/>
    <w:rsid w:val="004D1BB1"/>
    <w:rsid w:val="004D1C95"/>
    <w:rsid w:val="004D1E6E"/>
    <w:rsid w:val="004D24FA"/>
    <w:rsid w:val="004D2796"/>
    <w:rsid w:val="004D2A64"/>
    <w:rsid w:val="004D2C83"/>
    <w:rsid w:val="004D31CC"/>
    <w:rsid w:val="004D3324"/>
    <w:rsid w:val="004D354B"/>
    <w:rsid w:val="004D35B0"/>
    <w:rsid w:val="004D3669"/>
    <w:rsid w:val="004D3F7D"/>
    <w:rsid w:val="004D4142"/>
    <w:rsid w:val="004D4185"/>
    <w:rsid w:val="004D447B"/>
    <w:rsid w:val="004D4555"/>
    <w:rsid w:val="004D466B"/>
    <w:rsid w:val="004D4690"/>
    <w:rsid w:val="004D4CFE"/>
    <w:rsid w:val="004D4F03"/>
    <w:rsid w:val="004D5A8F"/>
    <w:rsid w:val="004D5B5B"/>
    <w:rsid w:val="004D5C27"/>
    <w:rsid w:val="004D5D06"/>
    <w:rsid w:val="004D6289"/>
    <w:rsid w:val="004D63C3"/>
    <w:rsid w:val="004D640B"/>
    <w:rsid w:val="004D644C"/>
    <w:rsid w:val="004D6969"/>
    <w:rsid w:val="004D6A57"/>
    <w:rsid w:val="004D6ADF"/>
    <w:rsid w:val="004D6FF1"/>
    <w:rsid w:val="004D7707"/>
    <w:rsid w:val="004D7D60"/>
    <w:rsid w:val="004D7EE1"/>
    <w:rsid w:val="004D7FC0"/>
    <w:rsid w:val="004E03B6"/>
    <w:rsid w:val="004E0AA5"/>
    <w:rsid w:val="004E0ECD"/>
    <w:rsid w:val="004E0F80"/>
    <w:rsid w:val="004E122B"/>
    <w:rsid w:val="004E124B"/>
    <w:rsid w:val="004E14A6"/>
    <w:rsid w:val="004E17DA"/>
    <w:rsid w:val="004E199D"/>
    <w:rsid w:val="004E23A0"/>
    <w:rsid w:val="004E2E88"/>
    <w:rsid w:val="004E39DD"/>
    <w:rsid w:val="004E3D91"/>
    <w:rsid w:val="004E41D8"/>
    <w:rsid w:val="004E44E7"/>
    <w:rsid w:val="004E4978"/>
    <w:rsid w:val="004E4AE6"/>
    <w:rsid w:val="004E4BA4"/>
    <w:rsid w:val="004E4CE0"/>
    <w:rsid w:val="004E4F0A"/>
    <w:rsid w:val="004E4F8D"/>
    <w:rsid w:val="004E50EC"/>
    <w:rsid w:val="004E52A6"/>
    <w:rsid w:val="004E53A2"/>
    <w:rsid w:val="004E54DC"/>
    <w:rsid w:val="004E588E"/>
    <w:rsid w:val="004E5A0D"/>
    <w:rsid w:val="004E5C26"/>
    <w:rsid w:val="004E5CE0"/>
    <w:rsid w:val="004E5FED"/>
    <w:rsid w:val="004E601F"/>
    <w:rsid w:val="004E612D"/>
    <w:rsid w:val="004E6282"/>
    <w:rsid w:val="004E6560"/>
    <w:rsid w:val="004E669F"/>
    <w:rsid w:val="004E66DF"/>
    <w:rsid w:val="004E6F1B"/>
    <w:rsid w:val="004E709E"/>
    <w:rsid w:val="004E7D7D"/>
    <w:rsid w:val="004F0051"/>
    <w:rsid w:val="004F04C3"/>
    <w:rsid w:val="004F0E48"/>
    <w:rsid w:val="004F10FF"/>
    <w:rsid w:val="004F14C2"/>
    <w:rsid w:val="004F1840"/>
    <w:rsid w:val="004F19CC"/>
    <w:rsid w:val="004F1A86"/>
    <w:rsid w:val="004F2020"/>
    <w:rsid w:val="004F2259"/>
    <w:rsid w:val="004F22DB"/>
    <w:rsid w:val="004F27A6"/>
    <w:rsid w:val="004F2A1E"/>
    <w:rsid w:val="004F31E5"/>
    <w:rsid w:val="004F3526"/>
    <w:rsid w:val="004F363F"/>
    <w:rsid w:val="004F415C"/>
    <w:rsid w:val="004F4301"/>
    <w:rsid w:val="004F4BCD"/>
    <w:rsid w:val="004F4EF6"/>
    <w:rsid w:val="004F50B3"/>
    <w:rsid w:val="004F5160"/>
    <w:rsid w:val="004F57BC"/>
    <w:rsid w:val="004F5A03"/>
    <w:rsid w:val="004F6120"/>
    <w:rsid w:val="004F63B7"/>
    <w:rsid w:val="004F660C"/>
    <w:rsid w:val="004F6913"/>
    <w:rsid w:val="004F6E0F"/>
    <w:rsid w:val="004F6F05"/>
    <w:rsid w:val="004F70FE"/>
    <w:rsid w:val="004F72EE"/>
    <w:rsid w:val="004F76C8"/>
    <w:rsid w:val="004F787C"/>
    <w:rsid w:val="004F7BE0"/>
    <w:rsid w:val="004F7C44"/>
    <w:rsid w:val="00500007"/>
    <w:rsid w:val="00500153"/>
    <w:rsid w:val="00500491"/>
    <w:rsid w:val="00500912"/>
    <w:rsid w:val="00500A9C"/>
    <w:rsid w:val="00500CC3"/>
    <w:rsid w:val="005011FE"/>
    <w:rsid w:val="00501BB4"/>
    <w:rsid w:val="00501C69"/>
    <w:rsid w:val="00501C8F"/>
    <w:rsid w:val="00501CA6"/>
    <w:rsid w:val="00501DF4"/>
    <w:rsid w:val="00502A1B"/>
    <w:rsid w:val="00502A97"/>
    <w:rsid w:val="00502DB2"/>
    <w:rsid w:val="005032A0"/>
    <w:rsid w:val="00503505"/>
    <w:rsid w:val="00503E80"/>
    <w:rsid w:val="00504258"/>
    <w:rsid w:val="005045C7"/>
    <w:rsid w:val="00504872"/>
    <w:rsid w:val="00504978"/>
    <w:rsid w:val="00504AC8"/>
    <w:rsid w:val="005050D4"/>
    <w:rsid w:val="00505340"/>
    <w:rsid w:val="005054AA"/>
    <w:rsid w:val="00505607"/>
    <w:rsid w:val="005057B5"/>
    <w:rsid w:val="0050621F"/>
    <w:rsid w:val="00506497"/>
    <w:rsid w:val="0050663B"/>
    <w:rsid w:val="00506819"/>
    <w:rsid w:val="005068E4"/>
    <w:rsid w:val="00506965"/>
    <w:rsid w:val="005069EE"/>
    <w:rsid w:val="0050712E"/>
    <w:rsid w:val="005074F4"/>
    <w:rsid w:val="0050782C"/>
    <w:rsid w:val="00507C1C"/>
    <w:rsid w:val="00507F03"/>
    <w:rsid w:val="00507F24"/>
    <w:rsid w:val="00510704"/>
    <w:rsid w:val="00510812"/>
    <w:rsid w:val="00510D68"/>
    <w:rsid w:val="005112FA"/>
    <w:rsid w:val="00511401"/>
    <w:rsid w:val="005115F4"/>
    <w:rsid w:val="005116FD"/>
    <w:rsid w:val="0051183C"/>
    <w:rsid w:val="00511AA1"/>
    <w:rsid w:val="00511C40"/>
    <w:rsid w:val="00511E9E"/>
    <w:rsid w:val="0051201B"/>
    <w:rsid w:val="0051212E"/>
    <w:rsid w:val="005122FF"/>
    <w:rsid w:val="00512520"/>
    <w:rsid w:val="005126E1"/>
    <w:rsid w:val="0051273D"/>
    <w:rsid w:val="0051284F"/>
    <w:rsid w:val="005128B7"/>
    <w:rsid w:val="00512B1D"/>
    <w:rsid w:val="00512BBF"/>
    <w:rsid w:val="00512EAE"/>
    <w:rsid w:val="00513B62"/>
    <w:rsid w:val="00514595"/>
    <w:rsid w:val="00514651"/>
    <w:rsid w:val="00514BFE"/>
    <w:rsid w:val="00514D7A"/>
    <w:rsid w:val="00514E65"/>
    <w:rsid w:val="0051500E"/>
    <w:rsid w:val="00515125"/>
    <w:rsid w:val="00515209"/>
    <w:rsid w:val="005157D2"/>
    <w:rsid w:val="00515A08"/>
    <w:rsid w:val="00515AC6"/>
    <w:rsid w:val="00515B79"/>
    <w:rsid w:val="00516305"/>
    <w:rsid w:val="005171B2"/>
    <w:rsid w:val="005172D5"/>
    <w:rsid w:val="00517809"/>
    <w:rsid w:val="00517A1A"/>
    <w:rsid w:val="00517D7E"/>
    <w:rsid w:val="005201C1"/>
    <w:rsid w:val="00520556"/>
    <w:rsid w:val="00520613"/>
    <w:rsid w:val="00520799"/>
    <w:rsid w:val="005209B1"/>
    <w:rsid w:val="005215C0"/>
    <w:rsid w:val="0052166E"/>
    <w:rsid w:val="005218B9"/>
    <w:rsid w:val="0052194A"/>
    <w:rsid w:val="00521D7E"/>
    <w:rsid w:val="00522040"/>
    <w:rsid w:val="005226CE"/>
    <w:rsid w:val="00522E94"/>
    <w:rsid w:val="00522F89"/>
    <w:rsid w:val="005233A9"/>
    <w:rsid w:val="00523CA1"/>
    <w:rsid w:val="00523D0F"/>
    <w:rsid w:val="00523E59"/>
    <w:rsid w:val="005245D8"/>
    <w:rsid w:val="005246D7"/>
    <w:rsid w:val="00524BCC"/>
    <w:rsid w:val="00524F9D"/>
    <w:rsid w:val="00525127"/>
    <w:rsid w:val="00525440"/>
    <w:rsid w:val="0052562F"/>
    <w:rsid w:val="0052602D"/>
    <w:rsid w:val="00526285"/>
    <w:rsid w:val="00526523"/>
    <w:rsid w:val="005266B5"/>
    <w:rsid w:val="005267B0"/>
    <w:rsid w:val="00526B5A"/>
    <w:rsid w:val="005271B7"/>
    <w:rsid w:val="00527271"/>
    <w:rsid w:val="005272BA"/>
    <w:rsid w:val="0052736A"/>
    <w:rsid w:val="00527BC3"/>
    <w:rsid w:val="00527F8A"/>
    <w:rsid w:val="0053033D"/>
    <w:rsid w:val="0053054C"/>
    <w:rsid w:val="00530A2A"/>
    <w:rsid w:val="00530D28"/>
    <w:rsid w:val="00530E5E"/>
    <w:rsid w:val="00531047"/>
    <w:rsid w:val="00531633"/>
    <w:rsid w:val="00532019"/>
    <w:rsid w:val="005323C4"/>
    <w:rsid w:val="00532885"/>
    <w:rsid w:val="00532C6A"/>
    <w:rsid w:val="00533252"/>
    <w:rsid w:val="0053328F"/>
    <w:rsid w:val="00533530"/>
    <w:rsid w:val="00533D69"/>
    <w:rsid w:val="0053401D"/>
    <w:rsid w:val="00534075"/>
    <w:rsid w:val="005342AD"/>
    <w:rsid w:val="005343E8"/>
    <w:rsid w:val="00534A8D"/>
    <w:rsid w:val="00534B46"/>
    <w:rsid w:val="00535374"/>
    <w:rsid w:val="00535379"/>
    <w:rsid w:val="0053569D"/>
    <w:rsid w:val="00535E58"/>
    <w:rsid w:val="00535E60"/>
    <w:rsid w:val="00535F74"/>
    <w:rsid w:val="00536299"/>
    <w:rsid w:val="005362A2"/>
    <w:rsid w:val="00536304"/>
    <w:rsid w:val="005365C3"/>
    <w:rsid w:val="0053665F"/>
    <w:rsid w:val="005366DE"/>
    <w:rsid w:val="0053700E"/>
    <w:rsid w:val="005370A7"/>
    <w:rsid w:val="00537401"/>
    <w:rsid w:val="005374FF"/>
    <w:rsid w:val="0053760D"/>
    <w:rsid w:val="005378CA"/>
    <w:rsid w:val="00537E5E"/>
    <w:rsid w:val="00537E80"/>
    <w:rsid w:val="00537FF6"/>
    <w:rsid w:val="00540484"/>
    <w:rsid w:val="005408C2"/>
    <w:rsid w:val="00540A9F"/>
    <w:rsid w:val="00540ACC"/>
    <w:rsid w:val="00540CBC"/>
    <w:rsid w:val="0054118A"/>
    <w:rsid w:val="0054120C"/>
    <w:rsid w:val="0054130B"/>
    <w:rsid w:val="00541901"/>
    <w:rsid w:val="00541EAE"/>
    <w:rsid w:val="0054219E"/>
    <w:rsid w:val="00542269"/>
    <w:rsid w:val="005425BD"/>
    <w:rsid w:val="00542F27"/>
    <w:rsid w:val="00543470"/>
    <w:rsid w:val="005437B3"/>
    <w:rsid w:val="00543C33"/>
    <w:rsid w:val="00543EDF"/>
    <w:rsid w:val="0054407F"/>
    <w:rsid w:val="00544451"/>
    <w:rsid w:val="0054455C"/>
    <w:rsid w:val="005445A0"/>
    <w:rsid w:val="00544A8C"/>
    <w:rsid w:val="00544C5F"/>
    <w:rsid w:val="00544E67"/>
    <w:rsid w:val="00545231"/>
    <w:rsid w:val="00545521"/>
    <w:rsid w:val="0054565C"/>
    <w:rsid w:val="0054578C"/>
    <w:rsid w:val="00545C04"/>
    <w:rsid w:val="00545C6F"/>
    <w:rsid w:val="00545F0D"/>
    <w:rsid w:val="00546187"/>
    <w:rsid w:val="005461B8"/>
    <w:rsid w:val="0054621F"/>
    <w:rsid w:val="0054646B"/>
    <w:rsid w:val="00546719"/>
    <w:rsid w:val="005468DE"/>
    <w:rsid w:val="005469CA"/>
    <w:rsid w:val="00546B71"/>
    <w:rsid w:val="00546CEF"/>
    <w:rsid w:val="00546D4C"/>
    <w:rsid w:val="0054735C"/>
    <w:rsid w:val="00547E26"/>
    <w:rsid w:val="00550077"/>
    <w:rsid w:val="00550108"/>
    <w:rsid w:val="005501DF"/>
    <w:rsid w:val="0055041C"/>
    <w:rsid w:val="005504A6"/>
    <w:rsid w:val="0055053F"/>
    <w:rsid w:val="005506EB"/>
    <w:rsid w:val="005506F9"/>
    <w:rsid w:val="0055096B"/>
    <w:rsid w:val="00550987"/>
    <w:rsid w:val="00550D35"/>
    <w:rsid w:val="0055109D"/>
    <w:rsid w:val="00551567"/>
    <w:rsid w:val="0055198B"/>
    <w:rsid w:val="00551B23"/>
    <w:rsid w:val="00551D46"/>
    <w:rsid w:val="00552045"/>
    <w:rsid w:val="005524AC"/>
    <w:rsid w:val="00552747"/>
    <w:rsid w:val="0055281A"/>
    <w:rsid w:val="00552DAB"/>
    <w:rsid w:val="00552ED5"/>
    <w:rsid w:val="0055303A"/>
    <w:rsid w:val="00553113"/>
    <w:rsid w:val="00553120"/>
    <w:rsid w:val="00553C86"/>
    <w:rsid w:val="005541F6"/>
    <w:rsid w:val="0055454D"/>
    <w:rsid w:val="005547DF"/>
    <w:rsid w:val="005548E3"/>
    <w:rsid w:val="00554A68"/>
    <w:rsid w:val="00554B6A"/>
    <w:rsid w:val="00554BDE"/>
    <w:rsid w:val="00554F7B"/>
    <w:rsid w:val="00554FF2"/>
    <w:rsid w:val="0055534F"/>
    <w:rsid w:val="00555EF3"/>
    <w:rsid w:val="00555FAD"/>
    <w:rsid w:val="00556085"/>
    <w:rsid w:val="005561AC"/>
    <w:rsid w:val="00556271"/>
    <w:rsid w:val="005563E6"/>
    <w:rsid w:val="0055659C"/>
    <w:rsid w:val="0055670B"/>
    <w:rsid w:val="005567E8"/>
    <w:rsid w:val="00556822"/>
    <w:rsid w:val="00556B40"/>
    <w:rsid w:val="00556CF5"/>
    <w:rsid w:val="00556E6F"/>
    <w:rsid w:val="00557199"/>
    <w:rsid w:val="00557727"/>
    <w:rsid w:val="00557B6F"/>
    <w:rsid w:val="00557DF8"/>
    <w:rsid w:val="00560896"/>
    <w:rsid w:val="005608C4"/>
    <w:rsid w:val="00560989"/>
    <w:rsid w:val="00560DF5"/>
    <w:rsid w:val="005611DE"/>
    <w:rsid w:val="00561300"/>
    <w:rsid w:val="00561417"/>
    <w:rsid w:val="00561493"/>
    <w:rsid w:val="005616E2"/>
    <w:rsid w:val="00561B33"/>
    <w:rsid w:val="005621A1"/>
    <w:rsid w:val="00562D83"/>
    <w:rsid w:val="00563088"/>
    <w:rsid w:val="005631E3"/>
    <w:rsid w:val="00563481"/>
    <w:rsid w:val="00563BCE"/>
    <w:rsid w:val="00563CFB"/>
    <w:rsid w:val="00563E75"/>
    <w:rsid w:val="00564386"/>
    <w:rsid w:val="00564914"/>
    <w:rsid w:val="00564A3A"/>
    <w:rsid w:val="00565028"/>
    <w:rsid w:val="0056521C"/>
    <w:rsid w:val="00565407"/>
    <w:rsid w:val="0056541C"/>
    <w:rsid w:val="005655F3"/>
    <w:rsid w:val="00565737"/>
    <w:rsid w:val="00565AE1"/>
    <w:rsid w:val="00565BCA"/>
    <w:rsid w:val="00565BDA"/>
    <w:rsid w:val="00565BFB"/>
    <w:rsid w:val="00565EBA"/>
    <w:rsid w:val="005660BD"/>
    <w:rsid w:val="005660D6"/>
    <w:rsid w:val="00566349"/>
    <w:rsid w:val="00566523"/>
    <w:rsid w:val="00566B46"/>
    <w:rsid w:val="005677C6"/>
    <w:rsid w:val="005677CA"/>
    <w:rsid w:val="00567BEE"/>
    <w:rsid w:val="00567E15"/>
    <w:rsid w:val="00567FFC"/>
    <w:rsid w:val="00570090"/>
    <w:rsid w:val="005702C0"/>
    <w:rsid w:val="00570962"/>
    <w:rsid w:val="00570BE5"/>
    <w:rsid w:val="0057110C"/>
    <w:rsid w:val="005717F0"/>
    <w:rsid w:val="005718C2"/>
    <w:rsid w:val="00571E69"/>
    <w:rsid w:val="00571E71"/>
    <w:rsid w:val="00571E81"/>
    <w:rsid w:val="005721F0"/>
    <w:rsid w:val="00572381"/>
    <w:rsid w:val="005725A3"/>
    <w:rsid w:val="0057273F"/>
    <w:rsid w:val="00572789"/>
    <w:rsid w:val="005728F8"/>
    <w:rsid w:val="00572AC1"/>
    <w:rsid w:val="00572AFF"/>
    <w:rsid w:val="00572B58"/>
    <w:rsid w:val="00572B7E"/>
    <w:rsid w:val="0057323C"/>
    <w:rsid w:val="00573268"/>
    <w:rsid w:val="0057342B"/>
    <w:rsid w:val="00573513"/>
    <w:rsid w:val="005738A8"/>
    <w:rsid w:val="00573BB6"/>
    <w:rsid w:val="00573BF6"/>
    <w:rsid w:val="00574026"/>
    <w:rsid w:val="00574053"/>
    <w:rsid w:val="005740C0"/>
    <w:rsid w:val="00574191"/>
    <w:rsid w:val="00574372"/>
    <w:rsid w:val="005744B9"/>
    <w:rsid w:val="00574602"/>
    <w:rsid w:val="0057499F"/>
    <w:rsid w:val="005749B3"/>
    <w:rsid w:val="00575AD2"/>
    <w:rsid w:val="0057689B"/>
    <w:rsid w:val="00576C08"/>
    <w:rsid w:val="0057704D"/>
    <w:rsid w:val="0057711B"/>
    <w:rsid w:val="005771C7"/>
    <w:rsid w:val="0058079C"/>
    <w:rsid w:val="0058090C"/>
    <w:rsid w:val="00580C35"/>
    <w:rsid w:val="00580D36"/>
    <w:rsid w:val="0058102D"/>
    <w:rsid w:val="00581388"/>
    <w:rsid w:val="0058179E"/>
    <w:rsid w:val="00581BE3"/>
    <w:rsid w:val="00581CDB"/>
    <w:rsid w:val="00582188"/>
    <w:rsid w:val="005827A8"/>
    <w:rsid w:val="00582830"/>
    <w:rsid w:val="00582879"/>
    <w:rsid w:val="00582928"/>
    <w:rsid w:val="00583106"/>
    <w:rsid w:val="00583460"/>
    <w:rsid w:val="00583476"/>
    <w:rsid w:val="005835DE"/>
    <w:rsid w:val="005848FF"/>
    <w:rsid w:val="005849D0"/>
    <w:rsid w:val="00584B58"/>
    <w:rsid w:val="00584DCB"/>
    <w:rsid w:val="005850FD"/>
    <w:rsid w:val="0058537E"/>
    <w:rsid w:val="005853BC"/>
    <w:rsid w:val="0058542B"/>
    <w:rsid w:val="005855D5"/>
    <w:rsid w:val="005856F3"/>
    <w:rsid w:val="00585BF2"/>
    <w:rsid w:val="005865B8"/>
    <w:rsid w:val="00586A99"/>
    <w:rsid w:val="00586DCA"/>
    <w:rsid w:val="005872BC"/>
    <w:rsid w:val="0058749B"/>
    <w:rsid w:val="00587502"/>
    <w:rsid w:val="0058775E"/>
    <w:rsid w:val="00587C7C"/>
    <w:rsid w:val="005905C7"/>
    <w:rsid w:val="00590974"/>
    <w:rsid w:val="00590BB6"/>
    <w:rsid w:val="005910E6"/>
    <w:rsid w:val="005911C0"/>
    <w:rsid w:val="00591447"/>
    <w:rsid w:val="00591794"/>
    <w:rsid w:val="00591AEB"/>
    <w:rsid w:val="00591C22"/>
    <w:rsid w:val="00592583"/>
    <w:rsid w:val="00592675"/>
    <w:rsid w:val="005927FF"/>
    <w:rsid w:val="0059354C"/>
    <w:rsid w:val="005937A5"/>
    <w:rsid w:val="00593AB2"/>
    <w:rsid w:val="00593EBA"/>
    <w:rsid w:val="00593F5A"/>
    <w:rsid w:val="00594127"/>
    <w:rsid w:val="005943F7"/>
    <w:rsid w:val="005944A3"/>
    <w:rsid w:val="005944AD"/>
    <w:rsid w:val="00594678"/>
    <w:rsid w:val="00594CB7"/>
    <w:rsid w:val="00594E94"/>
    <w:rsid w:val="005950FA"/>
    <w:rsid w:val="0059534A"/>
    <w:rsid w:val="005954D4"/>
    <w:rsid w:val="0059559F"/>
    <w:rsid w:val="00596325"/>
    <w:rsid w:val="0059640A"/>
    <w:rsid w:val="0059663D"/>
    <w:rsid w:val="005966B1"/>
    <w:rsid w:val="0059682D"/>
    <w:rsid w:val="00596857"/>
    <w:rsid w:val="005968ED"/>
    <w:rsid w:val="00596B0A"/>
    <w:rsid w:val="00596D7D"/>
    <w:rsid w:val="00597298"/>
    <w:rsid w:val="005972BE"/>
    <w:rsid w:val="0059736D"/>
    <w:rsid w:val="005A00E3"/>
    <w:rsid w:val="005A045D"/>
    <w:rsid w:val="005A069A"/>
    <w:rsid w:val="005A099C"/>
    <w:rsid w:val="005A11DC"/>
    <w:rsid w:val="005A16DB"/>
    <w:rsid w:val="005A206F"/>
    <w:rsid w:val="005A20EA"/>
    <w:rsid w:val="005A21CC"/>
    <w:rsid w:val="005A228B"/>
    <w:rsid w:val="005A2305"/>
    <w:rsid w:val="005A2860"/>
    <w:rsid w:val="005A2FDE"/>
    <w:rsid w:val="005A382E"/>
    <w:rsid w:val="005A3B4F"/>
    <w:rsid w:val="005A4110"/>
    <w:rsid w:val="005A43B1"/>
    <w:rsid w:val="005A4433"/>
    <w:rsid w:val="005A44F1"/>
    <w:rsid w:val="005A486B"/>
    <w:rsid w:val="005A48DC"/>
    <w:rsid w:val="005A5AB8"/>
    <w:rsid w:val="005A5F8A"/>
    <w:rsid w:val="005A65F9"/>
    <w:rsid w:val="005A68FC"/>
    <w:rsid w:val="005A708A"/>
    <w:rsid w:val="005A76BD"/>
    <w:rsid w:val="005A7957"/>
    <w:rsid w:val="005A797F"/>
    <w:rsid w:val="005A7E08"/>
    <w:rsid w:val="005A7FEC"/>
    <w:rsid w:val="005B0276"/>
    <w:rsid w:val="005B06A1"/>
    <w:rsid w:val="005B08B1"/>
    <w:rsid w:val="005B0906"/>
    <w:rsid w:val="005B0C9A"/>
    <w:rsid w:val="005B0EC8"/>
    <w:rsid w:val="005B1806"/>
    <w:rsid w:val="005B1A37"/>
    <w:rsid w:val="005B1CB6"/>
    <w:rsid w:val="005B1F1F"/>
    <w:rsid w:val="005B20B8"/>
    <w:rsid w:val="005B2830"/>
    <w:rsid w:val="005B2A90"/>
    <w:rsid w:val="005B2AB1"/>
    <w:rsid w:val="005B2E83"/>
    <w:rsid w:val="005B3054"/>
    <w:rsid w:val="005B3117"/>
    <w:rsid w:val="005B3A37"/>
    <w:rsid w:val="005B3B3A"/>
    <w:rsid w:val="005B3BC8"/>
    <w:rsid w:val="005B4312"/>
    <w:rsid w:val="005B4CCA"/>
    <w:rsid w:val="005B5071"/>
    <w:rsid w:val="005B51D2"/>
    <w:rsid w:val="005B5250"/>
    <w:rsid w:val="005B55B5"/>
    <w:rsid w:val="005B57DA"/>
    <w:rsid w:val="005B5874"/>
    <w:rsid w:val="005B5F3D"/>
    <w:rsid w:val="005B5FE4"/>
    <w:rsid w:val="005B6017"/>
    <w:rsid w:val="005B631A"/>
    <w:rsid w:val="005B646D"/>
    <w:rsid w:val="005B651F"/>
    <w:rsid w:val="005B6A2D"/>
    <w:rsid w:val="005B6E47"/>
    <w:rsid w:val="005B702F"/>
    <w:rsid w:val="005B7081"/>
    <w:rsid w:val="005B7805"/>
    <w:rsid w:val="005B7D63"/>
    <w:rsid w:val="005B7F4E"/>
    <w:rsid w:val="005C0871"/>
    <w:rsid w:val="005C0949"/>
    <w:rsid w:val="005C095F"/>
    <w:rsid w:val="005C0D3E"/>
    <w:rsid w:val="005C11F8"/>
    <w:rsid w:val="005C12EB"/>
    <w:rsid w:val="005C13D1"/>
    <w:rsid w:val="005C1792"/>
    <w:rsid w:val="005C1ADC"/>
    <w:rsid w:val="005C1F25"/>
    <w:rsid w:val="005C208F"/>
    <w:rsid w:val="005C21B9"/>
    <w:rsid w:val="005C294A"/>
    <w:rsid w:val="005C2A20"/>
    <w:rsid w:val="005C2B4F"/>
    <w:rsid w:val="005C315F"/>
    <w:rsid w:val="005C3401"/>
    <w:rsid w:val="005C369E"/>
    <w:rsid w:val="005C38AF"/>
    <w:rsid w:val="005C3DE7"/>
    <w:rsid w:val="005C3FA6"/>
    <w:rsid w:val="005C410B"/>
    <w:rsid w:val="005C4323"/>
    <w:rsid w:val="005C441B"/>
    <w:rsid w:val="005C4643"/>
    <w:rsid w:val="005C4B3E"/>
    <w:rsid w:val="005C4C4E"/>
    <w:rsid w:val="005C51BB"/>
    <w:rsid w:val="005C5A30"/>
    <w:rsid w:val="005C5D74"/>
    <w:rsid w:val="005C5DEE"/>
    <w:rsid w:val="005C5F37"/>
    <w:rsid w:val="005C62F5"/>
    <w:rsid w:val="005C6F6F"/>
    <w:rsid w:val="005C7029"/>
    <w:rsid w:val="005C72BA"/>
    <w:rsid w:val="005C75C9"/>
    <w:rsid w:val="005C7A99"/>
    <w:rsid w:val="005D09F4"/>
    <w:rsid w:val="005D0EA9"/>
    <w:rsid w:val="005D115D"/>
    <w:rsid w:val="005D15B7"/>
    <w:rsid w:val="005D17A2"/>
    <w:rsid w:val="005D1B0B"/>
    <w:rsid w:val="005D212E"/>
    <w:rsid w:val="005D22BA"/>
    <w:rsid w:val="005D237E"/>
    <w:rsid w:val="005D23D0"/>
    <w:rsid w:val="005D25F6"/>
    <w:rsid w:val="005D271B"/>
    <w:rsid w:val="005D2823"/>
    <w:rsid w:val="005D288B"/>
    <w:rsid w:val="005D2CB1"/>
    <w:rsid w:val="005D2CE9"/>
    <w:rsid w:val="005D2E4C"/>
    <w:rsid w:val="005D34EE"/>
    <w:rsid w:val="005D39C9"/>
    <w:rsid w:val="005D3A9F"/>
    <w:rsid w:val="005D3B51"/>
    <w:rsid w:val="005D3FDB"/>
    <w:rsid w:val="005D4030"/>
    <w:rsid w:val="005D436E"/>
    <w:rsid w:val="005D43E3"/>
    <w:rsid w:val="005D4880"/>
    <w:rsid w:val="005D4C24"/>
    <w:rsid w:val="005D4D6A"/>
    <w:rsid w:val="005D4D9E"/>
    <w:rsid w:val="005D4E95"/>
    <w:rsid w:val="005D51C9"/>
    <w:rsid w:val="005D5337"/>
    <w:rsid w:val="005D53F8"/>
    <w:rsid w:val="005D5572"/>
    <w:rsid w:val="005D5986"/>
    <w:rsid w:val="005D5D72"/>
    <w:rsid w:val="005D638D"/>
    <w:rsid w:val="005D6473"/>
    <w:rsid w:val="005D65C9"/>
    <w:rsid w:val="005D68B5"/>
    <w:rsid w:val="005D6A56"/>
    <w:rsid w:val="005D6B89"/>
    <w:rsid w:val="005D701C"/>
    <w:rsid w:val="005D77B4"/>
    <w:rsid w:val="005E0037"/>
    <w:rsid w:val="005E07A3"/>
    <w:rsid w:val="005E0A98"/>
    <w:rsid w:val="005E0C13"/>
    <w:rsid w:val="005E0D95"/>
    <w:rsid w:val="005E0DB0"/>
    <w:rsid w:val="005E0F2C"/>
    <w:rsid w:val="005E0F54"/>
    <w:rsid w:val="005E1910"/>
    <w:rsid w:val="005E1B05"/>
    <w:rsid w:val="005E241B"/>
    <w:rsid w:val="005E2B5C"/>
    <w:rsid w:val="005E2CA9"/>
    <w:rsid w:val="005E2F2E"/>
    <w:rsid w:val="005E2F45"/>
    <w:rsid w:val="005E3188"/>
    <w:rsid w:val="005E329F"/>
    <w:rsid w:val="005E3439"/>
    <w:rsid w:val="005E3A10"/>
    <w:rsid w:val="005E3D1C"/>
    <w:rsid w:val="005E40AC"/>
    <w:rsid w:val="005E4247"/>
    <w:rsid w:val="005E48A7"/>
    <w:rsid w:val="005E48CA"/>
    <w:rsid w:val="005E49A4"/>
    <w:rsid w:val="005E49E2"/>
    <w:rsid w:val="005E4F12"/>
    <w:rsid w:val="005E5026"/>
    <w:rsid w:val="005E53E2"/>
    <w:rsid w:val="005E54CB"/>
    <w:rsid w:val="005E556A"/>
    <w:rsid w:val="005E56CF"/>
    <w:rsid w:val="005E5A91"/>
    <w:rsid w:val="005E5CA9"/>
    <w:rsid w:val="005E67C2"/>
    <w:rsid w:val="005E67D1"/>
    <w:rsid w:val="005E6B2F"/>
    <w:rsid w:val="005E6B7D"/>
    <w:rsid w:val="005E6D37"/>
    <w:rsid w:val="005E6D9A"/>
    <w:rsid w:val="005E6EB4"/>
    <w:rsid w:val="005E6FDD"/>
    <w:rsid w:val="005E7609"/>
    <w:rsid w:val="005E783E"/>
    <w:rsid w:val="005E7ADC"/>
    <w:rsid w:val="005E7D5F"/>
    <w:rsid w:val="005F01ED"/>
    <w:rsid w:val="005F0497"/>
    <w:rsid w:val="005F0775"/>
    <w:rsid w:val="005F0CAD"/>
    <w:rsid w:val="005F0D0E"/>
    <w:rsid w:val="005F0DDD"/>
    <w:rsid w:val="005F0F40"/>
    <w:rsid w:val="005F101C"/>
    <w:rsid w:val="005F1278"/>
    <w:rsid w:val="005F1587"/>
    <w:rsid w:val="005F189A"/>
    <w:rsid w:val="005F18D0"/>
    <w:rsid w:val="005F1B1D"/>
    <w:rsid w:val="005F1B2C"/>
    <w:rsid w:val="005F1EB5"/>
    <w:rsid w:val="005F1EFE"/>
    <w:rsid w:val="005F2195"/>
    <w:rsid w:val="005F2287"/>
    <w:rsid w:val="005F241D"/>
    <w:rsid w:val="005F251A"/>
    <w:rsid w:val="005F279D"/>
    <w:rsid w:val="005F27DA"/>
    <w:rsid w:val="005F2CC0"/>
    <w:rsid w:val="005F2EEC"/>
    <w:rsid w:val="005F3105"/>
    <w:rsid w:val="005F358F"/>
    <w:rsid w:val="005F367A"/>
    <w:rsid w:val="005F3823"/>
    <w:rsid w:val="005F3D69"/>
    <w:rsid w:val="005F3E25"/>
    <w:rsid w:val="005F401B"/>
    <w:rsid w:val="005F4309"/>
    <w:rsid w:val="005F4486"/>
    <w:rsid w:val="005F4587"/>
    <w:rsid w:val="005F4C22"/>
    <w:rsid w:val="005F502E"/>
    <w:rsid w:val="005F5B0B"/>
    <w:rsid w:val="005F5C8E"/>
    <w:rsid w:val="005F5C9C"/>
    <w:rsid w:val="005F61B1"/>
    <w:rsid w:val="005F6480"/>
    <w:rsid w:val="005F66F9"/>
    <w:rsid w:val="005F67F3"/>
    <w:rsid w:val="005F69D0"/>
    <w:rsid w:val="005F6E6A"/>
    <w:rsid w:val="005F6F2B"/>
    <w:rsid w:val="005F7018"/>
    <w:rsid w:val="005F729A"/>
    <w:rsid w:val="005F72FF"/>
    <w:rsid w:val="005F7CB7"/>
    <w:rsid w:val="00600123"/>
    <w:rsid w:val="00600300"/>
    <w:rsid w:val="0060057B"/>
    <w:rsid w:val="00600929"/>
    <w:rsid w:val="0060133D"/>
    <w:rsid w:val="0060143A"/>
    <w:rsid w:val="0060167E"/>
    <w:rsid w:val="0060195B"/>
    <w:rsid w:val="00601D49"/>
    <w:rsid w:val="00601F76"/>
    <w:rsid w:val="00601FED"/>
    <w:rsid w:val="0060257A"/>
    <w:rsid w:val="006025A6"/>
    <w:rsid w:val="00602870"/>
    <w:rsid w:val="0060291B"/>
    <w:rsid w:val="00602CCE"/>
    <w:rsid w:val="00602D25"/>
    <w:rsid w:val="00603174"/>
    <w:rsid w:val="00603581"/>
    <w:rsid w:val="00603B5A"/>
    <w:rsid w:val="00603DA1"/>
    <w:rsid w:val="00603F8B"/>
    <w:rsid w:val="00604478"/>
    <w:rsid w:val="00604538"/>
    <w:rsid w:val="00604697"/>
    <w:rsid w:val="00604796"/>
    <w:rsid w:val="00604CAE"/>
    <w:rsid w:val="00604CF1"/>
    <w:rsid w:val="00605003"/>
    <w:rsid w:val="00605167"/>
    <w:rsid w:val="00605363"/>
    <w:rsid w:val="006053EF"/>
    <w:rsid w:val="0060553A"/>
    <w:rsid w:val="006055B5"/>
    <w:rsid w:val="0060588E"/>
    <w:rsid w:val="0060597D"/>
    <w:rsid w:val="00605ACD"/>
    <w:rsid w:val="006069C9"/>
    <w:rsid w:val="00606F07"/>
    <w:rsid w:val="0060722E"/>
    <w:rsid w:val="0060723E"/>
    <w:rsid w:val="006073EE"/>
    <w:rsid w:val="00607B26"/>
    <w:rsid w:val="00607CBA"/>
    <w:rsid w:val="00607D62"/>
    <w:rsid w:val="00607FD3"/>
    <w:rsid w:val="00610276"/>
    <w:rsid w:val="00610B16"/>
    <w:rsid w:val="00610EB5"/>
    <w:rsid w:val="006110A4"/>
    <w:rsid w:val="00611467"/>
    <w:rsid w:val="0061148D"/>
    <w:rsid w:val="00611717"/>
    <w:rsid w:val="006117AA"/>
    <w:rsid w:val="00611987"/>
    <w:rsid w:val="00611AAC"/>
    <w:rsid w:val="00611C45"/>
    <w:rsid w:val="00611F58"/>
    <w:rsid w:val="0061200A"/>
    <w:rsid w:val="00612024"/>
    <w:rsid w:val="006125D7"/>
    <w:rsid w:val="00612775"/>
    <w:rsid w:val="006128AA"/>
    <w:rsid w:val="00612AA6"/>
    <w:rsid w:val="00612C12"/>
    <w:rsid w:val="00612D3F"/>
    <w:rsid w:val="00612F69"/>
    <w:rsid w:val="00613102"/>
    <w:rsid w:val="0061327D"/>
    <w:rsid w:val="00613370"/>
    <w:rsid w:val="006134D2"/>
    <w:rsid w:val="006138B9"/>
    <w:rsid w:val="00613B92"/>
    <w:rsid w:val="00613C90"/>
    <w:rsid w:val="00613E33"/>
    <w:rsid w:val="0061407B"/>
    <w:rsid w:val="00614227"/>
    <w:rsid w:val="006142EA"/>
    <w:rsid w:val="00614B7F"/>
    <w:rsid w:val="00614C5B"/>
    <w:rsid w:val="006153F8"/>
    <w:rsid w:val="0061547B"/>
    <w:rsid w:val="00615AC8"/>
    <w:rsid w:val="00615F9F"/>
    <w:rsid w:val="006167DC"/>
    <w:rsid w:val="006169DE"/>
    <w:rsid w:val="00616AAE"/>
    <w:rsid w:val="00616C9B"/>
    <w:rsid w:val="00617226"/>
    <w:rsid w:val="006172B5"/>
    <w:rsid w:val="006173F9"/>
    <w:rsid w:val="0061745C"/>
    <w:rsid w:val="006178B5"/>
    <w:rsid w:val="00617D77"/>
    <w:rsid w:val="00620097"/>
    <w:rsid w:val="006205AD"/>
    <w:rsid w:val="00620851"/>
    <w:rsid w:val="00620D39"/>
    <w:rsid w:val="00621078"/>
    <w:rsid w:val="006211F1"/>
    <w:rsid w:val="0062183F"/>
    <w:rsid w:val="00621A16"/>
    <w:rsid w:val="00621CC5"/>
    <w:rsid w:val="006223AD"/>
    <w:rsid w:val="006225B4"/>
    <w:rsid w:val="00622868"/>
    <w:rsid w:val="00622A72"/>
    <w:rsid w:val="00622C0E"/>
    <w:rsid w:val="00622F8F"/>
    <w:rsid w:val="006231F9"/>
    <w:rsid w:val="00623532"/>
    <w:rsid w:val="00623614"/>
    <w:rsid w:val="00623980"/>
    <w:rsid w:val="00623A73"/>
    <w:rsid w:val="00623BF3"/>
    <w:rsid w:val="00623DC9"/>
    <w:rsid w:val="00624135"/>
    <w:rsid w:val="006242E9"/>
    <w:rsid w:val="00624575"/>
    <w:rsid w:val="0062458F"/>
    <w:rsid w:val="00624835"/>
    <w:rsid w:val="00624C77"/>
    <w:rsid w:val="00624E75"/>
    <w:rsid w:val="00625063"/>
    <w:rsid w:val="0062590B"/>
    <w:rsid w:val="006259D7"/>
    <w:rsid w:val="006259EB"/>
    <w:rsid w:val="00625AEF"/>
    <w:rsid w:val="00625CE6"/>
    <w:rsid w:val="00625ED8"/>
    <w:rsid w:val="006260BE"/>
    <w:rsid w:val="00626156"/>
    <w:rsid w:val="0062655B"/>
    <w:rsid w:val="00626CE3"/>
    <w:rsid w:val="00626F55"/>
    <w:rsid w:val="00627248"/>
    <w:rsid w:val="006272D3"/>
    <w:rsid w:val="00627605"/>
    <w:rsid w:val="00627816"/>
    <w:rsid w:val="00627C1F"/>
    <w:rsid w:val="0063022B"/>
    <w:rsid w:val="00630ACF"/>
    <w:rsid w:val="00630BC3"/>
    <w:rsid w:val="00630D97"/>
    <w:rsid w:val="00630D9D"/>
    <w:rsid w:val="0063105A"/>
    <w:rsid w:val="006313B8"/>
    <w:rsid w:val="006314ED"/>
    <w:rsid w:val="006317BB"/>
    <w:rsid w:val="00631A50"/>
    <w:rsid w:val="00631BDE"/>
    <w:rsid w:val="00631C88"/>
    <w:rsid w:val="00631E08"/>
    <w:rsid w:val="0063215F"/>
    <w:rsid w:val="0063284D"/>
    <w:rsid w:val="00632D56"/>
    <w:rsid w:val="00632F3F"/>
    <w:rsid w:val="00633024"/>
    <w:rsid w:val="00633105"/>
    <w:rsid w:val="0063314F"/>
    <w:rsid w:val="0063340F"/>
    <w:rsid w:val="0063360A"/>
    <w:rsid w:val="0063376A"/>
    <w:rsid w:val="00633846"/>
    <w:rsid w:val="00633B0F"/>
    <w:rsid w:val="00633BB7"/>
    <w:rsid w:val="0063401F"/>
    <w:rsid w:val="006344DD"/>
    <w:rsid w:val="00635502"/>
    <w:rsid w:val="00635A6E"/>
    <w:rsid w:val="00635AB5"/>
    <w:rsid w:val="00635DC2"/>
    <w:rsid w:val="006363CF"/>
    <w:rsid w:val="00636568"/>
    <w:rsid w:val="006365FA"/>
    <w:rsid w:val="0063667A"/>
    <w:rsid w:val="006369AC"/>
    <w:rsid w:val="006369E2"/>
    <w:rsid w:val="00636A97"/>
    <w:rsid w:val="00636D4C"/>
    <w:rsid w:val="00637018"/>
    <w:rsid w:val="0063768F"/>
    <w:rsid w:val="006377A4"/>
    <w:rsid w:val="006379AD"/>
    <w:rsid w:val="00637B94"/>
    <w:rsid w:val="00637F7F"/>
    <w:rsid w:val="0064001F"/>
    <w:rsid w:val="006402A8"/>
    <w:rsid w:val="00640793"/>
    <w:rsid w:val="00640BB0"/>
    <w:rsid w:val="00640DD3"/>
    <w:rsid w:val="00641947"/>
    <w:rsid w:val="00641E38"/>
    <w:rsid w:val="00642610"/>
    <w:rsid w:val="006426BA"/>
    <w:rsid w:val="00642865"/>
    <w:rsid w:val="00642A18"/>
    <w:rsid w:val="00642BD3"/>
    <w:rsid w:val="00642F0A"/>
    <w:rsid w:val="0064360B"/>
    <w:rsid w:val="0064379B"/>
    <w:rsid w:val="006438C4"/>
    <w:rsid w:val="006438E6"/>
    <w:rsid w:val="00643DD2"/>
    <w:rsid w:val="00643E2A"/>
    <w:rsid w:val="00644637"/>
    <w:rsid w:val="006447F7"/>
    <w:rsid w:val="00644A19"/>
    <w:rsid w:val="00644B6D"/>
    <w:rsid w:val="00644DC8"/>
    <w:rsid w:val="00644E5C"/>
    <w:rsid w:val="00645580"/>
    <w:rsid w:val="0064630C"/>
    <w:rsid w:val="0064663C"/>
    <w:rsid w:val="006466B3"/>
    <w:rsid w:val="00646945"/>
    <w:rsid w:val="0064696E"/>
    <w:rsid w:val="00646A00"/>
    <w:rsid w:val="00646A20"/>
    <w:rsid w:val="00646EB9"/>
    <w:rsid w:val="00647037"/>
    <w:rsid w:val="00647892"/>
    <w:rsid w:val="006479FA"/>
    <w:rsid w:val="00647E09"/>
    <w:rsid w:val="006500FE"/>
    <w:rsid w:val="0065040E"/>
    <w:rsid w:val="006506F1"/>
    <w:rsid w:val="00650741"/>
    <w:rsid w:val="0065088D"/>
    <w:rsid w:val="00650FDA"/>
    <w:rsid w:val="006517CA"/>
    <w:rsid w:val="00651B00"/>
    <w:rsid w:val="00651D21"/>
    <w:rsid w:val="00651DDB"/>
    <w:rsid w:val="00651F43"/>
    <w:rsid w:val="0065252B"/>
    <w:rsid w:val="00652686"/>
    <w:rsid w:val="006526E8"/>
    <w:rsid w:val="00652918"/>
    <w:rsid w:val="00652D19"/>
    <w:rsid w:val="006531DA"/>
    <w:rsid w:val="006532C5"/>
    <w:rsid w:val="0065379C"/>
    <w:rsid w:val="006537B4"/>
    <w:rsid w:val="00653ADB"/>
    <w:rsid w:val="00653C41"/>
    <w:rsid w:val="00653C7F"/>
    <w:rsid w:val="00654395"/>
    <w:rsid w:val="006545A9"/>
    <w:rsid w:val="006557B0"/>
    <w:rsid w:val="00655CF5"/>
    <w:rsid w:val="0065606A"/>
    <w:rsid w:val="0065616E"/>
    <w:rsid w:val="00656B1F"/>
    <w:rsid w:val="00656B7A"/>
    <w:rsid w:val="00657071"/>
    <w:rsid w:val="00657454"/>
    <w:rsid w:val="0065788E"/>
    <w:rsid w:val="00657959"/>
    <w:rsid w:val="00657ABC"/>
    <w:rsid w:val="00657B87"/>
    <w:rsid w:val="00660521"/>
    <w:rsid w:val="0066093C"/>
    <w:rsid w:val="0066098E"/>
    <w:rsid w:val="006609CF"/>
    <w:rsid w:val="00660A70"/>
    <w:rsid w:val="00660BD6"/>
    <w:rsid w:val="00660FB2"/>
    <w:rsid w:val="00661154"/>
    <w:rsid w:val="00661164"/>
    <w:rsid w:val="006614AC"/>
    <w:rsid w:val="006615FB"/>
    <w:rsid w:val="006616F1"/>
    <w:rsid w:val="00661869"/>
    <w:rsid w:val="00661A02"/>
    <w:rsid w:val="00661C42"/>
    <w:rsid w:val="00661E8C"/>
    <w:rsid w:val="0066201C"/>
    <w:rsid w:val="00662095"/>
    <w:rsid w:val="006624D2"/>
    <w:rsid w:val="0066286F"/>
    <w:rsid w:val="006628F8"/>
    <w:rsid w:val="00662EF8"/>
    <w:rsid w:val="006632FB"/>
    <w:rsid w:val="006632FD"/>
    <w:rsid w:val="0066332B"/>
    <w:rsid w:val="006638D7"/>
    <w:rsid w:val="00663A8A"/>
    <w:rsid w:val="00663AD3"/>
    <w:rsid w:val="006647E5"/>
    <w:rsid w:val="0066484C"/>
    <w:rsid w:val="00664A35"/>
    <w:rsid w:val="00664CBF"/>
    <w:rsid w:val="00664FDD"/>
    <w:rsid w:val="0066525E"/>
    <w:rsid w:val="0066547B"/>
    <w:rsid w:val="006654F2"/>
    <w:rsid w:val="0066578A"/>
    <w:rsid w:val="00665910"/>
    <w:rsid w:val="00665DA5"/>
    <w:rsid w:val="00665DE1"/>
    <w:rsid w:val="00665F12"/>
    <w:rsid w:val="0066606C"/>
    <w:rsid w:val="0066613C"/>
    <w:rsid w:val="00666254"/>
    <w:rsid w:val="006668B4"/>
    <w:rsid w:val="00666E29"/>
    <w:rsid w:val="00666E71"/>
    <w:rsid w:val="00666E7D"/>
    <w:rsid w:val="00667232"/>
    <w:rsid w:val="006672E9"/>
    <w:rsid w:val="00667458"/>
    <w:rsid w:val="0066794F"/>
    <w:rsid w:val="00667A23"/>
    <w:rsid w:val="00667A51"/>
    <w:rsid w:val="006706CA"/>
    <w:rsid w:val="0067070A"/>
    <w:rsid w:val="006707E2"/>
    <w:rsid w:val="00670966"/>
    <w:rsid w:val="006709DE"/>
    <w:rsid w:val="00670D5A"/>
    <w:rsid w:val="00670E16"/>
    <w:rsid w:val="00670F6A"/>
    <w:rsid w:val="00671007"/>
    <w:rsid w:val="00671016"/>
    <w:rsid w:val="00671273"/>
    <w:rsid w:val="006712C0"/>
    <w:rsid w:val="0067148F"/>
    <w:rsid w:val="0067162F"/>
    <w:rsid w:val="00671C1A"/>
    <w:rsid w:val="0067214A"/>
    <w:rsid w:val="006724C6"/>
    <w:rsid w:val="00672959"/>
    <w:rsid w:val="00672C6F"/>
    <w:rsid w:val="00672F5C"/>
    <w:rsid w:val="0067390D"/>
    <w:rsid w:val="00673BD1"/>
    <w:rsid w:val="006740A8"/>
    <w:rsid w:val="006743BB"/>
    <w:rsid w:val="00674468"/>
    <w:rsid w:val="00674488"/>
    <w:rsid w:val="006744A7"/>
    <w:rsid w:val="00674716"/>
    <w:rsid w:val="00675031"/>
    <w:rsid w:val="00675881"/>
    <w:rsid w:val="00675A60"/>
    <w:rsid w:val="00675A79"/>
    <w:rsid w:val="00675BDB"/>
    <w:rsid w:val="00675F1A"/>
    <w:rsid w:val="00675F71"/>
    <w:rsid w:val="00676374"/>
    <w:rsid w:val="00676D89"/>
    <w:rsid w:val="0067727B"/>
    <w:rsid w:val="00677588"/>
    <w:rsid w:val="00677DF4"/>
    <w:rsid w:val="0068010D"/>
    <w:rsid w:val="006804C5"/>
    <w:rsid w:val="00680671"/>
    <w:rsid w:val="006809F1"/>
    <w:rsid w:val="00681146"/>
    <w:rsid w:val="006811A6"/>
    <w:rsid w:val="00681224"/>
    <w:rsid w:val="0068125F"/>
    <w:rsid w:val="006817D9"/>
    <w:rsid w:val="00681B0C"/>
    <w:rsid w:val="00681B7C"/>
    <w:rsid w:val="00681C2B"/>
    <w:rsid w:val="006827C8"/>
    <w:rsid w:val="00682A8E"/>
    <w:rsid w:val="00682BE3"/>
    <w:rsid w:val="00682C19"/>
    <w:rsid w:val="00682FEA"/>
    <w:rsid w:val="006831E5"/>
    <w:rsid w:val="0068348C"/>
    <w:rsid w:val="0068359A"/>
    <w:rsid w:val="006835D5"/>
    <w:rsid w:val="006839B5"/>
    <w:rsid w:val="00683A54"/>
    <w:rsid w:val="00683DCE"/>
    <w:rsid w:val="0068411B"/>
    <w:rsid w:val="006841CF"/>
    <w:rsid w:val="00684787"/>
    <w:rsid w:val="00684B70"/>
    <w:rsid w:val="00684B8E"/>
    <w:rsid w:val="00684FF2"/>
    <w:rsid w:val="00685287"/>
    <w:rsid w:val="00685493"/>
    <w:rsid w:val="00685560"/>
    <w:rsid w:val="006862C9"/>
    <w:rsid w:val="00686318"/>
    <w:rsid w:val="0068656A"/>
    <w:rsid w:val="006868CC"/>
    <w:rsid w:val="00686B81"/>
    <w:rsid w:val="00686FC0"/>
    <w:rsid w:val="00687119"/>
    <w:rsid w:val="006876EA"/>
    <w:rsid w:val="00687CCC"/>
    <w:rsid w:val="00687CEE"/>
    <w:rsid w:val="00687D4D"/>
    <w:rsid w:val="00690049"/>
    <w:rsid w:val="00690538"/>
    <w:rsid w:val="00690693"/>
    <w:rsid w:val="00690CB6"/>
    <w:rsid w:val="00690D11"/>
    <w:rsid w:val="00690D48"/>
    <w:rsid w:val="00690DFA"/>
    <w:rsid w:val="0069102D"/>
    <w:rsid w:val="006911AC"/>
    <w:rsid w:val="0069164A"/>
    <w:rsid w:val="006917E8"/>
    <w:rsid w:val="00691939"/>
    <w:rsid w:val="00691A15"/>
    <w:rsid w:val="00691B33"/>
    <w:rsid w:val="00692262"/>
    <w:rsid w:val="00692413"/>
    <w:rsid w:val="00692420"/>
    <w:rsid w:val="00692FDA"/>
    <w:rsid w:val="00693501"/>
    <w:rsid w:val="0069351C"/>
    <w:rsid w:val="00693BEF"/>
    <w:rsid w:val="00693F5F"/>
    <w:rsid w:val="0069409D"/>
    <w:rsid w:val="006941EB"/>
    <w:rsid w:val="0069437B"/>
    <w:rsid w:val="006945F5"/>
    <w:rsid w:val="00694603"/>
    <w:rsid w:val="00694839"/>
    <w:rsid w:val="006948BA"/>
    <w:rsid w:val="00694A88"/>
    <w:rsid w:val="00694B50"/>
    <w:rsid w:val="00694D0D"/>
    <w:rsid w:val="00694E97"/>
    <w:rsid w:val="00694EEE"/>
    <w:rsid w:val="00695097"/>
    <w:rsid w:val="006950D9"/>
    <w:rsid w:val="006958E8"/>
    <w:rsid w:val="00695955"/>
    <w:rsid w:val="00695983"/>
    <w:rsid w:val="00695AFA"/>
    <w:rsid w:val="00695C8A"/>
    <w:rsid w:val="006961A7"/>
    <w:rsid w:val="006962AF"/>
    <w:rsid w:val="006963F9"/>
    <w:rsid w:val="0069650C"/>
    <w:rsid w:val="00696AC8"/>
    <w:rsid w:val="00696CB9"/>
    <w:rsid w:val="00697330"/>
    <w:rsid w:val="006977E7"/>
    <w:rsid w:val="00697955"/>
    <w:rsid w:val="00697E2C"/>
    <w:rsid w:val="006A0875"/>
    <w:rsid w:val="006A1343"/>
    <w:rsid w:val="006A14FA"/>
    <w:rsid w:val="006A1E35"/>
    <w:rsid w:val="006A25BD"/>
    <w:rsid w:val="006A29AA"/>
    <w:rsid w:val="006A2A9B"/>
    <w:rsid w:val="006A30B9"/>
    <w:rsid w:val="006A3550"/>
    <w:rsid w:val="006A3668"/>
    <w:rsid w:val="006A379F"/>
    <w:rsid w:val="006A3949"/>
    <w:rsid w:val="006A3A82"/>
    <w:rsid w:val="006A3E1B"/>
    <w:rsid w:val="006A3F55"/>
    <w:rsid w:val="006A41B3"/>
    <w:rsid w:val="006A47B6"/>
    <w:rsid w:val="006A4CCE"/>
    <w:rsid w:val="006A5070"/>
    <w:rsid w:val="006A5507"/>
    <w:rsid w:val="006A5D45"/>
    <w:rsid w:val="006A61F7"/>
    <w:rsid w:val="006A66D5"/>
    <w:rsid w:val="006A66D9"/>
    <w:rsid w:val="006A6986"/>
    <w:rsid w:val="006A6BC8"/>
    <w:rsid w:val="006A720A"/>
    <w:rsid w:val="006A7C20"/>
    <w:rsid w:val="006A7C84"/>
    <w:rsid w:val="006A7EEA"/>
    <w:rsid w:val="006B0066"/>
    <w:rsid w:val="006B0148"/>
    <w:rsid w:val="006B05C5"/>
    <w:rsid w:val="006B0AED"/>
    <w:rsid w:val="006B138A"/>
    <w:rsid w:val="006B14BD"/>
    <w:rsid w:val="006B169A"/>
    <w:rsid w:val="006B1B07"/>
    <w:rsid w:val="006B2054"/>
    <w:rsid w:val="006B22CE"/>
    <w:rsid w:val="006B2735"/>
    <w:rsid w:val="006B2D1F"/>
    <w:rsid w:val="006B2D50"/>
    <w:rsid w:val="006B2E34"/>
    <w:rsid w:val="006B30A9"/>
    <w:rsid w:val="006B31D2"/>
    <w:rsid w:val="006B3269"/>
    <w:rsid w:val="006B350B"/>
    <w:rsid w:val="006B3532"/>
    <w:rsid w:val="006B3569"/>
    <w:rsid w:val="006B35A9"/>
    <w:rsid w:val="006B3BD8"/>
    <w:rsid w:val="006B41DC"/>
    <w:rsid w:val="006B42D7"/>
    <w:rsid w:val="006B485A"/>
    <w:rsid w:val="006B490E"/>
    <w:rsid w:val="006B4B37"/>
    <w:rsid w:val="006B55DE"/>
    <w:rsid w:val="006B5D42"/>
    <w:rsid w:val="006B5D43"/>
    <w:rsid w:val="006B5E2E"/>
    <w:rsid w:val="006B6009"/>
    <w:rsid w:val="006B64A1"/>
    <w:rsid w:val="006B64DD"/>
    <w:rsid w:val="006B662C"/>
    <w:rsid w:val="006B6637"/>
    <w:rsid w:val="006B66D1"/>
    <w:rsid w:val="006B67AA"/>
    <w:rsid w:val="006B69E0"/>
    <w:rsid w:val="006B6BCD"/>
    <w:rsid w:val="006B6C01"/>
    <w:rsid w:val="006B6C6F"/>
    <w:rsid w:val="006B6DDF"/>
    <w:rsid w:val="006B7095"/>
    <w:rsid w:val="006B72A6"/>
    <w:rsid w:val="006B7599"/>
    <w:rsid w:val="006B76C9"/>
    <w:rsid w:val="006B7B42"/>
    <w:rsid w:val="006B7EEA"/>
    <w:rsid w:val="006B7FD1"/>
    <w:rsid w:val="006C0089"/>
    <w:rsid w:val="006C0663"/>
    <w:rsid w:val="006C076F"/>
    <w:rsid w:val="006C0957"/>
    <w:rsid w:val="006C0A30"/>
    <w:rsid w:val="006C0B5A"/>
    <w:rsid w:val="006C0BA7"/>
    <w:rsid w:val="006C0D44"/>
    <w:rsid w:val="006C1249"/>
    <w:rsid w:val="006C17B0"/>
    <w:rsid w:val="006C1B07"/>
    <w:rsid w:val="006C2173"/>
    <w:rsid w:val="006C2456"/>
    <w:rsid w:val="006C2789"/>
    <w:rsid w:val="006C2B49"/>
    <w:rsid w:val="006C2B72"/>
    <w:rsid w:val="006C2C48"/>
    <w:rsid w:val="006C3199"/>
    <w:rsid w:val="006C34F5"/>
    <w:rsid w:val="006C374E"/>
    <w:rsid w:val="006C3787"/>
    <w:rsid w:val="006C3A42"/>
    <w:rsid w:val="006C3B85"/>
    <w:rsid w:val="006C3DC2"/>
    <w:rsid w:val="006C3FC8"/>
    <w:rsid w:val="006C456B"/>
    <w:rsid w:val="006C4599"/>
    <w:rsid w:val="006C482D"/>
    <w:rsid w:val="006C4D70"/>
    <w:rsid w:val="006C4F02"/>
    <w:rsid w:val="006C5051"/>
    <w:rsid w:val="006C53ED"/>
    <w:rsid w:val="006C55A0"/>
    <w:rsid w:val="006C5B54"/>
    <w:rsid w:val="006C5B6D"/>
    <w:rsid w:val="006C5BE3"/>
    <w:rsid w:val="006C5EDA"/>
    <w:rsid w:val="006C630D"/>
    <w:rsid w:val="006C6587"/>
    <w:rsid w:val="006C6760"/>
    <w:rsid w:val="006C6B00"/>
    <w:rsid w:val="006C6CF8"/>
    <w:rsid w:val="006C7051"/>
    <w:rsid w:val="006C71D5"/>
    <w:rsid w:val="006C737A"/>
    <w:rsid w:val="006C778F"/>
    <w:rsid w:val="006C7EF1"/>
    <w:rsid w:val="006D03E3"/>
    <w:rsid w:val="006D0488"/>
    <w:rsid w:val="006D0568"/>
    <w:rsid w:val="006D0900"/>
    <w:rsid w:val="006D10B6"/>
    <w:rsid w:val="006D12F5"/>
    <w:rsid w:val="006D1EB4"/>
    <w:rsid w:val="006D207B"/>
    <w:rsid w:val="006D2504"/>
    <w:rsid w:val="006D2728"/>
    <w:rsid w:val="006D275E"/>
    <w:rsid w:val="006D2B79"/>
    <w:rsid w:val="006D32CF"/>
    <w:rsid w:val="006D337F"/>
    <w:rsid w:val="006D33AA"/>
    <w:rsid w:val="006D34CA"/>
    <w:rsid w:val="006D3CDC"/>
    <w:rsid w:val="006D4120"/>
    <w:rsid w:val="006D4906"/>
    <w:rsid w:val="006D4B8E"/>
    <w:rsid w:val="006D4E3F"/>
    <w:rsid w:val="006D502E"/>
    <w:rsid w:val="006D5143"/>
    <w:rsid w:val="006D520E"/>
    <w:rsid w:val="006D5372"/>
    <w:rsid w:val="006D5FB0"/>
    <w:rsid w:val="006D6414"/>
    <w:rsid w:val="006D648E"/>
    <w:rsid w:val="006D65A1"/>
    <w:rsid w:val="006D6A53"/>
    <w:rsid w:val="006D6D14"/>
    <w:rsid w:val="006D6E9D"/>
    <w:rsid w:val="006D6EF9"/>
    <w:rsid w:val="006D79F7"/>
    <w:rsid w:val="006D7DFD"/>
    <w:rsid w:val="006E02D8"/>
    <w:rsid w:val="006E03DD"/>
    <w:rsid w:val="006E0414"/>
    <w:rsid w:val="006E04A2"/>
    <w:rsid w:val="006E09A5"/>
    <w:rsid w:val="006E09E4"/>
    <w:rsid w:val="006E0CA7"/>
    <w:rsid w:val="006E14FB"/>
    <w:rsid w:val="006E153F"/>
    <w:rsid w:val="006E159B"/>
    <w:rsid w:val="006E16F0"/>
    <w:rsid w:val="006E1770"/>
    <w:rsid w:val="006E17D3"/>
    <w:rsid w:val="006E1B1D"/>
    <w:rsid w:val="006E1F37"/>
    <w:rsid w:val="006E2AF4"/>
    <w:rsid w:val="006E2DF4"/>
    <w:rsid w:val="006E2F7A"/>
    <w:rsid w:val="006E31F4"/>
    <w:rsid w:val="006E367B"/>
    <w:rsid w:val="006E3712"/>
    <w:rsid w:val="006E3A73"/>
    <w:rsid w:val="006E3AEC"/>
    <w:rsid w:val="006E3C47"/>
    <w:rsid w:val="006E3C4D"/>
    <w:rsid w:val="006E3D4C"/>
    <w:rsid w:val="006E45BA"/>
    <w:rsid w:val="006E4EDF"/>
    <w:rsid w:val="006E4EE2"/>
    <w:rsid w:val="006E50F9"/>
    <w:rsid w:val="006E520D"/>
    <w:rsid w:val="006E5A65"/>
    <w:rsid w:val="006E5BEC"/>
    <w:rsid w:val="006E5C56"/>
    <w:rsid w:val="006E6042"/>
    <w:rsid w:val="006E6155"/>
    <w:rsid w:val="006E624A"/>
    <w:rsid w:val="006E6617"/>
    <w:rsid w:val="006E6AA4"/>
    <w:rsid w:val="006E726A"/>
    <w:rsid w:val="006E78D0"/>
    <w:rsid w:val="006E78FE"/>
    <w:rsid w:val="006E79B1"/>
    <w:rsid w:val="006E7EFE"/>
    <w:rsid w:val="006F023F"/>
    <w:rsid w:val="006F0358"/>
    <w:rsid w:val="006F077D"/>
    <w:rsid w:val="006F0861"/>
    <w:rsid w:val="006F0C18"/>
    <w:rsid w:val="006F1865"/>
    <w:rsid w:val="006F19A3"/>
    <w:rsid w:val="006F19F1"/>
    <w:rsid w:val="006F1CB1"/>
    <w:rsid w:val="006F1FB2"/>
    <w:rsid w:val="006F22C4"/>
    <w:rsid w:val="006F249D"/>
    <w:rsid w:val="006F26AA"/>
    <w:rsid w:val="006F2750"/>
    <w:rsid w:val="006F292B"/>
    <w:rsid w:val="006F2FCC"/>
    <w:rsid w:val="006F3112"/>
    <w:rsid w:val="006F31C1"/>
    <w:rsid w:val="006F361B"/>
    <w:rsid w:val="006F3AB1"/>
    <w:rsid w:val="006F3AB5"/>
    <w:rsid w:val="006F3AD3"/>
    <w:rsid w:val="006F3DE2"/>
    <w:rsid w:val="006F4087"/>
    <w:rsid w:val="006F431F"/>
    <w:rsid w:val="006F439E"/>
    <w:rsid w:val="006F44C7"/>
    <w:rsid w:val="006F4964"/>
    <w:rsid w:val="006F4AB2"/>
    <w:rsid w:val="006F4AE3"/>
    <w:rsid w:val="006F4B9E"/>
    <w:rsid w:val="006F4F57"/>
    <w:rsid w:val="006F52FA"/>
    <w:rsid w:val="006F58F5"/>
    <w:rsid w:val="006F5AB5"/>
    <w:rsid w:val="006F6144"/>
    <w:rsid w:val="006F6181"/>
    <w:rsid w:val="006F66AA"/>
    <w:rsid w:val="006F6968"/>
    <w:rsid w:val="006F6E54"/>
    <w:rsid w:val="006F731C"/>
    <w:rsid w:val="006F73F4"/>
    <w:rsid w:val="006F7785"/>
    <w:rsid w:val="006F778D"/>
    <w:rsid w:val="006F7E1E"/>
    <w:rsid w:val="0070020F"/>
    <w:rsid w:val="00700227"/>
    <w:rsid w:val="0070029B"/>
    <w:rsid w:val="0070030C"/>
    <w:rsid w:val="007007D7"/>
    <w:rsid w:val="00700909"/>
    <w:rsid w:val="0070097F"/>
    <w:rsid w:val="00700AC3"/>
    <w:rsid w:val="00700DE5"/>
    <w:rsid w:val="0070195B"/>
    <w:rsid w:val="00701BDC"/>
    <w:rsid w:val="00701CBC"/>
    <w:rsid w:val="00702124"/>
    <w:rsid w:val="007021DF"/>
    <w:rsid w:val="007025AA"/>
    <w:rsid w:val="007028D3"/>
    <w:rsid w:val="00702997"/>
    <w:rsid w:val="007029F9"/>
    <w:rsid w:val="00702E75"/>
    <w:rsid w:val="00702ED0"/>
    <w:rsid w:val="007030E1"/>
    <w:rsid w:val="0070355A"/>
    <w:rsid w:val="00703C40"/>
    <w:rsid w:val="00703F85"/>
    <w:rsid w:val="00704213"/>
    <w:rsid w:val="007042C2"/>
    <w:rsid w:val="00705231"/>
    <w:rsid w:val="007053CF"/>
    <w:rsid w:val="00705512"/>
    <w:rsid w:val="007055E6"/>
    <w:rsid w:val="00705638"/>
    <w:rsid w:val="0070586B"/>
    <w:rsid w:val="00705D55"/>
    <w:rsid w:val="0070608C"/>
    <w:rsid w:val="00706127"/>
    <w:rsid w:val="00706150"/>
    <w:rsid w:val="00706161"/>
    <w:rsid w:val="0070625C"/>
    <w:rsid w:val="00706373"/>
    <w:rsid w:val="00706382"/>
    <w:rsid w:val="0070642C"/>
    <w:rsid w:val="00706829"/>
    <w:rsid w:val="0070694D"/>
    <w:rsid w:val="00706ED9"/>
    <w:rsid w:val="007070BD"/>
    <w:rsid w:val="00707130"/>
    <w:rsid w:val="00707A6D"/>
    <w:rsid w:val="00707BA4"/>
    <w:rsid w:val="00707D93"/>
    <w:rsid w:val="00707DB7"/>
    <w:rsid w:val="00707FDD"/>
    <w:rsid w:val="00710321"/>
    <w:rsid w:val="00710636"/>
    <w:rsid w:val="0071081E"/>
    <w:rsid w:val="00710CF9"/>
    <w:rsid w:val="007112F4"/>
    <w:rsid w:val="0071166B"/>
    <w:rsid w:val="0071176D"/>
    <w:rsid w:val="00711992"/>
    <w:rsid w:val="00711AC9"/>
    <w:rsid w:val="00711B66"/>
    <w:rsid w:val="0071214E"/>
    <w:rsid w:val="0071218D"/>
    <w:rsid w:val="00713056"/>
    <w:rsid w:val="007145C4"/>
    <w:rsid w:val="00714964"/>
    <w:rsid w:val="00714A1F"/>
    <w:rsid w:val="00714DCE"/>
    <w:rsid w:val="00714F45"/>
    <w:rsid w:val="00715075"/>
    <w:rsid w:val="00715125"/>
    <w:rsid w:val="007152F6"/>
    <w:rsid w:val="00715AFD"/>
    <w:rsid w:val="00715C5C"/>
    <w:rsid w:val="00715FED"/>
    <w:rsid w:val="00716203"/>
    <w:rsid w:val="007163BD"/>
    <w:rsid w:val="007164BB"/>
    <w:rsid w:val="00716C61"/>
    <w:rsid w:val="007171AB"/>
    <w:rsid w:val="00717382"/>
    <w:rsid w:val="0071798F"/>
    <w:rsid w:val="0071799E"/>
    <w:rsid w:val="0072002B"/>
    <w:rsid w:val="007203A0"/>
    <w:rsid w:val="007204B0"/>
    <w:rsid w:val="0072051E"/>
    <w:rsid w:val="0072068F"/>
    <w:rsid w:val="007206B2"/>
    <w:rsid w:val="007206CA"/>
    <w:rsid w:val="00720874"/>
    <w:rsid w:val="00720D19"/>
    <w:rsid w:val="00720F0A"/>
    <w:rsid w:val="00720F0E"/>
    <w:rsid w:val="0072104C"/>
    <w:rsid w:val="007210A1"/>
    <w:rsid w:val="0072112E"/>
    <w:rsid w:val="00721404"/>
    <w:rsid w:val="007217F8"/>
    <w:rsid w:val="00721AFD"/>
    <w:rsid w:val="007222AE"/>
    <w:rsid w:val="00722344"/>
    <w:rsid w:val="00722515"/>
    <w:rsid w:val="00722533"/>
    <w:rsid w:val="00722BF7"/>
    <w:rsid w:val="00722EB8"/>
    <w:rsid w:val="00722FC6"/>
    <w:rsid w:val="00723011"/>
    <w:rsid w:val="007231C4"/>
    <w:rsid w:val="0072389C"/>
    <w:rsid w:val="00723915"/>
    <w:rsid w:val="00723992"/>
    <w:rsid w:val="00723B6D"/>
    <w:rsid w:val="00724119"/>
    <w:rsid w:val="007241CD"/>
    <w:rsid w:val="007244E6"/>
    <w:rsid w:val="00724635"/>
    <w:rsid w:val="0072472D"/>
    <w:rsid w:val="007248EC"/>
    <w:rsid w:val="00724D33"/>
    <w:rsid w:val="00724E78"/>
    <w:rsid w:val="00724EBE"/>
    <w:rsid w:val="007256CC"/>
    <w:rsid w:val="007256F4"/>
    <w:rsid w:val="00725785"/>
    <w:rsid w:val="007259C1"/>
    <w:rsid w:val="00725B78"/>
    <w:rsid w:val="00725D29"/>
    <w:rsid w:val="00725E22"/>
    <w:rsid w:val="0072639D"/>
    <w:rsid w:val="007263A6"/>
    <w:rsid w:val="00726455"/>
    <w:rsid w:val="007269F8"/>
    <w:rsid w:val="00726B4A"/>
    <w:rsid w:val="00726C6E"/>
    <w:rsid w:val="00726D79"/>
    <w:rsid w:val="00726EA1"/>
    <w:rsid w:val="00726EA7"/>
    <w:rsid w:val="00726EFD"/>
    <w:rsid w:val="007273B4"/>
    <w:rsid w:val="00727507"/>
    <w:rsid w:val="007279CE"/>
    <w:rsid w:val="00727AB1"/>
    <w:rsid w:val="00727B8B"/>
    <w:rsid w:val="00727D82"/>
    <w:rsid w:val="00730325"/>
    <w:rsid w:val="00730441"/>
    <w:rsid w:val="0073050E"/>
    <w:rsid w:val="007306C7"/>
    <w:rsid w:val="00730C2C"/>
    <w:rsid w:val="00730F21"/>
    <w:rsid w:val="00730FB9"/>
    <w:rsid w:val="00731086"/>
    <w:rsid w:val="00731454"/>
    <w:rsid w:val="0073157D"/>
    <w:rsid w:val="007318D0"/>
    <w:rsid w:val="00731DC9"/>
    <w:rsid w:val="00732004"/>
    <w:rsid w:val="0073238F"/>
    <w:rsid w:val="00732C1D"/>
    <w:rsid w:val="00732CC0"/>
    <w:rsid w:val="00732D4B"/>
    <w:rsid w:val="00732DFC"/>
    <w:rsid w:val="00733002"/>
    <w:rsid w:val="007331ED"/>
    <w:rsid w:val="00733485"/>
    <w:rsid w:val="00733A7D"/>
    <w:rsid w:val="00733BE3"/>
    <w:rsid w:val="00733FCC"/>
    <w:rsid w:val="007345BA"/>
    <w:rsid w:val="007346DD"/>
    <w:rsid w:val="00734EC5"/>
    <w:rsid w:val="007353FC"/>
    <w:rsid w:val="00735A46"/>
    <w:rsid w:val="00735B91"/>
    <w:rsid w:val="007361AE"/>
    <w:rsid w:val="007362BA"/>
    <w:rsid w:val="0073664E"/>
    <w:rsid w:val="00736780"/>
    <w:rsid w:val="00736D79"/>
    <w:rsid w:val="00736F13"/>
    <w:rsid w:val="0073764A"/>
    <w:rsid w:val="007377F1"/>
    <w:rsid w:val="0073786B"/>
    <w:rsid w:val="00737E79"/>
    <w:rsid w:val="007405B8"/>
    <w:rsid w:val="007406BD"/>
    <w:rsid w:val="007407E6"/>
    <w:rsid w:val="00740923"/>
    <w:rsid w:val="00740C45"/>
    <w:rsid w:val="00740EDB"/>
    <w:rsid w:val="0074151D"/>
    <w:rsid w:val="007418C3"/>
    <w:rsid w:val="007419B6"/>
    <w:rsid w:val="00742037"/>
    <w:rsid w:val="007422A7"/>
    <w:rsid w:val="00742304"/>
    <w:rsid w:val="007424EF"/>
    <w:rsid w:val="007424F6"/>
    <w:rsid w:val="007425A2"/>
    <w:rsid w:val="007434D8"/>
    <w:rsid w:val="00743596"/>
    <w:rsid w:val="0074372A"/>
    <w:rsid w:val="00743786"/>
    <w:rsid w:val="007438E6"/>
    <w:rsid w:val="00743CAE"/>
    <w:rsid w:val="00743DB2"/>
    <w:rsid w:val="00744603"/>
    <w:rsid w:val="0074469D"/>
    <w:rsid w:val="0074489F"/>
    <w:rsid w:val="007448E9"/>
    <w:rsid w:val="0074499D"/>
    <w:rsid w:val="00744BC2"/>
    <w:rsid w:val="00744D9F"/>
    <w:rsid w:val="0074518B"/>
    <w:rsid w:val="0074522A"/>
    <w:rsid w:val="00745765"/>
    <w:rsid w:val="007457CF"/>
    <w:rsid w:val="0074596B"/>
    <w:rsid w:val="00745ABF"/>
    <w:rsid w:val="007460F8"/>
    <w:rsid w:val="00746169"/>
    <w:rsid w:val="0074617D"/>
    <w:rsid w:val="00746243"/>
    <w:rsid w:val="0074656A"/>
    <w:rsid w:val="007465A6"/>
    <w:rsid w:val="00746611"/>
    <w:rsid w:val="0074664E"/>
    <w:rsid w:val="0074681D"/>
    <w:rsid w:val="00746D09"/>
    <w:rsid w:val="00746E80"/>
    <w:rsid w:val="00747205"/>
    <w:rsid w:val="00747645"/>
    <w:rsid w:val="00747F6A"/>
    <w:rsid w:val="007505A1"/>
    <w:rsid w:val="00750E44"/>
    <w:rsid w:val="007517D5"/>
    <w:rsid w:val="00751943"/>
    <w:rsid w:val="007519FD"/>
    <w:rsid w:val="00751A50"/>
    <w:rsid w:val="00751C2C"/>
    <w:rsid w:val="0075274A"/>
    <w:rsid w:val="00752BD2"/>
    <w:rsid w:val="00752BDF"/>
    <w:rsid w:val="00752EE1"/>
    <w:rsid w:val="0075321B"/>
    <w:rsid w:val="0075326A"/>
    <w:rsid w:val="00753363"/>
    <w:rsid w:val="007533F9"/>
    <w:rsid w:val="00753A83"/>
    <w:rsid w:val="00753BC2"/>
    <w:rsid w:val="00753F0A"/>
    <w:rsid w:val="00753F96"/>
    <w:rsid w:val="007541B2"/>
    <w:rsid w:val="00754257"/>
    <w:rsid w:val="007543FF"/>
    <w:rsid w:val="00754706"/>
    <w:rsid w:val="00754C45"/>
    <w:rsid w:val="00754C56"/>
    <w:rsid w:val="00754D1A"/>
    <w:rsid w:val="00754D62"/>
    <w:rsid w:val="00754E92"/>
    <w:rsid w:val="00754F65"/>
    <w:rsid w:val="00755032"/>
    <w:rsid w:val="00755431"/>
    <w:rsid w:val="00755B23"/>
    <w:rsid w:val="00755C3F"/>
    <w:rsid w:val="00755EEF"/>
    <w:rsid w:val="007560BD"/>
    <w:rsid w:val="00756C64"/>
    <w:rsid w:val="00756E1E"/>
    <w:rsid w:val="00756E27"/>
    <w:rsid w:val="00756F01"/>
    <w:rsid w:val="00756F8C"/>
    <w:rsid w:val="00757B9C"/>
    <w:rsid w:val="00757E7D"/>
    <w:rsid w:val="00760131"/>
    <w:rsid w:val="00760322"/>
    <w:rsid w:val="007606DF"/>
    <w:rsid w:val="007607A2"/>
    <w:rsid w:val="00760870"/>
    <w:rsid w:val="00760902"/>
    <w:rsid w:val="00760A4A"/>
    <w:rsid w:val="007613A3"/>
    <w:rsid w:val="007613D0"/>
    <w:rsid w:val="00761470"/>
    <w:rsid w:val="00761493"/>
    <w:rsid w:val="00761A93"/>
    <w:rsid w:val="00761AB8"/>
    <w:rsid w:val="00761AE1"/>
    <w:rsid w:val="00761B5E"/>
    <w:rsid w:val="00761DAD"/>
    <w:rsid w:val="00762061"/>
    <w:rsid w:val="007620BF"/>
    <w:rsid w:val="007620F4"/>
    <w:rsid w:val="0076298B"/>
    <w:rsid w:val="00762B98"/>
    <w:rsid w:val="00762BB9"/>
    <w:rsid w:val="00762E70"/>
    <w:rsid w:val="00762F62"/>
    <w:rsid w:val="0076305A"/>
    <w:rsid w:val="00763C3A"/>
    <w:rsid w:val="0076480F"/>
    <w:rsid w:val="00764909"/>
    <w:rsid w:val="007649CB"/>
    <w:rsid w:val="00764A4F"/>
    <w:rsid w:val="00764B31"/>
    <w:rsid w:val="00764BE5"/>
    <w:rsid w:val="00764F2B"/>
    <w:rsid w:val="00765002"/>
    <w:rsid w:val="00765351"/>
    <w:rsid w:val="007653F4"/>
    <w:rsid w:val="00765724"/>
    <w:rsid w:val="00765933"/>
    <w:rsid w:val="00765C84"/>
    <w:rsid w:val="00765F6D"/>
    <w:rsid w:val="007661D5"/>
    <w:rsid w:val="00766257"/>
    <w:rsid w:val="0076692C"/>
    <w:rsid w:val="00766975"/>
    <w:rsid w:val="00766C1A"/>
    <w:rsid w:val="00766C69"/>
    <w:rsid w:val="00766F93"/>
    <w:rsid w:val="0076700E"/>
    <w:rsid w:val="0076717F"/>
    <w:rsid w:val="007672C8"/>
    <w:rsid w:val="00767D25"/>
    <w:rsid w:val="0077005B"/>
    <w:rsid w:val="0077079C"/>
    <w:rsid w:val="0077093F"/>
    <w:rsid w:val="007709D7"/>
    <w:rsid w:val="00770A64"/>
    <w:rsid w:val="00770B61"/>
    <w:rsid w:val="007710C9"/>
    <w:rsid w:val="007710EF"/>
    <w:rsid w:val="00771A99"/>
    <w:rsid w:val="00771AD6"/>
    <w:rsid w:val="00771BC4"/>
    <w:rsid w:val="00771C41"/>
    <w:rsid w:val="0077215F"/>
    <w:rsid w:val="0077268E"/>
    <w:rsid w:val="00772DA8"/>
    <w:rsid w:val="00772F1B"/>
    <w:rsid w:val="00772FE5"/>
    <w:rsid w:val="0077326B"/>
    <w:rsid w:val="007732C6"/>
    <w:rsid w:val="00773EE0"/>
    <w:rsid w:val="007742E3"/>
    <w:rsid w:val="0077485E"/>
    <w:rsid w:val="00774E5F"/>
    <w:rsid w:val="00774F6E"/>
    <w:rsid w:val="0077563D"/>
    <w:rsid w:val="0077572F"/>
    <w:rsid w:val="00775A91"/>
    <w:rsid w:val="00775ADA"/>
    <w:rsid w:val="00775B69"/>
    <w:rsid w:val="00775BF5"/>
    <w:rsid w:val="0077632E"/>
    <w:rsid w:val="007765FA"/>
    <w:rsid w:val="00776919"/>
    <w:rsid w:val="00776DCE"/>
    <w:rsid w:val="007770C2"/>
    <w:rsid w:val="00777123"/>
    <w:rsid w:val="00777158"/>
    <w:rsid w:val="0077778D"/>
    <w:rsid w:val="007777A4"/>
    <w:rsid w:val="00777BB2"/>
    <w:rsid w:val="00780203"/>
    <w:rsid w:val="007808FD"/>
    <w:rsid w:val="00780E8E"/>
    <w:rsid w:val="00780EB9"/>
    <w:rsid w:val="007815FF"/>
    <w:rsid w:val="00781BCB"/>
    <w:rsid w:val="00781E53"/>
    <w:rsid w:val="00782001"/>
    <w:rsid w:val="007821BF"/>
    <w:rsid w:val="00782446"/>
    <w:rsid w:val="007824F7"/>
    <w:rsid w:val="00782982"/>
    <w:rsid w:val="00782E70"/>
    <w:rsid w:val="00782EBF"/>
    <w:rsid w:val="00782FBF"/>
    <w:rsid w:val="007837E1"/>
    <w:rsid w:val="00783B7B"/>
    <w:rsid w:val="00783BD6"/>
    <w:rsid w:val="00783D28"/>
    <w:rsid w:val="00784165"/>
    <w:rsid w:val="007847AC"/>
    <w:rsid w:val="007849B7"/>
    <w:rsid w:val="00784D48"/>
    <w:rsid w:val="00784EC6"/>
    <w:rsid w:val="00785324"/>
    <w:rsid w:val="00785B95"/>
    <w:rsid w:val="00785BE6"/>
    <w:rsid w:val="00785D05"/>
    <w:rsid w:val="0078604E"/>
    <w:rsid w:val="0078609F"/>
    <w:rsid w:val="0078636C"/>
    <w:rsid w:val="00786AA3"/>
    <w:rsid w:val="00786AA8"/>
    <w:rsid w:val="00786B7F"/>
    <w:rsid w:val="00786BAD"/>
    <w:rsid w:val="00786E1D"/>
    <w:rsid w:val="0078B9D3"/>
    <w:rsid w:val="007901D7"/>
    <w:rsid w:val="00790629"/>
    <w:rsid w:val="00790688"/>
    <w:rsid w:val="00791219"/>
    <w:rsid w:val="0079170D"/>
    <w:rsid w:val="007917A8"/>
    <w:rsid w:val="00791B2A"/>
    <w:rsid w:val="00792242"/>
    <w:rsid w:val="00792897"/>
    <w:rsid w:val="00792979"/>
    <w:rsid w:val="00792CCC"/>
    <w:rsid w:val="00793025"/>
    <w:rsid w:val="007933FA"/>
    <w:rsid w:val="007935C3"/>
    <w:rsid w:val="00793626"/>
    <w:rsid w:val="00793691"/>
    <w:rsid w:val="00793818"/>
    <w:rsid w:val="00793894"/>
    <w:rsid w:val="00793C5C"/>
    <w:rsid w:val="0079458D"/>
    <w:rsid w:val="0079460D"/>
    <w:rsid w:val="00794D31"/>
    <w:rsid w:val="00794DB9"/>
    <w:rsid w:val="00795477"/>
    <w:rsid w:val="00795A2F"/>
    <w:rsid w:val="00795A95"/>
    <w:rsid w:val="00795DD4"/>
    <w:rsid w:val="0079607A"/>
    <w:rsid w:val="007968F8"/>
    <w:rsid w:val="00796AA3"/>
    <w:rsid w:val="00796FC4"/>
    <w:rsid w:val="00797037"/>
    <w:rsid w:val="0079749A"/>
    <w:rsid w:val="00797561"/>
    <w:rsid w:val="007975D0"/>
    <w:rsid w:val="007977CD"/>
    <w:rsid w:val="00797A4D"/>
    <w:rsid w:val="00797C6B"/>
    <w:rsid w:val="007A01C8"/>
    <w:rsid w:val="007A02A6"/>
    <w:rsid w:val="007A04B0"/>
    <w:rsid w:val="007A053F"/>
    <w:rsid w:val="007A06D7"/>
    <w:rsid w:val="007A0B95"/>
    <w:rsid w:val="007A0C0E"/>
    <w:rsid w:val="007A1727"/>
    <w:rsid w:val="007A196F"/>
    <w:rsid w:val="007A19A8"/>
    <w:rsid w:val="007A1D5B"/>
    <w:rsid w:val="007A1F94"/>
    <w:rsid w:val="007A250C"/>
    <w:rsid w:val="007A26F5"/>
    <w:rsid w:val="007A27F5"/>
    <w:rsid w:val="007A32D7"/>
    <w:rsid w:val="007A3378"/>
    <w:rsid w:val="007A33DE"/>
    <w:rsid w:val="007A3465"/>
    <w:rsid w:val="007A3C04"/>
    <w:rsid w:val="007A429E"/>
    <w:rsid w:val="007A45A4"/>
    <w:rsid w:val="007A4EDE"/>
    <w:rsid w:val="007A4FF8"/>
    <w:rsid w:val="007A5099"/>
    <w:rsid w:val="007A50F7"/>
    <w:rsid w:val="007A53D3"/>
    <w:rsid w:val="007A55AB"/>
    <w:rsid w:val="007A5AC9"/>
    <w:rsid w:val="007A5CE5"/>
    <w:rsid w:val="007A5E4D"/>
    <w:rsid w:val="007A5F78"/>
    <w:rsid w:val="007A6050"/>
    <w:rsid w:val="007A6186"/>
    <w:rsid w:val="007A6291"/>
    <w:rsid w:val="007A6367"/>
    <w:rsid w:val="007A63D2"/>
    <w:rsid w:val="007A6B98"/>
    <w:rsid w:val="007A6F75"/>
    <w:rsid w:val="007A7221"/>
    <w:rsid w:val="007A72FD"/>
    <w:rsid w:val="007A74E0"/>
    <w:rsid w:val="007B0110"/>
    <w:rsid w:val="007B0270"/>
    <w:rsid w:val="007B06BE"/>
    <w:rsid w:val="007B0AA9"/>
    <w:rsid w:val="007B1352"/>
    <w:rsid w:val="007B14BC"/>
    <w:rsid w:val="007B156A"/>
    <w:rsid w:val="007B197F"/>
    <w:rsid w:val="007B1DE9"/>
    <w:rsid w:val="007B224E"/>
    <w:rsid w:val="007B29D6"/>
    <w:rsid w:val="007B2A79"/>
    <w:rsid w:val="007B2F01"/>
    <w:rsid w:val="007B2F1B"/>
    <w:rsid w:val="007B2F88"/>
    <w:rsid w:val="007B3232"/>
    <w:rsid w:val="007B33C3"/>
    <w:rsid w:val="007B36B3"/>
    <w:rsid w:val="007B37C6"/>
    <w:rsid w:val="007B3818"/>
    <w:rsid w:val="007B3959"/>
    <w:rsid w:val="007B3B05"/>
    <w:rsid w:val="007B3B90"/>
    <w:rsid w:val="007B3CD0"/>
    <w:rsid w:val="007B3F4E"/>
    <w:rsid w:val="007B407E"/>
    <w:rsid w:val="007B4379"/>
    <w:rsid w:val="007B4904"/>
    <w:rsid w:val="007B516E"/>
    <w:rsid w:val="007B53AC"/>
    <w:rsid w:val="007B544F"/>
    <w:rsid w:val="007B5542"/>
    <w:rsid w:val="007B560B"/>
    <w:rsid w:val="007B5C48"/>
    <w:rsid w:val="007B5C97"/>
    <w:rsid w:val="007B6597"/>
    <w:rsid w:val="007B66D0"/>
    <w:rsid w:val="007B6A45"/>
    <w:rsid w:val="007B6C99"/>
    <w:rsid w:val="007B70FB"/>
    <w:rsid w:val="007B71A5"/>
    <w:rsid w:val="007B727A"/>
    <w:rsid w:val="007B7BEA"/>
    <w:rsid w:val="007B7BEB"/>
    <w:rsid w:val="007C035D"/>
    <w:rsid w:val="007C03B2"/>
    <w:rsid w:val="007C03BC"/>
    <w:rsid w:val="007C0509"/>
    <w:rsid w:val="007C06A8"/>
    <w:rsid w:val="007C08E5"/>
    <w:rsid w:val="007C0908"/>
    <w:rsid w:val="007C097A"/>
    <w:rsid w:val="007C0E85"/>
    <w:rsid w:val="007C13A9"/>
    <w:rsid w:val="007C1482"/>
    <w:rsid w:val="007C171F"/>
    <w:rsid w:val="007C189D"/>
    <w:rsid w:val="007C1EAF"/>
    <w:rsid w:val="007C218A"/>
    <w:rsid w:val="007C2555"/>
    <w:rsid w:val="007C2659"/>
    <w:rsid w:val="007C29E4"/>
    <w:rsid w:val="007C2D1D"/>
    <w:rsid w:val="007C3020"/>
    <w:rsid w:val="007C3117"/>
    <w:rsid w:val="007C3644"/>
    <w:rsid w:val="007C3E4E"/>
    <w:rsid w:val="007C3F1F"/>
    <w:rsid w:val="007C3F86"/>
    <w:rsid w:val="007C4154"/>
    <w:rsid w:val="007C42E1"/>
    <w:rsid w:val="007C4735"/>
    <w:rsid w:val="007C48C9"/>
    <w:rsid w:val="007C4DD5"/>
    <w:rsid w:val="007C5664"/>
    <w:rsid w:val="007C5CFD"/>
    <w:rsid w:val="007C6108"/>
    <w:rsid w:val="007C647F"/>
    <w:rsid w:val="007C64BB"/>
    <w:rsid w:val="007C65E3"/>
    <w:rsid w:val="007C6744"/>
    <w:rsid w:val="007C6825"/>
    <w:rsid w:val="007C68AA"/>
    <w:rsid w:val="007C695B"/>
    <w:rsid w:val="007C69EE"/>
    <w:rsid w:val="007C6B13"/>
    <w:rsid w:val="007C6C86"/>
    <w:rsid w:val="007C6F21"/>
    <w:rsid w:val="007C750A"/>
    <w:rsid w:val="007C76AF"/>
    <w:rsid w:val="007C7AB1"/>
    <w:rsid w:val="007C7AC3"/>
    <w:rsid w:val="007D00E1"/>
    <w:rsid w:val="007D02BE"/>
    <w:rsid w:val="007D0409"/>
    <w:rsid w:val="007D0657"/>
    <w:rsid w:val="007D078F"/>
    <w:rsid w:val="007D0826"/>
    <w:rsid w:val="007D0D97"/>
    <w:rsid w:val="007D0DF3"/>
    <w:rsid w:val="007D1376"/>
    <w:rsid w:val="007D1DF6"/>
    <w:rsid w:val="007D1E08"/>
    <w:rsid w:val="007D1EB9"/>
    <w:rsid w:val="007D1FA3"/>
    <w:rsid w:val="007D1FB2"/>
    <w:rsid w:val="007D223E"/>
    <w:rsid w:val="007D227F"/>
    <w:rsid w:val="007D2327"/>
    <w:rsid w:val="007D2394"/>
    <w:rsid w:val="007D2C48"/>
    <w:rsid w:val="007D2FDA"/>
    <w:rsid w:val="007D328E"/>
    <w:rsid w:val="007D3462"/>
    <w:rsid w:val="007D351E"/>
    <w:rsid w:val="007D39AC"/>
    <w:rsid w:val="007D3B69"/>
    <w:rsid w:val="007D3E45"/>
    <w:rsid w:val="007D47AD"/>
    <w:rsid w:val="007D4849"/>
    <w:rsid w:val="007D487D"/>
    <w:rsid w:val="007D4CDE"/>
    <w:rsid w:val="007D4D6E"/>
    <w:rsid w:val="007D4DE6"/>
    <w:rsid w:val="007D5032"/>
    <w:rsid w:val="007D51DA"/>
    <w:rsid w:val="007D5201"/>
    <w:rsid w:val="007D5385"/>
    <w:rsid w:val="007D56B7"/>
    <w:rsid w:val="007D5945"/>
    <w:rsid w:val="007D5A39"/>
    <w:rsid w:val="007D5EC1"/>
    <w:rsid w:val="007D606C"/>
    <w:rsid w:val="007D6494"/>
    <w:rsid w:val="007D652E"/>
    <w:rsid w:val="007D6B25"/>
    <w:rsid w:val="007D6BB8"/>
    <w:rsid w:val="007D74A7"/>
    <w:rsid w:val="007D752E"/>
    <w:rsid w:val="007D7C3E"/>
    <w:rsid w:val="007D7D09"/>
    <w:rsid w:val="007D7DF1"/>
    <w:rsid w:val="007D7E61"/>
    <w:rsid w:val="007E029F"/>
    <w:rsid w:val="007E035D"/>
    <w:rsid w:val="007E038C"/>
    <w:rsid w:val="007E043A"/>
    <w:rsid w:val="007E0656"/>
    <w:rsid w:val="007E07B4"/>
    <w:rsid w:val="007E0AB2"/>
    <w:rsid w:val="007E0BD5"/>
    <w:rsid w:val="007E101A"/>
    <w:rsid w:val="007E1BB6"/>
    <w:rsid w:val="007E1F22"/>
    <w:rsid w:val="007E21BF"/>
    <w:rsid w:val="007E2274"/>
    <w:rsid w:val="007E26D6"/>
    <w:rsid w:val="007E274F"/>
    <w:rsid w:val="007E2E5A"/>
    <w:rsid w:val="007E301F"/>
    <w:rsid w:val="007E313B"/>
    <w:rsid w:val="007E314F"/>
    <w:rsid w:val="007E327A"/>
    <w:rsid w:val="007E3341"/>
    <w:rsid w:val="007E3380"/>
    <w:rsid w:val="007E364B"/>
    <w:rsid w:val="007E3FE4"/>
    <w:rsid w:val="007E404B"/>
    <w:rsid w:val="007E4199"/>
    <w:rsid w:val="007E4B07"/>
    <w:rsid w:val="007E531A"/>
    <w:rsid w:val="007E53C2"/>
    <w:rsid w:val="007E564E"/>
    <w:rsid w:val="007E572E"/>
    <w:rsid w:val="007E5EB6"/>
    <w:rsid w:val="007E6B2D"/>
    <w:rsid w:val="007E7189"/>
    <w:rsid w:val="007E7370"/>
    <w:rsid w:val="007E7703"/>
    <w:rsid w:val="007E7797"/>
    <w:rsid w:val="007E7EE3"/>
    <w:rsid w:val="007E7EED"/>
    <w:rsid w:val="007F068D"/>
    <w:rsid w:val="007F0934"/>
    <w:rsid w:val="007F09F2"/>
    <w:rsid w:val="007F0CC1"/>
    <w:rsid w:val="007F1120"/>
    <w:rsid w:val="007F1422"/>
    <w:rsid w:val="007F1517"/>
    <w:rsid w:val="007F1834"/>
    <w:rsid w:val="007F1F07"/>
    <w:rsid w:val="007F2280"/>
    <w:rsid w:val="007F316E"/>
    <w:rsid w:val="007F31EB"/>
    <w:rsid w:val="007F345C"/>
    <w:rsid w:val="007F3506"/>
    <w:rsid w:val="007F3638"/>
    <w:rsid w:val="007F3890"/>
    <w:rsid w:val="007F3C21"/>
    <w:rsid w:val="007F4220"/>
    <w:rsid w:val="007F4265"/>
    <w:rsid w:val="007F4765"/>
    <w:rsid w:val="007F4AF3"/>
    <w:rsid w:val="007F5046"/>
    <w:rsid w:val="007F534F"/>
    <w:rsid w:val="007F5515"/>
    <w:rsid w:val="007F56E0"/>
    <w:rsid w:val="007F5AB2"/>
    <w:rsid w:val="007F5ABF"/>
    <w:rsid w:val="007F5B40"/>
    <w:rsid w:val="007F5E9E"/>
    <w:rsid w:val="007F5FF0"/>
    <w:rsid w:val="007F6509"/>
    <w:rsid w:val="007F692B"/>
    <w:rsid w:val="007F699E"/>
    <w:rsid w:val="007F6D7A"/>
    <w:rsid w:val="007F6F26"/>
    <w:rsid w:val="007F750F"/>
    <w:rsid w:val="007F76CE"/>
    <w:rsid w:val="007F7B9C"/>
    <w:rsid w:val="007F7B9E"/>
    <w:rsid w:val="007F7E17"/>
    <w:rsid w:val="007F7FA9"/>
    <w:rsid w:val="007F7FB8"/>
    <w:rsid w:val="0080010C"/>
    <w:rsid w:val="00800276"/>
    <w:rsid w:val="00800AA0"/>
    <w:rsid w:val="00800B4E"/>
    <w:rsid w:val="00801329"/>
    <w:rsid w:val="0080159A"/>
    <w:rsid w:val="00801F76"/>
    <w:rsid w:val="008021BE"/>
    <w:rsid w:val="0080257D"/>
    <w:rsid w:val="008025F9"/>
    <w:rsid w:val="0080278D"/>
    <w:rsid w:val="0080296A"/>
    <w:rsid w:val="00802F4D"/>
    <w:rsid w:val="00802FF3"/>
    <w:rsid w:val="00803080"/>
    <w:rsid w:val="0080314D"/>
    <w:rsid w:val="00803799"/>
    <w:rsid w:val="008039D0"/>
    <w:rsid w:val="00803E8B"/>
    <w:rsid w:val="00803FB9"/>
    <w:rsid w:val="00804B66"/>
    <w:rsid w:val="00804DC9"/>
    <w:rsid w:val="008050C5"/>
    <w:rsid w:val="0080517B"/>
    <w:rsid w:val="008052A1"/>
    <w:rsid w:val="0080557A"/>
    <w:rsid w:val="00805D95"/>
    <w:rsid w:val="00805E17"/>
    <w:rsid w:val="00805E3B"/>
    <w:rsid w:val="00805F4C"/>
    <w:rsid w:val="00805F96"/>
    <w:rsid w:val="00806266"/>
    <w:rsid w:val="008062B6"/>
    <w:rsid w:val="00806800"/>
    <w:rsid w:val="00806952"/>
    <w:rsid w:val="00806CCE"/>
    <w:rsid w:val="00806CFB"/>
    <w:rsid w:val="00806E02"/>
    <w:rsid w:val="00806F4D"/>
    <w:rsid w:val="008072EA"/>
    <w:rsid w:val="00807973"/>
    <w:rsid w:val="00807A36"/>
    <w:rsid w:val="00807AEF"/>
    <w:rsid w:val="00807D31"/>
    <w:rsid w:val="00810391"/>
    <w:rsid w:val="00810794"/>
    <w:rsid w:val="00810AB1"/>
    <w:rsid w:val="008110F7"/>
    <w:rsid w:val="00811160"/>
    <w:rsid w:val="00811238"/>
    <w:rsid w:val="00811590"/>
    <w:rsid w:val="00811DB5"/>
    <w:rsid w:val="00812B98"/>
    <w:rsid w:val="00812FCD"/>
    <w:rsid w:val="00813077"/>
    <w:rsid w:val="0081328A"/>
    <w:rsid w:val="00813463"/>
    <w:rsid w:val="0081382E"/>
    <w:rsid w:val="00813912"/>
    <w:rsid w:val="0081392D"/>
    <w:rsid w:val="0081399E"/>
    <w:rsid w:val="00813CD1"/>
    <w:rsid w:val="00813D39"/>
    <w:rsid w:val="00813D9C"/>
    <w:rsid w:val="00813F92"/>
    <w:rsid w:val="0081422D"/>
    <w:rsid w:val="00814342"/>
    <w:rsid w:val="008143B5"/>
    <w:rsid w:val="00814441"/>
    <w:rsid w:val="00814720"/>
    <w:rsid w:val="00814795"/>
    <w:rsid w:val="008147D6"/>
    <w:rsid w:val="00814EBF"/>
    <w:rsid w:val="00814F86"/>
    <w:rsid w:val="008151BF"/>
    <w:rsid w:val="008151F6"/>
    <w:rsid w:val="00815249"/>
    <w:rsid w:val="00815296"/>
    <w:rsid w:val="00815344"/>
    <w:rsid w:val="008153B1"/>
    <w:rsid w:val="00815703"/>
    <w:rsid w:val="008158BE"/>
    <w:rsid w:val="0081592A"/>
    <w:rsid w:val="008159EE"/>
    <w:rsid w:val="00815C65"/>
    <w:rsid w:val="008162A8"/>
    <w:rsid w:val="008164BA"/>
    <w:rsid w:val="00816867"/>
    <w:rsid w:val="008168BD"/>
    <w:rsid w:val="00816EDF"/>
    <w:rsid w:val="008175A9"/>
    <w:rsid w:val="00817799"/>
    <w:rsid w:val="00817DFB"/>
    <w:rsid w:val="00817E71"/>
    <w:rsid w:val="008203D6"/>
    <w:rsid w:val="008204E7"/>
    <w:rsid w:val="00820697"/>
    <w:rsid w:val="0082085E"/>
    <w:rsid w:val="00820D38"/>
    <w:rsid w:val="008211B3"/>
    <w:rsid w:val="00821410"/>
    <w:rsid w:val="00821608"/>
    <w:rsid w:val="00821644"/>
    <w:rsid w:val="00821736"/>
    <w:rsid w:val="008217DB"/>
    <w:rsid w:val="008217ED"/>
    <w:rsid w:val="008218B3"/>
    <w:rsid w:val="00821A74"/>
    <w:rsid w:val="00821AE1"/>
    <w:rsid w:val="008222B8"/>
    <w:rsid w:val="00822533"/>
    <w:rsid w:val="008226F4"/>
    <w:rsid w:val="00822888"/>
    <w:rsid w:val="00822961"/>
    <w:rsid w:val="008233D7"/>
    <w:rsid w:val="008234EE"/>
    <w:rsid w:val="00823808"/>
    <w:rsid w:val="00823B55"/>
    <w:rsid w:val="00823BF0"/>
    <w:rsid w:val="00823DD1"/>
    <w:rsid w:val="00824369"/>
    <w:rsid w:val="008246F7"/>
    <w:rsid w:val="00824CD3"/>
    <w:rsid w:val="0082506C"/>
    <w:rsid w:val="00825896"/>
    <w:rsid w:val="00825973"/>
    <w:rsid w:val="00825B0A"/>
    <w:rsid w:val="00825B21"/>
    <w:rsid w:val="0082633E"/>
    <w:rsid w:val="008268D1"/>
    <w:rsid w:val="00826A47"/>
    <w:rsid w:val="00826AAE"/>
    <w:rsid w:val="00826B36"/>
    <w:rsid w:val="008270F1"/>
    <w:rsid w:val="0082752F"/>
    <w:rsid w:val="008276B8"/>
    <w:rsid w:val="00827DBE"/>
    <w:rsid w:val="008300AB"/>
    <w:rsid w:val="008303AD"/>
    <w:rsid w:val="00830A54"/>
    <w:rsid w:val="00830CB3"/>
    <w:rsid w:val="00830FA0"/>
    <w:rsid w:val="00831138"/>
    <w:rsid w:val="00831372"/>
    <w:rsid w:val="0083162E"/>
    <w:rsid w:val="00831A43"/>
    <w:rsid w:val="00831CBC"/>
    <w:rsid w:val="0083208B"/>
    <w:rsid w:val="0083214E"/>
    <w:rsid w:val="00832248"/>
    <w:rsid w:val="0083265C"/>
    <w:rsid w:val="0083299E"/>
    <w:rsid w:val="008329D2"/>
    <w:rsid w:val="00832C59"/>
    <w:rsid w:val="00832C5F"/>
    <w:rsid w:val="00832DAF"/>
    <w:rsid w:val="00832EBE"/>
    <w:rsid w:val="00832F1C"/>
    <w:rsid w:val="008335D0"/>
    <w:rsid w:val="0083388C"/>
    <w:rsid w:val="00833960"/>
    <w:rsid w:val="00833BF0"/>
    <w:rsid w:val="00833CC2"/>
    <w:rsid w:val="00833CC7"/>
    <w:rsid w:val="00833D45"/>
    <w:rsid w:val="0083413E"/>
    <w:rsid w:val="0083438F"/>
    <w:rsid w:val="008347BF"/>
    <w:rsid w:val="00834982"/>
    <w:rsid w:val="00834D59"/>
    <w:rsid w:val="00834D80"/>
    <w:rsid w:val="00834FD9"/>
    <w:rsid w:val="0083509D"/>
    <w:rsid w:val="00835636"/>
    <w:rsid w:val="00835E43"/>
    <w:rsid w:val="00835F16"/>
    <w:rsid w:val="00835F4C"/>
    <w:rsid w:val="00836316"/>
    <w:rsid w:val="00836435"/>
    <w:rsid w:val="0083662A"/>
    <w:rsid w:val="00836BED"/>
    <w:rsid w:val="00837297"/>
    <w:rsid w:val="00837C66"/>
    <w:rsid w:val="00840082"/>
    <w:rsid w:val="00840176"/>
    <w:rsid w:val="0084031B"/>
    <w:rsid w:val="008403AD"/>
    <w:rsid w:val="008403F5"/>
    <w:rsid w:val="008407BE"/>
    <w:rsid w:val="00840B2A"/>
    <w:rsid w:val="00840E0B"/>
    <w:rsid w:val="008410FC"/>
    <w:rsid w:val="0084121F"/>
    <w:rsid w:val="00841BF8"/>
    <w:rsid w:val="00841E86"/>
    <w:rsid w:val="00841F0A"/>
    <w:rsid w:val="0084229A"/>
    <w:rsid w:val="0084240C"/>
    <w:rsid w:val="008425B5"/>
    <w:rsid w:val="00842A8F"/>
    <w:rsid w:val="00842BDB"/>
    <w:rsid w:val="00842DD9"/>
    <w:rsid w:val="008433C0"/>
    <w:rsid w:val="008435C8"/>
    <w:rsid w:val="0084368A"/>
    <w:rsid w:val="00843802"/>
    <w:rsid w:val="00843B0F"/>
    <w:rsid w:val="00843B8A"/>
    <w:rsid w:val="0084401F"/>
    <w:rsid w:val="008440EC"/>
    <w:rsid w:val="00844200"/>
    <w:rsid w:val="00844405"/>
    <w:rsid w:val="008444A3"/>
    <w:rsid w:val="008446A2"/>
    <w:rsid w:val="00844B15"/>
    <w:rsid w:val="00844B97"/>
    <w:rsid w:val="00844C0F"/>
    <w:rsid w:val="00844EAF"/>
    <w:rsid w:val="00844F29"/>
    <w:rsid w:val="00845896"/>
    <w:rsid w:val="00845A50"/>
    <w:rsid w:val="00845B5B"/>
    <w:rsid w:val="00845BDB"/>
    <w:rsid w:val="008462D0"/>
    <w:rsid w:val="008465A6"/>
    <w:rsid w:val="00846CC0"/>
    <w:rsid w:val="008473B8"/>
    <w:rsid w:val="00847953"/>
    <w:rsid w:val="00847B3D"/>
    <w:rsid w:val="00847C65"/>
    <w:rsid w:val="00847C81"/>
    <w:rsid w:val="00847E0D"/>
    <w:rsid w:val="00850192"/>
    <w:rsid w:val="0085037A"/>
    <w:rsid w:val="008503F9"/>
    <w:rsid w:val="00850526"/>
    <w:rsid w:val="00851131"/>
    <w:rsid w:val="008525E5"/>
    <w:rsid w:val="008528D8"/>
    <w:rsid w:val="008529F0"/>
    <w:rsid w:val="00852BCC"/>
    <w:rsid w:val="00852C3A"/>
    <w:rsid w:val="00852C7D"/>
    <w:rsid w:val="00852CFF"/>
    <w:rsid w:val="00852F1D"/>
    <w:rsid w:val="00852F28"/>
    <w:rsid w:val="008530F0"/>
    <w:rsid w:val="0085330A"/>
    <w:rsid w:val="00853499"/>
    <w:rsid w:val="0085353D"/>
    <w:rsid w:val="00853633"/>
    <w:rsid w:val="008538B2"/>
    <w:rsid w:val="00853CB6"/>
    <w:rsid w:val="00853DA6"/>
    <w:rsid w:val="00853E2A"/>
    <w:rsid w:val="00853EA0"/>
    <w:rsid w:val="00853FCA"/>
    <w:rsid w:val="008542A8"/>
    <w:rsid w:val="0085446A"/>
    <w:rsid w:val="00854660"/>
    <w:rsid w:val="008547D6"/>
    <w:rsid w:val="008547FF"/>
    <w:rsid w:val="00854EB8"/>
    <w:rsid w:val="00855153"/>
    <w:rsid w:val="00855238"/>
    <w:rsid w:val="008553DA"/>
    <w:rsid w:val="008566DA"/>
    <w:rsid w:val="00856A79"/>
    <w:rsid w:val="00856E94"/>
    <w:rsid w:val="00856FCA"/>
    <w:rsid w:val="008572BA"/>
    <w:rsid w:val="008574F3"/>
    <w:rsid w:val="00857939"/>
    <w:rsid w:val="00857C59"/>
    <w:rsid w:val="00857D63"/>
    <w:rsid w:val="008603AE"/>
    <w:rsid w:val="0086072E"/>
    <w:rsid w:val="00860A14"/>
    <w:rsid w:val="00861178"/>
    <w:rsid w:val="0086143E"/>
    <w:rsid w:val="00861494"/>
    <w:rsid w:val="008615EC"/>
    <w:rsid w:val="00861776"/>
    <w:rsid w:val="00861CF5"/>
    <w:rsid w:val="008622C5"/>
    <w:rsid w:val="008623CD"/>
    <w:rsid w:val="00862510"/>
    <w:rsid w:val="0086288D"/>
    <w:rsid w:val="0086299C"/>
    <w:rsid w:val="00862F9E"/>
    <w:rsid w:val="008632A3"/>
    <w:rsid w:val="00863809"/>
    <w:rsid w:val="00863918"/>
    <w:rsid w:val="00863ADA"/>
    <w:rsid w:val="00863DCA"/>
    <w:rsid w:val="008640B1"/>
    <w:rsid w:val="0086428F"/>
    <w:rsid w:val="0086445D"/>
    <w:rsid w:val="00864898"/>
    <w:rsid w:val="00864A2D"/>
    <w:rsid w:val="00864BD4"/>
    <w:rsid w:val="00864C51"/>
    <w:rsid w:val="00864CE6"/>
    <w:rsid w:val="00864E41"/>
    <w:rsid w:val="00864FBD"/>
    <w:rsid w:val="00865111"/>
    <w:rsid w:val="00865996"/>
    <w:rsid w:val="00865BEF"/>
    <w:rsid w:val="00865D7B"/>
    <w:rsid w:val="00866509"/>
    <w:rsid w:val="00866AB4"/>
    <w:rsid w:val="00866B76"/>
    <w:rsid w:val="00867138"/>
    <w:rsid w:val="0086718D"/>
    <w:rsid w:val="0086736D"/>
    <w:rsid w:val="008673BD"/>
    <w:rsid w:val="00867648"/>
    <w:rsid w:val="00867649"/>
    <w:rsid w:val="008678F3"/>
    <w:rsid w:val="008679E7"/>
    <w:rsid w:val="008679FE"/>
    <w:rsid w:val="00867B47"/>
    <w:rsid w:val="00870475"/>
    <w:rsid w:val="008704CF"/>
    <w:rsid w:val="0087051E"/>
    <w:rsid w:val="008706B5"/>
    <w:rsid w:val="00870806"/>
    <w:rsid w:val="00870981"/>
    <w:rsid w:val="00870B9F"/>
    <w:rsid w:val="00870DE3"/>
    <w:rsid w:val="00870EDC"/>
    <w:rsid w:val="0087113A"/>
    <w:rsid w:val="00871A3E"/>
    <w:rsid w:val="00871F8D"/>
    <w:rsid w:val="00872429"/>
    <w:rsid w:val="00872A24"/>
    <w:rsid w:val="00872AC6"/>
    <w:rsid w:val="00872AE3"/>
    <w:rsid w:val="00872D0E"/>
    <w:rsid w:val="00873594"/>
    <w:rsid w:val="00873646"/>
    <w:rsid w:val="008736B2"/>
    <w:rsid w:val="00873AE8"/>
    <w:rsid w:val="00873FDA"/>
    <w:rsid w:val="00874086"/>
    <w:rsid w:val="008743F7"/>
    <w:rsid w:val="008748F5"/>
    <w:rsid w:val="00874C90"/>
    <w:rsid w:val="008755F9"/>
    <w:rsid w:val="00875A23"/>
    <w:rsid w:val="00875B64"/>
    <w:rsid w:val="00875EBF"/>
    <w:rsid w:val="00876050"/>
    <w:rsid w:val="0087606C"/>
    <w:rsid w:val="0087653E"/>
    <w:rsid w:val="008768B9"/>
    <w:rsid w:val="008768DB"/>
    <w:rsid w:val="00876C1D"/>
    <w:rsid w:val="00876C32"/>
    <w:rsid w:val="008770A1"/>
    <w:rsid w:val="0087720D"/>
    <w:rsid w:val="00877387"/>
    <w:rsid w:val="008773B0"/>
    <w:rsid w:val="0087756B"/>
    <w:rsid w:val="008776B6"/>
    <w:rsid w:val="00877D8A"/>
    <w:rsid w:val="00877E14"/>
    <w:rsid w:val="00877E44"/>
    <w:rsid w:val="00880ADD"/>
    <w:rsid w:val="00880C7A"/>
    <w:rsid w:val="00880F35"/>
    <w:rsid w:val="00881032"/>
    <w:rsid w:val="008814C2"/>
    <w:rsid w:val="00881639"/>
    <w:rsid w:val="00881790"/>
    <w:rsid w:val="00881979"/>
    <w:rsid w:val="00881B6F"/>
    <w:rsid w:val="00881D26"/>
    <w:rsid w:val="00882767"/>
    <w:rsid w:val="00882A4B"/>
    <w:rsid w:val="00882B0C"/>
    <w:rsid w:val="00882D2D"/>
    <w:rsid w:val="00882D93"/>
    <w:rsid w:val="00883380"/>
    <w:rsid w:val="00883656"/>
    <w:rsid w:val="00883694"/>
    <w:rsid w:val="008838B8"/>
    <w:rsid w:val="00883A3F"/>
    <w:rsid w:val="00883C12"/>
    <w:rsid w:val="00883FC0"/>
    <w:rsid w:val="008841BD"/>
    <w:rsid w:val="008843B0"/>
    <w:rsid w:val="008848AC"/>
    <w:rsid w:val="0088490C"/>
    <w:rsid w:val="008856C4"/>
    <w:rsid w:val="00885D6F"/>
    <w:rsid w:val="00885D8D"/>
    <w:rsid w:val="00885F25"/>
    <w:rsid w:val="00886434"/>
    <w:rsid w:val="00886A76"/>
    <w:rsid w:val="00886AB7"/>
    <w:rsid w:val="00886D28"/>
    <w:rsid w:val="00886D75"/>
    <w:rsid w:val="00886DDA"/>
    <w:rsid w:val="008873DF"/>
    <w:rsid w:val="008875F9"/>
    <w:rsid w:val="008877CA"/>
    <w:rsid w:val="00887C3E"/>
    <w:rsid w:val="008901B4"/>
    <w:rsid w:val="0089074A"/>
    <w:rsid w:val="008909C7"/>
    <w:rsid w:val="00890DE7"/>
    <w:rsid w:val="00890E60"/>
    <w:rsid w:val="0089103E"/>
    <w:rsid w:val="008910FC"/>
    <w:rsid w:val="0089167D"/>
    <w:rsid w:val="00891A8C"/>
    <w:rsid w:val="00891AAA"/>
    <w:rsid w:val="008922B3"/>
    <w:rsid w:val="008922B6"/>
    <w:rsid w:val="008924D9"/>
    <w:rsid w:val="008929D4"/>
    <w:rsid w:val="00892C6D"/>
    <w:rsid w:val="00892EF8"/>
    <w:rsid w:val="008932A3"/>
    <w:rsid w:val="00893372"/>
    <w:rsid w:val="008938BA"/>
    <w:rsid w:val="00893A3E"/>
    <w:rsid w:val="00893A4E"/>
    <w:rsid w:val="008942CC"/>
    <w:rsid w:val="0089435B"/>
    <w:rsid w:val="00894444"/>
    <w:rsid w:val="00894858"/>
    <w:rsid w:val="00895335"/>
    <w:rsid w:val="0089595C"/>
    <w:rsid w:val="008959A2"/>
    <w:rsid w:val="00896107"/>
    <w:rsid w:val="0089614D"/>
    <w:rsid w:val="008961AF"/>
    <w:rsid w:val="008961FF"/>
    <w:rsid w:val="00896224"/>
    <w:rsid w:val="00896303"/>
    <w:rsid w:val="0089672E"/>
    <w:rsid w:val="00896D24"/>
    <w:rsid w:val="00896E76"/>
    <w:rsid w:val="00896F0A"/>
    <w:rsid w:val="00896F55"/>
    <w:rsid w:val="008971B2"/>
    <w:rsid w:val="008972E9"/>
    <w:rsid w:val="00897425"/>
    <w:rsid w:val="008976A4"/>
    <w:rsid w:val="008A02EE"/>
    <w:rsid w:val="008A0516"/>
    <w:rsid w:val="008A0F11"/>
    <w:rsid w:val="008A0F13"/>
    <w:rsid w:val="008A0F38"/>
    <w:rsid w:val="008A16C9"/>
    <w:rsid w:val="008A1BF8"/>
    <w:rsid w:val="008A1DDD"/>
    <w:rsid w:val="008A2829"/>
    <w:rsid w:val="008A2A6D"/>
    <w:rsid w:val="008A2B55"/>
    <w:rsid w:val="008A2D6D"/>
    <w:rsid w:val="008A2FBB"/>
    <w:rsid w:val="008A302B"/>
    <w:rsid w:val="008A3687"/>
    <w:rsid w:val="008A377C"/>
    <w:rsid w:val="008A3970"/>
    <w:rsid w:val="008A3B26"/>
    <w:rsid w:val="008A446D"/>
    <w:rsid w:val="008A47FF"/>
    <w:rsid w:val="008A500E"/>
    <w:rsid w:val="008A524F"/>
    <w:rsid w:val="008A5262"/>
    <w:rsid w:val="008A55D6"/>
    <w:rsid w:val="008A58BB"/>
    <w:rsid w:val="008A5D8C"/>
    <w:rsid w:val="008A5EAE"/>
    <w:rsid w:val="008A5F22"/>
    <w:rsid w:val="008A602B"/>
    <w:rsid w:val="008A6690"/>
    <w:rsid w:val="008A6A5F"/>
    <w:rsid w:val="008A6F97"/>
    <w:rsid w:val="008A6FFE"/>
    <w:rsid w:val="008A75DA"/>
    <w:rsid w:val="008A7C9E"/>
    <w:rsid w:val="008A7F4F"/>
    <w:rsid w:val="008A7FEB"/>
    <w:rsid w:val="008B0079"/>
    <w:rsid w:val="008B025C"/>
    <w:rsid w:val="008B0260"/>
    <w:rsid w:val="008B04E0"/>
    <w:rsid w:val="008B0796"/>
    <w:rsid w:val="008B0989"/>
    <w:rsid w:val="008B0B48"/>
    <w:rsid w:val="008B0EF9"/>
    <w:rsid w:val="008B0F2E"/>
    <w:rsid w:val="008B1568"/>
    <w:rsid w:val="008B18C8"/>
    <w:rsid w:val="008B19AD"/>
    <w:rsid w:val="008B1D4A"/>
    <w:rsid w:val="008B1DB2"/>
    <w:rsid w:val="008B1E6D"/>
    <w:rsid w:val="008B207B"/>
    <w:rsid w:val="008B237F"/>
    <w:rsid w:val="008B2510"/>
    <w:rsid w:val="008B2916"/>
    <w:rsid w:val="008B2DAB"/>
    <w:rsid w:val="008B2EA9"/>
    <w:rsid w:val="008B3117"/>
    <w:rsid w:val="008B3419"/>
    <w:rsid w:val="008B35CB"/>
    <w:rsid w:val="008B3A7D"/>
    <w:rsid w:val="008B3AF4"/>
    <w:rsid w:val="008B3EFA"/>
    <w:rsid w:val="008B4343"/>
    <w:rsid w:val="008B4C6C"/>
    <w:rsid w:val="008B505B"/>
    <w:rsid w:val="008B514D"/>
    <w:rsid w:val="008B553D"/>
    <w:rsid w:val="008B5814"/>
    <w:rsid w:val="008B59CB"/>
    <w:rsid w:val="008B5E8C"/>
    <w:rsid w:val="008B62CC"/>
    <w:rsid w:val="008B6714"/>
    <w:rsid w:val="008B67EA"/>
    <w:rsid w:val="008B6C09"/>
    <w:rsid w:val="008B704D"/>
    <w:rsid w:val="008B70BB"/>
    <w:rsid w:val="008B78DD"/>
    <w:rsid w:val="008B7AB8"/>
    <w:rsid w:val="008B7B83"/>
    <w:rsid w:val="008C0152"/>
    <w:rsid w:val="008C038C"/>
    <w:rsid w:val="008C05A7"/>
    <w:rsid w:val="008C0C1A"/>
    <w:rsid w:val="008C0C71"/>
    <w:rsid w:val="008C0D5B"/>
    <w:rsid w:val="008C152D"/>
    <w:rsid w:val="008C15F7"/>
    <w:rsid w:val="008C1D91"/>
    <w:rsid w:val="008C236B"/>
    <w:rsid w:val="008C2C1E"/>
    <w:rsid w:val="008C2D78"/>
    <w:rsid w:val="008C2E48"/>
    <w:rsid w:val="008C35DC"/>
    <w:rsid w:val="008C3639"/>
    <w:rsid w:val="008C3C08"/>
    <w:rsid w:val="008C3EEF"/>
    <w:rsid w:val="008C46ED"/>
    <w:rsid w:val="008C4FF9"/>
    <w:rsid w:val="008C5310"/>
    <w:rsid w:val="008C550A"/>
    <w:rsid w:val="008C56EE"/>
    <w:rsid w:val="008C582F"/>
    <w:rsid w:val="008C586E"/>
    <w:rsid w:val="008C58D5"/>
    <w:rsid w:val="008C5CED"/>
    <w:rsid w:val="008C6066"/>
    <w:rsid w:val="008C626B"/>
    <w:rsid w:val="008C636D"/>
    <w:rsid w:val="008C6384"/>
    <w:rsid w:val="008C652A"/>
    <w:rsid w:val="008C659B"/>
    <w:rsid w:val="008C6613"/>
    <w:rsid w:val="008C6BDD"/>
    <w:rsid w:val="008C7145"/>
    <w:rsid w:val="008C7282"/>
    <w:rsid w:val="008C72A4"/>
    <w:rsid w:val="008C736D"/>
    <w:rsid w:val="008C779A"/>
    <w:rsid w:val="008C7E92"/>
    <w:rsid w:val="008D01D7"/>
    <w:rsid w:val="008D0392"/>
    <w:rsid w:val="008D0982"/>
    <w:rsid w:val="008D0ED2"/>
    <w:rsid w:val="008D156D"/>
    <w:rsid w:val="008D1E64"/>
    <w:rsid w:val="008D1EA6"/>
    <w:rsid w:val="008D1FB0"/>
    <w:rsid w:val="008D2041"/>
    <w:rsid w:val="008D28C4"/>
    <w:rsid w:val="008D28EA"/>
    <w:rsid w:val="008D31DA"/>
    <w:rsid w:val="008D34AF"/>
    <w:rsid w:val="008D361C"/>
    <w:rsid w:val="008D3664"/>
    <w:rsid w:val="008D36B8"/>
    <w:rsid w:val="008D3AAE"/>
    <w:rsid w:val="008D3B33"/>
    <w:rsid w:val="008D4653"/>
    <w:rsid w:val="008D472B"/>
    <w:rsid w:val="008D4B5E"/>
    <w:rsid w:val="008D5101"/>
    <w:rsid w:val="008D51EB"/>
    <w:rsid w:val="008D5788"/>
    <w:rsid w:val="008D5865"/>
    <w:rsid w:val="008D5C70"/>
    <w:rsid w:val="008D5CB1"/>
    <w:rsid w:val="008D5F17"/>
    <w:rsid w:val="008D61D4"/>
    <w:rsid w:val="008D624E"/>
    <w:rsid w:val="008D62F6"/>
    <w:rsid w:val="008D669F"/>
    <w:rsid w:val="008D6C97"/>
    <w:rsid w:val="008D6CA4"/>
    <w:rsid w:val="008D6FDC"/>
    <w:rsid w:val="008D7C4E"/>
    <w:rsid w:val="008D7DF4"/>
    <w:rsid w:val="008E0304"/>
    <w:rsid w:val="008E05D3"/>
    <w:rsid w:val="008E0A0A"/>
    <w:rsid w:val="008E0A0B"/>
    <w:rsid w:val="008E11F2"/>
    <w:rsid w:val="008E1413"/>
    <w:rsid w:val="008E146F"/>
    <w:rsid w:val="008E15CE"/>
    <w:rsid w:val="008E185C"/>
    <w:rsid w:val="008E19C6"/>
    <w:rsid w:val="008E1ABA"/>
    <w:rsid w:val="008E1B23"/>
    <w:rsid w:val="008E2654"/>
    <w:rsid w:val="008E2ABE"/>
    <w:rsid w:val="008E3197"/>
    <w:rsid w:val="008E34E2"/>
    <w:rsid w:val="008E36D9"/>
    <w:rsid w:val="008E4305"/>
    <w:rsid w:val="008E4485"/>
    <w:rsid w:val="008E4E8C"/>
    <w:rsid w:val="008E551C"/>
    <w:rsid w:val="008E551E"/>
    <w:rsid w:val="008E5520"/>
    <w:rsid w:val="008E5953"/>
    <w:rsid w:val="008E5EE6"/>
    <w:rsid w:val="008E635B"/>
    <w:rsid w:val="008E637B"/>
    <w:rsid w:val="008E654B"/>
    <w:rsid w:val="008E65D3"/>
    <w:rsid w:val="008E668B"/>
    <w:rsid w:val="008E6B4D"/>
    <w:rsid w:val="008E6DFD"/>
    <w:rsid w:val="008E6F50"/>
    <w:rsid w:val="008E708C"/>
    <w:rsid w:val="008E7573"/>
    <w:rsid w:val="008E7A2B"/>
    <w:rsid w:val="008F058E"/>
    <w:rsid w:val="008F09BA"/>
    <w:rsid w:val="008F0BF8"/>
    <w:rsid w:val="008F18EB"/>
    <w:rsid w:val="008F1D03"/>
    <w:rsid w:val="008F1E8A"/>
    <w:rsid w:val="008F1EF5"/>
    <w:rsid w:val="008F2231"/>
    <w:rsid w:val="008F23FC"/>
    <w:rsid w:val="008F2D6A"/>
    <w:rsid w:val="008F310F"/>
    <w:rsid w:val="008F32D4"/>
    <w:rsid w:val="008F3663"/>
    <w:rsid w:val="008F390E"/>
    <w:rsid w:val="008F3E87"/>
    <w:rsid w:val="008F42D0"/>
    <w:rsid w:val="008F4CAE"/>
    <w:rsid w:val="008F4EE3"/>
    <w:rsid w:val="008F529F"/>
    <w:rsid w:val="008F5454"/>
    <w:rsid w:val="008F54CF"/>
    <w:rsid w:val="008F57EE"/>
    <w:rsid w:val="008F5EC0"/>
    <w:rsid w:val="008F6272"/>
    <w:rsid w:val="008F6C31"/>
    <w:rsid w:val="008F6E09"/>
    <w:rsid w:val="008F71BE"/>
    <w:rsid w:val="008F7752"/>
    <w:rsid w:val="008F7D08"/>
    <w:rsid w:val="008F7D0C"/>
    <w:rsid w:val="008F7E50"/>
    <w:rsid w:val="008F7FBB"/>
    <w:rsid w:val="009000F2"/>
    <w:rsid w:val="009001D2"/>
    <w:rsid w:val="00900AA1"/>
    <w:rsid w:val="00900B29"/>
    <w:rsid w:val="00900DBA"/>
    <w:rsid w:val="00900E94"/>
    <w:rsid w:val="00900F8F"/>
    <w:rsid w:val="00900FB9"/>
    <w:rsid w:val="00901050"/>
    <w:rsid w:val="00901993"/>
    <w:rsid w:val="00901C32"/>
    <w:rsid w:val="00901D9A"/>
    <w:rsid w:val="00901EDD"/>
    <w:rsid w:val="00902308"/>
    <w:rsid w:val="009023F6"/>
    <w:rsid w:val="00902422"/>
    <w:rsid w:val="00902813"/>
    <w:rsid w:val="00902893"/>
    <w:rsid w:val="00902B08"/>
    <w:rsid w:val="009031D2"/>
    <w:rsid w:val="0090363B"/>
    <w:rsid w:val="00903BA6"/>
    <w:rsid w:val="00903E99"/>
    <w:rsid w:val="00903FA9"/>
    <w:rsid w:val="00904077"/>
    <w:rsid w:val="009041FA"/>
    <w:rsid w:val="00904492"/>
    <w:rsid w:val="009044BF"/>
    <w:rsid w:val="00904591"/>
    <w:rsid w:val="00904967"/>
    <w:rsid w:val="00904A87"/>
    <w:rsid w:val="00904B2B"/>
    <w:rsid w:val="00904F9F"/>
    <w:rsid w:val="009050BE"/>
    <w:rsid w:val="009050E8"/>
    <w:rsid w:val="0090570B"/>
    <w:rsid w:val="00905862"/>
    <w:rsid w:val="009058E4"/>
    <w:rsid w:val="00905DA4"/>
    <w:rsid w:val="00905F49"/>
    <w:rsid w:val="00906070"/>
    <w:rsid w:val="009063DD"/>
    <w:rsid w:val="009065B3"/>
    <w:rsid w:val="00906ADE"/>
    <w:rsid w:val="00906B87"/>
    <w:rsid w:val="00906BB5"/>
    <w:rsid w:val="00906C1F"/>
    <w:rsid w:val="009072FA"/>
    <w:rsid w:val="00907576"/>
    <w:rsid w:val="00907704"/>
    <w:rsid w:val="0090783E"/>
    <w:rsid w:val="0090789C"/>
    <w:rsid w:val="00907C9D"/>
    <w:rsid w:val="00907F8A"/>
    <w:rsid w:val="0091040E"/>
    <w:rsid w:val="0091066E"/>
    <w:rsid w:val="0091120F"/>
    <w:rsid w:val="009116DB"/>
    <w:rsid w:val="0091193F"/>
    <w:rsid w:val="00911F26"/>
    <w:rsid w:val="0091248E"/>
    <w:rsid w:val="00912D74"/>
    <w:rsid w:val="009130A2"/>
    <w:rsid w:val="00913238"/>
    <w:rsid w:val="0091345F"/>
    <w:rsid w:val="0091391F"/>
    <w:rsid w:val="00913F88"/>
    <w:rsid w:val="00913F9E"/>
    <w:rsid w:val="00914376"/>
    <w:rsid w:val="0091484C"/>
    <w:rsid w:val="009149DF"/>
    <w:rsid w:val="00914C93"/>
    <w:rsid w:val="00915097"/>
    <w:rsid w:val="00915249"/>
    <w:rsid w:val="0091537A"/>
    <w:rsid w:val="00915A68"/>
    <w:rsid w:val="00915AC2"/>
    <w:rsid w:val="0091631F"/>
    <w:rsid w:val="009166EA"/>
    <w:rsid w:val="00916975"/>
    <w:rsid w:val="00916997"/>
    <w:rsid w:val="00917609"/>
    <w:rsid w:val="00917780"/>
    <w:rsid w:val="00917B6A"/>
    <w:rsid w:val="00917DC5"/>
    <w:rsid w:val="00917FC7"/>
    <w:rsid w:val="0092007E"/>
    <w:rsid w:val="00920141"/>
    <w:rsid w:val="009203B4"/>
    <w:rsid w:val="009203FE"/>
    <w:rsid w:val="00920678"/>
    <w:rsid w:val="009207A3"/>
    <w:rsid w:val="00920B58"/>
    <w:rsid w:val="00920F0D"/>
    <w:rsid w:val="0092105B"/>
    <w:rsid w:val="00921091"/>
    <w:rsid w:val="009211B1"/>
    <w:rsid w:val="009211BA"/>
    <w:rsid w:val="0092163F"/>
    <w:rsid w:val="00921855"/>
    <w:rsid w:val="00921D6F"/>
    <w:rsid w:val="00922014"/>
    <w:rsid w:val="0092203E"/>
    <w:rsid w:val="00922539"/>
    <w:rsid w:val="00922610"/>
    <w:rsid w:val="009229C0"/>
    <w:rsid w:val="00922D20"/>
    <w:rsid w:val="00922ECB"/>
    <w:rsid w:val="0092314F"/>
    <w:rsid w:val="009234FB"/>
    <w:rsid w:val="00923A8A"/>
    <w:rsid w:val="00923B2F"/>
    <w:rsid w:val="00924819"/>
    <w:rsid w:val="00924C25"/>
    <w:rsid w:val="00925258"/>
    <w:rsid w:val="0092549B"/>
    <w:rsid w:val="00926459"/>
    <w:rsid w:val="009265FA"/>
    <w:rsid w:val="00926669"/>
    <w:rsid w:val="0092676A"/>
    <w:rsid w:val="00926C84"/>
    <w:rsid w:val="00926FEB"/>
    <w:rsid w:val="00927317"/>
    <w:rsid w:val="00927387"/>
    <w:rsid w:val="009275F3"/>
    <w:rsid w:val="009276F7"/>
    <w:rsid w:val="0092782D"/>
    <w:rsid w:val="00927E14"/>
    <w:rsid w:val="009302C8"/>
    <w:rsid w:val="009305EE"/>
    <w:rsid w:val="00930694"/>
    <w:rsid w:val="009307F9"/>
    <w:rsid w:val="009314D6"/>
    <w:rsid w:val="009317F1"/>
    <w:rsid w:val="00931983"/>
    <w:rsid w:val="00931B07"/>
    <w:rsid w:val="00931BE1"/>
    <w:rsid w:val="00931E23"/>
    <w:rsid w:val="00931E51"/>
    <w:rsid w:val="00931EEA"/>
    <w:rsid w:val="009320BC"/>
    <w:rsid w:val="0093231B"/>
    <w:rsid w:val="0093244C"/>
    <w:rsid w:val="009326C4"/>
    <w:rsid w:val="00932CDE"/>
    <w:rsid w:val="00932DBA"/>
    <w:rsid w:val="009334EC"/>
    <w:rsid w:val="00933659"/>
    <w:rsid w:val="0093386E"/>
    <w:rsid w:val="00933B1A"/>
    <w:rsid w:val="00933BD2"/>
    <w:rsid w:val="00933C0E"/>
    <w:rsid w:val="00933F10"/>
    <w:rsid w:val="00933F65"/>
    <w:rsid w:val="00934B28"/>
    <w:rsid w:val="00934D3E"/>
    <w:rsid w:val="0093551D"/>
    <w:rsid w:val="009355D5"/>
    <w:rsid w:val="00935C51"/>
    <w:rsid w:val="00935D22"/>
    <w:rsid w:val="00935D47"/>
    <w:rsid w:val="00935D4C"/>
    <w:rsid w:val="00935DC9"/>
    <w:rsid w:val="009366AC"/>
    <w:rsid w:val="00936C95"/>
    <w:rsid w:val="009371EE"/>
    <w:rsid w:val="009376EF"/>
    <w:rsid w:val="00937731"/>
    <w:rsid w:val="00937D86"/>
    <w:rsid w:val="00937FA4"/>
    <w:rsid w:val="009401AE"/>
    <w:rsid w:val="00940899"/>
    <w:rsid w:val="0094093C"/>
    <w:rsid w:val="009409DF"/>
    <w:rsid w:val="00941133"/>
    <w:rsid w:val="009411E1"/>
    <w:rsid w:val="009411FC"/>
    <w:rsid w:val="00941483"/>
    <w:rsid w:val="0094172C"/>
    <w:rsid w:val="00941C48"/>
    <w:rsid w:val="00941D6D"/>
    <w:rsid w:val="0094211C"/>
    <w:rsid w:val="00942A59"/>
    <w:rsid w:val="00942E5E"/>
    <w:rsid w:val="00942E7E"/>
    <w:rsid w:val="00942F80"/>
    <w:rsid w:val="00943098"/>
    <w:rsid w:val="0094334A"/>
    <w:rsid w:val="00943BAD"/>
    <w:rsid w:val="00943D2E"/>
    <w:rsid w:val="009440F0"/>
    <w:rsid w:val="009447C5"/>
    <w:rsid w:val="00944894"/>
    <w:rsid w:val="00944B06"/>
    <w:rsid w:val="00944BAA"/>
    <w:rsid w:val="00944E34"/>
    <w:rsid w:val="00944FC5"/>
    <w:rsid w:val="00945176"/>
    <w:rsid w:val="00945500"/>
    <w:rsid w:val="009455C2"/>
    <w:rsid w:val="00945935"/>
    <w:rsid w:val="00945978"/>
    <w:rsid w:val="00945BDB"/>
    <w:rsid w:val="00945EBD"/>
    <w:rsid w:val="009463C0"/>
    <w:rsid w:val="00946470"/>
    <w:rsid w:val="009465A5"/>
    <w:rsid w:val="009467E3"/>
    <w:rsid w:val="009467E4"/>
    <w:rsid w:val="009468A2"/>
    <w:rsid w:val="00946B2C"/>
    <w:rsid w:val="00946D94"/>
    <w:rsid w:val="009476BA"/>
    <w:rsid w:val="00947B40"/>
    <w:rsid w:val="009505CF"/>
    <w:rsid w:val="00950DB5"/>
    <w:rsid w:val="0095156C"/>
    <w:rsid w:val="00951D8D"/>
    <w:rsid w:val="009520F2"/>
    <w:rsid w:val="00952395"/>
    <w:rsid w:val="009525F1"/>
    <w:rsid w:val="00952600"/>
    <w:rsid w:val="00952628"/>
    <w:rsid w:val="00952663"/>
    <w:rsid w:val="00952889"/>
    <w:rsid w:val="00952BD3"/>
    <w:rsid w:val="0095322A"/>
    <w:rsid w:val="009532C4"/>
    <w:rsid w:val="009534ED"/>
    <w:rsid w:val="0095371A"/>
    <w:rsid w:val="009537BB"/>
    <w:rsid w:val="009537D3"/>
    <w:rsid w:val="00953A4D"/>
    <w:rsid w:val="009540D2"/>
    <w:rsid w:val="00954A45"/>
    <w:rsid w:val="00954E08"/>
    <w:rsid w:val="00954E0A"/>
    <w:rsid w:val="00954E2F"/>
    <w:rsid w:val="00954F44"/>
    <w:rsid w:val="00954FF7"/>
    <w:rsid w:val="009550C1"/>
    <w:rsid w:val="0095521C"/>
    <w:rsid w:val="0095541A"/>
    <w:rsid w:val="00955731"/>
    <w:rsid w:val="0095592C"/>
    <w:rsid w:val="00955BDC"/>
    <w:rsid w:val="00955CD7"/>
    <w:rsid w:val="0095643A"/>
    <w:rsid w:val="0095647D"/>
    <w:rsid w:val="009568FE"/>
    <w:rsid w:val="00956D7F"/>
    <w:rsid w:val="00956FDB"/>
    <w:rsid w:val="009577AC"/>
    <w:rsid w:val="0096011E"/>
    <w:rsid w:val="00960925"/>
    <w:rsid w:val="00961089"/>
    <w:rsid w:val="00961666"/>
    <w:rsid w:val="009618D2"/>
    <w:rsid w:val="00961E84"/>
    <w:rsid w:val="00962DB3"/>
    <w:rsid w:val="0096319E"/>
    <w:rsid w:val="00963391"/>
    <w:rsid w:val="00963523"/>
    <w:rsid w:val="009637CE"/>
    <w:rsid w:val="00963C4D"/>
    <w:rsid w:val="00963C4E"/>
    <w:rsid w:val="00963D25"/>
    <w:rsid w:val="009642C6"/>
    <w:rsid w:val="00964482"/>
    <w:rsid w:val="00964724"/>
    <w:rsid w:val="0096473F"/>
    <w:rsid w:val="009648AA"/>
    <w:rsid w:val="00964E22"/>
    <w:rsid w:val="00964EA8"/>
    <w:rsid w:val="00964EF5"/>
    <w:rsid w:val="0096571D"/>
    <w:rsid w:val="00965728"/>
    <w:rsid w:val="009657C2"/>
    <w:rsid w:val="00965859"/>
    <w:rsid w:val="009659B1"/>
    <w:rsid w:val="00965A8C"/>
    <w:rsid w:val="00965C42"/>
    <w:rsid w:val="00965D0C"/>
    <w:rsid w:val="00965D8B"/>
    <w:rsid w:val="0096626A"/>
    <w:rsid w:val="0096665E"/>
    <w:rsid w:val="00967187"/>
    <w:rsid w:val="00967727"/>
    <w:rsid w:val="0096774F"/>
    <w:rsid w:val="00967B19"/>
    <w:rsid w:val="00967F2C"/>
    <w:rsid w:val="00967FE8"/>
    <w:rsid w:val="009701A5"/>
    <w:rsid w:val="009701EF"/>
    <w:rsid w:val="00970563"/>
    <w:rsid w:val="009709B1"/>
    <w:rsid w:val="00970D47"/>
    <w:rsid w:val="00970FD4"/>
    <w:rsid w:val="009714BC"/>
    <w:rsid w:val="00971990"/>
    <w:rsid w:val="00971A4B"/>
    <w:rsid w:val="00971E52"/>
    <w:rsid w:val="009721A5"/>
    <w:rsid w:val="0097229B"/>
    <w:rsid w:val="009723BA"/>
    <w:rsid w:val="009723F7"/>
    <w:rsid w:val="00972610"/>
    <w:rsid w:val="00972916"/>
    <w:rsid w:val="009738E0"/>
    <w:rsid w:val="009742B3"/>
    <w:rsid w:val="0097433E"/>
    <w:rsid w:val="009744E0"/>
    <w:rsid w:val="009746AD"/>
    <w:rsid w:val="009746BB"/>
    <w:rsid w:val="00974AFF"/>
    <w:rsid w:val="00974D33"/>
    <w:rsid w:val="00974E57"/>
    <w:rsid w:val="009754F6"/>
    <w:rsid w:val="009757BF"/>
    <w:rsid w:val="0097589B"/>
    <w:rsid w:val="00975D88"/>
    <w:rsid w:val="00976327"/>
    <w:rsid w:val="009763BC"/>
    <w:rsid w:val="009769B4"/>
    <w:rsid w:val="00976A0D"/>
    <w:rsid w:val="00976A16"/>
    <w:rsid w:val="00976B47"/>
    <w:rsid w:val="00977002"/>
    <w:rsid w:val="0097723A"/>
    <w:rsid w:val="009773D3"/>
    <w:rsid w:val="0097756D"/>
    <w:rsid w:val="0097788F"/>
    <w:rsid w:val="00977A0A"/>
    <w:rsid w:val="00977D34"/>
    <w:rsid w:val="009801AC"/>
    <w:rsid w:val="00980245"/>
    <w:rsid w:val="009804EB"/>
    <w:rsid w:val="00980A32"/>
    <w:rsid w:val="00980EEB"/>
    <w:rsid w:val="00980F29"/>
    <w:rsid w:val="00980F91"/>
    <w:rsid w:val="00981139"/>
    <w:rsid w:val="0098117C"/>
    <w:rsid w:val="009811BD"/>
    <w:rsid w:val="00981332"/>
    <w:rsid w:val="00981A71"/>
    <w:rsid w:val="0098224B"/>
    <w:rsid w:val="0098229C"/>
    <w:rsid w:val="009824C1"/>
    <w:rsid w:val="00982BAF"/>
    <w:rsid w:val="00982EDB"/>
    <w:rsid w:val="00982FA2"/>
    <w:rsid w:val="00982FAF"/>
    <w:rsid w:val="0098337D"/>
    <w:rsid w:val="00983B26"/>
    <w:rsid w:val="00983B5D"/>
    <w:rsid w:val="00983B9B"/>
    <w:rsid w:val="00983DC0"/>
    <w:rsid w:val="009840AC"/>
    <w:rsid w:val="009840C6"/>
    <w:rsid w:val="00984869"/>
    <w:rsid w:val="0098490B"/>
    <w:rsid w:val="009855D7"/>
    <w:rsid w:val="00985913"/>
    <w:rsid w:val="00985ED5"/>
    <w:rsid w:val="0098608E"/>
    <w:rsid w:val="00986093"/>
    <w:rsid w:val="009861B1"/>
    <w:rsid w:val="009864BC"/>
    <w:rsid w:val="00986715"/>
    <w:rsid w:val="00986758"/>
    <w:rsid w:val="0098686A"/>
    <w:rsid w:val="009868B4"/>
    <w:rsid w:val="00987027"/>
    <w:rsid w:val="009870CC"/>
    <w:rsid w:val="00987136"/>
    <w:rsid w:val="0098727F"/>
    <w:rsid w:val="009875BA"/>
    <w:rsid w:val="00987747"/>
    <w:rsid w:val="009878D4"/>
    <w:rsid w:val="00987941"/>
    <w:rsid w:val="00987B08"/>
    <w:rsid w:val="00987D1C"/>
    <w:rsid w:val="00990004"/>
    <w:rsid w:val="00990061"/>
    <w:rsid w:val="00990812"/>
    <w:rsid w:val="0099088A"/>
    <w:rsid w:val="009908C9"/>
    <w:rsid w:val="00990940"/>
    <w:rsid w:val="00990D9A"/>
    <w:rsid w:val="00990F86"/>
    <w:rsid w:val="009915AF"/>
    <w:rsid w:val="00991934"/>
    <w:rsid w:val="00991DC1"/>
    <w:rsid w:val="00991EFB"/>
    <w:rsid w:val="00992243"/>
    <w:rsid w:val="00992EF4"/>
    <w:rsid w:val="0099318E"/>
    <w:rsid w:val="0099326A"/>
    <w:rsid w:val="00993346"/>
    <w:rsid w:val="00993A27"/>
    <w:rsid w:val="009944FF"/>
    <w:rsid w:val="009946D2"/>
    <w:rsid w:val="009948D3"/>
    <w:rsid w:val="00994963"/>
    <w:rsid w:val="00994C9F"/>
    <w:rsid w:val="00994FBF"/>
    <w:rsid w:val="00994FE8"/>
    <w:rsid w:val="0099524F"/>
    <w:rsid w:val="00995807"/>
    <w:rsid w:val="00995A5A"/>
    <w:rsid w:val="00995E62"/>
    <w:rsid w:val="009967BF"/>
    <w:rsid w:val="00996921"/>
    <w:rsid w:val="0099698B"/>
    <w:rsid w:val="00996B8E"/>
    <w:rsid w:val="00997594"/>
    <w:rsid w:val="00997618"/>
    <w:rsid w:val="00997834"/>
    <w:rsid w:val="00997A6D"/>
    <w:rsid w:val="00997C16"/>
    <w:rsid w:val="00997C45"/>
    <w:rsid w:val="009A0333"/>
    <w:rsid w:val="009A0868"/>
    <w:rsid w:val="009A0926"/>
    <w:rsid w:val="009A0BCE"/>
    <w:rsid w:val="009A1057"/>
    <w:rsid w:val="009A1299"/>
    <w:rsid w:val="009A15EF"/>
    <w:rsid w:val="009A18C9"/>
    <w:rsid w:val="009A1D12"/>
    <w:rsid w:val="009A1D4F"/>
    <w:rsid w:val="009A20B6"/>
    <w:rsid w:val="009A2738"/>
    <w:rsid w:val="009A2BAD"/>
    <w:rsid w:val="009A2C71"/>
    <w:rsid w:val="009A2F00"/>
    <w:rsid w:val="009A3048"/>
    <w:rsid w:val="009A331A"/>
    <w:rsid w:val="009A35DE"/>
    <w:rsid w:val="009A37EB"/>
    <w:rsid w:val="009A3817"/>
    <w:rsid w:val="009A3AF3"/>
    <w:rsid w:val="009A4263"/>
    <w:rsid w:val="009A4269"/>
    <w:rsid w:val="009A43DF"/>
    <w:rsid w:val="009A4415"/>
    <w:rsid w:val="009A4739"/>
    <w:rsid w:val="009A4864"/>
    <w:rsid w:val="009A49B3"/>
    <w:rsid w:val="009A49FF"/>
    <w:rsid w:val="009A50E6"/>
    <w:rsid w:val="009A549C"/>
    <w:rsid w:val="009A5515"/>
    <w:rsid w:val="009A5721"/>
    <w:rsid w:val="009A5811"/>
    <w:rsid w:val="009A5F73"/>
    <w:rsid w:val="009A6149"/>
    <w:rsid w:val="009A662F"/>
    <w:rsid w:val="009A67A2"/>
    <w:rsid w:val="009A6A3F"/>
    <w:rsid w:val="009A6B5E"/>
    <w:rsid w:val="009A6BC1"/>
    <w:rsid w:val="009A6BD2"/>
    <w:rsid w:val="009A6C9B"/>
    <w:rsid w:val="009A727F"/>
    <w:rsid w:val="009A7288"/>
    <w:rsid w:val="009A75C4"/>
    <w:rsid w:val="009A764A"/>
    <w:rsid w:val="009B0056"/>
    <w:rsid w:val="009B00D7"/>
    <w:rsid w:val="009B02AC"/>
    <w:rsid w:val="009B076E"/>
    <w:rsid w:val="009B07FE"/>
    <w:rsid w:val="009B0A9F"/>
    <w:rsid w:val="009B0D3A"/>
    <w:rsid w:val="009B0EBA"/>
    <w:rsid w:val="009B0FBF"/>
    <w:rsid w:val="009B1189"/>
    <w:rsid w:val="009B14B0"/>
    <w:rsid w:val="009B1577"/>
    <w:rsid w:val="009B1751"/>
    <w:rsid w:val="009B18A4"/>
    <w:rsid w:val="009B1F0C"/>
    <w:rsid w:val="009B26F6"/>
    <w:rsid w:val="009B2827"/>
    <w:rsid w:val="009B2847"/>
    <w:rsid w:val="009B29FD"/>
    <w:rsid w:val="009B2B4B"/>
    <w:rsid w:val="009B2B90"/>
    <w:rsid w:val="009B2CBE"/>
    <w:rsid w:val="009B2F01"/>
    <w:rsid w:val="009B319F"/>
    <w:rsid w:val="009B31F3"/>
    <w:rsid w:val="009B337C"/>
    <w:rsid w:val="009B37EE"/>
    <w:rsid w:val="009B39AB"/>
    <w:rsid w:val="009B3AD7"/>
    <w:rsid w:val="009B3B78"/>
    <w:rsid w:val="009B3B82"/>
    <w:rsid w:val="009B3C16"/>
    <w:rsid w:val="009B3D30"/>
    <w:rsid w:val="009B3F77"/>
    <w:rsid w:val="009B47F7"/>
    <w:rsid w:val="009B49C2"/>
    <w:rsid w:val="009B4AA4"/>
    <w:rsid w:val="009B4DCD"/>
    <w:rsid w:val="009B52D0"/>
    <w:rsid w:val="009B5413"/>
    <w:rsid w:val="009B557B"/>
    <w:rsid w:val="009B55B5"/>
    <w:rsid w:val="009B5B12"/>
    <w:rsid w:val="009B5D8F"/>
    <w:rsid w:val="009B5E87"/>
    <w:rsid w:val="009B5EF5"/>
    <w:rsid w:val="009B615A"/>
    <w:rsid w:val="009B6468"/>
    <w:rsid w:val="009B6481"/>
    <w:rsid w:val="009B64B4"/>
    <w:rsid w:val="009B65CF"/>
    <w:rsid w:val="009B660B"/>
    <w:rsid w:val="009B68B1"/>
    <w:rsid w:val="009B6A37"/>
    <w:rsid w:val="009B74C3"/>
    <w:rsid w:val="009B7F5B"/>
    <w:rsid w:val="009C00F1"/>
    <w:rsid w:val="009C0275"/>
    <w:rsid w:val="009C0904"/>
    <w:rsid w:val="009C0C01"/>
    <w:rsid w:val="009C0E37"/>
    <w:rsid w:val="009C0EB4"/>
    <w:rsid w:val="009C1017"/>
    <w:rsid w:val="009C10D0"/>
    <w:rsid w:val="009C1319"/>
    <w:rsid w:val="009C137C"/>
    <w:rsid w:val="009C14C2"/>
    <w:rsid w:val="009C1777"/>
    <w:rsid w:val="009C19E6"/>
    <w:rsid w:val="009C1C62"/>
    <w:rsid w:val="009C1CBB"/>
    <w:rsid w:val="009C1FCE"/>
    <w:rsid w:val="009C20E1"/>
    <w:rsid w:val="009C22CB"/>
    <w:rsid w:val="009C2406"/>
    <w:rsid w:val="009C26D4"/>
    <w:rsid w:val="009C284A"/>
    <w:rsid w:val="009C29D3"/>
    <w:rsid w:val="009C2A11"/>
    <w:rsid w:val="009C2B43"/>
    <w:rsid w:val="009C2C6A"/>
    <w:rsid w:val="009C3020"/>
    <w:rsid w:val="009C3265"/>
    <w:rsid w:val="009C37A9"/>
    <w:rsid w:val="009C3988"/>
    <w:rsid w:val="009C3B01"/>
    <w:rsid w:val="009C3DFC"/>
    <w:rsid w:val="009C3E81"/>
    <w:rsid w:val="009C41EA"/>
    <w:rsid w:val="009C483C"/>
    <w:rsid w:val="009C4892"/>
    <w:rsid w:val="009C4BF1"/>
    <w:rsid w:val="009C50A3"/>
    <w:rsid w:val="009C57B4"/>
    <w:rsid w:val="009C5E09"/>
    <w:rsid w:val="009C6520"/>
    <w:rsid w:val="009C65CB"/>
    <w:rsid w:val="009C66BE"/>
    <w:rsid w:val="009C6789"/>
    <w:rsid w:val="009C6CB2"/>
    <w:rsid w:val="009C6D90"/>
    <w:rsid w:val="009C6EB2"/>
    <w:rsid w:val="009C6EC3"/>
    <w:rsid w:val="009C736D"/>
    <w:rsid w:val="009C7389"/>
    <w:rsid w:val="009C73E1"/>
    <w:rsid w:val="009C7A3B"/>
    <w:rsid w:val="009C7C7C"/>
    <w:rsid w:val="009C7DB6"/>
    <w:rsid w:val="009C7DDB"/>
    <w:rsid w:val="009C7EB8"/>
    <w:rsid w:val="009C7F82"/>
    <w:rsid w:val="009D027B"/>
    <w:rsid w:val="009D03BB"/>
    <w:rsid w:val="009D04DB"/>
    <w:rsid w:val="009D08C0"/>
    <w:rsid w:val="009D1296"/>
    <w:rsid w:val="009D1399"/>
    <w:rsid w:val="009D147D"/>
    <w:rsid w:val="009D1BCA"/>
    <w:rsid w:val="009D2070"/>
    <w:rsid w:val="009D2341"/>
    <w:rsid w:val="009D2880"/>
    <w:rsid w:val="009D29D1"/>
    <w:rsid w:val="009D2A94"/>
    <w:rsid w:val="009D2C60"/>
    <w:rsid w:val="009D2E21"/>
    <w:rsid w:val="009D321E"/>
    <w:rsid w:val="009D346B"/>
    <w:rsid w:val="009D4069"/>
    <w:rsid w:val="009D45C6"/>
    <w:rsid w:val="009D4926"/>
    <w:rsid w:val="009D51DF"/>
    <w:rsid w:val="009D5464"/>
    <w:rsid w:val="009D58B3"/>
    <w:rsid w:val="009D59AE"/>
    <w:rsid w:val="009D5B57"/>
    <w:rsid w:val="009D602D"/>
    <w:rsid w:val="009D603B"/>
    <w:rsid w:val="009D61CB"/>
    <w:rsid w:val="009D6467"/>
    <w:rsid w:val="009D66EB"/>
    <w:rsid w:val="009D674C"/>
    <w:rsid w:val="009D6788"/>
    <w:rsid w:val="009D6796"/>
    <w:rsid w:val="009D71F0"/>
    <w:rsid w:val="009D7310"/>
    <w:rsid w:val="009D73B2"/>
    <w:rsid w:val="009D7570"/>
    <w:rsid w:val="009D7625"/>
    <w:rsid w:val="009D78EB"/>
    <w:rsid w:val="009D7B4D"/>
    <w:rsid w:val="009E035E"/>
    <w:rsid w:val="009E041B"/>
    <w:rsid w:val="009E0447"/>
    <w:rsid w:val="009E0C46"/>
    <w:rsid w:val="009E12BC"/>
    <w:rsid w:val="009E1372"/>
    <w:rsid w:val="009E1378"/>
    <w:rsid w:val="009E1B8E"/>
    <w:rsid w:val="009E1E31"/>
    <w:rsid w:val="009E2314"/>
    <w:rsid w:val="009E2334"/>
    <w:rsid w:val="009E23FD"/>
    <w:rsid w:val="009E2947"/>
    <w:rsid w:val="009E2F8F"/>
    <w:rsid w:val="009E2FB4"/>
    <w:rsid w:val="009E3066"/>
    <w:rsid w:val="009E36E0"/>
    <w:rsid w:val="009E37DB"/>
    <w:rsid w:val="009E3FDA"/>
    <w:rsid w:val="009E4344"/>
    <w:rsid w:val="009E43DD"/>
    <w:rsid w:val="009E44C6"/>
    <w:rsid w:val="009E4563"/>
    <w:rsid w:val="009E48AD"/>
    <w:rsid w:val="009E4A12"/>
    <w:rsid w:val="009E4C67"/>
    <w:rsid w:val="009E4E9D"/>
    <w:rsid w:val="009E519D"/>
    <w:rsid w:val="009E54D4"/>
    <w:rsid w:val="009E55AB"/>
    <w:rsid w:val="009E5E0F"/>
    <w:rsid w:val="009E660F"/>
    <w:rsid w:val="009E6A17"/>
    <w:rsid w:val="009E6BCA"/>
    <w:rsid w:val="009E72A2"/>
    <w:rsid w:val="009E7555"/>
    <w:rsid w:val="009E7867"/>
    <w:rsid w:val="009E796C"/>
    <w:rsid w:val="009E7FE9"/>
    <w:rsid w:val="009F006D"/>
    <w:rsid w:val="009F096A"/>
    <w:rsid w:val="009F09F8"/>
    <w:rsid w:val="009F0A0D"/>
    <w:rsid w:val="009F115E"/>
    <w:rsid w:val="009F1491"/>
    <w:rsid w:val="009F1658"/>
    <w:rsid w:val="009F18FA"/>
    <w:rsid w:val="009F19D6"/>
    <w:rsid w:val="009F1F2E"/>
    <w:rsid w:val="009F235C"/>
    <w:rsid w:val="009F23FC"/>
    <w:rsid w:val="009F2439"/>
    <w:rsid w:val="009F2572"/>
    <w:rsid w:val="009F2656"/>
    <w:rsid w:val="009F29FE"/>
    <w:rsid w:val="009F2DCC"/>
    <w:rsid w:val="009F2F6C"/>
    <w:rsid w:val="009F3039"/>
    <w:rsid w:val="009F365D"/>
    <w:rsid w:val="009F36F8"/>
    <w:rsid w:val="009F3902"/>
    <w:rsid w:val="009F3944"/>
    <w:rsid w:val="009F4235"/>
    <w:rsid w:val="009F4559"/>
    <w:rsid w:val="009F46A3"/>
    <w:rsid w:val="009F4743"/>
    <w:rsid w:val="009F4AFB"/>
    <w:rsid w:val="009F4B1D"/>
    <w:rsid w:val="009F4CD6"/>
    <w:rsid w:val="009F4D2B"/>
    <w:rsid w:val="009F4F9F"/>
    <w:rsid w:val="009F507D"/>
    <w:rsid w:val="009F55AC"/>
    <w:rsid w:val="009F580E"/>
    <w:rsid w:val="009F5B75"/>
    <w:rsid w:val="009F5D79"/>
    <w:rsid w:val="009F5F8F"/>
    <w:rsid w:val="009F6294"/>
    <w:rsid w:val="009F6393"/>
    <w:rsid w:val="009F6B1F"/>
    <w:rsid w:val="009F6D02"/>
    <w:rsid w:val="009F6E01"/>
    <w:rsid w:val="009F6F7D"/>
    <w:rsid w:val="009F70A0"/>
    <w:rsid w:val="009F7410"/>
    <w:rsid w:val="009F74E2"/>
    <w:rsid w:val="009F783C"/>
    <w:rsid w:val="009F7D25"/>
    <w:rsid w:val="00A008DB"/>
    <w:rsid w:val="00A00958"/>
    <w:rsid w:val="00A00A9B"/>
    <w:rsid w:val="00A00E42"/>
    <w:rsid w:val="00A01152"/>
    <w:rsid w:val="00A01187"/>
    <w:rsid w:val="00A01455"/>
    <w:rsid w:val="00A01AD7"/>
    <w:rsid w:val="00A01F74"/>
    <w:rsid w:val="00A01FF0"/>
    <w:rsid w:val="00A0215B"/>
    <w:rsid w:val="00A0218A"/>
    <w:rsid w:val="00A028F0"/>
    <w:rsid w:val="00A02964"/>
    <w:rsid w:val="00A02DEF"/>
    <w:rsid w:val="00A02ED5"/>
    <w:rsid w:val="00A02F60"/>
    <w:rsid w:val="00A030B2"/>
    <w:rsid w:val="00A03794"/>
    <w:rsid w:val="00A03B76"/>
    <w:rsid w:val="00A0413D"/>
    <w:rsid w:val="00A04C28"/>
    <w:rsid w:val="00A04C2E"/>
    <w:rsid w:val="00A04CA3"/>
    <w:rsid w:val="00A04D83"/>
    <w:rsid w:val="00A04F0E"/>
    <w:rsid w:val="00A057B5"/>
    <w:rsid w:val="00A05A26"/>
    <w:rsid w:val="00A05A2A"/>
    <w:rsid w:val="00A05B0E"/>
    <w:rsid w:val="00A05DCC"/>
    <w:rsid w:val="00A06C54"/>
    <w:rsid w:val="00A071D1"/>
    <w:rsid w:val="00A07213"/>
    <w:rsid w:val="00A0738B"/>
    <w:rsid w:val="00A074F0"/>
    <w:rsid w:val="00A075E7"/>
    <w:rsid w:val="00A0780D"/>
    <w:rsid w:val="00A07E56"/>
    <w:rsid w:val="00A07F37"/>
    <w:rsid w:val="00A1088E"/>
    <w:rsid w:val="00A11610"/>
    <w:rsid w:val="00A11AAF"/>
    <w:rsid w:val="00A120B6"/>
    <w:rsid w:val="00A1239E"/>
    <w:rsid w:val="00A12529"/>
    <w:rsid w:val="00A12682"/>
    <w:rsid w:val="00A1282F"/>
    <w:rsid w:val="00A12B43"/>
    <w:rsid w:val="00A12DAC"/>
    <w:rsid w:val="00A132D5"/>
    <w:rsid w:val="00A132F0"/>
    <w:rsid w:val="00A134DC"/>
    <w:rsid w:val="00A13A7E"/>
    <w:rsid w:val="00A13BE5"/>
    <w:rsid w:val="00A142D1"/>
    <w:rsid w:val="00A1452A"/>
    <w:rsid w:val="00A146B2"/>
    <w:rsid w:val="00A14C4A"/>
    <w:rsid w:val="00A14F9A"/>
    <w:rsid w:val="00A15046"/>
    <w:rsid w:val="00A15361"/>
    <w:rsid w:val="00A15498"/>
    <w:rsid w:val="00A15677"/>
    <w:rsid w:val="00A159AC"/>
    <w:rsid w:val="00A15B21"/>
    <w:rsid w:val="00A15EBA"/>
    <w:rsid w:val="00A16465"/>
    <w:rsid w:val="00A16754"/>
    <w:rsid w:val="00A1679E"/>
    <w:rsid w:val="00A16AF6"/>
    <w:rsid w:val="00A172B2"/>
    <w:rsid w:val="00A175B5"/>
    <w:rsid w:val="00A17ABA"/>
    <w:rsid w:val="00A17B2F"/>
    <w:rsid w:val="00A17C8A"/>
    <w:rsid w:val="00A17EA3"/>
    <w:rsid w:val="00A20024"/>
    <w:rsid w:val="00A203E3"/>
    <w:rsid w:val="00A20C9A"/>
    <w:rsid w:val="00A20F37"/>
    <w:rsid w:val="00A20F7A"/>
    <w:rsid w:val="00A21850"/>
    <w:rsid w:val="00A21BB5"/>
    <w:rsid w:val="00A21FE2"/>
    <w:rsid w:val="00A220E6"/>
    <w:rsid w:val="00A222AF"/>
    <w:rsid w:val="00A2231F"/>
    <w:rsid w:val="00A227CB"/>
    <w:rsid w:val="00A22942"/>
    <w:rsid w:val="00A2299A"/>
    <w:rsid w:val="00A229FB"/>
    <w:rsid w:val="00A23284"/>
    <w:rsid w:val="00A23481"/>
    <w:rsid w:val="00A2357A"/>
    <w:rsid w:val="00A23583"/>
    <w:rsid w:val="00A23CE0"/>
    <w:rsid w:val="00A23D1D"/>
    <w:rsid w:val="00A23F50"/>
    <w:rsid w:val="00A24A40"/>
    <w:rsid w:val="00A24FE0"/>
    <w:rsid w:val="00A250D9"/>
    <w:rsid w:val="00A252C0"/>
    <w:rsid w:val="00A25696"/>
    <w:rsid w:val="00A256C6"/>
    <w:rsid w:val="00A25B56"/>
    <w:rsid w:val="00A25D63"/>
    <w:rsid w:val="00A25E3B"/>
    <w:rsid w:val="00A261BD"/>
    <w:rsid w:val="00A262A0"/>
    <w:rsid w:val="00A262D0"/>
    <w:rsid w:val="00A26357"/>
    <w:rsid w:val="00A26687"/>
    <w:rsid w:val="00A269C1"/>
    <w:rsid w:val="00A26CD8"/>
    <w:rsid w:val="00A26D41"/>
    <w:rsid w:val="00A27136"/>
    <w:rsid w:val="00A2743D"/>
    <w:rsid w:val="00A274AA"/>
    <w:rsid w:val="00A274CB"/>
    <w:rsid w:val="00A277FD"/>
    <w:rsid w:val="00A27CC1"/>
    <w:rsid w:val="00A27DA7"/>
    <w:rsid w:val="00A27DFC"/>
    <w:rsid w:val="00A27E06"/>
    <w:rsid w:val="00A27FF6"/>
    <w:rsid w:val="00A300AF"/>
    <w:rsid w:val="00A304A2"/>
    <w:rsid w:val="00A305F0"/>
    <w:rsid w:val="00A31096"/>
    <w:rsid w:val="00A31229"/>
    <w:rsid w:val="00A31323"/>
    <w:rsid w:val="00A31695"/>
    <w:rsid w:val="00A31AED"/>
    <w:rsid w:val="00A31DC7"/>
    <w:rsid w:val="00A32064"/>
    <w:rsid w:val="00A3231C"/>
    <w:rsid w:val="00A325CE"/>
    <w:rsid w:val="00A32652"/>
    <w:rsid w:val="00A32714"/>
    <w:rsid w:val="00A32C87"/>
    <w:rsid w:val="00A33272"/>
    <w:rsid w:val="00A33419"/>
    <w:rsid w:val="00A3373D"/>
    <w:rsid w:val="00A3419A"/>
    <w:rsid w:val="00A341BD"/>
    <w:rsid w:val="00A34249"/>
    <w:rsid w:val="00A34431"/>
    <w:rsid w:val="00A345D5"/>
    <w:rsid w:val="00A3466D"/>
    <w:rsid w:val="00A347CE"/>
    <w:rsid w:val="00A34828"/>
    <w:rsid w:val="00A34A75"/>
    <w:rsid w:val="00A34BE3"/>
    <w:rsid w:val="00A35058"/>
    <w:rsid w:val="00A35272"/>
    <w:rsid w:val="00A355CC"/>
    <w:rsid w:val="00A358C8"/>
    <w:rsid w:val="00A35AEF"/>
    <w:rsid w:val="00A35D4F"/>
    <w:rsid w:val="00A35FBC"/>
    <w:rsid w:val="00A368D8"/>
    <w:rsid w:val="00A36987"/>
    <w:rsid w:val="00A36A4D"/>
    <w:rsid w:val="00A36B9F"/>
    <w:rsid w:val="00A36C40"/>
    <w:rsid w:val="00A36CE2"/>
    <w:rsid w:val="00A370CB"/>
    <w:rsid w:val="00A3725F"/>
    <w:rsid w:val="00A3750C"/>
    <w:rsid w:val="00A37567"/>
    <w:rsid w:val="00A37921"/>
    <w:rsid w:val="00A37B3F"/>
    <w:rsid w:val="00A37B4A"/>
    <w:rsid w:val="00A37D94"/>
    <w:rsid w:val="00A37FBD"/>
    <w:rsid w:val="00A401A7"/>
    <w:rsid w:val="00A402A7"/>
    <w:rsid w:val="00A40487"/>
    <w:rsid w:val="00A405F4"/>
    <w:rsid w:val="00A40664"/>
    <w:rsid w:val="00A40D50"/>
    <w:rsid w:val="00A417B0"/>
    <w:rsid w:val="00A417C8"/>
    <w:rsid w:val="00A41E13"/>
    <w:rsid w:val="00A421A8"/>
    <w:rsid w:val="00A4254F"/>
    <w:rsid w:val="00A42E7C"/>
    <w:rsid w:val="00A42F01"/>
    <w:rsid w:val="00A430A3"/>
    <w:rsid w:val="00A4311B"/>
    <w:rsid w:val="00A43125"/>
    <w:rsid w:val="00A431AC"/>
    <w:rsid w:val="00A431C1"/>
    <w:rsid w:val="00A4350A"/>
    <w:rsid w:val="00A43846"/>
    <w:rsid w:val="00A4389E"/>
    <w:rsid w:val="00A438D2"/>
    <w:rsid w:val="00A43955"/>
    <w:rsid w:val="00A43B2F"/>
    <w:rsid w:val="00A43D3A"/>
    <w:rsid w:val="00A43DA6"/>
    <w:rsid w:val="00A44152"/>
    <w:rsid w:val="00A443A4"/>
    <w:rsid w:val="00A443EF"/>
    <w:rsid w:val="00A446F2"/>
    <w:rsid w:val="00A448BD"/>
    <w:rsid w:val="00A44F07"/>
    <w:rsid w:val="00A45367"/>
    <w:rsid w:val="00A45F1F"/>
    <w:rsid w:val="00A460D6"/>
    <w:rsid w:val="00A46655"/>
    <w:rsid w:val="00A4667A"/>
    <w:rsid w:val="00A466D1"/>
    <w:rsid w:val="00A46744"/>
    <w:rsid w:val="00A46951"/>
    <w:rsid w:val="00A46E8C"/>
    <w:rsid w:val="00A47051"/>
    <w:rsid w:val="00A47060"/>
    <w:rsid w:val="00A47426"/>
    <w:rsid w:val="00A47479"/>
    <w:rsid w:val="00A474DD"/>
    <w:rsid w:val="00A47630"/>
    <w:rsid w:val="00A478DC"/>
    <w:rsid w:val="00A47A71"/>
    <w:rsid w:val="00A47BE8"/>
    <w:rsid w:val="00A50221"/>
    <w:rsid w:val="00A5052A"/>
    <w:rsid w:val="00A508CC"/>
    <w:rsid w:val="00A50946"/>
    <w:rsid w:val="00A50ACB"/>
    <w:rsid w:val="00A50EE2"/>
    <w:rsid w:val="00A511FC"/>
    <w:rsid w:val="00A5176E"/>
    <w:rsid w:val="00A51AAF"/>
    <w:rsid w:val="00A51D31"/>
    <w:rsid w:val="00A51E0E"/>
    <w:rsid w:val="00A521BB"/>
    <w:rsid w:val="00A52887"/>
    <w:rsid w:val="00A528C1"/>
    <w:rsid w:val="00A52987"/>
    <w:rsid w:val="00A5298E"/>
    <w:rsid w:val="00A52C42"/>
    <w:rsid w:val="00A52EBD"/>
    <w:rsid w:val="00A52F97"/>
    <w:rsid w:val="00A53055"/>
    <w:rsid w:val="00A537E2"/>
    <w:rsid w:val="00A53FAE"/>
    <w:rsid w:val="00A543A4"/>
    <w:rsid w:val="00A5446E"/>
    <w:rsid w:val="00A54ACA"/>
    <w:rsid w:val="00A55B6C"/>
    <w:rsid w:val="00A55C6B"/>
    <w:rsid w:val="00A56062"/>
    <w:rsid w:val="00A56383"/>
    <w:rsid w:val="00A56DBC"/>
    <w:rsid w:val="00A56EF1"/>
    <w:rsid w:val="00A57106"/>
    <w:rsid w:val="00A5764D"/>
    <w:rsid w:val="00A57723"/>
    <w:rsid w:val="00A57B86"/>
    <w:rsid w:val="00A57C2B"/>
    <w:rsid w:val="00A6023C"/>
    <w:rsid w:val="00A602D5"/>
    <w:rsid w:val="00A60579"/>
    <w:rsid w:val="00A6061B"/>
    <w:rsid w:val="00A607A7"/>
    <w:rsid w:val="00A60A54"/>
    <w:rsid w:val="00A60E63"/>
    <w:rsid w:val="00A613D2"/>
    <w:rsid w:val="00A614D3"/>
    <w:rsid w:val="00A61809"/>
    <w:rsid w:val="00A620CD"/>
    <w:rsid w:val="00A6272B"/>
    <w:rsid w:val="00A6278D"/>
    <w:rsid w:val="00A62C2E"/>
    <w:rsid w:val="00A63265"/>
    <w:rsid w:val="00A6355A"/>
    <w:rsid w:val="00A63715"/>
    <w:rsid w:val="00A63B23"/>
    <w:rsid w:val="00A64404"/>
    <w:rsid w:val="00A64561"/>
    <w:rsid w:val="00A64A7F"/>
    <w:rsid w:val="00A64B9D"/>
    <w:rsid w:val="00A64BFF"/>
    <w:rsid w:val="00A64C3A"/>
    <w:rsid w:val="00A64C75"/>
    <w:rsid w:val="00A64F5E"/>
    <w:rsid w:val="00A65690"/>
    <w:rsid w:val="00A65870"/>
    <w:rsid w:val="00A65D37"/>
    <w:rsid w:val="00A65D93"/>
    <w:rsid w:val="00A65F9D"/>
    <w:rsid w:val="00A6615F"/>
    <w:rsid w:val="00A664E1"/>
    <w:rsid w:val="00A667CB"/>
    <w:rsid w:val="00A66801"/>
    <w:rsid w:val="00A66F60"/>
    <w:rsid w:val="00A673AC"/>
    <w:rsid w:val="00A675CA"/>
    <w:rsid w:val="00A67666"/>
    <w:rsid w:val="00A6769B"/>
    <w:rsid w:val="00A67731"/>
    <w:rsid w:val="00A678A9"/>
    <w:rsid w:val="00A679AE"/>
    <w:rsid w:val="00A67BAA"/>
    <w:rsid w:val="00A700FA"/>
    <w:rsid w:val="00A704FD"/>
    <w:rsid w:val="00A7084B"/>
    <w:rsid w:val="00A71421"/>
    <w:rsid w:val="00A71A69"/>
    <w:rsid w:val="00A71B78"/>
    <w:rsid w:val="00A720A3"/>
    <w:rsid w:val="00A7261B"/>
    <w:rsid w:val="00A72C68"/>
    <w:rsid w:val="00A72DA0"/>
    <w:rsid w:val="00A72EBA"/>
    <w:rsid w:val="00A72EC0"/>
    <w:rsid w:val="00A736B0"/>
    <w:rsid w:val="00A73769"/>
    <w:rsid w:val="00A73BEC"/>
    <w:rsid w:val="00A73F40"/>
    <w:rsid w:val="00A741E2"/>
    <w:rsid w:val="00A741FA"/>
    <w:rsid w:val="00A74402"/>
    <w:rsid w:val="00A74612"/>
    <w:rsid w:val="00A747AF"/>
    <w:rsid w:val="00A74AE9"/>
    <w:rsid w:val="00A7503C"/>
    <w:rsid w:val="00A75178"/>
    <w:rsid w:val="00A758DA"/>
    <w:rsid w:val="00A75B4F"/>
    <w:rsid w:val="00A75B93"/>
    <w:rsid w:val="00A75DF7"/>
    <w:rsid w:val="00A75E42"/>
    <w:rsid w:val="00A75E47"/>
    <w:rsid w:val="00A75EA5"/>
    <w:rsid w:val="00A75F73"/>
    <w:rsid w:val="00A764AE"/>
    <w:rsid w:val="00A76AF8"/>
    <w:rsid w:val="00A76B64"/>
    <w:rsid w:val="00A76E0E"/>
    <w:rsid w:val="00A76F80"/>
    <w:rsid w:val="00A7759B"/>
    <w:rsid w:val="00A77819"/>
    <w:rsid w:val="00A77E00"/>
    <w:rsid w:val="00A77E9D"/>
    <w:rsid w:val="00A77EA1"/>
    <w:rsid w:val="00A8002E"/>
    <w:rsid w:val="00A80489"/>
    <w:rsid w:val="00A808F2"/>
    <w:rsid w:val="00A80EB8"/>
    <w:rsid w:val="00A80F42"/>
    <w:rsid w:val="00A80F7A"/>
    <w:rsid w:val="00A80FEA"/>
    <w:rsid w:val="00A81881"/>
    <w:rsid w:val="00A819D6"/>
    <w:rsid w:val="00A819F4"/>
    <w:rsid w:val="00A81A43"/>
    <w:rsid w:val="00A81B35"/>
    <w:rsid w:val="00A81D36"/>
    <w:rsid w:val="00A821B0"/>
    <w:rsid w:val="00A821FC"/>
    <w:rsid w:val="00A822A4"/>
    <w:rsid w:val="00A82642"/>
    <w:rsid w:val="00A8280B"/>
    <w:rsid w:val="00A82A3A"/>
    <w:rsid w:val="00A830E1"/>
    <w:rsid w:val="00A8324B"/>
    <w:rsid w:val="00A832A3"/>
    <w:rsid w:val="00A83F4E"/>
    <w:rsid w:val="00A83F6A"/>
    <w:rsid w:val="00A83F71"/>
    <w:rsid w:val="00A83FF2"/>
    <w:rsid w:val="00A840A9"/>
    <w:rsid w:val="00A8421C"/>
    <w:rsid w:val="00A84500"/>
    <w:rsid w:val="00A8475A"/>
    <w:rsid w:val="00A84A31"/>
    <w:rsid w:val="00A84AF4"/>
    <w:rsid w:val="00A84E14"/>
    <w:rsid w:val="00A84E25"/>
    <w:rsid w:val="00A84EBC"/>
    <w:rsid w:val="00A84FD7"/>
    <w:rsid w:val="00A85070"/>
    <w:rsid w:val="00A85621"/>
    <w:rsid w:val="00A8581E"/>
    <w:rsid w:val="00A85915"/>
    <w:rsid w:val="00A85970"/>
    <w:rsid w:val="00A85BD2"/>
    <w:rsid w:val="00A85FA5"/>
    <w:rsid w:val="00A864D3"/>
    <w:rsid w:val="00A87E55"/>
    <w:rsid w:val="00A904A3"/>
    <w:rsid w:val="00A904BB"/>
    <w:rsid w:val="00A905F6"/>
    <w:rsid w:val="00A90649"/>
    <w:rsid w:val="00A909AB"/>
    <w:rsid w:val="00A90DFF"/>
    <w:rsid w:val="00A90E64"/>
    <w:rsid w:val="00A90E9C"/>
    <w:rsid w:val="00A911BD"/>
    <w:rsid w:val="00A919B8"/>
    <w:rsid w:val="00A92214"/>
    <w:rsid w:val="00A9243F"/>
    <w:rsid w:val="00A924A2"/>
    <w:rsid w:val="00A92771"/>
    <w:rsid w:val="00A92783"/>
    <w:rsid w:val="00A92799"/>
    <w:rsid w:val="00A929AF"/>
    <w:rsid w:val="00A92B81"/>
    <w:rsid w:val="00A92C2E"/>
    <w:rsid w:val="00A92CCA"/>
    <w:rsid w:val="00A93416"/>
    <w:rsid w:val="00A9345C"/>
    <w:rsid w:val="00A93931"/>
    <w:rsid w:val="00A93A3B"/>
    <w:rsid w:val="00A93B56"/>
    <w:rsid w:val="00A93D45"/>
    <w:rsid w:val="00A94007"/>
    <w:rsid w:val="00A940F1"/>
    <w:rsid w:val="00A941E5"/>
    <w:rsid w:val="00A94324"/>
    <w:rsid w:val="00A94444"/>
    <w:rsid w:val="00A94B1B"/>
    <w:rsid w:val="00A94E2D"/>
    <w:rsid w:val="00A951B7"/>
    <w:rsid w:val="00A95305"/>
    <w:rsid w:val="00A9565E"/>
    <w:rsid w:val="00A95DC4"/>
    <w:rsid w:val="00A962F0"/>
    <w:rsid w:val="00A96D8D"/>
    <w:rsid w:val="00A97044"/>
    <w:rsid w:val="00A972DB"/>
    <w:rsid w:val="00A9739F"/>
    <w:rsid w:val="00A9764F"/>
    <w:rsid w:val="00A977D5"/>
    <w:rsid w:val="00A97F6B"/>
    <w:rsid w:val="00A97F8F"/>
    <w:rsid w:val="00AA01BF"/>
    <w:rsid w:val="00AA01CE"/>
    <w:rsid w:val="00AA0AC7"/>
    <w:rsid w:val="00AA0BBC"/>
    <w:rsid w:val="00AA0E46"/>
    <w:rsid w:val="00AA11D5"/>
    <w:rsid w:val="00AA1713"/>
    <w:rsid w:val="00AA1A52"/>
    <w:rsid w:val="00AA1CA8"/>
    <w:rsid w:val="00AA1E1B"/>
    <w:rsid w:val="00AA1FE0"/>
    <w:rsid w:val="00AA2177"/>
    <w:rsid w:val="00AA2311"/>
    <w:rsid w:val="00AA25BF"/>
    <w:rsid w:val="00AA2695"/>
    <w:rsid w:val="00AA27EF"/>
    <w:rsid w:val="00AA2906"/>
    <w:rsid w:val="00AA2C73"/>
    <w:rsid w:val="00AA2E1E"/>
    <w:rsid w:val="00AA308E"/>
    <w:rsid w:val="00AA31AE"/>
    <w:rsid w:val="00AA3360"/>
    <w:rsid w:val="00AA3875"/>
    <w:rsid w:val="00AA3D3D"/>
    <w:rsid w:val="00AA3DA6"/>
    <w:rsid w:val="00AA3DBF"/>
    <w:rsid w:val="00AA3EE6"/>
    <w:rsid w:val="00AA3F44"/>
    <w:rsid w:val="00AA4356"/>
    <w:rsid w:val="00AA4656"/>
    <w:rsid w:val="00AA495C"/>
    <w:rsid w:val="00AA4A3F"/>
    <w:rsid w:val="00AA4A4C"/>
    <w:rsid w:val="00AA4C19"/>
    <w:rsid w:val="00AA4E53"/>
    <w:rsid w:val="00AA541D"/>
    <w:rsid w:val="00AA5C72"/>
    <w:rsid w:val="00AA5D1B"/>
    <w:rsid w:val="00AA6374"/>
    <w:rsid w:val="00AA66D6"/>
    <w:rsid w:val="00AA6B47"/>
    <w:rsid w:val="00AA6BDF"/>
    <w:rsid w:val="00AA6CA0"/>
    <w:rsid w:val="00AA76A8"/>
    <w:rsid w:val="00AA77E8"/>
    <w:rsid w:val="00AA7CDC"/>
    <w:rsid w:val="00AA7E34"/>
    <w:rsid w:val="00AB018A"/>
    <w:rsid w:val="00AB0409"/>
    <w:rsid w:val="00AB0683"/>
    <w:rsid w:val="00AB070A"/>
    <w:rsid w:val="00AB0787"/>
    <w:rsid w:val="00AB0883"/>
    <w:rsid w:val="00AB0D3B"/>
    <w:rsid w:val="00AB1525"/>
    <w:rsid w:val="00AB176A"/>
    <w:rsid w:val="00AB19C9"/>
    <w:rsid w:val="00AB1C4A"/>
    <w:rsid w:val="00AB1EC1"/>
    <w:rsid w:val="00AB20B4"/>
    <w:rsid w:val="00AB27BC"/>
    <w:rsid w:val="00AB2876"/>
    <w:rsid w:val="00AB28CB"/>
    <w:rsid w:val="00AB2A77"/>
    <w:rsid w:val="00AB2E83"/>
    <w:rsid w:val="00AB2F8A"/>
    <w:rsid w:val="00AB3082"/>
    <w:rsid w:val="00AB3A00"/>
    <w:rsid w:val="00AB3B1C"/>
    <w:rsid w:val="00AB3BEC"/>
    <w:rsid w:val="00AB3CE4"/>
    <w:rsid w:val="00AB3DB0"/>
    <w:rsid w:val="00AB3F7E"/>
    <w:rsid w:val="00AB40D9"/>
    <w:rsid w:val="00AB430F"/>
    <w:rsid w:val="00AB45AD"/>
    <w:rsid w:val="00AB48FF"/>
    <w:rsid w:val="00AB4947"/>
    <w:rsid w:val="00AB4A22"/>
    <w:rsid w:val="00AB4A59"/>
    <w:rsid w:val="00AB4D8C"/>
    <w:rsid w:val="00AB4F03"/>
    <w:rsid w:val="00AB52EF"/>
    <w:rsid w:val="00AB59DE"/>
    <w:rsid w:val="00AB5AB8"/>
    <w:rsid w:val="00AB5B8E"/>
    <w:rsid w:val="00AB5F4B"/>
    <w:rsid w:val="00AB64C9"/>
    <w:rsid w:val="00AB6679"/>
    <w:rsid w:val="00AB6731"/>
    <w:rsid w:val="00AB6B40"/>
    <w:rsid w:val="00AB6BEF"/>
    <w:rsid w:val="00AB6C77"/>
    <w:rsid w:val="00AB6DDD"/>
    <w:rsid w:val="00AB706E"/>
    <w:rsid w:val="00AB717C"/>
    <w:rsid w:val="00AB7B92"/>
    <w:rsid w:val="00AB7CC3"/>
    <w:rsid w:val="00AB7FF4"/>
    <w:rsid w:val="00AC000E"/>
    <w:rsid w:val="00AC00F2"/>
    <w:rsid w:val="00AC01A5"/>
    <w:rsid w:val="00AC03D1"/>
    <w:rsid w:val="00AC080D"/>
    <w:rsid w:val="00AC0D1C"/>
    <w:rsid w:val="00AC1214"/>
    <w:rsid w:val="00AC1267"/>
    <w:rsid w:val="00AC141D"/>
    <w:rsid w:val="00AC1427"/>
    <w:rsid w:val="00AC1C10"/>
    <w:rsid w:val="00AC1E54"/>
    <w:rsid w:val="00AC2039"/>
    <w:rsid w:val="00AC2660"/>
    <w:rsid w:val="00AC40FA"/>
    <w:rsid w:val="00AC41E7"/>
    <w:rsid w:val="00AC42FD"/>
    <w:rsid w:val="00AC43A6"/>
    <w:rsid w:val="00AC4A6F"/>
    <w:rsid w:val="00AC4E23"/>
    <w:rsid w:val="00AC5185"/>
    <w:rsid w:val="00AC5256"/>
    <w:rsid w:val="00AC58AE"/>
    <w:rsid w:val="00AC5BFA"/>
    <w:rsid w:val="00AC604A"/>
    <w:rsid w:val="00AC694D"/>
    <w:rsid w:val="00AC69F2"/>
    <w:rsid w:val="00AC6B44"/>
    <w:rsid w:val="00AC754D"/>
    <w:rsid w:val="00AC7B3D"/>
    <w:rsid w:val="00AC7CE4"/>
    <w:rsid w:val="00AC7D0E"/>
    <w:rsid w:val="00AD005F"/>
    <w:rsid w:val="00AD0D1A"/>
    <w:rsid w:val="00AD13DF"/>
    <w:rsid w:val="00AD24D8"/>
    <w:rsid w:val="00AD2583"/>
    <w:rsid w:val="00AD2B96"/>
    <w:rsid w:val="00AD2C6F"/>
    <w:rsid w:val="00AD31B5"/>
    <w:rsid w:val="00AD35A9"/>
    <w:rsid w:val="00AD3793"/>
    <w:rsid w:val="00AD388F"/>
    <w:rsid w:val="00AD3B45"/>
    <w:rsid w:val="00AD4754"/>
    <w:rsid w:val="00AD5433"/>
    <w:rsid w:val="00AD5774"/>
    <w:rsid w:val="00AD5848"/>
    <w:rsid w:val="00AD58A8"/>
    <w:rsid w:val="00AD5C79"/>
    <w:rsid w:val="00AD5E80"/>
    <w:rsid w:val="00AD6D2E"/>
    <w:rsid w:val="00AD7332"/>
    <w:rsid w:val="00AD774A"/>
    <w:rsid w:val="00AD77C9"/>
    <w:rsid w:val="00AD7AB1"/>
    <w:rsid w:val="00AD7CD1"/>
    <w:rsid w:val="00AD7DE6"/>
    <w:rsid w:val="00AE00CA"/>
    <w:rsid w:val="00AE0579"/>
    <w:rsid w:val="00AE08B5"/>
    <w:rsid w:val="00AE0A0B"/>
    <w:rsid w:val="00AE1109"/>
    <w:rsid w:val="00AE138F"/>
    <w:rsid w:val="00AE179B"/>
    <w:rsid w:val="00AE1B43"/>
    <w:rsid w:val="00AE1BBA"/>
    <w:rsid w:val="00AE1C6D"/>
    <w:rsid w:val="00AE2061"/>
    <w:rsid w:val="00AE232D"/>
    <w:rsid w:val="00AE2639"/>
    <w:rsid w:val="00AE2966"/>
    <w:rsid w:val="00AE2BE0"/>
    <w:rsid w:val="00AE302B"/>
    <w:rsid w:val="00AE348C"/>
    <w:rsid w:val="00AE3EB1"/>
    <w:rsid w:val="00AE3F18"/>
    <w:rsid w:val="00AE453C"/>
    <w:rsid w:val="00AE473A"/>
    <w:rsid w:val="00AE4B0E"/>
    <w:rsid w:val="00AE4BD1"/>
    <w:rsid w:val="00AE4D21"/>
    <w:rsid w:val="00AE50B3"/>
    <w:rsid w:val="00AE54B1"/>
    <w:rsid w:val="00AE569A"/>
    <w:rsid w:val="00AE58B0"/>
    <w:rsid w:val="00AE61A2"/>
    <w:rsid w:val="00AE6624"/>
    <w:rsid w:val="00AE6AC3"/>
    <w:rsid w:val="00AE6ADC"/>
    <w:rsid w:val="00AE6DA0"/>
    <w:rsid w:val="00AE6E5B"/>
    <w:rsid w:val="00AE6F28"/>
    <w:rsid w:val="00AE740D"/>
    <w:rsid w:val="00AE74EB"/>
    <w:rsid w:val="00AE75A0"/>
    <w:rsid w:val="00AE7C30"/>
    <w:rsid w:val="00AE7C71"/>
    <w:rsid w:val="00AE7CCA"/>
    <w:rsid w:val="00AE7D21"/>
    <w:rsid w:val="00AF02A6"/>
    <w:rsid w:val="00AF044E"/>
    <w:rsid w:val="00AF0584"/>
    <w:rsid w:val="00AF099B"/>
    <w:rsid w:val="00AF09A2"/>
    <w:rsid w:val="00AF0A71"/>
    <w:rsid w:val="00AF0C5C"/>
    <w:rsid w:val="00AF0E95"/>
    <w:rsid w:val="00AF0F2B"/>
    <w:rsid w:val="00AF0F68"/>
    <w:rsid w:val="00AF1486"/>
    <w:rsid w:val="00AF157D"/>
    <w:rsid w:val="00AF1751"/>
    <w:rsid w:val="00AF1967"/>
    <w:rsid w:val="00AF1DC9"/>
    <w:rsid w:val="00AF2131"/>
    <w:rsid w:val="00AF22C7"/>
    <w:rsid w:val="00AF285C"/>
    <w:rsid w:val="00AF29EC"/>
    <w:rsid w:val="00AF2CE7"/>
    <w:rsid w:val="00AF2F0E"/>
    <w:rsid w:val="00AF33D4"/>
    <w:rsid w:val="00AF3483"/>
    <w:rsid w:val="00AF3712"/>
    <w:rsid w:val="00AF3916"/>
    <w:rsid w:val="00AF3947"/>
    <w:rsid w:val="00AF3A2A"/>
    <w:rsid w:val="00AF3C7B"/>
    <w:rsid w:val="00AF3FBC"/>
    <w:rsid w:val="00AF45E6"/>
    <w:rsid w:val="00AF4779"/>
    <w:rsid w:val="00AF49E1"/>
    <w:rsid w:val="00AF4F5F"/>
    <w:rsid w:val="00AF50FE"/>
    <w:rsid w:val="00AF51D1"/>
    <w:rsid w:val="00AF54B8"/>
    <w:rsid w:val="00AF5678"/>
    <w:rsid w:val="00AF5B09"/>
    <w:rsid w:val="00AF5EF6"/>
    <w:rsid w:val="00AF6140"/>
    <w:rsid w:val="00AF6405"/>
    <w:rsid w:val="00AF68A9"/>
    <w:rsid w:val="00AF697F"/>
    <w:rsid w:val="00AF6ECF"/>
    <w:rsid w:val="00AF6F8C"/>
    <w:rsid w:val="00AF78FF"/>
    <w:rsid w:val="00AF798A"/>
    <w:rsid w:val="00AF79D2"/>
    <w:rsid w:val="00AF7A10"/>
    <w:rsid w:val="00AF7B62"/>
    <w:rsid w:val="00B001ED"/>
    <w:rsid w:val="00B0025F"/>
    <w:rsid w:val="00B006D2"/>
    <w:rsid w:val="00B006D5"/>
    <w:rsid w:val="00B00BCB"/>
    <w:rsid w:val="00B00F3E"/>
    <w:rsid w:val="00B01127"/>
    <w:rsid w:val="00B011BF"/>
    <w:rsid w:val="00B01C7C"/>
    <w:rsid w:val="00B01D72"/>
    <w:rsid w:val="00B01E5A"/>
    <w:rsid w:val="00B0270D"/>
    <w:rsid w:val="00B028C7"/>
    <w:rsid w:val="00B02B59"/>
    <w:rsid w:val="00B02BE3"/>
    <w:rsid w:val="00B0392F"/>
    <w:rsid w:val="00B039E5"/>
    <w:rsid w:val="00B03A1B"/>
    <w:rsid w:val="00B03B82"/>
    <w:rsid w:val="00B03DA0"/>
    <w:rsid w:val="00B03DBB"/>
    <w:rsid w:val="00B042CB"/>
    <w:rsid w:val="00B04339"/>
    <w:rsid w:val="00B0434D"/>
    <w:rsid w:val="00B0466E"/>
    <w:rsid w:val="00B046B8"/>
    <w:rsid w:val="00B047FD"/>
    <w:rsid w:val="00B04857"/>
    <w:rsid w:val="00B04C5B"/>
    <w:rsid w:val="00B0533A"/>
    <w:rsid w:val="00B0539F"/>
    <w:rsid w:val="00B05524"/>
    <w:rsid w:val="00B0591F"/>
    <w:rsid w:val="00B05A1E"/>
    <w:rsid w:val="00B05AD7"/>
    <w:rsid w:val="00B05D25"/>
    <w:rsid w:val="00B05F59"/>
    <w:rsid w:val="00B06009"/>
    <w:rsid w:val="00B06277"/>
    <w:rsid w:val="00B06B80"/>
    <w:rsid w:val="00B06BBD"/>
    <w:rsid w:val="00B0713C"/>
    <w:rsid w:val="00B071F8"/>
    <w:rsid w:val="00B0728D"/>
    <w:rsid w:val="00B0744F"/>
    <w:rsid w:val="00B07457"/>
    <w:rsid w:val="00B07488"/>
    <w:rsid w:val="00B07533"/>
    <w:rsid w:val="00B0759D"/>
    <w:rsid w:val="00B079CB"/>
    <w:rsid w:val="00B07ACE"/>
    <w:rsid w:val="00B07D2C"/>
    <w:rsid w:val="00B07D3C"/>
    <w:rsid w:val="00B1038C"/>
    <w:rsid w:val="00B10515"/>
    <w:rsid w:val="00B10824"/>
    <w:rsid w:val="00B1093B"/>
    <w:rsid w:val="00B10B54"/>
    <w:rsid w:val="00B10C38"/>
    <w:rsid w:val="00B10D19"/>
    <w:rsid w:val="00B10E47"/>
    <w:rsid w:val="00B112C5"/>
    <w:rsid w:val="00B11312"/>
    <w:rsid w:val="00B113B1"/>
    <w:rsid w:val="00B11769"/>
    <w:rsid w:val="00B11C2D"/>
    <w:rsid w:val="00B11C58"/>
    <w:rsid w:val="00B12307"/>
    <w:rsid w:val="00B128D6"/>
    <w:rsid w:val="00B12B94"/>
    <w:rsid w:val="00B12CF5"/>
    <w:rsid w:val="00B12DD3"/>
    <w:rsid w:val="00B12E16"/>
    <w:rsid w:val="00B13146"/>
    <w:rsid w:val="00B132DD"/>
    <w:rsid w:val="00B13ACC"/>
    <w:rsid w:val="00B13AFC"/>
    <w:rsid w:val="00B13BB3"/>
    <w:rsid w:val="00B13E28"/>
    <w:rsid w:val="00B14099"/>
    <w:rsid w:val="00B14770"/>
    <w:rsid w:val="00B147CF"/>
    <w:rsid w:val="00B14A06"/>
    <w:rsid w:val="00B14F15"/>
    <w:rsid w:val="00B1574E"/>
    <w:rsid w:val="00B161D9"/>
    <w:rsid w:val="00B16691"/>
    <w:rsid w:val="00B16D84"/>
    <w:rsid w:val="00B16E0F"/>
    <w:rsid w:val="00B1706D"/>
    <w:rsid w:val="00B17398"/>
    <w:rsid w:val="00B178F5"/>
    <w:rsid w:val="00B17B7A"/>
    <w:rsid w:val="00B20478"/>
    <w:rsid w:val="00B20612"/>
    <w:rsid w:val="00B20D2B"/>
    <w:rsid w:val="00B20E9A"/>
    <w:rsid w:val="00B21152"/>
    <w:rsid w:val="00B21334"/>
    <w:rsid w:val="00B21357"/>
    <w:rsid w:val="00B21B50"/>
    <w:rsid w:val="00B21B56"/>
    <w:rsid w:val="00B22638"/>
    <w:rsid w:val="00B22712"/>
    <w:rsid w:val="00B22CEB"/>
    <w:rsid w:val="00B230A4"/>
    <w:rsid w:val="00B23342"/>
    <w:rsid w:val="00B237D3"/>
    <w:rsid w:val="00B24015"/>
    <w:rsid w:val="00B2490B"/>
    <w:rsid w:val="00B24D13"/>
    <w:rsid w:val="00B250E0"/>
    <w:rsid w:val="00B251EE"/>
    <w:rsid w:val="00B25431"/>
    <w:rsid w:val="00B25D83"/>
    <w:rsid w:val="00B25FA2"/>
    <w:rsid w:val="00B267F5"/>
    <w:rsid w:val="00B26AD5"/>
    <w:rsid w:val="00B26E9C"/>
    <w:rsid w:val="00B270F7"/>
    <w:rsid w:val="00B273CA"/>
    <w:rsid w:val="00B2753A"/>
    <w:rsid w:val="00B27562"/>
    <w:rsid w:val="00B275E9"/>
    <w:rsid w:val="00B27A39"/>
    <w:rsid w:val="00B27C3D"/>
    <w:rsid w:val="00B3009A"/>
    <w:rsid w:val="00B305CC"/>
    <w:rsid w:val="00B306AA"/>
    <w:rsid w:val="00B308D4"/>
    <w:rsid w:val="00B30AE2"/>
    <w:rsid w:val="00B31224"/>
    <w:rsid w:val="00B31A5E"/>
    <w:rsid w:val="00B31CC2"/>
    <w:rsid w:val="00B3213D"/>
    <w:rsid w:val="00B32189"/>
    <w:rsid w:val="00B321BC"/>
    <w:rsid w:val="00B32216"/>
    <w:rsid w:val="00B323E1"/>
    <w:rsid w:val="00B324C3"/>
    <w:rsid w:val="00B32514"/>
    <w:rsid w:val="00B3277A"/>
    <w:rsid w:val="00B3277D"/>
    <w:rsid w:val="00B327DA"/>
    <w:rsid w:val="00B32EF0"/>
    <w:rsid w:val="00B3307A"/>
    <w:rsid w:val="00B33275"/>
    <w:rsid w:val="00B335D4"/>
    <w:rsid w:val="00B336B1"/>
    <w:rsid w:val="00B3415E"/>
    <w:rsid w:val="00B341A8"/>
    <w:rsid w:val="00B3429E"/>
    <w:rsid w:val="00B345F2"/>
    <w:rsid w:val="00B34973"/>
    <w:rsid w:val="00B34EBF"/>
    <w:rsid w:val="00B34F2C"/>
    <w:rsid w:val="00B34F8B"/>
    <w:rsid w:val="00B350C7"/>
    <w:rsid w:val="00B3539C"/>
    <w:rsid w:val="00B354D6"/>
    <w:rsid w:val="00B35701"/>
    <w:rsid w:val="00B358B2"/>
    <w:rsid w:val="00B35CB6"/>
    <w:rsid w:val="00B35E61"/>
    <w:rsid w:val="00B35EFA"/>
    <w:rsid w:val="00B35F30"/>
    <w:rsid w:val="00B361FA"/>
    <w:rsid w:val="00B3637A"/>
    <w:rsid w:val="00B36695"/>
    <w:rsid w:val="00B36866"/>
    <w:rsid w:val="00B36B65"/>
    <w:rsid w:val="00B3782E"/>
    <w:rsid w:val="00B37C11"/>
    <w:rsid w:val="00B37D6C"/>
    <w:rsid w:val="00B40071"/>
    <w:rsid w:val="00B40261"/>
    <w:rsid w:val="00B4078A"/>
    <w:rsid w:val="00B4084C"/>
    <w:rsid w:val="00B4122B"/>
    <w:rsid w:val="00B41263"/>
    <w:rsid w:val="00B41289"/>
    <w:rsid w:val="00B412F8"/>
    <w:rsid w:val="00B4142C"/>
    <w:rsid w:val="00B41454"/>
    <w:rsid w:val="00B41B67"/>
    <w:rsid w:val="00B41EA3"/>
    <w:rsid w:val="00B420B1"/>
    <w:rsid w:val="00B42652"/>
    <w:rsid w:val="00B429B4"/>
    <w:rsid w:val="00B42FB7"/>
    <w:rsid w:val="00B430D4"/>
    <w:rsid w:val="00B430DC"/>
    <w:rsid w:val="00B4339A"/>
    <w:rsid w:val="00B4363E"/>
    <w:rsid w:val="00B43CDC"/>
    <w:rsid w:val="00B43D4F"/>
    <w:rsid w:val="00B43EDE"/>
    <w:rsid w:val="00B44229"/>
    <w:rsid w:val="00B447BA"/>
    <w:rsid w:val="00B44979"/>
    <w:rsid w:val="00B44A7F"/>
    <w:rsid w:val="00B44D0D"/>
    <w:rsid w:val="00B44EFC"/>
    <w:rsid w:val="00B45876"/>
    <w:rsid w:val="00B459E4"/>
    <w:rsid w:val="00B45A16"/>
    <w:rsid w:val="00B45C99"/>
    <w:rsid w:val="00B45D65"/>
    <w:rsid w:val="00B45DB0"/>
    <w:rsid w:val="00B45E51"/>
    <w:rsid w:val="00B4636C"/>
    <w:rsid w:val="00B46428"/>
    <w:rsid w:val="00B464E3"/>
    <w:rsid w:val="00B46A04"/>
    <w:rsid w:val="00B479A2"/>
    <w:rsid w:val="00B479C1"/>
    <w:rsid w:val="00B47AC9"/>
    <w:rsid w:val="00B47B0F"/>
    <w:rsid w:val="00B47E10"/>
    <w:rsid w:val="00B47F20"/>
    <w:rsid w:val="00B50105"/>
    <w:rsid w:val="00B509C1"/>
    <w:rsid w:val="00B50C39"/>
    <w:rsid w:val="00B50EE2"/>
    <w:rsid w:val="00B50FF5"/>
    <w:rsid w:val="00B5119C"/>
    <w:rsid w:val="00B51410"/>
    <w:rsid w:val="00B5189E"/>
    <w:rsid w:val="00B51D47"/>
    <w:rsid w:val="00B52378"/>
    <w:rsid w:val="00B52DB7"/>
    <w:rsid w:val="00B52E9B"/>
    <w:rsid w:val="00B5325B"/>
    <w:rsid w:val="00B532B3"/>
    <w:rsid w:val="00B53915"/>
    <w:rsid w:val="00B53986"/>
    <w:rsid w:val="00B53AEF"/>
    <w:rsid w:val="00B53B8B"/>
    <w:rsid w:val="00B541AD"/>
    <w:rsid w:val="00B54265"/>
    <w:rsid w:val="00B5429C"/>
    <w:rsid w:val="00B543C7"/>
    <w:rsid w:val="00B546DC"/>
    <w:rsid w:val="00B54713"/>
    <w:rsid w:val="00B54851"/>
    <w:rsid w:val="00B54896"/>
    <w:rsid w:val="00B54DDA"/>
    <w:rsid w:val="00B551E8"/>
    <w:rsid w:val="00B55292"/>
    <w:rsid w:val="00B552C3"/>
    <w:rsid w:val="00B55405"/>
    <w:rsid w:val="00B55427"/>
    <w:rsid w:val="00B5567B"/>
    <w:rsid w:val="00B5608F"/>
    <w:rsid w:val="00B562D0"/>
    <w:rsid w:val="00B563CB"/>
    <w:rsid w:val="00B56738"/>
    <w:rsid w:val="00B56C0C"/>
    <w:rsid w:val="00B56C60"/>
    <w:rsid w:val="00B56D46"/>
    <w:rsid w:val="00B56DFD"/>
    <w:rsid w:val="00B57140"/>
    <w:rsid w:val="00B572C4"/>
    <w:rsid w:val="00B57726"/>
    <w:rsid w:val="00B57A44"/>
    <w:rsid w:val="00B57B00"/>
    <w:rsid w:val="00B57B17"/>
    <w:rsid w:val="00B57FF5"/>
    <w:rsid w:val="00B60095"/>
    <w:rsid w:val="00B6040A"/>
    <w:rsid w:val="00B6043C"/>
    <w:rsid w:val="00B60463"/>
    <w:rsid w:val="00B60C3D"/>
    <w:rsid w:val="00B60D88"/>
    <w:rsid w:val="00B60EC0"/>
    <w:rsid w:val="00B612D4"/>
    <w:rsid w:val="00B615D6"/>
    <w:rsid w:val="00B61CF6"/>
    <w:rsid w:val="00B620BD"/>
    <w:rsid w:val="00B6224B"/>
    <w:rsid w:val="00B62876"/>
    <w:rsid w:val="00B62A93"/>
    <w:rsid w:val="00B62D84"/>
    <w:rsid w:val="00B63117"/>
    <w:rsid w:val="00B633B4"/>
    <w:rsid w:val="00B63777"/>
    <w:rsid w:val="00B63D56"/>
    <w:rsid w:val="00B63F21"/>
    <w:rsid w:val="00B64009"/>
    <w:rsid w:val="00B6400E"/>
    <w:rsid w:val="00B64277"/>
    <w:rsid w:val="00B6438E"/>
    <w:rsid w:val="00B64861"/>
    <w:rsid w:val="00B64866"/>
    <w:rsid w:val="00B64C33"/>
    <w:rsid w:val="00B64E86"/>
    <w:rsid w:val="00B65170"/>
    <w:rsid w:val="00B65487"/>
    <w:rsid w:val="00B654B0"/>
    <w:rsid w:val="00B65E52"/>
    <w:rsid w:val="00B65F31"/>
    <w:rsid w:val="00B66159"/>
    <w:rsid w:val="00B665F7"/>
    <w:rsid w:val="00B66809"/>
    <w:rsid w:val="00B66C75"/>
    <w:rsid w:val="00B672F5"/>
    <w:rsid w:val="00B6733A"/>
    <w:rsid w:val="00B70119"/>
    <w:rsid w:val="00B70647"/>
    <w:rsid w:val="00B707D4"/>
    <w:rsid w:val="00B7081C"/>
    <w:rsid w:val="00B708EB"/>
    <w:rsid w:val="00B70947"/>
    <w:rsid w:val="00B70CF4"/>
    <w:rsid w:val="00B714A6"/>
    <w:rsid w:val="00B7166D"/>
    <w:rsid w:val="00B717DB"/>
    <w:rsid w:val="00B71916"/>
    <w:rsid w:val="00B71A96"/>
    <w:rsid w:val="00B71D5D"/>
    <w:rsid w:val="00B71FCF"/>
    <w:rsid w:val="00B72138"/>
    <w:rsid w:val="00B72381"/>
    <w:rsid w:val="00B723AD"/>
    <w:rsid w:val="00B72690"/>
    <w:rsid w:val="00B726F8"/>
    <w:rsid w:val="00B72DFE"/>
    <w:rsid w:val="00B735DA"/>
    <w:rsid w:val="00B7387C"/>
    <w:rsid w:val="00B73942"/>
    <w:rsid w:val="00B73A9C"/>
    <w:rsid w:val="00B73C6C"/>
    <w:rsid w:val="00B73D7A"/>
    <w:rsid w:val="00B740DA"/>
    <w:rsid w:val="00B743DF"/>
    <w:rsid w:val="00B746B0"/>
    <w:rsid w:val="00B74D1E"/>
    <w:rsid w:val="00B74D20"/>
    <w:rsid w:val="00B74F5B"/>
    <w:rsid w:val="00B74FED"/>
    <w:rsid w:val="00B752DB"/>
    <w:rsid w:val="00B758B7"/>
    <w:rsid w:val="00B75948"/>
    <w:rsid w:val="00B7599A"/>
    <w:rsid w:val="00B759E8"/>
    <w:rsid w:val="00B75B2D"/>
    <w:rsid w:val="00B75B44"/>
    <w:rsid w:val="00B761D7"/>
    <w:rsid w:val="00B767AA"/>
    <w:rsid w:val="00B768DC"/>
    <w:rsid w:val="00B76987"/>
    <w:rsid w:val="00B769ED"/>
    <w:rsid w:val="00B76B23"/>
    <w:rsid w:val="00B76B31"/>
    <w:rsid w:val="00B76D42"/>
    <w:rsid w:val="00B76F63"/>
    <w:rsid w:val="00B76FE8"/>
    <w:rsid w:val="00B7705A"/>
    <w:rsid w:val="00B77873"/>
    <w:rsid w:val="00B800E1"/>
    <w:rsid w:val="00B80738"/>
    <w:rsid w:val="00B80B50"/>
    <w:rsid w:val="00B80B91"/>
    <w:rsid w:val="00B81353"/>
    <w:rsid w:val="00B813A9"/>
    <w:rsid w:val="00B815B5"/>
    <w:rsid w:val="00B8183C"/>
    <w:rsid w:val="00B81BB3"/>
    <w:rsid w:val="00B8242D"/>
    <w:rsid w:val="00B82489"/>
    <w:rsid w:val="00B82FBD"/>
    <w:rsid w:val="00B83916"/>
    <w:rsid w:val="00B839C6"/>
    <w:rsid w:val="00B847F6"/>
    <w:rsid w:val="00B848B1"/>
    <w:rsid w:val="00B84B22"/>
    <w:rsid w:val="00B84B34"/>
    <w:rsid w:val="00B84D5C"/>
    <w:rsid w:val="00B84E44"/>
    <w:rsid w:val="00B8549C"/>
    <w:rsid w:val="00B85567"/>
    <w:rsid w:val="00B85E19"/>
    <w:rsid w:val="00B8640A"/>
    <w:rsid w:val="00B86561"/>
    <w:rsid w:val="00B86BDB"/>
    <w:rsid w:val="00B87040"/>
    <w:rsid w:val="00B87379"/>
    <w:rsid w:val="00B873D1"/>
    <w:rsid w:val="00B874C0"/>
    <w:rsid w:val="00B875AD"/>
    <w:rsid w:val="00B879F0"/>
    <w:rsid w:val="00B87B3A"/>
    <w:rsid w:val="00B87C78"/>
    <w:rsid w:val="00B87CC0"/>
    <w:rsid w:val="00B902FE"/>
    <w:rsid w:val="00B90583"/>
    <w:rsid w:val="00B9088F"/>
    <w:rsid w:val="00B90A62"/>
    <w:rsid w:val="00B90E44"/>
    <w:rsid w:val="00B90F2C"/>
    <w:rsid w:val="00B91248"/>
    <w:rsid w:val="00B9164E"/>
    <w:rsid w:val="00B9164F"/>
    <w:rsid w:val="00B9172C"/>
    <w:rsid w:val="00B91B3B"/>
    <w:rsid w:val="00B91B99"/>
    <w:rsid w:val="00B91C3E"/>
    <w:rsid w:val="00B91D49"/>
    <w:rsid w:val="00B91E48"/>
    <w:rsid w:val="00B91F3F"/>
    <w:rsid w:val="00B92388"/>
    <w:rsid w:val="00B9283B"/>
    <w:rsid w:val="00B92893"/>
    <w:rsid w:val="00B92BC7"/>
    <w:rsid w:val="00B9312E"/>
    <w:rsid w:val="00B93188"/>
    <w:rsid w:val="00B93200"/>
    <w:rsid w:val="00B934E2"/>
    <w:rsid w:val="00B937A4"/>
    <w:rsid w:val="00B93A65"/>
    <w:rsid w:val="00B93DF6"/>
    <w:rsid w:val="00B93F2C"/>
    <w:rsid w:val="00B93F65"/>
    <w:rsid w:val="00B94046"/>
    <w:rsid w:val="00B94244"/>
    <w:rsid w:val="00B943CE"/>
    <w:rsid w:val="00B948FF"/>
    <w:rsid w:val="00B94F15"/>
    <w:rsid w:val="00B95085"/>
    <w:rsid w:val="00B951B6"/>
    <w:rsid w:val="00B955A4"/>
    <w:rsid w:val="00B95CDA"/>
    <w:rsid w:val="00B95D30"/>
    <w:rsid w:val="00B965F7"/>
    <w:rsid w:val="00B9717B"/>
    <w:rsid w:val="00B97359"/>
    <w:rsid w:val="00B974F1"/>
    <w:rsid w:val="00B9762C"/>
    <w:rsid w:val="00B97866"/>
    <w:rsid w:val="00B97B09"/>
    <w:rsid w:val="00B97BE7"/>
    <w:rsid w:val="00B97DAD"/>
    <w:rsid w:val="00BA00E3"/>
    <w:rsid w:val="00BA0333"/>
    <w:rsid w:val="00BA06FD"/>
    <w:rsid w:val="00BA0868"/>
    <w:rsid w:val="00BA0C8B"/>
    <w:rsid w:val="00BA0D1F"/>
    <w:rsid w:val="00BA1394"/>
    <w:rsid w:val="00BA1522"/>
    <w:rsid w:val="00BA15D4"/>
    <w:rsid w:val="00BA1929"/>
    <w:rsid w:val="00BA19C7"/>
    <w:rsid w:val="00BA1C42"/>
    <w:rsid w:val="00BA1CDB"/>
    <w:rsid w:val="00BA1D0B"/>
    <w:rsid w:val="00BA1E65"/>
    <w:rsid w:val="00BA2406"/>
    <w:rsid w:val="00BA26F5"/>
    <w:rsid w:val="00BA28D9"/>
    <w:rsid w:val="00BA2DE3"/>
    <w:rsid w:val="00BA3117"/>
    <w:rsid w:val="00BA3365"/>
    <w:rsid w:val="00BA343E"/>
    <w:rsid w:val="00BA38AC"/>
    <w:rsid w:val="00BA3D55"/>
    <w:rsid w:val="00BA3F19"/>
    <w:rsid w:val="00BA4004"/>
    <w:rsid w:val="00BA4382"/>
    <w:rsid w:val="00BA43F8"/>
    <w:rsid w:val="00BA451D"/>
    <w:rsid w:val="00BA497F"/>
    <w:rsid w:val="00BA4D96"/>
    <w:rsid w:val="00BA50C2"/>
    <w:rsid w:val="00BA52BC"/>
    <w:rsid w:val="00BA53FF"/>
    <w:rsid w:val="00BA560C"/>
    <w:rsid w:val="00BA5684"/>
    <w:rsid w:val="00BA59C9"/>
    <w:rsid w:val="00BA5BDD"/>
    <w:rsid w:val="00BA5D9F"/>
    <w:rsid w:val="00BA5DDB"/>
    <w:rsid w:val="00BA6130"/>
    <w:rsid w:val="00BA62A0"/>
    <w:rsid w:val="00BA68E7"/>
    <w:rsid w:val="00BA69E4"/>
    <w:rsid w:val="00BA6D0C"/>
    <w:rsid w:val="00BA7523"/>
    <w:rsid w:val="00BA7CA0"/>
    <w:rsid w:val="00BA7DAA"/>
    <w:rsid w:val="00BB0428"/>
    <w:rsid w:val="00BB0451"/>
    <w:rsid w:val="00BB047A"/>
    <w:rsid w:val="00BB065D"/>
    <w:rsid w:val="00BB0980"/>
    <w:rsid w:val="00BB0D9F"/>
    <w:rsid w:val="00BB1006"/>
    <w:rsid w:val="00BB10CD"/>
    <w:rsid w:val="00BB1436"/>
    <w:rsid w:val="00BB174F"/>
    <w:rsid w:val="00BB1783"/>
    <w:rsid w:val="00BB1B6D"/>
    <w:rsid w:val="00BB2561"/>
    <w:rsid w:val="00BB292D"/>
    <w:rsid w:val="00BB2A03"/>
    <w:rsid w:val="00BB2B5D"/>
    <w:rsid w:val="00BB2D5A"/>
    <w:rsid w:val="00BB2D83"/>
    <w:rsid w:val="00BB2D8F"/>
    <w:rsid w:val="00BB30B5"/>
    <w:rsid w:val="00BB3159"/>
    <w:rsid w:val="00BB3418"/>
    <w:rsid w:val="00BB37B5"/>
    <w:rsid w:val="00BB390A"/>
    <w:rsid w:val="00BB3CCE"/>
    <w:rsid w:val="00BB3E96"/>
    <w:rsid w:val="00BB3F1B"/>
    <w:rsid w:val="00BB4581"/>
    <w:rsid w:val="00BB4630"/>
    <w:rsid w:val="00BB4658"/>
    <w:rsid w:val="00BB4A4A"/>
    <w:rsid w:val="00BB4AA1"/>
    <w:rsid w:val="00BB4EF3"/>
    <w:rsid w:val="00BB50BC"/>
    <w:rsid w:val="00BB5920"/>
    <w:rsid w:val="00BB5C41"/>
    <w:rsid w:val="00BB5DC1"/>
    <w:rsid w:val="00BB604D"/>
    <w:rsid w:val="00BB618F"/>
    <w:rsid w:val="00BB656C"/>
    <w:rsid w:val="00BB65FB"/>
    <w:rsid w:val="00BB69F1"/>
    <w:rsid w:val="00BB6D9C"/>
    <w:rsid w:val="00BB7180"/>
    <w:rsid w:val="00BB7A2F"/>
    <w:rsid w:val="00BB7D6B"/>
    <w:rsid w:val="00BB7D72"/>
    <w:rsid w:val="00BBE723"/>
    <w:rsid w:val="00BC0081"/>
    <w:rsid w:val="00BC041F"/>
    <w:rsid w:val="00BC0826"/>
    <w:rsid w:val="00BC0B2C"/>
    <w:rsid w:val="00BC0C0F"/>
    <w:rsid w:val="00BC0DC5"/>
    <w:rsid w:val="00BC136A"/>
    <w:rsid w:val="00BC1672"/>
    <w:rsid w:val="00BC1A62"/>
    <w:rsid w:val="00BC1D06"/>
    <w:rsid w:val="00BC22B6"/>
    <w:rsid w:val="00BC25EB"/>
    <w:rsid w:val="00BC27A7"/>
    <w:rsid w:val="00BC2DB3"/>
    <w:rsid w:val="00BC2FA2"/>
    <w:rsid w:val="00BC305A"/>
    <w:rsid w:val="00BC3190"/>
    <w:rsid w:val="00BC32D7"/>
    <w:rsid w:val="00BC36C5"/>
    <w:rsid w:val="00BC3747"/>
    <w:rsid w:val="00BC397D"/>
    <w:rsid w:val="00BC39A5"/>
    <w:rsid w:val="00BC3A98"/>
    <w:rsid w:val="00BC3BE1"/>
    <w:rsid w:val="00BC3E7E"/>
    <w:rsid w:val="00BC3F0D"/>
    <w:rsid w:val="00BC415D"/>
    <w:rsid w:val="00BC44C9"/>
    <w:rsid w:val="00BC45D1"/>
    <w:rsid w:val="00BC4BDA"/>
    <w:rsid w:val="00BC53F0"/>
    <w:rsid w:val="00BC5528"/>
    <w:rsid w:val="00BC5726"/>
    <w:rsid w:val="00BC5861"/>
    <w:rsid w:val="00BC5D13"/>
    <w:rsid w:val="00BC5F5A"/>
    <w:rsid w:val="00BC6127"/>
    <w:rsid w:val="00BC6374"/>
    <w:rsid w:val="00BC6CDD"/>
    <w:rsid w:val="00BC6D4D"/>
    <w:rsid w:val="00BC6DB7"/>
    <w:rsid w:val="00BC6F62"/>
    <w:rsid w:val="00BC74CA"/>
    <w:rsid w:val="00BC7B8E"/>
    <w:rsid w:val="00BC7BB6"/>
    <w:rsid w:val="00BC7D1F"/>
    <w:rsid w:val="00BD0533"/>
    <w:rsid w:val="00BD0802"/>
    <w:rsid w:val="00BD0F9A"/>
    <w:rsid w:val="00BD134E"/>
    <w:rsid w:val="00BD1472"/>
    <w:rsid w:val="00BD1C87"/>
    <w:rsid w:val="00BD1C91"/>
    <w:rsid w:val="00BD1DDF"/>
    <w:rsid w:val="00BD213A"/>
    <w:rsid w:val="00BD2192"/>
    <w:rsid w:val="00BD23BA"/>
    <w:rsid w:val="00BD264C"/>
    <w:rsid w:val="00BD26E3"/>
    <w:rsid w:val="00BD2AA5"/>
    <w:rsid w:val="00BD2D84"/>
    <w:rsid w:val="00BD2DA5"/>
    <w:rsid w:val="00BD2E38"/>
    <w:rsid w:val="00BD3130"/>
    <w:rsid w:val="00BD34C1"/>
    <w:rsid w:val="00BD38EC"/>
    <w:rsid w:val="00BD3AC9"/>
    <w:rsid w:val="00BD3FD1"/>
    <w:rsid w:val="00BD4276"/>
    <w:rsid w:val="00BD4456"/>
    <w:rsid w:val="00BD469E"/>
    <w:rsid w:val="00BD46B3"/>
    <w:rsid w:val="00BD4B8A"/>
    <w:rsid w:val="00BD4F40"/>
    <w:rsid w:val="00BD4F79"/>
    <w:rsid w:val="00BD4FD6"/>
    <w:rsid w:val="00BD55AC"/>
    <w:rsid w:val="00BD5814"/>
    <w:rsid w:val="00BD58A7"/>
    <w:rsid w:val="00BD5967"/>
    <w:rsid w:val="00BD6167"/>
    <w:rsid w:val="00BD69EB"/>
    <w:rsid w:val="00BD6BA9"/>
    <w:rsid w:val="00BD6C0B"/>
    <w:rsid w:val="00BD6E90"/>
    <w:rsid w:val="00BD6E94"/>
    <w:rsid w:val="00BD6F8F"/>
    <w:rsid w:val="00BD79BC"/>
    <w:rsid w:val="00BD7ADE"/>
    <w:rsid w:val="00BD7B45"/>
    <w:rsid w:val="00BE0415"/>
    <w:rsid w:val="00BE08CD"/>
    <w:rsid w:val="00BE100C"/>
    <w:rsid w:val="00BE1394"/>
    <w:rsid w:val="00BE14FA"/>
    <w:rsid w:val="00BE169D"/>
    <w:rsid w:val="00BE18D7"/>
    <w:rsid w:val="00BE1A2C"/>
    <w:rsid w:val="00BE1CEF"/>
    <w:rsid w:val="00BE1F68"/>
    <w:rsid w:val="00BE1FF0"/>
    <w:rsid w:val="00BE20DF"/>
    <w:rsid w:val="00BE28D3"/>
    <w:rsid w:val="00BE2B27"/>
    <w:rsid w:val="00BE2B6F"/>
    <w:rsid w:val="00BE2CCC"/>
    <w:rsid w:val="00BE2D8C"/>
    <w:rsid w:val="00BE3289"/>
    <w:rsid w:val="00BE346C"/>
    <w:rsid w:val="00BE348B"/>
    <w:rsid w:val="00BE41A2"/>
    <w:rsid w:val="00BE436F"/>
    <w:rsid w:val="00BE441F"/>
    <w:rsid w:val="00BE4590"/>
    <w:rsid w:val="00BE4870"/>
    <w:rsid w:val="00BE4AF5"/>
    <w:rsid w:val="00BE4B77"/>
    <w:rsid w:val="00BE4B82"/>
    <w:rsid w:val="00BE4BDE"/>
    <w:rsid w:val="00BE4CF8"/>
    <w:rsid w:val="00BE53AF"/>
    <w:rsid w:val="00BE575C"/>
    <w:rsid w:val="00BE57ED"/>
    <w:rsid w:val="00BE5A7A"/>
    <w:rsid w:val="00BE5A91"/>
    <w:rsid w:val="00BE610E"/>
    <w:rsid w:val="00BE61D8"/>
    <w:rsid w:val="00BE6465"/>
    <w:rsid w:val="00BE658E"/>
    <w:rsid w:val="00BE6AA6"/>
    <w:rsid w:val="00BE6E59"/>
    <w:rsid w:val="00BE70E7"/>
    <w:rsid w:val="00BE717D"/>
    <w:rsid w:val="00BE72B2"/>
    <w:rsid w:val="00BE7390"/>
    <w:rsid w:val="00BE741A"/>
    <w:rsid w:val="00BE746D"/>
    <w:rsid w:val="00BE77DC"/>
    <w:rsid w:val="00BE7C76"/>
    <w:rsid w:val="00BE7D43"/>
    <w:rsid w:val="00BF09DD"/>
    <w:rsid w:val="00BF0AF4"/>
    <w:rsid w:val="00BF12C6"/>
    <w:rsid w:val="00BF12F1"/>
    <w:rsid w:val="00BF14BD"/>
    <w:rsid w:val="00BF1505"/>
    <w:rsid w:val="00BF176C"/>
    <w:rsid w:val="00BF1A98"/>
    <w:rsid w:val="00BF1CF3"/>
    <w:rsid w:val="00BF1F40"/>
    <w:rsid w:val="00BF1FBF"/>
    <w:rsid w:val="00BF23A0"/>
    <w:rsid w:val="00BF2403"/>
    <w:rsid w:val="00BF24C7"/>
    <w:rsid w:val="00BF2523"/>
    <w:rsid w:val="00BF28A5"/>
    <w:rsid w:val="00BF2A5E"/>
    <w:rsid w:val="00BF2DCF"/>
    <w:rsid w:val="00BF2EB7"/>
    <w:rsid w:val="00BF3980"/>
    <w:rsid w:val="00BF3B63"/>
    <w:rsid w:val="00BF3BA4"/>
    <w:rsid w:val="00BF3F90"/>
    <w:rsid w:val="00BF410E"/>
    <w:rsid w:val="00BF42B9"/>
    <w:rsid w:val="00BF44B3"/>
    <w:rsid w:val="00BF47C2"/>
    <w:rsid w:val="00BF48F5"/>
    <w:rsid w:val="00BF4A88"/>
    <w:rsid w:val="00BF50BE"/>
    <w:rsid w:val="00BF5195"/>
    <w:rsid w:val="00BF55EC"/>
    <w:rsid w:val="00BF5683"/>
    <w:rsid w:val="00BF5708"/>
    <w:rsid w:val="00BF58B8"/>
    <w:rsid w:val="00BF59A8"/>
    <w:rsid w:val="00BF5A03"/>
    <w:rsid w:val="00BF6596"/>
    <w:rsid w:val="00BF660D"/>
    <w:rsid w:val="00BF66D0"/>
    <w:rsid w:val="00BF7065"/>
    <w:rsid w:val="00BF7A4D"/>
    <w:rsid w:val="00BF7BCC"/>
    <w:rsid w:val="00BF7BD6"/>
    <w:rsid w:val="00BF7F72"/>
    <w:rsid w:val="00C00149"/>
    <w:rsid w:val="00C002FF"/>
    <w:rsid w:val="00C00314"/>
    <w:rsid w:val="00C0052E"/>
    <w:rsid w:val="00C008E1"/>
    <w:rsid w:val="00C01094"/>
    <w:rsid w:val="00C016DF"/>
    <w:rsid w:val="00C0198C"/>
    <w:rsid w:val="00C01B72"/>
    <w:rsid w:val="00C02225"/>
    <w:rsid w:val="00C0245A"/>
    <w:rsid w:val="00C0253F"/>
    <w:rsid w:val="00C030EB"/>
    <w:rsid w:val="00C03120"/>
    <w:rsid w:val="00C0329B"/>
    <w:rsid w:val="00C032CC"/>
    <w:rsid w:val="00C03574"/>
    <w:rsid w:val="00C038D2"/>
    <w:rsid w:val="00C03A8C"/>
    <w:rsid w:val="00C03DD5"/>
    <w:rsid w:val="00C041D2"/>
    <w:rsid w:val="00C044F8"/>
    <w:rsid w:val="00C04EE3"/>
    <w:rsid w:val="00C05D84"/>
    <w:rsid w:val="00C05D8A"/>
    <w:rsid w:val="00C0628E"/>
    <w:rsid w:val="00C06935"/>
    <w:rsid w:val="00C06ED3"/>
    <w:rsid w:val="00C07318"/>
    <w:rsid w:val="00C0793A"/>
    <w:rsid w:val="00C0794F"/>
    <w:rsid w:val="00C07B2A"/>
    <w:rsid w:val="00C07BF2"/>
    <w:rsid w:val="00C07E61"/>
    <w:rsid w:val="00C10666"/>
    <w:rsid w:val="00C109AA"/>
    <w:rsid w:val="00C10CD9"/>
    <w:rsid w:val="00C11A17"/>
    <w:rsid w:val="00C12405"/>
    <w:rsid w:val="00C12B24"/>
    <w:rsid w:val="00C12CC7"/>
    <w:rsid w:val="00C12F50"/>
    <w:rsid w:val="00C13476"/>
    <w:rsid w:val="00C13963"/>
    <w:rsid w:val="00C139F4"/>
    <w:rsid w:val="00C140DD"/>
    <w:rsid w:val="00C1411D"/>
    <w:rsid w:val="00C1414F"/>
    <w:rsid w:val="00C148C5"/>
    <w:rsid w:val="00C14B06"/>
    <w:rsid w:val="00C14B2C"/>
    <w:rsid w:val="00C14FE1"/>
    <w:rsid w:val="00C1500E"/>
    <w:rsid w:val="00C155C4"/>
    <w:rsid w:val="00C159D0"/>
    <w:rsid w:val="00C15A2E"/>
    <w:rsid w:val="00C15CEB"/>
    <w:rsid w:val="00C15DC1"/>
    <w:rsid w:val="00C162C6"/>
    <w:rsid w:val="00C16485"/>
    <w:rsid w:val="00C16530"/>
    <w:rsid w:val="00C1654F"/>
    <w:rsid w:val="00C167DE"/>
    <w:rsid w:val="00C16891"/>
    <w:rsid w:val="00C16E11"/>
    <w:rsid w:val="00C16FFF"/>
    <w:rsid w:val="00C17175"/>
    <w:rsid w:val="00C17250"/>
    <w:rsid w:val="00C17530"/>
    <w:rsid w:val="00C20033"/>
    <w:rsid w:val="00C201AB"/>
    <w:rsid w:val="00C20293"/>
    <w:rsid w:val="00C2079D"/>
    <w:rsid w:val="00C20909"/>
    <w:rsid w:val="00C20E20"/>
    <w:rsid w:val="00C20F1D"/>
    <w:rsid w:val="00C2103C"/>
    <w:rsid w:val="00C2147C"/>
    <w:rsid w:val="00C2183E"/>
    <w:rsid w:val="00C21D82"/>
    <w:rsid w:val="00C21DDA"/>
    <w:rsid w:val="00C22054"/>
    <w:rsid w:val="00C228FC"/>
    <w:rsid w:val="00C22FD6"/>
    <w:rsid w:val="00C231C6"/>
    <w:rsid w:val="00C23AC2"/>
    <w:rsid w:val="00C23EDC"/>
    <w:rsid w:val="00C24590"/>
    <w:rsid w:val="00C24825"/>
    <w:rsid w:val="00C24ACB"/>
    <w:rsid w:val="00C25303"/>
    <w:rsid w:val="00C254E5"/>
    <w:rsid w:val="00C25948"/>
    <w:rsid w:val="00C25960"/>
    <w:rsid w:val="00C25B13"/>
    <w:rsid w:val="00C25D7C"/>
    <w:rsid w:val="00C25E29"/>
    <w:rsid w:val="00C261A8"/>
    <w:rsid w:val="00C261C3"/>
    <w:rsid w:val="00C26275"/>
    <w:rsid w:val="00C26381"/>
    <w:rsid w:val="00C2674D"/>
    <w:rsid w:val="00C2679B"/>
    <w:rsid w:val="00C26989"/>
    <w:rsid w:val="00C26C46"/>
    <w:rsid w:val="00C26C56"/>
    <w:rsid w:val="00C26DDE"/>
    <w:rsid w:val="00C26E72"/>
    <w:rsid w:val="00C26FA2"/>
    <w:rsid w:val="00C273A8"/>
    <w:rsid w:val="00C27C5A"/>
    <w:rsid w:val="00C27E2F"/>
    <w:rsid w:val="00C30432"/>
    <w:rsid w:val="00C305FE"/>
    <w:rsid w:val="00C306AE"/>
    <w:rsid w:val="00C30930"/>
    <w:rsid w:val="00C30931"/>
    <w:rsid w:val="00C30B9C"/>
    <w:rsid w:val="00C30CC7"/>
    <w:rsid w:val="00C311BE"/>
    <w:rsid w:val="00C311F5"/>
    <w:rsid w:val="00C31210"/>
    <w:rsid w:val="00C31D7E"/>
    <w:rsid w:val="00C322B5"/>
    <w:rsid w:val="00C325F2"/>
    <w:rsid w:val="00C3296E"/>
    <w:rsid w:val="00C329EB"/>
    <w:rsid w:val="00C32DD1"/>
    <w:rsid w:val="00C32EB2"/>
    <w:rsid w:val="00C330C9"/>
    <w:rsid w:val="00C3333A"/>
    <w:rsid w:val="00C33CA0"/>
    <w:rsid w:val="00C33D07"/>
    <w:rsid w:val="00C33E01"/>
    <w:rsid w:val="00C342CA"/>
    <w:rsid w:val="00C34326"/>
    <w:rsid w:val="00C34DA7"/>
    <w:rsid w:val="00C34DBE"/>
    <w:rsid w:val="00C3562A"/>
    <w:rsid w:val="00C359BC"/>
    <w:rsid w:val="00C3606D"/>
    <w:rsid w:val="00C36A93"/>
    <w:rsid w:val="00C36E59"/>
    <w:rsid w:val="00C36E98"/>
    <w:rsid w:val="00C3701F"/>
    <w:rsid w:val="00C374A8"/>
    <w:rsid w:val="00C37780"/>
    <w:rsid w:val="00C378CD"/>
    <w:rsid w:val="00C40002"/>
    <w:rsid w:val="00C4077F"/>
    <w:rsid w:val="00C40BBF"/>
    <w:rsid w:val="00C40D7C"/>
    <w:rsid w:val="00C41224"/>
    <w:rsid w:val="00C41253"/>
    <w:rsid w:val="00C419ED"/>
    <w:rsid w:val="00C41BEA"/>
    <w:rsid w:val="00C41E01"/>
    <w:rsid w:val="00C423CB"/>
    <w:rsid w:val="00C4267C"/>
    <w:rsid w:val="00C42953"/>
    <w:rsid w:val="00C42EB8"/>
    <w:rsid w:val="00C4308B"/>
    <w:rsid w:val="00C432B1"/>
    <w:rsid w:val="00C43343"/>
    <w:rsid w:val="00C433F6"/>
    <w:rsid w:val="00C4359B"/>
    <w:rsid w:val="00C436A6"/>
    <w:rsid w:val="00C43900"/>
    <w:rsid w:val="00C4392F"/>
    <w:rsid w:val="00C43AA1"/>
    <w:rsid w:val="00C43D5F"/>
    <w:rsid w:val="00C43E68"/>
    <w:rsid w:val="00C44314"/>
    <w:rsid w:val="00C444E4"/>
    <w:rsid w:val="00C44792"/>
    <w:rsid w:val="00C447B7"/>
    <w:rsid w:val="00C447BA"/>
    <w:rsid w:val="00C44A36"/>
    <w:rsid w:val="00C44D13"/>
    <w:rsid w:val="00C44D29"/>
    <w:rsid w:val="00C44D85"/>
    <w:rsid w:val="00C44F8B"/>
    <w:rsid w:val="00C452E6"/>
    <w:rsid w:val="00C456C1"/>
    <w:rsid w:val="00C458A7"/>
    <w:rsid w:val="00C45E3E"/>
    <w:rsid w:val="00C45F0F"/>
    <w:rsid w:val="00C462DC"/>
    <w:rsid w:val="00C4641C"/>
    <w:rsid w:val="00C4687F"/>
    <w:rsid w:val="00C46B8E"/>
    <w:rsid w:val="00C46BA3"/>
    <w:rsid w:val="00C46C63"/>
    <w:rsid w:val="00C46CB0"/>
    <w:rsid w:val="00C47041"/>
    <w:rsid w:val="00C4706A"/>
    <w:rsid w:val="00C47120"/>
    <w:rsid w:val="00C477BA"/>
    <w:rsid w:val="00C47A60"/>
    <w:rsid w:val="00C47AFD"/>
    <w:rsid w:val="00C47D10"/>
    <w:rsid w:val="00C47D7B"/>
    <w:rsid w:val="00C47ED9"/>
    <w:rsid w:val="00C47F91"/>
    <w:rsid w:val="00C501CD"/>
    <w:rsid w:val="00C503ED"/>
    <w:rsid w:val="00C50D67"/>
    <w:rsid w:val="00C50D7A"/>
    <w:rsid w:val="00C50F07"/>
    <w:rsid w:val="00C51105"/>
    <w:rsid w:val="00C515CC"/>
    <w:rsid w:val="00C51A2A"/>
    <w:rsid w:val="00C52012"/>
    <w:rsid w:val="00C52071"/>
    <w:rsid w:val="00C520DD"/>
    <w:rsid w:val="00C523B1"/>
    <w:rsid w:val="00C5249E"/>
    <w:rsid w:val="00C525E9"/>
    <w:rsid w:val="00C52618"/>
    <w:rsid w:val="00C52728"/>
    <w:rsid w:val="00C52B12"/>
    <w:rsid w:val="00C52D6C"/>
    <w:rsid w:val="00C52E4D"/>
    <w:rsid w:val="00C52E77"/>
    <w:rsid w:val="00C530FC"/>
    <w:rsid w:val="00C5366C"/>
    <w:rsid w:val="00C53832"/>
    <w:rsid w:val="00C539C3"/>
    <w:rsid w:val="00C53FC0"/>
    <w:rsid w:val="00C540B3"/>
    <w:rsid w:val="00C54302"/>
    <w:rsid w:val="00C544DA"/>
    <w:rsid w:val="00C54755"/>
    <w:rsid w:val="00C54A4D"/>
    <w:rsid w:val="00C551FE"/>
    <w:rsid w:val="00C55242"/>
    <w:rsid w:val="00C556E3"/>
    <w:rsid w:val="00C558C2"/>
    <w:rsid w:val="00C55BE5"/>
    <w:rsid w:val="00C55FA8"/>
    <w:rsid w:val="00C56144"/>
    <w:rsid w:val="00C56B72"/>
    <w:rsid w:val="00C57307"/>
    <w:rsid w:val="00C57554"/>
    <w:rsid w:val="00C575CE"/>
    <w:rsid w:val="00C57685"/>
    <w:rsid w:val="00C576BD"/>
    <w:rsid w:val="00C57803"/>
    <w:rsid w:val="00C579C7"/>
    <w:rsid w:val="00C57C2B"/>
    <w:rsid w:val="00C57DAD"/>
    <w:rsid w:val="00C60423"/>
    <w:rsid w:val="00C604FB"/>
    <w:rsid w:val="00C60924"/>
    <w:rsid w:val="00C60994"/>
    <w:rsid w:val="00C609A4"/>
    <w:rsid w:val="00C60A0A"/>
    <w:rsid w:val="00C60A3E"/>
    <w:rsid w:val="00C60B58"/>
    <w:rsid w:val="00C60C67"/>
    <w:rsid w:val="00C60CEF"/>
    <w:rsid w:val="00C60FC7"/>
    <w:rsid w:val="00C61369"/>
    <w:rsid w:val="00C61674"/>
    <w:rsid w:val="00C617A3"/>
    <w:rsid w:val="00C619BC"/>
    <w:rsid w:val="00C619F6"/>
    <w:rsid w:val="00C61A72"/>
    <w:rsid w:val="00C61AFD"/>
    <w:rsid w:val="00C61B7D"/>
    <w:rsid w:val="00C61DDA"/>
    <w:rsid w:val="00C62046"/>
    <w:rsid w:val="00C6207F"/>
    <w:rsid w:val="00C62095"/>
    <w:rsid w:val="00C627B2"/>
    <w:rsid w:val="00C629F3"/>
    <w:rsid w:val="00C62E2E"/>
    <w:rsid w:val="00C62F7C"/>
    <w:rsid w:val="00C6313C"/>
    <w:rsid w:val="00C634AC"/>
    <w:rsid w:val="00C638E7"/>
    <w:rsid w:val="00C63B07"/>
    <w:rsid w:val="00C63B4C"/>
    <w:rsid w:val="00C63F2A"/>
    <w:rsid w:val="00C64131"/>
    <w:rsid w:val="00C64287"/>
    <w:rsid w:val="00C6429C"/>
    <w:rsid w:val="00C64361"/>
    <w:rsid w:val="00C646BC"/>
    <w:rsid w:val="00C649B7"/>
    <w:rsid w:val="00C64B2D"/>
    <w:rsid w:val="00C64E4A"/>
    <w:rsid w:val="00C650BC"/>
    <w:rsid w:val="00C65268"/>
    <w:rsid w:val="00C65738"/>
    <w:rsid w:val="00C6584C"/>
    <w:rsid w:val="00C65BFB"/>
    <w:rsid w:val="00C6612A"/>
    <w:rsid w:val="00C66223"/>
    <w:rsid w:val="00C663E4"/>
    <w:rsid w:val="00C66497"/>
    <w:rsid w:val="00C66ABE"/>
    <w:rsid w:val="00C66D95"/>
    <w:rsid w:val="00C676C5"/>
    <w:rsid w:val="00C67BD3"/>
    <w:rsid w:val="00C67F25"/>
    <w:rsid w:val="00C703C7"/>
    <w:rsid w:val="00C703F5"/>
    <w:rsid w:val="00C708FD"/>
    <w:rsid w:val="00C70A30"/>
    <w:rsid w:val="00C70A41"/>
    <w:rsid w:val="00C70AA0"/>
    <w:rsid w:val="00C70CF5"/>
    <w:rsid w:val="00C70E10"/>
    <w:rsid w:val="00C711FC"/>
    <w:rsid w:val="00C71AE4"/>
    <w:rsid w:val="00C71B00"/>
    <w:rsid w:val="00C71B7A"/>
    <w:rsid w:val="00C71C7C"/>
    <w:rsid w:val="00C72042"/>
    <w:rsid w:val="00C720E8"/>
    <w:rsid w:val="00C721BF"/>
    <w:rsid w:val="00C722F8"/>
    <w:rsid w:val="00C7245F"/>
    <w:rsid w:val="00C724A5"/>
    <w:rsid w:val="00C726F9"/>
    <w:rsid w:val="00C72A15"/>
    <w:rsid w:val="00C72B5C"/>
    <w:rsid w:val="00C72C23"/>
    <w:rsid w:val="00C72C66"/>
    <w:rsid w:val="00C72D7F"/>
    <w:rsid w:val="00C72DA6"/>
    <w:rsid w:val="00C73108"/>
    <w:rsid w:val="00C731CE"/>
    <w:rsid w:val="00C7394A"/>
    <w:rsid w:val="00C73A5D"/>
    <w:rsid w:val="00C73ECD"/>
    <w:rsid w:val="00C73F22"/>
    <w:rsid w:val="00C73F52"/>
    <w:rsid w:val="00C74194"/>
    <w:rsid w:val="00C74487"/>
    <w:rsid w:val="00C7465D"/>
    <w:rsid w:val="00C74B0A"/>
    <w:rsid w:val="00C74CB1"/>
    <w:rsid w:val="00C74EF2"/>
    <w:rsid w:val="00C75594"/>
    <w:rsid w:val="00C75F4C"/>
    <w:rsid w:val="00C76066"/>
    <w:rsid w:val="00C761BC"/>
    <w:rsid w:val="00C76449"/>
    <w:rsid w:val="00C770A7"/>
    <w:rsid w:val="00C77587"/>
    <w:rsid w:val="00C775FE"/>
    <w:rsid w:val="00C77BEE"/>
    <w:rsid w:val="00C77C80"/>
    <w:rsid w:val="00C77ED4"/>
    <w:rsid w:val="00C77FA0"/>
    <w:rsid w:val="00C77FB8"/>
    <w:rsid w:val="00C8022F"/>
    <w:rsid w:val="00C8047A"/>
    <w:rsid w:val="00C8052F"/>
    <w:rsid w:val="00C80847"/>
    <w:rsid w:val="00C80A52"/>
    <w:rsid w:val="00C80BAE"/>
    <w:rsid w:val="00C810E2"/>
    <w:rsid w:val="00C81717"/>
    <w:rsid w:val="00C81819"/>
    <w:rsid w:val="00C81ADA"/>
    <w:rsid w:val="00C81B10"/>
    <w:rsid w:val="00C81FE3"/>
    <w:rsid w:val="00C82440"/>
    <w:rsid w:val="00C829C8"/>
    <w:rsid w:val="00C83208"/>
    <w:rsid w:val="00C83277"/>
    <w:rsid w:val="00C832CF"/>
    <w:rsid w:val="00C83687"/>
    <w:rsid w:val="00C837E9"/>
    <w:rsid w:val="00C83AC8"/>
    <w:rsid w:val="00C83E19"/>
    <w:rsid w:val="00C8407A"/>
    <w:rsid w:val="00C84260"/>
    <w:rsid w:val="00C8441F"/>
    <w:rsid w:val="00C845D1"/>
    <w:rsid w:val="00C847E3"/>
    <w:rsid w:val="00C85054"/>
    <w:rsid w:val="00C855B3"/>
    <w:rsid w:val="00C85F56"/>
    <w:rsid w:val="00C866C5"/>
    <w:rsid w:val="00C866F3"/>
    <w:rsid w:val="00C8680F"/>
    <w:rsid w:val="00C869DB"/>
    <w:rsid w:val="00C86DB2"/>
    <w:rsid w:val="00C86EEE"/>
    <w:rsid w:val="00C86FC2"/>
    <w:rsid w:val="00C8735C"/>
    <w:rsid w:val="00C87D09"/>
    <w:rsid w:val="00C87DDD"/>
    <w:rsid w:val="00C87F69"/>
    <w:rsid w:val="00C9013B"/>
    <w:rsid w:val="00C903AE"/>
    <w:rsid w:val="00C908E2"/>
    <w:rsid w:val="00C911A2"/>
    <w:rsid w:val="00C91254"/>
    <w:rsid w:val="00C91299"/>
    <w:rsid w:val="00C914E0"/>
    <w:rsid w:val="00C91672"/>
    <w:rsid w:val="00C9167A"/>
    <w:rsid w:val="00C91A21"/>
    <w:rsid w:val="00C91C3D"/>
    <w:rsid w:val="00C91D7C"/>
    <w:rsid w:val="00C92584"/>
    <w:rsid w:val="00C92BBA"/>
    <w:rsid w:val="00C92BF1"/>
    <w:rsid w:val="00C9350B"/>
    <w:rsid w:val="00C937AF"/>
    <w:rsid w:val="00C93B6C"/>
    <w:rsid w:val="00C93EE4"/>
    <w:rsid w:val="00C93EF8"/>
    <w:rsid w:val="00C9446A"/>
    <w:rsid w:val="00C94AAF"/>
    <w:rsid w:val="00C95403"/>
    <w:rsid w:val="00C95454"/>
    <w:rsid w:val="00C9572B"/>
    <w:rsid w:val="00C95C7C"/>
    <w:rsid w:val="00C95D56"/>
    <w:rsid w:val="00C95E5E"/>
    <w:rsid w:val="00C95EC5"/>
    <w:rsid w:val="00C965A3"/>
    <w:rsid w:val="00C968F4"/>
    <w:rsid w:val="00C96A44"/>
    <w:rsid w:val="00C96DE2"/>
    <w:rsid w:val="00C96E91"/>
    <w:rsid w:val="00C96F78"/>
    <w:rsid w:val="00C973AC"/>
    <w:rsid w:val="00CA0081"/>
    <w:rsid w:val="00CA02A1"/>
    <w:rsid w:val="00CA032C"/>
    <w:rsid w:val="00CA0728"/>
    <w:rsid w:val="00CA07D2"/>
    <w:rsid w:val="00CA0FED"/>
    <w:rsid w:val="00CA17AE"/>
    <w:rsid w:val="00CA19BD"/>
    <w:rsid w:val="00CA1A77"/>
    <w:rsid w:val="00CA24FC"/>
    <w:rsid w:val="00CA2D02"/>
    <w:rsid w:val="00CA2FAB"/>
    <w:rsid w:val="00CA30E6"/>
    <w:rsid w:val="00CA31C2"/>
    <w:rsid w:val="00CA33A9"/>
    <w:rsid w:val="00CA36C4"/>
    <w:rsid w:val="00CA3BF1"/>
    <w:rsid w:val="00CA3E40"/>
    <w:rsid w:val="00CA3FE8"/>
    <w:rsid w:val="00CA4033"/>
    <w:rsid w:val="00CA40E8"/>
    <w:rsid w:val="00CA4A53"/>
    <w:rsid w:val="00CA4D57"/>
    <w:rsid w:val="00CA4DD5"/>
    <w:rsid w:val="00CA4EE3"/>
    <w:rsid w:val="00CA5471"/>
    <w:rsid w:val="00CA5813"/>
    <w:rsid w:val="00CA59A7"/>
    <w:rsid w:val="00CA5C9A"/>
    <w:rsid w:val="00CA61B0"/>
    <w:rsid w:val="00CA67BE"/>
    <w:rsid w:val="00CA697B"/>
    <w:rsid w:val="00CA69F4"/>
    <w:rsid w:val="00CA6B16"/>
    <w:rsid w:val="00CA7697"/>
    <w:rsid w:val="00CA7AB5"/>
    <w:rsid w:val="00CA7AE5"/>
    <w:rsid w:val="00CB04B5"/>
    <w:rsid w:val="00CB082E"/>
    <w:rsid w:val="00CB1026"/>
    <w:rsid w:val="00CB17B6"/>
    <w:rsid w:val="00CB1C44"/>
    <w:rsid w:val="00CB1DF8"/>
    <w:rsid w:val="00CB2337"/>
    <w:rsid w:val="00CB25E1"/>
    <w:rsid w:val="00CB2968"/>
    <w:rsid w:val="00CB3005"/>
    <w:rsid w:val="00CB315E"/>
    <w:rsid w:val="00CB336B"/>
    <w:rsid w:val="00CB3FB9"/>
    <w:rsid w:val="00CB43E9"/>
    <w:rsid w:val="00CB4549"/>
    <w:rsid w:val="00CB45F2"/>
    <w:rsid w:val="00CB48C3"/>
    <w:rsid w:val="00CB4B82"/>
    <w:rsid w:val="00CB4D21"/>
    <w:rsid w:val="00CB4D3A"/>
    <w:rsid w:val="00CB519C"/>
    <w:rsid w:val="00CB55B3"/>
    <w:rsid w:val="00CB55C3"/>
    <w:rsid w:val="00CB56E7"/>
    <w:rsid w:val="00CB610D"/>
    <w:rsid w:val="00CB66D7"/>
    <w:rsid w:val="00CB6A9E"/>
    <w:rsid w:val="00CB6CC3"/>
    <w:rsid w:val="00CB7189"/>
    <w:rsid w:val="00CB7569"/>
    <w:rsid w:val="00CB767F"/>
    <w:rsid w:val="00CB79E9"/>
    <w:rsid w:val="00CB7CEB"/>
    <w:rsid w:val="00CC015E"/>
    <w:rsid w:val="00CC0563"/>
    <w:rsid w:val="00CC0AC9"/>
    <w:rsid w:val="00CC0E9E"/>
    <w:rsid w:val="00CC0FA4"/>
    <w:rsid w:val="00CC1037"/>
    <w:rsid w:val="00CC13D4"/>
    <w:rsid w:val="00CC14A6"/>
    <w:rsid w:val="00CC18FA"/>
    <w:rsid w:val="00CC2129"/>
    <w:rsid w:val="00CC2285"/>
    <w:rsid w:val="00CC2383"/>
    <w:rsid w:val="00CC25C5"/>
    <w:rsid w:val="00CC268C"/>
    <w:rsid w:val="00CC26DA"/>
    <w:rsid w:val="00CC2810"/>
    <w:rsid w:val="00CC2E91"/>
    <w:rsid w:val="00CC2ED5"/>
    <w:rsid w:val="00CC3504"/>
    <w:rsid w:val="00CC37AA"/>
    <w:rsid w:val="00CC3F93"/>
    <w:rsid w:val="00CC4684"/>
    <w:rsid w:val="00CC4884"/>
    <w:rsid w:val="00CC4FA0"/>
    <w:rsid w:val="00CC5141"/>
    <w:rsid w:val="00CC546F"/>
    <w:rsid w:val="00CC5678"/>
    <w:rsid w:val="00CC57A9"/>
    <w:rsid w:val="00CC5A9F"/>
    <w:rsid w:val="00CC5DB7"/>
    <w:rsid w:val="00CC5FB0"/>
    <w:rsid w:val="00CC63C6"/>
    <w:rsid w:val="00CC6545"/>
    <w:rsid w:val="00CC6700"/>
    <w:rsid w:val="00CC6B8A"/>
    <w:rsid w:val="00CC6C82"/>
    <w:rsid w:val="00CC7368"/>
    <w:rsid w:val="00CC7587"/>
    <w:rsid w:val="00CC7BB3"/>
    <w:rsid w:val="00CC7E41"/>
    <w:rsid w:val="00CC7F74"/>
    <w:rsid w:val="00CD034E"/>
    <w:rsid w:val="00CD04D9"/>
    <w:rsid w:val="00CD0883"/>
    <w:rsid w:val="00CD0F97"/>
    <w:rsid w:val="00CD161A"/>
    <w:rsid w:val="00CD182B"/>
    <w:rsid w:val="00CD237B"/>
    <w:rsid w:val="00CD2BD7"/>
    <w:rsid w:val="00CD2F7B"/>
    <w:rsid w:val="00CD3290"/>
    <w:rsid w:val="00CD33F3"/>
    <w:rsid w:val="00CD3834"/>
    <w:rsid w:val="00CD38B2"/>
    <w:rsid w:val="00CD394B"/>
    <w:rsid w:val="00CD39FA"/>
    <w:rsid w:val="00CD3B0B"/>
    <w:rsid w:val="00CD3B46"/>
    <w:rsid w:val="00CD3C35"/>
    <w:rsid w:val="00CD3CF8"/>
    <w:rsid w:val="00CD41ED"/>
    <w:rsid w:val="00CD4618"/>
    <w:rsid w:val="00CD4FB2"/>
    <w:rsid w:val="00CD505E"/>
    <w:rsid w:val="00CD5103"/>
    <w:rsid w:val="00CD5E10"/>
    <w:rsid w:val="00CD62EE"/>
    <w:rsid w:val="00CD63B7"/>
    <w:rsid w:val="00CD67EC"/>
    <w:rsid w:val="00CD6A5D"/>
    <w:rsid w:val="00CD6C05"/>
    <w:rsid w:val="00CD6D1F"/>
    <w:rsid w:val="00CD6DCB"/>
    <w:rsid w:val="00CD78CA"/>
    <w:rsid w:val="00CD7959"/>
    <w:rsid w:val="00CD7D56"/>
    <w:rsid w:val="00CD7E38"/>
    <w:rsid w:val="00CD7FCA"/>
    <w:rsid w:val="00CE0321"/>
    <w:rsid w:val="00CE03D5"/>
    <w:rsid w:val="00CE0D76"/>
    <w:rsid w:val="00CE11F5"/>
    <w:rsid w:val="00CE1354"/>
    <w:rsid w:val="00CE14BE"/>
    <w:rsid w:val="00CE1620"/>
    <w:rsid w:val="00CE18D6"/>
    <w:rsid w:val="00CE1B59"/>
    <w:rsid w:val="00CE1F2B"/>
    <w:rsid w:val="00CE2493"/>
    <w:rsid w:val="00CE2647"/>
    <w:rsid w:val="00CE2707"/>
    <w:rsid w:val="00CE2897"/>
    <w:rsid w:val="00CE2961"/>
    <w:rsid w:val="00CE2B29"/>
    <w:rsid w:val="00CE2E33"/>
    <w:rsid w:val="00CE2FE4"/>
    <w:rsid w:val="00CE334B"/>
    <w:rsid w:val="00CE34F2"/>
    <w:rsid w:val="00CE3782"/>
    <w:rsid w:val="00CE3B31"/>
    <w:rsid w:val="00CE3C95"/>
    <w:rsid w:val="00CE44E4"/>
    <w:rsid w:val="00CE4FE2"/>
    <w:rsid w:val="00CE521F"/>
    <w:rsid w:val="00CE5229"/>
    <w:rsid w:val="00CE5910"/>
    <w:rsid w:val="00CE5B18"/>
    <w:rsid w:val="00CE5C03"/>
    <w:rsid w:val="00CE5FEB"/>
    <w:rsid w:val="00CE611D"/>
    <w:rsid w:val="00CE63B6"/>
    <w:rsid w:val="00CE63ED"/>
    <w:rsid w:val="00CE6E21"/>
    <w:rsid w:val="00CE7026"/>
    <w:rsid w:val="00CE705C"/>
    <w:rsid w:val="00CE7742"/>
    <w:rsid w:val="00CE77E3"/>
    <w:rsid w:val="00CE784E"/>
    <w:rsid w:val="00CE7953"/>
    <w:rsid w:val="00CE7BA6"/>
    <w:rsid w:val="00CE7BAF"/>
    <w:rsid w:val="00CE7C36"/>
    <w:rsid w:val="00CE7F43"/>
    <w:rsid w:val="00CF057F"/>
    <w:rsid w:val="00CF08FB"/>
    <w:rsid w:val="00CF090C"/>
    <w:rsid w:val="00CF0A1A"/>
    <w:rsid w:val="00CF0C97"/>
    <w:rsid w:val="00CF0E6E"/>
    <w:rsid w:val="00CF10C6"/>
    <w:rsid w:val="00CF12C7"/>
    <w:rsid w:val="00CF135D"/>
    <w:rsid w:val="00CF13E8"/>
    <w:rsid w:val="00CF160A"/>
    <w:rsid w:val="00CF1C66"/>
    <w:rsid w:val="00CF2356"/>
    <w:rsid w:val="00CF2579"/>
    <w:rsid w:val="00CF29EF"/>
    <w:rsid w:val="00CF2C7D"/>
    <w:rsid w:val="00CF2E8E"/>
    <w:rsid w:val="00CF2EC1"/>
    <w:rsid w:val="00CF2F0D"/>
    <w:rsid w:val="00CF3165"/>
    <w:rsid w:val="00CF3238"/>
    <w:rsid w:val="00CF355B"/>
    <w:rsid w:val="00CF3569"/>
    <w:rsid w:val="00CF3B63"/>
    <w:rsid w:val="00CF3CDE"/>
    <w:rsid w:val="00CF3DDB"/>
    <w:rsid w:val="00CF43C3"/>
    <w:rsid w:val="00CF4921"/>
    <w:rsid w:val="00CF4DA8"/>
    <w:rsid w:val="00CF4DF4"/>
    <w:rsid w:val="00CF4E96"/>
    <w:rsid w:val="00CF532B"/>
    <w:rsid w:val="00CF5510"/>
    <w:rsid w:val="00CF56EB"/>
    <w:rsid w:val="00CF5B11"/>
    <w:rsid w:val="00CF5B1D"/>
    <w:rsid w:val="00CF5B6E"/>
    <w:rsid w:val="00CF5F34"/>
    <w:rsid w:val="00CF6019"/>
    <w:rsid w:val="00CF6378"/>
    <w:rsid w:val="00CF6422"/>
    <w:rsid w:val="00CF6432"/>
    <w:rsid w:val="00CF663F"/>
    <w:rsid w:val="00CF6A6C"/>
    <w:rsid w:val="00CF6B1C"/>
    <w:rsid w:val="00CF6C8F"/>
    <w:rsid w:val="00CF6D94"/>
    <w:rsid w:val="00CF6E97"/>
    <w:rsid w:val="00CF7238"/>
    <w:rsid w:val="00CF730B"/>
    <w:rsid w:val="00D001BB"/>
    <w:rsid w:val="00D00612"/>
    <w:rsid w:val="00D007C6"/>
    <w:rsid w:val="00D007E4"/>
    <w:rsid w:val="00D008F3"/>
    <w:rsid w:val="00D00978"/>
    <w:rsid w:val="00D00B6D"/>
    <w:rsid w:val="00D00C06"/>
    <w:rsid w:val="00D00DBF"/>
    <w:rsid w:val="00D00F6A"/>
    <w:rsid w:val="00D01023"/>
    <w:rsid w:val="00D010C9"/>
    <w:rsid w:val="00D010DE"/>
    <w:rsid w:val="00D0170E"/>
    <w:rsid w:val="00D01BDB"/>
    <w:rsid w:val="00D023F2"/>
    <w:rsid w:val="00D026FB"/>
    <w:rsid w:val="00D02860"/>
    <w:rsid w:val="00D028E2"/>
    <w:rsid w:val="00D02B85"/>
    <w:rsid w:val="00D02C8B"/>
    <w:rsid w:val="00D02DE0"/>
    <w:rsid w:val="00D03B89"/>
    <w:rsid w:val="00D03C19"/>
    <w:rsid w:val="00D03D69"/>
    <w:rsid w:val="00D03DE1"/>
    <w:rsid w:val="00D0405E"/>
    <w:rsid w:val="00D04259"/>
    <w:rsid w:val="00D0456E"/>
    <w:rsid w:val="00D04873"/>
    <w:rsid w:val="00D049E4"/>
    <w:rsid w:val="00D04A8D"/>
    <w:rsid w:val="00D04C30"/>
    <w:rsid w:val="00D05044"/>
    <w:rsid w:val="00D05123"/>
    <w:rsid w:val="00D05859"/>
    <w:rsid w:val="00D05881"/>
    <w:rsid w:val="00D05DD7"/>
    <w:rsid w:val="00D05EFF"/>
    <w:rsid w:val="00D06061"/>
    <w:rsid w:val="00D064CE"/>
    <w:rsid w:val="00D06992"/>
    <w:rsid w:val="00D06CC7"/>
    <w:rsid w:val="00D06CFB"/>
    <w:rsid w:val="00D0706E"/>
    <w:rsid w:val="00D07408"/>
    <w:rsid w:val="00D07589"/>
    <w:rsid w:val="00D075A5"/>
    <w:rsid w:val="00D075E6"/>
    <w:rsid w:val="00D078DF"/>
    <w:rsid w:val="00D079FD"/>
    <w:rsid w:val="00D07C52"/>
    <w:rsid w:val="00D10072"/>
    <w:rsid w:val="00D100A1"/>
    <w:rsid w:val="00D10660"/>
    <w:rsid w:val="00D108B2"/>
    <w:rsid w:val="00D1094C"/>
    <w:rsid w:val="00D10C20"/>
    <w:rsid w:val="00D10F2A"/>
    <w:rsid w:val="00D11088"/>
    <w:rsid w:val="00D1112D"/>
    <w:rsid w:val="00D111F8"/>
    <w:rsid w:val="00D1199D"/>
    <w:rsid w:val="00D11C56"/>
    <w:rsid w:val="00D12128"/>
    <w:rsid w:val="00D1260D"/>
    <w:rsid w:val="00D12DC1"/>
    <w:rsid w:val="00D12E75"/>
    <w:rsid w:val="00D12FA0"/>
    <w:rsid w:val="00D130F1"/>
    <w:rsid w:val="00D1399A"/>
    <w:rsid w:val="00D13A51"/>
    <w:rsid w:val="00D13D67"/>
    <w:rsid w:val="00D13E2B"/>
    <w:rsid w:val="00D142FF"/>
    <w:rsid w:val="00D14577"/>
    <w:rsid w:val="00D145E5"/>
    <w:rsid w:val="00D14687"/>
    <w:rsid w:val="00D1473E"/>
    <w:rsid w:val="00D14AC8"/>
    <w:rsid w:val="00D14DFF"/>
    <w:rsid w:val="00D15433"/>
    <w:rsid w:val="00D1590A"/>
    <w:rsid w:val="00D1591E"/>
    <w:rsid w:val="00D15C0C"/>
    <w:rsid w:val="00D15CA7"/>
    <w:rsid w:val="00D15E6F"/>
    <w:rsid w:val="00D15F52"/>
    <w:rsid w:val="00D1679B"/>
    <w:rsid w:val="00D16CA2"/>
    <w:rsid w:val="00D17171"/>
    <w:rsid w:val="00D179DF"/>
    <w:rsid w:val="00D17E2F"/>
    <w:rsid w:val="00D17F48"/>
    <w:rsid w:val="00D20A76"/>
    <w:rsid w:val="00D20B15"/>
    <w:rsid w:val="00D20B97"/>
    <w:rsid w:val="00D20EFE"/>
    <w:rsid w:val="00D20F26"/>
    <w:rsid w:val="00D20FBF"/>
    <w:rsid w:val="00D2147D"/>
    <w:rsid w:val="00D2210C"/>
    <w:rsid w:val="00D22349"/>
    <w:rsid w:val="00D2254C"/>
    <w:rsid w:val="00D2255C"/>
    <w:rsid w:val="00D226F2"/>
    <w:rsid w:val="00D22A8B"/>
    <w:rsid w:val="00D22B4D"/>
    <w:rsid w:val="00D22C05"/>
    <w:rsid w:val="00D22D6C"/>
    <w:rsid w:val="00D22E2E"/>
    <w:rsid w:val="00D23045"/>
    <w:rsid w:val="00D23279"/>
    <w:rsid w:val="00D23402"/>
    <w:rsid w:val="00D238ED"/>
    <w:rsid w:val="00D239B0"/>
    <w:rsid w:val="00D241DB"/>
    <w:rsid w:val="00D245F7"/>
    <w:rsid w:val="00D24AFA"/>
    <w:rsid w:val="00D24B93"/>
    <w:rsid w:val="00D24E54"/>
    <w:rsid w:val="00D24FDA"/>
    <w:rsid w:val="00D253C9"/>
    <w:rsid w:val="00D2541F"/>
    <w:rsid w:val="00D26574"/>
    <w:rsid w:val="00D26AE0"/>
    <w:rsid w:val="00D26B86"/>
    <w:rsid w:val="00D26C95"/>
    <w:rsid w:val="00D2731F"/>
    <w:rsid w:val="00D274FA"/>
    <w:rsid w:val="00D2752C"/>
    <w:rsid w:val="00D2783A"/>
    <w:rsid w:val="00D27C16"/>
    <w:rsid w:val="00D27E7B"/>
    <w:rsid w:val="00D3041D"/>
    <w:rsid w:val="00D304E9"/>
    <w:rsid w:val="00D305B5"/>
    <w:rsid w:val="00D3063F"/>
    <w:rsid w:val="00D30C9E"/>
    <w:rsid w:val="00D311B8"/>
    <w:rsid w:val="00D31899"/>
    <w:rsid w:val="00D31C7C"/>
    <w:rsid w:val="00D31DF7"/>
    <w:rsid w:val="00D31ECB"/>
    <w:rsid w:val="00D31FB0"/>
    <w:rsid w:val="00D3229C"/>
    <w:rsid w:val="00D327A6"/>
    <w:rsid w:val="00D328AE"/>
    <w:rsid w:val="00D32CDF"/>
    <w:rsid w:val="00D32D1C"/>
    <w:rsid w:val="00D32E4D"/>
    <w:rsid w:val="00D32FE7"/>
    <w:rsid w:val="00D33084"/>
    <w:rsid w:val="00D337DD"/>
    <w:rsid w:val="00D33AEA"/>
    <w:rsid w:val="00D33B4D"/>
    <w:rsid w:val="00D33CC7"/>
    <w:rsid w:val="00D33F1E"/>
    <w:rsid w:val="00D34264"/>
    <w:rsid w:val="00D342E0"/>
    <w:rsid w:val="00D34538"/>
    <w:rsid w:val="00D345E9"/>
    <w:rsid w:val="00D347D4"/>
    <w:rsid w:val="00D34CFA"/>
    <w:rsid w:val="00D34D95"/>
    <w:rsid w:val="00D34DFE"/>
    <w:rsid w:val="00D351A6"/>
    <w:rsid w:val="00D352E0"/>
    <w:rsid w:val="00D35524"/>
    <w:rsid w:val="00D3573F"/>
    <w:rsid w:val="00D3591D"/>
    <w:rsid w:val="00D35970"/>
    <w:rsid w:val="00D35E31"/>
    <w:rsid w:val="00D36130"/>
    <w:rsid w:val="00D3626C"/>
    <w:rsid w:val="00D362C8"/>
    <w:rsid w:val="00D3642D"/>
    <w:rsid w:val="00D36583"/>
    <w:rsid w:val="00D3704B"/>
    <w:rsid w:val="00D371E8"/>
    <w:rsid w:val="00D37C5A"/>
    <w:rsid w:val="00D37DFD"/>
    <w:rsid w:val="00D40074"/>
    <w:rsid w:val="00D401B9"/>
    <w:rsid w:val="00D40219"/>
    <w:rsid w:val="00D40269"/>
    <w:rsid w:val="00D4035E"/>
    <w:rsid w:val="00D407FA"/>
    <w:rsid w:val="00D41439"/>
    <w:rsid w:val="00D414D8"/>
    <w:rsid w:val="00D4165D"/>
    <w:rsid w:val="00D41722"/>
    <w:rsid w:val="00D41D2A"/>
    <w:rsid w:val="00D42677"/>
    <w:rsid w:val="00D42771"/>
    <w:rsid w:val="00D4294C"/>
    <w:rsid w:val="00D42B8A"/>
    <w:rsid w:val="00D42F46"/>
    <w:rsid w:val="00D43BB3"/>
    <w:rsid w:val="00D44393"/>
    <w:rsid w:val="00D44843"/>
    <w:rsid w:val="00D448A9"/>
    <w:rsid w:val="00D449B8"/>
    <w:rsid w:val="00D44E11"/>
    <w:rsid w:val="00D45042"/>
    <w:rsid w:val="00D450A7"/>
    <w:rsid w:val="00D4510D"/>
    <w:rsid w:val="00D45F54"/>
    <w:rsid w:val="00D461B0"/>
    <w:rsid w:val="00D46297"/>
    <w:rsid w:val="00D465E2"/>
    <w:rsid w:val="00D467A1"/>
    <w:rsid w:val="00D469B9"/>
    <w:rsid w:val="00D46B02"/>
    <w:rsid w:val="00D46CFD"/>
    <w:rsid w:val="00D46D28"/>
    <w:rsid w:val="00D46F06"/>
    <w:rsid w:val="00D47092"/>
    <w:rsid w:val="00D4733F"/>
    <w:rsid w:val="00D475AB"/>
    <w:rsid w:val="00D50007"/>
    <w:rsid w:val="00D503AB"/>
    <w:rsid w:val="00D506F1"/>
    <w:rsid w:val="00D50A36"/>
    <w:rsid w:val="00D50D0F"/>
    <w:rsid w:val="00D50F99"/>
    <w:rsid w:val="00D51D19"/>
    <w:rsid w:val="00D51D59"/>
    <w:rsid w:val="00D527D2"/>
    <w:rsid w:val="00D5280E"/>
    <w:rsid w:val="00D52C71"/>
    <w:rsid w:val="00D536C9"/>
    <w:rsid w:val="00D5389E"/>
    <w:rsid w:val="00D543FF"/>
    <w:rsid w:val="00D544B1"/>
    <w:rsid w:val="00D546F5"/>
    <w:rsid w:val="00D54835"/>
    <w:rsid w:val="00D54A70"/>
    <w:rsid w:val="00D54E7A"/>
    <w:rsid w:val="00D54EC5"/>
    <w:rsid w:val="00D54EDF"/>
    <w:rsid w:val="00D54F6F"/>
    <w:rsid w:val="00D550A3"/>
    <w:rsid w:val="00D552E1"/>
    <w:rsid w:val="00D55981"/>
    <w:rsid w:val="00D5599F"/>
    <w:rsid w:val="00D55BD8"/>
    <w:rsid w:val="00D55EAD"/>
    <w:rsid w:val="00D55F86"/>
    <w:rsid w:val="00D56175"/>
    <w:rsid w:val="00D564FD"/>
    <w:rsid w:val="00D5662A"/>
    <w:rsid w:val="00D56A16"/>
    <w:rsid w:val="00D56C4E"/>
    <w:rsid w:val="00D57349"/>
    <w:rsid w:val="00D5752F"/>
    <w:rsid w:val="00D57802"/>
    <w:rsid w:val="00D57890"/>
    <w:rsid w:val="00D578A6"/>
    <w:rsid w:val="00D57A22"/>
    <w:rsid w:val="00D57B63"/>
    <w:rsid w:val="00D57D51"/>
    <w:rsid w:val="00D57DB5"/>
    <w:rsid w:val="00D6036E"/>
    <w:rsid w:val="00D6070B"/>
    <w:rsid w:val="00D60896"/>
    <w:rsid w:val="00D608E2"/>
    <w:rsid w:val="00D609C5"/>
    <w:rsid w:val="00D60B89"/>
    <w:rsid w:val="00D60E16"/>
    <w:rsid w:val="00D60F6E"/>
    <w:rsid w:val="00D61516"/>
    <w:rsid w:val="00D61895"/>
    <w:rsid w:val="00D61B1F"/>
    <w:rsid w:val="00D620C2"/>
    <w:rsid w:val="00D621AA"/>
    <w:rsid w:val="00D625F6"/>
    <w:rsid w:val="00D62A43"/>
    <w:rsid w:val="00D62ACF"/>
    <w:rsid w:val="00D6320F"/>
    <w:rsid w:val="00D632BF"/>
    <w:rsid w:val="00D6336D"/>
    <w:rsid w:val="00D63464"/>
    <w:rsid w:val="00D6407A"/>
    <w:rsid w:val="00D640C0"/>
    <w:rsid w:val="00D64692"/>
    <w:rsid w:val="00D6484A"/>
    <w:rsid w:val="00D648DE"/>
    <w:rsid w:val="00D64D38"/>
    <w:rsid w:val="00D64D4F"/>
    <w:rsid w:val="00D64D54"/>
    <w:rsid w:val="00D652D2"/>
    <w:rsid w:val="00D65A6A"/>
    <w:rsid w:val="00D65C6F"/>
    <w:rsid w:val="00D65F2F"/>
    <w:rsid w:val="00D66A0B"/>
    <w:rsid w:val="00D66C51"/>
    <w:rsid w:val="00D670CF"/>
    <w:rsid w:val="00D676E9"/>
    <w:rsid w:val="00D70168"/>
    <w:rsid w:val="00D701C2"/>
    <w:rsid w:val="00D70322"/>
    <w:rsid w:val="00D70356"/>
    <w:rsid w:val="00D703DA"/>
    <w:rsid w:val="00D707F5"/>
    <w:rsid w:val="00D708DB"/>
    <w:rsid w:val="00D709D8"/>
    <w:rsid w:val="00D70E6D"/>
    <w:rsid w:val="00D70F22"/>
    <w:rsid w:val="00D711FC"/>
    <w:rsid w:val="00D71C7A"/>
    <w:rsid w:val="00D71CA4"/>
    <w:rsid w:val="00D71F2D"/>
    <w:rsid w:val="00D720E2"/>
    <w:rsid w:val="00D72D7D"/>
    <w:rsid w:val="00D72DE7"/>
    <w:rsid w:val="00D72F59"/>
    <w:rsid w:val="00D7318A"/>
    <w:rsid w:val="00D731DD"/>
    <w:rsid w:val="00D732E8"/>
    <w:rsid w:val="00D733B5"/>
    <w:rsid w:val="00D736CF"/>
    <w:rsid w:val="00D73D53"/>
    <w:rsid w:val="00D741FD"/>
    <w:rsid w:val="00D74250"/>
    <w:rsid w:val="00D7441E"/>
    <w:rsid w:val="00D74458"/>
    <w:rsid w:val="00D746DB"/>
    <w:rsid w:val="00D7473A"/>
    <w:rsid w:val="00D7475E"/>
    <w:rsid w:val="00D74EF7"/>
    <w:rsid w:val="00D74FA7"/>
    <w:rsid w:val="00D751C8"/>
    <w:rsid w:val="00D754EC"/>
    <w:rsid w:val="00D7560C"/>
    <w:rsid w:val="00D75A8C"/>
    <w:rsid w:val="00D75CAD"/>
    <w:rsid w:val="00D75FB3"/>
    <w:rsid w:val="00D760A1"/>
    <w:rsid w:val="00D760A3"/>
    <w:rsid w:val="00D76264"/>
    <w:rsid w:val="00D76463"/>
    <w:rsid w:val="00D76569"/>
    <w:rsid w:val="00D7689F"/>
    <w:rsid w:val="00D76983"/>
    <w:rsid w:val="00D76A90"/>
    <w:rsid w:val="00D76BEA"/>
    <w:rsid w:val="00D76C24"/>
    <w:rsid w:val="00D76DA2"/>
    <w:rsid w:val="00D77099"/>
    <w:rsid w:val="00D770A8"/>
    <w:rsid w:val="00D77126"/>
    <w:rsid w:val="00D77A38"/>
    <w:rsid w:val="00D77FE1"/>
    <w:rsid w:val="00D801C3"/>
    <w:rsid w:val="00D803A2"/>
    <w:rsid w:val="00D8085F"/>
    <w:rsid w:val="00D8095F"/>
    <w:rsid w:val="00D80A8E"/>
    <w:rsid w:val="00D80B78"/>
    <w:rsid w:val="00D810B5"/>
    <w:rsid w:val="00D8116E"/>
    <w:rsid w:val="00D812CE"/>
    <w:rsid w:val="00D813DF"/>
    <w:rsid w:val="00D8157A"/>
    <w:rsid w:val="00D81803"/>
    <w:rsid w:val="00D81D2F"/>
    <w:rsid w:val="00D81E0E"/>
    <w:rsid w:val="00D81E30"/>
    <w:rsid w:val="00D82343"/>
    <w:rsid w:val="00D828E9"/>
    <w:rsid w:val="00D82D7C"/>
    <w:rsid w:val="00D83125"/>
    <w:rsid w:val="00D834BA"/>
    <w:rsid w:val="00D83999"/>
    <w:rsid w:val="00D83ECC"/>
    <w:rsid w:val="00D84245"/>
    <w:rsid w:val="00D84372"/>
    <w:rsid w:val="00D843BB"/>
    <w:rsid w:val="00D844BB"/>
    <w:rsid w:val="00D8455F"/>
    <w:rsid w:val="00D847D9"/>
    <w:rsid w:val="00D8517B"/>
    <w:rsid w:val="00D853CA"/>
    <w:rsid w:val="00D857FC"/>
    <w:rsid w:val="00D85A41"/>
    <w:rsid w:val="00D85C0B"/>
    <w:rsid w:val="00D86181"/>
    <w:rsid w:val="00D867A3"/>
    <w:rsid w:val="00D86957"/>
    <w:rsid w:val="00D86ECA"/>
    <w:rsid w:val="00D86FA0"/>
    <w:rsid w:val="00D8729E"/>
    <w:rsid w:val="00D87C5F"/>
    <w:rsid w:val="00D87DAF"/>
    <w:rsid w:val="00D905EB"/>
    <w:rsid w:val="00D9089B"/>
    <w:rsid w:val="00D90BD6"/>
    <w:rsid w:val="00D914E5"/>
    <w:rsid w:val="00D916C5"/>
    <w:rsid w:val="00D91A61"/>
    <w:rsid w:val="00D91B4F"/>
    <w:rsid w:val="00D91CD9"/>
    <w:rsid w:val="00D91E2A"/>
    <w:rsid w:val="00D92256"/>
    <w:rsid w:val="00D922DD"/>
    <w:rsid w:val="00D926F3"/>
    <w:rsid w:val="00D92924"/>
    <w:rsid w:val="00D92B27"/>
    <w:rsid w:val="00D92B5E"/>
    <w:rsid w:val="00D92DB4"/>
    <w:rsid w:val="00D92E22"/>
    <w:rsid w:val="00D93512"/>
    <w:rsid w:val="00D93580"/>
    <w:rsid w:val="00D93AA1"/>
    <w:rsid w:val="00D93B0B"/>
    <w:rsid w:val="00D93CDF"/>
    <w:rsid w:val="00D94C0C"/>
    <w:rsid w:val="00D94C91"/>
    <w:rsid w:val="00D94DD1"/>
    <w:rsid w:val="00D95082"/>
    <w:rsid w:val="00D95D01"/>
    <w:rsid w:val="00D96D48"/>
    <w:rsid w:val="00D96E85"/>
    <w:rsid w:val="00D974A5"/>
    <w:rsid w:val="00D97BA9"/>
    <w:rsid w:val="00D97D9F"/>
    <w:rsid w:val="00DA0115"/>
    <w:rsid w:val="00DA0305"/>
    <w:rsid w:val="00DA0651"/>
    <w:rsid w:val="00DA0C7A"/>
    <w:rsid w:val="00DA0CE0"/>
    <w:rsid w:val="00DA116A"/>
    <w:rsid w:val="00DA11F3"/>
    <w:rsid w:val="00DA15B1"/>
    <w:rsid w:val="00DA15DE"/>
    <w:rsid w:val="00DA1CD5"/>
    <w:rsid w:val="00DA1E18"/>
    <w:rsid w:val="00DA1E2F"/>
    <w:rsid w:val="00DA218F"/>
    <w:rsid w:val="00DA2645"/>
    <w:rsid w:val="00DA316B"/>
    <w:rsid w:val="00DA32CD"/>
    <w:rsid w:val="00DA3853"/>
    <w:rsid w:val="00DA477B"/>
    <w:rsid w:val="00DA4AA1"/>
    <w:rsid w:val="00DA4CF8"/>
    <w:rsid w:val="00DA4E0C"/>
    <w:rsid w:val="00DA4EDE"/>
    <w:rsid w:val="00DA50BD"/>
    <w:rsid w:val="00DA5108"/>
    <w:rsid w:val="00DA55B1"/>
    <w:rsid w:val="00DA5628"/>
    <w:rsid w:val="00DA6093"/>
    <w:rsid w:val="00DA6250"/>
    <w:rsid w:val="00DA661B"/>
    <w:rsid w:val="00DA6680"/>
    <w:rsid w:val="00DA6835"/>
    <w:rsid w:val="00DA6B0F"/>
    <w:rsid w:val="00DA7362"/>
    <w:rsid w:val="00DA7509"/>
    <w:rsid w:val="00DA7616"/>
    <w:rsid w:val="00DB00FB"/>
    <w:rsid w:val="00DB0119"/>
    <w:rsid w:val="00DB0272"/>
    <w:rsid w:val="00DB0289"/>
    <w:rsid w:val="00DB0923"/>
    <w:rsid w:val="00DB0963"/>
    <w:rsid w:val="00DB0A46"/>
    <w:rsid w:val="00DB0D62"/>
    <w:rsid w:val="00DB1319"/>
    <w:rsid w:val="00DB14EC"/>
    <w:rsid w:val="00DB151B"/>
    <w:rsid w:val="00DB19E7"/>
    <w:rsid w:val="00DB1B98"/>
    <w:rsid w:val="00DB1BA1"/>
    <w:rsid w:val="00DB1BE4"/>
    <w:rsid w:val="00DB2369"/>
    <w:rsid w:val="00DB24A6"/>
    <w:rsid w:val="00DB26C2"/>
    <w:rsid w:val="00DB27E0"/>
    <w:rsid w:val="00DB2AEB"/>
    <w:rsid w:val="00DB2B12"/>
    <w:rsid w:val="00DB2BF4"/>
    <w:rsid w:val="00DB2CC0"/>
    <w:rsid w:val="00DB31FE"/>
    <w:rsid w:val="00DB35C6"/>
    <w:rsid w:val="00DB368C"/>
    <w:rsid w:val="00DB36C4"/>
    <w:rsid w:val="00DB38F9"/>
    <w:rsid w:val="00DB3AEE"/>
    <w:rsid w:val="00DB3DFC"/>
    <w:rsid w:val="00DB3FB0"/>
    <w:rsid w:val="00DB4341"/>
    <w:rsid w:val="00DB4485"/>
    <w:rsid w:val="00DB4910"/>
    <w:rsid w:val="00DB4A32"/>
    <w:rsid w:val="00DB4B5C"/>
    <w:rsid w:val="00DB4DFE"/>
    <w:rsid w:val="00DB521C"/>
    <w:rsid w:val="00DB5B20"/>
    <w:rsid w:val="00DB5B4F"/>
    <w:rsid w:val="00DB5D6C"/>
    <w:rsid w:val="00DB6058"/>
    <w:rsid w:val="00DB6088"/>
    <w:rsid w:val="00DB623D"/>
    <w:rsid w:val="00DB6549"/>
    <w:rsid w:val="00DB657E"/>
    <w:rsid w:val="00DB68D3"/>
    <w:rsid w:val="00DB69B3"/>
    <w:rsid w:val="00DB6B59"/>
    <w:rsid w:val="00DB6BED"/>
    <w:rsid w:val="00DB7473"/>
    <w:rsid w:val="00DB7483"/>
    <w:rsid w:val="00DB7786"/>
    <w:rsid w:val="00DB796F"/>
    <w:rsid w:val="00DB79FE"/>
    <w:rsid w:val="00DB7B79"/>
    <w:rsid w:val="00DC00E1"/>
    <w:rsid w:val="00DC0280"/>
    <w:rsid w:val="00DC06DE"/>
    <w:rsid w:val="00DC0903"/>
    <w:rsid w:val="00DC0A7A"/>
    <w:rsid w:val="00DC11FB"/>
    <w:rsid w:val="00DC1700"/>
    <w:rsid w:val="00DC1D4F"/>
    <w:rsid w:val="00DC1F6A"/>
    <w:rsid w:val="00DC2291"/>
    <w:rsid w:val="00DC2389"/>
    <w:rsid w:val="00DC251A"/>
    <w:rsid w:val="00DC26BC"/>
    <w:rsid w:val="00DC2CCF"/>
    <w:rsid w:val="00DC31D0"/>
    <w:rsid w:val="00DC3A52"/>
    <w:rsid w:val="00DC4186"/>
    <w:rsid w:val="00DC44C9"/>
    <w:rsid w:val="00DC454A"/>
    <w:rsid w:val="00DC5079"/>
    <w:rsid w:val="00DC5576"/>
    <w:rsid w:val="00DC55A9"/>
    <w:rsid w:val="00DC578F"/>
    <w:rsid w:val="00DC59F6"/>
    <w:rsid w:val="00DC5A0B"/>
    <w:rsid w:val="00DC5C1D"/>
    <w:rsid w:val="00DC5CA7"/>
    <w:rsid w:val="00DC5DD7"/>
    <w:rsid w:val="00DC60DF"/>
    <w:rsid w:val="00DC63E0"/>
    <w:rsid w:val="00DC6871"/>
    <w:rsid w:val="00DC692F"/>
    <w:rsid w:val="00DC6C5A"/>
    <w:rsid w:val="00DC6CB2"/>
    <w:rsid w:val="00DC6F95"/>
    <w:rsid w:val="00DC7233"/>
    <w:rsid w:val="00DC7A17"/>
    <w:rsid w:val="00DC7BB9"/>
    <w:rsid w:val="00DC7BF9"/>
    <w:rsid w:val="00DC7CD3"/>
    <w:rsid w:val="00DC7F0C"/>
    <w:rsid w:val="00DD00B5"/>
    <w:rsid w:val="00DD01F5"/>
    <w:rsid w:val="00DD0267"/>
    <w:rsid w:val="00DD03FE"/>
    <w:rsid w:val="00DD04D3"/>
    <w:rsid w:val="00DD0674"/>
    <w:rsid w:val="00DD0F2D"/>
    <w:rsid w:val="00DD0FA1"/>
    <w:rsid w:val="00DD168C"/>
    <w:rsid w:val="00DD17D1"/>
    <w:rsid w:val="00DD1BBF"/>
    <w:rsid w:val="00DD205D"/>
    <w:rsid w:val="00DD23B6"/>
    <w:rsid w:val="00DD24DD"/>
    <w:rsid w:val="00DD263B"/>
    <w:rsid w:val="00DD270A"/>
    <w:rsid w:val="00DD28D2"/>
    <w:rsid w:val="00DD30E0"/>
    <w:rsid w:val="00DD3368"/>
    <w:rsid w:val="00DD38A5"/>
    <w:rsid w:val="00DD39F9"/>
    <w:rsid w:val="00DD3EEF"/>
    <w:rsid w:val="00DD3EF8"/>
    <w:rsid w:val="00DD4146"/>
    <w:rsid w:val="00DD41E5"/>
    <w:rsid w:val="00DD42B6"/>
    <w:rsid w:val="00DD4DCA"/>
    <w:rsid w:val="00DD5324"/>
    <w:rsid w:val="00DD534F"/>
    <w:rsid w:val="00DD5951"/>
    <w:rsid w:val="00DD598A"/>
    <w:rsid w:val="00DD5B98"/>
    <w:rsid w:val="00DD5CD6"/>
    <w:rsid w:val="00DD5E00"/>
    <w:rsid w:val="00DD5EC8"/>
    <w:rsid w:val="00DD6715"/>
    <w:rsid w:val="00DD684E"/>
    <w:rsid w:val="00DD6AAE"/>
    <w:rsid w:val="00DD6D0E"/>
    <w:rsid w:val="00DD6F70"/>
    <w:rsid w:val="00DD733C"/>
    <w:rsid w:val="00DD74A7"/>
    <w:rsid w:val="00DD7D2D"/>
    <w:rsid w:val="00DE001D"/>
    <w:rsid w:val="00DE07E8"/>
    <w:rsid w:val="00DE0A47"/>
    <w:rsid w:val="00DE0C27"/>
    <w:rsid w:val="00DE0D79"/>
    <w:rsid w:val="00DE0EF9"/>
    <w:rsid w:val="00DE11B3"/>
    <w:rsid w:val="00DE1517"/>
    <w:rsid w:val="00DE15A8"/>
    <w:rsid w:val="00DE1797"/>
    <w:rsid w:val="00DE1B03"/>
    <w:rsid w:val="00DE1D0F"/>
    <w:rsid w:val="00DE1EFB"/>
    <w:rsid w:val="00DE1F6E"/>
    <w:rsid w:val="00DE243D"/>
    <w:rsid w:val="00DE28A2"/>
    <w:rsid w:val="00DE28FD"/>
    <w:rsid w:val="00DE2914"/>
    <w:rsid w:val="00DE2A4F"/>
    <w:rsid w:val="00DE2AB9"/>
    <w:rsid w:val="00DE2E46"/>
    <w:rsid w:val="00DE2E9C"/>
    <w:rsid w:val="00DE3145"/>
    <w:rsid w:val="00DE3D92"/>
    <w:rsid w:val="00DE3DC0"/>
    <w:rsid w:val="00DE3EB6"/>
    <w:rsid w:val="00DE3ECB"/>
    <w:rsid w:val="00DE473C"/>
    <w:rsid w:val="00DE4930"/>
    <w:rsid w:val="00DE496B"/>
    <w:rsid w:val="00DE4CD1"/>
    <w:rsid w:val="00DE5243"/>
    <w:rsid w:val="00DE5600"/>
    <w:rsid w:val="00DE5644"/>
    <w:rsid w:val="00DE57CF"/>
    <w:rsid w:val="00DE5B9E"/>
    <w:rsid w:val="00DE5C58"/>
    <w:rsid w:val="00DE5EA8"/>
    <w:rsid w:val="00DE62AC"/>
    <w:rsid w:val="00DE68F2"/>
    <w:rsid w:val="00DE7383"/>
    <w:rsid w:val="00DE75EF"/>
    <w:rsid w:val="00DE78B2"/>
    <w:rsid w:val="00DE7937"/>
    <w:rsid w:val="00DE7BD5"/>
    <w:rsid w:val="00DE7CB3"/>
    <w:rsid w:val="00DE7EA7"/>
    <w:rsid w:val="00DF035A"/>
    <w:rsid w:val="00DF0458"/>
    <w:rsid w:val="00DF055F"/>
    <w:rsid w:val="00DF0695"/>
    <w:rsid w:val="00DF09AC"/>
    <w:rsid w:val="00DF0D88"/>
    <w:rsid w:val="00DF0DCC"/>
    <w:rsid w:val="00DF130D"/>
    <w:rsid w:val="00DF175E"/>
    <w:rsid w:val="00DF1919"/>
    <w:rsid w:val="00DF1ECA"/>
    <w:rsid w:val="00DF2170"/>
    <w:rsid w:val="00DF23CF"/>
    <w:rsid w:val="00DF2549"/>
    <w:rsid w:val="00DF25B5"/>
    <w:rsid w:val="00DF2705"/>
    <w:rsid w:val="00DF2A07"/>
    <w:rsid w:val="00DF2A75"/>
    <w:rsid w:val="00DF2DFE"/>
    <w:rsid w:val="00DF318B"/>
    <w:rsid w:val="00DF31C4"/>
    <w:rsid w:val="00DF3356"/>
    <w:rsid w:val="00DF3928"/>
    <w:rsid w:val="00DF39AF"/>
    <w:rsid w:val="00DF3FAB"/>
    <w:rsid w:val="00DF4069"/>
    <w:rsid w:val="00DF4071"/>
    <w:rsid w:val="00DF41F5"/>
    <w:rsid w:val="00DF4AF7"/>
    <w:rsid w:val="00DF515C"/>
    <w:rsid w:val="00DF567D"/>
    <w:rsid w:val="00DF57CC"/>
    <w:rsid w:val="00DF57D2"/>
    <w:rsid w:val="00DF5CB8"/>
    <w:rsid w:val="00DF62B2"/>
    <w:rsid w:val="00DF6429"/>
    <w:rsid w:val="00DF6945"/>
    <w:rsid w:val="00DF6BCE"/>
    <w:rsid w:val="00DF6FFF"/>
    <w:rsid w:val="00DF714A"/>
    <w:rsid w:val="00DF72BE"/>
    <w:rsid w:val="00DF7F1D"/>
    <w:rsid w:val="00E001D1"/>
    <w:rsid w:val="00E002D8"/>
    <w:rsid w:val="00E00405"/>
    <w:rsid w:val="00E00675"/>
    <w:rsid w:val="00E007AA"/>
    <w:rsid w:val="00E00C5A"/>
    <w:rsid w:val="00E00EC6"/>
    <w:rsid w:val="00E0159A"/>
    <w:rsid w:val="00E0167C"/>
    <w:rsid w:val="00E01BA2"/>
    <w:rsid w:val="00E01F53"/>
    <w:rsid w:val="00E021D5"/>
    <w:rsid w:val="00E02771"/>
    <w:rsid w:val="00E02911"/>
    <w:rsid w:val="00E02A1F"/>
    <w:rsid w:val="00E02CE8"/>
    <w:rsid w:val="00E02CF1"/>
    <w:rsid w:val="00E02D33"/>
    <w:rsid w:val="00E02FF0"/>
    <w:rsid w:val="00E030F5"/>
    <w:rsid w:val="00E03170"/>
    <w:rsid w:val="00E03728"/>
    <w:rsid w:val="00E03846"/>
    <w:rsid w:val="00E0394D"/>
    <w:rsid w:val="00E03AC6"/>
    <w:rsid w:val="00E03C04"/>
    <w:rsid w:val="00E03D64"/>
    <w:rsid w:val="00E040ED"/>
    <w:rsid w:val="00E043E7"/>
    <w:rsid w:val="00E049B6"/>
    <w:rsid w:val="00E04AAE"/>
    <w:rsid w:val="00E04C74"/>
    <w:rsid w:val="00E04E3C"/>
    <w:rsid w:val="00E04EB5"/>
    <w:rsid w:val="00E04F8A"/>
    <w:rsid w:val="00E05338"/>
    <w:rsid w:val="00E0577E"/>
    <w:rsid w:val="00E057A7"/>
    <w:rsid w:val="00E05C5B"/>
    <w:rsid w:val="00E05DC2"/>
    <w:rsid w:val="00E062EE"/>
    <w:rsid w:val="00E06523"/>
    <w:rsid w:val="00E065B0"/>
    <w:rsid w:val="00E06697"/>
    <w:rsid w:val="00E066B5"/>
    <w:rsid w:val="00E067CE"/>
    <w:rsid w:val="00E06FDF"/>
    <w:rsid w:val="00E073F9"/>
    <w:rsid w:val="00E074FC"/>
    <w:rsid w:val="00E07770"/>
    <w:rsid w:val="00E07F88"/>
    <w:rsid w:val="00E100B2"/>
    <w:rsid w:val="00E1032C"/>
    <w:rsid w:val="00E10458"/>
    <w:rsid w:val="00E10C65"/>
    <w:rsid w:val="00E1110B"/>
    <w:rsid w:val="00E11136"/>
    <w:rsid w:val="00E11991"/>
    <w:rsid w:val="00E11C99"/>
    <w:rsid w:val="00E1222E"/>
    <w:rsid w:val="00E12693"/>
    <w:rsid w:val="00E12D98"/>
    <w:rsid w:val="00E13394"/>
    <w:rsid w:val="00E13731"/>
    <w:rsid w:val="00E13A96"/>
    <w:rsid w:val="00E13C68"/>
    <w:rsid w:val="00E13EDE"/>
    <w:rsid w:val="00E13FF6"/>
    <w:rsid w:val="00E14265"/>
    <w:rsid w:val="00E14311"/>
    <w:rsid w:val="00E1466A"/>
    <w:rsid w:val="00E14789"/>
    <w:rsid w:val="00E14E62"/>
    <w:rsid w:val="00E14F60"/>
    <w:rsid w:val="00E15355"/>
    <w:rsid w:val="00E153DB"/>
    <w:rsid w:val="00E155BA"/>
    <w:rsid w:val="00E1566A"/>
    <w:rsid w:val="00E15AEA"/>
    <w:rsid w:val="00E15ED8"/>
    <w:rsid w:val="00E16043"/>
    <w:rsid w:val="00E16C61"/>
    <w:rsid w:val="00E16CB7"/>
    <w:rsid w:val="00E16FD7"/>
    <w:rsid w:val="00E17560"/>
    <w:rsid w:val="00E17E2F"/>
    <w:rsid w:val="00E20162"/>
    <w:rsid w:val="00E20355"/>
    <w:rsid w:val="00E20450"/>
    <w:rsid w:val="00E20657"/>
    <w:rsid w:val="00E206FB"/>
    <w:rsid w:val="00E20896"/>
    <w:rsid w:val="00E2093D"/>
    <w:rsid w:val="00E2097A"/>
    <w:rsid w:val="00E21522"/>
    <w:rsid w:val="00E21BEF"/>
    <w:rsid w:val="00E22276"/>
    <w:rsid w:val="00E22701"/>
    <w:rsid w:val="00E22D8A"/>
    <w:rsid w:val="00E22E00"/>
    <w:rsid w:val="00E22E2D"/>
    <w:rsid w:val="00E22E65"/>
    <w:rsid w:val="00E22E86"/>
    <w:rsid w:val="00E23413"/>
    <w:rsid w:val="00E23589"/>
    <w:rsid w:val="00E23A04"/>
    <w:rsid w:val="00E23DDC"/>
    <w:rsid w:val="00E24317"/>
    <w:rsid w:val="00E2433D"/>
    <w:rsid w:val="00E2440D"/>
    <w:rsid w:val="00E2513C"/>
    <w:rsid w:val="00E25242"/>
    <w:rsid w:val="00E254E4"/>
    <w:rsid w:val="00E25A44"/>
    <w:rsid w:val="00E25AD8"/>
    <w:rsid w:val="00E25C21"/>
    <w:rsid w:val="00E25D74"/>
    <w:rsid w:val="00E25F89"/>
    <w:rsid w:val="00E26BA0"/>
    <w:rsid w:val="00E26C3E"/>
    <w:rsid w:val="00E27336"/>
    <w:rsid w:val="00E27540"/>
    <w:rsid w:val="00E27C59"/>
    <w:rsid w:val="00E27D58"/>
    <w:rsid w:val="00E27F81"/>
    <w:rsid w:val="00E30818"/>
    <w:rsid w:val="00E3084E"/>
    <w:rsid w:val="00E30AB4"/>
    <w:rsid w:val="00E30D95"/>
    <w:rsid w:val="00E30DB6"/>
    <w:rsid w:val="00E3138E"/>
    <w:rsid w:val="00E313FB"/>
    <w:rsid w:val="00E31682"/>
    <w:rsid w:val="00E3175A"/>
    <w:rsid w:val="00E319EF"/>
    <w:rsid w:val="00E31CD4"/>
    <w:rsid w:val="00E31F01"/>
    <w:rsid w:val="00E32132"/>
    <w:rsid w:val="00E32BBE"/>
    <w:rsid w:val="00E3319F"/>
    <w:rsid w:val="00E333F0"/>
    <w:rsid w:val="00E33821"/>
    <w:rsid w:val="00E33BEB"/>
    <w:rsid w:val="00E33F0A"/>
    <w:rsid w:val="00E341F4"/>
    <w:rsid w:val="00E3429E"/>
    <w:rsid w:val="00E34441"/>
    <w:rsid w:val="00E348FE"/>
    <w:rsid w:val="00E34AEE"/>
    <w:rsid w:val="00E35102"/>
    <w:rsid w:val="00E35124"/>
    <w:rsid w:val="00E3564C"/>
    <w:rsid w:val="00E35677"/>
    <w:rsid w:val="00E359F1"/>
    <w:rsid w:val="00E35C41"/>
    <w:rsid w:val="00E36343"/>
    <w:rsid w:val="00E366A8"/>
    <w:rsid w:val="00E368B7"/>
    <w:rsid w:val="00E36A37"/>
    <w:rsid w:val="00E36F7F"/>
    <w:rsid w:val="00E36F85"/>
    <w:rsid w:val="00E36FB6"/>
    <w:rsid w:val="00E373D9"/>
    <w:rsid w:val="00E373EE"/>
    <w:rsid w:val="00E37B18"/>
    <w:rsid w:val="00E37DD5"/>
    <w:rsid w:val="00E37E85"/>
    <w:rsid w:val="00E40112"/>
    <w:rsid w:val="00E401A0"/>
    <w:rsid w:val="00E401AE"/>
    <w:rsid w:val="00E4026C"/>
    <w:rsid w:val="00E40300"/>
    <w:rsid w:val="00E40CAF"/>
    <w:rsid w:val="00E4103C"/>
    <w:rsid w:val="00E413B9"/>
    <w:rsid w:val="00E41B50"/>
    <w:rsid w:val="00E41F83"/>
    <w:rsid w:val="00E42000"/>
    <w:rsid w:val="00E42018"/>
    <w:rsid w:val="00E426E8"/>
    <w:rsid w:val="00E42732"/>
    <w:rsid w:val="00E42A55"/>
    <w:rsid w:val="00E42E30"/>
    <w:rsid w:val="00E431E7"/>
    <w:rsid w:val="00E431F8"/>
    <w:rsid w:val="00E43608"/>
    <w:rsid w:val="00E4369C"/>
    <w:rsid w:val="00E43A5E"/>
    <w:rsid w:val="00E43C1B"/>
    <w:rsid w:val="00E43C77"/>
    <w:rsid w:val="00E4435B"/>
    <w:rsid w:val="00E446C1"/>
    <w:rsid w:val="00E447B5"/>
    <w:rsid w:val="00E447E5"/>
    <w:rsid w:val="00E44A28"/>
    <w:rsid w:val="00E44C91"/>
    <w:rsid w:val="00E454C3"/>
    <w:rsid w:val="00E45646"/>
    <w:rsid w:val="00E4566E"/>
    <w:rsid w:val="00E456DA"/>
    <w:rsid w:val="00E45CA9"/>
    <w:rsid w:val="00E46415"/>
    <w:rsid w:val="00E465A8"/>
    <w:rsid w:val="00E46893"/>
    <w:rsid w:val="00E46F15"/>
    <w:rsid w:val="00E470E0"/>
    <w:rsid w:val="00E473DD"/>
    <w:rsid w:val="00E47C57"/>
    <w:rsid w:val="00E50379"/>
    <w:rsid w:val="00E5068D"/>
    <w:rsid w:val="00E50758"/>
    <w:rsid w:val="00E50A36"/>
    <w:rsid w:val="00E50A44"/>
    <w:rsid w:val="00E50B8B"/>
    <w:rsid w:val="00E50CB1"/>
    <w:rsid w:val="00E51361"/>
    <w:rsid w:val="00E5168A"/>
    <w:rsid w:val="00E51816"/>
    <w:rsid w:val="00E5183D"/>
    <w:rsid w:val="00E51C3E"/>
    <w:rsid w:val="00E51E7F"/>
    <w:rsid w:val="00E53363"/>
    <w:rsid w:val="00E533A6"/>
    <w:rsid w:val="00E533E7"/>
    <w:rsid w:val="00E537A1"/>
    <w:rsid w:val="00E53A3E"/>
    <w:rsid w:val="00E53A4A"/>
    <w:rsid w:val="00E53AAD"/>
    <w:rsid w:val="00E53BF2"/>
    <w:rsid w:val="00E541AE"/>
    <w:rsid w:val="00E541FF"/>
    <w:rsid w:val="00E54961"/>
    <w:rsid w:val="00E54C4C"/>
    <w:rsid w:val="00E54D60"/>
    <w:rsid w:val="00E54F76"/>
    <w:rsid w:val="00E55520"/>
    <w:rsid w:val="00E5561B"/>
    <w:rsid w:val="00E55BDF"/>
    <w:rsid w:val="00E55BEB"/>
    <w:rsid w:val="00E56534"/>
    <w:rsid w:val="00E56804"/>
    <w:rsid w:val="00E573DD"/>
    <w:rsid w:val="00E57624"/>
    <w:rsid w:val="00E57708"/>
    <w:rsid w:val="00E579FB"/>
    <w:rsid w:val="00E57AC4"/>
    <w:rsid w:val="00E57AE2"/>
    <w:rsid w:val="00E57CF4"/>
    <w:rsid w:val="00E60043"/>
    <w:rsid w:val="00E6006D"/>
    <w:rsid w:val="00E602A6"/>
    <w:rsid w:val="00E6095C"/>
    <w:rsid w:val="00E60A00"/>
    <w:rsid w:val="00E60DC7"/>
    <w:rsid w:val="00E61394"/>
    <w:rsid w:val="00E61559"/>
    <w:rsid w:val="00E615F7"/>
    <w:rsid w:val="00E61676"/>
    <w:rsid w:val="00E617CF"/>
    <w:rsid w:val="00E617FA"/>
    <w:rsid w:val="00E61DCB"/>
    <w:rsid w:val="00E61E6A"/>
    <w:rsid w:val="00E61FA8"/>
    <w:rsid w:val="00E621A4"/>
    <w:rsid w:val="00E625F6"/>
    <w:rsid w:val="00E62758"/>
    <w:rsid w:val="00E627B1"/>
    <w:rsid w:val="00E6330E"/>
    <w:rsid w:val="00E634A2"/>
    <w:rsid w:val="00E63584"/>
    <w:rsid w:val="00E63C70"/>
    <w:rsid w:val="00E63D4C"/>
    <w:rsid w:val="00E64673"/>
    <w:rsid w:val="00E64B69"/>
    <w:rsid w:val="00E64B75"/>
    <w:rsid w:val="00E64D37"/>
    <w:rsid w:val="00E654D5"/>
    <w:rsid w:val="00E655C3"/>
    <w:rsid w:val="00E657EF"/>
    <w:rsid w:val="00E65A71"/>
    <w:rsid w:val="00E65EAC"/>
    <w:rsid w:val="00E65F69"/>
    <w:rsid w:val="00E663AF"/>
    <w:rsid w:val="00E66615"/>
    <w:rsid w:val="00E66BC1"/>
    <w:rsid w:val="00E66C2C"/>
    <w:rsid w:val="00E66E3F"/>
    <w:rsid w:val="00E678F7"/>
    <w:rsid w:val="00E67AD5"/>
    <w:rsid w:val="00E67B96"/>
    <w:rsid w:val="00E7035D"/>
    <w:rsid w:val="00E70409"/>
    <w:rsid w:val="00E7088E"/>
    <w:rsid w:val="00E70925"/>
    <w:rsid w:val="00E70B18"/>
    <w:rsid w:val="00E70C15"/>
    <w:rsid w:val="00E70C24"/>
    <w:rsid w:val="00E70D7F"/>
    <w:rsid w:val="00E7116A"/>
    <w:rsid w:val="00E711C4"/>
    <w:rsid w:val="00E71A19"/>
    <w:rsid w:val="00E71E0E"/>
    <w:rsid w:val="00E71FB6"/>
    <w:rsid w:val="00E71FF6"/>
    <w:rsid w:val="00E72028"/>
    <w:rsid w:val="00E72355"/>
    <w:rsid w:val="00E725BA"/>
    <w:rsid w:val="00E72A35"/>
    <w:rsid w:val="00E734FC"/>
    <w:rsid w:val="00E738E0"/>
    <w:rsid w:val="00E74031"/>
    <w:rsid w:val="00E742BF"/>
    <w:rsid w:val="00E74744"/>
    <w:rsid w:val="00E7497E"/>
    <w:rsid w:val="00E7499D"/>
    <w:rsid w:val="00E74D34"/>
    <w:rsid w:val="00E75473"/>
    <w:rsid w:val="00E7556E"/>
    <w:rsid w:val="00E75870"/>
    <w:rsid w:val="00E75C2E"/>
    <w:rsid w:val="00E760B7"/>
    <w:rsid w:val="00E760ED"/>
    <w:rsid w:val="00E763E6"/>
    <w:rsid w:val="00E76442"/>
    <w:rsid w:val="00E765EE"/>
    <w:rsid w:val="00E76963"/>
    <w:rsid w:val="00E76BDB"/>
    <w:rsid w:val="00E76FD6"/>
    <w:rsid w:val="00E7707A"/>
    <w:rsid w:val="00E774D4"/>
    <w:rsid w:val="00E777E5"/>
    <w:rsid w:val="00E77CA5"/>
    <w:rsid w:val="00E800B3"/>
    <w:rsid w:val="00E801F7"/>
    <w:rsid w:val="00E8039F"/>
    <w:rsid w:val="00E8050D"/>
    <w:rsid w:val="00E805CA"/>
    <w:rsid w:val="00E80AE5"/>
    <w:rsid w:val="00E80C08"/>
    <w:rsid w:val="00E80CAE"/>
    <w:rsid w:val="00E80FCE"/>
    <w:rsid w:val="00E812F5"/>
    <w:rsid w:val="00E814ED"/>
    <w:rsid w:val="00E816FE"/>
    <w:rsid w:val="00E81B3B"/>
    <w:rsid w:val="00E81D06"/>
    <w:rsid w:val="00E82206"/>
    <w:rsid w:val="00E827DF"/>
    <w:rsid w:val="00E82CE3"/>
    <w:rsid w:val="00E8327D"/>
    <w:rsid w:val="00E835AC"/>
    <w:rsid w:val="00E8382D"/>
    <w:rsid w:val="00E83B3F"/>
    <w:rsid w:val="00E83B58"/>
    <w:rsid w:val="00E83BDA"/>
    <w:rsid w:val="00E84CD3"/>
    <w:rsid w:val="00E84E19"/>
    <w:rsid w:val="00E8557F"/>
    <w:rsid w:val="00E857B0"/>
    <w:rsid w:val="00E858E8"/>
    <w:rsid w:val="00E85AE5"/>
    <w:rsid w:val="00E85BD7"/>
    <w:rsid w:val="00E861C0"/>
    <w:rsid w:val="00E862BD"/>
    <w:rsid w:val="00E8637C"/>
    <w:rsid w:val="00E8644A"/>
    <w:rsid w:val="00E86E2C"/>
    <w:rsid w:val="00E870C8"/>
    <w:rsid w:val="00E870C9"/>
    <w:rsid w:val="00E875CE"/>
    <w:rsid w:val="00E878AA"/>
    <w:rsid w:val="00E9043C"/>
    <w:rsid w:val="00E90AEE"/>
    <w:rsid w:val="00E90D5E"/>
    <w:rsid w:val="00E90D7F"/>
    <w:rsid w:val="00E91457"/>
    <w:rsid w:val="00E919D2"/>
    <w:rsid w:val="00E91A1A"/>
    <w:rsid w:val="00E920B4"/>
    <w:rsid w:val="00E9259B"/>
    <w:rsid w:val="00E925F1"/>
    <w:rsid w:val="00E92827"/>
    <w:rsid w:val="00E92EFE"/>
    <w:rsid w:val="00E93CF8"/>
    <w:rsid w:val="00E93DBB"/>
    <w:rsid w:val="00E94E6B"/>
    <w:rsid w:val="00E94F8E"/>
    <w:rsid w:val="00E950E0"/>
    <w:rsid w:val="00E950EE"/>
    <w:rsid w:val="00E95410"/>
    <w:rsid w:val="00E9564A"/>
    <w:rsid w:val="00E956B7"/>
    <w:rsid w:val="00E95C2C"/>
    <w:rsid w:val="00E95E07"/>
    <w:rsid w:val="00E95E4D"/>
    <w:rsid w:val="00E9618F"/>
    <w:rsid w:val="00E96532"/>
    <w:rsid w:val="00E96562"/>
    <w:rsid w:val="00E96AF4"/>
    <w:rsid w:val="00E97822"/>
    <w:rsid w:val="00E97A4F"/>
    <w:rsid w:val="00E97BA7"/>
    <w:rsid w:val="00E97DA3"/>
    <w:rsid w:val="00EA0031"/>
    <w:rsid w:val="00EA01BA"/>
    <w:rsid w:val="00EA077C"/>
    <w:rsid w:val="00EA0975"/>
    <w:rsid w:val="00EA0C23"/>
    <w:rsid w:val="00EA0C50"/>
    <w:rsid w:val="00EA0D71"/>
    <w:rsid w:val="00EA0E6C"/>
    <w:rsid w:val="00EA124A"/>
    <w:rsid w:val="00EA15AA"/>
    <w:rsid w:val="00EA1A89"/>
    <w:rsid w:val="00EA1CA1"/>
    <w:rsid w:val="00EA1E67"/>
    <w:rsid w:val="00EA1EAC"/>
    <w:rsid w:val="00EA1F72"/>
    <w:rsid w:val="00EA2634"/>
    <w:rsid w:val="00EA2BE9"/>
    <w:rsid w:val="00EA2CF7"/>
    <w:rsid w:val="00EA2D31"/>
    <w:rsid w:val="00EA2FB4"/>
    <w:rsid w:val="00EA30DD"/>
    <w:rsid w:val="00EA3101"/>
    <w:rsid w:val="00EA3515"/>
    <w:rsid w:val="00EA3637"/>
    <w:rsid w:val="00EA36D3"/>
    <w:rsid w:val="00EA39DC"/>
    <w:rsid w:val="00EA3C07"/>
    <w:rsid w:val="00EA41A9"/>
    <w:rsid w:val="00EA4303"/>
    <w:rsid w:val="00EA4674"/>
    <w:rsid w:val="00EA483E"/>
    <w:rsid w:val="00EA48D9"/>
    <w:rsid w:val="00EA4F38"/>
    <w:rsid w:val="00EA4FCE"/>
    <w:rsid w:val="00EA5008"/>
    <w:rsid w:val="00EA5057"/>
    <w:rsid w:val="00EA541E"/>
    <w:rsid w:val="00EA55E5"/>
    <w:rsid w:val="00EA57A7"/>
    <w:rsid w:val="00EA59CD"/>
    <w:rsid w:val="00EA5A74"/>
    <w:rsid w:val="00EA5B0D"/>
    <w:rsid w:val="00EA5B37"/>
    <w:rsid w:val="00EA5C1A"/>
    <w:rsid w:val="00EA6430"/>
    <w:rsid w:val="00EA6BBF"/>
    <w:rsid w:val="00EA71AF"/>
    <w:rsid w:val="00EA7238"/>
    <w:rsid w:val="00EA7722"/>
    <w:rsid w:val="00EA7929"/>
    <w:rsid w:val="00EA7A33"/>
    <w:rsid w:val="00EA7B6F"/>
    <w:rsid w:val="00EA7F5D"/>
    <w:rsid w:val="00EB0CA1"/>
    <w:rsid w:val="00EB105F"/>
    <w:rsid w:val="00EB148E"/>
    <w:rsid w:val="00EB1BF9"/>
    <w:rsid w:val="00EB1E4A"/>
    <w:rsid w:val="00EB236B"/>
    <w:rsid w:val="00EB242D"/>
    <w:rsid w:val="00EB24A6"/>
    <w:rsid w:val="00EB2573"/>
    <w:rsid w:val="00EB2610"/>
    <w:rsid w:val="00EB2856"/>
    <w:rsid w:val="00EB28AB"/>
    <w:rsid w:val="00EB291D"/>
    <w:rsid w:val="00EB2FC8"/>
    <w:rsid w:val="00EB3126"/>
    <w:rsid w:val="00EB36AF"/>
    <w:rsid w:val="00EB3A9A"/>
    <w:rsid w:val="00EB3B3C"/>
    <w:rsid w:val="00EB419C"/>
    <w:rsid w:val="00EB43A5"/>
    <w:rsid w:val="00EB45CE"/>
    <w:rsid w:val="00EB4700"/>
    <w:rsid w:val="00EB4DBD"/>
    <w:rsid w:val="00EB5590"/>
    <w:rsid w:val="00EB5974"/>
    <w:rsid w:val="00EB5AED"/>
    <w:rsid w:val="00EB5D5D"/>
    <w:rsid w:val="00EB602B"/>
    <w:rsid w:val="00EB66F6"/>
    <w:rsid w:val="00EB6902"/>
    <w:rsid w:val="00EB6A26"/>
    <w:rsid w:val="00EB6AB9"/>
    <w:rsid w:val="00EB6FF7"/>
    <w:rsid w:val="00EB70BB"/>
    <w:rsid w:val="00EB79A5"/>
    <w:rsid w:val="00EC0975"/>
    <w:rsid w:val="00EC0C8C"/>
    <w:rsid w:val="00EC0F61"/>
    <w:rsid w:val="00EC0F82"/>
    <w:rsid w:val="00EC1069"/>
    <w:rsid w:val="00EC134F"/>
    <w:rsid w:val="00EC1CA5"/>
    <w:rsid w:val="00EC1E04"/>
    <w:rsid w:val="00EC2289"/>
    <w:rsid w:val="00EC2465"/>
    <w:rsid w:val="00EC2594"/>
    <w:rsid w:val="00EC25EB"/>
    <w:rsid w:val="00EC2783"/>
    <w:rsid w:val="00EC28D5"/>
    <w:rsid w:val="00EC320A"/>
    <w:rsid w:val="00EC3667"/>
    <w:rsid w:val="00EC3686"/>
    <w:rsid w:val="00EC38CC"/>
    <w:rsid w:val="00EC38CD"/>
    <w:rsid w:val="00EC3C72"/>
    <w:rsid w:val="00EC3F23"/>
    <w:rsid w:val="00EC49D4"/>
    <w:rsid w:val="00EC4ABD"/>
    <w:rsid w:val="00EC4DBF"/>
    <w:rsid w:val="00EC51FD"/>
    <w:rsid w:val="00EC5520"/>
    <w:rsid w:val="00EC568A"/>
    <w:rsid w:val="00EC584A"/>
    <w:rsid w:val="00EC5A69"/>
    <w:rsid w:val="00EC5E68"/>
    <w:rsid w:val="00EC6543"/>
    <w:rsid w:val="00EC65C4"/>
    <w:rsid w:val="00EC671C"/>
    <w:rsid w:val="00EC696D"/>
    <w:rsid w:val="00EC6B4F"/>
    <w:rsid w:val="00EC6F35"/>
    <w:rsid w:val="00EC7539"/>
    <w:rsid w:val="00EC767F"/>
    <w:rsid w:val="00EC7739"/>
    <w:rsid w:val="00EC79D7"/>
    <w:rsid w:val="00EC7D18"/>
    <w:rsid w:val="00ED059C"/>
    <w:rsid w:val="00ED06F4"/>
    <w:rsid w:val="00ED070E"/>
    <w:rsid w:val="00ED07A0"/>
    <w:rsid w:val="00ED083A"/>
    <w:rsid w:val="00ED0AFE"/>
    <w:rsid w:val="00ED0E08"/>
    <w:rsid w:val="00ED0E4D"/>
    <w:rsid w:val="00ED0F18"/>
    <w:rsid w:val="00ED11FB"/>
    <w:rsid w:val="00ED12B0"/>
    <w:rsid w:val="00ED13D8"/>
    <w:rsid w:val="00ED1FF7"/>
    <w:rsid w:val="00ED21CF"/>
    <w:rsid w:val="00ED2CE9"/>
    <w:rsid w:val="00ED2E28"/>
    <w:rsid w:val="00ED2E3C"/>
    <w:rsid w:val="00ED31A2"/>
    <w:rsid w:val="00ED3402"/>
    <w:rsid w:val="00ED393C"/>
    <w:rsid w:val="00ED3C08"/>
    <w:rsid w:val="00ED4292"/>
    <w:rsid w:val="00ED48A2"/>
    <w:rsid w:val="00ED48F6"/>
    <w:rsid w:val="00ED4AE8"/>
    <w:rsid w:val="00ED4CED"/>
    <w:rsid w:val="00ED4FE3"/>
    <w:rsid w:val="00ED51AE"/>
    <w:rsid w:val="00ED51D9"/>
    <w:rsid w:val="00ED56C5"/>
    <w:rsid w:val="00ED5D7B"/>
    <w:rsid w:val="00ED5FAF"/>
    <w:rsid w:val="00ED61FE"/>
    <w:rsid w:val="00ED626B"/>
    <w:rsid w:val="00ED6709"/>
    <w:rsid w:val="00ED6ABB"/>
    <w:rsid w:val="00ED6B8C"/>
    <w:rsid w:val="00ED739D"/>
    <w:rsid w:val="00ED7B36"/>
    <w:rsid w:val="00EE0110"/>
    <w:rsid w:val="00EE0346"/>
    <w:rsid w:val="00EE05D7"/>
    <w:rsid w:val="00EE084D"/>
    <w:rsid w:val="00EE08E7"/>
    <w:rsid w:val="00EE0A43"/>
    <w:rsid w:val="00EE0BFC"/>
    <w:rsid w:val="00EE0D20"/>
    <w:rsid w:val="00EE0DFB"/>
    <w:rsid w:val="00EE0F7D"/>
    <w:rsid w:val="00EE18FF"/>
    <w:rsid w:val="00EE1B94"/>
    <w:rsid w:val="00EE1EA4"/>
    <w:rsid w:val="00EE27B3"/>
    <w:rsid w:val="00EE2A7D"/>
    <w:rsid w:val="00EE2C00"/>
    <w:rsid w:val="00EE2EEF"/>
    <w:rsid w:val="00EE3021"/>
    <w:rsid w:val="00EE31EE"/>
    <w:rsid w:val="00EE3289"/>
    <w:rsid w:val="00EE3294"/>
    <w:rsid w:val="00EE392E"/>
    <w:rsid w:val="00EE3A8F"/>
    <w:rsid w:val="00EE3D91"/>
    <w:rsid w:val="00EE4022"/>
    <w:rsid w:val="00EE44D3"/>
    <w:rsid w:val="00EE4520"/>
    <w:rsid w:val="00EE4977"/>
    <w:rsid w:val="00EE4D87"/>
    <w:rsid w:val="00EE4E5B"/>
    <w:rsid w:val="00EE5546"/>
    <w:rsid w:val="00EE58B7"/>
    <w:rsid w:val="00EE5A0E"/>
    <w:rsid w:val="00EE5D87"/>
    <w:rsid w:val="00EE619C"/>
    <w:rsid w:val="00EE649D"/>
    <w:rsid w:val="00EE6A50"/>
    <w:rsid w:val="00EE73A6"/>
    <w:rsid w:val="00EE770A"/>
    <w:rsid w:val="00EE7F93"/>
    <w:rsid w:val="00EF0146"/>
    <w:rsid w:val="00EF097C"/>
    <w:rsid w:val="00EF0ED3"/>
    <w:rsid w:val="00EF0F2A"/>
    <w:rsid w:val="00EF142B"/>
    <w:rsid w:val="00EF14CA"/>
    <w:rsid w:val="00EF1CC8"/>
    <w:rsid w:val="00EF1CD6"/>
    <w:rsid w:val="00EF1EB9"/>
    <w:rsid w:val="00EF1FAD"/>
    <w:rsid w:val="00EF2503"/>
    <w:rsid w:val="00EF26DF"/>
    <w:rsid w:val="00EF2AFA"/>
    <w:rsid w:val="00EF2C92"/>
    <w:rsid w:val="00EF2EE1"/>
    <w:rsid w:val="00EF2F58"/>
    <w:rsid w:val="00EF33E9"/>
    <w:rsid w:val="00EF3453"/>
    <w:rsid w:val="00EF34F5"/>
    <w:rsid w:val="00EF3528"/>
    <w:rsid w:val="00EF378D"/>
    <w:rsid w:val="00EF3940"/>
    <w:rsid w:val="00EF3D4C"/>
    <w:rsid w:val="00EF4C3C"/>
    <w:rsid w:val="00EF51AD"/>
    <w:rsid w:val="00EF5532"/>
    <w:rsid w:val="00EF565A"/>
    <w:rsid w:val="00EF580E"/>
    <w:rsid w:val="00EF5CFC"/>
    <w:rsid w:val="00EF5E36"/>
    <w:rsid w:val="00EF5E9A"/>
    <w:rsid w:val="00EF6018"/>
    <w:rsid w:val="00EF63CB"/>
    <w:rsid w:val="00EF67C1"/>
    <w:rsid w:val="00EF6C3F"/>
    <w:rsid w:val="00EF6F15"/>
    <w:rsid w:val="00EF73FC"/>
    <w:rsid w:val="00EF7616"/>
    <w:rsid w:val="00EF77F4"/>
    <w:rsid w:val="00EF7B0C"/>
    <w:rsid w:val="00EF7BED"/>
    <w:rsid w:val="00EF7D85"/>
    <w:rsid w:val="00EF97BC"/>
    <w:rsid w:val="00F00756"/>
    <w:rsid w:val="00F00A21"/>
    <w:rsid w:val="00F00A49"/>
    <w:rsid w:val="00F0105F"/>
    <w:rsid w:val="00F01208"/>
    <w:rsid w:val="00F014BB"/>
    <w:rsid w:val="00F0165D"/>
    <w:rsid w:val="00F017CF"/>
    <w:rsid w:val="00F01B85"/>
    <w:rsid w:val="00F01CF5"/>
    <w:rsid w:val="00F0207D"/>
    <w:rsid w:val="00F021D0"/>
    <w:rsid w:val="00F0234C"/>
    <w:rsid w:val="00F024DC"/>
    <w:rsid w:val="00F02DAA"/>
    <w:rsid w:val="00F02EAA"/>
    <w:rsid w:val="00F02F98"/>
    <w:rsid w:val="00F0304A"/>
    <w:rsid w:val="00F03311"/>
    <w:rsid w:val="00F03BD0"/>
    <w:rsid w:val="00F03C2D"/>
    <w:rsid w:val="00F04088"/>
    <w:rsid w:val="00F0457D"/>
    <w:rsid w:val="00F046E0"/>
    <w:rsid w:val="00F04743"/>
    <w:rsid w:val="00F04B84"/>
    <w:rsid w:val="00F04FBA"/>
    <w:rsid w:val="00F054AE"/>
    <w:rsid w:val="00F05529"/>
    <w:rsid w:val="00F0560D"/>
    <w:rsid w:val="00F05AA0"/>
    <w:rsid w:val="00F05E0F"/>
    <w:rsid w:val="00F062C7"/>
    <w:rsid w:val="00F064BD"/>
    <w:rsid w:val="00F06650"/>
    <w:rsid w:val="00F06901"/>
    <w:rsid w:val="00F06D98"/>
    <w:rsid w:val="00F07EBE"/>
    <w:rsid w:val="00F10B62"/>
    <w:rsid w:val="00F10DE2"/>
    <w:rsid w:val="00F1112A"/>
    <w:rsid w:val="00F112D4"/>
    <w:rsid w:val="00F113AF"/>
    <w:rsid w:val="00F115E0"/>
    <w:rsid w:val="00F1183B"/>
    <w:rsid w:val="00F11858"/>
    <w:rsid w:val="00F119E0"/>
    <w:rsid w:val="00F11F02"/>
    <w:rsid w:val="00F12234"/>
    <w:rsid w:val="00F1294F"/>
    <w:rsid w:val="00F137D6"/>
    <w:rsid w:val="00F137FD"/>
    <w:rsid w:val="00F1389E"/>
    <w:rsid w:val="00F13C50"/>
    <w:rsid w:val="00F13CCE"/>
    <w:rsid w:val="00F13D9B"/>
    <w:rsid w:val="00F13F74"/>
    <w:rsid w:val="00F1414D"/>
    <w:rsid w:val="00F14168"/>
    <w:rsid w:val="00F14826"/>
    <w:rsid w:val="00F14CEC"/>
    <w:rsid w:val="00F14EF3"/>
    <w:rsid w:val="00F1534A"/>
    <w:rsid w:val="00F155BE"/>
    <w:rsid w:val="00F15A5E"/>
    <w:rsid w:val="00F15B37"/>
    <w:rsid w:val="00F15C1F"/>
    <w:rsid w:val="00F15FC3"/>
    <w:rsid w:val="00F167C2"/>
    <w:rsid w:val="00F169AE"/>
    <w:rsid w:val="00F16A13"/>
    <w:rsid w:val="00F173C0"/>
    <w:rsid w:val="00F1750E"/>
    <w:rsid w:val="00F17550"/>
    <w:rsid w:val="00F1765C"/>
    <w:rsid w:val="00F17CD2"/>
    <w:rsid w:val="00F20000"/>
    <w:rsid w:val="00F2026E"/>
    <w:rsid w:val="00F20AF6"/>
    <w:rsid w:val="00F20B6E"/>
    <w:rsid w:val="00F20E78"/>
    <w:rsid w:val="00F2144E"/>
    <w:rsid w:val="00F2150A"/>
    <w:rsid w:val="00F21FD6"/>
    <w:rsid w:val="00F2230C"/>
    <w:rsid w:val="00F2236D"/>
    <w:rsid w:val="00F2297B"/>
    <w:rsid w:val="00F22AE2"/>
    <w:rsid w:val="00F230F5"/>
    <w:rsid w:val="00F23182"/>
    <w:rsid w:val="00F232EB"/>
    <w:rsid w:val="00F23451"/>
    <w:rsid w:val="00F235E7"/>
    <w:rsid w:val="00F2409D"/>
    <w:rsid w:val="00F244AA"/>
    <w:rsid w:val="00F24BE9"/>
    <w:rsid w:val="00F24C7E"/>
    <w:rsid w:val="00F24DC8"/>
    <w:rsid w:val="00F24DCB"/>
    <w:rsid w:val="00F24F8A"/>
    <w:rsid w:val="00F25140"/>
    <w:rsid w:val="00F25390"/>
    <w:rsid w:val="00F25399"/>
    <w:rsid w:val="00F25462"/>
    <w:rsid w:val="00F264AC"/>
    <w:rsid w:val="00F26592"/>
    <w:rsid w:val="00F26972"/>
    <w:rsid w:val="00F274C0"/>
    <w:rsid w:val="00F27829"/>
    <w:rsid w:val="00F278AA"/>
    <w:rsid w:val="00F27CFC"/>
    <w:rsid w:val="00F30695"/>
    <w:rsid w:val="00F308CC"/>
    <w:rsid w:val="00F30934"/>
    <w:rsid w:val="00F30F14"/>
    <w:rsid w:val="00F31C34"/>
    <w:rsid w:val="00F31F22"/>
    <w:rsid w:val="00F31F95"/>
    <w:rsid w:val="00F32668"/>
    <w:rsid w:val="00F326F4"/>
    <w:rsid w:val="00F32B68"/>
    <w:rsid w:val="00F32C03"/>
    <w:rsid w:val="00F32EBD"/>
    <w:rsid w:val="00F335AE"/>
    <w:rsid w:val="00F338D8"/>
    <w:rsid w:val="00F3395B"/>
    <w:rsid w:val="00F33A96"/>
    <w:rsid w:val="00F34355"/>
    <w:rsid w:val="00F345BE"/>
    <w:rsid w:val="00F34C33"/>
    <w:rsid w:val="00F34CD9"/>
    <w:rsid w:val="00F3510E"/>
    <w:rsid w:val="00F35B77"/>
    <w:rsid w:val="00F35FF9"/>
    <w:rsid w:val="00F3608D"/>
    <w:rsid w:val="00F36092"/>
    <w:rsid w:val="00F36F29"/>
    <w:rsid w:val="00F37977"/>
    <w:rsid w:val="00F37A3D"/>
    <w:rsid w:val="00F37EC4"/>
    <w:rsid w:val="00F40032"/>
    <w:rsid w:val="00F4007E"/>
    <w:rsid w:val="00F405F2"/>
    <w:rsid w:val="00F40814"/>
    <w:rsid w:val="00F40920"/>
    <w:rsid w:val="00F409A5"/>
    <w:rsid w:val="00F40A22"/>
    <w:rsid w:val="00F40D98"/>
    <w:rsid w:val="00F4130F"/>
    <w:rsid w:val="00F41575"/>
    <w:rsid w:val="00F41578"/>
    <w:rsid w:val="00F42543"/>
    <w:rsid w:val="00F42A71"/>
    <w:rsid w:val="00F42BA8"/>
    <w:rsid w:val="00F42C53"/>
    <w:rsid w:val="00F42CD0"/>
    <w:rsid w:val="00F42F68"/>
    <w:rsid w:val="00F4312C"/>
    <w:rsid w:val="00F4316A"/>
    <w:rsid w:val="00F431B5"/>
    <w:rsid w:val="00F437C4"/>
    <w:rsid w:val="00F446E5"/>
    <w:rsid w:val="00F448DD"/>
    <w:rsid w:val="00F44AA9"/>
    <w:rsid w:val="00F44BCE"/>
    <w:rsid w:val="00F44C1A"/>
    <w:rsid w:val="00F44D63"/>
    <w:rsid w:val="00F4511D"/>
    <w:rsid w:val="00F45446"/>
    <w:rsid w:val="00F458A5"/>
    <w:rsid w:val="00F45EE7"/>
    <w:rsid w:val="00F46052"/>
    <w:rsid w:val="00F4641B"/>
    <w:rsid w:val="00F46944"/>
    <w:rsid w:val="00F46D3F"/>
    <w:rsid w:val="00F4701D"/>
    <w:rsid w:val="00F47535"/>
    <w:rsid w:val="00F478F5"/>
    <w:rsid w:val="00F47A05"/>
    <w:rsid w:val="00F509CC"/>
    <w:rsid w:val="00F51141"/>
    <w:rsid w:val="00F51360"/>
    <w:rsid w:val="00F51C05"/>
    <w:rsid w:val="00F52130"/>
    <w:rsid w:val="00F522E9"/>
    <w:rsid w:val="00F5250B"/>
    <w:rsid w:val="00F52765"/>
    <w:rsid w:val="00F52857"/>
    <w:rsid w:val="00F52E21"/>
    <w:rsid w:val="00F532E6"/>
    <w:rsid w:val="00F535EE"/>
    <w:rsid w:val="00F53F62"/>
    <w:rsid w:val="00F54096"/>
    <w:rsid w:val="00F5435B"/>
    <w:rsid w:val="00F54ADF"/>
    <w:rsid w:val="00F556A1"/>
    <w:rsid w:val="00F559AF"/>
    <w:rsid w:val="00F55A7E"/>
    <w:rsid w:val="00F56331"/>
    <w:rsid w:val="00F56363"/>
    <w:rsid w:val="00F564AC"/>
    <w:rsid w:val="00F565EC"/>
    <w:rsid w:val="00F56D4D"/>
    <w:rsid w:val="00F57163"/>
    <w:rsid w:val="00F5718F"/>
    <w:rsid w:val="00F5766A"/>
    <w:rsid w:val="00F578E9"/>
    <w:rsid w:val="00F60070"/>
    <w:rsid w:val="00F60878"/>
    <w:rsid w:val="00F60A7F"/>
    <w:rsid w:val="00F60EAC"/>
    <w:rsid w:val="00F6123B"/>
    <w:rsid w:val="00F613DF"/>
    <w:rsid w:val="00F615E2"/>
    <w:rsid w:val="00F61966"/>
    <w:rsid w:val="00F61A4C"/>
    <w:rsid w:val="00F62088"/>
    <w:rsid w:val="00F6220A"/>
    <w:rsid w:val="00F627EF"/>
    <w:rsid w:val="00F62A40"/>
    <w:rsid w:val="00F62A72"/>
    <w:rsid w:val="00F62C18"/>
    <w:rsid w:val="00F63006"/>
    <w:rsid w:val="00F630D7"/>
    <w:rsid w:val="00F63929"/>
    <w:rsid w:val="00F63D1F"/>
    <w:rsid w:val="00F63E68"/>
    <w:rsid w:val="00F640D9"/>
    <w:rsid w:val="00F643B8"/>
    <w:rsid w:val="00F645CC"/>
    <w:rsid w:val="00F646A2"/>
    <w:rsid w:val="00F64D6D"/>
    <w:rsid w:val="00F652C3"/>
    <w:rsid w:val="00F65A06"/>
    <w:rsid w:val="00F65A48"/>
    <w:rsid w:val="00F65E36"/>
    <w:rsid w:val="00F66014"/>
    <w:rsid w:val="00F662A6"/>
    <w:rsid w:val="00F6630E"/>
    <w:rsid w:val="00F665AA"/>
    <w:rsid w:val="00F66622"/>
    <w:rsid w:val="00F66953"/>
    <w:rsid w:val="00F66C2A"/>
    <w:rsid w:val="00F66E8B"/>
    <w:rsid w:val="00F66F69"/>
    <w:rsid w:val="00F6734D"/>
    <w:rsid w:val="00F6773A"/>
    <w:rsid w:val="00F677C0"/>
    <w:rsid w:val="00F677C2"/>
    <w:rsid w:val="00F67CC4"/>
    <w:rsid w:val="00F67EBA"/>
    <w:rsid w:val="00F67FF3"/>
    <w:rsid w:val="00F7006D"/>
    <w:rsid w:val="00F7016C"/>
    <w:rsid w:val="00F701B7"/>
    <w:rsid w:val="00F709DE"/>
    <w:rsid w:val="00F714BE"/>
    <w:rsid w:val="00F714F6"/>
    <w:rsid w:val="00F7209E"/>
    <w:rsid w:val="00F72377"/>
    <w:rsid w:val="00F726D0"/>
    <w:rsid w:val="00F72D9F"/>
    <w:rsid w:val="00F72EFC"/>
    <w:rsid w:val="00F72FBF"/>
    <w:rsid w:val="00F73234"/>
    <w:rsid w:val="00F73817"/>
    <w:rsid w:val="00F73E21"/>
    <w:rsid w:val="00F73ED2"/>
    <w:rsid w:val="00F73F32"/>
    <w:rsid w:val="00F73F72"/>
    <w:rsid w:val="00F741C8"/>
    <w:rsid w:val="00F74879"/>
    <w:rsid w:val="00F74A1D"/>
    <w:rsid w:val="00F74B47"/>
    <w:rsid w:val="00F74BB5"/>
    <w:rsid w:val="00F74D1F"/>
    <w:rsid w:val="00F750F5"/>
    <w:rsid w:val="00F7514B"/>
    <w:rsid w:val="00F751CE"/>
    <w:rsid w:val="00F7533F"/>
    <w:rsid w:val="00F754C9"/>
    <w:rsid w:val="00F7562A"/>
    <w:rsid w:val="00F7602A"/>
    <w:rsid w:val="00F76180"/>
    <w:rsid w:val="00F76270"/>
    <w:rsid w:val="00F76440"/>
    <w:rsid w:val="00F768C9"/>
    <w:rsid w:val="00F76C8C"/>
    <w:rsid w:val="00F77260"/>
    <w:rsid w:val="00F77D63"/>
    <w:rsid w:val="00F77ED0"/>
    <w:rsid w:val="00F801E7"/>
    <w:rsid w:val="00F8091D"/>
    <w:rsid w:val="00F809F1"/>
    <w:rsid w:val="00F80FC4"/>
    <w:rsid w:val="00F80FE2"/>
    <w:rsid w:val="00F81059"/>
    <w:rsid w:val="00F8133A"/>
    <w:rsid w:val="00F819A2"/>
    <w:rsid w:val="00F81B58"/>
    <w:rsid w:val="00F81CC5"/>
    <w:rsid w:val="00F81E50"/>
    <w:rsid w:val="00F82061"/>
    <w:rsid w:val="00F82372"/>
    <w:rsid w:val="00F82705"/>
    <w:rsid w:val="00F8288F"/>
    <w:rsid w:val="00F8295B"/>
    <w:rsid w:val="00F82A76"/>
    <w:rsid w:val="00F82C47"/>
    <w:rsid w:val="00F82E3F"/>
    <w:rsid w:val="00F8301F"/>
    <w:rsid w:val="00F833AB"/>
    <w:rsid w:val="00F833E0"/>
    <w:rsid w:val="00F834C6"/>
    <w:rsid w:val="00F834DE"/>
    <w:rsid w:val="00F8369A"/>
    <w:rsid w:val="00F83801"/>
    <w:rsid w:val="00F83C3F"/>
    <w:rsid w:val="00F83DD3"/>
    <w:rsid w:val="00F83DE6"/>
    <w:rsid w:val="00F83E49"/>
    <w:rsid w:val="00F84169"/>
    <w:rsid w:val="00F842AC"/>
    <w:rsid w:val="00F842D0"/>
    <w:rsid w:val="00F84379"/>
    <w:rsid w:val="00F8442E"/>
    <w:rsid w:val="00F845C6"/>
    <w:rsid w:val="00F846E6"/>
    <w:rsid w:val="00F8471D"/>
    <w:rsid w:val="00F84A85"/>
    <w:rsid w:val="00F84B65"/>
    <w:rsid w:val="00F84BA5"/>
    <w:rsid w:val="00F85645"/>
    <w:rsid w:val="00F857D6"/>
    <w:rsid w:val="00F8580F"/>
    <w:rsid w:val="00F8598B"/>
    <w:rsid w:val="00F859FB"/>
    <w:rsid w:val="00F862F6"/>
    <w:rsid w:val="00F86352"/>
    <w:rsid w:val="00F86AD9"/>
    <w:rsid w:val="00F86C18"/>
    <w:rsid w:val="00F86D49"/>
    <w:rsid w:val="00F86E0C"/>
    <w:rsid w:val="00F86E62"/>
    <w:rsid w:val="00F86FF3"/>
    <w:rsid w:val="00F87F68"/>
    <w:rsid w:val="00F9008C"/>
    <w:rsid w:val="00F9060C"/>
    <w:rsid w:val="00F90AE7"/>
    <w:rsid w:val="00F90BF9"/>
    <w:rsid w:val="00F911BE"/>
    <w:rsid w:val="00F91AFF"/>
    <w:rsid w:val="00F91B75"/>
    <w:rsid w:val="00F91BBB"/>
    <w:rsid w:val="00F91CB6"/>
    <w:rsid w:val="00F91CDF"/>
    <w:rsid w:val="00F92101"/>
    <w:rsid w:val="00F922AC"/>
    <w:rsid w:val="00F922D1"/>
    <w:rsid w:val="00F92FFE"/>
    <w:rsid w:val="00F93216"/>
    <w:rsid w:val="00F934B8"/>
    <w:rsid w:val="00F93915"/>
    <w:rsid w:val="00F939F5"/>
    <w:rsid w:val="00F93A0E"/>
    <w:rsid w:val="00F93B2F"/>
    <w:rsid w:val="00F93B4B"/>
    <w:rsid w:val="00F94550"/>
    <w:rsid w:val="00F94BCE"/>
    <w:rsid w:val="00F94CB6"/>
    <w:rsid w:val="00F95445"/>
    <w:rsid w:val="00F95525"/>
    <w:rsid w:val="00F95667"/>
    <w:rsid w:val="00F95A06"/>
    <w:rsid w:val="00F95B03"/>
    <w:rsid w:val="00F95B6A"/>
    <w:rsid w:val="00F95B75"/>
    <w:rsid w:val="00F95C6F"/>
    <w:rsid w:val="00F95D87"/>
    <w:rsid w:val="00F963F4"/>
    <w:rsid w:val="00F96ED6"/>
    <w:rsid w:val="00F97016"/>
    <w:rsid w:val="00F9711A"/>
    <w:rsid w:val="00F97A34"/>
    <w:rsid w:val="00F97D20"/>
    <w:rsid w:val="00F97E0A"/>
    <w:rsid w:val="00F97E50"/>
    <w:rsid w:val="00FA05E3"/>
    <w:rsid w:val="00FA08B5"/>
    <w:rsid w:val="00FA0ACD"/>
    <w:rsid w:val="00FA0D52"/>
    <w:rsid w:val="00FA0D9C"/>
    <w:rsid w:val="00FA0F9A"/>
    <w:rsid w:val="00FA13D5"/>
    <w:rsid w:val="00FA157F"/>
    <w:rsid w:val="00FA166C"/>
    <w:rsid w:val="00FA1A24"/>
    <w:rsid w:val="00FA2636"/>
    <w:rsid w:val="00FA28F3"/>
    <w:rsid w:val="00FA33C5"/>
    <w:rsid w:val="00FA33C8"/>
    <w:rsid w:val="00FA372A"/>
    <w:rsid w:val="00FA399F"/>
    <w:rsid w:val="00FA39A0"/>
    <w:rsid w:val="00FA3BE2"/>
    <w:rsid w:val="00FA3D48"/>
    <w:rsid w:val="00FA4002"/>
    <w:rsid w:val="00FA42A9"/>
    <w:rsid w:val="00FA434E"/>
    <w:rsid w:val="00FA45B8"/>
    <w:rsid w:val="00FA4697"/>
    <w:rsid w:val="00FA47CE"/>
    <w:rsid w:val="00FA492E"/>
    <w:rsid w:val="00FA497E"/>
    <w:rsid w:val="00FA5082"/>
    <w:rsid w:val="00FA5097"/>
    <w:rsid w:val="00FA520E"/>
    <w:rsid w:val="00FA5252"/>
    <w:rsid w:val="00FA5700"/>
    <w:rsid w:val="00FA576C"/>
    <w:rsid w:val="00FA5DB4"/>
    <w:rsid w:val="00FA60D8"/>
    <w:rsid w:val="00FA617A"/>
    <w:rsid w:val="00FA671C"/>
    <w:rsid w:val="00FA6778"/>
    <w:rsid w:val="00FA6AEC"/>
    <w:rsid w:val="00FA6B60"/>
    <w:rsid w:val="00FA766A"/>
    <w:rsid w:val="00FA7D5F"/>
    <w:rsid w:val="00FA7EDF"/>
    <w:rsid w:val="00FB00D5"/>
    <w:rsid w:val="00FB033B"/>
    <w:rsid w:val="00FB0599"/>
    <w:rsid w:val="00FB0713"/>
    <w:rsid w:val="00FB0819"/>
    <w:rsid w:val="00FB0AB8"/>
    <w:rsid w:val="00FB0D77"/>
    <w:rsid w:val="00FB1611"/>
    <w:rsid w:val="00FB1A5C"/>
    <w:rsid w:val="00FB1F7A"/>
    <w:rsid w:val="00FB21F5"/>
    <w:rsid w:val="00FB2CB9"/>
    <w:rsid w:val="00FB2E1F"/>
    <w:rsid w:val="00FB319F"/>
    <w:rsid w:val="00FB39B3"/>
    <w:rsid w:val="00FB3C32"/>
    <w:rsid w:val="00FB3E29"/>
    <w:rsid w:val="00FB401B"/>
    <w:rsid w:val="00FB415C"/>
    <w:rsid w:val="00FB423B"/>
    <w:rsid w:val="00FB4452"/>
    <w:rsid w:val="00FB48D6"/>
    <w:rsid w:val="00FB4C02"/>
    <w:rsid w:val="00FB5104"/>
    <w:rsid w:val="00FB5456"/>
    <w:rsid w:val="00FB5660"/>
    <w:rsid w:val="00FB599F"/>
    <w:rsid w:val="00FB5B5C"/>
    <w:rsid w:val="00FB5CA9"/>
    <w:rsid w:val="00FB5D3A"/>
    <w:rsid w:val="00FB616B"/>
    <w:rsid w:val="00FB66A4"/>
    <w:rsid w:val="00FB6C78"/>
    <w:rsid w:val="00FB6DC6"/>
    <w:rsid w:val="00FB74CC"/>
    <w:rsid w:val="00FC00E4"/>
    <w:rsid w:val="00FC0369"/>
    <w:rsid w:val="00FC0677"/>
    <w:rsid w:val="00FC0BCD"/>
    <w:rsid w:val="00FC100D"/>
    <w:rsid w:val="00FC1470"/>
    <w:rsid w:val="00FC182E"/>
    <w:rsid w:val="00FC194A"/>
    <w:rsid w:val="00FC19DA"/>
    <w:rsid w:val="00FC1AEA"/>
    <w:rsid w:val="00FC1C01"/>
    <w:rsid w:val="00FC1D7B"/>
    <w:rsid w:val="00FC22C3"/>
    <w:rsid w:val="00FC251C"/>
    <w:rsid w:val="00FC2813"/>
    <w:rsid w:val="00FC3062"/>
    <w:rsid w:val="00FC31DD"/>
    <w:rsid w:val="00FC3365"/>
    <w:rsid w:val="00FC363B"/>
    <w:rsid w:val="00FC38C8"/>
    <w:rsid w:val="00FC3E34"/>
    <w:rsid w:val="00FC4327"/>
    <w:rsid w:val="00FC4713"/>
    <w:rsid w:val="00FC48F2"/>
    <w:rsid w:val="00FC4CEF"/>
    <w:rsid w:val="00FC4D59"/>
    <w:rsid w:val="00FC5094"/>
    <w:rsid w:val="00FC530F"/>
    <w:rsid w:val="00FC63E6"/>
    <w:rsid w:val="00FC645B"/>
    <w:rsid w:val="00FC65C8"/>
    <w:rsid w:val="00FC6861"/>
    <w:rsid w:val="00FC689F"/>
    <w:rsid w:val="00FC68BF"/>
    <w:rsid w:val="00FC6A7A"/>
    <w:rsid w:val="00FC6BC8"/>
    <w:rsid w:val="00FC6F07"/>
    <w:rsid w:val="00FC6F53"/>
    <w:rsid w:val="00FC747A"/>
    <w:rsid w:val="00FC7985"/>
    <w:rsid w:val="00FD01E4"/>
    <w:rsid w:val="00FD0855"/>
    <w:rsid w:val="00FD094A"/>
    <w:rsid w:val="00FD0CB3"/>
    <w:rsid w:val="00FD0D3C"/>
    <w:rsid w:val="00FD0F61"/>
    <w:rsid w:val="00FD0FAA"/>
    <w:rsid w:val="00FD110B"/>
    <w:rsid w:val="00FD16E6"/>
    <w:rsid w:val="00FD1D2C"/>
    <w:rsid w:val="00FD2030"/>
    <w:rsid w:val="00FD21C5"/>
    <w:rsid w:val="00FD23DD"/>
    <w:rsid w:val="00FD247F"/>
    <w:rsid w:val="00FD25C0"/>
    <w:rsid w:val="00FD2C06"/>
    <w:rsid w:val="00FD31B0"/>
    <w:rsid w:val="00FD32F1"/>
    <w:rsid w:val="00FD338A"/>
    <w:rsid w:val="00FD344B"/>
    <w:rsid w:val="00FD3529"/>
    <w:rsid w:val="00FD35E3"/>
    <w:rsid w:val="00FD3927"/>
    <w:rsid w:val="00FD3944"/>
    <w:rsid w:val="00FD3C7B"/>
    <w:rsid w:val="00FD3DF3"/>
    <w:rsid w:val="00FD3E2B"/>
    <w:rsid w:val="00FD4311"/>
    <w:rsid w:val="00FD4A99"/>
    <w:rsid w:val="00FD4F15"/>
    <w:rsid w:val="00FD5D3F"/>
    <w:rsid w:val="00FD5D51"/>
    <w:rsid w:val="00FD5F83"/>
    <w:rsid w:val="00FD6183"/>
    <w:rsid w:val="00FD6217"/>
    <w:rsid w:val="00FD6605"/>
    <w:rsid w:val="00FD66D0"/>
    <w:rsid w:val="00FD6827"/>
    <w:rsid w:val="00FD6B63"/>
    <w:rsid w:val="00FD6D07"/>
    <w:rsid w:val="00FD6F98"/>
    <w:rsid w:val="00FD701D"/>
    <w:rsid w:val="00FD707E"/>
    <w:rsid w:val="00FD7344"/>
    <w:rsid w:val="00FD7430"/>
    <w:rsid w:val="00FD7965"/>
    <w:rsid w:val="00FD7DED"/>
    <w:rsid w:val="00FD7FF6"/>
    <w:rsid w:val="00FE0700"/>
    <w:rsid w:val="00FE0790"/>
    <w:rsid w:val="00FE0AF7"/>
    <w:rsid w:val="00FE0C63"/>
    <w:rsid w:val="00FE1308"/>
    <w:rsid w:val="00FE1486"/>
    <w:rsid w:val="00FE16EF"/>
    <w:rsid w:val="00FE18CE"/>
    <w:rsid w:val="00FE1A91"/>
    <w:rsid w:val="00FE1C30"/>
    <w:rsid w:val="00FE1D35"/>
    <w:rsid w:val="00FE23A1"/>
    <w:rsid w:val="00FE242A"/>
    <w:rsid w:val="00FE27CD"/>
    <w:rsid w:val="00FE28A3"/>
    <w:rsid w:val="00FE2CE9"/>
    <w:rsid w:val="00FE2DE4"/>
    <w:rsid w:val="00FE2EF3"/>
    <w:rsid w:val="00FE2F17"/>
    <w:rsid w:val="00FE31EF"/>
    <w:rsid w:val="00FE3563"/>
    <w:rsid w:val="00FE36B0"/>
    <w:rsid w:val="00FE3CD3"/>
    <w:rsid w:val="00FE3FBF"/>
    <w:rsid w:val="00FE409F"/>
    <w:rsid w:val="00FE4630"/>
    <w:rsid w:val="00FE484E"/>
    <w:rsid w:val="00FE4A88"/>
    <w:rsid w:val="00FE4BB5"/>
    <w:rsid w:val="00FE4EB7"/>
    <w:rsid w:val="00FE4F1C"/>
    <w:rsid w:val="00FE4FC8"/>
    <w:rsid w:val="00FE52B5"/>
    <w:rsid w:val="00FE532E"/>
    <w:rsid w:val="00FE57B1"/>
    <w:rsid w:val="00FE5A73"/>
    <w:rsid w:val="00FE5AA0"/>
    <w:rsid w:val="00FE5FF4"/>
    <w:rsid w:val="00FE62B0"/>
    <w:rsid w:val="00FE655F"/>
    <w:rsid w:val="00FE6786"/>
    <w:rsid w:val="00FE67A4"/>
    <w:rsid w:val="00FE6853"/>
    <w:rsid w:val="00FE687F"/>
    <w:rsid w:val="00FE691E"/>
    <w:rsid w:val="00FE6944"/>
    <w:rsid w:val="00FE69B1"/>
    <w:rsid w:val="00FE6D6C"/>
    <w:rsid w:val="00FE7343"/>
    <w:rsid w:val="00FE76A3"/>
    <w:rsid w:val="00FE7A07"/>
    <w:rsid w:val="00FF00E2"/>
    <w:rsid w:val="00FF020D"/>
    <w:rsid w:val="00FF08CC"/>
    <w:rsid w:val="00FF0AC2"/>
    <w:rsid w:val="00FF0D80"/>
    <w:rsid w:val="00FF159A"/>
    <w:rsid w:val="00FF1A37"/>
    <w:rsid w:val="00FF1B5F"/>
    <w:rsid w:val="00FF1C9F"/>
    <w:rsid w:val="00FF2155"/>
    <w:rsid w:val="00FF215D"/>
    <w:rsid w:val="00FF22AD"/>
    <w:rsid w:val="00FF22E7"/>
    <w:rsid w:val="00FF2A38"/>
    <w:rsid w:val="00FF2C85"/>
    <w:rsid w:val="00FF2E86"/>
    <w:rsid w:val="00FF3326"/>
    <w:rsid w:val="00FF33EA"/>
    <w:rsid w:val="00FF3611"/>
    <w:rsid w:val="00FF3B83"/>
    <w:rsid w:val="00FF3D35"/>
    <w:rsid w:val="00FF40B6"/>
    <w:rsid w:val="00FF432A"/>
    <w:rsid w:val="00FF459B"/>
    <w:rsid w:val="00FF4A6A"/>
    <w:rsid w:val="00FF4CC6"/>
    <w:rsid w:val="00FF4D14"/>
    <w:rsid w:val="00FF50D5"/>
    <w:rsid w:val="00FF5195"/>
    <w:rsid w:val="00FF51B3"/>
    <w:rsid w:val="00FF51BE"/>
    <w:rsid w:val="00FF52A4"/>
    <w:rsid w:val="00FF5660"/>
    <w:rsid w:val="00FF56B8"/>
    <w:rsid w:val="00FF56E3"/>
    <w:rsid w:val="00FF5D19"/>
    <w:rsid w:val="00FF60C7"/>
    <w:rsid w:val="00FF6740"/>
    <w:rsid w:val="00FF6799"/>
    <w:rsid w:val="00FF6C80"/>
    <w:rsid w:val="00FF73C6"/>
    <w:rsid w:val="00FF79C0"/>
    <w:rsid w:val="00FF7E35"/>
    <w:rsid w:val="01296B87"/>
    <w:rsid w:val="016A5C8F"/>
    <w:rsid w:val="01B8C710"/>
    <w:rsid w:val="01C493B9"/>
    <w:rsid w:val="01FA9FEA"/>
    <w:rsid w:val="02368196"/>
    <w:rsid w:val="023AD5D1"/>
    <w:rsid w:val="0240CEF6"/>
    <w:rsid w:val="024E2933"/>
    <w:rsid w:val="027DC689"/>
    <w:rsid w:val="02A9C197"/>
    <w:rsid w:val="02A9E33B"/>
    <w:rsid w:val="02AA4DA4"/>
    <w:rsid w:val="02AB812D"/>
    <w:rsid w:val="02B2E026"/>
    <w:rsid w:val="02DDFB64"/>
    <w:rsid w:val="02E3BEE9"/>
    <w:rsid w:val="031C6E9D"/>
    <w:rsid w:val="03799570"/>
    <w:rsid w:val="0383E70E"/>
    <w:rsid w:val="0383EF64"/>
    <w:rsid w:val="038E3499"/>
    <w:rsid w:val="03A3B9AB"/>
    <w:rsid w:val="03BA8573"/>
    <w:rsid w:val="0413DE99"/>
    <w:rsid w:val="0445FB05"/>
    <w:rsid w:val="048DB3EE"/>
    <w:rsid w:val="04B83EFE"/>
    <w:rsid w:val="04E3C830"/>
    <w:rsid w:val="05133AB3"/>
    <w:rsid w:val="055AFBED"/>
    <w:rsid w:val="058E2956"/>
    <w:rsid w:val="059E084A"/>
    <w:rsid w:val="05B2D4AB"/>
    <w:rsid w:val="05C36BF1"/>
    <w:rsid w:val="06172BFB"/>
    <w:rsid w:val="062EE25E"/>
    <w:rsid w:val="064BCED1"/>
    <w:rsid w:val="065B43C8"/>
    <w:rsid w:val="069358C2"/>
    <w:rsid w:val="06A6C4BA"/>
    <w:rsid w:val="06B16F94"/>
    <w:rsid w:val="06B70725"/>
    <w:rsid w:val="073387CA"/>
    <w:rsid w:val="07444351"/>
    <w:rsid w:val="07640A5D"/>
    <w:rsid w:val="0787A979"/>
    <w:rsid w:val="07A6C620"/>
    <w:rsid w:val="07EF21A9"/>
    <w:rsid w:val="080A8467"/>
    <w:rsid w:val="08642012"/>
    <w:rsid w:val="08735BDB"/>
    <w:rsid w:val="095A1A6D"/>
    <w:rsid w:val="097D6A43"/>
    <w:rsid w:val="0994AFA2"/>
    <w:rsid w:val="09A76DA3"/>
    <w:rsid w:val="09EE0D80"/>
    <w:rsid w:val="0A15E7BC"/>
    <w:rsid w:val="0A167E14"/>
    <w:rsid w:val="0A20F5D1"/>
    <w:rsid w:val="0A49AC9F"/>
    <w:rsid w:val="0A702842"/>
    <w:rsid w:val="0A8789E4"/>
    <w:rsid w:val="0A8AE37D"/>
    <w:rsid w:val="0AC41980"/>
    <w:rsid w:val="0B025632"/>
    <w:rsid w:val="0B03D8CD"/>
    <w:rsid w:val="0B059338"/>
    <w:rsid w:val="0B15D3B2"/>
    <w:rsid w:val="0B190131"/>
    <w:rsid w:val="0B4BA613"/>
    <w:rsid w:val="0B623777"/>
    <w:rsid w:val="0B661B9A"/>
    <w:rsid w:val="0B7A35DD"/>
    <w:rsid w:val="0B7B7A95"/>
    <w:rsid w:val="0BA6EB5D"/>
    <w:rsid w:val="0BA886AC"/>
    <w:rsid w:val="0BB79F0A"/>
    <w:rsid w:val="0BC0FB77"/>
    <w:rsid w:val="0BD74029"/>
    <w:rsid w:val="0BD7E20E"/>
    <w:rsid w:val="0BF32C2C"/>
    <w:rsid w:val="0C0D49CE"/>
    <w:rsid w:val="0C12E022"/>
    <w:rsid w:val="0C26DD3A"/>
    <w:rsid w:val="0C2BB4FE"/>
    <w:rsid w:val="0C7A1B45"/>
    <w:rsid w:val="0CD65535"/>
    <w:rsid w:val="0D2E3FC9"/>
    <w:rsid w:val="0D5C0DBD"/>
    <w:rsid w:val="0D5D9298"/>
    <w:rsid w:val="0D739636"/>
    <w:rsid w:val="0DB8BF8D"/>
    <w:rsid w:val="0DD56218"/>
    <w:rsid w:val="0DE4B404"/>
    <w:rsid w:val="0E2AB72F"/>
    <w:rsid w:val="0E4A9F9C"/>
    <w:rsid w:val="0E791A09"/>
    <w:rsid w:val="0E9DC1E0"/>
    <w:rsid w:val="0EA890D3"/>
    <w:rsid w:val="0EBF4E9A"/>
    <w:rsid w:val="0EDFC0D6"/>
    <w:rsid w:val="0F5E54A0"/>
    <w:rsid w:val="0FE0C4C9"/>
    <w:rsid w:val="0FE37D91"/>
    <w:rsid w:val="103275B5"/>
    <w:rsid w:val="1034841B"/>
    <w:rsid w:val="1048FAB1"/>
    <w:rsid w:val="104DA700"/>
    <w:rsid w:val="10DB1AA2"/>
    <w:rsid w:val="10DD51CD"/>
    <w:rsid w:val="10E1D550"/>
    <w:rsid w:val="10E8CBBC"/>
    <w:rsid w:val="11308F68"/>
    <w:rsid w:val="11339B57"/>
    <w:rsid w:val="11A52837"/>
    <w:rsid w:val="11A6C8C4"/>
    <w:rsid w:val="11CC1115"/>
    <w:rsid w:val="11D0E2A2"/>
    <w:rsid w:val="11F9A6AF"/>
    <w:rsid w:val="120B071B"/>
    <w:rsid w:val="12256805"/>
    <w:rsid w:val="1257DF6D"/>
    <w:rsid w:val="1265F3EC"/>
    <w:rsid w:val="12B82EE4"/>
    <w:rsid w:val="1300C543"/>
    <w:rsid w:val="13236D13"/>
    <w:rsid w:val="132FDD7C"/>
    <w:rsid w:val="13735D86"/>
    <w:rsid w:val="13796A39"/>
    <w:rsid w:val="137F44A7"/>
    <w:rsid w:val="1386C0A6"/>
    <w:rsid w:val="13931F51"/>
    <w:rsid w:val="139E60B5"/>
    <w:rsid w:val="13A5FB14"/>
    <w:rsid w:val="13BC6AAD"/>
    <w:rsid w:val="13EC53D8"/>
    <w:rsid w:val="1416A278"/>
    <w:rsid w:val="14449008"/>
    <w:rsid w:val="1479209F"/>
    <w:rsid w:val="14AB904C"/>
    <w:rsid w:val="14B72185"/>
    <w:rsid w:val="14EC05E0"/>
    <w:rsid w:val="14F56568"/>
    <w:rsid w:val="14F67459"/>
    <w:rsid w:val="14FBA6A5"/>
    <w:rsid w:val="151250BD"/>
    <w:rsid w:val="15160652"/>
    <w:rsid w:val="15211823"/>
    <w:rsid w:val="1556BD0F"/>
    <w:rsid w:val="157294D9"/>
    <w:rsid w:val="1583407E"/>
    <w:rsid w:val="159010C4"/>
    <w:rsid w:val="15D007B7"/>
    <w:rsid w:val="16318E5F"/>
    <w:rsid w:val="16399648"/>
    <w:rsid w:val="1698E77F"/>
    <w:rsid w:val="16BF2C45"/>
    <w:rsid w:val="16D18C1A"/>
    <w:rsid w:val="16F01135"/>
    <w:rsid w:val="16F1CAA7"/>
    <w:rsid w:val="16FBB41F"/>
    <w:rsid w:val="171BE64E"/>
    <w:rsid w:val="1748E915"/>
    <w:rsid w:val="17633AEF"/>
    <w:rsid w:val="176E4E69"/>
    <w:rsid w:val="1792D6FA"/>
    <w:rsid w:val="179BEE1E"/>
    <w:rsid w:val="17D52CC1"/>
    <w:rsid w:val="17DD1736"/>
    <w:rsid w:val="17DE5BDC"/>
    <w:rsid w:val="17F2CFB3"/>
    <w:rsid w:val="181209A2"/>
    <w:rsid w:val="1874B1CF"/>
    <w:rsid w:val="187E861C"/>
    <w:rsid w:val="1910BD33"/>
    <w:rsid w:val="19341552"/>
    <w:rsid w:val="19509668"/>
    <w:rsid w:val="1976FFCD"/>
    <w:rsid w:val="19883FB9"/>
    <w:rsid w:val="19C61692"/>
    <w:rsid w:val="19DD7A5B"/>
    <w:rsid w:val="1A0A8CD7"/>
    <w:rsid w:val="1A2D5C7A"/>
    <w:rsid w:val="1A66836C"/>
    <w:rsid w:val="1AD92B13"/>
    <w:rsid w:val="1AE60E75"/>
    <w:rsid w:val="1AFD225E"/>
    <w:rsid w:val="1B0B38EA"/>
    <w:rsid w:val="1B80702C"/>
    <w:rsid w:val="1B838F63"/>
    <w:rsid w:val="1BC90DED"/>
    <w:rsid w:val="1BCE977C"/>
    <w:rsid w:val="1C0F5DF6"/>
    <w:rsid w:val="1C36A35E"/>
    <w:rsid w:val="1C4399AA"/>
    <w:rsid w:val="1C4A21EB"/>
    <w:rsid w:val="1C59B145"/>
    <w:rsid w:val="1C8183C4"/>
    <w:rsid w:val="1C9BC310"/>
    <w:rsid w:val="1CAA6D2D"/>
    <w:rsid w:val="1CFE992E"/>
    <w:rsid w:val="1D029970"/>
    <w:rsid w:val="1D1B09B6"/>
    <w:rsid w:val="1D1E1B76"/>
    <w:rsid w:val="1D29D7B9"/>
    <w:rsid w:val="1D2CE953"/>
    <w:rsid w:val="1D51CD6D"/>
    <w:rsid w:val="1D81248E"/>
    <w:rsid w:val="1DC1A459"/>
    <w:rsid w:val="1DC4D2A7"/>
    <w:rsid w:val="1DD6A23A"/>
    <w:rsid w:val="1E06C49E"/>
    <w:rsid w:val="1E08F820"/>
    <w:rsid w:val="1E228A73"/>
    <w:rsid w:val="1E263FE5"/>
    <w:rsid w:val="1E2B0B9F"/>
    <w:rsid w:val="1E55C459"/>
    <w:rsid w:val="1E659A73"/>
    <w:rsid w:val="1E77BEA8"/>
    <w:rsid w:val="1E998F24"/>
    <w:rsid w:val="1EC1AA33"/>
    <w:rsid w:val="1ED4BDC3"/>
    <w:rsid w:val="1EE0310C"/>
    <w:rsid w:val="1EE7013F"/>
    <w:rsid w:val="1EF4A321"/>
    <w:rsid w:val="1F11D074"/>
    <w:rsid w:val="1F172FF0"/>
    <w:rsid w:val="1F2928F7"/>
    <w:rsid w:val="1F620356"/>
    <w:rsid w:val="1FB316D5"/>
    <w:rsid w:val="1FF6FCB6"/>
    <w:rsid w:val="202C5729"/>
    <w:rsid w:val="2035A8F0"/>
    <w:rsid w:val="2049FA9C"/>
    <w:rsid w:val="2059AA0D"/>
    <w:rsid w:val="2064F2A0"/>
    <w:rsid w:val="208375A1"/>
    <w:rsid w:val="20B30051"/>
    <w:rsid w:val="20B47D37"/>
    <w:rsid w:val="20D0E045"/>
    <w:rsid w:val="20E1413C"/>
    <w:rsid w:val="210947E7"/>
    <w:rsid w:val="2114C387"/>
    <w:rsid w:val="21183651"/>
    <w:rsid w:val="215784D4"/>
    <w:rsid w:val="21578DBD"/>
    <w:rsid w:val="21597228"/>
    <w:rsid w:val="215C72CE"/>
    <w:rsid w:val="217DDF54"/>
    <w:rsid w:val="218E0020"/>
    <w:rsid w:val="219EFAD1"/>
    <w:rsid w:val="21B227DA"/>
    <w:rsid w:val="21B3F4DC"/>
    <w:rsid w:val="21D6D0BE"/>
    <w:rsid w:val="21F3D15E"/>
    <w:rsid w:val="220B0E3E"/>
    <w:rsid w:val="223E4784"/>
    <w:rsid w:val="2267DCA9"/>
    <w:rsid w:val="2267FFB1"/>
    <w:rsid w:val="227613E4"/>
    <w:rsid w:val="228538A0"/>
    <w:rsid w:val="22A11CCF"/>
    <w:rsid w:val="22FF199C"/>
    <w:rsid w:val="23088690"/>
    <w:rsid w:val="231E728D"/>
    <w:rsid w:val="2340CB55"/>
    <w:rsid w:val="236513A7"/>
    <w:rsid w:val="239AB10B"/>
    <w:rsid w:val="23C4ABB7"/>
    <w:rsid w:val="23C72672"/>
    <w:rsid w:val="23EB2444"/>
    <w:rsid w:val="23FF8C59"/>
    <w:rsid w:val="24015C19"/>
    <w:rsid w:val="243E1C25"/>
    <w:rsid w:val="244E27B2"/>
    <w:rsid w:val="246DC09F"/>
    <w:rsid w:val="249ABA2E"/>
    <w:rsid w:val="24A65AA9"/>
    <w:rsid w:val="24E909B5"/>
    <w:rsid w:val="250A23A3"/>
    <w:rsid w:val="252B9D1C"/>
    <w:rsid w:val="25455EA2"/>
    <w:rsid w:val="254A7662"/>
    <w:rsid w:val="2595F153"/>
    <w:rsid w:val="259FA073"/>
    <w:rsid w:val="25C9B3A1"/>
    <w:rsid w:val="25E8A7F4"/>
    <w:rsid w:val="2611D683"/>
    <w:rsid w:val="2614D99A"/>
    <w:rsid w:val="261FA137"/>
    <w:rsid w:val="262A0FB0"/>
    <w:rsid w:val="263D45F3"/>
    <w:rsid w:val="26751502"/>
    <w:rsid w:val="267C535D"/>
    <w:rsid w:val="26AB8C05"/>
    <w:rsid w:val="26B2D307"/>
    <w:rsid w:val="26C4329D"/>
    <w:rsid w:val="2700F6EE"/>
    <w:rsid w:val="2713E120"/>
    <w:rsid w:val="27157B4D"/>
    <w:rsid w:val="27581468"/>
    <w:rsid w:val="2766253F"/>
    <w:rsid w:val="279FE349"/>
    <w:rsid w:val="27A392FD"/>
    <w:rsid w:val="27B5A4B7"/>
    <w:rsid w:val="27C7247E"/>
    <w:rsid w:val="27E8B983"/>
    <w:rsid w:val="27F00B9B"/>
    <w:rsid w:val="282A3498"/>
    <w:rsid w:val="2839E9B3"/>
    <w:rsid w:val="28A36C45"/>
    <w:rsid w:val="28ADDA37"/>
    <w:rsid w:val="28BB36D7"/>
    <w:rsid w:val="28C7DD66"/>
    <w:rsid w:val="29196272"/>
    <w:rsid w:val="29490EE5"/>
    <w:rsid w:val="29491853"/>
    <w:rsid w:val="29713B59"/>
    <w:rsid w:val="29D0D04D"/>
    <w:rsid w:val="29D8341A"/>
    <w:rsid w:val="2A419607"/>
    <w:rsid w:val="2AC08CE7"/>
    <w:rsid w:val="2ACBCB9A"/>
    <w:rsid w:val="2AEE042F"/>
    <w:rsid w:val="2AF43575"/>
    <w:rsid w:val="2B13C107"/>
    <w:rsid w:val="2B1DA364"/>
    <w:rsid w:val="2B1DEF71"/>
    <w:rsid w:val="2B2959E6"/>
    <w:rsid w:val="2B713496"/>
    <w:rsid w:val="2B7C9453"/>
    <w:rsid w:val="2C0BD22D"/>
    <w:rsid w:val="2C2E835E"/>
    <w:rsid w:val="2C73F7E3"/>
    <w:rsid w:val="2CA609C0"/>
    <w:rsid w:val="2D3DD655"/>
    <w:rsid w:val="2D595182"/>
    <w:rsid w:val="2D5FDAD9"/>
    <w:rsid w:val="2D8546B4"/>
    <w:rsid w:val="2D8DD63B"/>
    <w:rsid w:val="2D927138"/>
    <w:rsid w:val="2D94297A"/>
    <w:rsid w:val="2DD0A630"/>
    <w:rsid w:val="2E1B9022"/>
    <w:rsid w:val="2E254FC5"/>
    <w:rsid w:val="2E3108A4"/>
    <w:rsid w:val="2E33583F"/>
    <w:rsid w:val="2E559CAE"/>
    <w:rsid w:val="2E616C3C"/>
    <w:rsid w:val="2E9CCE89"/>
    <w:rsid w:val="2EDFFF80"/>
    <w:rsid w:val="2EEA35DB"/>
    <w:rsid w:val="2EF1FD9E"/>
    <w:rsid w:val="2F424B92"/>
    <w:rsid w:val="2F5536A1"/>
    <w:rsid w:val="2F8DE81F"/>
    <w:rsid w:val="2FD20D00"/>
    <w:rsid w:val="2FD54B72"/>
    <w:rsid w:val="3001B0B7"/>
    <w:rsid w:val="300768BD"/>
    <w:rsid w:val="303380D5"/>
    <w:rsid w:val="303A23F3"/>
    <w:rsid w:val="303E4A13"/>
    <w:rsid w:val="3053BA40"/>
    <w:rsid w:val="3086F6B4"/>
    <w:rsid w:val="3088BD1C"/>
    <w:rsid w:val="3090F244"/>
    <w:rsid w:val="3128332D"/>
    <w:rsid w:val="31697330"/>
    <w:rsid w:val="31AB97E4"/>
    <w:rsid w:val="3232C504"/>
    <w:rsid w:val="323428FD"/>
    <w:rsid w:val="32BE8DAA"/>
    <w:rsid w:val="32D75EED"/>
    <w:rsid w:val="3317B322"/>
    <w:rsid w:val="33328408"/>
    <w:rsid w:val="337BF175"/>
    <w:rsid w:val="337D667F"/>
    <w:rsid w:val="33827D75"/>
    <w:rsid w:val="33BD4846"/>
    <w:rsid w:val="345D9A22"/>
    <w:rsid w:val="3479D716"/>
    <w:rsid w:val="34A137CC"/>
    <w:rsid w:val="34A9CD4A"/>
    <w:rsid w:val="34EEA5BB"/>
    <w:rsid w:val="34FE5D2F"/>
    <w:rsid w:val="350115E8"/>
    <w:rsid w:val="35067219"/>
    <w:rsid w:val="3521EBD1"/>
    <w:rsid w:val="356F8418"/>
    <w:rsid w:val="35ACF016"/>
    <w:rsid w:val="35E7EA40"/>
    <w:rsid w:val="36020D39"/>
    <w:rsid w:val="3647A524"/>
    <w:rsid w:val="3676AAC7"/>
    <w:rsid w:val="369C1F82"/>
    <w:rsid w:val="36F85706"/>
    <w:rsid w:val="3719BA96"/>
    <w:rsid w:val="372F317A"/>
    <w:rsid w:val="374ECCA4"/>
    <w:rsid w:val="375FA37D"/>
    <w:rsid w:val="3772CABF"/>
    <w:rsid w:val="377C1287"/>
    <w:rsid w:val="3833AACF"/>
    <w:rsid w:val="383EF9E0"/>
    <w:rsid w:val="3840D68B"/>
    <w:rsid w:val="384535D8"/>
    <w:rsid w:val="384B5A30"/>
    <w:rsid w:val="386DA439"/>
    <w:rsid w:val="38A81FDC"/>
    <w:rsid w:val="38B9301B"/>
    <w:rsid w:val="38CB1E3E"/>
    <w:rsid w:val="38DBC388"/>
    <w:rsid w:val="38E25E52"/>
    <w:rsid w:val="38F2C7AB"/>
    <w:rsid w:val="38FA8674"/>
    <w:rsid w:val="39313747"/>
    <w:rsid w:val="3946223E"/>
    <w:rsid w:val="395E42C9"/>
    <w:rsid w:val="397B0543"/>
    <w:rsid w:val="39C3B45D"/>
    <w:rsid w:val="39CB5363"/>
    <w:rsid w:val="39D900F9"/>
    <w:rsid w:val="39FA4DD1"/>
    <w:rsid w:val="3A6D9708"/>
    <w:rsid w:val="3A7376E4"/>
    <w:rsid w:val="3AA14632"/>
    <w:rsid w:val="3AA88B92"/>
    <w:rsid w:val="3AD5A178"/>
    <w:rsid w:val="3B00350E"/>
    <w:rsid w:val="3B120C97"/>
    <w:rsid w:val="3B2007F7"/>
    <w:rsid w:val="3B263DBF"/>
    <w:rsid w:val="3B7CD8D5"/>
    <w:rsid w:val="3B874D59"/>
    <w:rsid w:val="3BE43998"/>
    <w:rsid w:val="3BF5A1A2"/>
    <w:rsid w:val="3C13CAEA"/>
    <w:rsid w:val="3C295A85"/>
    <w:rsid w:val="3C3DC97A"/>
    <w:rsid w:val="3C73C139"/>
    <w:rsid w:val="3C91A17B"/>
    <w:rsid w:val="3CAB671C"/>
    <w:rsid w:val="3CB6E6A8"/>
    <w:rsid w:val="3CB8BB71"/>
    <w:rsid w:val="3D13D704"/>
    <w:rsid w:val="3D211976"/>
    <w:rsid w:val="3D23323A"/>
    <w:rsid w:val="3D65E997"/>
    <w:rsid w:val="3D8C0B30"/>
    <w:rsid w:val="3DA71183"/>
    <w:rsid w:val="3DF328D3"/>
    <w:rsid w:val="3E1F25AD"/>
    <w:rsid w:val="3E3A6E1E"/>
    <w:rsid w:val="3E4B22D0"/>
    <w:rsid w:val="3E70F560"/>
    <w:rsid w:val="3E855C4D"/>
    <w:rsid w:val="3E87557D"/>
    <w:rsid w:val="3E8FBED2"/>
    <w:rsid w:val="3ED04AE7"/>
    <w:rsid w:val="3ED4D9AF"/>
    <w:rsid w:val="3EE3F4EB"/>
    <w:rsid w:val="3EE777B9"/>
    <w:rsid w:val="3EE92B11"/>
    <w:rsid w:val="3F151859"/>
    <w:rsid w:val="3F4C235C"/>
    <w:rsid w:val="3F4ECB7D"/>
    <w:rsid w:val="3F78555D"/>
    <w:rsid w:val="3F78D265"/>
    <w:rsid w:val="3F9F5FA8"/>
    <w:rsid w:val="3FBFD279"/>
    <w:rsid w:val="3FC76339"/>
    <w:rsid w:val="3FD4E6F4"/>
    <w:rsid w:val="3FD98312"/>
    <w:rsid w:val="3FFF830F"/>
    <w:rsid w:val="4015E8C5"/>
    <w:rsid w:val="4022A604"/>
    <w:rsid w:val="40344776"/>
    <w:rsid w:val="4073AAE5"/>
    <w:rsid w:val="40C31014"/>
    <w:rsid w:val="40E24A5D"/>
    <w:rsid w:val="40EFD7C2"/>
    <w:rsid w:val="413D9A7A"/>
    <w:rsid w:val="4142CF7B"/>
    <w:rsid w:val="4144DDD6"/>
    <w:rsid w:val="41743041"/>
    <w:rsid w:val="4184EA0E"/>
    <w:rsid w:val="4187B103"/>
    <w:rsid w:val="419378B5"/>
    <w:rsid w:val="41AE48D2"/>
    <w:rsid w:val="41B10155"/>
    <w:rsid w:val="41B6E0E9"/>
    <w:rsid w:val="4205F01E"/>
    <w:rsid w:val="4206235F"/>
    <w:rsid w:val="4229DB17"/>
    <w:rsid w:val="428D2554"/>
    <w:rsid w:val="42C2430E"/>
    <w:rsid w:val="42E397C6"/>
    <w:rsid w:val="4312DB6E"/>
    <w:rsid w:val="431D8105"/>
    <w:rsid w:val="434A1933"/>
    <w:rsid w:val="43E68943"/>
    <w:rsid w:val="441E19AD"/>
    <w:rsid w:val="441F9A86"/>
    <w:rsid w:val="44463143"/>
    <w:rsid w:val="446BA567"/>
    <w:rsid w:val="447CFB7F"/>
    <w:rsid w:val="44B7370F"/>
    <w:rsid w:val="44BA7435"/>
    <w:rsid w:val="44EEA2D7"/>
    <w:rsid w:val="44FCA864"/>
    <w:rsid w:val="450487AB"/>
    <w:rsid w:val="453BBB32"/>
    <w:rsid w:val="45A3E0F7"/>
    <w:rsid w:val="45B5BF9D"/>
    <w:rsid w:val="45C7F8A1"/>
    <w:rsid w:val="45F42A2D"/>
    <w:rsid w:val="45FFB9F8"/>
    <w:rsid w:val="460C990D"/>
    <w:rsid w:val="4679DFA2"/>
    <w:rsid w:val="467BEA27"/>
    <w:rsid w:val="469C10EF"/>
    <w:rsid w:val="46AE51D5"/>
    <w:rsid w:val="46B018A6"/>
    <w:rsid w:val="46C21625"/>
    <w:rsid w:val="46D2B201"/>
    <w:rsid w:val="46D7F653"/>
    <w:rsid w:val="46D96141"/>
    <w:rsid w:val="46EA6867"/>
    <w:rsid w:val="46F4A636"/>
    <w:rsid w:val="4705C689"/>
    <w:rsid w:val="471FAD76"/>
    <w:rsid w:val="4769E957"/>
    <w:rsid w:val="476FA5EE"/>
    <w:rsid w:val="47BC2F5C"/>
    <w:rsid w:val="47C25C45"/>
    <w:rsid w:val="47E71AA3"/>
    <w:rsid w:val="47EB3D0C"/>
    <w:rsid w:val="47EE9C6B"/>
    <w:rsid w:val="47FF1641"/>
    <w:rsid w:val="4830FD4D"/>
    <w:rsid w:val="48342202"/>
    <w:rsid w:val="4838F475"/>
    <w:rsid w:val="485F5EFA"/>
    <w:rsid w:val="4869BEBC"/>
    <w:rsid w:val="48919A3D"/>
    <w:rsid w:val="4895FF01"/>
    <w:rsid w:val="48CEDEE7"/>
    <w:rsid w:val="48CFB441"/>
    <w:rsid w:val="48D9C8D8"/>
    <w:rsid w:val="48FDA3B4"/>
    <w:rsid w:val="491473D8"/>
    <w:rsid w:val="491DD668"/>
    <w:rsid w:val="492FA258"/>
    <w:rsid w:val="4952A3F2"/>
    <w:rsid w:val="4957BFC6"/>
    <w:rsid w:val="49AEA13B"/>
    <w:rsid w:val="49D335C4"/>
    <w:rsid w:val="4A03C311"/>
    <w:rsid w:val="4A2104BD"/>
    <w:rsid w:val="4A365E3C"/>
    <w:rsid w:val="4A720EEE"/>
    <w:rsid w:val="4A7CABE1"/>
    <w:rsid w:val="4A8C77BB"/>
    <w:rsid w:val="4ABD6D1C"/>
    <w:rsid w:val="4B633936"/>
    <w:rsid w:val="4B649182"/>
    <w:rsid w:val="4B68B247"/>
    <w:rsid w:val="4B6B48FE"/>
    <w:rsid w:val="4BAB07A7"/>
    <w:rsid w:val="4BC99174"/>
    <w:rsid w:val="4C075503"/>
    <w:rsid w:val="4C26F338"/>
    <w:rsid w:val="4C839431"/>
    <w:rsid w:val="4C8BC0F8"/>
    <w:rsid w:val="4CB5FDD9"/>
    <w:rsid w:val="4CD90CA4"/>
    <w:rsid w:val="4CFD75EE"/>
    <w:rsid w:val="4D0061E3"/>
    <w:rsid w:val="4D076F57"/>
    <w:rsid w:val="4D1154D2"/>
    <w:rsid w:val="4D719B0B"/>
    <w:rsid w:val="4D7CFE65"/>
    <w:rsid w:val="4D9CA1CA"/>
    <w:rsid w:val="4E6C0678"/>
    <w:rsid w:val="4E7CF1C9"/>
    <w:rsid w:val="4E88E323"/>
    <w:rsid w:val="4E96E4A3"/>
    <w:rsid w:val="4E96E857"/>
    <w:rsid w:val="4EB3C469"/>
    <w:rsid w:val="4ED63DF1"/>
    <w:rsid w:val="4EE00A39"/>
    <w:rsid w:val="4EF33D08"/>
    <w:rsid w:val="4F082B97"/>
    <w:rsid w:val="4F2BB818"/>
    <w:rsid w:val="4F40F954"/>
    <w:rsid w:val="5007EBFA"/>
    <w:rsid w:val="500C98BA"/>
    <w:rsid w:val="50244C98"/>
    <w:rsid w:val="5025A6E3"/>
    <w:rsid w:val="502FDCE2"/>
    <w:rsid w:val="504C54EC"/>
    <w:rsid w:val="505D731A"/>
    <w:rsid w:val="50A2BDA2"/>
    <w:rsid w:val="50AF3424"/>
    <w:rsid w:val="50B56065"/>
    <w:rsid w:val="50BE6396"/>
    <w:rsid w:val="50D3C6EC"/>
    <w:rsid w:val="50E7FD99"/>
    <w:rsid w:val="50EA5F06"/>
    <w:rsid w:val="50FD5FD7"/>
    <w:rsid w:val="51220E7B"/>
    <w:rsid w:val="5167DA38"/>
    <w:rsid w:val="519AC743"/>
    <w:rsid w:val="519CE8CC"/>
    <w:rsid w:val="51A68B6C"/>
    <w:rsid w:val="51BE8B3D"/>
    <w:rsid w:val="51D034CA"/>
    <w:rsid w:val="51F122CA"/>
    <w:rsid w:val="51F6F9C4"/>
    <w:rsid w:val="524E3FD6"/>
    <w:rsid w:val="52C9003C"/>
    <w:rsid w:val="5325FCC6"/>
    <w:rsid w:val="533D2BC7"/>
    <w:rsid w:val="53AB6B5E"/>
    <w:rsid w:val="53BFCA45"/>
    <w:rsid w:val="53C89876"/>
    <w:rsid w:val="53D423F7"/>
    <w:rsid w:val="53D69224"/>
    <w:rsid w:val="5419A5F9"/>
    <w:rsid w:val="542526E7"/>
    <w:rsid w:val="543CEE1F"/>
    <w:rsid w:val="543D9141"/>
    <w:rsid w:val="5469BCC6"/>
    <w:rsid w:val="548E288B"/>
    <w:rsid w:val="54A49639"/>
    <w:rsid w:val="54F75CC1"/>
    <w:rsid w:val="54FC312F"/>
    <w:rsid w:val="55061A99"/>
    <w:rsid w:val="55163C41"/>
    <w:rsid w:val="55540535"/>
    <w:rsid w:val="55BB6EC0"/>
    <w:rsid w:val="55C1672B"/>
    <w:rsid w:val="55FB4EE3"/>
    <w:rsid w:val="56147740"/>
    <w:rsid w:val="5614E530"/>
    <w:rsid w:val="56160201"/>
    <w:rsid w:val="562ED55B"/>
    <w:rsid w:val="569612F1"/>
    <w:rsid w:val="56EA08EF"/>
    <w:rsid w:val="57000F26"/>
    <w:rsid w:val="572B30B7"/>
    <w:rsid w:val="57337628"/>
    <w:rsid w:val="5746E482"/>
    <w:rsid w:val="5751F530"/>
    <w:rsid w:val="5763496E"/>
    <w:rsid w:val="57698884"/>
    <w:rsid w:val="5787949F"/>
    <w:rsid w:val="57B047A1"/>
    <w:rsid w:val="57B8220D"/>
    <w:rsid w:val="57C7276A"/>
    <w:rsid w:val="57CE5814"/>
    <w:rsid w:val="57E7148B"/>
    <w:rsid w:val="57FA3A50"/>
    <w:rsid w:val="58178BB1"/>
    <w:rsid w:val="58214724"/>
    <w:rsid w:val="5831BEEC"/>
    <w:rsid w:val="5833D1F1"/>
    <w:rsid w:val="58479B99"/>
    <w:rsid w:val="587F6637"/>
    <w:rsid w:val="5883EA9E"/>
    <w:rsid w:val="58ABC1C6"/>
    <w:rsid w:val="58AFA9E1"/>
    <w:rsid w:val="58BAF4F5"/>
    <w:rsid w:val="58C1B85B"/>
    <w:rsid w:val="58DB01BB"/>
    <w:rsid w:val="58EDC591"/>
    <w:rsid w:val="58F14D30"/>
    <w:rsid w:val="59198F40"/>
    <w:rsid w:val="593DDE81"/>
    <w:rsid w:val="5959E098"/>
    <w:rsid w:val="59B35C12"/>
    <w:rsid w:val="59B3DB56"/>
    <w:rsid w:val="59E5ABD1"/>
    <w:rsid w:val="59F0C84B"/>
    <w:rsid w:val="59FD3489"/>
    <w:rsid w:val="5A1667F9"/>
    <w:rsid w:val="5A528372"/>
    <w:rsid w:val="5A617BC0"/>
    <w:rsid w:val="5A8995F2"/>
    <w:rsid w:val="5AA770A8"/>
    <w:rsid w:val="5AB6C9C0"/>
    <w:rsid w:val="5B081AF6"/>
    <w:rsid w:val="5B20A5D6"/>
    <w:rsid w:val="5B436645"/>
    <w:rsid w:val="5B756B5F"/>
    <w:rsid w:val="5B7ACE04"/>
    <w:rsid w:val="5B8D7519"/>
    <w:rsid w:val="5BE77AE5"/>
    <w:rsid w:val="5C256653"/>
    <w:rsid w:val="5C755DD9"/>
    <w:rsid w:val="5C7860B8"/>
    <w:rsid w:val="5C92EC27"/>
    <w:rsid w:val="5C93D607"/>
    <w:rsid w:val="5D06166E"/>
    <w:rsid w:val="5D5CCE51"/>
    <w:rsid w:val="5D7B9977"/>
    <w:rsid w:val="5D7CF0B7"/>
    <w:rsid w:val="5D8E8C8D"/>
    <w:rsid w:val="5D91D0BA"/>
    <w:rsid w:val="5DA776DF"/>
    <w:rsid w:val="5DAE72DE"/>
    <w:rsid w:val="5DDA4B25"/>
    <w:rsid w:val="5DE75C31"/>
    <w:rsid w:val="5E1D7CC8"/>
    <w:rsid w:val="5E2E3650"/>
    <w:rsid w:val="5E5F783C"/>
    <w:rsid w:val="5E663F4F"/>
    <w:rsid w:val="5EA6C37A"/>
    <w:rsid w:val="5EECFB78"/>
    <w:rsid w:val="5EF09BF6"/>
    <w:rsid w:val="5EF89EB2"/>
    <w:rsid w:val="5F11A8BE"/>
    <w:rsid w:val="5F30ED2C"/>
    <w:rsid w:val="5F3B7384"/>
    <w:rsid w:val="5FA850D3"/>
    <w:rsid w:val="5FC0E552"/>
    <w:rsid w:val="5FEA9373"/>
    <w:rsid w:val="5FF1C76C"/>
    <w:rsid w:val="6015D26B"/>
    <w:rsid w:val="602392E9"/>
    <w:rsid w:val="6031D49C"/>
    <w:rsid w:val="6043E002"/>
    <w:rsid w:val="60524DD6"/>
    <w:rsid w:val="60A4C4A6"/>
    <w:rsid w:val="60B92A95"/>
    <w:rsid w:val="60E15CFB"/>
    <w:rsid w:val="60E3B83F"/>
    <w:rsid w:val="60EB243E"/>
    <w:rsid w:val="611C77DE"/>
    <w:rsid w:val="6216018D"/>
    <w:rsid w:val="62293C86"/>
    <w:rsid w:val="62491090"/>
    <w:rsid w:val="627F4C50"/>
    <w:rsid w:val="6284EA2C"/>
    <w:rsid w:val="62DD3252"/>
    <w:rsid w:val="632BB6C1"/>
    <w:rsid w:val="632CEB11"/>
    <w:rsid w:val="6333E11F"/>
    <w:rsid w:val="6381DE26"/>
    <w:rsid w:val="63831E42"/>
    <w:rsid w:val="6388671A"/>
    <w:rsid w:val="63BA3EE7"/>
    <w:rsid w:val="63C0F68F"/>
    <w:rsid w:val="63CD6BAF"/>
    <w:rsid w:val="63E0FD95"/>
    <w:rsid w:val="63EDF8B4"/>
    <w:rsid w:val="63F176D4"/>
    <w:rsid w:val="63F46A0F"/>
    <w:rsid w:val="6424E658"/>
    <w:rsid w:val="6427C378"/>
    <w:rsid w:val="643DC63E"/>
    <w:rsid w:val="645C731A"/>
    <w:rsid w:val="647D8E83"/>
    <w:rsid w:val="647E51F7"/>
    <w:rsid w:val="649678BD"/>
    <w:rsid w:val="64A9FA42"/>
    <w:rsid w:val="64B52BAD"/>
    <w:rsid w:val="64FB5CC3"/>
    <w:rsid w:val="65073705"/>
    <w:rsid w:val="656B026C"/>
    <w:rsid w:val="657E97D9"/>
    <w:rsid w:val="657FCC23"/>
    <w:rsid w:val="65A3D30B"/>
    <w:rsid w:val="65A94280"/>
    <w:rsid w:val="65AA41A3"/>
    <w:rsid w:val="65B9B40F"/>
    <w:rsid w:val="65D0C83D"/>
    <w:rsid w:val="65F22893"/>
    <w:rsid w:val="65F5ACA9"/>
    <w:rsid w:val="6614DF8E"/>
    <w:rsid w:val="66195EE4"/>
    <w:rsid w:val="664746F6"/>
    <w:rsid w:val="66C33758"/>
    <w:rsid w:val="66CA9065"/>
    <w:rsid w:val="66DB147E"/>
    <w:rsid w:val="6711920C"/>
    <w:rsid w:val="672BD72B"/>
    <w:rsid w:val="673993B4"/>
    <w:rsid w:val="67539CDA"/>
    <w:rsid w:val="675D9066"/>
    <w:rsid w:val="67980289"/>
    <w:rsid w:val="67A1D706"/>
    <w:rsid w:val="67B3332F"/>
    <w:rsid w:val="67B52F45"/>
    <w:rsid w:val="67B75C23"/>
    <w:rsid w:val="67C615FB"/>
    <w:rsid w:val="67EAFDE6"/>
    <w:rsid w:val="6808BB8D"/>
    <w:rsid w:val="6817D00E"/>
    <w:rsid w:val="6844C8FB"/>
    <w:rsid w:val="684DCE51"/>
    <w:rsid w:val="6865BC59"/>
    <w:rsid w:val="6894DAFE"/>
    <w:rsid w:val="68A10601"/>
    <w:rsid w:val="68A3F50D"/>
    <w:rsid w:val="68BD04DD"/>
    <w:rsid w:val="68D0DB3E"/>
    <w:rsid w:val="69084A11"/>
    <w:rsid w:val="6913A46B"/>
    <w:rsid w:val="6939D3D7"/>
    <w:rsid w:val="6960D32F"/>
    <w:rsid w:val="6994C7A5"/>
    <w:rsid w:val="69978B09"/>
    <w:rsid w:val="69AFA030"/>
    <w:rsid w:val="69B0AF63"/>
    <w:rsid w:val="69C51D44"/>
    <w:rsid w:val="6AA41A72"/>
    <w:rsid w:val="6AB03AB0"/>
    <w:rsid w:val="6ACEAB49"/>
    <w:rsid w:val="6AD52F36"/>
    <w:rsid w:val="6AE84353"/>
    <w:rsid w:val="6AF1972B"/>
    <w:rsid w:val="6B1E9F5F"/>
    <w:rsid w:val="6B495901"/>
    <w:rsid w:val="6B4B3C3F"/>
    <w:rsid w:val="6B5D6EA3"/>
    <w:rsid w:val="6B8F5384"/>
    <w:rsid w:val="6BADEF67"/>
    <w:rsid w:val="6BB7009F"/>
    <w:rsid w:val="6BD8A6C3"/>
    <w:rsid w:val="6BDBB2A4"/>
    <w:rsid w:val="6C1250F6"/>
    <w:rsid w:val="6C1F06A4"/>
    <w:rsid w:val="6C202AD4"/>
    <w:rsid w:val="6C3FEAD3"/>
    <w:rsid w:val="6C50360B"/>
    <w:rsid w:val="6C57604D"/>
    <w:rsid w:val="6C6F780B"/>
    <w:rsid w:val="6C85D1EC"/>
    <w:rsid w:val="6C921C54"/>
    <w:rsid w:val="6CE12B7C"/>
    <w:rsid w:val="6CEFEA35"/>
    <w:rsid w:val="6D28E3A5"/>
    <w:rsid w:val="6D2F2EB1"/>
    <w:rsid w:val="6D468E7F"/>
    <w:rsid w:val="6D58A5B1"/>
    <w:rsid w:val="6D7FF4E5"/>
    <w:rsid w:val="6D8D74CE"/>
    <w:rsid w:val="6D9C8C71"/>
    <w:rsid w:val="6DD1767E"/>
    <w:rsid w:val="6DDC7F0C"/>
    <w:rsid w:val="6DFF9A34"/>
    <w:rsid w:val="6E5EDFE4"/>
    <w:rsid w:val="6E71B8C7"/>
    <w:rsid w:val="6EA361F5"/>
    <w:rsid w:val="6EC04C62"/>
    <w:rsid w:val="6ED48EC5"/>
    <w:rsid w:val="6EE9FECF"/>
    <w:rsid w:val="6EED8C06"/>
    <w:rsid w:val="6EEDBCE6"/>
    <w:rsid w:val="6F26B1C1"/>
    <w:rsid w:val="6F6A5882"/>
    <w:rsid w:val="6F990027"/>
    <w:rsid w:val="6FA691A0"/>
    <w:rsid w:val="6FD9D8C6"/>
    <w:rsid w:val="6FDC33C6"/>
    <w:rsid w:val="700E1D7B"/>
    <w:rsid w:val="70651518"/>
    <w:rsid w:val="70CEA8B6"/>
    <w:rsid w:val="70D116CC"/>
    <w:rsid w:val="70E29536"/>
    <w:rsid w:val="70FA4A71"/>
    <w:rsid w:val="71137AE4"/>
    <w:rsid w:val="712A0DBC"/>
    <w:rsid w:val="712D9353"/>
    <w:rsid w:val="713B7197"/>
    <w:rsid w:val="7175A927"/>
    <w:rsid w:val="717B29CF"/>
    <w:rsid w:val="71884F5C"/>
    <w:rsid w:val="71A99232"/>
    <w:rsid w:val="71AC4401"/>
    <w:rsid w:val="71D1C74D"/>
    <w:rsid w:val="71E81B0E"/>
    <w:rsid w:val="72180D12"/>
    <w:rsid w:val="7230D21F"/>
    <w:rsid w:val="724229AE"/>
    <w:rsid w:val="726EFF84"/>
    <w:rsid w:val="72B4094B"/>
    <w:rsid w:val="72CDB99C"/>
    <w:rsid w:val="73031C7F"/>
    <w:rsid w:val="731F58E8"/>
    <w:rsid w:val="732F4D40"/>
    <w:rsid w:val="733415F9"/>
    <w:rsid w:val="737220AA"/>
    <w:rsid w:val="73D594BE"/>
    <w:rsid w:val="74205825"/>
    <w:rsid w:val="7448C445"/>
    <w:rsid w:val="7469BE15"/>
    <w:rsid w:val="748BAE5C"/>
    <w:rsid w:val="749181B8"/>
    <w:rsid w:val="7498577F"/>
    <w:rsid w:val="74B273DC"/>
    <w:rsid w:val="74DDE53B"/>
    <w:rsid w:val="74DF010E"/>
    <w:rsid w:val="74E6BC68"/>
    <w:rsid w:val="757AC4FD"/>
    <w:rsid w:val="75919892"/>
    <w:rsid w:val="7599DAB9"/>
    <w:rsid w:val="75D91DA7"/>
    <w:rsid w:val="75E96FF3"/>
    <w:rsid w:val="75EB5A17"/>
    <w:rsid w:val="76139651"/>
    <w:rsid w:val="7617998E"/>
    <w:rsid w:val="766829A3"/>
    <w:rsid w:val="767CD847"/>
    <w:rsid w:val="76CF8B08"/>
    <w:rsid w:val="771DBC5D"/>
    <w:rsid w:val="77267D1C"/>
    <w:rsid w:val="774461DE"/>
    <w:rsid w:val="77507E74"/>
    <w:rsid w:val="779101D3"/>
    <w:rsid w:val="77AD5401"/>
    <w:rsid w:val="77F5F400"/>
    <w:rsid w:val="780E1A7F"/>
    <w:rsid w:val="7858D75A"/>
    <w:rsid w:val="787B710B"/>
    <w:rsid w:val="78A12A9A"/>
    <w:rsid w:val="78BD2CAA"/>
    <w:rsid w:val="78BE69F7"/>
    <w:rsid w:val="78C6498C"/>
    <w:rsid w:val="7923C99C"/>
    <w:rsid w:val="793DC210"/>
    <w:rsid w:val="7944C59A"/>
    <w:rsid w:val="79474DC5"/>
    <w:rsid w:val="796FA290"/>
    <w:rsid w:val="797CE120"/>
    <w:rsid w:val="797E3871"/>
    <w:rsid w:val="7983E680"/>
    <w:rsid w:val="79AEB9DC"/>
    <w:rsid w:val="79C0542B"/>
    <w:rsid w:val="79C910B4"/>
    <w:rsid w:val="79E1E3E5"/>
    <w:rsid w:val="79E9601F"/>
    <w:rsid w:val="79EDA881"/>
    <w:rsid w:val="79F91293"/>
    <w:rsid w:val="7A1E005C"/>
    <w:rsid w:val="7A29391B"/>
    <w:rsid w:val="7A2E61B4"/>
    <w:rsid w:val="7A3178E6"/>
    <w:rsid w:val="7A881F36"/>
    <w:rsid w:val="7AAC46C0"/>
    <w:rsid w:val="7AB2FDED"/>
    <w:rsid w:val="7ABAFAF3"/>
    <w:rsid w:val="7ABC7EFA"/>
    <w:rsid w:val="7ACB61F6"/>
    <w:rsid w:val="7AFB5D79"/>
    <w:rsid w:val="7B04B01C"/>
    <w:rsid w:val="7B0A0BBF"/>
    <w:rsid w:val="7B13F41C"/>
    <w:rsid w:val="7B199754"/>
    <w:rsid w:val="7B94F7C0"/>
    <w:rsid w:val="7BB311CD"/>
    <w:rsid w:val="7BD143A3"/>
    <w:rsid w:val="7BDC0AAD"/>
    <w:rsid w:val="7BE6A226"/>
    <w:rsid w:val="7BEE4906"/>
    <w:rsid w:val="7BF7067C"/>
    <w:rsid w:val="7BFF4BE1"/>
    <w:rsid w:val="7C242AB7"/>
    <w:rsid w:val="7C307ADF"/>
    <w:rsid w:val="7C31A47D"/>
    <w:rsid w:val="7C4E7692"/>
    <w:rsid w:val="7C76C6FF"/>
    <w:rsid w:val="7C895903"/>
    <w:rsid w:val="7C982011"/>
    <w:rsid w:val="7C99230E"/>
    <w:rsid w:val="7CCFD8E9"/>
    <w:rsid w:val="7CF7F4ED"/>
    <w:rsid w:val="7D139EA5"/>
    <w:rsid w:val="7D3D2426"/>
    <w:rsid w:val="7D49C9C4"/>
    <w:rsid w:val="7D74E108"/>
    <w:rsid w:val="7D9898B5"/>
    <w:rsid w:val="7DB9B9E0"/>
    <w:rsid w:val="7DBA85C0"/>
    <w:rsid w:val="7DBFBFF8"/>
    <w:rsid w:val="7DC80FC7"/>
    <w:rsid w:val="7DDDB067"/>
    <w:rsid w:val="7E6F7779"/>
    <w:rsid w:val="7EB5306E"/>
    <w:rsid w:val="7EB83E48"/>
    <w:rsid w:val="7EEF8AF8"/>
    <w:rsid w:val="7F2B279C"/>
    <w:rsid w:val="7F5D592D"/>
    <w:rsid w:val="7F77A982"/>
    <w:rsid w:val="7F846B90"/>
    <w:rsid w:val="7F92868A"/>
    <w:rsid w:val="7FA79506"/>
    <w:rsid w:val="7FB729C5"/>
    <w:rsid w:val="7FD9DC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436A0"/>
  <w15:docId w15:val="{D9CF698F-A57D-44AD-8BB4-8DFC5533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99" w:unhideWhenUsed="1" w:qFormat="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9" w:qFormat="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uiPriority="20" w:qFormat="1"/>
    <w:lsdException w:name="Document Map" w:semiHidden="1"/>
    <w:lsdException w:name="Plain Text" w:semiHidden="1" w:uiPriority="99"/>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rsid w:val="001B1C6C"/>
    <w:pPr>
      <w:spacing w:before="40" w:after="40"/>
      <w:ind w:firstLine="720"/>
      <w:jc w:val="both"/>
    </w:pPr>
  </w:style>
  <w:style w:type="paragraph" w:styleId="Heading1">
    <w:name w:val="heading 1"/>
    <w:basedOn w:val="Normal"/>
    <w:next w:val="Text1"/>
    <w:link w:val="Heading1Char"/>
    <w:autoRedefine/>
    <w:uiPriority w:val="9"/>
    <w:qFormat/>
    <w:rsid w:val="00B52E9B"/>
    <w:pPr>
      <w:keepNext/>
      <w:numPr>
        <w:numId w:val="30"/>
      </w:numPr>
      <w:spacing w:before="240" w:after="240"/>
      <w:outlineLvl w:val="0"/>
    </w:pPr>
    <w:rPr>
      <w:rFonts w:ascii="Times New Roman Bold" w:hAnsi="Times New Roman Bold"/>
      <w:b/>
      <w:caps/>
      <w:noProof/>
      <w:sz w:val="28"/>
      <w:lang w:val="lv-LV"/>
    </w:rPr>
  </w:style>
  <w:style w:type="paragraph" w:styleId="Heading2">
    <w:name w:val="heading 2"/>
    <w:basedOn w:val="Normal"/>
    <w:next w:val="Text2"/>
    <w:link w:val="Heading2Char"/>
    <w:uiPriority w:val="9"/>
    <w:qFormat/>
    <w:rsid w:val="00C80A52"/>
    <w:pPr>
      <w:keepNext/>
      <w:numPr>
        <w:ilvl w:val="1"/>
        <w:numId w:val="30"/>
      </w:numPr>
      <w:spacing w:before="240"/>
      <w:outlineLvl w:val="1"/>
    </w:pPr>
    <w:rPr>
      <w:b/>
    </w:rPr>
  </w:style>
  <w:style w:type="paragraph" w:styleId="Heading3">
    <w:name w:val="heading 3"/>
    <w:basedOn w:val="Normal"/>
    <w:next w:val="Text3"/>
    <w:link w:val="Heading3Char"/>
    <w:uiPriority w:val="9"/>
    <w:qFormat/>
    <w:rsid w:val="00F52765"/>
    <w:pPr>
      <w:keepNext/>
      <w:numPr>
        <w:ilvl w:val="2"/>
        <w:numId w:val="30"/>
      </w:numPr>
      <w:outlineLvl w:val="2"/>
    </w:pPr>
    <w:rPr>
      <w:b/>
      <w:i/>
    </w:rPr>
  </w:style>
  <w:style w:type="paragraph" w:styleId="Heading4">
    <w:name w:val="heading 4"/>
    <w:basedOn w:val="Normal"/>
    <w:next w:val="Text4"/>
    <w:uiPriority w:val="9"/>
    <w:qFormat/>
    <w:pPr>
      <w:keepNext/>
      <w:numPr>
        <w:ilvl w:val="3"/>
        <w:numId w:val="30"/>
      </w:numPr>
      <w:outlineLvl w:val="3"/>
    </w:pPr>
  </w:style>
  <w:style w:type="paragraph" w:styleId="Heading5">
    <w:name w:val="heading 5"/>
    <w:basedOn w:val="Normal"/>
    <w:next w:val="Normal"/>
    <w:uiPriority w:val="9"/>
    <w:semiHidden/>
    <w:qFormat/>
    <w:pPr>
      <w:keepNext/>
      <w:numPr>
        <w:ilvl w:val="4"/>
        <w:numId w:val="30"/>
      </w:numPr>
      <w:ind w:left="3600" w:hanging="360"/>
      <w:outlineLvl w:val="4"/>
    </w:pPr>
  </w:style>
  <w:style w:type="paragraph" w:styleId="Heading6">
    <w:name w:val="heading 6"/>
    <w:basedOn w:val="Normal"/>
    <w:next w:val="Normal"/>
    <w:uiPriority w:val="9"/>
    <w:semiHidden/>
    <w:qFormat/>
    <w:pPr>
      <w:keepNext/>
      <w:numPr>
        <w:ilvl w:val="5"/>
        <w:numId w:val="30"/>
      </w:numPr>
      <w:ind w:left="4320" w:hanging="360"/>
      <w:outlineLvl w:val="5"/>
    </w:pPr>
  </w:style>
  <w:style w:type="paragraph" w:styleId="Heading7">
    <w:name w:val="heading 7"/>
    <w:basedOn w:val="Normal"/>
    <w:next w:val="Normal"/>
    <w:uiPriority w:val="9"/>
    <w:semiHidden/>
    <w:qFormat/>
    <w:pPr>
      <w:keepNext/>
      <w:numPr>
        <w:ilvl w:val="6"/>
        <w:numId w:val="30"/>
      </w:numPr>
      <w:ind w:left="5040" w:hanging="360"/>
      <w:outlineLvl w:val="6"/>
    </w:pPr>
  </w:style>
  <w:style w:type="paragraph" w:styleId="Heading8">
    <w:name w:val="heading 8"/>
    <w:basedOn w:val="Normal"/>
    <w:next w:val="Normal"/>
    <w:semiHidden/>
    <w:pPr>
      <w:keepNext/>
      <w:numPr>
        <w:ilvl w:val="7"/>
        <w:numId w:val="30"/>
      </w:numPr>
      <w:ind w:left="5760" w:hanging="360"/>
      <w:outlineLvl w:val="7"/>
    </w:pPr>
  </w:style>
  <w:style w:type="paragraph" w:styleId="Heading9">
    <w:name w:val="heading 9"/>
    <w:basedOn w:val="Normal"/>
    <w:next w:val="Normal"/>
    <w:semiHidden/>
    <w:pPr>
      <w:keepNext/>
      <w:numPr>
        <w:ilvl w:val="8"/>
        <w:numId w:val="30"/>
      </w:numPr>
      <w:ind w:left="648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uiPriority w:val="1"/>
    <w:semiHidden/>
    <w:unhideWhenUsed/>
    <w:pPr>
      <w:keepNext/>
      <w:spacing w:before="0"/>
    </w:pPr>
    <w:rPr>
      <w:b/>
      <w:i/>
    </w:rPr>
  </w:style>
  <w:style w:type="paragraph" w:customStyle="1" w:styleId="TableTitle3">
    <w:name w:val="Table Title 3"/>
    <w:basedOn w:val="Text3"/>
    <w:uiPriority w:val="1"/>
    <w:semiHidden/>
    <w:unhideWhenUsed/>
    <w:pPr>
      <w:keepNext/>
      <w:spacing w:before="0"/>
    </w:pPr>
    <w:rPr>
      <w:b/>
      <w:i/>
    </w:rPr>
  </w:style>
  <w:style w:type="paragraph" w:customStyle="1" w:styleId="TableTitle2">
    <w:name w:val="Table Title 2"/>
    <w:basedOn w:val="Text2"/>
    <w:uiPriority w:val="1"/>
    <w:semiHidden/>
    <w:unhideWhenUsed/>
    <w:pPr>
      <w:keepNext/>
      <w:spacing w:before="0"/>
    </w:pPr>
    <w:rPr>
      <w:b/>
      <w:i/>
    </w:rPr>
  </w:style>
  <w:style w:type="paragraph" w:customStyle="1" w:styleId="TableTitle1">
    <w:name w:val="Table Title 1"/>
    <w:basedOn w:val="Text1"/>
    <w:uiPriority w:val="1"/>
    <w:semiHidden/>
    <w:unhideWhenUsed/>
    <w:pPr>
      <w:keepNext/>
      <w:spacing w:before="0"/>
    </w:pPr>
    <w:rPr>
      <w:b/>
      <w:i/>
    </w:rPr>
  </w:style>
  <w:style w:type="paragraph" w:customStyle="1" w:styleId="TableTitle">
    <w:name w:val="Table Title"/>
    <w:basedOn w:val="Normal"/>
    <w:uiPriority w:val="1"/>
    <w:semiHidden/>
    <w:unhideWhenUsed/>
    <w:pPr>
      <w:keepNext/>
      <w:spacing w:before="0"/>
    </w:pPr>
    <w:rPr>
      <w:b/>
      <w:i/>
    </w:rPr>
  </w:style>
  <w:style w:type="paragraph" w:customStyle="1" w:styleId="FigureSource4">
    <w:name w:val="Figure Source 4"/>
    <w:basedOn w:val="Text4"/>
    <w:next w:val="Text4"/>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Body4">
    <w:name w:val="Figure Body 4"/>
    <w:basedOn w:val="Text4"/>
    <w:next w:val="FigureSource4"/>
    <w:uiPriority w:val="2"/>
    <w:pPr>
      <w:keepNext/>
    </w:pPr>
  </w:style>
  <w:style w:type="paragraph" w:customStyle="1" w:styleId="FigureBody3">
    <w:name w:val="Figure Body 3"/>
    <w:basedOn w:val="Text3"/>
    <w:next w:val="FigureSource3"/>
    <w:uiPriority w:val="2"/>
    <w:pPr>
      <w:keepNext/>
    </w:pPr>
  </w:style>
  <w:style w:type="paragraph" w:customStyle="1" w:styleId="FigureBody2">
    <w:name w:val="Figure Body 2"/>
    <w:basedOn w:val="Text2"/>
    <w:next w:val="FigureSource2"/>
    <w:uiPriority w:val="2"/>
    <w:pPr>
      <w:keepNext/>
    </w:pPr>
  </w:style>
  <w:style w:type="paragraph" w:customStyle="1" w:styleId="FigureBody1">
    <w:name w:val="Figure Body 1"/>
    <w:basedOn w:val="Text1"/>
    <w:next w:val="FigureSource1"/>
    <w:uiPriority w:val="2"/>
    <w:pPr>
      <w:keepNext/>
    </w:pPr>
  </w:style>
  <w:style w:type="paragraph" w:customStyle="1" w:styleId="FigureBody">
    <w:name w:val="Figure Body"/>
    <w:basedOn w:val="Normal"/>
    <w:next w:val="FigureSource"/>
    <w:uiPriority w:val="2"/>
    <w:pPr>
      <w:keepNext/>
    </w:pPr>
  </w:style>
  <w:style w:type="paragraph" w:customStyle="1" w:styleId="FigureTitle4">
    <w:name w:val="Figure Title 4"/>
    <w:basedOn w:val="Text4"/>
    <w:next w:val="FigureBody4"/>
    <w:uiPriority w:val="2"/>
    <w:pPr>
      <w:keepNext/>
      <w:spacing w:before="0"/>
    </w:pPr>
    <w:rPr>
      <w:b/>
      <w:i/>
    </w:rPr>
  </w:style>
  <w:style w:type="paragraph" w:customStyle="1" w:styleId="FigureTitle3">
    <w:name w:val="Figure Title 3"/>
    <w:basedOn w:val="Text3"/>
    <w:next w:val="FigureBody3"/>
    <w:uiPriority w:val="2"/>
    <w:pPr>
      <w:keepNext/>
      <w:spacing w:before="0"/>
    </w:pPr>
    <w:rPr>
      <w:b/>
      <w:i/>
    </w:rPr>
  </w:style>
  <w:style w:type="paragraph" w:customStyle="1" w:styleId="FigureTitle2">
    <w:name w:val="Figure Title 2"/>
    <w:basedOn w:val="Text2"/>
    <w:next w:val="FigureBody2"/>
    <w:uiPriority w:val="2"/>
    <w:pPr>
      <w:keepNext/>
      <w:spacing w:before="0"/>
    </w:pPr>
    <w:rPr>
      <w:b/>
      <w:i/>
    </w:rPr>
  </w:style>
  <w:style w:type="paragraph" w:customStyle="1" w:styleId="FigureTitle1">
    <w:name w:val="Figure Title 1"/>
    <w:basedOn w:val="Text1"/>
    <w:next w:val="FigureBody1"/>
    <w:uiPriority w:val="2"/>
    <w:pPr>
      <w:keepNext/>
      <w:spacing w:before="0"/>
    </w:pPr>
    <w:rPr>
      <w:b/>
      <w:i/>
    </w:rPr>
  </w:style>
  <w:style w:type="paragraph" w:customStyle="1" w:styleId="FigureTitle">
    <w:name w:val="Figure Title"/>
    <w:basedOn w:val="Normal"/>
    <w:next w:val="FigureBody"/>
    <w:uiPriority w:val="2"/>
    <w:pPr>
      <w:keepNext/>
      <w:spacing w:before="0"/>
    </w:pPr>
    <w:rPr>
      <w:b/>
      <w:i/>
    </w:rPr>
  </w:style>
  <w:style w:type="paragraph" w:customStyle="1" w:styleId="HistTableHeading">
    <w:name w:val="HistTableHeading"/>
    <w:basedOn w:val="Normal"/>
    <w:next w:val="HistoryTable"/>
    <w:uiPriority w:val="2"/>
    <w:pPr>
      <w:spacing w:before="240" w:after="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rsid w:val="00C8441F"/>
    <w:pPr>
      <w:spacing w:before="6000"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rsid w:val="00F4701D"/>
    <w:pPr>
      <w:keepNext/>
      <w:pageBreakBefore/>
      <w:spacing w:before="480" w:after="24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EmptyParagraph">
    <w:name w:val="Empty Paragraph"/>
    <w:basedOn w:val="Normal"/>
    <w:next w:val="Normal"/>
    <w:semiHidden/>
    <w:pPr>
      <w:spacing w:before="240"/>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qFormat/>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s,Schriftart: 9 pt,Schriftart: 10 pt,Schriftart: 8 pt,WB-Fußnotentext,fn,Footnote ak,Footnote Text Char1 Char,Footnote Text Char Char Char,Footnote Text Char1 Char Char Char,Footnote Text Char Char Char Char Char,C,Footnote Char,ft"/>
    <w:basedOn w:val="Normal"/>
    <w:link w:val="FootnoteTextChar"/>
    <w:uiPriority w:val="99"/>
    <w:unhideWhenUsed/>
    <w:qFormat/>
    <w:pPr>
      <w:spacing w:before="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18"/>
      </w:numPr>
      <w:spacing w:before="0" w:after="480"/>
      <w:outlineLvl w:val="0"/>
    </w:pPr>
    <w:rPr>
      <w:b/>
      <w:sz w:val="32"/>
    </w:rPr>
  </w:style>
  <w:style w:type="paragraph" w:styleId="TOCHeading">
    <w:name w:val="TOC Heading"/>
    <w:basedOn w:val="Normal"/>
    <w:next w:val="Normal"/>
    <w:uiPriority w:val="39"/>
    <w:qFormat/>
    <w:pPr>
      <w:spacing w:before="240" w:after="240"/>
      <w:jc w:val="center"/>
    </w:pPr>
    <w:rPr>
      <w:rFonts w:ascii="Times New Roman Bold" w:hAnsi="Times New Roman Bold"/>
      <w:b/>
      <w:caps/>
    </w:rPr>
  </w:style>
  <w:style w:type="paragraph" w:styleId="TOC1">
    <w:name w:val="toc 1"/>
    <w:basedOn w:val="Normal"/>
    <w:next w:val="Normal"/>
    <w:uiPriority w:val="39"/>
    <w:pPr>
      <w:tabs>
        <w:tab w:val="right" w:leader="dot" w:pos="8640"/>
      </w:tabs>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0"/>
      </w:tabs>
      <w:spacing w:before="60" w:after="60"/>
      <w:ind w:left="2880" w:right="720" w:hanging="964"/>
    </w:pPr>
    <w:rPr>
      <w:noProof/>
    </w:rPr>
  </w:style>
  <w:style w:type="paragraph" w:styleId="TOC5">
    <w:name w:val="toc 5"/>
    <w:basedOn w:val="Normal"/>
    <w:next w:val="Normal"/>
    <w:uiPriority w:val="39"/>
    <w:pPr>
      <w:tabs>
        <w:tab w:val="right" w:leader="dot" w:pos="8640"/>
      </w:tabs>
      <w:spacing w:before="240"/>
      <w:ind w:right="720"/>
    </w:pPr>
    <w:rPr>
      <w:caps/>
    </w:rPr>
  </w:style>
  <w:style w:type="paragraph" w:styleId="TOC6">
    <w:name w:val="toc 6"/>
    <w:basedOn w:val="Normal"/>
    <w:next w:val="Normal"/>
    <w:uiPriority w:val="39"/>
    <w:pPr>
      <w:tabs>
        <w:tab w:val="right" w:leader="dot" w:pos="8640"/>
        <w:tab w:val="left" w:pos="2880"/>
      </w:tabs>
      <w:ind w:left="1916" w:right="720" w:hanging="1916"/>
    </w:pPr>
    <w:rPr>
      <w:caps/>
    </w:rPr>
  </w:style>
  <w:style w:type="paragraph" w:styleId="TOC7">
    <w:name w:val="toc 7"/>
    <w:basedOn w:val="Normal"/>
    <w:next w:val="Normal"/>
    <w:uiPriority w:val="39"/>
    <w:pPr>
      <w:tabs>
        <w:tab w:val="right" w:leader="dot" w:pos="8640"/>
      </w:tabs>
    </w:pPr>
  </w:style>
  <w:style w:type="paragraph" w:styleId="TOC8">
    <w:name w:val="toc 8"/>
    <w:basedOn w:val="Normal"/>
    <w:next w:val="Normal"/>
    <w:uiPriority w:val="39"/>
    <w:pPr>
      <w:tabs>
        <w:tab w:val="right" w:leader="dot" w:pos="8640"/>
      </w:tabs>
    </w:pPr>
  </w:style>
  <w:style w:type="paragraph" w:styleId="TOC9">
    <w:name w:val="toc 9"/>
    <w:basedOn w:val="Normal"/>
    <w:next w:val="Normal"/>
    <w:uiPriority w:val="39"/>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TableListBullet">
    <w:name w:val="Table List Bullet"/>
    <w:basedOn w:val="TableText"/>
    <w:uiPriority w:val="1"/>
    <w:pPr>
      <w:numPr>
        <w:numId w:val="19"/>
      </w:numPr>
    </w:pPr>
  </w:style>
  <w:style w:type="paragraph" w:customStyle="1" w:styleId="TableListBulletLevel2">
    <w:name w:val="Table List Bullet (Level 2)"/>
    <w:basedOn w:val="TableText"/>
    <w:uiPriority w:val="1"/>
    <w:pPr>
      <w:numPr>
        <w:ilvl w:val="1"/>
        <w:numId w:val="19"/>
      </w:numPr>
    </w:pPr>
  </w:style>
  <w:style w:type="paragraph" w:customStyle="1" w:styleId="TableListBulletLevel3">
    <w:name w:val="Table List Bullet (Level 3)"/>
    <w:basedOn w:val="TableText"/>
    <w:uiPriority w:val="1"/>
    <w:semiHidden/>
    <w:unhideWhenUsed/>
    <w:pPr>
      <w:numPr>
        <w:ilvl w:val="2"/>
        <w:numId w:val="19"/>
      </w:numPr>
    </w:pPr>
  </w:style>
  <w:style w:type="paragraph" w:customStyle="1" w:styleId="TableListBulletLevel4">
    <w:name w:val="Table List Bullet (Level 4)"/>
    <w:basedOn w:val="TableText"/>
    <w:uiPriority w:val="1"/>
    <w:semiHidden/>
    <w:unhideWhenUsed/>
    <w:pPr>
      <w:numPr>
        <w:ilvl w:val="3"/>
        <w:numId w:val="19"/>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customStyle="1" w:styleId="TableListDash">
    <w:name w:val="Table List Dash"/>
    <w:basedOn w:val="TableText"/>
    <w:uiPriority w:val="1"/>
    <w:pPr>
      <w:numPr>
        <w:numId w:val="20"/>
      </w:numPr>
    </w:pPr>
  </w:style>
  <w:style w:type="paragraph" w:customStyle="1" w:styleId="TableListDashLevel2">
    <w:name w:val="Table List Dash (Level 2)"/>
    <w:basedOn w:val="TableText"/>
    <w:uiPriority w:val="1"/>
    <w:pPr>
      <w:numPr>
        <w:ilvl w:val="1"/>
        <w:numId w:val="20"/>
      </w:numPr>
    </w:pPr>
  </w:style>
  <w:style w:type="paragraph" w:customStyle="1" w:styleId="TableListDashLevel3">
    <w:name w:val="Table List Dash (Level 3)"/>
    <w:basedOn w:val="TableText"/>
    <w:uiPriority w:val="1"/>
    <w:semiHidden/>
    <w:unhideWhenUsed/>
    <w:pPr>
      <w:numPr>
        <w:ilvl w:val="2"/>
        <w:numId w:val="20"/>
      </w:numPr>
    </w:pPr>
  </w:style>
  <w:style w:type="paragraph" w:customStyle="1" w:styleId="TableListDashLevel4">
    <w:name w:val="Table List Dash (Level 4)"/>
    <w:basedOn w:val="TableText"/>
    <w:uiPriority w:val="1"/>
    <w:semiHidden/>
    <w:unhideWhenUsed/>
    <w:pPr>
      <w:numPr>
        <w:ilvl w:val="3"/>
        <w:numId w:val="20"/>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TableListNumber">
    <w:name w:val="Table List Number"/>
    <w:basedOn w:val="TableText"/>
    <w:uiPriority w:val="1"/>
    <w:pPr>
      <w:numPr>
        <w:numId w:val="21"/>
      </w:numPr>
    </w:pPr>
  </w:style>
  <w:style w:type="paragraph" w:customStyle="1" w:styleId="TableListNumberLevel2">
    <w:name w:val="Table List Number (Level 2)"/>
    <w:basedOn w:val="TableText"/>
    <w:uiPriority w:val="1"/>
    <w:pPr>
      <w:numPr>
        <w:ilvl w:val="1"/>
        <w:numId w:val="21"/>
      </w:numPr>
    </w:pPr>
  </w:style>
  <w:style w:type="paragraph" w:customStyle="1" w:styleId="TableListNumberLevel3">
    <w:name w:val="Table List Number (Level 3)"/>
    <w:basedOn w:val="TableText"/>
    <w:uiPriority w:val="1"/>
    <w:semiHidden/>
    <w:unhideWhenUsed/>
    <w:pPr>
      <w:numPr>
        <w:ilvl w:val="2"/>
        <w:numId w:val="21"/>
      </w:numPr>
    </w:pPr>
  </w:style>
  <w:style w:type="paragraph" w:customStyle="1" w:styleId="TableListNumberLevel4">
    <w:name w:val="Table List Number (Level 4)"/>
    <w:basedOn w:val="TableText"/>
    <w:uiPriority w:val="1"/>
    <w:semiHidden/>
    <w:unhideWhenUsed/>
    <w:pPr>
      <w:numPr>
        <w:ilvl w:val="3"/>
        <w:numId w:val="21"/>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6"/>
      </w:numPr>
      <w:spacing w:line="360" w:lineRule="auto"/>
    </w:pPr>
  </w:style>
  <w:style w:type="paragraph" w:customStyle="1" w:styleId="LegalNumPar2">
    <w:name w:val="LegalNumPar2"/>
    <w:basedOn w:val="Normal"/>
    <w:uiPriority w:val="1"/>
    <w:pPr>
      <w:numPr>
        <w:ilvl w:val="1"/>
        <w:numId w:val="16"/>
      </w:numPr>
      <w:spacing w:line="360" w:lineRule="auto"/>
    </w:pPr>
  </w:style>
  <w:style w:type="paragraph" w:customStyle="1" w:styleId="LegalNumPar3">
    <w:name w:val="LegalNumPar3"/>
    <w:basedOn w:val="Normal"/>
    <w:uiPriority w:val="1"/>
    <w:pPr>
      <w:numPr>
        <w:ilvl w:val="2"/>
        <w:numId w:val="16"/>
      </w:numPr>
      <w:spacing w:line="360" w:lineRule="auto"/>
    </w:pPr>
  </w:style>
  <w:style w:type="paragraph" w:customStyle="1" w:styleId="ContNum">
    <w:name w:val="ContNum"/>
    <w:basedOn w:val="Normal"/>
    <w:uiPriority w:val="1"/>
    <w:qFormat/>
    <w:pPr>
      <w:numPr>
        <w:numId w:val="17"/>
      </w:numPr>
    </w:pPr>
  </w:style>
  <w:style w:type="paragraph" w:customStyle="1" w:styleId="ContNumLevel2">
    <w:name w:val="ContNum (Level 2)"/>
    <w:basedOn w:val="Normal"/>
    <w:uiPriority w:val="1"/>
    <w:pPr>
      <w:numPr>
        <w:ilvl w:val="1"/>
        <w:numId w:val="17"/>
      </w:numPr>
    </w:pPr>
  </w:style>
  <w:style w:type="paragraph" w:customStyle="1" w:styleId="ContNumLevel3">
    <w:name w:val="ContNum (Level 3)"/>
    <w:basedOn w:val="Normal"/>
    <w:uiPriority w:val="1"/>
    <w:pPr>
      <w:numPr>
        <w:ilvl w:val="2"/>
        <w:numId w:val="17"/>
      </w:numPr>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LightOlive">
    <w:name w:val="Eurolook Light Oliv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
    <w:name w:val="Eurolook Light Blu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ClassicPetrol">
    <w:name w:val="Eurolook Classic Petrol"/>
    <w:basedOn w:val="EurolookClassicBlue"/>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EurolookClassicBlue"/>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EurolookClassicBlue"/>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Olive">
    <w:name w:val="Eurolook Classic Olive"/>
    <w:basedOn w:val="EurolookClassicBlue"/>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Grey">
    <w:name w:val="Eurolook Classic Grey"/>
    <w:basedOn w:val="EurolookClassicBlue"/>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Blue">
    <w:name w:val="Eurolook Classic Blue"/>
    <w:basedOn w:val="TableNormal"/>
    <w:pPr>
      <w:spacing w:after="240"/>
    </w:pPr>
    <w:tblPr>
      <w:tblStyleRowBandSize w:val="1"/>
      <w:tblStyleColBandSize w:val="1"/>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1">
    <w:name w:val="Eurolook Classic Grey 1"/>
    <w:basedOn w:val="EurolookClassicBlue"/>
    <w:semiHidden/>
    <w:unhideWhenUsed/>
    <w:tblPr>
      <w:tblInd w:w="48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1">
    <w:name w:val="Eurolook Classic Olive 1"/>
    <w:basedOn w:val="EurolookClassicBlue"/>
    <w:semiHidden/>
    <w:unhideWhenUsed/>
    <w:tblPr>
      <w:tblInd w:w="48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Rust1">
    <w:name w:val="Eurolook Classic Rust 1"/>
    <w:basedOn w:val="EurolookClassicBlue"/>
    <w:semiHidden/>
    <w:unhideWhenUsed/>
    <w:tblPr>
      <w:tblInd w:w="48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Purple1">
    <w:name w:val="Eurolook Classic Purple 1"/>
    <w:basedOn w:val="EurolookClassicBlue"/>
    <w:semiHidden/>
    <w:unhideWhenUsed/>
    <w:tblPr>
      <w:tblInd w:w="48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etrol1">
    <w:name w:val="Eurolook Classic Petrol 1"/>
    <w:basedOn w:val="EurolookClassicBlue"/>
    <w:semiHidden/>
    <w:unhideWhenUsed/>
    <w:tblPr>
      <w:tblInd w:w="48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LightBlue1">
    <w:name w:val="Eurolook Light Blu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paragraph" w:styleId="ListParagraph">
    <w:name w:val="List Paragraph"/>
    <w:aliases w:val="Task Body,Viñetas (Inicio Parrafo),3 Txt tabla,Zerrenda-paragrafoa,Lista multicolor - Énfasis 11,Fiche List Paragraph,List Paragraph compact,Dot pt,F5 List Paragraph,List Paragraph1,No Spacing1,List Paragraph Char Char Char,Indicator Text"/>
    <w:basedOn w:val="Normal"/>
    <w:link w:val="ListParagraphChar"/>
    <w:uiPriority w:val="34"/>
    <w:qFormat/>
    <w:locked/>
    <w:rsid w:val="00E22D8A"/>
    <w:pPr>
      <w:spacing w:before="60" w:after="0"/>
      <w:ind w:left="720"/>
    </w:pPr>
    <w:rPr>
      <w:rFonts w:eastAsiaTheme="minorHAnsi" w:cs="Calibri"/>
      <w:sz w:val="22"/>
      <w:szCs w:val="22"/>
      <w:lang w:eastAsia="en-US"/>
    </w:rPr>
  </w:style>
  <w:style w:type="character" w:customStyle="1" w:styleId="FootnoteTextChar">
    <w:name w:val="Footnote Text Char"/>
    <w:aliases w:val="Footnotes Char,Schriftart: 9 pt Char,Schriftart: 10 pt Char,Schriftart: 8 pt Char,WB-Fußnotentext Char,fn Char,Footnote ak Char,Footnote Text Char1 Char Char,Footnote Text Char Char Char Char,Footnote Text Char1 Char Char Char Char"/>
    <w:basedOn w:val="DefaultParagraphFont"/>
    <w:link w:val="FootnoteText"/>
    <w:uiPriority w:val="99"/>
    <w:qFormat/>
    <w:rsid w:val="00E22D8A"/>
    <w:rPr>
      <w:sz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basedOn w:val="DefaultParagraphFont"/>
    <w:link w:val="CharCharChar"/>
    <w:uiPriority w:val="99"/>
    <w:unhideWhenUsed/>
    <w:qFormat/>
    <w:locked/>
    <w:rsid w:val="00E22D8A"/>
    <w:rPr>
      <w:vertAlign w:val="superscript"/>
    </w:rPr>
  </w:style>
  <w:style w:type="character" w:customStyle="1" w:styleId="ListParagraphChar">
    <w:name w:val="List Paragraph Char"/>
    <w:aliases w:val="Task Body Char,Viñetas (Inicio Parrafo) Char,3 Txt tabla Char,Zerrenda-paragrafoa Char,Lista multicolor - Énfasis 11 Char,Fiche List Paragraph Char,List Paragraph compact Char,Dot pt Char,F5 List Paragraph Char,List Paragraph1 Char"/>
    <w:basedOn w:val="DefaultParagraphFont"/>
    <w:link w:val="ListParagraph"/>
    <w:uiPriority w:val="34"/>
    <w:qFormat/>
    <w:locked/>
    <w:rsid w:val="00E22D8A"/>
    <w:rPr>
      <w:rFonts w:eastAsiaTheme="minorHAnsi" w:cs="Calibri"/>
      <w:sz w:val="22"/>
      <w:szCs w:val="22"/>
      <w:lang w:eastAsia="en-US"/>
    </w:rPr>
  </w:style>
  <w:style w:type="paragraph" w:customStyle="1" w:styleId="Bulletpoint">
    <w:name w:val="Bullet point"/>
    <w:basedOn w:val="NumPar1"/>
    <w:uiPriority w:val="1"/>
    <w:qFormat/>
    <w:rsid w:val="00E36FB6"/>
    <w:pPr>
      <w:numPr>
        <w:numId w:val="22"/>
      </w:numPr>
      <w:spacing w:after="0"/>
      <w:ind w:left="567" w:hanging="567"/>
    </w:pPr>
    <w:rPr>
      <w:rFonts w:ascii="Times New Roman" w:hAnsi="Times New Roman"/>
      <w:caps w:val="0"/>
      <w:smallCaps w:val="0"/>
      <w:sz w:val="24"/>
      <w:lang w:val="en-IE"/>
    </w:rPr>
  </w:style>
  <w:style w:type="table" w:styleId="TableGrid">
    <w:name w:val="Table Grid"/>
    <w:basedOn w:val="TableNormal"/>
    <w:uiPriority w:val="39"/>
    <w:locked/>
    <w:rsid w:val="00D02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4AB2"/>
    <w:rPr>
      <w:sz w:val="16"/>
    </w:rPr>
  </w:style>
  <w:style w:type="character" w:styleId="Hyperlink">
    <w:name w:val="Hyperlink"/>
    <w:basedOn w:val="DefaultParagraphFont"/>
    <w:uiPriority w:val="99"/>
    <w:unhideWhenUsed/>
    <w:locked/>
    <w:rsid w:val="00D741FD"/>
    <w:rPr>
      <w:color w:val="0563C1" w:themeColor="hyperlink"/>
      <w:u w:val="single"/>
    </w:rPr>
  </w:style>
  <w:style w:type="character" w:styleId="CommentReference">
    <w:name w:val="annotation reference"/>
    <w:basedOn w:val="DefaultParagraphFont"/>
    <w:semiHidden/>
    <w:locked/>
    <w:rsid w:val="00B079CB"/>
    <w:rPr>
      <w:sz w:val="16"/>
      <w:szCs w:val="16"/>
    </w:rPr>
  </w:style>
  <w:style w:type="paragraph" w:styleId="CommentText">
    <w:name w:val="annotation text"/>
    <w:basedOn w:val="Normal"/>
    <w:link w:val="CommentTextChar"/>
    <w:locked/>
    <w:rsid w:val="00B079CB"/>
    <w:rPr>
      <w:sz w:val="20"/>
    </w:rPr>
  </w:style>
  <w:style w:type="character" w:customStyle="1" w:styleId="CommentTextChar">
    <w:name w:val="Comment Text Char"/>
    <w:basedOn w:val="DefaultParagraphFont"/>
    <w:link w:val="CommentText"/>
    <w:rsid w:val="00B079CB"/>
    <w:rPr>
      <w:sz w:val="20"/>
    </w:rPr>
  </w:style>
  <w:style w:type="paragraph" w:styleId="CommentSubject">
    <w:name w:val="annotation subject"/>
    <w:basedOn w:val="CommentText"/>
    <w:next w:val="CommentText"/>
    <w:link w:val="CommentSubjectChar"/>
    <w:uiPriority w:val="99"/>
    <w:semiHidden/>
    <w:locked/>
    <w:rsid w:val="00B079CB"/>
    <w:rPr>
      <w:b/>
      <w:bCs/>
    </w:rPr>
  </w:style>
  <w:style w:type="character" w:customStyle="1" w:styleId="CommentSubjectChar">
    <w:name w:val="Comment Subject Char"/>
    <w:basedOn w:val="CommentTextChar"/>
    <w:link w:val="CommentSubject"/>
    <w:uiPriority w:val="99"/>
    <w:semiHidden/>
    <w:rsid w:val="00B079CB"/>
    <w:rPr>
      <w:b/>
      <w:bCs/>
      <w:sz w:val="20"/>
    </w:rPr>
  </w:style>
  <w:style w:type="paragraph" w:styleId="BalloonText">
    <w:name w:val="Balloon Text"/>
    <w:basedOn w:val="Normal"/>
    <w:link w:val="BalloonTextChar"/>
    <w:semiHidden/>
    <w:locked/>
    <w:rsid w:val="00B079CB"/>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B079CB"/>
    <w:rPr>
      <w:rFonts w:ascii="Segoe UI" w:hAnsi="Segoe UI" w:cs="Segoe UI"/>
      <w:sz w:val="18"/>
      <w:szCs w:val="18"/>
    </w:rPr>
  </w:style>
  <w:style w:type="character" w:customStyle="1" w:styleId="eop">
    <w:name w:val="eop"/>
    <w:basedOn w:val="DefaultParagraphFont"/>
    <w:rsid w:val="00953A4D"/>
  </w:style>
  <w:style w:type="character" w:customStyle="1" w:styleId="normaltextrun">
    <w:name w:val="normaltextrun"/>
    <w:basedOn w:val="DefaultParagraphFont"/>
    <w:rsid w:val="00670D5A"/>
  </w:style>
  <w:style w:type="paragraph" w:styleId="NormalWeb">
    <w:name w:val="Normal (Web)"/>
    <w:basedOn w:val="Normal"/>
    <w:uiPriority w:val="99"/>
    <w:unhideWhenUsed/>
    <w:locked/>
    <w:rsid w:val="00C1414F"/>
    <w:pPr>
      <w:spacing w:before="100" w:beforeAutospacing="1" w:after="100" w:afterAutospacing="1"/>
      <w:jc w:val="left"/>
    </w:pPr>
    <w:rPr>
      <w:szCs w:val="24"/>
    </w:rPr>
  </w:style>
  <w:style w:type="paragraph" w:customStyle="1" w:styleId="Point0">
    <w:name w:val="Point 0"/>
    <w:basedOn w:val="Normal"/>
    <w:rsid w:val="007D4849"/>
    <w:pPr>
      <w:ind w:left="850" w:hanging="850"/>
    </w:pPr>
    <w:rPr>
      <w:rFonts w:eastAsiaTheme="minorHAnsi"/>
      <w:szCs w:val="22"/>
      <w:lang w:eastAsia="en-US"/>
    </w:rPr>
  </w:style>
  <w:style w:type="paragraph" w:styleId="Revision">
    <w:name w:val="Revision"/>
    <w:hidden/>
    <w:uiPriority w:val="99"/>
    <w:semiHidden/>
    <w:locked/>
    <w:rsid w:val="00262404"/>
  </w:style>
  <w:style w:type="paragraph" w:customStyle="1" w:styleId="Default">
    <w:name w:val="Default"/>
    <w:rsid w:val="00A402A7"/>
    <w:pPr>
      <w:autoSpaceDE w:val="0"/>
      <w:autoSpaceDN w:val="0"/>
      <w:adjustRightInd w:val="0"/>
    </w:pPr>
    <w:rPr>
      <w:color w:val="000000"/>
      <w:szCs w:val="24"/>
      <w:lang w:val="en-IE"/>
    </w:rPr>
  </w:style>
  <w:style w:type="paragraph" w:customStyle="1" w:styleId="JRCTextbulletedlist2">
    <w:name w:val="JRC_Text_bulleted_list2"/>
    <w:basedOn w:val="Normal"/>
    <w:qFormat/>
    <w:rsid w:val="00277E92"/>
    <w:pPr>
      <w:numPr>
        <w:ilvl w:val="1"/>
        <w:numId w:val="25"/>
      </w:numPr>
    </w:pPr>
    <w:rPr>
      <w:rFonts w:ascii="EC Square Sans Pro" w:eastAsiaTheme="majorEastAsia" w:hAnsi="EC Square Sans Pro" w:cs="Calibri"/>
      <w:sz w:val="20"/>
      <w:szCs w:val="22"/>
    </w:rPr>
  </w:style>
  <w:style w:type="character" w:customStyle="1" w:styleId="Heading2Char">
    <w:name w:val="Heading 2 Char"/>
    <w:basedOn w:val="DefaultParagraphFont"/>
    <w:link w:val="Heading2"/>
    <w:uiPriority w:val="9"/>
    <w:rsid w:val="00776DCE"/>
    <w:rPr>
      <w:b/>
    </w:rPr>
  </w:style>
  <w:style w:type="character" w:customStyle="1" w:styleId="Heading1Char">
    <w:name w:val="Heading 1 Char"/>
    <w:basedOn w:val="DefaultParagraphFont"/>
    <w:link w:val="Heading1"/>
    <w:uiPriority w:val="9"/>
    <w:rsid w:val="00B52E9B"/>
    <w:rPr>
      <w:rFonts w:ascii="Times New Roman Bold" w:hAnsi="Times New Roman Bold"/>
      <w:b/>
      <w:caps/>
      <w:noProof/>
      <w:sz w:val="28"/>
      <w:lang w:val="lv-LV"/>
    </w:rPr>
  </w:style>
  <w:style w:type="character" w:customStyle="1" w:styleId="BoldItalic">
    <w:name w:val="BoldItalic"/>
    <w:basedOn w:val="DefaultParagraphFont"/>
    <w:uiPriority w:val="1"/>
    <w:qFormat/>
    <w:rsid w:val="00B937A4"/>
    <w:rPr>
      <w:rFonts w:ascii="Times New Roman" w:hAnsi="Times New Roman"/>
      <w:b/>
      <w:i/>
    </w:rPr>
  </w:style>
  <w:style w:type="paragraph" w:customStyle="1" w:styleId="paragraph">
    <w:name w:val="paragraph"/>
    <w:basedOn w:val="Normal"/>
    <w:rsid w:val="00114EAE"/>
    <w:pPr>
      <w:spacing w:before="100" w:beforeAutospacing="1" w:after="100" w:afterAutospacing="1"/>
      <w:jc w:val="left"/>
    </w:pPr>
    <w:rPr>
      <w:rFonts w:eastAsiaTheme="minorHAnsi"/>
      <w:szCs w:val="24"/>
      <w:lang w:val="en-US" w:eastAsia="en-US"/>
    </w:rPr>
  </w:style>
  <w:style w:type="paragraph" w:customStyle="1" w:styleId="CharCharChar">
    <w:name w:val="Char Char Char"/>
    <w:basedOn w:val="Normal"/>
    <w:link w:val="FootnoteReference"/>
    <w:uiPriority w:val="99"/>
    <w:rsid w:val="00BD6C0B"/>
    <w:pPr>
      <w:spacing w:before="0" w:after="160" w:line="240" w:lineRule="exact"/>
      <w:jc w:val="left"/>
    </w:pPr>
    <w:rPr>
      <w:vertAlign w:val="superscript"/>
    </w:rPr>
  </w:style>
  <w:style w:type="paragraph" w:customStyle="1" w:styleId="CharCharCharChar">
    <w:name w:val="Char Char Char Char"/>
    <w:aliases w:val="Char2"/>
    <w:basedOn w:val="Normal"/>
    <w:next w:val="Normal"/>
    <w:uiPriority w:val="99"/>
    <w:qFormat/>
    <w:rsid w:val="00F20B6E"/>
    <w:pPr>
      <w:spacing w:before="0" w:after="160" w:line="240" w:lineRule="exact"/>
      <w:jc w:val="left"/>
      <w:textAlignment w:val="baseline"/>
    </w:pPr>
    <w:rPr>
      <w:rFonts w:eastAsiaTheme="minorHAnsi" w:cstheme="minorBidi"/>
      <w:szCs w:val="24"/>
      <w:vertAlign w:val="superscript"/>
      <w:lang w:val="lv-LV" w:eastAsia="en-US"/>
    </w:rPr>
  </w:style>
  <w:style w:type="character" w:styleId="UnresolvedMention">
    <w:name w:val="Unresolved Mention"/>
    <w:basedOn w:val="DefaultParagraphFont"/>
    <w:uiPriority w:val="99"/>
    <w:semiHidden/>
    <w:unhideWhenUsed/>
    <w:rsid w:val="00152751"/>
    <w:rPr>
      <w:color w:val="605E5C"/>
      <w:shd w:val="clear" w:color="auto" w:fill="E1DFDD"/>
    </w:rPr>
  </w:style>
  <w:style w:type="character" w:customStyle="1" w:styleId="superscript">
    <w:name w:val="superscript"/>
    <w:basedOn w:val="DefaultParagraphFont"/>
    <w:rsid w:val="00B57B17"/>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qFormat/>
    <w:rsid w:val="00B57B17"/>
    <w:pPr>
      <w:spacing w:before="0" w:after="160" w:line="240" w:lineRule="exact"/>
      <w:jc w:val="left"/>
    </w:pPr>
    <w:rPr>
      <w:rFonts w:asciiTheme="minorHAnsi" w:eastAsiaTheme="minorHAnsi" w:hAnsiTheme="minorHAnsi" w:cstheme="minorBidi"/>
      <w:sz w:val="22"/>
      <w:szCs w:val="22"/>
      <w:vertAlign w:val="superscript"/>
      <w:lang w:val="lv-LV" w:eastAsia="en-US"/>
    </w:rPr>
  </w:style>
  <w:style w:type="paragraph" w:customStyle="1" w:styleId="mt-translation">
    <w:name w:val="mt-translation"/>
    <w:basedOn w:val="Normal"/>
    <w:rsid w:val="005445A0"/>
    <w:pPr>
      <w:spacing w:before="100" w:beforeAutospacing="1" w:after="100" w:afterAutospacing="1"/>
      <w:jc w:val="left"/>
    </w:pPr>
    <w:rPr>
      <w:szCs w:val="24"/>
      <w:lang w:val="lv-LV" w:eastAsia="lv-LV"/>
    </w:rPr>
  </w:style>
  <w:style w:type="character" w:customStyle="1" w:styleId="phrase">
    <w:name w:val="phrase"/>
    <w:basedOn w:val="DefaultParagraphFont"/>
    <w:rsid w:val="005445A0"/>
  </w:style>
  <w:style w:type="character" w:customStyle="1" w:styleId="word">
    <w:name w:val="word"/>
    <w:basedOn w:val="DefaultParagraphFont"/>
    <w:rsid w:val="005445A0"/>
  </w:style>
  <w:style w:type="character" w:customStyle="1" w:styleId="Heading3Char">
    <w:name w:val="Heading 3 Char"/>
    <w:basedOn w:val="DefaultParagraphFont"/>
    <w:link w:val="Heading3"/>
    <w:uiPriority w:val="9"/>
    <w:rsid w:val="00F52765"/>
    <w:rPr>
      <w:b/>
      <w:i/>
    </w:rPr>
  </w:style>
  <w:style w:type="character" w:styleId="Strong">
    <w:name w:val="Strong"/>
    <w:basedOn w:val="DefaultParagraphFont"/>
    <w:uiPriority w:val="22"/>
    <w:qFormat/>
    <w:locked/>
    <w:rsid w:val="00C07B2A"/>
    <w:rPr>
      <w:b/>
      <w:bCs/>
    </w:rPr>
  </w:style>
  <w:style w:type="character" w:customStyle="1" w:styleId="fui-primitive">
    <w:name w:val="fui-primitive"/>
    <w:basedOn w:val="DefaultParagraphFont"/>
    <w:rsid w:val="00B36866"/>
  </w:style>
  <w:style w:type="character" w:customStyle="1" w:styleId="ui-provider">
    <w:name w:val="ui-provider"/>
    <w:basedOn w:val="DefaultParagraphFont"/>
    <w:rsid w:val="00B05A1E"/>
  </w:style>
  <w:style w:type="paragraph" w:customStyle="1" w:styleId="boldparagraphheader">
    <w:name w:val="bold_paragraph_header"/>
    <w:basedOn w:val="Normal"/>
    <w:next w:val="Normal"/>
    <w:rsid w:val="00CA3BF1"/>
    <w:pPr>
      <w:spacing w:before="0" w:after="0"/>
      <w:contextualSpacing/>
      <w:jc w:val="center"/>
    </w:pPr>
    <w:rPr>
      <w:b/>
      <w:color w:val="333333"/>
      <w:sz w:val="28"/>
      <w:lang w:val="lv-LV" w:eastAsia="lv-LV"/>
    </w:rPr>
  </w:style>
  <w:style w:type="character" w:styleId="Emphasis">
    <w:name w:val="Emphasis"/>
    <w:basedOn w:val="DefaultParagraphFont"/>
    <w:uiPriority w:val="20"/>
    <w:qFormat/>
    <w:locked/>
    <w:rsid w:val="00A80EB8"/>
    <w:rPr>
      <w:i/>
      <w:iCs/>
    </w:rPr>
  </w:style>
  <w:style w:type="paragraph" w:customStyle="1" w:styleId="pf0">
    <w:name w:val="pf0"/>
    <w:basedOn w:val="Normal"/>
    <w:rsid w:val="007A55AB"/>
    <w:pPr>
      <w:spacing w:before="100" w:beforeAutospacing="1" w:after="100" w:afterAutospacing="1"/>
      <w:ind w:firstLine="0"/>
      <w:jc w:val="left"/>
    </w:pPr>
    <w:rPr>
      <w:szCs w:val="24"/>
      <w:lang w:val="lv-LV" w:eastAsia="lv-LV"/>
    </w:rPr>
  </w:style>
  <w:style w:type="character" w:customStyle="1" w:styleId="cf01">
    <w:name w:val="cf01"/>
    <w:basedOn w:val="DefaultParagraphFont"/>
    <w:rsid w:val="007A55AB"/>
    <w:rPr>
      <w:rFonts w:ascii="Segoe UI" w:hAnsi="Segoe UI" w:cs="Segoe UI" w:hint="default"/>
      <w:sz w:val="18"/>
      <w:szCs w:val="18"/>
    </w:rPr>
  </w:style>
  <w:style w:type="paragraph" w:customStyle="1" w:styleId="pf1">
    <w:name w:val="pf1"/>
    <w:basedOn w:val="Normal"/>
    <w:rsid w:val="007A55AB"/>
    <w:pPr>
      <w:spacing w:before="100" w:beforeAutospacing="1" w:after="100" w:afterAutospacing="1"/>
      <w:ind w:firstLine="0"/>
      <w:jc w:val="left"/>
    </w:pPr>
    <w:rPr>
      <w:szCs w:val="24"/>
      <w:lang w:val="lv-LV" w:eastAsia="lv-LV"/>
    </w:rPr>
  </w:style>
  <w:style w:type="character" w:customStyle="1" w:styleId="cf11">
    <w:name w:val="cf11"/>
    <w:basedOn w:val="DefaultParagraphFont"/>
    <w:rsid w:val="007A55AB"/>
    <w:rPr>
      <w:rFonts w:ascii="Segoe UI" w:hAnsi="Segoe UI" w:cs="Segoe UI" w:hint="default"/>
      <w:sz w:val="18"/>
      <w:szCs w:val="18"/>
    </w:rPr>
  </w:style>
  <w:style w:type="character" w:styleId="Mention">
    <w:name w:val="Mention"/>
    <w:basedOn w:val="DefaultParagraphFont"/>
    <w:uiPriority w:val="99"/>
    <w:unhideWhenUsed/>
    <w:rsid w:val="00907C9D"/>
    <w:rPr>
      <w:color w:val="2B579A"/>
      <w:shd w:val="clear" w:color="auto" w:fill="E1DFDD"/>
    </w:rPr>
  </w:style>
  <w:style w:type="character" w:customStyle="1" w:styleId="rynqvb">
    <w:name w:val="rynqvb"/>
    <w:basedOn w:val="DefaultParagraphFont"/>
    <w:rsid w:val="00353104"/>
  </w:style>
  <w:style w:type="character" w:customStyle="1" w:styleId="hwtze">
    <w:name w:val="hwtze"/>
    <w:basedOn w:val="DefaultParagraphFont"/>
    <w:rsid w:val="00353104"/>
  </w:style>
  <w:style w:type="paragraph" w:customStyle="1" w:styleId="western">
    <w:name w:val="western"/>
    <w:basedOn w:val="Normal"/>
    <w:rsid w:val="00EF565A"/>
    <w:pPr>
      <w:spacing w:before="100" w:beforeAutospacing="1" w:after="100" w:afterAutospacing="1"/>
      <w:ind w:firstLine="0"/>
      <w:jc w:val="left"/>
    </w:pPr>
    <w:rPr>
      <w:szCs w:val="24"/>
      <w:lang w:val="lv-LV" w:eastAsia="lv-LV"/>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DC0903"/>
    <w:pPr>
      <w:spacing w:before="0" w:after="160" w:line="240" w:lineRule="exact"/>
      <w:ind w:firstLine="0"/>
    </w:pPr>
    <w:rPr>
      <w:rFonts w:asciiTheme="minorHAnsi" w:eastAsiaTheme="minorHAnsi" w:hAnsiTheme="minorHAnsi" w:cstheme="minorBidi"/>
      <w:sz w:val="22"/>
      <w:szCs w:val="22"/>
      <w:vertAlign w:val="superscript"/>
      <w:lang w:val="lv-LV" w:eastAsia="en-US"/>
    </w:rPr>
  </w:style>
  <w:style w:type="table" w:customStyle="1" w:styleId="TableGrid1">
    <w:name w:val="Table Grid1"/>
    <w:basedOn w:val="TableNormal"/>
    <w:next w:val="TableGrid"/>
    <w:uiPriority w:val="39"/>
    <w:rsid w:val="000E5A2A"/>
    <w:pPr>
      <w:spacing w:before="100"/>
    </w:pPr>
    <w:rPr>
      <w:rFonts w:asciiTheme="minorHAnsi" w:eastAsiaTheme="minorEastAsia" w:hAnsiTheme="minorHAnsi" w:cstheme="minorBidi"/>
      <w:sz w:val="20"/>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locked/>
    <w:rsid w:val="002F6E43"/>
    <w:rPr>
      <w:color w:val="954F72" w:themeColor="followedHyperlink"/>
      <w:u w:val="single"/>
    </w:rPr>
  </w:style>
  <w:style w:type="paragraph" w:styleId="PlainText">
    <w:name w:val="Plain Text"/>
    <w:basedOn w:val="Normal"/>
    <w:link w:val="PlainTextChar"/>
    <w:uiPriority w:val="99"/>
    <w:unhideWhenUsed/>
    <w:locked/>
    <w:rsid w:val="002A5AD9"/>
    <w:pPr>
      <w:spacing w:before="0" w:after="0"/>
      <w:ind w:firstLine="0"/>
      <w:jc w:val="left"/>
    </w:pPr>
    <w:rPr>
      <w:rFonts w:ascii="Consolas" w:eastAsiaTheme="minorHAnsi" w:hAnsi="Consolas" w:cstheme="minorBidi"/>
      <w:sz w:val="21"/>
      <w:szCs w:val="21"/>
      <w:lang w:val="lv-LV" w:eastAsia="en-US"/>
    </w:rPr>
  </w:style>
  <w:style w:type="character" w:customStyle="1" w:styleId="PlainTextChar">
    <w:name w:val="Plain Text Char"/>
    <w:basedOn w:val="DefaultParagraphFont"/>
    <w:link w:val="PlainText"/>
    <w:uiPriority w:val="99"/>
    <w:rsid w:val="002A5AD9"/>
    <w:rPr>
      <w:rFonts w:ascii="Consolas" w:eastAsiaTheme="minorHAnsi" w:hAnsi="Consolas" w:cstheme="minorBidi"/>
      <w:sz w:val="21"/>
      <w:szCs w:val="21"/>
      <w:lang w:val="lv-LV" w:eastAsia="en-US"/>
    </w:rPr>
  </w:style>
  <w:style w:type="paragraph" w:customStyle="1" w:styleId="Tiret0">
    <w:name w:val="Tiret 0"/>
    <w:basedOn w:val="Point0"/>
    <w:rsid w:val="004E14A6"/>
    <w:pPr>
      <w:numPr>
        <w:numId w:val="36"/>
      </w:numPr>
      <w:spacing w:before="120" w:after="120"/>
    </w:pPr>
    <w:rPr>
      <w:lang w:val="lv-LV"/>
    </w:rPr>
  </w:style>
  <w:style w:type="paragraph" w:customStyle="1" w:styleId="xmsolistparagraph">
    <w:name w:val="x_msolistparagraph"/>
    <w:basedOn w:val="Normal"/>
    <w:uiPriority w:val="99"/>
    <w:rsid w:val="000845BB"/>
    <w:pPr>
      <w:spacing w:before="100" w:beforeAutospacing="1" w:after="100" w:afterAutospacing="1"/>
      <w:ind w:firstLine="0"/>
      <w:jc w:val="left"/>
    </w:pPr>
    <w:rPr>
      <w:rFonts w:ascii="Calibri" w:eastAsiaTheme="minorHAnsi" w:hAnsi="Calibri" w:cs="Calibri"/>
      <w:sz w:val="20"/>
      <w:lang w:val="lv-LV" w:eastAsia="lv-LV"/>
    </w:rPr>
  </w:style>
  <w:style w:type="character" w:customStyle="1" w:styleId="scxw93229913">
    <w:name w:val="scxw93229913"/>
    <w:basedOn w:val="DefaultParagraphFont"/>
    <w:rsid w:val="00510D68"/>
  </w:style>
  <w:style w:type="paragraph" w:customStyle="1" w:styleId="xmsonormal">
    <w:name w:val="x_msonormal"/>
    <w:basedOn w:val="Normal"/>
    <w:uiPriority w:val="99"/>
    <w:rsid w:val="00726455"/>
    <w:pPr>
      <w:spacing w:before="0" w:after="0"/>
      <w:ind w:firstLine="0"/>
      <w:jc w:val="left"/>
    </w:pPr>
    <w:rPr>
      <w:rFonts w:ascii="Calibri" w:eastAsiaTheme="minorHAnsi" w:hAnsi="Calibri" w:cs="Calibri"/>
      <w:sz w:val="20"/>
      <w:lang w:val="lv-LV" w:eastAsia="lv-LV"/>
    </w:rPr>
  </w:style>
  <w:style w:type="character" w:customStyle="1" w:styleId="RTU2009-AbstractChar">
    <w:name w:val="RTU2009 - Abstract Char"/>
    <w:link w:val="RTU2009-Abstract"/>
    <w:locked/>
    <w:rsid w:val="003D72E6"/>
    <w:rPr>
      <w:b/>
      <w:sz w:val="18"/>
      <w:lang w:val="en-US" w:eastAsia="fr-FR"/>
    </w:rPr>
  </w:style>
  <w:style w:type="paragraph" w:customStyle="1" w:styleId="RTU2009-Abstract">
    <w:name w:val="RTU2009 - Abstract"/>
    <w:basedOn w:val="Normal"/>
    <w:link w:val="RTU2009-AbstractChar"/>
    <w:qFormat/>
    <w:rsid w:val="003D72E6"/>
    <w:pPr>
      <w:spacing w:before="0" w:after="0" w:line="200" w:lineRule="exact"/>
      <w:ind w:firstLine="289"/>
    </w:pPr>
    <w:rPr>
      <w:b/>
      <w:sz w:val="18"/>
      <w:lang w:val="en-US" w:eastAsia="fr-FR"/>
    </w:rPr>
  </w:style>
  <w:style w:type="paragraph" w:customStyle="1" w:styleId="title-article-norm">
    <w:name w:val="title-article-norm"/>
    <w:basedOn w:val="Normal"/>
    <w:rsid w:val="00BE5A91"/>
    <w:pPr>
      <w:spacing w:before="100" w:beforeAutospacing="1" w:after="100" w:afterAutospacing="1"/>
      <w:ind w:firstLine="0"/>
      <w:jc w:val="left"/>
    </w:pPr>
    <w:rPr>
      <w:szCs w:val="24"/>
    </w:rPr>
  </w:style>
  <w:style w:type="paragraph" w:customStyle="1" w:styleId="title-doc-first">
    <w:name w:val="title-doc-first"/>
    <w:basedOn w:val="Normal"/>
    <w:rsid w:val="00C36E98"/>
    <w:pPr>
      <w:spacing w:before="100" w:beforeAutospacing="1" w:after="100" w:afterAutospacing="1"/>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3655">
      <w:bodyDiv w:val="1"/>
      <w:marLeft w:val="0"/>
      <w:marRight w:val="0"/>
      <w:marTop w:val="0"/>
      <w:marBottom w:val="0"/>
      <w:divBdr>
        <w:top w:val="none" w:sz="0" w:space="0" w:color="auto"/>
        <w:left w:val="none" w:sz="0" w:space="0" w:color="auto"/>
        <w:bottom w:val="none" w:sz="0" w:space="0" w:color="auto"/>
        <w:right w:val="none" w:sz="0" w:space="0" w:color="auto"/>
      </w:divBdr>
    </w:div>
    <w:div w:id="96414300">
      <w:bodyDiv w:val="1"/>
      <w:marLeft w:val="0"/>
      <w:marRight w:val="0"/>
      <w:marTop w:val="0"/>
      <w:marBottom w:val="0"/>
      <w:divBdr>
        <w:top w:val="none" w:sz="0" w:space="0" w:color="auto"/>
        <w:left w:val="none" w:sz="0" w:space="0" w:color="auto"/>
        <w:bottom w:val="none" w:sz="0" w:space="0" w:color="auto"/>
        <w:right w:val="none" w:sz="0" w:space="0" w:color="auto"/>
      </w:divBdr>
    </w:div>
    <w:div w:id="97220148">
      <w:bodyDiv w:val="1"/>
      <w:marLeft w:val="0"/>
      <w:marRight w:val="0"/>
      <w:marTop w:val="0"/>
      <w:marBottom w:val="0"/>
      <w:divBdr>
        <w:top w:val="none" w:sz="0" w:space="0" w:color="auto"/>
        <w:left w:val="none" w:sz="0" w:space="0" w:color="auto"/>
        <w:bottom w:val="none" w:sz="0" w:space="0" w:color="auto"/>
        <w:right w:val="none" w:sz="0" w:space="0" w:color="auto"/>
      </w:divBdr>
    </w:div>
    <w:div w:id="122312289">
      <w:bodyDiv w:val="1"/>
      <w:marLeft w:val="0"/>
      <w:marRight w:val="0"/>
      <w:marTop w:val="0"/>
      <w:marBottom w:val="0"/>
      <w:divBdr>
        <w:top w:val="none" w:sz="0" w:space="0" w:color="auto"/>
        <w:left w:val="none" w:sz="0" w:space="0" w:color="auto"/>
        <w:bottom w:val="none" w:sz="0" w:space="0" w:color="auto"/>
        <w:right w:val="none" w:sz="0" w:space="0" w:color="auto"/>
      </w:divBdr>
    </w:div>
    <w:div w:id="161628252">
      <w:bodyDiv w:val="1"/>
      <w:marLeft w:val="0"/>
      <w:marRight w:val="0"/>
      <w:marTop w:val="0"/>
      <w:marBottom w:val="0"/>
      <w:divBdr>
        <w:top w:val="none" w:sz="0" w:space="0" w:color="auto"/>
        <w:left w:val="none" w:sz="0" w:space="0" w:color="auto"/>
        <w:bottom w:val="none" w:sz="0" w:space="0" w:color="auto"/>
        <w:right w:val="none" w:sz="0" w:space="0" w:color="auto"/>
      </w:divBdr>
    </w:div>
    <w:div w:id="167450261">
      <w:bodyDiv w:val="1"/>
      <w:marLeft w:val="0"/>
      <w:marRight w:val="0"/>
      <w:marTop w:val="0"/>
      <w:marBottom w:val="0"/>
      <w:divBdr>
        <w:top w:val="none" w:sz="0" w:space="0" w:color="auto"/>
        <w:left w:val="none" w:sz="0" w:space="0" w:color="auto"/>
        <w:bottom w:val="none" w:sz="0" w:space="0" w:color="auto"/>
        <w:right w:val="none" w:sz="0" w:space="0" w:color="auto"/>
      </w:divBdr>
    </w:div>
    <w:div w:id="217395783">
      <w:bodyDiv w:val="1"/>
      <w:marLeft w:val="0"/>
      <w:marRight w:val="0"/>
      <w:marTop w:val="0"/>
      <w:marBottom w:val="0"/>
      <w:divBdr>
        <w:top w:val="none" w:sz="0" w:space="0" w:color="auto"/>
        <w:left w:val="none" w:sz="0" w:space="0" w:color="auto"/>
        <w:bottom w:val="none" w:sz="0" w:space="0" w:color="auto"/>
        <w:right w:val="none" w:sz="0" w:space="0" w:color="auto"/>
      </w:divBdr>
      <w:divsChild>
        <w:div w:id="1919443558">
          <w:marLeft w:val="0"/>
          <w:marRight w:val="0"/>
          <w:marTop w:val="0"/>
          <w:marBottom w:val="0"/>
          <w:divBdr>
            <w:top w:val="none" w:sz="0" w:space="0" w:color="auto"/>
            <w:left w:val="none" w:sz="0" w:space="0" w:color="auto"/>
            <w:bottom w:val="none" w:sz="0" w:space="0" w:color="auto"/>
            <w:right w:val="none" w:sz="0" w:space="0" w:color="auto"/>
          </w:divBdr>
        </w:div>
      </w:divsChild>
    </w:div>
    <w:div w:id="257566822">
      <w:bodyDiv w:val="1"/>
      <w:marLeft w:val="0"/>
      <w:marRight w:val="0"/>
      <w:marTop w:val="0"/>
      <w:marBottom w:val="0"/>
      <w:divBdr>
        <w:top w:val="none" w:sz="0" w:space="0" w:color="auto"/>
        <w:left w:val="none" w:sz="0" w:space="0" w:color="auto"/>
        <w:bottom w:val="none" w:sz="0" w:space="0" w:color="auto"/>
        <w:right w:val="none" w:sz="0" w:space="0" w:color="auto"/>
      </w:divBdr>
    </w:div>
    <w:div w:id="322469097">
      <w:bodyDiv w:val="1"/>
      <w:marLeft w:val="0"/>
      <w:marRight w:val="0"/>
      <w:marTop w:val="0"/>
      <w:marBottom w:val="0"/>
      <w:divBdr>
        <w:top w:val="none" w:sz="0" w:space="0" w:color="auto"/>
        <w:left w:val="none" w:sz="0" w:space="0" w:color="auto"/>
        <w:bottom w:val="none" w:sz="0" w:space="0" w:color="auto"/>
        <w:right w:val="none" w:sz="0" w:space="0" w:color="auto"/>
      </w:divBdr>
    </w:div>
    <w:div w:id="350105049">
      <w:bodyDiv w:val="1"/>
      <w:marLeft w:val="0"/>
      <w:marRight w:val="0"/>
      <w:marTop w:val="0"/>
      <w:marBottom w:val="0"/>
      <w:divBdr>
        <w:top w:val="none" w:sz="0" w:space="0" w:color="auto"/>
        <w:left w:val="none" w:sz="0" w:space="0" w:color="auto"/>
        <w:bottom w:val="none" w:sz="0" w:space="0" w:color="auto"/>
        <w:right w:val="none" w:sz="0" w:space="0" w:color="auto"/>
      </w:divBdr>
    </w:div>
    <w:div w:id="382406944">
      <w:bodyDiv w:val="1"/>
      <w:marLeft w:val="0"/>
      <w:marRight w:val="0"/>
      <w:marTop w:val="0"/>
      <w:marBottom w:val="0"/>
      <w:divBdr>
        <w:top w:val="none" w:sz="0" w:space="0" w:color="auto"/>
        <w:left w:val="none" w:sz="0" w:space="0" w:color="auto"/>
        <w:bottom w:val="none" w:sz="0" w:space="0" w:color="auto"/>
        <w:right w:val="none" w:sz="0" w:space="0" w:color="auto"/>
      </w:divBdr>
    </w:div>
    <w:div w:id="391848301">
      <w:bodyDiv w:val="1"/>
      <w:marLeft w:val="0"/>
      <w:marRight w:val="0"/>
      <w:marTop w:val="0"/>
      <w:marBottom w:val="0"/>
      <w:divBdr>
        <w:top w:val="none" w:sz="0" w:space="0" w:color="auto"/>
        <w:left w:val="none" w:sz="0" w:space="0" w:color="auto"/>
        <w:bottom w:val="none" w:sz="0" w:space="0" w:color="auto"/>
        <w:right w:val="none" w:sz="0" w:space="0" w:color="auto"/>
      </w:divBdr>
    </w:div>
    <w:div w:id="417869378">
      <w:bodyDiv w:val="1"/>
      <w:marLeft w:val="0"/>
      <w:marRight w:val="0"/>
      <w:marTop w:val="0"/>
      <w:marBottom w:val="0"/>
      <w:divBdr>
        <w:top w:val="none" w:sz="0" w:space="0" w:color="auto"/>
        <w:left w:val="none" w:sz="0" w:space="0" w:color="auto"/>
        <w:bottom w:val="none" w:sz="0" w:space="0" w:color="auto"/>
        <w:right w:val="none" w:sz="0" w:space="0" w:color="auto"/>
      </w:divBdr>
    </w:div>
    <w:div w:id="431054514">
      <w:bodyDiv w:val="1"/>
      <w:marLeft w:val="0"/>
      <w:marRight w:val="0"/>
      <w:marTop w:val="0"/>
      <w:marBottom w:val="0"/>
      <w:divBdr>
        <w:top w:val="none" w:sz="0" w:space="0" w:color="auto"/>
        <w:left w:val="none" w:sz="0" w:space="0" w:color="auto"/>
        <w:bottom w:val="none" w:sz="0" w:space="0" w:color="auto"/>
        <w:right w:val="none" w:sz="0" w:space="0" w:color="auto"/>
      </w:divBdr>
    </w:div>
    <w:div w:id="459343959">
      <w:bodyDiv w:val="1"/>
      <w:marLeft w:val="0"/>
      <w:marRight w:val="0"/>
      <w:marTop w:val="0"/>
      <w:marBottom w:val="0"/>
      <w:divBdr>
        <w:top w:val="none" w:sz="0" w:space="0" w:color="auto"/>
        <w:left w:val="none" w:sz="0" w:space="0" w:color="auto"/>
        <w:bottom w:val="none" w:sz="0" w:space="0" w:color="auto"/>
        <w:right w:val="none" w:sz="0" w:space="0" w:color="auto"/>
      </w:divBdr>
      <w:divsChild>
        <w:div w:id="516846551">
          <w:marLeft w:val="0"/>
          <w:marRight w:val="0"/>
          <w:marTop w:val="0"/>
          <w:marBottom w:val="0"/>
          <w:divBdr>
            <w:top w:val="none" w:sz="0" w:space="0" w:color="auto"/>
            <w:left w:val="none" w:sz="0" w:space="0" w:color="auto"/>
            <w:bottom w:val="none" w:sz="0" w:space="0" w:color="auto"/>
            <w:right w:val="none" w:sz="0" w:space="0" w:color="auto"/>
          </w:divBdr>
        </w:div>
      </w:divsChild>
    </w:div>
    <w:div w:id="516115120">
      <w:bodyDiv w:val="1"/>
      <w:marLeft w:val="0"/>
      <w:marRight w:val="0"/>
      <w:marTop w:val="0"/>
      <w:marBottom w:val="0"/>
      <w:divBdr>
        <w:top w:val="none" w:sz="0" w:space="0" w:color="auto"/>
        <w:left w:val="none" w:sz="0" w:space="0" w:color="auto"/>
        <w:bottom w:val="none" w:sz="0" w:space="0" w:color="auto"/>
        <w:right w:val="none" w:sz="0" w:space="0" w:color="auto"/>
      </w:divBdr>
    </w:div>
    <w:div w:id="529732035">
      <w:bodyDiv w:val="1"/>
      <w:marLeft w:val="0"/>
      <w:marRight w:val="0"/>
      <w:marTop w:val="0"/>
      <w:marBottom w:val="0"/>
      <w:divBdr>
        <w:top w:val="none" w:sz="0" w:space="0" w:color="auto"/>
        <w:left w:val="none" w:sz="0" w:space="0" w:color="auto"/>
        <w:bottom w:val="none" w:sz="0" w:space="0" w:color="auto"/>
        <w:right w:val="none" w:sz="0" w:space="0" w:color="auto"/>
      </w:divBdr>
    </w:div>
    <w:div w:id="531697973">
      <w:bodyDiv w:val="1"/>
      <w:marLeft w:val="0"/>
      <w:marRight w:val="0"/>
      <w:marTop w:val="0"/>
      <w:marBottom w:val="0"/>
      <w:divBdr>
        <w:top w:val="none" w:sz="0" w:space="0" w:color="auto"/>
        <w:left w:val="none" w:sz="0" w:space="0" w:color="auto"/>
        <w:bottom w:val="none" w:sz="0" w:space="0" w:color="auto"/>
        <w:right w:val="none" w:sz="0" w:space="0" w:color="auto"/>
      </w:divBdr>
    </w:div>
    <w:div w:id="534082520">
      <w:bodyDiv w:val="1"/>
      <w:marLeft w:val="0"/>
      <w:marRight w:val="0"/>
      <w:marTop w:val="0"/>
      <w:marBottom w:val="0"/>
      <w:divBdr>
        <w:top w:val="none" w:sz="0" w:space="0" w:color="auto"/>
        <w:left w:val="none" w:sz="0" w:space="0" w:color="auto"/>
        <w:bottom w:val="none" w:sz="0" w:space="0" w:color="auto"/>
        <w:right w:val="none" w:sz="0" w:space="0" w:color="auto"/>
      </w:divBdr>
      <w:divsChild>
        <w:div w:id="1545483085">
          <w:marLeft w:val="0"/>
          <w:marRight w:val="0"/>
          <w:marTop w:val="0"/>
          <w:marBottom w:val="0"/>
          <w:divBdr>
            <w:top w:val="none" w:sz="0" w:space="0" w:color="auto"/>
            <w:left w:val="none" w:sz="0" w:space="0" w:color="auto"/>
            <w:bottom w:val="none" w:sz="0" w:space="0" w:color="auto"/>
            <w:right w:val="none" w:sz="0" w:space="0" w:color="auto"/>
          </w:divBdr>
        </w:div>
      </w:divsChild>
    </w:div>
    <w:div w:id="555896715">
      <w:bodyDiv w:val="1"/>
      <w:marLeft w:val="0"/>
      <w:marRight w:val="0"/>
      <w:marTop w:val="0"/>
      <w:marBottom w:val="0"/>
      <w:divBdr>
        <w:top w:val="none" w:sz="0" w:space="0" w:color="auto"/>
        <w:left w:val="none" w:sz="0" w:space="0" w:color="auto"/>
        <w:bottom w:val="none" w:sz="0" w:space="0" w:color="auto"/>
        <w:right w:val="none" w:sz="0" w:space="0" w:color="auto"/>
      </w:divBdr>
    </w:div>
    <w:div w:id="576748127">
      <w:bodyDiv w:val="1"/>
      <w:marLeft w:val="0"/>
      <w:marRight w:val="0"/>
      <w:marTop w:val="0"/>
      <w:marBottom w:val="0"/>
      <w:divBdr>
        <w:top w:val="none" w:sz="0" w:space="0" w:color="auto"/>
        <w:left w:val="none" w:sz="0" w:space="0" w:color="auto"/>
        <w:bottom w:val="none" w:sz="0" w:space="0" w:color="auto"/>
        <w:right w:val="none" w:sz="0" w:space="0" w:color="auto"/>
      </w:divBdr>
    </w:div>
    <w:div w:id="625818915">
      <w:bodyDiv w:val="1"/>
      <w:marLeft w:val="0"/>
      <w:marRight w:val="0"/>
      <w:marTop w:val="0"/>
      <w:marBottom w:val="0"/>
      <w:divBdr>
        <w:top w:val="none" w:sz="0" w:space="0" w:color="auto"/>
        <w:left w:val="none" w:sz="0" w:space="0" w:color="auto"/>
        <w:bottom w:val="none" w:sz="0" w:space="0" w:color="auto"/>
        <w:right w:val="none" w:sz="0" w:space="0" w:color="auto"/>
      </w:divBdr>
    </w:div>
    <w:div w:id="657535118">
      <w:bodyDiv w:val="1"/>
      <w:marLeft w:val="0"/>
      <w:marRight w:val="0"/>
      <w:marTop w:val="0"/>
      <w:marBottom w:val="0"/>
      <w:divBdr>
        <w:top w:val="none" w:sz="0" w:space="0" w:color="auto"/>
        <w:left w:val="none" w:sz="0" w:space="0" w:color="auto"/>
        <w:bottom w:val="none" w:sz="0" w:space="0" w:color="auto"/>
        <w:right w:val="none" w:sz="0" w:space="0" w:color="auto"/>
      </w:divBdr>
    </w:div>
    <w:div w:id="701593830">
      <w:bodyDiv w:val="1"/>
      <w:marLeft w:val="0"/>
      <w:marRight w:val="0"/>
      <w:marTop w:val="0"/>
      <w:marBottom w:val="0"/>
      <w:divBdr>
        <w:top w:val="none" w:sz="0" w:space="0" w:color="auto"/>
        <w:left w:val="none" w:sz="0" w:space="0" w:color="auto"/>
        <w:bottom w:val="none" w:sz="0" w:space="0" w:color="auto"/>
        <w:right w:val="none" w:sz="0" w:space="0" w:color="auto"/>
      </w:divBdr>
      <w:divsChild>
        <w:div w:id="222180340">
          <w:marLeft w:val="0"/>
          <w:marRight w:val="0"/>
          <w:marTop w:val="0"/>
          <w:marBottom w:val="0"/>
          <w:divBdr>
            <w:top w:val="none" w:sz="0" w:space="0" w:color="auto"/>
            <w:left w:val="none" w:sz="0" w:space="0" w:color="auto"/>
            <w:bottom w:val="none" w:sz="0" w:space="0" w:color="auto"/>
            <w:right w:val="none" w:sz="0" w:space="0" w:color="auto"/>
          </w:divBdr>
        </w:div>
      </w:divsChild>
    </w:div>
    <w:div w:id="706026495">
      <w:bodyDiv w:val="1"/>
      <w:marLeft w:val="0"/>
      <w:marRight w:val="0"/>
      <w:marTop w:val="0"/>
      <w:marBottom w:val="0"/>
      <w:divBdr>
        <w:top w:val="none" w:sz="0" w:space="0" w:color="auto"/>
        <w:left w:val="none" w:sz="0" w:space="0" w:color="auto"/>
        <w:bottom w:val="none" w:sz="0" w:space="0" w:color="auto"/>
        <w:right w:val="none" w:sz="0" w:space="0" w:color="auto"/>
      </w:divBdr>
    </w:div>
    <w:div w:id="721514664">
      <w:bodyDiv w:val="1"/>
      <w:marLeft w:val="0"/>
      <w:marRight w:val="0"/>
      <w:marTop w:val="0"/>
      <w:marBottom w:val="0"/>
      <w:divBdr>
        <w:top w:val="none" w:sz="0" w:space="0" w:color="auto"/>
        <w:left w:val="none" w:sz="0" w:space="0" w:color="auto"/>
        <w:bottom w:val="none" w:sz="0" w:space="0" w:color="auto"/>
        <w:right w:val="none" w:sz="0" w:space="0" w:color="auto"/>
      </w:divBdr>
      <w:divsChild>
        <w:div w:id="1093090940">
          <w:marLeft w:val="0"/>
          <w:marRight w:val="0"/>
          <w:marTop w:val="0"/>
          <w:marBottom w:val="0"/>
          <w:divBdr>
            <w:top w:val="none" w:sz="0" w:space="0" w:color="auto"/>
            <w:left w:val="none" w:sz="0" w:space="0" w:color="auto"/>
            <w:bottom w:val="none" w:sz="0" w:space="0" w:color="auto"/>
            <w:right w:val="none" w:sz="0" w:space="0" w:color="auto"/>
          </w:divBdr>
        </w:div>
      </w:divsChild>
    </w:div>
    <w:div w:id="789711781">
      <w:bodyDiv w:val="1"/>
      <w:marLeft w:val="0"/>
      <w:marRight w:val="0"/>
      <w:marTop w:val="0"/>
      <w:marBottom w:val="0"/>
      <w:divBdr>
        <w:top w:val="none" w:sz="0" w:space="0" w:color="auto"/>
        <w:left w:val="none" w:sz="0" w:space="0" w:color="auto"/>
        <w:bottom w:val="none" w:sz="0" w:space="0" w:color="auto"/>
        <w:right w:val="none" w:sz="0" w:space="0" w:color="auto"/>
      </w:divBdr>
    </w:div>
    <w:div w:id="809249232">
      <w:bodyDiv w:val="1"/>
      <w:marLeft w:val="0"/>
      <w:marRight w:val="0"/>
      <w:marTop w:val="0"/>
      <w:marBottom w:val="0"/>
      <w:divBdr>
        <w:top w:val="none" w:sz="0" w:space="0" w:color="auto"/>
        <w:left w:val="none" w:sz="0" w:space="0" w:color="auto"/>
        <w:bottom w:val="none" w:sz="0" w:space="0" w:color="auto"/>
        <w:right w:val="none" w:sz="0" w:space="0" w:color="auto"/>
      </w:divBdr>
    </w:div>
    <w:div w:id="810682569">
      <w:bodyDiv w:val="1"/>
      <w:marLeft w:val="0"/>
      <w:marRight w:val="0"/>
      <w:marTop w:val="0"/>
      <w:marBottom w:val="0"/>
      <w:divBdr>
        <w:top w:val="none" w:sz="0" w:space="0" w:color="auto"/>
        <w:left w:val="none" w:sz="0" w:space="0" w:color="auto"/>
        <w:bottom w:val="none" w:sz="0" w:space="0" w:color="auto"/>
        <w:right w:val="none" w:sz="0" w:space="0" w:color="auto"/>
      </w:divBdr>
    </w:div>
    <w:div w:id="812598442">
      <w:bodyDiv w:val="1"/>
      <w:marLeft w:val="0"/>
      <w:marRight w:val="0"/>
      <w:marTop w:val="0"/>
      <w:marBottom w:val="0"/>
      <w:divBdr>
        <w:top w:val="none" w:sz="0" w:space="0" w:color="auto"/>
        <w:left w:val="none" w:sz="0" w:space="0" w:color="auto"/>
        <w:bottom w:val="none" w:sz="0" w:space="0" w:color="auto"/>
        <w:right w:val="none" w:sz="0" w:space="0" w:color="auto"/>
      </w:divBdr>
    </w:div>
    <w:div w:id="821697541">
      <w:bodyDiv w:val="1"/>
      <w:marLeft w:val="0"/>
      <w:marRight w:val="0"/>
      <w:marTop w:val="0"/>
      <w:marBottom w:val="0"/>
      <w:divBdr>
        <w:top w:val="none" w:sz="0" w:space="0" w:color="auto"/>
        <w:left w:val="none" w:sz="0" w:space="0" w:color="auto"/>
        <w:bottom w:val="none" w:sz="0" w:space="0" w:color="auto"/>
        <w:right w:val="none" w:sz="0" w:space="0" w:color="auto"/>
      </w:divBdr>
    </w:div>
    <w:div w:id="845747831">
      <w:bodyDiv w:val="1"/>
      <w:marLeft w:val="0"/>
      <w:marRight w:val="0"/>
      <w:marTop w:val="0"/>
      <w:marBottom w:val="0"/>
      <w:divBdr>
        <w:top w:val="none" w:sz="0" w:space="0" w:color="auto"/>
        <w:left w:val="none" w:sz="0" w:space="0" w:color="auto"/>
        <w:bottom w:val="none" w:sz="0" w:space="0" w:color="auto"/>
        <w:right w:val="none" w:sz="0" w:space="0" w:color="auto"/>
      </w:divBdr>
    </w:div>
    <w:div w:id="851795514">
      <w:bodyDiv w:val="1"/>
      <w:marLeft w:val="0"/>
      <w:marRight w:val="0"/>
      <w:marTop w:val="0"/>
      <w:marBottom w:val="0"/>
      <w:divBdr>
        <w:top w:val="none" w:sz="0" w:space="0" w:color="auto"/>
        <w:left w:val="none" w:sz="0" w:space="0" w:color="auto"/>
        <w:bottom w:val="none" w:sz="0" w:space="0" w:color="auto"/>
        <w:right w:val="none" w:sz="0" w:space="0" w:color="auto"/>
      </w:divBdr>
      <w:divsChild>
        <w:div w:id="921378145">
          <w:marLeft w:val="0"/>
          <w:marRight w:val="0"/>
          <w:marTop w:val="0"/>
          <w:marBottom w:val="0"/>
          <w:divBdr>
            <w:top w:val="none" w:sz="0" w:space="0" w:color="auto"/>
            <w:left w:val="none" w:sz="0" w:space="0" w:color="auto"/>
            <w:bottom w:val="none" w:sz="0" w:space="0" w:color="auto"/>
            <w:right w:val="none" w:sz="0" w:space="0" w:color="auto"/>
          </w:divBdr>
        </w:div>
      </w:divsChild>
    </w:div>
    <w:div w:id="874078067">
      <w:bodyDiv w:val="1"/>
      <w:marLeft w:val="0"/>
      <w:marRight w:val="0"/>
      <w:marTop w:val="0"/>
      <w:marBottom w:val="0"/>
      <w:divBdr>
        <w:top w:val="none" w:sz="0" w:space="0" w:color="auto"/>
        <w:left w:val="none" w:sz="0" w:space="0" w:color="auto"/>
        <w:bottom w:val="none" w:sz="0" w:space="0" w:color="auto"/>
        <w:right w:val="none" w:sz="0" w:space="0" w:color="auto"/>
      </w:divBdr>
    </w:div>
    <w:div w:id="923684723">
      <w:bodyDiv w:val="1"/>
      <w:marLeft w:val="0"/>
      <w:marRight w:val="0"/>
      <w:marTop w:val="0"/>
      <w:marBottom w:val="0"/>
      <w:divBdr>
        <w:top w:val="none" w:sz="0" w:space="0" w:color="auto"/>
        <w:left w:val="none" w:sz="0" w:space="0" w:color="auto"/>
        <w:bottom w:val="none" w:sz="0" w:space="0" w:color="auto"/>
        <w:right w:val="none" w:sz="0" w:space="0" w:color="auto"/>
      </w:divBdr>
      <w:divsChild>
        <w:div w:id="116026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126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018864">
      <w:bodyDiv w:val="1"/>
      <w:marLeft w:val="0"/>
      <w:marRight w:val="0"/>
      <w:marTop w:val="0"/>
      <w:marBottom w:val="0"/>
      <w:divBdr>
        <w:top w:val="none" w:sz="0" w:space="0" w:color="auto"/>
        <w:left w:val="none" w:sz="0" w:space="0" w:color="auto"/>
        <w:bottom w:val="none" w:sz="0" w:space="0" w:color="auto"/>
        <w:right w:val="none" w:sz="0" w:space="0" w:color="auto"/>
      </w:divBdr>
      <w:divsChild>
        <w:div w:id="1325426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609642">
      <w:bodyDiv w:val="1"/>
      <w:marLeft w:val="0"/>
      <w:marRight w:val="0"/>
      <w:marTop w:val="0"/>
      <w:marBottom w:val="0"/>
      <w:divBdr>
        <w:top w:val="none" w:sz="0" w:space="0" w:color="auto"/>
        <w:left w:val="none" w:sz="0" w:space="0" w:color="auto"/>
        <w:bottom w:val="none" w:sz="0" w:space="0" w:color="auto"/>
        <w:right w:val="none" w:sz="0" w:space="0" w:color="auto"/>
      </w:divBdr>
    </w:div>
    <w:div w:id="960190796">
      <w:bodyDiv w:val="1"/>
      <w:marLeft w:val="0"/>
      <w:marRight w:val="0"/>
      <w:marTop w:val="0"/>
      <w:marBottom w:val="0"/>
      <w:divBdr>
        <w:top w:val="none" w:sz="0" w:space="0" w:color="auto"/>
        <w:left w:val="none" w:sz="0" w:space="0" w:color="auto"/>
        <w:bottom w:val="none" w:sz="0" w:space="0" w:color="auto"/>
        <w:right w:val="none" w:sz="0" w:space="0" w:color="auto"/>
      </w:divBdr>
    </w:div>
    <w:div w:id="961376743">
      <w:bodyDiv w:val="1"/>
      <w:marLeft w:val="0"/>
      <w:marRight w:val="0"/>
      <w:marTop w:val="0"/>
      <w:marBottom w:val="0"/>
      <w:divBdr>
        <w:top w:val="none" w:sz="0" w:space="0" w:color="auto"/>
        <w:left w:val="none" w:sz="0" w:space="0" w:color="auto"/>
        <w:bottom w:val="none" w:sz="0" w:space="0" w:color="auto"/>
        <w:right w:val="none" w:sz="0" w:space="0" w:color="auto"/>
      </w:divBdr>
    </w:div>
    <w:div w:id="962924131">
      <w:bodyDiv w:val="1"/>
      <w:marLeft w:val="0"/>
      <w:marRight w:val="0"/>
      <w:marTop w:val="0"/>
      <w:marBottom w:val="0"/>
      <w:divBdr>
        <w:top w:val="none" w:sz="0" w:space="0" w:color="auto"/>
        <w:left w:val="none" w:sz="0" w:space="0" w:color="auto"/>
        <w:bottom w:val="none" w:sz="0" w:space="0" w:color="auto"/>
        <w:right w:val="none" w:sz="0" w:space="0" w:color="auto"/>
      </w:divBdr>
    </w:div>
    <w:div w:id="978144511">
      <w:bodyDiv w:val="1"/>
      <w:marLeft w:val="0"/>
      <w:marRight w:val="0"/>
      <w:marTop w:val="0"/>
      <w:marBottom w:val="0"/>
      <w:divBdr>
        <w:top w:val="none" w:sz="0" w:space="0" w:color="auto"/>
        <w:left w:val="none" w:sz="0" w:space="0" w:color="auto"/>
        <w:bottom w:val="none" w:sz="0" w:space="0" w:color="auto"/>
        <w:right w:val="none" w:sz="0" w:space="0" w:color="auto"/>
      </w:divBdr>
    </w:div>
    <w:div w:id="1012337366">
      <w:bodyDiv w:val="1"/>
      <w:marLeft w:val="0"/>
      <w:marRight w:val="0"/>
      <w:marTop w:val="0"/>
      <w:marBottom w:val="0"/>
      <w:divBdr>
        <w:top w:val="none" w:sz="0" w:space="0" w:color="auto"/>
        <w:left w:val="none" w:sz="0" w:space="0" w:color="auto"/>
        <w:bottom w:val="none" w:sz="0" w:space="0" w:color="auto"/>
        <w:right w:val="none" w:sz="0" w:space="0" w:color="auto"/>
      </w:divBdr>
    </w:div>
    <w:div w:id="1026490972">
      <w:bodyDiv w:val="1"/>
      <w:marLeft w:val="0"/>
      <w:marRight w:val="0"/>
      <w:marTop w:val="0"/>
      <w:marBottom w:val="0"/>
      <w:divBdr>
        <w:top w:val="none" w:sz="0" w:space="0" w:color="auto"/>
        <w:left w:val="none" w:sz="0" w:space="0" w:color="auto"/>
        <w:bottom w:val="none" w:sz="0" w:space="0" w:color="auto"/>
        <w:right w:val="none" w:sz="0" w:space="0" w:color="auto"/>
      </w:divBdr>
      <w:divsChild>
        <w:div w:id="1656566369">
          <w:marLeft w:val="0"/>
          <w:marRight w:val="0"/>
          <w:marTop w:val="0"/>
          <w:marBottom w:val="0"/>
          <w:divBdr>
            <w:top w:val="none" w:sz="0" w:space="0" w:color="auto"/>
            <w:left w:val="none" w:sz="0" w:space="0" w:color="auto"/>
            <w:bottom w:val="none" w:sz="0" w:space="0" w:color="auto"/>
            <w:right w:val="none" w:sz="0" w:space="0" w:color="auto"/>
          </w:divBdr>
        </w:div>
      </w:divsChild>
    </w:div>
    <w:div w:id="1056588997">
      <w:bodyDiv w:val="1"/>
      <w:marLeft w:val="0"/>
      <w:marRight w:val="0"/>
      <w:marTop w:val="0"/>
      <w:marBottom w:val="0"/>
      <w:divBdr>
        <w:top w:val="none" w:sz="0" w:space="0" w:color="auto"/>
        <w:left w:val="none" w:sz="0" w:space="0" w:color="auto"/>
        <w:bottom w:val="none" w:sz="0" w:space="0" w:color="auto"/>
        <w:right w:val="none" w:sz="0" w:space="0" w:color="auto"/>
      </w:divBdr>
    </w:div>
    <w:div w:id="1072195346">
      <w:bodyDiv w:val="1"/>
      <w:marLeft w:val="0"/>
      <w:marRight w:val="0"/>
      <w:marTop w:val="0"/>
      <w:marBottom w:val="0"/>
      <w:divBdr>
        <w:top w:val="none" w:sz="0" w:space="0" w:color="auto"/>
        <w:left w:val="none" w:sz="0" w:space="0" w:color="auto"/>
        <w:bottom w:val="none" w:sz="0" w:space="0" w:color="auto"/>
        <w:right w:val="none" w:sz="0" w:space="0" w:color="auto"/>
      </w:divBdr>
    </w:div>
    <w:div w:id="1080910660">
      <w:bodyDiv w:val="1"/>
      <w:marLeft w:val="0"/>
      <w:marRight w:val="0"/>
      <w:marTop w:val="0"/>
      <w:marBottom w:val="0"/>
      <w:divBdr>
        <w:top w:val="none" w:sz="0" w:space="0" w:color="auto"/>
        <w:left w:val="none" w:sz="0" w:space="0" w:color="auto"/>
        <w:bottom w:val="none" w:sz="0" w:space="0" w:color="auto"/>
        <w:right w:val="none" w:sz="0" w:space="0" w:color="auto"/>
      </w:divBdr>
    </w:div>
    <w:div w:id="1120686295">
      <w:bodyDiv w:val="1"/>
      <w:marLeft w:val="0"/>
      <w:marRight w:val="0"/>
      <w:marTop w:val="0"/>
      <w:marBottom w:val="0"/>
      <w:divBdr>
        <w:top w:val="none" w:sz="0" w:space="0" w:color="auto"/>
        <w:left w:val="none" w:sz="0" w:space="0" w:color="auto"/>
        <w:bottom w:val="none" w:sz="0" w:space="0" w:color="auto"/>
        <w:right w:val="none" w:sz="0" w:space="0" w:color="auto"/>
      </w:divBdr>
    </w:div>
    <w:div w:id="1149975417">
      <w:bodyDiv w:val="1"/>
      <w:marLeft w:val="0"/>
      <w:marRight w:val="0"/>
      <w:marTop w:val="0"/>
      <w:marBottom w:val="0"/>
      <w:divBdr>
        <w:top w:val="none" w:sz="0" w:space="0" w:color="auto"/>
        <w:left w:val="none" w:sz="0" w:space="0" w:color="auto"/>
        <w:bottom w:val="none" w:sz="0" w:space="0" w:color="auto"/>
        <w:right w:val="none" w:sz="0" w:space="0" w:color="auto"/>
      </w:divBdr>
    </w:div>
    <w:div w:id="1215434562">
      <w:bodyDiv w:val="1"/>
      <w:marLeft w:val="0"/>
      <w:marRight w:val="0"/>
      <w:marTop w:val="0"/>
      <w:marBottom w:val="0"/>
      <w:divBdr>
        <w:top w:val="none" w:sz="0" w:space="0" w:color="auto"/>
        <w:left w:val="none" w:sz="0" w:space="0" w:color="auto"/>
        <w:bottom w:val="none" w:sz="0" w:space="0" w:color="auto"/>
        <w:right w:val="none" w:sz="0" w:space="0" w:color="auto"/>
      </w:divBdr>
    </w:div>
    <w:div w:id="1240671513">
      <w:bodyDiv w:val="1"/>
      <w:marLeft w:val="0"/>
      <w:marRight w:val="0"/>
      <w:marTop w:val="0"/>
      <w:marBottom w:val="0"/>
      <w:divBdr>
        <w:top w:val="none" w:sz="0" w:space="0" w:color="auto"/>
        <w:left w:val="none" w:sz="0" w:space="0" w:color="auto"/>
        <w:bottom w:val="none" w:sz="0" w:space="0" w:color="auto"/>
        <w:right w:val="none" w:sz="0" w:space="0" w:color="auto"/>
      </w:divBdr>
      <w:divsChild>
        <w:div w:id="838009294">
          <w:marLeft w:val="0"/>
          <w:marRight w:val="0"/>
          <w:marTop w:val="0"/>
          <w:marBottom w:val="0"/>
          <w:divBdr>
            <w:top w:val="none" w:sz="0" w:space="0" w:color="auto"/>
            <w:left w:val="none" w:sz="0" w:space="0" w:color="auto"/>
            <w:bottom w:val="none" w:sz="0" w:space="0" w:color="auto"/>
            <w:right w:val="none" w:sz="0" w:space="0" w:color="auto"/>
          </w:divBdr>
        </w:div>
      </w:divsChild>
    </w:div>
    <w:div w:id="1283850773">
      <w:bodyDiv w:val="1"/>
      <w:marLeft w:val="0"/>
      <w:marRight w:val="0"/>
      <w:marTop w:val="0"/>
      <w:marBottom w:val="0"/>
      <w:divBdr>
        <w:top w:val="none" w:sz="0" w:space="0" w:color="auto"/>
        <w:left w:val="none" w:sz="0" w:space="0" w:color="auto"/>
        <w:bottom w:val="none" w:sz="0" w:space="0" w:color="auto"/>
        <w:right w:val="none" w:sz="0" w:space="0" w:color="auto"/>
      </w:divBdr>
    </w:div>
    <w:div w:id="1298410630">
      <w:bodyDiv w:val="1"/>
      <w:marLeft w:val="0"/>
      <w:marRight w:val="0"/>
      <w:marTop w:val="0"/>
      <w:marBottom w:val="0"/>
      <w:divBdr>
        <w:top w:val="none" w:sz="0" w:space="0" w:color="auto"/>
        <w:left w:val="none" w:sz="0" w:space="0" w:color="auto"/>
        <w:bottom w:val="none" w:sz="0" w:space="0" w:color="auto"/>
        <w:right w:val="none" w:sz="0" w:space="0" w:color="auto"/>
      </w:divBdr>
    </w:div>
    <w:div w:id="1312056798">
      <w:bodyDiv w:val="1"/>
      <w:marLeft w:val="0"/>
      <w:marRight w:val="0"/>
      <w:marTop w:val="0"/>
      <w:marBottom w:val="0"/>
      <w:divBdr>
        <w:top w:val="none" w:sz="0" w:space="0" w:color="auto"/>
        <w:left w:val="none" w:sz="0" w:space="0" w:color="auto"/>
        <w:bottom w:val="none" w:sz="0" w:space="0" w:color="auto"/>
        <w:right w:val="none" w:sz="0" w:space="0" w:color="auto"/>
      </w:divBdr>
    </w:div>
    <w:div w:id="1338650537">
      <w:bodyDiv w:val="1"/>
      <w:marLeft w:val="0"/>
      <w:marRight w:val="0"/>
      <w:marTop w:val="0"/>
      <w:marBottom w:val="0"/>
      <w:divBdr>
        <w:top w:val="none" w:sz="0" w:space="0" w:color="auto"/>
        <w:left w:val="none" w:sz="0" w:space="0" w:color="auto"/>
        <w:bottom w:val="none" w:sz="0" w:space="0" w:color="auto"/>
        <w:right w:val="none" w:sz="0" w:space="0" w:color="auto"/>
      </w:divBdr>
    </w:div>
    <w:div w:id="1389256016">
      <w:bodyDiv w:val="1"/>
      <w:marLeft w:val="0"/>
      <w:marRight w:val="0"/>
      <w:marTop w:val="0"/>
      <w:marBottom w:val="0"/>
      <w:divBdr>
        <w:top w:val="none" w:sz="0" w:space="0" w:color="auto"/>
        <w:left w:val="none" w:sz="0" w:space="0" w:color="auto"/>
        <w:bottom w:val="none" w:sz="0" w:space="0" w:color="auto"/>
        <w:right w:val="none" w:sz="0" w:space="0" w:color="auto"/>
      </w:divBdr>
    </w:div>
    <w:div w:id="1399354864">
      <w:bodyDiv w:val="1"/>
      <w:marLeft w:val="0"/>
      <w:marRight w:val="0"/>
      <w:marTop w:val="0"/>
      <w:marBottom w:val="0"/>
      <w:divBdr>
        <w:top w:val="none" w:sz="0" w:space="0" w:color="auto"/>
        <w:left w:val="none" w:sz="0" w:space="0" w:color="auto"/>
        <w:bottom w:val="none" w:sz="0" w:space="0" w:color="auto"/>
        <w:right w:val="none" w:sz="0" w:space="0" w:color="auto"/>
      </w:divBdr>
    </w:div>
    <w:div w:id="1404596267">
      <w:bodyDiv w:val="1"/>
      <w:marLeft w:val="0"/>
      <w:marRight w:val="0"/>
      <w:marTop w:val="0"/>
      <w:marBottom w:val="0"/>
      <w:divBdr>
        <w:top w:val="none" w:sz="0" w:space="0" w:color="auto"/>
        <w:left w:val="none" w:sz="0" w:space="0" w:color="auto"/>
        <w:bottom w:val="none" w:sz="0" w:space="0" w:color="auto"/>
        <w:right w:val="none" w:sz="0" w:space="0" w:color="auto"/>
      </w:divBdr>
      <w:divsChild>
        <w:div w:id="722169496">
          <w:marLeft w:val="0"/>
          <w:marRight w:val="0"/>
          <w:marTop w:val="0"/>
          <w:marBottom w:val="0"/>
          <w:divBdr>
            <w:top w:val="none" w:sz="0" w:space="0" w:color="auto"/>
            <w:left w:val="none" w:sz="0" w:space="0" w:color="auto"/>
            <w:bottom w:val="none" w:sz="0" w:space="0" w:color="auto"/>
            <w:right w:val="none" w:sz="0" w:space="0" w:color="auto"/>
          </w:divBdr>
        </w:div>
      </w:divsChild>
    </w:div>
    <w:div w:id="1413890512">
      <w:bodyDiv w:val="1"/>
      <w:marLeft w:val="0"/>
      <w:marRight w:val="0"/>
      <w:marTop w:val="0"/>
      <w:marBottom w:val="0"/>
      <w:divBdr>
        <w:top w:val="none" w:sz="0" w:space="0" w:color="auto"/>
        <w:left w:val="none" w:sz="0" w:space="0" w:color="auto"/>
        <w:bottom w:val="none" w:sz="0" w:space="0" w:color="auto"/>
        <w:right w:val="none" w:sz="0" w:space="0" w:color="auto"/>
      </w:divBdr>
    </w:div>
    <w:div w:id="1433356644">
      <w:bodyDiv w:val="1"/>
      <w:marLeft w:val="0"/>
      <w:marRight w:val="0"/>
      <w:marTop w:val="0"/>
      <w:marBottom w:val="0"/>
      <w:divBdr>
        <w:top w:val="none" w:sz="0" w:space="0" w:color="auto"/>
        <w:left w:val="none" w:sz="0" w:space="0" w:color="auto"/>
        <w:bottom w:val="none" w:sz="0" w:space="0" w:color="auto"/>
        <w:right w:val="none" w:sz="0" w:space="0" w:color="auto"/>
      </w:divBdr>
    </w:div>
    <w:div w:id="1440183156">
      <w:bodyDiv w:val="1"/>
      <w:marLeft w:val="0"/>
      <w:marRight w:val="0"/>
      <w:marTop w:val="0"/>
      <w:marBottom w:val="0"/>
      <w:divBdr>
        <w:top w:val="none" w:sz="0" w:space="0" w:color="auto"/>
        <w:left w:val="none" w:sz="0" w:space="0" w:color="auto"/>
        <w:bottom w:val="none" w:sz="0" w:space="0" w:color="auto"/>
        <w:right w:val="none" w:sz="0" w:space="0" w:color="auto"/>
      </w:divBdr>
    </w:div>
    <w:div w:id="1472554108">
      <w:bodyDiv w:val="1"/>
      <w:marLeft w:val="0"/>
      <w:marRight w:val="0"/>
      <w:marTop w:val="0"/>
      <w:marBottom w:val="0"/>
      <w:divBdr>
        <w:top w:val="none" w:sz="0" w:space="0" w:color="auto"/>
        <w:left w:val="none" w:sz="0" w:space="0" w:color="auto"/>
        <w:bottom w:val="none" w:sz="0" w:space="0" w:color="auto"/>
        <w:right w:val="none" w:sz="0" w:space="0" w:color="auto"/>
      </w:divBdr>
    </w:div>
    <w:div w:id="1476488152">
      <w:bodyDiv w:val="1"/>
      <w:marLeft w:val="0"/>
      <w:marRight w:val="0"/>
      <w:marTop w:val="0"/>
      <w:marBottom w:val="0"/>
      <w:divBdr>
        <w:top w:val="none" w:sz="0" w:space="0" w:color="auto"/>
        <w:left w:val="none" w:sz="0" w:space="0" w:color="auto"/>
        <w:bottom w:val="none" w:sz="0" w:space="0" w:color="auto"/>
        <w:right w:val="none" w:sz="0" w:space="0" w:color="auto"/>
      </w:divBdr>
    </w:div>
    <w:div w:id="1480880591">
      <w:bodyDiv w:val="1"/>
      <w:marLeft w:val="0"/>
      <w:marRight w:val="0"/>
      <w:marTop w:val="0"/>
      <w:marBottom w:val="0"/>
      <w:divBdr>
        <w:top w:val="none" w:sz="0" w:space="0" w:color="auto"/>
        <w:left w:val="none" w:sz="0" w:space="0" w:color="auto"/>
        <w:bottom w:val="none" w:sz="0" w:space="0" w:color="auto"/>
        <w:right w:val="none" w:sz="0" w:space="0" w:color="auto"/>
      </w:divBdr>
    </w:div>
    <w:div w:id="1494295582">
      <w:bodyDiv w:val="1"/>
      <w:marLeft w:val="0"/>
      <w:marRight w:val="0"/>
      <w:marTop w:val="0"/>
      <w:marBottom w:val="0"/>
      <w:divBdr>
        <w:top w:val="none" w:sz="0" w:space="0" w:color="auto"/>
        <w:left w:val="none" w:sz="0" w:space="0" w:color="auto"/>
        <w:bottom w:val="none" w:sz="0" w:space="0" w:color="auto"/>
        <w:right w:val="none" w:sz="0" w:space="0" w:color="auto"/>
      </w:divBdr>
    </w:div>
    <w:div w:id="1500540478">
      <w:bodyDiv w:val="1"/>
      <w:marLeft w:val="0"/>
      <w:marRight w:val="0"/>
      <w:marTop w:val="0"/>
      <w:marBottom w:val="0"/>
      <w:divBdr>
        <w:top w:val="none" w:sz="0" w:space="0" w:color="auto"/>
        <w:left w:val="none" w:sz="0" w:space="0" w:color="auto"/>
        <w:bottom w:val="none" w:sz="0" w:space="0" w:color="auto"/>
        <w:right w:val="none" w:sz="0" w:space="0" w:color="auto"/>
      </w:divBdr>
    </w:div>
    <w:div w:id="1541624955">
      <w:bodyDiv w:val="1"/>
      <w:marLeft w:val="0"/>
      <w:marRight w:val="0"/>
      <w:marTop w:val="0"/>
      <w:marBottom w:val="0"/>
      <w:divBdr>
        <w:top w:val="none" w:sz="0" w:space="0" w:color="auto"/>
        <w:left w:val="none" w:sz="0" w:space="0" w:color="auto"/>
        <w:bottom w:val="none" w:sz="0" w:space="0" w:color="auto"/>
        <w:right w:val="none" w:sz="0" w:space="0" w:color="auto"/>
      </w:divBdr>
    </w:div>
    <w:div w:id="1553231765">
      <w:bodyDiv w:val="1"/>
      <w:marLeft w:val="0"/>
      <w:marRight w:val="0"/>
      <w:marTop w:val="0"/>
      <w:marBottom w:val="0"/>
      <w:divBdr>
        <w:top w:val="none" w:sz="0" w:space="0" w:color="auto"/>
        <w:left w:val="none" w:sz="0" w:space="0" w:color="auto"/>
        <w:bottom w:val="none" w:sz="0" w:space="0" w:color="auto"/>
        <w:right w:val="none" w:sz="0" w:space="0" w:color="auto"/>
      </w:divBdr>
    </w:div>
    <w:div w:id="1568152012">
      <w:bodyDiv w:val="1"/>
      <w:marLeft w:val="0"/>
      <w:marRight w:val="0"/>
      <w:marTop w:val="0"/>
      <w:marBottom w:val="0"/>
      <w:divBdr>
        <w:top w:val="none" w:sz="0" w:space="0" w:color="auto"/>
        <w:left w:val="none" w:sz="0" w:space="0" w:color="auto"/>
        <w:bottom w:val="none" w:sz="0" w:space="0" w:color="auto"/>
        <w:right w:val="none" w:sz="0" w:space="0" w:color="auto"/>
      </w:divBdr>
    </w:div>
    <w:div w:id="1592276559">
      <w:bodyDiv w:val="1"/>
      <w:marLeft w:val="0"/>
      <w:marRight w:val="0"/>
      <w:marTop w:val="0"/>
      <w:marBottom w:val="0"/>
      <w:divBdr>
        <w:top w:val="none" w:sz="0" w:space="0" w:color="auto"/>
        <w:left w:val="none" w:sz="0" w:space="0" w:color="auto"/>
        <w:bottom w:val="none" w:sz="0" w:space="0" w:color="auto"/>
        <w:right w:val="none" w:sz="0" w:space="0" w:color="auto"/>
      </w:divBdr>
      <w:divsChild>
        <w:div w:id="517624837">
          <w:marLeft w:val="0"/>
          <w:marRight w:val="0"/>
          <w:marTop w:val="0"/>
          <w:marBottom w:val="0"/>
          <w:divBdr>
            <w:top w:val="none" w:sz="0" w:space="0" w:color="auto"/>
            <w:left w:val="none" w:sz="0" w:space="0" w:color="auto"/>
            <w:bottom w:val="none" w:sz="0" w:space="0" w:color="auto"/>
            <w:right w:val="none" w:sz="0" w:space="0" w:color="auto"/>
          </w:divBdr>
        </w:div>
      </w:divsChild>
    </w:div>
    <w:div w:id="1605113092">
      <w:bodyDiv w:val="1"/>
      <w:marLeft w:val="0"/>
      <w:marRight w:val="0"/>
      <w:marTop w:val="0"/>
      <w:marBottom w:val="0"/>
      <w:divBdr>
        <w:top w:val="none" w:sz="0" w:space="0" w:color="auto"/>
        <w:left w:val="none" w:sz="0" w:space="0" w:color="auto"/>
        <w:bottom w:val="none" w:sz="0" w:space="0" w:color="auto"/>
        <w:right w:val="none" w:sz="0" w:space="0" w:color="auto"/>
      </w:divBdr>
    </w:div>
    <w:div w:id="1638605800">
      <w:bodyDiv w:val="1"/>
      <w:marLeft w:val="0"/>
      <w:marRight w:val="0"/>
      <w:marTop w:val="0"/>
      <w:marBottom w:val="0"/>
      <w:divBdr>
        <w:top w:val="none" w:sz="0" w:space="0" w:color="auto"/>
        <w:left w:val="none" w:sz="0" w:space="0" w:color="auto"/>
        <w:bottom w:val="none" w:sz="0" w:space="0" w:color="auto"/>
        <w:right w:val="none" w:sz="0" w:space="0" w:color="auto"/>
      </w:divBdr>
    </w:div>
    <w:div w:id="1642881048">
      <w:bodyDiv w:val="1"/>
      <w:marLeft w:val="0"/>
      <w:marRight w:val="0"/>
      <w:marTop w:val="0"/>
      <w:marBottom w:val="0"/>
      <w:divBdr>
        <w:top w:val="none" w:sz="0" w:space="0" w:color="auto"/>
        <w:left w:val="none" w:sz="0" w:space="0" w:color="auto"/>
        <w:bottom w:val="none" w:sz="0" w:space="0" w:color="auto"/>
        <w:right w:val="none" w:sz="0" w:space="0" w:color="auto"/>
      </w:divBdr>
    </w:div>
    <w:div w:id="1647736181">
      <w:bodyDiv w:val="1"/>
      <w:marLeft w:val="0"/>
      <w:marRight w:val="0"/>
      <w:marTop w:val="0"/>
      <w:marBottom w:val="0"/>
      <w:divBdr>
        <w:top w:val="none" w:sz="0" w:space="0" w:color="auto"/>
        <w:left w:val="none" w:sz="0" w:space="0" w:color="auto"/>
        <w:bottom w:val="none" w:sz="0" w:space="0" w:color="auto"/>
        <w:right w:val="none" w:sz="0" w:space="0" w:color="auto"/>
      </w:divBdr>
    </w:div>
    <w:div w:id="1650210009">
      <w:bodyDiv w:val="1"/>
      <w:marLeft w:val="0"/>
      <w:marRight w:val="0"/>
      <w:marTop w:val="0"/>
      <w:marBottom w:val="0"/>
      <w:divBdr>
        <w:top w:val="none" w:sz="0" w:space="0" w:color="auto"/>
        <w:left w:val="none" w:sz="0" w:space="0" w:color="auto"/>
        <w:bottom w:val="none" w:sz="0" w:space="0" w:color="auto"/>
        <w:right w:val="none" w:sz="0" w:space="0" w:color="auto"/>
      </w:divBdr>
    </w:div>
    <w:div w:id="1712077318">
      <w:bodyDiv w:val="1"/>
      <w:marLeft w:val="0"/>
      <w:marRight w:val="0"/>
      <w:marTop w:val="0"/>
      <w:marBottom w:val="0"/>
      <w:divBdr>
        <w:top w:val="none" w:sz="0" w:space="0" w:color="auto"/>
        <w:left w:val="none" w:sz="0" w:space="0" w:color="auto"/>
        <w:bottom w:val="none" w:sz="0" w:space="0" w:color="auto"/>
        <w:right w:val="none" w:sz="0" w:space="0" w:color="auto"/>
      </w:divBdr>
    </w:div>
    <w:div w:id="1781797788">
      <w:bodyDiv w:val="1"/>
      <w:marLeft w:val="0"/>
      <w:marRight w:val="0"/>
      <w:marTop w:val="0"/>
      <w:marBottom w:val="0"/>
      <w:divBdr>
        <w:top w:val="none" w:sz="0" w:space="0" w:color="auto"/>
        <w:left w:val="none" w:sz="0" w:space="0" w:color="auto"/>
        <w:bottom w:val="none" w:sz="0" w:space="0" w:color="auto"/>
        <w:right w:val="none" w:sz="0" w:space="0" w:color="auto"/>
      </w:divBdr>
    </w:div>
    <w:div w:id="1839034291">
      <w:bodyDiv w:val="1"/>
      <w:marLeft w:val="0"/>
      <w:marRight w:val="0"/>
      <w:marTop w:val="0"/>
      <w:marBottom w:val="0"/>
      <w:divBdr>
        <w:top w:val="none" w:sz="0" w:space="0" w:color="auto"/>
        <w:left w:val="none" w:sz="0" w:space="0" w:color="auto"/>
        <w:bottom w:val="none" w:sz="0" w:space="0" w:color="auto"/>
        <w:right w:val="none" w:sz="0" w:space="0" w:color="auto"/>
      </w:divBdr>
    </w:div>
    <w:div w:id="1842349114">
      <w:bodyDiv w:val="1"/>
      <w:marLeft w:val="0"/>
      <w:marRight w:val="0"/>
      <w:marTop w:val="0"/>
      <w:marBottom w:val="0"/>
      <w:divBdr>
        <w:top w:val="none" w:sz="0" w:space="0" w:color="auto"/>
        <w:left w:val="none" w:sz="0" w:space="0" w:color="auto"/>
        <w:bottom w:val="none" w:sz="0" w:space="0" w:color="auto"/>
        <w:right w:val="none" w:sz="0" w:space="0" w:color="auto"/>
      </w:divBdr>
    </w:div>
    <w:div w:id="1846746048">
      <w:bodyDiv w:val="1"/>
      <w:marLeft w:val="0"/>
      <w:marRight w:val="0"/>
      <w:marTop w:val="0"/>
      <w:marBottom w:val="0"/>
      <w:divBdr>
        <w:top w:val="none" w:sz="0" w:space="0" w:color="auto"/>
        <w:left w:val="none" w:sz="0" w:space="0" w:color="auto"/>
        <w:bottom w:val="none" w:sz="0" w:space="0" w:color="auto"/>
        <w:right w:val="none" w:sz="0" w:space="0" w:color="auto"/>
      </w:divBdr>
    </w:div>
    <w:div w:id="1902204021">
      <w:bodyDiv w:val="1"/>
      <w:marLeft w:val="0"/>
      <w:marRight w:val="0"/>
      <w:marTop w:val="0"/>
      <w:marBottom w:val="0"/>
      <w:divBdr>
        <w:top w:val="none" w:sz="0" w:space="0" w:color="auto"/>
        <w:left w:val="none" w:sz="0" w:space="0" w:color="auto"/>
        <w:bottom w:val="none" w:sz="0" w:space="0" w:color="auto"/>
        <w:right w:val="none" w:sz="0" w:space="0" w:color="auto"/>
      </w:divBdr>
      <w:divsChild>
        <w:div w:id="890071541">
          <w:marLeft w:val="0"/>
          <w:marRight w:val="0"/>
          <w:marTop w:val="0"/>
          <w:marBottom w:val="0"/>
          <w:divBdr>
            <w:top w:val="none" w:sz="0" w:space="0" w:color="auto"/>
            <w:left w:val="none" w:sz="0" w:space="0" w:color="auto"/>
            <w:bottom w:val="none" w:sz="0" w:space="0" w:color="auto"/>
            <w:right w:val="none" w:sz="0" w:space="0" w:color="auto"/>
          </w:divBdr>
        </w:div>
      </w:divsChild>
    </w:div>
    <w:div w:id="1928415103">
      <w:bodyDiv w:val="1"/>
      <w:marLeft w:val="0"/>
      <w:marRight w:val="0"/>
      <w:marTop w:val="0"/>
      <w:marBottom w:val="0"/>
      <w:divBdr>
        <w:top w:val="none" w:sz="0" w:space="0" w:color="auto"/>
        <w:left w:val="none" w:sz="0" w:space="0" w:color="auto"/>
        <w:bottom w:val="none" w:sz="0" w:space="0" w:color="auto"/>
        <w:right w:val="none" w:sz="0" w:space="0" w:color="auto"/>
      </w:divBdr>
      <w:divsChild>
        <w:div w:id="20784494">
          <w:marLeft w:val="0"/>
          <w:marRight w:val="0"/>
          <w:marTop w:val="0"/>
          <w:marBottom w:val="0"/>
          <w:divBdr>
            <w:top w:val="none" w:sz="0" w:space="0" w:color="auto"/>
            <w:left w:val="none" w:sz="0" w:space="0" w:color="auto"/>
            <w:bottom w:val="none" w:sz="0" w:space="0" w:color="auto"/>
            <w:right w:val="none" w:sz="0" w:space="0" w:color="auto"/>
          </w:divBdr>
        </w:div>
      </w:divsChild>
    </w:div>
    <w:div w:id="1960066973">
      <w:bodyDiv w:val="1"/>
      <w:marLeft w:val="0"/>
      <w:marRight w:val="0"/>
      <w:marTop w:val="0"/>
      <w:marBottom w:val="0"/>
      <w:divBdr>
        <w:top w:val="none" w:sz="0" w:space="0" w:color="auto"/>
        <w:left w:val="none" w:sz="0" w:space="0" w:color="auto"/>
        <w:bottom w:val="none" w:sz="0" w:space="0" w:color="auto"/>
        <w:right w:val="none" w:sz="0" w:space="0" w:color="auto"/>
      </w:divBdr>
    </w:div>
    <w:div w:id="1960182679">
      <w:bodyDiv w:val="1"/>
      <w:marLeft w:val="0"/>
      <w:marRight w:val="0"/>
      <w:marTop w:val="0"/>
      <w:marBottom w:val="0"/>
      <w:divBdr>
        <w:top w:val="none" w:sz="0" w:space="0" w:color="auto"/>
        <w:left w:val="none" w:sz="0" w:space="0" w:color="auto"/>
        <w:bottom w:val="none" w:sz="0" w:space="0" w:color="auto"/>
        <w:right w:val="none" w:sz="0" w:space="0" w:color="auto"/>
      </w:divBdr>
    </w:div>
    <w:div w:id="2020547117">
      <w:bodyDiv w:val="1"/>
      <w:marLeft w:val="0"/>
      <w:marRight w:val="0"/>
      <w:marTop w:val="0"/>
      <w:marBottom w:val="0"/>
      <w:divBdr>
        <w:top w:val="none" w:sz="0" w:space="0" w:color="auto"/>
        <w:left w:val="none" w:sz="0" w:space="0" w:color="auto"/>
        <w:bottom w:val="none" w:sz="0" w:space="0" w:color="auto"/>
        <w:right w:val="none" w:sz="0" w:space="0" w:color="auto"/>
      </w:divBdr>
    </w:div>
    <w:div w:id="2033995794">
      <w:bodyDiv w:val="1"/>
      <w:marLeft w:val="0"/>
      <w:marRight w:val="0"/>
      <w:marTop w:val="0"/>
      <w:marBottom w:val="0"/>
      <w:divBdr>
        <w:top w:val="none" w:sz="0" w:space="0" w:color="auto"/>
        <w:left w:val="none" w:sz="0" w:space="0" w:color="auto"/>
        <w:bottom w:val="none" w:sz="0" w:space="0" w:color="auto"/>
        <w:right w:val="none" w:sz="0" w:space="0" w:color="auto"/>
      </w:divBdr>
    </w:div>
    <w:div w:id="2041740638">
      <w:bodyDiv w:val="1"/>
      <w:marLeft w:val="0"/>
      <w:marRight w:val="0"/>
      <w:marTop w:val="0"/>
      <w:marBottom w:val="0"/>
      <w:divBdr>
        <w:top w:val="none" w:sz="0" w:space="0" w:color="auto"/>
        <w:left w:val="none" w:sz="0" w:space="0" w:color="auto"/>
        <w:bottom w:val="none" w:sz="0" w:space="0" w:color="auto"/>
        <w:right w:val="none" w:sz="0" w:space="0" w:color="auto"/>
      </w:divBdr>
    </w:div>
    <w:div w:id="2049866771">
      <w:bodyDiv w:val="1"/>
      <w:marLeft w:val="0"/>
      <w:marRight w:val="0"/>
      <w:marTop w:val="0"/>
      <w:marBottom w:val="0"/>
      <w:divBdr>
        <w:top w:val="none" w:sz="0" w:space="0" w:color="auto"/>
        <w:left w:val="none" w:sz="0" w:space="0" w:color="auto"/>
        <w:bottom w:val="none" w:sz="0" w:space="0" w:color="auto"/>
        <w:right w:val="none" w:sz="0" w:space="0" w:color="auto"/>
      </w:divBdr>
    </w:div>
    <w:div w:id="2065450814">
      <w:bodyDiv w:val="1"/>
      <w:marLeft w:val="0"/>
      <w:marRight w:val="0"/>
      <w:marTop w:val="0"/>
      <w:marBottom w:val="0"/>
      <w:divBdr>
        <w:top w:val="none" w:sz="0" w:space="0" w:color="auto"/>
        <w:left w:val="none" w:sz="0" w:space="0" w:color="auto"/>
        <w:bottom w:val="none" w:sz="0" w:space="0" w:color="auto"/>
        <w:right w:val="none" w:sz="0" w:space="0" w:color="auto"/>
      </w:divBdr>
    </w:div>
    <w:div w:id="2075618692">
      <w:bodyDiv w:val="1"/>
      <w:marLeft w:val="0"/>
      <w:marRight w:val="0"/>
      <w:marTop w:val="0"/>
      <w:marBottom w:val="0"/>
      <w:divBdr>
        <w:top w:val="none" w:sz="0" w:space="0" w:color="auto"/>
        <w:left w:val="none" w:sz="0" w:space="0" w:color="auto"/>
        <w:bottom w:val="none" w:sz="0" w:space="0" w:color="auto"/>
        <w:right w:val="none" w:sz="0" w:space="0" w:color="auto"/>
      </w:divBdr>
    </w:div>
    <w:div w:id="2084450824">
      <w:bodyDiv w:val="1"/>
      <w:marLeft w:val="0"/>
      <w:marRight w:val="0"/>
      <w:marTop w:val="0"/>
      <w:marBottom w:val="0"/>
      <w:divBdr>
        <w:top w:val="none" w:sz="0" w:space="0" w:color="auto"/>
        <w:left w:val="none" w:sz="0" w:space="0" w:color="auto"/>
        <w:bottom w:val="none" w:sz="0" w:space="0" w:color="auto"/>
        <w:right w:val="none" w:sz="0" w:space="0" w:color="auto"/>
      </w:divBdr>
    </w:div>
    <w:div w:id="2089837393">
      <w:bodyDiv w:val="1"/>
      <w:marLeft w:val="0"/>
      <w:marRight w:val="0"/>
      <w:marTop w:val="0"/>
      <w:marBottom w:val="0"/>
      <w:divBdr>
        <w:top w:val="none" w:sz="0" w:space="0" w:color="auto"/>
        <w:left w:val="none" w:sz="0" w:space="0" w:color="auto"/>
        <w:bottom w:val="none" w:sz="0" w:space="0" w:color="auto"/>
        <w:right w:val="none" w:sz="0" w:space="0" w:color="auto"/>
      </w:divBdr>
    </w:div>
    <w:div w:id="2126195680">
      <w:bodyDiv w:val="1"/>
      <w:marLeft w:val="0"/>
      <w:marRight w:val="0"/>
      <w:marTop w:val="0"/>
      <w:marBottom w:val="0"/>
      <w:divBdr>
        <w:top w:val="none" w:sz="0" w:space="0" w:color="auto"/>
        <w:left w:val="none" w:sz="0" w:space="0" w:color="auto"/>
        <w:bottom w:val="none" w:sz="0" w:space="0" w:color="auto"/>
        <w:right w:val="none" w:sz="0" w:space="0" w:color="auto"/>
      </w:divBdr>
    </w:div>
    <w:div w:id="2128313590">
      <w:bodyDiv w:val="1"/>
      <w:marLeft w:val="0"/>
      <w:marRight w:val="0"/>
      <w:marTop w:val="0"/>
      <w:marBottom w:val="0"/>
      <w:divBdr>
        <w:top w:val="none" w:sz="0" w:space="0" w:color="auto"/>
        <w:left w:val="none" w:sz="0" w:space="0" w:color="auto"/>
        <w:bottom w:val="none" w:sz="0" w:space="0" w:color="auto"/>
        <w:right w:val="none" w:sz="0" w:space="0" w:color="auto"/>
      </w:divBdr>
      <w:divsChild>
        <w:div w:id="674695342">
          <w:marLeft w:val="0"/>
          <w:marRight w:val="0"/>
          <w:marTop w:val="0"/>
          <w:marBottom w:val="0"/>
          <w:divBdr>
            <w:top w:val="none" w:sz="0" w:space="0" w:color="auto"/>
            <w:left w:val="none" w:sz="0" w:space="0" w:color="auto"/>
            <w:bottom w:val="none" w:sz="0" w:space="0" w:color="auto"/>
            <w:right w:val="none" w:sz="0" w:space="0" w:color="auto"/>
          </w:divBdr>
        </w:div>
      </w:divsChild>
    </w:div>
    <w:div w:id="2129160895">
      <w:bodyDiv w:val="1"/>
      <w:marLeft w:val="0"/>
      <w:marRight w:val="0"/>
      <w:marTop w:val="0"/>
      <w:marBottom w:val="0"/>
      <w:divBdr>
        <w:top w:val="none" w:sz="0" w:space="0" w:color="auto"/>
        <w:left w:val="none" w:sz="0" w:space="0" w:color="auto"/>
        <w:bottom w:val="none" w:sz="0" w:space="0" w:color="auto"/>
        <w:right w:val="none" w:sz="0" w:space="0" w:color="auto"/>
      </w:divBdr>
      <w:divsChild>
        <w:div w:id="758403304">
          <w:marLeft w:val="0"/>
          <w:marRight w:val="0"/>
          <w:marTop w:val="0"/>
          <w:marBottom w:val="0"/>
          <w:divBdr>
            <w:top w:val="none" w:sz="0" w:space="0" w:color="auto"/>
            <w:left w:val="none" w:sz="0" w:space="0" w:color="auto"/>
            <w:bottom w:val="none" w:sz="0" w:space="0" w:color="auto"/>
            <w:right w:val="none" w:sz="0" w:space="0" w:color="auto"/>
          </w:divBdr>
        </w:div>
      </w:divsChild>
    </w:div>
    <w:div w:id="2146969313">
      <w:bodyDiv w:val="1"/>
      <w:marLeft w:val="0"/>
      <w:marRight w:val="0"/>
      <w:marTop w:val="0"/>
      <w:marBottom w:val="0"/>
      <w:divBdr>
        <w:top w:val="none" w:sz="0" w:space="0" w:color="auto"/>
        <w:left w:val="none" w:sz="0" w:space="0" w:color="auto"/>
        <w:bottom w:val="none" w:sz="0" w:space="0" w:color="auto"/>
        <w:right w:val="none" w:sz="0" w:space="0" w:color="auto"/>
      </w:divBdr>
      <w:divsChild>
        <w:div w:id="1718309950">
          <w:marLeft w:val="0"/>
          <w:marRight w:val="0"/>
          <w:marTop w:val="0"/>
          <w:marBottom w:val="0"/>
          <w:divBdr>
            <w:top w:val="none" w:sz="0" w:space="0" w:color="auto"/>
            <w:left w:val="none" w:sz="0" w:space="0" w:color="auto"/>
            <w:bottom w:val="none" w:sz="0" w:space="0" w:color="auto"/>
            <w:right w:val="none" w:sz="0" w:space="0" w:color="auto"/>
          </w:divBdr>
        </w:div>
      </w:divsChild>
    </w:div>
    <w:div w:id="2147117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paraksts.lv/lv/par_mums/Jaunumi/Jauna_eParaksts_mobile_versija_nr12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labsoflatvia.com/aktuali/apvienojas-latvijas-kvantu-iniciativ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quantumlatvia.lu.lv/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ikumi.lv/ta/id/253494"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acibaspieaugusajiem.lv/par-projektu"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4715-par-digitalas-transformacijas-pamatnostadnem-20212027-gadam" TargetMode="External"/><Relationship Id="rId13" Type="http://schemas.openxmlformats.org/officeDocument/2006/relationships/hyperlink" Target="https://www.lmt.lv/lv/preses-relizes?g=2023&amp;pid=1202" TargetMode="External"/><Relationship Id="rId18" Type="http://schemas.openxmlformats.org/officeDocument/2006/relationships/hyperlink" Target="https://eur-lex.europa.eu/legal-content/LV/TXT/?uri=CELEX%3A52016DC0587" TargetMode="External"/><Relationship Id="rId26" Type="http://schemas.openxmlformats.org/officeDocument/2006/relationships/hyperlink" Target="https://eur-lex.europa.eu/eli/reg/2014/910/oj/?locale=LV" TargetMode="External"/><Relationship Id="rId3" Type="http://schemas.openxmlformats.org/officeDocument/2006/relationships/hyperlink" Target="https://likumi.lv/ta/id/324715-par-digitalas-transformacijas-pamatnostadnem-20212027-gadam" TargetMode="External"/><Relationship Id="rId21" Type="http://schemas.openxmlformats.org/officeDocument/2006/relationships/hyperlink" Target="https://eur-lex.europa.eu/legal-content/LV/TXT/PDF/?uri=CELEX:52022DC0045" TargetMode="External"/><Relationship Id="rId7" Type="http://schemas.openxmlformats.org/officeDocument/2006/relationships/hyperlink" Target="https://eur-lex.europa.eu/legal-content/LV/TXT/?uri=CELEX:52023XC0630(01)" TargetMode="External"/><Relationship Id="rId12" Type="http://schemas.openxmlformats.org/officeDocument/2006/relationships/hyperlink" Target="https://www.lmt.lv/lv/preses-relizes?g=2023&amp;pid=1189" TargetMode="External"/><Relationship Id="rId17" Type="http://schemas.openxmlformats.org/officeDocument/2006/relationships/hyperlink" Target="https://www.sam.gov.lv/lv/petijumi" TargetMode="External"/><Relationship Id="rId25" Type="http://schemas.openxmlformats.org/officeDocument/2006/relationships/hyperlink" Target="https://likumi.lv/ta/id/343184-par-eiropas-savienibas-atveselosanas-un-noturibas-mehanisma-plana-2-komponentes-digitala-transformacija-2-1-reformu-un" TargetMode="External"/><Relationship Id="rId2" Type="http://schemas.openxmlformats.org/officeDocument/2006/relationships/hyperlink" Target="https://likumi.lv/ta/id/315879-par-latvijas-nacionalo-attistibas-planu-20212027-gadam-nap2027" TargetMode="External"/><Relationship Id="rId16" Type="http://schemas.openxmlformats.org/officeDocument/2006/relationships/hyperlink" Target="https://stat.gov.lv/lv/statistikas-temas/iedzivotaji/iedzivotaju-skaits/tabulas/ird070-iedzivotaji-laukos-un-pilsetas-pec" TargetMode="External"/><Relationship Id="rId20" Type="http://schemas.openxmlformats.org/officeDocument/2006/relationships/hyperlink" Target="https://eur-lex.europa.eu/legal-content/LV/TXT/?uri=CELEX%3A52021DC0118" TargetMode="External"/><Relationship Id="rId29" Type="http://schemas.openxmlformats.org/officeDocument/2006/relationships/hyperlink" Target="https://ec.europa.eu/digital-building-blocks/wikis/display/EIDCOMMUNITY/Latvia" TargetMode="External"/><Relationship Id="rId1" Type="http://schemas.openxmlformats.org/officeDocument/2006/relationships/hyperlink" Target="https://eur-lex.europa.eu/legal-content/EN/TXT/?uri=pi_com%3AC%282023%294288" TargetMode="External"/><Relationship Id="rId6" Type="http://schemas.openxmlformats.org/officeDocument/2006/relationships/hyperlink" Target="https://commission.europa.eu/system/files/2023-04/Latvia_NRP_2023_LV.pdf" TargetMode="External"/><Relationship Id="rId11" Type="http://schemas.openxmlformats.org/officeDocument/2006/relationships/hyperlink" Target="https://digital-strategy.ec.europa.eu/en/policies/desi" TargetMode="External"/><Relationship Id="rId24" Type="http://schemas.openxmlformats.org/officeDocument/2006/relationships/hyperlink" Target="https://digital-strategy.ec.europa.eu/en/news/towards-next-generation-cloud-europe" TargetMode="External"/><Relationship Id="rId5" Type="http://schemas.openxmlformats.org/officeDocument/2006/relationships/hyperlink" Target="https://digital-strategy.ec.europa.eu/en/policies/desi-latvia" TargetMode="External"/><Relationship Id="rId15" Type="http://schemas.openxmlformats.org/officeDocument/2006/relationships/hyperlink" Target="https://kursors.lv/2023/09/25/tele2-5g-tikls-pieejams-63-latvijas-teritorijas/" TargetMode="External"/><Relationship Id="rId23" Type="http://schemas.openxmlformats.org/officeDocument/2006/relationships/hyperlink" Target="https://eur-lex.europa.eu/legal-content/LV/TXT/PDF/?uri=CELEX:52022DC0045" TargetMode="External"/><Relationship Id="rId28" Type="http://schemas.openxmlformats.org/officeDocument/2006/relationships/hyperlink" Target="https://eur-lex.europa.eu/legal-content/LV/TXT/HTML/?uri=CELEX:52022PC0197" TargetMode="External"/><Relationship Id="rId10" Type="http://schemas.openxmlformats.org/officeDocument/2006/relationships/hyperlink" Target="https://www.em.gov.lv/lv/darba-tirgus-zinojums" TargetMode="External"/><Relationship Id="rId19" Type="http://schemas.openxmlformats.org/officeDocument/2006/relationships/hyperlink" Target="https://eur-lex.europa.eu/legal-content/LV/TXT/?uri=CELEX%3A52020DC0067" TargetMode="External"/><Relationship Id="rId31" Type="http://schemas.openxmlformats.org/officeDocument/2006/relationships/hyperlink" Target="https://commission.europa.eu/system/files/2023-04/Latvia_NRP_2023_LV.pdf" TargetMode="External"/><Relationship Id="rId4" Type="http://schemas.openxmlformats.org/officeDocument/2006/relationships/hyperlink" Target="https://www.izm.gov.lv/lv/latvijas-kosmosa-strategija-2021-2027?utm_source=https%3A%2F%2Fwww.google.com%2F" TargetMode="External"/><Relationship Id="rId9" Type="http://schemas.openxmlformats.org/officeDocument/2006/relationships/hyperlink" Target="https://likumi.lv/ta/id/324332-par-izglitibas-attistibas-pamatnostadnem-20212027-gadam" TargetMode="External"/><Relationship Id="rId14" Type="http://schemas.openxmlformats.org/officeDocument/2006/relationships/hyperlink" Target="https://www.tvnet.lv/7879830/5g-tikls-var-butiski-palidzet-uznemumiem-biznesa-procesu-uzlabosana" TargetMode="External"/><Relationship Id="rId22" Type="http://schemas.openxmlformats.org/officeDocument/2006/relationships/hyperlink" Target="https://eur-lex.europa.eu/legal-content/LV/TXT/PDF/?uri=CELEX:52022DC0045" TargetMode="External"/><Relationship Id="rId27" Type="http://schemas.openxmlformats.org/officeDocument/2006/relationships/hyperlink" Target="https://toop.eu/once-only" TargetMode="External"/><Relationship Id="rId30" Type="http://schemas.openxmlformats.org/officeDocument/2006/relationships/hyperlink" Target="https://tapportals.mk.gov.lv/structuralizer/data/nodes/316d7c58-2130-4b6f-ab27-1ef62ffc1347/p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documenttasks/documenttasks1.xml><?xml version="1.0" encoding="utf-8"?>
<t:Tasks xmlns:t="http://schemas.microsoft.com/office/tasks/2019/documenttasks" xmlns:oel="http://schemas.microsoft.com/office/2019/extlst">
  <t:Task id="{24C58550-4F71-4C74-BCEF-4847A45F9A3D}">
    <t:Anchor>
      <t:Comment id="674693239"/>
    </t:Anchor>
    <t:History>
      <t:Event id="{83970C1C-2748-4B61-9761-8E3480FE2243}" time="2023-06-16T12:38:31.901Z">
        <t:Attribution userId="S::ElitaZvaigzne@varam.gov.lv::caa191f7-e994-4384-a644-784127fcf5f0" userProvider="AD" userName="Elita Zvaigzne"/>
        <t:Anchor>
          <t:Comment id="674693239"/>
        </t:Anchor>
        <t:Create/>
      </t:Event>
      <t:Event id="{43411156-E382-4D39-8E94-14E49BE57E97}" time="2023-06-16T12:38:31.901Z">
        <t:Attribution userId="S::ElitaZvaigzne@varam.gov.lv::caa191f7-e994-4384-a644-784127fcf5f0" userProvider="AD" userName="Elita Zvaigzne"/>
        <t:Anchor>
          <t:Comment id="674693239"/>
        </t:Anchor>
        <t:Assign userId="S::IngridaI@varam.gov.lv::6060fa36-9d2f-4b7a-99dc-b1e63072bd39" userProvider="AD" userName="Ingrīda Igaune"/>
      </t:Event>
      <t:Event id="{5477A931-9370-4BA6-9F3A-F1188E5C9BA8}" time="2023-06-16T12:38:31.901Z">
        <t:Attribution userId="S::ElitaZvaigzne@varam.gov.lv::caa191f7-e994-4384-a644-784127fcf5f0" userProvider="AD" userName="Elita Zvaigzne"/>
        <t:Anchor>
          <t:Comment id="674693239"/>
        </t:Anchor>
        <t:SetTitle title="Ingrīda, te vajadzētu ļoti īsi par politiku - šī brīža stāvokli; izaicinājumiem; stiprajām pusēm un resursiem, kas jāvelta. Bet tikai no ziņojuma, ja par minētajiem aspektiem ir kas teikts. Pārējo lai IZM raksta @Ingrīda Igaune "/>
      </t:Event>
    </t:History>
  </t:Task>
  <t:Task id="{A3806FBF-2523-485A-8105-8B1548F45D85}">
    <t:Anchor>
      <t:Comment id="681668523"/>
    </t:Anchor>
    <t:History>
      <t:Event id="{297001F2-D1F2-4AF5-8BC4-DA3C5194944A}" time="2023-09-05T06:13:15.602Z">
        <t:Attribution userId="S::ElitaZvaigzne@varam.gov.lv::caa191f7-e994-4384-a644-784127fcf5f0" userProvider="AD" userName="Elita Zvaigzne"/>
        <t:Anchor>
          <t:Comment id="681668523"/>
        </t:Anchor>
        <t:Create/>
      </t:Event>
      <t:Event id="{E9B7C060-D8F3-43E9-995E-5C0341C9321B}" time="2023-09-05T06:13:15.602Z">
        <t:Attribution userId="S::ElitaZvaigzne@varam.gov.lv::caa191f7-e994-4384-a644-784127fcf5f0" userProvider="AD" userName="Elita Zvaigzne"/>
        <t:Anchor>
          <t:Comment id="681668523"/>
        </t:Anchor>
        <t:Assign userId="S::Ilze.Auliciema@varam.gov.lv::249627e5-746b-450b-a201-f8b11a5e7702" userProvider="AD" userName="Ilze Auliciema"/>
      </t:Event>
      <t:Event id="{265C59AC-2763-4CB7-AB8D-5C13575C51B6}" time="2023-09-05T06:13:15.602Z">
        <t:Attribution userId="S::ElitaZvaigzne@varam.gov.lv::caa191f7-e994-4384-a644-784127fcf5f0" userProvider="AD" userName="Elita Zvaigzne"/>
        <t:Anchor>
          <t:Comment id="681668523"/>
        </t:Anchor>
        <t:SetTitle title="@Ilze Auliciema prognozētā trajektorija ir ceļakartes pamatā, nepieciešams iezīmēt. Tā ir prognozētā trajektorija, ko varēsim precizēt pēc 2gadiem ceļakartes pārskatīšanas laikā"/>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BF7E5CCFF64B549631AC5B15D99207"/>
        <w:category>
          <w:name w:val="General"/>
          <w:gallery w:val="placeholder"/>
        </w:category>
        <w:types>
          <w:type w:val="bbPlcHdr"/>
        </w:types>
        <w:behaviors>
          <w:behavior w:val="content"/>
        </w:behaviors>
        <w:guid w:val="{4C7AA591-4CC1-4F78-9DBF-64AAC84DF689}"/>
      </w:docPartPr>
      <w:docPartBody>
        <w:p w:rsidR="00A36AC5" w:rsidRDefault="00A36AC5"/>
      </w:docPartBody>
    </w:docPart>
    <w:docPart>
      <w:docPartPr>
        <w:name w:val="DE446AF687B945CE944B4209FB051FE9"/>
        <w:category>
          <w:name w:val="General"/>
          <w:gallery w:val="placeholder"/>
        </w:category>
        <w:types>
          <w:type w:val="bbPlcHdr"/>
        </w:types>
        <w:behaviors>
          <w:behavior w:val="content"/>
        </w:behaviors>
        <w:guid w:val="{C4EE56F3-BC23-445C-855E-D74228E32BAA}"/>
      </w:docPartPr>
      <w:docPartBody>
        <w:p w:rsidR="00A36AC5" w:rsidRDefault="00A36A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EC Square Sans Pro">
    <w:altName w:val="Bahnschrift Light"/>
    <w:charset w:val="00"/>
    <w:family w:val="swiss"/>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ng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36"/>
    <w:rsid w:val="00004DC7"/>
    <w:rsid w:val="00045547"/>
    <w:rsid w:val="0015528F"/>
    <w:rsid w:val="001C6D2F"/>
    <w:rsid w:val="001D373B"/>
    <w:rsid w:val="00261F2A"/>
    <w:rsid w:val="00263DDC"/>
    <w:rsid w:val="00265DB6"/>
    <w:rsid w:val="00285DE1"/>
    <w:rsid w:val="002C00D6"/>
    <w:rsid w:val="002C339A"/>
    <w:rsid w:val="002D3E2D"/>
    <w:rsid w:val="002E30DA"/>
    <w:rsid w:val="002E78B7"/>
    <w:rsid w:val="002F49E9"/>
    <w:rsid w:val="00300B6A"/>
    <w:rsid w:val="003350C5"/>
    <w:rsid w:val="003753E1"/>
    <w:rsid w:val="003F30EB"/>
    <w:rsid w:val="003F7AD5"/>
    <w:rsid w:val="00445531"/>
    <w:rsid w:val="004545E1"/>
    <w:rsid w:val="00467AD2"/>
    <w:rsid w:val="00487B05"/>
    <w:rsid w:val="00497749"/>
    <w:rsid w:val="004B43E0"/>
    <w:rsid w:val="004B526E"/>
    <w:rsid w:val="004E57FD"/>
    <w:rsid w:val="004E5D52"/>
    <w:rsid w:val="00504C42"/>
    <w:rsid w:val="005466F5"/>
    <w:rsid w:val="00566929"/>
    <w:rsid w:val="005A50F4"/>
    <w:rsid w:val="005C5318"/>
    <w:rsid w:val="005D6E2A"/>
    <w:rsid w:val="005F2209"/>
    <w:rsid w:val="00607336"/>
    <w:rsid w:val="0061438A"/>
    <w:rsid w:val="00625205"/>
    <w:rsid w:val="00671EF6"/>
    <w:rsid w:val="00674678"/>
    <w:rsid w:val="006A454B"/>
    <w:rsid w:val="006B547B"/>
    <w:rsid w:val="006E4262"/>
    <w:rsid w:val="006E7238"/>
    <w:rsid w:val="0075004B"/>
    <w:rsid w:val="00765A5E"/>
    <w:rsid w:val="007C2E12"/>
    <w:rsid w:val="00800D8B"/>
    <w:rsid w:val="008059F4"/>
    <w:rsid w:val="008D43AE"/>
    <w:rsid w:val="00952DD3"/>
    <w:rsid w:val="00953669"/>
    <w:rsid w:val="00972ED6"/>
    <w:rsid w:val="009A54E0"/>
    <w:rsid w:val="00A03302"/>
    <w:rsid w:val="00A26ED4"/>
    <w:rsid w:val="00A3624E"/>
    <w:rsid w:val="00A36AC5"/>
    <w:rsid w:val="00A3716F"/>
    <w:rsid w:val="00A77155"/>
    <w:rsid w:val="00A84CA4"/>
    <w:rsid w:val="00AA6C81"/>
    <w:rsid w:val="00AD0F47"/>
    <w:rsid w:val="00AF30A3"/>
    <w:rsid w:val="00B616A3"/>
    <w:rsid w:val="00B97737"/>
    <w:rsid w:val="00BB4613"/>
    <w:rsid w:val="00BC1A9E"/>
    <w:rsid w:val="00C15005"/>
    <w:rsid w:val="00C37186"/>
    <w:rsid w:val="00C61BF5"/>
    <w:rsid w:val="00C97FF1"/>
    <w:rsid w:val="00CD37AB"/>
    <w:rsid w:val="00D174E8"/>
    <w:rsid w:val="00D335B9"/>
    <w:rsid w:val="00D52959"/>
    <w:rsid w:val="00D52F98"/>
    <w:rsid w:val="00DC09AA"/>
    <w:rsid w:val="00DD0704"/>
    <w:rsid w:val="00E0523F"/>
    <w:rsid w:val="00E24AAE"/>
    <w:rsid w:val="00E359DE"/>
    <w:rsid w:val="00E457EA"/>
    <w:rsid w:val="00EB65C4"/>
    <w:rsid w:val="00F63B4D"/>
    <w:rsid w:val="00F73FF2"/>
    <w:rsid w:val="00F94D3E"/>
    <w:rsid w:val="00FA173C"/>
    <w:rsid w:val="00FA3B49"/>
    <w:rsid w:val="00FC32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7" ma:contentTypeDescription="Izveidot jaunu dokumentu." ma:contentTypeScope="" ma:versionID="9078bd0ed13cfe5a3bf8f0b68f90b03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6c017a4739c86e61732a6df26aafd558"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SharedWithUsers xmlns="7e61be5a-9f3f-46c0-883f-80dee6e80e67">
      <UserInfo>
        <DisplayName>Ilze Auliciema</DisplayName>
        <AccountId>982</AccountId>
        <AccountType/>
      </UserInfo>
      <UserInfo>
        <DisplayName>Rinalds Celmiņš</DisplayName>
        <AccountId>416</AccountId>
        <AccountType/>
      </UserInfo>
      <UserInfo>
        <DisplayName>Laura Gintere</DisplayName>
        <AccountId>67</AccountId>
        <AccountType/>
      </UserInfo>
      <UserInfo>
        <DisplayName>Arnis Skraučs</DisplayName>
        <AccountId>37</AccountId>
        <AccountType/>
      </UserInfo>
      <UserInfo>
        <DisplayName>Linda Miķelsone</DisplayName>
        <AccountId>285</AccountId>
        <AccountType/>
      </UserInfo>
      <UserInfo>
        <DisplayName>Kaspars Polis</DisplayName>
        <AccountId>497</AccountId>
        <AccountType/>
      </UserInfo>
      <UserInfo>
        <DisplayName>Elita Zvaigzne</DisplayName>
        <AccountId>29</AccountId>
        <AccountType/>
      </UserInfo>
      <UserInfo>
        <DisplayName>Maija Anspoka</DisplayName>
        <AccountId>23</AccountId>
        <AccountType/>
      </UserInfo>
    </SharedWithUsers>
  </documentManagement>
</p:properties>
</file>

<file path=customXml/item3.xml><?xml version="1.0" encoding="utf-8"?>
<Author Role="Creator" AuthorRoleName="Writer" AuthorRoleId="a4fbaff4-b07c-48b4-a21e-e7b9eedf3796">
  <Id>da4881df-b930-43d9-90b0-01ecae6ef121</Id>
  <Names>
    <Latin>
      <FirstName>Valentina</FirstName>
      <LastName>PARZIALE</LastName>
    </Latin>
    <Greek>
      <FirstName/>
      <LastName/>
    </Greek>
    <Cyrillic>
      <FirstName/>
      <LastName/>
    </Cyrillic>
    <DocumentScript>
      <FirstName>Valentina</FirstName>
      <LastName>PARZIALE</LastName>
      <FullName>Valentina PARZIALE</FullName>
    </DocumentScript>
  </Names>
  <Initials>VP</Initials>
  <Gender>f</Gender>
  <Email>Valentina.PARZIALE@ec.europa.eu</Email>
  <Service>CNECT.F.4.001</Service>
  <Function ADCode="" ShowInSignature="true" ShowInHeader="false" HeaderText=""/>
  <WebAddress/>
  <FunctionalMailbox/>
  <InheritedWebAddress>WebAddress</InheritedWebAddress>
  <OrgaEntity1>
    <Id>3e9b2b79-705a-491c-adaa-37da087c30e2</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8f98c06f-1c27-4e45-8921-75bddcf8d925</Id>
    <LogicalLevel>2</LogicalLevel>
    <Name>CNECT.F</Name>
    <HeadLine1>Digital Transformation</HeadLine1>
    <HeadLine2/>
    <PrimaryAddressId>f03b5801-04c9-4931-aa17-c6d6c70bc579</PrimaryAddressId>
    <SecondaryAddressId/>
    <WebAddress/>
    <InheritedWebAddress>WebAddress</InheritedWebAddress>
    <ShowInHeader>true</ShowInHeader>
  </OrgaEntity2>
  <OrgaEntity3>
    <Id>f236e687-1fb5-4464-aff4-d66c7c89d5c3</Id>
    <LogicalLevel>3</LogicalLevel>
    <Name>CNECT.F.4</Name>
    <HeadLine1>Digital Economy, Recovery Plan and Skills</HeadLine1>
    <HeadLine2/>
    <PrimaryAddressId>f03b5801-04c9-4931-aa17-c6d6c70bc579</PrimaryAddressId>
    <SecondaryAddressId/>
    <WebAddress/>
    <InheritedWebAddress>WebAddress</InheritedWebAddress>
    <ShowInHeader>true</ShowInHeader>
  </OrgaEntity3>
  <Hierarchy>
    <OrgaEntity>
      <Id>3e9b2b79-705a-491c-adaa-37da087c30e2</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
    <OrgaEntity>
      <Id>8f98c06f-1c27-4e45-8921-75bddcf8d925</Id>
      <LogicalLevel>2</LogicalLevel>
      <Name>CNECT.F</Name>
      <HeadLine1>Digital Transformation</HeadLine1>
      <HeadLine2/>
      <PrimaryAddressId>f03b5801-04c9-4931-aa17-c6d6c70bc579</PrimaryAddressId>
      <SecondaryAddressId/>
      <WebAddress/>
      <InheritedWebAddress>WebAddress</InheritedWebAddress>
      <ShowInHeader>true</ShowInHeader>
    </OrgaEntity>
    <OrgaEntity>
      <Id>f236e687-1fb5-4464-aff4-d66c7c89d5c3</Id>
      <LogicalLevel>3</LogicalLevel>
      <Name>CNECT.F.4</Name>
      <HeadLine1>Digital Economy, Recovery Plan and Skills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+32 229-83270</Phone>
    <Office>BU25 01/175</Office>
  </MainWorkplace>
  <Workplaces>
    <Workplace IsMain="true">
      <AddressId>f03b5801-04c9-4931-aa17-c6d6c70bc579</AddressId>
      <Fax/>
      <Phone>+32 229-83270</Phone>
      <Office>BU25 01/175</Office>
    </Workplace>
    <Workplace IsMain="false">
      <AddressId>1264fb81-f6bb-475e-9f9d-a937d3be6ee2</AddressId>
      <Fax/>
      <Phone/>
      <Office/>
    </Workplace>
  </Workplaces>
</Author>
</file>

<file path=customXml/item4.xml><?xml version="1.0" encoding="utf-8"?>
<EurolookProperties>
  <ProductCustomizationId>EC</ProductCustomizationId>
  <Created>
    <Version>10.0.43105.0</Version>
    <Date>2022-04-07T13:06:33</Date>
    <Language>EN</Language>
    <Note>Created using 'Convert To Eurolook'</Note>
  </Created>
  <Edited>
    <Version/>
    <Date/>
  </Edited>
  <DocumentModel>
    <Id>6cbda13a-4db2-46c6-876a-ef72275827ef</Id>
    <Name>Report</Name>
  </DocumentModel>
  <DocumentDate>2022-04-07T13:06:33</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istributionDG MetadataSerializationType="SimpleValue"/>
    <EC_SecurityDateMarkingDate MetadataSerializationType="SimpleValue"/>
    <EC_SecurityMarking MetadataSerializationType="SimpleValue"/>
  </DocumentMetadata>
</EurolookProperti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8379D-7A76-443C-8336-293120381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1690F-D391-422F-9098-AC9EADC57998}">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3.xml><?xml version="1.0" encoding="utf-8"?>
<ds:datastoreItem xmlns:ds="http://schemas.openxmlformats.org/officeDocument/2006/customXml" ds:itemID="{92A4A43F-CDB5-4868-8C00-8AE5264389DA}">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A71928F8-D8B9-4CA1-ADE5-0EBDABBB3BF6}">
  <ds:schemaRefs>
    <ds:schemaRef ds:uri="http://schemas.openxmlformats.org/officeDocument/2006/bibliography"/>
  </ds:schemaRefs>
</ds:datastoreItem>
</file>

<file path=customXml/itemProps7.xml><?xml version="1.0" encoding="utf-8"?>
<ds:datastoreItem xmlns:ds="http://schemas.openxmlformats.org/officeDocument/2006/customXml" ds:itemID="{10636B4A-4F0E-4334-A884-94AC7FA4E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121</Pages>
  <Words>216670</Words>
  <Characters>123503</Characters>
  <Application>Microsoft Office Word</Application>
  <DocSecurity>0</DocSecurity>
  <PresentationFormat>Microsoft Word 14.0</PresentationFormat>
  <Lines>1029</Lines>
  <Paragraphs>678</Paragraphs>
  <ScaleCrop>true</ScaleCrop>
  <HeadingPairs>
    <vt:vector size="2" baseType="variant">
      <vt:variant>
        <vt:lpstr>Title</vt:lpstr>
      </vt:variant>
      <vt:variant>
        <vt:i4>1</vt:i4>
      </vt:variant>
    </vt:vector>
  </HeadingPairs>
  <TitlesOfParts>
    <vt:vector size="1" baseType="lpstr">
      <vt:lpstr>Digitālās desmitgades
stratēģiskais ceļvedis Latvijai
līdz 2030.gadam</vt:lpstr>
    </vt:vector>
  </TitlesOfParts>
  <Company/>
  <LinksUpToDate>false</LinksUpToDate>
  <CharactersWithSpaces>339495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Digitālās desmitgades
stratēģiskais ceļvedis Latvijai
līdz 2030.gadam</dc:title>
  <dc:subject/>
  <dc:creator>PARZIALE Valentina (CNECT)</dc:creator>
  <cp:keywords/>
  <dc:description/>
  <cp:lastModifiedBy>Anda Zaļepska</cp:lastModifiedBy>
  <cp:revision>2</cp:revision>
  <dcterms:created xsi:type="dcterms:W3CDTF">2024-02-08T14:32:00Z</dcterms:created>
  <dcterms:modified xsi:type="dcterms:W3CDTF">2024-02-08T14:32:00Z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ContentTypeId">
    <vt:lpwstr>0x010100C2407A656F6F514882F54CB8A364491F</vt:lpwstr>
  </property>
  <property fmtid="{D5CDD505-2E9C-101B-9397-08002B2CF9AE}" pid="5" name="MSIP_Label_6bd9ddd1-4d20-43f6-abfa-fc3c07406f94_Enabled">
    <vt:lpwstr>true</vt:lpwstr>
  </property>
  <property fmtid="{D5CDD505-2E9C-101B-9397-08002B2CF9AE}" pid="6" name="MSIP_Label_6bd9ddd1-4d20-43f6-abfa-fc3c07406f94_SetDate">
    <vt:lpwstr>2022-04-25T13:15:58Z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b4c5c36c-5d42-4249-ae55-b44c307ccf79</vt:lpwstr>
  </property>
  <property fmtid="{D5CDD505-2E9C-101B-9397-08002B2CF9AE}" pid="11" name="MSIP_Label_6bd9ddd1-4d20-43f6-abfa-fc3c07406f94_ContentBits">
    <vt:lpwstr>0</vt:lpwstr>
  </property>
  <property fmtid="{D5CDD505-2E9C-101B-9397-08002B2CF9AE}" pid="12" name="_dlc_DocIdItemGuid">
    <vt:lpwstr>5edcf37e-8eb3-4a77-baf5-b010b66b68e3</vt:lpwstr>
  </property>
  <property fmtid="{D5CDD505-2E9C-101B-9397-08002B2CF9AE}" pid="13" name="MediaServiceImageTags">
    <vt:lpwstr/>
  </property>
</Properties>
</file>