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4E3E2" w14:textId="3FF4A167" w:rsidR="00496D8F" w:rsidRPr="00EC2467" w:rsidRDefault="00915399" w:rsidP="00496D8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915399">
        <w:rPr>
          <w:rFonts w:ascii="Times New Roman" w:eastAsia="Times New Roman" w:hAnsi="Times New Roman" w:cs="Calibri"/>
          <w:color w:val="333333"/>
          <w:sz w:val="28"/>
          <w:lang w:eastAsia="en-GB"/>
        </w:rPr>
        <w:t>"</w:t>
      </w:r>
      <w:r w:rsidR="00496D8F">
        <w:rPr>
          <w:rFonts w:ascii="Times New Roman" w:eastAsia="Times New Roman" w:hAnsi="Times New Roman" w:cs="Calibri"/>
          <w:color w:val="333333"/>
          <w:sz w:val="28"/>
          <w:lang w:eastAsia="en-GB"/>
        </w:rPr>
        <w:t>2. p</w:t>
      </w:r>
      <w:r w:rsidR="00496D8F"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33E754A1" w14:textId="77777777" w:rsidR="00496D8F" w:rsidRPr="00EC2467" w:rsidRDefault="00496D8F" w:rsidP="00496D8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4CA68452" w14:textId="77777777" w:rsidR="00496D8F" w:rsidRPr="00EC2467" w:rsidRDefault="00496D8F" w:rsidP="00496D8F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4. jūlija</w:t>
      </w:r>
    </w:p>
    <w:p w14:paraId="2B2F23D8" w14:textId="77777777" w:rsidR="00496D8F" w:rsidRDefault="00496D8F" w:rsidP="00496D8F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368</w:t>
      </w:r>
    </w:p>
    <w:p w14:paraId="4A7ED814" w14:textId="77777777" w:rsidR="00496D8F" w:rsidRDefault="00496D8F" w:rsidP="00F775F0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61A528DD" w14:textId="5A04515C" w:rsidR="00DD71DC" w:rsidRDefault="00DD71DC" w:rsidP="002E5C61">
      <w:pPr>
        <w:spacing w:after="0" w:line="240" w:lineRule="auto"/>
        <w:jc w:val="center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B44A2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Attīstības aktivitātes apraksts</w:t>
      </w:r>
    </w:p>
    <w:p w14:paraId="2BC74874" w14:textId="77777777" w:rsidR="00DD71DC" w:rsidRDefault="00DD71DC" w:rsidP="00496D8F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652"/>
        <w:gridCol w:w="6578"/>
        <w:gridCol w:w="283"/>
        <w:gridCol w:w="1276"/>
        <w:gridCol w:w="283"/>
      </w:tblGrid>
      <w:tr w:rsidR="00EA7478" w:rsidRPr="00AE5A42" w14:paraId="1C01CF6C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vAlign w:val="bottom"/>
            <w:hideMark/>
          </w:tcPr>
          <w:p w14:paraId="2E82D279" w14:textId="77777777" w:rsidR="00D92F17" w:rsidRPr="002E5C61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6578" w:type="dxa"/>
            <w:shd w:val="clear" w:color="auto" w:fill="E7E6E6" w:themeFill="background2"/>
            <w:vAlign w:val="bottom"/>
            <w:hideMark/>
          </w:tcPr>
          <w:p w14:paraId="6BD13A41" w14:textId="77777777" w:rsidR="00D92F17" w:rsidRPr="00F917B7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917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Institūcija</w:t>
            </w:r>
            <w:r w:rsidRPr="00F917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283" w:type="dxa"/>
            <w:shd w:val="clear" w:color="auto" w:fill="E7E6E6" w:themeFill="background2"/>
            <w:vAlign w:val="bottom"/>
            <w:hideMark/>
          </w:tcPr>
          <w:p w14:paraId="54B4C8B2" w14:textId="2FF59CBA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368442E2" w14:textId="77777777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Nozare</w:t>
            </w: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0B06B95D" w14:textId="48E3EA33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6AF6048F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0C7F2347" w14:textId="7C8A51B3" w:rsidR="00D92F17" w:rsidRPr="002E5C61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78" w:type="dxa"/>
            <w:shd w:val="clear" w:color="auto" w:fill="auto"/>
            <w:hideMark/>
          </w:tcPr>
          <w:p w14:paraId="04790163" w14:textId="616D40D4" w:rsidR="00D92F17" w:rsidRPr="00AE5A42" w:rsidRDefault="00BB34A0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Atbildīgā i</w:t>
            </w:r>
            <w:r w:rsidR="00D92F17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nstitūcija </w:t>
            </w:r>
            <w:r w:rsidR="003F3D82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–</w:t>
            </w:r>
            <w:r w:rsidR="00D92F17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A36080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attīstāmās </w:t>
            </w:r>
            <w:r w:rsidR="00D92F17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informācijas sistēmas pārzinis</w:t>
            </w:r>
          </w:p>
        </w:tc>
        <w:tc>
          <w:tcPr>
            <w:tcW w:w="283" w:type="dxa"/>
            <w:shd w:val="clear" w:color="auto" w:fill="E7E6E6" w:themeFill="background2"/>
            <w:vAlign w:val="bottom"/>
            <w:hideMark/>
          </w:tcPr>
          <w:p w14:paraId="3136D4FC" w14:textId="375CE826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14:paraId="1F958CDC" w14:textId="6A9C93D8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7498812" w14:textId="13E0C633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20DBD606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7B19E2F9" w14:textId="0242B933" w:rsidR="00D92F17" w:rsidRPr="002E5C61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2B256292" w14:textId="54C78044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hideMark/>
          </w:tcPr>
          <w:p w14:paraId="5443351C" w14:textId="04908707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3159443F" w14:textId="31204841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89BECE5" w14:textId="3E80A228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0C4B4F7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vAlign w:val="bottom"/>
            <w:hideMark/>
          </w:tcPr>
          <w:p w14:paraId="2CAE6CF0" w14:textId="77777777" w:rsidR="00D92F17" w:rsidRPr="002E5C61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6578" w:type="dxa"/>
            <w:shd w:val="clear" w:color="auto" w:fill="E7E6E6" w:themeFill="background2"/>
            <w:vAlign w:val="bottom"/>
            <w:hideMark/>
          </w:tcPr>
          <w:p w14:paraId="3A95F4FA" w14:textId="21A87867" w:rsidR="00D92F17" w:rsidRPr="00AE5A42" w:rsidRDefault="00D92F17" w:rsidP="00017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F4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Attīstības aktivitātes nosaukums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25E3E0BB" w14:textId="3798C540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32312B78" w14:textId="7AD3FA71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71110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VIRSIS</w:t>
            </w:r>
            <w:r w:rsidR="00F344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 xml:space="preserve"> </w:t>
            </w:r>
            <w:r w:rsidR="007111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Nr.</w:t>
            </w: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235D63A7" w14:textId="2443C7B4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68576C7A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255F4385" w14:textId="313BCB38" w:rsidR="00D92F17" w:rsidRPr="002E5C61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78" w:type="dxa"/>
            <w:shd w:val="clear" w:color="auto" w:fill="auto"/>
            <w:hideMark/>
          </w:tcPr>
          <w:p w14:paraId="52AE0C59" w14:textId="5DEFFB15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Nosaukums un attīstāmās informācijas sistēmas VIRSIS identifikators, ja tāds ir piešķirts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7A1C93A9" w14:textId="5A80495E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14:paraId="3559B8BA" w14:textId="57511995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E1074A3" w14:textId="5D4F571F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4C281F8C" w14:textId="77777777" w:rsidTr="002E5C61">
        <w:trPr>
          <w:trHeight w:val="284"/>
        </w:trPr>
        <w:tc>
          <w:tcPr>
            <w:tcW w:w="652" w:type="dxa"/>
            <w:shd w:val="clear" w:color="auto" w:fill="E7E6E6" w:themeFill="background2"/>
            <w:hideMark/>
          </w:tcPr>
          <w:p w14:paraId="7CE9674C" w14:textId="068B74D7" w:rsidR="00D92F17" w:rsidRPr="002E5C61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212CCCCA" w14:textId="2F0E1FD8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hideMark/>
          </w:tcPr>
          <w:p w14:paraId="4EB936BA" w14:textId="4BE85CBD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32755324" w14:textId="47CE32FA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5A035030" w14:textId="4C867E2E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9692AFB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3A4F1D18" w14:textId="77777777" w:rsidR="00D92F17" w:rsidRPr="002E5C61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081BF664" w14:textId="77777777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F4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Satura īss apraksts</w:t>
            </w:r>
            <w:r w:rsidRPr="00AE5A4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33C8178C" w14:textId="2C3A8C23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hideMark/>
          </w:tcPr>
          <w:p w14:paraId="1E3C18B3" w14:textId="5EA390FD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028C3F68" w14:textId="43FE116D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37D97E59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32A2D3DA" w14:textId="77777777" w:rsidR="00D92F17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3.1.</w:t>
            </w:r>
          </w:p>
        </w:tc>
        <w:tc>
          <w:tcPr>
            <w:tcW w:w="6578" w:type="dxa"/>
            <w:shd w:val="clear" w:color="auto" w:fill="auto"/>
            <w:hideMark/>
          </w:tcPr>
          <w:p w14:paraId="2BA6158F" w14:textId="77777777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Risināmā problēma (līdz 2000 rakstu zīmēm)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1D95CDBE" w14:textId="5D1EED82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hideMark/>
          </w:tcPr>
          <w:p w14:paraId="1702ADBE" w14:textId="04EF626F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5CD022F2" w14:textId="6E9FFC03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23C397D6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2DD0ED68" w14:textId="77777777" w:rsidR="00D92F17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3.2.</w:t>
            </w:r>
          </w:p>
        </w:tc>
        <w:tc>
          <w:tcPr>
            <w:tcW w:w="6578" w:type="dxa"/>
            <w:shd w:val="clear" w:color="auto" w:fill="auto"/>
            <w:hideMark/>
          </w:tcPr>
          <w:p w14:paraId="433076CA" w14:textId="77777777" w:rsidR="00D92F17" w:rsidRPr="00AE5A42" w:rsidRDefault="00D92F17" w:rsidP="00D92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Galvenās darbības (līdz 2000 rakstu zīmēm par katru no darbībām, tās numurējot, nodalot atsevišķās rindās un norādot indikatīvo finansējumu katrai no darbībām)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3549EC37" w14:textId="068A896B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hideMark/>
          </w:tcPr>
          <w:p w14:paraId="6FF7C2BC" w14:textId="0A93E811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0EF68E73" w14:textId="673A9A15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490F01E6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21A4C037" w14:textId="77777777" w:rsidR="00D92F17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3.3</w:t>
            </w:r>
            <w:r w:rsidRPr="00AE5A42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6578" w:type="dxa"/>
            <w:shd w:val="clear" w:color="auto" w:fill="auto"/>
            <w:hideMark/>
          </w:tcPr>
          <w:p w14:paraId="486EBECB" w14:textId="0BC684A6" w:rsidR="002D656F" w:rsidRPr="00AE5A42" w:rsidRDefault="00D92F17" w:rsidP="00F775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Sasniedzamais rezultāts (līdz 2000 rakstu zīmēm)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5B9A5028" w14:textId="59DB7F50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hideMark/>
          </w:tcPr>
          <w:p w14:paraId="4A01E346" w14:textId="4E360386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578DEFA" w14:textId="09321B1A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69EA05F2" w14:textId="77777777" w:rsidTr="002E5C61">
        <w:trPr>
          <w:trHeight w:val="151"/>
        </w:trPr>
        <w:tc>
          <w:tcPr>
            <w:tcW w:w="652" w:type="dxa"/>
            <w:shd w:val="clear" w:color="auto" w:fill="E7E6E6" w:themeFill="background2"/>
          </w:tcPr>
          <w:p w14:paraId="5879CB9A" w14:textId="77777777" w:rsidR="006D7747" w:rsidRPr="00AE5A42" w:rsidRDefault="006D774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</w:tcPr>
          <w:p w14:paraId="5384C0B7" w14:textId="77777777" w:rsidR="006D7747" w:rsidRPr="00AE5A42" w:rsidRDefault="006D774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26E20A4B" w14:textId="77777777" w:rsidR="006D7747" w:rsidRPr="00AE5A42" w:rsidRDefault="006D774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48B1A29B" w14:textId="77777777" w:rsidR="006D7747" w:rsidRPr="00AE5A42" w:rsidRDefault="006D774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61B7F976" w14:textId="77777777" w:rsidR="006D7747" w:rsidRPr="00AE5A42" w:rsidRDefault="006D774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66A805EA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vAlign w:val="bottom"/>
            <w:hideMark/>
          </w:tcPr>
          <w:p w14:paraId="5FC8AFAA" w14:textId="77777777" w:rsidR="00D92F17" w:rsidRPr="002E5C61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6578" w:type="dxa"/>
            <w:shd w:val="clear" w:color="auto" w:fill="E7E6E6" w:themeFill="background2"/>
            <w:vAlign w:val="bottom"/>
            <w:hideMark/>
          </w:tcPr>
          <w:p w14:paraId="3108082A" w14:textId="330BBAC5" w:rsidR="00D92F17" w:rsidRPr="00DF436E" w:rsidRDefault="00D92F17" w:rsidP="00B4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F4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Ietekme uz citām informācijas sistēmām</w:t>
            </w:r>
          </w:p>
        </w:tc>
        <w:tc>
          <w:tcPr>
            <w:tcW w:w="283" w:type="dxa"/>
            <w:shd w:val="clear" w:color="auto" w:fill="E7E6E6" w:themeFill="background2"/>
            <w:vAlign w:val="bottom"/>
            <w:hideMark/>
          </w:tcPr>
          <w:p w14:paraId="1C2E1352" w14:textId="6408D3E2" w:rsidR="00D92F17" w:rsidRPr="00AE5A42" w:rsidRDefault="00D92F17" w:rsidP="00B43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2EA7DF05" w14:textId="54B003F1" w:rsidR="00D92F17" w:rsidRPr="00AE5A42" w:rsidRDefault="00711109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71110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VIRSIS</w:t>
            </w:r>
            <w:r w:rsidR="00F344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Nr.</w:t>
            </w:r>
          </w:p>
        </w:tc>
        <w:tc>
          <w:tcPr>
            <w:tcW w:w="283" w:type="dxa"/>
            <w:shd w:val="clear" w:color="auto" w:fill="E7E6E6" w:themeFill="background2"/>
            <w:vAlign w:val="bottom"/>
            <w:hideMark/>
          </w:tcPr>
          <w:p w14:paraId="79239F6D" w14:textId="41B56768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13248A24" w14:textId="77777777" w:rsidTr="002E5C61">
        <w:trPr>
          <w:trHeight w:val="765"/>
        </w:trPr>
        <w:tc>
          <w:tcPr>
            <w:tcW w:w="652" w:type="dxa"/>
            <w:shd w:val="clear" w:color="auto" w:fill="E7E6E6" w:themeFill="background2"/>
            <w:hideMark/>
          </w:tcPr>
          <w:p w14:paraId="56F7E2CF" w14:textId="6EB3BB97" w:rsidR="00604376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4.1.</w:t>
            </w:r>
          </w:p>
        </w:tc>
        <w:tc>
          <w:tcPr>
            <w:tcW w:w="6578" w:type="dxa"/>
            <w:shd w:val="clear" w:color="auto" w:fill="auto"/>
            <w:hideMark/>
          </w:tcPr>
          <w:p w14:paraId="5619802E" w14:textId="0030905D" w:rsidR="00604376" w:rsidRPr="00AE5A42" w:rsidRDefault="00D92F17" w:rsidP="00D92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Aizvietojamās </w:t>
            </w:r>
            <w:r w:rsidR="00604376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un ietekmētās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informācijas sistēmas</w:t>
            </w:r>
            <w:r w:rsidR="00FB70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.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</w:p>
          <w:p w14:paraId="4337E129" w14:textId="621EE0AD" w:rsidR="007A50BC" w:rsidRDefault="00D92F17" w:rsidP="00D92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Katrai ietekmētai</w:t>
            </w:r>
            <w:r w:rsidR="00604376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(</w:t>
            </w:r>
            <w:r w:rsidR="00F775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604376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aizvietojamai, ja tādas ir)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informācijas sistēmai</w:t>
            </w:r>
            <w:r w:rsidR="00EA3702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atvēl vienu rindu</w:t>
            </w:r>
            <w:r w:rsidR="00EA3702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 aprakst</w:t>
            </w:r>
            <w:r w:rsidR="00604376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ot</w:t>
            </w:r>
            <w:r w:rsidR="00EA3702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ietekmi</w:t>
            </w:r>
            <w:r w:rsidR="00604376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uz konkrēto sistēmu. </w:t>
            </w:r>
          </w:p>
          <w:p w14:paraId="18881BA4" w14:textId="07AE4273" w:rsidR="00763C1E" w:rsidRPr="00AE5A42" w:rsidRDefault="00604376" w:rsidP="00D92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Norāda arī saskarņu izmaiņu būtiski ietekmētās informācijas sistēmas</w:t>
            </w:r>
            <w:r w:rsidR="00D92F17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. </w:t>
            </w:r>
          </w:p>
          <w:p w14:paraId="7EC50240" w14:textId="634788CA" w:rsidR="00436320" w:rsidRPr="00AE5A42" w:rsidRDefault="00D92F17" w:rsidP="00F77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Norāda </w:t>
            </w:r>
            <w:r w:rsidR="00604376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ietekmēto </w:t>
            </w:r>
            <w:r w:rsidR="001B3F66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informācijas </w:t>
            </w:r>
            <w:r w:rsidR="00604376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sistēmu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VIRSIS identifikatoru</w:t>
            </w:r>
            <w:r w:rsidR="00604376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66F45665" w14:textId="4A57A4E5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6A3585A" w14:textId="77777777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0381519C" w14:textId="62466BBE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4916F328" w14:textId="77777777" w:rsidTr="002E5C61">
        <w:trPr>
          <w:trHeight w:val="397"/>
        </w:trPr>
        <w:tc>
          <w:tcPr>
            <w:tcW w:w="652" w:type="dxa"/>
            <w:shd w:val="clear" w:color="auto" w:fill="E7E6E6" w:themeFill="background2"/>
            <w:hideMark/>
          </w:tcPr>
          <w:p w14:paraId="7BD450F4" w14:textId="4612CFD3" w:rsidR="00D92F17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4.2.</w:t>
            </w:r>
          </w:p>
        </w:tc>
        <w:tc>
          <w:tcPr>
            <w:tcW w:w="6578" w:type="dxa"/>
            <w:shd w:val="clear" w:color="auto" w:fill="auto"/>
            <w:hideMark/>
          </w:tcPr>
          <w:p w14:paraId="2DD55206" w14:textId="77777777" w:rsidR="00FB70DB" w:rsidRDefault="00D92F17" w:rsidP="0068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Dati, kas tiks saņemti vai nodoti citām informācijas sistēmām. </w:t>
            </w:r>
          </w:p>
          <w:p w14:paraId="1B32A498" w14:textId="1F5DB42B" w:rsidR="00EA3702" w:rsidRPr="00AE5A42" w:rsidRDefault="00D92F17" w:rsidP="0068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Datus grupē pa informācijas sistēmu rindām, norādot attiecīgo informācijas sistēmu VIRSIS identifikatorus 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00E109C1" w14:textId="68D59A54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43FDCDF" w14:textId="77777777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310933DA" w14:textId="42A033D0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69E51D8" w14:textId="77777777" w:rsidTr="002E5C61">
        <w:trPr>
          <w:trHeight w:val="454"/>
        </w:trPr>
        <w:tc>
          <w:tcPr>
            <w:tcW w:w="652" w:type="dxa"/>
            <w:shd w:val="clear" w:color="auto" w:fill="E7E6E6" w:themeFill="background2"/>
            <w:hideMark/>
          </w:tcPr>
          <w:p w14:paraId="107B31E1" w14:textId="77777777" w:rsidR="00D92F17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4.3.</w:t>
            </w:r>
          </w:p>
        </w:tc>
        <w:tc>
          <w:tcPr>
            <w:tcW w:w="6578" w:type="dxa"/>
            <w:shd w:val="clear" w:color="auto" w:fill="auto"/>
            <w:hideMark/>
          </w:tcPr>
          <w:p w14:paraId="6135513D" w14:textId="579F7FB9" w:rsidR="00D92F17" w:rsidRPr="00AE5A42" w:rsidRDefault="00D92F17" w:rsidP="00D92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Informācija par attīstāmām koplietošanas komponentēm un pakalpojumiem (līdz 500</w:t>
            </w:r>
            <w:r w:rsidR="00FB70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 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rakstu zīmēm par katru, nodalot atsevišķās rindās. VIRSIS identifikatoru komponentēm norāda, ja tas ir piešķirts</w:t>
            </w:r>
            <w:r w:rsidR="007A50B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557A7C75" w14:textId="1CF3C9FB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705728A" w14:textId="77777777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0707F067" w14:textId="16F07999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3CF6F805" w14:textId="77777777" w:rsidTr="002E5C61">
        <w:trPr>
          <w:trHeight w:val="151"/>
        </w:trPr>
        <w:tc>
          <w:tcPr>
            <w:tcW w:w="652" w:type="dxa"/>
            <w:shd w:val="clear" w:color="auto" w:fill="E7E6E6" w:themeFill="background2"/>
          </w:tcPr>
          <w:p w14:paraId="36C88F01" w14:textId="77777777" w:rsidR="00644294" w:rsidRPr="00AE5A42" w:rsidRDefault="00644294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</w:tcPr>
          <w:p w14:paraId="4722E21E" w14:textId="77777777" w:rsidR="00644294" w:rsidRPr="00AE5A42" w:rsidRDefault="00644294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2049810D" w14:textId="77777777" w:rsidR="00644294" w:rsidRPr="00AE5A42" w:rsidRDefault="00644294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3EE895A2" w14:textId="77777777" w:rsidR="00644294" w:rsidRPr="00AE5A42" w:rsidRDefault="00644294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7BC12D62" w14:textId="77777777" w:rsidR="00644294" w:rsidRPr="00AE5A42" w:rsidRDefault="00644294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775F0" w:rsidRPr="00AE5A42" w14:paraId="7859B5C8" w14:textId="77777777" w:rsidTr="002E5C61">
        <w:trPr>
          <w:trHeight w:val="151"/>
        </w:trPr>
        <w:tc>
          <w:tcPr>
            <w:tcW w:w="652" w:type="dxa"/>
            <w:shd w:val="clear" w:color="auto" w:fill="E7E6E6" w:themeFill="background2"/>
          </w:tcPr>
          <w:p w14:paraId="24394D08" w14:textId="2909C719" w:rsidR="00F775F0" w:rsidRPr="00AE5A42" w:rsidRDefault="00F775F0" w:rsidP="00EA74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E9325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6578" w:type="dxa"/>
            <w:shd w:val="clear" w:color="auto" w:fill="E7E6E6" w:themeFill="background2"/>
          </w:tcPr>
          <w:p w14:paraId="454CF99C" w14:textId="64ABC0F3" w:rsidR="00F775F0" w:rsidRPr="00AE5A42" w:rsidRDefault="00F775F0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  <w:r w:rsidRPr="00DF4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Tehnoloģiskais raksturojums</w:t>
            </w:r>
          </w:p>
        </w:tc>
        <w:tc>
          <w:tcPr>
            <w:tcW w:w="283" w:type="dxa"/>
            <w:shd w:val="clear" w:color="auto" w:fill="E7E6E6" w:themeFill="background2"/>
          </w:tcPr>
          <w:p w14:paraId="3510A566" w14:textId="77777777" w:rsidR="00F775F0" w:rsidRPr="00AE5A42" w:rsidRDefault="00F775F0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5AA5F7B8" w14:textId="1A10E005" w:rsidR="00F775F0" w:rsidRPr="002E5C61" w:rsidRDefault="00F775F0" w:rsidP="002E5C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Prasību izpilde</w:t>
            </w: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2C1D3A7E" w14:textId="77777777" w:rsidR="00F775F0" w:rsidRPr="00AE5A42" w:rsidRDefault="00F775F0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3628C8C9" w14:textId="77777777" w:rsidTr="002E5C61">
        <w:trPr>
          <w:trHeight w:val="227"/>
        </w:trPr>
        <w:tc>
          <w:tcPr>
            <w:tcW w:w="652" w:type="dxa"/>
            <w:shd w:val="clear" w:color="auto" w:fill="E7E6E6" w:themeFill="background2"/>
            <w:hideMark/>
          </w:tcPr>
          <w:p w14:paraId="4E08A9C0" w14:textId="4F9859A1" w:rsidR="00415F29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</w:t>
            </w:r>
          </w:p>
        </w:tc>
        <w:tc>
          <w:tcPr>
            <w:tcW w:w="6578" w:type="dxa"/>
            <w:shd w:val="clear" w:color="auto" w:fill="auto"/>
            <w:hideMark/>
          </w:tcPr>
          <w:p w14:paraId="3D651B25" w14:textId="56587FC5" w:rsidR="00AD7D3E" w:rsidRPr="00AE5A42" w:rsidRDefault="00D92F17" w:rsidP="00772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Kiberdrošība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6ACF1F99" w14:textId="1C2A8AA6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hideMark/>
          </w:tcPr>
          <w:p w14:paraId="26FC2386" w14:textId="22759D8D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hideMark/>
          </w:tcPr>
          <w:p w14:paraId="31EB97BC" w14:textId="152A0231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A7478" w:rsidRPr="00AE5A42" w14:paraId="48DD9A24" w14:textId="77777777" w:rsidTr="002E5C61">
        <w:trPr>
          <w:trHeight w:val="397"/>
        </w:trPr>
        <w:tc>
          <w:tcPr>
            <w:tcW w:w="652" w:type="dxa"/>
            <w:shd w:val="clear" w:color="auto" w:fill="E7E6E6" w:themeFill="background2"/>
          </w:tcPr>
          <w:p w14:paraId="4066C34A" w14:textId="4D87F0DE" w:rsidR="00772217" w:rsidRPr="00AE5A42" w:rsidRDefault="005A385F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5.1.1.</w:t>
            </w:r>
          </w:p>
        </w:tc>
        <w:tc>
          <w:tcPr>
            <w:tcW w:w="6578" w:type="dxa"/>
            <w:shd w:val="clear" w:color="auto" w:fill="auto"/>
          </w:tcPr>
          <w:p w14:paraId="415EB7C3" w14:textId="7294301D" w:rsidR="00772217" w:rsidRPr="00E93773" w:rsidRDefault="00772217" w:rsidP="0038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Par informācijas tehnoloģiju drošības pārvaldību atbildīgā persona (ja drošības pārvaldības </w:t>
            </w:r>
            <w:r w:rsidR="00FB70D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organizēšan</w:t>
            </w:r>
            <w:r w:rsidR="00FB70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ā</w:t>
            </w:r>
            <w:r w:rsidR="00FB70D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ir iesaistīts ārpakalpojumu sniedzējs</w:t>
            </w:r>
            <w:r w:rsidR="00F775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</w:t>
            </w:r>
            <w:r w:rsidR="00F775F0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-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</w:t>
            </w:r>
            <w:r w:rsidR="00F775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, </w:t>
            </w:r>
            <w:r w:rsidR="00FB70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norādīt</w:t>
            </w:r>
            <w:r w:rsidR="00FB70D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to</w:t>
            </w:r>
            <w:r w:rsidR="0033359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(-s)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283" w:type="dxa"/>
            <w:shd w:val="clear" w:color="auto" w:fill="E7E6E6" w:themeFill="background2"/>
          </w:tcPr>
          <w:p w14:paraId="69BC916C" w14:textId="77777777" w:rsidR="00772217" w:rsidRPr="00AE5A42" w:rsidRDefault="007722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223D76C" w14:textId="77777777" w:rsidR="00772217" w:rsidRPr="00AE5A42" w:rsidRDefault="007722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340BEF06" w14:textId="77777777" w:rsidR="00772217" w:rsidRPr="00AE5A42" w:rsidRDefault="007722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A7478" w:rsidRPr="00AE5A42" w14:paraId="4A5BF501" w14:textId="77777777" w:rsidTr="002E5C61">
        <w:trPr>
          <w:trHeight w:val="397"/>
        </w:trPr>
        <w:tc>
          <w:tcPr>
            <w:tcW w:w="652" w:type="dxa"/>
            <w:shd w:val="clear" w:color="auto" w:fill="E7E6E6" w:themeFill="background2"/>
          </w:tcPr>
          <w:p w14:paraId="41AECAEC" w14:textId="22F0C297" w:rsidR="00772217" w:rsidRPr="00AE5A42" w:rsidRDefault="005A385F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5.1.2.</w:t>
            </w:r>
          </w:p>
        </w:tc>
        <w:tc>
          <w:tcPr>
            <w:tcW w:w="6578" w:type="dxa"/>
            <w:shd w:val="clear" w:color="auto" w:fill="auto"/>
          </w:tcPr>
          <w:p w14:paraId="69AB8591" w14:textId="6467457A" w:rsidR="00772217" w:rsidRPr="00E93773" w:rsidRDefault="00772217" w:rsidP="0038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Informācijas sistēmas drošības kategorija un tās pamatojums ar pieejamības, integritātes un konfidencialitātes prasībām saskaņā ar MK not. Nr. </w:t>
            </w:r>
            <w:r w:rsidR="00B0575E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442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1</w:t>
            </w:r>
          </w:p>
        </w:tc>
        <w:tc>
          <w:tcPr>
            <w:tcW w:w="283" w:type="dxa"/>
            <w:shd w:val="clear" w:color="auto" w:fill="E7E6E6" w:themeFill="background2"/>
          </w:tcPr>
          <w:p w14:paraId="742FF09A" w14:textId="77777777" w:rsidR="00772217" w:rsidRPr="00AE5A42" w:rsidRDefault="007722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E2E377B" w14:textId="77777777" w:rsidR="00772217" w:rsidRPr="00AE5A42" w:rsidRDefault="007722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7E136D7B" w14:textId="77777777" w:rsidR="00772217" w:rsidRPr="00AE5A42" w:rsidRDefault="007722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A7478" w:rsidRPr="00AE5A42" w14:paraId="31B84C0D" w14:textId="77777777" w:rsidTr="002E5C61">
        <w:trPr>
          <w:trHeight w:val="397"/>
        </w:trPr>
        <w:tc>
          <w:tcPr>
            <w:tcW w:w="652" w:type="dxa"/>
            <w:shd w:val="clear" w:color="auto" w:fill="E7E6E6" w:themeFill="background2"/>
          </w:tcPr>
          <w:p w14:paraId="33D482B1" w14:textId="0965D06F" w:rsidR="00772217" w:rsidRPr="00AE5A42" w:rsidRDefault="005A385F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5.1.3.</w:t>
            </w:r>
          </w:p>
        </w:tc>
        <w:tc>
          <w:tcPr>
            <w:tcW w:w="6578" w:type="dxa"/>
            <w:shd w:val="clear" w:color="auto" w:fill="auto"/>
          </w:tcPr>
          <w:p w14:paraId="7AA68814" w14:textId="68E145BD" w:rsidR="00772217" w:rsidRPr="00E93773" w:rsidRDefault="00772217" w:rsidP="0038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Informācijas sistēmas drošības pārvaldības organizēšanas kārtība (piemēram</w:t>
            </w:r>
            <w:r w:rsidR="00FB70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organizatoriskie un tehniskie drošības pasākumi) (līdz 500 rakstu zīmēm)</w:t>
            </w:r>
          </w:p>
        </w:tc>
        <w:tc>
          <w:tcPr>
            <w:tcW w:w="283" w:type="dxa"/>
            <w:shd w:val="clear" w:color="auto" w:fill="E7E6E6" w:themeFill="background2"/>
          </w:tcPr>
          <w:p w14:paraId="61BF67EA" w14:textId="77777777" w:rsidR="00772217" w:rsidRPr="00AE5A42" w:rsidRDefault="007722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7027792" w14:textId="77777777" w:rsidR="00772217" w:rsidRPr="00AE5A42" w:rsidRDefault="007722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04B1BD50" w14:textId="77777777" w:rsidR="00772217" w:rsidRPr="00AE5A42" w:rsidRDefault="007722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A7478" w:rsidRPr="00AE5A42" w14:paraId="1FA0D9C2" w14:textId="77777777" w:rsidTr="002E5C61">
        <w:trPr>
          <w:trHeight w:val="340"/>
        </w:trPr>
        <w:tc>
          <w:tcPr>
            <w:tcW w:w="652" w:type="dxa"/>
            <w:shd w:val="clear" w:color="auto" w:fill="E7E6E6" w:themeFill="background2"/>
          </w:tcPr>
          <w:p w14:paraId="5B9C2EDD" w14:textId="21F9E0EF" w:rsidR="00772217" w:rsidRPr="00AE5A42" w:rsidRDefault="005A385F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5.1.4.</w:t>
            </w:r>
          </w:p>
        </w:tc>
        <w:tc>
          <w:tcPr>
            <w:tcW w:w="6578" w:type="dxa"/>
            <w:shd w:val="clear" w:color="auto" w:fill="auto"/>
          </w:tcPr>
          <w:p w14:paraId="11BEBDF0" w14:textId="41162712" w:rsidR="00772217" w:rsidRPr="00E93773" w:rsidRDefault="00772217" w:rsidP="0038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Plānotās drošības pārbaudes (kādus drošības testus veiks </w:t>
            </w:r>
            <w:r w:rsidR="00FB70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piem</w:t>
            </w:r>
            <w:r w:rsidR="00FB70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ēram,</w:t>
            </w:r>
            <w:r w:rsidR="00FB70D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ielaušanās </w:t>
            </w:r>
            <w:r w:rsidR="00FB70D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test</w:t>
            </w:r>
            <w:r w:rsidR="00FB70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us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 konfigurācijas</w:t>
            </w:r>
            <w:r w:rsidR="00FB70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vai</w:t>
            </w:r>
            <w:r w:rsidR="00FB70D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koda pārbaudes utt.), kādas būs papildu drošības kontroles</w:t>
            </w:r>
            <w:r w:rsidR="00FB70D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</w:t>
            </w:r>
            <w:r w:rsidR="00FB70D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un citas īstenojamās darbības (līdz 3000 rakstu zīmēm) </w:t>
            </w:r>
          </w:p>
        </w:tc>
        <w:tc>
          <w:tcPr>
            <w:tcW w:w="283" w:type="dxa"/>
            <w:shd w:val="clear" w:color="auto" w:fill="E7E6E6" w:themeFill="background2"/>
          </w:tcPr>
          <w:p w14:paraId="5D895802" w14:textId="77777777" w:rsidR="00772217" w:rsidRPr="00AE5A42" w:rsidRDefault="007722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9022AED" w14:textId="77777777" w:rsidR="00772217" w:rsidRPr="00AE5A42" w:rsidRDefault="007722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6335BD02" w14:textId="77777777" w:rsidR="00772217" w:rsidRPr="00AE5A42" w:rsidRDefault="007722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A7478" w:rsidRPr="00AE5A42" w14:paraId="46948277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55AB976B" w14:textId="77777777" w:rsidR="00D92F17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5.1.a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32DCB9E4" w14:textId="4DA76B2D" w:rsidR="00D92F17" w:rsidRPr="00AE5A42" w:rsidRDefault="00D92F17" w:rsidP="00D92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Apliecinājums par informācijas sistēmas atbilstību MK not. Nr. 442</w:t>
            </w:r>
            <w:r w:rsidR="00B0575E" w:rsidRPr="002E5C6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1</w:t>
            </w:r>
            <w:r w:rsidR="00E31412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prasībām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58D42762" w14:textId="2AC779F6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DF7C659" w14:textId="77777777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058125D1" w14:textId="07A2CEB9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3016212C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4A5DEA45" w14:textId="77777777" w:rsidR="00D92F17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5.1.p</w:t>
            </w:r>
          </w:p>
        </w:tc>
        <w:tc>
          <w:tcPr>
            <w:tcW w:w="6578" w:type="dxa"/>
            <w:shd w:val="clear" w:color="auto" w:fill="FFFFFF" w:themeFill="background1"/>
            <w:hideMark/>
          </w:tcPr>
          <w:p w14:paraId="0FF12725" w14:textId="77C7A709" w:rsidR="00D92F17" w:rsidRPr="00AE5A42" w:rsidRDefault="00B12902" w:rsidP="00184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</w:t>
            </w:r>
            <w:r w:rsidR="00D92F17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amatojums (</w:t>
            </w:r>
            <w:r w:rsidR="00F15AE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</w:t>
            </w:r>
            <w:r w:rsidR="00D92F17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00 rakstu zīmēm) novirzēm, ja tādas ir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31777442" w14:textId="41600D9D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4EB3DC32" w14:textId="0BE1362C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65134A4C" w14:textId="59E7FAD8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6125CE07" w14:textId="77777777" w:rsidTr="002E5C61">
        <w:trPr>
          <w:trHeight w:val="132"/>
        </w:trPr>
        <w:tc>
          <w:tcPr>
            <w:tcW w:w="652" w:type="dxa"/>
            <w:shd w:val="clear" w:color="auto" w:fill="E7E6E6" w:themeFill="background2"/>
            <w:hideMark/>
          </w:tcPr>
          <w:p w14:paraId="5C036D79" w14:textId="1CF717EE" w:rsidR="00D92F17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0A8BA8A8" w14:textId="4E5DBB69" w:rsidR="00D92F17" w:rsidRPr="00AE5A42" w:rsidRDefault="00D92F17" w:rsidP="00D92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hideMark/>
          </w:tcPr>
          <w:p w14:paraId="2AD1E583" w14:textId="7CEB7C97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515E9A12" w14:textId="338F0789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35498952" w14:textId="1120EF29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2DD915B9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025DC813" w14:textId="77777777" w:rsidR="00D92F17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5.2.</w:t>
            </w:r>
          </w:p>
        </w:tc>
        <w:tc>
          <w:tcPr>
            <w:tcW w:w="6578" w:type="dxa"/>
            <w:shd w:val="clear" w:color="auto" w:fill="auto"/>
            <w:hideMark/>
          </w:tcPr>
          <w:p w14:paraId="62D13919" w14:textId="711797B3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 xml:space="preserve">Piekļūstamība.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Piekļūstamības risinājuma apraksts (līdz </w:t>
            </w:r>
            <w:r w:rsidR="00C54CC5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00 rakstu zīmēm)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0F8856C5" w14:textId="3123AF21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7C757025" w14:textId="3783A9F3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hideMark/>
          </w:tcPr>
          <w:p w14:paraId="405C3E91" w14:textId="511B8FA4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A7478" w:rsidRPr="00AE5A42" w14:paraId="40422574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7C2313E6" w14:textId="77777777" w:rsidR="00D92F17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5.2.a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68BF5983" w14:textId="12CEBEC2" w:rsidR="00D92F17" w:rsidRPr="00AE5A42" w:rsidRDefault="00D92F17" w:rsidP="00D92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Apliecinājums par informācijas sistēmas atbilstību MK not. Nr. 445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2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prasībām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0FD9D348" w14:textId="2078E714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28B18B8" w14:textId="77777777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1D402117" w14:textId="2962618B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714C474" w14:textId="77777777" w:rsidTr="002E5C61">
        <w:trPr>
          <w:trHeight w:val="229"/>
        </w:trPr>
        <w:tc>
          <w:tcPr>
            <w:tcW w:w="652" w:type="dxa"/>
            <w:shd w:val="clear" w:color="auto" w:fill="E7E6E6" w:themeFill="background2"/>
            <w:hideMark/>
          </w:tcPr>
          <w:p w14:paraId="44A3B286" w14:textId="5945B27F" w:rsidR="00D92F17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5.2.p</w:t>
            </w:r>
          </w:p>
        </w:tc>
        <w:tc>
          <w:tcPr>
            <w:tcW w:w="6578" w:type="dxa"/>
            <w:shd w:val="clear" w:color="auto" w:fill="FFFFFF" w:themeFill="background1"/>
            <w:hideMark/>
          </w:tcPr>
          <w:p w14:paraId="5704A149" w14:textId="74F28879" w:rsidR="00D92F17" w:rsidRPr="00AE5A42" w:rsidRDefault="00B12902" w:rsidP="00184E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</w:t>
            </w:r>
            <w:r w:rsidR="00D92F17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amatojums (</w:t>
            </w:r>
            <w:r w:rsidR="00F15AE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</w:t>
            </w:r>
            <w:r w:rsidR="00D92F17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00 rakstu zīmēm) novirzēm, ja tādas ir</w:t>
            </w:r>
            <w:r w:rsidR="003902BE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67AC48DB" w14:textId="176A9208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5773E382" w14:textId="3E44D89A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13EBC5ED" w14:textId="7236743E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76BBC61A" w14:textId="77777777" w:rsidTr="002E5C61">
        <w:trPr>
          <w:trHeight w:val="180"/>
        </w:trPr>
        <w:tc>
          <w:tcPr>
            <w:tcW w:w="652" w:type="dxa"/>
            <w:shd w:val="clear" w:color="auto" w:fill="E7E6E6" w:themeFill="background2"/>
            <w:hideMark/>
          </w:tcPr>
          <w:p w14:paraId="52C16830" w14:textId="6E70EAFC" w:rsidR="00D92F17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60C6CF4E" w14:textId="7CF3BA95" w:rsidR="00D92F17" w:rsidRPr="00AE5A42" w:rsidRDefault="00D92F17" w:rsidP="00D92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hideMark/>
          </w:tcPr>
          <w:p w14:paraId="460BC352" w14:textId="2D49DBD8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4C50EE6A" w14:textId="2E1668BC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57D7393D" w14:textId="2CBCB1AA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64E3C226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1CABD7B2" w14:textId="77777777" w:rsidR="00D92F17" w:rsidRPr="00AE5A42" w:rsidRDefault="00D92F17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</w:t>
            </w:r>
          </w:p>
        </w:tc>
        <w:tc>
          <w:tcPr>
            <w:tcW w:w="6578" w:type="dxa"/>
            <w:shd w:val="clear" w:color="auto" w:fill="auto"/>
            <w:hideMark/>
          </w:tcPr>
          <w:p w14:paraId="077E9212" w14:textId="1AAB591D" w:rsidR="00D92F17" w:rsidRPr="00AE5A42" w:rsidRDefault="00A107D7" w:rsidP="00314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Datu uzkrāšana</w:t>
            </w:r>
            <w:r w:rsidR="00BA34EB" w:rsidRPr="00AE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 xml:space="preserve">, </w:t>
            </w:r>
            <w:r w:rsidR="0024059C" w:rsidRPr="003509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apstrāde</w:t>
            </w:r>
            <w:r w:rsidR="003509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,</w:t>
            </w:r>
            <w:r w:rsidR="0024059C" w:rsidRPr="003509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BA34EB" w:rsidRPr="003509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 xml:space="preserve">kvalitāte </w:t>
            </w:r>
            <w:r w:rsidR="00BA34EB" w:rsidRPr="00AE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un metadati</w:t>
            </w:r>
            <w:r w:rsidRPr="00F86B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.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BA34E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zkrā</w:t>
            </w:r>
            <w:r w:rsidR="00BA34E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jamo datu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apraksts, kas </w:t>
            </w:r>
            <w:r w:rsidR="00BA34E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attiecībā uz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saturīgi būtiskām datu kopām </w:t>
            </w:r>
            <w:r w:rsidR="00BA34E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satur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arī datu kvalitātes raksturojumu un </w:t>
            </w:r>
            <w:r w:rsidR="00BA34E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tās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nodrošināšanas īsu aprakstu, </w:t>
            </w:r>
            <w:r w:rsidR="00F775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F775F0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B17CA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par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metadatu uzkrāšan</w:t>
            </w:r>
            <w:r w:rsidR="00FD40DD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as 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pieej</w:t>
            </w:r>
            <w:r w:rsidR="00B17CA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FD40DD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="00BA34E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</w:t>
            </w:r>
            <w:r w:rsidR="00FD40DD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BA34EB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to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kvalitātes 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nodrošināšan</w:t>
            </w:r>
            <w:r w:rsidR="00B17CA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(līdz 2000 rakstu zīmēm)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1DB67E2E" w14:textId="3A866E6C" w:rsidR="00D92F17" w:rsidRPr="00AE5A42" w:rsidRDefault="00D92F17" w:rsidP="00D92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7D1362AE" w14:textId="5DF89787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6BBDA159" w14:textId="24DA0EE7" w:rsidR="00D92F17" w:rsidRPr="00AE5A42" w:rsidRDefault="00D92F17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4FB367C5" w14:textId="77777777" w:rsidTr="00507FCB">
        <w:trPr>
          <w:trHeight w:val="180"/>
        </w:trPr>
        <w:tc>
          <w:tcPr>
            <w:tcW w:w="652" w:type="dxa"/>
            <w:shd w:val="clear" w:color="auto" w:fill="E7E6E6" w:themeFill="background2"/>
            <w:hideMark/>
          </w:tcPr>
          <w:p w14:paraId="05A08B32" w14:textId="52470A9D" w:rsidR="00DC23A2" w:rsidRPr="002E5C61" w:rsidRDefault="00DC23A2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5.3.a1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7B08A0D4" w14:textId="5E6C8CF4" w:rsidR="00DC23A2" w:rsidRPr="00AE5A42" w:rsidRDefault="00DC23A2" w:rsidP="00DC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Atbilstība Valsts informācijas sistēmu likuma 8. panta 1. un 8. punktam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150ED08A" w14:textId="05684E33" w:rsidR="00DC23A2" w:rsidRPr="00AE5A42" w:rsidRDefault="00DC23A2" w:rsidP="00DC23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4630AC8" w14:textId="5C7A8D3B" w:rsidR="00DC23A2" w:rsidRPr="00AE5A42" w:rsidRDefault="00DC23A2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16A193E5" w14:textId="6488FE0D" w:rsidR="00DC23A2" w:rsidRPr="00AE5A42" w:rsidRDefault="00DC23A2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6F7373E9" w14:textId="77777777" w:rsidTr="00507FCB">
        <w:trPr>
          <w:trHeight w:val="180"/>
        </w:trPr>
        <w:tc>
          <w:tcPr>
            <w:tcW w:w="652" w:type="dxa"/>
            <w:shd w:val="clear" w:color="auto" w:fill="E7E6E6" w:themeFill="background2"/>
            <w:hideMark/>
          </w:tcPr>
          <w:p w14:paraId="30A0D785" w14:textId="0D8CC10A" w:rsidR="00DC23A2" w:rsidRPr="002E5C61" w:rsidRDefault="00DC23A2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5.3.a2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2578D2D3" w14:textId="26E0B639" w:rsidR="00DC23A2" w:rsidRPr="00AE5A42" w:rsidRDefault="00DC23A2" w:rsidP="00F77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Atbilstība Statistikas likuma 15.</w:t>
            </w:r>
            <w:r w:rsidR="00F344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panta </w:t>
            </w:r>
            <w:r w:rsidR="0033359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ceturtajai</w:t>
            </w:r>
            <w:r w:rsidR="00F344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daļai 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273CA366" w14:textId="3E67FD33" w:rsidR="00DC23A2" w:rsidRPr="003E19FC" w:rsidRDefault="00DC23A2" w:rsidP="00DC23A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C55431D" w14:textId="76872EF5" w:rsidR="00DC23A2" w:rsidRPr="003E19FC" w:rsidRDefault="00DC23A2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DFC9F2E" w14:textId="3B215EF8" w:rsidR="00DC23A2" w:rsidRPr="00AE5A42" w:rsidRDefault="00DC23A2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10DDA2E8" w14:textId="77777777" w:rsidTr="00507FCB">
        <w:trPr>
          <w:trHeight w:val="180"/>
        </w:trPr>
        <w:tc>
          <w:tcPr>
            <w:tcW w:w="652" w:type="dxa"/>
            <w:shd w:val="clear" w:color="auto" w:fill="E7E6E6" w:themeFill="background2"/>
            <w:hideMark/>
          </w:tcPr>
          <w:p w14:paraId="3B32A76F" w14:textId="3669541C" w:rsidR="00DC23A2" w:rsidRPr="002E5C61" w:rsidRDefault="00DC23A2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5.3.a3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214E157B" w14:textId="0F5CF546" w:rsidR="00DC23A2" w:rsidRPr="00AE5A42" w:rsidRDefault="00DC23A2" w:rsidP="00DC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Atbilstība MK not. Nr.</w:t>
            </w:r>
            <w:r w:rsidR="007A50B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6C3A3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D621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2.1.1. apakšpunktam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(vienreizes princips)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4B9AE673" w14:textId="1986FC5F" w:rsidR="00DC23A2" w:rsidRPr="003E19FC" w:rsidRDefault="00DC23A2" w:rsidP="00DC23A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087B0A8" w14:textId="0A453494" w:rsidR="00DC23A2" w:rsidRPr="003E19FC" w:rsidRDefault="00DC23A2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090DF91" w14:textId="1BFEB522" w:rsidR="00DC23A2" w:rsidRPr="00AE5A42" w:rsidRDefault="00DC23A2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8782B9D" w14:textId="77777777" w:rsidTr="00507FCB">
        <w:trPr>
          <w:trHeight w:val="180"/>
        </w:trPr>
        <w:tc>
          <w:tcPr>
            <w:tcW w:w="652" w:type="dxa"/>
            <w:shd w:val="clear" w:color="auto" w:fill="E7E6E6" w:themeFill="background2"/>
            <w:hideMark/>
          </w:tcPr>
          <w:p w14:paraId="21BF60F8" w14:textId="68F94A5E" w:rsidR="00DC23A2" w:rsidRPr="002E5C61" w:rsidRDefault="00DC23A2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lastRenderedPageBreak/>
              <w:t>5.3.a4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45F7D6E5" w14:textId="0F6E4973" w:rsidR="00DC23A2" w:rsidRPr="00AE5A42" w:rsidRDefault="00DC23A2" w:rsidP="00DC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6C3A3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D621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2.1.2. apakšpunktam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(datu kvalitāte)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4FFBF000" w14:textId="0D7993AD" w:rsidR="00DC23A2" w:rsidRPr="003E19FC" w:rsidRDefault="00DC23A2" w:rsidP="00DC23A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F32FD8E" w14:textId="1577A901" w:rsidR="00DC23A2" w:rsidRPr="003E19FC" w:rsidRDefault="00DC23A2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3235E3FD" w14:textId="2A9B4210" w:rsidR="00DC23A2" w:rsidRPr="00AE5A42" w:rsidRDefault="00DC23A2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66AD25CB" w14:textId="77777777" w:rsidTr="00507FCB">
        <w:trPr>
          <w:trHeight w:val="180"/>
        </w:trPr>
        <w:tc>
          <w:tcPr>
            <w:tcW w:w="652" w:type="dxa"/>
            <w:shd w:val="clear" w:color="auto" w:fill="E7E6E6" w:themeFill="background2"/>
            <w:hideMark/>
          </w:tcPr>
          <w:p w14:paraId="152E038C" w14:textId="0C22FF3C" w:rsidR="00DC23A2" w:rsidRPr="002E5C61" w:rsidRDefault="00DC23A2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5.3.a5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214ADFB6" w14:textId="41E92399" w:rsidR="00DC23A2" w:rsidRPr="00AE5A42" w:rsidRDefault="00DC23A2" w:rsidP="00DC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6C3A3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D621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2.1.3</w:t>
            </w:r>
            <w:r w:rsidR="009B2EE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.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apakšpunkt</w:t>
            </w:r>
            <w:r w:rsidR="00B17CA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(metadatu uzkrāšana un kvalitāte)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50751864" w14:textId="603BDA69" w:rsidR="00DC23A2" w:rsidRPr="003E19FC" w:rsidRDefault="00DC23A2" w:rsidP="00DC23A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73594E9" w14:textId="21422A38" w:rsidR="00DC23A2" w:rsidRPr="003E19FC" w:rsidRDefault="00DC23A2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1D9E8DA8" w14:textId="025A67FC" w:rsidR="00DC23A2" w:rsidRPr="00AE5A42" w:rsidRDefault="00DC23A2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6D6911" w14:paraId="0BEB2573" w14:textId="77777777" w:rsidTr="002E5C61">
        <w:trPr>
          <w:cantSplit/>
          <w:trHeight w:val="283"/>
        </w:trPr>
        <w:tc>
          <w:tcPr>
            <w:tcW w:w="652" w:type="dxa"/>
            <w:shd w:val="clear" w:color="auto" w:fill="E7E6E6" w:themeFill="background2"/>
            <w:vAlign w:val="center"/>
          </w:tcPr>
          <w:p w14:paraId="152AFFE8" w14:textId="77777777" w:rsidR="00247C60" w:rsidRPr="002E5C61" w:rsidRDefault="00247C60" w:rsidP="002E5C61">
            <w:pPr>
              <w:spacing w:after="0" w:line="240" w:lineRule="auto"/>
              <w:ind w:left="-28" w:right="-28"/>
              <w:jc w:val="right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  <w:vAlign w:val="center"/>
          </w:tcPr>
          <w:p w14:paraId="2DA8252C" w14:textId="77777777" w:rsidR="00247C60" w:rsidRPr="006D6911" w:rsidRDefault="00247C60" w:rsidP="00DC2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26A6E42D" w14:textId="77777777" w:rsidR="00247C60" w:rsidRPr="002E5C61" w:rsidRDefault="00247C60" w:rsidP="00DC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B8C47FE" w14:textId="77777777" w:rsidR="00247C60" w:rsidRPr="002E5C61" w:rsidRDefault="00247C60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7FB2DD92" w14:textId="77777777" w:rsidR="00247C60" w:rsidRPr="002E5C61" w:rsidRDefault="00247C60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EA7478" w:rsidRPr="00AE5A42" w14:paraId="2FEF3ACA" w14:textId="77777777" w:rsidTr="002E5C61">
        <w:trPr>
          <w:trHeight w:val="229"/>
        </w:trPr>
        <w:tc>
          <w:tcPr>
            <w:tcW w:w="652" w:type="dxa"/>
            <w:shd w:val="clear" w:color="auto" w:fill="E7E6E6" w:themeFill="background2"/>
            <w:hideMark/>
          </w:tcPr>
          <w:p w14:paraId="4BB00C04" w14:textId="0EE1DA56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5.3.d</w:t>
            </w:r>
          </w:p>
        </w:tc>
        <w:tc>
          <w:tcPr>
            <w:tcW w:w="6578" w:type="dxa"/>
            <w:shd w:val="clear" w:color="auto" w:fill="FFFFFF" w:themeFill="background1"/>
            <w:hideMark/>
          </w:tcPr>
          <w:p w14:paraId="3BC9DF1A" w14:textId="0D2CB84F" w:rsidR="0068490D" w:rsidRPr="00B17CAC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B17CA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Fizisku personu datu apstrādes pamatojums (aizpilda, ja apstrādā fizisku personu datus), norādot: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4A80C6A1" w14:textId="7336C5A8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4950F4B1" w14:textId="6153E684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1C7FAD9" w14:textId="6ABF4A18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C540E91" w14:textId="77777777" w:rsidTr="002E5C61">
        <w:trPr>
          <w:trHeight w:val="229"/>
        </w:trPr>
        <w:tc>
          <w:tcPr>
            <w:tcW w:w="652" w:type="dxa"/>
            <w:shd w:val="clear" w:color="auto" w:fill="E7E6E6" w:themeFill="background2"/>
          </w:tcPr>
          <w:p w14:paraId="425F33C2" w14:textId="2912494D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5.3.d1</w:t>
            </w:r>
          </w:p>
        </w:tc>
        <w:tc>
          <w:tcPr>
            <w:tcW w:w="6578" w:type="dxa"/>
            <w:shd w:val="clear" w:color="auto" w:fill="FFFFFF" w:themeFill="background1"/>
          </w:tcPr>
          <w:p w14:paraId="59516D2C" w14:textId="1749C43B" w:rsidR="0068490D" w:rsidRPr="00D274DC" w:rsidRDefault="0068490D" w:rsidP="00F57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fizisko personu datu apstrādes nolūku</w:t>
            </w:r>
          </w:p>
        </w:tc>
        <w:tc>
          <w:tcPr>
            <w:tcW w:w="283" w:type="dxa"/>
            <w:shd w:val="clear" w:color="auto" w:fill="E7E6E6" w:themeFill="background2"/>
          </w:tcPr>
          <w:p w14:paraId="23D606B4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64CBF96F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002D138F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1B1DF2F9" w14:textId="77777777" w:rsidTr="002E5C61">
        <w:trPr>
          <w:trHeight w:val="229"/>
        </w:trPr>
        <w:tc>
          <w:tcPr>
            <w:tcW w:w="652" w:type="dxa"/>
            <w:shd w:val="clear" w:color="auto" w:fill="E7E6E6" w:themeFill="background2"/>
          </w:tcPr>
          <w:p w14:paraId="7A93B8D4" w14:textId="3D92CAFE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5.3.d2</w:t>
            </w:r>
          </w:p>
        </w:tc>
        <w:tc>
          <w:tcPr>
            <w:tcW w:w="6578" w:type="dxa"/>
            <w:shd w:val="clear" w:color="auto" w:fill="FFFFFF" w:themeFill="background1"/>
          </w:tcPr>
          <w:p w14:paraId="1026A96F" w14:textId="03F9CB34" w:rsidR="0068490D" w:rsidRPr="00D274DC" w:rsidRDefault="0068490D" w:rsidP="00F57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fizisko personu datu subjektu kategorijas, kuru dati tiks apstrādāti</w:t>
            </w:r>
          </w:p>
        </w:tc>
        <w:tc>
          <w:tcPr>
            <w:tcW w:w="283" w:type="dxa"/>
            <w:shd w:val="clear" w:color="auto" w:fill="E7E6E6" w:themeFill="background2"/>
          </w:tcPr>
          <w:p w14:paraId="363ECA16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21DB81C4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7D0DF286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10BF0976" w14:textId="77777777" w:rsidTr="002E5C61">
        <w:trPr>
          <w:trHeight w:val="229"/>
        </w:trPr>
        <w:tc>
          <w:tcPr>
            <w:tcW w:w="652" w:type="dxa"/>
            <w:shd w:val="clear" w:color="auto" w:fill="E7E6E6" w:themeFill="background2"/>
          </w:tcPr>
          <w:p w14:paraId="79979650" w14:textId="438238B5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5.3.d3</w:t>
            </w:r>
          </w:p>
        </w:tc>
        <w:tc>
          <w:tcPr>
            <w:tcW w:w="6578" w:type="dxa"/>
            <w:shd w:val="clear" w:color="auto" w:fill="FFFFFF" w:themeFill="background1"/>
          </w:tcPr>
          <w:p w14:paraId="476E8621" w14:textId="78D04CE1" w:rsidR="0068490D" w:rsidRPr="00D274DC" w:rsidRDefault="0068490D" w:rsidP="00F57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fizisko personu datu ieguves </w:t>
            </w:r>
            <w:r w:rsidR="000D75DE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avot</w:t>
            </w:r>
            <w:r w:rsidR="000D75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</w:p>
        </w:tc>
        <w:tc>
          <w:tcPr>
            <w:tcW w:w="283" w:type="dxa"/>
            <w:shd w:val="clear" w:color="auto" w:fill="E7E6E6" w:themeFill="background2"/>
          </w:tcPr>
          <w:p w14:paraId="761C7E9F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3E328369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32E8317B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79870588" w14:textId="77777777" w:rsidTr="002E5C61">
        <w:trPr>
          <w:trHeight w:val="229"/>
        </w:trPr>
        <w:tc>
          <w:tcPr>
            <w:tcW w:w="652" w:type="dxa"/>
            <w:shd w:val="clear" w:color="auto" w:fill="E7E6E6" w:themeFill="background2"/>
          </w:tcPr>
          <w:p w14:paraId="5BA5EE38" w14:textId="75C647B3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5.3.d4</w:t>
            </w:r>
          </w:p>
        </w:tc>
        <w:tc>
          <w:tcPr>
            <w:tcW w:w="6578" w:type="dxa"/>
            <w:shd w:val="clear" w:color="auto" w:fill="FFFFFF" w:themeFill="background1"/>
          </w:tcPr>
          <w:p w14:paraId="07B0C113" w14:textId="43B2E270" w:rsidR="0068490D" w:rsidRPr="002E5C61" w:rsidRDefault="0068490D" w:rsidP="002E5C6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 xml:space="preserve">datu </w:t>
            </w:r>
            <w:r w:rsidR="000D75DE" w:rsidRPr="002E5C61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saņēmēj</w:t>
            </w:r>
            <w:r w:rsidR="000D75DE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us</w:t>
            </w:r>
            <w:r w:rsidR="000D75DE" w:rsidRPr="002E5C61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 xml:space="preserve"> </w:t>
            </w:r>
            <w:r w:rsidRPr="002E5C61">
              <w:rPr>
                <w:rFonts w:ascii="Times New Roman" w:eastAsia="Times New Roman" w:hAnsi="Times New Roman" w:cs="Times New Roman"/>
                <w:i/>
                <w:iCs/>
                <w:spacing w:val="-2"/>
                <w:sz w:val="18"/>
                <w:szCs w:val="18"/>
                <w:lang w:eastAsia="lv-LV"/>
              </w:rPr>
              <w:t>– personas (to grupas), kas var piekļūt apstrādājamo fizisko personu datiem</w:t>
            </w:r>
          </w:p>
        </w:tc>
        <w:tc>
          <w:tcPr>
            <w:tcW w:w="283" w:type="dxa"/>
            <w:shd w:val="clear" w:color="auto" w:fill="E7E6E6" w:themeFill="background2"/>
          </w:tcPr>
          <w:p w14:paraId="22EBAA81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45F8DDF8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77685B64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41553966" w14:textId="77777777" w:rsidTr="002E5C61">
        <w:trPr>
          <w:trHeight w:val="229"/>
        </w:trPr>
        <w:tc>
          <w:tcPr>
            <w:tcW w:w="652" w:type="dxa"/>
            <w:shd w:val="clear" w:color="auto" w:fill="E7E6E6" w:themeFill="background2"/>
          </w:tcPr>
          <w:p w14:paraId="18C87E68" w14:textId="52B996F6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5.3.d5</w:t>
            </w:r>
          </w:p>
        </w:tc>
        <w:tc>
          <w:tcPr>
            <w:tcW w:w="6578" w:type="dxa"/>
            <w:shd w:val="clear" w:color="auto" w:fill="FFFFFF" w:themeFill="background1"/>
          </w:tcPr>
          <w:p w14:paraId="5EA61314" w14:textId="12CB24CE" w:rsidR="0068490D" w:rsidRPr="00D274DC" w:rsidRDefault="00B17CAC" w:rsidP="00F57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</w:t>
            </w: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orād</w:t>
            </w:r>
            <w:r w:rsidR="000D75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="0068490D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ka</w:t>
            </w: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68490D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ir veikts novērtējums par ietekmi uz datu aizsardzību</w:t>
            </w:r>
            <w:r w:rsidR="008377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="0068490D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vai, ja tas nav veikts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 </w:t>
            </w:r>
            <w:r w:rsidR="00F775F0" w:rsidRPr="00AE5A4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–</w:t>
            </w:r>
            <w:r w:rsidR="0068490D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0D75DE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termiņ</w:t>
            </w:r>
            <w:r w:rsidR="000D75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="0068490D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, līdz kuram </w:t>
            </w: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plānots </w:t>
            </w:r>
            <w:r w:rsidR="0068490D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to izstrādāt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="0068490D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vai </w:t>
            </w:r>
            <w:r w:rsidR="000D75DE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pamatojum</w:t>
            </w:r>
            <w:r w:rsidR="000D75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</w:t>
            </w:r>
            <w:r w:rsidR="0068490D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 kāpēc novērtējuma izstrāde nav nepieciešama</w:t>
            </w:r>
          </w:p>
        </w:tc>
        <w:tc>
          <w:tcPr>
            <w:tcW w:w="283" w:type="dxa"/>
            <w:shd w:val="clear" w:color="auto" w:fill="E7E6E6" w:themeFill="background2"/>
          </w:tcPr>
          <w:p w14:paraId="2436C20E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63BF5A1E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3EF1123B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4CDE0129" w14:textId="77777777" w:rsidTr="002E5C61">
        <w:trPr>
          <w:trHeight w:val="229"/>
        </w:trPr>
        <w:tc>
          <w:tcPr>
            <w:tcW w:w="652" w:type="dxa"/>
            <w:shd w:val="clear" w:color="auto" w:fill="E7E6E6" w:themeFill="background2"/>
          </w:tcPr>
          <w:p w14:paraId="4B5F6B29" w14:textId="34E13BCD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5.3.d6</w:t>
            </w:r>
          </w:p>
        </w:tc>
        <w:tc>
          <w:tcPr>
            <w:tcW w:w="6578" w:type="dxa"/>
            <w:shd w:val="clear" w:color="auto" w:fill="FFFFFF" w:themeFill="background1"/>
          </w:tcPr>
          <w:p w14:paraId="269EDAE3" w14:textId="2DF10533" w:rsidR="0068490D" w:rsidRPr="00D274DC" w:rsidRDefault="00B17CAC" w:rsidP="00F57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</w:t>
            </w:r>
            <w:r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orād</w:t>
            </w:r>
            <w:r w:rsidR="000D75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="0068490D" w:rsidRPr="00D27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vai informācijas sistēmas izstrādē ir iesaistīts datu aizsardzības speciālists</w:t>
            </w:r>
          </w:p>
        </w:tc>
        <w:tc>
          <w:tcPr>
            <w:tcW w:w="283" w:type="dxa"/>
            <w:shd w:val="clear" w:color="auto" w:fill="E7E6E6" w:themeFill="background2"/>
          </w:tcPr>
          <w:p w14:paraId="37400BE2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2F14B9A4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49228891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A4280EC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1931FCBC" w14:textId="12614448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5.3.p</w:t>
            </w:r>
          </w:p>
        </w:tc>
        <w:tc>
          <w:tcPr>
            <w:tcW w:w="6578" w:type="dxa"/>
            <w:shd w:val="clear" w:color="auto" w:fill="FFFFFF" w:themeFill="background1"/>
            <w:hideMark/>
          </w:tcPr>
          <w:p w14:paraId="2DB986E6" w14:textId="38852DF6" w:rsidR="0068490D" w:rsidRPr="00AE5A42" w:rsidRDefault="0068490D" w:rsidP="00EA3E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F15AE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1000 rakstu zīmēm) novirzēm, ja tādas ir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4178EDC9" w14:textId="68410BDC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574715C1" w14:textId="478A5A0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5D1A6FDE" w14:textId="21AC9A2F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15294D46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4458BF71" w14:textId="2270DA6E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1BB5267F" w14:textId="1D9ADE87" w:rsidR="0068490D" w:rsidRPr="00AE5A42" w:rsidRDefault="0068490D" w:rsidP="00F775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hideMark/>
          </w:tcPr>
          <w:p w14:paraId="0F92A4D1" w14:textId="4C80C8E0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07C98EC4" w14:textId="75A3B62B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5A76A874" w14:textId="24907932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291D6901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6C8635D1" w14:textId="77777777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5.4.</w:t>
            </w:r>
          </w:p>
        </w:tc>
        <w:tc>
          <w:tcPr>
            <w:tcW w:w="6578" w:type="dxa"/>
            <w:shd w:val="clear" w:color="auto" w:fill="auto"/>
            <w:noWrap/>
            <w:hideMark/>
          </w:tcPr>
          <w:p w14:paraId="73CB8663" w14:textId="3B59B980" w:rsidR="0068490D" w:rsidRPr="00AE5A42" w:rsidRDefault="0068490D" w:rsidP="0068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Datu atvēršana un kontrolēta aprite</w:t>
            </w:r>
            <w:r w:rsidR="00B17C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.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Norādes par atveramajām/publicējamām un kontrolēti izplatāmajām datu kopām un būtisko ārējo saskarņu īsi apraksti, norādot datu kontrolētai apritei izmantojamos tehniskos risinājumus (</w:t>
            </w:r>
            <w:r w:rsidR="00F775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F775F0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savietotājus</w:t>
            </w:r>
            <w:proofErr w:type="spellEnd"/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 (līdz</w:t>
            </w:r>
            <w:r w:rsidR="00B17CA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 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1000 rakstu zīmēm)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61EF80B8" w14:textId="7C2E2476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3C29FD51" w14:textId="55864A74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31E7EA89" w14:textId="1BE3356F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3E856D79" w14:textId="77777777" w:rsidTr="00C90CCA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68522008" w14:textId="1139AF37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5.4.a1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31A3B67D" w14:textId="657A4DEC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2546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D621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2.2.1. apakšpunktam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(vispārpieejamo datu publicēšana)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709C9C3E" w14:textId="5B4604FB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322F7A0" w14:textId="77777777" w:rsidR="0068490D" w:rsidRPr="00C90CCA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2F828DC4" w14:textId="7685AF60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42A5BA9D" w14:textId="77777777" w:rsidTr="00C90CCA">
        <w:trPr>
          <w:trHeight w:val="300"/>
        </w:trPr>
        <w:tc>
          <w:tcPr>
            <w:tcW w:w="652" w:type="dxa"/>
            <w:shd w:val="clear" w:color="auto" w:fill="E7E6E6" w:themeFill="background2"/>
          </w:tcPr>
          <w:p w14:paraId="6B19D1A2" w14:textId="2A89A25E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5.4.a2</w:t>
            </w:r>
          </w:p>
        </w:tc>
        <w:tc>
          <w:tcPr>
            <w:tcW w:w="6578" w:type="dxa"/>
            <w:shd w:val="clear" w:color="auto" w:fill="E7E6E6" w:themeFill="background2"/>
          </w:tcPr>
          <w:p w14:paraId="588C146F" w14:textId="39123500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2546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2.2.2</w:t>
            </w:r>
            <w:r w:rsidR="0033359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.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un 2.2.3</w:t>
            </w:r>
            <w:r w:rsidR="00A874B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.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apakšpunkt</w:t>
            </w:r>
            <w:r w:rsidR="00B17CA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(automatizēšana un regularitāte)</w:t>
            </w:r>
          </w:p>
        </w:tc>
        <w:tc>
          <w:tcPr>
            <w:tcW w:w="283" w:type="dxa"/>
            <w:shd w:val="clear" w:color="auto" w:fill="E7E6E6" w:themeFill="background2"/>
          </w:tcPr>
          <w:p w14:paraId="10F8C569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2BA13E1" w14:textId="77777777" w:rsidR="0068490D" w:rsidRPr="003E19FC" w:rsidRDefault="0068490D" w:rsidP="003E1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27996433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18FBBCA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1FC5898F" w14:textId="4F9674D4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5.4.a3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783AFB2D" w14:textId="0CAD1D40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2546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D621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2.2.4. apakšpunktam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(sistēmu saskarnes un </w:t>
            </w:r>
            <w:proofErr w:type="spellStart"/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savietotāji</w:t>
            </w:r>
            <w:proofErr w:type="spellEnd"/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09C2F173" w14:textId="49AE8CF5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6B5853F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CC58BC4" w14:textId="01A5DDBB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429790B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12240934" w14:textId="38DB035E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5.4.a4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0B81DB0C" w14:textId="0B2B2BC9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2546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D621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2.2.5. un 2.2.6. 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apakšpunkt</w:t>
            </w:r>
            <w:r w:rsidR="00B17CA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(izplatīšanas kontrole un datu pieejamības nodrošināšana)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0FBD15F5" w14:textId="7C36B292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4000D20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71047C82" w14:textId="5337F91E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1EE6C73E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5615718A" w14:textId="596D84A5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</w:t>
            </w:r>
            <w:r w:rsidR="003509D0"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4</w:t>
            </w: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.p</w:t>
            </w:r>
          </w:p>
        </w:tc>
        <w:tc>
          <w:tcPr>
            <w:tcW w:w="6578" w:type="dxa"/>
            <w:shd w:val="clear" w:color="auto" w:fill="FFFFFF" w:themeFill="background1"/>
            <w:hideMark/>
          </w:tcPr>
          <w:p w14:paraId="0FB18D1C" w14:textId="5986A6A6" w:rsidR="0068490D" w:rsidRPr="00AE5A42" w:rsidRDefault="0068490D" w:rsidP="008C0A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F15AE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1000 rakstu zīmēm) novirzēm, ja tādas ir 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297F13B6" w14:textId="1DB4200C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0B23EADD" w14:textId="255CD7DB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7BF5C72B" w14:textId="75D1B756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4C76C422" w14:textId="77777777" w:rsidTr="002E5C61">
        <w:trPr>
          <w:trHeight w:val="180"/>
        </w:trPr>
        <w:tc>
          <w:tcPr>
            <w:tcW w:w="652" w:type="dxa"/>
            <w:shd w:val="clear" w:color="auto" w:fill="E7E6E6" w:themeFill="background2"/>
            <w:hideMark/>
          </w:tcPr>
          <w:p w14:paraId="16764A80" w14:textId="223E3BDC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5314D416" w14:textId="488B360C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hideMark/>
          </w:tcPr>
          <w:p w14:paraId="611923AF" w14:textId="1FA53D02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1C7AECA8" w14:textId="097342BA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32D5BB14" w14:textId="25D37D03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632EB721" w14:textId="77777777" w:rsidTr="002E5C61">
        <w:trPr>
          <w:trHeight w:val="480"/>
        </w:trPr>
        <w:tc>
          <w:tcPr>
            <w:tcW w:w="652" w:type="dxa"/>
            <w:shd w:val="clear" w:color="auto" w:fill="E7E6E6" w:themeFill="background2"/>
            <w:hideMark/>
          </w:tcPr>
          <w:p w14:paraId="034F2C57" w14:textId="77777777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5.5.</w:t>
            </w:r>
          </w:p>
        </w:tc>
        <w:tc>
          <w:tcPr>
            <w:tcW w:w="6578" w:type="dxa"/>
            <w:shd w:val="clear" w:color="auto" w:fill="auto"/>
            <w:hideMark/>
          </w:tcPr>
          <w:p w14:paraId="0F64ACDF" w14:textId="2EC27547" w:rsidR="0068490D" w:rsidRPr="00AE5A42" w:rsidRDefault="0068490D" w:rsidP="002E5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Identifikācija.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Informācijas sistēmas lietotāju identifikācijas risinājuma apraksts</w:t>
            </w:r>
            <w:r w:rsidR="00F775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F775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 ja attiecināms, atbilstoši MK not. Nr. 402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4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noteiktajam līmeņa izvērtējumam (līdz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 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1000 rakstu zīmēm)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2448A163" w14:textId="7519F244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11640A31" w14:textId="3D6FB2B5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5E7A842" w14:textId="0127A2B3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71D00B61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12344DF3" w14:textId="77777777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5.5.a1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7B9F1866" w14:textId="0A9879AA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2546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D621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2.3.1. un 2.3.2. 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apakšpunkt</w:t>
            </w:r>
            <w:r w:rsidR="00B17CA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(atbilstoša līmeņa identifikācijas līdzekļu izmantošana)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2177F8F1" w14:textId="51F7D42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2960102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1FB159D5" w14:textId="68995171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3B3A35C1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6DF9DD39" w14:textId="2DC674B9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5.5.a2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25A8C5D3" w14:textId="39E8F35D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2546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2.3.3. apakšpunktam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(pārrobežu pakalpojumu piekļuve)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56B9FBB4" w14:textId="34468FD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7FA103E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0F4DEAED" w14:textId="5CD64088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4B86CFB9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432CF4AC" w14:textId="77777777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5.5.p</w:t>
            </w:r>
          </w:p>
        </w:tc>
        <w:tc>
          <w:tcPr>
            <w:tcW w:w="6578" w:type="dxa"/>
            <w:shd w:val="clear" w:color="auto" w:fill="FFFFFF" w:themeFill="background1"/>
            <w:hideMark/>
          </w:tcPr>
          <w:p w14:paraId="2EB32FDF" w14:textId="1208F849" w:rsidR="0068490D" w:rsidRPr="00AE5A42" w:rsidRDefault="0068490D" w:rsidP="00EA3E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F15AE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1000 rakstu zīmēm) novirzēm, ja tādas ir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2B403922" w14:textId="7D29BF70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59DC8CE4" w14:textId="2276769A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7D15E1DD" w14:textId="35B0B994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757B504" w14:textId="77777777" w:rsidTr="002E5C61">
        <w:trPr>
          <w:trHeight w:val="311"/>
        </w:trPr>
        <w:tc>
          <w:tcPr>
            <w:tcW w:w="652" w:type="dxa"/>
            <w:shd w:val="clear" w:color="auto" w:fill="E7E6E6" w:themeFill="background2"/>
            <w:hideMark/>
          </w:tcPr>
          <w:p w14:paraId="0DDBD08A" w14:textId="45A2315C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44DBF9ED" w14:textId="7A4C720E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hideMark/>
          </w:tcPr>
          <w:p w14:paraId="460FD0FD" w14:textId="61C088E8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67D15638" w14:textId="57CC2F1E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64E59A27" w14:textId="4F386F42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9140F80" w14:textId="77777777" w:rsidTr="002E5C61">
        <w:trPr>
          <w:trHeight w:val="480"/>
        </w:trPr>
        <w:tc>
          <w:tcPr>
            <w:tcW w:w="652" w:type="dxa"/>
            <w:shd w:val="clear" w:color="auto" w:fill="E7E6E6" w:themeFill="background2"/>
            <w:hideMark/>
          </w:tcPr>
          <w:p w14:paraId="5AC8350A" w14:textId="77777777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5.6.</w:t>
            </w:r>
          </w:p>
        </w:tc>
        <w:tc>
          <w:tcPr>
            <w:tcW w:w="6578" w:type="dxa"/>
            <w:shd w:val="clear" w:color="auto" w:fill="auto"/>
            <w:hideMark/>
          </w:tcPr>
          <w:p w14:paraId="4DA7B1A0" w14:textId="4EA5BE7C" w:rsidR="0068490D" w:rsidRPr="00AE5A42" w:rsidRDefault="0068490D" w:rsidP="0068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Tehnoloģiskās arhitektūras apraksts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(līdz 2000 rakstu zīmēm), MK not. Nr. </w:t>
            </w:r>
            <w:r w:rsidR="002546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D621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2.4.1. un 2.4.6. </w:t>
            </w:r>
            <w:r w:rsidR="008B2A9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apakšpunkt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ā minēto prasību</w:t>
            </w:r>
            <w:r w:rsidR="008B2A9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izpildes īss apraksts, </w:t>
            </w:r>
            <w:r w:rsidR="00F775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F775F0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koplietošanas aspekti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konkrēti </w:t>
            </w:r>
            <w:r w:rsidR="00F57EA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norādot</w:t>
            </w:r>
            <w:r w:rsidR="00F57EA9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izmantojamos koplietošanas pakalpojumus un komponentes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35561DAB" w14:textId="474555F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43BCFB18" w14:textId="43111D41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3F9969E" w14:textId="029C1E22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C6D90D8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71A3951D" w14:textId="77777777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5.6.a1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2B9C5DCA" w14:textId="1C2783C3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2546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D621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2.4.2. un 2.4.4. 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apakšpunkt</w:t>
            </w:r>
            <w:r w:rsidR="00B17CA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</w:t>
            </w:r>
            <w:r w:rsidR="00B17CAC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(koplietošanas un atkārtoti izmantojamu risinājumu izmantošana)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28C6E9B9" w14:textId="52C439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20121CA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307A3C71" w14:textId="3A3CB7D2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138D5B9A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43BEF169" w14:textId="202423EB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5.6.a2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0F40320C" w14:textId="7B52F73F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2546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D621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2.4.3. apakšpunktam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(neierobežotas mantiskās autortiesības)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2CCCB53A" w14:textId="0636F57C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45134C2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7A61C346" w14:textId="4664D958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6B565F86" w14:textId="77777777" w:rsidTr="002E5C61">
        <w:trPr>
          <w:trHeight w:val="338"/>
        </w:trPr>
        <w:tc>
          <w:tcPr>
            <w:tcW w:w="652" w:type="dxa"/>
            <w:shd w:val="clear" w:color="auto" w:fill="E7E6E6" w:themeFill="background2"/>
            <w:hideMark/>
          </w:tcPr>
          <w:p w14:paraId="195ACE6B" w14:textId="6B0A2FD4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5.6.a3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4BAD9365" w14:textId="14E81A59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2546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2.4.5. apakšpunktam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(atvērtais kods un tehnoloģiskās arhitektūras vadlīnijas)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5CFC7031" w14:textId="4D254495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14:paraId="5B68F438" w14:textId="25F2DE96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646E022D" w14:textId="7151DD42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4B1FAB4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hideMark/>
          </w:tcPr>
          <w:p w14:paraId="6B9B7616" w14:textId="77777777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5.6.p</w:t>
            </w:r>
          </w:p>
        </w:tc>
        <w:tc>
          <w:tcPr>
            <w:tcW w:w="6578" w:type="dxa"/>
            <w:shd w:val="clear" w:color="auto" w:fill="FFFFFF" w:themeFill="background1"/>
            <w:hideMark/>
          </w:tcPr>
          <w:p w14:paraId="460E2519" w14:textId="0093BEFA" w:rsidR="0068490D" w:rsidRPr="00AE5A42" w:rsidRDefault="0068490D" w:rsidP="00EA3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F15AE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1000 rakstu zīmēm) novirzēm, ja tādas ir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27B21AB5" w14:textId="3F1235D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76B7576F" w14:textId="6CA212BA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72A23AAD" w14:textId="20B55D30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3E33A76" w14:textId="77777777" w:rsidTr="002E5C61">
        <w:trPr>
          <w:trHeight w:val="192"/>
        </w:trPr>
        <w:tc>
          <w:tcPr>
            <w:tcW w:w="652" w:type="dxa"/>
            <w:shd w:val="clear" w:color="auto" w:fill="E7E6E6" w:themeFill="background2"/>
            <w:hideMark/>
          </w:tcPr>
          <w:p w14:paraId="4AEBAEF8" w14:textId="38A85BB7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  <w:vAlign w:val="bottom"/>
            <w:hideMark/>
          </w:tcPr>
          <w:p w14:paraId="4EA4494B" w14:textId="2DD33BEC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hideMark/>
          </w:tcPr>
          <w:p w14:paraId="0F9C9CFD" w14:textId="1BAE884E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063F481E" w14:textId="68C4B86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4BE4ED6" w14:textId="5DE32993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24033120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vAlign w:val="bottom"/>
            <w:hideMark/>
          </w:tcPr>
          <w:p w14:paraId="4F46AF16" w14:textId="77777777" w:rsidR="0068490D" w:rsidRPr="002E5C61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6578" w:type="dxa"/>
            <w:shd w:val="clear" w:color="auto" w:fill="E7E6E6" w:themeFill="background2"/>
            <w:vAlign w:val="bottom"/>
            <w:hideMark/>
          </w:tcPr>
          <w:p w14:paraId="65B7C03F" w14:textId="11AFDB53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F4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Risinājuma ieviešanas pieeja un IKT infrastruktūra</w:t>
            </w:r>
          </w:p>
        </w:tc>
        <w:tc>
          <w:tcPr>
            <w:tcW w:w="283" w:type="dxa"/>
            <w:shd w:val="clear" w:color="auto" w:fill="E7E6E6" w:themeFill="background2"/>
            <w:vAlign w:val="bottom"/>
            <w:hideMark/>
          </w:tcPr>
          <w:p w14:paraId="5557283F" w14:textId="227DC1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0BAFE04B" w14:textId="4D73C28E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71110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VIRSIS</w:t>
            </w:r>
            <w:r w:rsidR="00F344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Nr</w:t>
            </w:r>
            <w:r w:rsidR="00BF6CF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753C43D5" w14:textId="6EBEC44A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10FA0E78" w14:textId="77777777" w:rsidTr="002E5C61">
        <w:trPr>
          <w:trHeight w:val="585"/>
        </w:trPr>
        <w:tc>
          <w:tcPr>
            <w:tcW w:w="652" w:type="dxa"/>
            <w:shd w:val="clear" w:color="auto" w:fill="E7E6E6" w:themeFill="background2"/>
            <w:hideMark/>
          </w:tcPr>
          <w:p w14:paraId="472B6BA9" w14:textId="157F5F63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6.1.</w:t>
            </w:r>
          </w:p>
        </w:tc>
        <w:tc>
          <w:tcPr>
            <w:tcW w:w="6578" w:type="dxa"/>
            <w:shd w:val="clear" w:color="auto" w:fill="auto"/>
            <w:hideMark/>
          </w:tcPr>
          <w:p w14:paraId="67CE1213" w14:textId="2697E2CB" w:rsidR="0068490D" w:rsidRPr="00AE5A42" w:rsidRDefault="0068490D" w:rsidP="0068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bookmarkStart w:id="0" w:name="_Hlk129259837"/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Plānotās IKT risinājuma ieviešanas pieejas un izmantojamo programmatūras, platformu un infrastruktūras pakalpojumu īss apraksts (līdz 2000 rakstu zīmēm), </w:t>
            </w:r>
            <w:r w:rsidR="00F775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F775F0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informācija par plānoto IKT infrastruktūras un atbalsta pakalpojumu sniedzēju izvēli, plānoto izvietošanu datu centros un ārpakalpojumiem (</w:t>
            </w:r>
            <w:r w:rsidR="00F775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F775F0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augstākas pievienotās vērtības – platformu un programmatūras pakalpojumiem, ja attiecināms), norādot arī to VIRSIS objekta reģistrācijas numuru, ja tie jau ir identificējami un ir reģistrēti VIRSIS (būtiskie pakalpojumi nodalāmi atsevišķās rindās)</w:t>
            </w:r>
            <w:bookmarkEnd w:id="0"/>
          </w:p>
        </w:tc>
        <w:tc>
          <w:tcPr>
            <w:tcW w:w="283" w:type="dxa"/>
            <w:shd w:val="clear" w:color="auto" w:fill="E7E6E6" w:themeFill="background2"/>
            <w:vAlign w:val="bottom"/>
            <w:hideMark/>
          </w:tcPr>
          <w:p w14:paraId="67986161" w14:textId="2BE45E63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BDCB774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3D76C897" w14:textId="277D4D8F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2350358F" w14:textId="77777777" w:rsidTr="002E5C61">
        <w:trPr>
          <w:trHeight w:val="203"/>
        </w:trPr>
        <w:tc>
          <w:tcPr>
            <w:tcW w:w="652" w:type="dxa"/>
            <w:shd w:val="clear" w:color="auto" w:fill="E7E6E6" w:themeFill="background2"/>
          </w:tcPr>
          <w:p w14:paraId="0DE7AE40" w14:textId="71377E94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6.1.a1</w:t>
            </w:r>
          </w:p>
        </w:tc>
        <w:tc>
          <w:tcPr>
            <w:tcW w:w="6578" w:type="dxa"/>
            <w:shd w:val="clear" w:color="auto" w:fill="E7E6E6" w:themeFill="background2"/>
          </w:tcPr>
          <w:p w14:paraId="0C149675" w14:textId="39F6FE4B" w:rsidR="0068490D" w:rsidRPr="00AE5A42" w:rsidRDefault="0068490D" w:rsidP="008C0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2546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D621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2.5.2. apakšpunktam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(prasības lietotāju </w:t>
            </w:r>
            <w:proofErr w:type="spellStart"/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galaiekārtām</w:t>
            </w:r>
            <w:proofErr w:type="spellEnd"/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283" w:type="dxa"/>
            <w:shd w:val="clear" w:color="auto" w:fill="E7E6E6" w:themeFill="background2"/>
          </w:tcPr>
          <w:p w14:paraId="0CDCCBBE" w14:textId="05B88BA1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D80E535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24E5EA0A" w14:textId="0D153866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2318FAD3" w14:textId="77777777" w:rsidTr="002E5C61">
        <w:trPr>
          <w:trHeight w:val="203"/>
        </w:trPr>
        <w:tc>
          <w:tcPr>
            <w:tcW w:w="652" w:type="dxa"/>
            <w:shd w:val="clear" w:color="auto" w:fill="E7E6E6" w:themeFill="background2"/>
          </w:tcPr>
          <w:p w14:paraId="7B8ED18B" w14:textId="3DCA537C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6.1.a2</w:t>
            </w:r>
          </w:p>
        </w:tc>
        <w:tc>
          <w:tcPr>
            <w:tcW w:w="6578" w:type="dxa"/>
            <w:shd w:val="clear" w:color="auto" w:fill="E7E6E6" w:themeFill="background2"/>
          </w:tcPr>
          <w:p w14:paraId="3109C239" w14:textId="17E5F351" w:rsidR="0068490D" w:rsidRPr="00AE5A42" w:rsidRDefault="0068490D" w:rsidP="008C0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2546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2.5.3. apakšpunktam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(prasības skaitļošanas infrastruktūrai)</w:t>
            </w:r>
          </w:p>
        </w:tc>
        <w:tc>
          <w:tcPr>
            <w:tcW w:w="283" w:type="dxa"/>
            <w:shd w:val="clear" w:color="auto" w:fill="E7E6E6" w:themeFill="background2"/>
          </w:tcPr>
          <w:p w14:paraId="5E6CE0F1" w14:textId="76F3FE2F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1FE6E65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68DDE14B" w14:textId="0221658B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1EB43B2F" w14:textId="77777777" w:rsidTr="002E5C61">
        <w:trPr>
          <w:trHeight w:val="203"/>
        </w:trPr>
        <w:tc>
          <w:tcPr>
            <w:tcW w:w="652" w:type="dxa"/>
            <w:shd w:val="clear" w:color="auto" w:fill="E7E6E6" w:themeFill="background2"/>
          </w:tcPr>
          <w:p w14:paraId="5179CC30" w14:textId="2D35E304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lastRenderedPageBreak/>
              <w:t>6.1.p</w:t>
            </w:r>
          </w:p>
        </w:tc>
        <w:tc>
          <w:tcPr>
            <w:tcW w:w="6578" w:type="dxa"/>
            <w:shd w:val="clear" w:color="auto" w:fill="FFFFFF" w:themeFill="background1"/>
          </w:tcPr>
          <w:p w14:paraId="489B4193" w14:textId="0D09CC1A" w:rsidR="0068490D" w:rsidRPr="00AE5A42" w:rsidRDefault="0068490D" w:rsidP="0068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F15AE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1000 rakstu zīmēm) prasību neattiecināšanai vai novirzēm, ja tādas ir, </w:t>
            </w:r>
            <w:r w:rsidR="00F775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F775F0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iekļaujot informāciju par saskaņojumu ar pakalpojumu sniedzēju, ja attiecināms</w:t>
            </w:r>
          </w:p>
        </w:tc>
        <w:tc>
          <w:tcPr>
            <w:tcW w:w="283" w:type="dxa"/>
            <w:shd w:val="clear" w:color="auto" w:fill="E7E6E6" w:themeFill="background2"/>
          </w:tcPr>
          <w:p w14:paraId="072F9313" w14:textId="47742FEA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4729FE3E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310B6F29" w14:textId="1DC52D1A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017A7AB7" w14:textId="77777777" w:rsidTr="002E5C61">
        <w:trPr>
          <w:trHeight w:val="203"/>
        </w:trPr>
        <w:tc>
          <w:tcPr>
            <w:tcW w:w="652" w:type="dxa"/>
            <w:shd w:val="clear" w:color="auto" w:fill="E7E6E6" w:themeFill="background2"/>
          </w:tcPr>
          <w:p w14:paraId="1EC9CE0B" w14:textId="7AD3CBEC" w:rsidR="0068490D" w:rsidRPr="002E5C61" w:rsidRDefault="0068490D" w:rsidP="002E5C61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lv-LV"/>
              </w:rPr>
              <w:t>6.2.a1</w:t>
            </w:r>
          </w:p>
        </w:tc>
        <w:tc>
          <w:tcPr>
            <w:tcW w:w="6578" w:type="dxa"/>
            <w:shd w:val="clear" w:color="auto" w:fill="E7E6E6" w:themeFill="background2"/>
          </w:tcPr>
          <w:p w14:paraId="3EF22E20" w14:textId="52986AC6" w:rsidR="0068490D" w:rsidRPr="00AE5A42" w:rsidRDefault="0068490D" w:rsidP="008C0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Atbilstība MK not. Nr. </w:t>
            </w:r>
            <w:r w:rsidR="002546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367</w:t>
            </w:r>
            <w:r w:rsidR="00B057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lv-LV"/>
              </w:rPr>
              <w:t>3</w:t>
            </w:r>
            <w:r w:rsidR="002D621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2.5.4. apakšpunktam </w:t>
            </w:r>
            <w:r w:rsidR="008B2A9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br/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(prasības risinājuma dokumentācijai)</w:t>
            </w:r>
          </w:p>
        </w:tc>
        <w:tc>
          <w:tcPr>
            <w:tcW w:w="283" w:type="dxa"/>
            <w:shd w:val="clear" w:color="auto" w:fill="E7E6E6" w:themeFill="background2"/>
          </w:tcPr>
          <w:p w14:paraId="6BE048F4" w14:textId="630689F0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65BB5D9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575C0D63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5C7E0C33" w14:textId="77777777" w:rsidTr="002E5C61">
        <w:trPr>
          <w:trHeight w:val="203"/>
        </w:trPr>
        <w:tc>
          <w:tcPr>
            <w:tcW w:w="652" w:type="dxa"/>
            <w:shd w:val="clear" w:color="auto" w:fill="E7E6E6" w:themeFill="background2"/>
          </w:tcPr>
          <w:p w14:paraId="32B5B886" w14:textId="28418CE7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6.2.p</w:t>
            </w:r>
          </w:p>
        </w:tc>
        <w:tc>
          <w:tcPr>
            <w:tcW w:w="6578" w:type="dxa"/>
            <w:shd w:val="clear" w:color="auto" w:fill="FFFFFF" w:themeFill="background1"/>
          </w:tcPr>
          <w:p w14:paraId="0074C8EC" w14:textId="6175E51E" w:rsidR="0068490D" w:rsidRPr="00AE5A42" w:rsidRDefault="0068490D" w:rsidP="0068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Izskaidrojums un pamatojums (</w:t>
            </w:r>
            <w:r w:rsidR="00F15AE4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līdz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1000 rakstu zīmēm) pilnvērtīgas dokumentācijas un/vai datu atgūšanas prasību neattiecināšanai vai novirzēm, ja tādas ir</w:t>
            </w:r>
          </w:p>
        </w:tc>
        <w:tc>
          <w:tcPr>
            <w:tcW w:w="283" w:type="dxa"/>
            <w:shd w:val="clear" w:color="auto" w:fill="E7E6E6" w:themeFill="background2"/>
          </w:tcPr>
          <w:p w14:paraId="1B4CA9DA" w14:textId="07FC7803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671CD8CD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58B61630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496708D6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</w:tcPr>
          <w:p w14:paraId="5187DF2D" w14:textId="77777777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</w:tcPr>
          <w:p w14:paraId="6489B017" w14:textId="77777777" w:rsidR="0068490D" w:rsidRPr="00AE5A42" w:rsidRDefault="0068490D" w:rsidP="0068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11354E08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44FF3D0E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0ED62C1D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3429811F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034BCFBC" w14:textId="77777777" w:rsidR="0068490D" w:rsidRPr="002E5C61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0E6D0849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F4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Pamatojums, priekšnosacījumi, riski un plānotie termiņi</w:t>
            </w:r>
            <w:r w:rsidRPr="00AE5A4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07E399B7" w14:textId="02E39E7F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418CA6A5" w14:textId="564139B8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4BE1E560" w14:textId="1F5038D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4714D71F" w14:textId="77777777" w:rsidTr="002E5C61">
        <w:trPr>
          <w:trHeight w:val="480"/>
        </w:trPr>
        <w:tc>
          <w:tcPr>
            <w:tcW w:w="652" w:type="dxa"/>
            <w:shd w:val="clear" w:color="auto" w:fill="E7E6E6" w:themeFill="background2"/>
            <w:hideMark/>
          </w:tcPr>
          <w:p w14:paraId="374B55A8" w14:textId="77777777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v-LV"/>
              </w:rPr>
              <w:t>7.1.</w:t>
            </w:r>
          </w:p>
        </w:tc>
        <w:tc>
          <w:tcPr>
            <w:tcW w:w="6578" w:type="dxa"/>
            <w:shd w:val="clear" w:color="auto" w:fill="auto"/>
            <w:hideMark/>
          </w:tcPr>
          <w:p w14:paraId="6021EE3D" w14:textId="1C94738A" w:rsidR="0068490D" w:rsidRPr="00AE5A42" w:rsidRDefault="0068490D" w:rsidP="0068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Pamatojums, </w:t>
            </w:r>
            <w:r w:rsidR="00F775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tai skaitā</w:t>
            </w:r>
            <w:r w:rsidR="00F775F0"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saistība ar jau pieņemtiem vai plānotiem normatīvajiem aktiem, norādot to statusu un saiti uz </w:t>
            </w:r>
            <w:hyperlink r:id="rId7" w:history="1">
              <w:r w:rsidRPr="002E5C61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auto"/>
                  <w:sz w:val="18"/>
                  <w:szCs w:val="18"/>
                  <w:u w:val="none"/>
                  <w:lang w:eastAsia="lv-LV"/>
                </w:rPr>
                <w:t>www.likumi.lv</w:t>
              </w:r>
            </w:hyperlink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 kā arī citi priekšnosacījumi (līdz 1000 rakstu zīmēm)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10BD7CB2" w14:textId="06212E62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506566AB" w14:textId="63A15749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5D209C30" w14:textId="3F9E7ACA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13189FD4" w14:textId="77777777" w:rsidTr="002E5C61">
        <w:trPr>
          <w:trHeight w:val="437"/>
        </w:trPr>
        <w:tc>
          <w:tcPr>
            <w:tcW w:w="652" w:type="dxa"/>
            <w:shd w:val="clear" w:color="auto" w:fill="E7E6E6" w:themeFill="background2"/>
            <w:hideMark/>
          </w:tcPr>
          <w:p w14:paraId="058D9981" w14:textId="77777777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v-LV"/>
              </w:rPr>
              <w:t>7.2.</w:t>
            </w:r>
          </w:p>
        </w:tc>
        <w:tc>
          <w:tcPr>
            <w:tcW w:w="6578" w:type="dxa"/>
            <w:shd w:val="clear" w:color="auto" w:fill="auto"/>
            <w:hideMark/>
          </w:tcPr>
          <w:p w14:paraId="2446AA27" w14:textId="5F6302BD" w:rsidR="0068490D" w:rsidRPr="00AE5A42" w:rsidRDefault="0068490D" w:rsidP="0068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Riski, kas var ietekmēt attīstības aktivitātes uzsākšanu vai sekmīgu īstenošanu, konspektīvi norādot arī risku novērtējumu (tai skaitā informācijas sistēmu/IKT drošības jomā) un pārvaldības darbības (līdz 1000 rakstu zīmēm)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45FA6E2A" w14:textId="41FD1063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33610C7D" w14:textId="6CCF178B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2D28D8F9" w14:textId="3DD9671B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63E8AB8D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</w:tcPr>
          <w:p w14:paraId="373E89F0" w14:textId="77777777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</w:tcPr>
          <w:p w14:paraId="753E8371" w14:textId="77777777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7A457C49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56BDEEA2" w14:textId="4BE7B484" w:rsidR="0068490D" w:rsidRPr="00F9689B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Datums</w:t>
            </w: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4F78AF44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10E7DC93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32B8338D" w14:textId="77777777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7.3.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5F9E7027" w14:textId="77777777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Plānotā attīstības aktivitātes uzsākšana 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5C417064" w14:textId="246A74F1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5819F91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68D36573" w14:textId="58555AD6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1AABBAEF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2A05A72E" w14:textId="77777777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7.4.</w:t>
            </w:r>
          </w:p>
        </w:tc>
        <w:tc>
          <w:tcPr>
            <w:tcW w:w="6578" w:type="dxa"/>
            <w:shd w:val="clear" w:color="auto" w:fill="E7E6E6" w:themeFill="background2"/>
            <w:hideMark/>
          </w:tcPr>
          <w:p w14:paraId="35EB56E5" w14:textId="23150643" w:rsidR="0068490D" w:rsidRPr="00AE5A42" w:rsidRDefault="0068490D" w:rsidP="00684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Plānotā attīstības aktivitātes pabeigšana – risinājuma nodošana ekspluatācijā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20715819" w14:textId="789E01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74D86CE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343970DE" w14:textId="5D8AB063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1654926F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</w:tcPr>
          <w:p w14:paraId="2513F90C" w14:textId="77777777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  <w:vAlign w:val="center"/>
          </w:tcPr>
          <w:p w14:paraId="0A461A01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3E604745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E9AF0AB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690F985A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4528DA24" w14:textId="77777777" w:rsidTr="002E5C61">
        <w:trPr>
          <w:trHeight w:val="283"/>
        </w:trPr>
        <w:tc>
          <w:tcPr>
            <w:tcW w:w="652" w:type="dxa"/>
            <w:shd w:val="clear" w:color="auto" w:fill="E7E6E6" w:themeFill="background2"/>
            <w:vAlign w:val="center"/>
            <w:hideMark/>
          </w:tcPr>
          <w:p w14:paraId="492F24D6" w14:textId="77777777" w:rsidR="0068490D" w:rsidRPr="002E5C61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6578" w:type="dxa"/>
            <w:shd w:val="clear" w:color="auto" w:fill="E7E6E6" w:themeFill="background2"/>
            <w:vAlign w:val="center"/>
            <w:hideMark/>
          </w:tcPr>
          <w:p w14:paraId="30A5008E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F4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Finansējuma avots un apjoms</w:t>
            </w:r>
            <w:r w:rsidRPr="00AE5A4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4513271F" w14:textId="60AB3D39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14:paraId="0AD09A72" w14:textId="08D40F73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7FC1B425" w14:textId="2C9DAE5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2FFE1308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4B4563BB" w14:textId="24588B73" w:rsidR="0068490D" w:rsidRPr="002E5C61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78" w:type="dxa"/>
            <w:shd w:val="clear" w:color="auto" w:fill="auto"/>
            <w:hideMark/>
          </w:tcPr>
          <w:p w14:paraId="400FCFCE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Finansējuma avots un plānotais apjoms (noapaļots līdz tūkst. euro)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39A3E7A1" w14:textId="73EA8926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14:paraId="5FF9E480" w14:textId="38361A6B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10BFFA9D" w14:textId="0EA05A68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768F6955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</w:tcPr>
          <w:p w14:paraId="00C6EECF" w14:textId="77777777" w:rsidR="0068490D" w:rsidRPr="002E5C61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  <w:vAlign w:val="center"/>
          </w:tcPr>
          <w:p w14:paraId="6AC41ECA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00DE0FF1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216466C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</w:tcPr>
          <w:p w14:paraId="0B988E15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62D1B638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71C3B5A9" w14:textId="77777777" w:rsidR="0068490D" w:rsidRPr="002E5C61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6578" w:type="dxa"/>
            <w:shd w:val="clear" w:color="auto" w:fill="E7E6E6" w:themeFill="background2"/>
            <w:vAlign w:val="center"/>
            <w:hideMark/>
          </w:tcPr>
          <w:p w14:paraId="7C1D1A96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F4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Attīstības aktivitātes apraksta sagatavotājs</w:t>
            </w:r>
            <w:r w:rsidRPr="00AE5A42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0391F8FD" w14:textId="079C76DC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14:paraId="1209A534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Datums</w:t>
            </w: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17138493" w14:textId="38B911F6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753A7B5A" w14:textId="77777777" w:rsidTr="002E5C61">
        <w:trPr>
          <w:trHeight w:val="300"/>
        </w:trPr>
        <w:tc>
          <w:tcPr>
            <w:tcW w:w="652" w:type="dxa"/>
            <w:shd w:val="clear" w:color="auto" w:fill="E7E6E6" w:themeFill="background2"/>
            <w:hideMark/>
          </w:tcPr>
          <w:p w14:paraId="224872BD" w14:textId="188899BC" w:rsidR="0068490D" w:rsidRPr="002E5C61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78" w:type="dxa"/>
            <w:shd w:val="clear" w:color="auto" w:fill="FFFFFF" w:themeFill="background1"/>
            <w:hideMark/>
          </w:tcPr>
          <w:p w14:paraId="506681D1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Vārds, uzvārds, e-pasts un tālrunis</w:t>
            </w:r>
          </w:p>
        </w:tc>
        <w:tc>
          <w:tcPr>
            <w:tcW w:w="283" w:type="dxa"/>
            <w:shd w:val="clear" w:color="auto" w:fill="E7E6E6" w:themeFill="background2"/>
            <w:hideMark/>
          </w:tcPr>
          <w:p w14:paraId="078F21DF" w14:textId="4B7E8388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14:paraId="19130D8E" w14:textId="2EF2DD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center"/>
            <w:hideMark/>
          </w:tcPr>
          <w:p w14:paraId="0AFBB424" w14:textId="3626E291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A7478" w:rsidRPr="00AE5A42" w14:paraId="0C0F1569" w14:textId="77777777" w:rsidTr="002E5C61">
        <w:trPr>
          <w:trHeight w:val="75"/>
        </w:trPr>
        <w:tc>
          <w:tcPr>
            <w:tcW w:w="652" w:type="dxa"/>
            <w:shd w:val="clear" w:color="auto" w:fill="E7E6E6" w:themeFill="background2"/>
          </w:tcPr>
          <w:p w14:paraId="5A2C6A43" w14:textId="77777777" w:rsidR="0068490D" w:rsidRPr="002E5C61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578" w:type="dxa"/>
            <w:shd w:val="clear" w:color="auto" w:fill="E7E6E6" w:themeFill="background2"/>
            <w:vAlign w:val="center"/>
          </w:tcPr>
          <w:p w14:paraId="74F57C5B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bottom"/>
          </w:tcPr>
          <w:p w14:paraId="08B09E1B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7AAE2CC6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bottom"/>
          </w:tcPr>
          <w:p w14:paraId="06F8A643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A7478" w:rsidRPr="00AE5A42" w14:paraId="5D7B1E53" w14:textId="77777777" w:rsidTr="002E5C61">
        <w:trPr>
          <w:trHeight w:val="75"/>
        </w:trPr>
        <w:tc>
          <w:tcPr>
            <w:tcW w:w="652" w:type="dxa"/>
            <w:shd w:val="clear" w:color="auto" w:fill="E7E6E6" w:themeFill="background2"/>
            <w:hideMark/>
          </w:tcPr>
          <w:p w14:paraId="5F9B2753" w14:textId="3DD85E6D" w:rsidR="0068490D" w:rsidRPr="002E5C61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6578" w:type="dxa"/>
            <w:shd w:val="clear" w:color="auto" w:fill="E7E6E6" w:themeFill="background2"/>
            <w:vAlign w:val="center"/>
            <w:hideMark/>
          </w:tcPr>
          <w:p w14:paraId="5E409044" w14:textId="2A2A81DB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F4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Atzīmes par attīstības aktivitātes saskaņošanas gaitu</w:t>
            </w:r>
            <w:r w:rsidRPr="00AE5A4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</w:p>
        </w:tc>
        <w:tc>
          <w:tcPr>
            <w:tcW w:w="283" w:type="dxa"/>
            <w:shd w:val="clear" w:color="auto" w:fill="E7E6E6" w:themeFill="background2"/>
            <w:vAlign w:val="bottom"/>
            <w:hideMark/>
          </w:tcPr>
          <w:p w14:paraId="6DEB56DE" w14:textId="4F88E820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  <w:hideMark/>
          </w:tcPr>
          <w:p w14:paraId="78707E80" w14:textId="0CCEA155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bottom"/>
            <w:hideMark/>
          </w:tcPr>
          <w:p w14:paraId="0EB1FE72" w14:textId="6E0FE662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A7478" w:rsidRPr="00AE5A42" w14:paraId="41B2EB4B" w14:textId="77777777" w:rsidTr="002E5C61">
        <w:trPr>
          <w:trHeight w:val="480"/>
        </w:trPr>
        <w:tc>
          <w:tcPr>
            <w:tcW w:w="652" w:type="dxa"/>
            <w:shd w:val="clear" w:color="auto" w:fill="E7E6E6" w:themeFill="background2"/>
          </w:tcPr>
          <w:p w14:paraId="2462EBA0" w14:textId="77777777" w:rsidR="0068490D" w:rsidRPr="00AE5A42" w:rsidRDefault="0068490D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578" w:type="dxa"/>
            <w:shd w:val="clear" w:color="auto" w:fill="FFFFFF" w:themeFill="background1"/>
          </w:tcPr>
          <w:p w14:paraId="01F62003" w14:textId="7A74F4E0" w:rsidR="0068490D" w:rsidRPr="002E5C61" w:rsidRDefault="0068490D" w:rsidP="00684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Sākotnējā saskaņošanā norāda </w:t>
            </w:r>
            <w:proofErr w:type="spellStart"/>
            <w:r w:rsidR="002A5E03" w:rsidRPr="0002271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saskaņotāj</w:t>
            </w:r>
            <w:r w:rsidRPr="002E5C6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institūciju</w:t>
            </w:r>
            <w:proofErr w:type="spellEnd"/>
            <w:r w:rsidRPr="002E5C6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sarakstu. Iesniedzot VARAM pēc pārējo institūciju </w:t>
            </w:r>
            <w:r w:rsidR="002A5E03" w:rsidRPr="002E5C6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saskaņojum</w:t>
            </w:r>
            <w:r w:rsidR="002A5E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 saņemšanas</w:t>
            </w:r>
            <w:r w:rsidRPr="002E5C6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 norāda</w:t>
            </w:r>
            <w:r w:rsidR="002A5E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,</w:t>
            </w:r>
            <w:r w:rsidRPr="002E5C6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ka/vai apraksts ir precizēts, </w:t>
            </w:r>
            <w:r w:rsidR="002A5E0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un</w:t>
            </w:r>
            <w:r w:rsidRPr="002E5C6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informāciju par saņemtajiem un pievienojamiem saskaņojumiem (pēc noklusējuma, saskaņots, ar iebildumiem)</w:t>
            </w:r>
          </w:p>
        </w:tc>
        <w:tc>
          <w:tcPr>
            <w:tcW w:w="283" w:type="dxa"/>
            <w:shd w:val="clear" w:color="auto" w:fill="E7E6E6" w:themeFill="background2"/>
            <w:vAlign w:val="bottom"/>
          </w:tcPr>
          <w:p w14:paraId="5A36C01F" w14:textId="77777777" w:rsidR="0068490D" w:rsidRPr="00AE5A42" w:rsidRDefault="0068490D" w:rsidP="006849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0175457A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  <w:vAlign w:val="bottom"/>
          </w:tcPr>
          <w:p w14:paraId="0AF70622" w14:textId="77777777" w:rsidR="0068490D" w:rsidRPr="00AE5A42" w:rsidRDefault="0068490D" w:rsidP="002E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D5FAF" w:rsidRPr="00AE5A42" w14:paraId="4B4E2F4A" w14:textId="77777777" w:rsidTr="00B8676E">
        <w:trPr>
          <w:trHeight w:val="480"/>
        </w:trPr>
        <w:tc>
          <w:tcPr>
            <w:tcW w:w="9072" w:type="dxa"/>
            <w:gridSpan w:val="5"/>
            <w:shd w:val="clear" w:color="auto" w:fill="E7E6E6" w:themeFill="background2"/>
            <w:vAlign w:val="bottom"/>
          </w:tcPr>
          <w:p w14:paraId="0EC8E036" w14:textId="08C40696" w:rsidR="000D5FAF" w:rsidRPr="002E5C61" w:rsidRDefault="000D5FAF" w:rsidP="002E5C61">
            <w:pPr>
              <w:spacing w:after="12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  <w:t>Piezīmes.</w:t>
            </w:r>
          </w:p>
        </w:tc>
      </w:tr>
      <w:tr w:rsidR="000D5FAF" w:rsidRPr="00AE5A42" w14:paraId="714D8418" w14:textId="77777777" w:rsidTr="002E5C61">
        <w:tc>
          <w:tcPr>
            <w:tcW w:w="9072" w:type="dxa"/>
            <w:gridSpan w:val="5"/>
            <w:shd w:val="clear" w:color="auto" w:fill="E7E6E6" w:themeFill="background2"/>
          </w:tcPr>
          <w:p w14:paraId="445AFA9F" w14:textId="6AF3272B" w:rsidR="000D5FAF" w:rsidRPr="002E5C61" w:rsidRDefault="000D5FAF" w:rsidP="002E5C61">
            <w:pPr>
              <w:spacing w:after="80" w:line="240" w:lineRule="auto"/>
              <w:ind w:left="85" w:hanging="85"/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  <w:t xml:space="preserve">1 </w:t>
            </w:r>
            <w:r w:rsidRPr="002E5C61"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  <w:t>Ministru kabineta 2015. gada 28. jūlija noteikumi Nr. 442 "Kārtība, kādā tiek nodrošināta informācijas un komunikācijas tehnoloģiju sistēmu atbilstība minimālajām drošības prasībām".</w:t>
            </w:r>
          </w:p>
        </w:tc>
      </w:tr>
      <w:tr w:rsidR="000D5FAF" w:rsidRPr="00AE5A42" w14:paraId="0CCCF926" w14:textId="77777777" w:rsidTr="000D5FAF">
        <w:tc>
          <w:tcPr>
            <w:tcW w:w="9072" w:type="dxa"/>
            <w:gridSpan w:val="5"/>
            <w:shd w:val="clear" w:color="auto" w:fill="E7E6E6" w:themeFill="background2"/>
          </w:tcPr>
          <w:p w14:paraId="6230FFAA" w14:textId="75366753" w:rsidR="000D5FAF" w:rsidRPr="002E5C61" w:rsidRDefault="000D5FAF" w:rsidP="002E5C61">
            <w:pPr>
              <w:spacing w:after="8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  <w:t>2</w:t>
            </w:r>
            <w:r w:rsidRPr="002E5C61"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  <w:t xml:space="preserve"> Ministru kabineta 2020. gada 14. jūlija noteikumi Nr. 445 "Kārtība, kādā iestādes ievieto informāciju internetā".</w:t>
            </w:r>
          </w:p>
        </w:tc>
      </w:tr>
      <w:tr w:rsidR="000D5FAF" w:rsidRPr="00AE5A42" w14:paraId="73224BB7" w14:textId="77777777" w:rsidTr="000D5FAF">
        <w:tc>
          <w:tcPr>
            <w:tcW w:w="9072" w:type="dxa"/>
            <w:gridSpan w:val="5"/>
            <w:shd w:val="clear" w:color="auto" w:fill="E7E6E6" w:themeFill="background2"/>
          </w:tcPr>
          <w:p w14:paraId="105DA226" w14:textId="5BA341ED" w:rsidR="000D5FAF" w:rsidRPr="002E5C61" w:rsidRDefault="000D5FAF" w:rsidP="002E5C61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  <w:t xml:space="preserve">3 </w:t>
            </w:r>
            <w:r w:rsidRPr="002E5C61"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  <w:t xml:space="preserve">Ministru kabineta </w:t>
            </w:r>
            <w:r w:rsidR="00061620" w:rsidRPr="00061620">
              <w:rPr>
                <w:rFonts w:ascii="Times New Roman" w:hAnsi="Times New Roman" w:cs="Times New Roman"/>
                <w:sz w:val="17"/>
                <w:szCs w:val="17"/>
              </w:rPr>
              <w:t>2023. gada 4. jūlija noteikumi Nr. 367</w:t>
            </w:r>
            <w:r w:rsidR="00061620">
              <w:t xml:space="preserve"> </w:t>
            </w:r>
            <w:r w:rsidRPr="002E5C61"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  <w:t>"Informācijas sistēmu vispārējās tehniskās prasības".</w:t>
            </w:r>
          </w:p>
        </w:tc>
      </w:tr>
      <w:tr w:rsidR="000D5FAF" w:rsidRPr="00AE5A42" w14:paraId="3844618C" w14:textId="77777777" w:rsidTr="000D5FAF">
        <w:tc>
          <w:tcPr>
            <w:tcW w:w="9072" w:type="dxa"/>
            <w:gridSpan w:val="5"/>
            <w:shd w:val="clear" w:color="auto" w:fill="E7E6E6" w:themeFill="background2"/>
          </w:tcPr>
          <w:p w14:paraId="2D192244" w14:textId="0D428C18" w:rsidR="000D5FAF" w:rsidRPr="002E5C61" w:rsidRDefault="000D5FAF" w:rsidP="002E5C61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</w:pPr>
            <w:r w:rsidRPr="002E5C61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lv-LV"/>
              </w:rPr>
              <w:t xml:space="preserve">4 </w:t>
            </w:r>
            <w:r w:rsidRPr="002E5C61"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  <w:t>Ministru kabineta 2017. gada 4. jūlija noteikumi Nr. 402 "Valsts pārvaldes e-pakalpojumu noteikumi".</w:t>
            </w:r>
          </w:p>
        </w:tc>
      </w:tr>
      <w:tr w:rsidR="00F344B1" w:rsidRPr="00AE5A42" w14:paraId="01A6B856" w14:textId="77777777" w:rsidTr="002E5C61">
        <w:trPr>
          <w:trHeight w:val="300"/>
        </w:trPr>
        <w:tc>
          <w:tcPr>
            <w:tcW w:w="9072" w:type="dxa"/>
            <w:gridSpan w:val="5"/>
            <w:shd w:val="clear" w:color="auto" w:fill="FFFFFF" w:themeFill="background1"/>
          </w:tcPr>
          <w:p w14:paraId="6C27D4A8" w14:textId="77777777" w:rsidR="00F344B1" w:rsidRDefault="00F344B1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2719312" w14:textId="77777777" w:rsidR="00F344B1" w:rsidRPr="00AE5A42" w:rsidRDefault="00F344B1" w:rsidP="002E5C61">
            <w:pPr>
              <w:spacing w:after="8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Veidlapā lietotie saīsinājumi:</w:t>
            </w:r>
          </w:p>
          <w:p w14:paraId="51CB913E" w14:textId="77777777" w:rsidR="00F344B1" w:rsidRDefault="00F344B1" w:rsidP="00F3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Attīstības aktivitāte – valsts un institūcijas informācijas sistēmu attīstības aktivitāte</w:t>
            </w:r>
          </w:p>
          <w:p w14:paraId="00D4CC42" w14:textId="77777777" w:rsidR="00F344B1" w:rsidRDefault="00F344B1" w:rsidP="00F3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IKT – informācijas un komunikācijas tehnoloģijas</w:t>
            </w:r>
          </w:p>
          <w:p w14:paraId="7EACAD74" w14:textId="77777777" w:rsidR="00F344B1" w:rsidRDefault="00F344B1" w:rsidP="00F3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Informācijas sistēma – valsts un institūcijas informācijas sistēma</w:t>
            </w:r>
          </w:p>
          <w:p w14:paraId="348810FC" w14:textId="77777777" w:rsidR="00F268EE" w:rsidRDefault="00F268EE" w:rsidP="0094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MK not. </w:t>
            </w:r>
            <w:r w:rsidRPr="00AE5A4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</w:t>
            </w:r>
            <w:r w:rsidRPr="00AE5A4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Ministru kabineta noteikumi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</w:t>
            </w:r>
          </w:p>
          <w:p w14:paraId="50C0ABEF" w14:textId="77777777" w:rsidR="00E31412" w:rsidRDefault="00E31412" w:rsidP="00941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3347C5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VARAM – Vides aizsardzības un reģionālās attīstības ministrija</w:t>
            </w:r>
            <w:r w:rsidRPr="00DE1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  <w:p w14:paraId="13D92188" w14:textId="0119AAF8" w:rsidR="009414DF" w:rsidRDefault="009414DF" w:rsidP="0094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VIRSIS </w:t>
            </w:r>
            <w:r w:rsidRPr="00AE5A4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– Valsts informācijas resursu, sistēmu un sadarbspējas informācijas sistēma </w:t>
            </w:r>
          </w:p>
          <w:p w14:paraId="541EE231" w14:textId="77777777" w:rsidR="00F344B1" w:rsidRPr="00AE5A42" w:rsidRDefault="00F344B1" w:rsidP="00F3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 – atbilstība</w:t>
            </w:r>
          </w:p>
          <w:p w14:paraId="3FD85DD9" w14:textId="77777777" w:rsidR="00F344B1" w:rsidRPr="00AE5A42" w:rsidRDefault="00F344B1" w:rsidP="00F3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d – fizisko personu datu apstrāde </w:t>
            </w:r>
          </w:p>
          <w:p w14:paraId="6A9524D2" w14:textId="77777777" w:rsidR="00F344B1" w:rsidRPr="00AE5A42" w:rsidRDefault="00F344B1" w:rsidP="00F3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 – izmaiņa</w:t>
            </w:r>
          </w:p>
          <w:p w14:paraId="76B28811" w14:textId="77777777" w:rsidR="00F344B1" w:rsidRDefault="00F344B1" w:rsidP="00F3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 – pamatojums</w:t>
            </w:r>
          </w:p>
          <w:p w14:paraId="5661D149" w14:textId="15BB7F54" w:rsidR="00F344B1" w:rsidRPr="00AE5A42" w:rsidRDefault="00F344B1" w:rsidP="002E5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E5A4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 – saskaņojums</w:t>
            </w:r>
            <w:r w:rsidR="00915399" w:rsidRPr="002E5C61">
              <w:rPr>
                <w:rFonts w:ascii="Times New Roman" w:eastAsia="Times New Roman" w:hAnsi="Times New Roman" w:cs="Times New Roman"/>
                <w:sz w:val="17"/>
                <w:szCs w:val="17"/>
                <w:lang w:eastAsia="lv-LV"/>
              </w:rPr>
              <w:t>"</w:t>
            </w:r>
          </w:p>
        </w:tc>
      </w:tr>
    </w:tbl>
    <w:p w14:paraId="4F855F7F" w14:textId="7B57C119" w:rsidR="00207B52" w:rsidRPr="00AE5A42" w:rsidRDefault="00207B52" w:rsidP="002E5C61">
      <w:pPr>
        <w:rPr>
          <w:rFonts w:ascii="Times New Roman" w:hAnsi="Times New Roman" w:cs="Times New Roman"/>
        </w:rPr>
      </w:pPr>
    </w:p>
    <w:sectPr w:rsidR="00207B52" w:rsidRPr="00AE5A42" w:rsidSect="002E5C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634A7" w14:textId="77777777" w:rsidR="00017782" w:rsidRDefault="00017782" w:rsidP="00EB7CC6">
      <w:pPr>
        <w:spacing w:after="0" w:line="240" w:lineRule="auto"/>
      </w:pPr>
      <w:r>
        <w:separator/>
      </w:r>
    </w:p>
  </w:endnote>
  <w:endnote w:type="continuationSeparator" w:id="0">
    <w:p w14:paraId="4F6F4087" w14:textId="77777777" w:rsidR="00017782" w:rsidRDefault="00017782" w:rsidP="00EB7CC6">
      <w:pPr>
        <w:spacing w:after="0" w:line="240" w:lineRule="auto"/>
      </w:pPr>
      <w:r>
        <w:continuationSeparator/>
      </w:r>
    </w:p>
  </w:endnote>
  <w:endnote w:type="continuationNotice" w:id="1">
    <w:p w14:paraId="1ED87E61" w14:textId="77777777" w:rsidR="00017782" w:rsidRDefault="000177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F7C1D" w14:textId="720F9F7F" w:rsidR="00D433C4" w:rsidRPr="002E5C61" w:rsidRDefault="00B876FE">
    <w:pPr>
      <w:pStyle w:val="Footer"/>
      <w:rPr>
        <w:rFonts w:ascii="Times New Roman" w:hAnsi="Times New Roman" w:cs="Times New Roman"/>
        <w:noProof/>
        <w:sz w:val="16"/>
        <w:szCs w:val="16"/>
      </w:rPr>
    </w:pPr>
    <w:r w:rsidRPr="00B876FE">
      <w:rPr>
        <w:rFonts w:ascii="Times New Roman" w:hAnsi="Times New Roman" w:cs="Times New Roman"/>
        <w:noProof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</w:rPr>
      <w:t>N2080</w:t>
    </w:r>
    <w:r w:rsidRPr="0016133F">
      <w:rPr>
        <w:rFonts w:ascii="Times New Roman" w:hAnsi="Times New Roman" w:cs="Times New Roman"/>
        <w:noProof/>
        <w:sz w:val="16"/>
        <w:szCs w:val="16"/>
      </w:rPr>
      <w:t>_</w:t>
    </w:r>
    <w:r>
      <w:rPr>
        <w:rFonts w:ascii="Times New Roman" w:hAnsi="Times New Roman" w:cs="Times New Roman"/>
        <w:noProof/>
        <w:sz w:val="16"/>
        <w:szCs w:val="16"/>
      </w:rPr>
      <w:t>3</w:t>
    </w:r>
    <w:r w:rsidRPr="0016133F">
      <w:rPr>
        <w:rFonts w:ascii="Times New Roman" w:hAnsi="Times New Roman" w:cs="Times New Roman"/>
        <w:noProof/>
        <w:sz w:val="16"/>
        <w:szCs w:val="16"/>
      </w:rPr>
      <w:t>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48115" w14:textId="6A6C0A33" w:rsidR="00D433C4" w:rsidRPr="002E5C61" w:rsidRDefault="00B876FE">
    <w:pPr>
      <w:pStyle w:val="Footer"/>
      <w:rPr>
        <w:rFonts w:ascii="Times New Roman" w:hAnsi="Times New Roman" w:cs="Times New Roman"/>
        <w:noProof/>
        <w:sz w:val="16"/>
        <w:szCs w:val="16"/>
      </w:rPr>
    </w:pPr>
    <w:r w:rsidRPr="00B876FE">
      <w:rPr>
        <w:rFonts w:ascii="Times New Roman" w:hAnsi="Times New Roman" w:cs="Times New Roman"/>
        <w:noProof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</w:rPr>
      <w:t>N2080</w:t>
    </w:r>
    <w:r w:rsidRPr="0016133F">
      <w:rPr>
        <w:rFonts w:ascii="Times New Roman" w:hAnsi="Times New Roman" w:cs="Times New Roman"/>
        <w:noProof/>
        <w:sz w:val="16"/>
        <w:szCs w:val="16"/>
      </w:rPr>
      <w:t>_</w:t>
    </w:r>
    <w:r>
      <w:rPr>
        <w:rFonts w:ascii="Times New Roman" w:hAnsi="Times New Roman" w:cs="Times New Roman"/>
        <w:noProof/>
        <w:sz w:val="16"/>
        <w:szCs w:val="16"/>
      </w:rPr>
      <w:t>3</w:t>
    </w:r>
    <w:r w:rsidRPr="0016133F">
      <w:rPr>
        <w:rFonts w:ascii="Times New Roman" w:hAnsi="Times New Roman" w:cs="Times New Roman"/>
        <w:noProof/>
        <w:sz w:val="16"/>
        <w:szCs w:val="16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B6ADD" w14:textId="77777777" w:rsidR="00017782" w:rsidRDefault="00017782" w:rsidP="00EB7CC6">
      <w:pPr>
        <w:spacing w:after="0" w:line="240" w:lineRule="auto"/>
      </w:pPr>
      <w:r>
        <w:separator/>
      </w:r>
    </w:p>
  </w:footnote>
  <w:footnote w:type="continuationSeparator" w:id="0">
    <w:p w14:paraId="389EB734" w14:textId="77777777" w:rsidR="00017782" w:rsidRDefault="00017782" w:rsidP="00EB7CC6">
      <w:pPr>
        <w:spacing w:after="0" w:line="240" w:lineRule="auto"/>
      </w:pPr>
      <w:r>
        <w:continuationSeparator/>
      </w:r>
    </w:p>
  </w:footnote>
  <w:footnote w:type="continuationNotice" w:id="1">
    <w:p w14:paraId="2B156D7D" w14:textId="77777777" w:rsidR="00017782" w:rsidRDefault="000177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2306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C5EA3F" w14:textId="0BD61541" w:rsidR="00E05520" w:rsidRPr="00C92B59" w:rsidRDefault="00E0552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2B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B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B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398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92B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8F0AB4" w14:textId="77777777" w:rsidR="00E05520" w:rsidRPr="00C92B59" w:rsidRDefault="00E0552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9BEAD" w14:textId="04632673" w:rsidR="007B17E3" w:rsidRDefault="007B17E3">
    <w:pPr>
      <w:pStyle w:val="Header"/>
      <w:jc w:val="center"/>
    </w:pPr>
  </w:p>
  <w:p w14:paraId="694A88E2" w14:textId="77777777" w:rsidR="00D433C4" w:rsidRDefault="00D43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C6"/>
    <w:rsid w:val="000010CB"/>
    <w:rsid w:val="00001FC8"/>
    <w:rsid w:val="00002582"/>
    <w:rsid w:val="0000280D"/>
    <w:rsid w:val="000057EB"/>
    <w:rsid w:val="00015D7D"/>
    <w:rsid w:val="000172DC"/>
    <w:rsid w:val="00017303"/>
    <w:rsid w:val="00017782"/>
    <w:rsid w:val="00020BE5"/>
    <w:rsid w:val="00020EC5"/>
    <w:rsid w:val="0002501C"/>
    <w:rsid w:val="00026827"/>
    <w:rsid w:val="00035DAA"/>
    <w:rsid w:val="000400C6"/>
    <w:rsid w:val="000523D6"/>
    <w:rsid w:val="000531E2"/>
    <w:rsid w:val="0006005B"/>
    <w:rsid w:val="00061620"/>
    <w:rsid w:val="000948C2"/>
    <w:rsid w:val="000A7BD3"/>
    <w:rsid w:val="000B54F3"/>
    <w:rsid w:val="000D5FAF"/>
    <w:rsid w:val="000D75DE"/>
    <w:rsid w:val="000E1B8F"/>
    <w:rsid w:val="000E3D44"/>
    <w:rsid w:val="000F078F"/>
    <w:rsid w:val="000F246B"/>
    <w:rsid w:val="000F7517"/>
    <w:rsid w:val="0010392F"/>
    <w:rsid w:val="001052C1"/>
    <w:rsid w:val="00106A91"/>
    <w:rsid w:val="00111F86"/>
    <w:rsid w:val="00114442"/>
    <w:rsid w:val="001148E8"/>
    <w:rsid w:val="0011499E"/>
    <w:rsid w:val="00116F1A"/>
    <w:rsid w:val="0012654A"/>
    <w:rsid w:val="00131412"/>
    <w:rsid w:val="00143C67"/>
    <w:rsid w:val="001667B4"/>
    <w:rsid w:val="001670AA"/>
    <w:rsid w:val="00184E16"/>
    <w:rsid w:val="00187B77"/>
    <w:rsid w:val="00187C57"/>
    <w:rsid w:val="00190070"/>
    <w:rsid w:val="0019075E"/>
    <w:rsid w:val="00194148"/>
    <w:rsid w:val="00196CAB"/>
    <w:rsid w:val="00197970"/>
    <w:rsid w:val="001A4A30"/>
    <w:rsid w:val="001B3F66"/>
    <w:rsid w:val="001C3B4A"/>
    <w:rsid w:val="001D0EB3"/>
    <w:rsid w:val="001D31C0"/>
    <w:rsid w:val="001E0980"/>
    <w:rsid w:val="001E1358"/>
    <w:rsid w:val="001E32BC"/>
    <w:rsid w:val="001E6BEC"/>
    <w:rsid w:val="0020445D"/>
    <w:rsid w:val="00205487"/>
    <w:rsid w:val="00207B52"/>
    <w:rsid w:val="00217E0A"/>
    <w:rsid w:val="0022042C"/>
    <w:rsid w:val="00225418"/>
    <w:rsid w:val="0024059C"/>
    <w:rsid w:val="00246226"/>
    <w:rsid w:val="00247C60"/>
    <w:rsid w:val="00253BD4"/>
    <w:rsid w:val="0025466B"/>
    <w:rsid w:val="00261B33"/>
    <w:rsid w:val="0026307A"/>
    <w:rsid w:val="002739FC"/>
    <w:rsid w:val="00277643"/>
    <w:rsid w:val="00281CA5"/>
    <w:rsid w:val="002839DA"/>
    <w:rsid w:val="002A5E03"/>
    <w:rsid w:val="002C6444"/>
    <w:rsid w:val="002D2B38"/>
    <w:rsid w:val="002D6214"/>
    <w:rsid w:val="002D656F"/>
    <w:rsid w:val="002D7F27"/>
    <w:rsid w:val="002E0900"/>
    <w:rsid w:val="002E1260"/>
    <w:rsid w:val="002E3174"/>
    <w:rsid w:val="002E5C61"/>
    <w:rsid w:val="002F343B"/>
    <w:rsid w:val="002F4E54"/>
    <w:rsid w:val="00303309"/>
    <w:rsid w:val="00314ED5"/>
    <w:rsid w:val="00316020"/>
    <w:rsid w:val="00324726"/>
    <w:rsid w:val="0033359F"/>
    <w:rsid w:val="00336D1A"/>
    <w:rsid w:val="00345A4F"/>
    <w:rsid w:val="003509D0"/>
    <w:rsid w:val="00353352"/>
    <w:rsid w:val="0036539F"/>
    <w:rsid w:val="00367F5E"/>
    <w:rsid w:val="003723E9"/>
    <w:rsid w:val="00382B3F"/>
    <w:rsid w:val="00385345"/>
    <w:rsid w:val="003902BE"/>
    <w:rsid w:val="00394299"/>
    <w:rsid w:val="003A0F69"/>
    <w:rsid w:val="003A545F"/>
    <w:rsid w:val="003B4FC1"/>
    <w:rsid w:val="003B50A6"/>
    <w:rsid w:val="003B7517"/>
    <w:rsid w:val="003C189D"/>
    <w:rsid w:val="003D295F"/>
    <w:rsid w:val="003E19FC"/>
    <w:rsid w:val="003E54D1"/>
    <w:rsid w:val="003E5F83"/>
    <w:rsid w:val="003F307E"/>
    <w:rsid w:val="003F3D82"/>
    <w:rsid w:val="00410E41"/>
    <w:rsid w:val="00415BD5"/>
    <w:rsid w:val="00415F29"/>
    <w:rsid w:val="0041677F"/>
    <w:rsid w:val="00423B72"/>
    <w:rsid w:val="00434226"/>
    <w:rsid w:val="00436320"/>
    <w:rsid w:val="00473B4D"/>
    <w:rsid w:val="00482E55"/>
    <w:rsid w:val="004853A0"/>
    <w:rsid w:val="00487149"/>
    <w:rsid w:val="00496D8F"/>
    <w:rsid w:val="004A0232"/>
    <w:rsid w:val="004A576A"/>
    <w:rsid w:val="004B57A3"/>
    <w:rsid w:val="004C2559"/>
    <w:rsid w:val="004C391D"/>
    <w:rsid w:val="004E249A"/>
    <w:rsid w:val="004E7534"/>
    <w:rsid w:val="004F3CE8"/>
    <w:rsid w:val="004F5F0B"/>
    <w:rsid w:val="005037AB"/>
    <w:rsid w:val="00507FCB"/>
    <w:rsid w:val="005165ED"/>
    <w:rsid w:val="00535256"/>
    <w:rsid w:val="00540CA7"/>
    <w:rsid w:val="00544519"/>
    <w:rsid w:val="00555B2B"/>
    <w:rsid w:val="005627F7"/>
    <w:rsid w:val="00563841"/>
    <w:rsid w:val="00565418"/>
    <w:rsid w:val="0057400D"/>
    <w:rsid w:val="00580014"/>
    <w:rsid w:val="005A385F"/>
    <w:rsid w:val="005A4AB1"/>
    <w:rsid w:val="005B1B8D"/>
    <w:rsid w:val="005B69BB"/>
    <w:rsid w:val="005D1368"/>
    <w:rsid w:val="005E04CC"/>
    <w:rsid w:val="005E6B7A"/>
    <w:rsid w:val="005F38B8"/>
    <w:rsid w:val="005F410A"/>
    <w:rsid w:val="00604376"/>
    <w:rsid w:val="006063FF"/>
    <w:rsid w:val="00612C02"/>
    <w:rsid w:val="00613E2B"/>
    <w:rsid w:val="00621D3A"/>
    <w:rsid w:val="00623AE7"/>
    <w:rsid w:val="00626981"/>
    <w:rsid w:val="006272F8"/>
    <w:rsid w:val="00630F0C"/>
    <w:rsid w:val="00631D03"/>
    <w:rsid w:val="00631E75"/>
    <w:rsid w:val="00644294"/>
    <w:rsid w:val="00644346"/>
    <w:rsid w:val="006617E8"/>
    <w:rsid w:val="00662109"/>
    <w:rsid w:val="006726E2"/>
    <w:rsid w:val="00680E0E"/>
    <w:rsid w:val="0068490D"/>
    <w:rsid w:val="00685E9D"/>
    <w:rsid w:val="006932FA"/>
    <w:rsid w:val="006A34DA"/>
    <w:rsid w:val="006A5A4E"/>
    <w:rsid w:val="006A7030"/>
    <w:rsid w:val="006C3A39"/>
    <w:rsid w:val="006D2471"/>
    <w:rsid w:val="006D3989"/>
    <w:rsid w:val="006D45C7"/>
    <w:rsid w:val="006D5DAB"/>
    <w:rsid w:val="006D6857"/>
    <w:rsid w:val="006D6911"/>
    <w:rsid w:val="006D69B7"/>
    <w:rsid w:val="006D7747"/>
    <w:rsid w:val="006F649D"/>
    <w:rsid w:val="00711109"/>
    <w:rsid w:val="00711EB9"/>
    <w:rsid w:val="00714174"/>
    <w:rsid w:val="00716EF4"/>
    <w:rsid w:val="007271F0"/>
    <w:rsid w:val="00735C88"/>
    <w:rsid w:val="00735C9E"/>
    <w:rsid w:val="00763C1E"/>
    <w:rsid w:val="00772217"/>
    <w:rsid w:val="007745E6"/>
    <w:rsid w:val="0078014A"/>
    <w:rsid w:val="00785197"/>
    <w:rsid w:val="0078554B"/>
    <w:rsid w:val="007876ED"/>
    <w:rsid w:val="007A23CF"/>
    <w:rsid w:val="007A50BC"/>
    <w:rsid w:val="007A6915"/>
    <w:rsid w:val="007B1200"/>
    <w:rsid w:val="007B1506"/>
    <w:rsid w:val="007B17E3"/>
    <w:rsid w:val="007B654C"/>
    <w:rsid w:val="007B7C61"/>
    <w:rsid w:val="007C0137"/>
    <w:rsid w:val="007D4800"/>
    <w:rsid w:val="007F0DA8"/>
    <w:rsid w:val="007F293C"/>
    <w:rsid w:val="00800114"/>
    <w:rsid w:val="00802CBA"/>
    <w:rsid w:val="00822D9A"/>
    <w:rsid w:val="0083211B"/>
    <w:rsid w:val="00832836"/>
    <w:rsid w:val="008349FE"/>
    <w:rsid w:val="00836791"/>
    <w:rsid w:val="008377C6"/>
    <w:rsid w:val="00845AF7"/>
    <w:rsid w:val="0084615D"/>
    <w:rsid w:val="00851DCE"/>
    <w:rsid w:val="00853129"/>
    <w:rsid w:val="00853C77"/>
    <w:rsid w:val="00854E23"/>
    <w:rsid w:val="0085677A"/>
    <w:rsid w:val="00856CB4"/>
    <w:rsid w:val="008649AD"/>
    <w:rsid w:val="00876ADE"/>
    <w:rsid w:val="00885155"/>
    <w:rsid w:val="00885D03"/>
    <w:rsid w:val="0089085A"/>
    <w:rsid w:val="00895F7D"/>
    <w:rsid w:val="008A1625"/>
    <w:rsid w:val="008B06C6"/>
    <w:rsid w:val="008B2A94"/>
    <w:rsid w:val="008C0AA6"/>
    <w:rsid w:val="008C3C53"/>
    <w:rsid w:val="008C4BF4"/>
    <w:rsid w:val="008E3F52"/>
    <w:rsid w:val="008E49B0"/>
    <w:rsid w:val="008E66DE"/>
    <w:rsid w:val="008F3481"/>
    <w:rsid w:val="0090460A"/>
    <w:rsid w:val="00915399"/>
    <w:rsid w:val="00925D43"/>
    <w:rsid w:val="00927C9B"/>
    <w:rsid w:val="00932862"/>
    <w:rsid w:val="00934821"/>
    <w:rsid w:val="009414DF"/>
    <w:rsid w:val="00951520"/>
    <w:rsid w:val="00955EB2"/>
    <w:rsid w:val="00962A57"/>
    <w:rsid w:val="009711F0"/>
    <w:rsid w:val="009817B3"/>
    <w:rsid w:val="00982B85"/>
    <w:rsid w:val="009A07FE"/>
    <w:rsid w:val="009A16C9"/>
    <w:rsid w:val="009B2240"/>
    <w:rsid w:val="009B2EEC"/>
    <w:rsid w:val="009B37F4"/>
    <w:rsid w:val="009B3EA9"/>
    <w:rsid w:val="009B7AED"/>
    <w:rsid w:val="009C0DA0"/>
    <w:rsid w:val="009C59F6"/>
    <w:rsid w:val="009D1F29"/>
    <w:rsid w:val="009D57AD"/>
    <w:rsid w:val="009E0913"/>
    <w:rsid w:val="009E1878"/>
    <w:rsid w:val="00A004C1"/>
    <w:rsid w:val="00A103D5"/>
    <w:rsid w:val="00A107D7"/>
    <w:rsid w:val="00A13C18"/>
    <w:rsid w:val="00A15995"/>
    <w:rsid w:val="00A26A17"/>
    <w:rsid w:val="00A31958"/>
    <w:rsid w:val="00A325DB"/>
    <w:rsid w:val="00A33ED1"/>
    <w:rsid w:val="00A36080"/>
    <w:rsid w:val="00A40C9E"/>
    <w:rsid w:val="00A648AF"/>
    <w:rsid w:val="00A706D9"/>
    <w:rsid w:val="00A7072A"/>
    <w:rsid w:val="00A72831"/>
    <w:rsid w:val="00A77619"/>
    <w:rsid w:val="00A84BB0"/>
    <w:rsid w:val="00A874B7"/>
    <w:rsid w:val="00AA2008"/>
    <w:rsid w:val="00AB0CC2"/>
    <w:rsid w:val="00AB5E16"/>
    <w:rsid w:val="00AB69FE"/>
    <w:rsid w:val="00AC1C2D"/>
    <w:rsid w:val="00AD13A9"/>
    <w:rsid w:val="00AD7D3E"/>
    <w:rsid w:val="00AE2CA6"/>
    <w:rsid w:val="00AE3BE4"/>
    <w:rsid w:val="00AE5A42"/>
    <w:rsid w:val="00B0570D"/>
    <w:rsid w:val="00B0575E"/>
    <w:rsid w:val="00B076FC"/>
    <w:rsid w:val="00B12902"/>
    <w:rsid w:val="00B17CAC"/>
    <w:rsid w:val="00B17F8C"/>
    <w:rsid w:val="00B25A09"/>
    <w:rsid w:val="00B4146B"/>
    <w:rsid w:val="00B4208B"/>
    <w:rsid w:val="00B43497"/>
    <w:rsid w:val="00B46909"/>
    <w:rsid w:val="00B67A56"/>
    <w:rsid w:val="00B72654"/>
    <w:rsid w:val="00B75574"/>
    <w:rsid w:val="00B82001"/>
    <w:rsid w:val="00B86144"/>
    <w:rsid w:val="00B876FE"/>
    <w:rsid w:val="00B9285B"/>
    <w:rsid w:val="00B97439"/>
    <w:rsid w:val="00BA34EB"/>
    <w:rsid w:val="00BB3337"/>
    <w:rsid w:val="00BB34A0"/>
    <w:rsid w:val="00BB360A"/>
    <w:rsid w:val="00BB4068"/>
    <w:rsid w:val="00BC511A"/>
    <w:rsid w:val="00BC67A0"/>
    <w:rsid w:val="00BD5719"/>
    <w:rsid w:val="00BE1F5D"/>
    <w:rsid w:val="00BF17CD"/>
    <w:rsid w:val="00BF38A0"/>
    <w:rsid w:val="00BF6C72"/>
    <w:rsid w:val="00BF6CFC"/>
    <w:rsid w:val="00BF6E76"/>
    <w:rsid w:val="00C25C93"/>
    <w:rsid w:val="00C276BC"/>
    <w:rsid w:val="00C45FE2"/>
    <w:rsid w:val="00C46CE6"/>
    <w:rsid w:val="00C47449"/>
    <w:rsid w:val="00C54CC5"/>
    <w:rsid w:val="00C54D89"/>
    <w:rsid w:val="00C66243"/>
    <w:rsid w:val="00C80F62"/>
    <w:rsid w:val="00C826AF"/>
    <w:rsid w:val="00C87F40"/>
    <w:rsid w:val="00C90CCA"/>
    <w:rsid w:val="00C92B59"/>
    <w:rsid w:val="00C93706"/>
    <w:rsid w:val="00C94FD6"/>
    <w:rsid w:val="00C9680F"/>
    <w:rsid w:val="00CA2D80"/>
    <w:rsid w:val="00CA7ABE"/>
    <w:rsid w:val="00CB3BF5"/>
    <w:rsid w:val="00CD2439"/>
    <w:rsid w:val="00CD4061"/>
    <w:rsid w:val="00CE14DC"/>
    <w:rsid w:val="00D03DA4"/>
    <w:rsid w:val="00D05EA4"/>
    <w:rsid w:val="00D106CB"/>
    <w:rsid w:val="00D20568"/>
    <w:rsid w:val="00D22D47"/>
    <w:rsid w:val="00D25934"/>
    <w:rsid w:val="00D274DC"/>
    <w:rsid w:val="00D3214A"/>
    <w:rsid w:val="00D34807"/>
    <w:rsid w:val="00D37A6F"/>
    <w:rsid w:val="00D414A8"/>
    <w:rsid w:val="00D433C4"/>
    <w:rsid w:val="00D51B2C"/>
    <w:rsid w:val="00D52581"/>
    <w:rsid w:val="00D5584C"/>
    <w:rsid w:val="00D67334"/>
    <w:rsid w:val="00D7251B"/>
    <w:rsid w:val="00D75B6A"/>
    <w:rsid w:val="00D806E4"/>
    <w:rsid w:val="00D92F17"/>
    <w:rsid w:val="00D94AA7"/>
    <w:rsid w:val="00D96A9B"/>
    <w:rsid w:val="00DA2380"/>
    <w:rsid w:val="00DB2753"/>
    <w:rsid w:val="00DB339C"/>
    <w:rsid w:val="00DC1BFB"/>
    <w:rsid w:val="00DC23A2"/>
    <w:rsid w:val="00DC3B8F"/>
    <w:rsid w:val="00DD0CB5"/>
    <w:rsid w:val="00DD2051"/>
    <w:rsid w:val="00DD530B"/>
    <w:rsid w:val="00DD71DC"/>
    <w:rsid w:val="00DF0CC4"/>
    <w:rsid w:val="00DF436E"/>
    <w:rsid w:val="00E05520"/>
    <w:rsid w:val="00E101A7"/>
    <w:rsid w:val="00E11D99"/>
    <w:rsid w:val="00E26B76"/>
    <w:rsid w:val="00E31412"/>
    <w:rsid w:val="00E35E68"/>
    <w:rsid w:val="00E44CC4"/>
    <w:rsid w:val="00E460F0"/>
    <w:rsid w:val="00E478E2"/>
    <w:rsid w:val="00E63B23"/>
    <w:rsid w:val="00E662FD"/>
    <w:rsid w:val="00E7498C"/>
    <w:rsid w:val="00E9164C"/>
    <w:rsid w:val="00E93773"/>
    <w:rsid w:val="00E955B7"/>
    <w:rsid w:val="00EA2A28"/>
    <w:rsid w:val="00EA3702"/>
    <w:rsid w:val="00EA3E43"/>
    <w:rsid w:val="00EA5DFD"/>
    <w:rsid w:val="00EA646E"/>
    <w:rsid w:val="00EA7478"/>
    <w:rsid w:val="00EA7570"/>
    <w:rsid w:val="00EA7C76"/>
    <w:rsid w:val="00EB7CC6"/>
    <w:rsid w:val="00EC3C01"/>
    <w:rsid w:val="00ED022D"/>
    <w:rsid w:val="00EE4D78"/>
    <w:rsid w:val="00EF14AB"/>
    <w:rsid w:val="00EF1C54"/>
    <w:rsid w:val="00EF4E76"/>
    <w:rsid w:val="00F10DA1"/>
    <w:rsid w:val="00F15AE4"/>
    <w:rsid w:val="00F268EE"/>
    <w:rsid w:val="00F30CAE"/>
    <w:rsid w:val="00F330B3"/>
    <w:rsid w:val="00F344B1"/>
    <w:rsid w:val="00F3758F"/>
    <w:rsid w:val="00F530B2"/>
    <w:rsid w:val="00F57EA9"/>
    <w:rsid w:val="00F775F0"/>
    <w:rsid w:val="00F836BD"/>
    <w:rsid w:val="00F86B26"/>
    <w:rsid w:val="00F87D77"/>
    <w:rsid w:val="00F917B7"/>
    <w:rsid w:val="00F94EBD"/>
    <w:rsid w:val="00F9689B"/>
    <w:rsid w:val="00FA19DC"/>
    <w:rsid w:val="00FB70DB"/>
    <w:rsid w:val="00FC4538"/>
    <w:rsid w:val="00FC52FD"/>
    <w:rsid w:val="00FD3D39"/>
    <w:rsid w:val="00FD40DD"/>
    <w:rsid w:val="00FD4AC5"/>
    <w:rsid w:val="00FF58F9"/>
    <w:rsid w:val="0148CB25"/>
    <w:rsid w:val="09FB5F4D"/>
    <w:rsid w:val="1061F5B1"/>
    <w:rsid w:val="11A23526"/>
    <w:rsid w:val="13182B4E"/>
    <w:rsid w:val="13391A23"/>
    <w:rsid w:val="138E2456"/>
    <w:rsid w:val="1AA02589"/>
    <w:rsid w:val="1CFC49C2"/>
    <w:rsid w:val="1D2AD321"/>
    <w:rsid w:val="1EF84E0C"/>
    <w:rsid w:val="1EF9CEFC"/>
    <w:rsid w:val="201AC227"/>
    <w:rsid w:val="21C54BDA"/>
    <w:rsid w:val="268A03AB"/>
    <w:rsid w:val="28D5CF00"/>
    <w:rsid w:val="2C08BC01"/>
    <w:rsid w:val="2DD51B59"/>
    <w:rsid w:val="324DCD1A"/>
    <w:rsid w:val="333AEAA3"/>
    <w:rsid w:val="343BB1BD"/>
    <w:rsid w:val="35EE09BD"/>
    <w:rsid w:val="36582E9F"/>
    <w:rsid w:val="36F1E75A"/>
    <w:rsid w:val="3C9ED75B"/>
    <w:rsid w:val="3E680538"/>
    <w:rsid w:val="40789DE1"/>
    <w:rsid w:val="486F4BC3"/>
    <w:rsid w:val="52DB8602"/>
    <w:rsid w:val="54EC54F2"/>
    <w:rsid w:val="564CEE22"/>
    <w:rsid w:val="572D4221"/>
    <w:rsid w:val="598A3BE4"/>
    <w:rsid w:val="5AD0E2F5"/>
    <w:rsid w:val="5D0B7EA6"/>
    <w:rsid w:val="6219120C"/>
    <w:rsid w:val="634B4041"/>
    <w:rsid w:val="64EDEB4E"/>
    <w:rsid w:val="6A3B85E6"/>
    <w:rsid w:val="703D50DF"/>
    <w:rsid w:val="70AAC76A"/>
    <w:rsid w:val="724697CB"/>
    <w:rsid w:val="736B28C5"/>
    <w:rsid w:val="741357DA"/>
    <w:rsid w:val="74A3D1BF"/>
    <w:rsid w:val="7573CABB"/>
    <w:rsid w:val="767C36DA"/>
    <w:rsid w:val="773D4746"/>
    <w:rsid w:val="77D8032D"/>
    <w:rsid w:val="784D6615"/>
    <w:rsid w:val="7AC7C915"/>
    <w:rsid w:val="7EDD9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951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C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CC6"/>
  </w:style>
  <w:style w:type="paragraph" w:styleId="Footer">
    <w:name w:val="footer"/>
    <w:basedOn w:val="Normal"/>
    <w:link w:val="FooterChar"/>
    <w:uiPriority w:val="99"/>
    <w:unhideWhenUsed/>
    <w:rsid w:val="00EB7C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CC6"/>
  </w:style>
  <w:style w:type="paragraph" w:customStyle="1" w:styleId="naisf">
    <w:name w:val="naisf"/>
    <w:basedOn w:val="Normal"/>
    <w:rsid w:val="00C92B59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D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3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C0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0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60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4376"/>
    <w:pPr>
      <w:spacing w:after="0" w:line="240" w:lineRule="auto"/>
    </w:p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customStyle="1" w:styleId="placeholderparagraph0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kum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41543-8CF3-4F31-9CAF-C8884BC6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6245</Words>
  <Characters>3560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2024-08-16T08:17:00Z</dcterms:created>
  <dcterms:modified xsi:type="dcterms:W3CDTF">2024-08-16T08:40:00Z</dcterms:modified>
</cp:coreProperties>
</file>